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742C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3C8EC09">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E13C394">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67.020.20</w:t>
            </w:r>
            <w:r>
              <w:rPr>
                <w:rFonts w:ascii="黑体" w:hAnsi="黑体" w:eastAsia="黑体"/>
                <w:sz w:val="21"/>
                <w:szCs w:val="21"/>
              </w:rPr>
              <w:fldChar w:fldCharType="end"/>
            </w:r>
            <w:bookmarkEnd w:id="0"/>
          </w:p>
        </w:tc>
      </w:tr>
      <w:tr w14:paraId="01800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718A362">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A45FF2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740C156">
                  <w:pPr>
                    <w:pStyle w:val="53"/>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2A5B0949">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2"/>
          </w:p>
        </w:tc>
      </w:tr>
    </w:tbl>
    <w:p w14:paraId="27C8FA62">
      <w:pPr>
        <w:pStyle w:val="54"/>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43A3C7F">
      <w:pPr>
        <w:pStyle w:val="199"/>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92FB0A3">
      <w:pPr>
        <w:pStyle w:val="200"/>
        <w:framePr/>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5982CF1">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A00D737">
      <w:pPr>
        <w:pStyle w:val="54"/>
        <w:framePr w:w="9639" w:h="6976" w:hRule="exact" w:hSpace="0" w:vSpace="0" w:wrap="around" w:hAnchor="page" w:y="6408"/>
        <w:jc w:val="center"/>
        <w:rPr>
          <w:rFonts w:hint="eastAsia" w:ascii="黑体" w:hAnsi="黑体" w:eastAsia="黑体"/>
          <w:b w:val="0"/>
          <w:bCs w:val="0"/>
          <w:w w:val="100"/>
        </w:rPr>
      </w:pPr>
    </w:p>
    <w:p w14:paraId="6D4D45A0">
      <w:pPr>
        <w:pStyle w:val="201"/>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南方产区高油酸花生高产栽培技术规程</w:t>
      </w:r>
      <w:r>
        <w:fldChar w:fldCharType="end"/>
      </w:r>
      <w:bookmarkEnd w:id="8"/>
    </w:p>
    <w:p w14:paraId="4874F380">
      <w:pPr>
        <w:framePr w:w="9639" w:h="6974" w:hRule="exact" w:wrap="around" w:vAnchor="page" w:hAnchor="page" w:x="1419" w:y="6408" w:anchorLock="1"/>
        <w:ind w:left="-1418"/>
      </w:pPr>
    </w:p>
    <w:p w14:paraId="49AE5063">
      <w:pPr>
        <w:pStyle w:val="129"/>
        <w:framePr w:w="9639" w:h="6974" w:hRule="exact" w:wrap="around" w:vAnchor="page" w:hAnchor="page" w:x="1419" w:y="6408" w:anchorLock="1"/>
        <w:textAlignment w:val="bottom"/>
        <w:rPr>
          <w:rFonts w:hint="eastAsia"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Technical code for high-yield cultivation of high oleic acid peanut</w:t>
      </w:r>
      <w:r>
        <w:rPr>
          <w:rFonts w:hint="eastAsia" w:ascii="黑体" w:hAnsi="黑体" w:eastAsia="黑体"/>
          <w:szCs w:val="28"/>
        </w:rPr>
        <w:t xml:space="preserve"> in southern China</w:t>
      </w:r>
      <w:r>
        <w:rPr>
          <w:rFonts w:ascii="黑体" w:hAnsi="黑体" w:eastAsia="黑体"/>
          <w:szCs w:val="28"/>
        </w:rPr>
        <w:fldChar w:fldCharType="end"/>
      </w:r>
      <w:bookmarkEnd w:id="9"/>
    </w:p>
    <w:p w14:paraId="3F4ECC78">
      <w:pPr>
        <w:framePr w:w="9639" w:h="6974" w:hRule="exact" w:wrap="around" w:vAnchor="page" w:hAnchor="page" w:x="1419" w:y="6408" w:anchorLock="1"/>
        <w:spacing w:line="760" w:lineRule="exact"/>
        <w:ind w:left="-1418"/>
      </w:pPr>
    </w:p>
    <w:p w14:paraId="4D06DDA7">
      <w:pPr>
        <w:pStyle w:val="129"/>
        <w:framePr w:w="9639" w:h="6974" w:hRule="exact" w:wrap="around" w:vAnchor="page" w:hAnchor="page" w:x="1419" w:y="6408" w:anchorLock="1"/>
        <w:textAlignment w:val="bottom"/>
        <w:rPr>
          <w:rFonts w:eastAsia="黑体"/>
          <w:szCs w:val="28"/>
        </w:rPr>
      </w:pPr>
    </w:p>
    <w:p w14:paraId="1B722324">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04BADCE5">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0FB8F53E">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45A4F9E7">
      <w:pPr>
        <w:pStyle w:val="197"/>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6513FD77">
      <w:pPr>
        <w:pStyle w:val="198"/>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4AEFA34F">
      <w:pPr>
        <w:pStyle w:val="155"/>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6658E8CF">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BE8489A">
      <w:pPr>
        <w:pStyle w:val="95"/>
        <w:spacing w:after="360"/>
      </w:pPr>
      <w:bookmarkStart w:id="20" w:name="BookMark1"/>
      <w:bookmarkStart w:id="21" w:name="_Toc230361379"/>
      <w:bookmarkStart w:id="22" w:name="_Toc230361342"/>
      <w:r>
        <w:rPr>
          <w:rFonts w:hint="eastAsia"/>
          <w:spacing w:val="320"/>
        </w:rPr>
        <w:t>目</w:t>
      </w:r>
      <w:r>
        <w:rPr>
          <w:rFonts w:hint="eastAsia"/>
        </w:rPr>
        <w:t>次</w:t>
      </w:r>
    </w:p>
    <w:p w14:paraId="1936425F">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"_Toc230361496" </w:instrText>
      </w:r>
      <w:r>
        <w:fldChar w:fldCharType="separate"/>
      </w:r>
      <w:r>
        <w:rPr>
          <w:rStyle w:val="35"/>
        </w:rPr>
        <w:t>前言</w:t>
      </w:r>
      <w:r>
        <w:rPr>
          <w:rFonts w:hint="eastAsia"/>
        </w:rPr>
        <w:tab/>
      </w:r>
      <w:r>
        <w:rPr>
          <w:rFonts w:hint="eastAsia"/>
        </w:rPr>
        <w:fldChar w:fldCharType="begin"/>
      </w:r>
      <w:r>
        <w:rPr>
          <w:rFonts w:hint="eastAsia"/>
        </w:rPr>
        <w:instrText xml:space="preserve"> </w:instrText>
      </w:r>
      <w:r>
        <w:instrText xml:space="preserve">PAGEREF _Toc230361496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519CE4E4">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"_Toc230361497" </w:instrText>
      </w:r>
      <w:r>
        <w:fldChar w:fldCharType="separate"/>
      </w:r>
      <w:r>
        <w:rPr>
          <w:rStyle w:val="35"/>
        </w:rPr>
        <w:t>1  范围</w:t>
      </w:r>
      <w:r>
        <w:rPr>
          <w:rFonts w:hint="eastAsia"/>
        </w:rPr>
        <w:tab/>
      </w:r>
      <w:r>
        <w:rPr>
          <w:rFonts w:hint="eastAsia"/>
        </w:rPr>
        <w:fldChar w:fldCharType="begin"/>
      </w:r>
      <w:r>
        <w:rPr>
          <w:rFonts w:hint="eastAsia"/>
        </w:rPr>
        <w:instrText xml:space="preserve"> </w:instrText>
      </w:r>
      <w:r>
        <w:instrText xml:space="preserve">PAGEREF _Toc230361497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B05E961">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"_Toc230361498" </w:instrText>
      </w:r>
      <w:r>
        <w:fldChar w:fldCharType="separate"/>
      </w:r>
      <w:r>
        <w:rPr>
          <w:rStyle w:val="35"/>
        </w:rPr>
        <w:t>2  规范性引用文件</w:t>
      </w:r>
      <w:r>
        <w:rPr>
          <w:rFonts w:hint="eastAsia"/>
        </w:rPr>
        <w:tab/>
      </w:r>
      <w:r>
        <w:rPr>
          <w:rFonts w:hint="eastAsia"/>
        </w:rPr>
        <w:fldChar w:fldCharType="begin"/>
      </w:r>
      <w:r>
        <w:rPr>
          <w:rFonts w:hint="eastAsia"/>
        </w:rPr>
        <w:instrText xml:space="preserve"> </w:instrText>
      </w:r>
      <w:r>
        <w:instrText xml:space="preserve">PAGEREF _Toc230361498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CD6ECF3">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"_Toc230361499" </w:instrText>
      </w:r>
      <w:r>
        <w:fldChar w:fldCharType="separate"/>
      </w:r>
      <w:r>
        <w:rPr>
          <w:rStyle w:val="35"/>
        </w:rPr>
        <w:t>3  术语和定义</w:t>
      </w:r>
      <w:r>
        <w:rPr>
          <w:rFonts w:hint="eastAsia"/>
        </w:rPr>
        <w:tab/>
      </w:r>
      <w:r>
        <w:rPr>
          <w:rFonts w:hint="eastAsia"/>
        </w:rPr>
        <w:fldChar w:fldCharType="begin"/>
      </w:r>
      <w:r>
        <w:rPr>
          <w:rFonts w:hint="eastAsia"/>
        </w:rPr>
        <w:instrText xml:space="preserve"> </w:instrText>
      </w:r>
      <w:r>
        <w:instrText xml:space="preserve">PAGEREF _Toc230361499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C4D27C1">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"_Toc230361500" </w:instrText>
      </w:r>
      <w:r>
        <w:fldChar w:fldCharType="separate"/>
      </w:r>
      <w:r>
        <w:rPr>
          <w:rStyle w:val="35"/>
        </w:rPr>
        <w:t>4  产地环境选择</w:t>
      </w:r>
      <w:r>
        <w:rPr>
          <w:rFonts w:hint="eastAsia"/>
        </w:rPr>
        <w:tab/>
      </w:r>
      <w:r>
        <w:rPr>
          <w:rFonts w:hint="eastAsia"/>
        </w:rPr>
        <w:fldChar w:fldCharType="begin"/>
      </w:r>
      <w:r>
        <w:rPr>
          <w:rFonts w:hint="eastAsia"/>
        </w:rPr>
        <w:instrText xml:space="preserve"> </w:instrText>
      </w:r>
      <w:r>
        <w:instrText xml:space="preserve">PAGEREF _Toc230361500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6FAEC2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"_Toc230361501" </w:instrText>
      </w:r>
      <w:r>
        <w:fldChar w:fldCharType="separate"/>
      </w:r>
      <w:r>
        <w:rPr>
          <w:rStyle w:val="35"/>
        </w:rPr>
        <w:t>5  播种前准备</w:t>
      </w:r>
      <w:r>
        <w:rPr>
          <w:rFonts w:hint="eastAsia"/>
        </w:rPr>
        <w:tab/>
      </w:r>
      <w:r>
        <w:rPr>
          <w:rFonts w:hint="eastAsia"/>
        </w:rPr>
        <w:fldChar w:fldCharType="begin"/>
      </w:r>
      <w:r>
        <w:rPr>
          <w:rFonts w:hint="eastAsia"/>
        </w:rPr>
        <w:instrText xml:space="preserve"> </w:instrText>
      </w:r>
      <w:r>
        <w:instrText xml:space="preserve">PAGEREF _Toc230361501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3429A9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"_Toc230361502" </w:instrText>
      </w:r>
      <w:r>
        <w:fldChar w:fldCharType="separate"/>
      </w:r>
      <w:r>
        <w:rPr>
          <w:rStyle w:val="35"/>
          <w14:scene3d w14:prst="orthographicFront">
            <w14:lightRig w14:rig="threePt" w14:dir="t">
              <w14:rot w14:lat="0" w14:lon="0" w14:rev="0"/>
            </w14:lightRig>
          </w14:scene3d>
        </w:rPr>
        <w:t xml:space="preserve">5.1 </w:t>
      </w:r>
      <w:r>
        <w:rPr>
          <w:rStyle w:val="35"/>
        </w:rPr>
        <w:t xml:space="preserve"> 种子选择</w:t>
      </w:r>
      <w:r>
        <w:rPr>
          <w:rFonts w:hint="eastAsia"/>
        </w:rPr>
        <w:tab/>
      </w:r>
      <w:r>
        <w:rPr>
          <w:rFonts w:hint="eastAsia"/>
        </w:rPr>
        <w:fldChar w:fldCharType="begin"/>
      </w:r>
      <w:r>
        <w:rPr>
          <w:rFonts w:hint="eastAsia"/>
        </w:rPr>
        <w:instrText xml:space="preserve"> </w:instrText>
      </w:r>
      <w:r>
        <w:instrText xml:space="preserve">PAGEREF _Toc230361502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D316774">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"_Toc230361503" </w:instrText>
      </w:r>
      <w:r>
        <w:fldChar w:fldCharType="separate"/>
      </w:r>
      <w:r>
        <w:rPr>
          <w:rStyle w:val="35"/>
          <w14:scene3d w14:prst="orthographicFront">
            <w14:lightRig w14:rig="threePt" w14:dir="t">
              <w14:rot w14:lat="0" w14:lon="0" w14:rev="0"/>
            </w14:lightRig>
          </w14:scene3d>
        </w:rPr>
        <w:t xml:space="preserve">5.2 </w:t>
      </w:r>
      <w:r>
        <w:rPr>
          <w:rStyle w:val="35"/>
        </w:rPr>
        <w:t xml:space="preserve"> 种子处理</w:t>
      </w:r>
      <w:r>
        <w:rPr>
          <w:rFonts w:hint="eastAsia"/>
        </w:rPr>
        <w:tab/>
      </w:r>
      <w:r>
        <w:rPr>
          <w:rFonts w:hint="eastAsia"/>
        </w:rPr>
        <w:fldChar w:fldCharType="begin"/>
      </w:r>
      <w:r>
        <w:rPr>
          <w:rFonts w:hint="eastAsia"/>
        </w:rPr>
        <w:instrText xml:space="preserve"> </w:instrText>
      </w:r>
      <w:r>
        <w:instrText xml:space="preserve">PAGEREF _Toc230361503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B5A8364">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"_Toc230361504" </w:instrText>
      </w:r>
      <w:r>
        <w:fldChar w:fldCharType="separate"/>
      </w:r>
      <w:r>
        <w:rPr>
          <w:rStyle w:val="35"/>
          <w14:scene3d w14:prst="orthographicFront">
            <w14:lightRig w14:rig="threePt" w14:dir="t">
              <w14:rot w14:lat="0" w14:lon="0" w14:rev="0"/>
            </w14:lightRig>
          </w14:scene3d>
        </w:rPr>
        <w:t xml:space="preserve">5.3 </w:t>
      </w:r>
      <w:r>
        <w:rPr>
          <w:rStyle w:val="35"/>
        </w:rPr>
        <w:t xml:space="preserve"> 整地与起垄</w:t>
      </w:r>
      <w:r>
        <w:rPr>
          <w:rFonts w:hint="eastAsia"/>
        </w:rPr>
        <w:tab/>
      </w:r>
      <w:r>
        <w:rPr>
          <w:rFonts w:hint="eastAsia"/>
        </w:rPr>
        <w:fldChar w:fldCharType="begin"/>
      </w:r>
      <w:r>
        <w:rPr>
          <w:rFonts w:hint="eastAsia"/>
        </w:rPr>
        <w:instrText xml:space="preserve"> </w:instrText>
      </w:r>
      <w:r>
        <w:instrText xml:space="preserve">PAGEREF _Toc230361504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A6F5A4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"_Toc230361505" </w:instrText>
      </w:r>
      <w:r>
        <w:fldChar w:fldCharType="separate"/>
      </w:r>
      <w:r>
        <w:rPr>
          <w:rStyle w:val="35"/>
        </w:rPr>
        <w:t>6  播种</w:t>
      </w:r>
      <w:r>
        <w:rPr>
          <w:rFonts w:hint="eastAsia"/>
        </w:rPr>
        <w:tab/>
      </w:r>
      <w:r>
        <w:rPr>
          <w:rFonts w:hint="eastAsia"/>
        </w:rPr>
        <w:fldChar w:fldCharType="begin"/>
      </w:r>
      <w:r>
        <w:rPr>
          <w:rFonts w:hint="eastAsia"/>
        </w:rPr>
        <w:instrText xml:space="preserve"> </w:instrText>
      </w:r>
      <w:r>
        <w:instrText xml:space="preserve">PAGEREF _Toc230361505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CE77CE3">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"_Toc230361506" </w:instrText>
      </w:r>
      <w:r>
        <w:fldChar w:fldCharType="separate"/>
      </w:r>
      <w:r>
        <w:rPr>
          <w:rStyle w:val="35"/>
          <w14:scene3d w14:prst="orthographicFront">
            <w14:lightRig w14:rig="threePt" w14:dir="t">
              <w14:rot w14:lat="0" w14:lon="0" w14:rev="0"/>
            </w14:lightRig>
          </w14:scene3d>
        </w:rPr>
        <w:t xml:space="preserve">6.1 </w:t>
      </w:r>
      <w:r>
        <w:rPr>
          <w:rStyle w:val="35"/>
        </w:rPr>
        <w:t xml:space="preserve"> 播种时间</w:t>
      </w:r>
      <w:r>
        <w:rPr>
          <w:rFonts w:hint="eastAsia"/>
        </w:rPr>
        <w:tab/>
      </w:r>
      <w:r>
        <w:rPr>
          <w:rFonts w:hint="eastAsia"/>
        </w:rPr>
        <w:fldChar w:fldCharType="begin"/>
      </w:r>
      <w:r>
        <w:rPr>
          <w:rFonts w:hint="eastAsia"/>
        </w:rPr>
        <w:instrText xml:space="preserve"> </w:instrText>
      </w:r>
      <w:r>
        <w:instrText xml:space="preserve">PAGEREF _Toc230361506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7AEC63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"_Toc230361507" </w:instrText>
      </w:r>
      <w:r>
        <w:fldChar w:fldCharType="separate"/>
      </w:r>
      <w:r>
        <w:rPr>
          <w:rStyle w:val="35"/>
          <w14:scene3d w14:prst="orthographicFront">
            <w14:lightRig w14:rig="threePt" w14:dir="t">
              <w14:rot w14:lat="0" w14:lon="0" w14:rev="0"/>
            </w14:lightRig>
          </w14:scene3d>
        </w:rPr>
        <w:t xml:space="preserve">6.2 </w:t>
      </w:r>
      <w:r>
        <w:rPr>
          <w:rStyle w:val="35"/>
        </w:rPr>
        <w:t xml:space="preserve"> 播种方法</w:t>
      </w:r>
      <w:r>
        <w:rPr>
          <w:rFonts w:hint="eastAsia"/>
        </w:rPr>
        <w:tab/>
      </w:r>
      <w:r>
        <w:rPr>
          <w:rFonts w:hint="eastAsia"/>
        </w:rPr>
        <w:fldChar w:fldCharType="begin"/>
      </w:r>
      <w:r>
        <w:rPr>
          <w:rFonts w:hint="eastAsia"/>
        </w:rPr>
        <w:instrText xml:space="preserve"> </w:instrText>
      </w:r>
      <w:r>
        <w:instrText xml:space="preserve">PAGEREF _Toc230361507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6F6025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"_Toc230361508" </w:instrText>
      </w:r>
      <w:r>
        <w:fldChar w:fldCharType="separate"/>
      </w:r>
      <w:r>
        <w:rPr>
          <w:rStyle w:val="35"/>
          <w14:scene3d w14:prst="orthographicFront">
            <w14:lightRig w14:rig="threePt" w14:dir="t">
              <w14:rot w14:lat="0" w14:lon="0" w14:rev="0"/>
            </w14:lightRig>
          </w14:scene3d>
        </w:rPr>
        <w:t xml:space="preserve">6.3 </w:t>
      </w:r>
      <w:r>
        <w:rPr>
          <w:rStyle w:val="35"/>
        </w:rPr>
        <w:t xml:space="preserve"> 种后覆膜</w:t>
      </w:r>
      <w:r>
        <w:rPr>
          <w:rFonts w:hint="eastAsia"/>
        </w:rPr>
        <w:tab/>
      </w:r>
      <w:r>
        <w:rPr>
          <w:rFonts w:hint="eastAsia"/>
        </w:rPr>
        <w:fldChar w:fldCharType="begin"/>
      </w:r>
      <w:r>
        <w:rPr>
          <w:rFonts w:hint="eastAsia"/>
        </w:rPr>
        <w:instrText xml:space="preserve"> </w:instrText>
      </w:r>
      <w:r>
        <w:instrText xml:space="preserve">PAGEREF _Toc230361508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6C4BAD1">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"_Toc230361509" </w:instrText>
      </w:r>
      <w:r>
        <w:fldChar w:fldCharType="separate"/>
      </w:r>
      <w:r>
        <w:rPr>
          <w:rStyle w:val="35"/>
        </w:rPr>
        <w:t>7  田间管理</w:t>
      </w:r>
      <w:r>
        <w:rPr>
          <w:rFonts w:hint="eastAsia"/>
        </w:rPr>
        <w:tab/>
      </w:r>
      <w:r>
        <w:rPr>
          <w:rFonts w:hint="eastAsia"/>
        </w:rPr>
        <w:fldChar w:fldCharType="begin"/>
      </w:r>
      <w:r>
        <w:rPr>
          <w:rFonts w:hint="eastAsia"/>
        </w:rPr>
        <w:instrText xml:space="preserve"> </w:instrText>
      </w:r>
      <w:r>
        <w:instrText xml:space="preserve">PAGEREF _Toc230361509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43FBD7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"_Toc230361510" </w:instrText>
      </w:r>
      <w:r>
        <w:fldChar w:fldCharType="separate"/>
      </w:r>
      <w:r>
        <w:rPr>
          <w:rStyle w:val="35"/>
          <w14:scene3d w14:prst="orthographicFront">
            <w14:lightRig w14:rig="threePt" w14:dir="t">
              <w14:rot w14:lat="0" w14:lon="0" w14:rev="0"/>
            </w14:lightRig>
          </w14:scene3d>
        </w:rPr>
        <w:t xml:space="preserve">7.1 </w:t>
      </w:r>
      <w:r>
        <w:rPr>
          <w:rStyle w:val="35"/>
        </w:rPr>
        <w:t xml:space="preserve"> 苗期管理</w:t>
      </w:r>
      <w:r>
        <w:rPr>
          <w:rFonts w:hint="eastAsia"/>
        </w:rPr>
        <w:tab/>
      </w:r>
      <w:r>
        <w:rPr>
          <w:rFonts w:hint="eastAsia"/>
        </w:rPr>
        <w:fldChar w:fldCharType="begin"/>
      </w:r>
      <w:r>
        <w:rPr>
          <w:rFonts w:hint="eastAsia"/>
        </w:rPr>
        <w:instrText xml:space="preserve"> </w:instrText>
      </w:r>
      <w:r>
        <w:instrText xml:space="preserve">PAGEREF _Toc230361510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C545A6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"_Toc230361511" </w:instrText>
      </w:r>
      <w:r>
        <w:fldChar w:fldCharType="separate"/>
      </w:r>
      <w:r>
        <w:rPr>
          <w:rStyle w:val="35"/>
          <w14:scene3d w14:prst="orthographicFront">
            <w14:lightRig w14:rig="threePt" w14:dir="t">
              <w14:rot w14:lat="0" w14:lon="0" w14:rev="0"/>
            </w14:lightRig>
          </w14:scene3d>
        </w:rPr>
        <w:t xml:space="preserve">7.2 </w:t>
      </w:r>
      <w:r>
        <w:rPr>
          <w:rStyle w:val="35"/>
        </w:rPr>
        <w:t xml:space="preserve"> 施肥管理</w:t>
      </w:r>
      <w:r>
        <w:rPr>
          <w:rFonts w:hint="eastAsia"/>
        </w:rPr>
        <w:tab/>
      </w:r>
      <w:r>
        <w:rPr>
          <w:rFonts w:hint="eastAsia"/>
        </w:rPr>
        <w:fldChar w:fldCharType="begin"/>
      </w:r>
      <w:r>
        <w:rPr>
          <w:rFonts w:hint="eastAsia"/>
        </w:rPr>
        <w:instrText xml:space="preserve"> </w:instrText>
      </w:r>
      <w:r>
        <w:instrText xml:space="preserve">PAGEREF _Toc230361511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B1C9834">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"_Toc230361512" </w:instrText>
      </w:r>
      <w:r>
        <w:fldChar w:fldCharType="separate"/>
      </w:r>
      <w:r>
        <w:rPr>
          <w:rStyle w:val="35"/>
          <w14:scene3d w14:prst="orthographicFront">
            <w14:lightRig w14:rig="threePt" w14:dir="t">
              <w14:rot w14:lat="0" w14:lon="0" w14:rev="0"/>
            </w14:lightRig>
          </w14:scene3d>
        </w:rPr>
        <w:t xml:space="preserve">7.3 </w:t>
      </w:r>
      <w:r>
        <w:rPr>
          <w:rStyle w:val="35"/>
        </w:rPr>
        <w:t xml:space="preserve"> 水分管理</w:t>
      </w:r>
      <w:r>
        <w:rPr>
          <w:rFonts w:hint="eastAsia"/>
        </w:rPr>
        <w:tab/>
      </w:r>
      <w:r>
        <w:rPr>
          <w:rFonts w:hint="eastAsia"/>
        </w:rPr>
        <w:fldChar w:fldCharType="begin"/>
      </w:r>
      <w:r>
        <w:rPr>
          <w:rFonts w:hint="eastAsia"/>
        </w:rPr>
        <w:instrText xml:space="preserve"> </w:instrText>
      </w:r>
      <w:r>
        <w:instrText xml:space="preserve">PAGEREF _Toc230361512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307CF9E">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"_Toc230361513" </w:instrText>
      </w:r>
      <w:r>
        <w:fldChar w:fldCharType="separate"/>
      </w:r>
      <w:r>
        <w:rPr>
          <w:rStyle w:val="35"/>
          <w14:scene3d w14:prst="orthographicFront">
            <w14:lightRig w14:rig="threePt" w14:dir="t">
              <w14:rot w14:lat="0" w14:lon="0" w14:rev="0"/>
            </w14:lightRig>
          </w14:scene3d>
        </w:rPr>
        <w:t xml:space="preserve">7.4 </w:t>
      </w:r>
      <w:r>
        <w:rPr>
          <w:rStyle w:val="35"/>
        </w:rPr>
        <w:t xml:space="preserve"> 中耕除草</w:t>
      </w:r>
      <w:r>
        <w:rPr>
          <w:rFonts w:hint="eastAsia"/>
        </w:rPr>
        <w:tab/>
      </w:r>
      <w:r>
        <w:rPr>
          <w:rFonts w:hint="eastAsia"/>
        </w:rPr>
        <w:fldChar w:fldCharType="begin"/>
      </w:r>
      <w:r>
        <w:rPr>
          <w:rFonts w:hint="eastAsia"/>
        </w:rPr>
        <w:instrText xml:space="preserve"> </w:instrText>
      </w:r>
      <w:r>
        <w:instrText xml:space="preserve">PAGEREF _Toc230361513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DB4BA3C">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"_Toc230361514" </w:instrText>
      </w:r>
      <w:r>
        <w:fldChar w:fldCharType="separate"/>
      </w:r>
      <w:r>
        <w:rPr>
          <w:rStyle w:val="35"/>
        </w:rPr>
        <w:t>8  生长调节剂精准调控</w:t>
      </w:r>
      <w:r>
        <w:rPr>
          <w:rFonts w:hint="eastAsia"/>
        </w:rPr>
        <w:tab/>
      </w:r>
      <w:r>
        <w:rPr>
          <w:rFonts w:hint="eastAsia"/>
        </w:rPr>
        <w:fldChar w:fldCharType="begin"/>
      </w:r>
      <w:r>
        <w:rPr>
          <w:rFonts w:hint="eastAsia"/>
        </w:rPr>
        <w:instrText xml:space="preserve"> </w:instrText>
      </w:r>
      <w:r>
        <w:instrText xml:space="preserve">PAGEREF _Toc230361514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95987D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"_Toc230361515" </w:instrText>
      </w:r>
      <w:r>
        <w:fldChar w:fldCharType="separate"/>
      </w:r>
      <w:r>
        <w:rPr>
          <w:rStyle w:val="35"/>
          <w14:scene3d w14:prst="orthographicFront">
            <w14:lightRig w14:rig="threePt" w14:dir="t">
              <w14:rot w14:lat="0" w14:lon="0" w14:rev="0"/>
            </w14:lightRig>
          </w14:scene3d>
        </w:rPr>
        <w:t xml:space="preserve">8.1 </w:t>
      </w:r>
      <w:r>
        <w:rPr>
          <w:rStyle w:val="35"/>
        </w:rPr>
        <w:t xml:space="preserve"> 压苗（控旺）时期与次数</w:t>
      </w:r>
      <w:r>
        <w:rPr>
          <w:rFonts w:hint="eastAsia"/>
        </w:rPr>
        <w:tab/>
      </w:r>
      <w:r>
        <w:rPr>
          <w:rFonts w:hint="eastAsia"/>
        </w:rPr>
        <w:fldChar w:fldCharType="begin"/>
      </w:r>
      <w:r>
        <w:rPr>
          <w:rFonts w:hint="eastAsia"/>
        </w:rPr>
        <w:instrText xml:space="preserve"> </w:instrText>
      </w:r>
      <w:r>
        <w:instrText xml:space="preserve">PAGEREF _Toc230361515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ABCCFEC">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"_Toc230361516" </w:instrText>
      </w:r>
      <w:r>
        <w:fldChar w:fldCharType="separate"/>
      </w:r>
      <w:r>
        <w:rPr>
          <w:rStyle w:val="35"/>
          <w14:scene3d w14:prst="orthographicFront">
            <w14:lightRig w14:rig="threePt" w14:dir="t">
              <w14:rot w14:lat="0" w14:lon="0" w14:rev="0"/>
            </w14:lightRig>
          </w14:scene3d>
        </w:rPr>
        <w:t xml:space="preserve">8.2 </w:t>
      </w:r>
      <w:r>
        <w:rPr>
          <w:rStyle w:val="35"/>
          <w:rFonts w:ascii="Segoe UI" w:hAnsi="Segoe UI" w:cs="Segoe UI"/>
        </w:rPr>
        <w:t xml:space="preserve"> 调节剂的选用</w:t>
      </w:r>
      <w:r>
        <w:rPr>
          <w:rFonts w:hint="eastAsia"/>
        </w:rPr>
        <w:tab/>
      </w:r>
      <w:r>
        <w:rPr>
          <w:rFonts w:hint="eastAsia"/>
        </w:rPr>
        <w:fldChar w:fldCharType="begin"/>
      </w:r>
      <w:r>
        <w:rPr>
          <w:rFonts w:hint="eastAsia"/>
        </w:rPr>
        <w:instrText xml:space="preserve"> </w:instrText>
      </w:r>
      <w:r>
        <w:instrText xml:space="preserve">PAGEREF _Toc230361516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8814689">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"_Toc230361517" </w:instrText>
      </w:r>
      <w:r>
        <w:fldChar w:fldCharType="separate"/>
      </w:r>
      <w:r>
        <w:rPr>
          <w:rStyle w:val="35"/>
          <w14:scene3d w14:prst="orthographicFront">
            <w14:lightRig w14:rig="threePt" w14:dir="t">
              <w14:rot w14:lat="0" w14:lon="0" w14:rev="0"/>
            </w14:lightRig>
          </w14:scene3d>
        </w:rPr>
        <w:t xml:space="preserve">8.3 </w:t>
      </w:r>
      <w:r>
        <w:rPr>
          <w:rStyle w:val="35"/>
        </w:rPr>
        <w:t xml:space="preserve"> 调节剂使用注意事项</w:t>
      </w:r>
      <w:r>
        <w:rPr>
          <w:rFonts w:hint="eastAsia"/>
        </w:rPr>
        <w:tab/>
      </w:r>
      <w:r>
        <w:rPr>
          <w:rFonts w:hint="eastAsia"/>
        </w:rPr>
        <w:fldChar w:fldCharType="begin"/>
      </w:r>
      <w:r>
        <w:rPr>
          <w:rFonts w:hint="eastAsia"/>
        </w:rPr>
        <w:instrText xml:space="preserve"> </w:instrText>
      </w:r>
      <w:r>
        <w:instrText xml:space="preserve">PAGEREF _Toc230361517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27BB94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"_Toc230361518" </w:instrText>
      </w:r>
      <w:r>
        <w:fldChar w:fldCharType="separate"/>
      </w:r>
      <w:r>
        <w:rPr>
          <w:rStyle w:val="35"/>
        </w:rPr>
        <w:t>9  病虫害防治</w:t>
      </w:r>
      <w:r>
        <w:rPr>
          <w:rFonts w:hint="eastAsia"/>
        </w:rPr>
        <w:tab/>
      </w:r>
      <w:r>
        <w:rPr>
          <w:rFonts w:hint="eastAsia"/>
        </w:rPr>
        <w:fldChar w:fldCharType="begin"/>
      </w:r>
      <w:r>
        <w:rPr>
          <w:rFonts w:hint="eastAsia"/>
        </w:rPr>
        <w:instrText xml:space="preserve"> </w:instrText>
      </w:r>
      <w:r>
        <w:instrText xml:space="preserve">PAGEREF _Toc230361518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F7FCBE2">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"_Toc230361519" </w:instrText>
      </w:r>
      <w:r>
        <w:fldChar w:fldCharType="separate"/>
      </w:r>
      <w:r>
        <w:rPr>
          <w:rStyle w:val="35"/>
          <w14:scene3d w14:prst="orthographicFront">
            <w14:lightRig w14:rig="threePt" w14:dir="t">
              <w14:rot w14:lat="0" w14:lon="0" w14:rev="0"/>
            </w14:lightRig>
          </w14:scene3d>
        </w:rPr>
        <w:t xml:space="preserve">9.1 </w:t>
      </w:r>
      <w:r>
        <w:rPr>
          <w:rStyle w:val="35"/>
        </w:rPr>
        <w:t xml:space="preserve"> 主要病虫害</w:t>
      </w:r>
      <w:r>
        <w:rPr>
          <w:rFonts w:hint="eastAsia"/>
        </w:rPr>
        <w:tab/>
      </w:r>
      <w:r>
        <w:rPr>
          <w:rFonts w:hint="eastAsia"/>
        </w:rPr>
        <w:fldChar w:fldCharType="begin"/>
      </w:r>
      <w:r>
        <w:rPr>
          <w:rFonts w:hint="eastAsia"/>
        </w:rPr>
        <w:instrText xml:space="preserve"> </w:instrText>
      </w:r>
      <w:r>
        <w:instrText xml:space="preserve">PAGEREF _Toc230361519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4BD76F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"_Toc230361520" </w:instrText>
      </w:r>
      <w:r>
        <w:fldChar w:fldCharType="separate"/>
      </w:r>
      <w:r>
        <w:rPr>
          <w:rStyle w:val="35"/>
          <w14:scene3d w14:prst="orthographicFront">
            <w14:lightRig w14:rig="threePt" w14:dir="t">
              <w14:rot w14:lat="0" w14:lon="0" w14:rev="0"/>
            </w14:lightRig>
          </w14:scene3d>
        </w:rPr>
        <w:t xml:space="preserve">9.2 </w:t>
      </w:r>
      <w:r>
        <w:rPr>
          <w:rStyle w:val="35"/>
        </w:rPr>
        <w:t xml:space="preserve"> 防治措施</w:t>
      </w:r>
      <w:r>
        <w:rPr>
          <w:rFonts w:hint="eastAsia"/>
        </w:rPr>
        <w:tab/>
      </w:r>
      <w:r>
        <w:rPr>
          <w:rFonts w:hint="eastAsia"/>
        </w:rPr>
        <w:fldChar w:fldCharType="begin"/>
      </w:r>
      <w:r>
        <w:rPr>
          <w:rFonts w:hint="eastAsia"/>
        </w:rPr>
        <w:instrText xml:space="preserve"> </w:instrText>
      </w:r>
      <w:r>
        <w:instrText xml:space="preserve">PAGEREF _Toc230361520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388CD3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"_Toc230361521" </w:instrText>
      </w:r>
      <w:r>
        <w:fldChar w:fldCharType="separate"/>
      </w:r>
      <w:r>
        <w:rPr>
          <w:rStyle w:val="35"/>
        </w:rPr>
        <w:t>10  收获与干燥</w:t>
      </w:r>
      <w:r>
        <w:rPr>
          <w:rFonts w:hint="eastAsia"/>
        </w:rPr>
        <w:tab/>
      </w:r>
      <w:r>
        <w:rPr>
          <w:rFonts w:hint="eastAsia"/>
        </w:rPr>
        <w:fldChar w:fldCharType="begin"/>
      </w:r>
      <w:r>
        <w:rPr>
          <w:rFonts w:hint="eastAsia"/>
        </w:rPr>
        <w:instrText xml:space="preserve"> </w:instrText>
      </w:r>
      <w:r>
        <w:instrText xml:space="preserve">PAGEREF _Toc230361521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235DD1A">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"_Toc230361522" </w:instrText>
      </w:r>
      <w:r>
        <w:fldChar w:fldCharType="separate"/>
      </w:r>
      <w:r>
        <w:rPr>
          <w:rStyle w:val="35"/>
          <w14:scene3d w14:prst="orthographicFront">
            <w14:lightRig w14:rig="threePt" w14:dir="t">
              <w14:rot w14:lat="0" w14:lon="0" w14:rev="0"/>
            </w14:lightRig>
          </w14:scene3d>
        </w:rPr>
        <w:t xml:space="preserve">10.1 </w:t>
      </w:r>
      <w:r>
        <w:rPr>
          <w:rStyle w:val="35"/>
        </w:rPr>
        <w:t xml:space="preserve"> 收获时期</w:t>
      </w:r>
      <w:r>
        <w:rPr>
          <w:rFonts w:hint="eastAsia"/>
        </w:rPr>
        <w:tab/>
      </w:r>
      <w:r>
        <w:rPr>
          <w:rFonts w:hint="eastAsia"/>
        </w:rPr>
        <w:fldChar w:fldCharType="begin"/>
      </w:r>
      <w:r>
        <w:rPr>
          <w:rFonts w:hint="eastAsia"/>
        </w:rPr>
        <w:instrText xml:space="preserve"> </w:instrText>
      </w:r>
      <w:r>
        <w:instrText xml:space="preserve">PAGEREF _Toc230361522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76FD64E">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"_Toc230361523" </w:instrText>
      </w:r>
      <w:r>
        <w:fldChar w:fldCharType="separate"/>
      </w:r>
      <w:r>
        <w:rPr>
          <w:rStyle w:val="35"/>
          <w14:scene3d w14:prst="orthographicFront">
            <w14:lightRig w14:rig="threePt" w14:dir="t">
              <w14:rot w14:lat="0" w14:lon="0" w14:rev="0"/>
            </w14:lightRig>
          </w14:scene3d>
        </w:rPr>
        <w:t xml:space="preserve">10.2 </w:t>
      </w:r>
      <w:r>
        <w:rPr>
          <w:rStyle w:val="35"/>
        </w:rPr>
        <w:t xml:space="preserve"> 收获要求</w:t>
      </w:r>
      <w:r>
        <w:rPr>
          <w:rFonts w:hint="eastAsia"/>
        </w:rPr>
        <w:tab/>
      </w:r>
      <w:r>
        <w:rPr>
          <w:rFonts w:hint="eastAsia"/>
        </w:rPr>
        <w:fldChar w:fldCharType="begin"/>
      </w:r>
      <w:r>
        <w:rPr>
          <w:rFonts w:hint="eastAsia"/>
        </w:rPr>
        <w:instrText xml:space="preserve"> </w:instrText>
      </w:r>
      <w:r>
        <w:instrText xml:space="preserve">PAGEREF _Toc230361523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87D6074">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"_Toc230361524" </w:instrText>
      </w:r>
      <w:r>
        <w:fldChar w:fldCharType="separate"/>
      </w:r>
      <w:r>
        <w:rPr>
          <w:rStyle w:val="35"/>
          <w14:scene3d w14:prst="orthographicFront">
            <w14:lightRig w14:rig="threePt" w14:dir="t">
              <w14:rot w14:lat="0" w14:lon="0" w14:rev="0"/>
            </w14:lightRig>
          </w14:scene3d>
        </w:rPr>
        <w:t xml:space="preserve">10.3 </w:t>
      </w:r>
      <w:r>
        <w:rPr>
          <w:rStyle w:val="35"/>
        </w:rPr>
        <w:t xml:space="preserve"> 干燥</w:t>
      </w:r>
      <w:r>
        <w:rPr>
          <w:rFonts w:hint="eastAsia"/>
        </w:rPr>
        <w:tab/>
      </w:r>
      <w:r>
        <w:rPr>
          <w:rFonts w:hint="eastAsia"/>
        </w:rPr>
        <w:fldChar w:fldCharType="begin"/>
      </w:r>
      <w:r>
        <w:rPr>
          <w:rFonts w:hint="eastAsia"/>
        </w:rPr>
        <w:instrText xml:space="preserve"> </w:instrText>
      </w:r>
      <w:r>
        <w:instrText xml:space="preserve">PAGEREF _Toc230361524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CEA2520">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"_Toc230361525" </w:instrText>
      </w:r>
      <w:r>
        <w:fldChar w:fldCharType="separate"/>
      </w:r>
      <w:r>
        <w:rPr>
          <w:rStyle w:val="35"/>
        </w:rPr>
        <w:t>11  贮藏与运输</w:t>
      </w:r>
      <w:r>
        <w:rPr>
          <w:rFonts w:hint="eastAsia"/>
        </w:rPr>
        <w:tab/>
      </w:r>
      <w:r>
        <w:rPr>
          <w:rFonts w:hint="eastAsia"/>
        </w:rPr>
        <w:fldChar w:fldCharType="begin"/>
      </w:r>
      <w:r>
        <w:rPr>
          <w:rFonts w:hint="eastAsia"/>
        </w:rPr>
        <w:instrText xml:space="preserve"> </w:instrText>
      </w:r>
      <w:r>
        <w:instrText xml:space="preserve">PAGEREF _Toc230361525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D9EEE15">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"_Toc230361526" </w:instrText>
      </w:r>
      <w:r>
        <w:fldChar w:fldCharType="separate"/>
      </w:r>
      <w:r>
        <w:rPr>
          <w:rStyle w:val="35"/>
        </w:rPr>
        <w:t>12  生产档案</w:t>
      </w:r>
      <w:r>
        <w:rPr>
          <w:rFonts w:hint="eastAsia"/>
        </w:rPr>
        <w:tab/>
      </w:r>
      <w:r>
        <w:rPr>
          <w:rFonts w:hint="eastAsia"/>
        </w:rPr>
        <w:fldChar w:fldCharType="begin"/>
      </w:r>
      <w:r>
        <w:rPr>
          <w:rFonts w:hint="eastAsia"/>
        </w:rPr>
        <w:instrText xml:space="preserve"> </w:instrText>
      </w:r>
      <w:r>
        <w:instrText xml:space="preserve">PAGEREF _Toc230361526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5204A9C">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"_Toc230361527" </w:instrText>
      </w:r>
      <w:r>
        <w:fldChar w:fldCharType="separate"/>
      </w:r>
      <w:r>
        <w:rPr>
          <w:rStyle w:val="35"/>
        </w:rPr>
        <w:t>参考文献</w:t>
      </w:r>
      <w:r>
        <w:rPr>
          <w:rFonts w:hint="eastAsia"/>
        </w:rPr>
        <w:tab/>
      </w:r>
      <w:r>
        <w:rPr>
          <w:rFonts w:hint="eastAsia"/>
        </w:rPr>
        <w:fldChar w:fldCharType="begin"/>
      </w:r>
      <w:r>
        <w:rPr>
          <w:rFonts w:hint="eastAsia"/>
        </w:rPr>
        <w:instrText xml:space="preserve"> </w:instrText>
      </w:r>
      <w:r>
        <w:instrText xml:space="preserve">PAGEREF _Toc230361527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2DB183D">
      <w:pPr>
        <w:pStyle w:val="95"/>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0"/>
    <w:p w14:paraId="0A3DC6A3">
      <w:pPr>
        <w:pStyle w:val="93"/>
        <w:spacing w:before="900" w:after="360"/>
      </w:pPr>
      <w:bookmarkStart w:id="23" w:name="_Toc230361496"/>
      <w:bookmarkStart w:id="24" w:name="BookMark2"/>
      <w:r>
        <w:rPr>
          <w:rFonts w:hint="eastAsia"/>
          <w:spacing w:val="320"/>
        </w:rPr>
        <w:t>前</w:t>
      </w:r>
      <w:r>
        <w:rPr>
          <w:rFonts w:hint="eastAsia"/>
        </w:rPr>
        <w:t>言</w:t>
      </w:r>
      <w:bookmarkEnd w:id="21"/>
      <w:bookmarkEnd w:id="22"/>
      <w:bookmarkEnd w:id="23"/>
    </w:p>
    <w:p w14:paraId="7EFA12F5">
      <w:pPr>
        <w:pStyle w:val="60"/>
        <w:ind w:firstLine="420"/>
      </w:pPr>
      <w:r>
        <w:rPr>
          <w:rFonts w:hint="eastAsia"/>
        </w:rPr>
        <w:t>本文件参照</w:t>
      </w:r>
      <w:r>
        <w:rPr>
          <w:rFonts w:hint="eastAsia" w:ascii="宋体" w:hAnsi="宋体"/>
        </w:rPr>
        <w:t>GB/T 1.1—2020</w:t>
      </w:r>
      <w:r>
        <w:rPr>
          <w:rFonts w:hint="eastAsia"/>
        </w:rPr>
        <w:t>《标准化工作导则  第1部分：标准化文件的结构和起草规则》的规定起草。</w:t>
      </w:r>
    </w:p>
    <w:p w14:paraId="5AB6469A">
      <w:pPr>
        <w:pStyle w:val="60"/>
        <w:ind w:firstLine="420"/>
      </w:pPr>
      <w:r>
        <w:rPr>
          <w:rFonts w:hint="eastAsia" w:hAnsi="宋体"/>
        </w:rPr>
        <w:t>请注意本文件的某些内容可能涉及专利。本文件的发布机构不承担识别专利的责任。</w:t>
      </w:r>
    </w:p>
    <w:p w14:paraId="1DBF56B1">
      <w:pPr>
        <w:pStyle w:val="60"/>
        <w:ind w:firstLine="420"/>
      </w:pPr>
      <w:r>
        <w:rPr>
          <w:rFonts w:hint="eastAsia" w:hAnsi="宋体"/>
        </w:rPr>
        <w:t>本文件由</w:t>
      </w:r>
      <w:r>
        <w:rPr>
          <w:rFonts w:hAnsi="宋体"/>
        </w:rPr>
        <w:t>广西壮族自治区农业科学院</w:t>
      </w:r>
      <w:r>
        <w:rPr>
          <w:rFonts w:hint="eastAsia" w:hAnsi="宋体"/>
        </w:rPr>
        <w:t>提出并宣贯。</w:t>
      </w:r>
    </w:p>
    <w:p w14:paraId="506D887C">
      <w:pPr>
        <w:pStyle w:val="60"/>
        <w:ind w:firstLine="420"/>
      </w:pPr>
      <w:r>
        <w:rPr>
          <w:rFonts w:hint="eastAsia"/>
        </w:rPr>
        <w:t>本文件由广西标准化协会归口。</w:t>
      </w:r>
    </w:p>
    <w:p w14:paraId="1519E221">
      <w:pPr>
        <w:pStyle w:val="60"/>
        <w:ind w:firstLine="420"/>
      </w:pPr>
      <w:r>
        <w:rPr>
          <w:rFonts w:hint="eastAsia"/>
        </w:rPr>
        <w:t>本文件起草单位：</w:t>
      </w:r>
      <w:r>
        <w:rPr>
          <w:rFonts w:hAnsi="宋体"/>
        </w:rPr>
        <w:t>广西壮</w:t>
      </w:r>
      <w:bookmarkStart w:id="122" w:name="_GoBack"/>
      <w:bookmarkEnd w:id="122"/>
      <w:r>
        <w:rPr>
          <w:rFonts w:hAnsi="宋体"/>
        </w:rPr>
        <w:t>族自治区农业科学院、</w:t>
      </w:r>
      <w:r>
        <w:rPr>
          <w:rFonts w:hint="eastAsia" w:hAnsi="宋体"/>
        </w:rPr>
        <w:t>全国农业技术推广服务中心、广东省农业科学院作物研究所、</w:t>
      </w:r>
      <w:r>
        <w:rPr>
          <w:rFonts w:hAnsi="宋体"/>
        </w:rPr>
        <w:t>山东省农业科学院、贺州市农业科学院、桂林市农业科学研究中心、广西粮油科学研究所有限公司</w:t>
      </w:r>
      <w:r>
        <w:rPr>
          <w:rFonts w:hint="eastAsia" w:hAnsi="宋体"/>
        </w:rPr>
        <w:t>。</w:t>
      </w:r>
    </w:p>
    <w:p w14:paraId="1D04C0BE">
      <w:pPr>
        <w:pStyle w:val="60"/>
        <w:ind w:firstLine="420"/>
      </w:pPr>
      <w:r>
        <w:rPr>
          <w:rFonts w:hint="eastAsia"/>
        </w:rPr>
        <w:t>本文件主要起草人：</w:t>
      </w:r>
      <w:r>
        <w:rPr>
          <w:rFonts w:hAnsi="宋体"/>
        </w:rPr>
        <w:t>韩柱强、</w:t>
      </w:r>
      <w:r>
        <w:rPr>
          <w:rFonts w:hint="eastAsia" w:hAnsi="宋体"/>
        </w:rPr>
        <w:t>蒋靖怡、</w:t>
      </w:r>
      <w:r>
        <w:rPr>
          <w:rFonts w:hAnsi="宋体"/>
        </w:rPr>
        <w:t>黄志鹏、贺梁琼、赵传志、</w:t>
      </w:r>
      <w:r>
        <w:rPr>
          <w:rFonts w:hint="eastAsia" w:hAnsi="宋体"/>
        </w:rPr>
        <w:t>陈小平、</w:t>
      </w:r>
      <w:r>
        <w:rPr>
          <w:rFonts w:hAnsi="宋体"/>
        </w:rPr>
        <w:t>吴海宁、廖国婷、刘海东、</w:t>
      </w:r>
      <w:r>
        <w:rPr>
          <w:rFonts w:hint="eastAsia" w:hAnsi="宋体"/>
        </w:rPr>
        <w:t>鲁清、</w:t>
      </w:r>
      <w:r>
        <w:rPr>
          <w:rFonts w:hAnsi="宋体"/>
        </w:rPr>
        <w:t>毛玲莉、陈日源、潘教文、蒋菁、熊军、高忠奎、唐秀梅、唐荣华、吴春玲、陈庆政、王应秋、陈国溪、林慧敏、黄家年、黄瑞昌、陈世芬、潘佐然、钟瑞春</w:t>
      </w:r>
      <w:r>
        <w:rPr>
          <w:rFonts w:hint="eastAsia" w:hAnsi="宋体"/>
        </w:rPr>
        <w:t>。</w:t>
      </w:r>
    </w:p>
    <w:p w14:paraId="5A62E7B4">
      <w:pPr>
        <w:pStyle w:val="60"/>
        <w:ind w:firstLine="420"/>
      </w:pPr>
    </w:p>
    <w:p w14:paraId="1F5FC473">
      <w:pPr>
        <w:pStyle w:val="60"/>
        <w:ind w:firstLine="420"/>
        <w:sectPr>
          <w:pgSz w:w="11906" w:h="16838"/>
          <w:pgMar w:top="1928" w:right="1134" w:bottom="1134" w:left="1134" w:header="1418" w:footer="1134" w:gutter="284"/>
          <w:pgNumType w:fmt="upperRoman"/>
          <w:cols w:space="425" w:num="1"/>
          <w:formProt w:val="0"/>
          <w:docGrid w:linePitch="312" w:charSpace="0"/>
        </w:sectPr>
      </w:pPr>
    </w:p>
    <w:bookmarkEnd w:id="24"/>
    <w:p w14:paraId="3800445F">
      <w:pPr>
        <w:spacing w:line="20" w:lineRule="exact"/>
        <w:jc w:val="center"/>
        <w:rPr>
          <w:rFonts w:hint="eastAsia" w:ascii="黑体" w:hAnsi="黑体" w:eastAsia="黑体"/>
          <w:sz w:val="32"/>
          <w:szCs w:val="32"/>
        </w:rPr>
      </w:pPr>
      <w:bookmarkStart w:id="25" w:name="BookMark4"/>
    </w:p>
    <w:p w14:paraId="7D4BCD1F">
      <w:pPr>
        <w:spacing w:line="20" w:lineRule="exact"/>
        <w:jc w:val="center"/>
        <w:rPr>
          <w:rFonts w:hint="eastAsia" w:ascii="黑体" w:hAnsi="黑体" w:eastAsia="黑体"/>
          <w:sz w:val="32"/>
          <w:szCs w:val="32"/>
        </w:rPr>
      </w:pPr>
    </w:p>
    <w:sdt>
      <w:sdtPr>
        <w:tag w:val="NEW_STAND_NAME"/>
        <w:id w:val="595910757"/>
        <w:lock w:val="sdtLocked"/>
        <w:placeholder>
          <w:docPart w:val="52DF46D6480F4F1B96DB89550A09E5E9"/>
        </w:placeholder>
      </w:sdtPr>
      <w:sdtContent>
        <w:p w14:paraId="60090B95">
          <w:pPr>
            <w:pStyle w:val="181"/>
            <w:spacing w:before="240" w:beforeLines="100" w:after="528" w:afterLines="220"/>
            <w:rPr>
              <w:rFonts w:hint="eastAsia"/>
            </w:rPr>
          </w:pPr>
          <w:bookmarkStart w:id="26" w:name="NEW_STAND_NAME"/>
          <w:r>
            <w:rPr>
              <w:rFonts w:hint="eastAsia"/>
            </w:rPr>
            <w:t>南方产区高油酸花生高产栽培技术规程</w:t>
          </w:r>
        </w:p>
      </w:sdtContent>
    </w:sdt>
    <w:bookmarkEnd w:id="26"/>
    <w:p w14:paraId="560E2D91">
      <w:pPr>
        <w:pStyle w:val="108"/>
        <w:spacing w:before="240" w:after="240"/>
      </w:pPr>
      <w:bookmarkStart w:id="27" w:name="_Toc230361380"/>
      <w:bookmarkStart w:id="28" w:name="_Toc230361343"/>
      <w:bookmarkStart w:id="29" w:name="_Toc24884218"/>
      <w:bookmarkStart w:id="30" w:name="_Toc17233325"/>
      <w:bookmarkStart w:id="31" w:name="_Toc26986771"/>
      <w:bookmarkStart w:id="32" w:name="_Toc26648465"/>
      <w:bookmarkStart w:id="33" w:name="_Toc24884211"/>
      <w:bookmarkStart w:id="34" w:name="_Toc26986530"/>
      <w:bookmarkStart w:id="35" w:name="_Toc97192964"/>
      <w:bookmarkStart w:id="36" w:name="_Toc17233333"/>
      <w:bookmarkStart w:id="37" w:name="_Toc230361497"/>
      <w:bookmarkStart w:id="38" w:name="_Toc26718930"/>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78F6F6BA">
      <w:pPr>
        <w:pStyle w:val="60"/>
        <w:ind w:firstLine="420"/>
      </w:pPr>
      <w:bookmarkStart w:id="39" w:name="_Toc24884212"/>
      <w:bookmarkStart w:id="40" w:name="_Toc24884219"/>
      <w:bookmarkStart w:id="41" w:name="_Toc17233326"/>
      <w:bookmarkStart w:id="42" w:name="_Toc17233334"/>
      <w:bookmarkStart w:id="43" w:name="_Toc26648466"/>
      <w:r>
        <w:rPr>
          <w:rFonts w:hint="eastAsia"/>
        </w:rPr>
        <w:t>本文件界定了</w:t>
      </w:r>
      <w:bookmarkStart w:id="44" w:name="OLE_LINK29"/>
      <w:r>
        <w:rPr>
          <w:rFonts w:hint="eastAsia"/>
        </w:rPr>
        <w:t>南方产区高油酸花生高产栽培</w:t>
      </w:r>
      <w:bookmarkEnd w:id="44"/>
      <w:r>
        <w:rPr>
          <w:rFonts w:hint="eastAsia"/>
        </w:rPr>
        <w:t>的术语和定义，规定了产地环境选择、品种选择、播种、田间管理、病虫害防治、收获的操作指示，描述了生产管理过程信息的追溯方法。</w:t>
      </w:r>
    </w:p>
    <w:p w14:paraId="356442B8">
      <w:pPr>
        <w:pStyle w:val="60"/>
        <w:ind w:firstLine="420"/>
      </w:pPr>
      <w:r>
        <w:rPr>
          <w:rFonts w:hint="eastAsia"/>
        </w:rPr>
        <w:t>本文件适用于南方产区的高油酸花生高产栽培。</w:t>
      </w:r>
    </w:p>
    <w:p w14:paraId="62605E24">
      <w:pPr>
        <w:pStyle w:val="108"/>
        <w:spacing w:before="240" w:after="240"/>
      </w:pPr>
      <w:bookmarkStart w:id="45" w:name="_Toc230361344"/>
      <w:bookmarkStart w:id="46" w:name="_Toc230361498"/>
      <w:bookmarkStart w:id="47" w:name="_Toc26718931"/>
      <w:bookmarkStart w:id="48" w:name="_Toc230361381"/>
      <w:bookmarkStart w:id="49" w:name="_Toc26986531"/>
      <w:bookmarkStart w:id="50" w:name="_Toc26986772"/>
      <w:bookmarkStart w:id="51" w:name="_Toc97192965"/>
      <w:r>
        <w:rPr>
          <w:rFonts w:hint="eastAsia"/>
        </w:rPr>
        <w:t>规范性引用文件</w:t>
      </w:r>
      <w:bookmarkEnd w:id="39"/>
      <w:bookmarkEnd w:id="40"/>
      <w:bookmarkEnd w:id="41"/>
      <w:bookmarkEnd w:id="42"/>
      <w:bookmarkEnd w:id="43"/>
      <w:bookmarkEnd w:id="45"/>
      <w:bookmarkEnd w:id="46"/>
      <w:bookmarkEnd w:id="47"/>
      <w:bookmarkEnd w:id="48"/>
      <w:bookmarkEnd w:id="49"/>
      <w:bookmarkEnd w:id="50"/>
      <w:bookmarkEnd w:id="51"/>
    </w:p>
    <w:sdt>
      <w:sdtPr>
        <w:rPr>
          <w:rFonts w:hint="eastAsia"/>
        </w:rPr>
        <w:id w:val="715848253"/>
        <w:placeholder>
          <w:docPart w:val="F8FE4D66C5324C3E8102B79951AC771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0867FE">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8A37BE">
      <w:pPr>
        <w:pStyle w:val="60"/>
        <w:ind w:firstLine="420"/>
        <w:rPr>
          <w:rFonts w:hint="eastAsia" w:ascii="宋体" w:hAnsi="宋体"/>
        </w:rPr>
      </w:pPr>
      <w:r>
        <w:rPr>
          <w:rFonts w:hint="eastAsia" w:ascii="宋体" w:hAnsi="宋体"/>
        </w:rPr>
        <w:t>GB 4407.2  经济作物种子  第2部分：油料类</w:t>
      </w:r>
    </w:p>
    <w:p w14:paraId="70893DE6">
      <w:pPr>
        <w:pStyle w:val="60"/>
        <w:ind w:firstLine="420"/>
        <w:rPr>
          <w:rFonts w:hint="eastAsia" w:ascii="宋体" w:hAnsi="宋体"/>
        </w:rPr>
      </w:pPr>
      <w:r>
        <w:rPr>
          <w:rFonts w:hint="eastAsia" w:ascii="宋体" w:hAnsi="宋体"/>
        </w:rPr>
        <w:t>GB 5084  农田灌溉水质标准</w:t>
      </w:r>
    </w:p>
    <w:p w14:paraId="5C18A481">
      <w:pPr>
        <w:pStyle w:val="60"/>
        <w:ind w:firstLine="420"/>
        <w:rPr>
          <w:rFonts w:hint="eastAsia" w:ascii="宋体" w:hAnsi="宋体"/>
        </w:rPr>
      </w:pPr>
      <w:r>
        <w:rPr>
          <w:rFonts w:hint="eastAsia" w:ascii="宋体" w:hAnsi="宋体"/>
        </w:rPr>
        <w:t>GB/T 8321（所有部分）  农药合理使用准则</w:t>
      </w:r>
    </w:p>
    <w:p w14:paraId="386BBDC2">
      <w:pPr>
        <w:pStyle w:val="60"/>
        <w:ind w:firstLine="420"/>
        <w:rPr>
          <w:rFonts w:hint="eastAsia" w:ascii="宋体" w:hAnsi="宋体"/>
        </w:rPr>
      </w:pPr>
      <w:r>
        <w:rPr>
          <w:rFonts w:ascii="宋体" w:hAnsi="宋体"/>
        </w:rPr>
        <w:t>GB/T 13735 聚乙烯吹塑农用地面覆盖薄膜</w:t>
      </w:r>
    </w:p>
    <w:p w14:paraId="185B8D9A">
      <w:pPr>
        <w:autoSpaceDE w:val="0"/>
        <w:autoSpaceDN w:val="0"/>
        <w:ind w:firstLine="420" w:firstLineChars="200"/>
        <w:rPr>
          <w:rFonts w:hint="eastAsia" w:ascii="宋体" w:hAnsi="宋体"/>
        </w:rPr>
      </w:pPr>
      <w:r>
        <w:rPr>
          <w:rFonts w:hint="eastAsia" w:ascii="宋体" w:hAnsi="宋体"/>
        </w:rPr>
        <w:t>GB/T 42478  农产品生产档案记载规范</w:t>
      </w:r>
    </w:p>
    <w:p w14:paraId="0B54036C">
      <w:pPr>
        <w:pStyle w:val="60"/>
        <w:ind w:firstLine="420"/>
        <w:rPr>
          <w:rFonts w:hint="eastAsia" w:ascii="宋体" w:hAnsi="宋体"/>
        </w:rPr>
      </w:pPr>
      <w:r>
        <w:rPr>
          <w:rFonts w:hint="eastAsia" w:ascii="宋体" w:hAnsi="宋体"/>
        </w:rPr>
        <w:t>NY/T 496  肥料合理使用准则  通则</w:t>
      </w:r>
    </w:p>
    <w:p w14:paraId="3113FBBC">
      <w:pPr>
        <w:pStyle w:val="60"/>
        <w:ind w:firstLine="420"/>
        <w:rPr>
          <w:rFonts w:hint="eastAsia" w:ascii="宋体" w:hAnsi="宋体"/>
        </w:rPr>
      </w:pPr>
      <w:r>
        <w:rPr>
          <w:rFonts w:hint="eastAsia" w:ascii="宋体" w:hAnsi="宋体"/>
        </w:rPr>
        <w:t>NY/T 1276  农药安全使用规范  总则</w:t>
      </w:r>
    </w:p>
    <w:p w14:paraId="66AD294C">
      <w:pPr>
        <w:pStyle w:val="108"/>
        <w:spacing w:before="240" w:after="240"/>
      </w:pPr>
      <w:bookmarkStart w:id="52" w:name="_Toc230361499"/>
      <w:bookmarkStart w:id="53" w:name="_Toc230361382"/>
      <w:bookmarkStart w:id="54" w:name="_Toc230361345"/>
      <w:bookmarkStart w:id="55" w:name="_Toc97192966"/>
      <w:r>
        <w:rPr>
          <w:rFonts w:hint="eastAsia"/>
          <w:szCs w:val="21"/>
        </w:rPr>
        <w:t>术语和定义</w:t>
      </w:r>
      <w:bookmarkEnd w:id="52"/>
      <w:bookmarkEnd w:id="53"/>
      <w:bookmarkEnd w:id="54"/>
      <w:bookmarkEnd w:id="55"/>
    </w:p>
    <w:p w14:paraId="3CABBA63">
      <w:pPr>
        <w:pStyle w:val="60"/>
        <w:ind w:firstLine="420"/>
      </w:pPr>
      <w:sdt>
        <w:sdtPr>
          <w:id w:val="-1909835108"/>
          <w:placeholder>
            <w:docPart w:val="CDFDC2B04DBC4EA9B15D211AD8E5340C"/>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bookmarkStart w:id="56" w:name="_Toc26986532"/>
          <w:bookmarkEnd w:id="56"/>
          <w:r>
            <w:t>下列术语和定义适用于本文件。</w:t>
          </w:r>
        </w:sdtContent>
      </w:sdt>
    </w:p>
    <w:p w14:paraId="1C1625D3">
      <w:pPr>
        <w:pStyle w:val="227"/>
        <w:ind w:left="420" w:hanging="420" w:hangingChars="200"/>
        <w:rPr>
          <w:rFonts w:hint="eastAsia" w:ascii="黑体" w:hAnsi="黑体" w:eastAsia="黑体"/>
          <w:color w:val="auto"/>
        </w:rPr>
      </w:pPr>
      <w:r>
        <w:rPr>
          <w:rFonts w:ascii="黑体" w:hAnsi="黑体" w:eastAsia="黑体"/>
        </w:rPr>
        <w:br w:type="textWrapping"/>
      </w:r>
      <w:r>
        <w:rPr>
          <w:rFonts w:hint="eastAsia" w:ascii="黑体" w:hAnsi="黑体" w:eastAsia="黑体"/>
          <w:color w:val="auto"/>
        </w:rPr>
        <w:t>高油酸花生品种 p</w:t>
      </w:r>
      <w:r>
        <w:rPr>
          <w:rFonts w:ascii="黑体" w:hAnsi="黑体" w:eastAsia="黑体"/>
          <w:color w:val="auto"/>
        </w:rPr>
        <w:t>eanut varieties with high oleic acid content</w:t>
      </w:r>
    </w:p>
    <w:p w14:paraId="18B5C1A2">
      <w:pPr>
        <w:pStyle w:val="227"/>
        <w:numPr>
          <w:ilvl w:val="255"/>
          <w:numId w:val="0"/>
        </w:numPr>
        <w:ind w:firstLine="420" w:firstLineChars="200"/>
        <w:rPr>
          <w:rFonts w:hint="eastAsia" w:hAnsi="宋体"/>
          <w:color w:val="auto"/>
        </w:rPr>
      </w:pPr>
      <w:r>
        <w:rPr>
          <w:rFonts w:hAnsi="宋体"/>
          <w:color w:val="auto"/>
        </w:rPr>
        <w:t>油酸含量稳定在</w:t>
      </w:r>
      <w:r>
        <w:rPr>
          <w:rFonts w:hint="eastAsia" w:hAnsi="宋体"/>
          <w:color w:val="auto"/>
        </w:rPr>
        <w:t>≥</w:t>
      </w:r>
      <w:r>
        <w:rPr>
          <w:rFonts w:hAnsi="宋体"/>
          <w:color w:val="auto"/>
        </w:rPr>
        <w:t>75％或</w:t>
      </w:r>
      <w:r>
        <w:rPr>
          <w:rFonts w:hint="eastAsia" w:hAnsi="宋体"/>
          <w:color w:val="auto"/>
        </w:rPr>
        <w:t>≥</w:t>
      </w:r>
      <w:r>
        <w:rPr>
          <w:rFonts w:hAnsi="宋体"/>
          <w:color w:val="auto"/>
        </w:rPr>
        <w:t>70％（国际研究或贸易）的花生品种</w:t>
      </w:r>
      <w:r>
        <w:rPr>
          <w:rFonts w:hint="eastAsia" w:hAnsi="宋体"/>
          <w:color w:val="auto"/>
        </w:rPr>
        <w:t>。</w:t>
      </w:r>
    </w:p>
    <w:p w14:paraId="0FD21D40">
      <w:pPr>
        <w:pStyle w:val="108"/>
        <w:spacing w:before="240" w:after="240"/>
      </w:pPr>
      <w:bookmarkStart w:id="57" w:name="_Toc230361346"/>
      <w:bookmarkStart w:id="58" w:name="_Toc230361383"/>
      <w:bookmarkStart w:id="59" w:name="_Toc230361500"/>
      <w:r>
        <w:rPr>
          <w:rFonts w:hint="eastAsia"/>
        </w:rPr>
        <w:t>产地环境选择</w:t>
      </w:r>
      <w:bookmarkEnd w:id="57"/>
      <w:bookmarkEnd w:id="58"/>
      <w:bookmarkEnd w:id="59"/>
    </w:p>
    <w:p w14:paraId="0AB8D8F9">
      <w:pPr>
        <w:pStyle w:val="60"/>
        <w:ind w:firstLine="420"/>
        <w:rPr>
          <w:rFonts w:hint="eastAsia" w:ascii="宋体" w:hAnsi="宋体"/>
        </w:rPr>
      </w:pPr>
      <w:r>
        <w:t>选择地势平坦、排灌方便、土层深厚、疏松透气的壤土或砂壤土。</w:t>
      </w:r>
      <w:r>
        <w:rPr>
          <w:rFonts w:hint="eastAsia" w:ascii="宋体" w:hAnsi="宋体"/>
        </w:rPr>
        <w:t>宜选择前茬作物为</w:t>
      </w:r>
      <w:r>
        <w:rPr>
          <w:rFonts w:ascii="宋体" w:hAnsi="宋体"/>
        </w:rPr>
        <w:t>水稻</w:t>
      </w:r>
      <w:r>
        <w:rPr>
          <w:rFonts w:hint="eastAsia" w:ascii="宋体" w:hAnsi="宋体"/>
        </w:rPr>
        <w:t>的水旱</w:t>
      </w:r>
      <w:r>
        <w:rPr>
          <w:rFonts w:ascii="宋体" w:hAnsi="宋体"/>
        </w:rPr>
        <w:t>轮作</w:t>
      </w:r>
      <w:r>
        <w:rPr>
          <w:rFonts w:hint="eastAsia" w:ascii="宋体" w:hAnsi="宋体"/>
        </w:rPr>
        <w:t>地块，</w:t>
      </w:r>
      <w:r>
        <w:rPr>
          <w:rFonts w:hint="eastAsia"/>
        </w:rPr>
        <w:t>避免与普通花生</w:t>
      </w:r>
      <w:r>
        <w:rPr>
          <w:rFonts w:hint="eastAsia" w:ascii="宋体" w:hAnsi="宋体"/>
        </w:rPr>
        <w:t>或其他易发生青枯病的作物连作。周边5</w:t>
      </w:r>
      <w:r>
        <w:rPr>
          <w:rFonts w:hint="eastAsia" w:ascii="宋体" w:hAnsi="宋体"/>
          <w:vertAlign w:val="superscript"/>
        </w:rPr>
        <w:t xml:space="preserve"> </w:t>
      </w:r>
      <w:r>
        <w:rPr>
          <w:rFonts w:hint="eastAsia" w:ascii="宋体" w:hAnsi="宋体"/>
        </w:rPr>
        <w:t>m</w:t>
      </w:r>
      <w:r>
        <w:rPr>
          <w:rFonts w:hint="eastAsia"/>
        </w:rPr>
        <w:t>～</w:t>
      </w:r>
      <w:r>
        <w:rPr>
          <w:rFonts w:hint="eastAsia" w:ascii="宋体" w:hAnsi="宋体"/>
        </w:rPr>
        <w:t>10</w:t>
      </w:r>
      <w:r>
        <w:rPr>
          <w:rFonts w:hint="eastAsia" w:ascii="宋体" w:hAnsi="宋体"/>
          <w:vertAlign w:val="superscript"/>
        </w:rPr>
        <w:t xml:space="preserve"> </w:t>
      </w:r>
      <w:r>
        <w:rPr>
          <w:rFonts w:hint="eastAsia" w:ascii="宋体" w:hAnsi="宋体"/>
        </w:rPr>
        <w:t>m范围内，</w:t>
      </w:r>
      <w:r>
        <w:rPr>
          <w:rFonts w:hint="eastAsia"/>
        </w:rPr>
        <w:t>不宜种植普通油酸花生</w:t>
      </w:r>
      <w:r>
        <w:rPr>
          <w:rFonts w:hint="eastAsia" w:ascii="宋体" w:hAnsi="宋体"/>
        </w:rPr>
        <w:t>。</w:t>
      </w:r>
    </w:p>
    <w:p w14:paraId="70688F30">
      <w:pPr>
        <w:pStyle w:val="108"/>
        <w:spacing w:before="240" w:after="240"/>
      </w:pPr>
      <w:bookmarkStart w:id="60" w:name="_Toc230361385"/>
      <w:bookmarkStart w:id="61" w:name="_Toc230361348"/>
      <w:bookmarkStart w:id="62" w:name="_Toc230361502"/>
      <w:r>
        <w:rPr>
          <w:rFonts w:hint="eastAsia"/>
        </w:rPr>
        <w:t>品种选择</w:t>
      </w:r>
      <w:bookmarkEnd w:id="60"/>
      <w:bookmarkEnd w:id="61"/>
      <w:bookmarkEnd w:id="62"/>
    </w:p>
    <w:p w14:paraId="764A1042">
      <w:pPr>
        <w:pStyle w:val="60"/>
        <w:ind w:firstLine="420"/>
      </w:pPr>
      <w:r>
        <w:rPr>
          <w:rFonts w:hint="eastAsia"/>
        </w:rPr>
        <w:t>选用通过国家品种登记、适宜南方产区种植的高油酸花生品种，如</w:t>
      </w:r>
      <w:r>
        <w:rPr>
          <w:rFonts w:hint="eastAsia" w:ascii="宋体" w:hAnsi="宋体"/>
        </w:rPr>
        <w:t>桂花376、粤油271等</w:t>
      </w:r>
      <w:r>
        <w:rPr>
          <w:rFonts w:hint="eastAsia"/>
        </w:rPr>
        <w:t>。种子质量应符</w:t>
      </w:r>
      <w:r>
        <w:rPr>
          <w:rFonts w:hint="eastAsia" w:ascii="宋体" w:hAnsi="宋体" w:eastAsia="宋体" w:cs="宋体"/>
        </w:rPr>
        <w:t>合GB 4407.2的</w:t>
      </w:r>
      <w:r>
        <w:rPr>
          <w:rFonts w:hint="eastAsia"/>
        </w:rPr>
        <w:t>要求。</w:t>
      </w:r>
    </w:p>
    <w:p w14:paraId="125E9C81">
      <w:pPr>
        <w:pStyle w:val="108"/>
        <w:spacing w:before="240" w:after="240"/>
      </w:pPr>
      <w:bookmarkStart w:id="63" w:name="_Toc230361501"/>
      <w:bookmarkStart w:id="64" w:name="_Toc230361347"/>
      <w:bookmarkStart w:id="65" w:name="_Toc230361384"/>
      <w:r>
        <w:rPr>
          <w:rFonts w:hint="eastAsia"/>
        </w:rPr>
        <w:t>播种</w:t>
      </w:r>
      <w:bookmarkEnd w:id="63"/>
      <w:bookmarkEnd w:id="64"/>
      <w:bookmarkEnd w:id="65"/>
    </w:p>
    <w:p w14:paraId="52A6C353">
      <w:pPr>
        <w:pStyle w:val="109"/>
        <w:spacing w:before="120" w:after="120"/>
      </w:pPr>
      <w:bookmarkStart w:id="66" w:name="_Toc230361349"/>
      <w:bookmarkStart w:id="67" w:name="_Toc230361386"/>
      <w:bookmarkStart w:id="68" w:name="_Toc230361503"/>
      <w:r>
        <w:rPr>
          <w:rFonts w:hint="eastAsia"/>
        </w:rPr>
        <w:t>种子处理</w:t>
      </w:r>
      <w:bookmarkEnd w:id="66"/>
      <w:bookmarkEnd w:id="67"/>
      <w:bookmarkEnd w:id="68"/>
    </w:p>
    <w:p w14:paraId="62A02569">
      <w:pPr>
        <w:pStyle w:val="60"/>
        <w:ind w:firstLine="420"/>
      </w:pPr>
      <w:r>
        <w:rPr>
          <w:rFonts w:hint="eastAsia"/>
        </w:rPr>
        <w:t>可在播前</w:t>
      </w:r>
      <w:r>
        <w:rPr>
          <w:rFonts w:hint="eastAsia" w:ascii="宋体" w:hAnsi="宋体"/>
        </w:rPr>
        <w:t>3</w:t>
      </w:r>
      <w:r>
        <w:rPr>
          <w:rFonts w:hint="eastAsia" w:ascii="宋体" w:hAnsi="宋体"/>
          <w:vertAlign w:val="superscript"/>
        </w:rPr>
        <w:t xml:space="preserve"> </w:t>
      </w:r>
      <w:r>
        <w:rPr>
          <w:rFonts w:hint="eastAsia" w:ascii="宋体" w:hAnsi="宋体"/>
        </w:rPr>
        <w:t>d～5</w:t>
      </w:r>
      <w:r>
        <w:rPr>
          <w:rFonts w:hint="eastAsia" w:ascii="宋体" w:hAnsi="宋体"/>
          <w:vertAlign w:val="superscript"/>
        </w:rPr>
        <w:t xml:space="preserve"> </w:t>
      </w:r>
      <w:r>
        <w:rPr>
          <w:rFonts w:hint="eastAsia" w:ascii="宋体" w:hAnsi="宋体"/>
        </w:rPr>
        <w:t>d进行剥壳，剥壳前宜选晴朗天气晒种2</w:t>
      </w:r>
      <w:r>
        <w:rPr>
          <w:rFonts w:hint="eastAsia" w:ascii="宋体" w:hAnsi="宋体"/>
          <w:vertAlign w:val="superscript"/>
        </w:rPr>
        <w:t xml:space="preserve"> </w:t>
      </w:r>
      <w:r>
        <w:rPr>
          <w:rFonts w:hint="eastAsia" w:ascii="宋体" w:hAnsi="宋体"/>
        </w:rPr>
        <w:t>d～3</w:t>
      </w:r>
      <w:r>
        <w:rPr>
          <w:rFonts w:hint="eastAsia" w:ascii="宋体" w:hAnsi="宋体"/>
          <w:vertAlign w:val="superscript"/>
        </w:rPr>
        <w:t xml:space="preserve"> </w:t>
      </w:r>
      <w:r>
        <w:rPr>
          <w:rFonts w:hint="eastAsia" w:ascii="宋体" w:hAnsi="宋体"/>
        </w:rPr>
        <w:t>d，</w:t>
      </w:r>
      <w:r>
        <w:rPr>
          <w:rFonts w:hint="eastAsia"/>
        </w:rPr>
        <w:t>剥壳后剔除破损、发芽、霉变种仁；宜根据种子大小及饱满度对种子进行分级，以适配后期机械播种。播种前选用具有防病（青枯病、根腐病、茎腐病、白绢病等）、防虫（地老虎、蚂蚁等）作用的种衣剂处理种子。种衣剂使用见附录</w:t>
      </w:r>
      <w:r>
        <w:rPr>
          <w:rFonts w:hint="eastAsia" w:ascii="宋体" w:hAnsi="宋体"/>
        </w:rPr>
        <w:t>A.1</w:t>
      </w:r>
      <w:r>
        <w:rPr>
          <w:rFonts w:hint="eastAsia"/>
        </w:rPr>
        <w:t>。</w:t>
      </w:r>
    </w:p>
    <w:p w14:paraId="34C81A51">
      <w:pPr>
        <w:pStyle w:val="109"/>
        <w:spacing w:before="120" w:after="120"/>
      </w:pPr>
      <w:bookmarkStart w:id="69" w:name="_Toc230361350"/>
      <w:bookmarkStart w:id="70" w:name="_Toc230361387"/>
      <w:bookmarkStart w:id="71" w:name="_Toc230361504"/>
      <w:r>
        <w:rPr>
          <w:rFonts w:hint="eastAsia"/>
        </w:rPr>
        <w:t>整地与起垄</w:t>
      </w:r>
      <w:bookmarkEnd w:id="69"/>
      <w:bookmarkEnd w:id="70"/>
      <w:bookmarkEnd w:id="71"/>
    </w:p>
    <w:p w14:paraId="7BA661D9">
      <w:pPr>
        <w:pStyle w:val="60"/>
        <w:ind w:firstLine="420"/>
        <w:rPr>
          <w:rFonts w:hint="eastAsia" w:ascii="宋体" w:hAnsi="宋体"/>
        </w:rPr>
      </w:pPr>
      <w:r>
        <w:rPr>
          <w:rFonts w:hint="eastAsia" w:ascii="宋体" w:hAnsi="宋体"/>
        </w:rPr>
        <w:t>在前茬作物收获后及时犁地，耕深25</w:t>
      </w:r>
      <w:r>
        <w:rPr>
          <w:rFonts w:hint="eastAsia" w:ascii="宋体" w:hAnsi="宋体"/>
          <w:vertAlign w:val="superscript"/>
        </w:rPr>
        <w:t xml:space="preserve"> </w:t>
      </w:r>
      <w:r>
        <w:rPr>
          <w:rFonts w:hint="eastAsia" w:ascii="宋体" w:hAnsi="宋体"/>
        </w:rPr>
        <w:t>cm～30</w:t>
      </w:r>
      <w:r>
        <w:rPr>
          <w:rFonts w:hint="eastAsia" w:ascii="宋体" w:hAnsi="宋体"/>
          <w:vertAlign w:val="superscript"/>
        </w:rPr>
        <w:t xml:space="preserve"> </w:t>
      </w:r>
      <w:r>
        <w:rPr>
          <w:rFonts w:hint="eastAsia" w:ascii="宋体" w:hAnsi="宋体"/>
        </w:rPr>
        <w:t>cm；播种前旋耕一次，做到土壤疏松、细碎、平整。起垄种植，垄宽80</w:t>
      </w:r>
      <w:r>
        <w:rPr>
          <w:rFonts w:hint="eastAsia" w:ascii="宋体" w:hAnsi="宋体"/>
          <w:vertAlign w:val="superscript"/>
        </w:rPr>
        <w:t xml:space="preserve"> </w:t>
      </w:r>
      <w:r>
        <w:rPr>
          <w:rFonts w:hint="eastAsia" w:ascii="宋体" w:hAnsi="宋体"/>
        </w:rPr>
        <w:t>cm～90</w:t>
      </w:r>
      <w:r>
        <w:rPr>
          <w:rFonts w:hint="eastAsia" w:ascii="宋体" w:hAnsi="宋体"/>
          <w:vertAlign w:val="superscript"/>
        </w:rPr>
        <w:t xml:space="preserve"> </w:t>
      </w:r>
      <w:r>
        <w:rPr>
          <w:rFonts w:hint="eastAsia" w:ascii="宋体" w:hAnsi="宋体"/>
        </w:rPr>
        <w:t>cm（包沟），垄面宽50</w:t>
      </w:r>
      <w:r>
        <w:rPr>
          <w:rFonts w:hint="eastAsia" w:ascii="宋体" w:hAnsi="宋体"/>
          <w:vertAlign w:val="superscript"/>
        </w:rPr>
        <w:t xml:space="preserve"> </w:t>
      </w:r>
      <w:r>
        <w:rPr>
          <w:rFonts w:hint="eastAsia" w:ascii="宋体" w:hAnsi="宋体"/>
        </w:rPr>
        <w:t>㎝～55</w:t>
      </w:r>
      <w:r>
        <w:rPr>
          <w:rFonts w:hint="eastAsia" w:ascii="宋体" w:hAnsi="宋体"/>
          <w:vertAlign w:val="superscript"/>
        </w:rPr>
        <w:t xml:space="preserve"> </w:t>
      </w:r>
      <w:r>
        <w:rPr>
          <w:rFonts w:hint="eastAsia" w:ascii="宋体" w:hAnsi="宋体"/>
        </w:rPr>
        <w:t>㎝，沟宽30</w:t>
      </w:r>
      <w:r>
        <w:rPr>
          <w:rFonts w:hint="eastAsia" w:ascii="宋体" w:hAnsi="宋体"/>
          <w:vertAlign w:val="superscript"/>
        </w:rPr>
        <w:t xml:space="preserve"> </w:t>
      </w:r>
      <w:r>
        <w:rPr>
          <w:rFonts w:hint="eastAsia" w:ascii="宋体" w:hAnsi="宋体"/>
        </w:rPr>
        <w:t>㎝～35</w:t>
      </w:r>
      <w:r>
        <w:rPr>
          <w:rFonts w:hint="eastAsia" w:ascii="宋体" w:hAnsi="宋体"/>
          <w:vertAlign w:val="superscript"/>
        </w:rPr>
        <w:t xml:space="preserve"> </w:t>
      </w:r>
      <w:r>
        <w:rPr>
          <w:rFonts w:hint="eastAsia" w:ascii="宋体" w:hAnsi="宋体"/>
        </w:rPr>
        <w:t>㎝；旱地垄高15</w:t>
      </w:r>
      <w:r>
        <w:rPr>
          <w:rFonts w:hint="eastAsia" w:ascii="宋体" w:hAnsi="宋体"/>
          <w:vertAlign w:val="superscript"/>
        </w:rPr>
        <w:t xml:space="preserve"> </w:t>
      </w:r>
      <w:r>
        <w:rPr>
          <w:rFonts w:hint="eastAsia" w:ascii="宋体" w:hAnsi="宋体"/>
        </w:rPr>
        <w:t>cm～20</w:t>
      </w:r>
      <w:r>
        <w:rPr>
          <w:rFonts w:hint="eastAsia" w:ascii="宋体" w:hAnsi="宋体"/>
          <w:vertAlign w:val="superscript"/>
        </w:rPr>
        <w:t xml:space="preserve"> </w:t>
      </w:r>
      <w:r>
        <w:rPr>
          <w:rFonts w:hint="eastAsia" w:ascii="宋体" w:hAnsi="宋体"/>
        </w:rPr>
        <w:t>cm、水田地垄高25</w:t>
      </w:r>
      <w:r>
        <w:rPr>
          <w:rFonts w:hint="eastAsia" w:ascii="宋体" w:hAnsi="宋体"/>
          <w:vertAlign w:val="superscript"/>
        </w:rPr>
        <w:t xml:space="preserve"> </w:t>
      </w:r>
      <w:r>
        <w:rPr>
          <w:rFonts w:hint="eastAsia" w:ascii="宋体" w:hAnsi="宋体"/>
        </w:rPr>
        <w:t>cm～35</w:t>
      </w:r>
      <w:r>
        <w:rPr>
          <w:rFonts w:hint="eastAsia" w:ascii="宋体" w:hAnsi="宋体"/>
          <w:vertAlign w:val="superscript"/>
        </w:rPr>
        <w:t xml:space="preserve"> </w:t>
      </w:r>
      <w:r>
        <w:rPr>
          <w:rFonts w:hint="eastAsia" w:ascii="宋体" w:hAnsi="宋体"/>
        </w:rPr>
        <w:t>cm。每垄种植2行花生，行距30～35 cm。</w:t>
      </w:r>
    </w:p>
    <w:p w14:paraId="3904CC86">
      <w:pPr>
        <w:pStyle w:val="109"/>
        <w:spacing w:before="120" w:after="120"/>
      </w:pPr>
      <w:bookmarkStart w:id="72" w:name="_Toc230361506"/>
      <w:bookmarkStart w:id="73" w:name="_Toc230361389"/>
      <w:r>
        <w:rPr>
          <w:rFonts w:hint="eastAsia"/>
        </w:rPr>
        <w:t>播种时间</w:t>
      </w:r>
      <w:bookmarkEnd w:id="72"/>
      <w:bookmarkEnd w:id="73"/>
    </w:p>
    <w:p w14:paraId="082712EA">
      <w:pPr>
        <w:pStyle w:val="60"/>
        <w:ind w:firstLine="420"/>
      </w:pPr>
      <w:r>
        <w:rPr>
          <w:rFonts w:hint="eastAsia" w:ascii="宋体" w:hAnsi="宋体"/>
        </w:rPr>
        <w:t>可春播、夏播或秋播。春播花生，播种时间2月上旬至4月上旬，露地栽培的需连续5日5</w:t>
      </w:r>
      <w:r>
        <w:rPr>
          <w:rFonts w:hint="eastAsia" w:ascii="宋体" w:hAnsi="宋体"/>
          <w:vertAlign w:val="superscript"/>
        </w:rPr>
        <w:t xml:space="preserve"> </w:t>
      </w:r>
      <w:r>
        <w:rPr>
          <w:rFonts w:hint="eastAsia" w:ascii="宋体" w:hAnsi="宋体"/>
        </w:rPr>
        <w:t>cm地温</w:t>
      </w:r>
      <w:r>
        <w:rPr>
          <w:rFonts w:ascii="宋体" w:hAnsi="宋体"/>
        </w:rPr>
        <w:t>稳定</w:t>
      </w:r>
      <w:r>
        <w:rPr>
          <w:rFonts w:hint="eastAsia" w:ascii="宋体" w:hAnsi="宋体"/>
        </w:rPr>
        <w:t>在</w:t>
      </w:r>
      <w:r>
        <w:rPr>
          <w:rFonts w:ascii="宋体" w:hAnsi="宋体"/>
        </w:rPr>
        <w:t>1</w:t>
      </w:r>
      <w:r>
        <w:rPr>
          <w:rFonts w:hint="eastAsia" w:ascii="宋体" w:hAnsi="宋体"/>
        </w:rPr>
        <w:t>8</w:t>
      </w:r>
      <w:r>
        <w:rPr>
          <w:rFonts w:hint="eastAsia" w:ascii="宋体" w:hAnsi="宋体"/>
          <w:vertAlign w:val="superscript"/>
        </w:rPr>
        <w:t xml:space="preserve"> </w:t>
      </w:r>
      <w:r>
        <w:rPr>
          <w:rFonts w:ascii="宋体" w:hAnsi="宋体"/>
        </w:rPr>
        <w:t>℃</w:t>
      </w:r>
      <w:r>
        <w:rPr>
          <w:rFonts w:hint="eastAsia" w:ascii="宋体" w:hAnsi="宋体"/>
        </w:rPr>
        <w:t>以上才</w:t>
      </w:r>
      <w:r>
        <w:rPr>
          <w:rFonts w:ascii="宋体" w:hAnsi="宋体"/>
        </w:rPr>
        <w:t>可播种</w:t>
      </w:r>
      <w:r>
        <w:rPr>
          <w:rFonts w:hint="eastAsia" w:ascii="宋体" w:hAnsi="宋体"/>
        </w:rPr>
        <w:t>；夏播花生，播种时间不迟于6月中旬；秋播花生，播种时间在7月下旬至8月上旬，最好在立秋前播完。</w:t>
      </w:r>
    </w:p>
    <w:p w14:paraId="5E0D5381">
      <w:pPr>
        <w:pStyle w:val="109"/>
        <w:spacing w:before="120" w:after="120"/>
      </w:pPr>
      <w:bookmarkStart w:id="74" w:name="_Toc230361507"/>
      <w:bookmarkStart w:id="75" w:name="_Toc230361390"/>
      <w:bookmarkStart w:id="76" w:name="_Toc230361353"/>
      <w:r>
        <w:t>播种</w:t>
      </w:r>
      <w:r>
        <w:rPr>
          <w:rFonts w:hint="eastAsia"/>
        </w:rPr>
        <w:t>密度</w:t>
      </w:r>
      <w:bookmarkEnd w:id="74"/>
      <w:bookmarkEnd w:id="75"/>
      <w:bookmarkEnd w:id="76"/>
    </w:p>
    <w:p w14:paraId="4049540E">
      <w:pPr>
        <w:pStyle w:val="60"/>
        <w:ind w:firstLine="420"/>
      </w:pPr>
      <w:r>
        <w:rPr>
          <w:rFonts w:hint="eastAsia" w:ascii="宋体" w:hAnsi="宋体"/>
        </w:rPr>
        <w:t>每垄双行播种，根据花生种植规格在垄面开播种沟，播种沟深3</w:t>
      </w:r>
      <w:r>
        <w:rPr>
          <w:rFonts w:hint="eastAsia" w:ascii="宋体" w:hAnsi="宋体"/>
          <w:vertAlign w:val="superscript"/>
        </w:rPr>
        <w:t xml:space="preserve"> </w:t>
      </w:r>
      <w:r>
        <w:rPr>
          <w:rFonts w:hint="eastAsia" w:ascii="宋体" w:hAnsi="宋体"/>
        </w:rPr>
        <w:t>cm～5</w:t>
      </w:r>
      <w:r>
        <w:rPr>
          <w:rFonts w:hint="eastAsia" w:ascii="宋体" w:hAnsi="宋体"/>
          <w:vertAlign w:val="superscript"/>
        </w:rPr>
        <w:t xml:space="preserve"> </w:t>
      </w:r>
      <w:r>
        <w:rPr>
          <w:rFonts w:hint="eastAsia" w:ascii="宋体" w:hAnsi="宋体"/>
        </w:rPr>
        <w:t>cm、沟宽约10</w:t>
      </w:r>
      <w:r>
        <w:rPr>
          <w:rFonts w:hint="eastAsia" w:ascii="宋体" w:hAnsi="宋体"/>
          <w:vertAlign w:val="superscript"/>
        </w:rPr>
        <w:t xml:space="preserve"> </w:t>
      </w:r>
      <w:r>
        <w:rPr>
          <w:rFonts w:hint="eastAsia" w:ascii="宋体" w:hAnsi="宋体"/>
        </w:rPr>
        <w:t>cm。单粒精播株距10 cm～12 cm，每667</w:t>
      </w:r>
      <w:r>
        <w:rPr>
          <w:rFonts w:hint="eastAsia" w:ascii="宋体" w:hAnsi="宋体"/>
          <w:vertAlign w:val="superscript"/>
        </w:rPr>
        <w:t xml:space="preserve"> </w:t>
      </w:r>
      <w:r>
        <w:rPr>
          <w:rFonts w:hint="eastAsia" w:ascii="宋体" w:hAnsi="宋体"/>
        </w:rPr>
        <w:t>m</w:t>
      </w:r>
      <w:r>
        <w:rPr>
          <w:rFonts w:hint="eastAsia" w:ascii="宋体" w:hAnsi="宋体"/>
          <w:vertAlign w:val="superscript"/>
        </w:rPr>
        <w:t>2</w:t>
      </w:r>
      <w:r>
        <w:rPr>
          <w:rFonts w:hint="eastAsia" w:ascii="宋体" w:hAnsi="宋体"/>
        </w:rPr>
        <w:t>播种</w:t>
      </w:r>
      <w:r>
        <w:rPr>
          <w:rFonts w:ascii="宋体" w:hAnsi="宋体"/>
        </w:rPr>
        <w:t>1</w:t>
      </w:r>
      <w:r>
        <w:rPr>
          <w:rFonts w:hint="eastAsia" w:ascii="宋体" w:hAnsi="宋体"/>
        </w:rPr>
        <w:t>.11万株～1.33万株；双粒播种穴距15 cm～17</w:t>
      </w:r>
      <w:r>
        <w:rPr>
          <w:rFonts w:hint="eastAsia" w:ascii="宋体" w:hAnsi="宋体"/>
          <w:vertAlign w:val="superscript"/>
        </w:rPr>
        <w:t xml:space="preserve"> </w:t>
      </w:r>
      <w:r>
        <w:rPr>
          <w:rFonts w:hint="eastAsia" w:ascii="宋体" w:hAnsi="宋体"/>
        </w:rPr>
        <w:t>cm，每667</w:t>
      </w:r>
      <w:r>
        <w:rPr>
          <w:rFonts w:hint="eastAsia" w:ascii="宋体" w:hAnsi="宋体"/>
          <w:vertAlign w:val="superscript"/>
        </w:rPr>
        <w:t xml:space="preserve"> </w:t>
      </w:r>
      <w:r>
        <w:rPr>
          <w:rFonts w:hint="eastAsia" w:ascii="宋体" w:hAnsi="宋体"/>
        </w:rPr>
        <w:t>m</w:t>
      </w:r>
      <w:r>
        <w:rPr>
          <w:rFonts w:hint="eastAsia" w:ascii="宋体" w:hAnsi="宋体"/>
          <w:vertAlign w:val="superscript"/>
        </w:rPr>
        <w:t>2</w:t>
      </w:r>
      <w:r>
        <w:rPr>
          <w:rFonts w:hint="eastAsia" w:ascii="宋体" w:hAnsi="宋体"/>
        </w:rPr>
        <w:t>播种1.57万株～1.78万株。</w:t>
      </w:r>
    </w:p>
    <w:p w14:paraId="582A6EE8">
      <w:pPr>
        <w:pStyle w:val="109"/>
        <w:spacing w:before="120" w:after="120"/>
      </w:pPr>
      <w:bookmarkStart w:id="77" w:name="_Toc230361354"/>
      <w:bookmarkStart w:id="78" w:name="_Toc230361391"/>
      <w:bookmarkStart w:id="79" w:name="_Toc230361508"/>
      <w:r>
        <w:rPr>
          <w:rFonts w:hint="eastAsia"/>
        </w:rPr>
        <w:t>地</w:t>
      </w:r>
      <w:bookmarkEnd w:id="77"/>
      <w:bookmarkEnd w:id="78"/>
      <w:bookmarkEnd w:id="79"/>
      <w:r>
        <w:rPr>
          <w:rStyle w:val="36"/>
          <w:rFonts w:hint="eastAsia"/>
        </w:rPr>
        <w:t>膜选用</w:t>
      </w:r>
    </w:p>
    <w:p w14:paraId="6EEDA19B">
      <w:pPr>
        <w:pStyle w:val="60"/>
        <w:ind w:firstLine="420"/>
      </w:pPr>
      <w:r>
        <w:rPr>
          <w:rFonts w:hint="eastAsia" w:ascii="宋体" w:hAnsi="宋体"/>
        </w:rPr>
        <w:t>可选择露地栽培或覆膜栽培两种模式。</w:t>
      </w:r>
      <w:r>
        <w:rPr>
          <w:rFonts w:ascii="宋体" w:hAnsi="宋体"/>
        </w:rPr>
        <w:t>地膜</w:t>
      </w:r>
      <w:r>
        <w:rPr>
          <w:rFonts w:hint="eastAsia" w:ascii="宋体" w:hAnsi="宋体"/>
        </w:rPr>
        <w:t>选用符合GB 13735规定的聚乙烯膜或可降解农用膜，厚度0.008</w:t>
      </w:r>
      <w:r>
        <w:rPr>
          <w:rFonts w:ascii="宋体" w:hAnsi="宋体"/>
          <w:vertAlign w:val="superscript"/>
        </w:rPr>
        <w:t xml:space="preserve"> </w:t>
      </w:r>
      <w:r>
        <w:rPr>
          <w:rFonts w:ascii="宋体" w:hAnsi="宋体"/>
        </w:rPr>
        <w:t>mm</w:t>
      </w:r>
      <w:r>
        <w:rPr>
          <w:rFonts w:hint="eastAsia" w:ascii="宋体" w:hAnsi="宋体"/>
        </w:rPr>
        <w:t>～</w:t>
      </w:r>
      <w:r>
        <w:rPr>
          <w:rFonts w:ascii="宋体" w:hAnsi="宋体"/>
        </w:rPr>
        <w:t>0.015</w:t>
      </w:r>
      <w:bookmarkStart w:id="80" w:name="OLE_LINK1"/>
      <w:r>
        <w:rPr>
          <w:rFonts w:hint="eastAsia" w:ascii="宋体" w:hAnsi="宋体"/>
          <w:vertAlign w:val="superscript"/>
        </w:rPr>
        <w:t xml:space="preserve"> </w:t>
      </w:r>
      <w:r>
        <w:rPr>
          <w:rFonts w:ascii="宋体" w:hAnsi="宋体"/>
        </w:rPr>
        <w:t>mm</w:t>
      </w:r>
      <w:bookmarkEnd w:id="80"/>
      <w:r>
        <w:rPr>
          <w:rFonts w:hint="eastAsia" w:ascii="宋体" w:hAnsi="宋体"/>
        </w:rPr>
        <w:t>，盖膜后把膜边压实</w:t>
      </w:r>
      <w:r>
        <w:rPr>
          <w:rFonts w:hint="eastAsia"/>
        </w:rPr>
        <w:t>。</w:t>
      </w:r>
    </w:p>
    <w:p w14:paraId="2D5DA3A8">
      <w:pPr>
        <w:pStyle w:val="108"/>
        <w:spacing w:before="240" w:after="240"/>
      </w:pPr>
      <w:bookmarkStart w:id="81" w:name="_Toc230361392"/>
      <w:bookmarkStart w:id="82" w:name="_Toc230361355"/>
      <w:bookmarkStart w:id="83" w:name="_Toc230361509"/>
      <w:r>
        <w:t>田间管理</w:t>
      </w:r>
      <w:bookmarkEnd w:id="81"/>
      <w:bookmarkEnd w:id="82"/>
      <w:bookmarkEnd w:id="83"/>
    </w:p>
    <w:p w14:paraId="7C5C30AE">
      <w:pPr>
        <w:pStyle w:val="109"/>
        <w:spacing w:before="120" w:after="120"/>
      </w:pPr>
      <w:r>
        <w:t>查苗补苗</w:t>
      </w:r>
    </w:p>
    <w:p w14:paraId="77C47C71">
      <w:pPr>
        <w:pStyle w:val="60"/>
        <w:ind w:firstLine="420"/>
      </w:pPr>
      <w:r>
        <w:t>出苗后</w:t>
      </w:r>
      <w:r>
        <w:rPr>
          <w:rFonts w:hint="eastAsia"/>
        </w:rPr>
        <w:t>应</w:t>
      </w:r>
      <w:r>
        <w:t>及时</w:t>
      </w:r>
      <w:r>
        <w:rPr>
          <w:rFonts w:hint="eastAsia"/>
        </w:rPr>
        <w:t>巡田，</w:t>
      </w:r>
      <w:r>
        <w:t>查苗</w:t>
      </w:r>
      <w:r>
        <w:rPr>
          <w:rFonts w:hint="eastAsia"/>
        </w:rPr>
        <w:t>补苗；覆膜栽培的，要及时引出破膜受阻的幼苗；如有缺苗，应及时补种。</w:t>
      </w:r>
    </w:p>
    <w:p w14:paraId="47E6F75B">
      <w:pPr>
        <w:pStyle w:val="109"/>
        <w:spacing w:before="120" w:after="120"/>
      </w:pPr>
      <w:bookmarkStart w:id="84" w:name="_Toc230361511"/>
      <w:bookmarkStart w:id="85" w:name="_Toc230361357"/>
      <w:bookmarkStart w:id="86" w:name="_Toc230361394"/>
      <w:r>
        <w:t>施肥</w:t>
      </w:r>
      <w:bookmarkEnd w:id="84"/>
      <w:bookmarkEnd w:id="85"/>
      <w:bookmarkEnd w:id="86"/>
    </w:p>
    <w:p w14:paraId="02AC4517">
      <w:pPr>
        <w:pStyle w:val="69"/>
        <w:spacing w:before="120" w:after="120"/>
      </w:pPr>
      <w:r>
        <w:rPr>
          <w:rFonts w:hint="eastAsia"/>
        </w:rPr>
        <w:t>基肥</w:t>
      </w:r>
    </w:p>
    <w:p w14:paraId="25E32D78">
      <w:pPr>
        <w:pStyle w:val="168"/>
      </w:pPr>
      <w:r>
        <w:rPr>
          <w:rFonts w:hint="eastAsia"/>
        </w:rPr>
        <w:t>常规施肥：按照每667</w:t>
      </w:r>
      <w:r>
        <w:rPr>
          <w:rFonts w:hint="eastAsia"/>
          <w:vertAlign w:val="superscript"/>
        </w:rPr>
        <w:t xml:space="preserve"> </w:t>
      </w:r>
      <w:r>
        <w:rPr>
          <w:rFonts w:hint="eastAsia"/>
        </w:rPr>
        <w:t>m</w:t>
      </w:r>
      <w:r>
        <w:rPr>
          <w:rFonts w:hint="eastAsia"/>
          <w:vertAlign w:val="superscript"/>
        </w:rPr>
        <w:t>2</w:t>
      </w:r>
      <w:r>
        <w:rPr>
          <w:rFonts w:hint="eastAsia"/>
        </w:rPr>
        <w:t>施用20</w:t>
      </w:r>
      <w:r>
        <w:rPr>
          <w:rFonts w:hint="eastAsia"/>
          <w:vertAlign w:val="superscript"/>
        </w:rPr>
        <w:t xml:space="preserve"> </w:t>
      </w:r>
      <w:r>
        <w:rPr>
          <w:rFonts w:hint="eastAsia"/>
        </w:rPr>
        <w:t>㎏～30</w:t>
      </w:r>
      <w:r>
        <w:rPr>
          <w:rFonts w:hint="eastAsia"/>
          <w:vertAlign w:val="superscript"/>
        </w:rPr>
        <w:t xml:space="preserve"> </w:t>
      </w:r>
      <w:r>
        <w:rPr>
          <w:rFonts w:hint="eastAsia"/>
        </w:rPr>
        <w:t>㎏硫酸钾复合肥（N：P：K=15:15:15），配施50</w:t>
      </w:r>
      <w:r>
        <w:rPr>
          <w:rFonts w:hint="eastAsia"/>
          <w:vertAlign w:val="superscript"/>
        </w:rPr>
        <w:t xml:space="preserve"> </w:t>
      </w:r>
      <w:r>
        <w:rPr>
          <w:rFonts w:hint="eastAsia"/>
        </w:rPr>
        <w:t>㎏～70</w:t>
      </w:r>
      <w:r>
        <w:rPr>
          <w:rFonts w:hint="eastAsia"/>
          <w:vertAlign w:val="superscript"/>
        </w:rPr>
        <w:t xml:space="preserve"> </w:t>
      </w:r>
      <w:r>
        <w:rPr>
          <w:rFonts w:hint="eastAsia"/>
        </w:rPr>
        <w:t>㎏钙镁磷肥，作为基肥一次性均匀条施于播种沟中。</w:t>
      </w:r>
    </w:p>
    <w:p w14:paraId="17540B39">
      <w:pPr>
        <w:pStyle w:val="168"/>
        <w:rPr>
          <w:b/>
          <w:bCs/>
        </w:rPr>
      </w:pPr>
      <w:r>
        <w:rPr>
          <w:rFonts w:hint="eastAsia"/>
        </w:rPr>
        <w:t>结荚区平衡集中施肥：</w:t>
      </w:r>
      <w:r>
        <w:t>采用基于土壤理化性状诊断的花生结荚区精准测土配方施肥</w:t>
      </w:r>
      <w:r>
        <w:rPr>
          <w:rFonts w:hint="eastAsia"/>
        </w:rPr>
        <w:t>方案</w:t>
      </w:r>
      <w:r>
        <w:t>。播种前采集土壤样品，测定关键养分指标，利用花生测土配方施肥软件（如花科花生结荚区平衡集中施肥软件）计算优化施肥方案</w:t>
      </w:r>
      <w:r>
        <w:rPr>
          <w:rFonts w:hint="eastAsia"/>
        </w:rPr>
        <w:t>，</w:t>
      </w:r>
      <w:r>
        <w:t>并</w:t>
      </w:r>
      <w:r>
        <w:rPr>
          <w:rFonts w:hint="eastAsia"/>
        </w:rPr>
        <w:t>在</w:t>
      </w:r>
      <w:r>
        <w:t>播种前</w:t>
      </w:r>
      <w:r>
        <w:rPr>
          <w:rFonts w:hint="eastAsia"/>
        </w:rPr>
        <w:t>，按照施肥方案将</w:t>
      </w:r>
      <w:r>
        <w:t>肥料集中施用于</w:t>
      </w:r>
      <w:r>
        <w:rPr>
          <w:rFonts w:hint="eastAsia"/>
        </w:rPr>
        <w:t>花生</w:t>
      </w:r>
      <w:r>
        <w:t>的结荚区域</w:t>
      </w:r>
      <w:r>
        <w:rPr>
          <w:rFonts w:hint="eastAsia"/>
        </w:rPr>
        <w:t>，即</w:t>
      </w:r>
      <w:r>
        <w:t>将肥料均匀</w:t>
      </w:r>
      <w:r>
        <w:rPr>
          <w:rFonts w:hint="eastAsia"/>
        </w:rPr>
        <w:t>条</w:t>
      </w:r>
      <w:r>
        <w:t>施</w:t>
      </w:r>
      <w:r>
        <w:rPr>
          <w:rFonts w:hint="eastAsia"/>
        </w:rPr>
        <w:t>于播种</w:t>
      </w:r>
      <w:r>
        <w:t>沟内</w:t>
      </w:r>
      <w:r>
        <w:rPr>
          <w:rFonts w:hint="eastAsia"/>
          <w:b/>
          <w:bCs/>
        </w:rPr>
        <w:t>。</w:t>
      </w:r>
    </w:p>
    <w:p w14:paraId="0E3F3DC9">
      <w:pPr>
        <w:pStyle w:val="69"/>
        <w:spacing w:before="120" w:after="120"/>
      </w:pPr>
      <w:r>
        <w:t>追肥</w:t>
      </w:r>
    </w:p>
    <w:p w14:paraId="2B3204B7">
      <w:pPr>
        <w:pStyle w:val="168"/>
      </w:pPr>
      <w:r>
        <w:t>在花生</w:t>
      </w:r>
      <w:bookmarkStart w:id="87" w:name="OLE_LINK22"/>
      <w:r>
        <w:t>3</w:t>
      </w:r>
      <w:r>
        <w:rPr>
          <w:rFonts w:hint="eastAsia"/>
        </w:rPr>
        <w:t>～</w:t>
      </w:r>
      <w:r>
        <w:t>5</w:t>
      </w:r>
      <w:bookmarkEnd w:id="87"/>
      <w:r>
        <w:t>叶期，</w:t>
      </w:r>
      <w:r>
        <w:rPr>
          <w:rFonts w:hint="eastAsia"/>
        </w:rPr>
        <w:t>如幼苗偏黄瘦弱，每</w:t>
      </w:r>
      <w:r>
        <w:rPr>
          <w:rFonts w:hint="eastAsia"/>
          <w:szCs w:val="21"/>
        </w:rPr>
        <w:t>667</w:t>
      </w:r>
      <w:r>
        <w:rPr>
          <w:rFonts w:hint="eastAsia"/>
          <w:szCs w:val="21"/>
          <w:vertAlign w:val="superscript"/>
        </w:rPr>
        <w:t xml:space="preserve"> </w:t>
      </w:r>
      <w:r>
        <w:rPr>
          <w:rFonts w:hint="eastAsia"/>
          <w:szCs w:val="21"/>
        </w:rPr>
        <w:t>m</w:t>
      </w:r>
      <w:r>
        <w:rPr>
          <w:rFonts w:hint="eastAsia"/>
          <w:szCs w:val="21"/>
          <w:vertAlign w:val="superscript"/>
        </w:rPr>
        <w:t>2</w:t>
      </w:r>
      <w:r>
        <w:rPr>
          <w:rFonts w:hint="eastAsia"/>
        </w:rPr>
        <w:t>追施3</w:t>
      </w:r>
      <w:r>
        <w:rPr>
          <w:rFonts w:hint="eastAsia"/>
          <w:vertAlign w:val="superscript"/>
        </w:rPr>
        <w:t xml:space="preserve"> </w:t>
      </w:r>
      <w:r>
        <w:rPr>
          <w:rFonts w:hint="eastAsia"/>
        </w:rPr>
        <w:t>kg～5</w:t>
      </w:r>
      <w:r>
        <w:rPr>
          <w:rFonts w:hint="eastAsia"/>
          <w:vertAlign w:val="superscript"/>
        </w:rPr>
        <w:t xml:space="preserve"> </w:t>
      </w:r>
      <w:r>
        <w:rPr>
          <w:rFonts w:hint="eastAsia"/>
        </w:rPr>
        <w:t>kg尿素或</w:t>
      </w:r>
      <w:r>
        <w:t>喷施含氨基酸水溶肥</w:t>
      </w:r>
      <w:r>
        <w:rPr>
          <w:rFonts w:hint="eastAsia"/>
        </w:rPr>
        <w:t>，配施0.1</w:t>
      </w:r>
      <w:r>
        <w:t>％</w:t>
      </w:r>
      <w:r>
        <w:rPr>
          <w:rFonts w:hint="eastAsia"/>
        </w:rPr>
        <w:t>～0.2</w:t>
      </w:r>
      <w:r>
        <w:t>％</w:t>
      </w:r>
      <w:r>
        <w:rPr>
          <w:rFonts w:hint="eastAsia"/>
        </w:rPr>
        <w:t xml:space="preserve"> 硫酸锌</w:t>
      </w:r>
      <w:r>
        <w:t>。</w:t>
      </w:r>
    </w:p>
    <w:p w14:paraId="38EB98E7">
      <w:pPr>
        <w:pStyle w:val="168"/>
      </w:pPr>
      <w:r>
        <w:t>在花前期至始花期，</w:t>
      </w:r>
      <w:r>
        <w:rPr>
          <w:rFonts w:hint="eastAsia"/>
        </w:rPr>
        <w:t>喷施0.1</w:t>
      </w:r>
      <w:r>
        <w:t>％硼</w:t>
      </w:r>
      <w:r>
        <w:rPr>
          <w:rFonts w:hint="eastAsia"/>
        </w:rPr>
        <w:t>肥，促进开花下针。在花生生育后期，若出现叶片发黄的脱肥迹象，可喷施</w:t>
      </w:r>
      <w:r>
        <w:rPr>
          <w:rFonts w:hint="eastAsia"/>
          <w:szCs w:val="21"/>
        </w:rPr>
        <w:t>0.3</w:t>
      </w:r>
      <w:r>
        <w:t>％</w:t>
      </w:r>
      <w:r>
        <w:rPr>
          <w:rFonts w:hint="eastAsia"/>
        </w:rPr>
        <w:t>磷酸二氢钾叶面肥+1％尿素。</w:t>
      </w:r>
    </w:p>
    <w:p w14:paraId="4155A724">
      <w:pPr>
        <w:pStyle w:val="109"/>
        <w:spacing w:before="120" w:after="120"/>
      </w:pPr>
      <w:bookmarkStart w:id="88" w:name="_Toc230361395"/>
      <w:bookmarkStart w:id="89" w:name="_Toc230361358"/>
      <w:bookmarkStart w:id="90" w:name="_Toc230361512"/>
      <w:r>
        <w:t>水分管理</w:t>
      </w:r>
      <w:bookmarkEnd w:id="88"/>
      <w:bookmarkEnd w:id="89"/>
      <w:bookmarkEnd w:id="90"/>
    </w:p>
    <w:p w14:paraId="0DF9E606">
      <w:pPr>
        <w:pStyle w:val="60"/>
        <w:ind w:firstLine="420"/>
      </w:pPr>
      <w:r>
        <w:rPr>
          <w:rFonts w:hint="eastAsia" w:ascii="宋体" w:hAnsi="宋体"/>
        </w:rPr>
        <w:t>花生播种时考虑土壤墒情，做到足墒播种，土壤含水量70％～80％</w:t>
      </w:r>
      <w:r>
        <w:rPr>
          <w:rFonts w:hint="eastAsia" w:ascii="宋体"/>
          <w:szCs w:val="21"/>
        </w:rPr>
        <w:t>（土壤手抓成团手搓散开</w:t>
      </w:r>
      <w:r>
        <w:rPr>
          <w:rFonts w:hint="eastAsia" w:ascii="宋体"/>
          <w:sz w:val="24"/>
          <w:szCs w:val="24"/>
        </w:rPr>
        <w:t>）</w:t>
      </w:r>
      <w:r>
        <w:rPr>
          <w:rFonts w:hint="eastAsia" w:ascii="宋体" w:hAnsi="宋体"/>
        </w:rPr>
        <w:t>，土壤水分不足时播种后应及时浇水。</w:t>
      </w:r>
      <w:r>
        <w:t>花针期和结荚期保持土壤</w:t>
      </w:r>
      <w:r>
        <w:rPr>
          <w:rFonts w:hint="eastAsia"/>
        </w:rPr>
        <w:t>水分供应</w:t>
      </w:r>
      <w:r>
        <w:t>，遇旱及</w:t>
      </w:r>
      <w:r>
        <w:rPr>
          <w:rFonts w:ascii="宋体" w:hAnsi="宋体"/>
        </w:rPr>
        <w:t>时灌溉；收获前20</w:t>
      </w:r>
      <w:r>
        <w:rPr>
          <w:rFonts w:ascii="宋体" w:hAnsi="宋体"/>
          <w:vertAlign w:val="superscript"/>
        </w:rPr>
        <w:t xml:space="preserve"> </w:t>
      </w:r>
      <w:r>
        <w:rPr>
          <w:rFonts w:ascii="宋体" w:hAnsi="宋体"/>
        </w:rPr>
        <w:t>d停止灌水。灌溉水质符合GB 5084</w:t>
      </w:r>
      <w:r>
        <w:t>。</w:t>
      </w:r>
    </w:p>
    <w:p w14:paraId="46FA34C5">
      <w:pPr>
        <w:pStyle w:val="109"/>
        <w:spacing w:before="120" w:after="120"/>
      </w:pPr>
      <w:bookmarkStart w:id="91" w:name="_Toc230361396"/>
      <w:bookmarkStart w:id="92" w:name="_Toc230361513"/>
      <w:bookmarkStart w:id="93" w:name="_Toc230361359"/>
      <w:r>
        <w:t>除草</w:t>
      </w:r>
      <w:bookmarkEnd w:id="91"/>
      <w:bookmarkEnd w:id="92"/>
      <w:bookmarkEnd w:id="93"/>
    </w:p>
    <w:p w14:paraId="07C73313">
      <w:pPr>
        <w:pStyle w:val="169"/>
      </w:pPr>
      <w:r>
        <w:rPr>
          <w:rFonts w:hint="eastAsia"/>
        </w:rPr>
        <w:t>芽前除草：播种后3</w:t>
      </w:r>
      <w:r>
        <w:rPr>
          <w:rFonts w:hAnsi="宋体"/>
          <w:vertAlign w:val="superscript"/>
        </w:rPr>
        <w:t xml:space="preserve"> </w:t>
      </w:r>
      <w:r>
        <w:rPr>
          <w:rFonts w:hAnsi="宋体"/>
        </w:rPr>
        <w:t>d</w:t>
      </w:r>
      <w:r>
        <w:rPr>
          <w:rFonts w:hint="eastAsia"/>
        </w:rPr>
        <w:t>内，立即喷施乙草胺、精异丙甲草胺等芽前除草剂，按说明书要求进行垄面喷施。</w:t>
      </w:r>
    </w:p>
    <w:p w14:paraId="7FFF1AA4">
      <w:pPr>
        <w:pStyle w:val="169"/>
      </w:pPr>
      <w:r>
        <w:rPr>
          <w:rFonts w:hint="eastAsia"/>
        </w:rPr>
        <w:t>芽后除草：在花生3～5叶期，可选用针对不同类别的杂草且对花生无害的选择性除草剂进行防除。除草剂应符合NY/T 1276和GB/T 8321的要求</w:t>
      </w:r>
      <w:r>
        <w:t>。</w:t>
      </w:r>
    </w:p>
    <w:p w14:paraId="78AE155D">
      <w:pPr>
        <w:pStyle w:val="108"/>
        <w:spacing w:before="240" w:after="240"/>
      </w:pPr>
      <w:bookmarkStart w:id="94" w:name="_Toc230361397"/>
      <w:bookmarkStart w:id="95" w:name="_Toc230361360"/>
      <w:bookmarkStart w:id="96" w:name="_Toc230361514"/>
      <w:r>
        <w:t>生长调控</w:t>
      </w:r>
      <w:bookmarkEnd w:id="94"/>
      <w:bookmarkEnd w:id="95"/>
      <w:bookmarkEnd w:id="96"/>
    </w:p>
    <w:p w14:paraId="49768081">
      <w:pPr>
        <w:pStyle w:val="109"/>
        <w:spacing w:before="120" w:after="120"/>
      </w:pPr>
      <w:r>
        <w:rPr>
          <w:rFonts w:hint="eastAsia"/>
        </w:rPr>
        <w:t>调节剂的选用</w:t>
      </w:r>
    </w:p>
    <w:p w14:paraId="622CA81B">
      <w:pPr>
        <w:pStyle w:val="60"/>
        <w:ind w:firstLine="420"/>
      </w:pPr>
      <w:r>
        <w:rPr>
          <w:rFonts w:hAnsi="宋体"/>
        </w:rPr>
        <w:t>在</w:t>
      </w:r>
      <w:r>
        <w:rPr>
          <w:rFonts w:ascii="宋体" w:hAnsi="宋体"/>
        </w:rPr>
        <w:t>花生3</w:t>
      </w:r>
      <w:r>
        <w:rPr>
          <w:rFonts w:hint="eastAsia" w:ascii="宋体" w:hAnsi="宋体"/>
        </w:rPr>
        <w:t>～</w:t>
      </w:r>
      <w:r>
        <w:rPr>
          <w:rFonts w:ascii="宋体" w:hAnsi="宋体"/>
        </w:rPr>
        <w:t>5叶期，</w:t>
      </w:r>
      <w:r>
        <w:rPr>
          <w:rFonts w:hint="eastAsia" w:ascii="宋体" w:hAnsi="宋体"/>
        </w:rPr>
        <w:t>喷施0.01％芸苔素内酯。在开花下针初期，喷施0.01％芸苔素内酯。在开花下针后期，当主茎高度超过35</w:t>
      </w:r>
      <w:r>
        <w:rPr>
          <w:rFonts w:hint="eastAsia" w:ascii="宋体" w:hAnsi="宋体"/>
          <w:vertAlign w:val="superscript"/>
        </w:rPr>
        <w:t xml:space="preserve"> </w:t>
      </w:r>
      <w:r>
        <w:rPr>
          <w:rFonts w:hint="eastAsia" w:ascii="宋体" w:hAnsi="宋体"/>
        </w:rPr>
        <w:t>cm且有旺长趋势的田块，根据需求，及时喷施调环酸钙或烯效唑等植物生长调节剂进行控旺。</w:t>
      </w:r>
    </w:p>
    <w:p w14:paraId="663A0C71">
      <w:pPr>
        <w:pStyle w:val="109"/>
        <w:spacing w:before="120" w:after="120"/>
      </w:pPr>
      <w:r>
        <w:rPr>
          <w:rFonts w:hint="eastAsia"/>
        </w:rPr>
        <w:t>控旺时期与次数</w:t>
      </w:r>
    </w:p>
    <w:p w14:paraId="5BFC35D2">
      <w:pPr>
        <w:pStyle w:val="169"/>
      </w:pPr>
      <w:r>
        <w:rPr>
          <w:rFonts w:hint="eastAsia"/>
        </w:rPr>
        <w:t>根据旺长趋势，进行分次控旺：</w:t>
      </w:r>
    </w:p>
    <w:p w14:paraId="75A9B345">
      <w:pPr>
        <w:pStyle w:val="178"/>
      </w:pPr>
      <w:r>
        <w:rPr>
          <w:rFonts w:hint="eastAsia"/>
        </w:rPr>
        <w:t>第1次，花生开花后20</w:t>
      </w:r>
      <w:r>
        <w:rPr>
          <w:rFonts w:hint="eastAsia"/>
          <w:vertAlign w:val="superscript"/>
        </w:rPr>
        <w:t xml:space="preserve"> </w:t>
      </w:r>
      <w:r>
        <w:rPr>
          <w:rFonts w:hint="eastAsia"/>
        </w:rPr>
        <w:t>d</w:t>
      </w:r>
      <w:r>
        <w:rPr>
          <w:rFonts w:hint="eastAsia" w:hAnsi="宋体"/>
        </w:rPr>
        <w:t>～</w:t>
      </w:r>
      <w:r>
        <w:rPr>
          <w:rFonts w:hint="eastAsia"/>
        </w:rPr>
        <w:t>25</w:t>
      </w:r>
      <w:r>
        <w:rPr>
          <w:rFonts w:hint="eastAsia"/>
          <w:vertAlign w:val="superscript"/>
        </w:rPr>
        <w:t xml:space="preserve"> </w:t>
      </w:r>
      <w:r>
        <w:rPr>
          <w:rFonts w:hint="eastAsia"/>
        </w:rPr>
        <w:t>d，根据旺长程度选择适宜类型和浓度的调节剂喷施；</w:t>
      </w:r>
    </w:p>
    <w:p w14:paraId="0A4F532F">
      <w:pPr>
        <w:pStyle w:val="178"/>
      </w:pPr>
      <w:r>
        <w:rPr>
          <w:rFonts w:hint="eastAsia"/>
        </w:rPr>
        <w:t>第2次，第一次控后10</w:t>
      </w:r>
      <w:r>
        <w:rPr>
          <w:rFonts w:hint="eastAsia"/>
          <w:vertAlign w:val="superscript"/>
        </w:rPr>
        <w:t xml:space="preserve"> </w:t>
      </w:r>
      <w:r>
        <w:rPr>
          <w:rFonts w:hint="eastAsia"/>
        </w:rPr>
        <w:t>d</w:t>
      </w:r>
      <w:r>
        <w:rPr>
          <w:rFonts w:hint="eastAsia" w:hAnsi="宋体"/>
        </w:rPr>
        <w:t>～</w:t>
      </w:r>
      <w:r>
        <w:rPr>
          <w:rFonts w:hint="eastAsia"/>
        </w:rPr>
        <w:t>15</w:t>
      </w:r>
      <w:r>
        <w:rPr>
          <w:rFonts w:hint="eastAsia"/>
          <w:vertAlign w:val="superscript"/>
        </w:rPr>
        <w:t xml:space="preserve"> </w:t>
      </w:r>
      <w:r>
        <w:rPr>
          <w:rFonts w:hint="eastAsia"/>
        </w:rPr>
        <w:t>d，如主茎旺长势头仍较强可再喷施一次；</w:t>
      </w:r>
    </w:p>
    <w:p w14:paraId="2036E1F5">
      <w:pPr>
        <w:pStyle w:val="178"/>
      </w:pPr>
      <w:r>
        <w:rPr>
          <w:rFonts w:hint="eastAsia"/>
        </w:rPr>
        <w:t>第二次控后10</w:t>
      </w:r>
      <w:r>
        <w:rPr>
          <w:rFonts w:hint="eastAsia"/>
          <w:vertAlign w:val="superscript"/>
        </w:rPr>
        <w:t xml:space="preserve"> </w:t>
      </w:r>
      <w:r>
        <w:rPr>
          <w:rFonts w:hint="eastAsia"/>
        </w:rPr>
        <w:t>d</w:t>
      </w:r>
      <w:r>
        <w:rPr>
          <w:rFonts w:hint="eastAsia" w:hAnsi="宋体"/>
        </w:rPr>
        <w:t>～</w:t>
      </w:r>
      <w:r>
        <w:rPr>
          <w:rFonts w:hint="eastAsia"/>
        </w:rPr>
        <w:t>15</w:t>
      </w:r>
      <w:r>
        <w:rPr>
          <w:rFonts w:hint="eastAsia"/>
          <w:vertAlign w:val="superscript"/>
        </w:rPr>
        <w:t xml:space="preserve"> </w:t>
      </w:r>
      <w:r>
        <w:rPr>
          <w:rFonts w:hint="eastAsia"/>
        </w:rPr>
        <w:t>d，如主茎仍呈旺长态势，按需进行第3次喷施。</w:t>
      </w:r>
    </w:p>
    <w:p w14:paraId="74872A19">
      <w:pPr>
        <w:pStyle w:val="169"/>
      </w:pPr>
      <w:r>
        <w:rPr>
          <w:rFonts w:hint="eastAsia"/>
        </w:rPr>
        <w:t>控旺作业时可同步搭配杀菌剂使用，并在垄面茎基周围撒施石灰，预防白绢病、果腐病。</w:t>
      </w:r>
    </w:p>
    <w:p w14:paraId="006706D5">
      <w:pPr>
        <w:pStyle w:val="109"/>
        <w:spacing w:before="120" w:after="120"/>
      </w:pPr>
      <w:bookmarkStart w:id="97" w:name="_Toc230361400"/>
      <w:bookmarkStart w:id="98" w:name="_Toc230361517"/>
      <w:bookmarkStart w:id="99" w:name="_Toc230361363"/>
      <w:r>
        <w:t>调节剂使用注意事项</w:t>
      </w:r>
      <w:bookmarkEnd w:id="97"/>
      <w:bookmarkEnd w:id="98"/>
      <w:bookmarkEnd w:id="99"/>
    </w:p>
    <w:p w14:paraId="0B7DD5B3">
      <w:pPr>
        <w:pStyle w:val="169"/>
      </w:pPr>
      <w:r>
        <w:t>喷施部位为植株地上</w:t>
      </w:r>
      <w:r>
        <w:rPr>
          <w:rFonts w:hint="eastAsia"/>
        </w:rPr>
        <w:t>部</w:t>
      </w:r>
      <w:r>
        <w:t>叶片，均匀喷雾。</w:t>
      </w:r>
    </w:p>
    <w:p w14:paraId="757BEFF8">
      <w:pPr>
        <w:pStyle w:val="169"/>
      </w:pPr>
      <w:r>
        <w:rPr>
          <w:rFonts w:hint="eastAsia"/>
        </w:rPr>
        <w:t>不应</w:t>
      </w:r>
      <w:r>
        <w:t>在高温强光时段喷施。农药使用符合GB/T 8321和NY/T 1276</w:t>
      </w:r>
      <w:r>
        <w:rPr>
          <w:rFonts w:hint="eastAsia"/>
        </w:rPr>
        <w:t>的规定</w:t>
      </w:r>
      <w:r>
        <w:t>。</w:t>
      </w:r>
    </w:p>
    <w:p w14:paraId="2EB1F14D">
      <w:pPr>
        <w:pStyle w:val="108"/>
        <w:spacing w:before="240" w:after="240"/>
      </w:pPr>
      <w:bookmarkStart w:id="100" w:name="_Toc230361364"/>
      <w:bookmarkStart w:id="101" w:name="_Toc230361518"/>
      <w:bookmarkStart w:id="102" w:name="_Toc230361401"/>
      <w:r>
        <w:t>病虫害防治</w:t>
      </w:r>
      <w:bookmarkEnd w:id="100"/>
      <w:bookmarkEnd w:id="101"/>
      <w:bookmarkEnd w:id="102"/>
    </w:p>
    <w:p w14:paraId="7B82D708">
      <w:pPr>
        <w:pStyle w:val="109"/>
        <w:spacing w:before="120" w:after="120"/>
      </w:pPr>
      <w:bookmarkStart w:id="103" w:name="_Toc230361365"/>
      <w:bookmarkStart w:id="104" w:name="_Toc230361519"/>
      <w:bookmarkStart w:id="105" w:name="_Toc230361402"/>
      <w:r>
        <w:t>主要病虫害</w:t>
      </w:r>
      <w:bookmarkEnd w:id="103"/>
      <w:bookmarkEnd w:id="104"/>
      <w:bookmarkEnd w:id="105"/>
    </w:p>
    <w:p w14:paraId="658059B8">
      <w:pPr>
        <w:pStyle w:val="60"/>
        <w:ind w:firstLine="420"/>
      </w:pPr>
      <w:r>
        <w:t>主要病害</w:t>
      </w:r>
      <w:r>
        <w:rPr>
          <w:rFonts w:hint="eastAsia"/>
        </w:rPr>
        <w:t>为</w:t>
      </w:r>
      <w:r>
        <w:t>青枯病、锈病、白绢病、果腐病、茎腐病</w:t>
      </w:r>
      <w:r>
        <w:rPr>
          <w:rFonts w:hint="eastAsia"/>
        </w:rPr>
        <w:t>等</w:t>
      </w:r>
      <w:r>
        <w:t>。主要虫害</w:t>
      </w:r>
      <w:bookmarkStart w:id="106" w:name="OLE_LINK15"/>
      <w:r>
        <w:rPr>
          <w:rFonts w:hint="eastAsia"/>
        </w:rPr>
        <w:t>为</w:t>
      </w:r>
      <w:bookmarkEnd w:id="106"/>
      <w:r>
        <w:rPr>
          <w:rFonts w:hint="eastAsia"/>
        </w:rPr>
        <w:t>蓟马、</w:t>
      </w:r>
      <w:r>
        <w:t>斜纹夜蛾、</w:t>
      </w:r>
      <w:r>
        <w:rPr>
          <w:rFonts w:hint="eastAsia"/>
        </w:rPr>
        <w:t>棉铃虫</w:t>
      </w:r>
      <w:r>
        <w:t>、蛴螬等。</w:t>
      </w:r>
    </w:p>
    <w:p w14:paraId="07FEE5F4">
      <w:pPr>
        <w:pStyle w:val="109"/>
        <w:spacing w:before="120" w:after="120"/>
      </w:pPr>
      <w:bookmarkStart w:id="107" w:name="_Toc230361403"/>
      <w:bookmarkStart w:id="108" w:name="_Toc230361520"/>
      <w:bookmarkStart w:id="109" w:name="_Toc230361366"/>
      <w:r>
        <w:t>防治措施</w:t>
      </w:r>
      <w:bookmarkEnd w:id="107"/>
      <w:bookmarkEnd w:id="108"/>
      <w:bookmarkEnd w:id="109"/>
    </w:p>
    <w:p w14:paraId="58C869A7">
      <w:pPr>
        <w:pStyle w:val="169"/>
      </w:pPr>
      <w:r>
        <w:t>农业防治：</w:t>
      </w:r>
      <w:r>
        <w:rPr>
          <w:rFonts w:hint="eastAsia"/>
        </w:rPr>
        <w:t>花生与水稻进行水旱轮作、或与玉米等发生病害种类不同的作物</w:t>
      </w:r>
      <w:r>
        <w:t>轮作</w:t>
      </w:r>
      <w:r>
        <w:rPr>
          <w:rFonts w:hint="eastAsia"/>
        </w:rPr>
        <w:t>；</w:t>
      </w:r>
      <w:r>
        <w:t>选用抗病</w:t>
      </w:r>
      <w:r>
        <w:rPr>
          <w:rFonts w:hint="eastAsia"/>
        </w:rPr>
        <w:t>性好的高油酸花生</w:t>
      </w:r>
      <w:r>
        <w:t>品种</w:t>
      </w:r>
      <w:r>
        <w:rPr>
          <w:rFonts w:hint="eastAsia"/>
        </w:rPr>
        <w:t>；水田地花生注意做好</w:t>
      </w:r>
      <w:r>
        <w:t>清沟排水。</w:t>
      </w:r>
    </w:p>
    <w:p w14:paraId="1B8A055C">
      <w:pPr>
        <w:pStyle w:val="169"/>
      </w:pPr>
      <w:r>
        <w:rPr>
          <w:rFonts w:hint="eastAsia"/>
        </w:rPr>
        <w:t>物理防治：用粘虫板防治蓟马等虫害，将粘虫板</w:t>
      </w:r>
      <w:r>
        <w:t>放置</w:t>
      </w:r>
      <w:r>
        <w:rPr>
          <w:rFonts w:hint="eastAsia"/>
        </w:rPr>
        <w:t>于花生植株上方20</w:t>
      </w:r>
      <w:r>
        <w:rPr>
          <w:rFonts w:hint="eastAsia"/>
          <w:vertAlign w:val="superscript"/>
        </w:rPr>
        <w:t xml:space="preserve"> </w:t>
      </w:r>
      <w:r>
        <w:rPr>
          <w:rFonts w:hint="eastAsia"/>
        </w:rPr>
        <w:t>cm～30</w:t>
      </w:r>
      <w:r>
        <w:rPr>
          <w:rFonts w:hint="eastAsia"/>
          <w:vertAlign w:val="superscript"/>
        </w:rPr>
        <w:t xml:space="preserve"> </w:t>
      </w:r>
      <w:r>
        <w:rPr>
          <w:rFonts w:hint="eastAsia"/>
        </w:rPr>
        <w:t>cm，随花生主茎高度调整粘虫板高度。</w:t>
      </w:r>
    </w:p>
    <w:p w14:paraId="18FC5E29">
      <w:pPr>
        <w:pStyle w:val="169"/>
      </w:pPr>
      <w:r>
        <w:t>化学防治：</w:t>
      </w:r>
      <w:r>
        <w:rPr>
          <w:rFonts w:hint="eastAsia"/>
        </w:rPr>
        <w:t>见附录A.2</w:t>
      </w:r>
      <w:r>
        <w:t>。</w:t>
      </w:r>
    </w:p>
    <w:p w14:paraId="24B5062A">
      <w:pPr>
        <w:pStyle w:val="169"/>
      </w:pPr>
      <w:r>
        <w:t>生物防治：</w:t>
      </w:r>
      <w:r>
        <w:rPr>
          <w:rFonts w:hint="eastAsia"/>
        </w:rPr>
        <w:t>用性信息素诱捕器防治夜蛾、棉铃虫等害虫。诱捕器与地面相距1</w:t>
      </w:r>
      <w:r>
        <w:rPr>
          <w:rFonts w:hint="eastAsia"/>
          <w:vertAlign w:val="superscript"/>
        </w:rPr>
        <w:t xml:space="preserve"> </w:t>
      </w:r>
      <w:r>
        <w:rPr>
          <w:rFonts w:hint="eastAsia"/>
        </w:rPr>
        <w:t>m～1.5</w:t>
      </w:r>
      <w:r>
        <w:rPr>
          <w:rFonts w:hint="eastAsia"/>
          <w:vertAlign w:val="superscript"/>
        </w:rPr>
        <w:t xml:space="preserve"> </w:t>
      </w:r>
      <w:r>
        <w:rPr>
          <w:rFonts w:hint="eastAsia"/>
        </w:rPr>
        <w:t>m。宜</w:t>
      </w:r>
      <w:r>
        <w:t>使用枯草芽孢杆菌等生防制剂。</w:t>
      </w:r>
    </w:p>
    <w:p w14:paraId="4FBA46BC">
      <w:pPr>
        <w:pStyle w:val="108"/>
        <w:spacing w:before="240" w:after="240"/>
      </w:pPr>
      <w:bookmarkStart w:id="110" w:name="_Toc230361404"/>
      <w:bookmarkStart w:id="111" w:name="_Toc230361521"/>
      <w:bookmarkStart w:id="112" w:name="_Toc230361367"/>
      <w:r>
        <w:t>收获</w:t>
      </w:r>
      <w:bookmarkEnd w:id="110"/>
      <w:bookmarkEnd w:id="111"/>
      <w:bookmarkEnd w:id="112"/>
    </w:p>
    <w:p w14:paraId="38386D18">
      <w:pPr>
        <w:pStyle w:val="166"/>
      </w:pPr>
      <w:r>
        <w:t>当</w:t>
      </w:r>
      <w:r>
        <w:rPr>
          <w:rFonts w:hint="eastAsia"/>
        </w:rPr>
        <w:t>花生达到成熟天数、</w:t>
      </w:r>
      <w:r>
        <w:t>70％以上荚果果壳硬化、网纹清晰、</w:t>
      </w:r>
      <w:r>
        <w:rPr>
          <w:rFonts w:hint="eastAsia"/>
        </w:rPr>
        <w:t>果壳内壁变黑褐色、</w:t>
      </w:r>
      <w:r>
        <w:t>种皮呈现品种固有颜色时</w:t>
      </w:r>
      <w:r>
        <w:rPr>
          <w:rFonts w:hint="eastAsia"/>
        </w:rPr>
        <w:t>可</w:t>
      </w:r>
      <w:r>
        <w:t>收获</w:t>
      </w:r>
      <w:r>
        <w:rPr>
          <w:rFonts w:hint="eastAsia"/>
        </w:rPr>
        <w:t>。</w:t>
      </w:r>
    </w:p>
    <w:p w14:paraId="67BE008B">
      <w:pPr>
        <w:pStyle w:val="166"/>
      </w:pPr>
      <w:r>
        <w:rPr>
          <w:rFonts w:hint="eastAsia"/>
        </w:rPr>
        <w:t>应</w:t>
      </w:r>
      <w:r>
        <w:t>与普通油酸花生分开收获，收获前</w:t>
      </w:r>
      <w:r>
        <w:rPr>
          <w:rFonts w:hint="eastAsia"/>
        </w:rPr>
        <w:t>应彻底</w:t>
      </w:r>
      <w:r>
        <w:t>清理收获机械、运输车辆、晾晒场地等。</w:t>
      </w:r>
    </w:p>
    <w:p w14:paraId="7F27B1A1">
      <w:pPr>
        <w:pStyle w:val="166"/>
      </w:pPr>
      <w:r>
        <w:t>收获后及时晾晒或机械烘干，使荚果含水量降至10％以下。晾晒场地应专用或彻底清扫，</w:t>
      </w:r>
      <w:r>
        <w:rPr>
          <w:rFonts w:hint="eastAsia"/>
        </w:rPr>
        <w:t>不应</w:t>
      </w:r>
      <w:r>
        <w:t>与普通油酸花生</w:t>
      </w:r>
      <w:r>
        <w:rPr>
          <w:rFonts w:hint="eastAsia"/>
        </w:rPr>
        <w:t>混放</w:t>
      </w:r>
      <w:r>
        <w:t>交叉。荚果水分</w:t>
      </w:r>
      <w:r>
        <w:rPr>
          <w:rFonts w:hAnsi="宋体"/>
        </w:rPr>
        <w:t>≤10％</w:t>
      </w:r>
      <w:r>
        <w:t>后入库贮藏。库房应清洁、干燥、通风</w:t>
      </w:r>
      <w:r>
        <w:rPr>
          <w:rFonts w:hint="eastAsia"/>
        </w:rPr>
        <w:t>，并做好</w:t>
      </w:r>
      <w:r>
        <w:t>防鼠防虫</w:t>
      </w:r>
      <w:r>
        <w:rPr>
          <w:rFonts w:hint="eastAsia"/>
        </w:rPr>
        <w:t>措施</w:t>
      </w:r>
      <w:r>
        <w:t>。</w:t>
      </w:r>
    </w:p>
    <w:p w14:paraId="30D6653A">
      <w:pPr>
        <w:pStyle w:val="108"/>
        <w:spacing w:before="240" w:after="240"/>
      </w:pPr>
      <w:bookmarkStart w:id="113" w:name="_Toc230361372"/>
      <w:bookmarkStart w:id="114" w:name="_Toc230361526"/>
      <w:bookmarkStart w:id="115" w:name="_Toc230361409"/>
      <w:r>
        <w:t>生产档案</w:t>
      </w:r>
      <w:bookmarkEnd w:id="113"/>
      <w:bookmarkEnd w:id="114"/>
      <w:bookmarkEnd w:id="115"/>
    </w:p>
    <w:p w14:paraId="2BF61FBD">
      <w:pPr>
        <w:pStyle w:val="60"/>
        <w:ind w:firstLine="420"/>
      </w:pPr>
      <w:r>
        <w:rPr>
          <w:rFonts w:hint="eastAsia"/>
        </w:rPr>
        <w:t>应</w:t>
      </w:r>
      <w:r>
        <w:rPr>
          <w:rFonts w:hint="eastAsia" w:ascii="宋体" w:hAnsi="宋体" w:cs="宋体"/>
        </w:rPr>
        <w:t>符合GB/T 42478的规定</w:t>
      </w:r>
      <w:r>
        <w:t>。</w:t>
      </w:r>
    </w:p>
    <w:p w14:paraId="1C2C5BF2">
      <w:pPr>
        <w:pStyle w:val="60"/>
        <w:ind w:firstLine="420"/>
      </w:pPr>
    </w:p>
    <w:p w14:paraId="6CD014EC">
      <w:pPr>
        <w:pStyle w:val="60"/>
        <w:ind w:firstLine="420"/>
        <w:sectPr>
          <w:pgSz w:w="11906" w:h="16838"/>
          <w:pgMar w:top="1928" w:right="1134" w:bottom="1134" w:left="1134" w:header="1418" w:footer="1134" w:gutter="284"/>
          <w:pgNumType w:start="1"/>
          <w:cols w:space="425" w:num="1"/>
          <w:formProt w:val="0"/>
          <w:docGrid w:linePitch="312" w:charSpace="0"/>
        </w:sectPr>
      </w:pPr>
    </w:p>
    <w:bookmarkEnd w:id="25"/>
    <w:p w14:paraId="05BFA2EA">
      <w:pPr>
        <w:pStyle w:val="202"/>
        <w:rPr>
          <w:rFonts w:hint="eastAsia"/>
          <w:vanish w:val="0"/>
        </w:rPr>
      </w:pPr>
      <w:bookmarkStart w:id="116" w:name="BookMark5"/>
    </w:p>
    <w:p w14:paraId="23D9A42E">
      <w:pPr>
        <w:pStyle w:val="203"/>
        <w:rPr>
          <w:vanish w:val="0"/>
        </w:rPr>
      </w:pPr>
    </w:p>
    <w:p w14:paraId="6F7C42E3">
      <w:pPr>
        <w:pStyle w:val="80"/>
        <w:spacing w:after="120"/>
      </w:pPr>
      <w:r>
        <w:br w:type="textWrapping"/>
      </w:r>
      <w:r>
        <w:rPr>
          <w:rFonts w:hint="eastAsia"/>
        </w:rPr>
        <w:t>（资料性）</w:t>
      </w:r>
      <w:r>
        <w:br w:type="textWrapping"/>
      </w:r>
      <w:r>
        <w:t>种衣剂使用</w:t>
      </w:r>
      <w:r>
        <w:rPr>
          <w:rFonts w:hint="eastAsia"/>
        </w:rPr>
        <w:t>及花生病害防控用药</w:t>
      </w:r>
    </w:p>
    <w:p w14:paraId="0D1EF7ED">
      <w:pPr>
        <w:pStyle w:val="82"/>
        <w:spacing w:before="120" w:after="120"/>
      </w:pPr>
      <w:r>
        <w:t>种衣剂使用表</w:t>
      </w:r>
    </w:p>
    <w:p w14:paraId="781A0381">
      <w:pPr>
        <w:pStyle w:val="60"/>
        <w:ind w:firstLine="420"/>
        <w:rPr>
          <w:rFonts w:hint="eastAsia" w:ascii="宋体" w:hAnsi="宋体" w:cs="宋体"/>
        </w:rPr>
      </w:pPr>
      <w:r>
        <w:rPr>
          <w:rFonts w:hint="eastAsia" w:ascii="宋体" w:hAnsi="宋体" w:cs="宋体"/>
        </w:rPr>
        <w:t>见表A.1。</w:t>
      </w:r>
    </w:p>
    <w:p w14:paraId="190565D9">
      <w:pPr>
        <w:pStyle w:val="81"/>
        <w:spacing w:before="120" w:after="120"/>
      </w:pPr>
      <w:r>
        <w:t>花生种衣剂使用表</w:t>
      </w:r>
    </w:p>
    <w:tbl>
      <w:tblPr>
        <w:tblStyle w:val="30"/>
        <w:tblW w:w="9688"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2121"/>
        <w:gridCol w:w="2895"/>
        <w:gridCol w:w="2956"/>
        <w:gridCol w:w="1716"/>
      </w:tblGrid>
      <w:tr w14:paraId="2AB09F4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single" w:color="auto" w:sz="8" w:space="0"/>
              <w:bottom w:val="single" w:color="auto" w:sz="8" w:space="0"/>
              <w:right w:val="single" w:color="auto" w:sz="4" w:space="0"/>
            </w:tcBorders>
            <w:vAlign w:val="center"/>
          </w:tcPr>
          <w:p w14:paraId="7F210494">
            <w:pPr>
              <w:pStyle w:val="19"/>
              <w:tabs>
                <w:tab w:val="clear" w:pos="4153"/>
                <w:tab w:val="clear" w:pos="8306"/>
              </w:tabs>
              <w:spacing w:line="240" w:lineRule="auto"/>
              <w:rPr>
                <w:rFonts w:hint="eastAsia" w:ascii="宋体" w:hAnsi="宋体"/>
                <w:b/>
              </w:rPr>
            </w:pPr>
            <w:r>
              <w:rPr>
                <w:rFonts w:ascii="宋体" w:hAnsi="宋体"/>
                <w:b/>
              </w:rPr>
              <w:t>药剂名称</w:t>
            </w:r>
          </w:p>
        </w:tc>
        <w:tc>
          <w:tcPr>
            <w:tcW w:w="0" w:type="auto"/>
            <w:tcBorders>
              <w:top w:val="single" w:color="auto" w:sz="8" w:space="0"/>
              <w:left w:val="single" w:color="auto" w:sz="4" w:space="0"/>
              <w:bottom w:val="single" w:color="auto" w:sz="8" w:space="0"/>
              <w:right w:val="single" w:color="auto" w:sz="4" w:space="0"/>
            </w:tcBorders>
            <w:vAlign w:val="center"/>
          </w:tcPr>
          <w:p w14:paraId="30B99E4C">
            <w:pPr>
              <w:pStyle w:val="19"/>
              <w:tabs>
                <w:tab w:val="clear" w:pos="4153"/>
                <w:tab w:val="clear" w:pos="8306"/>
              </w:tabs>
              <w:spacing w:line="240" w:lineRule="auto"/>
              <w:rPr>
                <w:rFonts w:hint="eastAsia" w:ascii="宋体" w:hAnsi="宋体"/>
                <w:b/>
              </w:rPr>
            </w:pPr>
            <w:r>
              <w:rPr>
                <w:rFonts w:ascii="宋体" w:hAnsi="宋体"/>
                <w:b/>
              </w:rPr>
              <w:t>有效成分</w:t>
            </w:r>
          </w:p>
        </w:tc>
        <w:tc>
          <w:tcPr>
            <w:tcW w:w="0" w:type="auto"/>
            <w:tcBorders>
              <w:top w:val="single" w:color="auto" w:sz="8" w:space="0"/>
              <w:left w:val="single" w:color="auto" w:sz="4" w:space="0"/>
              <w:bottom w:val="single" w:color="auto" w:sz="8" w:space="0"/>
              <w:right w:val="single" w:color="auto" w:sz="4" w:space="0"/>
            </w:tcBorders>
            <w:vAlign w:val="center"/>
          </w:tcPr>
          <w:p w14:paraId="5BFA9F40">
            <w:pPr>
              <w:pStyle w:val="19"/>
              <w:tabs>
                <w:tab w:val="clear" w:pos="4153"/>
                <w:tab w:val="clear" w:pos="8306"/>
              </w:tabs>
              <w:spacing w:line="240" w:lineRule="auto"/>
              <w:rPr>
                <w:rFonts w:hint="eastAsia" w:ascii="宋体" w:hAnsi="宋体"/>
                <w:b/>
              </w:rPr>
            </w:pPr>
            <w:r>
              <w:rPr>
                <w:rFonts w:ascii="宋体" w:hAnsi="宋体"/>
                <w:b/>
              </w:rPr>
              <w:t>防治对象</w:t>
            </w:r>
          </w:p>
        </w:tc>
        <w:tc>
          <w:tcPr>
            <w:tcW w:w="1716" w:type="dxa"/>
            <w:tcBorders>
              <w:top w:val="single" w:color="auto" w:sz="8" w:space="0"/>
              <w:left w:val="single" w:color="auto" w:sz="4" w:space="0"/>
              <w:bottom w:val="single" w:color="auto" w:sz="8" w:space="0"/>
            </w:tcBorders>
            <w:vAlign w:val="center"/>
          </w:tcPr>
          <w:p w14:paraId="38BC4BB1">
            <w:pPr>
              <w:pStyle w:val="19"/>
              <w:tabs>
                <w:tab w:val="clear" w:pos="4153"/>
                <w:tab w:val="clear" w:pos="8306"/>
              </w:tabs>
              <w:spacing w:line="240" w:lineRule="auto"/>
              <w:rPr>
                <w:rFonts w:hint="eastAsia" w:ascii="宋体" w:hAnsi="宋体"/>
                <w:b/>
              </w:rPr>
            </w:pPr>
            <w:r>
              <w:rPr>
                <w:rFonts w:ascii="宋体" w:hAnsi="宋体"/>
                <w:b/>
              </w:rPr>
              <w:t>使用方法</w:t>
            </w:r>
          </w:p>
        </w:tc>
      </w:tr>
      <w:tr w14:paraId="77023F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0" w:type="auto"/>
            <w:tcBorders>
              <w:top w:val="single" w:color="auto" w:sz="8" w:space="0"/>
              <w:bottom w:val="single" w:color="auto" w:sz="4" w:space="0"/>
              <w:right w:val="single" w:color="auto" w:sz="4" w:space="0"/>
            </w:tcBorders>
            <w:vAlign w:val="center"/>
          </w:tcPr>
          <w:p w14:paraId="54DBB97E">
            <w:pPr>
              <w:pStyle w:val="19"/>
              <w:tabs>
                <w:tab w:val="clear" w:pos="4153"/>
                <w:tab w:val="clear" w:pos="8306"/>
              </w:tabs>
              <w:spacing w:line="240" w:lineRule="auto"/>
              <w:rPr>
                <w:rFonts w:hint="eastAsia" w:ascii="宋体" w:hAnsi="宋体"/>
              </w:rPr>
            </w:pPr>
            <w:r>
              <w:rPr>
                <w:rFonts w:ascii="宋体" w:hAnsi="宋体"/>
              </w:rPr>
              <w:t>咯菌腈·精甲霜灵</w:t>
            </w:r>
          </w:p>
        </w:tc>
        <w:tc>
          <w:tcPr>
            <w:tcW w:w="0" w:type="auto"/>
            <w:tcBorders>
              <w:top w:val="single" w:color="auto" w:sz="8" w:space="0"/>
              <w:left w:val="single" w:color="auto" w:sz="4" w:space="0"/>
              <w:bottom w:val="single" w:color="auto" w:sz="4" w:space="0"/>
              <w:right w:val="single" w:color="auto" w:sz="4" w:space="0"/>
            </w:tcBorders>
            <w:vAlign w:val="center"/>
          </w:tcPr>
          <w:p w14:paraId="0C67E7ED">
            <w:pPr>
              <w:pStyle w:val="19"/>
              <w:tabs>
                <w:tab w:val="clear" w:pos="4153"/>
                <w:tab w:val="clear" w:pos="8306"/>
              </w:tabs>
              <w:spacing w:line="240" w:lineRule="auto"/>
              <w:rPr>
                <w:rFonts w:hint="eastAsia" w:ascii="宋体" w:hAnsi="宋体"/>
              </w:rPr>
            </w:pPr>
            <w:r>
              <w:rPr>
                <w:rFonts w:ascii="宋体" w:hAnsi="宋体"/>
              </w:rPr>
              <w:t>2.5％咯菌腈+3.5％精甲霜灵</w:t>
            </w:r>
          </w:p>
        </w:tc>
        <w:tc>
          <w:tcPr>
            <w:tcW w:w="0" w:type="auto"/>
            <w:tcBorders>
              <w:top w:val="single" w:color="auto" w:sz="8" w:space="0"/>
              <w:left w:val="single" w:color="auto" w:sz="4" w:space="0"/>
              <w:bottom w:val="single" w:color="auto" w:sz="4" w:space="0"/>
              <w:right w:val="single" w:color="auto" w:sz="4" w:space="0"/>
            </w:tcBorders>
            <w:vAlign w:val="center"/>
          </w:tcPr>
          <w:p w14:paraId="093917B6">
            <w:pPr>
              <w:pStyle w:val="19"/>
              <w:tabs>
                <w:tab w:val="clear" w:pos="4153"/>
                <w:tab w:val="clear" w:pos="8306"/>
              </w:tabs>
              <w:spacing w:line="240" w:lineRule="auto"/>
              <w:jc w:val="left"/>
              <w:rPr>
                <w:rFonts w:hint="eastAsia" w:ascii="宋体" w:hAnsi="宋体"/>
              </w:rPr>
            </w:pPr>
            <w:r>
              <w:rPr>
                <w:rFonts w:ascii="宋体" w:hAnsi="宋体"/>
              </w:rPr>
              <w:t>根腐病、茎腐病等</w:t>
            </w:r>
          </w:p>
        </w:tc>
        <w:tc>
          <w:tcPr>
            <w:tcW w:w="1716" w:type="dxa"/>
            <w:tcBorders>
              <w:top w:val="single" w:color="auto" w:sz="8" w:space="0"/>
              <w:left w:val="single" w:color="auto" w:sz="4" w:space="0"/>
              <w:bottom w:val="single" w:color="auto" w:sz="4" w:space="0"/>
            </w:tcBorders>
            <w:vAlign w:val="center"/>
          </w:tcPr>
          <w:p w14:paraId="6E4F65D3">
            <w:pPr>
              <w:pStyle w:val="19"/>
              <w:tabs>
                <w:tab w:val="clear" w:pos="4153"/>
                <w:tab w:val="clear" w:pos="8306"/>
              </w:tabs>
              <w:spacing w:line="240" w:lineRule="auto"/>
              <w:rPr>
                <w:rFonts w:hint="eastAsia" w:ascii="宋体" w:hAnsi="宋体"/>
              </w:rPr>
            </w:pPr>
            <w:r>
              <w:rPr>
                <w:rFonts w:ascii="宋体" w:hAnsi="宋体"/>
              </w:rPr>
              <w:t>按说明书使用</w:t>
            </w:r>
          </w:p>
        </w:tc>
      </w:tr>
      <w:tr w14:paraId="1136BE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0" w:type="auto"/>
            <w:tcBorders>
              <w:top w:val="single" w:color="auto" w:sz="4" w:space="0"/>
              <w:bottom w:val="single" w:color="auto" w:sz="4" w:space="0"/>
              <w:right w:val="single" w:color="auto" w:sz="4" w:space="0"/>
            </w:tcBorders>
            <w:vAlign w:val="center"/>
          </w:tcPr>
          <w:p w14:paraId="2C3D5312">
            <w:pPr>
              <w:pStyle w:val="19"/>
              <w:tabs>
                <w:tab w:val="clear" w:pos="4153"/>
                <w:tab w:val="clear" w:pos="8306"/>
              </w:tabs>
              <w:spacing w:line="240" w:lineRule="auto"/>
              <w:rPr>
                <w:rFonts w:hint="eastAsia" w:ascii="宋体" w:hAnsi="宋体"/>
              </w:rPr>
            </w:pPr>
            <w:r>
              <w:rPr>
                <w:rFonts w:ascii="宋体" w:hAnsi="宋体"/>
              </w:rPr>
              <w:t>噻虫嗪·福美双</w:t>
            </w:r>
          </w:p>
        </w:tc>
        <w:tc>
          <w:tcPr>
            <w:tcW w:w="0" w:type="auto"/>
            <w:tcBorders>
              <w:top w:val="single" w:color="auto" w:sz="4" w:space="0"/>
              <w:left w:val="single" w:color="auto" w:sz="4" w:space="0"/>
              <w:bottom w:val="single" w:color="auto" w:sz="4" w:space="0"/>
              <w:right w:val="single" w:color="auto" w:sz="4" w:space="0"/>
            </w:tcBorders>
            <w:vAlign w:val="center"/>
          </w:tcPr>
          <w:p w14:paraId="47A8B148">
            <w:pPr>
              <w:pStyle w:val="19"/>
              <w:tabs>
                <w:tab w:val="clear" w:pos="4153"/>
                <w:tab w:val="clear" w:pos="8306"/>
              </w:tabs>
              <w:spacing w:line="240" w:lineRule="auto"/>
              <w:rPr>
                <w:rFonts w:hint="eastAsia" w:ascii="宋体" w:hAnsi="宋体"/>
              </w:rPr>
            </w:pPr>
            <w:r>
              <w:rPr>
                <w:rFonts w:ascii="宋体" w:hAnsi="宋体"/>
              </w:rPr>
              <w:t>20％噻虫嗪+25％福美双</w:t>
            </w:r>
          </w:p>
        </w:tc>
        <w:tc>
          <w:tcPr>
            <w:tcW w:w="0" w:type="auto"/>
            <w:tcBorders>
              <w:top w:val="single" w:color="auto" w:sz="4" w:space="0"/>
              <w:left w:val="single" w:color="auto" w:sz="4" w:space="0"/>
              <w:bottom w:val="single" w:color="auto" w:sz="4" w:space="0"/>
              <w:right w:val="single" w:color="auto" w:sz="4" w:space="0"/>
            </w:tcBorders>
            <w:vAlign w:val="center"/>
          </w:tcPr>
          <w:p w14:paraId="2DA5E588">
            <w:pPr>
              <w:pStyle w:val="19"/>
              <w:tabs>
                <w:tab w:val="clear" w:pos="4153"/>
                <w:tab w:val="clear" w:pos="8306"/>
              </w:tabs>
              <w:spacing w:line="240" w:lineRule="auto"/>
              <w:jc w:val="left"/>
              <w:rPr>
                <w:rFonts w:hint="eastAsia" w:ascii="宋体" w:hAnsi="宋体"/>
              </w:rPr>
            </w:pPr>
            <w:r>
              <w:rPr>
                <w:rFonts w:ascii="宋体" w:hAnsi="宋体"/>
              </w:rPr>
              <w:t>蚜虫、地下害虫、根腐病等</w:t>
            </w:r>
          </w:p>
        </w:tc>
        <w:tc>
          <w:tcPr>
            <w:tcW w:w="1716" w:type="dxa"/>
            <w:tcBorders>
              <w:top w:val="single" w:color="auto" w:sz="4" w:space="0"/>
              <w:left w:val="single" w:color="auto" w:sz="4" w:space="0"/>
              <w:bottom w:val="single" w:color="auto" w:sz="4" w:space="0"/>
            </w:tcBorders>
            <w:vAlign w:val="center"/>
          </w:tcPr>
          <w:p w14:paraId="50636C18">
            <w:pPr>
              <w:snapToGrid w:val="0"/>
              <w:spacing w:line="240" w:lineRule="auto"/>
              <w:jc w:val="center"/>
              <w:rPr>
                <w:rFonts w:hint="eastAsia" w:ascii="宋体" w:hAnsi="宋体"/>
                <w:sz w:val="18"/>
                <w:szCs w:val="18"/>
              </w:rPr>
            </w:pPr>
            <w:r>
              <w:rPr>
                <w:rFonts w:ascii="宋体" w:hAnsi="宋体"/>
                <w:sz w:val="18"/>
                <w:szCs w:val="18"/>
              </w:rPr>
              <w:t>按说明书使用</w:t>
            </w:r>
          </w:p>
        </w:tc>
      </w:tr>
      <w:tr w14:paraId="249A1D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0" w:type="auto"/>
            <w:tcBorders>
              <w:top w:val="single" w:color="auto" w:sz="4" w:space="0"/>
              <w:bottom w:val="single" w:color="auto" w:sz="4" w:space="0"/>
              <w:right w:val="single" w:color="auto" w:sz="4" w:space="0"/>
            </w:tcBorders>
            <w:vAlign w:val="center"/>
          </w:tcPr>
          <w:p w14:paraId="7C43398E">
            <w:pPr>
              <w:pStyle w:val="19"/>
              <w:tabs>
                <w:tab w:val="clear" w:pos="4153"/>
                <w:tab w:val="clear" w:pos="8306"/>
              </w:tabs>
              <w:spacing w:line="240" w:lineRule="auto"/>
              <w:rPr>
                <w:rFonts w:hint="eastAsia" w:ascii="宋体" w:hAnsi="宋体"/>
              </w:rPr>
            </w:pPr>
            <w:r>
              <w:rPr>
                <w:rFonts w:ascii="宋体" w:hAnsi="宋体"/>
              </w:rPr>
              <w:t>苯醚甲环唑·咯菌腈</w:t>
            </w:r>
          </w:p>
        </w:tc>
        <w:tc>
          <w:tcPr>
            <w:tcW w:w="0" w:type="auto"/>
            <w:tcBorders>
              <w:top w:val="single" w:color="auto" w:sz="4" w:space="0"/>
              <w:left w:val="single" w:color="auto" w:sz="4" w:space="0"/>
              <w:bottom w:val="single" w:color="auto" w:sz="4" w:space="0"/>
              <w:right w:val="single" w:color="auto" w:sz="4" w:space="0"/>
            </w:tcBorders>
            <w:vAlign w:val="center"/>
          </w:tcPr>
          <w:p w14:paraId="3A03F06D">
            <w:pPr>
              <w:pStyle w:val="19"/>
              <w:tabs>
                <w:tab w:val="clear" w:pos="4153"/>
                <w:tab w:val="clear" w:pos="8306"/>
              </w:tabs>
              <w:spacing w:line="240" w:lineRule="auto"/>
              <w:rPr>
                <w:rFonts w:hint="eastAsia" w:ascii="宋体" w:hAnsi="宋体"/>
              </w:rPr>
            </w:pPr>
            <w:r>
              <w:rPr>
                <w:rFonts w:ascii="宋体" w:hAnsi="宋体"/>
              </w:rPr>
              <w:t>3％苯醚甲环唑+2％咯菌腈</w:t>
            </w:r>
          </w:p>
        </w:tc>
        <w:tc>
          <w:tcPr>
            <w:tcW w:w="0" w:type="auto"/>
            <w:tcBorders>
              <w:top w:val="single" w:color="auto" w:sz="4" w:space="0"/>
              <w:left w:val="single" w:color="auto" w:sz="4" w:space="0"/>
              <w:bottom w:val="single" w:color="auto" w:sz="4" w:space="0"/>
              <w:right w:val="single" w:color="auto" w:sz="4" w:space="0"/>
            </w:tcBorders>
            <w:vAlign w:val="center"/>
          </w:tcPr>
          <w:p w14:paraId="442B588B">
            <w:pPr>
              <w:pStyle w:val="19"/>
              <w:tabs>
                <w:tab w:val="clear" w:pos="4153"/>
                <w:tab w:val="clear" w:pos="8306"/>
              </w:tabs>
              <w:spacing w:line="240" w:lineRule="auto"/>
              <w:jc w:val="left"/>
              <w:rPr>
                <w:rFonts w:hint="eastAsia" w:ascii="宋体" w:hAnsi="宋体"/>
              </w:rPr>
            </w:pPr>
            <w:r>
              <w:rPr>
                <w:rFonts w:ascii="宋体" w:hAnsi="宋体"/>
              </w:rPr>
              <w:t>立枯病、根腐病、炭疽病等</w:t>
            </w:r>
          </w:p>
        </w:tc>
        <w:tc>
          <w:tcPr>
            <w:tcW w:w="1716" w:type="dxa"/>
            <w:tcBorders>
              <w:top w:val="single" w:color="auto" w:sz="4" w:space="0"/>
              <w:left w:val="single" w:color="auto" w:sz="4" w:space="0"/>
              <w:bottom w:val="single" w:color="auto" w:sz="4" w:space="0"/>
            </w:tcBorders>
            <w:vAlign w:val="center"/>
          </w:tcPr>
          <w:p w14:paraId="4DF0A942">
            <w:pPr>
              <w:snapToGrid w:val="0"/>
              <w:spacing w:line="240" w:lineRule="auto"/>
              <w:jc w:val="center"/>
              <w:rPr>
                <w:rFonts w:hint="eastAsia" w:ascii="宋体" w:hAnsi="宋体"/>
                <w:sz w:val="18"/>
                <w:szCs w:val="18"/>
              </w:rPr>
            </w:pPr>
            <w:r>
              <w:rPr>
                <w:rFonts w:ascii="宋体" w:hAnsi="宋体"/>
                <w:sz w:val="18"/>
                <w:szCs w:val="18"/>
              </w:rPr>
              <w:t>按说明书使用</w:t>
            </w:r>
          </w:p>
        </w:tc>
      </w:tr>
      <w:tr w14:paraId="02562C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0" w:type="auto"/>
            <w:tcBorders>
              <w:top w:val="single" w:color="auto" w:sz="4" w:space="0"/>
              <w:bottom w:val="single" w:color="auto" w:sz="4" w:space="0"/>
              <w:right w:val="single" w:color="auto" w:sz="4" w:space="0"/>
            </w:tcBorders>
            <w:vAlign w:val="center"/>
          </w:tcPr>
          <w:p w14:paraId="4778C622">
            <w:pPr>
              <w:pStyle w:val="19"/>
              <w:tabs>
                <w:tab w:val="clear" w:pos="4153"/>
                <w:tab w:val="clear" w:pos="8306"/>
              </w:tabs>
              <w:spacing w:line="240" w:lineRule="auto"/>
              <w:rPr>
                <w:rFonts w:hint="eastAsia" w:ascii="宋体" w:hAnsi="宋体"/>
              </w:rPr>
            </w:pPr>
            <w:r>
              <w:rPr>
                <w:rFonts w:ascii="宋体" w:hAnsi="宋体"/>
              </w:rPr>
              <w:t>毒死蜱·多菌灵</w:t>
            </w:r>
          </w:p>
        </w:tc>
        <w:tc>
          <w:tcPr>
            <w:tcW w:w="0" w:type="auto"/>
            <w:tcBorders>
              <w:top w:val="single" w:color="auto" w:sz="4" w:space="0"/>
              <w:left w:val="single" w:color="auto" w:sz="4" w:space="0"/>
              <w:bottom w:val="single" w:color="auto" w:sz="4" w:space="0"/>
              <w:right w:val="single" w:color="auto" w:sz="4" w:space="0"/>
            </w:tcBorders>
            <w:vAlign w:val="center"/>
          </w:tcPr>
          <w:p w14:paraId="7F55E32F">
            <w:pPr>
              <w:pStyle w:val="19"/>
              <w:tabs>
                <w:tab w:val="clear" w:pos="4153"/>
                <w:tab w:val="clear" w:pos="8306"/>
              </w:tabs>
              <w:spacing w:line="240" w:lineRule="auto"/>
              <w:rPr>
                <w:rFonts w:hint="eastAsia" w:ascii="宋体" w:hAnsi="宋体"/>
              </w:rPr>
            </w:pPr>
            <w:r>
              <w:rPr>
                <w:rFonts w:ascii="宋体" w:hAnsi="宋体"/>
              </w:rPr>
              <w:t>15％毒死蜱+20％多菌灵</w:t>
            </w:r>
          </w:p>
        </w:tc>
        <w:tc>
          <w:tcPr>
            <w:tcW w:w="0" w:type="auto"/>
            <w:tcBorders>
              <w:top w:val="single" w:color="auto" w:sz="4" w:space="0"/>
              <w:left w:val="single" w:color="auto" w:sz="4" w:space="0"/>
              <w:bottom w:val="single" w:color="auto" w:sz="4" w:space="0"/>
              <w:right w:val="single" w:color="auto" w:sz="4" w:space="0"/>
            </w:tcBorders>
            <w:vAlign w:val="center"/>
          </w:tcPr>
          <w:p w14:paraId="1CF9844D">
            <w:pPr>
              <w:pStyle w:val="19"/>
              <w:tabs>
                <w:tab w:val="clear" w:pos="4153"/>
                <w:tab w:val="clear" w:pos="8306"/>
              </w:tabs>
              <w:spacing w:line="240" w:lineRule="auto"/>
              <w:jc w:val="left"/>
              <w:rPr>
                <w:rFonts w:hint="eastAsia" w:ascii="宋体" w:hAnsi="宋体"/>
              </w:rPr>
            </w:pPr>
            <w:r>
              <w:rPr>
                <w:rFonts w:ascii="宋体" w:hAnsi="宋体"/>
              </w:rPr>
              <w:t>蛴螬、地老虎、根腐病等</w:t>
            </w:r>
          </w:p>
        </w:tc>
        <w:tc>
          <w:tcPr>
            <w:tcW w:w="1716" w:type="dxa"/>
            <w:tcBorders>
              <w:top w:val="single" w:color="auto" w:sz="4" w:space="0"/>
              <w:left w:val="single" w:color="auto" w:sz="4" w:space="0"/>
              <w:bottom w:val="single" w:color="auto" w:sz="4" w:space="0"/>
            </w:tcBorders>
            <w:vAlign w:val="center"/>
          </w:tcPr>
          <w:p w14:paraId="2B554C20">
            <w:pPr>
              <w:snapToGrid w:val="0"/>
              <w:spacing w:line="240" w:lineRule="auto"/>
              <w:jc w:val="center"/>
              <w:rPr>
                <w:rFonts w:hint="eastAsia" w:ascii="宋体" w:hAnsi="宋体"/>
                <w:sz w:val="18"/>
                <w:szCs w:val="18"/>
              </w:rPr>
            </w:pPr>
            <w:r>
              <w:rPr>
                <w:rFonts w:ascii="宋体" w:hAnsi="宋体"/>
                <w:sz w:val="18"/>
                <w:szCs w:val="18"/>
              </w:rPr>
              <w:t>按说明书使用</w:t>
            </w:r>
          </w:p>
        </w:tc>
      </w:tr>
      <w:tr w14:paraId="5B633F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2121" w:type="dxa"/>
            <w:tcBorders>
              <w:top w:val="single" w:color="auto" w:sz="4" w:space="0"/>
              <w:bottom w:val="single" w:color="auto" w:sz="8" w:space="0"/>
              <w:right w:val="single" w:color="auto" w:sz="4" w:space="0"/>
            </w:tcBorders>
            <w:vAlign w:val="center"/>
          </w:tcPr>
          <w:p w14:paraId="3EF2883E">
            <w:pPr>
              <w:pStyle w:val="19"/>
              <w:tabs>
                <w:tab w:val="clear" w:pos="4153"/>
                <w:tab w:val="clear" w:pos="8306"/>
              </w:tabs>
              <w:spacing w:line="240" w:lineRule="auto"/>
              <w:rPr>
                <w:rFonts w:hint="eastAsia" w:ascii="宋体" w:hAnsi="宋体"/>
              </w:rPr>
            </w:pPr>
            <w:r>
              <w:rPr>
                <w:rFonts w:ascii="宋体" w:hAnsi="宋体"/>
              </w:rPr>
              <w:t>萎锈灵·福美双</w:t>
            </w:r>
          </w:p>
        </w:tc>
        <w:tc>
          <w:tcPr>
            <w:tcW w:w="2895" w:type="dxa"/>
            <w:tcBorders>
              <w:top w:val="single" w:color="auto" w:sz="4" w:space="0"/>
              <w:left w:val="single" w:color="auto" w:sz="4" w:space="0"/>
              <w:bottom w:val="single" w:color="auto" w:sz="8" w:space="0"/>
              <w:right w:val="single" w:color="auto" w:sz="4" w:space="0"/>
            </w:tcBorders>
            <w:vAlign w:val="center"/>
          </w:tcPr>
          <w:p w14:paraId="79619308">
            <w:pPr>
              <w:pStyle w:val="19"/>
              <w:tabs>
                <w:tab w:val="clear" w:pos="4153"/>
                <w:tab w:val="clear" w:pos="8306"/>
              </w:tabs>
              <w:spacing w:line="240" w:lineRule="auto"/>
              <w:rPr>
                <w:rFonts w:hint="eastAsia" w:ascii="宋体" w:hAnsi="宋体"/>
              </w:rPr>
            </w:pPr>
            <w:r>
              <w:rPr>
                <w:rFonts w:ascii="宋体" w:hAnsi="宋体"/>
              </w:rPr>
              <w:t>20％萎锈灵+20％福美双</w:t>
            </w:r>
          </w:p>
        </w:tc>
        <w:tc>
          <w:tcPr>
            <w:tcW w:w="2956" w:type="dxa"/>
            <w:tcBorders>
              <w:top w:val="single" w:color="auto" w:sz="4" w:space="0"/>
              <w:left w:val="single" w:color="auto" w:sz="4" w:space="0"/>
              <w:bottom w:val="single" w:color="auto" w:sz="8" w:space="0"/>
              <w:right w:val="single" w:color="auto" w:sz="4" w:space="0"/>
            </w:tcBorders>
            <w:vAlign w:val="center"/>
          </w:tcPr>
          <w:p w14:paraId="2F5288F4">
            <w:pPr>
              <w:pStyle w:val="19"/>
              <w:tabs>
                <w:tab w:val="clear" w:pos="4153"/>
                <w:tab w:val="clear" w:pos="8306"/>
              </w:tabs>
              <w:spacing w:line="240" w:lineRule="auto"/>
              <w:jc w:val="left"/>
              <w:rPr>
                <w:rFonts w:hint="eastAsia" w:ascii="宋体" w:hAnsi="宋体"/>
              </w:rPr>
            </w:pPr>
            <w:r>
              <w:rPr>
                <w:rFonts w:ascii="宋体" w:hAnsi="宋体"/>
              </w:rPr>
              <w:t>锈病、根腐病、茎基腐病等</w:t>
            </w:r>
          </w:p>
        </w:tc>
        <w:tc>
          <w:tcPr>
            <w:tcW w:w="1716" w:type="dxa"/>
            <w:tcBorders>
              <w:top w:val="single" w:color="auto" w:sz="4" w:space="0"/>
              <w:left w:val="single" w:color="auto" w:sz="4" w:space="0"/>
              <w:bottom w:val="single" w:color="auto" w:sz="8" w:space="0"/>
            </w:tcBorders>
            <w:vAlign w:val="center"/>
          </w:tcPr>
          <w:p w14:paraId="0C5CB39D">
            <w:pPr>
              <w:snapToGrid w:val="0"/>
              <w:spacing w:line="240" w:lineRule="auto"/>
              <w:jc w:val="center"/>
              <w:rPr>
                <w:rFonts w:hint="eastAsia" w:ascii="宋体" w:hAnsi="宋体"/>
                <w:sz w:val="18"/>
                <w:szCs w:val="18"/>
              </w:rPr>
            </w:pPr>
            <w:r>
              <w:rPr>
                <w:rFonts w:ascii="宋体" w:hAnsi="宋体"/>
                <w:sz w:val="18"/>
                <w:szCs w:val="18"/>
              </w:rPr>
              <w:t>按说明书使用</w:t>
            </w:r>
          </w:p>
        </w:tc>
      </w:tr>
    </w:tbl>
    <w:p w14:paraId="098D3380">
      <w:pPr>
        <w:pStyle w:val="60"/>
        <w:ind w:firstLine="420"/>
      </w:pPr>
    </w:p>
    <w:p w14:paraId="08FD5C77">
      <w:pPr>
        <w:pStyle w:val="82"/>
        <w:spacing w:before="120" w:after="120"/>
      </w:pPr>
      <w:r>
        <w:t>病害防控用药表</w:t>
      </w:r>
    </w:p>
    <w:p w14:paraId="7AD10616">
      <w:pPr>
        <w:pStyle w:val="60"/>
        <w:ind w:firstLine="420"/>
        <w:rPr>
          <w:rFonts w:hint="eastAsia" w:ascii="宋体" w:hAnsi="宋体" w:cs="宋体"/>
        </w:rPr>
      </w:pPr>
      <w:r>
        <w:rPr>
          <w:rFonts w:hint="eastAsia" w:ascii="宋体" w:hAnsi="宋体" w:cs="宋体"/>
        </w:rPr>
        <w:t>见表A.2。</w:t>
      </w:r>
    </w:p>
    <w:p w14:paraId="3FE3776C">
      <w:pPr>
        <w:pStyle w:val="81"/>
        <w:spacing w:before="120" w:after="120"/>
      </w:pPr>
      <w:r>
        <w:rPr>
          <w:rFonts w:hint="eastAsia"/>
        </w:rPr>
        <w:t>花生病害防控用药表</w:t>
      </w:r>
    </w:p>
    <w:tbl>
      <w:tblPr>
        <w:tblStyle w:val="29"/>
        <w:tblW w:w="9854" w:type="dxa"/>
        <w:jc w:val="center"/>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1385"/>
        <w:gridCol w:w="4983"/>
        <w:gridCol w:w="1623"/>
        <w:gridCol w:w="1863"/>
      </w:tblGrid>
      <w:tr w14:paraId="6726D07E">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tblHeader/>
          <w:jc w:val="center"/>
        </w:trPr>
        <w:tc>
          <w:tcPr>
            <w:tcW w:w="1385" w:type="dxa"/>
            <w:tcBorders>
              <w:top w:val="single" w:color="000000" w:sz="8" w:space="0"/>
              <w:bottom w:val="single" w:color="000000" w:sz="8" w:space="0"/>
              <w:right w:val="single" w:color="auto" w:sz="4" w:space="0"/>
            </w:tcBorders>
            <w:vAlign w:val="center"/>
          </w:tcPr>
          <w:p w14:paraId="146946C6">
            <w:pPr>
              <w:widowControl/>
              <w:snapToGrid w:val="0"/>
              <w:spacing w:line="240" w:lineRule="auto"/>
              <w:jc w:val="center"/>
              <w:textAlignment w:val="center"/>
              <w:rPr>
                <w:rFonts w:hint="eastAsia" w:ascii="宋体" w:hAnsi="宋体"/>
                <w:b/>
                <w:bCs/>
                <w:color w:val="000000"/>
                <w:sz w:val="18"/>
                <w:szCs w:val="18"/>
              </w:rPr>
            </w:pPr>
            <w:r>
              <w:rPr>
                <w:rFonts w:ascii="宋体" w:hAnsi="宋体"/>
                <w:b/>
                <w:bCs/>
                <w:color w:val="000000"/>
                <w:kern w:val="0"/>
                <w:sz w:val="18"/>
                <w:szCs w:val="18"/>
                <w:lang w:bidi="ar"/>
              </w:rPr>
              <w:t>病害名称</w:t>
            </w:r>
          </w:p>
        </w:tc>
        <w:tc>
          <w:tcPr>
            <w:tcW w:w="4984" w:type="dxa"/>
            <w:tcBorders>
              <w:top w:val="single" w:color="000000" w:sz="8" w:space="0"/>
              <w:left w:val="single" w:color="auto" w:sz="4" w:space="0"/>
              <w:bottom w:val="single" w:color="000000" w:sz="8" w:space="0"/>
              <w:right w:val="single" w:color="auto" w:sz="4" w:space="0"/>
            </w:tcBorders>
            <w:vAlign w:val="center"/>
          </w:tcPr>
          <w:p w14:paraId="25CCD9EC">
            <w:pPr>
              <w:widowControl/>
              <w:snapToGrid w:val="0"/>
              <w:spacing w:line="240" w:lineRule="auto"/>
              <w:jc w:val="center"/>
              <w:textAlignment w:val="center"/>
              <w:rPr>
                <w:rFonts w:hint="eastAsia" w:ascii="宋体" w:hAnsi="宋体"/>
                <w:b/>
                <w:bCs/>
                <w:color w:val="000000"/>
                <w:sz w:val="18"/>
                <w:szCs w:val="18"/>
              </w:rPr>
            </w:pPr>
            <w:r>
              <w:rPr>
                <w:rFonts w:ascii="宋体" w:hAnsi="宋体"/>
                <w:b/>
                <w:bCs/>
                <w:color w:val="000000"/>
                <w:kern w:val="0"/>
                <w:sz w:val="18"/>
                <w:szCs w:val="18"/>
                <w:lang w:bidi="ar"/>
              </w:rPr>
              <w:t>推荐药剂</w:t>
            </w:r>
          </w:p>
        </w:tc>
        <w:tc>
          <w:tcPr>
            <w:tcW w:w="1623" w:type="dxa"/>
            <w:tcBorders>
              <w:top w:val="single" w:color="000000" w:sz="8" w:space="0"/>
              <w:left w:val="single" w:color="auto" w:sz="4" w:space="0"/>
              <w:bottom w:val="single" w:color="000000" w:sz="8" w:space="0"/>
              <w:right w:val="single" w:color="auto" w:sz="4" w:space="0"/>
            </w:tcBorders>
            <w:vAlign w:val="center"/>
          </w:tcPr>
          <w:p w14:paraId="3ED0EADB">
            <w:pPr>
              <w:widowControl/>
              <w:snapToGrid w:val="0"/>
              <w:spacing w:line="240" w:lineRule="auto"/>
              <w:jc w:val="center"/>
              <w:textAlignment w:val="center"/>
              <w:rPr>
                <w:rFonts w:hint="eastAsia" w:ascii="宋体" w:hAnsi="宋体"/>
                <w:b/>
                <w:bCs/>
                <w:color w:val="000000"/>
                <w:sz w:val="18"/>
                <w:szCs w:val="18"/>
              </w:rPr>
            </w:pPr>
            <w:r>
              <w:rPr>
                <w:rFonts w:ascii="宋体" w:hAnsi="宋体"/>
                <w:b/>
                <w:bCs/>
                <w:color w:val="000000"/>
                <w:kern w:val="0"/>
                <w:sz w:val="18"/>
                <w:szCs w:val="18"/>
                <w:lang w:bidi="ar"/>
              </w:rPr>
              <w:t>使用时期</w:t>
            </w:r>
          </w:p>
        </w:tc>
        <w:tc>
          <w:tcPr>
            <w:tcW w:w="1863" w:type="dxa"/>
            <w:tcBorders>
              <w:top w:val="single" w:color="000000" w:sz="8" w:space="0"/>
              <w:left w:val="single" w:color="auto" w:sz="4" w:space="0"/>
              <w:bottom w:val="single" w:color="000000" w:sz="8" w:space="0"/>
            </w:tcBorders>
            <w:vAlign w:val="center"/>
          </w:tcPr>
          <w:p w14:paraId="6FCEAF45">
            <w:pPr>
              <w:widowControl/>
              <w:snapToGrid w:val="0"/>
              <w:spacing w:line="240" w:lineRule="auto"/>
              <w:jc w:val="center"/>
              <w:textAlignment w:val="center"/>
              <w:rPr>
                <w:rFonts w:hint="eastAsia" w:ascii="宋体" w:hAnsi="宋体"/>
                <w:b/>
                <w:bCs/>
                <w:color w:val="000000"/>
                <w:sz w:val="18"/>
                <w:szCs w:val="18"/>
              </w:rPr>
            </w:pPr>
            <w:r>
              <w:rPr>
                <w:rFonts w:ascii="宋体" w:hAnsi="宋体"/>
                <w:b/>
                <w:bCs/>
                <w:color w:val="000000"/>
                <w:kern w:val="0"/>
                <w:sz w:val="18"/>
                <w:szCs w:val="18"/>
                <w:lang w:bidi="ar"/>
              </w:rPr>
              <w:t>使用方法</w:t>
            </w:r>
          </w:p>
        </w:tc>
      </w:tr>
      <w:tr w14:paraId="6D8A8970">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jc w:val="center"/>
        </w:trPr>
        <w:tc>
          <w:tcPr>
            <w:tcW w:w="1385" w:type="dxa"/>
            <w:tcBorders>
              <w:top w:val="single" w:color="000000" w:sz="8" w:space="0"/>
              <w:bottom w:val="single" w:color="auto" w:sz="4" w:space="0"/>
              <w:right w:val="single" w:color="auto" w:sz="4" w:space="0"/>
            </w:tcBorders>
            <w:vAlign w:val="center"/>
          </w:tcPr>
          <w:p w14:paraId="5719574D">
            <w:pPr>
              <w:widowControl/>
              <w:snapToGrid w:val="0"/>
              <w:spacing w:line="240" w:lineRule="auto"/>
              <w:jc w:val="center"/>
              <w:textAlignment w:val="center"/>
              <w:rPr>
                <w:rFonts w:hint="eastAsia" w:ascii="宋体" w:hAnsi="宋体"/>
                <w:color w:val="000000"/>
                <w:sz w:val="18"/>
                <w:szCs w:val="18"/>
              </w:rPr>
            </w:pPr>
            <w:r>
              <w:rPr>
                <w:rFonts w:ascii="宋体" w:hAnsi="宋体"/>
                <w:color w:val="000000"/>
                <w:kern w:val="0"/>
                <w:sz w:val="18"/>
                <w:szCs w:val="18"/>
                <w:lang w:bidi="ar"/>
              </w:rPr>
              <w:t>白绢病</w:t>
            </w:r>
          </w:p>
        </w:tc>
        <w:tc>
          <w:tcPr>
            <w:tcW w:w="4984" w:type="dxa"/>
            <w:tcBorders>
              <w:top w:val="single" w:color="000000" w:sz="8" w:space="0"/>
              <w:left w:val="single" w:color="auto" w:sz="4" w:space="0"/>
              <w:bottom w:val="single" w:color="auto" w:sz="4" w:space="0"/>
              <w:right w:val="single" w:color="auto" w:sz="4" w:space="0"/>
            </w:tcBorders>
            <w:vAlign w:val="center"/>
          </w:tcPr>
          <w:p w14:paraId="02370389">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240g/L噻呋酰胺悬浮剂、噻呋酰胺·嘧菌酯悬浮剂、丙硫菌唑乳油</w:t>
            </w:r>
          </w:p>
        </w:tc>
        <w:tc>
          <w:tcPr>
            <w:tcW w:w="1623" w:type="dxa"/>
            <w:tcBorders>
              <w:top w:val="single" w:color="000000" w:sz="8" w:space="0"/>
              <w:left w:val="single" w:color="auto" w:sz="4" w:space="0"/>
              <w:bottom w:val="single" w:color="auto" w:sz="4" w:space="0"/>
              <w:right w:val="single" w:color="auto" w:sz="4" w:space="0"/>
            </w:tcBorders>
            <w:vAlign w:val="center"/>
          </w:tcPr>
          <w:p w14:paraId="138F5B17">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下针期至荚果膨大期</w:t>
            </w:r>
          </w:p>
        </w:tc>
        <w:tc>
          <w:tcPr>
            <w:tcW w:w="1863" w:type="dxa"/>
            <w:tcBorders>
              <w:top w:val="single" w:color="000000" w:sz="8" w:space="0"/>
              <w:left w:val="single" w:color="auto" w:sz="4" w:space="0"/>
              <w:bottom w:val="single" w:color="auto" w:sz="4" w:space="0"/>
            </w:tcBorders>
            <w:vAlign w:val="center"/>
          </w:tcPr>
          <w:p w14:paraId="7DA63D4C">
            <w:pPr>
              <w:widowControl/>
              <w:snapToGrid w:val="0"/>
              <w:spacing w:line="240" w:lineRule="auto"/>
              <w:jc w:val="center"/>
              <w:textAlignment w:val="center"/>
              <w:rPr>
                <w:rFonts w:hint="eastAsia" w:ascii="宋体" w:hAnsi="宋体"/>
                <w:color w:val="000000"/>
                <w:sz w:val="18"/>
                <w:szCs w:val="18"/>
              </w:rPr>
            </w:pPr>
            <w:r>
              <w:rPr>
                <w:rFonts w:ascii="宋体" w:hAnsi="宋体"/>
                <w:sz w:val="18"/>
                <w:szCs w:val="18"/>
              </w:rPr>
              <w:t>按说明书使用</w:t>
            </w:r>
          </w:p>
        </w:tc>
      </w:tr>
      <w:tr w14:paraId="5043B79C">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PrEx>
        <w:trPr>
          <w:jc w:val="center"/>
        </w:trPr>
        <w:tc>
          <w:tcPr>
            <w:tcW w:w="1385" w:type="dxa"/>
            <w:tcBorders>
              <w:top w:val="single" w:color="auto" w:sz="4" w:space="0"/>
              <w:bottom w:val="single" w:color="auto" w:sz="4" w:space="0"/>
              <w:right w:val="single" w:color="auto" w:sz="4" w:space="0"/>
            </w:tcBorders>
            <w:vAlign w:val="center"/>
          </w:tcPr>
          <w:p w14:paraId="76C77F33">
            <w:pPr>
              <w:widowControl/>
              <w:snapToGrid w:val="0"/>
              <w:spacing w:line="240" w:lineRule="auto"/>
              <w:jc w:val="center"/>
              <w:textAlignment w:val="center"/>
              <w:rPr>
                <w:rFonts w:hint="eastAsia" w:ascii="宋体" w:hAnsi="宋体"/>
                <w:color w:val="000000"/>
                <w:sz w:val="18"/>
                <w:szCs w:val="18"/>
              </w:rPr>
            </w:pPr>
            <w:r>
              <w:rPr>
                <w:rFonts w:ascii="宋体" w:hAnsi="宋体"/>
                <w:color w:val="000000"/>
                <w:kern w:val="0"/>
                <w:sz w:val="18"/>
                <w:szCs w:val="18"/>
                <w:lang w:bidi="ar"/>
              </w:rPr>
              <w:t>叶斑病</w:t>
            </w:r>
          </w:p>
        </w:tc>
        <w:tc>
          <w:tcPr>
            <w:tcW w:w="4984" w:type="dxa"/>
            <w:tcBorders>
              <w:top w:val="single" w:color="auto" w:sz="4" w:space="0"/>
              <w:left w:val="single" w:color="auto" w:sz="4" w:space="0"/>
              <w:bottom w:val="single" w:color="auto" w:sz="4" w:space="0"/>
              <w:right w:val="single" w:color="auto" w:sz="4" w:space="0"/>
            </w:tcBorders>
            <w:vAlign w:val="center"/>
          </w:tcPr>
          <w:p w14:paraId="5E67CEEC">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430g/L戊唑醇悬浮剂、吡唑醚菌酯乳油、苯甲·嘧菌酯悬浮剂</w:t>
            </w:r>
          </w:p>
        </w:tc>
        <w:tc>
          <w:tcPr>
            <w:tcW w:w="1623" w:type="dxa"/>
            <w:tcBorders>
              <w:top w:val="single" w:color="auto" w:sz="4" w:space="0"/>
              <w:left w:val="single" w:color="auto" w:sz="4" w:space="0"/>
              <w:bottom w:val="single" w:color="auto" w:sz="4" w:space="0"/>
              <w:right w:val="single" w:color="auto" w:sz="4" w:space="0"/>
            </w:tcBorders>
            <w:vAlign w:val="center"/>
          </w:tcPr>
          <w:p w14:paraId="4F7A1644">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始花期至结荚期</w:t>
            </w:r>
          </w:p>
        </w:tc>
        <w:tc>
          <w:tcPr>
            <w:tcW w:w="1863" w:type="dxa"/>
            <w:tcBorders>
              <w:top w:val="single" w:color="auto" w:sz="4" w:space="0"/>
              <w:left w:val="single" w:color="auto" w:sz="4" w:space="0"/>
              <w:bottom w:val="single" w:color="auto" w:sz="4" w:space="0"/>
            </w:tcBorders>
            <w:vAlign w:val="center"/>
          </w:tcPr>
          <w:p w14:paraId="19B50313">
            <w:pPr>
              <w:widowControl/>
              <w:snapToGrid w:val="0"/>
              <w:spacing w:line="240" w:lineRule="auto"/>
              <w:jc w:val="center"/>
              <w:textAlignment w:val="center"/>
              <w:rPr>
                <w:rFonts w:hint="eastAsia" w:ascii="宋体" w:hAnsi="宋体"/>
                <w:color w:val="000000"/>
                <w:sz w:val="18"/>
                <w:szCs w:val="18"/>
              </w:rPr>
            </w:pPr>
            <w:r>
              <w:rPr>
                <w:rFonts w:ascii="宋体" w:hAnsi="宋体"/>
                <w:sz w:val="18"/>
                <w:szCs w:val="18"/>
              </w:rPr>
              <w:t>按说明书使用</w:t>
            </w:r>
          </w:p>
        </w:tc>
      </w:tr>
      <w:tr w14:paraId="60BE029E">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PrEx>
        <w:trPr>
          <w:jc w:val="center"/>
        </w:trPr>
        <w:tc>
          <w:tcPr>
            <w:tcW w:w="1385" w:type="dxa"/>
            <w:tcBorders>
              <w:top w:val="single" w:color="auto" w:sz="4" w:space="0"/>
              <w:bottom w:val="single" w:color="auto" w:sz="4" w:space="0"/>
              <w:right w:val="single" w:color="auto" w:sz="4" w:space="0"/>
            </w:tcBorders>
            <w:vAlign w:val="center"/>
          </w:tcPr>
          <w:p w14:paraId="50E7AEFE">
            <w:pPr>
              <w:widowControl/>
              <w:snapToGrid w:val="0"/>
              <w:spacing w:line="240" w:lineRule="auto"/>
              <w:jc w:val="center"/>
              <w:textAlignment w:val="center"/>
              <w:rPr>
                <w:rFonts w:hint="eastAsia" w:ascii="宋体" w:hAnsi="宋体"/>
                <w:color w:val="000000"/>
                <w:sz w:val="18"/>
                <w:szCs w:val="18"/>
              </w:rPr>
            </w:pPr>
            <w:r>
              <w:rPr>
                <w:rFonts w:ascii="宋体" w:hAnsi="宋体"/>
                <w:color w:val="000000"/>
                <w:kern w:val="0"/>
                <w:sz w:val="18"/>
                <w:szCs w:val="18"/>
                <w:lang w:bidi="ar"/>
              </w:rPr>
              <w:t>锈病</w:t>
            </w:r>
          </w:p>
        </w:tc>
        <w:tc>
          <w:tcPr>
            <w:tcW w:w="4984" w:type="dxa"/>
            <w:tcBorders>
              <w:top w:val="single" w:color="auto" w:sz="4" w:space="0"/>
              <w:left w:val="single" w:color="auto" w:sz="4" w:space="0"/>
              <w:bottom w:val="single" w:color="auto" w:sz="4" w:space="0"/>
              <w:right w:val="single" w:color="auto" w:sz="4" w:space="0"/>
            </w:tcBorders>
            <w:vAlign w:val="center"/>
          </w:tcPr>
          <w:p w14:paraId="63311F83">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25％三唑酮可湿性粉剂、噻呋酰胺悬浮剂、苯并烯氟菌唑·嘧菌酯</w:t>
            </w:r>
          </w:p>
        </w:tc>
        <w:tc>
          <w:tcPr>
            <w:tcW w:w="1623" w:type="dxa"/>
            <w:tcBorders>
              <w:top w:val="single" w:color="auto" w:sz="4" w:space="0"/>
              <w:left w:val="single" w:color="auto" w:sz="4" w:space="0"/>
              <w:bottom w:val="single" w:color="auto" w:sz="4" w:space="0"/>
              <w:right w:val="single" w:color="auto" w:sz="4" w:space="0"/>
            </w:tcBorders>
            <w:vAlign w:val="center"/>
          </w:tcPr>
          <w:p w14:paraId="6E92CB3D">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发病初期</w:t>
            </w:r>
          </w:p>
        </w:tc>
        <w:tc>
          <w:tcPr>
            <w:tcW w:w="1863" w:type="dxa"/>
            <w:tcBorders>
              <w:top w:val="single" w:color="auto" w:sz="4" w:space="0"/>
              <w:left w:val="single" w:color="auto" w:sz="4" w:space="0"/>
              <w:bottom w:val="single" w:color="auto" w:sz="4" w:space="0"/>
            </w:tcBorders>
            <w:vAlign w:val="center"/>
          </w:tcPr>
          <w:p w14:paraId="108BDD85">
            <w:pPr>
              <w:widowControl/>
              <w:snapToGrid w:val="0"/>
              <w:spacing w:line="240" w:lineRule="auto"/>
              <w:jc w:val="center"/>
              <w:textAlignment w:val="center"/>
              <w:rPr>
                <w:rFonts w:hint="eastAsia" w:ascii="宋体" w:hAnsi="宋体"/>
                <w:color w:val="000000"/>
                <w:sz w:val="18"/>
                <w:szCs w:val="18"/>
              </w:rPr>
            </w:pPr>
            <w:r>
              <w:rPr>
                <w:rFonts w:ascii="宋体" w:hAnsi="宋体"/>
                <w:sz w:val="18"/>
                <w:szCs w:val="18"/>
              </w:rPr>
              <w:t>按说明书使用</w:t>
            </w:r>
          </w:p>
        </w:tc>
      </w:tr>
      <w:tr w14:paraId="63E2ED13">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jc w:val="center"/>
        </w:trPr>
        <w:tc>
          <w:tcPr>
            <w:tcW w:w="1385" w:type="dxa"/>
            <w:tcBorders>
              <w:top w:val="single" w:color="auto" w:sz="4" w:space="0"/>
              <w:bottom w:val="single" w:color="auto" w:sz="4" w:space="0"/>
              <w:right w:val="single" w:color="auto" w:sz="4" w:space="0"/>
            </w:tcBorders>
            <w:vAlign w:val="center"/>
          </w:tcPr>
          <w:p w14:paraId="7477564A">
            <w:pPr>
              <w:widowControl/>
              <w:snapToGrid w:val="0"/>
              <w:spacing w:line="240" w:lineRule="auto"/>
              <w:jc w:val="center"/>
              <w:textAlignment w:val="center"/>
              <w:rPr>
                <w:rFonts w:hint="eastAsia" w:ascii="宋体" w:hAnsi="宋体"/>
                <w:color w:val="000000"/>
                <w:sz w:val="18"/>
                <w:szCs w:val="18"/>
              </w:rPr>
            </w:pPr>
            <w:r>
              <w:rPr>
                <w:rFonts w:ascii="宋体" w:hAnsi="宋体"/>
                <w:color w:val="000000"/>
                <w:kern w:val="0"/>
                <w:sz w:val="18"/>
                <w:szCs w:val="18"/>
                <w:lang w:bidi="ar"/>
              </w:rPr>
              <w:t>根腐病</w:t>
            </w:r>
          </w:p>
        </w:tc>
        <w:tc>
          <w:tcPr>
            <w:tcW w:w="4984" w:type="dxa"/>
            <w:tcBorders>
              <w:top w:val="single" w:color="auto" w:sz="4" w:space="0"/>
              <w:left w:val="single" w:color="auto" w:sz="4" w:space="0"/>
              <w:bottom w:val="single" w:color="auto" w:sz="4" w:space="0"/>
              <w:right w:val="single" w:color="auto" w:sz="4" w:space="0"/>
            </w:tcBorders>
            <w:vAlign w:val="center"/>
          </w:tcPr>
          <w:p w14:paraId="21364E7E">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60％唑醚·代森联水分散粒剂、噻呋酰胺悬浮剂、丙环唑乳油</w:t>
            </w:r>
          </w:p>
        </w:tc>
        <w:tc>
          <w:tcPr>
            <w:tcW w:w="1623" w:type="dxa"/>
            <w:tcBorders>
              <w:top w:val="single" w:color="auto" w:sz="4" w:space="0"/>
              <w:left w:val="single" w:color="auto" w:sz="4" w:space="0"/>
              <w:bottom w:val="single" w:color="auto" w:sz="4" w:space="0"/>
              <w:right w:val="single" w:color="auto" w:sz="4" w:space="0"/>
            </w:tcBorders>
            <w:vAlign w:val="center"/>
          </w:tcPr>
          <w:p w14:paraId="3B6E0A1F">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苗期</w:t>
            </w:r>
          </w:p>
        </w:tc>
        <w:tc>
          <w:tcPr>
            <w:tcW w:w="1863" w:type="dxa"/>
            <w:tcBorders>
              <w:top w:val="single" w:color="auto" w:sz="4" w:space="0"/>
              <w:left w:val="single" w:color="auto" w:sz="4" w:space="0"/>
              <w:bottom w:val="single" w:color="auto" w:sz="4" w:space="0"/>
            </w:tcBorders>
            <w:vAlign w:val="center"/>
          </w:tcPr>
          <w:p w14:paraId="078712A5">
            <w:pPr>
              <w:widowControl/>
              <w:snapToGrid w:val="0"/>
              <w:spacing w:line="240" w:lineRule="auto"/>
              <w:jc w:val="center"/>
              <w:textAlignment w:val="center"/>
              <w:rPr>
                <w:rFonts w:hint="eastAsia" w:ascii="宋体" w:hAnsi="宋体"/>
                <w:color w:val="000000"/>
                <w:sz w:val="18"/>
                <w:szCs w:val="18"/>
              </w:rPr>
            </w:pPr>
            <w:r>
              <w:rPr>
                <w:rFonts w:ascii="宋体" w:hAnsi="宋体"/>
                <w:sz w:val="18"/>
                <w:szCs w:val="18"/>
              </w:rPr>
              <w:t>按说明书使用</w:t>
            </w:r>
          </w:p>
        </w:tc>
      </w:tr>
      <w:tr w14:paraId="52C785F9">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jc w:val="center"/>
        </w:trPr>
        <w:tc>
          <w:tcPr>
            <w:tcW w:w="1385" w:type="dxa"/>
            <w:tcBorders>
              <w:top w:val="single" w:color="auto" w:sz="4" w:space="0"/>
              <w:bottom w:val="single" w:color="auto" w:sz="4" w:space="0"/>
              <w:right w:val="single" w:color="auto" w:sz="4" w:space="0"/>
            </w:tcBorders>
            <w:vAlign w:val="center"/>
          </w:tcPr>
          <w:p w14:paraId="13ADE765">
            <w:pPr>
              <w:widowControl/>
              <w:snapToGrid w:val="0"/>
              <w:spacing w:line="240" w:lineRule="auto"/>
              <w:jc w:val="center"/>
              <w:textAlignment w:val="center"/>
              <w:rPr>
                <w:rFonts w:hint="eastAsia" w:ascii="宋体" w:hAnsi="宋体"/>
                <w:color w:val="000000"/>
                <w:sz w:val="18"/>
                <w:szCs w:val="18"/>
              </w:rPr>
            </w:pPr>
            <w:r>
              <w:rPr>
                <w:rFonts w:ascii="宋体" w:hAnsi="宋体"/>
                <w:color w:val="000000"/>
                <w:kern w:val="0"/>
                <w:sz w:val="18"/>
                <w:szCs w:val="18"/>
                <w:lang w:bidi="ar"/>
              </w:rPr>
              <w:t>茎腐病</w:t>
            </w:r>
          </w:p>
        </w:tc>
        <w:tc>
          <w:tcPr>
            <w:tcW w:w="4984" w:type="dxa"/>
            <w:tcBorders>
              <w:top w:val="single" w:color="auto" w:sz="4" w:space="0"/>
              <w:left w:val="single" w:color="auto" w:sz="4" w:space="0"/>
              <w:bottom w:val="single" w:color="auto" w:sz="4" w:space="0"/>
              <w:right w:val="single" w:color="auto" w:sz="4" w:space="0"/>
            </w:tcBorders>
            <w:vAlign w:val="center"/>
          </w:tcPr>
          <w:p w14:paraId="1192B9FA">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赤霉·吲哚类杀菌调节剂、爱苗（苯甲·丙环唑）乳油、普力克（霜霉威）水剂</w:t>
            </w:r>
          </w:p>
        </w:tc>
        <w:tc>
          <w:tcPr>
            <w:tcW w:w="1623" w:type="dxa"/>
            <w:tcBorders>
              <w:top w:val="single" w:color="auto" w:sz="4" w:space="0"/>
              <w:left w:val="single" w:color="auto" w:sz="4" w:space="0"/>
              <w:bottom w:val="single" w:color="auto" w:sz="4" w:space="0"/>
              <w:right w:val="single" w:color="auto" w:sz="4" w:space="0"/>
            </w:tcBorders>
            <w:vAlign w:val="center"/>
          </w:tcPr>
          <w:p w14:paraId="44F56CB5">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花前期至始花期</w:t>
            </w:r>
          </w:p>
        </w:tc>
        <w:tc>
          <w:tcPr>
            <w:tcW w:w="1863" w:type="dxa"/>
            <w:tcBorders>
              <w:top w:val="single" w:color="auto" w:sz="4" w:space="0"/>
              <w:left w:val="single" w:color="auto" w:sz="4" w:space="0"/>
              <w:bottom w:val="single" w:color="auto" w:sz="4" w:space="0"/>
            </w:tcBorders>
            <w:vAlign w:val="center"/>
          </w:tcPr>
          <w:p w14:paraId="16584122">
            <w:pPr>
              <w:widowControl/>
              <w:snapToGrid w:val="0"/>
              <w:spacing w:line="240" w:lineRule="auto"/>
              <w:jc w:val="center"/>
              <w:textAlignment w:val="center"/>
              <w:rPr>
                <w:rFonts w:hint="eastAsia" w:ascii="宋体" w:hAnsi="宋体"/>
                <w:color w:val="000000"/>
                <w:sz w:val="18"/>
                <w:szCs w:val="18"/>
              </w:rPr>
            </w:pPr>
            <w:r>
              <w:rPr>
                <w:rFonts w:ascii="宋体" w:hAnsi="宋体"/>
                <w:sz w:val="18"/>
                <w:szCs w:val="18"/>
              </w:rPr>
              <w:t>按说明书使用</w:t>
            </w:r>
          </w:p>
        </w:tc>
      </w:tr>
      <w:tr w14:paraId="08723BC0">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jc w:val="center"/>
        </w:trPr>
        <w:tc>
          <w:tcPr>
            <w:tcW w:w="1385" w:type="dxa"/>
            <w:tcBorders>
              <w:top w:val="single" w:color="auto" w:sz="4" w:space="0"/>
              <w:bottom w:val="single" w:color="auto" w:sz="4" w:space="0"/>
              <w:right w:val="single" w:color="auto" w:sz="4" w:space="0"/>
            </w:tcBorders>
            <w:vAlign w:val="center"/>
          </w:tcPr>
          <w:p w14:paraId="4B6B8C61">
            <w:pPr>
              <w:widowControl/>
              <w:snapToGrid w:val="0"/>
              <w:spacing w:line="240" w:lineRule="auto"/>
              <w:jc w:val="center"/>
              <w:textAlignment w:val="center"/>
              <w:rPr>
                <w:rFonts w:hint="eastAsia" w:ascii="宋体" w:hAnsi="宋体"/>
                <w:color w:val="000000"/>
                <w:sz w:val="18"/>
                <w:szCs w:val="18"/>
              </w:rPr>
            </w:pPr>
            <w:r>
              <w:rPr>
                <w:rFonts w:ascii="宋体" w:hAnsi="宋体"/>
                <w:color w:val="000000"/>
                <w:kern w:val="0"/>
                <w:sz w:val="18"/>
                <w:szCs w:val="18"/>
                <w:lang w:bidi="ar"/>
              </w:rPr>
              <w:t>果腐病</w:t>
            </w:r>
          </w:p>
        </w:tc>
        <w:tc>
          <w:tcPr>
            <w:tcW w:w="4984" w:type="dxa"/>
            <w:tcBorders>
              <w:top w:val="single" w:color="auto" w:sz="4" w:space="0"/>
              <w:left w:val="single" w:color="auto" w:sz="4" w:space="0"/>
              <w:bottom w:val="single" w:color="auto" w:sz="4" w:space="0"/>
              <w:right w:val="single" w:color="auto" w:sz="4" w:space="0"/>
            </w:tcBorders>
            <w:vAlign w:val="center"/>
          </w:tcPr>
          <w:p w14:paraId="77F546CB">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45％咪鲜胺水乳剂+噻呋酰胺、代森锰锌可湿性粉剂、唑醚·氟环唑悬浮剂</w:t>
            </w:r>
          </w:p>
        </w:tc>
        <w:tc>
          <w:tcPr>
            <w:tcW w:w="1623" w:type="dxa"/>
            <w:tcBorders>
              <w:top w:val="single" w:color="auto" w:sz="4" w:space="0"/>
              <w:left w:val="single" w:color="auto" w:sz="4" w:space="0"/>
              <w:bottom w:val="single" w:color="auto" w:sz="4" w:space="0"/>
              <w:right w:val="single" w:color="auto" w:sz="4" w:space="0"/>
            </w:tcBorders>
            <w:vAlign w:val="center"/>
          </w:tcPr>
          <w:p w14:paraId="17A9C69F">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下针至荚果膨大期</w:t>
            </w:r>
          </w:p>
        </w:tc>
        <w:tc>
          <w:tcPr>
            <w:tcW w:w="1863" w:type="dxa"/>
            <w:tcBorders>
              <w:top w:val="single" w:color="auto" w:sz="4" w:space="0"/>
              <w:left w:val="single" w:color="auto" w:sz="4" w:space="0"/>
              <w:bottom w:val="single" w:color="auto" w:sz="4" w:space="0"/>
            </w:tcBorders>
            <w:vAlign w:val="center"/>
          </w:tcPr>
          <w:p w14:paraId="67357263">
            <w:pPr>
              <w:widowControl/>
              <w:snapToGrid w:val="0"/>
              <w:spacing w:line="240" w:lineRule="auto"/>
              <w:jc w:val="center"/>
              <w:textAlignment w:val="center"/>
              <w:rPr>
                <w:rFonts w:hint="eastAsia" w:ascii="宋体" w:hAnsi="宋体"/>
                <w:color w:val="000000"/>
                <w:sz w:val="18"/>
                <w:szCs w:val="18"/>
              </w:rPr>
            </w:pPr>
            <w:r>
              <w:rPr>
                <w:rFonts w:ascii="宋体" w:hAnsi="宋体"/>
                <w:sz w:val="18"/>
                <w:szCs w:val="18"/>
              </w:rPr>
              <w:t>按说明书使用</w:t>
            </w:r>
          </w:p>
        </w:tc>
      </w:tr>
      <w:tr w14:paraId="6EE98555">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jc w:val="center"/>
        </w:trPr>
        <w:tc>
          <w:tcPr>
            <w:tcW w:w="1385" w:type="dxa"/>
            <w:tcBorders>
              <w:top w:val="single" w:color="auto" w:sz="4" w:space="0"/>
              <w:bottom w:val="single" w:color="auto" w:sz="4" w:space="0"/>
              <w:right w:val="single" w:color="auto" w:sz="4" w:space="0"/>
            </w:tcBorders>
            <w:vAlign w:val="center"/>
          </w:tcPr>
          <w:p w14:paraId="216AEAED">
            <w:pPr>
              <w:widowControl/>
              <w:snapToGrid w:val="0"/>
              <w:spacing w:line="240" w:lineRule="auto"/>
              <w:jc w:val="center"/>
              <w:textAlignment w:val="center"/>
              <w:rPr>
                <w:rFonts w:hint="eastAsia" w:ascii="宋体" w:hAnsi="宋体"/>
                <w:color w:val="000000"/>
                <w:sz w:val="18"/>
                <w:szCs w:val="18"/>
              </w:rPr>
            </w:pPr>
            <w:r>
              <w:rPr>
                <w:rFonts w:ascii="宋体" w:hAnsi="宋体"/>
                <w:color w:val="000000"/>
                <w:kern w:val="0"/>
                <w:sz w:val="18"/>
                <w:szCs w:val="18"/>
                <w:lang w:bidi="ar"/>
              </w:rPr>
              <w:t>炭疽病</w:t>
            </w:r>
          </w:p>
        </w:tc>
        <w:tc>
          <w:tcPr>
            <w:tcW w:w="4984" w:type="dxa"/>
            <w:tcBorders>
              <w:top w:val="single" w:color="auto" w:sz="4" w:space="0"/>
              <w:left w:val="single" w:color="auto" w:sz="4" w:space="0"/>
              <w:bottom w:val="single" w:color="auto" w:sz="4" w:space="0"/>
              <w:right w:val="single" w:color="auto" w:sz="4" w:space="0"/>
            </w:tcBorders>
            <w:vAlign w:val="center"/>
          </w:tcPr>
          <w:p w14:paraId="1DC34617">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25％咪鲜胺乳油、吡唑醚菌酯乳油、苯醚甲环唑水分散粒剂</w:t>
            </w:r>
          </w:p>
        </w:tc>
        <w:tc>
          <w:tcPr>
            <w:tcW w:w="1623" w:type="dxa"/>
            <w:tcBorders>
              <w:top w:val="single" w:color="auto" w:sz="4" w:space="0"/>
              <w:left w:val="single" w:color="auto" w:sz="4" w:space="0"/>
              <w:bottom w:val="single" w:color="auto" w:sz="4" w:space="0"/>
              <w:right w:val="single" w:color="auto" w:sz="4" w:space="0"/>
            </w:tcBorders>
            <w:vAlign w:val="center"/>
          </w:tcPr>
          <w:p w14:paraId="6764987A">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发病初期</w:t>
            </w:r>
          </w:p>
        </w:tc>
        <w:tc>
          <w:tcPr>
            <w:tcW w:w="1863" w:type="dxa"/>
            <w:tcBorders>
              <w:top w:val="single" w:color="auto" w:sz="4" w:space="0"/>
              <w:left w:val="single" w:color="auto" w:sz="4" w:space="0"/>
              <w:bottom w:val="single" w:color="auto" w:sz="4" w:space="0"/>
            </w:tcBorders>
            <w:vAlign w:val="center"/>
          </w:tcPr>
          <w:p w14:paraId="193A5C09">
            <w:pPr>
              <w:widowControl/>
              <w:snapToGrid w:val="0"/>
              <w:spacing w:line="240" w:lineRule="auto"/>
              <w:jc w:val="center"/>
              <w:textAlignment w:val="center"/>
              <w:rPr>
                <w:rFonts w:hint="eastAsia" w:ascii="宋体" w:hAnsi="宋体"/>
                <w:color w:val="000000"/>
                <w:sz w:val="18"/>
                <w:szCs w:val="18"/>
              </w:rPr>
            </w:pPr>
            <w:r>
              <w:rPr>
                <w:rFonts w:ascii="宋体" w:hAnsi="宋体"/>
                <w:sz w:val="18"/>
                <w:szCs w:val="18"/>
              </w:rPr>
              <w:t>按说明书使用</w:t>
            </w:r>
          </w:p>
        </w:tc>
      </w:tr>
      <w:tr w14:paraId="1AB94A43">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jc w:val="center"/>
        </w:trPr>
        <w:tc>
          <w:tcPr>
            <w:tcW w:w="1385" w:type="dxa"/>
            <w:tcBorders>
              <w:top w:val="single" w:color="auto" w:sz="4" w:space="0"/>
              <w:bottom w:val="single" w:color="000000" w:sz="8" w:space="0"/>
              <w:right w:val="single" w:color="auto" w:sz="4" w:space="0"/>
            </w:tcBorders>
            <w:vAlign w:val="center"/>
          </w:tcPr>
          <w:p w14:paraId="0FACF356">
            <w:pPr>
              <w:widowControl/>
              <w:snapToGrid w:val="0"/>
              <w:spacing w:line="240" w:lineRule="auto"/>
              <w:jc w:val="center"/>
              <w:textAlignment w:val="center"/>
              <w:rPr>
                <w:rFonts w:hint="eastAsia" w:ascii="宋体" w:hAnsi="宋体"/>
                <w:color w:val="000000"/>
                <w:sz w:val="18"/>
                <w:szCs w:val="18"/>
              </w:rPr>
            </w:pPr>
            <w:r>
              <w:rPr>
                <w:rFonts w:ascii="宋体" w:hAnsi="宋体"/>
                <w:color w:val="000000"/>
                <w:kern w:val="0"/>
                <w:sz w:val="18"/>
                <w:szCs w:val="18"/>
                <w:lang w:bidi="ar"/>
              </w:rPr>
              <w:t>青枯病</w:t>
            </w:r>
          </w:p>
        </w:tc>
        <w:tc>
          <w:tcPr>
            <w:tcW w:w="4984" w:type="dxa"/>
            <w:tcBorders>
              <w:top w:val="single" w:color="auto" w:sz="4" w:space="0"/>
              <w:left w:val="single" w:color="auto" w:sz="4" w:space="0"/>
              <w:bottom w:val="single" w:color="000000" w:sz="8" w:space="0"/>
              <w:right w:val="single" w:color="auto" w:sz="4" w:space="0"/>
            </w:tcBorders>
            <w:vAlign w:val="center"/>
          </w:tcPr>
          <w:p w14:paraId="78FFDB9E">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20％噻唑锌悬浮剂+春雷霉素、络氨铜水剂、噻菌铜悬浮剂</w:t>
            </w:r>
          </w:p>
        </w:tc>
        <w:tc>
          <w:tcPr>
            <w:tcW w:w="1623" w:type="dxa"/>
            <w:tcBorders>
              <w:top w:val="single" w:color="auto" w:sz="4" w:space="0"/>
              <w:left w:val="single" w:color="auto" w:sz="4" w:space="0"/>
              <w:bottom w:val="single" w:color="000000" w:sz="8" w:space="0"/>
              <w:right w:val="single" w:color="auto" w:sz="4" w:space="0"/>
            </w:tcBorders>
            <w:vAlign w:val="center"/>
          </w:tcPr>
          <w:p w14:paraId="0A993124">
            <w:pPr>
              <w:widowControl/>
              <w:snapToGrid w:val="0"/>
              <w:spacing w:line="240" w:lineRule="auto"/>
              <w:ind w:firstLine="180" w:firstLineChars="100"/>
              <w:jc w:val="left"/>
              <w:textAlignment w:val="center"/>
              <w:rPr>
                <w:rFonts w:hint="eastAsia" w:ascii="宋体" w:hAnsi="宋体"/>
                <w:color w:val="000000"/>
                <w:sz w:val="18"/>
                <w:szCs w:val="18"/>
              </w:rPr>
            </w:pPr>
            <w:r>
              <w:rPr>
                <w:rFonts w:ascii="宋体" w:hAnsi="宋体"/>
                <w:color w:val="000000"/>
                <w:kern w:val="0"/>
                <w:sz w:val="18"/>
                <w:szCs w:val="18"/>
                <w:lang w:bidi="ar"/>
              </w:rPr>
              <w:t>发病初期或雨后</w:t>
            </w:r>
          </w:p>
        </w:tc>
        <w:tc>
          <w:tcPr>
            <w:tcW w:w="1863" w:type="dxa"/>
            <w:tcBorders>
              <w:top w:val="single" w:color="auto" w:sz="4" w:space="0"/>
              <w:left w:val="single" w:color="auto" w:sz="4" w:space="0"/>
              <w:bottom w:val="single" w:color="000000" w:sz="8" w:space="0"/>
            </w:tcBorders>
            <w:vAlign w:val="center"/>
          </w:tcPr>
          <w:p w14:paraId="31FEE58E">
            <w:pPr>
              <w:widowControl/>
              <w:snapToGrid w:val="0"/>
              <w:spacing w:line="240" w:lineRule="auto"/>
              <w:jc w:val="center"/>
              <w:textAlignment w:val="center"/>
              <w:rPr>
                <w:rFonts w:hint="eastAsia" w:ascii="宋体" w:hAnsi="宋体"/>
                <w:color w:val="000000"/>
                <w:sz w:val="18"/>
                <w:szCs w:val="18"/>
              </w:rPr>
            </w:pPr>
            <w:r>
              <w:rPr>
                <w:rFonts w:ascii="宋体" w:hAnsi="宋体"/>
                <w:sz w:val="18"/>
                <w:szCs w:val="18"/>
              </w:rPr>
              <w:t>按说明书使用</w:t>
            </w:r>
          </w:p>
        </w:tc>
      </w:tr>
    </w:tbl>
    <w:p w14:paraId="51629F5E">
      <w:pPr>
        <w:pStyle w:val="81"/>
        <w:spacing w:before="120" w:after="120"/>
        <w:jc w:val="both"/>
        <w:sectPr>
          <w:pgSz w:w="11906" w:h="16838"/>
          <w:pgMar w:top="1928" w:right="1134" w:bottom="1134" w:left="1134" w:header="1418" w:footer="1134" w:gutter="284"/>
          <w:cols w:space="425" w:num="1"/>
          <w:formProt w:val="0"/>
          <w:docGrid w:linePitch="312" w:charSpace="0"/>
        </w:sectPr>
      </w:pPr>
    </w:p>
    <w:bookmarkEnd w:id="116"/>
    <w:p w14:paraId="4889D9A1">
      <w:pPr>
        <w:pStyle w:val="67"/>
        <w:spacing w:after="120"/>
      </w:pPr>
      <w:bookmarkStart w:id="117" w:name="BookMark6"/>
      <w:bookmarkEnd w:id="117"/>
      <w:bookmarkStart w:id="118" w:name="_Toc230361373"/>
      <w:bookmarkStart w:id="119" w:name="_Toc230361527"/>
      <w:bookmarkStart w:id="120" w:name="_Toc230361410"/>
      <w:r>
        <w:rPr>
          <w:rFonts w:hint="eastAsia"/>
          <w:spacing w:val="105"/>
        </w:rPr>
        <w:t>参考文</w:t>
      </w:r>
      <w:r>
        <w:rPr>
          <w:rFonts w:hint="eastAsia"/>
        </w:rPr>
        <w:t>献</w:t>
      </w:r>
      <w:bookmarkEnd w:id="118"/>
      <w:bookmarkEnd w:id="119"/>
      <w:bookmarkEnd w:id="120"/>
    </w:p>
    <w:p w14:paraId="6B6EC177">
      <w:pPr>
        <w:pStyle w:val="67"/>
        <w:spacing w:before="0" w:after="0" w:afterLines="0"/>
        <w:jc w:val="both"/>
        <w:outlineLvl w:val="9"/>
        <w:rPr>
          <w:rFonts w:hint="eastAsia" w:ascii="宋体" w:hAnsi="宋体" w:eastAsia="宋体" w:cs="宋体"/>
          <w:szCs w:val="20"/>
        </w:rPr>
      </w:pPr>
      <w:r>
        <w:rPr>
          <w:rFonts w:hint="eastAsia" w:ascii="宋体" w:hAnsi="宋体" w:eastAsia="宋体" w:cs="宋体"/>
          <w:szCs w:val="20"/>
        </w:rPr>
        <w:t>[1]</w:t>
      </w:r>
      <w:r>
        <w:rPr>
          <w:rStyle w:val="238"/>
          <w:rFonts w:hint="eastAsia"/>
        </w:rPr>
        <w:t>刘 芳,张哲,王积军.推动高油酸花生产业发展助力结构调整质量兴农[J].中国农技推广,2019,11:14-16</w:t>
      </w:r>
    </w:p>
    <w:p w14:paraId="1300D31E">
      <w:pPr>
        <w:adjustRightInd/>
        <w:spacing w:line="240" w:lineRule="auto"/>
        <w:jc w:val="left"/>
        <w:rPr>
          <w:rFonts w:hint="eastAsia" w:ascii="宋体" w:hAnsi="宋体" w:cs="宋体"/>
          <w:kern w:val="0"/>
          <w:szCs w:val="20"/>
        </w:rPr>
      </w:pPr>
      <w:r>
        <w:rPr>
          <w:rFonts w:hint="eastAsia" w:ascii="宋体" w:hAnsi="宋体" w:cs="宋体"/>
          <w:kern w:val="0"/>
          <w:szCs w:val="20"/>
        </w:rPr>
        <w:t>[2]李博胤,廖国婷,高忠奎,黄志鹏,唐秀梅,吴海宁,蒋菁,韩柱强,唐荣华*,贺梁琼*.与甘蔗间作对高油酸花生粗脂肪和脂肪酸含量的影响[J].花 生 学 报 2026,55(2).</w:t>
      </w:r>
    </w:p>
    <w:p w14:paraId="21AFD422">
      <w:pPr>
        <w:adjustRightInd/>
        <w:spacing w:line="240" w:lineRule="auto"/>
        <w:jc w:val="left"/>
        <w:rPr>
          <w:rFonts w:hint="eastAsia" w:ascii="宋体" w:hAnsi="宋体" w:cs="宋体"/>
          <w:kern w:val="0"/>
          <w:szCs w:val="20"/>
        </w:rPr>
      </w:pPr>
      <w:r>
        <w:rPr>
          <w:rFonts w:hint="eastAsia" w:ascii="宋体" w:hAnsi="宋体" w:cs="宋体"/>
          <w:kern w:val="0"/>
          <w:szCs w:val="20"/>
        </w:rPr>
        <w:t>[3]中国高油酸花生[M]，上海科学技术出版社，2021年12月.</w:t>
      </w:r>
    </w:p>
    <w:p w14:paraId="7169D299">
      <w:pPr>
        <w:pStyle w:val="60"/>
        <w:ind w:firstLine="0" w:firstLineChars="0"/>
        <w:jc w:val="center"/>
      </w:pPr>
      <w:bookmarkStart w:id="121" w:name="BookMark8"/>
      <w:r>
        <w:drawing>
          <wp:inline distT="0" distB="0" distL="0" distR="0">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1"/>
    </w:p>
    <w:p w14:paraId="03C124E8">
      <w:pPr>
        <w:pStyle w:val="60"/>
        <w:ind w:firstLine="0" w:firstLineChars="0"/>
        <w:jc w:val="center"/>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EFD44">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943ED">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F852A">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81F1C">
    <w:pPr>
      <w:pStyle w:val="56"/>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AF43B">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FDDA3">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04EA6">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3E08E">
    <w:pPr>
      <w:pStyle w:val="65"/>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52EB0">
    <w:pPr>
      <w:pStyle w:val="19"/>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284"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9AE"/>
    <w:rsid w:val="0000040A"/>
    <w:rsid w:val="00000A94"/>
    <w:rsid w:val="00001972"/>
    <w:rsid w:val="00001D9A"/>
    <w:rsid w:val="00002D44"/>
    <w:rsid w:val="00007B3A"/>
    <w:rsid w:val="000107E0"/>
    <w:rsid w:val="0001143A"/>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BF3"/>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D1B"/>
    <w:rsid w:val="00067F1E"/>
    <w:rsid w:val="00071CC0"/>
    <w:rsid w:val="00071CFC"/>
    <w:rsid w:val="00073C8C"/>
    <w:rsid w:val="00077B64"/>
    <w:rsid w:val="00080A1C"/>
    <w:rsid w:val="00082317"/>
    <w:rsid w:val="00083D2C"/>
    <w:rsid w:val="00084842"/>
    <w:rsid w:val="000859AE"/>
    <w:rsid w:val="00086AA1"/>
    <w:rsid w:val="00087A77"/>
    <w:rsid w:val="00087D2C"/>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689"/>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CC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FCC"/>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4B13"/>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BC8"/>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418"/>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373D"/>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165"/>
    <w:rsid w:val="00512F6E"/>
    <w:rsid w:val="00513038"/>
    <w:rsid w:val="00514174"/>
    <w:rsid w:val="00516088"/>
    <w:rsid w:val="00516B0B"/>
    <w:rsid w:val="005220EC"/>
    <w:rsid w:val="00523ECF"/>
    <w:rsid w:val="00523F95"/>
    <w:rsid w:val="00524D65"/>
    <w:rsid w:val="00525B16"/>
    <w:rsid w:val="005261C1"/>
    <w:rsid w:val="00533D04"/>
    <w:rsid w:val="00534804"/>
    <w:rsid w:val="00534BDF"/>
    <w:rsid w:val="005354EA"/>
    <w:rsid w:val="0053585F"/>
    <w:rsid w:val="00535EC4"/>
    <w:rsid w:val="00535ED9"/>
    <w:rsid w:val="0053692B"/>
    <w:rsid w:val="005409F1"/>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6D90"/>
    <w:rsid w:val="006015CE"/>
    <w:rsid w:val="00604784"/>
    <w:rsid w:val="00606419"/>
    <w:rsid w:val="00607D29"/>
    <w:rsid w:val="00612952"/>
    <w:rsid w:val="00614CC1"/>
    <w:rsid w:val="00615A9D"/>
    <w:rsid w:val="00617387"/>
    <w:rsid w:val="006205D6"/>
    <w:rsid w:val="00620E39"/>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6CD"/>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64F"/>
    <w:rsid w:val="006E28E0"/>
    <w:rsid w:val="006F03A8"/>
    <w:rsid w:val="006F2ACA"/>
    <w:rsid w:val="006F2ADC"/>
    <w:rsid w:val="006F2BFE"/>
    <w:rsid w:val="006F31E9"/>
    <w:rsid w:val="006F6284"/>
    <w:rsid w:val="007002C5"/>
    <w:rsid w:val="00704387"/>
    <w:rsid w:val="00704A56"/>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9A6"/>
    <w:rsid w:val="00750D61"/>
    <w:rsid w:val="00750EE1"/>
    <w:rsid w:val="00752B4D"/>
    <w:rsid w:val="00755402"/>
    <w:rsid w:val="00756B26"/>
    <w:rsid w:val="00756EDF"/>
    <w:rsid w:val="007600E3"/>
    <w:rsid w:val="00765C43"/>
    <w:rsid w:val="00765EFB"/>
    <w:rsid w:val="007660CE"/>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78F"/>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760C"/>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BA6"/>
    <w:rsid w:val="008A57E6"/>
    <w:rsid w:val="008A6F81"/>
    <w:rsid w:val="008A769A"/>
    <w:rsid w:val="008B0C9C"/>
    <w:rsid w:val="008B166D"/>
    <w:rsid w:val="008B17F4"/>
    <w:rsid w:val="008B3615"/>
    <w:rsid w:val="008B4AC4"/>
    <w:rsid w:val="008B50C8"/>
    <w:rsid w:val="008B5281"/>
    <w:rsid w:val="008B7E05"/>
    <w:rsid w:val="008C1797"/>
    <w:rsid w:val="008C219C"/>
    <w:rsid w:val="008C3BEF"/>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2D9B"/>
    <w:rsid w:val="009062E6"/>
    <w:rsid w:val="00911BE5"/>
    <w:rsid w:val="00913CA9"/>
    <w:rsid w:val="009145AE"/>
    <w:rsid w:val="009146CE"/>
    <w:rsid w:val="00914CA7"/>
    <w:rsid w:val="00915C3E"/>
    <w:rsid w:val="009161A8"/>
    <w:rsid w:val="009245AE"/>
    <w:rsid w:val="009245F5"/>
    <w:rsid w:val="009249EC"/>
    <w:rsid w:val="00925795"/>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6E41"/>
    <w:rsid w:val="009674AD"/>
    <w:rsid w:val="00970CDC"/>
    <w:rsid w:val="00974560"/>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51D"/>
    <w:rsid w:val="009D6BCA"/>
    <w:rsid w:val="009E0F62"/>
    <w:rsid w:val="009E4A58"/>
    <w:rsid w:val="009E5A2D"/>
    <w:rsid w:val="009E5AB2"/>
    <w:rsid w:val="009E6219"/>
    <w:rsid w:val="009E792C"/>
    <w:rsid w:val="009E7F17"/>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6F5"/>
    <w:rsid w:val="00A55BD6"/>
    <w:rsid w:val="00A55D50"/>
    <w:rsid w:val="00A57142"/>
    <w:rsid w:val="00A648CD"/>
    <w:rsid w:val="00A6537A"/>
    <w:rsid w:val="00A67866"/>
    <w:rsid w:val="00A70B07"/>
    <w:rsid w:val="00A70D37"/>
    <w:rsid w:val="00A723F8"/>
    <w:rsid w:val="00A77CCB"/>
    <w:rsid w:val="00A82BFD"/>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781B"/>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7E1"/>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5E1"/>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6814"/>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832"/>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47DC"/>
    <w:rsid w:val="00FC55B4"/>
    <w:rsid w:val="00FD00E6"/>
    <w:rsid w:val="00FD09A1"/>
    <w:rsid w:val="00FD1004"/>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CA3F1A"/>
    <w:rsid w:val="05123C0E"/>
    <w:rsid w:val="05F9284D"/>
    <w:rsid w:val="07E6302B"/>
    <w:rsid w:val="08183C31"/>
    <w:rsid w:val="081C3E53"/>
    <w:rsid w:val="0A6D5144"/>
    <w:rsid w:val="0D224C0A"/>
    <w:rsid w:val="100131FC"/>
    <w:rsid w:val="10C83D1A"/>
    <w:rsid w:val="13F2518A"/>
    <w:rsid w:val="143771ED"/>
    <w:rsid w:val="1833416F"/>
    <w:rsid w:val="1A366198"/>
    <w:rsid w:val="1C0E494F"/>
    <w:rsid w:val="1E37428D"/>
    <w:rsid w:val="1E7877B8"/>
    <w:rsid w:val="221768AF"/>
    <w:rsid w:val="22AD2D70"/>
    <w:rsid w:val="23D34A58"/>
    <w:rsid w:val="263A0DBE"/>
    <w:rsid w:val="277E684E"/>
    <w:rsid w:val="2D35408E"/>
    <w:rsid w:val="2DD815E9"/>
    <w:rsid w:val="303E14AB"/>
    <w:rsid w:val="30DD2A72"/>
    <w:rsid w:val="333B7F08"/>
    <w:rsid w:val="37533A8E"/>
    <w:rsid w:val="378E0F6A"/>
    <w:rsid w:val="39290F4A"/>
    <w:rsid w:val="3B1672AC"/>
    <w:rsid w:val="3C0812EB"/>
    <w:rsid w:val="3C1F4887"/>
    <w:rsid w:val="44D97CC8"/>
    <w:rsid w:val="45100280"/>
    <w:rsid w:val="461F3BB2"/>
    <w:rsid w:val="48427933"/>
    <w:rsid w:val="49B77EAC"/>
    <w:rsid w:val="4CAC7A71"/>
    <w:rsid w:val="4D76031B"/>
    <w:rsid w:val="508F1B83"/>
    <w:rsid w:val="53E53868"/>
    <w:rsid w:val="57AF2B0B"/>
    <w:rsid w:val="59CE5573"/>
    <w:rsid w:val="5E20206C"/>
    <w:rsid w:val="5EB36B7D"/>
    <w:rsid w:val="5F463D55"/>
    <w:rsid w:val="606A6A24"/>
    <w:rsid w:val="68DC3034"/>
    <w:rsid w:val="69B12712"/>
    <w:rsid w:val="69C1136E"/>
    <w:rsid w:val="6A1F1A1D"/>
    <w:rsid w:val="6BA240C1"/>
    <w:rsid w:val="6C957EE7"/>
    <w:rsid w:val="6DEA61F3"/>
    <w:rsid w:val="6FA713BC"/>
    <w:rsid w:val="71493231"/>
    <w:rsid w:val="72EE1ED3"/>
    <w:rsid w:val="75EF084A"/>
    <w:rsid w:val="76E77774"/>
    <w:rsid w:val="77951B94"/>
    <w:rsid w:val="779A6594"/>
    <w:rsid w:val="77F9150C"/>
    <w:rsid w:val="797A667D"/>
    <w:rsid w:val="799139C7"/>
    <w:rsid w:val="79ED6E4F"/>
    <w:rsid w:val="7A862E00"/>
    <w:rsid w:val="7C217284"/>
    <w:rsid w:val="7D5D253D"/>
    <w:rsid w:val="7E21356B"/>
    <w:rsid w:val="7F315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40"/>
    <w:qFormat/>
    <w:uiPriority w:val="0"/>
    <w:pPr>
      <w:keepNext/>
      <w:keepLines/>
      <w:spacing w:before="260" w:after="260" w:line="416" w:lineRule="auto"/>
      <w:outlineLvl w:val="2"/>
    </w:pPr>
    <w:rPr>
      <w:b/>
      <w:bCs/>
      <w:sz w:val="32"/>
      <w:szCs w:val="32"/>
    </w:rPr>
  </w:style>
  <w:style w:type="paragraph" w:styleId="6">
    <w:name w:val="heading 4"/>
    <w:basedOn w:val="1"/>
    <w:next w:val="1"/>
    <w:link w:val="41"/>
    <w:qFormat/>
    <w:uiPriority w:val="9"/>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0"/>
    <w:qFormat/>
    <w:uiPriority w:val="0"/>
    <w:pPr>
      <w:spacing w:after="120"/>
    </w:p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annotation text"/>
    <w:basedOn w:val="1"/>
    <w:link w:val="235"/>
    <w:semiHidden/>
    <w:unhideWhenUsed/>
    <w:qFormat/>
    <w:uiPriority w:val="99"/>
    <w:pPr>
      <w:jc w:val="left"/>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rPr>
      <w:sz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4"/>
    <w:next w:val="14"/>
    <w:link w:val="236"/>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3"/>
    <w:qFormat/>
    <w:uiPriority w:val="0"/>
    <w:rPr>
      <w:b/>
      <w:bCs/>
      <w:kern w:val="44"/>
      <w:sz w:val="44"/>
      <w:szCs w:val="44"/>
    </w:rPr>
  </w:style>
  <w:style w:type="character" w:customStyle="1" w:styleId="39">
    <w:name w:val="标题 2 字符"/>
    <w:link w:val="4"/>
    <w:qFormat/>
    <w:uiPriority w:val="0"/>
    <w:rPr>
      <w:rFonts w:ascii="Arial" w:hAnsi="Arial" w:eastAsia="黑体"/>
      <w:b/>
      <w:bCs/>
      <w:kern w:val="2"/>
      <w:sz w:val="32"/>
      <w:szCs w:val="32"/>
    </w:rPr>
  </w:style>
  <w:style w:type="character" w:customStyle="1" w:styleId="40">
    <w:name w:val="标题 3 字符"/>
    <w:link w:val="5"/>
    <w:qFormat/>
    <w:uiPriority w:val="0"/>
    <w:rPr>
      <w:b/>
      <w:bCs/>
      <w:kern w:val="2"/>
      <w:sz w:val="32"/>
      <w:szCs w:val="32"/>
    </w:rPr>
  </w:style>
  <w:style w:type="character" w:customStyle="1" w:styleId="41">
    <w:name w:val="标题 4 字符"/>
    <w:link w:val="6"/>
    <w:qFormat/>
    <w:uiPriority w:val="9"/>
    <w:rPr>
      <w:rFonts w:ascii="Arial" w:hAnsi="Arial" w:eastAsia="黑体"/>
      <w:b/>
      <w:bCs/>
      <w:kern w:val="2"/>
      <w:sz w:val="28"/>
      <w:szCs w:val="28"/>
    </w:rPr>
  </w:style>
  <w:style w:type="character" w:customStyle="1" w:styleId="42">
    <w:name w:val="标题 5 字符"/>
    <w:link w:val="7"/>
    <w:qFormat/>
    <w:uiPriority w:val="0"/>
    <w:rPr>
      <w:b/>
      <w:bCs/>
      <w:kern w:val="2"/>
      <w:sz w:val="28"/>
      <w:szCs w:val="28"/>
    </w:rPr>
  </w:style>
  <w:style w:type="character" w:customStyle="1" w:styleId="43">
    <w:name w:val="标题 6 字符"/>
    <w:link w:val="8"/>
    <w:qFormat/>
    <w:uiPriority w:val="0"/>
    <w:rPr>
      <w:rFonts w:ascii="Arial" w:hAnsi="Arial" w:eastAsia="黑体"/>
      <w:b/>
      <w:bCs/>
      <w:kern w:val="2"/>
      <w:sz w:val="24"/>
      <w:szCs w:val="24"/>
    </w:rPr>
  </w:style>
  <w:style w:type="character" w:customStyle="1" w:styleId="44">
    <w:name w:val="标题 7 字符"/>
    <w:link w:val="9"/>
    <w:qFormat/>
    <w:uiPriority w:val="0"/>
    <w:rPr>
      <w:b/>
      <w:bCs/>
      <w:kern w:val="2"/>
      <w:sz w:val="24"/>
      <w:szCs w:val="24"/>
    </w:rPr>
  </w:style>
  <w:style w:type="character" w:customStyle="1" w:styleId="45">
    <w:name w:val="标题 8 字符"/>
    <w:link w:val="10"/>
    <w:qFormat/>
    <w:uiPriority w:val="0"/>
    <w:rPr>
      <w:rFonts w:ascii="Arial" w:hAnsi="Arial" w:eastAsia="黑体"/>
      <w:kern w:val="2"/>
      <w:sz w:val="24"/>
      <w:szCs w:val="24"/>
    </w:rPr>
  </w:style>
  <w:style w:type="character" w:customStyle="1" w:styleId="46">
    <w:name w:val="标题 9 字符"/>
    <w:link w:val="11"/>
    <w:qFormat/>
    <w:uiPriority w:val="0"/>
    <w:rPr>
      <w:rFonts w:ascii="Arial" w:hAnsi="Arial" w:eastAsia="黑体"/>
      <w:kern w:val="2"/>
      <w:sz w:val="21"/>
      <w:szCs w:val="21"/>
    </w:rPr>
  </w:style>
  <w:style w:type="character" w:customStyle="1" w:styleId="47">
    <w:name w:val="页眉 字符"/>
    <w:link w:val="19"/>
    <w:qFormat/>
    <w:uiPriority w:val="99"/>
    <w:rPr>
      <w:kern w:val="2"/>
      <w:sz w:val="18"/>
      <w:szCs w:val="18"/>
    </w:rPr>
  </w:style>
  <w:style w:type="character" w:customStyle="1" w:styleId="48">
    <w:name w:val="页脚 字符"/>
    <w:link w:val="18"/>
    <w:qFormat/>
    <w:uiPriority w:val="99"/>
    <w:rPr>
      <w:rFonts w:ascii="宋体"/>
      <w:kern w:val="2"/>
      <w:sz w:val="18"/>
      <w:szCs w:val="18"/>
    </w:rPr>
  </w:style>
  <w:style w:type="character" w:customStyle="1" w:styleId="49">
    <w:name w:val="批注框文本 字符"/>
    <w:link w:val="17"/>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8">
    <w:name w:val="标准文件_参考文献条目"/>
    <w:link w:val="238"/>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2"/>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2"/>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spacing w:line="240" w:lineRule="auto"/>
      <w:jc w:val="left"/>
    </w:pPr>
    <w:rPr>
      <w:bCs/>
      <w:iCs/>
    </w:rPr>
  </w:style>
  <w:style w:type="paragraph" w:customStyle="1" w:styleId="147">
    <w:name w:val="目录 31"/>
    <w:basedOn w:val="1"/>
    <w:next w:val="1"/>
    <w:autoRedefine/>
    <w:semiHidden/>
    <w:qFormat/>
    <w:uiPriority w:val="0"/>
    <w:pPr>
      <w:spacing w:line="240" w:lineRule="auto"/>
    </w:pPr>
    <w:rPr>
      <w:rFonts w:ascii="宋体" w:hAnsi="宋体"/>
      <w:iCs/>
    </w:rPr>
  </w:style>
  <w:style w:type="paragraph" w:customStyle="1" w:styleId="148">
    <w:name w:val="目录 41"/>
    <w:basedOn w:val="1"/>
    <w:next w:val="1"/>
    <w:autoRedefine/>
    <w:semiHidden/>
    <w:qFormat/>
    <w:uiPriority w:val="0"/>
    <w:pPr>
      <w:adjustRightInd/>
      <w:spacing w:line="240" w:lineRule="auto"/>
      <w:jc w:val="left"/>
    </w:pPr>
  </w:style>
  <w:style w:type="paragraph" w:customStyle="1" w:styleId="149">
    <w:name w:val="目录 51"/>
    <w:basedOn w:val="1"/>
    <w:next w:val="1"/>
    <w:autoRedefine/>
    <w:semiHidden/>
    <w:qFormat/>
    <w:uiPriority w:val="0"/>
    <w:pPr>
      <w:spacing w:line="240" w:lineRule="auto"/>
    </w:pPr>
    <w:rPr>
      <w:rFonts w:ascii="宋体" w:hAnsi="宋体"/>
    </w:rPr>
  </w:style>
  <w:style w:type="paragraph" w:customStyle="1" w:styleId="150">
    <w:name w:val="目录 61"/>
    <w:basedOn w:val="1"/>
    <w:next w:val="1"/>
    <w:autoRedefine/>
    <w:semiHidden/>
    <w:qFormat/>
    <w:uiPriority w:val="0"/>
    <w:pPr>
      <w:adjustRightInd/>
      <w:spacing w:line="240" w:lineRule="auto"/>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Times New Roman"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style>
  <w:style w:type="paragraph" w:customStyle="1" w:styleId="193">
    <w:name w:val="标准文件_一级项2"/>
    <w:basedOn w:val="60"/>
    <w:qFormat/>
    <w:uiPriority w:val="0"/>
    <w:pPr>
      <w:numPr>
        <w:ilvl w:val="0"/>
        <w:numId w:val="31"/>
      </w:numPr>
      <w:spacing w:line="300" w:lineRule="exact"/>
      <w:ind w:firstLineChars="0"/>
    </w:p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paragraph" w:customStyle="1" w:styleId="234">
    <w:name w:val="ds-markdown-paragraph"/>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235">
    <w:name w:val="批注文字 字符"/>
    <w:basedOn w:val="31"/>
    <w:link w:val="14"/>
    <w:semiHidden/>
    <w:qFormat/>
    <w:uiPriority w:val="99"/>
    <w:rPr>
      <w:kern w:val="2"/>
      <w:sz w:val="21"/>
      <w:szCs w:val="21"/>
    </w:rPr>
  </w:style>
  <w:style w:type="character" w:customStyle="1" w:styleId="236">
    <w:name w:val="批注主题 字符"/>
    <w:basedOn w:val="235"/>
    <w:link w:val="28"/>
    <w:semiHidden/>
    <w:qFormat/>
    <w:uiPriority w:val="99"/>
    <w:rPr>
      <w:b/>
      <w:bCs/>
      <w:kern w:val="2"/>
      <w:sz w:val="21"/>
      <w:szCs w:val="21"/>
    </w:rPr>
  </w:style>
  <w:style w:type="paragraph" w:customStyle="1" w:styleId="237">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8">
    <w:name w:val="标准文件_参考文献条目 Char"/>
    <w:link w:val="68"/>
    <w:qFormat/>
    <w:uiPriority w:val="0"/>
    <w:rPr>
      <w:rFonts w:ascii="宋体" w:hAnsi="Times New Roman" w:eastAsia="宋体" w:cs="Times New Roman"/>
      <w:lang w:val="en-US" w:eastAsia="zh-CN" w:bidi="ar-SA"/>
    </w:rPr>
  </w:style>
  <w:style w:type="paragraph" w:customStyle="1" w:styleId="239">
    <w:name w:val="修订2"/>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2DF46D6480F4F1B96DB89550A09E5E9"/>
        <w:style w:val=""/>
        <w:category>
          <w:name w:val="常规"/>
          <w:gallery w:val="placeholder"/>
        </w:category>
        <w:types>
          <w:type w:val="bbPlcHdr"/>
        </w:types>
        <w:behaviors>
          <w:behavior w:val="content"/>
        </w:behaviors>
        <w:description w:val=""/>
        <w:guid w:val="{0177C5B1-CD54-4A4A-8E99-119FFE02C07A}"/>
      </w:docPartPr>
      <w:docPartBody>
        <w:p w14:paraId="44395454">
          <w:pPr>
            <w:pStyle w:val="5"/>
            <w:rPr>
              <w:rFonts w:hint="eastAsia"/>
            </w:rPr>
          </w:pPr>
          <w:r>
            <w:rPr>
              <w:rStyle w:val="4"/>
              <w:rFonts w:hint="eastAsia"/>
            </w:rPr>
            <w:t>单击或点击此处输入文字。</w:t>
          </w:r>
        </w:p>
      </w:docPartBody>
    </w:docPart>
    <w:docPart>
      <w:docPartPr>
        <w:name w:val="F8FE4D66C5324C3E8102B79951AC7714"/>
        <w:style w:val=""/>
        <w:category>
          <w:name w:val="常规"/>
          <w:gallery w:val="placeholder"/>
        </w:category>
        <w:types>
          <w:type w:val="bbPlcHdr"/>
        </w:types>
        <w:behaviors>
          <w:behavior w:val="content"/>
        </w:behaviors>
        <w:description w:val=""/>
        <w:guid w:val="{5D48D1DF-EA9B-48DF-A30D-5E7DE07B2BB9}"/>
      </w:docPartPr>
      <w:docPartBody>
        <w:p w14:paraId="43BF7205">
          <w:pPr>
            <w:pStyle w:val="6"/>
            <w:rPr>
              <w:rFonts w:hint="eastAsia"/>
            </w:rPr>
          </w:pPr>
          <w:r>
            <w:rPr>
              <w:rStyle w:val="4"/>
              <w:rFonts w:hint="eastAsia"/>
            </w:rPr>
            <w:t>选择一项。</w:t>
          </w:r>
        </w:p>
      </w:docPartBody>
    </w:docPart>
    <w:docPart>
      <w:docPartPr>
        <w:name w:val="CDFDC2B04DBC4EA9B15D211AD8E5340C"/>
        <w:style w:val=""/>
        <w:category>
          <w:name w:val="常规"/>
          <w:gallery w:val="placeholder"/>
        </w:category>
        <w:types>
          <w:type w:val="bbPlcHdr"/>
        </w:types>
        <w:behaviors>
          <w:behavior w:val="content"/>
        </w:behaviors>
        <w:description w:val=""/>
        <w:guid w:val="{53D93F42-4303-4C49-B06F-74A745B768B4}"/>
      </w:docPartPr>
      <w:docPartBody>
        <w:p w14:paraId="1229C6C7">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529"/>
    <w:rsid w:val="000267D9"/>
    <w:rsid w:val="00046BF3"/>
    <w:rsid w:val="00161CCE"/>
    <w:rsid w:val="001B6D62"/>
    <w:rsid w:val="001D50AF"/>
    <w:rsid w:val="00265676"/>
    <w:rsid w:val="00274389"/>
    <w:rsid w:val="004B288A"/>
    <w:rsid w:val="006926CD"/>
    <w:rsid w:val="006F7529"/>
    <w:rsid w:val="007660CE"/>
    <w:rsid w:val="00925795"/>
    <w:rsid w:val="00AF781B"/>
    <w:rsid w:val="00C0724A"/>
    <w:rsid w:val="00CC6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2DF46D6480F4F1B96DB89550A09E5E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F8FE4D66C5324C3E8102B79951AC771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CDFDC2B04DBC4EA9B15D211AD8E5340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8</Pages>
  <Words>285</Words>
  <Characters>434</Characters>
  <Lines>50</Lines>
  <Paragraphs>14</Paragraphs>
  <TotalTime>31</TotalTime>
  <ScaleCrop>false</ScaleCrop>
  <LinksUpToDate>false</LinksUpToDate>
  <CharactersWithSpaces>553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2026-05-22T01:53:00Z</dcterms:created>
  <dc:creator>Administrator</dc:creator>
  <cp:lastModifiedBy>树年强</cp:lastModifiedBy>
  <cp:lastPrinted>2021-02-02T08:22:00Z</cp:lastPrinted>
  <dcterms:modified xsi:type="dcterms:W3CDTF">2026-06-30T04:28:54Z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eyJoZGlkIjoiNmU0OWNhMGUyYzc2MTI5ZWY2NzM4MTVkMDAwODg0YzMiLCJ1c2VySWQiOiI2Mzk4NzAxMjYifQ==</vt:lpwstr>
  </property>
  <property fmtid="{D5CDD505-2E9C-101B-9397-08002B2CF9AE}" pid="15" name="KSOProductBuildVer">
    <vt:lpwstr>2052-12.1.0.26895</vt:lpwstr>
  </property>
  <property fmtid="{D5CDD505-2E9C-101B-9397-08002B2CF9AE}" pid="16" name="ICV">
    <vt:lpwstr>40E8F2AE0BDD41DEB33D7BC25C3817D4_13</vt:lpwstr>
  </property>
</Properties>
</file>