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C1788" w:rsidRPr="00435CBF" w:rsidRDefault="00521A9E">
      <w:pPr>
        <w:spacing w:line="600" w:lineRule="exact"/>
        <w:jc w:val="center"/>
        <w:rPr>
          <w:rFonts w:ascii="方正小标宋简体" w:eastAsia="方正小标宋简体" w:hAnsi="黑体" w:cs="黑体"/>
          <w:color w:val="000000"/>
          <w:sz w:val="44"/>
          <w:szCs w:val="44"/>
        </w:rPr>
      </w:pPr>
      <w:r w:rsidRPr="00435CBF">
        <w:rPr>
          <w:rFonts w:ascii="方正小标宋简体" w:eastAsia="方正小标宋简体" w:hAnsi="黑体" w:cs="黑体" w:hint="eastAsia"/>
          <w:color w:val="000000"/>
          <w:sz w:val="44"/>
          <w:szCs w:val="44"/>
        </w:rPr>
        <w:t>团体标准《</w:t>
      </w:r>
      <w:r w:rsidR="00B70C94">
        <w:rPr>
          <w:rFonts w:ascii="方正小标宋简体" w:eastAsia="方正小标宋简体" w:hAnsi="黑体" w:cs="黑体" w:hint="eastAsia"/>
          <w:color w:val="000000"/>
          <w:sz w:val="44"/>
          <w:szCs w:val="44"/>
        </w:rPr>
        <w:t>5G移动卒中单元救治规范</w:t>
      </w:r>
      <w:r w:rsidRPr="00435CBF">
        <w:rPr>
          <w:rFonts w:ascii="方正小标宋简体" w:eastAsia="方正小标宋简体" w:hAnsi="黑体" w:cs="黑体" w:hint="eastAsia"/>
          <w:color w:val="000000"/>
          <w:sz w:val="44"/>
          <w:szCs w:val="44"/>
        </w:rPr>
        <w:t>》（征求意见稿）</w:t>
      </w:r>
    </w:p>
    <w:p w:rsidR="00CC1788" w:rsidRPr="00435CBF" w:rsidRDefault="00521A9E">
      <w:pPr>
        <w:spacing w:line="600" w:lineRule="exact"/>
        <w:jc w:val="center"/>
        <w:rPr>
          <w:rFonts w:ascii="方正小标宋简体" w:eastAsia="方正小标宋简体" w:hAnsi="黑体" w:cs="黑体"/>
          <w:color w:val="000000"/>
          <w:sz w:val="44"/>
          <w:szCs w:val="44"/>
        </w:rPr>
      </w:pPr>
      <w:r w:rsidRPr="00435CBF">
        <w:rPr>
          <w:rFonts w:ascii="方正小标宋简体" w:eastAsia="方正小标宋简体" w:hAnsi="黑体" w:cs="黑体" w:hint="eastAsia"/>
          <w:color w:val="000000"/>
          <w:sz w:val="44"/>
          <w:szCs w:val="44"/>
        </w:rPr>
        <w:t>编制说明</w:t>
      </w:r>
    </w:p>
    <w:p w:rsidR="00CC1788" w:rsidRDefault="00521A9E">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CC1788" w:rsidRDefault="00B70C94">
      <w:pPr>
        <w:spacing w:line="560" w:lineRule="exact"/>
        <w:ind w:firstLineChars="200" w:firstLine="600"/>
        <w:rPr>
          <w:rFonts w:ascii="仿宋_GB2312" w:eastAsia="仿宋_GB2312" w:hAnsi="仿宋"/>
          <w:sz w:val="30"/>
          <w:szCs w:val="30"/>
        </w:rPr>
      </w:pPr>
      <w:bookmarkStart w:id="0" w:name="_Hlk199142511"/>
      <w:r w:rsidRPr="00B70C94">
        <w:rPr>
          <w:rFonts w:ascii="仿宋_GB2312" w:eastAsia="仿宋_GB2312" w:hAnsi="仿宋_GB2312" w:cs="仿宋_GB2312" w:hint="eastAsia"/>
          <w:sz w:val="30"/>
          <w:szCs w:val="30"/>
        </w:rPr>
        <w:t>根据《广西标准化协会关于下达2026年第七批团体标准制修订项目计划的通知》（</w:t>
      </w:r>
      <w:proofErr w:type="gramStart"/>
      <w:r w:rsidRPr="00B70C94">
        <w:rPr>
          <w:rFonts w:ascii="仿宋_GB2312" w:eastAsia="仿宋_GB2312" w:hAnsi="仿宋_GB2312" w:cs="仿宋_GB2312" w:hint="eastAsia"/>
          <w:sz w:val="30"/>
          <w:szCs w:val="30"/>
        </w:rPr>
        <w:t>桂标协〔2026〕</w:t>
      </w:r>
      <w:proofErr w:type="gramEnd"/>
      <w:r w:rsidRPr="00B70C94">
        <w:rPr>
          <w:rFonts w:ascii="仿宋_GB2312" w:eastAsia="仿宋_GB2312" w:hAnsi="仿宋_GB2312" w:cs="仿宋_GB2312" w:hint="eastAsia"/>
          <w:sz w:val="30"/>
          <w:szCs w:val="30"/>
        </w:rPr>
        <w:t>79号）文件精神，由广西医学会提出，梧州市红十字会医院、中国人民解放军总医院、宿州市第一人民医院、广西医科大学附属肿瘤医院等单位共同起草的团体标准《5G移动卒中单元救治规范》（项目编号：2026-0731）已获批立项。主要起草人姓名及分工情况如下</w:t>
      </w:r>
      <w:r w:rsidR="00521A9E">
        <w:rPr>
          <w:rFonts w:ascii="仿宋_GB2312" w:eastAsia="仿宋_GB2312" w:hAnsi="仿宋" w:hint="eastAsia"/>
          <w:sz w:val="30"/>
          <w:szCs w:val="30"/>
        </w:rPr>
        <w:t>：</w:t>
      </w:r>
      <w:r w:rsidR="00521A9E">
        <w:rPr>
          <w:rFonts w:ascii="仿宋_GB2312" w:eastAsia="仿宋_GB2312" w:hAnsi="仿宋"/>
          <w:sz w:val="30"/>
          <w:szCs w:val="3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1037"/>
        <w:gridCol w:w="1559"/>
        <w:gridCol w:w="1417"/>
        <w:gridCol w:w="1501"/>
        <w:gridCol w:w="2264"/>
      </w:tblGrid>
      <w:tr w:rsidR="00047978" w:rsidTr="00047978">
        <w:trPr>
          <w:cantSplit/>
          <w:trHeight w:val="866"/>
          <w:jc w:val="center"/>
        </w:trPr>
        <w:tc>
          <w:tcPr>
            <w:tcW w:w="518" w:type="dxa"/>
            <w:vAlign w:val="center"/>
          </w:tcPr>
          <w:p w:rsidR="00047978" w:rsidRDefault="00047978">
            <w:pPr>
              <w:jc w:val="center"/>
              <w:rPr>
                <w:rFonts w:ascii="宋体" w:hAnsi="宋体"/>
                <w:bCs/>
                <w:szCs w:val="21"/>
              </w:rPr>
            </w:pPr>
            <w:bookmarkStart w:id="1" w:name="_Hlk199142527"/>
            <w:r>
              <w:rPr>
                <w:rFonts w:ascii="宋体" w:hAnsi="宋体" w:cs="宋体" w:hint="eastAsia"/>
                <w:b/>
                <w:bCs/>
                <w:szCs w:val="21"/>
              </w:rPr>
              <w:t>序号</w:t>
            </w:r>
          </w:p>
        </w:tc>
        <w:tc>
          <w:tcPr>
            <w:tcW w:w="1037" w:type="dxa"/>
            <w:vAlign w:val="center"/>
          </w:tcPr>
          <w:p w:rsidR="00047978" w:rsidRDefault="00047978">
            <w:pPr>
              <w:jc w:val="center"/>
              <w:rPr>
                <w:rFonts w:ascii="宋体" w:hAnsi="宋体"/>
                <w:bCs/>
                <w:szCs w:val="21"/>
              </w:rPr>
            </w:pPr>
            <w:r>
              <w:rPr>
                <w:rFonts w:ascii="宋体" w:hAnsi="宋体" w:cs="宋体" w:hint="eastAsia"/>
                <w:b/>
                <w:bCs/>
                <w:szCs w:val="21"/>
              </w:rPr>
              <w:t>姓名</w:t>
            </w:r>
          </w:p>
        </w:tc>
        <w:tc>
          <w:tcPr>
            <w:tcW w:w="1559" w:type="dxa"/>
            <w:vAlign w:val="center"/>
          </w:tcPr>
          <w:p w:rsidR="00047978" w:rsidRDefault="00047978">
            <w:pPr>
              <w:jc w:val="center"/>
              <w:rPr>
                <w:rFonts w:ascii="宋体" w:hAnsi="宋体"/>
                <w:bCs/>
                <w:szCs w:val="21"/>
              </w:rPr>
            </w:pPr>
            <w:r>
              <w:rPr>
                <w:rFonts w:ascii="宋体" w:hAnsi="宋体" w:cs="宋体" w:hint="eastAsia"/>
                <w:b/>
                <w:szCs w:val="21"/>
              </w:rPr>
              <w:t>单位</w:t>
            </w:r>
          </w:p>
        </w:tc>
        <w:tc>
          <w:tcPr>
            <w:tcW w:w="1417" w:type="dxa"/>
            <w:vAlign w:val="center"/>
          </w:tcPr>
          <w:p w:rsidR="00047978" w:rsidRDefault="00047978">
            <w:pPr>
              <w:jc w:val="center"/>
              <w:rPr>
                <w:rFonts w:ascii="宋体" w:hAnsi="宋体"/>
                <w:bCs/>
                <w:szCs w:val="21"/>
              </w:rPr>
            </w:pPr>
            <w:r>
              <w:rPr>
                <w:rFonts w:ascii="宋体" w:hAnsi="宋体" w:cs="宋体" w:hint="eastAsia"/>
                <w:b/>
                <w:bCs/>
                <w:szCs w:val="21"/>
              </w:rPr>
              <w:t>职务/职称</w:t>
            </w:r>
          </w:p>
        </w:tc>
        <w:tc>
          <w:tcPr>
            <w:tcW w:w="1501" w:type="dxa"/>
            <w:vAlign w:val="center"/>
          </w:tcPr>
          <w:p w:rsidR="00047978" w:rsidRDefault="00047978" w:rsidP="00047978">
            <w:pPr>
              <w:jc w:val="center"/>
              <w:rPr>
                <w:rFonts w:ascii="宋体" w:hAnsi="宋体" w:cs="宋体" w:hint="eastAsia"/>
                <w:b/>
                <w:bCs/>
                <w:szCs w:val="21"/>
              </w:rPr>
            </w:pPr>
            <w:r>
              <w:rPr>
                <w:rFonts w:ascii="宋体" w:hAnsi="宋体" w:cs="宋体" w:hint="eastAsia"/>
                <w:b/>
                <w:bCs/>
                <w:szCs w:val="21"/>
              </w:rPr>
              <w:t>专业</w:t>
            </w:r>
          </w:p>
        </w:tc>
        <w:tc>
          <w:tcPr>
            <w:tcW w:w="2264" w:type="dxa"/>
            <w:vAlign w:val="center"/>
          </w:tcPr>
          <w:p w:rsidR="00047978" w:rsidRDefault="00047978">
            <w:pPr>
              <w:jc w:val="center"/>
              <w:rPr>
                <w:rFonts w:ascii="宋体" w:hAnsi="宋体"/>
                <w:bCs/>
                <w:szCs w:val="21"/>
              </w:rPr>
            </w:pPr>
            <w:r>
              <w:rPr>
                <w:rFonts w:ascii="宋体" w:hAnsi="宋体" w:cs="宋体" w:hint="eastAsia"/>
                <w:b/>
                <w:bCs/>
                <w:szCs w:val="21"/>
              </w:rPr>
              <w:t>参与编制标准分工情况</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bookmarkStart w:id="2" w:name="_Hlk233653545"/>
          </w:p>
        </w:tc>
        <w:tc>
          <w:tcPr>
            <w:tcW w:w="1037" w:type="dxa"/>
            <w:vAlign w:val="center"/>
          </w:tcPr>
          <w:p w:rsidR="00047978" w:rsidRPr="00047978" w:rsidRDefault="00047978" w:rsidP="00047978">
            <w:pPr>
              <w:widowControl/>
              <w:jc w:val="center"/>
              <w:rPr>
                <w:rFonts w:ascii="仿宋_GB2312" w:eastAsia="仿宋_GB2312" w:hAnsi="仿宋_GB2312" w:cs="仿宋_GB2312"/>
                <w:bCs/>
                <w:sz w:val="24"/>
              </w:rPr>
            </w:pPr>
            <w:r w:rsidRPr="00047978">
              <w:rPr>
                <w:rFonts w:ascii="仿宋_GB2312" w:eastAsia="仿宋_GB2312" w:hAnsi="仿宋_GB2312" w:cs="仿宋_GB2312" w:hint="eastAsia"/>
                <w:bCs/>
                <w:sz w:val="24"/>
              </w:rPr>
              <w:t>余永铭</w:t>
            </w:r>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神经外科</w:t>
            </w:r>
          </w:p>
        </w:tc>
        <w:tc>
          <w:tcPr>
            <w:tcW w:w="2264" w:type="dxa"/>
          </w:tcPr>
          <w:p w:rsidR="00047978" w:rsidRDefault="00047978" w:rsidP="00047978">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陈</w:t>
            </w:r>
            <w:r>
              <w:rPr>
                <w:rFonts w:ascii="仿宋_GB2312" w:eastAsia="仿宋_GB2312" w:hAnsi="仿宋_GB2312" w:cs="仿宋_GB2312" w:hint="eastAsia"/>
                <w:bCs/>
                <w:sz w:val="24"/>
              </w:rPr>
              <w:t xml:space="preserve"> </w:t>
            </w:r>
            <w:r>
              <w:rPr>
                <w:rFonts w:ascii="仿宋_GB2312" w:eastAsia="仿宋_GB2312" w:hAnsi="仿宋_GB2312" w:cs="仿宋_GB2312"/>
                <w:bCs/>
                <w:sz w:val="24"/>
              </w:rPr>
              <w:t xml:space="preserve"> </w:t>
            </w:r>
            <w:bookmarkStart w:id="3" w:name="_GoBack"/>
            <w:bookmarkEnd w:id="3"/>
            <w:proofErr w:type="gramStart"/>
            <w:r w:rsidRPr="00047978">
              <w:rPr>
                <w:rFonts w:ascii="仿宋_GB2312" w:eastAsia="仿宋_GB2312" w:hAnsi="仿宋_GB2312" w:cs="仿宋_GB2312" w:hint="eastAsia"/>
                <w:bCs/>
                <w:sz w:val="24"/>
              </w:rPr>
              <w:t>绚</w:t>
            </w:r>
            <w:proofErr w:type="gramEnd"/>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神经内科</w:t>
            </w:r>
          </w:p>
        </w:tc>
        <w:tc>
          <w:tcPr>
            <w:tcW w:w="2264" w:type="dxa"/>
          </w:tcPr>
          <w:p w:rsidR="00047978" w:rsidRDefault="00047978" w:rsidP="00047978">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黎</w:t>
            </w:r>
            <w:r>
              <w:rPr>
                <w:rFonts w:ascii="仿宋_GB2312" w:eastAsia="仿宋_GB2312" w:hAnsi="仿宋_GB2312" w:cs="仿宋_GB2312" w:hint="eastAsia"/>
                <w:bCs/>
                <w:sz w:val="24"/>
              </w:rPr>
              <w:t xml:space="preserve"> </w:t>
            </w:r>
            <w:r>
              <w:rPr>
                <w:rFonts w:ascii="仿宋_GB2312" w:eastAsia="仿宋_GB2312" w:hAnsi="仿宋_GB2312" w:cs="仿宋_GB2312"/>
                <w:bCs/>
                <w:sz w:val="24"/>
              </w:rPr>
              <w:t xml:space="preserve"> </w:t>
            </w:r>
            <w:r w:rsidRPr="00047978">
              <w:rPr>
                <w:rFonts w:ascii="仿宋_GB2312" w:eastAsia="仿宋_GB2312" w:hAnsi="仿宋_GB2312" w:cs="仿宋_GB2312" w:hint="eastAsia"/>
                <w:bCs/>
                <w:sz w:val="24"/>
              </w:rPr>
              <w:t>铮</w:t>
            </w:r>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神经内科</w:t>
            </w:r>
          </w:p>
        </w:tc>
        <w:tc>
          <w:tcPr>
            <w:tcW w:w="2264" w:type="dxa"/>
          </w:tcPr>
          <w:p w:rsidR="00047978" w:rsidRDefault="00047978" w:rsidP="00047978">
            <w:pPr>
              <w:ind w:firstLineChars="100" w:firstLine="240"/>
              <w:jc w:val="left"/>
              <w:rPr>
                <w:rFonts w:ascii="仿宋_GB2312" w:eastAsia="仿宋_GB2312" w:hAnsi="仿宋_GB2312" w:cs="仿宋_GB2312"/>
                <w:bCs/>
                <w:sz w:val="24"/>
              </w:rPr>
            </w:pPr>
            <w:r>
              <w:rPr>
                <w:rFonts w:ascii="仿宋_GB2312" w:eastAsia="仿宋_GB2312" w:hAnsi="仿宋_GB2312" w:cs="仿宋_GB2312" w:hint="eastAsia"/>
                <w:bCs/>
                <w:sz w:val="24"/>
              </w:rPr>
              <w:t>负责起草规范草案，征求意见稿和规范编制说明，送审稿及编制说明的编写工作</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于晓钧</w:t>
            </w:r>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急诊科</w:t>
            </w:r>
          </w:p>
        </w:tc>
        <w:tc>
          <w:tcPr>
            <w:tcW w:w="2264" w:type="dxa"/>
            <w:vAlign w:val="center"/>
          </w:tcPr>
          <w:p w:rsidR="00047978" w:rsidRDefault="00047978" w:rsidP="00047978">
            <w:pPr>
              <w:ind w:firstLineChars="100" w:firstLine="240"/>
              <w:jc w:val="left"/>
              <w:rPr>
                <w:rFonts w:ascii="宋体" w:hAnsi="宋体"/>
                <w:szCs w:val="21"/>
              </w:rPr>
            </w:pPr>
            <w:bookmarkStart w:id="4" w:name="OLE_LINK11"/>
            <w:r>
              <w:rPr>
                <w:rFonts w:ascii="仿宋_GB2312" w:eastAsia="仿宋_GB2312" w:hAnsi="仿宋_GB2312" w:cs="仿宋_GB2312" w:hint="eastAsia"/>
                <w:bCs/>
                <w:sz w:val="24"/>
              </w:rPr>
              <w:t>负责起草规范草案，征求意见稿和规范编制说明，送审稿及编制说明的编写工作</w:t>
            </w:r>
            <w:bookmarkEnd w:id="4"/>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吴金海</w:t>
            </w:r>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副主任医师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神经外科</w:t>
            </w:r>
          </w:p>
        </w:tc>
        <w:tc>
          <w:tcPr>
            <w:tcW w:w="2264" w:type="dxa"/>
            <w:vAlign w:val="center"/>
          </w:tcPr>
          <w:p w:rsidR="00047978" w:rsidRDefault="00047978" w:rsidP="00047978">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谭素北</w:t>
            </w:r>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梧州市红十字会医院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博士</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综合实验室</w:t>
            </w:r>
          </w:p>
        </w:tc>
        <w:tc>
          <w:tcPr>
            <w:tcW w:w="2264" w:type="dxa"/>
            <w:vAlign w:val="center"/>
          </w:tcPr>
          <w:p w:rsidR="00047978" w:rsidRDefault="00047978" w:rsidP="00047978">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张洪</w:t>
            </w:r>
            <w:proofErr w:type="gramStart"/>
            <w:r w:rsidRPr="00047978">
              <w:rPr>
                <w:rFonts w:ascii="仿宋_GB2312" w:eastAsia="仿宋_GB2312" w:hAnsi="仿宋_GB2312" w:cs="仿宋_GB2312" w:hint="eastAsia"/>
                <w:bCs/>
                <w:sz w:val="24"/>
              </w:rPr>
              <w:t>钿</w:t>
            </w:r>
            <w:proofErr w:type="gramEnd"/>
          </w:p>
        </w:tc>
        <w:tc>
          <w:tcPr>
            <w:tcW w:w="1559"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中国人民解放军总医院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神经外科</w:t>
            </w:r>
          </w:p>
        </w:tc>
        <w:tc>
          <w:tcPr>
            <w:tcW w:w="2264" w:type="dxa"/>
            <w:vAlign w:val="center"/>
          </w:tcPr>
          <w:p w:rsidR="00047978" w:rsidRDefault="00047978" w:rsidP="00047978">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shd w:val="clear" w:color="auto" w:fill="auto"/>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王宏运</w:t>
            </w:r>
          </w:p>
        </w:tc>
        <w:tc>
          <w:tcPr>
            <w:tcW w:w="1559" w:type="dxa"/>
            <w:shd w:val="clear" w:color="auto" w:fill="auto"/>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宿州市第一人民医院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急诊科</w:t>
            </w:r>
          </w:p>
        </w:tc>
        <w:tc>
          <w:tcPr>
            <w:tcW w:w="2264" w:type="dxa"/>
          </w:tcPr>
          <w:p w:rsidR="00047978" w:rsidRDefault="00047978" w:rsidP="00047978">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7978" w:rsidTr="00047978">
        <w:trPr>
          <w:cantSplit/>
          <w:trHeight w:val="866"/>
          <w:jc w:val="center"/>
        </w:trPr>
        <w:tc>
          <w:tcPr>
            <w:tcW w:w="518" w:type="dxa"/>
            <w:vAlign w:val="center"/>
          </w:tcPr>
          <w:p w:rsidR="00047978" w:rsidRDefault="00047978" w:rsidP="00047978">
            <w:pPr>
              <w:pStyle w:val="aff8"/>
              <w:numPr>
                <w:ilvl w:val="0"/>
                <w:numId w:val="6"/>
              </w:numPr>
              <w:tabs>
                <w:tab w:val="left" w:pos="420"/>
              </w:tabs>
              <w:suppressAutoHyphens/>
              <w:ind w:left="0" w:firstLineChars="0" w:firstLine="0"/>
              <w:jc w:val="center"/>
              <w:rPr>
                <w:rFonts w:ascii="宋体" w:hAnsi="宋体"/>
                <w:bCs/>
                <w:szCs w:val="21"/>
              </w:rPr>
            </w:pPr>
          </w:p>
        </w:tc>
        <w:tc>
          <w:tcPr>
            <w:tcW w:w="1037" w:type="dxa"/>
            <w:shd w:val="clear" w:color="auto" w:fill="auto"/>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李</w:t>
            </w:r>
            <w:proofErr w:type="gramStart"/>
            <w:r w:rsidRPr="00047978">
              <w:rPr>
                <w:rFonts w:ascii="微软雅黑" w:eastAsia="微软雅黑" w:hAnsi="微软雅黑" w:cs="微软雅黑" w:hint="eastAsia"/>
                <w:bCs/>
                <w:sz w:val="24"/>
              </w:rPr>
              <w:t>婛</w:t>
            </w:r>
            <w:proofErr w:type="gramEnd"/>
          </w:p>
        </w:tc>
        <w:tc>
          <w:tcPr>
            <w:tcW w:w="1559" w:type="dxa"/>
            <w:shd w:val="clear" w:color="auto" w:fill="auto"/>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广西医科大学附属肿瘤医院</w:t>
            </w:r>
          </w:p>
        </w:tc>
        <w:tc>
          <w:tcPr>
            <w:tcW w:w="1417"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主任医师</w:t>
            </w:r>
          </w:p>
        </w:tc>
        <w:tc>
          <w:tcPr>
            <w:tcW w:w="1501" w:type="dxa"/>
            <w:vAlign w:val="center"/>
          </w:tcPr>
          <w:p w:rsidR="00047978" w:rsidRPr="00047978" w:rsidRDefault="00047978" w:rsidP="00047978">
            <w:pPr>
              <w:jc w:val="center"/>
              <w:rPr>
                <w:rFonts w:ascii="仿宋_GB2312" w:eastAsia="仿宋_GB2312" w:hAnsi="仿宋_GB2312" w:cs="仿宋_GB2312" w:hint="eastAsia"/>
                <w:bCs/>
                <w:sz w:val="24"/>
              </w:rPr>
            </w:pPr>
            <w:r w:rsidRPr="00047978">
              <w:rPr>
                <w:rFonts w:ascii="仿宋_GB2312" w:eastAsia="仿宋_GB2312" w:hAnsi="仿宋_GB2312" w:cs="仿宋_GB2312" w:hint="eastAsia"/>
                <w:bCs/>
                <w:sz w:val="24"/>
              </w:rPr>
              <w:t>神经内科</w:t>
            </w:r>
          </w:p>
        </w:tc>
        <w:tc>
          <w:tcPr>
            <w:tcW w:w="2264" w:type="dxa"/>
          </w:tcPr>
          <w:p w:rsidR="00047978" w:rsidRDefault="00047978" w:rsidP="00047978">
            <w:pPr>
              <w:ind w:firstLineChars="100" w:firstLine="240"/>
              <w:jc w:val="left"/>
              <w:rPr>
                <w:rFonts w:ascii="仿宋_GB2312" w:eastAsia="仿宋_GB2312" w:hint="eastAsia"/>
                <w:bCs/>
                <w:sz w:val="24"/>
              </w:rPr>
            </w:pPr>
            <w:r>
              <w:rPr>
                <w:rFonts w:ascii="仿宋_GB2312" w:eastAsia="仿宋_GB2312" w:hint="eastAsia"/>
                <w:bCs/>
                <w:sz w:val="24"/>
              </w:rPr>
              <w:t>协助起草规范草案，征求意见稿和规范编制说明，送审稿及编制说明的编写工作</w:t>
            </w:r>
          </w:p>
        </w:tc>
      </w:tr>
    </w:tbl>
    <w:bookmarkEnd w:id="0"/>
    <w:bookmarkEnd w:id="1"/>
    <w:bookmarkEnd w:id="2"/>
    <w:p w:rsidR="00CC1788" w:rsidRDefault="00521A9E">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脑卒中是我国居民致死、致残的第一大原因，具有发病率高、致残率高、死亡率高和复发率高的特点。据《中国脑卒中防治报告2023》数据显示，我国40岁及以上人群中卒中现</w:t>
      </w:r>
      <w:proofErr w:type="gramStart"/>
      <w:r w:rsidRPr="00B70C94">
        <w:rPr>
          <w:rFonts w:ascii="仿宋_GB2312" w:eastAsia="仿宋_GB2312" w:hAnsi="Calibri" w:hint="eastAsia"/>
          <w:sz w:val="30"/>
          <w:szCs w:val="30"/>
        </w:rPr>
        <w:t>患人数</w:t>
      </w:r>
      <w:proofErr w:type="gramEnd"/>
      <w:r w:rsidRPr="00B70C94">
        <w:rPr>
          <w:rFonts w:ascii="仿宋_GB2312" w:eastAsia="仿宋_GB2312" w:hAnsi="Calibri" w:hint="eastAsia"/>
          <w:sz w:val="30"/>
          <w:szCs w:val="30"/>
        </w:rPr>
        <w:t>已达1242万，且发病呈现年轻化趋势。急性缺血性脑卒中（AIS）溶栓治疗</w:t>
      </w:r>
      <w:proofErr w:type="gramStart"/>
      <w:r w:rsidRPr="00B70C94">
        <w:rPr>
          <w:rFonts w:ascii="仿宋_GB2312" w:eastAsia="仿宋_GB2312" w:hAnsi="Calibri" w:hint="eastAsia"/>
          <w:sz w:val="30"/>
          <w:szCs w:val="30"/>
        </w:rPr>
        <w:t>黄金时间窗仅</w:t>
      </w:r>
      <w:proofErr w:type="gramEnd"/>
      <w:r w:rsidRPr="00B70C94">
        <w:rPr>
          <w:rFonts w:ascii="仿宋_GB2312" w:eastAsia="仿宋_GB2312" w:hAnsi="Calibri" w:hint="eastAsia"/>
          <w:sz w:val="30"/>
          <w:szCs w:val="30"/>
        </w:rPr>
        <w:t>4.5小时，每延迟1分钟约损失190万个神经元。然而，我国在发病3小时内能到达急诊的AIS患者只有21.5%，适合溶栓治疗者仅为12.6%，而接受溶栓治疗者仅有2.4%。院前延误是导致AIS患者不能在时间窗内到达可开展溶栓治疗的医疗机构的重要原因之一。</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随着5G通信技术的快速发展，5G移动卒中单元（5G Mobile Stroke Unit，5G MSU）作为一种创新诊疗模式应运而生。该模式以救护车为载具，集成小型移动CT扫描仪、便携式检验/监测</w:t>
      </w:r>
      <w:r w:rsidRPr="00B70C94">
        <w:rPr>
          <w:rFonts w:ascii="仿宋_GB2312" w:eastAsia="仿宋_GB2312" w:hAnsi="Calibri" w:hint="eastAsia"/>
          <w:sz w:val="30"/>
          <w:szCs w:val="30"/>
        </w:rPr>
        <w:lastRenderedPageBreak/>
        <w:t>设备、5G双向音视频通讯网络及专业救治团队，能够在院前完成神经影像学检查、血液检测、卒中初步诊断、静脉溶栓等关键救治措施。5G移动卒中单元将卒中急诊急救工作前移，形成了患者“上车有专家、专家有工具、工具有平台、平台有信息、信息通患者”的救治整合模式。相比传统救治模式（患者需救护车运回医院后在急诊科行CT和抽血检查后再行溶栓治疗），5G移动卒中单元可大大缩短救治黄金时间。</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当前，5G移动卒中单元缺乏统一规范，不同地区、机构在设备配置、操作流程、人员资质等方面差异大，导致救治效果参差不齐。虽然已有《“移动卒中单元”中国专家共识2019》、《中国5G移动卒中单元院前诊疗管理指南》等指导性文件，但尚未形成可操作的团体标准。制定本标准可明确移动CT、溶栓药物配置、远程会诊平台等技术参数，统一院前院内衔接流程，确保不同场景下救治质量一致。</w:t>
      </w:r>
    </w:p>
    <w:p w:rsidR="00CC1788"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因此，制定团体标准《5G移动卒中单元救治规范》，既是解决当前临床救治痛点、提升急救体系效率的必要举措，也是应对卒中高发、技术快速发展的紧迫需求。通过统一规范，可最大化5G移动卒中单元的救治价值，助力健康中国战略实施</w:t>
      </w:r>
      <w:r>
        <w:rPr>
          <w:rFonts w:ascii="仿宋_GB2312" w:eastAsia="仿宋_GB2312" w:hAnsi="Calibri" w:hint="eastAsia"/>
          <w:sz w:val="30"/>
          <w:szCs w:val="30"/>
        </w:rPr>
        <w:t>。</w:t>
      </w:r>
    </w:p>
    <w:p w:rsidR="00CC1788" w:rsidRDefault="00521A9E">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CC1788" w:rsidRDefault="00521A9E">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团体标准《5G移动卒中单元救治规范》项目任务下达后，由梧州市红十字会医院牵头组织成立了标准编制组，制定了标准编写方案，明确任务职责，确定工作技术路线，开展标准研制工作。具体编制工作由梧州市红十字会医院、中国人民解放军总医院、</w:t>
      </w:r>
      <w:r w:rsidRPr="00B70C94">
        <w:rPr>
          <w:rFonts w:ascii="仿宋_GB2312" w:eastAsia="仿宋_GB2312" w:hAnsi="Calibri" w:hint="eastAsia"/>
          <w:sz w:val="30"/>
          <w:szCs w:val="30"/>
        </w:rPr>
        <w:lastRenderedPageBreak/>
        <w:t>宿州市第一人民医院、广西医科大学附属肿瘤医院组成的标准编制组负责。编制组下设三个小组，分别是资料收集组、草案编写组、标准实施组。</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资料收集组：负责国内外关于5G移动卒中单元救治相关文献资料的查询、收集和整理工作，查阅现存关于相关研究以及国内相关标准的制定。</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草案编写组：负责标准立项、征求意见、审定、报批等阶段的标准文本及编制说明的起草工作，包括标准制定过程各阶段标准文本及相关材料的修改和完善。</w:t>
      </w:r>
    </w:p>
    <w:p w:rsidR="00CC1788"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标准实施组：负责团体标准《5G移动卒中单元救治规范》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CC1788" w:rsidRDefault="00521A9E">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通过资料收集组对文献资料的收集和整理，草案编写组主要参考了以下国内外相关的标准和文献资料：</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[1] 中国神经科学学会神经损伤与修复分会，</w:t>
      </w:r>
      <w:proofErr w:type="gramStart"/>
      <w:r w:rsidRPr="00B70C94">
        <w:rPr>
          <w:rFonts w:ascii="仿宋_GB2312" w:eastAsia="仿宋_GB2312" w:hAnsi="Calibri" w:hint="eastAsia"/>
          <w:sz w:val="30"/>
          <w:szCs w:val="30"/>
        </w:rPr>
        <w:t>卫健委脑卒中</w:t>
      </w:r>
      <w:proofErr w:type="gramEnd"/>
      <w:r w:rsidRPr="00B70C94">
        <w:rPr>
          <w:rFonts w:ascii="仿宋_GB2312" w:eastAsia="仿宋_GB2312" w:hAnsi="Calibri" w:hint="eastAsia"/>
          <w:sz w:val="30"/>
          <w:szCs w:val="30"/>
        </w:rPr>
        <w:t xml:space="preserve">防治工程委员会专家委员会，中国卒中学会急救医学分会.“移动卒中单元”中国专家共识2019[J].中华神经创伤外科电子杂志，2019，5(1):5-10. </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[2] 中国神经科学学会神经损伤与修复分会，</w:t>
      </w:r>
      <w:proofErr w:type="gramStart"/>
      <w:r w:rsidRPr="00B70C94">
        <w:rPr>
          <w:rFonts w:ascii="仿宋_GB2312" w:eastAsia="仿宋_GB2312" w:hAnsi="Calibri" w:hint="eastAsia"/>
          <w:sz w:val="30"/>
          <w:szCs w:val="30"/>
        </w:rPr>
        <w:t>卫健委脑卒中</w:t>
      </w:r>
      <w:proofErr w:type="gramEnd"/>
      <w:r w:rsidRPr="00B70C94">
        <w:rPr>
          <w:rFonts w:ascii="仿宋_GB2312" w:eastAsia="仿宋_GB2312" w:hAnsi="Calibri" w:hint="eastAsia"/>
          <w:sz w:val="30"/>
          <w:szCs w:val="30"/>
        </w:rPr>
        <w:t>防治工程委员会专家委员会，中国卒中学会急救医学分会.移动卒中单元技术规范中国专家共识2019[J].中华脑科疾病与康</w:t>
      </w:r>
      <w:r w:rsidRPr="00B70C94">
        <w:rPr>
          <w:rFonts w:ascii="仿宋_GB2312" w:eastAsia="仿宋_GB2312" w:hAnsi="Calibri" w:hint="eastAsia"/>
          <w:sz w:val="30"/>
          <w:szCs w:val="30"/>
        </w:rPr>
        <w:lastRenderedPageBreak/>
        <w:t xml:space="preserve">复杂志（电子版），2019，9(5):262-266. </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[3] 国家</w:t>
      </w:r>
      <w:proofErr w:type="gramStart"/>
      <w:r w:rsidRPr="00B70C94">
        <w:rPr>
          <w:rFonts w:ascii="仿宋_GB2312" w:eastAsia="仿宋_GB2312" w:hAnsi="Calibri" w:hint="eastAsia"/>
          <w:sz w:val="30"/>
          <w:szCs w:val="30"/>
        </w:rPr>
        <w:t>卫健委脑卒中</w:t>
      </w:r>
      <w:proofErr w:type="gramEnd"/>
      <w:r w:rsidRPr="00B70C94">
        <w:rPr>
          <w:rFonts w:ascii="仿宋_GB2312" w:eastAsia="仿宋_GB2312" w:hAnsi="Calibri" w:hint="eastAsia"/>
          <w:sz w:val="30"/>
          <w:szCs w:val="30"/>
        </w:rPr>
        <w:t xml:space="preserve">防治工程委员会专家委员会，中华医学会急诊分会，中国卒中学会急救医学分会，等.中国5G移动卒中单元院前诊疗管理指南[J].中华神经医学杂志，2023，22(1):2-17. </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[4] 首都医科大学宣武医院互联网医疗诊治技术国家工程实验室，中国联合网络通信有限公司，中国神经科学学会神经损伤与修复分会.5G MSU白皮书2019[R]. </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[5] Walter S, </w:t>
      </w:r>
      <w:proofErr w:type="spellStart"/>
      <w:r w:rsidRPr="00B70C94">
        <w:rPr>
          <w:rFonts w:ascii="仿宋_GB2312" w:eastAsia="仿宋_GB2312" w:hAnsi="Calibri" w:hint="eastAsia"/>
          <w:sz w:val="30"/>
          <w:szCs w:val="30"/>
        </w:rPr>
        <w:t>Audebert</w:t>
      </w:r>
      <w:proofErr w:type="spellEnd"/>
      <w:r w:rsidRPr="00B70C94">
        <w:rPr>
          <w:rFonts w:ascii="仿宋_GB2312" w:eastAsia="仿宋_GB2312" w:hAnsi="Calibri" w:hint="eastAsia"/>
          <w:sz w:val="30"/>
          <w:szCs w:val="30"/>
        </w:rPr>
        <w:t xml:space="preserve"> HJ, </w:t>
      </w:r>
      <w:proofErr w:type="spellStart"/>
      <w:r w:rsidRPr="00B70C94">
        <w:rPr>
          <w:rFonts w:ascii="仿宋_GB2312" w:eastAsia="仿宋_GB2312" w:hAnsi="Calibri" w:hint="eastAsia"/>
          <w:sz w:val="30"/>
          <w:szCs w:val="30"/>
        </w:rPr>
        <w:t>Katsanos</w:t>
      </w:r>
      <w:proofErr w:type="spellEnd"/>
      <w:r w:rsidRPr="00B70C94">
        <w:rPr>
          <w:rFonts w:ascii="仿宋_GB2312" w:eastAsia="仿宋_GB2312" w:hAnsi="Calibri" w:hint="eastAsia"/>
          <w:sz w:val="30"/>
          <w:szCs w:val="30"/>
        </w:rPr>
        <w:t xml:space="preserve"> AH, et al. European Stroke </w:t>
      </w:r>
      <w:proofErr w:type="spellStart"/>
      <w:r w:rsidRPr="00B70C94">
        <w:rPr>
          <w:rFonts w:ascii="仿宋_GB2312" w:eastAsia="仿宋_GB2312" w:hAnsi="Calibri" w:hint="eastAsia"/>
          <w:sz w:val="30"/>
          <w:szCs w:val="30"/>
        </w:rPr>
        <w:t>Organisation</w:t>
      </w:r>
      <w:proofErr w:type="spellEnd"/>
      <w:r w:rsidRPr="00B70C94">
        <w:rPr>
          <w:rFonts w:ascii="仿宋_GB2312" w:eastAsia="仿宋_GB2312" w:hAnsi="Calibri" w:hint="eastAsia"/>
          <w:sz w:val="30"/>
          <w:szCs w:val="30"/>
        </w:rPr>
        <w:t xml:space="preserve"> (ESO) guidelines on mobile stroke units for prehospital stroke management[J]. Eur Stroke J, 2022, 7(1): XXVII-LIX. </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[6] 中华医学会神经病学分会，中华医学会神经病学分会脑血管病学组.中国急性缺血性脑卒中诊治指南2018[J].中华神经科杂志，2018，51(9):666-682.</w:t>
      </w:r>
    </w:p>
    <w:p w:rsidR="00CC1788"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 xml:space="preserve"> [7] 国家卫生健康委脑卒中防治工程委员会.中国脑卒中防治指导规范[M].人民卫生出版社，2021.</w:t>
      </w:r>
      <w:r w:rsidRPr="00B70C94">
        <w:rPr>
          <w:rFonts w:ascii="仿宋_GB2312" w:eastAsia="仿宋_GB2312" w:hAnsi="Calibri"/>
          <w:sz w:val="30"/>
          <w:szCs w:val="30"/>
        </w:rPr>
        <w:t xml:space="preserve"> </w:t>
      </w:r>
    </w:p>
    <w:p w:rsidR="00CC1788" w:rsidRDefault="00521A9E">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标准编制组在对收集的资料进行整理研究之后，标准编制组召开了标准编制会议，对标准的整体框架结构进行了研究，并对标准的特色、创新点及关键性内容进行了初步探讨。</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经研究，本标准的特色、创新点确定为：</w:t>
      </w:r>
    </w:p>
    <w:p w:rsidR="00B70C94" w:rsidRPr="00B70C94" w:rsidRDefault="00B70C94" w:rsidP="00B70C94">
      <w:pPr>
        <w:spacing w:line="560" w:lineRule="exact"/>
        <w:ind w:firstLineChars="200" w:firstLine="600"/>
        <w:rPr>
          <w:rFonts w:ascii="仿宋_GB2312" w:eastAsia="仿宋_GB2312" w:hAnsi="Calibri"/>
          <w:sz w:val="30"/>
          <w:szCs w:val="30"/>
        </w:rPr>
      </w:pPr>
      <w:r>
        <w:rPr>
          <w:rFonts w:ascii="仿宋_GB2312" w:eastAsia="仿宋_GB2312" w:hAnsi="Calibri"/>
          <w:sz w:val="30"/>
          <w:szCs w:val="30"/>
        </w:rPr>
        <w:t>1.</w:t>
      </w:r>
      <w:r w:rsidRPr="00B70C94">
        <w:rPr>
          <w:rFonts w:ascii="仿宋_GB2312" w:eastAsia="仿宋_GB2312" w:hAnsi="Calibri" w:hint="eastAsia"/>
          <w:sz w:val="30"/>
          <w:szCs w:val="30"/>
        </w:rPr>
        <w:t>首次制定5G移动卒中单元救治的团体标准：本标准是首个针对5G移动卒中单元救治的团体标准，填补了该领域团体标</w:t>
      </w:r>
      <w:r w:rsidRPr="00B70C94">
        <w:rPr>
          <w:rFonts w:ascii="仿宋_GB2312" w:eastAsia="仿宋_GB2312" w:hAnsi="Calibri" w:hint="eastAsia"/>
          <w:sz w:val="30"/>
          <w:szCs w:val="30"/>
        </w:rPr>
        <w:lastRenderedPageBreak/>
        <w:t>准的空白。</w:t>
      </w:r>
    </w:p>
    <w:p w:rsidR="00B70C94" w:rsidRPr="00B70C94" w:rsidRDefault="00B70C94" w:rsidP="00B70C94">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2</w:t>
      </w:r>
      <w:r>
        <w:rPr>
          <w:rFonts w:ascii="仿宋_GB2312" w:eastAsia="仿宋_GB2312" w:hAnsi="Calibri"/>
          <w:sz w:val="30"/>
          <w:szCs w:val="30"/>
        </w:rPr>
        <w:t>.</w:t>
      </w:r>
      <w:r w:rsidRPr="00B70C94">
        <w:rPr>
          <w:rFonts w:ascii="仿宋_GB2312" w:eastAsia="仿宋_GB2312" w:hAnsi="Calibri" w:hint="eastAsia"/>
          <w:sz w:val="30"/>
          <w:szCs w:val="30"/>
        </w:rPr>
        <w:t>实现“上车即救治”的院前急救新模式：创新实现在5G救护车上对卒中患者的标准救治流程，实现卒中患者“上车即入院、上车即救治”。解决当前大部分卒中患者在救护车上未得到有效治疗、需待回到医院后才能开始有效治疗、延误了卒中抢救黄金时间的问题。</w:t>
      </w:r>
    </w:p>
    <w:p w:rsidR="00B70C94" w:rsidRPr="00B70C94" w:rsidRDefault="00B70C94" w:rsidP="00B70C94">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3</w:t>
      </w:r>
      <w:r>
        <w:rPr>
          <w:rFonts w:ascii="仿宋_GB2312" w:eastAsia="仿宋_GB2312" w:hAnsi="Calibri"/>
          <w:sz w:val="30"/>
          <w:szCs w:val="30"/>
        </w:rPr>
        <w:t>.</w:t>
      </w:r>
      <w:r w:rsidRPr="00B70C94">
        <w:rPr>
          <w:rFonts w:ascii="仿宋_GB2312" w:eastAsia="仿宋_GB2312" w:hAnsi="Calibri" w:hint="eastAsia"/>
          <w:sz w:val="30"/>
          <w:szCs w:val="30"/>
        </w:rPr>
        <w:t>全流程规范化管理：本标准系统规定了5G移动卒中单元的基本要求（人员要求、设施设备及药品）、救治要求（接警与出车、现场评估与初步处置、车载头颅CT检查、车载POCT检验、远程会诊与治疗决策、车载静脉溶栓治疗、车载脑出血治疗、转运及院内交接）、质量控制（救治时效质控指标、诊疗质量质控指标、信息与文书质控指标、设备与网络质控指标、安全质控指标）和应急预案等内容，形成了完整的救治质量管理体系。</w:t>
      </w:r>
    </w:p>
    <w:p w:rsidR="00CC1788"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标准的主体内容确定为术语和定义、缩略语、基本要求、救治要求、质量控制、应急预案等要求</w:t>
      </w:r>
      <w:r w:rsidR="00521A9E">
        <w:rPr>
          <w:rFonts w:ascii="仿宋_GB2312" w:eastAsia="仿宋_GB2312" w:hAnsi="Calibri" w:hint="eastAsia"/>
          <w:sz w:val="30"/>
          <w:szCs w:val="30"/>
        </w:rPr>
        <w:t>。</w:t>
      </w:r>
    </w:p>
    <w:p w:rsidR="00CC1788" w:rsidRDefault="00521A9E">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B70C94" w:rsidRPr="00B70C94" w:rsidRDefault="00B70C94" w:rsidP="00B70C94">
      <w:pPr>
        <w:spacing w:line="560" w:lineRule="exact"/>
        <w:ind w:firstLineChars="200" w:firstLine="600"/>
        <w:rPr>
          <w:rFonts w:ascii="仿宋_GB2312" w:eastAsia="仿宋_GB2312" w:hAnsi="Calibri"/>
          <w:sz w:val="30"/>
          <w:szCs w:val="30"/>
        </w:rPr>
      </w:pPr>
      <w:bookmarkStart w:id="5" w:name="_Hlk137230187"/>
      <w:r w:rsidRPr="00B70C94">
        <w:rPr>
          <w:rFonts w:ascii="仿宋_GB2312" w:eastAsia="仿宋_GB2312" w:hAnsi="Calibri" w:hint="eastAsia"/>
          <w:sz w:val="30"/>
          <w:szCs w:val="30"/>
        </w:rPr>
        <w:t>2026年</w:t>
      </w:r>
      <w:r>
        <w:rPr>
          <w:rFonts w:ascii="仿宋_GB2312" w:eastAsia="仿宋_GB2312" w:hAnsi="Calibri"/>
          <w:sz w:val="30"/>
          <w:szCs w:val="30"/>
        </w:rPr>
        <w:t>3</w:t>
      </w:r>
      <w:r w:rsidRPr="00B70C94">
        <w:rPr>
          <w:rFonts w:ascii="仿宋_GB2312" w:eastAsia="仿宋_GB2312" w:hAnsi="Calibri" w:hint="eastAsia"/>
          <w:sz w:val="30"/>
          <w:szCs w:val="30"/>
        </w:rPr>
        <w:t>月，标准编制组通过查阅了大量的国内外文献资料，对5G移动卒中单元救治的相关文件进行系统总结。形成了标准的基本构架，对主要内容进行了讨论并对项目的工作进行了部署和安排。</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2026年</w:t>
      </w:r>
      <w:r>
        <w:rPr>
          <w:rFonts w:ascii="仿宋_GB2312" w:eastAsia="仿宋_GB2312" w:hAnsi="Calibri"/>
          <w:sz w:val="30"/>
          <w:szCs w:val="30"/>
        </w:rPr>
        <w:t>4</w:t>
      </w:r>
      <w:r w:rsidRPr="00B70C94">
        <w:rPr>
          <w:rFonts w:ascii="仿宋_GB2312" w:eastAsia="仿宋_GB2312" w:hAnsi="Calibri" w:hint="eastAsia"/>
          <w:sz w:val="30"/>
          <w:szCs w:val="30"/>
        </w:rPr>
        <w:t>月，在前期工作的基础之上，通过理清逻辑脉络，整合已有参考资料中有关5G移动卒中单元救治的内容，并结合5G移动卒中单元救治实际要求的基础上，按照简化、统一等原则编制完成团体标准《5G移动卒中单元救治规范》（草案）。</w:t>
      </w:r>
    </w:p>
    <w:p w:rsidR="00CC1788"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lastRenderedPageBreak/>
        <w:t>2026年</w:t>
      </w:r>
      <w:r>
        <w:rPr>
          <w:rFonts w:ascii="仿宋_GB2312" w:eastAsia="仿宋_GB2312" w:hAnsi="Calibri" w:hint="eastAsia"/>
          <w:sz w:val="30"/>
          <w:szCs w:val="30"/>
        </w:rPr>
        <w:t>5</w:t>
      </w:r>
      <w:r>
        <w:rPr>
          <w:rFonts w:ascii="仿宋_GB2312" w:eastAsia="仿宋_GB2312" w:hAnsi="Calibri"/>
          <w:sz w:val="30"/>
          <w:szCs w:val="30"/>
        </w:rPr>
        <w:t>-6</w:t>
      </w:r>
      <w:r w:rsidRPr="00B70C94">
        <w:rPr>
          <w:rFonts w:ascii="仿宋_GB2312" w:eastAsia="仿宋_GB2312" w:hAnsi="Calibri" w:hint="eastAsia"/>
          <w:sz w:val="30"/>
          <w:szCs w:val="30"/>
        </w:rPr>
        <w:t>月，标准编制组组织梧州市红十字会医院、中国人民解放军总医院、宿州市第一人民医院、广西医科大学附属肿瘤医院等单位召开标准研讨会，收集反馈了大量意见，掌握5G移动卒中单元救治的基本要求。标准编制组对标准草案进行了反复修改和研究讨论。最终形成了团体标准《</w:t>
      </w:r>
      <w:bookmarkStart w:id="6" w:name="OLE_LINK35"/>
      <w:r w:rsidRPr="00B70C94">
        <w:rPr>
          <w:rFonts w:ascii="仿宋_GB2312" w:eastAsia="仿宋_GB2312" w:hAnsi="Calibri" w:hint="eastAsia"/>
          <w:sz w:val="30"/>
          <w:szCs w:val="30"/>
        </w:rPr>
        <w:t>5G移动卒中单元救治</w:t>
      </w:r>
      <w:bookmarkEnd w:id="6"/>
      <w:r w:rsidRPr="00B70C94">
        <w:rPr>
          <w:rFonts w:ascii="仿宋_GB2312" w:eastAsia="仿宋_GB2312" w:hAnsi="Calibri" w:hint="eastAsia"/>
          <w:sz w:val="30"/>
          <w:szCs w:val="30"/>
        </w:rPr>
        <w:t>规范》（征求意见稿）及其编制说明。</w:t>
      </w:r>
    </w:p>
    <w:p w:rsidR="00CC1788" w:rsidRDefault="00521A9E">
      <w:pPr>
        <w:spacing w:line="560" w:lineRule="exact"/>
        <w:ind w:firstLineChars="200" w:firstLine="640"/>
        <w:outlineLvl w:val="0"/>
        <w:rPr>
          <w:rFonts w:ascii="黑体" w:eastAsia="黑体" w:hAnsi="黑体" w:cs="仿宋_GB2312"/>
          <w:sz w:val="32"/>
          <w:szCs w:val="32"/>
        </w:rPr>
      </w:pPr>
      <w:bookmarkStart w:id="7" w:name="_Toc526940083"/>
      <w:bookmarkEnd w:id="5"/>
      <w:r>
        <w:rPr>
          <w:rFonts w:ascii="黑体" w:eastAsia="黑体" w:hAnsi="黑体" w:cs="仿宋_GB2312" w:hint="eastAsia"/>
          <w:sz w:val="32"/>
          <w:szCs w:val="32"/>
        </w:rPr>
        <w:t>四、</w:t>
      </w:r>
      <w:bookmarkEnd w:id="7"/>
      <w:r>
        <w:rPr>
          <w:rFonts w:ascii="黑体" w:eastAsia="黑体" w:hAnsi="黑体" w:cs="仿宋_GB2312" w:hint="eastAsia"/>
          <w:sz w:val="32"/>
          <w:szCs w:val="32"/>
        </w:rPr>
        <w:t>制定标准的原则和依据，与现行法律、法规的关系，与有关国家标准、行业标准的协调情况</w:t>
      </w:r>
    </w:p>
    <w:p w:rsidR="00CC1788" w:rsidRDefault="00521A9E">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1.实用性原则</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本文件是在充分收集相关资料，分析当前现状、调研的实际情况，在现有文献中参考与</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相关内容的基础上，结合多年经验而总结起草的。符合当前</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的需要，有利于行业的长远发展，具有较强的实用性和可操作性。</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2.协调性原则</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本文件编写过程中注意了与</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相关法律法规的协调问题，在内容上与现行法律法规、标准协调一致。</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3.规范性原则</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本文件严格按照GB/T 1.1—2020《标准化工作导则 第1部分：标准化文件的结构和起草规则》的要求和规定编写本标准的内容，保证标准的编写质量。</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4.前瞻性原则</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本文件在兼顾当前</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现实情况的同时，</w:t>
      </w:r>
      <w:r>
        <w:rPr>
          <w:rFonts w:ascii="仿宋_GB2312" w:eastAsia="仿宋_GB2312" w:hAnsi="Calibri" w:hint="eastAsia"/>
          <w:sz w:val="30"/>
          <w:szCs w:val="30"/>
        </w:rPr>
        <w:lastRenderedPageBreak/>
        <w:t>还考虑到了</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快速发展的趋势和需要，在标准中体现了个别特色性、前瞻性和先进性条款，作为对开展</w:t>
      </w:r>
      <w:r w:rsidR="00B70C94" w:rsidRPr="00B70C94">
        <w:rPr>
          <w:rFonts w:ascii="仿宋_GB2312" w:eastAsia="仿宋_GB2312" w:hAnsi="Calibri" w:hint="eastAsia"/>
          <w:sz w:val="30"/>
          <w:szCs w:val="30"/>
        </w:rPr>
        <w:t>5G移动卒中单元救治</w:t>
      </w:r>
      <w:r>
        <w:rPr>
          <w:rFonts w:ascii="仿宋_GB2312" w:eastAsia="仿宋_GB2312" w:hAnsi="Calibri" w:hint="eastAsia"/>
          <w:sz w:val="30"/>
          <w:szCs w:val="30"/>
        </w:rPr>
        <w:t>的指导。</w:t>
      </w:r>
    </w:p>
    <w:p w:rsidR="00CC1788" w:rsidRDefault="00521A9E">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本标准的内容与现行的法律、法规及强制性标准无冲突，标准的编写符合GB/T 1.1—2020的要求。</w:t>
      </w:r>
    </w:p>
    <w:p w:rsidR="00CC1788" w:rsidRDefault="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经查阅，与“5G”“卒中”“中风”“救治”“救护车”相关的国家标准、行业标准、地方标准和团体标准：T/CADERM 3058-2024《5G智能救护车技术要求》，该标准是5G救护车的车辆参数和车载设备参数。本标准是医护人员在5G移动救护车上对卒中患者的诊疗救治的规范和标准，侧重点在医护人员的诊疗规范流程。当前未制定有团体标准《5G移动卒中单元救治规范》。</w:t>
      </w:r>
    </w:p>
    <w:p w:rsidR="00CC1788" w:rsidRDefault="00521A9E">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B70C94" w:rsidRPr="00B70C94"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本标准主要章节内容包括术语和定义、缩略语、基本要求、救治要求、质量控制、应急预案等要求。</w:t>
      </w:r>
    </w:p>
    <w:p w:rsidR="0031796A" w:rsidRDefault="00B70C94" w:rsidP="00B70C94">
      <w:pPr>
        <w:spacing w:line="560" w:lineRule="exact"/>
        <w:ind w:firstLineChars="200" w:firstLine="600"/>
        <w:rPr>
          <w:rFonts w:ascii="仿宋_GB2312" w:eastAsia="仿宋_GB2312" w:hAnsi="Calibri"/>
          <w:sz w:val="30"/>
          <w:szCs w:val="30"/>
        </w:rPr>
      </w:pPr>
      <w:r w:rsidRPr="00B70C94">
        <w:rPr>
          <w:rFonts w:ascii="仿宋_GB2312" w:eastAsia="仿宋_GB2312" w:hAnsi="Calibri" w:hint="eastAsia"/>
          <w:sz w:val="30"/>
          <w:szCs w:val="30"/>
        </w:rPr>
        <w:t>梧州市红十字会医院于2023年3月启动广西区内首台且目前唯一</w:t>
      </w:r>
      <w:proofErr w:type="gramStart"/>
      <w:r w:rsidRPr="00B70C94">
        <w:rPr>
          <w:rFonts w:ascii="仿宋_GB2312" w:eastAsia="仿宋_GB2312" w:hAnsi="Calibri" w:hint="eastAsia"/>
          <w:sz w:val="30"/>
          <w:szCs w:val="30"/>
        </w:rPr>
        <w:t>一</w:t>
      </w:r>
      <w:proofErr w:type="gramEnd"/>
      <w:r w:rsidRPr="00B70C94">
        <w:rPr>
          <w:rFonts w:ascii="仿宋_GB2312" w:eastAsia="仿宋_GB2312" w:hAnsi="Calibri" w:hint="eastAsia"/>
          <w:sz w:val="30"/>
          <w:szCs w:val="30"/>
        </w:rPr>
        <w:t>台5G移动卒中急救单元。该单元以救护车为载体，利用5G高速率、低时延、大连接的特性和</w:t>
      </w:r>
      <w:proofErr w:type="gramStart"/>
      <w:r w:rsidRPr="00B70C94">
        <w:rPr>
          <w:rFonts w:ascii="仿宋_GB2312" w:eastAsia="仿宋_GB2312" w:hAnsi="Calibri" w:hint="eastAsia"/>
          <w:sz w:val="30"/>
          <w:szCs w:val="30"/>
        </w:rPr>
        <w:t>物联网</w:t>
      </w:r>
      <w:proofErr w:type="gramEnd"/>
      <w:r w:rsidRPr="00B70C94">
        <w:rPr>
          <w:rFonts w:ascii="仿宋_GB2312" w:eastAsia="仿宋_GB2312" w:hAnsi="Calibri" w:hint="eastAsia"/>
          <w:sz w:val="30"/>
          <w:szCs w:val="30"/>
        </w:rPr>
        <w:t>、互联网等创新技术，将卒中急诊急救工作前移</w:t>
      </w:r>
      <w:r w:rsidR="0031796A">
        <w:rPr>
          <w:rFonts w:ascii="仿宋_GB2312" w:eastAsia="仿宋_GB2312" w:hAnsi="Calibri" w:hint="eastAsia"/>
          <w:sz w:val="30"/>
          <w:szCs w:val="30"/>
        </w:rPr>
        <w:t>，</w:t>
      </w:r>
      <w:r w:rsidR="0031796A" w:rsidRPr="0031796A">
        <w:rPr>
          <w:rFonts w:ascii="仿宋_GB2312" w:eastAsia="仿宋_GB2312" w:hAnsi="Calibri" w:hint="eastAsia"/>
          <w:sz w:val="30"/>
          <w:szCs w:val="30"/>
        </w:rPr>
        <w:t>形成了患者“上车有专家、专家有工具、工具有平台、平台有信息、信息通患者”的救治整合模式</w:t>
      </w:r>
      <w:r w:rsidRPr="00B70C94">
        <w:rPr>
          <w:rFonts w:ascii="仿宋_GB2312" w:eastAsia="仿宋_GB2312" w:hAnsi="Calibri" w:hint="eastAsia"/>
          <w:sz w:val="30"/>
          <w:szCs w:val="30"/>
        </w:rPr>
        <w:t>。目前我院已用</w:t>
      </w:r>
      <w:bookmarkStart w:id="8" w:name="OLE_LINK16"/>
      <w:r w:rsidRPr="00B70C94">
        <w:rPr>
          <w:rFonts w:ascii="仿宋_GB2312" w:eastAsia="仿宋_GB2312" w:hAnsi="Calibri" w:hint="eastAsia"/>
          <w:sz w:val="30"/>
          <w:szCs w:val="30"/>
        </w:rPr>
        <w:t>5G移动卒中单元</w:t>
      </w:r>
      <w:bookmarkEnd w:id="8"/>
      <w:r w:rsidRPr="00B70C94">
        <w:rPr>
          <w:rFonts w:ascii="仿宋_GB2312" w:eastAsia="仿宋_GB2312" w:hAnsi="Calibri" w:hint="eastAsia"/>
          <w:sz w:val="30"/>
          <w:szCs w:val="30"/>
        </w:rPr>
        <w:t>（救护车）救治100多人次。2024年获广西重点研发项目：基于5G通信技术和人工智能</w:t>
      </w:r>
      <w:r w:rsidRPr="00B70C94">
        <w:rPr>
          <w:rFonts w:ascii="仿宋_GB2312" w:eastAsia="仿宋_GB2312" w:hAnsi="Calibri" w:hint="eastAsia"/>
          <w:sz w:val="30"/>
          <w:szCs w:val="30"/>
        </w:rPr>
        <w:lastRenderedPageBreak/>
        <w:t>的区域性脑卒中救治平台的构建和应用。</w:t>
      </w:r>
    </w:p>
    <w:p w:rsidR="006859AC" w:rsidRDefault="006859AC" w:rsidP="006859AC">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起草单位</w:t>
      </w:r>
      <w:r w:rsidRPr="006859AC">
        <w:rPr>
          <w:rFonts w:ascii="仿宋_GB2312" w:eastAsia="仿宋_GB2312" w:hAnsi="Calibri" w:hint="eastAsia"/>
          <w:sz w:val="30"/>
          <w:szCs w:val="30"/>
        </w:rPr>
        <w:t>中国人民解放军总医院</w:t>
      </w:r>
      <w:r>
        <w:rPr>
          <w:rFonts w:ascii="仿宋_GB2312" w:eastAsia="仿宋_GB2312" w:hAnsi="Calibri" w:hint="eastAsia"/>
          <w:sz w:val="30"/>
          <w:szCs w:val="30"/>
        </w:rPr>
        <w:t>、</w:t>
      </w:r>
      <w:r w:rsidRPr="006859AC">
        <w:rPr>
          <w:rFonts w:ascii="仿宋_GB2312" w:eastAsia="仿宋_GB2312" w:hAnsi="Calibri" w:hint="eastAsia"/>
          <w:sz w:val="30"/>
          <w:szCs w:val="30"/>
        </w:rPr>
        <w:t>宿州市第一人民</w:t>
      </w:r>
      <w:proofErr w:type="gramStart"/>
      <w:r w:rsidRPr="006859AC">
        <w:rPr>
          <w:rFonts w:ascii="仿宋_GB2312" w:eastAsia="仿宋_GB2312" w:hAnsi="Calibri" w:hint="eastAsia"/>
          <w:sz w:val="30"/>
          <w:szCs w:val="30"/>
        </w:rPr>
        <w:t>医院</w:t>
      </w:r>
      <w:r>
        <w:rPr>
          <w:rFonts w:ascii="仿宋_GB2312" w:eastAsia="仿宋_GB2312" w:hAnsi="Calibri" w:hint="eastAsia"/>
          <w:sz w:val="30"/>
          <w:szCs w:val="30"/>
        </w:rPr>
        <w:t>均参编</w:t>
      </w:r>
      <w:proofErr w:type="gramEnd"/>
      <w:r>
        <w:rPr>
          <w:rFonts w:ascii="仿宋_GB2312" w:eastAsia="仿宋_GB2312" w:hAnsi="Calibri" w:hint="eastAsia"/>
          <w:sz w:val="30"/>
          <w:szCs w:val="30"/>
        </w:rPr>
        <w:t>了《</w:t>
      </w:r>
      <w:r w:rsidRPr="006859AC">
        <w:rPr>
          <w:rFonts w:ascii="仿宋_GB2312" w:eastAsia="仿宋_GB2312" w:hAnsi="Calibri" w:hint="eastAsia"/>
          <w:sz w:val="30"/>
          <w:szCs w:val="30"/>
        </w:rPr>
        <w:t>移动卒中单元技术规范中国专家共识2019</w:t>
      </w:r>
      <w:r>
        <w:rPr>
          <w:rFonts w:ascii="仿宋_GB2312" w:eastAsia="仿宋_GB2312" w:hAnsi="Calibri" w:hint="eastAsia"/>
          <w:sz w:val="30"/>
          <w:szCs w:val="30"/>
        </w:rPr>
        <w:t>》《</w:t>
      </w:r>
      <w:r w:rsidRPr="006859AC">
        <w:rPr>
          <w:rFonts w:ascii="仿宋_GB2312" w:eastAsia="仿宋_GB2312" w:hAnsi="Calibri" w:hint="eastAsia"/>
          <w:sz w:val="30"/>
          <w:szCs w:val="30"/>
        </w:rPr>
        <w:t>中国5G移动卒中单元院前诊疗管理指南</w:t>
      </w:r>
      <w:r>
        <w:rPr>
          <w:rFonts w:ascii="仿宋_GB2312" w:eastAsia="仿宋_GB2312" w:hAnsi="Calibri" w:hint="eastAsia"/>
          <w:sz w:val="30"/>
          <w:szCs w:val="30"/>
        </w:rPr>
        <w:t>》等共识和指南，</w:t>
      </w:r>
      <w:r w:rsidR="008D0A1F">
        <w:rPr>
          <w:rFonts w:ascii="仿宋_GB2312" w:eastAsia="仿宋_GB2312" w:hAnsi="Calibri" w:hint="eastAsia"/>
          <w:sz w:val="30"/>
          <w:szCs w:val="30"/>
        </w:rPr>
        <w:t>具有丰富</w:t>
      </w:r>
      <w:r w:rsidR="008D0A1F" w:rsidRPr="00B70C94">
        <w:rPr>
          <w:rFonts w:ascii="仿宋_GB2312" w:eastAsia="仿宋_GB2312" w:hAnsi="Calibri" w:hint="eastAsia"/>
          <w:sz w:val="30"/>
          <w:szCs w:val="30"/>
        </w:rPr>
        <w:t>5G移动卒中</w:t>
      </w:r>
      <w:r w:rsidR="008D0A1F">
        <w:rPr>
          <w:rFonts w:ascii="仿宋_GB2312" w:eastAsia="仿宋_GB2312" w:hAnsi="Calibri" w:hint="eastAsia"/>
          <w:sz w:val="30"/>
          <w:szCs w:val="30"/>
        </w:rPr>
        <w:t>单元救治经验，近年来起草单位</w:t>
      </w:r>
      <w:bookmarkStart w:id="9" w:name="OLE_LINK24"/>
      <w:bookmarkStart w:id="10" w:name="OLE_LINK25"/>
      <w:r w:rsidR="004B172D">
        <w:rPr>
          <w:rFonts w:ascii="仿宋_GB2312" w:eastAsia="仿宋_GB2312" w:hAnsi="Calibri" w:hint="eastAsia"/>
          <w:sz w:val="30"/>
          <w:szCs w:val="30"/>
        </w:rPr>
        <w:t>自</w:t>
      </w:r>
      <w:r w:rsidR="008D0A1F">
        <w:rPr>
          <w:rFonts w:ascii="仿宋_GB2312" w:eastAsia="仿宋_GB2312" w:hAnsi="Calibri" w:hint="eastAsia"/>
          <w:sz w:val="30"/>
          <w:szCs w:val="30"/>
        </w:rPr>
        <w:t>应用</w:t>
      </w:r>
      <w:bookmarkStart w:id="11" w:name="OLE_LINK23"/>
      <w:r w:rsidR="008D0A1F" w:rsidRPr="008D0A1F">
        <w:rPr>
          <w:rFonts w:ascii="仿宋_GB2312" w:eastAsia="仿宋_GB2312" w:hAnsi="Calibri" w:hint="eastAsia"/>
          <w:sz w:val="30"/>
          <w:szCs w:val="30"/>
        </w:rPr>
        <w:t>5G移动卒中单元</w:t>
      </w:r>
      <w:bookmarkEnd w:id="9"/>
      <w:bookmarkEnd w:id="10"/>
      <w:bookmarkEnd w:id="11"/>
      <w:r w:rsidR="008D0A1F" w:rsidRPr="008D0A1F">
        <w:rPr>
          <w:rFonts w:ascii="仿宋_GB2312" w:eastAsia="仿宋_GB2312" w:hAnsi="Calibri" w:hint="eastAsia"/>
          <w:sz w:val="30"/>
          <w:szCs w:val="30"/>
        </w:rPr>
        <w:t>（救护车）</w:t>
      </w:r>
      <w:r w:rsidR="004B172D">
        <w:rPr>
          <w:rFonts w:ascii="仿宋_GB2312" w:eastAsia="仿宋_GB2312" w:hAnsi="Calibri" w:hint="eastAsia"/>
          <w:sz w:val="30"/>
          <w:szCs w:val="30"/>
        </w:rPr>
        <w:t>以来</w:t>
      </w:r>
      <w:r w:rsidR="008D0A1F" w:rsidRPr="008D0A1F">
        <w:rPr>
          <w:rFonts w:ascii="仿宋_GB2312" w:eastAsia="仿宋_GB2312" w:hAnsi="Calibri" w:hint="eastAsia"/>
          <w:sz w:val="30"/>
          <w:szCs w:val="30"/>
        </w:rPr>
        <w:t>救治</w:t>
      </w:r>
      <w:r w:rsidR="008D0A1F">
        <w:rPr>
          <w:rFonts w:ascii="仿宋_GB2312" w:eastAsia="仿宋_GB2312" w:hAnsi="Calibri" w:hint="eastAsia"/>
          <w:sz w:val="30"/>
          <w:szCs w:val="30"/>
        </w:rPr>
        <w:t>情况如下：</w:t>
      </w:r>
    </w:p>
    <w:tbl>
      <w:tblPr>
        <w:tblW w:w="821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0"/>
        <w:gridCol w:w="3040"/>
        <w:gridCol w:w="4097"/>
      </w:tblGrid>
      <w:tr w:rsidR="002355EC" w:rsidRPr="002355EC" w:rsidTr="00047978">
        <w:trPr>
          <w:trHeight w:val="285"/>
        </w:trPr>
        <w:tc>
          <w:tcPr>
            <w:tcW w:w="1080"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序号</w:t>
            </w:r>
          </w:p>
        </w:tc>
        <w:tc>
          <w:tcPr>
            <w:tcW w:w="3040"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医院名称</w:t>
            </w:r>
          </w:p>
        </w:tc>
        <w:tc>
          <w:tcPr>
            <w:tcW w:w="4097"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5G移动卒中单元（救护车）救治人数</w:t>
            </w:r>
            <w:r w:rsidR="00047978">
              <w:rPr>
                <w:rFonts w:ascii="等线" w:eastAsia="等线" w:hAnsi="等线" w:cs="宋体" w:hint="eastAsia"/>
                <w:color w:val="000000"/>
                <w:kern w:val="0"/>
                <w:sz w:val="22"/>
                <w:szCs w:val="22"/>
              </w:rPr>
              <w:t>（近三年）</w:t>
            </w:r>
          </w:p>
        </w:tc>
      </w:tr>
      <w:tr w:rsidR="002355EC" w:rsidRPr="002355EC" w:rsidTr="00047978">
        <w:trPr>
          <w:trHeight w:val="285"/>
        </w:trPr>
        <w:tc>
          <w:tcPr>
            <w:tcW w:w="1080"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1</w:t>
            </w:r>
          </w:p>
        </w:tc>
        <w:tc>
          <w:tcPr>
            <w:tcW w:w="3040" w:type="dxa"/>
            <w:shd w:val="clear" w:color="auto" w:fill="auto"/>
            <w:noWrap/>
            <w:vAlign w:val="center"/>
            <w:hideMark/>
          </w:tcPr>
          <w:p w:rsidR="002355EC" w:rsidRPr="00047978" w:rsidRDefault="002355EC" w:rsidP="002355EC">
            <w:pPr>
              <w:widowControl/>
              <w:jc w:val="center"/>
              <w:rPr>
                <w:rFonts w:ascii="等线" w:eastAsia="等线" w:hAnsi="等线" w:cs="宋体"/>
                <w:color w:val="000000"/>
                <w:kern w:val="0"/>
                <w:sz w:val="22"/>
                <w:szCs w:val="22"/>
              </w:rPr>
            </w:pPr>
            <w:r w:rsidRPr="00047978">
              <w:rPr>
                <w:rFonts w:ascii="等线" w:eastAsia="等线" w:hAnsi="等线" w:cs="宋体" w:hint="eastAsia"/>
                <w:color w:val="000000"/>
                <w:kern w:val="0"/>
                <w:sz w:val="22"/>
                <w:szCs w:val="22"/>
              </w:rPr>
              <w:t>梧州市红十字会医院</w:t>
            </w:r>
          </w:p>
        </w:tc>
        <w:tc>
          <w:tcPr>
            <w:tcW w:w="4097" w:type="dxa"/>
            <w:shd w:val="clear" w:color="auto" w:fill="auto"/>
            <w:noWrap/>
            <w:vAlign w:val="center"/>
            <w:hideMark/>
          </w:tcPr>
          <w:p w:rsidR="002355EC" w:rsidRPr="002355EC" w:rsidRDefault="00047978" w:rsidP="002355EC">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3</w:t>
            </w:r>
            <w:r>
              <w:rPr>
                <w:rFonts w:ascii="等线" w:eastAsia="等线" w:hAnsi="等线" w:cs="宋体"/>
                <w:color w:val="000000"/>
                <w:kern w:val="0"/>
                <w:sz w:val="22"/>
                <w:szCs w:val="22"/>
              </w:rPr>
              <w:t>82</w:t>
            </w:r>
          </w:p>
        </w:tc>
      </w:tr>
      <w:tr w:rsidR="002355EC" w:rsidRPr="002355EC" w:rsidTr="00047978">
        <w:trPr>
          <w:trHeight w:val="285"/>
        </w:trPr>
        <w:tc>
          <w:tcPr>
            <w:tcW w:w="1080"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2</w:t>
            </w:r>
          </w:p>
        </w:tc>
        <w:tc>
          <w:tcPr>
            <w:tcW w:w="3040" w:type="dxa"/>
            <w:shd w:val="clear" w:color="auto" w:fill="auto"/>
            <w:noWrap/>
            <w:vAlign w:val="center"/>
            <w:hideMark/>
          </w:tcPr>
          <w:p w:rsidR="002355EC" w:rsidRPr="00047978" w:rsidRDefault="002355EC" w:rsidP="002355EC">
            <w:pPr>
              <w:widowControl/>
              <w:jc w:val="center"/>
              <w:rPr>
                <w:rFonts w:ascii="等线" w:eastAsia="等线" w:hAnsi="等线" w:cs="宋体"/>
                <w:color w:val="000000"/>
                <w:kern w:val="0"/>
                <w:sz w:val="22"/>
                <w:szCs w:val="22"/>
              </w:rPr>
            </w:pPr>
            <w:bookmarkStart w:id="12" w:name="OLE_LINK14"/>
            <w:bookmarkStart w:id="13" w:name="OLE_LINK15"/>
            <w:bookmarkStart w:id="14" w:name="OLE_LINK17"/>
            <w:r w:rsidRPr="00047978">
              <w:rPr>
                <w:rFonts w:ascii="等线" w:eastAsia="等线" w:hAnsi="等线" w:cs="宋体" w:hint="eastAsia"/>
                <w:color w:val="000000"/>
                <w:kern w:val="0"/>
                <w:sz w:val="22"/>
                <w:szCs w:val="22"/>
              </w:rPr>
              <w:t>中国人民解放军总医院</w:t>
            </w:r>
            <w:bookmarkEnd w:id="12"/>
            <w:bookmarkEnd w:id="13"/>
            <w:bookmarkEnd w:id="14"/>
          </w:p>
        </w:tc>
        <w:tc>
          <w:tcPr>
            <w:tcW w:w="4097" w:type="dxa"/>
            <w:shd w:val="clear" w:color="auto" w:fill="auto"/>
            <w:noWrap/>
            <w:vAlign w:val="center"/>
            <w:hideMark/>
          </w:tcPr>
          <w:p w:rsidR="002355EC" w:rsidRPr="002355EC" w:rsidRDefault="00047978" w:rsidP="002355EC">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06</w:t>
            </w:r>
          </w:p>
        </w:tc>
      </w:tr>
      <w:tr w:rsidR="002355EC" w:rsidRPr="002355EC" w:rsidTr="00047978">
        <w:trPr>
          <w:trHeight w:val="285"/>
        </w:trPr>
        <w:tc>
          <w:tcPr>
            <w:tcW w:w="1080" w:type="dxa"/>
            <w:shd w:val="clear" w:color="auto" w:fill="auto"/>
            <w:noWrap/>
            <w:vAlign w:val="center"/>
            <w:hideMark/>
          </w:tcPr>
          <w:p w:rsidR="002355EC" w:rsidRPr="002355EC" w:rsidRDefault="002355EC" w:rsidP="002355EC">
            <w:pPr>
              <w:widowControl/>
              <w:jc w:val="center"/>
              <w:rPr>
                <w:rFonts w:ascii="等线" w:eastAsia="等线" w:hAnsi="等线" w:cs="宋体"/>
                <w:color w:val="000000"/>
                <w:kern w:val="0"/>
                <w:sz w:val="22"/>
                <w:szCs w:val="22"/>
              </w:rPr>
            </w:pPr>
            <w:r w:rsidRPr="002355EC">
              <w:rPr>
                <w:rFonts w:ascii="等线" w:eastAsia="等线" w:hAnsi="等线" w:cs="宋体" w:hint="eastAsia"/>
                <w:color w:val="000000"/>
                <w:kern w:val="0"/>
                <w:sz w:val="22"/>
                <w:szCs w:val="22"/>
              </w:rPr>
              <w:t>3</w:t>
            </w:r>
          </w:p>
        </w:tc>
        <w:tc>
          <w:tcPr>
            <w:tcW w:w="3040" w:type="dxa"/>
            <w:shd w:val="clear" w:color="auto" w:fill="auto"/>
            <w:noWrap/>
            <w:vAlign w:val="center"/>
            <w:hideMark/>
          </w:tcPr>
          <w:p w:rsidR="002355EC" w:rsidRPr="00047978" w:rsidRDefault="002355EC" w:rsidP="002355EC">
            <w:pPr>
              <w:widowControl/>
              <w:jc w:val="center"/>
              <w:rPr>
                <w:rFonts w:ascii="等线" w:eastAsia="等线" w:hAnsi="等线" w:cs="宋体"/>
                <w:color w:val="000000"/>
                <w:kern w:val="0"/>
                <w:sz w:val="22"/>
                <w:szCs w:val="22"/>
              </w:rPr>
            </w:pPr>
            <w:bookmarkStart w:id="15" w:name="OLE_LINK18"/>
            <w:bookmarkStart w:id="16" w:name="OLE_LINK19"/>
            <w:r w:rsidRPr="00047978">
              <w:rPr>
                <w:rFonts w:ascii="等线" w:eastAsia="等线" w:hAnsi="等线" w:cs="宋体" w:hint="eastAsia"/>
                <w:color w:val="000000"/>
                <w:kern w:val="0"/>
                <w:sz w:val="22"/>
                <w:szCs w:val="22"/>
              </w:rPr>
              <w:t>宿州市第一人民医院</w:t>
            </w:r>
            <w:bookmarkEnd w:id="15"/>
            <w:bookmarkEnd w:id="16"/>
          </w:p>
        </w:tc>
        <w:tc>
          <w:tcPr>
            <w:tcW w:w="4097" w:type="dxa"/>
            <w:shd w:val="clear" w:color="auto" w:fill="auto"/>
            <w:noWrap/>
            <w:vAlign w:val="center"/>
            <w:hideMark/>
          </w:tcPr>
          <w:p w:rsidR="002355EC" w:rsidRPr="002355EC" w:rsidRDefault="00047978" w:rsidP="002355EC">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7</w:t>
            </w:r>
            <w:r>
              <w:rPr>
                <w:rFonts w:ascii="等线" w:eastAsia="等线" w:hAnsi="等线" w:cs="宋体"/>
                <w:color w:val="000000"/>
                <w:kern w:val="0"/>
                <w:sz w:val="22"/>
                <w:szCs w:val="22"/>
              </w:rPr>
              <w:t>73</w:t>
            </w:r>
          </w:p>
        </w:tc>
      </w:tr>
      <w:tr w:rsidR="00047978" w:rsidRPr="002355EC" w:rsidTr="00047978">
        <w:trPr>
          <w:trHeight w:val="285"/>
        </w:trPr>
        <w:tc>
          <w:tcPr>
            <w:tcW w:w="1080" w:type="dxa"/>
            <w:shd w:val="clear" w:color="auto" w:fill="auto"/>
            <w:noWrap/>
            <w:vAlign w:val="center"/>
          </w:tcPr>
          <w:p w:rsidR="00047978" w:rsidRPr="002355EC" w:rsidRDefault="00047978" w:rsidP="00047978">
            <w:pPr>
              <w:widowControl/>
              <w:jc w:val="center"/>
              <w:rPr>
                <w:rFonts w:ascii="等线" w:eastAsia="等线" w:hAnsi="等线" w:cs="宋体" w:hint="eastAsia"/>
                <w:color w:val="000000"/>
                <w:kern w:val="0"/>
                <w:sz w:val="22"/>
                <w:szCs w:val="22"/>
              </w:rPr>
            </w:pPr>
            <w:r>
              <w:rPr>
                <w:rFonts w:ascii="等线" w:eastAsia="等线" w:hAnsi="等线" w:cs="宋体" w:hint="eastAsia"/>
                <w:color w:val="000000"/>
                <w:kern w:val="0"/>
                <w:sz w:val="22"/>
                <w:szCs w:val="22"/>
              </w:rPr>
              <w:t>4</w:t>
            </w:r>
          </w:p>
        </w:tc>
        <w:tc>
          <w:tcPr>
            <w:tcW w:w="3040" w:type="dxa"/>
            <w:shd w:val="clear" w:color="auto" w:fill="auto"/>
            <w:noWrap/>
            <w:vAlign w:val="center"/>
          </w:tcPr>
          <w:p w:rsidR="00047978" w:rsidRPr="00047978" w:rsidRDefault="00047978" w:rsidP="00047978">
            <w:pPr>
              <w:widowControl/>
              <w:jc w:val="center"/>
              <w:rPr>
                <w:rFonts w:ascii="等线" w:eastAsia="等线" w:hAnsi="等线" w:cs="宋体"/>
                <w:color w:val="000000"/>
                <w:kern w:val="0"/>
                <w:sz w:val="22"/>
                <w:szCs w:val="22"/>
              </w:rPr>
            </w:pPr>
            <w:r w:rsidRPr="00047978">
              <w:rPr>
                <w:rFonts w:ascii="等线" w:eastAsia="等线" w:hAnsi="等线" w:cs="宋体" w:hint="eastAsia"/>
                <w:color w:val="000000"/>
                <w:kern w:val="0"/>
                <w:sz w:val="22"/>
                <w:szCs w:val="22"/>
              </w:rPr>
              <w:t>广西医科大学附属肿瘤医院</w:t>
            </w:r>
          </w:p>
        </w:tc>
        <w:tc>
          <w:tcPr>
            <w:tcW w:w="4097" w:type="dxa"/>
            <w:shd w:val="clear" w:color="auto" w:fill="auto"/>
            <w:noWrap/>
            <w:vAlign w:val="center"/>
          </w:tcPr>
          <w:p w:rsidR="00047978" w:rsidRPr="00047978" w:rsidRDefault="00047978" w:rsidP="00047978">
            <w:pPr>
              <w:widowControl/>
              <w:jc w:val="center"/>
              <w:rPr>
                <w:rFonts w:ascii="等线" w:eastAsia="等线" w:hAnsi="等线" w:cs="宋体" w:hint="eastAsia"/>
                <w:color w:val="000000"/>
                <w:kern w:val="0"/>
                <w:sz w:val="22"/>
                <w:szCs w:val="22"/>
              </w:rPr>
            </w:pPr>
            <w:r w:rsidRPr="00047978">
              <w:rPr>
                <w:rFonts w:ascii="等线" w:eastAsia="等线" w:hAnsi="等线" w:cs="宋体" w:hint="eastAsia"/>
                <w:color w:val="000000"/>
                <w:kern w:val="0"/>
                <w:sz w:val="22"/>
                <w:szCs w:val="22"/>
              </w:rPr>
              <w:t>87</w:t>
            </w:r>
          </w:p>
        </w:tc>
      </w:tr>
    </w:tbl>
    <w:p w:rsidR="00CC1788" w:rsidRDefault="00521A9E" w:rsidP="00B70C94">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标准编制组前期丰富的临床实践及研究情况，为本标准条款要求的确定奠定了坚实基础。本标准具体依据来源说明如下：</w:t>
      </w:r>
    </w:p>
    <w:p w:rsidR="00CC1788" w:rsidRDefault="00521A9E">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Pr>
          <w:rFonts w:ascii="楷体" w:eastAsia="楷体" w:hAnsi="楷体" w:hint="eastAsia"/>
          <w:b/>
          <w:sz w:val="32"/>
          <w:szCs w:val="32"/>
        </w:rPr>
        <w:t>术语和定义</w:t>
      </w:r>
    </w:p>
    <w:p w:rsidR="00CC1788" w:rsidRDefault="0031796A">
      <w:pPr>
        <w:spacing w:line="560" w:lineRule="exact"/>
        <w:ind w:firstLineChars="200" w:firstLine="600"/>
        <w:rPr>
          <w:rFonts w:ascii="仿宋_GB2312" w:eastAsia="仿宋_GB2312" w:hAnsi="Calibri"/>
          <w:sz w:val="30"/>
          <w:szCs w:val="30"/>
        </w:rPr>
      </w:pPr>
      <w:r w:rsidRPr="0031796A">
        <w:rPr>
          <w:rFonts w:ascii="仿宋_GB2312" w:eastAsia="仿宋_GB2312" w:hAnsi="Calibri" w:hint="eastAsia"/>
          <w:sz w:val="30"/>
          <w:szCs w:val="30"/>
        </w:rPr>
        <w:t>结合《“移动卒中单元”中国专家共识2019》、</w:t>
      </w:r>
      <w:bookmarkStart w:id="17" w:name="OLE_LINK37"/>
      <w:r w:rsidRPr="0031796A">
        <w:rPr>
          <w:rFonts w:ascii="仿宋_GB2312" w:eastAsia="仿宋_GB2312" w:hAnsi="Calibri" w:hint="eastAsia"/>
          <w:sz w:val="30"/>
          <w:szCs w:val="30"/>
        </w:rPr>
        <w:t>《中国5G移动卒中单元院前诊疗管理指南》</w:t>
      </w:r>
      <w:bookmarkEnd w:id="17"/>
      <w:r w:rsidRPr="0031796A">
        <w:rPr>
          <w:rFonts w:ascii="仿宋_GB2312" w:eastAsia="仿宋_GB2312" w:hAnsi="Calibri" w:hint="eastAsia"/>
          <w:sz w:val="30"/>
          <w:szCs w:val="30"/>
        </w:rPr>
        <w:t>以及起草单位的讨论结果来界定5G移动卒中单元的定义：以救护车为载具，集成小型移动CT扫描仪、便携式检验/监测设备、5G双向音视频通讯网络及专业救治团队，能够在院前完成神经影像学检查、血液检测、卒中初步诊断、静脉溶栓、控制性降压、止血药物使用等关键救治措施的可移动智能化救护单元</w:t>
      </w:r>
      <w:r w:rsidR="00521A9E">
        <w:rPr>
          <w:rFonts w:ascii="仿宋_GB2312" w:eastAsia="仿宋_GB2312" w:hAnsi="Calibri" w:hint="eastAsia"/>
          <w:sz w:val="30"/>
          <w:szCs w:val="30"/>
        </w:rPr>
        <w:t>。</w:t>
      </w:r>
    </w:p>
    <w:p w:rsidR="0031796A" w:rsidRDefault="0031796A" w:rsidP="0031796A">
      <w:pPr>
        <w:rPr>
          <w:rFonts w:ascii="仿宋_GB2312" w:eastAsia="仿宋_GB2312" w:hAnsi="Calibri"/>
          <w:sz w:val="30"/>
          <w:szCs w:val="30"/>
        </w:rPr>
      </w:pPr>
      <w:r>
        <w:rPr>
          <w:noProof/>
        </w:rPr>
        <w:lastRenderedPageBreak/>
        <w:drawing>
          <wp:inline distT="0" distB="0" distL="0" distR="0" wp14:anchorId="3AFAE147" wp14:editId="392FD2D0">
            <wp:extent cx="5274310" cy="335343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3353435"/>
                    </a:xfrm>
                    <a:prstGeom prst="rect">
                      <a:avLst/>
                    </a:prstGeom>
                  </pic:spPr>
                </pic:pic>
              </a:graphicData>
            </a:graphic>
          </wp:inline>
        </w:drawing>
      </w:r>
    </w:p>
    <w:p w:rsidR="0031796A" w:rsidRPr="0031796A" w:rsidRDefault="0031796A" w:rsidP="0031796A">
      <w:pPr>
        <w:jc w:val="center"/>
        <w:rPr>
          <w:rFonts w:ascii="仿宋_GB2312" w:eastAsia="仿宋_GB2312" w:hAnsi="Calibri"/>
          <w:sz w:val="24"/>
        </w:rPr>
      </w:pPr>
      <w:r w:rsidRPr="0031796A">
        <w:rPr>
          <w:rFonts w:ascii="仿宋_GB2312" w:eastAsia="仿宋_GB2312" w:hAnsi="Calibri" w:hint="eastAsia"/>
          <w:sz w:val="24"/>
        </w:rPr>
        <w:t>来源：《“移动卒中单元”中国专家共识2019》</w:t>
      </w:r>
    </w:p>
    <w:p w:rsidR="0031796A" w:rsidRDefault="0031796A" w:rsidP="0031796A">
      <w:pPr>
        <w:jc w:val="center"/>
        <w:rPr>
          <w:rFonts w:ascii="仿宋_GB2312" w:eastAsia="仿宋_GB2312" w:hAnsi="Calibri"/>
          <w:sz w:val="30"/>
          <w:szCs w:val="30"/>
        </w:rPr>
      </w:pPr>
      <w:r>
        <w:rPr>
          <w:noProof/>
        </w:rPr>
        <w:drawing>
          <wp:inline distT="0" distB="0" distL="0" distR="0" wp14:anchorId="09FF0BD6" wp14:editId="5215EAB9">
            <wp:extent cx="5274310" cy="3382645"/>
            <wp:effectExtent l="0" t="0" r="254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3382645"/>
                    </a:xfrm>
                    <a:prstGeom prst="rect">
                      <a:avLst/>
                    </a:prstGeom>
                  </pic:spPr>
                </pic:pic>
              </a:graphicData>
            </a:graphic>
          </wp:inline>
        </w:drawing>
      </w:r>
    </w:p>
    <w:p w:rsidR="0031796A" w:rsidRDefault="0031796A" w:rsidP="0031796A">
      <w:pPr>
        <w:jc w:val="center"/>
        <w:rPr>
          <w:rFonts w:ascii="仿宋_GB2312" w:eastAsia="仿宋_GB2312" w:hAnsi="Calibri"/>
          <w:sz w:val="24"/>
        </w:rPr>
      </w:pPr>
      <w:r w:rsidRPr="0031796A">
        <w:rPr>
          <w:rFonts w:ascii="仿宋_GB2312" w:eastAsia="仿宋_GB2312" w:hAnsi="Calibri" w:hint="eastAsia"/>
          <w:sz w:val="24"/>
        </w:rPr>
        <w:t>来源：《中国5G移动卒中单元院前诊疗管理指南》</w:t>
      </w:r>
    </w:p>
    <w:p w:rsidR="0031796A" w:rsidRPr="0031796A" w:rsidRDefault="0031796A" w:rsidP="0031796A">
      <w:pPr>
        <w:jc w:val="center"/>
        <w:rPr>
          <w:rFonts w:ascii="仿宋_GB2312" w:eastAsia="仿宋_GB2312" w:hAnsi="Calibri"/>
          <w:sz w:val="24"/>
        </w:rPr>
      </w:pPr>
    </w:p>
    <w:p w:rsidR="00CC1788" w:rsidRDefault="00521A9E">
      <w:pPr>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二）</w:t>
      </w:r>
      <w:r>
        <w:rPr>
          <w:rFonts w:ascii="楷体" w:eastAsia="楷体" w:hAnsi="楷体" w:hint="eastAsia"/>
          <w:b/>
          <w:sz w:val="32"/>
          <w:szCs w:val="32"/>
        </w:rPr>
        <w:t>人员要求</w:t>
      </w:r>
    </w:p>
    <w:p w:rsidR="00CC1788" w:rsidRDefault="00521A9E">
      <w:pPr>
        <w:spacing w:line="560" w:lineRule="exact"/>
        <w:ind w:firstLineChars="200" w:firstLine="600"/>
        <w:rPr>
          <w:rFonts w:ascii="仿宋_GB2312" w:eastAsia="仿宋_GB2312" w:hAnsi="Calibri"/>
          <w:sz w:val="30"/>
          <w:szCs w:val="30"/>
        </w:rPr>
      </w:pPr>
      <w:r>
        <w:rPr>
          <w:rFonts w:ascii="仿宋_GB2312" w:eastAsia="仿宋_GB2312" w:hAnsi="Calibri" w:hint="eastAsia"/>
          <w:sz w:val="30"/>
          <w:szCs w:val="30"/>
        </w:rPr>
        <w:t>壮医护理融合了独特的理论体系和实践技术，专业性很强，壮</w:t>
      </w:r>
      <w:proofErr w:type="gramStart"/>
      <w:r>
        <w:rPr>
          <w:rFonts w:ascii="仿宋_GB2312" w:eastAsia="仿宋_GB2312" w:hAnsi="Calibri" w:hint="eastAsia"/>
          <w:sz w:val="30"/>
          <w:szCs w:val="30"/>
        </w:rPr>
        <w:t>医</w:t>
      </w:r>
      <w:proofErr w:type="gramEnd"/>
      <w:r>
        <w:rPr>
          <w:rFonts w:ascii="仿宋_GB2312" w:eastAsia="仿宋_GB2312" w:hAnsi="Calibri" w:hint="eastAsia"/>
          <w:sz w:val="30"/>
          <w:szCs w:val="30"/>
        </w:rPr>
        <w:t>以“三道两路”、“毒虚致病”等理论为核心，对疾病的辨</w:t>
      </w:r>
      <w:r>
        <w:rPr>
          <w:rFonts w:ascii="仿宋_GB2312" w:eastAsia="仿宋_GB2312" w:hAnsi="Calibri" w:hint="eastAsia"/>
          <w:sz w:val="30"/>
          <w:szCs w:val="30"/>
        </w:rPr>
        <w:lastRenderedPageBreak/>
        <w:t>证（如阴证、阳证）与中医或西医截然不同，需要专门学习，因此人员应经过前交叉韧带损伤护理相关培训，熟练掌握壮</w:t>
      </w:r>
      <w:proofErr w:type="gramStart"/>
      <w:r>
        <w:rPr>
          <w:rFonts w:ascii="仿宋_GB2312" w:eastAsia="仿宋_GB2312" w:hAnsi="Calibri" w:hint="eastAsia"/>
          <w:sz w:val="30"/>
          <w:szCs w:val="30"/>
        </w:rPr>
        <w:t>医</w:t>
      </w:r>
      <w:proofErr w:type="gramEnd"/>
      <w:r>
        <w:rPr>
          <w:rFonts w:ascii="仿宋_GB2312" w:eastAsia="仿宋_GB2312" w:hAnsi="Calibri" w:hint="eastAsia"/>
          <w:sz w:val="30"/>
          <w:szCs w:val="30"/>
        </w:rPr>
        <w:t>辨证、外治技法及不良反应处理。</w:t>
      </w:r>
    </w:p>
    <w:p w:rsidR="00CC1788" w:rsidRDefault="00521A9E">
      <w:pPr>
        <w:ind w:firstLineChars="200" w:firstLine="643"/>
        <w:rPr>
          <w:rFonts w:ascii="楷体" w:eastAsia="楷体" w:hAnsi="楷体"/>
          <w:b/>
          <w:sz w:val="32"/>
          <w:szCs w:val="32"/>
        </w:rPr>
      </w:pPr>
      <w:r>
        <w:rPr>
          <w:rFonts w:ascii="楷体" w:eastAsia="楷体" w:hAnsi="楷体" w:hint="eastAsia"/>
          <w:b/>
          <w:sz w:val="32"/>
          <w:szCs w:val="32"/>
        </w:rPr>
        <w:t>（三</w:t>
      </w:r>
      <w:r>
        <w:rPr>
          <w:rFonts w:ascii="楷体" w:eastAsia="楷体" w:hAnsi="楷体"/>
          <w:b/>
          <w:sz w:val="32"/>
          <w:szCs w:val="32"/>
        </w:rPr>
        <w:t>）</w:t>
      </w:r>
      <w:r>
        <w:rPr>
          <w:rFonts w:ascii="楷体" w:eastAsia="楷体" w:hAnsi="楷体" w:hint="eastAsia"/>
          <w:b/>
          <w:sz w:val="32"/>
          <w:szCs w:val="32"/>
        </w:rPr>
        <w:t>评估</w:t>
      </w:r>
    </w:p>
    <w:p w:rsidR="00CC1788" w:rsidRDefault="0031796A">
      <w:pPr>
        <w:spacing w:line="560" w:lineRule="exact"/>
        <w:ind w:firstLineChars="200" w:firstLine="600"/>
        <w:rPr>
          <w:rFonts w:ascii="仿宋_GB2312" w:eastAsia="仿宋_GB2312" w:hAnsi="Calibri"/>
          <w:sz w:val="30"/>
          <w:szCs w:val="30"/>
        </w:rPr>
      </w:pPr>
      <w:r w:rsidRPr="0031796A">
        <w:rPr>
          <w:rFonts w:ascii="仿宋_GB2312" w:eastAsia="仿宋_GB2312" w:hAnsi="Calibri" w:hint="eastAsia"/>
          <w:sz w:val="30"/>
          <w:szCs w:val="30"/>
        </w:rPr>
        <w:t>依据</w:t>
      </w:r>
      <w:bookmarkStart w:id="18" w:name="_Hlk233384963"/>
      <w:r w:rsidRPr="0031796A">
        <w:rPr>
          <w:rFonts w:ascii="仿宋_GB2312" w:eastAsia="仿宋_GB2312" w:hAnsi="Calibri" w:hint="eastAsia"/>
          <w:sz w:val="30"/>
          <w:szCs w:val="30"/>
        </w:rPr>
        <w:t>《移动卒中单元技术规范中国专家共识2019》</w:t>
      </w:r>
      <w:bookmarkEnd w:id="18"/>
      <w:r w:rsidRPr="0031796A">
        <w:rPr>
          <w:rFonts w:ascii="仿宋_GB2312" w:eastAsia="仿宋_GB2312" w:hAnsi="Calibri" w:hint="eastAsia"/>
          <w:sz w:val="30"/>
          <w:szCs w:val="30"/>
        </w:rPr>
        <w:t>、《中国5G移动卒中单元院前诊疗管理指南》以及起草单位实际设备配置来确定设施设备应包括：5G通信与信息化设备（5G通信终端、远程会诊系统、数据传输与共享系统）、神经影像设备（车载移动CT）、急救与生命支持设备（心电监护仪、血压监测仪、呼吸机、除颤仪、供氧系统、基础急救器械）、检验与检测设备（心电图机、血糖仪、POCT设备）。药品应包括：静脉溶栓药物（rt-PA、TNK、UK）、对症及急救处理药物（降颅压/脱水药物、降糖/</w:t>
      </w:r>
      <w:proofErr w:type="gramStart"/>
      <w:r w:rsidRPr="0031796A">
        <w:rPr>
          <w:rFonts w:ascii="仿宋_GB2312" w:eastAsia="仿宋_GB2312" w:hAnsi="Calibri" w:hint="eastAsia"/>
          <w:sz w:val="30"/>
          <w:szCs w:val="30"/>
        </w:rPr>
        <w:t>升糖药物</w:t>
      </w:r>
      <w:proofErr w:type="gramEnd"/>
      <w:r w:rsidRPr="0031796A">
        <w:rPr>
          <w:rFonts w:ascii="仿宋_GB2312" w:eastAsia="仿宋_GB2312" w:hAnsi="Calibri" w:hint="eastAsia"/>
          <w:sz w:val="30"/>
          <w:szCs w:val="30"/>
        </w:rPr>
        <w:t>、降压药物、止血药物）、基础急救及抗过敏药物</w:t>
      </w:r>
      <w:r>
        <w:rPr>
          <w:rFonts w:ascii="仿宋_GB2312" w:eastAsia="仿宋_GB2312" w:hAnsi="Calibri" w:hint="eastAsia"/>
          <w:sz w:val="30"/>
          <w:szCs w:val="30"/>
        </w:rPr>
        <w:t>。</w:t>
      </w:r>
    </w:p>
    <w:p w:rsidR="0031796A" w:rsidRDefault="0031796A" w:rsidP="0031796A">
      <w:pPr>
        <w:jc w:val="center"/>
        <w:rPr>
          <w:rFonts w:ascii="仿宋_GB2312" w:eastAsia="仿宋_GB2312" w:hAnsi="Calibri"/>
          <w:sz w:val="24"/>
        </w:rPr>
      </w:pPr>
      <w:r>
        <w:rPr>
          <w:noProof/>
        </w:rPr>
        <w:lastRenderedPageBreak/>
        <w:drawing>
          <wp:inline distT="0" distB="0" distL="0" distR="0" wp14:anchorId="3D7F21AE" wp14:editId="513BF36A">
            <wp:extent cx="5274310" cy="5600065"/>
            <wp:effectExtent l="0" t="0" r="254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5600065"/>
                    </a:xfrm>
                    <a:prstGeom prst="rect">
                      <a:avLst/>
                    </a:prstGeom>
                  </pic:spPr>
                </pic:pic>
              </a:graphicData>
            </a:graphic>
          </wp:inline>
        </w:drawing>
      </w:r>
    </w:p>
    <w:p w:rsidR="0031796A" w:rsidRDefault="0031796A" w:rsidP="0031796A">
      <w:pPr>
        <w:jc w:val="center"/>
        <w:rPr>
          <w:rFonts w:ascii="仿宋_GB2312" w:eastAsia="仿宋_GB2312" w:hAnsi="Calibri"/>
          <w:sz w:val="24"/>
        </w:rPr>
      </w:pPr>
      <w:r>
        <w:rPr>
          <w:rFonts w:ascii="仿宋_GB2312" w:eastAsia="仿宋_GB2312" w:hAnsi="Calibri" w:hint="eastAsia"/>
          <w:sz w:val="24"/>
        </w:rPr>
        <w:t>来源：</w:t>
      </w:r>
      <w:r w:rsidRPr="0031796A">
        <w:rPr>
          <w:rFonts w:ascii="仿宋_GB2312" w:eastAsia="仿宋_GB2312" w:hAnsi="Calibri" w:hint="eastAsia"/>
          <w:sz w:val="24"/>
        </w:rPr>
        <w:t>《移动卒中单元技术规范中国专家共识2019》</w:t>
      </w:r>
    </w:p>
    <w:p w:rsidR="0031796A" w:rsidRPr="0031796A" w:rsidRDefault="0031796A" w:rsidP="0031796A">
      <w:pPr>
        <w:spacing w:line="560" w:lineRule="exact"/>
        <w:jc w:val="center"/>
        <w:rPr>
          <w:rFonts w:ascii="仿宋_GB2312" w:eastAsia="仿宋_GB2312" w:hAnsi="Calibri"/>
          <w:sz w:val="30"/>
          <w:szCs w:val="30"/>
        </w:rPr>
      </w:pPr>
    </w:p>
    <w:p w:rsidR="00CC1788" w:rsidRDefault="0031796A">
      <w:pPr>
        <w:jc w:val="center"/>
        <w:rPr>
          <w:rFonts w:ascii="仿宋_GB2312" w:eastAsia="仿宋_GB2312" w:hAnsi="Calibri"/>
          <w:sz w:val="30"/>
          <w:szCs w:val="30"/>
        </w:rPr>
      </w:pPr>
      <w:r>
        <w:rPr>
          <w:noProof/>
        </w:rPr>
        <w:lastRenderedPageBreak/>
        <w:drawing>
          <wp:inline distT="0" distB="0" distL="0" distR="0" wp14:anchorId="2D860054" wp14:editId="5E66B04F">
            <wp:extent cx="5274310" cy="526034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5260340"/>
                    </a:xfrm>
                    <a:prstGeom prst="rect">
                      <a:avLst/>
                    </a:prstGeom>
                  </pic:spPr>
                </pic:pic>
              </a:graphicData>
            </a:graphic>
          </wp:inline>
        </w:drawing>
      </w:r>
    </w:p>
    <w:p w:rsidR="00CC1788" w:rsidRDefault="00521A9E">
      <w:pPr>
        <w:jc w:val="center"/>
        <w:rPr>
          <w:rFonts w:ascii="仿宋_GB2312" w:eastAsia="仿宋_GB2312" w:hAnsi="Calibri"/>
          <w:sz w:val="24"/>
        </w:rPr>
      </w:pPr>
      <w:r>
        <w:rPr>
          <w:rFonts w:ascii="仿宋_GB2312" w:eastAsia="仿宋_GB2312" w:hAnsi="Calibri" w:hint="eastAsia"/>
          <w:sz w:val="24"/>
        </w:rPr>
        <w:t>来源：</w:t>
      </w:r>
      <w:r w:rsidR="0031796A" w:rsidRPr="0031796A">
        <w:rPr>
          <w:rFonts w:ascii="仿宋_GB2312" w:eastAsia="仿宋_GB2312" w:hAnsi="Calibri" w:hint="eastAsia"/>
          <w:sz w:val="24"/>
        </w:rPr>
        <w:t>《中国5G移动卒中单元院前诊疗管理指南》</w:t>
      </w:r>
    </w:p>
    <w:p w:rsidR="0031796A" w:rsidRDefault="0031796A">
      <w:pPr>
        <w:jc w:val="center"/>
        <w:rPr>
          <w:rFonts w:ascii="仿宋_GB2312" w:eastAsia="仿宋_GB2312" w:hAnsi="Calibri"/>
          <w:sz w:val="24"/>
        </w:rPr>
      </w:pP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1.接警与出车</w:t>
      </w:r>
    </w:p>
    <w:p w:rsidR="008C61C6" w:rsidRPr="00256D78" w:rsidRDefault="008C61C6"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（1）接警响应</w:t>
      </w:r>
    </w:p>
    <w:p w:rsidR="008C61C6"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依据《中国5G移动卒中单元院前诊疗管理指南》</w:t>
      </w:r>
      <w:bookmarkStart w:id="19" w:name="OLE_LINK42"/>
      <w:r w:rsidR="008B1CBD">
        <w:rPr>
          <w:rFonts w:ascii="仿宋_GB2312" w:eastAsia="仿宋_GB2312" w:hAnsi="楷体" w:hint="eastAsia"/>
          <w:bCs/>
          <w:sz w:val="32"/>
          <w:szCs w:val="32"/>
        </w:rPr>
        <w:t>《</w:t>
      </w:r>
      <w:r w:rsidR="008B1CBD" w:rsidRPr="008B1CBD">
        <w:rPr>
          <w:rFonts w:ascii="仿宋_GB2312" w:eastAsia="仿宋_GB2312" w:hAnsi="楷体" w:hint="eastAsia"/>
          <w:bCs/>
          <w:sz w:val="32"/>
          <w:szCs w:val="32"/>
        </w:rPr>
        <w:t>中国脑卒中防治指导规范（2021</w:t>
      </w:r>
      <w:r w:rsidR="008B1CBD">
        <w:rPr>
          <w:rFonts w:ascii="仿宋_GB2312" w:eastAsia="仿宋_GB2312" w:hAnsi="楷体" w:hint="eastAsia"/>
          <w:bCs/>
          <w:sz w:val="32"/>
          <w:szCs w:val="32"/>
        </w:rPr>
        <w:t>）》</w:t>
      </w:r>
      <w:bookmarkEnd w:id="19"/>
      <w:r w:rsidRPr="0031796A">
        <w:rPr>
          <w:rFonts w:ascii="仿宋_GB2312" w:eastAsia="仿宋_GB2312" w:hAnsi="楷体" w:hint="eastAsia"/>
          <w:bCs/>
          <w:sz w:val="32"/>
          <w:szCs w:val="32"/>
        </w:rPr>
        <w:t>及起草单位实际经验来确定。</w:t>
      </w:r>
      <w:r w:rsidR="008C61C6" w:rsidRPr="008C61C6">
        <w:rPr>
          <w:rFonts w:ascii="仿宋_GB2312" w:eastAsia="仿宋_GB2312" w:hAnsi="楷体" w:hint="eastAsia"/>
          <w:bCs/>
          <w:sz w:val="32"/>
          <w:szCs w:val="32"/>
        </w:rPr>
        <w:t>基于卒中急救地图与120体系的整合这一要求旨在实现“上车即入院”。其核心是将卒中急救地图与120急救体系进行信息化整合，使调度中心能根据地图信息，快速匹配最近的5G MSU并启动绿色通道</w:t>
      </w:r>
      <w:r w:rsidR="008C61C6">
        <w:rPr>
          <w:rFonts w:ascii="仿宋_GB2312" w:eastAsia="仿宋_GB2312" w:hAnsi="楷体" w:hint="eastAsia"/>
          <w:bCs/>
          <w:sz w:val="32"/>
          <w:szCs w:val="32"/>
        </w:rPr>
        <w:t>。</w:t>
      </w:r>
      <w:r w:rsidR="008C61C6" w:rsidRPr="008C61C6">
        <w:rPr>
          <w:rFonts w:ascii="仿宋_GB2312" w:eastAsia="仿宋_GB2312" w:hAnsi="楷体" w:hint="eastAsia"/>
          <w:bCs/>
          <w:sz w:val="32"/>
          <w:szCs w:val="32"/>
        </w:rPr>
        <w:t>BE-FAST和中风120来源于《中国</w:t>
      </w:r>
      <w:r w:rsidR="008C61C6" w:rsidRPr="008C61C6">
        <w:rPr>
          <w:rFonts w:ascii="仿宋_GB2312" w:eastAsia="仿宋_GB2312" w:hAnsi="楷体" w:hint="eastAsia"/>
          <w:bCs/>
          <w:sz w:val="32"/>
          <w:szCs w:val="32"/>
        </w:rPr>
        <w:lastRenderedPageBreak/>
        <w:t>急性缺血性脑卒中诊治指南2018》 及《</w:t>
      </w:r>
      <w:bookmarkStart w:id="20" w:name="OLE_LINK41"/>
      <w:r w:rsidR="008C61C6" w:rsidRPr="008C61C6">
        <w:rPr>
          <w:rFonts w:ascii="仿宋_GB2312" w:eastAsia="仿宋_GB2312" w:hAnsi="楷体" w:hint="eastAsia"/>
          <w:bCs/>
          <w:sz w:val="32"/>
          <w:szCs w:val="32"/>
        </w:rPr>
        <w:t>中国脑卒中防治指导规范</w:t>
      </w:r>
      <w:bookmarkEnd w:id="20"/>
      <w:r w:rsidR="008C61C6" w:rsidRPr="008C61C6">
        <w:rPr>
          <w:rFonts w:ascii="仿宋_GB2312" w:eastAsia="仿宋_GB2312" w:hAnsi="楷体" w:hint="eastAsia"/>
          <w:bCs/>
          <w:sz w:val="32"/>
          <w:szCs w:val="32"/>
        </w:rPr>
        <w:t>（2021年版）》</w:t>
      </w:r>
      <w:r w:rsidR="008C61C6">
        <w:rPr>
          <w:rFonts w:ascii="仿宋_GB2312" w:eastAsia="仿宋_GB2312" w:hAnsi="楷体" w:hint="eastAsia"/>
          <w:bCs/>
          <w:sz w:val="32"/>
          <w:szCs w:val="32"/>
        </w:rPr>
        <w:t>，</w:t>
      </w:r>
      <w:r w:rsidR="008C61C6" w:rsidRPr="008C61C6">
        <w:rPr>
          <w:rFonts w:ascii="仿宋_GB2312" w:eastAsia="仿宋_GB2312" w:hAnsi="楷体" w:hint="eastAsia"/>
          <w:bCs/>
          <w:sz w:val="32"/>
          <w:szCs w:val="32"/>
        </w:rPr>
        <w:t>是国际上广泛推荐用于快速识别脑卒中症状的工具</w:t>
      </w:r>
      <w:r w:rsidR="008C61C6">
        <w:rPr>
          <w:rFonts w:ascii="仿宋_GB2312" w:eastAsia="仿宋_GB2312" w:hAnsi="楷体" w:hint="eastAsia"/>
          <w:bCs/>
          <w:sz w:val="32"/>
          <w:szCs w:val="32"/>
        </w:rPr>
        <w:t>，</w:t>
      </w:r>
      <w:r w:rsidR="008C61C6" w:rsidRPr="008C61C6">
        <w:rPr>
          <w:rFonts w:ascii="仿宋_GB2312" w:eastAsia="仿宋_GB2312" w:hAnsi="楷体" w:hint="eastAsia"/>
          <w:bCs/>
          <w:sz w:val="32"/>
          <w:szCs w:val="32"/>
        </w:rPr>
        <w:t>同时，5G MSU受限于车载设备（如CT）的移动性和车载团队的配置，只能在确定的“覆盖半径”内提供高效服务</w:t>
      </w:r>
      <w:r w:rsidR="008C61C6">
        <w:rPr>
          <w:rFonts w:ascii="仿宋_GB2312" w:eastAsia="仿宋_GB2312" w:hAnsi="楷体" w:hint="eastAsia"/>
          <w:bCs/>
          <w:sz w:val="32"/>
          <w:szCs w:val="32"/>
        </w:rPr>
        <w:t>。</w:t>
      </w:r>
      <w:r w:rsidR="008C61C6" w:rsidRPr="008C61C6">
        <w:rPr>
          <w:rFonts w:ascii="仿宋_GB2312" w:eastAsia="仿宋_GB2312" w:hAnsi="楷体" w:hint="eastAsia"/>
          <w:bCs/>
          <w:sz w:val="32"/>
          <w:szCs w:val="32"/>
        </w:rPr>
        <w:t>当5G MSU不能立刻到达时，调度附近的普通救护车先赶到现场，可以实现多级数据贯通，为后续MSU的精准救治赢得时间</w:t>
      </w:r>
      <w:r w:rsidR="008C61C6">
        <w:rPr>
          <w:rFonts w:ascii="仿宋_GB2312" w:eastAsia="仿宋_GB2312" w:hAnsi="楷体" w:hint="eastAsia"/>
          <w:bCs/>
          <w:sz w:val="32"/>
          <w:szCs w:val="32"/>
        </w:rPr>
        <w:t>。</w:t>
      </w:r>
    </w:p>
    <w:p w:rsidR="008C61C6" w:rsidRPr="00256D78" w:rsidRDefault="008C61C6"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（2）出车准备</w:t>
      </w:r>
    </w:p>
    <w:p w:rsidR="0031796A" w:rsidRDefault="008B1CBD" w:rsidP="008B1CBD">
      <w:pPr>
        <w:ind w:firstLineChars="200" w:firstLine="640"/>
        <w:rPr>
          <w:rFonts w:ascii="仿宋_GB2312" w:eastAsia="仿宋_GB2312" w:hAnsi="楷体"/>
          <w:bCs/>
          <w:sz w:val="32"/>
          <w:szCs w:val="32"/>
        </w:rPr>
      </w:pPr>
      <w:r w:rsidRPr="008B1CBD">
        <w:rPr>
          <w:rFonts w:ascii="仿宋_GB2312" w:eastAsia="仿宋_GB2312" w:hAnsi="楷体" w:hint="eastAsia"/>
          <w:bCs/>
          <w:sz w:val="32"/>
          <w:szCs w:val="32"/>
        </w:rPr>
        <w:t>检查内容依据MSU的“移动医院”定位：车载CT、POCT设备、监护仪是MSU进行现场诊断的核心设备；溶栓药物（rt-PA/TNK/UK）和急救药品是实施现场救治的物质基础；而启动5G通信终端则是实现远程会诊和数据传输的前提</w:t>
      </w:r>
      <w:r>
        <w:rPr>
          <w:rFonts w:ascii="仿宋_GB2312" w:eastAsia="仿宋_GB2312" w:hAnsi="楷体" w:hint="eastAsia"/>
          <w:bCs/>
          <w:sz w:val="32"/>
          <w:szCs w:val="32"/>
        </w:rPr>
        <w:t>。</w:t>
      </w:r>
      <w:r w:rsidRPr="008B1CBD">
        <w:rPr>
          <w:rFonts w:ascii="仿宋_GB2312" w:eastAsia="仿宋_GB2312" w:hAnsi="楷体" w:hint="eastAsia"/>
          <w:bCs/>
          <w:sz w:val="32"/>
          <w:szCs w:val="32"/>
        </w:rPr>
        <w:t>在转运途中通过车载终端提前获取患者信息并启动预评估，是实现“上车即入院”的关键一步。这能使医院卒中中心提前做好准备，将救治关口前移。</w:t>
      </w:r>
    </w:p>
    <w:p w:rsidR="008B1CBD" w:rsidRDefault="008B1CBD" w:rsidP="008B1CBD">
      <w:pPr>
        <w:rPr>
          <w:rFonts w:ascii="仿宋_GB2312" w:eastAsia="仿宋_GB2312" w:hAnsi="楷体"/>
          <w:bCs/>
          <w:sz w:val="32"/>
          <w:szCs w:val="32"/>
        </w:rPr>
      </w:pPr>
      <w:r>
        <w:rPr>
          <w:noProof/>
        </w:rPr>
        <w:lastRenderedPageBreak/>
        <w:drawing>
          <wp:inline distT="0" distB="0" distL="0" distR="0" wp14:anchorId="05ADB829" wp14:editId="747EBCA8">
            <wp:extent cx="5274310" cy="50698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5069840"/>
                    </a:xfrm>
                    <a:prstGeom prst="rect">
                      <a:avLst/>
                    </a:prstGeom>
                  </pic:spPr>
                </pic:pic>
              </a:graphicData>
            </a:graphic>
          </wp:inline>
        </w:drawing>
      </w:r>
    </w:p>
    <w:p w:rsidR="008B1CBD" w:rsidRPr="0031796A" w:rsidRDefault="008B1CBD" w:rsidP="008B1CBD">
      <w:pPr>
        <w:jc w:val="center"/>
        <w:rPr>
          <w:rFonts w:ascii="仿宋_GB2312" w:eastAsia="仿宋_GB2312" w:hAnsi="楷体"/>
          <w:bCs/>
          <w:sz w:val="32"/>
          <w:szCs w:val="32"/>
        </w:rPr>
      </w:pPr>
      <w:r>
        <w:rPr>
          <w:rFonts w:ascii="仿宋_GB2312" w:eastAsia="仿宋_GB2312" w:hAnsi="楷体" w:hint="eastAsia"/>
          <w:bCs/>
          <w:sz w:val="32"/>
          <w:szCs w:val="32"/>
        </w:rPr>
        <w:t>来源：《</w:t>
      </w:r>
      <w:r w:rsidRPr="008B1CBD">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2.现场评估与初步处置</w:t>
      </w:r>
    </w:p>
    <w:p w:rsidR="0031796A"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依据《中国急性缺血性卒中诊治指南2023》《中国5G移动卒中单元院前诊疗管理指南》</w:t>
      </w:r>
      <w:r w:rsidR="008B1CBD">
        <w:rPr>
          <w:rFonts w:ascii="仿宋_GB2312" w:eastAsia="仿宋_GB2312" w:hAnsi="楷体" w:hint="eastAsia"/>
          <w:bCs/>
          <w:sz w:val="32"/>
          <w:szCs w:val="32"/>
        </w:rPr>
        <w:t>《</w:t>
      </w:r>
      <w:r w:rsidR="008B1CBD" w:rsidRPr="008B1CBD">
        <w:rPr>
          <w:rFonts w:ascii="仿宋_GB2312" w:eastAsia="仿宋_GB2312" w:hAnsi="楷体" w:hint="eastAsia"/>
          <w:bCs/>
          <w:sz w:val="32"/>
          <w:szCs w:val="32"/>
        </w:rPr>
        <w:t>中国脑卒中防治指导规范（2021</w:t>
      </w:r>
      <w:r w:rsidR="008B1CBD">
        <w:rPr>
          <w:rFonts w:ascii="仿宋_GB2312" w:eastAsia="仿宋_GB2312" w:hAnsi="楷体" w:hint="eastAsia"/>
          <w:bCs/>
          <w:sz w:val="32"/>
          <w:szCs w:val="32"/>
        </w:rPr>
        <w:t>）》</w:t>
      </w:r>
      <w:r w:rsidR="001079C3" w:rsidRPr="001079C3">
        <w:rPr>
          <w:rFonts w:ascii="仿宋_GB2312" w:eastAsia="仿宋_GB2312" w:hAnsi="楷体" w:hint="eastAsia"/>
          <w:bCs/>
          <w:sz w:val="32"/>
          <w:szCs w:val="32"/>
        </w:rPr>
        <w:t>及起草单位实际经验来确定。</w:t>
      </w:r>
      <w:r w:rsidRPr="0031796A">
        <w:rPr>
          <w:rFonts w:ascii="仿宋_GB2312" w:eastAsia="仿宋_GB2312" w:hAnsi="楷体" w:hint="eastAsia"/>
          <w:bCs/>
          <w:sz w:val="32"/>
          <w:szCs w:val="32"/>
        </w:rPr>
        <w:t>规定了到达现场后需完成的初步评估内容，包括意识水平（GCS评分）、生命体征、快速卒中识别量表（NIHSS评分）等，并明确了建立静脉通路、排查低血糖等初步处置措施。</w:t>
      </w:r>
    </w:p>
    <w:p w:rsidR="0031796A" w:rsidRDefault="008B1CBD" w:rsidP="008B1CBD">
      <w:pPr>
        <w:ind w:firstLineChars="200" w:firstLine="420"/>
        <w:jc w:val="center"/>
        <w:rPr>
          <w:rFonts w:ascii="仿宋_GB2312" w:eastAsia="仿宋_GB2312" w:hAnsi="楷体"/>
          <w:bCs/>
          <w:sz w:val="32"/>
          <w:szCs w:val="32"/>
        </w:rPr>
      </w:pPr>
      <w:r>
        <w:rPr>
          <w:noProof/>
        </w:rPr>
        <w:lastRenderedPageBreak/>
        <w:drawing>
          <wp:inline distT="0" distB="0" distL="0" distR="0" wp14:anchorId="723C0085" wp14:editId="6BACB5B8">
            <wp:extent cx="4833151" cy="4637057"/>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47835" cy="4651145"/>
                    </a:xfrm>
                    <a:prstGeom prst="rect">
                      <a:avLst/>
                    </a:prstGeom>
                  </pic:spPr>
                </pic:pic>
              </a:graphicData>
            </a:graphic>
          </wp:inline>
        </w:drawing>
      </w:r>
    </w:p>
    <w:p w:rsidR="008B1CBD" w:rsidRDefault="008B1CBD" w:rsidP="008B1CBD">
      <w:pPr>
        <w:ind w:firstLineChars="200" w:firstLine="640"/>
        <w:jc w:val="center"/>
        <w:rPr>
          <w:rFonts w:ascii="仿宋_GB2312" w:eastAsia="仿宋_GB2312" w:hAnsi="楷体"/>
          <w:bCs/>
          <w:sz w:val="32"/>
          <w:szCs w:val="32"/>
        </w:rPr>
      </w:pPr>
      <w:r>
        <w:rPr>
          <w:rFonts w:ascii="仿宋_GB2312" w:eastAsia="仿宋_GB2312" w:hAnsi="楷体" w:hint="eastAsia"/>
          <w:bCs/>
          <w:sz w:val="32"/>
          <w:szCs w:val="32"/>
        </w:rPr>
        <w:t>来源：</w:t>
      </w:r>
      <w:r w:rsidRPr="0031796A">
        <w:rPr>
          <w:rFonts w:ascii="仿宋_GB2312" w:eastAsia="仿宋_GB2312" w:hAnsi="楷体" w:hint="eastAsia"/>
          <w:bCs/>
          <w:sz w:val="32"/>
          <w:szCs w:val="32"/>
        </w:rPr>
        <w:t>《中国5G移动卒中单元院前诊疗管理指南》</w:t>
      </w:r>
    </w:p>
    <w:p w:rsidR="0031796A" w:rsidRDefault="008B1CBD" w:rsidP="0031796A">
      <w:pPr>
        <w:ind w:firstLineChars="200" w:firstLine="420"/>
        <w:rPr>
          <w:rFonts w:ascii="仿宋_GB2312" w:eastAsia="仿宋_GB2312" w:hAnsi="楷体"/>
          <w:bCs/>
          <w:sz w:val="32"/>
          <w:szCs w:val="32"/>
        </w:rPr>
      </w:pPr>
      <w:r>
        <w:rPr>
          <w:noProof/>
        </w:rPr>
        <w:lastRenderedPageBreak/>
        <w:drawing>
          <wp:inline distT="0" distB="0" distL="0" distR="0" wp14:anchorId="3DC8631F" wp14:editId="5C6B7006">
            <wp:extent cx="5274310" cy="7934960"/>
            <wp:effectExtent l="0" t="0" r="254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7934960"/>
                    </a:xfrm>
                    <a:prstGeom prst="rect">
                      <a:avLst/>
                    </a:prstGeom>
                  </pic:spPr>
                </pic:pic>
              </a:graphicData>
            </a:graphic>
          </wp:inline>
        </w:drawing>
      </w:r>
    </w:p>
    <w:p w:rsidR="008B1CBD" w:rsidRDefault="008B1CBD" w:rsidP="008B1CBD">
      <w:pPr>
        <w:ind w:firstLineChars="200" w:firstLine="640"/>
        <w:jc w:val="center"/>
        <w:rPr>
          <w:rFonts w:ascii="仿宋_GB2312" w:eastAsia="仿宋_GB2312" w:hAnsi="楷体"/>
          <w:bCs/>
          <w:sz w:val="32"/>
          <w:szCs w:val="32"/>
        </w:rPr>
      </w:pPr>
      <w:bookmarkStart w:id="21" w:name="OLE_LINK43"/>
      <w:r>
        <w:rPr>
          <w:rFonts w:ascii="仿宋_GB2312" w:eastAsia="仿宋_GB2312" w:hAnsi="楷体" w:hint="eastAsia"/>
          <w:bCs/>
          <w:sz w:val="32"/>
          <w:szCs w:val="32"/>
        </w:rPr>
        <w:t>来源：《</w:t>
      </w:r>
      <w:r w:rsidRPr="008B1CBD">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bookmarkEnd w:id="21"/>
    </w:p>
    <w:p w:rsidR="003A1A68" w:rsidRDefault="003A1A68" w:rsidP="008B1CBD">
      <w:pPr>
        <w:ind w:firstLineChars="200" w:firstLine="420"/>
        <w:jc w:val="center"/>
        <w:rPr>
          <w:rFonts w:ascii="仿宋_GB2312" w:eastAsia="仿宋_GB2312" w:hAnsi="楷体"/>
          <w:bCs/>
          <w:sz w:val="32"/>
          <w:szCs w:val="32"/>
        </w:rPr>
      </w:pPr>
      <w:r>
        <w:rPr>
          <w:noProof/>
        </w:rPr>
        <w:lastRenderedPageBreak/>
        <w:drawing>
          <wp:inline distT="0" distB="0" distL="0" distR="0" wp14:anchorId="0378F57F" wp14:editId="4E7CA3A5">
            <wp:extent cx="5274310" cy="663511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6635115"/>
                    </a:xfrm>
                    <a:prstGeom prst="rect">
                      <a:avLst/>
                    </a:prstGeom>
                  </pic:spPr>
                </pic:pic>
              </a:graphicData>
            </a:graphic>
          </wp:inline>
        </w:drawing>
      </w:r>
    </w:p>
    <w:p w:rsidR="003A1A68" w:rsidRPr="0031796A" w:rsidRDefault="003A1A68" w:rsidP="008B1CBD">
      <w:pPr>
        <w:ind w:firstLineChars="200" w:firstLine="640"/>
        <w:jc w:val="center"/>
        <w:rPr>
          <w:rFonts w:ascii="仿宋_GB2312" w:eastAsia="仿宋_GB2312" w:hAnsi="楷体"/>
          <w:bCs/>
          <w:sz w:val="32"/>
          <w:szCs w:val="32"/>
        </w:rPr>
      </w:pPr>
      <w:r>
        <w:rPr>
          <w:rFonts w:ascii="仿宋_GB2312" w:eastAsia="仿宋_GB2312" w:hAnsi="楷体" w:hint="eastAsia"/>
          <w:bCs/>
          <w:sz w:val="32"/>
          <w:szCs w:val="32"/>
        </w:rPr>
        <w:t>来源：《</w:t>
      </w:r>
      <w:r w:rsidRPr="008B1CBD">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3.车载头颅CT检查</w:t>
      </w:r>
    </w:p>
    <w:p w:rsidR="005F28D4" w:rsidRDefault="0031796A" w:rsidP="005F28D4">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依据《移动卒中单元技术规范中国专家共识2019》、《中国5G移动卒中单元院前诊疗管理指南》及起草单位实际经验来确定</w:t>
      </w:r>
      <w:r w:rsidR="003A1A68" w:rsidRPr="003A1A68">
        <w:rPr>
          <w:rFonts w:ascii="仿宋_GB2312" w:eastAsia="仿宋_GB2312" w:hAnsi="楷体" w:hint="eastAsia"/>
          <w:bCs/>
          <w:sz w:val="32"/>
          <w:szCs w:val="32"/>
        </w:rPr>
        <w:t>，</w:t>
      </w:r>
      <w:r w:rsidR="00C57A54" w:rsidRPr="00C57A54">
        <w:rPr>
          <w:rFonts w:ascii="仿宋_GB2312" w:eastAsia="仿宋_GB2312" w:hAnsi="楷体" w:hint="eastAsia"/>
          <w:bCs/>
          <w:sz w:val="32"/>
          <w:szCs w:val="32"/>
        </w:rPr>
        <w:t>移动救护车行驶颠簸，头部晃动会造成CT图像伪</w:t>
      </w:r>
      <w:r w:rsidR="00C57A54" w:rsidRPr="00C57A54">
        <w:rPr>
          <w:rFonts w:ascii="仿宋_GB2312" w:eastAsia="仿宋_GB2312" w:hAnsi="楷体" w:hint="eastAsia"/>
          <w:bCs/>
          <w:sz w:val="32"/>
          <w:szCs w:val="32"/>
        </w:rPr>
        <w:lastRenderedPageBreak/>
        <w:t>影、模糊，无法准确判断出血、梗死，</w:t>
      </w:r>
      <w:proofErr w:type="gramStart"/>
      <w:r w:rsidR="00C57A54" w:rsidRPr="00C57A54">
        <w:rPr>
          <w:rFonts w:ascii="仿宋_GB2312" w:eastAsia="仿宋_GB2312" w:hAnsi="楷体" w:hint="eastAsia"/>
          <w:bCs/>
          <w:sz w:val="32"/>
          <w:szCs w:val="32"/>
        </w:rPr>
        <w:t>固定带保证</w:t>
      </w:r>
      <w:proofErr w:type="gramEnd"/>
      <w:r w:rsidR="00C57A54" w:rsidRPr="00C57A54">
        <w:rPr>
          <w:rFonts w:ascii="仿宋_GB2312" w:eastAsia="仿宋_GB2312" w:hAnsi="楷体" w:hint="eastAsia"/>
          <w:bCs/>
          <w:sz w:val="32"/>
          <w:szCs w:val="32"/>
        </w:rPr>
        <w:t>成像清晰度</w:t>
      </w:r>
      <w:r w:rsidR="003A1A68" w:rsidRPr="003A1A68">
        <w:rPr>
          <w:rFonts w:ascii="仿宋_GB2312" w:eastAsia="仿宋_GB2312" w:hAnsi="楷体" w:hint="eastAsia"/>
          <w:bCs/>
          <w:sz w:val="32"/>
          <w:szCs w:val="32"/>
        </w:rPr>
        <w:t>。</w:t>
      </w:r>
      <w:r w:rsidR="00C57A54" w:rsidRPr="00C57A54">
        <w:rPr>
          <w:rFonts w:ascii="仿宋_GB2312" w:eastAsia="仿宋_GB2312" w:hAnsi="楷体" w:hint="eastAsia"/>
          <w:bCs/>
          <w:sz w:val="32"/>
          <w:szCs w:val="32"/>
        </w:rPr>
        <w:t>定位听</w:t>
      </w:r>
      <w:proofErr w:type="gramStart"/>
      <w:r w:rsidR="00C57A54" w:rsidRPr="00C57A54">
        <w:rPr>
          <w:rFonts w:ascii="仿宋_GB2312" w:eastAsia="仿宋_GB2312" w:hAnsi="楷体" w:hint="eastAsia"/>
          <w:bCs/>
          <w:sz w:val="32"/>
          <w:szCs w:val="32"/>
        </w:rPr>
        <w:t>眦</w:t>
      </w:r>
      <w:proofErr w:type="gramEnd"/>
      <w:r w:rsidR="00C57A54" w:rsidRPr="00C57A54">
        <w:rPr>
          <w:rFonts w:ascii="仿宋_GB2312" w:eastAsia="仿宋_GB2312" w:hAnsi="楷体" w:hint="eastAsia"/>
          <w:bCs/>
          <w:sz w:val="32"/>
          <w:szCs w:val="32"/>
        </w:rPr>
        <w:t>线、颅底到</w:t>
      </w:r>
      <w:proofErr w:type="gramStart"/>
      <w:r w:rsidR="00C57A54" w:rsidRPr="00C57A54">
        <w:rPr>
          <w:rFonts w:ascii="仿宋_GB2312" w:eastAsia="仿宋_GB2312" w:hAnsi="楷体" w:hint="eastAsia"/>
          <w:bCs/>
          <w:sz w:val="32"/>
          <w:szCs w:val="32"/>
        </w:rPr>
        <w:t>颅顶全脑</w:t>
      </w:r>
      <w:proofErr w:type="gramEnd"/>
      <w:r w:rsidR="00C57A54" w:rsidRPr="00C57A54">
        <w:rPr>
          <w:rFonts w:ascii="仿宋_GB2312" w:eastAsia="仿宋_GB2312" w:hAnsi="楷体" w:hint="eastAsia"/>
          <w:bCs/>
          <w:sz w:val="32"/>
          <w:szCs w:val="32"/>
        </w:rPr>
        <w:t>扫描是头颅CT标准扫描基线，完整覆盖全部脑组织，不漏掉脑干、小脑、额叶、顶枕叶等任何部位出血或梗死病灶，避免漏诊</w:t>
      </w:r>
      <w:r w:rsidR="00C57A54">
        <w:rPr>
          <w:rFonts w:ascii="仿宋_GB2312" w:eastAsia="仿宋_GB2312" w:hAnsi="楷体" w:hint="eastAsia"/>
          <w:bCs/>
          <w:sz w:val="32"/>
          <w:szCs w:val="32"/>
        </w:rPr>
        <w:t>。</w:t>
      </w:r>
      <w:r w:rsidR="00733053" w:rsidRPr="00733053">
        <w:rPr>
          <w:rFonts w:ascii="仿宋_GB2312" w:eastAsia="仿宋_GB2312" w:hAnsi="楷体" w:hint="eastAsia"/>
          <w:bCs/>
          <w:sz w:val="32"/>
          <w:szCs w:val="32"/>
        </w:rPr>
        <w:t>CT 存在电离辐射，医护不能近距离暴露，患者可能躁动、呕吐、病情突发变化，实时观察可及时中止扫描、处置急症，防止窒息、坠床</w:t>
      </w:r>
      <w:r w:rsidR="005F28D4">
        <w:rPr>
          <w:rFonts w:ascii="仿宋_GB2312" w:eastAsia="仿宋_GB2312" w:hAnsi="楷体" w:hint="eastAsia"/>
          <w:bCs/>
          <w:sz w:val="32"/>
          <w:szCs w:val="32"/>
        </w:rPr>
        <w:t>，因此需</w:t>
      </w:r>
      <w:r w:rsidR="005F28D4" w:rsidRPr="00733053">
        <w:rPr>
          <w:rFonts w:ascii="仿宋_GB2312" w:eastAsia="仿宋_GB2312" w:hAnsi="楷体" w:hint="eastAsia"/>
          <w:bCs/>
          <w:sz w:val="32"/>
          <w:szCs w:val="32"/>
        </w:rPr>
        <w:t>在</w:t>
      </w:r>
      <w:proofErr w:type="gramStart"/>
      <w:r w:rsidR="005F28D4" w:rsidRPr="00733053">
        <w:rPr>
          <w:rFonts w:ascii="仿宋_GB2312" w:eastAsia="仿宋_GB2312" w:hAnsi="楷体" w:hint="eastAsia"/>
          <w:bCs/>
          <w:sz w:val="32"/>
          <w:szCs w:val="32"/>
        </w:rPr>
        <w:t>屏蔽</w:t>
      </w:r>
      <w:r w:rsidR="005F28D4">
        <w:rPr>
          <w:rFonts w:ascii="仿宋_GB2312" w:eastAsia="仿宋_GB2312" w:hAnsi="楷体" w:hint="eastAsia"/>
          <w:bCs/>
          <w:sz w:val="32"/>
          <w:szCs w:val="32"/>
        </w:rPr>
        <w:t>区</w:t>
      </w:r>
      <w:proofErr w:type="gramEnd"/>
      <w:r w:rsidR="005F28D4" w:rsidRPr="005F28D4">
        <w:rPr>
          <w:rFonts w:ascii="仿宋_GB2312" w:eastAsia="仿宋_GB2312" w:hAnsi="楷体" w:hint="eastAsia"/>
          <w:bCs/>
          <w:sz w:val="32"/>
          <w:szCs w:val="32"/>
        </w:rPr>
        <w:t>视频监控查看患者状态</w:t>
      </w:r>
      <w:r w:rsidR="005F28D4">
        <w:rPr>
          <w:rFonts w:ascii="仿宋_GB2312" w:eastAsia="仿宋_GB2312" w:hAnsi="楷体" w:hint="eastAsia"/>
          <w:bCs/>
          <w:sz w:val="32"/>
          <w:szCs w:val="32"/>
        </w:rPr>
        <w:t>。</w:t>
      </w:r>
    </w:p>
    <w:p w:rsidR="0031796A" w:rsidRDefault="005F28D4" w:rsidP="005F28D4">
      <w:pPr>
        <w:ind w:firstLineChars="200" w:firstLine="640"/>
        <w:rPr>
          <w:rFonts w:ascii="仿宋_GB2312" w:eastAsia="仿宋_GB2312" w:hAnsi="楷体"/>
          <w:bCs/>
          <w:sz w:val="32"/>
          <w:szCs w:val="32"/>
        </w:rPr>
      </w:pPr>
      <w:r w:rsidRPr="005F28D4">
        <w:rPr>
          <w:rFonts w:ascii="仿宋_GB2312" w:eastAsia="仿宋_GB2312" w:hAnsi="楷体" w:hint="eastAsia"/>
          <w:bCs/>
          <w:sz w:val="32"/>
          <w:szCs w:val="32"/>
        </w:rPr>
        <w:t>定扫描完成后30秒内启动DICOM影像5G上传，一是契合急性脑卒中急救时效要求，保障院内医师及时接收影像、按时完成阅片诊断，提前预判病情并做好介入手术筹备；二是兼顾薄层 CT 数据大小与救护车移动网络波动特点，预留 DICOM 通讯握手、数据校验容错时间，保障传输稳定完整；三是形成明确质控节点，便于超时预警与流程考核，避免传输拖沓延误救治。</w:t>
      </w:r>
    </w:p>
    <w:p w:rsidR="005F28D4" w:rsidRDefault="005F28D4" w:rsidP="005F28D4">
      <w:pPr>
        <w:ind w:firstLineChars="200" w:firstLine="640"/>
        <w:rPr>
          <w:rFonts w:ascii="仿宋_GB2312" w:eastAsia="仿宋_GB2312" w:hAnsi="楷体"/>
          <w:bCs/>
          <w:sz w:val="32"/>
          <w:szCs w:val="32"/>
        </w:rPr>
      </w:pPr>
      <w:r w:rsidRPr="005F28D4">
        <w:rPr>
          <w:rFonts w:ascii="仿宋_GB2312" w:eastAsia="仿宋_GB2312" w:hAnsi="楷体" w:hint="eastAsia"/>
          <w:bCs/>
          <w:sz w:val="32"/>
          <w:szCs w:val="32"/>
        </w:rPr>
        <w:t>设定影像接收后10分钟内完成阅片出初步报告，核心是适配急性脑卒中抢救时间窗，快速区分脑出血与脑梗死，判断早期梗死改变及ASPECTS评分，及时判定是否具备溶栓指征；结果回传车载终端便于院前医护同步诊疗方案，一旦检出大血管闭塞，可提前启动介入手术室人员与物资筹备，压缩入院至血管再通耗时。同时明确时限便于卒中中心流程质控，杜绝阅片拖沓延误最佳救治时机。</w:t>
      </w:r>
    </w:p>
    <w:p w:rsidR="005F28D4" w:rsidRDefault="005F28D4" w:rsidP="003A1A68">
      <w:pPr>
        <w:rPr>
          <w:rFonts w:ascii="仿宋_GB2312" w:eastAsia="仿宋_GB2312" w:hAnsi="楷体"/>
          <w:bCs/>
          <w:sz w:val="32"/>
          <w:szCs w:val="32"/>
        </w:rPr>
      </w:pP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lastRenderedPageBreak/>
        <w:t>4.车载POCT检验</w:t>
      </w:r>
    </w:p>
    <w:p w:rsidR="0031796A" w:rsidRPr="00A900D5" w:rsidRDefault="00CC22D1" w:rsidP="0031796A">
      <w:pPr>
        <w:ind w:firstLineChars="200" w:firstLine="640"/>
        <w:rPr>
          <w:rFonts w:ascii="仿宋_GB2312" w:eastAsia="仿宋_GB2312" w:hAnsi="楷体"/>
          <w:bCs/>
          <w:sz w:val="32"/>
          <w:szCs w:val="32"/>
        </w:rPr>
      </w:pPr>
      <w:r w:rsidRPr="00CC22D1">
        <w:rPr>
          <w:rFonts w:ascii="仿宋_GB2312" w:eastAsia="仿宋_GB2312" w:hAnsi="楷体" w:hint="eastAsia"/>
          <w:bCs/>
          <w:sz w:val="32"/>
          <w:szCs w:val="32"/>
        </w:rPr>
        <w:t>依据《“移动卒中单元”中国专家共识2019》《中国急性缺血性脑卒中诊治指南》</w:t>
      </w:r>
      <w:bookmarkStart w:id="22" w:name="OLE_LINK51"/>
      <w:r>
        <w:rPr>
          <w:rFonts w:ascii="仿宋_GB2312" w:eastAsia="仿宋_GB2312" w:hAnsi="楷体" w:hint="eastAsia"/>
          <w:bCs/>
          <w:sz w:val="32"/>
          <w:szCs w:val="32"/>
        </w:rPr>
        <w:t>《</w:t>
      </w:r>
      <w:r w:rsidRPr="00CC22D1">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bookmarkEnd w:id="22"/>
      <w:r w:rsidR="0031796A" w:rsidRPr="0031796A">
        <w:rPr>
          <w:rFonts w:ascii="仿宋_GB2312" w:eastAsia="仿宋_GB2312" w:hAnsi="楷体" w:hint="eastAsia"/>
          <w:bCs/>
          <w:sz w:val="32"/>
          <w:szCs w:val="32"/>
        </w:rPr>
        <w:t>及起草单位实际经验来确定</w:t>
      </w:r>
      <w:r>
        <w:rPr>
          <w:rFonts w:ascii="仿宋_GB2312" w:eastAsia="仿宋_GB2312" w:hAnsi="楷体" w:hint="eastAsia"/>
          <w:bCs/>
          <w:sz w:val="32"/>
          <w:szCs w:val="32"/>
        </w:rPr>
        <w:t>，</w:t>
      </w:r>
      <w:r w:rsidR="00A900D5" w:rsidRPr="00A900D5">
        <w:rPr>
          <w:rFonts w:ascii="仿宋_GB2312" w:eastAsia="仿宋_GB2312" w:hAnsi="楷体" w:hint="eastAsia"/>
          <w:bCs/>
          <w:sz w:val="32"/>
          <w:szCs w:val="32"/>
        </w:rPr>
        <w:t>急性脑卒中救治时效性极强，院前开展POCT快速检测，血常规用于排查溶栓出血禁忌、快速评估基础病情；血糖鉴别低血糖类卒中模拟病、规避极端血糖损伤；凝血、炎症、电解质可选辅助判断用药风险；限定10分钟出具必查结果，可在患者入院前明确溶栓禁忌症，缩短入院处置耗时，同时规范采血量与抗凝方式保障检测结果准确。</w:t>
      </w:r>
      <w:bookmarkStart w:id="23" w:name="OLE_LINK55"/>
      <w:r w:rsidR="00A900D5">
        <w:rPr>
          <w:rFonts w:ascii="仿宋_GB2312" w:eastAsia="仿宋_GB2312" w:hAnsi="楷体" w:hint="eastAsia"/>
          <w:bCs/>
          <w:sz w:val="32"/>
          <w:szCs w:val="32"/>
        </w:rPr>
        <w:t>《</w:t>
      </w:r>
      <w:r w:rsidR="00A900D5" w:rsidRPr="00CC22D1">
        <w:rPr>
          <w:rFonts w:ascii="仿宋_GB2312" w:eastAsia="仿宋_GB2312" w:hAnsi="楷体" w:hint="eastAsia"/>
          <w:bCs/>
          <w:sz w:val="32"/>
          <w:szCs w:val="32"/>
        </w:rPr>
        <w:t>中国脑卒中防治指导规范</w:t>
      </w:r>
      <w:r w:rsidR="00A900D5" w:rsidRPr="00A900D5">
        <w:rPr>
          <w:rFonts w:ascii="仿宋_GB2312" w:eastAsia="仿宋_GB2312" w:hAnsi="楷体" w:hint="eastAsia"/>
          <w:bCs/>
          <w:sz w:val="32"/>
          <w:szCs w:val="32"/>
        </w:rPr>
        <w:t>（2021》</w:t>
      </w:r>
      <w:bookmarkEnd w:id="23"/>
      <w:r w:rsidR="00A900D5" w:rsidRPr="00A900D5">
        <w:rPr>
          <w:rFonts w:ascii="仿宋_GB2312" w:eastAsia="仿宋_GB2312" w:hAnsi="楷体" w:hint="eastAsia"/>
          <w:bCs/>
          <w:sz w:val="32"/>
          <w:szCs w:val="32"/>
        </w:rPr>
        <w:t>规定血糖＜2.8 mmol/L或＞22.2 mmol/L</w:t>
      </w:r>
      <w:r w:rsidR="00A900D5">
        <w:rPr>
          <w:rFonts w:ascii="仿宋_GB2312" w:eastAsia="仿宋_GB2312" w:hAnsi="楷体" w:hint="eastAsia"/>
          <w:bCs/>
          <w:sz w:val="32"/>
          <w:szCs w:val="32"/>
        </w:rPr>
        <w:t>为溶栓的禁忌证，因此当</w:t>
      </w:r>
      <w:r w:rsidR="00A900D5" w:rsidRPr="00A900D5">
        <w:rPr>
          <w:rFonts w:ascii="仿宋_GB2312" w:eastAsia="仿宋_GB2312" w:hAnsi="楷体" w:hint="eastAsia"/>
          <w:bCs/>
          <w:sz w:val="32"/>
          <w:szCs w:val="32"/>
        </w:rPr>
        <w:t>＜2.8 mmol/L或＞22.2 mmol/L</w:t>
      </w:r>
      <w:r w:rsidR="00A900D5">
        <w:rPr>
          <w:rFonts w:ascii="仿宋_GB2312" w:eastAsia="仿宋_GB2312" w:hAnsi="楷体" w:hint="eastAsia"/>
          <w:bCs/>
          <w:sz w:val="32"/>
          <w:szCs w:val="32"/>
        </w:rPr>
        <w:t>时应</w:t>
      </w:r>
      <w:r w:rsidR="00A900D5" w:rsidRPr="00A900D5">
        <w:rPr>
          <w:rFonts w:ascii="仿宋_GB2312" w:eastAsia="仿宋_GB2312" w:hAnsi="楷体" w:hint="eastAsia"/>
          <w:bCs/>
          <w:sz w:val="32"/>
          <w:szCs w:val="32"/>
        </w:rPr>
        <w:t>触发报警</w:t>
      </w:r>
      <w:r w:rsidR="00A900D5">
        <w:rPr>
          <w:rFonts w:ascii="仿宋_GB2312" w:eastAsia="仿宋_GB2312" w:hAnsi="楷体" w:hint="eastAsia"/>
          <w:bCs/>
          <w:sz w:val="32"/>
          <w:szCs w:val="32"/>
        </w:rPr>
        <w:t>。</w:t>
      </w:r>
    </w:p>
    <w:p w:rsidR="0031796A" w:rsidRDefault="0031796A" w:rsidP="00CC22D1">
      <w:pPr>
        <w:rPr>
          <w:rFonts w:ascii="仿宋_GB2312" w:eastAsia="仿宋_GB2312" w:hAnsi="楷体"/>
          <w:bCs/>
          <w:sz w:val="32"/>
          <w:szCs w:val="32"/>
        </w:rPr>
      </w:pPr>
    </w:p>
    <w:p w:rsidR="00CC22D1" w:rsidRDefault="00CC22D1" w:rsidP="00CC22D1">
      <w:pPr>
        <w:rPr>
          <w:rFonts w:ascii="仿宋_GB2312" w:eastAsia="仿宋_GB2312" w:hAnsi="楷体"/>
          <w:bCs/>
          <w:sz w:val="32"/>
          <w:szCs w:val="32"/>
        </w:rPr>
      </w:pPr>
      <w:r>
        <w:rPr>
          <w:noProof/>
        </w:rPr>
        <w:drawing>
          <wp:inline distT="0" distB="0" distL="0" distR="0" wp14:anchorId="230AAA24" wp14:editId="277E61D0">
            <wp:extent cx="5274310" cy="209550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095500"/>
                    </a:xfrm>
                    <a:prstGeom prst="rect">
                      <a:avLst/>
                    </a:prstGeom>
                  </pic:spPr>
                </pic:pic>
              </a:graphicData>
            </a:graphic>
          </wp:inline>
        </w:drawing>
      </w:r>
    </w:p>
    <w:p w:rsidR="00CC22D1" w:rsidRPr="0031796A" w:rsidRDefault="00A900D5" w:rsidP="00CC22D1">
      <w:pPr>
        <w:jc w:val="center"/>
        <w:rPr>
          <w:rFonts w:ascii="仿宋_GB2312" w:eastAsia="仿宋_GB2312" w:hAnsi="楷体"/>
          <w:bCs/>
          <w:sz w:val="32"/>
          <w:szCs w:val="32"/>
        </w:rPr>
      </w:pPr>
      <w:r>
        <w:rPr>
          <w:rFonts w:ascii="仿宋_GB2312" w:eastAsia="仿宋_GB2312" w:hAnsi="楷体" w:hint="eastAsia"/>
          <w:bCs/>
          <w:sz w:val="32"/>
          <w:szCs w:val="32"/>
        </w:rPr>
        <w:t>来源：《</w:t>
      </w:r>
      <w:r w:rsidRPr="00CC22D1">
        <w:rPr>
          <w:rFonts w:ascii="仿宋_GB2312" w:eastAsia="仿宋_GB2312" w:hAnsi="楷体" w:hint="eastAsia"/>
          <w:bCs/>
          <w:sz w:val="32"/>
          <w:szCs w:val="32"/>
        </w:rPr>
        <w:t>中国脑卒中防治指导规范</w:t>
      </w:r>
      <w:r w:rsidRPr="00A900D5">
        <w:rPr>
          <w:rFonts w:ascii="仿宋_GB2312" w:eastAsia="仿宋_GB2312" w:hAnsi="楷体" w:hint="eastAsia"/>
          <w:bCs/>
          <w:sz w:val="32"/>
          <w:szCs w:val="32"/>
        </w:rPr>
        <w:t>（2021》</w:t>
      </w: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5.远程会诊与治疗决策</w:t>
      </w:r>
    </w:p>
    <w:p w:rsidR="000908DF" w:rsidRPr="00256D78" w:rsidRDefault="000908DF"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（1）远程会诊</w:t>
      </w:r>
    </w:p>
    <w:p w:rsidR="000908DF"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w:t>
      </w:r>
      <w:r w:rsidR="009A5434" w:rsidRPr="009A5434">
        <w:rPr>
          <w:rFonts w:ascii="仿宋_GB2312" w:eastAsia="仿宋_GB2312" w:hAnsi="楷体" w:hint="eastAsia"/>
          <w:bCs/>
          <w:sz w:val="32"/>
          <w:szCs w:val="32"/>
        </w:rPr>
        <w:t>《中国急性缺血性卒中诊治指南2023》《中国卒中</w:t>
      </w:r>
      <w:r w:rsidR="009A5434" w:rsidRPr="009A5434">
        <w:rPr>
          <w:rFonts w:ascii="仿宋_GB2312" w:eastAsia="仿宋_GB2312" w:hAnsi="楷体" w:hint="eastAsia"/>
          <w:bCs/>
          <w:sz w:val="32"/>
          <w:szCs w:val="32"/>
        </w:rPr>
        <w:lastRenderedPageBreak/>
        <w:t>学会急性缺血性卒中再灌注治疗指南2024》《移动卒中单元建设与运行专家共识》</w:t>
      </w:r>
      <w:r w:rsidRPr="0031796A">
        <w:rPr>
          <w:rFonts w:ascii="仿宋_GB2312" w:eastAsia="仿宋_GB2312" w:hAnsi="楷体" w:hint="eastAsia"/>
          <w:bCs/>
          <w:sz w:val="32"/>
          <w:szCs w:val="32"/>
        </w:rPr>
        <w:t>及起草单位实际经验来确定。</w:t>
      </w:r>
      <w:r w:rsidR="000908DF" w:rsidRPr="000908DF">
        <w:rPr>
          <w:rFonts w:ascii="仿宋_GB2312" w:eastAsia="仿宋_GB2312" w:hAnsi="楷体" w:hint="eastAsia"/>
          <w:bCs/>
          <w:sz w:val="32"/>
          <w:szCs w:val="32"/>
        </w:rPr>
        <w:t>救护车处于移动状态，5G 可保障移动场景下低延迟、稳定音视频传输；双方实时同步患者意识、肢体活动、生命体征，文字、图片无法直观动态评估病情，便于院内专家实时查体式判断。</w:t>
      </w:r>
    </w:p>
    <w:p w:rsidR="000908DF" w:rsidRPr="000908DF" w:rsidRDefault="000908DF" w:rsidP="000908DF">
      <w:pPr>
        <w:ind w:firstLineChars="200" w:firstLine="640"/>
        <w:rPr>
          <w:rFonts w:ascii="仿宋_GB2312" w:eastAsia="仿宋_GB2312" w:hAnsi="楷体"/>
          <w:bCs/>
          <w:sz w:val="32"/>
          <w:szCs w:val="32"/>
        </w:rPr>
      </w:pPr>
      <w:r w:rsidRPr="000908DF">
        <w:rPr>
          <w:rFonts w:ascii="仿宋_GB2312" w:eastAsia="仿宋_GB2312" w:hAnsi="楷体" w:hint="eastAsia"/>
          <w:bCs/>
          <w:sz w:val="32"/>
          <w:szCs w:val="32"/>
        </w:rPr>
        <w:t>会诊启动前置三项条件</w:t>
      </w:r>
      <w:r>
        <w:rPr>
          <w:rFonts w:ascii="仿宋_GB2312" w:eastAsia="仿宋_GB2312" w:hAnsi="楷体" w:hint="eastAsia"/>
          <w:bCs/>
          <w:sz w:val="32"/>
          <w:szCs w:val="32"/>
        </w:rPr>
        <w:t>主要有以下目的：</w:t>
      </w:r>
    </w:p>
    <w:p w:rsidR="000908DF" w:rsidRPr="000908DF" w:rsidRDefault="000908DF" w:rsidP="002A6E60">
      <w:pPr>
        <w:pStyle w:val="aff8"/>
        <w:numPr>
          <w:ilvl w:val="0"/>
          <w:numId w:val="10"/>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CT 影像上传：先排除脑出血，这是溶栓</w:t>
      </w:r>
      <w:proofErr w:type="gramStart"/>
      <w:r w:rsidRPr="000908DF">
        <w:rPr>
          <w:rFonts w:ascii="仿宋_GB2312" w:eastAsia="仿宋_GB2312" w:hAnsi="楷体" w:hint="eastAsia"/>
          <w:bCs/>
          <w:sz w:val="32"/>
          <w:szCs w:val="32"/>
        </w:rPr>
        <w:t>最</w:t>
      </w:r>
      <w:proofErr w:type="gramEnd"/>
      <w:r w:rsidRPr="000908DF">
        <w:rPr>
          <w:rFonts w:ascii="仿宋_GB2312" w:eastAsia="仿宋_GB2312" w:hAnsi="楷体" w:hint="eastAsia"/>
          <w:bCs/>
          <w:sz w:val="32"/>
          <w:szCs w:val="32"/>
        </w:rPr>
        <w:t>首要前提；</w:t>
      </w:r>
    </w:p>
    <w:p w:rsidR="000908DF" w:rsidRPr="000908DF" w:rsidRDefault="000908DF" w:rsidP="002A6E60">
      <w:pPr>
        <w:pStyle w:val="aff8"/>
        <w:numPr>
          <w:ilvl w:val="0"/>
          <w:numId w:val="10"/>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POCT 结果上传：快速明确血小板、血糖等溶栓禁忌指标；</w:t>
      </w:r>
    </w:p>
    <w:p w:rsidR="000908DF" w:rsidRPr="000908DF" w:rsidRDefault="000908DF" w:rsidP="002A6E60">
      <w:pPr>
        <w:pStyle w:val="aff8"/>
        <w:numPr>
          <w:ilvl w:val="0"/>
          <w:numId w:val="10"/>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完成NIHSS 评分+病史采集：明确发病时间、症状轻重、既往病史，用来判断是否在溶栓时间窗、有无既往禁忌。</w:t>
      </w:r>
    </w:p>
    <w:p w:rsidR="000908DF" w:rsidRDefault="000908DF" w:rsidP="0031796A">
      <w:pPr>
        <w:ind w:firstLineChars="200" w:firstLine="640"/>
        <w:rPr>
          <w:rFonts w:ascii="仿宋_GB2312" w:eastAsia="仿宋_GB2312" w:hAnsi="楷体"/>
          <w:bCs/>
          <w:sz w:val="32"/>
          <w:szCs w:val="32"/>
        </w:rPr>
      </w:pPr>
      <w:r>
        <w:rPr>
          <w:rFonts w:ascii="仿宋_GB2312" w:eastAsia="仿宋_GB2312" w:hAnsi="楷体" w:hint="eastAsia"/>
          <w:bCs/>
          <w:sz w:val="32"/>
          <w:szCs w:val="32"/>
        </w:rPr>
        <w:t>因此需</w:t>
      </w:r>
      <w:r w:rsidRPr="000908DF">
        <w:rPr>
          <w:rFonts w:ascii="仿宋_GB2312" w:eastAsia="仿宋_GB2312" w:hAnsi="楷体" w:hint="eastAsia"/>
          <w:bCs/>
          <w:sz w:val="32"/>
          <w:szCs w:val="32"/>
        </w:rPr>
        <w:t>先备齐全部资料再会诊，避免信息不全反复沟通、会诊低效拖沓</w:t>
      </w:r>
      <w:r>
        <w:rPr>
          <w:rFonts w:ascii="仿宋_GB2312" w:eastAsia="仿宋_GB2312" w:hAnsi="楷体" w:hint="eastAsia"/>
          <w:bCs/>
          <w:sz w:val="32"/>
          <w:szCs w:val="32"/>
        </w:rPr>
        <w:t>。</w:t>
      </w:r>
    </w:p>
    <w:p w:rsidR="000908DF" w:rsidRDefault="002A6E60" w:rsidP="000908DF">
      <w:pPr>
        <w:ind w:firstLineChars="200" w:firstLine="640"/>
        <w:rPr>
          <w:rFonts w:ascii="仿宋_GB2312" w:eastAsia="仿宋_GB2312" w:hAnsi="楷体"/>
          <w:bCs/>
          <w:sz w:val="32"/>
          <w:szCs w:val="32"/>
        </w:rPr>
      </w:pPr>
      <w:r w:rsidRPr="009A5434">
        <w:rPr>
          <w:rFonts w:ascii="仿宋_GB2312" w:eastAsia="仿宋_GB2312" w:hAnsi="楷体" w:hint="eastAsia"/>
          <w:bCs/>
          <w:sz w:val="32"/>
          <w:szCs w:val="32"/>
        </w:rPr>
        <w:t>设置5G远程多学科会诊，是为整合影像、检验、神经专科信息，院前快速区分卒中类型、甄别溶栓适应症与禁忌证；</w:t>
      </w:r>
      <w:r w:rsidR="000908DF">
        <w:rPr>
          <w:rFonts w:ascii="仿宋_GB2312" w:eastAsia="仿宋_GB2312" w:hAnsi="楷体" w:hint="eastAsia"/>
          <w:bCs/>
          <w:sz w:val="32"/>
          <w:szCs w:val="32"/>
        </w:rPr>
        <w:t>会诊目的主要有：</w:t>
      </w:r>
    </w:p>
    <w:p w:rsidR="000908DF" w:rsidRPr="000908DF" w:rsidRDefault="000908DF" w:rsidP="002A6E60">
      <w:pPr>
        <w:pStyle w:val="aff8"/>
        <w:numPr>
          <w:ilvl w:val="0"/>
          <w:numId w:val="11"/>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鉴别出血性/缺血性卒中：二者治疗完全相反，脑出血严禁溶栓，脑</w:t>
      </w:r>
      <w:proofErr w:type="gramStart"/>
      <w:r w:rsidRPr="000908DF">
        <w:rPr>
          <w:rFonts w:ascii="仿宋_GB2312" w:eastAsia="仿宋_GB2312" w:hAnsi="楷体" w:hint="eastAsia"/>
          <w:bCs/>
          <w:sz w:val="32"/>
          <w:szCs w:val="32"/>
        </w:rPr>
        <w:t>梗符合指</w:t>
      </w:r>
      <w:proofErr w:type="gramEnd"/>
      <w:r w:rsidRPr="000908DF">
        <w:rPr>
          <w:rFonts w:ascii="仿宋_GB2312" w:eastAsia="仿宋_GB2312" w:hAnsi="楷体" w:hint="eastAsia"/>
          <w:bCs/>
          <w:sz w:val="32"/>
          <w:szCs w:val="32"/>
        </w:rPr>
        <w:t>征才可溶栓，误诊可致死；</w:t>
      </w:r>
    </w:p>
    <w:p w:rsidR="000908DF" w:rsidRPr="000908DF" w:rsidRDefault="000908DF" w:rsidP="002A6E60">
      <w:pPr>
        <w:pStyle w:val="aff8"/>
        <w:numPr>
          <w:ilvl w:val="0"/>
          <w:numId w:val="11"/>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缺血卒中评估溶栓适应证、禁忌证，确定用药方案；</w:t>
      </w:r>
    </w:p>
    <w:p w:rsidR="000908DF" w:rsidRPr="000908DF" w:rsidRDefault="000908DF" w:rsidP="002A6E60">
      <w:pPr>
        <w:pStyle w:val="aff8"/>
        <w:numPr>
          <w:ilvl w:val="0"/>
          <w:numId w:val="11"/>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出血卒中制定降压、止血方案，控制血肿扩大；</w:t>
      </w:r>
    </w:p>
    <w:p w:rsidR="000908DF" w:rsidRPr="000908DF" w:rsidRDefault="000908DF" w:rsidP="002A6E60">
      <w:pPr>
        <w:pStyle w:val="aff8"/>
        <w:numPr>
          <w:ilvl w:val="0"/>
          <w:numId w:val="11"/>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共同确定车上即时用药方案，实现边</w:t>
      </w:r>
      <w:proofErr w:type="gramStart"/>
      <w:r w:rsidRPr="000908DF">
        <w:rPr>
          <w:rFonts w:ascii="仿宋_GB2312" w:eastAsia="仿宋_GB2312" w:hAnsi="楷体" w:hint="eastAsia"/>
          <w:bCs/>
          <w:sz w:val="32"/>
          <w:szCs w:val="32"/>
        </w:rPr>
        <w:t>转运边</w:t>
      </w:r>
      <w:proofErr w:type="gramEnd"/>
      <w:r w:rsidRPr="000908DF">
        <w:rPr>
          <w:rFonts w:ascii="仿宋_GB2312" w:eastAsia="仿宋_GB2312" w:hAnsi="楷体" w:hint="eastAsia"/>
          <w:bCs/>
          <w:sz w:val="32"/>
          <w:szCs w:val="32"/>
        </w:rPr>
        <w:t>治疗，</w:t>
      </w:r>
      <w:r w:rsidRPr="000908DF">
        <w:rPr>
          <w:rFonts w:ascii="仿宋_GB2312" w:eastAsia="仿宋_GB2312" w:hAnsi="楷体" w:hint="eastAsia"/>
          <w:bCs/>
          <w:sz w:val="32"/>
          <w:szCs w:val="32"/>
        </w:rPr>
        <w:lastRenderedPageBreak/>
        <w:t>最大限度抢时间。</w:t>
      </w:r>
    </w:p>
    <w:p w:rsidR="009A5434" w:rsidRPr="00256D78" w:rsidRDefault="000908DF"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（2）溶栓决策</w:t>
      </w:r>
    </w:p>
    <w:p w:rsidR="000908DF" w:rsidRPr="000908DF" w:rsidRDefault="000908DF" w:rsidP="000908DF">
      <w:pPr>
        <w:ind w:firstLineChars="200" w:firstLine="640"/>
        <w:rPr>
          <w:rFonts w:ascii="仿宋_GB2312" w:eastAsia="仿宋_GB2312" w:hAnsi="楷体"/>
          <w:bCs/>
          <w:sz w:val="32"/>
          <w:szCs w:val="32"/>
        </w:rPr>
      </w:pPr>
      <w:r w:rsidRPr="000908DF">
        <w:rPr>
          <w:rFonts w:ascii="仿宋_GB2312" w:eastAsia="仿宋_GB2312" w:hAnsi="楷体" w:hint="eastAsia"/>
          <w:bCs/>
          <w:sz w:val="32"/>
          <w:szCs w:val="32"/>
        </w:rPr>
        <w:t>四条溶栓准入条件意义</w:t>
      </w:r>
      <w:r>
        <w:rPr>
          <w:rFonts w:ascii="仿宋_GB2312" w:eastAsia="仿宋_GB2312" w:hAnsi="楷体" w:hint="eastAsia"/>
          <w:bCs/>
          <w:sz w:val="32"/>
          <w:szCs w:val="32"/>
        </w:rPr>
        <w:t>如下，</w:t>
      </w:r>
      <w:r w:rsidRPr="000908DF">
        <w:rPr>
          <w:rFonts w:ascii="仿宋_GB2312" w:eastAsia="仿宋_GB2312" w:hAnsi="楷体" w:hint="eastAsia"/>
          <w:bCs/>
          <w:sz w:val="32"/>
          <w:szCs w:val="32"/>
        </w:rPr>
        <w:t>四条全部满足才可启动溶栓，保障用药安全。</w:t>
      </w:r>
      <w:r>
        <w:rPr>
          <w:rFonts w:ascii="仿宋_GB2312" w:eastAsia="仿宋_GB2312" w:hAnsi="楷体" w:hint="eastAsia"/>
          <w:bCs/>
          <w:sz w:val="32"/>
          <w:szCs w:val="32"/>
        </w:rPr>
        <w:t>：</w:t>
      </w:r>
    </w:p>
    <w:p w:rsidR="000908DF" w:rsidRPr="000908DF" w:rsidRDefault="000908DF" w:rsidP="002A6E60">
      <w:pPr>
        <w:pStyle w:val="aff8"/>
        <w:numPr>
          <w:ilvl w:val="0"/>
          <w:numId w:val="12"/>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确诊急性缺血性卒中：溶栓只针对脑梗死，其他类似症状疾病不能溶栓；</w:t>
      </w:r>
    </w:p>
    <w:p w:rsidR="000908DF" w:rsidRPr="000908DF" w:rsidRDefault="000908DF" w:rsidP="002A6E60">
      <w:pPr>
        <w:pStyle w:val="aff8"/>
        <w:numPr>
          <w:ilvl w:val="0"/>
          <w:numId w:val="12"/>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CT 排除颅内出血：溶栓药物会加重颅内出血，为绝对前提；</w:t>
      </w:r>
    </w:p>
    <w:p w:rsidR="000908DF" w:rsidRPr="000908DF" w:rsidRDefault="000908DF" w:rsidP="002A6E60">
      <w:pPr>
        <w:pStyle w:val="aff8"/>
        <w:numPr>
          <w:ilvl w:val="0"/>
          <w:numId w:val="12"/>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满足溶栓适应症：发病时长、症状程度符合指南溶栓时间窗；</w:t>
      </w:r>
    </w:p>
    <w:p w:rsidR="000908DF" w:rsidRPr="000908DF" w:rsidRDefault="000908DF" w:rsidP="002A6E60">
      <w:pPr>
        <w:pStyle w:val="aff8"/>
        <w:numPr>
          <w:ilvl w:val="0"/>
          <w:numId w:val="12"/>
        </w:numPr>
        <w:ind w:left="0" w:firstLine="640"/>
        <w:rPr>
          <w:rFonts w:ascii="仿宋_GB2312" w:eastAsia="仿宋_GB2312" w:hAnsi="楷体"/>
          <w:bCs/>
          <w:sz w:val="32"/>
          <w:szCs w:val="32"/>
        </w:rPr>
      </w:pPr>
      <w:r w:rsidRPr="000908DF">
        <w:rPr>
          <w:rFonts w:ascii="仿宋_GB2312" w:eastAsia="仿宋_GB2312" w:hAnsi="楷体" w:hint="eastAsia"/>
          <w:bCs/>
          <w:sz w:val="32"/>
          <w:szCs w:val="32"/>
        </w:rPr>
        <w:t>排除全部溶栓禁忌症：血小板过低、活动性出血、近期手术史等溶栓会引发严重大出血。</w:t>
      </w:r>
    </w:p>
    <w:p w:rsidR="002A6E60" w:rsidRPr="002A6E60" w:rsidRDefault="000908DF" w:rsidP="002A6E60">
      <w:pPr>
        <w:ind w:firstLineChars="200" w:firstLine="640"/>
        <w:rPr>
          <w:rFonts w:ascii="仿宋_GB2312" w:eastAsia="仿宋_GB2312" w:hAnsi="楷体"/>
          <w:bCs/>
          <w:sz w:val="32"/>
          <w:szCs w:val="32"/>
        </w:rPr>
      </w:pPr>
      <w:r w:rsidRPr="000908DF">
        <w:rPr>
          <w:rFonts w:ascii="仿宋_GB2312" w:eastAsia="仿宋_GB2312" w:hAnsi="楷体" w:hint="eastAsia"/>
          <w:bCs/>
          <w:sz w:val="32"/>
          <w:szCs w:val="32"/>
        </w:rPr>
        <w:t xml:space="preserve">《中国急性缺血性脑卒中诊治指南》《移动卒中单元建设与运行专家共识》均要求压缩影像评估至溶栓决策时长，10 </w:t>
      </w:r>
      <w:proofErr w:type="gramStart"/>
      <w:r w:rsidRPr="000908DF">
        <w:rPr>
          <w:rFonts w:ascii="仿宋_GB2312" w:eastAsia="仿宋_GB2312" w:hAnsi="楷体" w:hint="eastAsia"/>
          <w:bCs/>
          <w:sz w:val="32"/>
          <w:szCs w:val="32"/>
        </w:rPr>
        <w:t>分钟是</w:t>
      </w:r>
      <w:proofErr w:type="gramEnd"/>
      <w:r w:rsidRPr="000908DF">
        <w:rPr>
          <w:rFonts w:ascii="仿宋_GB2312" w:eastAsia="仿宋_GB2312" w:hAnsi="楷体" w:hint="eastAsia"/>
          <w:bCs/>
          <w:sz w:val="32"/>
          <w:szCs w:val="32"/>
        </w:rPr>
        <w:t>兼顾严谨</w:t>
      </w:r>
      <w:proofErr w:type="gramStart"/>
      <w:r w:rsidRPr="000908DF">
        <w:rPr>
          <w:rFonts w:ascii="仿宋_GB2312" w:eastAsia="仿宋_GB2312" w:hAnsi="楷体" w:hint="eastAsia"/>
          <w:bCs/>
          <w:sz w:val="32"/>
          <w:szCs w:val="32"/>
        </w:rPr>
        <w:t>研</w:t>
      </w:r>
      <w:proofErr w:type="gramEnd"/>
      <w:r w:rsidRPr="000908DF">
        <w:rPr>
          <w:rFonts w:ascii="仿宋_GB2312" w:eastAsia="仿宋_GB2312" w:hAnsi="楷体" w:hint="eastAsia"/>
          <w:bCs/>
          <w:sz w:val="32"/>
          <w:szCs w:val="32"/>
        </w:rPr>
        <w:t>判、多学科沟通、风险核对的合理上限，既不仓促误判，又满足急救提速要求</w:t>
      </w:r>
      <w:bookmarkStart w:id="24" w:name="OLE_LINK58"/>
      <w:r w:rsidR="002A6E60">
        <w:rPr>
          <w:rFonts w:ascii="仿宋_GB2312" w:eastAsia="仿宋_GB2312" w:hAnsi="楷体" w:hint="eastAsia"/>
          <w:bCs/>
          <w:sz w:val="32"/>
          <w:szCs w:val="32"/>
        </w:rPr>
        <w:t>，</w:t>
      </w:r>
      <w:r w:rsidR="002A6E60" w:rsidRPr="002A6E60">
        <w:rPr>
          <w:rFonts w:ascii="仿宋_GB2312" w:eastAsia="仿宋_GB2312" w:hAnsi="楷体" w:hint="eastAsia"/>
          <w:bCs/>
          <w:sz w:val="32"/>
          <w:szCs w:val="32"/>
        </w:rPr>
        <w:t>限时CT完成至溶栓决策≤10分钟，可压缩评估等待时长，尽早明确溶栓可否、启动用药干预，缩短整体救治耗时，同时作为卒中</w:t>
      </w:r>
      <w:proofErr w:type="gramStart"/>
      <w:r w:rsidR="002A6E60" w:rsidRPr="002A6E60">
        <w:rPr>
          <w:rFonts w:ascii="仿宋_GB2312" w:eastAsia="仿宋_GB2312" w:hAnsi="楷体" w:hint="eastAsia"/>
          <w:bCs/>
          <w:sz w:val="32"/>
          <w:szCs w:val="32"/>
        </w:rPr>
        <w:t>中</w:t>
      </w:r>
      <w:proofErr w:type="gramEnd"/>
      <w:r w:rsidR="002A6E60" w:rsidRPr="002A6E60">
        <w:rPr>
          <w:rFonts w:ascii="仿宋_GB2312" w:eastAsia="仿宋_GB2312" w:hAnsi="楷体" w:hint="eastAsia"/>
          <w:bCs/>
          <w:sz w:val="32"/>
          <w:szCs w:val="32"/>
        </w:rPr>
        <w:t>心硬性质控节点，避免决策拖延错失溶栓时间窗。</w:t>
      </w:r>
      <w:bookmarkEnd w:id="24"/>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6.车载静脉溶栓治疗</w:t>
      </w:r>
    </w:p>
    <w:p w:rsidR="0031796A" w:rsidRPr="0031796A"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依据《中国急性缺血性脑卒中静脉溶栓指导规范》《中国5G移动卒中单元院前诊疗管理指南》</w:t>
      </w:r>
      <w:bookmarkStart w:id="25" w:name="OLE_LINK1"/>
      <w:r w:rsidR="009069BB">
        <w:rPr>
          <w:rFonts w:ascii="仿宋_GB2312" w:eastAsia="仿宋_GB2312" w:hAnsi="楷体" w:hint="eastAsia"/>
          <w:bCs/>
          <w:sz w:val="32"/>
          <w:szCs w:val="32"/>
        </w:rPr>
        <w:t>《</w:t>
      </w:r>
      <w:r w:rsidR="009069BB" w:rsidRPr="009069BB">
        <w:rPr>
          <w:rFonts w:ascii="仿宋_GB2312" w:eastAsia="仿宋_GB2312" w:hAnsi="楷体" w:hint="eastAsia"/>
          <w:bCs/>
          <w:sz w:val="32"/>
          <w:szCs w:val="32"/>
        </w:rPr>
        <w:t>中国脑卒中防治指</w:t>
      </w:r>
      <w:r w:rsidR="009069BB" w:rsidRPr="009069BB">
        <w:rPr>
          <w:rFonts w:ascii="仿宋_GB2312" w:eastAsia="仿宋_GB2312" w:hAnsi="楷体" w:hint="eastAsia"/>
          <w:bCs/>
          <w:sz w:val="32"/>
          <w:szCs w:val="32"/>
        </w:rPr>
        <w:lastRenderedPageBreak/>
        <w:t>导规范（2021</w:t>
      </w:r>
      <w:r w:rsidR="009069BB">
        <w:rPr>
          <w:rFonts w:ascii="仿宋_GB2312" w:eastAsia="仿宋_GB2312" w:hAnsi="楷体" w:hint="eastAsia"/>
          <w:bCs/>
          <w:sz w:val="32"/>
          <w:szCs w:val="32"/>
        </w:rPr>
        <w:t>）》</w:t>
      </w:r>
      <w:bookmarkEnd w:id="25"/>
      <w:r w:rsidRPr="0031796A">
        <w:rPr>
          <w:rFonts w:ascii="仿宋_GB2312" w:eastAsia="仿宋_GB2312" w:hAnsi="楷体" w:hint="eastAsia"/>
          <w:bCs/>
          <w:sz w:val="32"/>
          <w:szCs w:val="32"/>
        </w:rPr>
        <w:t>及起草单位实际经验来确定。</w:t>
      </w:r>
      <w:r w:rsidR="009069BB" w:rsidRPr="009069BB">
        <w:rPr>
          <w:rFonts w:ascii="仿宋_GB2312" w:eastAsia="仿宋_GB2312" w:hAnsi="楷体" w:hint="eastAsia"/>
          <w:bCs/>
          <w:sz w:val="32"/>
          <w:szCs w:val="32"/>
        </w:rPr>
        <w:t>溶栓风险高需告知签字；无家属无意识时由总值班远程授权先行溶栓，入院后补签，兼顾急救与合</w:t>
      </w:r>
      <w:proofErr w:type="gramStart"/>
      <w:r w:rsidR="009069BB" w:rsidRPr="009069BB">
        <w:rPr>
          <w:rFonts w:ascii="仿宋_GB2312" w:eastAsia="仿宋_GB2312" w:hAnsi="楷体" w:hint="eastAsia"/>
          <w:bCs/>
          <w:sz w:val="32"/>
          <w:szCs w:val="32"/>
        </w:rPr>
        <w:t>规</w:t>
      </w:r>
      <w:proofErr w:type="gramEnd"/>
      <w:r w:rsidR="009069BB">
        <w:rPr>
          <w:rFonts w:ascii="仿宋_GB2312" w:eastAsia="仿宋_GB2312" w:hAnsi="楷体" w:hint="eastAsia"/>
          <w:bCs/>
          <w:sz w:val="32"/>
          <w:szCs w:val="32"/>
        </w:rPr>
        <w:t>，</w:t>
      </w:r>
      <w:r w:rsidR="009069BB" w:rsidRPr="009069BB">
        <w:rPr>
          <w:rFonts w:ascii="仿宋_GB2312" w:eastAsia="仿宋_GB2312" w:hAnsi="楷体" w:hint="eastAsia"/>
          <w:bCs/>
          <w:sz w:val="32"/>
          <w:szCs w:val="32"/>
        </w:rPr>
        <w:t>记录溶栓起始时间，每 15 分钟评估卒中 NIHSS 评分，动态判断病情好坏，提前对接院内救治，便于病历与质控溯源。</w:t>
      </w:r>
    </w:p>
    <w:p w:rsidR="0031796A" w:rsidRDefault="009069BB" w:rsidP="009069BB">
      <w:pPr>
        <w:jc w:val="center"/>
        <w:rPr>
          <w:rFonts w:ascii="仿宋_GB2312" w:eastAsia="仿宋_GB2312" w:hAnsi="楷体"/>
          <w:bCs/>
          <w:sz w:val="32"/>
          <w:szCs w:val="32"/>
        </w:rPr>
      </w:pPr>
      <w:r>
        <w:rPr>
          <w:noProof/>
        </w:rPr>
        <w:drawing>
          <wp:inline distT="0" distB="0" distL="0" distR="0" wp14:anchorId="10D94484" wp14:editId="51F05E80">
            <wp:extent cx="3752381" cy="2466667"/>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52381" cy="2466667"/>
                    </a:xfrm>
                    <a:prstGeom prst="rect">
                      <a:avLst/>
                    </a:prstGeom>
                  </pic:spPr>
                </pic:pic>
              </a:graphicData>
            </a:graphic>
          </wp:inline>
        </w:drawing>
      </w:r>
    </w:p>
    <w:p w:rsidR="009069BB" w:rsidRDefault="009069BB" w:rsidP="009069BB">
      <w:pPr>
        <w:jc w:val="center"/>
        <w:rPr>
          <w:rFonts w:ascii="仿宋_GB2312" w:eastAsia="仿宋_GB2312" w:hAnsi="楷体"/>
          <w:bCs/>
          <w:sz w:val="32"/>
          <w:szCs w:val="32"/>
        </w:rPr>
      </w:pPr>
      <w:r>
        <w:rPr>
          <w:rFonts w:ascii="仿宋_GB2312" w:eastAsia="仿宋_GB2312" w:hAnsi="楷体" w:hint="eastAsia"/>
          <w:bCs/>
          <w:sz w:val="32"/>
          <w:szCs w:val="32"/>
        </w:rPr>
        <w:t>来源：</w:t>
      </w:r>
      <w:r w:rsidRPr="0031796A">
        <w:rPr>
          <w:rFonts w:ascii="仿宋_GB2312" w:eastAsia="仿宋_GB2312" w:hAnsi="楷体" w:hint="eastAsia"/>
          <w:bCs/>
          <w:sz w:val="32"/>
          <w:szCs w:val="32"/>
        </w:rPr>
        <w:t>《中国5G移动卒中单元院前诊疗管理指南》</w:t>
      </w:r>
    </w:p>
    <w:p w:rsidR="009069BB" w:rsidRDefault="009069BB" w:rsidP="009069BB">
      <w:pPr>
        <w:jc w:val="center"/>
        <w:rPr>
          <w:rFonts w:ascii="仿宋_GB2312" w:eastAsia="仿宋_GB2312" w:hAnsi="楷体"/>
          <w:bCs/>
          <w:sz w:val="32"/>
          <w:szCs w:val="32"/>
        </w:rPr>
      </w:pPr>
      <w:r>
        <w:rPr>
          <w:noProof/>
        </w:rPr>
        <w:drawing>
          <wp:inline distT="0" distB="0" distL="0" distR="0" wp14:anchorId="2BA98BD1" wp14:editId="7634E2D8">
            <wp:extent cx="5274310" cy="1880870"/>
            <wp:effectExtent l="0" t="0" r="254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880870"/>
                    </a:xfrm>
                    <a:prstGeom prst="rect">
                      <a:avLst/>
                    </a:prstGeom>
                  </pic:spPr>
                </pic:pic>
              </a:graphicData>
            </a:graphic>
          </wp:inline>
        </w:drawing>
      </w:r>
    </w:p>
    <w:p w:rsidR="009069BB" w:rsidRDefault="009069BB" w:rsidP="009069BB">
      <w:pPr>
        <w:jc w:val="center"/>
        <w:rPr>
          <w:rFonts w:ascii="仿宋_GB2312" w:eastAsia="仿宋_GB2312" w:hAnsi="楷体"/>
          <w:bCs/>
          <w:sz w:val="32"/>
          <w:szCs w:val="32"/>
        </w:rPr>
      </w:pPr>
      <w:bookmarkStart w:id="26" w:name="OLE_LINK2"/>
      <w:bookmarkStart w:id="27" w:name="OLE_LINK3"/>
      <w:r>
        <w:rPr>
          <w:rFonts w:ascii="仿宋_GB2312" w:eastAsia="仿宋_GB2312" w:hAnsi="楷体" w:hint="eastAsia"/>
          <w:bCs/>
          <w:sz w:val="32"/>
          <w:szCs w:val="32"/>
        </w:rPr>
        <w:t>来源：《</w:t>
      </w:r>
      <w:r w:rsidRPr="009069BB">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bookmarkEnd w:id="26"/>
      <w:bookmarkEnd w:id="27"/>
    </w:p>
    <w:p w:rsidR="009069BB" w:rsidRDefault="009069BB" w:rsidP="009069BB">
      <w:pPr>
        <w:jc w:val="center"/>
        <w:rPr>
          <w:rFonts w:ascii="仿宋_GB2312" w:eastAsia="仿宋_GB2312" w:hAnsi="楷体"/>
          <w:bCs/>
          <w:sz w:val="32"/>
          <w:szCs w:val="32"/>
        </w:rPr>
      </w:pPr>
      <w:r>
        <w:rPr>
          <w:noProof/>
        </w:rPr>
        <w:lastRenderedPageBreak/>
        <w:drawing>
          <wp:inline distT="0" distB="0" distL="0" distR="0" wp14:anchorId="6C2997F4" wp14:editId="54728A2D">
            <wp:extent cx="5274310" cy="453898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4538980"/>
                    </a:xfrm>
                    <a:prstGeom prst="rect">
                      <a:avLst/>
                    </a:prstGeom>
                  </pic:spPr>
                </pic:pic>
              </a:graphicData>
            </a:graphic>
          </wp:inline>
        </w:drawing>
      </w:r>
    </w:p>
    <w:p w:rsidR="009069BB" w:rsidRDefault="009069BB" w:rsidP="009069BB">
      <w:pPr>
        <w:jc w:val="center"/>
        <w:rPr>
          <w:rFonts w:ascii="仿宋_GB2312" w:eastAsia="仿宋_GB2312" w:hAnsi="楷体"/>
          <w:bCs/>
          <w:sz w:val="32"/>
          <w:szCs w:val="32"/>
        </w:rPr>
      </w:pPr>
      <w:r>
        <w:rPr>
          <w:rFonts w:ascii="仿宋_GB2312" w:eastAsia="仿宋_GB2312" w:hAnsi="楷体" w:hint="eastAsia"/>
          <w:bCs/>
          <w:sz w:val="32"/>
          <w:szCs w:val="32"/>
        </w:rPr>
        <w:t>来源：《</w:t>
      </w:r>
      <w:r w:rsidRPr="009069BB">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p>
    <w:p w:rsidR="009069BB" w:rsidRPr="009069BB" w:rsidRDefault="009069BB" w:rsidP="009069BB">
      <w:pPr>
        <w:jc w:val="center"/>
        <w:rPr>
          <w:rFonts w:ascii="仿宋_GB2312" w:eastAsia="仿宋_GB2312" w:hAnsi="楷体"/>
          <w:bCs/>
          <w:sz w:val="32"/>
          <w:szCs w:val="32"/>
        </w:rPr>
      </w:pP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7.车载脑出血治疗</w:t>
      </w:r>
    </w:p>
    <w:p w:rsidR="003F409D" w:rsidRPr="00256D78" w:rsidRDefault="003F409D"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（1）院前降血压治疗</w:t>
      </w:r>
    </w:p>
    <w:p w:rsidR="0031796A"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依据《中国脑出血诊疗指导规范》</w:t>
      </w:r>
      <w:bookmarkStart w:id="28" w:name="OLE_LINK4"/>
      <w:r w:rsidR="00F452BE" w:rsidRPr="00F452BE">
        <w:rPr>
          <w:rFonts w:ascii="仿宋_GB2312" w:eastAsia="仿宋_GB2312" w:hAnsi="楷体" w:hint="eastAsia"/>
          <w:bCs/>
          <w:sz w:val="32"/>
          <w:szCs w:val="32"/>
        </w:rPr>
        <w:t>《欧洲卒中组织（ESO）2025版急性缺血性卒中和脑出血血压管理指南》</w:t>
      </w:r>
      <w:bookmarkEnd w:id="28"/>
      <w:r w:rsidR="00F452BE" w:rsidRPr="00F452BE">
        <w:rPr>
          <w:rFonts w:ascii="仿宋_GB2312" w:eastAsia="仿宋_GB2312" w:hAnsi="楷体" w:hint="eastAsia"/>
          <w:bCs/>
          <w:sz w:val="32"/>
          <w:szCs w:val="32"/>
        </w:rPr>
        <w:t>《中国卒中患者高血压管理专家共识》（2024）及</w:t>
      </w:r>
      <w:bookmarkStart w:id="29" w:name="OLE_LINK5"/>
      <w:r w:rsidR="00F452BE" w:rsidRPr="00F452BE">
        <w:rPr>
          <w:rFonts w:ascii="仿宋_GB2312" w:eastAsia="仿宋_GB2312" w:hAnsi="楷体" w:hint="eastAsia"/>
          <w:bCs/>
          <w:sz w:val="32"/>
          <w:szCs w:val="32"/>
        </w:rPr>
        <w:t>《中国脑出血诊治指南（2019）》</w:t>
      </w:r>
      <w:bookmarkEnd w:id="29"/>
      <w:r w:rsidR="003F409D">
        <w:rPr>
          <w:rFonts w:ascii="仿宋_GB2312" w:eastAsia="仿宋_GB2312" w:hAnsi="楷体" w:hint="eastAsia"/>
          <w:bCs/>
          <w:sz w:val="32"/>
          <w:szCs w:val="32"/>
        </w:rPr>
        <w:t>等</w:t>
      </w:r>
      <w:r w:rsidRPr="0031796A">
        <w:rPr>
          <w:rFonts w:ascii="仿宋_GB2312" w:eastAsia="仿宋_GB2312" w:hAnsi="楷体" w:hint="eastAsia"/>
          <w:bCs/>
          <w:sz w:val="32"/>
          <w:szCs w:val="32"/>
        </w:rPr>
        <w:t>及起草单位实际经验来确定</w:t>
      </w:r>
      <w:r w:rsidR="003F409D">
        <w:rPr>
          <w:rFonts w:ascii="仿宋_GB2312" w:eastAsia="仿宋_GB2312" w:hAnsi="楷体" w:hint="eastAsia"/>
          <w:bCs/>
          <w:sz w:val="32"/>
          <w:szCs w:val="32"/>
        </w:rPr>
        <w:t>，《欧洲卒中组织（ESO）2025版急性缺血性卒中和脑出血血压管理指南》提出，对与</w:t>
      </w:r>
      <w:r w:rsidR="003F409D" w:rsidRPr="003F409D">
        <w:rPr>
          <w:rFonts w:ascii="仿宋_GB2312" w:eastAsia="仿宋_GB2312" w:hAnsi="楷体" w:hint="eastAsia"/>
          <w:bCs/>
          <w:sz w:val="32"/>
          <w:szCs w:val="32"/>
        </w:rPr>
        <w:t>脑出血</w:t>
      </w:r>
      <w:r w:rsidR="003F409D">
        <w:rPr>
          <w:rFonts w:ascii="仿宋_GB2312" w:eastAsia="仿宋_GB2312" w:hAnsi="楷体" w:hint="eastAsia"/>
          <w:bCs/>
          <w:sz w:val="32"/>
          <w:szCs w:val="32"/>
        </w:rPr>
        <w:t>患者，要</w:t>
      </w:r>
      <w:r w:rsidR="003F409D" w:rsidRPr="003F409D">
        <w:rPr>
          <w:rFonts w:ascii="仿宋_GB2312" w:eastAsia="仿宋_GB2312" w:hAnsi="楷体" w:hint="eastAsia"/>
          <w:bCs/>
          <w:sz w:val="32"/>
          <w:szCs w:val="32"/>
        </w:rPr>
        <w:t>抢抓6小时黄金时间窗</w:t>
      </w:r>
      <w:r w:rsidR="003F409D">
        <w:rPr>
          <w:rFonts w:ascii="仿宋_GB2312" w:eastAsia="仿宋_GB2312" w:hAnsi="楷体" w:hint="eastAsia"/>
          <w:bCs/>
          <w:sz w:val="32"/>
          <w:szCs w:val="32"/>
        </w:rPr>
        <w:t>，</w:t>
      </w:r>
      <w:r w:rsidR="003F409D" w:rsidRPr="003F409D">
        <w:rPr>
          <w:rFonts w:ascii="仿宋_GB2312" w:eastAsia="仿宋_GB2312" w:hAnsi="楷体" w:hint="eastAsia"/>
          <w:bCs/>
          <w:sz w:val="32"/>
          <w:szCs w:val="32"/>
        </w:rPr>
        <w:t>将收缩压稳稳控制在&lt;140 mmHg。乌拉地尔、尼卡地平、拉贝洛尔是</w:t>
      </w:r>
      <w:r w:rsidR="003F409D" w:rsidRPr="003F409D">
        <w:rPr>
          <w:rFonts w:ascii="仿宋_GB2312" w:eastAsia="仿宋_GB2312" w:hAnsi="楷体" w:hint="eastAsia"/>
          <w:bCs/>
          <w:sz w:val="32"/>
          <w:szCs w:val="32"/>
        </w:rPr>
        <w:lastRenderedPageBreak/>
        <w:t>临床常用的静脉用降压药，因其起效快、作用时间短，便于精确调控血压，是急性期强化降压的理想选择</w:t>
      </w:r>
      <w:r w:rsidR="003F409D">
        <w:rPr>
          <w:rFonts w:ascii="仿宋_GB2312" w:eastAsia="仿宋_GB2312" w:hAnsi="楷体" w:hint="eastAsia"/>
          <w:bCs/>
          <w:sz w:val="32"/>
          <w:szCs w:val="32"/>
        </w:rPr>
        <w:t>，</w:t>
      </w:r>
      <w:r w:rsidR="003F409D" w:rsidRPr="003F409D">
        <w:rPr>
          <w:rFonts w:ascii="仿宋_GB2312" w:eastAsia="仿宋_GB2312" w:hAnsi="楷体" w:hint="eastAsia"/>
          <w:bCs/>
          <w:sz w:val="32"/>
          <w:szCs w:val="32"/>
        </w:rPr>
        <w:t>1小时内SBP下降不超过60 mmHg这是为了避免脑灌注压（CPP）急剧下降。过度或过快降压可能导致脑部缺血，尤其对长期高血压、脑血管自动调节功能受损的患者风险更高</w:t>
      </w:r>
      <w:r w:rsidR="003F409D">
        <w:rPr>
          <w:rFonts w:ascii="仿宋_GB2312" w:eastAsia="仿宋_GB2312" w:hAnsi="楷体" w:hint="eastAsia"/>
          <w:bCs/>
          <w:sz w:val="32"/>
          <w:szCs w:val="32"/>
        </w:rPr>
        <w:t>。《中国脑出血诊治指南（2019）》</w:t>
      </w:r>
      <w:r w:rsidR="003F409D" w:rsidRPr="003F409D">
        <w:rPr>
          <w:rFonts w:ascii="仿宋_GB2312" w:eastAsia="仿宋_GB2312" w:hAnsi="楷体" w:hint="eastAsia"/>
          <w:bCs/>
          <w:sz w:val="32"/>
          <w:szCs w:val="32"/>
        </w:rPr>
        <w:t>推荐了降压目标：收缩压在150</w:t>
      </w:r>
      <w:r w:rsidR="003F409D">
        <w:rPr>
          <w:rFonts w:ascii="仿宋_GB2312" w:eastAsia="仿宋_GB2312" w:hAnsi="楷体"/>
          <w:bCs/>
          <w:sz w:val="32"/>
          <w:szCs w:val="32"/>
        </w:rPr>
        <w:t>-</w:t>
      </w:r>
      <w:r w:rsidR="003F409D" w:rsidRPr="003F409D">
        <w:rPr>
          <w:rFonts w:ascii="仿宋_GB2312" w:eastAsia="仿宋_GB2312" w:hAnsi="楷体" w:hint="eastAsia"/>
          <w:bCs/>
          <w:sz w:val="32"/>
          <w:szCs w:val="32"/>
        </w:rPr>
        <w:t>220mmHg的病患，如无急性降压禁忌证，可于数小时内将收缩压降至130</w:t>
      </w:r>
      <w:r w:rsidR="003F409D">
        <w:rPr>
          <w:rFonts w:ascii="仿宋_GB2312" w:eastAsia="仿宋_GB2312" w:hAnsi="楷体"/>
          <w:bCs/>
          <w:sz w:val="32"/>
          <w:szCs w:val="32"/>
        </w:rPr>
        <w:t>-</w:t>
      </w:r>
      <w:r w:rsidR="003F409D" w:rsidRPr="003F409D">
        <w:rPr>
          <w:rFonts w:ascii="仿宋_GB2312" w:eastAsia="仿宋_GB2312" w:hAnsi="楷体" w:hint="eastAsia"/>
          <w:bCs/>
          <w:sz w:val="32"/>
          <w:szCs w:val="32"/>
        </w:rPr>
        <w:t>140 mmHg(Ⅱ级推荐，B级证据)；对于收缩压&gt;220mmHg的病患，可持续静脉药物降压至160mmHg，降压过程需要监测血压，避免降压过度(Ⅱ级推荐，D级证据)。</w:t>
      </w:r>
    </w:p>
    <w:p w:rsidR="003F409D" w:rsidRDefault="003F409D" w:rsidP="0031796A">
      <w:pPr>
        <w:ind w:firstLineChars="200" w:firstLine="640"/>
        <w:rPr>
          <w:rFonts w:ascii="仿宋_GB2312" w:eastAsia="仿宋_GB2312" w:hAnsi="楷体"/>
          <w:bCs/>
          <w:sz w:val="32"/>
          <w:szCs w:val="32"/>
        </w:rPr>
      </w:pPr>
      <w:r w:rsidRPr="003F409D">
        <w:rPr>
          <w:rFonts w:ascii="仿宋_GB2312" w:eastAsia="仿宋_GB2312" w:hAnsi="楷体" w:hint="eastAsia"/>
          <w:bCs/>
          <w:sz w:val="32"/>
          <w:szCs w:val="32"/>
        </w:rPr>
        <w:t>对于存在意识障碍、大量血肿、中线移位等严重</w:t>
      </w:r>
      <w:proofErr w:type="gramStart"/>
      <w:r w:rsidRPr="003F409D">
        <w:rPr>
          <w:rFonts w:ascii="仿宋_GB2312" w:eastAsia="仿宋_GB2312" w:hAnsi="楷体" w:hint="eastAsia"/>
          <w:bCs/>
          <w:sz w:val="32"/>
          <w:szCs w:val="32"/>
        </w:rPr>
        <w:t>颅</w:t>
      </w:r>
      <w:proofErr w:type="gramEnd"/>
      <w:r w:rsidRPr="003F409D">
        <w:rPr>
          <w:rFonts w:ascii="仿宋_GB2312" w:eastAsia="仿宋_GB2312" w:hAnsi="楷体" w:hint="eastAsia"/>
          <w:bCs/>
          <w:sz w:val="32"/>
          <w:szCs w:val="32"/>
        </w:rPr>
        <w:t>高压表现的患者，或合并双侧颈内动脉重度狭窄、心功能差、休克倾向的患者，其脑组织对血压的依赖更强，维持相对较高的血压是保证脑组织血流供应的必要措施</w:t>
      </w:r>
      <w:r>
        <w:rPr>
          <w:rFonts w:ascii="仿宋_GB2312" w:eastAsia="仿宋_GB2312" w:hAnsi="楷体" w:hint="eastAsia"/>
          <w:bCs/>
          <w:sz w:val="32"/>
          <w:szCs w:val="32"/>
        </w:rPr>
        <w:t>，</w:t>
      </w:r>
      <w:r w:rsidRPr="003F409D">
        <w:rPr>
          <w:rFonts w:ascii="仿宋_GB2312" w:eastAsia="仿宋_GB2312" w:hAnsi="楷体" w:hint="eastAsia"/>
          <w:bCs/>
          <w:sz w:val="32"/>
          <w:szCs w:val="32"/>
        </w:rPr>
        <w:t>维持SBP在140-160 mmHg：这是为了保护脑灌注压（CPP）</w:t>
      </w:r>
      <w:r>
        <w:rPr>
          <w:rFonts w:ascii="仿宋_GB2312" w:eastAsia="仿宋_GB2312" w:hAnsi="楷体" w:hint="eastAsia"/>
          <w:bCs/>
          <w:sz w:val="32"/>
          <w:szCs w:val="32"/>
        </w:rPr>
        <w:t>。</w:t>
      </w:r>
    </w:p>
    <w:p w:rsidR="003F409D" w:rsidRPr="00256D78" w:rsidRDefault="003F409D"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（2）院前止血治疗</w:t>
      </w:r>
    </w:p>
    <w:p w:rsidR="003F409D" w:rsidRDefault="003F409D" w:rsidP="0031796A">
      <w:pPr>
        <w:ind w:firstLineChars="200" w:firstLine="640"/>
        <w:rPr>
          <w:rFonts w:ascii="仿宋_GB2312" w:eastAsia="仿宋_GB2312" w:hAnsi="楷体"/>
          <w:bCs/>
          <w:sz w:val="32"/>
          <w:szCs w:val="32"/>
        </w:rPr>
      </w:pPr>
      <w:bookmarkStart w:id="30" w:name="OLE_LINK6"/>
      <w:bookmarkStart w:id="31" w:name="OLE_LINK7"/>
      <w:r w:rsidRPr="003F409D">
        <w:rPr>
          <w:rFonts w:ascii="仿宋_GB2312" w:eastAsia="仿宋_GB2312" w:hAnsi="楷体" w:hint="eastAsia"/>
          <w:bCs/>
          <w:sz w:val="32"/>
          <w:szCs w:val="32"/>
        </w:rPr>
        <w:t>《中国脑出血诊治指南（2019）》</w:t>
      </w:r>
      <w:bookmarkEnd w:id="30"/>
      <w:bookmarkEnd w:id="31"/>
      <w:r w:rsidRPr="003F409D">
        <w:rPr>
          <w:rFonts w:ascii="仿宋_GB2312" w:eastAsia="仿宋_GB2312" w:hAnsi="楷体" w:hint="eastAsia"/>
          <w:bCs/>
          <w:sz w:val="32"/>
          <w:szCs w:val="32"/>
        </w:rPr>
        <w:t>指出，</w:t>
      </w:r>
      <w:proofErr w:type="gramStart"/>
      <w:r w:rsidRPr="003F409D">
        <w:rPr>
          <w:rFonts w:ascii="仿宋_GB2312" w:eastAsia="仿宋_GB2312" w:hAnsi="楷体" w:hint="eastAsia"/>
          <w:bCs/>
          <w:sz w:val="32"/>
          <w:szCs w:val="32"/>
        </w:rPr>
        <w:t>氨甲环酸</w:t>
      </w:r>
      <w:proofErr w:type="gramEnd"/>
      <w:r w:rsidRPr="003F409D">
        <w:rPr>
          <w:rFonts w:ascii="仿宋_GB2312" w:eastAsia="仿宋_GB2312" w:hAnsi="楷体" w:hint="eastAsia"/>
          <w:bCs/>
          <w:sz w:val="32"/>
          <w:szCs w:val="32"/>
        </w:rPr>
        <w:t>能限制血肿体积扩大、降低患者早期病死率。其理论依据在于，作为一种抗</w:t>
      </w:r>
      <w:proofErr w:type="gramStart"/>
      <w:r w:rsidRPr="003F409D">
        <w:rPr>
          <w:rFonts w:ascii="仿宋_GB2312" w:eastAsia="仿宋_GB2312" w:hAnsi="楷体" w:hint="eastAsia"/>
          <w:bCs/>
          <w:sz w:val="32"/>
          <w:szCs w:val="32"/>
        </w:rPr>
        <w:t>纤</w:t>
      </w:r>
      <w:proofErr w:type="gramEnd"/>
      <w:r w:rsidRPr="003F409D">
        <w:rPr>
          <w:rFonts w:ascii="仿宋_GB2312" w:eastAsia="仿宋_GB2312" w:hAnsi="楷体" w:hint="eastAsia"/>
          <w:bCs/>
          <w:sz w:val="32"/>
          <w:szCs w:val="32"/>
        </w:rPr>
        <w:t>溶药物，氨</w:t>
      </w:r>
      <w:proofErr w:type="gramStart"/>
      <w:r w:rsidRPr="003F409D">
        <w:rPr>
          <w:rFonts w:ascii="仿宋_GB2312" w:eastAsia="仿宋_GB2312" w:hAnsi="楷体" w:hint="eastAsia"/>
          <w:bCs/>
          <w:sz w:val="32"/>
          <w:szCs w:val="32"/>
        </w:rPr>
        <w:t>甲环酸通过</w:t>
      </w:r>
      <w:proofErr w:type="gramEnd"/>
      <w:r w:rsidRPr="003F409D">
        <w:rPr>
          <w:rFonts w:ascii="仿宋_GB2312" w:eastAsia="仿宋_GB2312" w:hAnsi="楷体" w:hint="eastAsia"/>
          <w:bCs/>
          <w:sz w:val="32"/>
          <w:szCs w:val="32"/>
        </w:rPr>
        <w:t>抑制血凝块的溶解来帮助稳定血肿，防止其进一步扩大</w:t>
      </w:r>
      <w:r>
        <w:rPr>
          <w:rFonts w:ascii="仿宋_GB2312" w:eastAsia="仿宋_GB2312" w:hAnsi="楷体" w:hint="eastAsia"/>
          <w:bCs/>
          <w:sz w:val="32"/>
          <w:szCs w:val="32"/>
        </w:rPr>
        <w:t>。</w:t>
      </w:r>
    </w:p>
    <w:p w:rsidR="003F409D" w:rsidRDefault="003F409D" w:rsidP="003F409D">
      <w:pPr>
        <w:jc w:val="center"/>
        <w:rPr>
          <w:rFonts w:ascii="仿宋_GB2312" w:eastAsia="仿宋_GB2312" w:hAnsi="楷体"/>
          <w:bCs/>
          <w:sz w:val="32"/>
          <w:szCs w:val="32"/>
        </w:rPr>
      </w:pPr>
      <w:r>
        <w:rPr>
          <w:noProof/>
        </w:rPr>
        <w:lastRenderedPageBreak/>
        <w:drawing>
          <wp:inline distT="0" distB="0" distL="0" distR="0" wp14:anchorId="13C503FA" wp14:editId="22E16464">
            <wp:extent cx="4028571" cy="456190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28571" cy="4561905"/>
                    </a:xfrm>
                    <a:prstGeom prst="rect">
                      <a:avLst/>
                    </a:prstGeom>
                  </pic:spPr>
                </pic:pic>
              </a:graphicData>
            </a:graphic>
          </wp:inline>
        </w:drawing>
      </w:r>
    </w:p>
    <w:p w:rsidR="003F409D" w:rsidRPr="0031796A" w:rsidRDefault="003F409D" w:rsidP="003F409D">
      <w:pPr>
        <w:jc w:val="center"/>
        <w:rPr>
          <w:rFonts w:ascii="仿宋_GB2312" w:eastAsia="仿宋_GB2312" w:hAnsi="楷体"/>
          <w:bCs/>
          <w:sz w:val="32"/>
          <w:szCs w:val="32"/>
        </w:rPr>
      </w:pPr>
      <w:r>
        <w:rPr>
          <w:rFonts w:ascii="仿宋_GB2312" w:eastAsia="仿宋_GB2312" w:hAnsi="楷体" w:hint="eastAsia"/>
          <w:bCs/>
          <w:sz w:val="32"/>
          <w:szCs w:val="32"/>
        </w:rPr>
        <w:t>来源：</w:t>
      </w:r>
      <w:r w:rsidRPr="003F409D">
        <w:rPr>
          <w:rFonts w:ascii="仿宋_GB2312" w:eastAsia="仿宋_GB2312" w:hAnsi="楷体" w:hint="eastAsia"/>
          <w:bCs/>
          <w:sz w:val="32"/>
          <w:szCs w:val="32"/>
        </w:rPr>
        <w:t>《中国脑出血诊治指南（2019）》</w:t>
      </w:r>
    </w:p>
    <w:p w:rsidR="0031796A" w:rsidRPr="00256D78" w:rsidRDefault="0031796A" w:rsidP="0031796A">
      <w:pPr>
        <w:ind w:firstLineChars="200" w:firstLine="643"/>
        <w:rPr>
          <w:rFonts w:ascii="仿宋_GB2312" w:eastAsia="仿宋_GB2312" w:hAnsi="楷体"/>
          <w:b/>
          <w:sz w:val="32"/>
          <w:szCs w:val="32"/>
        </w:rPr>
      </w:pPr>
      <w:r w:rsidRPr="00256D78">
        <w:rPr>
          <w:rFonts w:ascii="仿宋_GB2312" w:eastAsia="仿宋_GB2312" w:hAnsi="楷体" w:hint="eastAsia"/>
          <w:b/>
          <w:sz w:val="32"/>
          <w:szCs w:val="32"/>
        </w:rPr>
        <w:t>8.转运及院内交接</w:t>
      </w:r>
    </w:p>
    <w:p w:rsidR="0031796A"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依据《中国5G移动卒中单元院前诊疗管理指南》</w:t>
      </w:r>
      <w:bookmarkStart w:id="32" w:name="OLE_LINK8"/>
      <w:bookmarkStart w:id="33" w:name="OLE_LINK9"/>
      <w:r w:rsidR="00C5507C">
        <w:rPr>
          <w:rFonts w:ascii="仿宋_GB2312" w:eastAsia="仿宋_GB2312" w:hAnsi="楷体" w:hint="eastAsia"/>
          <w:bCs/>
          <w:sz w:val="32"/>
          <w:szCs w:val="32"/>
        </w:rPr>
        <w:t>《</w:t>
      </w:r>
      <w:r w:rsidR="00C5507C" w:rsidRPr="00C5507C">
        <w:rPr>
          <w:rFonts w:ascii="仿宋_GB2312" w:eastAsia="仿宋_GB2312" w:hAnsi="楷体" w:hint="eastAsia"/>
          <w:bCs/>
          <w:sz w:val="32"/>
          <w:szCs w:val="32"/>
        </w:rPr>
        <w:t>中国脑卒中防治指导规范（2021</w:t>
      </w:r>
      <w:r w:rsidR="00C5507C">
        <w:rPr>
          <w:rFonts w:ascii="仿宋_GB2312" w:eastAsia="仿宋_GB2312" w:hAnsi="楷体" w:hint="eastAsia"/>
          <w:bCs/>
          <w:sz w:val="32"/>
          <w:szCs w:val="32"/>
        </w:rPr>
        <w:t>）》</w:t>
      </w:r>
      <w:bookmarkEnd w:id="32"/>
      <w:bookmarkEnd w:id="33"/>
      <w:r w:rsidRPr="0031796A">
        <w:rPr>
          <w:rFonts w:ascii="仿宋_GB2312" w:eastAsia="仿宋_GB2312" w:hAnsi="楷体" w:hint="eastAsia"/>
          <w:bCs/>
          <w:sz w:val="32"/>
          <w:szCs w:val="32"/>
        </w:rPr>
        <w:t>及起草单位实际经验来确定。通过5G系统“一键启动绿色通道”，向目标医院推送患者信息、影像、检验结果及已实施的治疗。持续监测心电、血压、血氧、意识状态。到达目标医院后进行交接。</w:t>
      </w:r>
    </w:p>
    <w:p w:rsidR="00C5507C" w:rsidRDefault="00C5507C" w:rsidP="00C5507C">
      <w:pPr>
        <w:jc w:val="center"/>
        <w:rPr>
          <w:rFonts w:ascii="仿宋_GB2312" w:eastAsia="仿宋_GB2312" w:hAnsi="楷体"/>
          <w:bCs/>
          <w:sz w:val="32"/>
          <w:szCs w:val="32"/>
        </w:rPr>
      </w:pPr>
      <w:r>
        <w:rPr>
          <w:noProof/>
        </w:rPr>
        <w:lastRenderedPageBreak/>
        <w:drawing>
          <wp:inline distT="0" distB="0" distL="0" distR="0" wp14:anchorId="5297B0D8" wp14:editId="56A2D316">
            <wp:extent cx="4532712" cy="2422856"/>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42975" cy="2428342"/>
                    </a:xfrm>
                    <a:prstGeom prst="rect">
                      <a:avLst/>
                    </a:prstGeom>
                  </pic:spPr>
                </pic:pic>
              </a:graphicData>
            </a:graphic>
          </wp:inline>
        </w:drawing>
      </w:r>
    </w:p>
    <w:p w:rsidR="00C5507C" w:rsidRDefault="00C5507C" w:rsidP="00C5507C">
      <w:pPr>
        <w:jc w:val="center"/>
        <w:rPr>
          <w:rFonts w:ascii="仿宋_GB2312" w:eastAsia="仿宋_GB2312" w:hAnsi="楷体"/>
          <w:bCs/>
          <w:sz w:val="32"/>
          <w:szCs w:val="32"/>
        </w:rPr>
      </w:pPr>
      <w:r>
        <w:rPr>
          <w:rFonts w:ascii="仿宋_GB2312" w:eastAsia="仿宋_GB2312" w:hAnsi="楷体" w:hint="eastAsia"/>
          <w:bCs/>
          <w:sz w:val="32"/>
          <w:szCs w:val="32"/>
        </w:rPr>
        <w:t>来源：</w:t>
      </w:r>
      <w:r w:rsidRPr="0031796A">
        <w:rPr>
          <w:rFonts w:ascii="仿宋_GB2312" w:eastAsia="仿宋_GB2312" w:hAnsi="楷体" w:hint="eastAsia"/>
          <w:bCs/>
          <w:sz w:val="32"/>
          <w:szCs w:val="32"/>
        </w:rPr>
        <w:t>《中国5G移动卒中单元院前诊疗管理指南》</w:t>
      </w:r>
    </w:p>
    <w:p w:rsidR="00C5507C" w:rsidRDefault="00C5507C" w:rsidP="00C5507C">
      <w:pPr>
        <w:jc w:val="center"/>
        <w:rPr>
          <w:rFonts w:ascii="仿宋_GB2312" w:eastAsia="仿宋_GB2312" w:hAnsi="楷体"/>
          <w:bCs/>
          <w:sz w:val="32"/>
          <w:szCs w:val="32"/>
        </w:rPr>
      </w:pPr>
      <w:r>
        <w:rPr>
          <w:noProof/>
        </w:rPr>
        <w:drawing>
          <wp:inline distT="0" distB="0" distL="0" distR="0" wp14:anchorId="02C7D402" wp14:editId="1F1D25B0">
            <wp:extent cx="5274310" cy="2925445"/>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925445"/>
                    </a:xfrm>
                    <a:prstGeom prst="rect">
                      <a:avLst/>
                    </a:prstGeom>
                  </pic:spPr>
                </pic:pic>
              </a:graphicData>
            </a:graphic>
          </wp:inline>
        </w:drawing>
      </w:r>
    </w:p>
    <w:p w:rsidR="00C5507C" w:rsidRPr="0031796A" w:rsidRDefault="00C5507C" w:rsidP="00C5507C">
      <w:pPr>
        <w:jc w:val="center"/>
        <w:rPr>
          <w:rFonts w:ascii="仿宋_GB2312" w:eastAsia="仿宋_GB2312" w:hAnsi="楷体"/>
          <w:bCs/>
          <w:sz w:val="32"/>
          <w:szCs w:val="32"/>
        </w:rPr>
      </w:pPr>
      <w:r>
        <w:rPr>
          <w:rFonts w:ascii="仿宋_GB2312" w:eastAsia="仿宋_GB2312" w:hAnsi="楷体" w:hint="eastAsia"/>
          <w:bCs/>
          <w:sz w:val="32"/>
          <w:szCs w:val="32"/>
        </w:rPr>
        <w:t>来源：《</w:t>
      </w:r>
      <w:r w:rsidRPr="00C5507C">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p>
    <w:p w:rsidR="0031796A" w:rsidRPr="00D96AE3" w:rsidRDefault="0031796A" w:rsidP="00D96AE3">
      <w:pPr>
        <w:ind w:firstLineChars="200" w:firstLine="643"/>
        <w:rPr>
          <w:rFonts w:ascii="楷体" w:eastAsia="楷体" w:hAnsi="楷体"/>
          <w:b/>
          <w:sz w:val="32"/>
          <w:szCs w:val="32"/>
        </w:rPr>
      </w:pPr>
      <w:r w:rsidRPr="00D96AE3">
        <w:rPr>
          <w:rFonts w:ascii="楷体" w:eastAsia="楷体" w:hAnsi="楷体" w:hint="eastAsia"/>
          <w:b/>
          <w:sz w:val="32"/>
          <w:szCs w:val="32"/>
        </w:rPr>
        <w:t>（四）质量控制</w:t>
      </w:r>
    </w:p>
    <w:p w:rsidR="00C5507C" w:rsidRDefault="0031796A" w:rsidP="0031796A">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依据《中国5G移动卒中单元院前诊疗管理指南》</w:t>
      </w:r>
      <w:r w:rsidR="00022420" w:rsidRPr="00022420">
        <w:rPr>
          <w:rFonts w:ascii="仿宋_GB2312" w:eastAsia="仿宋_GB2312" w:hAnsi="楷体" w:hint="eastAsia"/>
          <w:bCs/>
          <w:sz w:val="32"/>
          <w:szCs w:val="32"/>
        </w:rPr>
        <w:t>《移动卒中单元中国专家共识2019》《移动卒中单元技术规范中国专家共识2019》</w:t>
      </w:r>
      <w:r w:rsidRPr="0031796A">
        <w:rPr>
          <w:rFonts w:ascii="仿宋_GB2312" w:eastAsia="仿宋_GB2312" w:hAnsi="楷体" w:hint="eastAsia"/>
          <w:bCs/>
          <w:sz w:val="32"/>
          <w:szCs w:val="32"/>
        </w:rPr>
        <w:t>及起草单位实际经验来确定</w:t>
      </w:r>
      <w:r w:rsidR="00022420">
        <w:rPr>
          <w:rFonts w:ascii="仿宋_GB2312" w:eastAsia="仿宋_GB2312" w:hAnsi="楷体" w:hint="eastAsia"/>
          <w:bCs/>
          <w:sz w:val="32"/>
          <w:szCs w:val="32"/>
        </w:rPr>
        <w:t>，同时保持与</w:t>
      </w:r>
      <w:r w:rsidR="00C5507C">
        <w:rPr>
          <w:rFonts w:ascii="仿宋_GB2312" w:eastAsia="仿宋_GB2312" w:hAnsi="楷体" w:hint="eastAsia"/>
          <w:bCs/>
          <w:sz w:val="32"/>
          <w:szCs w:val="32"/>
        </w:rPr>
        <w:t>6</w:t>
      </w:r>
      <w:r w:rsidR="00C5507C">
        <w:rPr>
          <w:rFonts w:ascii="仿宋_GB2312" w:eastAsia="仿宋_GB2312" w:hAnsi="楷体"/>
          <w:bCs/>
          <w:sz w:val="32"/>
          <w:szCs w:val="32"/>
        </w:rPr>
        <w:t>.1.2</w:t>
      </w:r>
      <w:r w:rsidR="00C5507C">
        <w:rPr>
          <w:rFonts w:ascii="仿宋_GB2312" w:eastAsia="仿宋_GB2312" w:hAnsi="楷体" w:hint="eastAsia"/>
          <w:bCs/>
          <w:sz w:val="32"/>
          <w:szCs w:val="32"/>
        </w:rPr>
        <w:t>.</w:t>
      </w:r>
      <w:r w:rsidR="00C5507C">
        <w:rPr>
          <w:rFonts w:ascii="仿宋_GB2312" w:eastAsia="仿宋_GB2312" w:hAnsi="楷体"/>
          <w:bCs/>
          <w:sz w:val="32"/>
          <w:szCs w:val="32"/>
        </w:rPr>
        <w:t>1</w:t>
      </w:r>
      <w:r w:rsidR="00C5507C">
        <w:rPr>
          <w:rFonts w:ascii="仿宋_GB2312" w:eastAsia="仿宋_GB2312" w:hAnsi="楷体" w:hint="eastAsia"/>
          <w:bCs/>
          <w:sz w:val="32"/>
          <w:szCs w:val="32"/>
        </w:rPr>
        <w:t>、</w:t>
      </w:r>
      <w:r w:rsidR="00C5507C">
        <w:rPr>
          <w:rFonts w:ascii="仿宋_GB2312" w:eastAsia="仿宋_GB2312" w:hAnsi="楷体"/>
          <w:bCs/>
          <w:sz w:val="32"/>
          <w:szCs w:val="32"/>
        </w:rPr>
        <w:t>6.3.3</w:t>
      </w:r>
      <w:r w:rsidR="00022420">
        <w:rPr>
          <w:rFonts w:ascii="仿宋_GB2312" w:eastAsia="仿宋_GB2312" w:hAnsi="楷体" w:hint="eastAsia"/>
          <w:bCs/>
          <w:sz w:val="32"/>
          <w:szCs w:val="32"/>
        </w:rPr>
        <w:t>、</w:t>
      </w:r>
      <w:r w:rsidR="00022420">
        <w:rPr>
          <w:rFonts w:ascii="仿宋_GB2312" w:eastAsia="仿宋_GB2312" w:hAnsi="楷体"/>
          <w:bCs/>
          <w:sz w:val="32"/>
          <w:szCs w:val="32"/>
        </w:rPr>
        <w:t>6.3.5</w:t>
      </w:r>
      <w:r w:rsidR="00022420">
        <w:rPr>
          <w:rFonts w:ascii="仿宋_GB2312" w:eastAsia="仿宋_GB2312" w:hAnsi="楷体" w:hint="eastAsia"/>
          <w:bCs/>
          <w:sz w:val="32"/>
          <w:szCs w:val="32"/>
        </w:rPr>
        <w:t>、</w:t>
      </w:r>
      <w:r w:rsidR="00022420">
        <w:rPr>
          <w:rFonts w:ascii="仿宋_GB2312" w:eastAsia="仿宋_GB2312" w:hAnsi="楷体"/>
          <w:bCs/>
          <w:sz w:val="32"/>
          <w:szCs w:val="32"/>
        </w:rPr>
        <w:t>6.4.4</w:t>
      </w:r>
      <w:r w:rsidR="00022420">
        <w:rPr>
          <w:rFonts w:ascii="仿宋_GB2312" w:eastAsia="仿宋_GB2312" w:hAnsi="楷体" w:hint="eastAsia"/>
          <w:bCs/>
          <w:sz w:val="32"/>
          <w:szCs w:val="32"/>
        </w:rPr>
        <w:t>等规定的要求一致，</w:t>
      </w:r>
      <w:r w:rsidR="00022420" w:rsidRPr="00022420">
        <w:rPr>
          <w:rFonts w:ascii="仿宋_GB2312" w:eastAsia="仿宋_GB2312" w:hAnsi="楷体" w:hint="eastAsia"/>
          <w:bCs/>
          <w:sz w:val="32"/>
          <w:szCs w:val="32"/>
        </w:rPr>
        <w:t>NIHSS评分是评估卒中严重程度的标准化工具，</w:t>
      </w:r>
      <w:r w:rsidR="00022420">
        <w:rPr>
          <w:rFonts w:ascii="仿宋_GB2312" w:eastAsia="仿宋_GB2312" w:hAnsi="楷体" w:hint="eastAsia"/>
          <w:bCs/>
          <w:sz w:val="32"/>
          <w:szCs w:val="32"/>
        </w:rPr>
        <w:t>因此</w:t>
      </w:r>
      <w:r w:rsidR="00022420" w:rsidRPr="00022420">
        <w:rPr>
          <w:rFonts w:ascii="仿宋_GB2312" w:eastAsia="仿宋_GB2312" w:hAnsi="楷体" w:hint="eastAsia"/>
          <w:bCs/>
          <w:sz w:val="32"/>
          <w:szCs w:val="32"/>
        </w:rPr>
        <w:t>要求100%规范</w:t>
      </w:r>
      <w:r w:rsidR="00022420" w:rsidRPr="00022420">
        <w:rPr>
          <w:rFonts w:ascii="仿宋_GB2312" w:eastAsia="仿宋_GB2312" w:hAnsi="楷体" w:hint="eastAsia"/>
          <w:bCs/>
          <w:sz w:val="32"/>
          <w:szCs w:val="32"/>
        </w:rPr>
        <w:lastRenderedPageBreak/>
        <w:t>执行，确保了评估的客观性和一致性</w:t>
      </w:r>
      <w:r w:rsidR="00022420">
        <w:rPr>
          <w:rFonts w:ascii="仿宋_GB2312" w:eastAsia="仿宋_GB2312" w:hAnsi="楷体" w:hint="eastAsia"/>
          <w:bCs/>
          <w:sz w:val="32"/>
          <w:szCs w:val="32"/>
        </w:rPr>
        <w:t>；</w:t>
      </w:r>
      <w:r w:rsidR="00022420" w:rsidRPr="00022420">
        <w:rPr>
          <w:rFonts w:ascii="仿宋_GB2312" w:eastAsia="仿宋_GB2312" w:hAnsi="楷体" w:hint="eastAsia"/>
          <w:bCs/>
          <w:sz w:val="32"/>
          <w:szCs w:val="32"/>
        </w:rPr>
        <w:t>静脉溶栓有严格的适应证和禁忌证，要求100%合格，是保障患者安全的红线</w:t>
      </w:r>
      <w:r w:rsidR="00022420">
        <w:rPr>
          <w:rFonts w:ascii="仿宋_GB2312" w:eastAsia="仿宋_GB2312" w:hAnsi="楷体" w:hint="eastAsia"/>
          <w:bCs/>
          <w:sz w:val="32"/>
          <w:szCs w:val="32"/>
        </w:rPr>
        <w:t>；</w:t>
      </w:r>
      <w:r w:rsidR="00022420" w:rsidRPr="00022420">
        <w:rPr>
          <w:rFonts w:ascii="仿宋_GB2312" w:eastAsia="仿宋_GB2312" w:hAnsi="楷体" w:hint="eastAsia"/>
          <w:bCs/>
          <w:sz w:val="32"/>
          <w:szCs w:val="32"/>
        </w:rPr>
        <w:t>5G MSU的核心优势在于信息实时传输，要求100%完整，是实现远程决策和</w:t>
      </w:r>
      <w:proofErr w:type="gramStart"/>
      <w:r w:rsidR="00022420" w:rsidRPr="00022420">
        <w:rPr>
          <w:rFonts w:ascii="仿宋_GB2312" w:eastAsia="仿宋_GB2312" w:hAnsi="楷体" w:hint="eastAsia"/>
          <w:bCs/>
          <w:sz w:val="32"/>
          <w:szCs w:val="32"/>
        </w:rPr>
        <w:t>质控</w:t>
      </w:r>
      <w:proofErr w:type="gramEnd"/>
      <w:r w:rsidR="00022420" w:rsidRPr="00022420">
        <w:rPr>
          <w:rFonts w:ascii="仿宋_GB2312" w:eastAsia="仿宋_GB2312" w:hAnsi="楷体" w:hint="eastAsia"/>
          <w:bCs/>
          <w:sz w:val="32"/>
          <w:szCs w:val="32"/>
        </w:rPr>
        <w:t>的基础</w:t>
      </w:r>
      <w:r w:rsidR="00022420">
        <w:rPr>
          <w:rFonts w:ascii="仿宋_GB2312" w:eastAsia="仿宋_GB2312" w:hAnsi="楷体" w:hint="eastAsia"/>
          <w:bCs/>
          <w:sz w:val="32"/>
          <w:szCs w:val="32"/>
        </w:rPr>
        <w:t>；</w:t>
      </w:r>
      <w:r w:rsidR="00022420" w:rsidRPr="00022420">
        <w:rPr>
          <w:rFonts w:ascii="仿宋_GB2312" w:eastAsia="仿宋_GB2312" w:hAnsi="楷体" w:hint="eastAsia"/>
          <w:bCs/>
          <w:sz w:val="32"/>
          <w:szCs w:val="32"/>
        </w:rPr>
        <w:t>5G MSU的核心优势在于信息实时传输，要求100%完整，是实现远程决策和</w:t>
      </w:r>
      <w:proofErr w:type="gramStart"/>
      <w:r w:rsidR="00022420" w:rsidRPr="00022420">
        <w:rPr>
          <w:rFonts w:ascii="仿宋_GB2312" w:eastAsia="仿宋_GB2312" w:hAnsi="楷体" w:hint="eastAsia"/>
          <w:bCs/>
          <w:sz w:val="32"/>
          <w:szCs w:val="32"/>
        </w:rPr>
        <w:t>质控</w:t>
      </w:r>
      <w:proofErr w:type="gramEnd"/>
      <w:r w:rsidR="00022420" w:rsidRPr="00022420">
        <w:rPr>
          <w:rFonts w:ascii="仿宋_GB2312" w:eastAsia="仿宋_GB2312" w:hAnsi="楷体" w:hint="eastAsia"/>
          <w:bCs/>
          <w:sz w:val="32"/>
          <w:szCs w:val="32"/>
        </w:rPr>
        <w:t>的基础</w:t>
      </w:r>
      <w:r w:rsidR="00022420">
        <w:rPr>
          <w:rFonts w:ascii="仿宋_GB2312" w:eastAsia="仿宋_GB2312" w:hAnsi="楷体" w:hint="eastAsia"/>
          <w:bCs/>
          <w:sz w:val="32"/>
          <w:szCs w:val="32"/>
        </w:rPr>
        <w:t>；</w:t>
      </w:r>
      <w:r w:rsidR="00022420" w:rsidRPr="00022420">
        <w:rPr>
          <w:rFonts w:ascii="仿宋_GB2312" w:eastAsia="仿宋_GB2312" w:hAnsi="楷体" w:hint="eastAsia"/>
          <w:bCs/>
          <w:sz w:val="32"/>
          <w:szCs w:val="32"/>
        </w:rPr>
        <w:t>远程会诊、AI辅助等系统必须稳定运行，才能发挥其应有的作用</w:t>
      </w:r>
      <w:r w:rsidR="00022420">
        <w:rPr>
          <w:rFonts w:ascii="仿宋_GB2312" w:eastAsia="仿宋_GB2312" w:hAnsi="楷体" w:hint="eastAsia"/>
          <w:bCs/>
          <w:sz w:val="32"/>
          <w:szCs w:val="32"/>
        </w:rPr>
        <w:t>，因此要求</w:t>
      </w:r>
      <w:r w:rsidR="00022420" w:rsidRPr="00022420">
        <w:rPr>
          <w:rFonts w:ascii="仿宋_GB2312" w:eastAsia="仿宋_GB2312" w:hAnsi="楷体" w:hint="eastAsia"/>
          <w:bCs/>
          <w:sz w:val="32"/>
          <w:szCs w:val="32"/>
        </w:rPr>
        <w:t>系统运行合格率100%</w:t>
      </w:r>
      <w:r w:rsidR="00022420">
        <w:rPr>
          <w:rFonts w:ascii="仿宋_GB2312" w:eastAsia="仿宋_GB2312" w:hAnsi="楷体" w:hint="eastAsia"/>
          <w:bCs/>
          <w:sz w:val="32"/>
          <w:szCs w:val="32"/>
        </w:rPr>
        <w:t>。</w:t>
      </w:r>
    </w:p>
    <w:p w:rsidR="0031796A" w:rsidRDefault="00D96AE3" w:rsidP="00D96AE3">
      <w:pPr>
        <w:jc w:val="center"/>
        <w:rPr>
          <w:rFonts w:ascii="仿宋_GB2312" w:eastAsia="仿宋_GB2312" w:hAnsi="楷体"/>
          <w:bCs/>
          <w:sz w:val="32"/>
          <w:szCs w:val="32"/>
        </w:rPr>
      </w:pPr>
      <w:r>
        <w:rPr>
          <w:noProof/>
        </w:rPr>
        <w:drawing>
          <wp:inline distT="0" distB="0" distL="0" distR="0" wp14:anchorId="1C0FDAA2" wp14:editId="58F57E16">
            <wp:extent cx="5274310" cy="391287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3912870"/>
                    </a:xfrm>
                    <a:prstGeom prst="rect">
                      <a:avLst/>
                    </a:prstGeom>
                  </pic:spPr>
                </pic:pic>
              </a:graphicData>
            </a:graphic>
          </wp:inline>
        </w:drawing>
      </w:r>
    </w:p>
    <w:p w:rsidR="00D96AE3" w:rsidRPr="00C5507C" w:rsidRDefault="00D96AE3" w:rsidP="00D96AE3">
      <w:pPr>
        <w:jc w:val="center"/>
        <w:rPr>
          <w:rFonts w:ascii="仿宋_GB2312" w:eastAsia="仿宋_GB2312" w:hAnsi="楷体"/>
          <w:bCs/>
          <w:sz w:val="32"/>
          <w:szCs w:val="32"/>
        </w:rPr>
      </w:pPr>
      <w:r>
        <w:rPr>
          <w:rFonts w:ascii="仿宋_GB2312" w:eastAsia="仿宋_GB2312" w:hAnsi="楷体" w:hint="eastAsia"/>
          <w:bCs/>
          <w:sz w:val="32"/>
          <w:szCs w:val="32"/>
        </w:rPr>
        <w:t>来源：</w:t>
      </w:r>
      <w:r w:rsidRPr="00D96AE3">
        <w:rPr>
          <w:rFonts w:ascii="仿宋_GB2312" w:eastAsia="仿宋_GB2312" w:hAnsi="楷体" w:hint="eastAsia"/>
          <w:bCs/>
          <w:sz w:val="32"/>
          <w:szCs w:val="32"/>
        </w:rPr>
        <w:t>中国脑卒中防治指导规范（2021</w:t>
      </w:r>
      <w:r>
        <w:rPr>
          <w:rFonts w:ascii="仿宋_GB2312" w:eastAsia="仿宋_GB2312" w:hAnsi="楷体" w:hint="eastAsia"/>
          <w:bCs/>
          <w:sz w:val="32"/>
          <w:szCs w:val="32"/>
        </w:rPr>
        <w:t>）</w:t>
      </w:r>
    </w:p>
    <w:p w:rsidR="0031796A" w:rsidRPr="00D96AE3" w:rsidRDefault="0031796A" w:rsidP="00D96AE3">
      <w:pPr>
        <w:ind w:firstLineChars="200" w:firstLine="643"/>
        <w:rPr>
          <w:rFonts w:ascii="楷体" w:eastAsia="楷体" w:hAnsi="楷体"/>
          <w:b/>
          <w:sz w:val="32"/>
          <w:szCs w:val="32"/>
        </w:rPr>
      </w:pPr>
      <w:r w:rsidRPr="00D96AE3">
        <w:rPr>
          <w:rFonts w:ascii="楷体" w:eastAsia="楷体" w:hAnsi="楷体" w:hint="eastAsia"/>
          <w:b/>
          <w:sz w:val="32"/>
          <w:szCs w:val="32"/>
        </w:rPr>
        <w:t>（五）应急预案</w:t>
      </w:r>
    </w:p>
    <w:p w:rsidR="00D96AE3" w:rsidRDefault="0031796A" w:rsidP="00D96AE3">
      <w:pPr>
        <w:ind w:firstLineChars="200" w:firstLine="640"/>
        <w:rPr>
          <w:rFonts w:ascii="仿宋_GB2312" w:eastAsia="仿宋_GB2312" w:hAnsi="楷体"/>
          <w:bCs/>
          <w:sz w:val="32"/>
          <w:szCs w:val="32"/>
        </w:rPr>
      </w:pPr>
      <w:r w:rsidRPr="0031796A">
        <w:rPr>
          <w:rFonts w:ascii="仿宋_GB2312" w:eastAsia="仿宋_GB2312" w:hAnsi="楷体" w:hint="eastAsia"/>
          <w:bCs/>
          <w:sz w:val="32"/>
          <w:szCs w:val="32"/>
        </w:rPr>
        <w:t>依据起草单位实际经验及参考国内外相关指南来确定。</w:t>
      </w:r>
      <w:r w:rsidR="00D96AE3" w:rsidRPr="00D96AE3">
        <w:rPr>
          <w:rFonts w:ascii="仿宋_GB2312" w:eastAsia="仿宋_GB2312" w:hAnsi="楷体" w:hint="eastAsia"/>
          <w:bCs/>
          <w:sz w:val="32"/>
          <w:szCs w:val="32"/>
        </w:rPr>
        <w:t>转运过程是病情变化的高风险期，《中国重症患者转运指南（2010）》要求护送人员必须具备监护和初步处理突发情况</w:t>
      </w:r>
      <w:r w:rsidR="00D96AE3" w:rsidRPr="00D96AE3">
        <w:rPr>
          <w:rFonts w:ascii="仿宋_GB2312" w:eastAsia="仿宋_GB2312" w:hAnsi="楷体" w:hint="eastAsia"/>
          <w:bCs/>
          <w:sz w:val="32"/>
          <w:szCs w:val="32"/>
        </w:rPr>
        <w:lastRenderedPageBreak/>
        <w:t>的能力，不能因“在转运中”而延误处置。</w:t>
      </w:r>
      <w:r w:rsidR="00D96AE3">
        <w:rPr>
          <w:rFonts w:ascii="仿宋_GB2312" w:eastAsia="仿宋_GB2312" w:hAnsi="楷体" w:hint="eastAsia"/>
          <w:bCs/>
          <w:sz w:val="32"/>
          <w:szCs w:val="32"/>
        </w:rPr>
        <w:t>因此</w:t>
      </w:r>
      <w:r w:rsidRPr="0031796A">
        <w:rPr>
          <w:rFonts w:ascii="仿宋_GB2312" w:eastAsia="仿宋_GB2312" w:hAnsi="楷体" w:hint="eastAsia"/>
          <w:bCs/>
          <w:sz w:val="32"/>
          <w:szCs w:val="32"/>
        </w:rPr>
        <w:t>患者转运途中发生意外应密切观察病情变化，出现呼吸心跳骤停立即就地心肺复苏。</w:t>
      </w:r>
    </w:p>
    <w:p w:rsidR="00D96AE3" w:rsidRDefault="00D96AE3" w:rsidP="00D96AE3">
      <w:pPr>
        <w:ind w:firstLineChars="200" w:firstLine="640"/>
        <w:rPr>
          <w:rFonts w:ascii="仿宋_GB2312" w:eastAsia="仿宋_GB2312" w:hAnsi="楷体"/>
          <w:bCs/>
          <w:sz w:val="32"/>
          <w:szCs w:val="32"/>
        </w:rPr>
      </w:pPr>
      <w:r w:rsidRPr="00D96AE3">
        <w:rPr>
          <w:rFonts w:ascii="仿宋_GB2312" w:eastAsia="仿宋_GB2312" w:hAnsi="楷体" w:hint="eastAsia"/>
          <w:bCs/>
          <w:sz w:val="32"/>
          <w:szCs w:val="32"/>
        </w:rPr>
        <w:t>5G MSU的核心运作建立在无线数据传输之上（影像回传、远程会诊）</w:t>
      </w:r>
      <w:r>
        <w:rPr>
          <w:rFonts w:ascii="仿宋_GB2312" w:eastAsia="仿宋_GB2312" w:hAnsi="楷体" w:hint="eastAsia"/>
          <w:bCs/>
          <w:sz w:val="32"/>
          <w:szCs w:val="32"/>
        </w:rPr>
        <w:t>，</w:t>
      </w:r>
      <w:r w:rsidRPr="00D96AE3">
        <w:rPr>
          <w:rFonts w:ascii="仿宋_GB2312" w:eastAsia="仿宋_GB2312" w:hAnsi="楷体" w:hint="eastAsia"/>
          <w:bCs/>
          <w:sz w:val="32"/>
          <w:szCs w:val="32"/>
        </w:rPr>
        <w:t>明确指示在无线网络故障时，切换至有线应急网口，确保了在基站信号漂移、5G专网波动等情况下，核心诊断数据（CT影像）和会诊系统仍能通过物理网线保持连通。</w:t>
      </w:r>
      <w:r>
        <w:rPr>
          <w:rFonts w:ascii="仿宋_GB2312" w:eastAsia="仿宋_GB2312" w:hAnsi="楷体" w:hint="eastAsia"/>
          <w:bCs/>
          <w:sz w:val="32"/>
          <w:szCs w:val="32"/>
        </w:rPr>
        <w:t>同时</w:t>
      </w:r>
      <w:r w:rsidRPr="00D96AE3">
        <w:rPr>
          <w:rFonts w:ascii="仿宋_GB2312" w:eastAsia="仿宋_GB2312" w:hAnsi="楷体" w:hint="eastAsia"/>
          <w:bCs/>
          <w:sz w:val="32"/>
          <w:szCs w:val="32"/>
        </w:rPr>
        <w:t>具体指出“医疗舱CT电源插座上方”和“驾驶舱座椅中间”的接口，是为了避免在紧急情况下因寻找接口而造成的时间延误。</w:t>
      </w:r>
    </w:p>
    <w:p w:rsidR="00CC1788" w:rsidRDefault="00521A9E">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CC1788" w:rsidRDefault="00521A9E">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本标准研制过程中无重大分歧意见。</w:t>
      </w:r>
    </w:p>
    <w:p w:rsidR="00CC1788" w:rsidRDefault="00521A9E">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CC1788" w:rsidRDefault="00521A9E">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团体标准《</w:t>
      </w:r>
      <w:r w:rsidR="00B70C94">
        <w:rPr>
          <w:rFonts w:ascii="仿宋_GB2312" w:eastAsia="仿宋_GB2312" w:hAnsi="仿宋" w:cs="仿宋_GB2312" w:hint="eastAsia"/>
          <w:sz w:val="30"/>
          <w:szCs w:val="30"/>
          <w:lang w:bidi="ar"/>
        </w:rPr>
        <w:t>5G移动卒中单元救治规范</w:t>
      </w:r>
      <w:r>
        <w:rPr>
          <w:rFonts w:ascii="仿宋_GB2312" w:eastAsia="仿宋_GB2312" w:hAnsi="仿宋" w:cs="仿宋_GB2312" w:hint="eastAsia"/>
          <w:sz w:val="30"/>
          <w:szCs w:val="30"/>
          <w:lang w:bidi="ar"/>
        </w:rPr>
        <w:t>》发布后，积极向各级相关行政部门、医疗机构宣传，向所有医疗机构推荐执行本标准。</w:t>
      </w:r>
    </w:p>
    <w:p w:rsidR="00CC1788" w:rsidRDefault="00521A9E">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CC1788" w:rsidRDefault="00521A9E">
      <w:pPr>
        <w:spacing w:line="560" w:lineRule="exact"/>
        <w:ind w:firstLineChars="200" w:firstLine="600"/>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无。</w:t>
      </w:r>
    </w:p>
    <w:p w:rsidR="00CC1788" w:rsidRDefault="00D96AE3" w:rsidP="00D96AE3">
      <w:pPr>
        <w:wordWrap w:val="0"/>
        <w:spacing w:line="560" w:lineRule="exact"/>
        <w:ind w:firstLineChars="200" w:firstLine="600"/>
        <w:jc w:val="right"/>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 xml:space="preserve"> </w:t>
      </w:r>
      <w:r>
        <w:rPr>
          <w:rFonts w:ascii="仿宋_GB2312" w:eastAsia="仿宋_GB2312" w:hAnsi="仿宋" w:cs="仿宋_GB2312"/>
          <w:sz w:val="30"/>
          <w:szCs w:val="30"/>
          <w:lang w:bidi="ar"/>
        </w:rPr>
        <w:t xml:space="preserve">                     </w:t>
      </w:r>
      <w:r w:rsidR="00521A9E">
        <w:rPr>
          <w:rFonts w:ascii="仿宋_GB2312" w:eastAsia="仿宋_GB2312" w:hAnsi="仿宋" w:cs="仿宋_GB2312" w:hint="eastAsia"/>
          <w:sz w:val="30"/>
          <w:szCs w:val="30"/>
          <w:lang w:bidi="ar"/>
        </w:rPr>
        <w:t>团体标准</w:t>
      </w:r>
      <w:r>
        <w:rPr>
          <w:rFonts w:ascii="仿宋_GB2312" w:eastAsia="仿宋_GB2312" w:hAnsi="仿宋" w:cs="仿宋_GB2312" w:hint="eastAsia"/>
          <w:sz w:val="30"/>
          <w:szCs w:val="30"/>
          <w:lang w:bidi="ar"/>
        </w:rPr>
        <w:t xml:space="preserve"> </w:t>
      </w:r>
      <w:r>
        <w:rPr>
          <w:rFonts w:ascii="仿宋_GB2312" w:eastAsia="仿宋_GB2312" w:hAnsi="仿宋" w:cs="仿宋_GB2312"/>
          <w:sz w:val="30"/>
          <w:szCs w:val="30"/>
          <w:lang w:bidi="ar"/>
        </w:rPr>
        <w:t xml:space="preserve">       </w:t>
      </w:r>
    </w:p>
    <w:p w:rsidR="00CC1788" w:rsidRDefault="00521A9E" w:rsidP="00D96AE3">
      <w:pPr>
        <w:spacing w:line="560" w:lineRule="exact"/>
        <w:ind w:firstLineChars="200" w:firstLine="600"/>
        <w:jc w:val="right"/>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w:t>
      </w:r>
      <w:r w:rsidR="00B70C94">
        <w:rPr>
          <w:rFonts w:ascii="仿宋_GB2312" w:eastAsia="仿宋_GB2312" w:hAnsi="仿宋" w:cs="仿宋_GB2312" w:hint="eastAsia"/>
          <w:sz w:val="30"/>
          <w:szCs w:val="30"/>
          <w:lang w:bidi="ar"/>
        </w:rPr>
        <w:t>5G移动卒中单元救治规范</w:t>
      </w:r>
      <w:r>
        <w:rPr>
          <w:rFonts w:ascii="仿宋_GB2312" w:eastAsia="仿宋_GB2312" w:hAnsi="仿宋" w:cs="仿宋_GB2312" w:hint="eastAsia"/>
          <w:sz w:val="30"/>
          <w:szCs w:val="30"/>
          <w:lang w:bidi="ar"/>
        </w:rPr>
        <w:t>》</w:t>
      </w:r>
    </w:p>
    <w:p w:rsidR="00CC1788" w:rsidRDefault="00521A9E" w:rsidP="00D96AE3">
      <w:pPr>
        <w:wordWrap w:val="0"/>
        <w:spacing w:line="560" w:lineRule="exact"/>
        <w:ind w:firstLineChars="200" w:firstLine="600"/>
        <w:jc w:val="right"/>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标准编制组</w:t>
      </w:r>
      <w:r w:rsidR="00D96AE3">
        <w:rPr>
          <w:rFonts w:ascii="仿宋_GB2312" w:eastAsia="仿宋_GB2312" w:hAnsi="仿宋" w:cs="仿宋_GB2312" w:hint="eastAsia"/>
          <w:sz w:val="30"/>
          <w:szCs w:val="30"/>
          <w:lang w:bidi="ar"/>
        </w:rPr>
        <w:t xml:space="preserve"> </w:t>
      </w:r>
      <w:r w:rsidR="00D96AE3">
        <w:rPr>
          <w:rFonts w:ascii="仿宋_GB2312" w:eastAsia="仿宋_GB2312" w:hAnsi="仿宋" w:cs="仿宋_GB2312"/>
          <w:sz w:val="30"/>
          <w:szCs w:val="30"/>
          <w:lang w:bidi="ar"/>
        </w:rPr>
        <w:t xml:space="preserve">      </w:t>
      </w:r>
    </w:p>
    <w:p w:rsidR="00CC1788" w:rsidRDefault="00521A9E" w:rsidP="00D96AE3">
      <w:pPr>
        <w:wordWrap w:val="0"/>
        <w:spacing w:line="560" w:lineRule="exact"/>
        <w:ind w:firstLineChars="200" w:firstLine="600"/>
        <w:jc w:val="right"/>
        <w:rPr>
          <w:rFonts w:ascii="仿宋_GB2312" w:eastAsia="仿宋_GB2312" w:hAnsi="仿宋" w:cs="仿宋_GB2312"/>
          <w:sz w:val="30"/>
          <w:szCs w:val="30"/>
          <w:lang w:bidi="ar"/>
        </w:rPr>
      </w:pPr>
      <w:r>
        <w:rPr>
          <w:rFonts w:ascii="仿宋_GB2312" w:eastAsia="仿宋_GB2312" w:hAnsi="仿宋" w:cs="仿宋_GB2312" w:hint="eastAsia"/>
          <w:sz w:val="30"/>
          <w:szCs w:val="30"/>
          <w:lang w:bidi="ar"/>
        </w:rPr>
        <w:t>2026年</w:t>
      </w:r>
      <w:r>
        <w:rPr>
          <w:rFonts w:ascii="仿宋_GB2312" w:eastAsia="仿宋_GB2312" w:hAnsi="仿宋" w:cs="仿宋_GB2312"/>
          <w:sz w:val="30"/>
          <w:szCs w:val="30"/>
          <w:lang w:bidi="ar"/>
        </w:rPr>
        <w:t>6</w:t>
      </w:r>
      <w:r>
        <w:rPr>
          <w:rFonts w:ascii="仿宋_GB2312" w:eastAsia="仿宋_GB2312" w:hAnsi="仿宋" w:cs="仿宋_GB2312" w:hint="eastAsia"/>
          <w:sz w:val="30"/>
          <w:szCs w:val="30"/>
          <w:lang w:bidi="ar"/>
        </w:rPr>
        <w:t>月</w:t>
      </w:r>
      <w:r>
        <w:rPr>
          <w:rFonts w:ascii="仿宋_GB2312" w:eastAsia="仿宋_GB2312" w:hAnsi="仿宋" w:cs="仿宋_GB2312"/>
          <w:sz w:val="30"/>
          <w:szCs w:val="30"/>
          <w:lang w:bidi="ar"/>
        </w:rPr>
        <w:t>2</w:t>
      </w:r>
      <w:r w:rsidR="00D96AE3">
        <w:rPr>
          <w:rFonts w:ascii="仿宋_GB2312" w:eastAsia="仿宋_GB2312" w:hAnsi="仿宋" w:cs="仿宋_GB2312"/>
          <w:sz w:val="30"/>
          <w:szCs w:val="30"/>
          <w:lang w:bidi="ar"/>
        </w:rPr>
        <w:t>9</w:t>
      </w:r>
      <w:r>
        <w:rPr>
          <w:rFonts w:ascii="仿宋_GB2312" w:eastAsia="仿宋_GB2312" w:hAnsi="仿宋" w:cs="仿宋_GB2312" w:hint="eastAsia"/>
          <w:sz w:val="30"/>
          <w:szCs w:val="30"/>
          <w:lang w:bidi="ar"/>
        </w:rPr>
        <w:t>日</w:t>
      </w:r>
      <w:r w:rsidR="00D96AE3">
        <w:rPr>
          <w:rFonts w:ascii="仿宋_GB2312" w:eastAsia="仿宋_GB2312" w:hAnsi="仿宋" w:cs="仿宋_GB2312" w:hint="eastAsia"/>
          <w:sz w:val="30"/>
          <w:szCs w:val="30"/>
          <w:lang w:bidi="ar"/>
        </w:rPr>
        <w:t xml:space="preserve"> </w:t>
      </w:r>
      <w:r w:rsidR="00D96AE3">
        <w:rPr>
          <w:rFonts w:ascii="仿宋_GB2312" w:eastAsia="仿宋_GB2312" w:hAnsi="仿宋" w:cs="仿宋_GB2312"/>
          <w:sz w:val="30"/>
          <w:szCs w:val="30"/>
          <w:lang w:bidi="ar"/>
        </w:rPr>
        <w:t xml:space="preserve">   </w:t>
      </w:r>
    </w:p>
    <w:sectPr w:rsidR="00CC1788">
      <w:footerReference w:type="default" r:id="rId2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7A16" w:rsidRDefault="00A37A16">
      <w:r>
        <w:separator/>
      </w:r>
    </w:p>
  </w:endnote>
  <w:endnote w:type="continuationSeparator" w:id="0">
    <w:p w:rsidR="00A37A16" w:rsidRDefault="00A37A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894E541A-927F-4129-BD7C-E632F036DF1E}"/>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B35F5F1C-2F00-4F60-9E3C-E33519F77853}"/>
  </w:font>
  <w:font w:name="仿宋_GB2312">
    <w:panose1 w:val="02010609030101010101"/>
    <w:charset w:val="86"/>
    <w:family w:val="modern"/>
    <w:pitch w:val="fixed"/>
    <w:sig w:usb0="00000001" w:usb1="080E0000" w:usb2="00000010" w:usb3="00000000" w:csb0="00040000" w:csb1="00000000"/>
    <w:embedRegular r:id="rId3" w:subsetted="1" w:fontKey="{B57C4E8D-EA95-41E5-B297-3EF80962276C}"/>
    <w:embedBold r:id="rId4" w:subsetted="1" w:fontKey="{FC18E497-4EE4-4AC8-8D1B-D1B09ED03A0B}"/>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embedRegular r:id="rId5" w:subsetted="1" w:fontKey="{5CF3726E-5B28-4AC5-8830-C0A178E54C1F}"/>
  </w:font>
  <w:font w:name="楷体">
    <w:panose1 w:val="02010609060101010101"/>
    <w:charset w:val="86"/>
    <w:family w:val="modern"/>
    <w:pitch w:val="fixed"/>
    <w:sig w:usb0="800002BF" w:usb1="38CF7CFA" w:usb2="00000016" w:usb3="00000000" w:csb0="00040001" w:csb1="00000000"/>
    <w:embedBold r:id="rId6" w:subsetted="1" w:fontKey="{AEC05600-7CB9-4C84-A188-6FAEE17F59E2}"/>
  </w:font>
  <w:font w:name="等线">
    <w:altName w:val="DengXian"/>
    <w:panose1 w:val="02010600030101010101"/>
    <w:charset w:val="86"/>
    <w:family w:val="auto"/>
    <w:pitch w:val="variable"/>
    <w:sig w:usb0="A00002BF" w:usb1="38CF7CFA" w:usb2="00000016" w:usb3="00000000" w:csb0="0004000F" w:csb1="00000000"/>
    <w:embedRegular r:id="rId7" w:subsetted="1" w:fontKey="{0E4597BD-75CB-4087-B199-2CFF91B040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CC1788" w:rsidRDefault="00521A9E">
        <w:pPr>
          <w:pStyle w:val="af8"/>
          <w:jc w:val="center"/>
        </w:pPr>
        <w:r>
          <w:fldChar w:fldCharType="begin"/>
        </w:r>
        <w:r>
          <w:instrText>PAGE   \* MERGEFORMAT</w:instrText>
        </w:r>
        <w:r>
          <w:fldChar w:fldCharType="separate"/>
        </w:r>
        <w:r>
          <w:rPr>
            <w:lang w:val="zh-CN"/>
          </w:rPr>
          <w:t>22</w:t>
        </w:r>
        <w:r>
          <w:fldChar w:fldCharType="end"/>
        </w:r>
      </w:p>
    </w:sdtContent>
  </w:sdt>
  <w:p w:rsidR="00CC1788" w:rsidRDefault="00CC1788">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7A16" w:rsidRDefault="00A37A16">
      <w:r>
        <w:separator/>
      </w:r>
    </w:p>
  </w:footnote>
  <w:footnote w:type="continuationSeparator" w:id="0">
    <w:p w:rsidR="00A37A16" w:rsidRDefault="00A37A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26A130E"/>
    <w:multiLevelType w:val="hybridMultilevel"/>
    <w:tmpl w:val="6BDEA0F0"/>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1D82099"/>
    <w:multiLevelType w:val="multilevel"/>
    <w:tmpl w:val="21D82099"/>
    <w:lvl w:ilvl="0">
      <w:start w:val="1"/>
      <w:numFmt w:val="bullet"/>
      <w:lvlText w:val=""/>
      <w:lvlJc w:val="left"/>
      <w:pPr>
        <w:ind w:left="1020" w:hanging="420"/>
      </w:pPr>
      <w:rPr>
        <w:rFonts w:ascii="Wingdings" w:hAnsi="Wingdings" w:hint="default"/>
      </w:rPr>
    </w:lvl>
    <w:lvl w:ilvl="1">
      <w:start w:val="1"/>
      <w:numFmt w:val="bullet"/>
      <w:lvlText w:val=""/>
      <w:lvlJc w:val="left"/>
      <w:pPr>
        <w:ind w:left="1440" w:hanging="420"/>
      </w:pPr>
      <w:rPr>
        <w:rFonts w:ascii="Wingdings" w:hAnsi="Wingdings" w:hint="default"/>
      </w:rPr>
    </w:lvl>
    <w:lvl w:ilvl="2">
      <w:start w:val="1"/>
      <w:numFmt w:val="bullet"/>
      <w:lvlText w:val=""/>
      <w:lvlJc w:val="left"/>
      <w:pPr>
        <w:ind w:left="1860" w:hanging="420"/>
      </w:pPr>
      <w:rPr>
        <w:rFonts w:ascii="Wingdings" w:hAnsi="Wingdings"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5" w15:restartNumberingAfterBreak="0">
    <w:nsid w:val="23AD5414"/>
    <w:multiLevelType w:val="hybridMultilevel"/>
    <w:tmpl w:val="ADB0B016"/>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6"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7"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8"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0" w15:restartNumberingAfterBreak="0">
    <w:nsid w:val="5F7D13D7"/>
    <w:multiLevelType w:val="hybridMultilevel"/>
    <w:tmpl w:val="B30AFC26"/>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11"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3"/>
  </w:num>
  <w:num w:numId="2">
    <w:abstractNumId w:val="11"/>
  </w:num>
  <w:num w:numId="3">
    <w:abstractNumId w:val="7"/>
  </w:num>
  <w:num w:numId="4">
    <w:abstractNumId w:val="1"/>
  </w:num>
  <w:num w:numId="5">
    <w:abstractNumId w:val="9"/>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0"/>
  </w:num>
  <w:num w:numId="9">
    <w:abstractNumId w:val="4"/>
  </w:num>
  <w:num w:numId="10">
    <w:abstractNumId w:val="10"/>
  </w:num>
  <w:num w:numId="11">
    <w:abstractNumId w:val="5"/>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420"/>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47978"/>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08DF"/>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079C3"/>
    <w:rsid w:val="00112E2C"/>
    <w:rsid w:val="0011489D"/>
    <w:rsid w:val="00114A06"/>
    <w:rsid w:val="00114AEB"/>
    <w:rsid w:val="00114DB0"/>
    <w:rsid w:val="001156F1"/>
    <w:rsid w:val="00115C0F"/>
    <w:rsid w:val="00115C18"/>
    <w:rsid w:val="00120F4F"/>
    <w:rsid w:val="00120F6B"/>
    <w:rsid w:val="00121C31"/>
    <w:rsid w:val="00121E06"/>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16C"/>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5EC"/>
    <w:rsid w:val="002357C8"/>
    <w:rsid w:val="0023595B"/>
    <w:rsid w:val="002425E3"/>
    <w:rsid w:val="00244B6D"/>
    <w:rsid w:val="00245211"/>
    <w:rsid w:val="00245AAB"/>
    <w:rsid w:val="00246705"/>
    <w:rsid w:val="002519A5"/>
    <w:rsid w:val="0025225A"/>
    <w:rsid w:val="00252C67"/>
    <w:rsid w:val="002531B2"/>
    <w:rsid w:val="00253A9C"/>
    <w:rsid w:val="0025439B"/>
    <w:rsid w:val="00254BED"/>
    <w:rsid w:val="00255076"/>
    <w:rsid w:val="00256646"/>
    <w:rsid w:val="00256BC8"/>
    <w:rsid w:val="00256D7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A6E60"/>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3B91"/>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1796A"/>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9B"/>
    <w:rsid w:val="003A0BEB"/>
    <w:rsid w:val="003A1A68"/>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09D"/>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35CBF"/>
    <w:rsid w:val="00442BF4"/>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113"/>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172D"/>
    <w:rsid w:val="004B2556"/>
    <w:rsid w:val="004B2C31"/>
    <w:rsid w:val="004B40E7"/>
    <w:rsid w:val="004B469C"/>
    <w:rsid w:val="004B4A2A"/>
    <w:rsid w:val="004B5341"/>
    <w:rsid w:val="004B5848"/>
    <w:rsid w:val="004B61B3"/>
    <w:rsid w:val="004B6241"/>
    <w:rsid w:val="004B7824"/>
    <w:rsid w:val="004B7DA9"/>
    <w:rsid w:val="004C29E2"/>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9E"/>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7D98"/>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8D4"/>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973"/>
    <w:rsid w:val="00643B0D"/>
    <w:rsid w:val="00643C44"/>
    <w:rsid w:val="00644A19"/>
    <w:rsid w:val="0064622E"/>
    <w:rsid w:val="00647E24"/>
    <w:rsid w:val="0065060E"/>
    <w:rsid w:val="0065067A"/>
    <w:rsid w:val="0065099C"/>
    <w:rsid w:val="00650CE3"/>
    <w:rsid w:val="006512FA"/>
    <w:rsid w:val="00651CA2"/>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9AC"/>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053"/>
    <w:rsid w:val="0073387D"/>
    <w:rsid w:val="00735168"/>
    <w:rsid w:val="00736F85"/>
    <w:rsid w:val="0073708B"/>
    <w:rsid w:val="007378D8"/>
    <w:rsid w:val="00740F1A"/>
    <w:rsid w:val="00741392"/>
    <w:rsid w:val="00744676"/>
    <w:rsid w:val="007458AA"/>
    <w:rsid w:val="00746280"/>
    <w:rsid w:val="00751FA6"/>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1EED"/>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24E0"/>
    <w:rsid w:val="007F5D50"/>
    <w:rsid w:val="007F652A"/>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27CBD"/>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184"/>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2F6A"/>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1CBD"/>
    <w:rsid w:val="008B2864"/>
    <w:rsid w:val="008B331E"/>
    <w:rsid w:val="008B383E"/>
    <w:rsid w:val="008B52B5"/>
    <w:rsid w:val="008C0F99"/>
    <w:rsid w:val="008C2238"/>
    <w:rsid w:val="008C2BFA"/>
    <w:rsid w:val="008C591F"/>
    <w:rsid w:val="008C61C6"/>
    <w:rsid w:val="008C672B"/>
    <w:rsid w:val="008C7069"/>
    <w:rsid w:val="008D007A"/>
    <w:rsid w:val="008D0205"/>
    <w:rsid w:val="008D0750"/>
    <w:rsid w:val="008D0A1F"/>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69BB"/>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5434"/>
    <w:rsid w:val="009A56AB"/>
    <w:rsid w:val="009A607E"/>
    <w:rsid w:val="009A63A7"/>
    <w:rsid w:val="009A6727"/>
    <w:rsid w:val="009A6CCC"/>
    <w:rsid w:val="009B0D7D"/>
    <w:rsid w:val="009B2FAD"/>
    <w:rsid w:val="009B39A8"/>
    <w:rsid w:val="009B3AE7"/>
    <w:rsid w:val="009B45C4"/>
    <w:rsid w:val="009B481D"/>
    <w:rsid w:val="009B4C75"/>
    <w:rsid w:val="009B587F"/>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3161A"/>
    <w:rsid w:val="00A31CA7"/>
    <w:rsid w:val="00A325E8"/>
    <w:rsid w:val="00A33141"/>
    <w:rsid w:val="00A33493"/>
    <w:rsid w:val="00A335AE"/>
    <w:rsid w:val="00A340EE"/>
    <w:rsid w:val="00A34ABC"/>
    <w:rsid w:val="00A355D4"/>
    <w:rsid w:val="00A35CE4"/>
    <w:rsid w:val="00A35D6B"/>
    <w:rsid w:val="00A36077"/>
    <w:rsid w:val="00A37331"/>
    <w:rsid w:val="00A37A16"/>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C84"/>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0D5"/>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301"/>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3D01"/>
    <w:rsid w:val="00B4496C"/>
    <w:rsid w:val="00B45252"/>
    <w:rsid w:val="00B456B8"/>
    <w:rsid w:val="00B45861"/>
    <w:rsid w:val="00B46003"/>
    <w:rsid w:val="00B46600"/>
    <w:rsid w:val="00B515D4"/>
    <w:rsid w:val="00B51959"/>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0C94"/>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60C"/>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18FE"/>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62F"/>
    <w:rsid w:val="00C16AA4"/>
    <w:rsid w:val="00C17BA5"/>
    <w:rsid w:val="00C218BD"/>
    <w:rsid w:val="00C219B2"/>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5763"/>
    <w:rsid w:val="00C46800"/>
    <w:rsid w:val="00C47018"/>
    <w:rsid w:val="00C47059"/>
    <w:rsid w:val="00C472BB"/>
    <w:rsid w:val="00C47DDD"/>
    <w:rsid w:val="00C51B2C"/>
    <w:rsid w:val="00C5219E"/>
    <w:rsid w:val="00C52809"/>
    <w:rsid w:val="00C52E1E"/>
    <w:rsid w:val="00C53121"/>
    <w:rsid w:val="00C53354"/>
    <w:rsid w:val="00C533C3"/>
    <w:rsid w:val="00C542FA"/>
    <w:rsid w:val="00C5507C"/>
    <w:rsid w:val="00C55F88"/>
    <w:rsid w:val="00C57985"/>
    <w:rsid w:val="00C57A54"/>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1788"/>
    <w:rsid w:val="00CC2144"/>
    <w:rsid w:val="00CC22D1"/>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0F9A"/>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475B"/>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FC3"/>
    <w:rsid w:val="00D75020"/>
    <w:rsid w:val="00D754E1"/>
    <w:rsid w:val="00D75C57"/>
    <w:rsid w:val="00D77FB9"/>
    <w:rsid w:val="00D8072E"/>
    <w:rsid w:val="00D8194D"/>
    <w:rsid w:val="00D82094"/>
    <w:rsid w:val="00D82B5B"/>
    <w:rsid w:val="00D85CFA"/>
    <w:rsid w:val="00D85E2A"/>
    <w:rsid w:val="00D869A8"/>
    <w:rsid w:val="00D869E1"/>
    <w:rsid w:val="00D86C42"/>
    <w:rsid w:val="00D87ED0"/>
    <w:rsid w:val="00D90F77"/>
    <w:rsid w:val="00D91C1A"/>
    <w:rsid w:val="00D91F2F"/>
    <w:rsid w:val="00D91FC2"/>
    <w:rsid w:val="00D93038"/>
    <w:rsid w:val="00D933B2"/>
    <w:rsid w:val="00D93DF7"/>
    <w:rsid w:val="00D946AE"/>
    <w:rsid w:val="00D9511B"/>
    <w:rsid w:val="00D962C9"/>
    <w:rsid w:val="00D968DE"/>
    <w:rsid w:val="00D96AE3"/>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0F3"/>
    <w:rsid w:val="00F0282C"/>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4559"/>
    <w:rsid w:val="00F358A9"/>
    <w:rsid w:val="00F35A42"/>
    <w:rsid w:val="00F379C9"/>
    <w:rsid w:val="00F37C5F"/>
    <w:rsid w:val="00F4008F"/>
    <w:rsid w:val="00F40332"/>
    <w:rsid w:val="00F40B37"/>
    <w:rsid w:val="00F4148F"/>
    <w:rsid w:val="00F41E6A"/>
    <w:rsid w:val="00F422E4"/>
    <w:rsid w:val="00F434A5"/>
    <w:rsid w:val="00F44B19"/>
    <w:rsid w:val="00F452BE"/>
    <w:rsid w:val="00F47BDF"/>
    <w:rsid w:val="00F47F79"/>
    <w:rsid w:val="00F51ED4"/>
    <w:rsid w:val="00F529B0"/>
    <w:rsid w:val="00F529D2"/>
    <w:rsid w:val="00F52E45"/>
    <w:rsid w:val="00F53FA7"/>
    <w:rsid w:val="00F5474D"/>
    <w:rsid w:val="00F570F3"/>
    <w:rsid w:val="00F57579"/>
    <w:rsid w:val="00F61599"/>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0FEB"/>
    <w:rsid w:val="00FF248D"/>
    <w:rsid w:val="00FF63E2"/>
    <w:rsid w:val="00FF7CD7"/>
    <w:rsid w:val="03C26BD1"/>
    <w:rsid w:val="05017C52"/>
    <w:rsid w:val="07DF2906"/>
    <w:rsid w:val="09EA05ED"/>
    <w:rsid w:val="0A8F6E15"/>
    <w:rsid w:val="0C9A711D"/>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91588A"/>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F9B7AE0"/>
    <w:rsid w:val="5FE7FAD5"/>
    <w:rsid w:val="5FF4247C"/>
    <w:rsid w:val="618D6C67"/>
    <w:rsid w:val="639C1F53"/>
    <w:rsid w:val="639C7CF6"/>
    <w:rsid w:val="64095E7F"/>
    <w:rsid w:val="64414325"/>
    <w:rsid w:val="658C7FE7"/>
    <w:rsid w:val="66411775"/>
    <w:rsid w:val="669D265B"/>
    <w:rsid w:val="67BDBD93"/>
    <w:rsid w:val="686F8F42"/>
    <w:rsid w:val="68B57855"/>
    <w:rsid w:val="6A053438"/>
    <w:rsid w:val="6B0008F1"/>
    <w:rsid w:val="6BC308DC"/>
    <w:rsid w:val="6BC960D2"/>
    <w:rsid w:val="6BD46E9D"/>
    <w:rsid w:val="6DA7449A"/>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39AD1"/>
  <w15:docId w15:val="{FB6785F3-5D3B-4850-8402-F5116EE05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0">
    <w:name w:val="修订1"/>
    <w:hidden/>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505105">
      <w:bodyDiv w:val="1"/>
      <w:marLeft w:val="0"/>
      <w:marRight w:val="0"/>
      <w:marTop w:val="0"/>
      <w:marBottom w:val="0"/>
      <w:divBdr>
        <w:top w:val="none" w:sz="0" w:space="0" w:color="auto"/>
        <w:left w:val="none" w:sz="0" w:space="0" w:color="auto"/>
        <w:bottom w:val="none" w:sz="0" w:space="0" w:color="auto"/>
        <w:right w:val="none" w:sz="0" w:space="0" w:color="auto"/>
      </w:divBdr>
    </w:div>
    <w:div w:id="656345732">
      <w:bodyDiv w:val="1"/>
      <w:marLeft w:val="0"/>
      <w:marRight w:val="0"/>
      <w:marTop w:val="0"/>
      <w:marBottom w:val="0"/>
      <w:divBdr>
        <w:top w:val="none" w:sz="0" w:space="0" w:color="auto"/>
        <w:left w:val="none" w:sz="0" w:space="0" w:color="auto"/>
        <w:bottom w:val="none" w:sz="0" w:space="0" w:color="auto"/>
        <w:right w:val="none" w:sz="0" w:space="0" w:color="auto"/>
      </w:divBdr>
    </w:div>
    <w:div w:id="682435868">
      <w:bodyDiv w:val="1"/>
      <w:marLeft w:val="0"/>
      <w:marRight w:val="0"/>
      <w:marTop w:val="0"/>
      <w:marBottom w:val="0"/>
      <w:divBdr>
        <w:top w:val="none" w:sz="0" w:space="0" w:color="auto"/>
        <w:left w:val="none" w:sz="0" w:space="0" w:color="auto"/>
        <w:bottom w:val="none" w:sz="0" w:space="0" w:color="auto"/>
        <w:right w:val="none" w:sz="0" w:space="0" w:color="auto"/>
      </w:divBdr>
    </w:div>
    <w:div w:id="778138970">
      <w:bodyDiv w:val="1"/>
      <w:marLeft w:val="0"/>
      <w:marRight w:val="0"/>
      <w:marTop w:val="0"/>
      <w:marBottom w:val="0"/>
      <w:divBdr>
        <w:top w:val="none" w:sz="0" w:space="0" w:color="auto"/>
        <w:left w:val="none" w:sz="0" w:space="0" w:color="auto"/>
        <w:bottom w:val="none" w:sz="0" w:space="0" w:color="auto"/>
        <w:right w:val="none" w:sz="0" w:space="0" w:color="auto"/>
      </w:divBdr>
    </w:div>
    <w:div w:id="851651936">
      <w:bodyDiv w:val="1"/>
      <w:marLeft w:val="0"/>
      <w:marRight w:val="0"/>
      <w:marTop w:val="0"/>
      <w:marBottom w:val="0"/>
      <w:divBdr>
        <w:top w:val="none" w:sz="0" w:space="0" w:color="auto"/>
        <w:left w:val="none" w:sz="0" w:space="0" w:color="auto"/>
        <w:bottom w:val="none" w:sz="0" w:space="0" w:color="auto"/>
        <w:right w:val="none" w:sz="0" w:space="0" w:color="auto"/>
      </w:divBdr>
    </w:div>
    <w:div w:id="965426929">
      <w:bodyDiv w:val="1"/>
      <w:marLeft w:val="0"/>
      <w:marRight w:val="0"/>
      <w:marTop w:val="0"/>
      <w:marBottom w:val="0"/>
      <w:divBdr>
        <w:top w:val="none" w:sz="0" w:space="0" w:color="auto"/>
        <w:left w:val="none" w:sz="0" w:space="0" w:color="auto"/>
        <w:bottom w:val="none" w:sz="0" w:space="0" w:color="auto"/>
        <w:right w:val="none" w:sz="0" w:space="0" w:color="auto"/>
      </w:divBdr>
      <w:divsChild>
        <w:div w:id="223612407">
          <w:marLeft w:val="0"/>
          <w:marRight w:val="0"/>
          <w:marTop w:val="0"/>
          <w:marBottom w:val="0"/>
          <w:divBdr>
            <w:top w:val="none" w:sz="0" w:space="0" w:color="auto"/>
            <w:left w:val="none" w:sz="0" w:space="0" w:color="auto"/>
            <w:bottom w:val="none" w:sz="0" w:space="0" w:color="auto"/>
            <w:right w:val="none" w:sz="0" w:space="0" w:color="auto"/>
          </w:divBdr>
        </w:div>
        <w:div w:id="1568029668">
          <w:marLeft w:val="0"/>
          <w:marRight w:val="0"/>
          <w:marTop w:val="0"/>
          <w:marBottom w:val="0"/>
          <w:divBdr>
            <w:top w:val="none" w:sz="0" w:space="0" w:color="auto"/>
            <w:left w:val="none" w:sz="0" w:space="0" w:color="auto"/>
            <w:bottom w:val="none" w:sz="0" w:space="0" w:color="auto"/>
            <w:right w:val="none" w:sz="0" w:space="0" w:color="auto"/>
          </w:divBdr>
        </w:div>
      </w:divsChild>
    </w:div>
    <w:div w:id="1214390843">
      <w:bodyDiv w:val="1"/>
      <w:marLeft w:val="0"/>
      <w:marRight w:val="0"/>
      <w:marTop w:val="0"/>
      <w:marBottom w:val="0"/>
      <w:divBdr>
        <w:top w:val="none" w:sz="0" w:space="0" w:color="auto"/>
        <w:left w:val="none" w:sz="0" w:space="0" w:color="auto"/>
        <w:bottom w:val="none" w:sz="0" w:space="0" w:color="auto"/>
        <w:right w:val="none" w:sz="0" w:space="0" w:color="auto"/>
      </w:divBdr>
    </w:div>
    <w:div w:id="1224173489">
      <w:bodyDiv w:val="1"/>
      <w:marLeft w:val="0"/>
      <w:marRight w:val="0"/>
      <w:marTop w:val="0"/>
      <w:marBottom w:val="0"/>
      <w:divBdr>
        <w:top w:val="none" w:sz="0" w:space="0" w:color="auto"/>
        <w:left w:val="none" w:sz="0" w:space="0" w:color="auto"/>
        <w:bottom w:val="none" w:sz="0" w:space="0" w:color="auto"/>
        <w:right w:val="none" w:sz="0" w:space="0" w:color="auto"/>
      </w:divBdr>
    </w:div>
    <w:div w:id="1327972909">
      <w:bodyDiv w:val="1"/>
      <w:marLeft w:val="0"/>
      <w:marRight w:val="0"/>
      <w:marTop w:val="0"/>
      <w:marBottom w:val="0"/>
      <w:divBdr>
        <w:top w:val="none" w:sz="0" w:space="0" w:color="auto"/>
        <w:left w:val="none" w:sz="0" w:space="0" w:color="auto"/>
        <w:bottom w:val="none" w:sz="0" w:space="0" w:color="auto"/>
        <w:right w:val="none" w:sz="0" w:space="0" w:color="auto"/>
      </w:divBdr>
    </w:div>
    <w:div w:id="1338539560">
      <w:bodyDiv w:val="1"/>
      <w:marLeft w:val="0"/>
      <w:marRight w:val="0"/>
      <w:marTop w:val="0"/>
      <w:marBottom w:val="0"/>
      <w:divBdr>
        <w:top w:val="none" w:sz="0" w:space="0" w:color="auto"/>
        <w:left w:val="none" w:sz="0" w:space="0" w:color="auto"/>
        <w:bottom w:val="none" w:sz="0" w:space="0" w:color="auto"/>
        <w:right w:val="none" w:sz="0" w:space="0" w:color="auto"/>
      </w:divBdr>
      <w:divsChild>
        <w:div w:id="371462184">
          <w:marLeft w:val="0"/>
          <w:marRight w:val="0"/>
          <w:marTop w:val="0"/>
          <w:marBottom w:val="0"/>
          <w:divBdr>
            <w:top w:val="none" w:sz="0" w:space="0" w:color="auto"/>
            <w:left w:val="none" w:sz="0" w:space="0" w:color="auto"/>
            <w:bottom w:val="none" w:sz="0" w:space="0" w:color="auto"/>
            <w:right w:val="none" w:sz="0" w:space="0" w:color="auto"/>
          </w:divBdr>
          <w:divsChild>
            <w:div w:id="1818303120">
              <w:marLeft w:val="0"/>
              <w:marRight w:val="0"/>
              <w:marTop w:val="0"/>
              <w:marBottom w:val="0"/>
              <w:divBdr>
                <w:top w:val="none" w:sz="0" w:space="0" w:color="auto"/>
                <w:left w:val="none" w:sz="0" w:space="0" w:color="auto"/>
                <w:bottom w:val="none" w:sz="0" w:space="0" w:color="auto"/>
                <w:right w:val="none" w:sz="0" w:space="0" w:color="auto"/>
              </w:divBdr>
            </w:div>
          </w:divsChild>
        </w:div>
        <w:div w:id="1666010616">
          <w:marLeft w:val="0"/>
          <w:marRight w:val="0"/>
          <w:marTop w:val="0"/>
          <w:marBottom w:val="0"/>
          <w:divBdr>
            <w:top w:val="none" w:sz="0" w:space="0" w:color="auto"/>
            <w:left w:val="none" w:sz="0" w:space="0" w:color="auto"/>
            <w:bottom w:val="none" w:sz="0" w:space="0" w:color="auto"/>
            <w:right w:val="none" w:sz="0" w:space="0" w:color="auto"/>
          </w:divBdr>
        </w:div>
        <w:div w:id="1706981790">
          <w:marLeft w:val="0"/>
          <w:marRight w:val="0"/>
          <w:marTop w:val="0"/>
          <w:marBottom w:val="0"/>
          <w:divBdr>
            <w:top w:val="none" w:sz="0" w:space="0" w:color="auto"/>
            <w:left w:val="none" w:sz="0" w:space="0" w:color="auto"/>
            <w:bottom w:val="none" w:sz="0" w:space="0" w:color="auto"/>
            <w:right w:val="none" w:sz="0" w:space="0" w:color="auto"/>
          </w:divBdr>
          <w:divsChild>
            <w:div w:id="892158786">
              <w:marLeft w:val="0"/>
              <w:marRight w:val="0"/>
              <w:marTop w:val="0"/>
              <w:marBottom w:val="0"/>
              <w:divBdr>
                <w:top w:val="none" w:sz="0" w:space="0" w:color="auto"/>
                <w:left w:val="none" w:sz="0" w:space="0" w:color="auto"/>
                <w:bottom w:val="none" w:sz="0" w:space="0" w:color="auto"/>
                <w:right w:val="none" w:sz="0" w:space="0" w:color="auto"/>
              </w:divBdr>
            </w:div>
          </w:divsChild>
        </w:div>
        <w:div w:id="1480264947">
          <w:marLeft w:val="0"/>
          <w:marRight w:val="0"/>
          <w:marTop w:val="0"/>
          <w:marBottom w:val="0"/>
          <w:divBdr>
            <w:top w:val="none" w:sz="0" w:space="0" w:color="auto"/>
            <w:left w:val="none" w:sz="0" w:space="0" w:color="auto"/>
            <w:bottom w:val="none" w:sz="0" w:space="0" w:color="auto"/>
            <w:right w:val="none" w:sz="0" w:space="0" w:color="auto"/>
          </w:divBdr>
          <w:divsChild>
            <w:div w:id="107578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535071">
      <w:bodyDiv w:val="1"/>
      <w:marLeft w:val="0"/>
      <w:marRight w:val="0"/>
      <w:marTop w:val="0"/>
      <w:marBottom w:val="0"/>
      <w:divBdr>
        <w:top w:val="none" w:sz="0" w:space="0" w:color="auto"/>
        <w:left w:val="none" w:sz="0" w:space="0" w:color="auto"/>
        <w:bottom w:val="none" w:sz="0" w:space="0" w:color="auto"/>
        <w:right w:val="none" w:sz="0" w:space="0" w:color="auto"/>
      </w:divBdr>
      <w:divsChild>
        <w:div w:id="282927434">
          <w:marLeft w:val="0"/>
          <w:marRight w:val="0"/>
          <w:marTop w:val="0"/>
          <w:marBottom w:val="0"/>
          <w:divBdr>
            <w:top w:val="none" w:sz="0" w:space="0" w:color="auto"/>
            <w:left w:val="none" w:sz="0" w:space="0" w:color="auto"/>
            <w:bottom w:val="none" w:sz="0" w:space="0" w:color="auto"/>
            <w:right w:val="none" w:sz="0" w:space="0" w:color="auto"/>
          </w:divBdr>
        </w:div>
        <w:div w:id="2074694011">
          <w:marLeft w:val="0"/>
          <w:marRight w:val="0"/>
          <w:marTop w:val="0"/>
          <w:marBottom w:val="0"/>
          <w:divBdr>
            <w:top w:val="none" w:sz="0" w:space="0" w:color="auto"/>
            <w:left w:val="none" w:sz="0" w:space="0" w:color="auto"/>
            <w:bottom w:val="none" w:sz="0" w:space="0" w:color="auto"/>
            <w:right w:val="none" w:sz="0" w:space="0" w:color="auto"/>
          </w:divBdr>
        </w:div>
      </w:divsChild>
    </w:div>
    <w:div w:id="19045615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3560</TotalTime>
  <Pages>29</Pages>
  <Words>5175</Words>
  <Characters>5332</Characters>
  <Application>Microsoft Office Word</Application>
  <DocSecurity>0</DocSecurity>
  <Lines>666</Lines>
  <Paragraphs>552</Paragraphs>
  <ScaleCrop>false</ScaleCrop>
  <Company>Microsoft</Company>
  <LinksUpToDate>false</LinksUpToDate>
  <CharactersWithSpaces>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592</cp:revision>
  <cp:lastPrinted>2025-04-24T00:12:00Z</cp:lastPrinted>
  <dcterms:created xsi:type="dcterms:W3CDTF">2023-04-16T11:33:00Z</dcterms:created>
  <dcterms:modified xsi:type="dcterms:W3CDTF">2026-06-30T11:10:00Z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AB6060C678A642A689B8585AA1686E0B_13</vt:lpwstr>
  </property>
  <property fmtid="{D5CDD505-2E9C-101B-9397-08002B2CF9AE}" pid="4" name="KSOTemplateDocerSaveRecord">
    <vt:lpwstr>eyJoZGlkIjoiODY1NmEwZWIxZGEzMWE3MzdmY2NhMzZhZDE0ODEwM2UiLCJ1c2VySWQiOiI1NjkwODQ0OTAifQ==</vt:lpwstr>
  </property>
</Properties>
</file>