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20C4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4644E56">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71DECA5">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67.120.10</w:t>
            </w:r>
            <w:r>
              <w:rPr>
                <w:rFonts w:ascii="黑体" w:hAnsi="黑体" w:eastAsia="黑体"/>
                <w:sz w:val="21"/>
                <w:szCs w:val="21"/>
              </w:rPr>
              <w:fldChar w:fldCharType="end"/>
            </w:r>
            <w:bookmarkEnd w:id="0"/>
          </w:p>
        </w:tc>
      </w:tr>
      <w:tr w14:paraId="5E97E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B18D77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65FC18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30E4AF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290F87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18</w:t>
            </w:r>
            <w:r>
              <w:rPr>
                <w:rFonts w:ascii="黑体" w:hAnsi="黑体" w:eastAsia="黑体"/>
                <w:sz w:val="21"/>
                <w:szCs w:val="21"/>
              </w:rPr>
              <w:fldChar w:fldCharType="end"/>
            </w:r>
            <w:bookmarkEnd w:id="2"/>
          </w:p>
        </w:tc>
      </w:tr>
    </w:tbl>
    <w:p w14:paraId="0461B39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团</w:t>
      </w:r>
      <w:r>
        <w:rPr>
          <w:rFonts w:hint="eastAsia" w:ascii="黑体" w:eastAsia="黑体"/>
          <w:b w:val="0"/>
          <w:w w:val="100"/>
          <w:sz w:val="48"/>
        </w:rPr>
        <w:t>体标准</w:t>
      </w:r>
      <w:r>
        <w:rPr>
          <w:rFonts w:ascii="黑体" w:eastAsia="黑体"/>
          <w:b w:val="0"/>
          <w:w w:val="100"/>
          <w:sz w:val="48"/>
        </w:rPr>
        <w:fldChar w:fldCharType="end"/>
      </w:r>
      <w:bookmarkEnd w:id="4"/>
    </w:p>
    <w:bookmarkEnd w:id="3"/>
    <w:p w14:paraId="3332FE59">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6545E0B">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DA8B14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A6A0A1">
      <w:pPr>
        <w:pStyle w:val="50"/>
        <w:framePr w:w="9639" w:h="6976" w:hRule="exact" w:hSpace="0" w:vSpace="0" w:wrap="around" w:hAnchor="page" w:y="6408"/>
        <w:jc w:val="center"/>
        <w:rPr>
          <w:rFonts w:hint="eastAsia" w:ascii="黑体" w:hAnsi="黑体" w:eastAsia="黑体"/>
          <w:b w:val="0"/>
          <w:bCs w:val="0"/>
          <w:w w:val="100"/>
        </w:rPr>
      </w:pPr>
    </w:p>
    <w:p w14:paraId="026D092C">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冰鲜玉林三黄鸡</w:t>
      </w:r>
      <w:r>
        <w:fldChar w:fldCharType="end"/>
      </w:r>
      <w:bookmarkEnd w:id="9"/>
    </w:p>
    <w:p w14:paraId="2C0597CE">
      <w:pPr>
        <w:framePr w:w="9639" w:h="6974" w:hRule="exact" w:wrap="around" w:vAnchor="page" w:hAnchor="page" w:x="1419" w:y="6408" w:anchorLock="1"/>
        <w:ind w:left="-1418"/>
      </w:pPr>
    </w:p>
    <w:p w14:paraId="6D9D83DD">
      <w:pPr>
        <w:pStyle w:val="125"/>
        <w:framePr w:w="9639" w:h="6974" w:hRule="exact" w:wrap="around" w:vAnchor="page" w:hAnchor="page" w:x="1419" w:y="6408" w:anchorLock="1"/>
        <w:textAlignment w:val="bottom"/>
        <w:rPr>
          <w:rFonts w:hint="eastAsia"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ascii="黑体" w:hAnsi="黑体" w:eastAsia="黑体"/>
          <w:szCs w:val="28"/>
        </w:rPr>
        <w:t>Chilled Yulin Sanhuang chicken</w:t>
      </w:r>
      <w:r>
        <w:rPr>
          <w:rFonts w:ascii="黑体" w:hAnsi="黑体" w:eastAsia="黑体"/>
          <w:szCs w:val="28"/>
        </w:rPr>
        <w:fldChar w:fldCharType="end"/>
      </w:r>
      <w:bookmarkEnd w:id="10"/>
    </w:p>
    <w:p w14:paraId="4ED8B7CF">
      <w:pPr>
        <w:framePr w:w="9639" w:h="6974" w:hRule="exact" w:wrap="around" w:vAnchor="page" w:hAnchor="page" w:x="1419" w:y="6408" w:anchorLock="1"/>
        <w:spacing w:line="760" w:lineRule="exact"/>
        <w:ind w:left="-1418"/>
      </w:pPr>
    </w:p>
    <w:p w14:paraId="6B106A38">
      <w:pPr>
        <w:pStyle w:val="125"/>
        <w:framePr w:w="9639" w:h="6974" w:hRule="exact" w:wrap="around" w:vAnchor="page" w:hAnchor="page" w:x="1419" w:y="6408" w:anchorLock="1"/>
        <w:textAlignment w:val="bottom"/>
        <w:rPr>
          <w:rFonts w:eastAsia="黑体"/>
          <w:szCs w:val="28"/>
        </w:rPr>
      </w:pPr>
    </w:p>
    <w:p w14:paraId="6FC7E75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303F942">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A7E396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76D423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592265A">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2D61387">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广</w:t>
      </w:r>
      <w:r>
        <w:rPr>
          <w:rFonts w:hint="eastAsia" w:hAnsi="黑体"/>
          <w:w w:val="100"/>
          <w:sz w:val="28"/>
        </w:rPr>
        <w:t>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9B7EAC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FB77C42">
      <w:pPr>
        <w:pStyle w:val="89"/>
        <w:spacing w:before="900" w:after="360"/>
      </w:pPr>
      <w:bookmarkStart w:id="21" w:name="BookMark2"/>
      <w:r>
        <w:rPr>
          <w:rFonts w:hint="eastAsia"/>
          <w:spacing w:val="320"/>
        </w:rPr>
        <w:t>前</w:t>
      </w:r>
      <w:r>
        <w:rPr>
          <w:rFonts w:hint="eastAsia"/>
        </w:rPr>
        <w:t>言</w:t>
      </w:r>
    </w:p>
    <w:p w14:paraId="1D26DC40">
      <w:pPr>
        <w:pStyle w:val="56"/>
        <w:ind w:firstLine="420"/>
      </w:pPr>
      <w:r>
        <w:rPr>
          <w:rFonts w:hint="eastAsia"/>
        </w:rPr>
        <w:t>本文件参</w:t>
      </w:r>
      <w:r>
        <w:rPr>
          <w:rFonts w:hint="eastAsia" w:ascii="宋体" w:hAnsi="宋体"/>
        </w:rPr>
        <w:t>照GB/T 1.1—2</w:t>
      </w:r>
      <w:r>
        <w:rPr>
          <w:rFonts w:hint="eastAsia"/>
        </w:rPr>
        <w:t>020《标准化工作导则  第1部分：标准化文件的结构和起草规则》的规定起草。</w:t>
      </w:r>
    </w:p>
    <w:p w14:paraId="76DC48C8">
      <w:pPr>
        <w:pStyle w:val="56"/>
        <w:ind w:firstLine="420"/>
      </w:pPr>
      <w:r>
        <w:rPr>
          <w:rFonts w:hint="eastAsia"/>
        </w:rPr>
        <w:t>请注意本文件的某些内容可能涉及专利。本文件的发布机构不承担识别专利的责任。</w:t>
      </w:r>
    </w:p>
    <w:p w14:paraId="7BE11012">
      <w:pPr>
        <w:pStyle w:val="56"/>
        <w:ind w:firstLine="420"/>
      </w:pPr>
      <w:r>
        <w:rPr>
          <w:rFonts w:hint="eastAsia"/>
        </w:rPr>
        <w:t>本文件由</w:t>
      </w:r>
      <w:r>
        <w:t>玉林市京桂三黄鸡研究院</w:t>
      </w:r>
      <w:r>
        <w:rPr>
          <w:rFonts w:hint="eastAsia"/>
        </w:rPr>
        <w:t>提出并</w:t>
      </w:r>
      <w:r>
        <w:t>宣贯</w:t>
      </w:r>
      <w:r>
        <w:rPr>
          <w:rFonts w:hint="eastAsia"/>
        </w:rPr>
        <w:t>。</w:t>
      </w:r>
    </w:p>
    <w:p w14:paraId="043286A4">
      <w:pPr>
        <w:pStyle w:val="56"/>
        <w:ind w:firstLine="420"/>
      </w:pPr>
      <w:r>
        <w:rPr>
          <w:rFonts w:hint="eastAsia"/>
        </w:rPr>
        <w:t>本文件由广西标准化协会归口。</w:t>
      </w:r>
    </w:p>
    <w:p w14:paraId="2163FE0C">
      <w:pPr>
        <w:pStyle w:val="56"/>
        <w:ind w:firstLine="420"/>
      </w:pPr>
      <w:r>
        <w:rPr>
          <w:rFonts w:hint="eastAsia"/>
        </w:rPr>
        <w:t>本文件起草单位：</w:t>
      </w:r>
      <w:r>
        <w:t>广西壮族自治区水产畜牧兽医技术培训中心、广西农业职业技术大学、广西畜牧业协会、玉林市食品药品检验检测中心、玉林市京桂三黄鸡研究院、玉林市水产畜牧业协会、广西标准化协会、广西参皇养殖集团有限公司、广西农贝贝农牧科技有限公司、广西祝氏农牧有限责任公司、广西春茂农牧集团有限公司、广西玉林山凤养殖有限公司、广西优凤农牧科技有限公司、广西冠昌农牧有限公司</w:t>
      </w:r>
      <w:r>
        <w:rPr>
          <w:rFonts w:hint="eastAsia"/>
        </w:rPr>
        <w:t>。</w:t>
      </w:r>
    </w:p>
    <w:p w14:paraId="1415DC3E">
      <w:pPr>
        <w:pStyle w:val="56"/>
        <w:ind w:firstLine="420"/>
        <w:rPr>
          <w:rFonts w:hint="eastAsia" w:eastAsia="宋体"/>
          <w:lang w:eastAsia="zh-CN"/>
        </w:rPr>
      </w:pPr>
      <w:r>
        <w:rPr>
          <w:rFonts w:hint="eastAsia"/>
        </w:rPr>
        <w:t>本文件主要起草人：朱光兰、文杰、陆星彤、韦美玉、刘祁云</w:t>
      </w:r>
      <w:r>
        <w:rPr>
          <w:rFonts w:hint="eastAsia"/>
          <w:lang w:eastAsia="zh-CN"/>
        </w:rPr>
        <w:t>、</w:t>
      </w:r>
      <w:r>
        <w:rPr>
          <w:rFonts w:hint="eastAsia"/>
        </w:rPr>
        <w:t>梁秀秀、林忆莲、梁纪豪、刘冉冉、零达宇、钟江钊、韦凤英、孙俊丽、杨福剑、徐梦、陈婷婷、</w:t>
      </w:r>
      <w:r>
        <w:rPr>
          <w:rFonts w:hint="eastAsia"/>
          <w:lang w:val="en-US" w:eastAsia="zh-CN"/>
        </w:rPr>
        <w:t>谢沐新</w:t>
      </w:r>
      <w:r>
        <w:rPr>
          <w:rFonts w:hint="eastAsia"/>
        </w:rPr>
        <w:t>、邓深松、陈发明、祝春三、罗世嫦、罗绍、李  剑、王嘉鸿、黄超、吴华民、李耀、吴梦琴、李坤雨、王晓菊、罗玲</w:t>
      </w:r>
      <w:r>
        <w:rPr>
          <w:rFonts w:hint="eastAsia"/>
          <w:lang w:val="en-US" w:eastAsia="zh-CN"/>
        </w:rPr>
        <w:t>、苏子华、</w:t>
      </w:r>
      <w:r>
        <w:rPr>
          <w:rFonts w:hint="eastAsia"/>
        </w:rPr>
        <w:t>黄文生</w:t>
      </w:r>
      <w:r>
        <w:rPr>
          <w:rFonts w:hint="eastAsia"/>
          <w:lang w:eastAsia="zh-CN"/>
        </w:rPr>
        <w:t>。</w:t>
      </w:r>
      <w:bookmarkStart w:id="53" w:name="_GoBack"/>
      <w:bookmarkEnd w:id="53"/>
    </w:p>
    <w:p w14:paraId="25AEEDBF">
      <w:pPr>
        <w:pStyle w:val="56"/>
        <w:ind w:firstLine="420"/>
      </w:pPr>
    </w:p>
    <w:p w14:paraId="42E38D35">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2EACF569">
      <w:pPr>
        <w:spacing w:line="20" w:lineRule="exact"/>
        <w:jc w:val="center"/>
        <w:rPr>
          <w:rFonts w:hint="eastAsia" w:ascii="黑体" w:hAnsi="黑体" w:eastAsia="黑体"/>
          <w:sz w:val="32"/>
          <w:szCs w:val="32"/>
        </w:rPr>
      </w:pPr>
      <w:bookmarkStart w:id="22" w:name="BookMark4"/>
    </w:p>
    <w:p w14:paraId="3C4F77BD">
      <w:pPr>
        <w:spacing w:line="20" w:lineRule="exact"/>
        <w:jc w:val="center"/>
        <w:rPr>
          <w:rFonts w:hint="eastAsia" w:ascii="黑体" w:hAnsi="黑体" w:eastAsia="黑体"/>
          <w:sz w:val="32"/>
          <w:szCs w:val="32"/>
        </w:rPr>
      </w:pPr>
    </w:p>
    <w:sdt>
      <w:sdtPr>
        <w:tag w:val="NEW_STAND_NAME"/>
        <w:id w:val="595910757"/>
        <w:lock w:val="sdtLocked"/>
        <w:placeholder>
          <w:docPart w:val="D3CA5040BD694FF0A7FF5D1A736F5E62"/>
        </w:placeholder>
      </w:sdtPr>
      <w:sdtContent>
        <w:p w14:paraId="4FB16926">
          <w:pPr>
            <w:pStyle w:val="177"/>
            <w:spacing w:before="2" w:beforeLines="1" w:after="528" w:afterLines="220"/>
            <w:rPr>
              <w:rFonts w:hint="eastAsia"/>
            </w:rPr>
          </w:pPr>
          <w:bookmarkStart w:id="23" w:name="NEW_STAND_NAME"/>
          <w:r>
            <w:rPr>
              <w:rFonts w:hint="eastAsia"/>
            </w:rPr>
            <w:t>冰鲜玉林三黄鸡</w:t>
          </w:r>
        </w:p>
      </w:sdtContent>
    </w:sdt>
    <w:bookmarkEnd w:id="23"/>
    <w:p w14:paraId="641BA853">
      <w:pPr>
        <w:pStyle w:val="104"/>
        <w:spacing w:before="240" w:after="240"/>
      </w:pPr>
      <w:bookmarkStart w:id="24" w:name="_Toc26718930"/>
      <w:bookmarkStart w:id="25" w:name="_Toc26986530"/>
      <w:bookmarkStart w:id="26" w:name="_Toc97192964"/>
      <w:bookmarkStart w:id="27" w:name="_Toc26986771"/>
      <w:bookmarkStart w:id="28" w:name="_Toc17233325"/>
      <w:bookmarkStart w:id="29" w:name="_Toc26648465"/>
      <w:bookmarkStart w:id="30" w:name="_Toc24884211"/>
      <w:bookmarkStart w:id="31" w:name="_Toc17233333"/>
      <w:bookmarkStart w:id="32" w:name="_Toc24884218"/>
      <w:r>
        <w:rPr>
          <w:rFonts w:hint="eastAsia"/>
        </w:rPr>
        <w:t>范围</w:t>
      </w:r>
      <w:bookmarkEnd w:id="24"/>
      <w:bookmarkEnd w:id="25"/>
      <w:bookmarkEnd w:id="26"/>
      <w:bookmarkEnd w:id="27"/>
      <w:bookmarkEnd w:id="28"/>
      <w:bookmarkEnd w:id="29"/>
      <w:bookmarkEnd w:id="30"/>
      <w:bookmarkEnd w:id="31"/>
      <w:bookmarkEnd w:id="32"/>
    </w:p>
    <w:p w14:paraId="141569F9">
      <w:pPr>
        <w:pStyle w:val="56"/>
        <w:ind w:firstLine="420"/>
      </w:pPr>
      <w:bookmarkStart w:id="33" w:name="_Toc17233334"/>
      <w:bookmarkStart w:id="34" w:name="_Toc26648466"/>
      <w:bookmarkStart w:id="35" w:name="_Toc17233326"/>
      <w:bookmarkStart w:id="36" w:name="_Toc24884219"/>
      <w:bookmarkStart w:id="37" w:name="_Toc24884212"/>
      <w:r>
        <w:rPr>
          <w:rFonts w:hint="eastAsia"/>
        </w:rPr>
        <w:t>本文件界定了</w:t>
      </w:r>
      <w:bookmarkStart w:id="38" w:name="OLE_LINK8"/>
      <w:r>
        <w:rPr>
          <w:rFonts w:hint="eastAsia"/>
        </w:rPr>
        <w:t>冰鲜玉林三黄鸡</w:t>
      </w:r>
      <w:bookmarkEnd w:id="38"/>
      <w:r>
        <w:rPr>
          <w:rFonts w:hint="eastAsia"/>
        </w:rPr>
        <w:t>的术语和定义，规定了技术要求、</w:t>
      </w:r>
      <w:r>
        <w:t>生产加工卫生</w:t>
      </w:r>
      <w:r>
        <w:rPr>
          <w:rFonts w:hint="eastAsia"/>
        </w:rPr>
        <w:t>、标签、包装、运输和贮存的要求，描述了相应的检验方法和检验规则。</w:t>
      </w:r>
    </w:p>
    <w:p w14:paraId="148F2590">
      <w:pPr>
        <w:pStyle w:val="56"/>
        <w:ind w:firstLine="420"/>
      </w:pPr>
      <w:r>
        <w:rPr>
          <w:rFonts w:hint="eastAsia"/>
        </w:rPr>
        <w:t>本文件适用于冰鲜玉林三黄鸡的生产、检验和销售。</w:t>
      </w:r>
    </w:p>
    <w:p w14:paraId="52A0D051">
      <w:pPr>
        <w:pStyle w:val="104"/>
        <w:spacing w:before="240" w:after="240"/>
      </w:pPr>
      <w:bookmarkStart w:id="39" w:name="_Toc97192965"/>
      <w:bookmarkStart w:id="40" w:name="_Toc26986531"/>
      <w:bookmarkStart w:id="41" w:name="_Toc26986772"/>
      <w:bookmarkStart w:id="42" w:name="_Toc26718931"/>
      <w:r>
        <w:rPr>
          <w:rFonts w:hint="eastAsia"/>
        </w:rPr>
        <w:t>规范性引用文件</w:t>
      </w:r>
      <w:bookmarkEnd w:id="33"/>
      <w:bookmarkEnd w:id="34"/>
      <w:bookmarkEnd w:id="35"/>
      <w:bookmarkEnd w:id="36"/>
      <w:bookmarkEnd w:id="37"/>
      <w:bookmarkEnd w:id="39"/>
      <w:bookmarkEnd w:id="40"/>
      <w:bookmarkEnd w:id="41"/>
      <w:bookmarkEnd w:id="42"/>
    </w:p>
    <w:sdt>
      <w:sdtPr>
        <w:rPr>
          <w:rFonts w:hint="eastAsia"/>
        </w:rPr>
        <w:id w:val="715848253"/>
        <w:placeholder>
          <w:docPart w:val="116E4AA15F764A13B55329F0E7CEEC3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E64867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186A724">
      <w:pPr>
        <w:pStyle w:val="56"/>
        <w:ind w:firstLine="420"/>
        <w:rPr>
          <w:rFonts w:hint="eastAsia" w:ascii="宋体" w:hAnsi="宋体"/>
        </w:rPr>
      </w:pPr>
      <w:r>
        <w:rPr>
          <w:rFonts w:ascii="宋体" w:hAnsi="宋体"/>
        </w:rPr>
        <w:t>GB/T 191</w:t>
      </w:r>
      <w:r>
        <w:rPr>
          <w:rFonts w:hint="eastAsia" w:ascii="宋体" w:hAnsi="宋体"/>
        </w:rPr>
        <w:t xml:space="preserve"> </w:t>
      </w:r>
      <w:r>
        <w:rPr>
          <w:rFonts w:ascii="宋体" w:hAnsi="宋体"/>
        </w:rPr>
        <w:t xml:space="preserve"> 包装储运图示标志</w:t>
      </w:r>
    </w:p>
    <w:p w14:paraId="55C7074A">
      <w:pPr>
        <w:pStyle w:val="56"/>
        <w:ind w:firstLine="420"/>
        <w:rPr>
          <w:rFonts w:hint="eastAsia" w:ascii="宋体" w:hAnsi="宋体"/>
        </w:rPr>
      </w:pPr>
      <w:r>
        <w:rPr>
          <w:rFonts w:ascii="宋体" w:hAnsi="宋体"/>
        </w:rPr>
        <w:t xml:space="preserve">GB 2707 </w:t>
      </w:r>
      <w:r>
        <w:rPr>
          <w:rFonts w:hint="eastAsia" w:ascii="宋体" w:hAnsi="宋体"/>
        </w:rPr>
        <w:t xml:space="preserve"> </w:t>
      </w:r>
      <w:r>
        <w:rPr>
          <w:rFonts w:ascii="宋体" w:hAnsi="宋体"/>
        </w:rPr>
        <w:t>食品安全国家标准</w:t>
      </w:r>
      <w:r>
        <w:rPr>
          <w:rFonts w:hint="eastAsia" w:ascii="宋体" w:hAnsi="宋体"/>
        </w:rPr>
        <w:t xml:space="preserve"> </w:t>
      </w:r>
      <w:r>
        <w:rPr>
          <w:rFonts w:ascii="宋体" w:hAnsi="宋体"/>
        </w:rPr>
        <w:t xml:space="preserve"> 鲜（冻）畜、禽产品</w:t>
      </w:r>
    </w:p>
    <w:p w14:paraId="4F6F7B6C">
      <w:pPr>
        <w:pStyle w:val="56"/>
        <w:ind w:firstLine="420"/>
        <w:rPr>
          <w:rFonts w:hint="eastAsia" w:ascii="宋体" w:hAnsi="宋体"/>
        </w:rPr>
      </w:pPr>
      <w:r>
        <w:rPr>
          <w:rFonts w:ascii="宋体" w:hAnsi="宋体"/>
        </w:rPr>
        <w:t>GB 2762</w:t>
      </w:r>
      <w:r>
        <w:rPr>
          <w:rFonts w:hint="eastAsia" w:ascii="宋体" w:hAnsi="宋体"/>
        </w:rPr>
        <w:t xml:space="preserve"> </w:t>
      </w:r>
      <w:r>
        <w:rPr>
          <w:rFonts w:ascii="宋体" w:hAnsi="宋体"/>
        </w:rPr>
        <w:t xml:space="preserve"> 食品安全国家标准 </w:t>
      </w:r>
      <w:r>
        <w:rPr>
          <w:rFonts w:hint="eastAsia" w:ascii="宋体" w:hAnsi="宋体"/>
        </w:rPr>
        <w:t xml:space="preserve"> </w:t>
      </w:r>
      <w:r>
        <w:rPr>
          <w:rFonts w:ascii="宋体" w:hAnsi="宋体"/>
        </w:rPr>
        <w:t>食品中污染物限量</w:t>
      </w:r>
    </w:p>
    <w:p w14:paraId="02DEBA66">
      <w:pPr>
        <w:pStyle w:val="56"/>
        <w:ind w:firstLine="420"/>
        <w:rPr>
          <w:rFonts w:hint="eastAsia" w:ascii="宋体" w:hAnsi="宋体"/>
        </w:rPr>
      </w:pPr>
      <w:r>
        <w:rPr>
          <w:rFonts w:ascii="宋体" w:hAnsi="宋体"/>
        </w:rPr>
        <w:t>GB 2763</w:t>
      </w:r>
      <w:r>
        <w:rPr>
          <w:rFonts w:hint="eastAsia" w:ascii="宋体" w:hAnsi="宋体"/>
        </w:rPr>
        <w:t xml:space="preserve"> </w:t>
      </w:r>
      <w:r>
        <w:rPr>
          <w:rFonts w:ascii="宋体" w:hAnsi="宋体"/>
        </w:rPr>
        <w:t xml:space="preserve"> 食品安全国家标准 </w:t>
      </w:r>
      <w:r>
        <w:rPr>
          <w:rFonts w:hint="eastAsia" w:ascii="宋体" w:hAnsi="宋体"/>
        </w:rPr>
        <w:t xml:space="preserve"> </w:t>
      </w:r>
      <w:r>
        <w:rPr>
          <w:rFonts w:ascii="宋体" w:hAnsi="宋体"/>
        </w:rPr>
        <w:t>食品中农药最大残留限量</w:t>
      </w:r>
    </w:p>
    <w:p w14:paraId="3904C7F2">
      <w:pPr>
        <w:pStyle w:val="56"/>
        <w:ind w:firstLine="420"/>
        <w:rPr>
          <w:rFonts w:hint="eastAsia" w:ascii="宋体" w:hAnsi="宋体"/>
        </w:rPr>
      </w:pPr>
      <w:r>
        <w:rPr>
          <w:rFonts w:ascii="宋体" w:hAnsi="宋体"/>
        </w:rPr>
        <w:t xml:space="preserve">GB 5009.3 </w:t>
      </w:r>
      <w:r>
        <w:rPr>
          <w:rFonts w:hint="eastAsia" w:ascii="宋体" w:hAnsi="宋体"/>
        </w:rPr>
        <w:t xml:space="preserve"> </w:t>
      </w:r>
      <w:r>
        <w:rPr>
          <w:rFonts w:ascii="宋体" w:hAnsi="宋体"/>
        </w:rPr>
        <w:t xml:space="preserve">食品安全国家标准 </w:t>
      </w:r>
      <w:r>
        <w:rPr>
          <w:rFonts w:hint="eastAsia" w:ascii="宋体" w:hAnsi="宋体"/>
        </w:rPr>
        <w:t xml:space="preserve"> </w:t>
      </w:r>
      <w:r>
        <w:rPr>
          <w:rFonts w:ascii="宋体" w:hAnsi="宋体"/>
        </w:rPr>
        <w:t>食品中水分的测定</w:t>
      </w:r>
    </w:p>
    <w:p w14:paraId="07776922">
      <w:pPr>
        <w:pStyle w:val="56"/>
        <w:ind w:firstLine="420"/>
        <w:rPr>
          <w:rFonts w:hint="eastAsia" w:ascii="宋体" w:hAnsi="宋体"/>
        </w:rPr>
      </w:pPr>
      <w:r>
        <w:rPr>
          <w:rFonts w:ascii="宋体" w:hAnsi="宋体"/>
        </w:rPr>
        <w:t xml:space="preserve">GB 5009.5 </w:t>
      </w:r>
      <w:r>
        <w:rPr>
          <w:rFonts w:hint="eastAsia" w:ascii="宋体" w:hAnsi="宋体"/>
        </w:rPr>
        <w:t xml:space="preserve"> </w:t>
      </w:r>
      <w:r>
        <w:rPr>
          <w:rFonts w:ascii="宋体" w:hAnsi="宋体"/>
        </w:rPr>
        <w:t xml:space="preserve">食品安全国家标准 </w:t>
      </w:r>
      <w:r>
        <w:rPr>
          <w:rFonts w:hint="eastAsia" w:ascii="宋体" w:hAnsi="宋体"/>
        </w:rPr>
        <w:t xml:space="preserve"> </w:t>
      </w:r>
      <w:r>
        <w:rPr>
          <w:rFonts w:ascii="宋体" w:hAnsi="宋体"/>
        </w:rPr>
        <w:t>食品中蛋白质的测定</w:t>
      </w:r>
    </w:p>
    <w:p w14:paraId="0B08E524">
      <w:pPr>
        <w:pStyle w:val="56"/>
        <w:ind w:firstLine="420"/>
        <w:rPr>
          <w:rFonts w:hint="eastAsia" w:ascii="宋体" w:hAnsi="宋体"/>
        </w:rPr>
      </w:pPr>
      <w:r>
        <w:rPr>
          <w:rFonts w:ascii="宋体" w:hAnsi="宋体"/>
        </w:rPr>
        <w:t xml:space="preserve">GB 5009.6 </w:t>
      </w:r>
      <w:r>
        <w:rPr>
          <w:rFonts w:hint="eastAsia" w:ascii="宋体" w:hAnsi="宋体"/>
        </w:rPr>
        <w:t xml:space="preserve"> </w:t>
      </w:r>
      <w:r>
        <w:rPr>
          <w:rFonts w:ascii="宋体" w:hAnsi="宋体"/>
        </w:rPr>
        <w:t xml:space="preserve">食品安全国家标准 </w:t>
      </w:r>
      <w:r>
        <w:rPr>
          <w:rFonts w:hint="eastAsia" w:ascii="宋体" w:hAnsi="宋体"/>
        </w:rPr>
        <w:t xml:space="preserve"> </w:t>
      </w:r>
      <w:r>
        <w:rPr>
          <w:rFonts w:ascii="宋体" w:hAnsi="宋体"/>
        </w:rPr>
        <w:t>食品中脂肪的测定</w:t>
      </w:r>
    </w:p>
    <w:p w14:paraId="6F4B5ADC">
      <w:pPr>
        <w:pStyle w:val="56"/>
        <w:ind w:firstLine="420"/>
        <w:rPr>
          <w:rFonts w:hint="eastAsia" w:ascii="宋体" w:hAnsi="宋体"/>
        </w:rPr>
      </w:pPr>
      <w:r>
        <w:rPr>
          <w:rFonts w:hint="eastAsia" w:ascii="宋体" w:hAnsi="宋体"/>
        </w:rPr>
        <w:t>GB 5009.124  食品安全国家标准  食品中氨基酸的测定</w:t>
      </w:r>
    </w:p>
    <w:p w14:paraId="38E9A062">
      <w:pPr>
        <w:pStyle w:val="56"/>
        <w:ind w:firstLine="420"/>
        <w:rPr>
          <w:rFonts w:hint="eastAsia" w:ascii="宋体" w:hAnsi="宋体"/>
        </w:rPr>
      </w:pPr>
      <w:r>
        <w:rPr>
          <w:rFonts w:ascii="宋体" w:hAnsi="宋体"/>
        </w:rPr>
        <w:t>GB 5009.228</w:t>
      </w:r>
      <w:r>
        <w:rPr>
          <w:rFonts w:hint="eastAsia" w:ascii="宋体" w:hAnsi="宋体"/>
        </w:rPr>
        <w:t xml:space="preserve"> </w:t>
      </w:r>
      <w:r>
        <w:rPr>
          <w:rFonts w:ascii="宋体" w:hAnsi="宋体"/>
        </w:rPr>
        <w:t xml:space="preserve"> 食品安全国家标准</w:t>
      </w:r>
      <w:r>
        <w:rPr>
          <w:rFonts w:hint="eastAsia" w:ascii="宋体" w:hAnsi="宋体"/>
        </w:rPr>
        <w:t xml:space="preserve"> </w:t>
      </w:r>
      <w:r>
        <w:rPr>
          <w:rFonts w:ascii="宋体" w:hAnsi="宋体"/>
        </w:rPr>
        <w:t xml:space="preserve"> 食品中挥发性盐基氮的测定</w:t>
      </w:r>
    </w:p>
    <w:p w14:paraId="75BAB02E">
      <w:pPr>
        <w:pStyle w:val="56"/>
        <w:ind w:firstLine="420"/>
        <w:rPr>
          <w:rFonts w:hint="eastAsia" w:ascii="宋体" w:hAnsi="宋体" w:cs="宋体"/>
        </w:rPr>
      </w:pPr>
      <w:r>
        <w:rPr>
          <w:rFonts w:hint="eastAsia" w:ascii="宋体" w:hAnsi="宋体" w:cs="宋体"/>
        </w:rPr>
        <w:t>GB 5009.237  食品安全国家标准  食品pH值的测定</w:t>
      </w:r>
    </w:p>
    <w:p w14:paraId="798C3DC1">
      <w:pPr>
        <w:pStyle w:val="56"/>
        <w:ind w:firstLine="420"/>
        <w:rPr>
          <w:rFonts w:hint="eastAsia" w:ascii="宋体" w:hAnsi="宋体"/>
        </w:rPr>
      </w:pPr>
      <w:r>
        <w:rPr>
          <w:rFonts w:ascii="宋体" w:hAnsi="宋体"/>
        </w:rPr>
        <w:t xml:space="preserve">GB 5749 </w:t>
      </w:r>
      <w:r>
        <w:rPr>
          <w:rFonts w:hint="eastAsia" w:ascii="宋体" w:hAnsi="宋体"/>
        </w:rPr>
        <w:t xml:space="preserve"> </w:t>
      </w:r>
      <w:r>
        <w:rPr>
          <w:rFonts w:ascii="宋体" w:hAnsi="宋体"/>
        </w:rPr>
        <w:t>生活饮用水卫生标准</w:t>
      </w:r>
    </w:p>
    <w:p w14:paraId="142A050F">
      <w:pPr>
        <w:pStyle w:val="56"/>
        <w:ind w:firstLine="420"/>
        <w:rPr>
          <w:rFonts w:hint="eastAsia" w:ascii="宋体" w:hAnsi="宋体"/>
        </w:rPr>
      </w:pPr>
      <w:r>
        <w:rPr>
          <w:rFonts w:ascii="宋体" w:hAnsi="宋体"/>
        </w:rPr>
        <w:t xml:space="preserve">GB 7718 </w:t>
      </w:r>
      <w:r>
        <w:rPr>
          <w:rFonts w:hint="eastAsia" w:ascii="宋体" w:hAnsi="宋体"/>
        </w:rPr>
        <w:t xml:space="preserve"> </w:t>
      </w:r>
      <w:r>
        <w:rPr>
          <w:rFonts w:ascii="宋体" w:hAnsi="宋体"/>
        </w:rPr>
        <w:t xml:space="preserve">食品安全国家标准 </w:t>
      </w:r>
      <w:r>
        <w:rPr>
          <w:rFonts w:hint="eastAsia" w:ascii="宋体" w:hAnsi="宋体"/>
        </w:rPr>
        <w:t xml:space="preserve"> </w:t>
      </w:r>
      <w:r>
        <w:rPr>
          <w:rFonts w:ascii="宋体" w:hAnsi="宋体"/>
        </w:rPr>
        <w:t>预包装食品标签通则</w:t>
      </w:r>
    </w:p>
    <w:p w14:paraId="2B10D250">
      <w:pPr>
        <w:pStyle w:val="56"/>
        <w:ind w:firstLine="420"/>
        <w:rPr>
          <w:rFonts w:hint="eastAsia" w:ascii="宋体" w:hAnsi="宋体"/>
        </w:rPr>
      </w:pPr>
      <w:r>
        <w:rPr>
          <w:rFonts w:hint="eastAsia" w:ascii="宋体" w:hAnsi="宋体"/>
        </w:rPr>
        <w:t>GB/T 9695.19  肉与肉制品  取样方法</w:t>
      </w:r>
    </w:p>
    <w:p w14:paraId="3F6113F0">
      <w:pPr>
        <w:pStyle w:val="56"/>
        <w:ind w:firstLine="420"/>
        <w:rPr>
          <w:rFonts w:hint="eastAsia" w:ascii="宋体" w:hAnsi="宋体"/>
        </w:rPr>
      </w:pPr>
      <w:r>
        <w:rPr>
          <w:rFonts w:ascii="宋体" w:hAnsi="宋体"/>
        </w:rPr>
        <w:t xml:space="preserve">GB 12694 </w:t>
      </w:r>
      <w:r>
        <w:rPr>
          <w:rFonts w:hint="eastAsia" w:ascii="宋体" w:hAnsi="宋体"/>
        </w:rPr>
        <w:t xml:space="preserve"> </w:t>
      </w:r>
      <w:r>
        <w:rPr>
          <w:rFonts w:ascii="宋体" w:hAnsi="宋体"/>
        </w:rPr>
        <w:t>食品安全国家标准</w:t>
      </w:r>
      <w:r>
        <w:rPr>
          <w:rFonts w:hint="eastAsia" w:ascii="宋体" w:hAnsi="宋体"/>
        </w:rPr>
        <w:t xml:space="preserve"> </w:t>
      </w:r>
      <w:r>
        <w:rPr>
          <w:rFonts w:ascii="宋体" w:hAnsi="宋体"/>
        </w:rPr>
        <w:t xml:space="preserve"> 畜禽屠宰加工卫生规范</w:t>
      </w:r>
    </w:p>
    <w:p w14:paraId="0A46C5F7">
      <w:pPr>
        <w:pStyle w:val="56"/>
        <w:ind w:firstLine="420"/>
      </w:pPr>
      <w:r>
        <w:rPr>
          <w:rFonts w:ascii="宋体" w:hAnsi="宋体"/>
        </w:rPr>
        <w:t>GB 16869</w:t>
      </w:r>
      <w:r>
        <w:rPr>
          <w:rFonts w:hint="eastAsia" w:ascii="宋体" w:hAnsi="宋体"/>
        </w:rPr>
        <w:t xml:space="preserve">  </w:t>
      </w:r>
      <w:r>
        <w:rPr>
          <w:rFonts w:ascii="宋体" w:hAnsi="宋体"/>
        </w:rPr>
        <w:t>鲜</w:t>
      </w:r>
      <w:r>
        <w:t>、冻禽产品</w:t>
      </w:r>
    </w:p>
    <w:p w14:paraId="2C9A2509">
      <w:pPr>
        <w:pStyle w:val="56"/>
        <w:ind w:firstLine="420"/>
        <w:rPr>
          <w:rFonts w:hint="eastAsia" w:ascii="宋体" w:hAnsi="宋体"/>
        </w:rPr>
      </w:pPr>
      <w:r>
        <w:rPr>
          <w:rFonts w:ascii="宋体" w:hAnsi="宋体"/>
        </w:rPr>
        <w:t xml:space="preserve">GB 31650 </w:t>
      </w:r>
      <w:r>
        <w:rPr>
          <w:rFonts w:hint="eastAsia" w:ascii="宋体" w:hAnsi="宋体"/>
        </w:rPr>
        <w:t xml:space="preserve"> </w:t>
      </w:r>
      <w:r>
        <w:rPr>
          <w:rFonts w:ascii="宋体" w:hAnsi="宋体"/>
        </w:rPr>
        <w:t xml:space="preserve">食品安全国家标准 </w:t>
      </w:r>
      <w:r>
        <w:rPr>
          <w:rFonts w:hint="eastAsia" w:ascii="宋体" w:hAnsi="宋体"/>
        </w:rPr>
        <w:t xml:space="preserve"> </w:t>
      </w:r>
      <w:r>
        <w:rPr>
          <w:rFonts w:ascii="宋体" w:hAnsi="宋体"/>
        </w:rPr>
        <w:t>食品中兽药最大残留限量</w:t>
      </w:r>
    </w:p>
    <w:p w14:paraId="7557D80B">
      <w:pPr>
        <w:pStyle w:val="56"/>
        <w:ind w:firstLine="420"/>
        <w:rPr>
          <w:rFonts w:hint="eastAsia" w:ascii="宋体" w:hAnsi="宋体"/>
        </w:rPr>
      </w:pPr>
      <w:r>
        <w:rPr>
          <w:rFonts w:ascii="宋体" w:hAnsi="宋体"/>
        </w:rPr>
        <w:t>JJF 1070</w:t>
      </w:r>
      <w:r>
        <w:rPr>
          <w:rFonts w:hint="eastAsia" w:ascii="宋体" w:hAnsi="宋体"/>
        </w:rPr>
        <w:t xml:space="preserve"> </w:t>
      </w:r>
      <w:r>
        <w:rPr>
          <w:rFonts w:ascii="宋体" w:hAnsi="宋体"/>
        </w:rPr>
        <w:t xml:space="preserve"> 定量包装商品净含量计量检验规则</w:t>
      </w:r>
    </w:p>
    <w:p w14:paraId="46081415">
      <w:pPr>
        <w:pStyle w:val="56"/>
        <w:ind w:firstLine="420"/>
        <w:rPr>
          <w:rFonts w:ascii="宋体" w:hAnsi="宋体"/>
        </w:rPr>
      </w:pPr>
      <w:r>
        <w:rPr>
          <w:rFonts w:ascii="宋体" w:hAnsi="宋体"/>
        </w:rPr>
        <w:t>T</w:t>
      </w:r>
      <w:r>
        <w:rPr>
          <w:rFonts w:hint="eastAsia" w:ascii="宋体" w:hAnsi="宋体"/>
        </w:rPr>
        <w:t>/</w:t>
      </w:r>
      <w:r>
        <w:rPr>
          <w:rFonts w:ascii="宋体" w:hAnsi="宋体"/>
        </w:rPr>
        <w:t>GXAS 385</w:t>
      </w:r>
      <w:r>
        <w:rPr>
          <w:rFonts w:hint="eastAsia" w:ascii="宋体" w:hAnsi="宋体"/>
        </w:rPr>
        <w:t xml:space="preserve">  玉林三黄鸡</w:t>
      </w:r>
    </w:p>
    <w:p w14:paraId="3EF74DA9">
      <w:pPr>
        <w:pStyle w:val="104"/>
        <w:spacing w:before="240" w:after="240"/>
      </w:pPr>
      <w:bookmarkStart w:id="43" w:name="_Toc97192966"/>
      <w:r>
        <w:rPr>
          <w:rFonts w:hint="eastAsia"/>
          <w:szCs w:val="21"/>
        </w:rPr>
        <w:t>术语和定义</w:t>
      </w:r>
      <w:bookmarkEnd w:id="43"/>
    </w:p>
    <w:sdt>
      <w:sdtPr>
        <w:id w:val="-1909835108"/>
        <w:placeholder>
          <w:docPart w:val="68DA9D16028B4D95A2DC37E9EE6FE3D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6B12AE">
          <w:pPr>
            <w:pStyle w:val="56"/>
            <w:ind w:firstLine="420"/>
          </w:pPr>
          <w:bookmarkStart w:id="44" w:name="_Toc26986532"/>
          <w:bookmarkEnd w:id="44"/>
          <w:r>
            <w:t>下列术语和定义适用于本文件。</w:t>
          </w:r>
        </w:p>
      </w:sdtContent>
    </w:sdt>
    <w:p w14:paraId="16B85F3A">
      <w:pPr>
        <w:pStyle w:val="223"/>
        <w:ind w:left="420" w:hanging="420" w:hangingChars="200"/>
        <w:rPr>
          <w:rFonts w:hint="eastAsia" w:ascii="黑体" w:hAnsi="黑体" w:eastAsia="黑体"/>
          <w:color w:val="auto"/>
        </w:rPr>
      </w:pPr>
      <w:r>
        <w:rPr>
          <w:rFonts w:ascii="黑体" w:hAnsi="黑体" w:eastAsia="黑体"/>
        </w:rPr>
        <w:br w:type="textWrapping"/>
      </w:r>
      <w:r>
        <w:rPr>
          <w:rFonts w:ascii="黑体" w:hAnsi="黑体" w:eastAsia="黑体"/>
        </w:rPr>
        <w:t>冰鲜玉林</w:t>
      </w:r>
      <w:r>
        <w:rPr>
          <w:rFonts w:ascii="黑体" w:hAnsi="黑体" w:eastAsia="黑体"/>
          <w:color w:val="auto"/>
        </w:rPr>
        <w:t>三黄鸡</w:t>
      </w:r>
      <w:r>
        <w:rPr>
          <w:rFonts w:hint="eastAsia" w:ascii="黑体" w:hAnsi="黑体" w:eastAsia="黑体"/>
          <w:color w:val="auto"/>
        </w:rPr>
        <w:t xml:space="preserve"> </w:t>
      </w:r>
      <w:r>
        <w:rPr>
          <w:rFonts w:ascii="黑体" w:hAnsi="黑体" w:eastAsia="黑体"/>
          <w:color w:val="auto"/>
        </w:rPr>
        <w:t xml:space="preserve"> chilled fresh Yulin three-yellow chicken</w:t>
      </w:r>
    </w:p>
    <w:p w14:paraId="3A29E885">
      <w:pPr>
        <w:pStyle w:val="56"/>
        <w:ind w:firstLine="420"/>
        <w:rPr>
          <w:color w:val="auto"/>
        </w:rPr>
      </w:pPr>
      <w:r>
        <w:rPr>
          <w:rFonts w:hAnsi="宋体"/>
          <w:color w:val="auto"/>
        </w:rPr>
        <w:t>以健康活体玉林三黄鸡为原料，经屠宰</w:t>
      </w:r>
      <w:r>
        <w:rPr>
          <w:rFonts w:ascii="宋体" w:hAnsi="宋体"/>
          <w:color w:val="auto"/>
        </w:rPr>
        <w:t>、</w:t>
      </w:r>
      <w:r>
        <w:rPr>
          <w:rFonts w:hint="eastAsia" w:ascii="宋体" w:hAnsi="宋体"/>
          <w:color w:val="auto"/>
        </w:rPr>
        <w:t>加工</w:t>
      </w:r>
      <w:r>
        <w:rPr>
          <w:rFonts w:ascii="宋体" w:hAnsi="宋体"/>
          <w:color w:val="auto"/>
        </w:rPr>
        <w:t>后冷却，</w:t>
      </w:r>
      <w:r>
        <w:rPr>
          <w:rFonts w:hint="eastAsia" w:ascii="宋体" w:hAnsi="宋体"/>
          <w:color w:val="auto"/>
        </w:rPr>
        <w:t>在3</w:t>
      </w:r>
      <w:r>
        <w:rPr>
          <w:rFonts w:hint="eastAsia" w:ascii="宋体" w:hAnsi="宋体"/>
          <w:color w:val="auto"/>
          <w:vertAlign w:val="superscript"/>
        </w:rPr>
        <w:t xml:space="preserve"> </w:t>
      </w:r>
      <w:r>
        <w:rPr>
          <w:rFonts w:hint="eastAsia" w:ascii="宋体" w:hAnsi="宋体"/>
          <w:color w:val="auto"/>
        </w:rPr>
        <w:t>h内</w:t>
      </w:r>
      <w:r>
        <w:rPr>
          <w:rFonts w:ascii="宋体" w:hAnsi="宋体"/>
          <w:color w:val="auto"/>
        </w:rPr>
        <w:t>使鸡胴体中心温度降至4</w:t>
      </w:r>
      <w:r>
        <w:rPr>
          <w:rFonts w:hint="eastAsia" w:ascii="宋体" w:hAnsi="宋体"/>
          <w:color w:val="auto"/>
          <w:vertAlign w:val="superscript"/>
        </w:rPr>
        <w:t xml:space="preserve"> </w:t>
      </w:r>
      <w:r>
        <w:rPr>
          <w:rFonts w:ascii="宋体" w:hAnsi="宋体"/>
          <w:color w:val="auto"/>
        </w:rPr>
        <w:t>℃</w:t>
      </w:r>
      <w:r>
        <w:rPr>
          <w:rFonts w:hint="eastAsia" w:ascii="宋体" w:hAnsi="宋体"/>
          <w:color w:val="auto"/>
        </w:rPr>
        <w:t>以下</w:t>
      </w:r>
      <w:r>
        <w:rPr>
          <w:rFonts w:ascii="宋体" w:hAnsi="宋体"/>
          <w:color w:val="auto"/>
        </w:rPr>
        <w:t>，并在后续的贮存、运输和销售过程中保持在</w:t>
      </w:r>
      <w:r>
        <w:rPr>
          <w:rFonts w:hint="eastAsia" w:ascii="宋体" w:hAnsi="宋体"/>
          <w:color w:val="auto"/>
        </w:rPr>
        <w:t>-1</w:t>
      </w:r>
      <w:r>
        <w:rPr>
          <w:rFonts w:hint="eastAsia" w:ascii="宋体" w:hAnsi="宋体"/>
          <w:color w:val="auto"/>
          <w:vertAlign w:val="superscript"/>
        </w:rPr>
        <w:t xml:space="preserve"> </w:t>
      </w:r>
      <w:r>
        <w:rPr>
          <w:rFonts w:ascii="宋体" w:hAnsi="宋体"/>
          <w:color w:val="auto"/>
        </w:rPr>
        <w:t>℃～4</w:t>
      </w:r>
      <w:r>
        <w:rPr>
          <w:rFonts w:hint="eastAsia" w:ascii="宋体" w:hAnsi="宋体"/>
          <w:color w:val="auto"/>
          <w:vertAlign w:val="superscript"/>
        </w:rPr>
        <w:t xml:space="preserve"> </w:t>
      </w:r>
      <w:r>
        <w:rPr>
          <w:rFonts w:ascii="宋体" w:hAnsi="宋体"/>
          <w:color w:val="auto"/>
        </w:rPr>
        <w:t>℃范围内的</w:t>
      </w:r>
      <w:r>
        <w:rPr>
          <w:rFonts w:hint="eastAsia" w:ascii="宋体" w:hAnsi="宋体"/>
          <w:color w:val="auto"/>
        </w:rPr>
        <w:t>整</w:t>
      </w:r>
      <w:r>
        <w:rPr>
          <w:rFonts w:ascii="宋体" w:hAnsi="宋体"/>
          <w:color w:val="auto"/>
        </w:rPr>
        <w:t>鸡产品</w:t>
      </w:r>
      <w:r>
        <w:rPr>
          <w:rFonts w:hint="eastAsia"/>
          <w:color w:val="auto"/>
        </w:rPr>
        <w:t>。</w:t>
      </w:r>
    </w:p>
    <w:p w14:paraId="26645B89">
      <w:pPr>
        <w:pStyle w:val="104"/>
        <w:spacing w:before="240" w:after="240"/>
        <w:rPr>
          <w:color w:val="auto"/>
        </w:rPr>
      </w:pPr>
      <w:bookmarkStart w:id="45" w:name="OLE_LINK5"/>
      <w:r>
        <w:rPr>
          <w:color w:val="auto"/>
        </w:rPr>
        <w:t>技术要求</w:t>
      </w:r>
    </w:p>
    <w:p w14:paraId="73185B2D">
      <w:pPr>
        <w:pStyle w:val="105"/>
        <w:spacing w:before="120" w:after="120"/>
        <w:rPr>
          <w:color w:val="auto"/>
        </w:rPr>
      </w:pPr>
      <w:r>
        <w:rPr>
          <w:rFonts w:hint="eastAsia"/>
          <w:color w:val="auto"/>
        </w:rPr>
        <w:t>原辅料</w:t>
      </w:r>
      <w:r>
        <w:rPr>
          <w:color w:val="auto"/>
        </w:rPr>
        <w:t>要求</w:t>
      </w:r>
    </w:p>
    <w:p w14:paraId="086EC756">
      <w:pPr>
        <w:pStyle w:val="165"/>
        <w:rPr>
          <w:color w:val="auto"/>
        </w:rPr>
      </w:pPr>
      <w:r>
        <w:rPr>
          <w:rFonts w:hint="eastAsia"/>
          <w:color w:val="auto"/>
        </w:rPr>
        <w:t>应选用符合</w:t>
      </w:r>
      <w:r>
        <w:rPr>
          <w:color w:val="auto"/>
        </w:rPr>
        <w:t xml:space="preserve">T/GXAS </w:t>
      </w:r>
      <w:r>
        <w:rPr>
          <w:rFonts w:hint="eastAsia"/>
          <w:color w:val="auto"/>
        </w:rPr>
        <w:t>385的</w:t>
      </w:r>
      <w:r>
        <w:rPr>
          <w:color w:val="auto"/>
        </w:rPr>
        <w:t>玉林三黄鸡</w:t>
      </w:r>
      <w:r>
        <w:rPr>
          <w:rFonts w:hint="eastAsia"/>
          <w:color w:val="auto"/>
        </w:rPr>
        <w:t>。</w:t>
      </w:r>
    </w:p>
    <w:p w14:paraId="1CE1D6A2">
      <w:pPr>
        <w:pStyle w:val="165"/>
        <w:rPr>
          <w:color w:val="auto"/>
        </w:rPr>
      </w:pPr>
      <w:r>
        <w:rPr>
          <w:color w:val="auto"/>
        </w:rPr>
        <w:t>生产用水应符合GB 5749的规定。</w:t>
      </w:r>
    </w:p>
    <w:p w14:paraId="1EF3B4A8">
      <w:pPr>
        <w:pStyle w:val="105"/>
        <w:spacing w:before="120" w:after="120"/>
        <w:rPr>
          <w:color w:val="auto"/>
        </w:rPr>
      </w:pPr>
      <w:r>
        <w:rPr>
          <w:color w:val="auto"/>
        </w:rPr>
        <w:t>感官要求</w:t>
      </w:r>
    </w:p>
    <w:p w14:paraId="06666687">
      <w:pPr>
        <w:pStyle w:val="56"/>
        <w:ind w:firstLine="420"/>
        <w:rPr>
          <w:color w:val="auto"/>
        </w:rPr>
      </w:pPr>
      <w:r>
        <w:rPr>
          <w:color w:val="auto"/>
        </w:rPr>
        <w:t>应符合</w:t>
      </w:r>
      <w:r>
        <w:rPr>
          <w:rFonts w:ascii="宋体" w:hAnsi="宋体"/>
          <w:color w:val="auto"/>
        </w:rPr>
        <w:t>表1的规</w:t>
      </w:r>
      <w:r>
        <w:rPr>
          <w:color w:val="auto"/>
        </w:rPr>
        <w:t>定。</w:t>
      </w:r>
    </w:p>
    <w:p w14:paraId="21780630">
      <w:pPr>
        <w:pStyle w:val="112"/>
        <w:spacing w:before="120" w:after="120"/>
        <w:rPr>
          <w:color w:val="auto"/>
        </w:rPr>
      </w:pPr>
      <w:r>
        <w:rPr>
          <w:color w:val="auto"/>
        </w:rPr>
        <w:t>感官要求</w:t>
      </w:r>
    </w:p>
    <w:tbl>
      <w:tblPr>
        <w:tblStyle w:val="26"/>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84"/>
        <w:gridCol w:w="6650"/>
      </w:tblGrid>
      <w:tr w14:paraId="41E07C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438" w:type="pct"/>
            <w:tcBorders>
              <w:top w:val="single" w:color="auto" w:sz="8" w:space="0"/>
              <w:bottom w:val="single" w:color="auto" w:sz="8" w:space="0"/>
            </w:tcBorders>
            <w:vAlign w:val="center"/>
          </w:tcPr>
          <w:p w14:paraId="14921B4F">
            <w:pPr>
              <w:spacing w:line="240" w:lineRule="auto"/>
              <w:jc w:val="center"/>
              <w:rPr>
                <w:color w:val="auto"/>
                <w:sz w:val="18"/>
                <w:szCs w:val="18"/>
              </w:rPr>
            </w:pPr>
            <w:r>
              <w:rPr>
                <w:rFonts w:hint="eastAsia"/>
                <w:color w:val="auto"/>
                <w:sz w:val="18"/>
                <w:szCs w:val="18"/>
              </w:rPr>
              <w:t>项目</w:t>
            </w:r>
          </w:p>
        </w:tc>
        <w:tc>
          <w:tcPr>
            <w:tcW w:w="3562" w:type="pct"/>
            <w:tcBorders>
              <w:top w:val="single" w:color="auto" w:sz="8" w:space="0"/>
              <w:bottom w:val="single" w:color="auto" w:sz="8" w:space="0"/>
            </w:tcBorders>
          </w:tcPr>
          <w:p w14:paraId="442E5E32">
            <w:pPr>
              <w:spacing w:line="240" w:lineRule="auto"/>
              <w:jc w:val="center"/>
              <w:rPr>
                <w:color w:val="auto"/>
                <w:sz w:val="18"/>
                <w:szCs w:val="18"/>
              </w:rPr>
            </w:pPr>
            <w:r>
              <w:rPr>
                <w:rFonts w:hint="eastAsia"/>
                <w:color w:val="auto"/>
                <w:sz w:val="18"/>
                <w:szCs w:val="18"/>
              </w:rPr>
              <w:t>要求</w:t>
            </w:r>
          </w:p>
        </w:tc>
      </w:tr>
      <w:tr w14:paraId="204495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8" w:type="pct"/>
            <w:tcBorders>
              <w:top w:val="single" w:color="auto" w:sz="8" w:space="0"/>
            </w:tcBorders>
          </w:tcPr>
          <w:p w14:paraId="5C0F80E1">
            <w:pPr>
              <w:spacing w:line="240" w:lineRule="auto"/>
              <w:jc w:val="left"/>
              <w:rPr>
                <w:color w:val="auto"/>
                <w:sz w:val="18"/>
                <w:szCs w:val="18"/>
              </w:rPr>
            </w:pPr>
            <w:r>
              <w:rPr>
                <w:rFonts w:hint="eastAsia"/>
                <w:color w:val="auto"/>
                <w:sz w:val="18"/>
                <w:szCs w:val="18"/>
              </w:rPr>
              <w:t>色泽</w:t>
            </w:r>
          </w:p>
        </w:tc>
        <w:tc>
          <w:tcPr>
            <w:tcW w:w="3562" w:type="pct"/>
            <w:tcBorders>
              <w:top w:val="single" w:color="auto" w:sz="8" w:space="0"/>
            </w:tcBorders>
          </w:tcPr>
          <w:p w14:paraId="59D01F10">
            <w:pPr>
              <w:spacing w:line="240" w:lineRule="auto"/>
              <w:jc w:val="left"/>
              <w:rPr>
                <w:color w:val="auto"/>
                <w:sz w:val="18"/>
                <w:szCs w:val="18"/>
              </w:rPr>
            </w:pPr>
            <w:r>
              <w:rPr>
                <w:rFonts w:hint="eastAsia"/>
                <w:color w:val="auto"/>
                <w:sz w:val="18"/>
                <w:szCs w:val="18"/>
              </w:rPr>
              <w:t>皮肤浅黄色或黄色</w:t>
            </w:r>
            <w:r>
              <w:rPr>
                <w:color w:val="auto"/>
                <w:sz w:val="18"/>
                <w:szCs w:val="18"/>
              </w:rPr>
              <w:t>，</w:t>
            </w:r>
            <w:r>
              <w:rPr>
                <w:rFonts w:hint="eastAsia"/>
                <w:color w:val="auto"/>
                <w:sz w:val="18"/>
                <w:szCs w:val="18"/>
              </w:rPr>
              <w:t>表皮和肌肉切面有光泽</w:t>
            </w:r>
          </w:p>
        </w:tc>
      </w:tr>
      <w:tr w14:paraId="2FDCA2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438" w:type="pct"/>
          </w:tcPr>
          <w:p w14:paraId="021B1267">
            <w:pPr>
              <w:spacing w:line="240" w:lineRule="auto"/>
              <w:jc w:val="left"/>
              <w:rPr>
                <w:color w:val="auto"/>
                <w:sz w:val="18"/>
                <w:szCs w:val="18"/>
              </w:rPr>
            </w:pPr>
            <w:r>
              <w:rPr>
                <w:color w:val="auto"/>
                <w:sz w:val="18"/>
                <w:szCs w:val="18"/>
              </w:rPr>
              <w:t>气味</w:t>
            </w:r>
          </w:p>
        </w:tc>
        <w:tc>
          <w:tcPr>
            <w:tcW w:w="3562" w:type="pct"/>
          </w:tcPr>
          <w:p w14:paraId="639D97FD">
            <w:pPr>
              <w:spacing w:line="240" w:lineRule="auto"/>
              <w:jc w:val="left"/>
              <w:rPr>
                <w:color w:val="auto"/>
                <w:sz w:val="18"/>
                <w:szCs w:val="18"/>
              </w:rPr>
            </w:pPr>
            <w:r>
              <w:rPr>
                <w:color w:val="auto"/>
                <w:sz w:val="18"/>
                <w:szCs w:val="18"/>
              </w:rPr>
              <w:t>具有冰鲜鸡固有的气味，无异味，无酸败味</w:t>
            </w:r>
          </w:p>
        </w:tc>
      </w:tr>
      <w:tr w14:paraId="70E4D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8" w:type="pct"/>
          </w:tcPr>
          <w:p w14:paraId="3E640D2F">
            <w:pPr>
              <w:spacing w:line="240" w:lineRule="auto"/>
              <w:jc w:val="left"/>
              <w:rPr>
                <w:color w:val="auto"/>
                <w:sz w:val="18"/>
                <w:szCs w:val="18"/>
              </w:rPr>
            </w:pPr>
            <w:r>
              <w:rPr>
                <w:color w:val="auto"/>
                <w:sz w:val="18"/>
                <w:szCs w:val="18"/>
              </w:rPr>
              <w:t>状态</w:t>
            </w:r>
          </w:p>
        </w:tc>
        <w:tc>
          <w:tcPr>
            <w:tcW w:w="3562" w:type="pct"/>
          </w:tcPr>
          <w:p w14:paraId="1F5A93CD">
            <w:pPr>
              <w:spacing w:line="240" w:lineRule="auto"/>
              <w:jc w:val="left"/>
              <w:rPr>
                <w:color w:val="auto"/>
                <w:sz w:val="18"/>
                <w:szCs w:val="18"/>
              </w:rPr>
            </w:pPr>
            <w:r>
              <w:rPr>
                <w:color w:val="auto"/>
                <w:sz w:val="18"/>
                <w:szCs w:val="18"/>
              </w:rPr>
              <w:t>无正常视力可见外来异物</w:t>
            </w:r>
            <w:r>
              <w:rPr>
                <w:rFonts w:hint="eastAsia"/>
                <w:color w:val="auto"/>
                <w:sz w:val="18"/>
                <w:szCs w:val="18"/>
              </w:rPr>
              <w:t>；</w:t>
            </w:r>
            <w:r>
              <w:rPr>
                <w:color w:val="auto"/>
                <w:sz w:val="18"/>
                <w:szCs w:val="18"/>
              </w:rPr>
              <w:t>肌肉有弹性</w:t>
            </w:r>
            <w:r>
              <w:rPr>
                <w:rFonts w:hint="eastAsia"/>
                <w:color w:val="auto"/>
                <w:sz w:val="18"/>
                <w:szCs w:val="18"/>
              </w:rPr>
              <w:t>；解冻后无明显血水析出、肌肉不松散</w:t>
            </w:r>
          </w:p>
        </w:tc>
      </w:tr>
      <w:tr w14:paraId="524C8D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8" w:type="pct"/>
            <w:vAlign w:val="center"/>
          </w:tcPr>
          <w:p w14:paraId="1704745D">
            <w:pPr>
              <w:spacing w:line="240" w:lineRule="auto"/>
              <w:jc w:val="left"/>
              <w:rPr>
                <w:rFonts w:hint="eastAsia" w:ascii="宋体" w:hAnsi="宋体"/>
                <w:color w:val="auto"/>
                <w:sz w:val="18"/>
                <w:szCs w:val="18"/>
              </w:rPr>
            </w:pPr>
            <w:r>
              <w:rPr>
                <w:rFonts w:ascii="宋体" w:hAnsi="宋体"/>
                <w:color w:val="auto"/>
                <w:sz w:val="18"/>
                <w:szCs w:val="18"/>
              </w:rPr>
              <w:t>加热后肉汤</w:t>
            </w:r>
          </w:p>
        </w:tc>
        <w:tc>
          <w:tcPr>
            <w:tcW w:w="3562" w:type="pct"/>
            <w:vAlign w:val="center"/>
          </w:tcPr>
          <w:p w14:paraId="20F0D5F3">
            <w:pPr>
              <w:spacing w:line="240" w:lineRule="auto"/>
              <w:rPr>
                <w:rFonts w:hint="eastAsia" w:ascii="宋体" w:hAnsi="宋体"/>
                <w:color w:val="auto"/>
                <w:sz w:val="18"/>
                <w:szCs w:val="18"/>
              </w:rPr>
            </w:pPr>
            <w:r>
              <w:rPr>
                <w:rFonts w:hint="eastAsia" w:ascii="宋体" w:hAnsi="宋体"/>
                <w:color w:val="auto"/>
                <w:sz w:val="18"/>
                <w:szCs w:val="18"/>
              </w:rPr>
              <w:t>透明澄清，脂肪团聚于液面，具有玉林三黄鸡特有的鲜香味</w:t>
            </w:r>
          </w:p>
        </w:tc>
      </w:tr>
      <w:tr w14:paraId="4A17D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8" w:type="pct"/>
            <w:vAlign w:val="center"/>
          </w:tcPr>
          <w:p w14:paraId="5DE38A0C">
            <w:pPr>
              <w:spacing w:line="240" w:lineRule="auto"/>
              <w:jc w:val="left"/>
              <w:rPr>
                <w:rFonts w:hint="eastAsia" w:ascii="宋体" w:hAnsi="宋体"/>
                <w:color w:val="auto"/>
                <w:sz w:val="18"/>
                <w:szCs w:val="18"/>
              </w:rPr>
            </w:pPr>
            <w:r>
              <w:rPr>
                <w:rFonts w:hint="eastAsia" w:ascii="宋体" w:hAnsi="宋体"/>
                <w:color w:val="auto"/>
                <w:sz w:val="18"/>
                <w:szCs w:val="18"/>
              </w:rPr>
              <w:t>淤血[以淤血面积(S)计]/cm</w:t>
            </w:r>
            <w:r>
              <w:rPr>
                <w:rFonts w:ascii="宋体" w:hAnsi="宋体"/>
                <w:color w:val="auto"/>
                <w:sz w:val="18"/>
                <w:szCs w:val="18"/>
                <w:vertAlign w:val="superscript"/>
              </w:rPr>
              <w:t>2</w:t>
            </w:r>
          </w:p>
        </w:tc>
        <w:tc>
          <w:tcPr>
            <w:tcW w:w="3562" w:type="pct"/>
            <w:vAlign w:val="center"/>
          </w:tcPr>
          <w:p w14:paraId="7D33DFA6">
            <w:pPr>
              <w:spacing w:line="240" w:lineRule="auto"/>
              <w:rPr>
                <w:rFonts w:hint="eastAsia" w:ascii="宋体" w:hAnsi="宋体"/>
                <w:color w:val="auto"/>
                <w:sz w:val="18"/>
                <w:szCs w:val="18"/>
              </w:rPr>
            </w:pPr>
            <w:r>
              <w:rPr>
                <w:rFonts w:hint="eastAsia" w:ascii="宋体" w:hAnsi="宋体"/>
                <w:color w:val="auto"/>
                <w:sz w:val="18"/>
                <w:szCs w:val="18"/>
              </w:rPr>
              <w:t>应符合</w:t>
            </w:r>
            <w:r>
              <w:rPr>
                <w:rFonts w:ascii="宋体" w:hAnsi="宋体"/>
                <w:color w:val="auto"/>
                <w:sz w:val="18"/>
                <w:szCs w:val="18"/>
              </w:rPr>
              <w:t>GB 16869</w:t>
            </w:r>
            <w:r>
              <w:rPr>
                <w:rFonts w:hint="eastAsia" w:ascii="宋体" w:hAnsi="宋体"/>
                <w:color w:val="auto"/>
                <w:sz w:val="18"/>
                <w:szCs w:val="18"/>
              </w:rPr>
              <w:t>的规定</w:t>
            </w:r>
          </w:p>
        </w:tc>
      </w:tr>
      <w:tr w14:paraId="1DF501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8" w:type="pct"/>
            <w:vAlign w:val="center"/>
          </w:tcPr>
          <w:p w14:paraId="0F6EDBC6">
            <w:pPr>
              <w:spacing w:line="240" w:lineRule="auto"/>
              <w:jc w:val="left"/>
              <w:rPr>
                <w:rFonts w:hint="eastAsia" w:ascii="宋体" w:hAnsi="宋体"/>
                <w:color w:val="auto"/>
                <w:sz w:val="18"/>
                <w:szCs w:val="18"/>
              </w:rPr>
            </w:pPr>
            <w:r>
              <w:rPr>
                <w:rFonts w:hint="eastAsia" w:ascii="宋体" w:hAnsi="宋体"/>
                <w:color w:val="auto"/>
                <w:sz w:val="18"/>
                <w:szCs w:val="18"/>
              </w:rPr>
              <w:t>硬杆毛（长度超过12</w:t>
            </w:r>
            <w:r>
              <w:rPr>
                <w:rFonts w:hint="eastAsia" w:ascii="宋体" w:hAnsi="宋体"/>
                <w:color w:val="auto"/>
                <w:sz w:val="18"/>
                <w:szCs w:val="18"/>
                <w:vertAlign w:val="superscript"/>
              </w:rPr>
              <w:t xml:space="preserve"> </w:t>
            </w:r>
            <w:r>
              <w:rPr>
                <w:rFonts w:hint="eastAsia" w:ascii="宋体" w:hAnsi="宋体"/>
                <w:color w:val="auto"/>
                <w:sz w:val="18"/>
                <w:szCs w:val="18"/>
              </w:rPr>
              <w:t>mm的羽毛，或直径超过2</w:t>
            </w:r>
            <w:r>
              <w:rPr>
                <w:rFonts w:hint="eastAsia" w:ascii="宋体" w:hAnsi="宋体"/>
                <w:color w:val="auto"/>
                <w:sz w:val="18"/>
                <w:szCs w:val="18"/>
                <w:vertAlign w:val="superscript"/>
              </w:rPr>
              <w:t xml:space="preserve"> </w:t>
            </w:r>
            <w:r>
              <w:rPr>
                <w:rFonts w:hint="eastAsia" w:ascii="宋体" w:hAnsi="宋体"/>
                <w:color w:val="auto"/>
                <w:sz w:val="18"/>
                <w:szCs w:val="18"/>
              </w:rPr>
              <w:t>mm羽毛根）/（根/10kg）</w:t>
            </w:r>
          </w:p>
        </w:tc>
        <w:tc>
          <w:tcPr>
            <w:tcW w:w="3562" w:type="pct"/>
            <w:vAlign w:val="center"/>
          </w:tcPr>
          <w:p w14:paraId="2AF1EBEF">
            <w:pPr>
              <w:spacing w:line="240" w:lineRule="auto"/>
              <w:rPr>
                <w:rFonts w:hint="eastAsia" w:ascii="宋体" w:hAnsi="宋体"/>
                <w:color w:val="auto"/>
                <w:sz w:val="18"/>
                <w:szCs w:val="18"/>
              </w:rPr>
            </w:pPr>
            <w:r>
              <w:rPr>
                <w:rFonts w:hint="eastAsia" w:ascii="宋体" w:hAnsi="宋体"/>
                <w:color w:val="auto"/>
                <w:sz w:val="18"/>
                <w:szCs w:val="18"/>
              </w:rPr>
              <w:t>应符合</w:t>
            </w:r>
            <w:r>
              <w:rPr>
                <w:rFonts w:ascii="宋体" w:hAnsi="宋体"/>
                <w:color w:val="auto"/>
                <w:sz w:val="18"/>
                <w:szCs w:val="18"/>
              </w:rPr>
              <w:t>GB 16869</w:t>
            </w:r>
            <w:r>
              <w:rPr>
                <w:rFonts w:hint="eastAsia" w:ascii="宋体" w:hAnsi="宋体"/>
                <w:color w:val="auto"/>
                <w:sz w:val="18"/>
                <w:szCs w:val="18"/>
              </w:rPr>
              <w:t>的规定</w:t>
            </w:r>
          </w:p>
        </w:tc>
      </w:tr>
    </w:tbl>
    <w:p w14:paraId="5B4FDE23">
      <w:pPr>
        <w:pStyle w:val="105"/>
        <w:spacing w:before="120" w:after="120"/>
        <w:rPr>
          <w:color w:val="auto"/>
        </w:rPr>
      </w:pPr>
      <w:r>
        <w:rPr>
          <w:color w:val="auto"/>
        </w:rPr>
        <w:t>理化指标</w:t>
      </w:r>
    </w:p>
    <w:p w14:paraId="2209CCF1">
      <w:pPr>
        <w:pStyle w:val="56"/>
        <w:ind w:firstLine="420"/>
        <w:rPr>
          <w:color w:val="auto"/>
        </w:rPr>
      </w:pPr>
      <w:r>
        <w:rPr>
          <w:color w:val="auto"/>
        </w:rPr>
        <w:t>应符合表2的规定。</w:t>
      </w:r>
    </w:p>
    <w:p w14:paraId="6D08066D">
      <w:pPr>
        <w:pStyle w:val="112"/>
        <w:spacing w:before="120" w:after="120"/>
        <w:rPr>
          <w:color w:val="auto"/>
        </w:rPr>
      </w:pPr>
      <w:r>
        <w:rPr>
          <w:color w:val="auto"/>
        </w:rPr>
        <w:t>理化指标</w:t>
      </w:r>
    </w:p>
    <w:tbl>
      <w:tblPr>
        <w:tblStyle w:val="26"/>
        <w:tblW w:w="4988" w:type="pct"/>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3535"/>
        <w:gridCol w:w="5777"/>
      </w:tblGrid>
      <w:tr w14:paraId="375869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51" w:hRule="atLeast"/>
        </w:trPr>
        <w:tc>
          <w:tcPr>
            <w:tcW w:w="1898" w:type="pct"/>
            <w:tcBorders>
              <w:top w:val="single" w:color="auto" w:sz="8" w:space="0"/>
              <w:bottom w:val="single" w:color="auto" w:sz="8" w:space="0"/>
              <w:right w:val="single" w:color="auto" w:sz="4" w:space="0"/>
            </w:tcBorders>
            <w:vAlign w:val="center"/>
          </w:tcPr>
          <w:p w14:paraId="67EB6B5F">
            <w:pPr>
              <w:spacing w:line="240" w:lineRule="auto"/>
              <w:jc w:val="center"/>
              <w:rPr>
                <w:color w:val="auto"/>
                <w:sz w:val="18"/>
                <w:szCs w:val="18"/>
              </w:rPr>
            </w:pPr>
            <w:bookmarkStart w:id="46" w:name="_Hlk232094807"/>
            <w:r>
              <w:rPr>
                <w:rFonts w:hint="eastAsia"/>
                <w:color w:val="auto"/>
                <w:sz w:val="18"/>
                <w:szCs w:val="18"/>
              </w:rPr>
              <w:t>项目</w:t>
            </w:r>
          </w:p>
        </w:tc>
        <w:tc>
          <w:tcPr>
            <w:tcW w:w="3102" w:type="pct"/>
            <w:tcBorders>
              <w:top w:val="single" w:color="auto" w:sz="8" w:space="0"/>
              <w:left w:val="single" w:color="auto" w:sz="4" w:space="0"/>
              <w:bottom w:val="single" w:color="auto" w:sz="8" w:space="0"/>
            </w:tcBorders>
          </w:tcPr>
          <w:p w14:paraId="4D830B61">
            <w:pPr>
              <w:spacing w:line="240" w:lineRule="auto"/>
              <w:jc w:val="center"/>
              <w:rPr>
                <w:color w:val="auto"/>
                <w:sz w:val="18"/>
                <w:szCs w:val="18"/>
              </w:rPr>
            </w:pPr>
            <w:r>
              <w:rPr>
                <w:rFonts w:hint="eastAsia"/>
                <w:color w:val="auto"/>
                <w:sz w:val="18"/>
                <w:szCs w:val="18"/>
              </w:rPr>
              <w:t>质量指标</w:t>
            </w:r>
          </w:p>
        </w:tc>
      </w:tr>
      <w:tr w14:paraId="7DED29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98" w:type="pct"/>
            <w:tcBorders>
              <w:top w:val="single" w:color="auto" w:sz="8" w:space="0"/>
              <w:bottom w:val="single" w:color="auto" w:sz="4" w:space="0"/>
              <w:right w:val="single" w:color="auto" w:sz="4" w:space="0"/>
            </w:tcBorders>
          </w:tcPr>
          <w:p w14:paraId="55CE3E64">
            <w:pPr>
              <w:spacing w:line="240" w:lineRule="auto"/>
              <w:jc w:val="left"/>
              <w:rPr>
                <w:rFonts w:hint="eastAsia" w:ascii="宋体" w:hAnsi="宋体"/>
                <w:color w:val="auto"/>
                <w:sz w:val="18"/>
                <w:szCs w:val="18"/>
              </w:rPr>
            </w:pPr>
            <w:r>
              <w:rPr>
                <w:rFonts w:hint="eastAsia" w:ascii="宋体" w:hAnsi="宋体"/>
                <w:color w:val="auto"/>
                <w:sz w:val="18"/>
                <w:szCs w:val="18"/>
              </w:rPr>
              <w:t>挥发性盐基氮（mg/100</w:t>
            </w:r>
            <w:r>
              <w:rPr>
                <w:rFonts w:hint="eastAsia" w:ascii="宋体" w:hAnsi="宋体"/>
                <w:color w:val="auto"/>
                <w:sz w:val="18"/>
                <w:szCs w:val="18"/>
                <w:vertAlign w:val="superscript"/>
              </w:rPr>
              <w:t xml:space="preserve"> </w:t>
            </w:r>
            <w:r>
              <w:rPr>
                <w:rFonts w:hint="eastAsia" w:ascii="宋体" w:hAnsi="宋体"/>
                <w:color w:val="auto"/>
                <w:sz w:val="18"/>
                <w:szCs w:val="18"/>
              </w:rPr>
              <w:t xml:space="preserve">g）           </w:t>
            </w:r>
            <w:r>
              <w:rPr>
                <w:rFonts w:ascii="宋体" w:hAnsi="宋体"/>
                <w:color w:val="auto"/>
                <w:sz w:val="18"/>
                <w:szCs w:val="18"/>
              </w:rPr>
              <w:t>≤</w:t>
            </w:r>
          </w:p>
        </w:tc>
        <w:tc>
          <w:tcPr>
            <w:tcW w:w="3102" w:type="pct"/>
            <w:tcBorders>
              <w:top w:val="single" w:color="auto" w:sz="8" w:space="0"/>
              <w:left w:val="single" w:color="auto" w:sz="4" w:space="0"/>
              <w:bottom w:val="single" w:color="auto" w:sz="4" w:space="0"/>
            </w:tcBorders>
          </w:tcPr>
          <w:p w14:paraId="643C71F8">
            <w:pPr>
              <w:spacing w:line="240" w:lineRule="auto"/>
              <w:jc w:val="center"/>
              <w:rPr>
                <w:rFonts w:hint="eastAsia" w:ascii="宋体" w:hAnsi="宋体"/>
                <w:color w:val="auto"/>
                <w:sz w:val="18"/>
                <w:szCs w:val="18"/>
              </w:rPr>
            </w:pPr>
            <w:r>
              <w:rPr>
                <w:rFonts w:ascii="宋体" w:hAnsi="宋体"/>
                <w:color w:val="auto"/>
                <w:sz w:val="18"/>
                <w:szCs w:val="18"/>
              </w:rPr>
              <w:t>15</w:t>
            </w:r>
          </w:p>
        </w:tc>
      </w:tr>
      <w:tr w14:paraId="6A65AB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98" w:type="pct"/>
            <w:tcBorders>
              <w:top w:val="single" w:color="auto" w:sz="4" w:space="0"/>
              <w:bottom w:val="single" w:color="auto" w:sz="4" w:space="0"/>
              <w:right w:val="single" w:color="auto" w:sz="4" w:space="0"/>
            </w:tcBorders>
          </w:tcPr>
          <w:p w14:paraId="0E6407D2">
            <w:pPr>
              <w:spacing w:line="240" w:lineRule="auto"/>
              <w:jc w:val="left"/>
              <w:rPr>
                <w:rFonts w:hint="eastAsia" w:ascii="宋体" w:hAnsi="宋体"/>
                <w:color w:val="auto"/>
                <w:sz w:val="18"/>
                <w:szCs w:val="18"/>
              </w:rPr>
            </w:pPr>
            <w:r>
              <w:rPr>
                <w:rFonts w:hint="eastAsia" w:ascii="宋体" w:hAnsi="宋体"/>
                <w:color w:val="auto"/>
                <w:sz w:val="18"/>
                <w:szCs w:val="18"/>
              </w:rPr>
              <w:t>解冻失水率</w:t>
            </w:r>
            <w:r>
              <w:rPr>
                <w:rFonts w:ascii="宋体" w:hAnsi="宋体"/>
                <w:color w:val="auto"/>
                <w:sz w:val="18"/>
                <w:szCs w:val="18"/>
              </w:rPr>
              <w:t>（</w:t>
            </w:r>
            <w:r>
              <w:rPr>
                <w:rFonts w:hint="eastAsia" w:ascii="宋体" w:hAnsi="宋体"/>
                <w:color w:val="auto"/>
                <w:sz w:val="18"/>
                <w:szCs w:val="18"/>
              </w:rPr>
              <w:t>％</w:t>
            </w:r>
            <w:r>
              <w:rPr>
                <w:rFonts w:ascii="宋体" w:hAnsi="宋体"/>
                <w:color w:val="auto"/>
                <w:sz w:val="18"/>
                <w:szCs w:val="18"/>
              </w:rPr>
              <w:t>）</w:t>
            </w:r>
            <w:r>
              <w:rPr>
                <w:rFonts w:hint="eastAsia" w:ascii="宋体" w:hAnsi="宋体"/>
                <w:color w:val="auto"/>
                <w:sz w:val="18"/>
                <w:szCs w:val="18"/>
              </w:rPr>
              <w:t xml:space="preserve">                  </w:t>
            </w:r>
            <w:r>
              <w:rPr>
                <w:rFonts w:ascii="宋体" w:hAnsi="宋体"/>
                <w:color w:val="auto"/>
                <w:sz w:val="18"/>
                <w:szCs w:val="18"/>
              </w:rPr>
              <w:t>≤</w:t>
            </w:r>
          </w:p>
        </w:tc>
        <w:tc>
          <w:tcPr>
            <w:tcW w:w="3102" w:type="pct"/>
            <w:tcBorders>
              <w:top w:val="single" w:color="auto" w:sz="4" w:space="0"/>
              <w:left w:val="single" w:color="auto" w:sz="4" w:space="0"/>
              <w:bottom w:val="single" w:color="auto" w:sz="4" w:space="0"/>
            </w:tcBorders>
          </w:tcPr>
          <w:p w14:paraId="2E8CCB72">
            <w:pPr>
              <w:spacing w:line="240" w:lineRule="auto"/>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6</w:t>
            </w:r>
          </w:p>
        </w:tc>
      </w:tr>
      <w:tr w14:paraId="7EA692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98" w:type="pct"/>
            <w:tcBorders>
              <w:top w:val="single" w:color="auto" w:sz="4" w:space="0"/>
              <w:bottom w:val="single" w:color="auto" w:sz="4" w:space="0"/>
              <w:right w:val="single" w:color="auto" w:sz="4" w:space="0"/>
            </w:tcBorders>
          </w:tcPr>
          <w:p w14:paraId="5964EA96">
            <w:pPr>
              <w:spacing w:line="240" w:lineRule="auto"/>
              <w:jc w:val="left"/>
              <w:rPr>
                <w:rFonts w:hint="eastAsia" w:ascii="宋体" w:hAnsi="宋体"/>
                <w:color w:val="auto"/>
                <w:sz w:val="18"/>
                <w:szCs w:val="18"/>
              </w:rPr>
            </w:pPr>
            <w:r>
              <w:rPr>
                <w:rFonts w:ascii="宋体" w:hAnsi="宋体"/>
                <w:color w:val="auto"/>
                <w:sz w:val="18"/>
                <w:szCs w:val="18"/>
              </w:rPr>
              <w:t>水分含量（</w:t>
            </w:r>
            <w:r>
              <w:rPr>
                <w:rFonts w:hint="eastAsia" w:ascii="宋体" w:hAnsi="宋体"/>
                <w:color w:val="auto"/>
                <w:sz w:val="18"/>
                <w:szCs w:val="18"/>
              </w:rPr>
              <w:t>％</w:t>
            </w:r>
            <w:r>
              <w:rPr>
                <w:rFonts w:ascii="宋体" w:hAnsi="宋体"/>
                <w:color w:val="auto"/>
                <w:sz w:val="18"/>
                <w:szCs w:val="18"/>
              </w:rPr>
              <w:t>）</w:t>
            </w:r>
            <w:r>
              <w:rPr>
                <w:rFonts w:hint="eastAsia" w:ascii="宋体" w:hAnsi="宋体"/>
                <w:color w:val="auto"/>
                <w:sz w:val="18"/>
                <w:szCs w:val="18"/>
              </w:rPr>
              <w:t xml:space="preserve">                    </w:t>
            </w:r>
            <w:r>
              <w:rPr>
                <w:rFonts w:ascii="宋体" w:hAnsi="宋体"/>
                <w:color w:val="auto"/>
                <w:sz w:val="18"/>
                <w:szCs w:val="18"/>
              </w:rPr>
              <w:t>≤</w:t>
            </w:r>
          </w:p>
        </w:tc>
        <w:tc>
          <w:tcPr>
            <w:tcW w:w="3102" w:type="pct"/>
            <w:tcBorders>
              <w:top w:val="single" w:color="auto" w:sz="4" w:space="0"/>
              <w:left w:val="single" w:color="auto" w:sz="4" w:space="0"/>
              <w:bottom w:val="single" w:color="auto" w:sz="4" w:space="0"/>
            </w:tcBorders>
          </w:tcPr>
          <w:p w14:paraId="0F886565">
            <w:pPr>
              <w:spacing w:line="240" w:lineRule="auto"/>
              <w:jc w:val="center"/>
              <w:rPr>
                <w:rFonts w:hint="eastAsia" w:ascii="宋体" w:hAnsi="宋体"/>
                <w:color w:val="auto"/>
                <w:sz w:val="18"/>
                <w:szCs w:val="18"/>
              </w:rPr>
            </w:pPr>
            <w:r>
              <w:rPr>
                <w:rFonts w:ascii="宋体" w:hAnsi="宋体"/>
                <w:color w:val="auto"/>
                <w:sz w:val="18"/>
                <w:szCs w:val="18"/>
              </w:rPr>
              <w:t>7</w:t>
            </w:r>
            <w:bookmarkStart w:id="47" w:name="OLE_LINK9"/>
            <w:r>
              <w:rPr>
                <w:rFonts w:hint="eastAsia" w:ascii="宋体" w:hAnsi="宋体"/>
                <w:color w:val="auto"/>
                <w:sz w:val="18"/>
                <w:szCs w:val="18"/>
              </w:rPr>
              <w:t>7.0</w:t>
            </w:r>
            <w:bookmarkEnd w:id="47"/>
          </w:p>
        </w:tc>
      </w:tr>
      <w:tr w14:paraId="4ACDD6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98" w:type="pct"/>
            <w:tcBorders>
              <w:top w:val="single" w:color="auto" w:sz="4" w:space="0"/>
              <w:bottom w:val="single" w:color="auto" w:sz="4" w:space="0"/>
              <w:right w:val="single" w:color="auto" w:sz="4" w:space="0"/>
            </w:tcBorders>
          </w:tcPr>
          <w:p w14:paraId="57513AA2">
            <w:pPr>
              <w:spacing w:line="240" w:lineRule="auto"/>
              <w:jc w:val="left"/>
              <w:rPr>
                <w:rFonts w:hint="eastAsia" w:ascii="宋体" w:hAnsi="宋体"/>
                <w:color w:val="auto"/>
                <w:sz w:val="18"/>
                <w:szCs w:val="18"/>
              </w:rPr>
            </w:pPr>
            <w:r>
              <w:rPr>
                <w:rFonts w:ascii="宋体" w:hAnsi="宋体"/>
                <w:color w:val="auto"/>
                <w:sz w:val="18"/>
                <w:szCs w:val="18"/>
              </w:rPr>
              <w:t>蛋白质（g/100</w:t>
            </w:r>
            <w:r>
              <w:rPr>
                <w:rFonts w:hint="eastAsia" w:ascii="宋体" w:hAnsi="宋体"/>
                <w:color w:val="auto"/>
                <w:sz w:val="18"/>
                <w:szCs w:val="18"/>
                <w:vertAlign w:val="superscript"/>
              </w:rPr>
              <w:t xml:space="preserve"> </w:t>
            </w:r>
            <w:r>
              <w:rPr>
                <w:rFonts w:ascii="宋体" w:hAnsi="宋体"/>
                <w:color w:val="auto"/>
                <w:sz w:val="18"/>
                <w:szCs w:val="18"/>
              </w:rPr>
              <w:t>g）</w:t>
            </w:r>
            <w:bookmarkStart w:id="48" w:name="OLE_LINK11"/>
            <w:r>
              <w:rPr>
                <w:rFonts w:hint="eastAsia" w:ascii="宋体" w:hAnsi="宋体"/>
                <w:color w:val="auto"/>
                <w:sz w:val="18"/>
                <w:szCs w:val="18"/>
              </w:rPr>
              <w:t xml:space="preserve">                  </w:t>
            </w:r>
            <w:r>
              <w:rPr>
                <w:rFonts w:ascii="宋体" w:hAnsi="宋体"/>
                <w:color w:val="auto"/>
                <w:sz w:val="18"/>
                <w:szCs w:val="18"/>
              </w:rPr>
              <w:t>≥</w:t>
            </w:r>
            <w:bookmarkEnd w:id="48"/>
          </w:p>
        </w:tc>
        <w:tc>
          <w:tcPr>
            <w:tcW w:w="3102" w:type="pct"/>
            <w:tcBorders>
              <w:top w:val="single" w:color="auto" w:sz="4" w:space="0"/>
              <w:left w:val="single" w:color="auto" w:sz="4" w:space="0"/>
              <w:bottom w:val="single" w:color="auto" w:sz="4" w:space="0"/>
            </w:tcBorders>
          </w:tcPr>
          <w:p w14:paraId="62434C2A">
            <w:pPr>
              <w:spacing w:line="240" w:lineRule="auto"/>
              <w:jc w:val="center"/>
              <w:rPr>
                <w:rFonts w:hint="eastAsia" w:ascii="宋体" w:hAnsi="宋体"/>
                <w:color w:val="auto"/>
                <w:sz w:val="18"/>
                <w:szCs w:val="18"/>
              </w:rPr>
            </w:pPr>
            <w:r>
              <w:rPr>
                <w:rFonts w:hint="eastAsia" w:ascii="宋体" w:hAnsi="宋体"/>
                <w:color w:val="auto"/>
                <w:sz w:val="18"/>
                <w:szCs w:val="18"/>
              </w:rPr>
              <w:t>20</w:t>
            </w:r>
            <w:r>
              <w:rPr>
                <w:rFonts w:ascii="宋体" w:hAnsi="宋体"/>
                <w:color w:val="auto"/>
                <w:sz w:val="18"/>
                <w:szCs w:val="18"/>
              </w:rPr>
              <w:t>.0</w:t>
            </w:r>
          </w:p>
        </w:tc>
      </w:tr>
      <w:tr w14:paraId="76D3F1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98" w:type="pct"/>
            <w:tcBorders>
              <w:top w:val="single" w:color="auto" w:sz="4" w:space="0"/>
              <w:bottom w:val="single" w:color="auto" w:sz="4" w:space="0"/>
              <w:right w:val="single" w:color="auto" w:sz="4" w:space="0"/>
            </w:tcBorders>
          </w:tcPr>
          <w:p w14:paraId="5597A9AC">
            <w:pPr>
              <w:spacing w:line="240" w:lineRule="auto"/>
              <w:jc w:val="left"/>
              <w:rPr>
                <w:rFonts w:hint="eastAsia" w:ascii="宋体" w:hAnsi="宋体"/>
                <w:color w:val="auto"/>
                <w:sz w:val="18"/>
                <w:szCs w:val="18"/>
              </w:rPr>
            </w:pPr>
            <w:r>
              <w:rPr>
                <w:rFonts w:hint="eastAsia" w:ascii="宋体" w:hAnsi="宋体"/>
                <w:color w:val="auto"/>
                <w:sz w:val="18"/>
                <w:szCs w:val="18"/>
              </w:rPr>
              <w:t>氨基酸总量/（g/100</w:t>
            </w:r>
            <w:r>
              <w:rPr>
                <w:rFonts w:hint="eastAsia" w:ascii="宋体" w:hAnsi="宋体"/>
                <w:color w:val="auto"/>
                <w:sz w:val="18"/>
                <w:szCs w:val="18"/>
                <w:vertAlign w:val="superscript"/>
              </w:rPr>
              <w:t xml:space="preserve"> </w:t>
            </w:r>
            <w:r>
              <w:rPr>
                <w:rFonts w:hint="eastAsia" w:ascii="宋体" w:hAnsi="宋体"/>
                <w:color w:val="auto"/>
                <w:sz w:val="18"/>
                <w:szCs w:val="18"/>
              </w:rPr>
              <w:t xml:space="preserve">g）             </w:t>
            </w:r>
            <w:r>
              <w:rPr>
                <w:rFonts w:ascii="宋体" w:hAnsi="宋体"/>
                <w:color w:val="auto"/>
                <w:sz w:val="18"/>
                <w:szCs w:val="18"/>
              </w:rPr>
              <w:t>≥</w:t>
            </w:r>
          </w:p>
        </w:tc>
        <w:tc>
          <w:tcPr>
            <w:tcW w:w="3102" w:type="pct"/>
            <w:tcBorders>
              <w:top w:val="single" w:color="auto" w:sz="4" w:space="0"/>
              <w:left w:val="single" w:color="auto" w:sz="4" w:space="0"/>
              <w:bottom w:val="single" w:color="auto" w:sz="4" w:space="0"/>
            </w:tcBorders>
          </w:tcPr>
          <w:p w14:paraId="36550600">
            <w:pPr>
              <w:spacing w:line="240" w:lineRule="auto"/>
              <w:jc w:val="center"/>
              <w:rPr>
                <w:rFonts w:hint="eastAsia" w:ascii="宋体" w:hAnsi="宋体"/>
                <w:color w:val="auto"/>
                <w:sz w:val="18"/>
                <w:szCs w:val="18"/>
              </w:rPr>
            </w:pPr>
            <w:r>
              <w:rPr>
                <w:rFonts w:hint="eastAsia" w:ascii="宋体" w:hAnsi="宋体"/>
                <w:color w:val="auto"/>
                <w:sz w:val="18"/>
                <w:szCs w:val="18"/>
              </w:rPr>
              <w:t>20</w:t>
            </w:r>
            <w:r>
              <w:rPr>
                <w:rFonts w:ascii="宋体" w:hAnsi="宋体"/>
                <w:color w:val="auto"/>
                <w:sz w:val="18"/>
                <w:szCs w:val="18"/>
              </w:rPr>
              <w:t>.0</w:t>
            </w:r>
          </w:p>
        </w:tc>
      </w:tr>
      <w:bookmarkEnd w:id="46"/>
      <w:tr w14:paraId="086F5E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98" w:type="pct"/>
            <w:tcBorders>
              <w:top w:val="single" w:color="auto" w:sz="4" w:space="0"/>
              <w:bottom w:val="single" w:color="auto" w:sz="4" w:space="0"/>
              <w:right w:val="single" w:color="auto" w:sz="4" w:space="0"/>
            </w:tcBorders>
          </w:tcPr>
          <w:p w14:paraId="3BEABB0F">
            <w:pPr>
              <w:spacing w:line="240" w:lineRule="auto"/>
              <w:jc w:val="left"/>
              <w:rPr>
                <w:rFonts w:hint="eastAsia" w:ascii="宋体" w:hAnsi="宋体"/>
                <w:color w:val="auto"/>
                <w:sz w:val="18"/>
                <w:szCs w:val="18"/>
              </w:rPr>
            </w:pPr>
            <w:r>
              <w:rPr>
                <w:rFonts w:hint="eastAsia" w:ascii="宋体" w:hAnsi="宋体"/>
                <w:color w:val="auto"/>
                <w:sz w:val="18"/>
                <w:szCs w:val="18"/>
              </w:rPr>
              <w:t>肌内</w:t>
            </w:r>
            <w:r>
              <w:rPr>
                <w:rFonts w:ascii="宋体" w:hAnsi="宋体"/>
                <w:color w:val="auto"/>
                <w:sz w:val="18"/>
                <w:szCs w:val="18"/>
              </w:rPr>
              <w:t>脂肪（g/100g）</w:t>
            </w:r>
            <w:r>
              <w:rPr>
                <w:rFonts w:hint="eastAsia" w:ascii="宋体" w:hAnsi="宋体"/>
                <w:color w:val="auto"/>
                <w:sz w:val="18"/>
                <w:szCs w:val="18"/>
              </w:rPr>
              <w:t xml:space="preserve">                </w:t>
            </w:r>
            <w:r>
              <w:rPr>
                <w:rFonts w:ascii="宋体" w:hAnsi="宋体"/>
                <w:color w:val="auto"/>
                <w:sz w:val="18"/>
                <w:szCs w:val="18"/>
              </w:rPr>
              <w:t>≥</w:t>
            </w:r>
          </w:p>
        </w:tc>
        <w:tc>
          <w:tcPr>
            <w:tcW w:w="3102" w:type="pct"/>
            <w:tcBorders>
              <w:top w:val="single" w:color="auto" w:sz="4" w:space="0"/>
              <w:left w:val="single" w:color="auto" w:sz="4" w:space="0"/>
              <w:bottom w:val="single" w:color="auto" w:sz="4" w:space="0"/>
            </w:tcBorders>
          </w:tcPr>
          <w:p w14:paraId="37170032">
            <w:pPr>
              <w:spacing w:line="240" w:lineRule="auto"/>
              <w:jc w:val="center"/>
              <w:rPr>
                <w:rFonts w:hint="eastAsia" w:ascii="宋体" w:hAnsi="宋体"/>
                <w:color w:val="auto"/>
                <w:sz w:val="18"/>
                <w:szCs w:val="18"/>
              </w:rPr>
            </w:pPr>
            <w:r>
              <w:rPr>
                <w:rFonts w:hint="eastAsia" w:ascii="宋体" w:hAnsi="宋体"/>
                <w:color w:val="auto"/>
                <w:sz w:val="18"/>
                <w:szCs w:val="18"/>
              </w:rPr>
              <w:t>2</w:t>
            </w:r>
            <w:r>
              <w:rPr>
                <w:rFonts w:ascii="宋体" w:hAnsi="宋体"/>
                <w:color w:val="auto"/>
                <w:sz w:val="18"/>
                <w:szCs w:val="18"/>
              </w:rPr>
              <w:t>.0</w:t>
            </w:r>
          </w:p>
        </w:tc>
      </w:tr>
      <w:tr w14:paraId="30DCFD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98" w:type="pct"/>
            <w:tcBorders>
              <w:top w:val="single" w:color="auto" w:sz="4" w:space="0"/>
              <w:bottom w:val="single" w:color="auto" w:sz="4" w:space="0"/>
              <w:right w:val="single" w:color="auto" w:sz="4" w:space="0"/>
            </w:tcBorders>
          </w:tcPr>
          <w:p w14:paraId="338A04C9">
            <w:pPr>
              <w:spacing w:line="240" w:lineRule="auto"/>
              <w:jc w:val="left"/>
              <w:rPr>
                <w:rFonts w:hint="eastAsia" w:ascii="宋体" w:hAnsi="宋体"/>
                <w:color w:val="auto"/>
                <w:sz w:val="18"/>
                <w:szCs w:val="18"/>
              </w:rPr>
            </w:pPr>
            <w:r>
              <w:rPr>
                <w:rFonts w:hint="eastAsia" w:ascii="宋体" w:hAnsi="宋体"/>
                <w:color w:val="auto"/>
                <w:sz w:val="18"/>
                <w:szCs w:val="18"/>
              </w:rPr>
              <w:t xml:space="preserve">pH值                              </w:t>
            </w:r>
            <w:r>
              <w:rPr>
                <w:rFonts w:ascii="宋体" w:hAnsi="宋体"/>
                <w:color w:val="auto"/>
                <w:sz w:val="18"/>
                <w:szCs w:val="18"/>
              </w:rPr>
              <w:t>≤</w:t>
            </w:r>
          </w:p>
        </w:tc>
        <w:tc>
          <w:tcPr>
            <w:tcW w:w="3102" w:type="pct"/>
            <w:tcBorders>
              <w:top w:val="single" w:color="auto" w:sz="4" w:space="0"/>
              <w:left w:val="single" w:color="auto" w:sz="4" w:space="0"/>
              <w:bottom w:val="single" w:color="auto" w:sz="4" w:space="0"/>
            </w:tcBorders>
          </w:tcPr>
          <w:p w14:paraId="50E65F25">
            <w:pPr>
              <w:spacing w:line="240" w:lineRule="auto"/>
              <w:jc w:val="center"/>
              <w:rPr>
                <w:rFonts w:hint="eastAsia" w:ascii="宋体" w:hAnsi="宋体"/>
                <w:color w:val="auto"/>
                <w:sz w:val="18"/>
                <w:szCs w:val="18"/>
              </w:rPr>
            </w:pPr>
            <w:r>
              <w:rPr>
                <w:rFonts w:ascii="宋体" w:hAnsi="宋体"/>
                <w:color w:val="auto"/>
                <w:sz w:val="18"/>
                <w:szCs w:val="18"/>
              </w:rPr>
              <w:t>6.0</w:t>
            </w:r>
          </w:p>
        </w:tc>
      </w:tr>
      <w:tr w14:paraId="4EC5BD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98" w:type="pct"/>
            <w:tcBorders>
              <w:top w:val="single" w:color="auto" w:sz="4" w:space="0"/>
              <w:bottom w:val="single" w:color="auto" w:sz="4" w:space="0"/>
              <w:right w:val="single" w:color="auto" w:sz="4" w:space="0"/>
            </w:tcBorders>
          </w:tcPr>
          <w:p w14:paraId="28ECBF9E">
            <w:pPr>
              <w:spacing w:line="240" w:lineRule="auto"/>
              <w:jc w:val="left"/>
              <w:rPr>
                <w:rFonts w:hint="eastAsia" w:ascii="宋体" w:hAnsi="宋体"/>
                <w:color w:val="auto"/>
                <w:sz w:val="18"/>
                <w:szCs w:val="18"/>
              </w:rPr>
            </w:pPr>
            <w:r>
              <w:rPr>
                <w:rFonts w:hint="eastAsia" w:ascii="宋体" w:hAnsi="宋体"/>
                <w:color w:val="auto"/>
                <w:sz w:val="18"/>
                <w:szCs w:val="18"/>
                <w:vertAlign w:val="superscript"/>
              </w:rPr>
              <w:t>a</w:t>
            </w:r>
            <w:r>
              <w:rPr>
                <w:rFonts w:ascii="宋体" w:hAnsi="宋体"/>
                <w:color w:val="auto"/>
                <w:sz w:val="18"/>
                <w:szCs w:val="18"/>
              </w:rPr>
              <w:t>不饱和脂肪酸含量/（</w:t>
            </w:r>
            <w:r>
              <w:rPr>
                <w:rFonts w:hint="eastAsia" w:ascii="宋体" w:hAnsi="宋体"/>
                <w:color w:val="auto"/>
                <w:sz w:val="18"/>
                <w:szCs w:val="18"/>
              </w:rPr>
              <w:t>％</w:t>
            </w:r>
            <w:r>
              <w:rPr>
                <w:rFonts w:ascii="宋体" w:hAnsi="宋体"/>
                <w:color w:val="auto"/>
                <w:sz w:val="18"/>
                <w:szCs w:val="18"/>
              </w:rPr>
              <w:t>）</w:t>
            </w:r>
            <w:r>
              <w:rPr>
                <w:rFonts w:hint="eastAsia" w:ascii="宋体" w:hAnsi="宋体"/>
                <w:color w:val="auto"/>
                <w:sz w:val="18"/>
                <w:szCs w:val="18"/>
              </w:rPr>
              <w:t xml:space="preserve">           </w:t>
            </w:r>
            <w:r>
              <w:rPr>
                <w:rFonts w:ascii="宋体" w:hAnsi="宋体"/>
                <w:color w:val="auto"/>
                <w:sz w:val="18"/>
                <w:szCs w:val="18"/>
              </w:rPr>
              <w:t>≥</w:t>
            </w:r>
          </w:p>
        </w:tc>
        <w:tc>
          <w:tcPr>
            <w:tcW w:w="3102" w:type="pct"/>
            <w:tcBorders>
              <w:top w:val="single" w:color="auto" w:sz="4" w:space="0"/>
              <w:left w:val="single" w:color="auto" w:sz="4" w:space="0"/>
              <w:bottom w:val="single" w:color="auto" w:sz="4" w:space="0"/>
            </w:tcBorders>
          </w:tcPr>
          <w:p w14:paraId="1D7FE6CB">
            <w:pPr>
              <w:spacing w:line="240" w:lineRule="auto"/>
              <w:ind w:left="900" w:hanging="900" w:hangingChars="500"/>
              <w:jc w:val="center"/>
              <w:rPr>
                <w:rFonts w:hint="eastAsia" w:ascii="宋体" w:hAnsi="宋体"/>
                <w:color w:val="auto"/>
                <w:sz w:val="18"/>
                <w:szCs w:val="18"/>
              </w:rPr>
            </w:pPr>
            <w:r>
              <w:rPr>
                <w:rFonts w:ascii="宋体" w:hAnsi="宋体"/>
                <w:color w:val="auto"/>
                <w:sz w:val="18"/>
                <w:szCs w:val="18"/>
              </w:rPr>
              <w:t>60</w:t>
            </w:r>
          </w:p>
        </w:tc>
      </w:tr>
      <w:tr w14:paraId="2D3D0D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 w:hRule="atLeast"/>
        </w:trPr>
        <w:tc>
          <w:tcPr>
            <w:tcW w:w="5000" w:type="pct"/>
            <w:gridSpan w:val="2"/>
            <w:tcBorders>
              <w:top w:val="single" w:color="auto" w:sz="4" w:space="0"/>
              <w:bottom w:val="single" w:color="auto" w:sz="4" w:space="0"/>
            </w:tcBorders>
          </w:tcPr>
          <w:p w14:paraId="130E78CD">
            <w:pPr>
              <w:spacing w:line="240" w:lineRule="auto"/>
              <w:ind w:firstLine="180" w:firstLineChars="100"/>
              <w:rPr>
                <w:rFonts w:hint="eastAsia" w:ascii="宋体" w:hAnsi="宋体"/>
                <w:color w:val="auto"/>
                <w:sz w:val="18"/>
                <w:szCs w:val="18"/>
              </w:rPr>
            </w:pPr>
            <w:r>
              <w:rPr>
                <w:rFonts w:hint="eastAsia" w:ascii="宋体" w:hAnsi="宋体"/>
                <w:color w:val="auto"/>
                <w:sz w:val="18"/>
                <w:szCs w:val="18"/>
                <w:vertAlign w:val="superscript"/>
              </w:rPr>
              <w:t>a</w:t>
            </w:r>
            <w:r>
              <w:rPr>
                <w:rFonts w:hint="eastAsia" w:ascii="宋体" w:hAnsi="宋体"/>
                <w:color w:val="auto"/>
                <w:sz w:val="18"/>
                <w:szCs w:val="18"/>
              </w:rPr>
              <w:t>取样为整鸡带皮产品。</w:t>
            </w:r>
          </w:p>
        </w:tc>
      </w:tr>
    </w:tbl>
    <w:p w14:paraId="1A3A6287">
      <w:pPr>
        <w:pStyle w:val="105"/>
        <w:spacing w:before="120" w:after="120"/>
        <w:rPr>
          <w:color w:val="auto"/>
        </w:rPr>
      </w:pPr>
      <w:r>
        <w:rPr>
          <w:color w:val="auto"/>
        </w:rPr>
        <w:t>污染物限量</w:t>
      </w:r>
    </w:p>
    <w:p w14:paraId="4CE295C8">
      <w:pPr>
        <w:pStyle w:val="56"/>
        <w:ind w:firstLine="420"/>
        <w:rPr>
          <w:rFonts w:ascii="宋体" w:hAnsi="宋体"/>
          <w:color w:val="auto"/>
        </w:rPr>
      </w:pPr>
      <w:bookmarkStart w:id="49" w:name="OLE_LINK4"/>
      <w:r>
        <w:rPr>
          <w:color w:val="auto"/>
        </w:rPr>
        <w:t>应</w:t>
      </w:r>
      <w:r>
        <w:rPr>
          <w:rFonts w:ascii="宋体" w:hAnsi="宋体"/>
          <w:color w:val="auto"/>
        </w:rPr>
        <w:t>符合</w:t>
      </w:r>
      <w:r>
        <w:rPr>
          <w:rFonts w:hint="eastAsia" w:ascii="宋体" w:hAnsi="宋体"/>
          <w:color w:val="auto"/>
        </w:rPr>
        <w:t>GB 2707</w:t>
      </w:r>
      <w:r>
        <w:rPr>
          <w:rFonts w:ascii="宋体" w:hAnsi="宋体"/>
          <w:color w:val="auto"/>
        </w:rPr>
        <w:t>的规定</w:t>
      </w:r>
      <w:bookmarkEnd w:id="49"/>
      <w:r>
        <w:rPr>
          <w:rFonts w:ascii="宋体" w:hAnsi="宋体"/>
          <w:color w:val="auto"/>
        </w:rPr>
        <w:t>。</w:t>
      </w:r>
    </w:p>
    <w:p w14:paraId="64BAEFEE">
      <w:pPr>
        <w:pStyle w:val="105"/>
        <w:spacing w:before="120" w:after="120"/>
        <w:rPr>
          <w:rFonts w:ascii="宋体" w:hAnsi="宋体"/>
          <w:color w:val="auto"/>
        </w:rPr>
      </w:pPr>
      <w:r>
        <w:rPr>
          <w:color w:val="auto"/>
        </w:rPr>
        <w:t>农药</w:t>
      </w:r>
      <w:r>
        <w:rPr>
          <w:rFonts w:hint="eastAsia"/>
          <w:color w:val="auto"/>
        </w:rPr>
        <w:t>及</w:t>
      </w:r>
      <w:r>
        <w:rPr>
          <w:color w:val="auto"/>
        </w:rPr>
        <w:t>兽药残留限量</w:t>
      </w:r>
    </w:p>
    <w:p w14:paraId="3B6F8D73">
      <w:pPr>
        <w:pStyle w:val="56"/>
        <w:ind w:firstLine="420"/>
        <w:rPr>
          <w:rFonts w:ascii="宋体" w:hAnsi="宋体"/>
          <w:color w:val="auto"/>
        </w:rPr>
      </w:pPr>
      <w:r>
        <w:rPr>
          <w:color w:val="auto"/>
        </w:rPr>
        <w:t>应</w:t>
      </w:r>
      <w:r>
        <w:rPr>
          <w:rFonts w:ascii="宋体" w:hAnsi="宋体"/>
          <w:color w:val="auto"/>
        </w:rPr>
        <w:t>符合</w:t>
      </w:r>
      <w:r>
        <w:rPr>
          <w:rFonts w:hint="eastAsia" w:ascii="宋体" w:hAnsi="宋体"/>
          <w:color w:val="auto"/>
        </w:rPr>
        <w:t>GB 2707</w:t>
      </w:r>
      <w:r>
        <w:rPr>
          <w:rFonts w:ascii="宋体" w:hAnsi="宋体"/>
          <w:color w:val="auto"/>
        </w:rPr>
        <w:t>的规定</w:t>
      </w:r>
      <w:r>
        <w:rPr>
          <w:rFonts w:hint="eastAsia" w:ascii="宋体" w:hAnsi="宋体"/>
          <w:color w:val="auto"/>
        </w:rPr>
        <w:t>。</w:t>
      </w:r>
    </w:p>
    <w:p w14:paraId="2B98F119">
      <w:pPr>
        <w:pStyle w:val="105"/>
        <w:spacing w:before="120" w:after="120"/>
      </w:pPr>
      <w:r>
        <w:t>净含量</w:t>
      </w:r>
    </w:p>
    <w:p w14:paraId="256624F3">
      <w:pPr>
        <w:pStyle w:val="56"/>
        <w:ind w:firstLine="420"/>
      </w:pPr>
      <w:r>
        <w:t>定量包装产品的净含量</w:t>
      </w:r>
      <w:r>
        <w:rPr>
          <w:rFonts w:hint="eastAsia"/>
        </w:rPr>
        <w:t>要求见</w:t>
      </w:r>
      <w:r>
        <w:t>《定量包装商品计量监督管理办法》。</w:t>
      </w:r>
    </w:p>
    <w:p w14:paraId="5AA44216">
      <w:pPr>
        <w:pStyle w:val="104"/>
        <w:spacing w:before="240" w:after="240"/>
      </w:pPr>
      <w:r>
        <w:t>生产加工卫生要求</w:t>
      </w:r>
    </w:p>
    <w:p w14:paraId="6A882E97">
      <w:pPr>
        <w:pStyle w:val="165"/>
        <w:numPr>
          <w:ilvl w:val="3"/>
          <w:numId w:val="0"/>
        </w:numPr>
        <w:ind w:firstLine="420" w:firstLineChars="200"/>
      </w:pPr>
      <w:r>
        <w:t>生产加工过程的卫生要求应符合GB 12694的规定。</w:t>
      </w:r>
    </w:p>
    <w:p w14:paraId="05704694">
      <w:pPr>
        <w:pStyle w:val="104"/>
        <w:spacing w:before="240" w:after="240"/>
      </w:pPr>
      <w:r>
        <w:rPr>
          <w:rFonts w:hint="eastAsia"/>
        </w:rPr>
        <w:t>检验方法</w:t>
      </w:r>
    </w:p>
    <w:p w14:paraId="3F504893">
      <w:pPr>
        <w:pStyle w:val="105"/>
        <w:spacing w:before="120" w:after="120"/>
        <w:rPr>
          <w:sz w:val="27"/>
          <w:szCs w:val="27"/>
        </w:rPr>
      </w:pPr>
      <w:r>
        <w:t>感官检验</w:t>
      </w:r>
    </w:p>
    <w:p w14:paraId="05FCFAB6">
      <w:pPr>
        <w:pStyle w:val="56"/>
        <w:ind w:firstLine="420"/>
      </w:pPr>
      <w:r>
        <w:rPr>
          <w:rFonts w:ascii="宋体" w:hAnsi="宋体"/>
        </w:rPr>
        <w:t>按GB 16869</w:t>
      </w:r>
      <w:r>
        <w:t>的规定的方法测定。</w:t>
      </w:r>
    </w:p>
    <w:p w14:paraId="552ABA49">
      <w:pPr>
        <w:pStyle w:val="105"/>
        <w:spacing w:before="120" w:after="120"/>
      </w:pPr>
      <w:r>
        <w:t>挥发性盐基氮的测定</w:t>
      </w:r>
    </w:p>
    <w:p w14:paraId="633955C3">
      <w:pPr>
        <w:pStyle w:val="56"/>
        <w:ind w:firstLine="420"/>
      </w:pPr>
      <w:r>
        <w:rPr>
          <w:rFonts w:ascii="宋体" w:hAnsi="宋体"/>
        </w:rPr>
        <w:t>按GB 5009.228</w:t>
      </w:r>
      <w:r>
        <w:t>规定的方法测定。</w:t>
      </w:r>
    </w:p>
    <w:p w14:paraId="299C127A">
      <w:pPr>
        <w:pStyle w:val="105"/>
        <w:spacing w:before="120" w:after="120"/>
      </w:pPr>
      <w:r>
        <w:rPr>
          <w:rFonts w:hint="eastAsia"/>
        </w:rPr>
        <w:t>解冻失水率</w:t>
      </w:r>
    </w:p>
    <w:p w14:paraId="637D96BA">
      <w:pPr>
        <w:pStyle w:val="56"/>
        <w:ind w:firstLine="420"/>
      </w:pPr>
      <w:r>
        <w:rPr>
          <w:rFonts w:ascii="宋体" w:hAnsi="宋体"/>
        </w:rPr>
        <w:t>按GB 16869规</w:t>
      </w:r>
      <w:r>
        <w:t>定的方法测定。</w:t>
      </w:r>
    </w:p>
    <w:p w14:paraId="640C578D">
      <w:pPr>
        <w:pStyle w:val="105"/>
        <w:spacing w:before="120" w:after="120"/>
      </w:pPr>
      <w:r>
        <w:t>水分含量的测定</w:t>
      </w:r>
    </w:p>
    <w:p w14:paraId="4887B156">
      <w:pPr>
        <w:pStyle w:val="56"/>
        <w:ind w:firstLine="420"/>
      </w:pPr>
      <w:r>
        <w:t>按</w:t>
      </w:r>
      <w:r>
        <w:rPr>
          <w:rFonts w:ascii="宋体" w:hAnsi="宋体"/>
        </w:rPr>
        <w:t>GB 5009.3规</w:t>
      </w:r>
      <w:r>
        <w:t>定的方法测定。</w:t>
      </w:r>
    </w:p>
    <w:p w14:paraId="18AB066A">
      <w:pPr>
        <w:pStyle w:val="105"/>
        <w:spacing w:before="120" w:after="120"/>
      </w:pPr>
      <w:r>
        <w:t>蛋白质的测定</w:t>
      </w:r>
    </w:p>
    <w:p w14:paraId="7421BFA3">
      <w:pPr>
        <w:pStyle w:val="56"/>
        <w:ind w:firstLine="420"/>
      </w:pPr>
      <w:r>
        <w:rPr>
          <w:rFonts w:ascii="宋体" w:hAnsi="宋体"/>
        </w:rPr>
        <w:t>按GB 5009.5规</w:t>
      </w:r>
      <w:r>
        <w:t>定的方法测定。</w:t>
      </w:r>
    </w:p>
    <w:p w14:paraId="4DC1B3B8">
      <w:pPr>
        <w:pStyle w:val="105"/>
        <w:spacing w:before="120" w:after="120"/>
      </w:pPr>
      <w:r>
        <w:t>氨基酸</w:t>
      </w:r>
      <w:r>
        <w:rPr>
          <w:rFonts w:hAnsi="宋体" w:cs="黑体"/>
          <w:color w:val="000000"/>
          <w:szCs w:val="21"/>
          <w:lang w:bidi="ar"/>
        </w:rPr>
        <w:t>总量</w:t>
      </w:r>
    </w:p>
    <w:p w14:paraId="1B187C14">
      <w:pPr>
        <w:pStyle w:val="56"/>
        <w:ind w:firstLine="420"/>
        <w:rPr>
          <w:rFonts w:hint="eastAsia" w:ascii="宋体" w:hAnsi="宋体"/>
        </w:rPr>
      </w:pPr>
      <w:r>
        <w:rPr>
          <w:rFonts w:hint="eastAsia" w:ascii="宋体" w:hAnsi="宋体"/>
        </w:rPr>
        <w:t>按GB 5009.124</w:t>
      </w:r>
      <w:r>
        <w:rPr>
          <w:rFonts w:ascii="宋体" w:hAnsi="宋体"/>
        </w:rPr>
        <w:t>规</w:t>
      </w:r>
      <w:r>
        <w:t>定的方法测定</w:t>
      </w:r>
      <w:r>
        <w:rPr>
          <w:rFonts w:hint="eastAsia" w:ascii="宋体" w:hAnsi="宋体"/>
        </w:rPr>
        <w:t>。</w:t>
      </w:r>
    </w:p>
    <w:p w14:paraId="155CC3C4">
      <w:pPr>
        <w:pStyle w:val="105"/>
        <w:spacing w:before="120" w:after="120"/>
      </w:pPr>
      <w:r>
        <w:rPr>
          <w:rFonts w:hint="eastAsia"/>
        </w:rPr>
        <w:t>肌内</w:t>
      </w:r>
      <w:r>
        <w:t>脂肪的测定</w:t>
      </w:r>
    </w:p>
    <w:p w14:paraId="22CEE808">
      <w:pPr>
        <w:pStyle w:val="56"/>
        <w:ind w:firstLine="420"/>
      </w:pPr>
      <w:r>
        <w:rPr>
          <w:rFonts w:ascii="宋体" w:hAnsi="宋体"/>
        </w:rPr>
        <w:t>按T</w:t>
      </w:r>
      <w:r>
        <w:rPr>
          <w:rFonts w:hint="eastAsia" w:ascii="宋体" w:hAnsi="宋体"/>
        </w:rPr>
        <w:t>/</w:t>
      </w:r>
      <w:r>
        <w:rPr>
          <w:rFonts w:ascii="宋体" w:hAnsi="宋体"/>
        </w:rPr>
        <w:t>GXAS 385规</w:t>
      </w:r>
      <w:r>
        <w:t>定的方法测定。</w:t>
      </w:r>
    </w:p>
    <w:p w14:paraId="76A84CBA">
      <w:pPr>
        <w:pStyle w:val="105"/>
        <w:spacing w:before="120" w:after="120"/>
      </w:pPr>
      <w:r>
        <w:rPr>
          <w:rFonts w:hint="eastAsia"/>
        </w:rPr>
        <w:t>pH值</w:t>
      </w:r>
    </w:p>
    <w:p w14:paraId="319462E6">
      <w:pPr>
        <w:pStyle w:val="56"/>
        <w:ind w:firstLine="420"/>
      </w:pPr>
      <w:r>
        <w:rPr>
          <w:rFonts w:ascii="宋体" w:hAnsi="宋体"/>
        </w:rPr>
        <w:t>按</w:t>
      </w:r>
      <w:r>
        <w:rPr>
          <w:rFonts w:hint="eastAsia" w:ascii="宋体" w:hAnsi="宋体" w:cs="宋体"/>
        </w:rPr>
        <w:t>GB 5009.237</w:t>
      </w:r>
      <w:r>
        <w:t>规定的方法测定。</w:t>
      </w:r>
    </w:p>
    <w:p w14:paraId="24A2D79D">
      <w:pPr>
        <w:pStyle w:val="105"/>
        <w:spacing w:before="120" w:after="120"/>
      </w:pPr>
      <w:r>
        <w:rPr>
          <w:rFonts w:hint="eastAsia"/>
        </w:rPr>
        <w:t>不饱和脂肪酸含量</w:t>
      </w:r>
    </w:p>
    <w:p w14:paraId="16367582">
      <w:pPr>
        <w:pStyle w:val="56"/>
        <w:ind w:firstLine="420"/>
      </w:pPr>
      <w:r>
        <w:rPr>
          <w:rFonts w:hint="eastAsia"/>
        </w:rPr>
        <w:t>按</w:t>
      </w:r>
      <w:r>
        <w:rPr>
          <w:rFonts w:hint="eastAsia" w:ascii="宋体" w:hAnsi="宋体"/>
        </w:rPr>
        <w:t>GB 5009.6的</w:t>
      </w:r>
      <w:r>
        <w:rPr>
          <w:rFonts w:hint="eastAsia"/>
        </w:rPr>
        <w:t>规定进行。</w:t>
      </w:r>
    </w:p>
    <w:p w14:paraId="4246BD0A">
      <w:pPr>
        <w:pStyle w:val="105"/>
        <w:spacing w:before="120" w:after="120"/>
      </w:pPr>
      <w:r>
        <w:t>污染物限量的测定</w:t>
      </w:r>
    </w:p>
    <w:p w14:paraId="2ECF070B">
      <w:pPr>
        <w:pStyle w:val="56"/>
        <w:ind w:firstLine="420"/>
      </w:pPr>
      <w:r>
        <w:t>按</w:t>
      </w:r>
      <w:r>
        <w:rPr>
          <w:rFonts w:ascii="宋体" w:hAnsi="宋体"/>
        </w:rPr>
        <w:t>GB 2762规</w:t>
      </w:r>
      <w:r>
        <w:t>定的相应方法测定。</w:t>
      </w:r>
    </w:p>
    <w:p w14:paraId="574E05BD">
      <w:pPr>
        <w:pStyle w:val="105"/>
        <w:spacing w:before="120" w:after="120"/>
      </w:pPr>
      <w:r>
        <w:t>农药</w:t>
      </w:r>
      <w:r>
        <w:rPr>
          <w:rFonts w:hint="eastAsia"/>
        </w:rPr>
        <w:t>及</w:t>
      </w:r>
      <w:r>
        <w:t>兽药残留限量的测定</w:t>
      </w:r>
    </w:p>
    <w:p w14:paraId="673F0E35">
      <w:pPr>
        <w:pStyle w:val="56"/>
        <w:ind w:firstLine="420"/>
      </w:pPr>
      <w:r>
        <w:t>农药残留限</w:t>
      </w:r>
      <w:r>
        <w:rPr>
          <w:rFonts w:ascii="宋体" w:hAnsi="宋体"/>
        </w:rPr>
        <w:t>量按GB 2763</w:t>
      </w:r>
      <w:r>
        <w:t>规定的相应方法测定。兽药残留限</w:t>
      </w:r>
      <w:r>
        <w:rPr>
          <w:rFonts w:ascii="宋体" w:hAnsi="宋体"/>
        </w:rPr>
        <w:t>量按</w:t>
      </w:r>
      <w:bookmarkStart w:id="50" w:name="OLE_LINK1"/>
      <w:r>
        <w:rPr>
          <w:rFonts w:ascii="宋体" w:hAnsi="宋体"/>
        </w:rPr>
        <w:t>GB 3</w:t>
      </w:r>
      <w:bookmarkEnd w:id="50"/>
      <w:r>
        <w:rPr>
          <w:rFonts w:ascii="宋体" w:hAnsi="宋体"/>
        </w:rPr>
        <w:t>1650规</w:t>
      </w:r>
      <w:r>
        <w:t>定的相应方法测定</w:t>
      </w:r>
      <w:r>
        <w:rPr>
          <w:rFonts w:hint="eastAsia"/>
        </w:rPr>
        <w:t>。</w:t>
      </w:r>
    </w:p>
    <w:p w14:paraId="12EAECA5">
      <w:pPr>
        <w:pStyle w:val="105"/>
        <w:spacing w:before="120" w:after="120"/>
        <w:rPr>
          <w:sz w:val="27"/>
          <w:szCs w:val="27"/>
        </w:rPr>
      </w:pPr>
      <w:r>
        <w:t>净含量的检验</w:t>
      </w:r>
    </w:p>
    <w:p w14:paraId="59852C43">
      <w:pPr>
        <w:pStyle w:val="56"/>
        <w:ind w:firstLine="420"/>
      </w:pPr>
      <w:r>
        <w:t>按</w:t>
      </w:r>
      <w:r>
        <w:rPr>
          <w:rFonts w:ascii="宋体"/>
        </w:rPr>
        <w:t>JJF 1070</w:t>
      </w:r>
      <w:r>
        <w:t>规定的方法执行。</w:t>
      </w:r>
    </w:p>
    <w:p w14:paraId="64FFFAA0">
      <w:pPr>
        <w:pStyle w:val="104"/>
        <w:spacing w:before="240" w:after="240"/>
      </w:pPr>
      <w:r>
        <w:rPr>
          <w:rFonts w:hint="eastAsia"/>
        </w:rPr>
        <w:t>检验规则</w:t>
      </w:r>
    </w:p>
    <w:p w14:paraId="4B3EC8BB">
      <w:pPr>
        <w:pStyle w:val="105"/>
        <w:spacing w:before="120" w:after="120"/>
        <w:rPr>
          <w:sz w:val="27"/>
          <w:szCs w:val="27"/>
        </w:rPr>
      </w:pPr>
      <w:r>
        <w:t>组批</w:t>
      </w:r>
      <w:r>
        <w:rPr>
          <w:rFonts w:hint="eastAsia"/>
          <w:lang w:eastAsia="zh-CN"/>
        </w:rPr>
        <w:t>、</w:t>
      </w:r>
      <w:r>
        <w:rPr>
          <w:rFonts w:hint="eastAsia"/>
          <w:lang w:val="en-US" w:eastAsia="zh-CN"/>
        </w:rPr>
        <w:t>抽样</w:t>
      </w:r>
    </w:p>
    <w:p w14:paraId="42A78A65">
      <w:pPr>
        <w:pStyle w:val="56"/>
        <w:ind w:firstLine="420"/>
      </w:pPr>
      <w:r>
        <w:rPr>
          <w:rFonts w:ascii="宋体" w:hAnsi="宋体"/>
        </w:rPr>
        <w:t>按GB 16869</w:t>
      </w:r>
      <w:r>
        <w:t>的规定的方法执行。</w:t>
      </w:r>
    </w:p>
    <w:p w14:paraId="29268991">
      <w:pPr>
        <w:pStyle w:val="105"/>
        <w:spacing w:before="120" w:after="120"/>
      </w:pPr>
      <w:r>
        <w:t>出厂检验</w:t>
      </w:r>
    </w:p>
    <w:p w14:paraId="46784343">
      <w:pPr>
        <w:pStyle w:val="56"/>
        <w:ind w:firstLine="420"/>
      </w:pPr>
      <w:r>
        <w:t>每批产品出厂前均应由企业质检部门进行检验，检验合格并附合格证明后方可出厂。出厂检验项目包括感官要求、水分含量、挥发性盐基氮、净含量</w:t>
      </w:r>
      <w:r>
        <w:rPr>
          <w:rFonts w:hint="eastAsia"/>
        </w:rPr>
        <w:t>。</w:t>
      </w:r>
    </w:p>
    <w:p w14:paraId="0EB9350A">
      <w:pPr>
        <w:pStyle w:val="105"/>
        <w:spacing w:before="120" w:after="120"/>
      </w:pPr>
      <w:r>
        <w:t>型式检验</w:t>
      </w:r>
    </w:p>
    <w:p w14:paraId="72346FFC">
      <w:pPr>
        <w:pStyle w:val="165"/>
      </w:pPr>
      <w:r>
        <w:t>型式检验项目为本文件第4章和第5章规定的全部项目。</w:t>
      </w:r>
    </w:p>
    <w:p w14:paraId="60B90EF4">
      <w:pPr>
        <w:pStyle w:val="165"/>
      </w:pPr>
      <w:r>
        <w:t>型式检验每半年进行一次，有下列情况之一时，亦应进行型式检验：</w:t>
      </w:r>
    </w:p>
    <w:p w14:paraId="367FA2F3">
      <w:pPr>
        <w:pStyle w:val="231"/>
        <w:numPr>
          <w:ilvl w:val="0"/>
          <w:numId w:val="13"/>
        </w:numPr>
        <w:tabs>
          <w:tab w:val="clear" w:pos="851"/>
        </w:tabs>
        <w:ind w:left="839" w:hanging="419"/>
      </w:pPr>
      <w:r>
        <w:rPr>
          <w:rFonts w:hint="eastAsia"/>
        </w:rPr>
        <w:t>原料、工艺有较大变动时；</w:t>
      </w:r>
    </w:p>
    <w:p w14:paraId="599B04DD">
      <w:pPr>
        <w:pStyle w:val="231"/>
        <w:numPr>
          <w:ilvl w:val="0"/>
          <w:numId w:val="13"/>
        </w:numPr>
        <w:tabs>
          <w:tab w:val="clear" w:pos="851"/>
        </w:tabs>
        <w:ind w:left="839" w:hanging="419"/>
      </w:pPr>
      <w:r>
        <w:rPr>
          <w:rFonts w:hint="eastAsia"/>
        </w:rPr>
        <w:t>每年进行一次型式检验；</w:t>
      </w:r>
    </w:p>
    <w:p w14:paraId="2B168228">
      <w:pPr>
        <w:pStyle w:val="231"/>
        <w:numPr>
          <w:ilvl w:val="0"/>
          <w:numId w:val="13"/>
        </w:numPr>
        <w:tabs>
          <w:tab w:val="clear" w:pos="851"/>
        </w:tabs>
        <w:ind w:left="839" w:hanging="419"/>
      </w:pPr>
      <w:r>
        <w:rPr>
          <w:rFonts w:hint="eastAsia"/>
        </w:rPr>
        <w:t>停产三个月以上重新恢复生产时；</w:t>
      </w:r>
    </w:p>
    <w:p w14:paraId="198BF347">
      <w:pPr>
        <w:pStyle w:val="231"/>
        <w:numPr>
          <w:ilvl w:val="0"/>
          <w:numId w:val="13"/>
        </w:numPr>
        <w:tabs>
          <w:tab w:val="clear" w:pos="851"/>
        </w:tabs>
        <w:ind w:left="839" w:hanging="419"/>
      </w:pPr>
      <w:r>
        <w:rPr>
          <w:rFonts w:hint="eastAsia"/>
        </w:rPr>
        <w:t>出厂检验结果与上次型式检验结果有较大差异时；</w:t>
      </w:r>
    </w:p>
    <w:p w14:paraId="2900ADDB">
      <w:pPr>
        <w:pStyle w:val="231"/>
        <w:numPr>
          <w:ilvl w:val="0"/>
          <w:numId w:val="13"/>
        </w:numPr>
        <w:tabs>
          <w:tab w:val="clear" w:pos="851"/>
        </w:tabs>
        <w:ind w:left="839" w:hanging="419"/>
      </w:pPr>
      <w:r>
        <w:rPr>
          <w:rFonts w:hint="eastAsia"/>
        </w:rPr>
        <w:t>食品安全监管部门提出要求时。</w:t>
      </w:r>
    </w:p>
    <w:p w14:paraId="1A1A73D7">
      <w:pPr>
        <w:pStyle w:val="105"/>
        <w:spacing w:before="120" w:after="120"/>
        <w:rPr>
          <w:sz w:val="27"/>
          <w:szCs w:val="27"/>
        </w:rPr>
      </w:pPr>
      <w:r>
        <w:t>判定规则</w:t>
      </w:r>
    </w:p>
    <w:p w14:paraId="03DACB50">
      <w:pPr>
        <w:pStyle w:val="165"/>
      </w:pPr>
      <w:r>
        <w:t>检验结果全部符合本文件要求时，判定该批产品合格。</w:t>
      </w:r>
    </w:p>
    <w:p w14:paraId="7BB6651F">
      <w:pPr>
        <w:pStyle w:val="165"/>
      </w:pPr>
      <w:r>
        <w:t>检验结果中若有不合格项，可在同批产品中加倍抽样复检。复检结果全部合格则判定该批产品合格；复检结果仍有不合格项时，判定该批产品不合格。微生物指标不合格不得复检。</w:t>
      </w:r>
    </w:p>
    <w:p w14:paraId="1F5244C9">
      <w:pPr>
        <w:pStyle w:val="104"/>
        <w:spacing w:before="240" w:after="240"/>
      </w:pPr>
      <w:r>
        <w:t>标志、包装、运输和贮存</w:t>
      </w:r>
    </w:p>
    <w:p w14:paraId="32258380">
      <w:pPr>
        <w:pStyle w:val="105"/>
        <w:spacing w:before="120" w:after="120"/>
        <w:rPr>
          <w:sz w:val="27"/>
          <w:szCs w:val="27"/>
        </w:rPr>
      </w:pPr>
      <w:r>
        <w:t>标志</w:t>
      </w:r>
    </w:p>
    <w:p w14:paraId="64328CFB">
      <w:pPr>
        <w:pStyle w:val="165"/>
      </w:pPr>
      <w:r>
        <w:t>预包装产品标签应符合GB 7718的规定，应标明产品名称、配料、净含量、生产日期、保质期、贮存条件、生产者名称和地址、联系方式、产品标准编号等信息。</w:t>
      </w:r>
    </w:p>
    <w:p w14:paraId="02575DF7">
      <w:pPr>
        <w:pStyle w:val="165"/>
      </w:pPr>
      <w:r>
        <w:t>包装储运图示标志应符合GB/T 191的规定。</w:t>
      </w:r>
    </w:p>
    <w:p w14:paraId="6CBC8BF8">
      <w:pPr>
        <w:pStyle w:val="165"/>
      </w:pPr>
      <w:r>
        <w:t>经核准使用地理标志证明商标的产品，应在其包装上标注地理标志专用标志。</w:t>
      </w:r>
    </w:p>
    <w:p w14:paraId="18528EA0">
      <w:pPr>
        <w:pStyle w:val="105"/>
        <w:spacing w:before="120" w:after="120"/>
      </w:pPr>
      <w:r>
        <w:t>包装</w:t>
      </w:r>
    </w:p>
    <w:p w14:paraId="32365F53">
      <w:pPr>
        <w:pStyle w:val="165"/>
      </w:pPr>
      <w:r>
        <w:t>包装材料应符合食品安全相关标准的要求，包装应完好、清洁、无破损。</w:t>
      </w:r>
    </w:p>
    <w:p w14:paraId="6AF3CCC4">
      <w:pPr>
        <w:pStyle w:val="165"/>
      </w:pPr>
      <w:r>
        <w:t>包装应能有效防止产品在运输和贮存过程中受到污染和损伤。</w:t>
      </w:r>
    </w:p>
    <w:p w14:paraId="26035E56">
      <w:pPr>
        <w:pStyle w:val="105"/>
        <w:spacing w:before="120" w:after="120"/>
      </w:pPr>
      <w:r>
        <w:t>运输</w:t>
      </w:r>
    </w:p>
    <w:p w14:paraId="6A46C8B4">
      <w:pPr>
        <w:pStyle w:val="165"/>
      </w:pPr>
      <w:r>
        <w:t>运输工具应清洁卫生，无异味，具备冷藏条件。</w:t>
      </w:r>
    </w:p>
    <w:p w14:paraId="388E9BD3">
      <w:pPr>
        <w:pStyle w:val="165"/>
      </w:pPr>
      <w:r>
        <w:t>运输过程中产品中心温度应始终保持</w:t>
      </w:r>
      <w:r>
        <w:rPr>
          <w:rFonts w:hAnsi="宋体"/>
        </w:rPr>
        <w:t>在</w:t>
      </w:r>
      <w:r>
        <w:rPr>
          <w:rFonts w:hint="eastAsia" w:hAnsi="宋体"/>
        </w:rPr>
        <w:t>-1</w:t>
      </w:r>
      <w:r>
        <w:rPr>
          <w:rFonts w:hint="eastAsia" w:hAnsi="宋体"/>
          <w:vertAlign w:val="superscript"/>
        </w:rPr>
        <w:t xml:space="preserve"> </w:t>
      </w:r>
      <w:r>
        <w:rPr>
          <w:rFonts w:hAnsi="宋体" w:cs="Cambria Math"/>
        </w:rPr>
        <w:t>℃</w:t>
      </w:r>
      <w:r>
        <w:rPr>
          <w:rFonts w:hAnsi="宋体"/>
        </w:rPr>
        <w:t>～4</w:t>
      </w:r>
      <w:r>
        <w:rPr>
          <w:rFonts w:hint="eastAsia" w:hAnsi="宋体"/>
          <w:vertAlign w:val="superscript"/>
        </w:rPr>
        <w:t xml:space="preserve"> </w:t>
      </w:r>
      <w:r>
        <w:rPr>
          <w:rFonts w:hAnsi="宋体" w:cs="Cambria Math"/>
        </w:rPr>
        <w:t>℃</w:t>
      </w:r>
      <w:r>
        <w:rPr>
          <w:rFonts w:hAnsi="宋体"/>
        </w:rPr>
        <w:t>。</w:t>
      </w:r>
    </w:p>
    <w:p w14:paraId="51FCBFD9">
      <w:pPr>
        <w:pStyle w:val="165"/>
      </w:pPr>
      <w:r>
        <w:t>不得与有毒、有害、有异味或易污染的物品混装运输。</w:t>
      </w:r>
    </w:p>
    <w:p w14:paraId="6858CBA2">
      <w:pPr>
        <w:pStyle w:val="105"/>
        <w:spacing w:before="120" w:after="120"/>
      </w:pPr>
      <w:r>
        <w:t>贮存</w:t>
      </w:r>
    </w:p>
    <w:p w14:paraId="318903F5">
      <w:pPr>
        <w:pStyle w:val="165"/>
      </w:pPr>
      <w:r>
        <w:t>产品应在冷藏库</w:t>
      </w:r>
      <w:r>
        <w:rPr>
          <w:rFonts w:hAnsi="宋体"/>
        </w:rPr>
        <w:t>（</w:t>
      </w:r>
      <w:r>
        <w:rPr>
          <w:rFonts w:hint="eastAsia" w:hAnsi="宋体"/>
        </w:rPr>
        <w:t>-1</w:t>
      </w:r>
      <w:r>
        <w:rPr>
          <w:rFonts w:hint="eastAsia" w:hAnsi="宋体"/>
          <w:vertAlign w:val="superscript"/>
        </w:rPr>
        <w:t xml:space="preserve"> </w:t>
      </w:r>
      <w:r>
        <w:rPr>
          <w:rFonts w:hAnsi="宋体" w:cs="Cambria Math"/>
        </w:rPr>
        <w:t>℃</w:t>
      </w:r>
      <w:r>
        <w:rPr>
          <w:rFonts w:hAnsi="宋体"/>
        </w:rPr>
        <w:t>～4</w:t>
      </w:r>
      <w:r>
        <w:rPr>
          <w:rFonts w:hint="eastAsia" w:hAnsi="宋体"/>
          <w:vertAlign w:val="superscript"/>
        </w:rPr>
        <w:t xml:space="preserve"> </w:t>
      </w:r>
      <w:r>
        <w:rPr>
          <w:rFonts w:hAnsi="宋体" w:cs="Cambria Math"/>
        </w:rPr>
        <w:t>℃</w:t>
      </w:r>
      <w:r>
        <w:rPr>
          <w:rFonts w:hAnsi="宋体"/>
        </w:rPr>
        <w:t>）中</w:t>
      </w:r>
      <w:r>
        <w:t>贮存。</w:t>
      </w:r>
    </w:p>
    <w:p w14:paraId="70699C60">
      <w:pPr>
        <w:pStyle w:val="165"/>
      </w:pPr>
      <w:r>
        <w:t>仓库应清洁卫生，通风良好，有防鼠、防虫、防尘设施。</w:t>
      </w:r>
    </w:p>
    <w:p w14:paraId="1EA10EEE">
      <w:pPr>
        <w:pStyle w:val="165"/>
      </w:pPr>
      <w:r>
        <w:t>产品应分类堆放，离墙、离地存放，先进先出。</w:t>
      </w:r>
      <w:bookmarkEnd w:id="45"/>
    </w:p>
    <w:p w14:paraId="23C68446">
      <w:pPr>
        <w:pStyle w:val="105"/>
        <w:spacing w:before="120" w:after="120"/>
      </w:pPr>
      <w:r>
        <w:rPr>
          <w:rFonts w:hint="eastAsia"/>
        </w:rPr>
        <w:t>保质期</w:t>
      </w:r>
    </w:p>
    <w:p w14:paraId="11CD33AB">
      <w:pPr>
        <w:pStyle w:val="56"/>
        <w:ind w:firstLine="420"/>
      </w:pPr>
      <w:r>
        <w:rPr>
          <w:rFonts w:hint="eastAsia"/>
        </w:rPr>
        <w:t>真空或气调包装</w:t>
      </w:r>
      <w:r>
        <w:rPr>
          <w:rFonts w:hint="eastAsia"/>
          <w:lang w:val="en-US" w:eastAsia="zh-CN"/>
        </w:rPr>
        <w:t>产品</w:t>
      </w:r>
      <w:r>
        <w:rPr>
          <w:rFonts w:hint="eastAsia"/>
          <w:lang w:eastAsia="zh-CN"/>
        </w:rPr>
        <w:t>，</w:t>
      </w:r>
      <w:r>
        <w:t>最长保质期</w:t>
      </w:r>
      <w:r>
        <w:rPr>
          <w:rFonts w:hint="eastAsia"/>
          <w:lang w:val="en-US" w:eastAsia="zh-CN"/>
        </w:rPr>
        <w:t>不</w:t>
      </w:r>
      <w:r>
        <w:t>超过</w:t>
      </w:r>
      <w:r>
        <w:rPr>
          <w:rFonts w:hint="eastAsia" w:ascii="宋体" w:hAnsi="宋体" w:cs="宋体"/>
          <w:lang w:val="en-US" w:eastAsia="zh-CN"/>
        </w:rPr>
        <w:t>6</w:t>
      </w:r>
      <w:r>
        <w:rPr>
          <w:rFonts w:hint="eastAsia" w:ascii="宋体" w:hAnsi="宋体" w:cs="宋体"/>
          <w:vertAlign w:val="superscript"/>
        </w:rPr>
        <w:t xml:space="preserve"> </w:t>
      </w:r>
      <w:r>
        <w:rPr>
          <w:rFonts w:hint="eastAsia" w:ascii="宋体" w:hAnsi="宋体" w:cs="宋体"/>
        </w:rPr>
        <w:t>d</w:t>
      </w:r>
      <w:r>
        <w:rPr>
          <w:rFonts w:hint="eastAsia"/>
        </w:rPr>
        <w:t>。</w:t>
      </w:r>
    </w:p>
    <w:p w14:paraId="0843F07B">
      <w:pPr>
        <w:pStyle w:val="56"/>
        <w:ind w:firstLine="420"/>
      </w:pPr>
    </w:p>
    <w:bookmarkEnd w:id="22"/>
    <w:p w14:paraId="316D4B7E">
      <w:pPr>
        <w:pStyle w:val="56"/>
        <w:ind w:firstLine="420"/>
        <w:sectPr>
          <w:pgSz w:w="11906" w:h="16838"/>
          <w:pgMar w:top="1928" w:right="1134" w:bottom="1134" w:left="1134" w:header="1418" w:footer="1134" w:gutter="284"/>
          <w:pgNumType w:start="1"/>
          <w:cols w:space="425" w:num="1"/>
          <w:formProt w:val="0"/>
          <w:docGrid w:linePitch="312" w:charSpace="0"/>
        </w:sectPr>
      </w:pPr>
      <w:bookmarkStart w:id="51" w:name="BookMark6"/>
    </w:p>
    <w:p w14:paraId="48F5EC13">
      <w:pPr>
        <w:pStyle w:val="63"/>
        <w:spacing w:after="120"/>
      </w:pPr>
      <w:r>
        <w:rPr>
          <w:rFonts w:hint="eastAsia"/>
          <w:spacing w:val="105"/>
        </w:rPr>
        <w:t>参考文</w:t>
      </w:r>
      <w:r>
        <w:rPr>
          <w:rFonts w:hint="eastAsia"/>
        </w:rPr>
        <w:t>献</w:t>
      </w:r>
    </w:p>
    <w:p w14:paraId="33C2FC5B">
      <w:pPr>
        <w:pStyle w:val="56"/>
        <w:ind w:firstLine="420"/>
        <w:rPr>
          <w:rFonts w:hint="eastAsia" w:ascii="宋体" w:hAnsi="宋体"/>
        </w:rPr>
      </w:pPr>
      <w:r>
        <w:rPr>
          <w:rFonts w:ascii="宋体" w:hAnsi="宋体"/>
        </w:rPr>
        <w:t>[</w:t>
      </w:r>
      <w:r>
        <w:rPr>
          <w:rFonts w:hint="eastAsia" w:ascii="宋体" w:hAnsi="宋体"/>
          <w:lang w:val="en-US" w:eastAsia="zh-CN"/>
        </w:rPr>
        <w:t>1</w:t>
      </w:r>
      <w:r>
        <w:rPr>
          <w:rFonts w:ascii="宋体" w:hAnsi="宋体"/>
        </w:rPr>
        <w:t xml:space="preserve">] </w:t>
      </w:r>
      <w:r>
        <w:rPr>
          <w:rFonts w:hint="eastAsia" w:ascii="宋体" w:hAnsi="宋体"/>
        </w:rPr>
        <w:t xml:space="preserve"> </w:t>
      </w:r>
      <w:r>
        <w:rPr>
          <w:rFonts w:ascii="宋体" w:hAnsi="宋体"/>
        </w:rPr>
        <w:t>T/GXAS 965.1</w:t>
      </w:r>
      <w:r>
        <w:rPr>
          <w:rFonts w:hint="eastAsia" w:ascii="宋体" w:hAnsi="宋体"/>
        </w:rPr>
        <w:t xml:space="preserve">  </w:t>
      </w:r>
      <w:r>
        <w:rPr>
          <w:rFonts w:ascii="宋体" w:hAnsi="宋体"/>
        </w:rPr>
        <w:t xml:space="preserve">广西地方鸡品种 </w:t>
      </w:r>
      <w:r>
        <w:rPr>
          <w:rFonts w:hint="eastAsia" w:ascii="宋体" w:hAnsi="宋体"/>
        </w:rPr>
        <w:t xml:space="preserve"> </w:t>
      </w:r>
      <w:r>
        <w:rPr>
          <w:rFonts w:ascii="宋体" w:hAnsi="宋体"/>
        </w:rPr>
        <w:t>第1部分：广西三黄鸡</w:t>
      </w:r>
    </w:p>
    <w:p w14:paraId="5A580154">
      <w:pPr>
        <w:pStyle w:val="56"/>
        <w:ind w:firstLine="420"/>
      </w:pPr>
    </w:p>
    <w:bookmarkEnd w:id="51"/>
    <w:p w14:paraId="7D37DE49">
      <w:pPr>
        <w:pStyle w:val="56"/>
        <w:ind w:firstLine="0" w:firstLineChars="0"/>
        <w:jc w:val="center"/>
      </w:pPr>
      <w:bookmarkStart w:id="52" w:name="BookMark8"/>
      <w:r>
        <w:drawing>
          <wp:inline distT="0" distB="0" distL="0" distR="0">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CB3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3AD3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5548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8F140">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DA8D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F113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E560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06E01">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4B6FB">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attachedTemplate r:id="rId1"/>
  <w:documentProtection w:edit="forms" w:enforcement="1" w:cryptProviderType="rsaAES" w:cryptAlgorithmClass="hash" w:cryptAlgorithmType="typeAny" w:cryptAlgorithmSid="14" w:cryptSpinCount="100000" w:hash="VIhhGBLVWvUATbmBjj338FWhq+stF7KY7eHUo6Q6dkXh4Qo9rDwFrNdxiKb/N7PA2toU8mSbnVIn8xif330AFQ==" w:salt="hNGF3H/WI5byZAqbDYkqj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A11"/>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C81"/>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482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B23"/>
    <w:rsid w:val="00243540"/>
    <w:rsid w:val="0024497B"/>
    <w:rsid w:val="0024515B"/>
    <w:rsid w:val="00246021"/>
    <w:rsid w:val="0024666E"/>
    <w:rsid w:val="00247F52"/>
    <w:rsid w:val="00250B25"/>
    <w:rsid w:val="00250BBE"/>
    <w:rsid w:val="002515C2"/>
    <w:rsid w:val="002517EB"/>
    <w:rsid w:val="0025194F"/>
    <w:rsid w:val="00255DC2"/>
    <w:rsid w:val="0026148A"/>
    <w:rsid w:val="00262696"/>
    <w:rsid w:val="00263D25"/>
    <w:rsid w:val="002643C3"/>
    <w:rsid w:val="00264A0C"/>
    <w:rsid w:val="00266EEB"/>
    <w:rsid w:val="00267EF4"/>
    <w:rsid w:val="00270CB8"/>
    <w:rsid w:val="00272B08"/>
    <w:rsid w:val="00281BB8"/>
    <w:rsid w:val="00281E9E"/>
    <w:rsid w:val="00282405"/>
    <w:rsid w:val="00283AA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555"/>
    <w:rsid w:val="00344605"/>
    <w:rsid w:val="003474AA"/>
    <w:rsid w:val="00350D1D"/>
    <w:rsid w:val="00352C83"/>
    <w:rsid w:val="00352F1A"/>
    <w:rsid w:val="00354FA4"/>
    <w:rsid w:val="0036107C"/>
    <w:rsid w:val="003615D2"/>
    <w:rsid w:val="0036429C"/>
    <w:rsid w:val="00364A53"/>
    <w:rsid w:val="003654CB"/>
    <w:rsid w:val="00365AA9"/>
    <w:rsid w:val="00365F86"/>
    <w:rsid w:val="00365F87"/>
    <w:rsid w:val="00366B10"/>
    <w:rsid w:val="00366E89"/>
    <w:rsid w:val="003705F4"/>
    <w:rsid w:val="00370D58"/>
    <w:rsid w:val="00371316"/>
    <w:rsid w:val="00376713"/>
    <w:rsid w:val="00381815"/>
    <w:rsid w:val="003819AF"/>
    <w:rsid w:val="003820E9"/>
    <w:rsid w:val="00382DE7"/>
    <w:rsid w:val="00384FFC"/>
    <w:rsid w:val="00385A83"/>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97E"/>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5A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05CA"/>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EB9"/>
    <w:rsid w:val="00634D9E"/>
    <w:rsid w:val="00636ABB"/>
    <w:rsid w:val="00636E3E"/>
    <w:rsid w:val="006379F7"/>
    <w:rsid w:val="00637E4D"/>
    <w:rsid w:val="00640620"/>
    <w:rsid w:val="00641A1F"/>
    <w:rsid w:val="0064527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33"/>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B2B"/>
    <w:rsid w:val="007D6518"/>
    <w:rsid w:val="007D76BD"/>
    <w:rsid w:val="007E0BF1"/>
    <w:rsid w:val="007F0ED8"/>
    <w:rsid w:val="007F0F63"/>
    <w:rsid w:val="007F58B1"/>
    <w:rsid w:val="007F5A1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2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6EE7"/>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EFE"/>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5FD"/>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5EB"/>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D1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34F"/>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217"/>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3B19"/>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14E"/>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CF6637"/>
    <w:rsid w:val="0D313AD3"/>
    <w:rsid w:val="10195214"/>
    <w:rsid w:val="135538E4"/>
    <w:rsid w:val="15306EBE"/>
    <w:rsid w:val="18504D21"/>
    <w:rsid w:val="18537448"/>
    <w:rsid w:val="1CAB4C1C"/>
    <w:rsid w:val="1E9776A2"/>
    <w:rsid w:val="21E640F8"/>
    <w:rsid w:val="278B7B24"/>
    <w:rsid w:val="286345FC"/>
    <w:rsid w:val="2DE57862"/>
    <w:rsid w:val="304A76B3"/>
    <w:rsid w:val="34F602DD"/>
    <w:rsid w:val="365076EC"/>
    <w:rsid w:val="369E2DBA"/>
    <w:rsid w:val="36E130B4"/>
    <w:rsid w:val="38B247E4"/>
    <w:rsid w:val="3F626F64"/>
    <w:rsid w:val="43E1510E"/>
    <w:rsid w:val="48253225"/>
    <w:rsid w:val="4B83273C"/>
    <w:rsid w:val="4FF444CA"/>
    <w:rsid w:val="511E3D7B"/>
    <w:rsid w:val="59234FE8"/>
    <w:rsid w:val="599D7ED2"/>
    <w:rsid w:val="5B6D2AC1"/>
    <w:rsid w:val="62E97B83"/>
    <w:rsid w:val="78561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ds-markdown-paragraph"/>
    <w:basedOn w:val="1"/>
    <w:qFormat/>
    <w:uiPriority w:val="0"/>
    <w:pPr>
      <w:widowControl/>
      <w:autoSpaceDE w:val="0"/>
      <w:autoSpaceDN w:val="0"/>
      <w:adjustRightInd/>
      <w:spacing w:before="100" w:beforeAutospacing="1" w:after="100" w:afterAutospacing="1" w:line="240" w:lineRule="auto"/>
      <w:jc w:val="left"/>
    </w:pPr>
    <w:rPr>
      <w:rFonts w:ascii="宋体" w:hAnsi="宋体" w:cs="宋体"/>
      <w:kern w:val="0"/>
      <w:sz w:val="24"/>
      <w:szCs w:val="24"/>
    </w:rPr>
  </w:style>
  <w:style w:type="paragraph" w:customStyle="1" w:styleId="231">
    <w:name w:val="字母编号列项（一级）"/>
    <w:qFormat/>
    <w:uiPriority w:val="0"/>
    <w:pPr>
      <w:tabs>
        <w:tab w:val="left" w:pos="839"/>
      </w:tabs>
      <w:ind w:left="851" w:hanging="426"/>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CA5040BD694FF0A7FF5D1A736F5E62"/>
        <w:style w:val=""/>
        <w:category>
          <w:name w:val="常规"/>
          <w:gallery w:val="placeholder"/>
        </w:category>
        <w:types>
          <w:type w:val="bbPlcHdr"/>
        </w:types>
        <w:behaviors>
          <w:behavior w:val="content"/>
        </w:behaviors>
        <w:description w:val=""/>
        <w:guid w:val="{D6B74C73-F011-4728-93CC-ABF59C15F29B}"/>
      </w:docPartPr>
      <w:docPartBody>
        <w:p w14:paraId="175C200B">
          <w:pPr>
            <w:pStyle w:val="5"/>
            <w:rPr>
              <w:rFonts w:hint="eastAsia"/>
            </w:rPr>
          </w:pPr>
          <w:r>
            <w:rPr>
              <w:rStyle w:val="4"/>
              <w:rFonts w:hint="eastAsia"/>
            </w:rPr>
            <w:t>单击或点击此处输入文字。</w:t>
          </w:r>
        </w:p>
      </w:docPartBody>
    </w:docPart>
    <w:docPart>
      <w:docPartPr>
        <w:name w:val="116E4AA15F764A13B55329F0E7CEEC36"/>
        <w:style w:val=""/>
        <w:category>
          <w:name w:val="常规"/>
          <w:gallery w:val="placeholder"/>
        </w:category>
        <w:types>
          <w:type w:val="bbPlcHdr"/>
        </w:types>
        <w:behaviors>
          <w:behavior w:val="content"/>
        </w:behaviors>
        <w:description w:val=""/>
        <w:guid w:val="{112366F1-EF6D-4DD8-8631-1FD64B617783}"/>
      </w:docPartPr>
      <w:docPartBody>
        <w:p w14:paraId="1832C152">
          <w:pPr>
            <w:pStyle w:val="6"/>
            <w:rPr>
              <w:rFonts w:hint="eastAsia"/>
            </w:rPr>
          </w:pPr>
          <w:r>
            <w:rPr>
              <w:rStyle w:val="4"/>
              <w:rFonts w:hint="eastAsia"/>
            </w:rPr>
            <w:t>选择一项。</w:t>
          </w:r>
        </w:p>
      </w:docPartBody>
    </w:docPart>
    <w:docPart>
      <w:docPartPr>
        <w:name w:val="68DA9D16028B4D95A2DC37E9EE6FE3DE"/>
        <w:style w:val=""/>
        <w:category>
          <w:name w:val="常规"/>
          <w:gallery w:val="placeholder"/>
        </w:category>
        <w:types>
          <w:type w:val="bbPlcHdr"/>
        </w:types>
        <w:behaviors>
          <w:behavior w:val="content"/>
        </w:behaviors>
        <w:description w:val=""/>
        <w:guid w:val="{8DAE0C3D-5D6A-45A5-9FD0-0ED8F4250937}"/>
      </w:docPartPr>
      <w:docPartBody>
        <w:p w14:paraId="4AB5A607">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FC4"/>
    <w:rsid w:val="00255DC2"/>
    <w:rsid w:val="00366B10"/>
    <w:rsid w:val="00645278"/>
    <w:rsid w:val="007E5B05"/>
    <w:rsid w:val="009B1CD7"/>
    <w:rsid w:val="00C53D7B"/>
    <w:rsid w:val="00D57771"/>
    <w:rsid w:val="00E64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CA5040BD694FF0A7FF5D1A736F5E6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116E4AA15F764A13B55329F0E7CEEC3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8DA9D16028B4D95A2DC37E9EE6FE3D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7</Pages>
  <Words>1340</Words>
  <Characters>1593</Characters>
  <Lines>25</Lines>
  <Paragraphs>7</Paragraphs>
  <TotalTime>0</TotalTime>
  <ScaleCrop>false</ScaleCrop>
  <LinksUpToDate>false</LinksUpToDate>
  <CharactersWithSpaces>1726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2026-06-12T01:00:00Z</dcterms:created>
  <dc:creator>Administrator</dc:creator>
  <cp:lastModifiedBy>树年强</cp:lastModifiedBy>
  <cp:lastPrinted>2021-02-02T08:22:00Z</cp:lastPrinted>
  <dcterms:modified xsi:type="dcterms:W3CDTF">2026-06-30T04:34:19Z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eyJoZGlkIjoiNmU0OWNhMGUyYzc2MTI5ZWY2NzM4MTVkMDAwODg0YzMiLCJ1c2VySWQiOiI2Mzk4NzAxMjYifQ==</vt:lpwstr>
  </property>
  <property fmtid="{D5CDD505-2E9C-101B-9397-08002B2CF9AE}" pid="15" name="KSOProductBuildVer">
    <vt:lpwstr>2052-12.1.0.26895</vt:lpwstr>
  </property>
  <property fmtid="{D5CDD505-2E9C-101B-9397-08002B2CF9AE}" pid="16" name="ICV">
    <vt:lpwstr>BD5535FF48524D0B80983B7BC8BF7D0B_12</vt:lpwstr>
  </property>
</Properties>
</file>