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95227" w:rsidRDefault="007F1C0C">
      <w:pPr>
        <w:spacing w:line="600" w:lineRule="exact"/>
        <w:jc w:val="center"/>
        <w:rPr>
          <w:rFonts w:ascii="方正小标宋简体" w:eastAsia="方正小标宋简体" w:hAnsi="黑体" w:cs="黑体"/>
          <w:color w:val="000000"/>
          <w:sz w:val="44"/>
          <w:szCs w:val="44"/>
        </w:rPr>
      </w:pPr>
      <w:bookmarkStart w:id="0" w:name="_Hlk199142496"/>
      <w:r>
        <w:rPr>
          <w:rFonts w:ascii="方正小标宋简体" w:eastAsia="方正小标宋简体" w:hAnsi="黑体" w:cs="黑体" w:hint="eastAsia"/>
          <w:color w:val="000000"/>
          <w:sz w:val="44"/>
          <w:szCs w:val="44"/>
        </w:rPr>
        <w:t>团体标准《</w:t>
      </w:r>
      <w:r w:rsidR="002A62F7">
        <w:rPr>
          <w:rFonts w:ascii="方正小标宋简体" w:eastAsia="方正小标宋简体" w:hAnsi="黑体" w:cs="黑体" w:hint="eastAsia"/>
          <w:color w:val="000000"/>
          <w:sz w:val="44"/>
          <w:szCs w:val="44"/>
        </w:rPr>
        <w:t>住院衰弱老年人中医评估与干预规范</w:t>
      </w:r>
      <w:r>
        <w:rPr>
          <w:rFonts w:ascii="方正小标宋简体" w:eastAsia="方正小标宋简体" w:hAnsi="黑体" w:cs="黑体" w:hint="eastAsia"/>
          <w:color w:val="000000"/>
          <w:sz w:val="44"/>
          <w:szCs w:val="44"/>
        </w:rPr>
        <w:t>》</w:t>
      </w:r>
      <w:bookmarkEnd w:id="0"/>
      <w:r>
        <w:rPr>
          <w:rFonts w:ascii="方正小标宋简体" w:eastAsia="方正小标宋简体" w:hAnsi="黑体" w:cs="黑体" w:hint="eastAsia"/>
          <w:color w:val="000000"/>
          <w:sz w:val="44"/>
          <w:szCs w:val="44"/>
        </w:rPr>
        <w:t>（征求意见稿）</w:t>
      </w:r>
    </w:p>
    <w:p w:rsidR="00695227" w:rsidRDefault="007F1C0C">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rsidR="00695227" w:rsidRDefault="007F1C0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695227" w:rsidRDefault="007F1C0C">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根据《广西标准化协会关于下达2025年第四十一批团体标准制修订项目计划的通知》（桂标协〔2025〕</w:t>
      </w:r>
      <w:r>
        <w:rPr>
          <w:rFonts w:ascii="仿宋_GB2312" w:eastAsia="仿宋_GB2312" w:hAnsi="Calibri"/>
          <w:sz w:val="32"/>
          <w:szCs w:val="32"/>
        </w:rPr>
        <w:t>379</w:t>
      </w:r>
      <w:r>
        <w:rPr>
          <w:rFonts w:ascii="仿宋_GB2312" w:eastAsia="仿宋_GB2312" w:hAnsi="Calibri" w:hint="eastAsia"/>
          <w:sz w:val="32"/>
          <w:szCs w:val="32"/>
        </w:rPr>
        <w:t>号）文件精神，由世界中医药学会联合会老年医学专业委员会提出，</w:t>
      </w:r>
      <w:r w:rsidR="00673844" w:rsidRPr="00673844">
        <w:rPr>
          <w:rFonts w:ascii="仿宋_GB2312" w:eastAsia="仿宋_GB2312" w:hAnsi="Calibri" w:hint="eastAsia"/>
          <w:sz w:val="32"/>
          <w:szCs w:val="32"/>
        </w:rPr>
        <w:t>南宁市中医医院、广西中医药大学第一附属医院、广西国际壮医医院、南宁市第六人民医院</w:t>
      </w:r>
      <w:bookmarkStart w:id="1" w:name="_GoBack"/>
      <w:bookmarkEnd w:id="1"/>
      <w:r>
        <w:rPr>
          <w:rFonts w:ascii="仿宋_GB2312" w:eastAsia="仿宋_GB2312" w:hAnsi="Calibri" w:hint="eastAsia"/>
          <w:sz w:val="32"/>
          <w:szCs w:val="32"/>
        </w:rPr>
        <w:t>等单位共同起草的团体标准</w:t>
      </w:r>
      <w:bookmarkStart w:id="2" w:name="OLE_LINK23"/>
      <w:r>
        <w:rPr>
          <w:rFonts w:ascii="仿宋_GB2312" w:eastAsia="仿宋_GB2312" w:hAnsi="Calibri" w:hint="eastAsia"/>
          <w:sz w:val="32"/>
          <w:szCs w:val="32"/>
        </w:rPr>
        <w:t>《</w:t>
      </w:r>
      <w:r w:rsidR="002A62F7" w:rsidRPr="002A62F7">
        <w:rPr>
          <w:rFonts w:ascii="仿宋_GB2312" w:eastAsia="仿宋_GB2312" w:hAnsi="Calibri" w:hint="eastAsia"/>
          <w:sz w:val="32"/>
          <w:szCs w:val="32"/>
        </w:rPr>
        <w:t>住院衰弱老年人中医评估与干预规范</w:t>
      </w:r>
      <w:r>
        <w:rPr>
          <w:rFonts w:ascii="仿宋_GB2312" w:eastAsia="仿宋_GB2312" w:hAnsi="Calibri" w:hint="eastAsia"/>
          <w:sz w:val="32"/>
          <w:szCs w:val="32"/>
        </w:rPr>
        <w:t>》</w:t>
      </w:r>
      <w:bookmarkEnd w:id="2"/>
      <w:r>
        <w:rPr>
          <w:rFonts w:ascii="仿宋_GB2312" w:eastAsia="仿宋_GB2312" w:hAnsi="Calibri" w:hint="eastAsia"/>
          <w:sz w:val="32"/>
          <w:szCs w:val="32"/>
        </w:rPr>
        <w:t>（项目编号：2025-</w:t>
      </w:r>
      <w:r>
        <w:rPr>
          <w:rFonts w:ascii="仿宋_GB2312" w:eastAsia="仿宋_GB2312" w:hAnsi="Calibri"/>
          <w:sz w:val="32"/>
          <w:szCs w:val="32"/>
        </w:rPr>
        <w:t>4101</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3"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714"/>
        <w:gridCol w:w="1689"/>
        <w:gridCol w:w="1701"/>
        <w:gridCol w:w="1461"/>
        <w:gridCol w:w="2304"/>
      </w:tblGrid>
      <w:tr w:rsidR="002A62F7" w:rsidTr="002A62F7">
        <w:trPr>
          <w:cantSplit/>
          <w:trHeight w:val="851"/>
          <w:jc w:val="center"/>
        </w:trPr>
        <w:tc>
          <w:tcPr>
            <w:tcW w:w="427" w:type="dxa"/>
            <w:vAlign w:val="center"/>
          </w:tcPr>
          <w:p w:rsidR="002A62F7" w:rsidRDefault="002A62F7">
            <w:pPr>
              <w:jc w:val="center"/>
              <w:rPr>
                <w:rFonts w:ascii="宋体" w:hAnsi="宋体"/>
                <w:bCs/>
                <w:szCs w:val="21"/>
              </w:rPr>
            </w:pPr>
            <w:bookmarkStart w:id="4" w:name="_Hlk199142527"/>
            <w:r>
              <w:rPr>
                <w:rFonts w:ascii="宋体" w:hAnsi="宋体" w:cs="宋体" w:hint="eastAsia"/>
                <w:b/>
                <w:bCs/>
                <w:szCs w:val="21"/>
              </w:rPr>
              <w:t>序号</w:t>
            </w:r>
          </w:p>
        </w:tc>
        <w:tc>
          <w:tcPr>
            <w:tcW w:w="714" w:type="dxa"/>
            <w:vAlign w:val="center"/>
          </w:tcPr>
          <w:p w:rsidR="002A62F7" w:rsidRDefault="002A62F7">
            <w:pPr>
              <w:jc w:val="center"/>
              <w:rPr>
                <w:rFonts w:ascii="宋体" w:hAnsi="宋体"/>
                <w:bCs/>
                <w:szCs w:val="21"/>
              </w:rPr>
            </w:pPr>
            <w:r>
              <w:rPr>
                <w:rFonts w:ascii="宋体" w:hAnsi="宋体" w:cs="宋体" w:hint="eastAsia"/>
                <w:b/>
                <w:bCs/>
                <w:szCs w:val="21"/>
              </w:rPr>
              <w:t>姓名</w:t>
            </w:r>
          </w:p>
        </w:tc>
        <w:tc>
          <w:tcPr>
            <w:tcW w:w="1689" w:type="dxa"/>
            <w:vAlign w:val="center"/>
          </w:tcPr>
          <w:p w:rsidR="002A62F7" w:rsidRDefault="002A62F7">
            <w:pPr>
              <w:jc w:val="center"/>
              <w:rPr>
                <w:rFonts w:ascii="宋体" w:hAnsi="宋体"/>
                <w:bCs/>
                <w:szCs w:val="21"/>
              </w:rPr>
            </w:pPr>
            <w:r>
              <w:rPr>
                <w:rFonts w:ascii="宋体" w:hAnsi="宋体" w:cs="宋体" w:hint="eastAsia"/>
                <w:b/>
                <w:szCs w:val="21"/>
              </w:rPr>
              <w:t>单位</w:t>
            </w:r>
          </w:p>
        </w:tc>
        <w:tc>
          <w:tcPr>
            <w:tcW w:w="1701" w:type="dxa"/>
            <w:vAlign w:val="center"/>
          </w:tcPr>
          <w:p w:rsidR="002A62F7" w:rsidRDefault="002A62F7">
            <w:pPr>
              <w:jc w:val="center"/>
              <w:rPr>
                <w:rFonts w:ascii="宋体" w:hAnsi="宋体"/>
                <w:bCs/>
                <w:szCs w:val="21"/>
              </w:rPr>
            </w:pPr>
            <w:r>
              <w:rPr>
                <w:rFonts w:ascii="宋体" w:hAnsi="宋体" w:cs="宋体" w:hint="eastAsia"/>
                <w:b/>
                <w:bCs/>
                <w:szCs w:val="21"/>
              </w:rPr>
              <w:t>职务/职称</w:t>
            </w:r>
          </w:p>
        </w:tc>
        <w:tc>
          <w:tcPr>
            <w:tcW w:w="1461" w:type="dxa"/>
            <w:vAlign w:val="center"/>
          </w:tcPr>
          <w:p w:rsidR="002A62F7" w:rsidRDefault="002A62F7" w:rsidP="002A62F7">
            <w:pPr>
              <w:jc w:val="center"/>
              <w:rPr>
                <w:rFonts w:ascii="宋体" w:hAnsi="宋体" w:cs="宋体"/>
                <w:b/>
                <w:bCs/>
                <w:szCs w:val="21"/>
              </w:rPr>
            </w:pPr>
            <w:r>
              <w:rPr>
                <w:rFonts w:ascii="宋体" w:hAnsi="宋体" w:cs="宋体" w:hint="eastAsia"/>
                <w:b/>
                <w:bCs/>
                <w:szCs w:val="21"/>
              </w:rPr>
              <w:t>专业</w:t>
            </w:r>
          </w:p>
        </w:tc>
        <w:tc>
          <w:tcPr>
            <w:tcW w:w="2304" w:type="dxa"/>
            <w:vAlign w:val="center"/>
          </w:tcPr>
          <w:p w:rsidR="002A62F7" w:rsidRDefault="002A62F7">
            <w:pPr>
              <w:jc w:val="center"/>
              <w:rPr>
                <w:rFonts w:ascii="宋体" w:hAnsi="宋体"/>
                <w:bCs/>
                <w:szCs w:val="21"/>
              </w:rPr>
            </w:pPr>
            <w:r>
              <w:rPr>
                <w:rFonts w:ascii="宋体" w:hAnsi="宋体" w:cs="宋体" w:hint="eastAsia"/>
                <w:b/>
                <w:bCs/>
                <w:szCs w:val="21"/>
              </w:rPr>
              <w:t>参与编制标准分工情况</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widowControl/>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马宁宁</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南宁市中医医院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科主任/主任医师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中医老年病</w:t>
            </w:r>
          </w:p>
        </w:tc>
        <w:tc>
          <w:tcPr>
            <w:tcW w:w="2304" w:type="dxa"/>
          </w:tcPr>
          <w:p w:rsidR="002A62F7" w:rsidRDefault="002A62F7" w:rsidP="002A62F7">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李跃华</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中国中医科学院西苑医院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中医老年病</w:t>
            </w:r>
          </w:p>
        </w:tc>
        <w:tc>
          <w:tcPr>
            <w:tcW w:w="2304" w:type="dxa"/>
          </w:tcPr>
          <w:p w:rsidR="002A62F7" w:rsidRDefault="002A62F7" w:rsidP="002A62F7">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胡金霞</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新疆维吾尔自治区中医医院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中医老年病</w:t>
            </w:r>
          </w:p>
        </w:tc>
        <w:tc>
          <w:tcPr>
            <w:tcW w:w="2304" w:type="dxa"/>
            <w:vAlign w:val="center"/>
          </w:tcPr>
          <w:p w:rsidR="002A62F7" w:rsidRDefault="002A62F7" w:rsidP="002A62F7">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杨瑞霞</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广西国际壮医医院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科主任/主任医师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中医内科学</w:t>
            </w:r>
          </w:p>
        </w:tc>
        <w:tc>
          <w:tcPr>
            <w:tcW w:w="2304" w:type="dxa"/>
            <w:vAlign w:val="center"/>
          </w:tcPr>
          <w:p w:rsidR="002A62F7" w:rsidRDefault="002A62F7" w:rsidP="002A62F7">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邢俊娥</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广西中医药大学第一附属</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科副主任/主任医师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中医内科</w:t>
            </w:r>
          </w:p>
        </w:tc>
        <w:tc>
          <w:tcPr>
            <w:tcW w:w="2304" w:type="dxa"/>
            <w:vAlign w:val="center"/>
          </w:tcPr>
          <w:p w:rsidR="002A62F7" w:rsidRDefault="002A62F7" w:rsidP="002A62F7">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潘研</w:t>
            </w:r>
          </w:p>
        </w:tc>
        <w:tc>
          <w:tcPr>
            <w:tcW w:w="1689"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 xml:space="preserve">河南中医药大学第一附属医院 </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病区主任/主任医师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中医内科学</w:t>
            </w:r>
          </w:p>
        </w:tc>
        <w:tc>
          <w:tcPr>
            <w:tcW w:w="2304" w:type="dxa"/>
            <w:vAlign w:val="center"/>
          </w:tcPr>
          <w:p w:rsidR="002A62F7" w:rsidRDefault="002A62F7" w:rsidP="002A62F7">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曾琛</w:t>
            </w:r>
          </w:p>
        </w:tc>
        <w:tc>
          <w:tcPr>
            <w:tcW w:w="1689"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河南省驻马店市中心医院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副主任医师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中西医结合临床</w:t>
            </w:r>
          </w:p>
        </w:tc>
        <w:tc>
          <w:tcPr>
            <w:tcW w:w="2304" w:type="dxa"/>
          </w:tcPr>
          <w:p w:rsidR="002A62F7" w:rsidRDefault="002A62F7" w:rsidP="002A62F7">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周阳红</w:t>
            </w:r>
          </w:p>
        </w:tc>
        <w:tc>
          <w:tcPr>
            <w:tcW w:w="1689"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湖南省人民医院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副主任医师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中医内科</w:t>
            </w:r>
          </w:p>
        </w:tc>
        <w:tc>
          <w:tcPr>
            <w:tcW w:w="2304" w:type="dxa"/>
          </w:tcPr>
          <w:p w:rsidR="002A62F7" w:rsidRDefault="002A62F7" w:rsidP="002A62F7">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2A62F7" w:rsidTr="002A62F7">
        <w:trPr>
          <w:cantSplit/>
          <w:trHeight w:val="851"/>
          <w:jc w:val="center"/>
        </w:trPr>
        <w:tc>
          <w:tcPr>
            <w:tcW w:w="427" w:type="dxa"/>
            <w:vAlign w:val="center"/>
          </w:tcPr>
          <w:p w:rsidR="002A62F7" w:rsidRDefault="002A62F7" w:rsidP="002A62F7">
            <w:pPr>
              <w:pStyle w:val="aff8"/>
              <w:numPr>
                <w:ilvl w:val="0"/>
                <w:numId w:val="6"/>
              </w:numPr>
              <w:tabs>
                <w:tab w:val="left" w:pos="420"/>
              </w:tabs>
              <w:suppressAutoHyphens/>
              <w:ind w:left="0" w:firstLineChars="0" w:firstLine="0"/>
              <w:jc w:val="center"/>
              <w:rPr>
                <w:rFonts w:ascii="宋体" w:hAnsi="宋体"/>
                <w:bCs/>
                <w:szCs w:val="21"/>
              </w:rPr>
            </w:pPr>
          </w:p>
        </w:tc>
        <w:tc>
          <w:tcPr>
            <w:tcW w:w="714"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黄彬彬</w:t>
            </w:r>
          </w:p>
        </w:tc>
        <w:tc>
          <w:tcPr>
            <w:tcW w:w="1689" w:type="dxa"/>
            <w:shd w:val="clear" w:color="auto" w:fill="auto"/>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南宁市第六人民医院</w:t>
            </w:r>
          </w:p>
        </w:tc>
        <w:tc>
          <w:tcPr>
            <w:tcW w:w="170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副主任医师</w:t>
            </w:r>
          </w:p>
        </w:tc>
        <w:tc>
          <w:tcPr>
            <w:tcW w:w="1461" w:type="dxa"/>
            <w:vAlign w:val="center"/>
          </w:tcPr>
          <w:p w:rsidR="002A62F7" w:rsidRPr="002A62F7" w:rsidRDefault="002A62F7" w:rsidP="002A62F7">
            <w:pPr>
              <w:jc w:val="center"/>
              <w:rPr>
                <w:rFonts w:ascii="仿宋_GB2312" w:eastAsia="仿宋_GB2312" w:hAnsi="仿宋_GB2312" w:cs="仿宋_GB2312"/>
                <w:bCs/>
                <w:sz w:val="24"/>
              </w:rPr>
            </w:pPr>
            <w:r w:rsidRPr="002A62F7">
              <w:rPr>
                <w:rFonts w:ascii="仿宋_GB2312" w:eastAsia="仿宋_GB2312" w:hAnsi="仿宋_GB2312" w:cs="仿宋_GB2312" w:hint="eastAsia"/>
                <w:bCs/>
                <w:sz w:val="24"/>
              </w:rPr>
              <w:t>中医内科学</w:t>
            </w:r>
          </w:p>
        </w:tc>
        <w:tc>
          <w:tcPr>
            <w:tcW w:w="2304" w:type="dxa"/>
          </w:tcPr>
          <w:p w:rsidR="002A62F7" w:rsidRDefault="002A62F7" w:rsidP="002A62F7">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bookmarkEnd w:id="4"/>
    </w:tbl>
    <w:p w:rsidR="00695227" w:rsidRDefault="00695227">
      <w:pPr>
        <w:spacing w:line="560" w:lineRule="exact"/>
        <w:ind w:firstLineChars="200" w:firstLine="640"/>
        <w:rPr>
          <w:rFonts w:ascii="仿宋_GB2312" w:eastAsia="仿宋_GB2312" w:hAnsi="仿宋"/>
          <w:sz w:val="32"/>
          <w:szCs w:val="32"/>
        </w:rPr>
      </w:pPr>
    </w:p>
    <w:bookmarkEnd w:id="3"/>
    <w:p w:rsidR="00695227" w:rsidRDefault="007F1C0C">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w:t>
      </w:r>
      <w:bookmarkStart w:id="5" w:name="OLE_LINK2"/>
      <w:bookmarkStart w:id="6" w:name="OLE_LINK3"/>
      <w:r>
        <w:rPr>
          <w:rFonts w:ascii="黑体" w:eastAsia="黑体" w:hAnsi="黑体" w:cs="仿宋_GB2312" w:hint="eastAsia"/>
          <w:sz w:val="32"/>
          <w:szCs w:val="32"/>
        </w:rPr>
        <w:t>的必要性和意义</w:t>
      </w:r>
      <w:bookmarkEnd w:id="5"/>
      <w:bookmarkEnd w:id="6"/>
    </w:p>
    <w:p w:rsidR="00B931F7" w:rsidRPr="00B931F7" w:rsidRDefault="00B931F7" w:rsidP="00B931F7">
      <w:pPr>
        <w:pStyle w:val="BodyText2"/>
        <w:spacing w:line="560" w:lineRule="exact"/>
        <w:ind w:firstLineChars="200" w:firstLine="640"/>
        <w:rPr>
          <w:rFonts w:ascii="仿宋_GB2312" w:eastAsia="仿宋_GB2312"/>
          <w:bCs/>
        </w:rPr>
      </w:pPr>
      <w:r w:rsidRPr="00B931F7">
        <w:rPr>
          <w:rFonts w:ascii="仿宋_GB2312" w:eastAsia="仿宋_GB2312" w:hint="eastAsia"/>
          <w:bCs/>
        </w:rPr>
        <w:t>当前老年住院患者普遍存在多病共存、多重用药、身体机能薄弱的特征，老年衰弱临床发生率居高不下，整体诊疗形势严峻，但现阶段各级医疗机构临床诊疗工作多重点关注高血压、糖尿病、心脑血管疾病等原发疾病的对症治疗，普遍忽视老年衰弱的专项筛查、系统评估与针对性干预，长期存在“重治病、轻固本、轻功能康复”的诊疗短板，直接导致患者住院期间不良事件频发、康复周期延长、整体预后不佳，严重制约老年住院医疗服务质量提升。中医药依托整体</w:t>
      </w:r>
      <w:r w:rsidRPr="00B931F7">
        <w:rPr>
          <w:rFonts w:ascii="仿宋_GB2312" w:eastAsia="仿宋_GB2312" w:hint="eastAsia"/>
          <w:bCs/>
        </w:rPr>
        <w:lastRenderedPageBreak/>
        <w:t>观念与辨证论治的核心优势，可通过中药内服调理、艾灸、穴位干预、功法导引、中药外治等多种特色手段，实现扶正固本、调补气血、健脾益肾的综合干预效果，在改善老年患者体虚乏力、易感多病、机能衰退等衰弱核心问题上，具备安全高效、适用性广、可及性强的独特临床优势。然而目前国内尚未形成针对住院老年衰弱患者的专属中医诊疗规范，各医疗机构在辨证分型、干预方案制定、适宜技术操作、疗程频次把控、临床疗效评价等关键环节缺乏统一标准依据，临床诊疗行为随意性较强，诊疗同质化水平不足，难以实现规范化、规模化推广应用。同时，老年衰弱患者体质特殊、身体耐受度低，基础疾病繁杂、用药情况复杂，无统一诊疗标准极易出现辨证失准、方药配伍不当、外治操作不规范、禁忌症把控不严等问题，引发临床不良反应与医疗安全风险，且不规范的诊疗模式，既不利于医疗机构开展标准化医疗质量管控与临床绩效考核，也无法适配现代医院精细化运营、DRG/DIP付费改革的行业发展要求。</w:t>
      </w:r>
    </w:p>
    <w:p w:rsidR="00B931F7" w:rsidRPr="00B931F7" w:rsidRDefault="00B931F7">
      <w:pPr>
        <w:pStyle w:val="BodyText2"/>
        <w:spacing w:after="0" w:line="560" w:lineRule="exact"/>
        <w:ind w:firstLineChars="200" w:firstLine="640"/>
        <w:rPr>
          <w:rFonts w:ascii="仿宋_GB2312" w:eastAsia="仿宋_GB2312"/>
          <w:bCs/>
        </w:rPr>
      </w:pPr>
      <w:r w:rsidRPr="00B931F7">
        <w:rPr>
          <w:rFonts w:ascii="仿宋_GB2312" w:eastAsia="仿宋_GB2312" w:hint="eastAsia"/>
          <w:bCs/>
        </w:rPr>
        <w:t>本标准的制定具备重要的行业与社会价值，能够全方位提升老年衰弱中医诊疗的规范化水平。标准实施后，可统一老年住院患者衰弱的筛查时机、评估工具、分级标准、中医证型、治则方药、适宜技术操作流程及疗效评价体系，搭建起入院筛查、分层干预、动态复评、全程调护、出院随访的全流程中医诊疗模式，进一步规范临床诊疗行为，切实降低患者住院期间不良事件发生率，有效缩短住院时长，全面改善老年患者躯体功能与生活质量。同时，当前国内现有老年</w:t>
      </w:r>
      <w:r w:rsidRPr="00B931F7">
        <w:rPr>
          <w:rFonts w:ascii="仿宋_GB2312" w:eastAsia="仿宋_GB2312" w:hint="eastAsia"/>
          <w:bCs/>
        </w:rPr>
        <w:lastRenderedPageBreak/>
        <w:t>衰弱中医标准多集中于社区与养老场景，针对住院急性期、围手术期及疾病恢复期的专项诊疗规范仍处于空白状态，本团体标准的出台，能够精准补齐住院场景下老年衰弱中医诊疗的短板，丰富老年病中医药辨证论治理论与实践体系，为临床诊疗研究、多中心循证研究提供统一、权威的技术参照，助力老年中医药学科向规范化、专业化方向高质量发展。此外，标准化的中医衰弱综合干预方案可有效延缓老年患者失能进程，降低疾病复发与再入院概率，极大减轻患者家庭的照护压力与经济负担，可为各级医疗机构、医养结合机构提供可落地、可推广的诊疗依据，推动中医药深度融入老年健康服务体系，精准契合国家积极老龄化、健康老龄化的发展战略，对提升老年群体整体健康水平、完善国内老年公共卫生服务体系具有深远的现实意义与社会价值</w:t>
      </w:r>
      <w:r>
        <w:rPr>
          <w:rFonts w:ascii="仿宋_GB2312" w:eastAsia="仿宋_GB2312" w:hint="eastAsia"/>
          <w:bCs/>
        </w:rPr>
        <w:t>。</w:t>
      </w:r>
    </w:p>
    <w:p w:rsidR="00695227" w:rsidRDefault="007F1C0C">
      <w:pPr>
        <w:pStyle w:val="BodyText2"/>
        <w:spacing w:after="0" w:line="560" w:lineRule="exact"/>
        <w:ind w:firstLineChars="200" w:firstLine="640"/>
        <w:rPr>
          <w:rFonts w:ascii="仿宋_GB2312" w:eastAsia="仿宋_GB2312"/>
          <w:bCs/>
        </w:rPr>
      </w:pPr>
      <w:r>
        <w:rPr>
          <w:rFonts w:ascii="仿宋_GB2312" w:eastAsia="仿宋_GB2312" w:hint="eastAsia"/>
          <w:bCs/>
        </w:rPr>
        <w:t>因此，为规范</w:t>
      </w:r>
      <w:r w:rsidR="00B931F7">
        <w:rPr>
          <w:rFonts w:ascii="仿宋_GB2312" w:eastAsia="仿宋_GB2312" w:hint="eastAsia"/>
          <w:bCs/>
        </w:rPr>
        <w:t>老年衰弱住院患者</w:t>
      </w:r>
      <w:r>
        <w:rPr>
          <w:rFonts w:ascii="仿宋_GB2312" w:eastAsia="仿宋_GB2312" w:hint="eastAsia"/>
          <w:bCs/>
        </w:rPr>
        <w:t>中医诊疗操作，提高医护人员对住院老年期痴呆患者中医诊疗水平，制定团体标准《</w:t>
      </w:r>
      <w:r w:rsidR="002A62F7">
        <w:rPr>
          <w:rFonts w:ascii="仿宋_GB2312" w:eastAsia="仿宋_GB2312" w:hint="eastAsia"/>
          <w:bCs/>
        </w:rPr>
        <w:t>住院衰弱老年人中医评估与干预规范</w:t>
      </w:r>
      <w:r>
        <w:rPr>
          <w:rFonts w:ascii="仿宋_GB2312" w:eastAsia="仿宋_GB2312" w:hint="eastAsia"/>
          <w:bCs/>
        </w:rPr>
        <w:t>》是十分必要且紧迫的。该标准将统一诊疗操作，提升住院老年期痴呆患者中医诊疗水平。</w:t>
      </w:r>
    </w:p>
    <w:p w:rsidR="00695227" w:rsidRDefault="007F1C0C">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695227" w:rsidRDefault="007F1C0C">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sidR="002A62F7" w:rsidRPr="002A62F7">
        <w:rPr>
          <w:rFonts w:ascii="仿宋_GB2312" w:eastAsia="仿宋_GB2312" w:hAnsi="宋体" w:hint="eastAsia"/>
          <w:sz w:val="32"/>
          <w:szCs w:val="32"/>
        </w:rPr>
        <w:t>住院衰弱老年人中医评估与干预规范</w:t>
      </w:r>
      <w:r>
        <w:rPr>
          <w:rFonts w:ascii="仿宋_GB2312" w:eastAsia="仿宋_GB2312" w:hAnsi="宋体" w:hint="eastAsia"/>
          <w:sz w:val="32"/>
          <w:szCs w:val="32"/>
        </w:rPr>
        <w:t>》项目任务下达后，由</w:t>
      </w:r>
      <w:r>
        <w:rPr>
          <w:rFonts w:ascii="仿宋_GB2312" w:eastAsia="仿宋_GB2312" w:hAnsi="Calibri" w:hint="eastAsia"/>
          <w:sz w:val="32"/>
          <w:szCs w:val="32"/>
        </w:rPr>
        <w:t>南宁市中医医院</w:t>
      </w:r>
      <w:r>
        <w:rPr>
          <w:rFonts w:ascii="仿宋_GB2312" w:eastAsia="仿宋_GB2312" w:hAnsi="宋体" w:hint="eastAsia"/>
          <w:sz w:val="32"/>
          <w:szCs w:val="32"/>
        </w:rPr>
        <w:t>牵头组织成立了标准编制组，制定了标准编写方案，明确任务职责，确定工作技术路线，开展标准研制工作。具体编制工作由</w:t>
      </w:r>
      <w:r>
        <w:rPr>
          <w:rFonts w:ascii="仿宋_GB2312" w:eastAsia="仿宋_GB2312" w:hAnsi="Calibri" w:hint="eastAsia"/>
          <w:sz w:val="32"/>
          <w:szCs w:val="32"/>
        </w:rPr>
        <w:t>南宁市中医医院、广西</w:t>
      </w:r>
      <w:r>
        <w:rPr>
          <w:rFonts w:ascii="仿宋_GB2312" w:eastAsia="仿宋_GB2312" w:hAnsi="Calibri" w:hint="eastAsia"/>
          <w:sz w:val="32"/>
          <w:szCs w:val="32"/>
        </w:rPr>
        <w:lastRenderedPageBreak/>
        <w:t>中医药大学第一附属医院、广西国际壮医医院、河南中医药大学第一附属医院、湖南省人民医院、南宁市第六人民医院、驻马店市中心医院</w:t>
      </w:r>
      <w:r>
        <w:rPr>
          <w:rFonts w:ascii="仿宋_GB2312" w:eastAsia="仿宋_GB2312" w:hAnsi="宋体" w:hint="eastAsia"/>
          <w:sz w:val="32"/>
          <w:szCs w:val="32"/>
        </w:rPr>
        <w:t>组成的标准编制组负责。编制组下设三个小组，分别是资料收集组、草案编写组、标准实施组。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资料收集组：负责国内外关于住院老年期痴呆患者中医诊疗相关文献资料的查询、收集和整理工作，查阅现存关于相关研究以及国内相关标准的制定。</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2A62F7">
        <w:rPr>
          <w:rFonts w:ascii="仿宋_GB2312" w:eastAsia="仿宋_GB2312" w:hAnsi="宋体" w:hint="eastAsia"/>
          <w:sz w:val="32"/>
          <w:szCs w:val="32"/>
        </w:rPr>
        <w:t>住院衰弱老年人中医评估与干预规范</w:t>
      </w:r>
      <w:r>
        <w:rPr>
          <w:rFonts w:ascii="仿宋_GB2312" w:eastAsia="仿宋_GB2312" w:hAnsi="宋体" w:hint="eastAsia"/>
          <w:sz w:val="32"/>
          <w:szCs w:val="32"/>
        </w:rPr>
        <w:t>》标准发布后，组织相关部门、医疗机构等，开展标准宣贯培训会，对标准进行研讨和详细解读，使相关人员了解标准，熟悉标准，并能熟练运用标准；为确保标准的实施效果和综合运用率，对标准实施情况进行总结分析，对标准提出持续改进意见。</w:t>
      </w:r>
    </w:p>
    <w:p w:rsidR="00695227" w:rsidRDefault="007F1C0C">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695227" w:rsidRDefault="007F1C0C">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通过资料收集组对文献资料的收集和整理，草案编写组主要参考了以下国内外相关的标准和期刊书籍：</w:t>
      </w:r>
    </w:p>
    <w:p w:rsidR="00D702C4" w:rsidRP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[1]  王永炎.实用中医内科学(第2版)(精)[M].上海科技出版社，2009.</w:t>
      </w:r>
    </w:p>
    <w:p w:rsidR="00D702C4" w:rsidRP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[2]  中国老年保健协会阿尔茨海默病分会，中国中药协会脑病药物研究专业委员会，杜怡峰，解恒革，田金洲等.阿尔茨海默病中西医结合诊疗中国专家共识[J].中华行</w:t>
      </w:r>
      <w:r w:rsidRPr="00D702C4">
        <w:rPr>
          <w:rFonts w:ascii="仿宋_GB2312" w:eastAsia="仿宋_GB2312" w:hAnsi="仿宋_GB2312" w:cs="仿宋_GB2312" w:hint="eastAsia"/>
        </w:rPr>
        <w:lastRenderedPageBreak/>
        <w:t>为医学与脑科学杂志，2024,33(2):97-108.</w:t>
      </w:r>
    </w:p>
    <w:p w:rsidR="00D702C4" w:rsidRP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[3]  田金洲，解恒革，王鲁宁，等.中国阿尔茨海默病痴呆诊疗指南(2020年版)[J].中华老年医学杂志，2021,40(3):15.</w:t>
      </w:r>
    </w:p>
    <w:p w:rsidR="00D702C4" w:rsidRP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[4]  王南卜,马晓伟,王国辉,等.阿尔茨海默病多元康复干预中国专家共识(2025)[J].阿尔茨海默病及相关病杂志, 2025,8(3):147-163.</w:t>
      </w:r>
    </w:p>
    <w:p w:rsidR="00D702C4" w:rsidRP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[5]  时晶,倪敬年,魏明清,等.阿尔茨海默病证候变化与认知结局的关联性[J]. 北京中医药大学学报,2017,40(4):339-343.</w:t>
      </w:r>
    </w:p>
    <w:p w:rsidR="00D702C4"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[6]  贾建平.中国痴呆与认知功能障碍诊治指南[M].北京：人民卫生出版社,2015.</w:t>
      </w:r>
    </w:p>
    <w:p w:rsidR="00695227"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w:t>
      </w:r>
      <w:r>
        <w:rPr>
          <w:rFonts w:ascii="仿宋_GB2312" w:eastAsia="仿宋_GB2312" w:hAnsi="仿宋_GB2312" w:cs="仿宋_GB2312"/>
        </w:rPr>
        <w:t>7</w:t>
      </w:r>
      <w:r w:rsidRPr="00D702C4">
        <w:rPr>
          <w:rFonts w:ascii="仿宋_GB2312" w:eastAsia="仿宋_GB2312" w:hAnsi="仿宋_GB2312" w:cs="仿宋_GB2312" w:hint="eastAsia"/>
        </w:rPr>
        <w:t xml:space="preserve">]  </w:t>
      </w:r>
      <w:r w:rsidR="007F1C0C">
        <w:rPr>
          <w:rFonts w:ascii="仿宋_GB2312" w:eastAsia="仿宋_GB2312" w:hAnsi="仿宋_GB2312" w:cs="仿宋_GB2312" w:hint="eastAsia"/>
        </w:rPr>
        <w:t>T/CACM 1315—2019  《中医内科临床诊疗指南 阿尔茨海默病》</w:t>
      </w:r>
    </w:p>
    <w:p w:rsidR="00695227" w:rsidRDefault="00D702C4" w:rsidP="002A62F7">
      <w:pPr>
        <w:pStyle w:val="BodyText2"/>
        <w:spacing w:after="0" w:line="560" w:lineRule="exact"/>
        <w:ind w:firstLineChars="200" w:firstLine="640"/>
        <w:jc w:val="left"/>
        <w:rPr>
          <w:rFonts w:ascii="仿宋_GB2312" w:eastAsia="仿宋_GB2312" w:hAnsi="仿宋_GB2312" w:cs="仿宋_GB2312"/>
        </w:rPr>
      </w:pPr>
      <w:r w:rsidRPr="00D702C4">
        <w:rPr>
          <w:rFonts w:ascii="仿宋_GB2312" w:eastAsia="仿宋_GB2312" w:hAnsi="仿宋_GB2312" w:cs="仿宋_GB2312" w:hint="eastAsia"/>
        </w:rPr>
        <w:t>[</w:t>
      </w:r>
      <w:r>
        <w:rPr>
          <w:rFonts w:ascii="仿宋_GB2312" w:eastAsia="仿宋_GB2312" w:hAnsi="仿宋_GB2312" w:cs="仿宋_GB2312"/>
        </w:rPr>
        <w:t>8</w:t>
      </w:r>
      <w:r w:rsidRPr="00D702C4">
        <w:rPr>
          <w:rFonts w:ascii="仿宋_GB2312" w:eastAsia="仿宋_GB2312" w:hAnsi="仿宋_GB2312" w:cs="仿宋_GB2312" w:hint="eastAsia"/>
        </w:rPr>
        <w:t xml:space="preserve">]  </w:t>
      </w:r>
      <w:r w:rsidR="007F1C0C">
        <w:rPr>
          <w:rFonts w:ascii="仿宋_GB2312" w:eastAsia="仿宋_GB2312" w:hAnsi="仿宋_GB2312" w:cs="仿宋_GB2312" w:hint="eastAsia"/>
        </w:rPr>
        <w:t>T/CACM 1467—2023  《血管性痴呆治未病干预指南》</w:t>
      </w:r>
    </w:p>
    <w:p w:rsidR="00695227" w:rsidRDefault="007F1C0C">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现有标准和共识多侧重于诊断和治疗方法的规范，而本标准填补了痴呆病综合评估与个体化管理方面的空白，有助于更全面地了解患者状况，制定针对性的干预方案，提高</w:t>
      </w:r>
      <w:r>
        <w:rPr>
          <w:rFonts w:ascii="仿宋_GB2312" w:eastAsia="仿宋_GB2312" w:hAnsi="宋体" w:hint="eastAsia"/>
          <w:sz w:val="32"/>
          <w:szCs w:val="32"/>
        </w:rPr>
        <w:lastRenderedPageBreak/>
        <w:t>治疗效果和患者生活质量。</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sz w:val="32"/>
          <w:szCs w:val="32"/>
        </w:rPr>
        <w:t>.</w:t>
      </w:r>
      <w:r>
        <w:rPr>
          <w:rFonts w:ascii="仿宋_GB2312" w:eastAsia="仿宋_GB2312" w:hAnsi="宋体" w:hint="eastAsia"/>
          <w:sz w:val="32"/>
          <w:szCs w:val="32"/>
        </w:rPr>
        <w:t>解决非药物治疗手段分散问题，将多种非药物治疗方法（如音乐治疗、记忆疗法等）系统整合并规范化，解决了现有资料中此类疗法分散、缺乏统一标准的问题，为临床提供了更丰富、更具可操作性的非药物治疗选择，尤其适用于对药物治疗存在禁忌或不耐受的患者，以及需要综合干预的中重度患者。</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sz w:val="32"/>
          <w:szCs w:val="32"/>
        </w:rPr>
        <w:t>.</w:t>
      </w:r>
      <w:r>
        <w:rPr>
          <w:rFonts w:ascii="仿宋_GB2312" w:eastAsia="仿宋_GB2312" w:hAnsi="宋体" w:hint="eastAsia"/>
          <w:sz w:val="32"/>
          <w:szCs w:val="32"/>
        </w:rPr>
        <w:t>填补了基层医疗机构老年期痴呆中医诊疗标准化方案的空白，解决了基层因技术薄弱、资源有限导致的诊疗不规范问题，通过简化操作流程（如推广穴位贴敷、耳针压豆等易操作技术）和配套培训体系，提高了方案在基层的可及性。</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4.</w:t>
      </w:r>
      <w:r w:rsidR="007F1C0C">
        <w:rPr>
          <w:rFonts w:ascii="仿宋_GB2312" w:eastAsia="仿宋_GB2312" w:hAnsi="宋体" w:hint="eastAsia"/>
          <w:sz w:val="32"/>
          <w:szCs w:val="32"/>
        </w:rPr>
        <w:t>老年综合评估（CGA）技术：通过系统性评估患者的认知、心理、社会支持等状况，制定个体化综合干预方案，整合药物、心理、营养、康复等多种治疗手段，实现对痴呆患者的全面管理。</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5.</w:t>
      </w:r>
      <w:r w:rsidR="007F1C0C">
        <w:rPr>
          <w:rFonts w:ascii="仿宋_GB2312" w:eastAsia="仿宋_GB2312" w:hAnsi="宋体" w:hint="eastAsia"/>
          <w:sz w:val="32"/>
          <w:szCs w:val="32"/>
        </w:rPr>
        <w:t>中医特色疗法综合应用技术：包括针刺疗法、穴位注射、穴位埋线等，结合辨证分型精准选穴，明确操作规范和疗程，提高了中医特色疗法的临床疗效和可重复性。</w:t>
      </w:r>
    </w:p>
    <w:p w:rsidR="00695227" w:rsidRDefault="00D702C4">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6.</w:t>
      </w:r>
      <w:r w:rsidR="007F1C0C">
        <w:rPr>
          <w:rFonts w:ascii="仿宋_GB2312" w:eastAsia="仿宋_GB2312" w:hAnsi="宋体" w:hint="eastAsia"/>
          <w:sz w:val="32"/>
          <w:szCs w:val="32"/>
        </w:rPr>
        <w:t>多维度非药物治疗技术：涵盖音乐治疗、记忆疗法、行为疗法等多种非药物治疗方法，从不同角度刺激患者认知功能，改善精神心理状态，延缓病情进展，为痴呆病的治疗提供了多元化的技术支持。</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标准的主体内容确定为术语和定义、缩略语、诊断、治</w:t>
      </w:r>
      <w:r>
        <w:rPr>
          <w:rFonts w:ascii="仿宋_GB2312" w:eastAsia="仿宋_GB2312" w:hAnsi="宋体" w:hint="eastAsia"/>
          <w:sz w:val="32"/>
          <w:szCs w:val="32"/>
        </w:rPr>
        <w:lastRenderedPageBreak/>
        <w:t>疗、日常调护。</w:t>
      </w:r>
    </w:p>
    <w:p w:rsidR="00695227" w:rsidRDefault="007F1C0C">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695227" w:rsidRDefault="007F1C0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2025年</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查阅了大量的国内外文献资料，对住院老年期痴呆患者中医诊疗的相关文件进行系统总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695227" w:rsidRDefault="007F1C0C">
      <w:pPr>
        <w:spacing w:line="560" w:lineRule="exact"/>
        <w:ind w:firstLineChars="200" w:firstLine="640"/>
        <w:rPr>
          <w:rFonts w:ascii="仿宋_GB2312" w:eastAsia="仿宋_GB2312" w:hAnsi="宋体"/>
          <w:color w:val="000000" w:themeColor="text1"/>
          <w:sz w:val="32"/>
          <w:szCs w:val="32"/>
        </w:rPr>
      </w:pPr>
      <w:bookmarkStart w:id="7" w:name="_Hlk132042443"/>
      <w:r>
        <w:rPr>
          <w:rFonts w:ascii="仿宋_GB2312" w:eastAsia="仿宋_GB2312" w:hAnsi="宋体" w:hint="eastAsia"/>
          <w:color w:val="000000" w:themeColor="text1"/>
          <w:sz w:val="32"/>
          <w:szCs w:val="32"/>
        </w:rPr>
        <w:t>2025年</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bookmarkEnd w:id="7"/>
      <w:r w:rsidR="002A62F7">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住院老年期痴呆患者中医诊疗的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Pr>
          <w:rFonts w:ascii="仿宋_GB2312" w:eastAsia="仿宋_GB2312" w:hAnsi="宋体" w:hint="eastAsia"/>
          <w:sz w:val="32"/>
          <w:szCs w:val="32"/>
        </w:rPr>
        <w:t>住院老年期痴呆患者中医诊疗</w:t>
      </w:r>
      <w:r>
        <w:rPr>
          <w:rFonts w:ascii="仿宋_GB2312" w:eastAsia="仿宋_GB2312" w:hAnsi="宋体" w:hint="eastAsia"/>
          <w:color w:val="000000" w:themeColor="text1"/>
          <w:sz w:val="32"/>
          <w:szCs w:val="32"/>
        </w:rPr>
        <w:t>实际要求的基础上，按照简化、统一等原则编制完成团体标准《</w:t>
      </w:r>
      <w:r w:rsidR="002A62F7">
        <w:rPr>
          <w:rFonts w:ascii="仿宋_GB2312" w:eastAsia="仿宋_GB2312" w:hAnsi="宋体" w:hint="eastAsia"/>
          <w:color w:val="000000" w:themeColor="text1"/>
          <w:sz w:val="32"/>
          <w:szCs w:val="32"/>
        </w:rPr>
        <w:t>住院衰弱老年人中医评估与干预规范</w:t>
      </w:r>
      <w:r>
        <w:rPr>
          <w:rFonts w:ascii="仿宋_GB2312" w:eastAsia="仿宋_GB2312" w:hAnsi="宋体" w:hint="eastAsia"/>
          <w:color w:val="000000" w:themeColor="text1"/>
          <w:sz w:val="32"/>
          <w:szCs w:val="32"/>
        </w:rPr>
        <w:t>》（草案）。</w:t>
      </w:r>
    </w:p>
    <w:p w:rsidR="00695227" w:rsidRDefault="007F1C0C">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sidR="002A62F7">
        <w:rPr>
          <w:rFonts w:ascii="仿宋_GB2312" w:eastAsia="仿宋_GB2312" w:hAnsi="宋体"/>
          <w:color w:val="000000" w:themeColor="text1"/>
          <w:sz w:val="32"/>
          <w:szCs w:val="32"/>
        </w:rPr>
        <w:t>5-6</w:t>
      </w:r>
      <w:r>
        <w:rPr>
          <w:rFonts w:ascii="仿宋_GB2312" w:eastAsia="仿宋_GB2312" w:hAnsi="宋体" w:hint="eastAsia"/>
          <w:color w:val="000000" w:themeColor="text1"/>
          <w:sz w:val="32"/>
          <w:szCs w:val="32"/>
        </w:rPr>
        <w:t>月，标准编制组</w:t>
      </w:r>
      <w:r>
        <w:rPr>
          <w:rFonts w:ascii="仿宋_GB2312" w:eastAsia="仿宋_GB2312" w:hAnsi="仿宋" w:hint="eastAsia"/>
          <w:sz w:val="32"/>
          <w:szCs w:val="32"/>
        </w:rPr>
        <w:t>组织</w:t>
      </w:r>
      <w:r>
        <w:rPr>
          <w:rFonts w:ascii="仿宋_GB2312" w:eastAsia="仿宋_GB2312" w:hAnsi="Calibri" w:hint="eastAsia"/>
          <w:sz w:val="32"/>
          <w:szCs w:val="32"/>
        </w:rPr>
        <w:t>南宁市中医医院、广西中医药大学第一附属医院、广西国际壮医医院、河南中医药大学第一附属医院、湖南省人民医院、南宁市第六人民医院、驻马店市中心医院</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Pr>
          <w:rFonts w:ascii="仿宋_GB2312" w:eastAsia="仿宋_GB2312" w:hAnsi="宋体" w:hint="eastAsia"/>
          <w:color w:val="000000" w:themeColor="text1"/>
          <w:sz w:val="32"/>
          <w:szCs w:val="32"/>
        </w:rPr>
        <w:t>住院老年期痴呆患者中医诊疗</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r w:rsidR="002A62F7">
        <w:rPr>
          <w:rFonts w:ascii="仿宋_GB2312" w:eastAsia="仿宋_GB2312" w:hAnsi="宋体" w:hint="eastAsia"/>
          <w:color w:val="000000" w:themeColor="text1"/>
          <w:sz w:val="32"/>
          <w:szCs w:val="32"/>
        </w:rPr>
        <w:t>住院衰弱老年人中医评估与干预规范</w:t>
      </w:r>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8" w:name="_Hlk137230187"/>
    </w:p>
    <w:p w:rsidR="00695227" w:rsidRDefault="007F1C0C">
      <w:pPr>
        <w:spacing w:line="560" w:lineRule="exact"/>
        <w:ind w:firstLineChars="200" w:firstLine="640"/>
        <w:outlineLvl w:val="0"/>
        <w:rPr>
          <w:rFonts w:ascii="黑体" w:eastAsia="黑体" w:hAnsi="黑体" w:cs="仿宋_GB2312"/>
          <w:sz w:val="32"/>
          <w:szCs w:val="32"/>
        </w:rPr>
      </w:pPr>
      <w:bookmarkStart w:id="9" w:name="_Toc526940083"/>
      <w:bookmarkEnd w:id="8"/>
      <w:r>
        <w:rPr>
          <w:rFonts w:ascii="黑体" w:eastAsia="黑体" w:hAnsi="黑体" w:cs="仿宋_GB2312" w:hint="eastAsia"/>
          <w:sz w:val="32"/>
          <w:szCs w:val="32"/>
        </w:rPr>
        <w:t>四、</w:t>
      </w:r>
      <w:bookmarkEnd w:id="9"/>
      <w:r>
        <w:rPr>
          <w:rFonts w:ascii="黑体" w:eastAsia="黑体" w:hAnsi="黑体" w:cs="仿宋_GB2312" w:hint="eastAsia"/>
          <w:sz w:val="32"/>
          <w:szCs w:val="32"/>
        </w:rPr>
        <w:t>制定标准的原则和依据，与现行法律、法规的关系，与有关国家标准、行业标准的协调情况</w:t>
      </w:r>
    </w:p>
    <w:p w:rsidR="00695227" w:rsidRDefault="007F1C0C">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w:t>
      </w:r>
      <w:r>
        <w:rPr>
          <w:rFonts w:ascii="仿宋_GB2312" w:eastAsia="仿宋_GB2312" w:hAnsi="宋体" w:hint="eastAsia"/>
          <w:sz w:val="32"/>
          <w:szCs w:val="32"/>
        </w:rPr>
        <w:lastRenderedPageBreak/>
        <w:t>实际情况，在现有文献中参考与</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相关内容的基础上，结合多年经验而总结起草的。符合当前</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的需要，有利于行业的长远发展，具有较强的实用性和可操作性。</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相关法律法规的协调问题，在内容上与现行法律法规、标准协调一致。</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695227" w:rsidRDefault="007F1C0C">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现实情况的同时，还考虑到了</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快速发展的趋势和需要，在标准中体现了个别特色性、前瞻性和先进性条款，作为对开展</w:t>
      </w:r>
      <w:r>
        <w:rPr>
          <w:rFonts w:ascii="仿宋_GB2312" w:eastAsia="仿宋_GB2312" w:hAnsi="宋体" w:hint="eastAsia"/>
          <w:color w:val="000000" w:themeColor="text1"/>
          <w:sz w:val="32"/>
          <w:szCs w:val="32"/>
        </w:rPr>
        <w:t>住院老年期痴呆患者中医诊疗</w:t>
      </w:r>
      <w:r>
        <w:rPr>
          <w:rFonts w:ascii="仿宋_GB2312" w:eastAsia="仿宋_GB2312" w:hAnsi="宋体" w:hint="eastAsia"/>
          <w:sz w:val="32"/>
          <w:szCs w:val="32"/>
        </w:rPr>
        <w:t>的指导。</w:t>
      </w:r>
    </w:p>
    <w:p w:rsidR="00695227" w:rsidRDefault="007F1C0C">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标准的编写符合GB/T 1.1—2020的要求。</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经查阅，与住院老年期痴呆患者中医诊疗的国家标准、行业标准、地方标准和团体标准有T/CACM 1315—2019  《中</w:t>
      </w:r>
      <w:r>
        <w:rPr>
          <w:rFonts w:ascii="仿宋_GB2312" w:eastAsia="仿宋_GB2312" w:hAnsi="宋体" w:hint="eastAsia"/>
          <w:sz w:val="32"/>
          <w:szCs w:val="32"/>
        </w:rPr>
        <w:lastRenderedPageBreak/>
        <w:t>医内科临床诊疗指南 阿尔茨海默病》、T/CACM 1467—2023  《血管性痴呆治未病干预指南》，与以上标准相比，本标准更注重中医特色疗法的具体操作细节和疗程规范，如对针刺疗法的主穴、配穴及注意事项，穴位埋线的操作步骤等描述更为详尽，具有更强的临床可操作性。当前未制定有</w:t>
      </w:r>
      <w:bookmarkStart w:id="10" w:name="OLE_LINK15"/>
      <w:r>
        <w:rPr>
          <w:rFonts w:ascii="仿宋_GB2312" w:eastAsia="仿宋_GB2312" w:hAnsi="宋体" w:hint="eastAsia"/>
          <w:sz w:val="32"/>
          <w:szCs w:val="32"/>
        </w:rPr>
        <w:t>团体标准《</w:t>
      </w:r>
      <w:r w:rsidR="002A62F7">
        <w:rPr>
          <w:rFonts w:ascii="仿宋_GB2312" w:eastAsia="仿宋_GB2312" w:hAnsi="宋体" w:hint="eastAsia"/>
          <w:sz w:val="32"/>
          <w:szCs w:val="32"/>
        </w:rPr>
        <w:t>住院衰弱老年人中医评估与干预规范</w:t>
      </w:r>
      <w:r>
        <w:rPr>
          <w:rFonts w:ascii="仿宋_GB2312" w:eastAsia="仿宋_GB2312" w:hAnsi="宋体" w:hint="eastAsia"/>
          <w:sz w:val="32"/>
          <w:szCs w:val="32"/>
        </w:rPr>
        <w:t>》</w:t>
      </w:r>
      <w:bookmarkEnd w:id="10"/>
      <w:r>
        <w:rPr>
          <w:rFonts w:ascii="仿宋_GB2312" w:eastAsia="仿宋_GB2312" w:hAnsi="宋体" w:hint="eastAsia"/>
          <w:sz w:val="32"/>
          <w:szCs w:val="32"/>
        </w:rPr>
        <w:t>。</w:t>
      </w:r>
    </w:p>
    <w:p w:rsidR="00695227" w:rsidRDefault="007F1C0C">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本标准主要章节内容包括诊断、治疗、日常调护的要求。</w:t>
      </w:r>
    </w:p>
    <w:p w:rsidR="002A62F7" w:rsidRDefault="002A62F7" w:rsidP="005557BD">
      <w:pPr>
        <w:spacing w:line="560" w:lineRule="exact"/>
        <w:ind w:firstLineChars="200" w:firstLine="640"/>
        <w:rPr>
          <w:rFonts w:ascii="仿宋_GB2312" w:eastAsia="仿宋_GB2312" w:hAnsi="宋体"/>
          <w:sz w:val="32"/>
          <w:szCs w:val="32"/>
        </w:rPr>
      </w:pPr>
      <w:r w:rsidRPr="002A62F7">
        <w:rPr>
          <w:rFonts w:ascii="仿宋_GB2312" w:eastAsia="仿宋_GB2312" w:hAnsi="宋体" w:hint="eastAsia"/>
          <w:sz w:val="32"/>
          <w:szCs w:val="32"/>
        </w:rPr>
        <w:t>南宁市中医医院老年病科作为南宁区域老年病中医诊疗中心的牵头单位，拥有专业的老年病科团队，首创中医为主导的老年综合评估和诊疗模式，完成老年综合评估14453例，提供个体化中医干预健康管理方案5754例。</w:t>
      </w:r>
      <w:r>
        <w:rPr>
          <w:rFonts w:ascii="仿宋_GB2312" w:eastAsia="仿宋_GB2312" w:hAnsi="宋体" w:hint="eastAsia"/>
          <w:sz w:val="32"/>
          <w:szCs w:val="32"/>
        </w:rPr>
        <w:t>起草单位前期开展</w:t>
      </w:r>
      <w:r w:rsidR="005557BD">
        <w:rPr>
          <w:rFonts w:ascii="仿宋_GB2312" w:eastAsia="仿宋_GB2312" w:hAnsi="宋体" w:hint="eastAsia"/>
          <w:sz w:val="32"/>
          <w:szCs w:val="32"/>
        </w:rPr>
        <w:t>的</w:t>
      </w:r>
      <w:r w:rsidRPr="002A62F7">
        <w:rPr>
          <w:rFonts w:ascii="仿宋_GB2312" w:eastAsia="仿宋_GB2312" w:hAnsi="宋体" w:hint="eastAsia"/>
          <w:sz w:val="32"/>
          <w:szCs w:val="32"/>
        </w:rPr>
        <w:t>老年衰弱住院患者中医诊疗</w:t>
      </w:r>
      <w:r w:rsidR="005557BD">
        <w:rPr>
          <w:rFonts w:ascii="仿宋_GB2312" w:eastAsia="仿宋_GB2312" w:hAnsi="宋体" w:hint="eastAsia"/>
          <w:sz w:val="32"/>
          <w:szCs w:val="32"/>
        </w:rPr>
        <w:t>临床数据如下：</w:t>
      </w:r>
    </w:p>
    <w:tbl>
      <w:tblPr>
        <w:tblW w:w="8656" w:type="dxa"/>
        <w:jc w:val="center"/>
        <w:tblLook w:val="04A0" w:firstRow="1" w:lastRow="0" w:firstColumn="1" w:lastColumn="0" w:noHBand="0" w:noVBand="1"/>
      </w:tblPr>
      <w:tblGrid>
        <w:gridCol w:w="709"/>
        <w:gridCol w:w="1536"/>
        <w:gridCol w:w="1271"/>
        <w:gridCol w:w="866"/>
        <w:gridCol w:w="1271"/>
        <w:gridCol w:w="866"/>
        <w:gridCol w:w="1271"/>
        <w:gridCol w:w="866"/>
      </w:tblGrid>
      <w:tr w:rsidR="002A62F7" w:rsidRPr="002A62F7" w:rsidTr="002A62F7">
        <w:trPr>
          <w:trHeight w:val="285"/>
          <w:jc w:val="center"/>
        </w:trPr>
        <w:tc>
          <w:tcPr>
            <w:tcW w:w="709" w:type="dxa"/>
            <w:vMerge w:val="restar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序号</w:t>
            </w:r>
          </w:p>
        </w:tc>
        <w:tc>
          <w:tcPr>
            <w:tcW w:w="1536" w:type="dxa"/>
            <w:vMerge w:val="restart"/>
            <w:tcBorders>
              <w:top w:val="single" w:sz="4" w:space="0" w:color="auto"/>
              <w:left w:val="single" w:sz="4" w:space="0" w:color="000000"/>
              <w:bottom w:val="single" w:sz="4" w:space="0" w:color="auto"/>
              <w:right w:val="single" w:sz="4" w:space="0" w:color="auto"/>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证型</w:t>
            </w:r>
          </w:p>
        </w:tc>
        <w:tc>
          <w:tcPr>
            <w:tcW w:w="2137" w:type="dxa"/>
            <w:gridSpan w:val="2"/>
            <w:tcBorders>
              <w:top w:val="single" w:sz="4" w:space="0" w:color="000000"/>
              <w:left w:val="single" w:sz="4" w:space="0" w:color="auto"/>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2023年</w:t>
            </w:r>
          </w:p>
        </w:tc>
        <w:tc>
          <w:tcPr>
            <w:tcW w:w="2137" w:type="dxa"/>
            <w:gridSpan w:val="2"/>
            <w:tcBorders>
              <w:top w:val="single" w:sz="4" w:space="0" w:color="000000"/>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2024年</w:t>
            </w:r>
          </w:p>
        </w:tc>
        <w:tc>
          <w:tcPr>
            <w:tcW w:w="2137" w:type="dxa"/>
            <w:gridSpan w:val="2"/>
            <w:tcBorders>
              <w:top w:val="single" w:sz="4" w:space="0" w:color="000000"/>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2025年</w:t>
            </w:r>
          </w:p>
        </w:tc>
      </w:tr>
      <w:tr w:rsidR="002A62F7" w:rsidRPr="002A62F7" w:rsidTr="002A62F7">
        <w:trPr>
          <w:trHeight w:val="285"/>
          <w:jc w:val="center"/>
        </w:trPr>
        <w:tc>
          <w:tcPr>
            <w:tcW w:w="709" w:type="dxa"/>
            <w:vMerge/>
            <w:tcBorders>
              <w:top w:val="single" w:sz="4" w:space="0" w:color="000000"/>
              <w:left w:val="single" w:sz="4" w:space="0" w:color="auto"/>
              <w:bottom w:val="single" w:sz="4" w:space="0" w:color="auto"/>
              <w:right w:val="single" w:sz="4" w:space="0" w:color="000000"/>
            </w:tcBorders>
            <w:vAlign w:val="center"/>
            <w:hideMark/>
          </w:tcPr>
          <w:p w:rsidR="002A62F7" w:rsidRPr="002A62F7" w:rsidRDefault="002A62F7" w:rsidP="002A62F7">
            <w:pPr>
              <w:widowControl/>
              <w:jc w:val="left"/>
              <w:rPr>
                <w:rFonts w:ascii="等线" w:eastAsia="等线" w:hAnsi="等线" w:cs="宋体"/>
                <w:color w:val="000000"/>
                <w:kern w:val="0"/>
                <w:sz w:val="22"/>
                <w:szCs w:val="22"/>
              </w:rPr>
            </w:pPr>
          </w:p>
        </w:tc>
        <w:tc>
          <w:tcPr>
            <w:tcW w:w="1536" w:type="dxa"/>
            <w:vMerge/>
            <w:tcBorders>
              <w:top w:val="single" w:sz="4" w:space="0" w:color="000000"/>
              <w:left w:val="single" w:sz="4" w:space="0" w:color="000000"/>
              <w:bottom w:val="single" w:sz="4" w:space="0" w:color="auto"/>
              <w:right w:val="single" w:sz="4" w:space="0" w:color="auto"/>
            </w:tcBorders>
            <w:vAlign w:val="center"/>
            <w:hideMark/>
          </w:tcPr>
          <w:p w:rsidR="002A62F7" w:rsidRPr="002A62F7" w:rsidRDefault="002A62F7" w:rsidP="002A62F7">
            <w:pPr>
              <w:widowControl/>
              <w:jc w:val="left"/>
              <w:rPr>
                <w:rFonts w:ascii="等线" w:eastAsia="等线" w:hAnsi="等线" w:cs="宋体"/>
                <w:color w:val="000000"/>
                <w:kern w:val="0"/>
                <w:sz w:val="22"/>
                <w:szCs w:val="22"/>
              </w:rPr>
            </w:pPr>
          </w:p>
        </w:tc>
        <w:tc>
          <w:tcPr>
            <w:tcW w:w="1271" w:type="dxa"/>
            <w:tcBorders>
              <w:top w:val="nil"/>
              <w:left w:val="single" w:sz="4" w:space="0" w:color="auto"/>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病例数</w:t>
            </w:r>
          </w:p>
        </w:tc>
        <w:tc>
          <w:tcPr>
            <w:tcW w:w="86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疗效</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病例数</w:t>
            </w:r>
          </w:p>
        </w:tc>
        <w:tc>
          <w:tcPr>
            <w:tcW w:w="86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疗效</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病例数</w:t>
            </w:r>
          </w:p>
        </w:tc>
        <w:tc>
          <w:tcPr>
            <w:tcW w:w="86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疗效</w:t>
            </w:r>
          </w:p>
        </w:tc>
      </w:tr>
      <w:tr w:rsidR="002A62F7" w:rsidRPr="002A62F7" w:rsidTr="005557BD">
        <w:trPr>
          <w:trHeight w:val="285"/>
          <w:jc w:val="center"/>
        </w:trPr>
        <w:tc>
          <w:tcPr>
            <w:tcW w:w="709" w:type="dxa"/>
            <w:tcBorders>
              <w:top w:val="single" w:sz="4" w:space="0" w:color="auto"/>
              <w:left w:val="single" w:sz="4" w:space="0" w:color="000000"/>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w:t>
            </w:r>
          </w:p>
        </w:tc>
        <w:tc>
          <w:tcPr>
            <w:tcW w:w="1536" w:type="dxa"/>
            <w:tcBorders>
              <w:top w:val="single" w:sz="4" w:space="0" w:color="auto"/>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气血亏虚证</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270</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320</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347</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r>
      <w:tr w:rsidR="002A62F7" w:rsidRPr="002A62F7" w:rsidTr="005557BD">
        <w:trPr>
          <w:trHeight w:val="285"/>
          <w:jc w:val="center"/>
        </w:trPr>
        <w:tc>
          <w:tcPr>
            <w:tcW w:w="709" w:type="dxa"/>
            <w:tcBorders>
              <w:top w:val="nil"/>
              <w:left w:val="single" w:sz="4" w:space="0" w:color="000000"/>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2</w:t>
            </w:r>
          </w:p>
        </w:tc>
        <w:tc>
          <w:tcPr>
            <w:tcW w:w="153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气虚血瘀证</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779</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940</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1132</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r>
      <w:tr w:rsidR="002A62F7" w:rsidRPr="002A62F7" w:rsidTr="005557BD">
        <w:trPr>
          <w:trHeight w:val="285"/>
          <w:jc w:val="center"/>
        </w:trPr>
        <w:tc>
          <w:tcPr>
            <w:tcW w:w="709" w:type="dxa"/>
            <w:tcBorders>
              <w:top w:val="nil"/>
              <w:left w:val="single" w:sz="4" w:space="0" w:color="000000"/>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3</w:t>
            </w:r>
          </w:p>
        </w:tc>
        <w:tc>
          <w:tcPr>
            <w:tcW w:w="153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脾虚痰湿证</w:t>
            </w:r>
          </w:p>
        </w:tc>
        <w:tc>
          <w:tcPr>
            <w:tcW w:w="1271"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5557BD">
            <w:pPr>
              <w:widowControl/>
              <w:ind w:right="330"/>
              <w:jc w:val="righ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121</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139</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141</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r>
      <w:tr w:rsidR="002A62F7" w:rsidRPr="002A62F7" w:rsidTr="005557BD">
        <w:trPr>
          <w:trHeight w:val="285"/>
          <w:jc w:val="center"/>
        </w:trPr>
        <w:tc>
          <w:tcPr>
            <w:tcW w:w="709" w:type="dxa"/>
            <w:tcBorders>
              <w:top w:val="nil"/>
              <w:left w:val="single" w:sz="4" w:space="0" w:color="000000"/>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4</w:t>
            </w:r>
          </w:p>
        </w:tc>
        <w:tc>
          <w:tcPr>
            <w:tcW w:w="1536"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脾肾阳虚证</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133</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153</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000000"/>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177</w:t>
            </w:r>
          </w:p>
        </w:tc>
        <w:tc>
          <w:tcPr>
            <w:tcW w:w="866" w:type="dxa"/>
            <w:tcBorders>
              <w:top w:val="nil"/>
              <w:left w:val="nil"/>
              <w:bottom w:val="single" w:sz="4" w:space="0" w:color="000000"/>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r>
      <w:tr w:rsidR="005557BD" w:rsidRPr="002A62F7" w:rsidTr="005557BD">
        <w:trPr>
          <w:trHeight w:val="285"/>
          <w:jc w:val="center"/>
        </w:trPr>
        <w:tc>
          <w:tcPr>
            <w:tcW w:w="709" w:type="dxa"/>
            <w:tcBorders>
              <w:top w:val="nil"/>
              <w:left w:val="single" w:sz="4" w:space="0" w:color="000000"/>
              <w:bottom w:val="single" w:sz="4" w:space="0" w:color="auto"/>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5</w:t>
            </w:r>
          </w:p>
        </w:tc>
        <w:tc>
          <w:tcPr>
            <w:tcW w:w="1536" w:type="dxa"/>
            <w:tcBorders>
              <w:top w:val="nil"/>
              <w:left w:val="nil"/>
              <w:bottom w:val="single" w:sz="4" w:space="0" w:color="auto"/>
              <w:right w:val="single" w:sz="4" w:space="0" w:color="000000"/>
            </w:tcBorders>
            <w:shd w:val="clear" w:color="auto" w:fill="auto"/>
            <w:noWrap/>
            <w:vAlign w:val="center"/>
            <w:hideMark/>
          </w:tcPr>
          <w:p w:rsidR="002A62F7" w:rsidRPr="002A62F7" w:rsidRDefault="002A62F7" w:rsidP="002A62F7">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肾精亏虚证</w:t>
            </w:r>
          </w:p>
        </w:tc>
        <w:tc>
          <w:tcPr>
            <w:tcW w:w="1271" w:type="dxa"/>
            <w:tcBorders>
              <w:top w:val="nil"/>
              <w:left w:val="nil"/>
              <w:bottom w:val="single" w:sz="4" w:space="0" w:color="auto"/>
              <w:right w:val="single" w:sz="4" w:space="0" w:color="000000"/>
            </w:tcBorders>
            <w:shd w:val="clear" w:color="auto" w:fill="auto"/>
            <w:noWrap/>
            <w:vAlign w:val="bottom"/>
            <w:hideMark/>
          </w:tcPr>
          <w:p w:rsidR="002A62F7" w:rsidRPr="002A62F7" w:rsidRDefault="002A62F7" w:rsidP="005557BD">
            <w:pPr>
              <w:widowControl/>
              <w:ind w:right="330"/>
              <w:jc w:val="righ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138</w:t>
            </w:r>
          </w:p>
        </w:tc>
        <w:tc>
          <w:tcPr>
            <w:tcW w:w="866" w:type="dxa"/>
            <w:tcBorders>
              <w:top w:val="nil"/>
              <w:left w:val="nil"/>
              <w:bottom w:val="single" w:sz="4" w:space="0" w:color="auto"/>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auto"/>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142</w:t>
            </w:r>
          </w:p>
        </w:tc>
        <w:tc>
          <w:tcPr>
            <w:tcW w:w="866" w:type="dxa"/>
            <w:tcBorders>
              <w:top w:val="nil"/>
              <w:left w:val="nil"/>
              <w:bottom w:val="single" w:sz="4" w:space="0" w:color="auto"/>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c>
          <w:tcPr>
            <w:tcW w:w="1271" w:type="dxa"/>
            <w:tcBorders>
              <w:top w:val="nil"/>
              <w:left w:val="nil"/>
              <w:bottom w:val="single" w:sz="4" w:space="0" w:color="auto"/>
              <w:right w:val="single" w:sz="4" w:space="0" w:color="000000"/>
            </w:tcBorders>
            <w:shd w:val="clear" w:color="auto" w:fill="auto"/>
            <w:noWrap/>
            <w:vAlign w:val="center"/>
            <w:hideMark/>
          </w:tcPr>
          <w:p w:rsidR="002A62F7" w:rsidRPr="002A62F7" w:rsidRDefault="002A62F7" w:rsidP="005557BD">
            <w:pPr>
              <w:widowControl/>
              <w:jc w:val="center"/>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183</w:t>
            </w:r>
          </w:p>
        </w:tc>
        <w:tc>
          <w:tcPr>
            <w:tcW w:w="866" w:type="dxa"/>
            <w:tcBorders>
              <w:top w:val="nil"/>
              <w:left w:val="nil"/>
              <w:bottom w:val="single" w:sz="4" w:space="0" w:color="auto"/>
              <w:right w:val="single" w:sz="4" w:space="0" w:color="000000"/>
            </w:tcBorders>
            <w:shd w:val="clear" w:color="auto" w:fill="auto"/>
            <w:noWrap/>
            <w:vAlign w:val="bottom"/>
            <w:hideMark/>
          </w:tcPr>
          <w:p w:rsidR="002A62F7" w:rsidRPr="002A62F7" w:rsidRDefault="002A62F7" w:rsidP="002A62F7">
            <w:pPr>
              <w:widowControl/>
              <w:jc w:val="left"/>
              <w:rPr>
                <w:rFonts w:ascii="等线" w:eastAsia="等线" w:hAnsi="等线" w:cs="宋体"/>
                <w:color w:val="000000"/>
                <w:kern w:val="0"/>
                <w:sz w:val="22"/>
                <w:szCs w:val="22"/>
              </w:rPr>
            </w:pPr>
            <w:r w:rsidRPr="002A62F7">
              <w:rPr>
                <w:rFonts w:ascii="等线" w:eastAsia="等线" w:hAnsi="等线" w:cs="宋体" w:hint="eastAsia"/>
                <w:color w:val="000000"/>
                <w:kern w:val="0"/>
                <w:sz w:val="22"/>
                <w:szCs w:val="22"/>
              </w:rPr>
              <w:t>良好</w:t>
            </w:r>
          </w:p>
        </w:tc>
      </w:tr>
      <w:tr w:rsidR="005557BD" w:rsidRPr="002A62F7" w:rsidTr="005557BD">
        <w:trPr>
          <w:trHeight w:val="285"/>
          <w:jc w:val="center"/>
        </w:trPr>
        <w:tc>
          <w:tcPr>
            <w:tcW w:w="224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5557BD" w:rsidRPr="002A62F7" w:rsidRDefault="005557BD" w:rsidP="002A62F7">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总数</w:t>
            </w:r>
          </w:p>
        </w:tc>
        <w:tc>
          <w:tcPr>
            <w:tcW w:w="1271" w:type="dxa"/>
            <w:tcBorders>
              <w:top w:val="single" w:sz="4" w:space="0" w:color="auto"/>
              <w:left w:val="nil"/>
              <w:bottom w:val="single" w:sz="4" w:space="0" w:color="auto"/>
              <w:right w:val="single" w:sz="4" w:space="0" w:color="000000"/>
            </w:tcBorders>
            <w:shd w:val="clear" w:color="auto" w:fill="auto"/>
            <w:noWrap/>
            <w:vAlign w:val="bottom"/>
          </w:tcPr>
          <w:p w:rsidR="005557BD" w:rsidRPr="002A62F7" w:rsidRDefault="005557BD" w:rsidP="005557BD">
            <w:pPr>
              <w:widowControl/>
              <w:ind w:right="330"/>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r>
              <w:rPr>
                <w:rFonts w:ascii="等线" w:eastAsia="等线" w:hAnsi="等线" w:cs="宋体"/>
                <w:color w:val="000000"/>
                <w:kern w:val="0"/>
                <w:sz w:val="22"/>
                <w:szCs w:val="22"/>
              </w:rPr>
              <w:t>441</w:t>
            </w:r>
          </w:p>
        </w:tc>
        <w:tc>
          <w:tcPr>
            <w:tcW w:w="866" w:type="dxa"/>
            <w:tcBorders>
              <w:top w:val="single" w:sz="4" w:space="0" w:color="auto"/>
              <w:left w:val="nil"/>
              <w:bottom w:val="single" w:sz="4" w:space="0" w:color="auto"/>
              <w:right w:val="single" w:sz="4" w:space="0" w:color="000000"/>
            </w:tcBorders>
            <w:shd w:val="clear" w:color="auto" w:fill="auto"/>
            <w:noWrap/>
            <w:vAlign w:val="bottom"/>
          </w:tcPr>
          <w:p w:rsidR="005557BD" w:rsidRPr="002A62F7" w:rsidRDefault="005557BD" w:rsidP="002A62F7">
            <w:pPr>
              <w:widowControl/>
              <w:jc w:val="left"/>
              <w:rPr>
                <w:rFonts w:ascii="等线" w:eastAsia="等线" w:hAnsi="等线" w:cs="宋体"/>
                <w:color w:val="000000"/>
                <w:kern w:val="0"/>
                <w:sz w:val="22"/>
                <w:szCs w:val="22"/>
              </w:rPr>
            </w:pPr>
          </w:p>
        </w:tc>
        <w:tc>
          <w:tcPr>
            <w:tcW w:w="1271" w:type="dxa"/>
            <w:tcBorders>
              <w:top w:val="single" w:sz="4" w:space="0" w:color="auto"/>
              <w:left w:val="nil"/>
              <w:bottom w:val="single" w:sz="4" w:space="0" w:color="auto"/>
              <w:right w:val="single" w:sz="4" w:space="0" w:color="000000"/>
            </w:tcBorders>
            <w:shd w:val="clear" w:color="auto" w:fill="auto"/>
            <w:noWrap/>
            <w:vAlign w:val="center"/>
          </w:tcPr>
          <w:p w:rsidR="005557BD" w:rsidRPr="002A62F7" w:rsidRDefault="005557BD" w:rsidP="005557BD">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r>
              <w:rPr>
                <w:rFonts w:ascii="等线" w:eastAsia="等线" w:hAnsi="等线" w:cs="宋体"/>
                <w:color w:val="000000"/>
                <w:kern w:val="0"/>
                <w:sz w:val="22"/>
                <w:szCs w:val="22"/>
              </w:rPr>
              <w:t>694</w:t>
            </w:r>
          </w:p>
        </w:tc>
        <w:tc>
          <w:tcPr>
            <w:tcW w:w="866" w:type="dxa"/>
            <w:tcBorders>
              <w:top w:val="single" w:sz="4" w:space="0" w:color="auto"/>
              <w:left w:val="nil"/>
              <w:bottom w:val="single" w:sz="4" w:space="0" w:color="auto"/>
              <w:right w:val="single" w:sz="4" w:space="0" w:color="000000"/>
            </w:tcBorders>
            <w:shd w:val="clear" w:color="auto" w:fill="auto"/>
            <w:noWrap/>
            <w:vAlign w:val="bottom"/>
          </w:tcPr>
          <w:p w:rsidR="005557BD" w:rsidRPr="002A62F7" w:rsidRDefault="005557BD" w:rsidP="002A62F7">
            <w:pPr>
              <w:widowControl/>
              <w:jc w:val="left"/>
              <w:rPr>
                <w:rFonts w:ascii="等线" w:eastAsia="等线" w:hAnsi="等线" w:cs="宋体"/>
                <w:color w:val="000000"/>
                <w:kern w:val="0"/>
                <w:sz w:val="22"/>
                <w:szCs w:val="22"/>
              </w:rPr>
            </w:pPr>
          </w:p>
        </w:tc>
        <w:tc>
          <w:tcPr>
            <w:tcW w:w="1271" w:type="dxa"/>
            <w:tcBorders>
              <w:top w:val="single" w:sz="4" w:space="0" w:color="auto"/>
              <w:left w:val="nil"/>
              <w:bottom w:val="single" w:sz="4" w:space="0" w:color="auto"/>
              <w:right w:val="single" w:sz="4" w:space="0" w:color="000000"/>
            </w:tcBorders>
            <w:shd w:val="clear" w:color="auto" w:fill="auto"/>
            <w:noWrap/>
            <w:vAlign w:val="center"/>
          </w:tcPr>
          <w:p w:rsidR="005557BD" w:rsidRPr="002A62F7" w:rsidRDefault="005557BD" w:rsidP="005557BD">
            <w:pPr>
              <w:widowControl/>
              <w:jc w:val="center"/>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r>
              <w:rPr>
                <w:rFonts w:ascii="等线" w:eastAsia="等线" w:hAnsi="等线" w:cs="宋体"/>
                <w:color w:val="000000"/>
                <w:kern w:val="0"/>
                <w:sz w:val="22"/>
                <w:szCs w:val="22"/>
              </w:rPr>
              <w:t>980</w:t>
            </w:r>
          </w:p>
        </w:tc>
        <w:tc>
          <w:tcPr>
            <w:tcW w:w="866" w:type="dxa"/>
            <w:tcBorders>
              <w:top w:val="single" w:sz="4" w:space="0" w:color="auto"/>
              <w:left w:val="nil"/>
              <w:bottom w:val="single" w:sz="4" w:space="0" w:color="auto"/>
              <w:right w:val="single" w:sz="4" w:space="0" w:color="auto"/>
            </w:tcBorders>
            <w:shd w:val="clear" w:color="auto" w:fill="auto"/>
            <w:noWrap/>
            <w:vAlign w:val="bottom"/>
          </w:tcPr>
          <w:p w:rsidR="005557BD" w:rsidRPr="002A62F7" w:rsidRDefault="005557BD" w:rsidP="002A62F7">
            <w:pPr>
              <w:widowControl/>
              <w:jc w:val="left"/>
              <w:rPr>
                <w:rFonts w:ascii="等线" w:eastAsia="等线" w:hAnsi="等线" w:cs="宋体"/>
                <w:color w:val="000000"/>
                <w:kern w:val="0"/>
                <w:sz w:val="22"/>
                <w:szCs w:val="22"/>
              </w:rPr>
            </w:pPr>
          </w:p>
        </w:tc>
      </w:tr>
    </w:tbl>
    <w:p w:rsidR="002A62F7" w:rsidRDefault="002A62F7" w:rsidP="002A62F7">
      <w:pPr>
        <w:spacing w:line="560" w:lineRule="exact"/>
        <w:rPr>
          <w:rFonts w:ascii="仿宋_GB2312" w:eastAsia="仿宋_GB2312" w:hAnsi="宋体"/>
          <w:sz w:val="32"/>
          <w:szCs w:val="32"/>
        </w:rPr>
      </w:pP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情况，为本标准条款要求的确定奠定了坚实基础。本标准具体依据来源说明如下：</w:t>
      </w:r>
    </w:p>
    <w:p w:rsidR="00695227" w:rsidRDefault="007F1C0C">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sidR="005914A9">
        <w:rPr>
          <w:rFonts w:ascii="楷体" w:eastAsia="楷体" w:hAnsi="楷体" w:hint="eastAsia"/>
          <w:b/>
          <w:sz w:val="32"/>
          <w:szCs w:val="32"/>
        </w:rPr>
        <w:t>老年衰弱术语和定义</w:t>
      </w:r>
    </w:p>
    <w:p w:rsidR="00695227" w:rsidRDefault="007F1C0C">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主要参考《</w:t>
      </w:r>
      <w:r w:rsidR="005914A9" w:rsidRPr="005914A9">
        <w:rPr>
          <w:rFonts w:ascii="仿宋_GB2312" w:eastAsia="仿宋_GB2312" w:hAnsi="宋体" w:hint="eastAsia"/>
          <w:sz w:val="32"/>
          <w:szCs w:val="32"/>
        </w:rPr>
        <w:t>老年人衰弱筛查与干预中西医结合专家共识</w:t>
      </w:r>
      <w:r>
        <w:rPr>
          <w:rFonts w:ascii="仿宋_GB2312" w:eastAsia="仿宋_GB2312" w:hAnsi="宋体" w:hint="eastAsia"/>
          <w:sz w:val="32"/>
          <w:szCs w:val="32"/>
        </w:rPr>
        <w:t>》</w:t>
      </w:r>
      <w:r w:rsidR="005914A9">
        <w:rPr>
          <w:rFonts w:ascii="仿宋_GB2312" w:eastAsia="仿宋_GB2312" w:hAnsi="宋体" w:hint="eastAsia"/>
          <w:sz w:val="32"/>
          <w:szCs w:val="32"/>
        </w:rPr>
        <w:t>《</w:t>
      </w:r>
      <w:r w:rsidR="005914A9" w:rsidRPr="005914A9">
        <w:rPr>
          <w:rFonts w:ascii="仿宋_GB2312" w:eastAsia="仿宋_GB2312" w:hAnsi="宋体" w:hint="eastAsia"/>
          <w:sz w:val="32"/>
          <w:szCs w:val="32"/>
        </w:rPr>
        <w:t>中医内科临床诊疗指南·老年衰弱（制定）</w:t>
      </w:r>
      <w:r w:rsidR="005914A9">
        <w:rPr>
          <w:rFonts w:ascii="仿宋_GB2312" w:eastAsia="仿宋_GB2312" w:hAnsi="宋体" w:hint="eastAsia"/>
          <w:sz w:val="32"/>
          <w:szCs w:val="32"/>
        </w:rPr>
        <w:t>》的要求来界定老年衰弱的定义</w:t>
      </w:r>
      <w:r>
        <w:rPr>
          <w:rFonts w:ascii="仿宋_GB2312" w:eastAsia="仿宋_GB2312" w:hAnsi="宋体" w:hint="eastAsia"/>
          <w:sz w:val="32"/>
          <w:szCs w:val="32"/>
        </w:rPr>
        <w:t>。</w:t>
      </w:r>
    </w:p>
    <w:p w:rsidR="00695227" w:rsidRDefault="005914A9">
      <w:pPr>
        <w:rPr>
          <w:rFonts w:ascii="仿宋_GB2312" w:eastAsia="仿宋_GB2312" w:hAnsi="宋体"/>
          <w:b/>
          <w:bCs/>
          <w:sz w:val="32"/>
          <w:szCs w:val="32"/>
        </w:rPr>
      </w:pPr>
      <w:r>
        <w:rPr>
          <w:noProof/>
        </w:rPr>
        <w:drawing>
          <wp:inline distT="0" distB="0" distL="0" distR="0" wp14:anchorId="3D660503" wp14:editId="67D01586">
            <wp:extent cx="5274310" cy="32797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3279775"/>
                    </a:xfrm>
                    <a:prstGeom prst="rect">
                      <a:avLst/>
                    </a:prstGeom>
                  </pic:spPr>
                </pic:pic>
              </a:graphicData>
            </a:graphic>
          </wp:inline>
        </w:drawing>
      </w:r>
    </w:p>
    <w:p w:rsidR="00695227" w:rsidRDefault="007F1C0C">
      <w:pPr>
        <w:jc w:val="center"/>
        <w:rPr>
          <w:szCs w:val="21"/>
        </w:rPr>
      </w:pPr>
      <w:r>
        <w:rPr>
          <w:rFonts w:hint="eastAsia"/>
          <w:szCs w:val="21"/>
        </w:rPr>
        <w:t>来源：</w:t>
      </w:r>
      <w:r w:rsidR="005914A9" w:rsidRPr="005914A9">
        <w:rPr>
          <w:rFonts w:hint="eastAsia"/>
          <w:szCs w:val="21"/>
        </w:rPr>
        <w:t>老年人衰弱筛查与干预中西医结合专家共识</w:t>
      </w:r>
    </w:p>
    <w:p w:rsidR="005914A9" w:rsidRDefault="005914A9">
      <w:pPr>
        <w:jc w:val="center"/>
        <w:rPr>
          <w:rFonts w:ascii="仿宋_GB2312" w:eastAsia="仿宋_GB2312" w:hAnsi="宋体"/>
          <w:b/>
          <w:bCs/>
          <w:sz w:val="32"/>
          <w:szCs w:val="32"/>
        </w:rPr>
      </w:pPr>
      <w:r>
        <w:rPr>
          <w:noProof/>
        </w:rPr>
        <w:drawing>
          <wp:inline distT="0" distB="0" distL="0" distR="0" wp14:anchorId="764816D5" wp14:editId="1AACE988">
            <wp:extent cx="5274310" cy="269938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99385"/>
                    </a:xfrm>
                    <a:prstGeom prst="rect">
                      <a:avLst/>
                    </a:prstGeom>
                  </pic:spPr>
                </pic:pic>
              </a:graphicData>
            </a:graphic>
          </wp:inline>
        </w:drawing>
      </w:r>
    </w:p>
    <w:p w:rsidR="005914A9" w:rsidRPr="005914A9" w:rsidRDefault="005914A9">
      <w:pPr>
        <w:jc w:val="center"/>
        <w:rPr>
          <w:szCs w:val="21"/>
        </w:rPr>
      </w:pPr>
      <w:r w:rsidRPr="005914A9">
        <w:rPr>
          <w:rFonts w:hint="eastAsia"/>
          <w:szCs w:val="21"/>
        </w:rPr>
        <w:t>来源：中医内科临床诊疗指南·老年衰弱（制定）</w:t>
      </w:r>
    </w:p>
    <w:p w:rsidR="005914A9" w:rsidRDefault="005914A9" w:rsidP="005914A9">
      <w:pPr>
        <w:spacing w:line="560" w:lineRule="exact"/>
        <w:ind w:firstLineChars="200" w:firstLine="643"/>
        <w:rPr>
          <w:rFonts w:ascii="楷体" w:eastAsia="楷体" w:hAnsi="楷体"/>
          <w:b/>
          <w:sz w:val="32"/>
          <w:szCs w:val="32"/>
        </w:rPr>
      </w:pPr>
      <w:r>
        <w:rPr>
          <w:rFonts w:ascii="楷体" w:eastAsia="楷体" w:hAnsi="楷体" w:hint="eastAsia"/>
          <w:b/>
          <w:sz w:val="32"/>
          <w:szCs w:val="32"/>
        </w:rPr>
        <w:t>（二</w:t>
      </w:r>
      <w:r>
        <w:rPr>
          <w:rFonts w:ascii="楷体" w:eastAsia="楷体" w:hAnsi="楷体"/>
          <w:b/>
          <w:sz w:val="32"/>
          <w:szCs w:val="32"/>
        </w:rPr>
        <w:t>）</w:t>
      </w:r>
      <w:r>
        <w:rPr>
          <w:rFonts w:ascii="楷体" w:eastAsia="楷体" w:hAnsi="楷体" w:hint="eastAsia"/>
          <w:b/>
          <w:sz w:val="32"/>
          <w:szCs w:val="32"/>
        </w:rPr>
        <w:t>诊断</w:t>
      </w:r>
    </w:p>
    <w:p w:rsidR="005914A9" w:rsidRPr="005914A9" w:rsidRDefault="005914A9" w:rsidP="005914A9">
      <w:pPr>
        <w:spacing w:line="560" w:lineRule="exact"/>
        <w:ind w:firstLineChars="200" w:firstLine="643"/>
        <w:rPr>
          <w:rFonts w:ascii="仿宋_GB2312" w:eastAsia="仿宋_GB2312" w:hAnsi="宋体"/>
          <w:b/>
          <w:bCs/>
          <w:sz w:val="32"/>
          <w:szCs w:val="32"/>
        </w:rPr>
      </w:pPr>
      <w:r w:rsidRPr="005914A9">
        <w:rPr>
          <w:rFonts w:ascii="仿宋_GB2312" w:eastAsia="仿宋_GB2312" w:hAnsi="宋体" w:hint="eastAsia"/>
          <w:b/>
          <w:bCs/>
          <w:sz w:val="32"/>
          <w:szCs w:val="32"/>
        </w:rPr>
        <w:t>1</w:t>
      </w:r>
      <w:r w:rsidRPr="005914A9">
        <w:rPr>
          <w:rFonts w:ascii="仿宋_GB2312" w:eastAsia="仿宋_GB2312" w:hAnsi="宋体"/>
          <w:b/>
          <w:bCs/>
          <w:sz w:val="32"/>
          <w:szCs w:val="32"/>
        </w:rPr>
        <w:t>.</w:t>
      </w:r>
      <w:r w:rsidRPr="005914A9">
        <w:rPr>
          <w:rFonts w:ascii="仿宋_GB2312" w:eastAsia="仿宋_GB2312" w:hAnsi="宋体" w:hint="eastAsia"/>
          <w:b/>
          <w:bCs/>
          <w:sz w:val="32"/>
          <w:szCs w:val="32"/>
        </w:rPr>
        <w:t>症状</w:t>
      </w:r>
    </w:p>
    <w:p w:rsidR="005914A9" w:rsidRDefault="005914A9">
      <w:pPr>
        <w:ind w:firstLineChars="200" w:firstLine="640"/>
        <w:rPr>
          <w:rFonts w:ascii="仿宋_GB2312" w:eastAsia="仿宋_GB2312" w:hAnsi="宋体"/>
          <w:b/>
          <w:bCs/>
          <w:sz w:val="32"/>
          <w:szCs w:val="32"/>
        </w:rPr>
      </w:pPr>
      <w:r>
        <w:rPr>
          <w:rFonts w:ascii="仿宋_GB2312" w:eastAsia="仿宋_GB2312" w:hAnsi="宋体" w:hint="eastAsia"/>
          <w:sz w:val="32"/>
          <w:szCs w:val="32"/>
        </w:rPr>
        <w:t>主要参考《</w:t>
      </w:r>
      <w:r w:rsidRPr="005914A9">
        <w:rPr>
          <w:rFonts w:ascii="仿宋_GB2312" w:eastAsia="仿宋_GB2312" w:hAnsi="宋体" w:hint="eastAsia"/>
          <w:sz w:val="32"/>
          <w:szCs w:val="32"/>
        </w:rPr>
        <w:t>中医内科临床诊疗指南·老年衰弱（制定）</w:t>
      </w:r>
      <w:r>
        <w:rPr>
          <w:rFonts w:ascii="仿宋_GB2312" w:eastAsia="仿宋_GB2312" w:hAnsi="宋体" w:hint="eastAsia"/>
          <w:sz w:val="32"/>
          <w:szCs w:val="32"/>
        </w:rPr>
        <w:t>》</w:t>
      </w:r>
      <w:r>
        <w:rPr>
          <w:rFonts w:ascii="仿宋_GB2312" w:eastAsia="仿宋_GB2312" w:hAnsi="宋体" w:hint="eastAsia"/>
          <w:sz w:val="32"/>
          <w:szCs w:val="32"/>
        </w:rPr>
        <w:lastRenderedPageBreak/>
        <w:t>的要求来界定。</w:t>
      </w:r>
    </w:p>
    <w:p w:rsidR="005914A9" w:rsidRDefault="005914A9" w:rsidP="005914A9">
      <w:pPr>
        <w:jc w:val="center"/>
        <w:rPr>
          <w:rFonts w:ascii="仿宋_GB2312" w:eastAsia="仿宋_GB2312" w:hAnsi="宋体"/>
          <w:b/>
          <w:bCs/>
          <w:sz w:val="32"/>
          <w:szCs w:val="32"/>
        </w:rPr>
      </w:pPr>
      <w:r>
        <w:rPr>
          <w:noProof/>
        </w:rPr>
        <w:drawing>
          <wp:inline distT="0" distB="0" distL="0" distR="0" wp14:anchorId="2CAE2627" wp14:editId="2FFA68EE">
            <wp:extent cx="5274310" cy="2699385"/>
            <wp:effectExtent l="0" t="0" r="254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699385"/>
                    </a:xfrm>
                    <a:prstGeom prst="rect">
                      <a:avLst/>
                    </a:prstGeom>
                  </pic:spPr>
                </pic:pic>
              </a:graphicData>
            </a:graphic>
          </wp:inline>
        </w:drawing>
      </w:r>
    </w:p>
    <w:p w:rsidR="005914A9" w:rsidRPr="005914A9" w:rsidRDefault="005914A9" w:rsidP="005914A9">
      <w:pPr>
        <w:jc w:val="center"/>
        <w:rPr>
          <w:szCs w:val="21"/>
        </w:rPr>
      </w:pPr>
      <w:r w:rsidRPr="005914A9">
        <w:rPr>
          <w:rFonts w:hint="eastAsia"/>
          <w:szCs w:val="21"/>
        </w:rPr>
        <w:t>来源：中医内科临床诊疗指南·老年衰弱（制定）</w:t>
      </w:r>
    </w:p>
    <w:p w:rsidR="00695227" w:rsidRDefault="007F1C0C">
      <w:pPr>
        <w:ind w:firstLineChars="200" w:firstLine="643"/>
        <w:rPr>
          <w:rFonts w:ascii="仿宋_GB2312" w:eastAsia="仿宋_GB2312" w:hAnsi="宋体"/>
          <w:b/>
          <w:bCs/>
          <w:sz w:val="32"/>
          <w:szCs w:val="32"/>
        </w:rPr>
      </w:pPr>
      <w:r>
        <w:rPr>
          <w:rFonts w:ascii="仿宋_GB2312" w:eastAsia="仿宋_GB2312" w:hAnsi="宋体"/>
          <w:b/>
          <w:bCs/>
          <w:sz w:val="32"/>
          <w:szCs w:val="32"/>
        </w:rPr>
        <w:t>2.</w:t>
      </w:r>
      <w:r w:rsidR="005914A9" w:rsidRPr="005914A9">
        <w:rPr>
          <w:rFonts w:ascii="仿宋_GB2312" w:eastAsia="仿宋_GB2312" w:hAnsi="宋体" w:hint="eastAsia"/>
          <w:b/>
          <w:bCs/>
          <w:sz w:val="32"/>
          <w:szCs w:val="32"/>
        </w:rPr>
        <w:t>衰弱筛查及评估</w:t>
      </w:r>
    </w:p>
    <w:p w:rsidR="00695227" w:rsidRDefault="007F1C0C">
      <w:pPr>
        <w:ind w:firstLineChars="200" w:firstLine="640"/>
        <w:rPr>
          <w:rFonts w:ascii="仿宋_GB2312" w:eastAsia="仿宋_GB2312" w:hAnsi="宋体"/>
          <w:sz w:val="32"/>
          <w:szCs w:val="32"/>
        </w:rPr>
      </w:pPr>
      <w:r>
        <w:rPr>
          <w:rFonts w:ascii="仿宋_GB2312" w:eastAsia="仿宋_GB2312" w:hAnsi="宋体" w:hint="eastAsia"/>
          <w:sz w:val="32"/>
          <w:szCs w:val="32"/>
        </w:rPr>
        <w:t>结合参考《</w:t>
      </w:r>
      <w:r w:rsidR="005914A9" w:rsidRPr="005914A9">
        <w:rPr>
          <w:rFonts w:ascii="仿宋_GB2312" w:eastAsia="仿宋_GB2312" w:hAnsi="宋体" w:hint="eastAsia"/>
          <w:sz w:val="32"/>
          <w:szCs w:val="32"/>
        </w:rPr>
        <w:t>老年人衰弱筛查与干预中西医结合专家共识</w:t>
      </w:r>
      <w:r>
        <w:rPr>
          <w:rFonts w:ascii="仿宋_GB2312" w:eastAsia="仿宋_GB2312" w:hAnsi="宋体" w:hint="eastAsia"/>
          <w:sz w:val="32"/>
          <w:szCs w:val="32"/>
        </w:rPr>
        <w:t>》</w:t>
      </w:r>
      <w:r w:rsidR="005914A9">
        <w:rPr>
          <w:rFonts w:ascii="仿宋_GB2312" w:eastAsia="仿宋_GB2312" w:hAnsi="宋体" w:hint="eastAsia"/>
          <w:sz w:val="32"/>
          <w:szCs w:val="32"/>
        </w:rPr>
        <w:t>的要求来确定</w:t>
      </w:r>
      <w:r>
        <w:rPr>
          <w:rFonts w:ascii="仿宋_GB2312" w:eastAsia="仿宋_GB2312" w:hAnsi="宋体" w:hint="eastAsia"/>
          <w:sz w:val="32"/>
          <w:szCs w:val="32"/>
        </w:rPr>
        <w:t>。</w:t>
      </w:r>
      <w:r w:rsidR="005914A9">
        <w:rPr>
          <w:rFonts w:ascii="仿宋_GB2312" w:eastAsia="仿宋_GB2312" w:hAnsi="宋体" w:hint="eastAsia"/>
          <w:sz w:val="32"/>
          <w:szCs w:val="32"/>
        </w:rPr>
        <w:t>《</w:t>
      </w:r>
      <w:r w:rsidR="005914A9" w:rsidRPr="005914A9">
        <w:rPr>
          <w:rFonts w:ascii="仿宋_GB2312" w:eastAsia="仿宋_GB2312" w:hAnsi="宋体" w:hint="eastAsia"/>
          <w:sz w:val="32"/>
          <w:szCs w:val="32"/>
        </w:rPr>
        <w:t>WS/T 888  医疗机构老年综合评估技术操作标准</w:t>
      </w:r>
      <w:r w:rsidR="005914A9">
        <w:rPr>
          <w:rFonts w:ascii="仿宋_GB2312" w:eastAsia="仿宋_GB2312" w:hAnsi="宋体" w:hint="eastAsia"/>
          <w:sz w:val="32"/>
          <w:szCs w:val="32"/>
        </w:rPr>
        <w:t>》已明确了</w:t>
      </w:r>
      <w:r w:rsidR="005914A9" w:rsidRPr="005914A9">
        <w:rPr>
          <w:rFonts w:ascii="仿宋_GB2312" w:eastAsia="仿宋_GB2312" w:hAnsi="宋体" w:hint="eastAsia"/>
          <w:sz w:val="32"/>
          <w:szCs w:val="32"/>
        </w:rPr>
        <w:t>老年综合评估</w:t>
      </w:r>
      <w:r w:rsidR="005914A9">
        <w:rPr>
          <w:rFonts w:ascii="仿宋_GB2312" w:eastAsia="仿宋_GB2312" w:hAnsi="宋体" w:hint="eastAsia"/>
          <w:sz w:val="32"/>
          <w:szCs w:val="32"/>
        </w:rPr>
        <w:t>的技术操作，因此按该规定执行即可。</w:t>
      </w:r>
    </w:p>
    <w:p w:rsidR="00695227" w:rsidRDefault="005914A9">
      <w:pPr>
        <w:rPr>
          <w:rFonts w:ascii="楷体" w:eastAsia="楷体" w:hAnsi="楷体"/>
          <w:b/>
          <w:sz w:val="32"/>
          <w:szCs w:val="32"/>
        </w:rPr>
      </w:pPr>
      <w:r>
        <w:rPr>
          <w:noProof/>
        </w:rPr>
        <w:lastRenderedPageBreak/>
        <w:drawing>
          <wp:inline distT="0" distB="0" distL="0" distR="0" wp14:anchorId="55AFCF98" wp14:editId="3DAE47BA">
            <wp:extent cx="5274310" cy="6624955"/>
            <wp:effectExtent l="0" t="0" r="254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6624955"/>
                    </a:xfrm>
                    <a:prstGeom prst="rect">
                      <a:avLst/>
                    </a:prstGeom>
                  </pic:spPr>
                </pic:pic>
              </a:graphicData>
            </a:graphic>
          </wp:inline>
        </w:drawing>
      </w:r>
    </w:p>
    <w:p w:rsidR="00695227" w:rsidRDefault="005914A9" w:rsidP="005914A9">
      <w:pPr>
        <w:jc w:val="center"/>
        <w:rPr>
          <w:rFonts w:ascii="楷体" w:eastAsia="楷体" w:hAnsi="楷体"/>
          <w:b/>
          <w:sz w:val="32"/>
          <w:szCs w:val="32"/>
        </w:rPr>
      </w:pPr>
      <w:r>
        <w:rPr>
          <w:rFonts w:hint="eastAsia"/>
          <w:szCs w:val="21"/>
        </w:rPr>
        <w:t>来源：</w:t>
      </w:r>
      <w:r w:rsidRPr="005914A9">
        <w:rPr>
          <w:rFonts w:hint="eastAsia"/>
          <w:szCs w:val="21"/>
        </w:rPr>
        <w:t>老年人衰弱筛查与干预中西医结合专家共识</w:t>
      </w:r>
    </w:p>
    <w:p w:rsidR="005914A9" w:rsidRDefault="005914A9" w:rsidP="005914A9">
      <w:pPr>
        <w:ind w:firstLineChars="200" w:firstLine="643"/>
        <w:rPr>
          <w:rFonts w:ascii="仿宋_GB2312" w:eastAsia="仿宋_GB2312" w:hAnsi="宋体"/>
          <w:b/>
          <w:bCs/>
          <w:sz w:val="32"/>
          <w:szCs w:val="32"/>
        </w:rPr>
      </w:pPr>
      <w:r>
        <w:rPr>
          <w:rFonts w:ascii="仿宋_GB2312" w:eastAsia="仿宋_GB2312" w:hAnsi="宋体"/>
          <w:b/>
          <w:bCs/>
          <w:sz w:val="32"/>
          <w:szCs w:val="32"/>
        </w:rPr>
        <w:t>3.</w:t>
      </w:r>
      <w:r>
        <w:rPr>
          <w:rFonts w:ascii="仿宋_GB2312" w:eastAsia="仿宋_GB2312" w:hAnsi="宋体" w:hint="eastAsia"/>
          <w:b/>
          <w:bCs/>
          <w:sz w:val="32"/>
          <w:szCs w:val="32"/>
        </w:rPr>
        <w:t>辩证分型</w:t>
      </w:r>
    </w:p>
    <w:p w:rsidR="005914A9" w:rsidRPr="005914A9" w:rsidRDefault="005914A9" w:rsidP="005914A9">
      <w:pPr>
        <w:ind w:firstLineChars="200" w:firstLine="640"/>
        <w:rPr>
          <w:rFonts w:ascii="仿宋_GB2312" w:eastAsia="仿宋_GB2312" w:hAnsi="宋体"/>
          <w:sz w:val="32"/>
          <w:szCs w:val="32"/>
        </w:rPr>
      </w:pPr>
      <w:r>
        <w:rPr>
          <w:rFonts w:ascii="仿宋_GB2312" w:eastAsia="仿宋_GB2312" w:hAnsi="宋体" w:hint="eastAsia"/>
          <w:sz w:val="32"/>
          <w:szCs w:val="32"/>
        </w:rPr>
        <w:t>结合参考《</w:t>
      </w:r>
      <w:r w:rsidRPr="005914A9">
        <w:rPr>
          <w:rFonts w:ascii="仿宋_GB2312" w:eastAsia="仿宋_GB2312" w:hAnsi="宋体" w:hint="eastAsia"/>
          <w:sz w:val="32"/>
          <w:szCs w:val="32"/>
        </w:rPr>
        <w:t>老年人衰弱筛查与干预中西医结合专家共识</w:t>
      </w:r>
      <w:r>
        <w:rPr>
          <w:rFonts w:ascii="仿宋_GB2312" w:eastAsia="仿宋_GB2312" w:hAnsi="宋体" w:hint="eastAsia"/>
          <w:sz w:val="32"/>
          <w:szCs w:val="32"/>
        </w:rPr>
        <w:t>》</w:t>
      </w:r>
      <w:r w:rsidRPr="005914A9">
        <w:rPr>
          <w:rFonts w:ascii="仿宋_GB2312" w:eastAsia="仿宋_GB2312" w:hAnsi="宋体" w:hint="eastAsia"/>
          <w:sz w:val="32"/>
          <w:szCs w:val="32"/>
        </w:rPr>
        <w:t>《中医内科学》</w:t>
      </w:r>
      <w:r>
        <w:rPr>
          <w:rFonts w:ascii="仿宋_GB2312" w:eastAsia="仿宋_GB2312" w:hAnsi="宋体" w:hint="eastAsia"/>
          <w:sz w:val="32"/>
          <w:szCs w:val="32"/>
        </w:rPr>
        <w:t>的要求并结起草单位的经验来确定。</w:t>
      </w:r>
      <w:r w:rsidRPr="005914A9">
        <w:rPr>
          <w:rFonts w:ascii="仿宋_GB2312" w:eastAsia="仿宋_GB2312" w:hAnsi="宋体" w:hint="eastAsia"/>
          <w:sz w:val="32"/>
          <w:szCs w:val="32"/>
        </w:rPr>
        <w:t>中医将其归属于“虚劳”范畴。东汉医圣张仲景在《金匮要略》中首创“虚劳”病名，是以五脏和气血阴阳之虚证为主要临床</w:t>
      </w:r>
      <w:r w:rsidRPr="005914A9">
        <w:rPr>
          <w:rFonts w:ascii="仿宋_GB2312" w:eastAsia="仿宋_GB2312" w:hAnsi="宋体" w:hint="eastAsia"/>
          <w:sz w:val="32"/>
          <w:szCs w:val="32"/>
        </w:rPr>
        <w:lastRenderedPageBreak/>
        <w:t>表现的多种慢性衰弱证候总称。</w:t>
      </w:r>
    </w:p>
    <w:p w:rsidR="005914A9" w:rsidRDefault="005914A9" w:rsidP="005914A9">
      <w:pPr>
        <w:rPr>
          <w:rFonts w:ascii="楷体" w:eastAsia="楷体" w:hAnsi="楷体"/>
          <w:b/>
          <w:sz w:val="24"/>
        </w:rPr>
      </w:pPr>
    </w:p>
    <w:p w:rsidR="005914A9" w:rsidRDefault="005914A9" w:rsidP="005914A9">
      <w:pPr>
        <w:jc w:val="center"/>
        <w:rPr>
          <w:rFonts w:ascii="楷体" w:eastAsia="楷体" w:hAnsi="楷体"/>
          <w:b/>
          <w:sz w:val="24"/>
        </w:rPr>
      </w:pPr>
      <w:r>
        <w:rPr>
          <w:noProof/>
        </w:rPr>
        <w:drawing>
          <wp:inline distT="0" distB="0" distL="0" distR="0" wp14:anchorId="2FC79752" wp14:editId="0512EC74">
            <wp:extent cx="4521617" cy="417806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26726" cy="4182783"/>
                    </a:xfrm>
                    <a:prstGeom prst="rect">
                      <a:avLst/>
                    </a:prstGeom>
                  </pic:spPr>
                </pic:pic>
              </a:graphicData>
            </a:graphic>
          </wp:inline>
        </w:drawing>
      </w:r>
    </w:p>
    <w:p w:rsidR="005914A9" w:rsidRDefault="005914A9" w:rsidP="005914A9">
      <w:pPr>
        <w:jc w:val="center"/>
        <w:rPr>
          <w:szCs w:val="21"/>
        </w:rPr>
      </w:pPr>
      <w:r>
        <w:rPr>
          <w:rFonts w:hint="eastAsia"/>
          <w:szCs w:val="21"/>
        </w:rPr>
        <w:t>来源：中医内科临床诊疗指南·老年衰弱（制定）</w:t>
      </w:r>
    </w:p>
    <w:p w:rsidR="00695227" w:rsidRDefault="007F1C0C">
      <w:pPr>
        <w:ind w:firstLineChars="200" w:firstLine="643"/>
        <w:rPr>
          <w:rFonts w:ascii="楷体" w:eastAsia="楷体" w:hAnsi="楷体"/>
          <w:b/>
          <w:sz w:val="32"/>
          <w:szCs w:val="32"/>
        </w:rPr>
      </w:pPr>
      <w:r>
        <w:rPr>
          <w:rFonts w:ascii="楷体" w:eastAsia="楷体" w:hAnsi="楷体" w:hint="eastAsia"/>
          <w:b/>
          <w:sz w:val="32"/>
          <w:szCs w:val="32"/>
        </w:rPr>
        <w:t>（二</w:t>
      </w:r>
      <w:r>
        <w:rPr>
          <w:rFonts w:ascii="楷体" w:eastAsia="楷体" w:hAnsi="楷体"/>
          <w:b/>
          <w:sz w:val="32"/>
          <w:szCs w:val="32"/>
        </w:rPr>
        <w:t>）</w:t>
      </w:r>
      <w:r>
        <w:rPr>
          <w:rFonts w:ascii="楷体" w:eastAsia="楷体" w:hAnsi="楷体" w:hint="eastAsia"/>
          <w:b/>
          <w:sz w:val="32"/>
          <w:szCs w:val="32"/>
        </w:rPr>
        <w:t>治疗</w:t>
      </w:r>
    </w:p>
    <w:p w:rsidR="00695227" w:rsidRDefault="007F1C0C">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sidR="005914A9">
        <w:rPr>
          <w:rFonts w:ascii="仿宋_GB2312" w:eastAsia="仿宋_GB2312" w:hAnsi="宋体" w:hint="eastAsia"/>
          <w:b/>
          <w:bCs/>
          <w:sz w:val="32"/>
          <w:szCs w:val="32"/>
        </w:rPr>
        <w:t>辩证</w:t>
      </w:r>
      <w:r w:rsidR="005914A9" w:rsidRPr="005914A9">
        <w:rPr>
          <w:rFonts w:ascii="仿宋_GB2312" w:eastAsia="仿宋_GB2312" w:hAnsi="宋体" w:hint="eastAsia"/>
          <w:b/>
          <w:bCs/>
          <w:sz w:val="32"/>
          <w:szCs w:val="32"/>
        </w:rPr>
        <w:t>施膳</w:t>
      </w:r>
    </w:p>
    <w:p w:rsidR="005F5BD1" w:rsidRDefault="005F5BD1" w:rsidP="005F5BD1">
      <w:pPr>
        <w:ind w:firstLineChars="200" w:firstLine="640"/>
        <w:rPr>
          <w:rFonts w:ascii="仿宋_GB2312" w:eastAsia="仿宋_GB2312" w:hAnsi="宋体"/>
          <w:b/>
          <w:bCs/>
          <w:sz w:val="32"/>
          <w:szCs w:val="32"/>
        </w:rPr>
      </w:pPr>
      <w:r>
        <w:rPr>
          <w:rFonts w:ascii="仿宋_GB2312" w:eastAsia="仿宋_GB2312" w:hAnsi="宋体" w:hint="eastAsia"/>
          <w:sz w:val="32"/>
          <w:szCs w:val="32"/>
        </w:rPr>
        <w:t>结合参考《</w:t>
      </w:r>
      <w:r w:rsidRPr="005914A9">
        <w:rPr>
          <w:rFonts w:ascii="仿宋_GB2312" w:eastAsia="仿宋_GB2312" w:hAnsi="宋体" w:hint="eastAsia"/>
          <w:sz w:val="32"/>
          <w:szCs w:val="32"/>
        </w:rPr>
        <w:t>老年人衰弱筛查与干预中西医结合专家共识</w:t>
      </w:r>
      <w:r>
        <w:rPr>
          <w:rFonts w:ascii="仿宋_GB2312" w:eastAsia="仿宋_GB2312" w:hAnsi="宋体" w:hint="eastAsia"/>
          <w:sz w:val="32"/>
          <w:szCs w:val="32"/>
        </w:rPr>
        <w:t>》的要求来界定。</w:t>
      </w:r>
    </w:p>
    <w:p w:rsidR="005F5BD1" w:rsidRDefault="005F5BD1" w:rsidP="005F5BD1">
      <w:pPr>
        <w:rPr>
          <w:rFonts w:ascii="仿宋_GB2312" w:eastAsia="仿宋_GB2312" w:hAnsi="宋体"/>
          <w:b/>
          <w:bCs/>
          <w:sz w:val="32"/>
          <w:szCs w:val="32"/>
        </w:rPr>
      </w:pPr>
      <w:r>
        <w:rPr>
          <w:noProof/>
        </w:rPr>
        <w:lastRenderedPageBreak/>
        <w:drawing>
          <wp:inline distT="0" distB="0" distL="0" distR="0" wp14:anchorId="190F69E0" wp14:editId="50C94CF8">
            <wp:extent cx="5274310" cy="4926330"/>
            <wp:effectExtent l="0" t="0" r="254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4926330"/>
                    </a:xfrm>
                    <a:prstGeom prst="rect">
                      <a:avLst/>
                    </a:prstGeom>
                  </pic:spPr>
                </pic:pic>
              </a:graphicData>
            </a:graphic>
          </wp:inline>
        </w:drawing>
      </w:r>
    </w:p>
    <w:p w:rsidR="00832A28" w:rsidRPr="00832A28" w:rsidRDefault="00832A28" w:rsidP="00832A28">
      <w:pPr>
        <w:jc w:val="center"/>
        <w:rPr>
          <w:szCs w:val="21"/>
        </w:rPr>
      </w:pPr>
      <w:r w:rsidRPr="00832A28">
        <w:rPr>
          <w:rFonts w:hint="eastAsia"/>
          <w:szCs w:val="21"/>
        </w:rPr>
        <w:t>来源：老年人衰弱筛查与干预中西医结合专家共识</w:t>
      </w:r>
    </w:p>
    <w:p w:rsidR="005F5BD1" w:rsidRPr="00406FB9" w:rsidRDefault="005F5BD1" w:rsidP="005F5BD1">
      <w:pPr>
        <w:ind w:firstLineChars="200" w:firstLine="643"/>
        <w:rPr>
          <w:rFonts w:ascii="仿宋_GB2312" w:eastAsia="仿宋_GB2312" w:hAnsi="宋体"/>
          <w:b/>
          <w:bCs/>
          <w:sz w:val="32"/>
          <w:szCs w:val="32"/>
        </w:rPr>
      </w:pPr>
      <w:r w:rsidRPr="00406FB9">
        <w:rPr>
          <w:rFonts w:ascii="仿宋_GB2312" w:eastAsia="仿宋_GB2312" w:hAnsi="宋体"/>
          <w:b/>
          <w:bCs/>
          <w:sz w:val="32"/>
          <w:szCs w:val="32"/>
        </w:rPr>
        <w:t>2.</w:t>
      </w:r>
      <w:r w:rsidRPr="00406FB9">
        <w:rPr>
          <w:rFonts w:ascii="仿宋_GB2312" w:eastAsia="仿宋_GB2312" w:hAnsi="宋体" w:hint="eastAsia"/>
          <w:b/>
          <w:bCs/>
          <w:sz w:val="32"/>
          <w:szCs w:val="32"/>
        </w:rPr>
        <w:t>运动疗法</w:t>
      </w:r>
    </w:p>
    <w:p w:rsidR="005F5BD1" w:rsidRDefault="00832A28" w:rsidP="005F5BD1">
      <w:pPr>
        <w:ind w:firstLineChars="200" w:firstLine="640"/>
        <w:rPr>
          <w:rFonts w:ascii="仿宋_GB2312" w:eastAsia="仿宋_GB2312" w:hAnsi="宋体"/>
          <w:b/>
          <w:bCs/>
          <w:sz w:val="32"/>
          <w:szCs w:val="32"/>
        </w:rPr>
      </w:pPr>
      <w:r>
        <w:rPr>
          <w:rFonts w:ascii="仿宋_GB2312" w:eastAsia="仿宋_GB2312" w:hAnsi="宋体" w:hint="eastAsia"/>
          <w:sz w:val="32"/>
          <w:szCs w:val="32"/>
        </w:rPr>
        <w:t>五禽戏、坐式八段锦</w:t>
      </w:r>
      <w:r w:rsidR="005F5BD1">
        <w:rPr>
          <w:rFonts w:ascii="仿宋_GB2312" w:eastAsia="仿宋_GB2312" w:hAnsi="宋体" w:hint="eastAsia"/>
          <w:sz w:val="32"/>
          <w:szCs w:val="32"/>
        </w:rPr>
        <w:t>参考《</w:t>
      </w:r>
      <w:r w:rsidRPr="00832A28">
        <w:rPr>
          <w:rFonts w:ascii="仿宋_GB2312" w:eastAsia="仿宋_GB2312" w:hAnsi="宋体" w:hint="eastAsia"/>
          <w:sz w:val="32"/>
          <w:szCs w:val="32"/>
        </w:rPr>
        <w:t>中医内科临床诊疗指南·老年衰弱（制定）</w:t>
      </w:r>
      <w:r w:rsidR="005F5BD1">
        <w:rPr>
          <w:rFonts w:ascii="仿宋_GB2312" w:eastAsia="仿宋_GB2312" w:hAnsi="宋体" w:hint="eastAsia"/>
          <w:sz w:val="32"/>
          <w:szCs w:val="32"/>
        </w:rPr>
        <w:t>》的要求来界定。</w:t>
      </w:r>
      <w:r>
        <w:rPr>
          <w:rFonts w:ascii="仿宋_GB2312" w:eastAsia="仿宋_GB2312" w:hAnsi="宋体" w:hint="eastAsia"/>
          <w:sz w:val="32"/>
          <w:szCs w:val="32"/>
        </w:rPr>
        <w:t>《</w:t>
      </w:r>
      <w:r w:rsidRPr="00832A28">
        <w:rPr>
          <w:rFonts w:ascii="仿宋_GB2312" w:eastAsia="仿宋_GB2312" w:hAnsi="宋体"/>
          <w:sz w:val="32"/>
          <w:szCs w:val="32"/>
        </w:rPr>
        <w:t>T/CACM 1676</w:t>
      </w:r>
      <w:r w:rsidRPr="00832A28">
        <w:rPr>
          <w:rFonts w:ascii="仿宋_GB2312" w:eastAsia="仿宋_GB2312" w:hAnsi="宋体" w:hint="eastAsia"/>
          <w:sz w:val="32"/>
          <w:szCs w:val="32"/>
        </w:rPr>
        <w:t>八段锦</w:t>
      </w:r>
      <w:r>
        <w:rPr>
          <w:rFonts w:ascii="仿宋_GB2312" w:eastAsia="仿宋_GB2312" w:hAnsi="宋体" w:hint="eastAsia"/>
          <w:sz w:val="32"/>
          <w:szCs w:val="32"/>
        </w:rPr>
        <w:t>》已经明确得了八段锦的学练方法，因此按</w:t>
      </w:r>
      <w:r w:rsidRPr="00832A28">
        <w:rPr>
          <w:rFonts w:ascii="仿宋_GB2312" w:eastAsia="仿宋_GB2312" w:hAnsi="宋体" w:hint="eastAsia"/>
          <w:sz w:val="32"/>
          <w:szCs w:val="32"/>
        </w:rPr>
        <w:t>T/CACM 1676的规定</w:t>
      </w:r>
      <w:r>
        <w:rPr>
          <w:rFonts w:ascii="仿宋_GB2312" w:eastAsia="仿宋_GB2312" w:hAnsi="宋体" w:hint="eastAsia"/>
          <w:sz w:val="32"/>
          <w:szCs w:val="32"/>
        </w:rPr>
        <w:t>执行即可，起草单位结合实际经验给出了太极拳的运动疗法要求，</w:t>
      </w:r>
      <w:r w:rsidRPr="00832A28">
        <w:rPr>
          <w:rFonts w:ascii="仿宋_GB2312" w:eastAsia="仿宋_GB2312" w:hAnsi="宋体" w:hint="eastAsia"/>
          <w:sz w:val="32"/>
          <w:szCs w:val="32"/>
        </w:rPr>
        <w:t>老年衰弱核心是肌肉萎缩、下肢无力、步行速度减慢，心肺储备大幅降低。完整太极拳整套时长久、连续动作多，衰弱老人直接练全套极易疲劳、心慌气短；只练起式、野马分鬃、云手、收式等基础单式，动作幅度可控、上下肢负荷</w:t>
      </w:r>
      <w:r w:rsidRPr="00832A28">
        <w:rPr>
          <w:rFonts w:ascii="仿宋_GB2312" w:eastAsia="仿宋_GB2312" w:hAnsi="宋体" w:hint="eastAsia"/>
          <w:sz w:val="32"/>
          <w:szCs w:val="32"/>
        </w:rPr>
        <w:lastRenderedPageBreak/>
        <w:t>小</w:t>
      </w:r>
      <w:r>
        <w:rPr>
          <w:rFonts w:ascii="仿宋_GB2312" w:eastAsia="仿宋_GB2312" w:hAnsi="宋体" w:hint="eastAsia"/>
          <w:sz w:val="32"/>
          <w:szCs w:val="32"/>
        </w:rPr>
        <w:t>，</w:t>
      </w:r>
      <w:r w:rsidRPr="00832A28">
        <w:rPr>
          <w:rFonts w:ascii="仿宋_GB2312" w:eastAsia="仿宋_GB2312" w:hAnsi="宋体" w:hint="eastAsia"/>
          <w:sz w:val="32"/>
          <w:szCs w:val="32"/>
        </w:rPr>
        <w:t>单次10～15分钟，不会过度消耗体能，避免加重乏力、耗伤正气</w:t>
      </w:r>
      <w:r>
        <w:rPr>
          <w:rFonts w:ascii="仿宋_GB2312" w:eastAsia="仿宋_GB2312" w:hAnsi="宋体" w:hint="eastAsia"/>
          <w:sz w:val="32"/>
          <w:szCs w:val="32"/>
        </w:rPr>
        <w:t>，</w:t>
      </w:r>
      <w:r w:rsidRPr="00832A28">
        <w:rPr>
          <w:rFonts w:ascii="仿宋_GB2312" w:eastAsia="仿宋_GB2312" w:hAnsi="宋体" w:hint="eastAsia"/>
          <w:sz w:val="32"/>
          <w:szCs w:val="32"/>
        </w:rPr>
        <w:t>频次每周3～5次、不每日高强度：预留充足恢复时间，契合衰弱老人修复慢的生理特点。</w:t>
      </w:r>
      <w:r>
        <w:rPr>
          <w:rFonts w:ascii="仿宋_GB2312" w:eastAsia="仿宋_GB2312" w:hAnsi="宋体" w:hint="eastAsia"/>
          <w:sz w:val="32"/>
          <w:szCs w:val="32"/>
        </w:rPr>
        <w:t>。</w:t>
      </w:r>
    </w:p>
    <w:p w:rsidR="005F5BD1" w:rsidRDefault="00832A28" w:rsidP="00832A28">
      <w:pPr>
        <w:jc w:val="center"/>
        <w:rPr>
          <w:rFonts w:ascii="仿宋_GB2312" w:eastAsia="仿宋_GB2312" w:hAnsi="宋体"/>
          <w:b/>
          <w:bCs/>
          <w:sz w:val="32"/>
          <w:szCs w:val="32"/>
        </w:rPr>
      </w:pPr>
      <w:r>
        <w:rPr>
          <w:noProof/>
        </w:rPr>
        <w:drawing>
          <wp:inline distT="0" distB="0" distL="0" distR="0" wp14:anchorId="62D011DB" wp14:editId="283B1676">
            <wp:extent cx="4246560" cy="3973942"/>
            <wp:effectExtent l="0" t="0" r="1905"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52442" cy="3979447"/>
                    </a:xfrm>
                    <a:prstGeom prst="rect">
                      <a:avLst/>
                    </a:prstGeom>
                  </pic:spPr>
                </pic:pic>
              </a:graphicData>
            </a:graphic>
          </wp:inline>
        </w:drawing>
      </w:r>
    </w:p>
    <w:p w:rsidR="00832A28" w:rsidRPr="00832A28" w:rsidRDefault="00832A28" w:rsidP="00832A28">
      <w:pPr>
        <w:jc w:val="center"/>
        <w:rPr>
          <w:szCs w:val="21"/>
        </w:rPr>
      </w:pPr>
      <w:r>
        <w:rPr>
          <w:rFonts w:hint="eastAsia"/>
          <w:szCs w:val="21"/>
        </w:rPr>
        <w:t>来源：</w:t>
      </w:r>
      <w:r w:rsidRPr="00832A28">
        <w:rPr>
          <w:rFonts w:hint="eastAsia"/>
          <w:szCs w:val="21"/>
        </w:rPr>
        <w:t>中医内科临床诊疗指南·老年衰弱（制定）</w:t>
      </w:r>
    </w:p>
    <w:p w:rsidR="00695227" w:rsidRDefault="00832A28">
      <w:pPr>
        <w:ind w:firstLineChars="200" w:firstLine="643"/>
        <w:rPr>
          <w:rFonts w:ascii="仿宋_GB2312" w:eastAsia="仿宋_GB2312" w:hAnsi="宋体"/>
          <w:b/>
          <w:bCs/>
          <w:sz w:val="32"/>
          <w:szCs w:val="32"/>
        </w:rPr>
      </w:pPr>
      <w:r>
        <w:rPr>
          <w:rFonts w:ascii="仿宋_GB2312" w:eastAsia="仿宋_GB2312" w:hAnsi="宋体"/>
          <w:b/>
          <w:bCs/>
          <w:sz w:val="32"/>
          <w:szCs w:val="32"/>
        </w:rPr>
        <w:t>3.</w:t>
      </w:r>
      <w:r>
        <w:rPr>
          <w:rFonts w:ascii="仿宋_GB2312" w:eastAsia="仿宋_GB2312" w:hAnsi="宋体" w:hint="eastAsia"/>
          <w:b/>
          <w:bCs/>
          <w:sz w:val="32"/>
          <w:szCs w:val="32"/>
        </w:rPr>
        <w:t>外治法</w:t>
      </w:r>
    </w:p>
    <w:p w:rsidR="0018426A" w:rsidRPr="00406FB9" w:rsidRDefault="0018426A">
      <w:pPr>
        <w:ind w:firstLineChars="200" w:firstLine="643"/>
        <w:rPr>
          <w:rFonts w:ascii="仿宋_GB2312" w:eastAsia="仿宋_GB2312" w:hAnsi="Calibri" w:cs="Calibri"/>
          <w:b/>
          <w:bCs/>
          <w:sz w:val="32"/>
          <w:szCs w:val="32"/>
        </w:rPr>
      </w:pPr>
      <w:r w:rsidRPr="00406FB9">
        <w:rPr>
          <w:rFonts w:ascii="仿宋_GB2312" w:eastAsia="仿宋_GB2312" w:hAnsi="Calibri" w:cs="Calibri" w:hint="eastAsia"/>
          <w:b/>
          <w:bCs/>
          <w:sz w:val="32"/>
          <w:szCs w:val="32"/>
        </w:rPr>
        <w:t>（1）针刺疗法</w:t>
      </w:r>
    </w:p>
    <w:p w:rsidR="00832A28" w:rsidRDefault="00832A28">
      <w:pPr>
        <w:ind w:firstLineChars="200" w:firstLine="640"/>
        <w:rPr>
          <w:rFonts w:ascii="仿宋_GB2312" w:eastAsia="仿宋_GB2312" w:hAnsi="仿宋_GB2312" w:cs="仿宋_GB2312"/>
          <w:sz w:val="32"/>
          <w:szCs w:val="32"/>
        </w:rPr>
      </w:pPr>
      <w:r>
        <w:rPr>
          <w:rFonts w:ascii="仿宋_GB2312" w:eastAsia="仿宋_GB2312" w:hAnsi="Calibri" w:cs="Calibri" w:hint="eastAsia"/>
          <w:sz w:val="32"/>
          <w:szCs w:val="32"/>
        </w:rPr>
        <w:t>外治法</w:t>
      </w:r>
      <w:r>
        <w:rPr>
          <w:rFonts w:ascii="仿宋_GB2312" w:eastAsia="仿宋_GB2312" w:hAnsi="宋体" w:hint="eastAsia"/>
          <w:sz w:val="32"/>
          <w:szCs w:val="32"/>
        </w:rPr>
        <w:t>参考《</w:t>
      </w:r>
      <w:r w:rsidRPr="00832A28">
        <w:rPr>
          <w:rFonts w:ascii="仿宋_GB2312" w:eastAsia="仿宋_GB2312" w:hAnsi="宋体" w:hint="eastAsia"/>
          <w:sz w:val="32"/>
          <w:szCs w:val="32"/>
        </w:rPr>
        <w:t>中医内科临床诊疗指南·老年衰弱（制定）</w:t>
      </w:r>
      <w:r>
        <w:rPr>
          <w:rFonts w:ascii="仿宋_GB2312" w:eastAsia="仿宋_GB2312" w:hAnsi="宋体" w:hint="eastAsia"/>
          <w:sz w:val="32"/>
          <w:szCs w:val="32"/>
        </w:rPr>
        <w:t>》的要求来界定并结合起草单位的实际经验来确定，根据</w:t>
      </w:r>
      <w:r w:rsidRPr="00832A28">
        <w:rPr>
          <w:rFonts w:ascii="仿宋_GB2312" w:eastAsia="仿宋_GB2312" w:hAnsi="宋体" w:hint="eastAsia"/>
          <w:sz w:val="32"/>
          <w:szCs w:val="32"/>
        </w:rPr>
        <w:t>《中医内科临床诊疗指南</w:t>
      </w:r>
      <w:r w:rsidRPr="00832A28">
        <w:rPr>
          <w:rFonts w:ascii="微软雅黑" w:eastAsia="微软雅黑" w:hAnsi="微软雅黑" w:cs="微软雅黑" w:hint="eastAsia"/>
          <w:sz w:val="32"/>
          <w:szCs w:val="32"/>
        </w:rPr>
        <w:t>・</w:t>
      </w:r>
      <w:r w:rsidRPr="00832A28">
        <w:rPr>
          <w:rFonts w:ascii="仿宋_GB2312" w:eastAsia="仿宋_GB2312" w:hAnsi="仿宋_GB2312" w:cs="仿宋_GB2312" w:hint="eastAsia"/>
          <w:sz w:val="32"/>
          <w:szCs w:val="32"/>
        </w:rPr>
        <w:t>老年衰弱》推荐</w:t>
      </w:r>
      <w:r>
        <w:rPr>
          <w:rFonts w:ascii="仿宋_GB2312" w:eastAsia="仿宋_GB2312" w:hAnsi="仿宋_GB2312" w:cs="仿宋_GB2312" w:hint="eastAsia"/>
          <w:sz w:val="32"/>
          <w:szCs w:val="32"/>
        </w:rPr>
        <w:t>的</w:t>
      </w:r>
      <w:r w:rsidRPr="00832A28">
        <w:rPr>
          <w:rFonts w:ascii="仿宋_GB2312" w:eastAsia="仿宋_GB2312" w:hAnsi="仿宋_GB2312" w:cs="仿宋_GB2312" w:hint="eastAsia"/>
          <w:sz w:val="32"/>
          <w:szCs w:val="32"/>
        </w:rPr>
        <w:t>取穴思路</w:t>
      </w:r>
      <w:r>
        <w:rPr>
          <w:rFonts w:ascii="仿宋_GB2312" w:eastAsia="仿宋_GB2312" w:hAnsi="仿宋_GB2312" w:cs="仿宋_GB2312" w:hint="eastAsia"/>
          <w:sz w:val="32"/>
          <w:szCs w:val="32"/>
        </w:rPr>
        <w:t>，结合实际操作给出了各种证型的配穴要求：</w:t>
      </w:r>
    </w:p>
    <w:p w:rsidR="00832A28" w:rsidRPr="0018426A" w:rsidRDefault="00832A28" w:rsidP="00406FB9">
      <w:pPr>
        <w:pStyle w:val="aff8"/>
        <w:numPr>
          <w:ilvl w:val="0"/>
          <w:numId w:val="10"/>
        </w:numPr>
        <w:ind w:left="0" w:firstLine="640"/>
        <w:rPr>
          <w:rFonts w:ascii="仿宋_GB2312" w:eastAsia="仿宋_GB2312" w:hAnsi="宋体"/>
          <w:sz w:val="32"/>
          <w:szCs w:val="32"/>
        </w:rPr>
      </w:pPr>
      <w:r w:rsidRPr="0018426A">
        <w:rPr>
          <w:rFonts w:ascii="仿宋_GB2312" w:eastAsia="仿宋_GB2312" w:hAnsi="宋体" w:hint="eastAsia"/>
          <w:sz w:val="32"/>
          <w:szCs w:val="32"/>
        </w:rPr>
        <w:t>气血亏虚证：膈俞为血会，专补血养血；心俞养心安神，改善心悸失眠；膏肓专治诸虚百损，善治久病虚羸，</w:t>
      </w:r>
      <w:r w:rsidRPr="0018426A">
        <w:rPr>
          <w:rFonts w:ascii="仿宋_GB2312" w:eastAsia="仿宋_GB2312" w:hAnsi="宋体" w:hint="eastAsia"/>
          <w:sz w:val="32"/>
          <w:szCs w:val="32"/>
        </w:rPr>
        <w:lastRenderedPageBreak/>
        <w:t>三穴配伍益气养血安神，对应头晕、面白、心悸自汗主症。</w:t>
      </w:r>
    </w:p>
    <w:p w:rsidR="00832A28" w:rsidRPr="0018426A" w:rsidRDefault="00832A28" w:rsidP="00406FB9">
      <w:pPr>
        <w:pStyle w:val="aff8"/>
        <w:numPr>
          <w:ilvl w:val="0"/>
          <w:numId w:val="10"/>
        </w:numPr>
        <w:ind w:left="0" w:firstLine="640"/>
        <w:rPr>
          <w:rFonts w:ascii="仿宋_GB2312" w:eastAsia="仿宋_GB2312" w:hAnsi="宋体"/>
          <w:sz w:val="32"/>
          <w:szCs w:val="32"/>
        </w:rPr>
      </w:pPr>
      <w:r w:rsidRPr="0018426A">
        <w:rPr>
          <w:rFonts w:ascii="仿宋_GB2312" w:eastAsia="仿宋_GB2312" w:hAnsi="宋体" w:hint="eastAsia"/>
          <w:sz w:val="32"/>
          <w:szCs w:val="32"/>
        </w:rPr>
        <w:t>气虚血瘀证：膈俞+血海活血养血；膻中为气会，行气补气，解决气虚为本、瘀血阻滞；太冲疏肝理气，气机通畅则血行，改善周身刺痛、舌下瘀斑、胸闷气短。</w:t>
      </w:r>
    </w:p>
    <w:p w:rsidR="00832A28" w:rsidRPr="0018426A" w:rsidRDefault="00832A28" w:rsidP="00406FB9">
      <w:pPr>
        <w:pStyle w:val="aff8"/>
        <w:numPr>
          <w:ilvl w:val="0"/>
          <w:numId w:val="10"/>
        </w:numPr>
        <w:ind w:left="0" w:firstLine="640"/>
        <w:rPr>
          <w:rFonts w:ascii="仿宋_GB2312" w:eastAsia="仿宋_GB2312" w:hAnsi="宋体"/>
          <w:sz w:val="32"/>
          <w:szCs w:val="32"/>
        </w:rPr>
      </w:pPr>
      <w:r w:rsidRPr="0018426A">
        <w:rPr>
          <w:rFonts w:ascii="仿宋_GB2312" w:eastAsia="仿宋_GB2312" w:hAnsi="宋体" w:hint="eastAsia"/>
          <w:sz w:val="32"/>
          <w:szCs w:val="32"/>
        </w:rPr>
        <w:t>脾虚痰湿证：中脘健运脾胃；丰隆第一化痰要穴；阴陵泉健脾利水渗湿，三者共消胸脘痞闷、肢体浮肿、便溏嗜睡。</w:t>
      </w:r>
    </w:p>
    <w:p w:rsidR="00832A28" w:rsidRPr="0018426A" w:rsidRDefault="00832A28" w:rsidP="00406FB9">
      <w:pPr>
        <w:pStyle w:val="aff8"/>
        <w:numPr>
          <w:ilvl w:val="0"/>
          <w:numId w:val="10"/>
        </w:numPr>
        <w:ind w:left="0" w:firstLine="640"/>
        <w:rPr>
          <w:rFonts w:ascii="仿宋_GB2312" w:eastAsia="仿宋_GB2312" w:hAnsi="宋体"/>
          <w:sz w:val="32"/>
          <w:szCs w:val="32"/>
        </w:rPr>
      </w:pPr>
      <w:r w:rsidRPr="0018426A">
        <w:rPr>
          <w:rFonts w:ascii="仿宋_GB2312" w:eastAsia="仿宋_GB2312" w:hAnsi="宋体" w:hint="eastAsia"/>
          <w:sz w:val="32"/>
          <w:szCs w:val="32"/>
        </w:rPr>
        <w:t>脾肾阳虚证：关元、命门温补肾阳、固下焦；阳陵泉舒筋通络，改善腰膝冷痛、肢体水肿、五更泻，温脾肾、通筋骨。</w:t>
      </w:r>
    </w:p>
    <w:p w:rsidR="00695227" w:rsidRPr="0018426A" w:rsidRDefault="00832A28" w:rsidP="00406FB9">
      <w:pPr>
        <w:pStyle w:val="aff8"/>
        <w:numPr>
          <w:ilvl w:val="0"/>
          <w:numId w:val="10"/>
        </w:numPr>
        <w:ind w:left="0" w:firstLine="640"/>
        <w:rPr>
          <w:rFonts w:ascii="仿宋_GB2312" w:eastAsia="仿宋_GB2312" w:hAnsi="宋体"/>
          <w:sz w:val="32"/>
          <w:szCs w:val="32"/>
        </w:rPr>
      </w:pPr>
      <w:r w:rsidRPr="0018426A">
        <w:rPr>
          <w:rFonts w:ascii="仿宋_GB2312" w:eastAsia="仿宋_GB2312" w:hAnsi="宋体" w:hint="eastAsia"/>
          <w:sz w:val="32"/>
          <w:szCs w:val="32"/>
        </w:rPr>
        <w:t>肾精亏虚证：太溪肾经原穴直补肾精；悬钟为髓会，填髓健脑，改善耳鸣健忘、腰膝酸软、皮肤干枯。</w:t>
      </w:r>
    </w:p>
    <w:p w:rsidR="00832A28" w:rsidRDefault="00832A28" w:rsidP="00832A28">
      <w:pPr>
        <w:ind w:firstLineChars="200" w:firstLine="640"/>
        <w:rPr>
          <w:rFonts w:ascii="仿宋_GB2312" w:eastAsia="仿宋_GB2312" w:hAnsi="宋体"/>
          <w:sz w:val="32"/>
          <w:szCs w:val="32"/>
        </w:rPr>
      </w:pPr>
      <w:r w:rsidRPr="00832A28">
        <w:rPr>
          <w:rFonts w:ascii="仿宋_GB2312" w:eastAsia="仿宋_GB2312" w:hAnsi="宋体" w:hint="eastAsia"/>
          <w:sz w:val="32"/>
          <w:szCs w:val="32"/>
        </w:rPr>
        <w:t>衰弱前期：虚损程度轻，脏腑储备尚存，短期针刺即可疏通气血、阻断进展，避免长期针刺耗气</w:t>
      </w:r>
      <w:r>
        <w:rPr>
          <w:rFonts w:ascii="仿宋_GB2312" w:eastAsia="仿宋_GB2312" w:hAnsi="宋体" w:hint="eastAsia"/>
          <w:sz w:val="32"/>
          <w:szCs w:val="32"/>
        </w:rPr>
        <w:t>，因此确定疗程为</w:t>
      </w:r>
      <w:r w:rsidRPr="00832A28">
        <w:rPr>
          <w:rFonts w:ascii="仿宋_GB2312" w:eastAsia="仿宋_GB2312" w:hAnsi="宋体" w:hint="eastAsia"/>
          <w:sz w:val="32"/>
          <w:szCs w:val="32"/>
        </w:rPr>
        <w:t>7～10d；衰弱期：多脏器亏虚、肌少症明显、病程久，气血肾精难速复，延长疗程持续扶正，逐步改善肌力、耐力</w:t>
      </w:r>
      <w:r>
        <w:rPr>
          <w:rFonts w:ascii="仿宋_GB2312" w:eastAsia="仿宋_GB2312" w:hAnsi="宋体" w:hint="eastAsia"/>
          <w:sz w:val="32"/>
          <w:szCs w:val="32"/>
        </w:rPr>
        <w:t>，因此确定疗程为</w:t>
      </w:r>
      <w:r>
        <w:rPr>
          <w:rFonts w:ascii="仿宋_GB2312" w:eastAsia="仿宋_GB2312" w:hAnsi="宋体"/>
          <w:sz w:val="32"/>
          <w:szCs w:val="32"/>
        </w:rPr>
        <w:t>10</w:t>
      </w:r>
      <w:r w:rsidRPr="00832A28">
        <w:rPr>
          <w:rFonts w:ascii="仿宋_GB2312" w:eastAsia="仿宋_GB2312" w:hAnsi="宋体" w:hint="eastAsia"/>
          <w:sz w:val="32"/>
          <w:szCs w:val="32"/>
        </w:rPr>
        <w:t>～</w:t>
      </w:r>
      <w:r>
        <w:rPr>
          <w:rFonts w:ascii="仿宋_GB2312" w:eastAsia="仿宋_GB2312" w:hAnsi="宋体"/>
          <w:sz w:val="32"/>
          <w:szCs w:val="32"/>
        </w:rPr>
        <w:t>14</w:t>
      </w:r>
      <w:r w:rsidRPr="00832A28">
        <w:rPr>
          <w:rFonts w:ascii="仿宋_GB2312" w:eastAsia="仿宋_GB2312" w:hAnsi="宋体" w:hint="eastAsia"/>
          <w:sz w:val="32"/>
          <w:szCs w:val="32"/>
        </w:rPr>
        <w:t>d；</w:t>
      </w:r>
    </w:p>
    <w:p w:rsidR="00695227" w:rsidRDefault="00832A28" w:rsidP="00832A28">
      <w:pPr>
        <w:jc w:val="center"/>
        <w:rPr>
          <w:rFonts w:ascii="仿宋_GB2312" w:eastAsia="仿宋_GB2312" w:hAnsi="宋体"/>
          <w:sz w:val="32"/>
          <w:szCs w:val="32"/>
        </w:rPr>
      </w:pPr>
      <w:r>
        <w:rPr>
          <w:noProof/>
        </w:rPr>
        <w:drawing>
          <wp:inline distT="0" distB="0" distL="0" distR="0" wp14:anchorId="3C0F504D" wp14:editId="42C6110A">
            <wp:extent cx="3714286" cy="1600000"/>
            <wp:effectExtent l="0" t="0" r="63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14286" cy="1600000"/>
                    </a:xfrm>
                    <a:prstGeom prst="rect">
                      <a:avLst/>
                    </a:prstGeom>
                  </pic:spPr>
                </pic:pic>
              </a:graphicData>
            </a:graphic>
          </wp:inline>
        </w:drawing>
      </w:r>
    </w:p>
    <w:p w:rsidR="00832A28" w:rsidRDefault="00832A28" w:rsidP="00832A28">
      <w:pPr>
        <w:jc w:val="center"/>
        <w:rPr>
          <w:rFonts w:ascii="仿宋_GB2312" w:eastAsia="仿宋_GB2312" w:hAnsi="宋体"/>
          <w:sz w:val="32"/>
          <w:szCs w:val="32"/>
        </w:rPr>
      </w:pPr>
      <w:r>
        <w:rPr>
          <w:rFonts w:hint="eastAsia"/>
          <w:szCs w:val="21"/>
        </w:rPr>
        <w:t>来源：</w:t>
      </w:r>
      <w:r w:rsidRPr="00832A28">
        <w:rPr>
          <w:rFonts w:hint="eastAsia"/>
          <w:szCs w:val="21"/>
        </w:rPr>
        <w:t>中医内科临床诊疗指南·老年衰弱（制定）</w:t>
      </w:r>
    </w:p>
    <w:p w:rsidR="0018426A" w:rsidRPr="00406FB9" w:rsidRDefault="0018426A" w:rsidP="0018426A">
      <w:pPr>
        <w:ind w:firstLineChars="200" w:firstLine="643"/>
        <w:rPr>
          <w:rFonts w:ascii="仿宋_GB2312" w:eastAsia="仿宋_GB2312" w:hAnsi="Calibri" w:cs="Calibri"/>
          <w:b/>
          <w:bCs/>
          <w:sz w:val="32"/>
          <w:szCs w:val="32"/>
        </w:rPr>
      </w:pPr>
      <w:r w:rsidRPr="00406FB9">
        <w:rPr>
          <w:rFonts w:ascii="仿宋_GB2312" w:eastAsia="仿宋_GB2312" w:hAnsi="Calibri" w:cs="Calibri" w:hint="eastAsia"/>
          <w:b/>
          <w:bCs/>
          <w:sz w:val="32"/>
          <w:szCs w:val="32"/>
        </w:rPr>
        <w:lastRenderedPageBreak/>
        <w:t>（</w:t>
      </w:r>
      <w:r w:rsidRPr="00406FB9">
        <w:rPr>
          <w:rFonts w:ascii="仿宋_GB2312" w:eastAsia="仿宋_GB2312" w:hAnsi="Calibri" w:cs="Calibri"/>
          <w:b/>
          <w:bCs/>
          <w:sz w:val="32"/>
          <w:szCs w:val="32"/>
        </w:rPr>
        <w:t>2</w:t>
      </w:r>
      <w:r w:rsidRPr="00406FB9">
        <w:rPr>
          <w:rFonts w:ascii="仿宋_GB2312" w:eastAsia="仿宋_GB2312" w:hAnsi="Calibri" w:cs="Calibri" w:hint="eastAsia"/>
          <w:b/>
          <w:bCs/>
          <w:sz w:val="32"/>
          <w:szCs w:val="32"/>
        </w:rPr>
        <w:t>）穴位注射</w:t>
      </w:r>
    </w:p>
    <w:p w:rsidR="0018426A" w:rsidRDefault="0018426A" w:rsidP="0018426A">
      <w:pPr>
        <w:ind w:firstLineChars="200" w:firstLine="640"/>
        <w:rPr>
          <w:rFonts w:ascii="仿宋_GB2312" w:eastAsia="仿宋_GB2312" w:hAnsi="仿宋_GB2312" w:cs="仿宋_GB2312"/>
          <w:sz w:val="32"/>
          <w:szCs w:val="32"/>
        </w:rPr>
      </w:pPr>
      <w:r>
        <w:rPr>
          <w:rFonts w:ascii="仿宋_GB2312" w:eastAsia="仿宋_GB2312" w:hAnsi="宋体" w:hint="eastAsia"/>
          <w:sz w:val="32"/>
          <w:szCs w:val="32"/>
        </w:rPr>
        <w:t>根据</w:t>
      </w:r>
      <w:r w:rsidRPr="00832A28">
        <w:rPr>
          <w:rFonts w:ascii="仿宋_GB2312" w:eastAsia="仿宋_GB2312" w:hAnsi="宋体" w:hint="eastAsia"/>
          <w:sz w:val="32"/>
          <w:szCs w:val="32"/>
        </w:rPr>
        <w:t>《中医内科临床诊疗指南</w:t>
      </w:r>
      <w:r w:rsidRPr="00832A28">
        <w:rPr>
          <w:rFonts w:ascii="微软雅黑" w:eastAsia="微软雅黑" w:hAnsi="微软雅黑" w:cs="微软雅黑" w:hint="eastAsia"/>
          <w:sz w:val="32"/>
          <w:szCs w:val="32"/>
        </w:rPr>
        <w:t>・</w:t>
      </w:r>
      <w:r w:rsidRPr="00832A28">
        <w:rPr>
          <w:rFonts w:ascii="仿宋_GB2312" w:eastAsia="仿宋_GB2312" w:hAnsi="仿宋_GB2312" w:cs="仿宋_GB2312" w:hint="eastAsia"/>
          <w:sz w:val="32"/>
          <w:szCs w:val="32"/>
        </w:rPr>
        <w:t>老年衰弱》推荐</w:t>
      </w:r>
      <w:r>
        <w:rPr>
          <w:rFonts w:ascii="仿宋_GB2312" w:eastAsia="仿宋_GB2312" w:hAnsi="仿宋_GB2312" w:cs="仿宋_GB2312" w:hint="eastAsia"/>
          <w:sz w:val="32"/>
          <w:szCs w:val="32"/>
        </w:rPr>
        <w:t>的</w:t>
      </w:r>
      <w:r w:rsidRPr="00832A28">
        <w:rPr>
          <w:rFonts w:ascii="仿宋_GB2312" w:eastAsia="仿宋_GB2312" w:hAnsi="仿宋_GB2312" w:cs="仿宋_GB2312" w:hint="eastAsia"/>
          <w:sz w:val="32"/>
          <w:szCs w:val="32"/>
        </w:rPr>
        <w:t>取穴思路</w:t>
      </w:r>
      <w:r>
        <w:rPr>
          <w:rFonts w:ascii="仿宋_GB2312" w:eastAsia="仿宋_GB2312" w:hAnsi="仿宋_GB2312" w:cs="仿宋_GB2312" w:hint="eastAsia"/>
          <w:sz w:val="32"/>
          <w:szCs w:val="32"/>
        </w:rPr>
        <w:t>，结合实际操作给出了各种证型的选穴要求，并给出了操作方法：</w:t>
      </w:r>
    </w:p>
    <w:p w:rsidR="0018426A" w:rsidRPr="0018426A" w:rsidRDefault="0018426A" w:rsidP="0018426A">
      <w:pPr>
        <w:ind w:firstLineChars="200" w:firstLine="640"/>
        <w:rPr>
          <w:rFonts w:ascii="仿宋_GB2312" w:eastAsia="仿宋_GB2312" w:hAnsi="宋体"/>
          <w:sz w:val="32"/>
          <w:szCs w:val="32"/>
        </w:rPr>
      </w:pPr>
      <w:r w:rsidRPr="0018426A">
        <w:rPr>
          <w:rFonts w:ascii="仿宋_GB2312" w:eastAsia="仿宋_GB2312" w:hAnsi="宋体" w:hint="eastAsia"/>
          <w:sz w:val="32"/>
          <w:szCs w:val="32"/>
        </w:rPr>
        <w:t>有证首选足三里，依托脾胃生化之源承载药液药力，提高吸收效率：</w:t>
      </w:r>
    </w:p>
    <w:p w:rsidR="0018426A" w:rsidRPr="0018426A" w:rsidRDefault="0018426A" w:rsidP="00406FB9">
      <w:pPr>
        <w:pStyle w:val="aff8"/>
        <w:numPr>
          <w:ilvl w:val="0"/>
          <w:numId w:val="9"/>
        </w:numPr>
        <w:ind w:left="0" w:firstLine="640"/>
        <w:rPr>
          <w:rFonts w:ascii="仿宋_GB2312" w:eastAsia="仿宋_GB2312" w:hAnsi="宋体"/>
          <w:sz w:val="32"/>
          <w:szCs w:val="32"/>
        </w:rPr>
      </w:pPr>
      <w:r w:rsidRPr="0018426A">
        <w:rPr>
          <w:rFonts w:ascii="仿宋_GB2312" w:eastAsia="仿宋_GB2312" w:hAnsi="宋体" w:hint="eastAsia"/>
          <w:sz w:val="32"/>
          <w:szCs w:val="32"/>
        </w:rPr>
        <w:t>气血亏虚证：三阴交肝脾肾三经交汇，同步养血健脾补肾，协同黄芪类药液补益气血；</w:t>
      </w:r>
    </w:p>
    <w:p w:rsidR="0018426A" w:rsidRPr="0018426A" w:rsidRDefault="0018426A" w:rsidP="00406FB9">
      <w:pPr>
        <w:pStyle w:val="aff8"/>
        <w:numPr>
          <w:ilvl w:val="0"/>
          <w:numId w:val="9"/>
        </w:numPr>
        <w:ind w:left="0" w:firstLine="640"/>
        <w:rPr>
          <w:rFonts w:ascii="仿宋_GB2312" w:eastAsia="仿宋_GB2312" w:hAnsi="宋体"/>
          <w:sz w:val="32"/>
          <w:szCs w:val="32"/>
        </w:rPr>
      </w:pPr>
      <w:r w:rsidRPr="0018426A">
        <w:rPr>
          <w:rFonts w:ascii="仿宋_GB2312" w:eastAsia="仿宋_GB2312" w:hAnsi="宋体" w:hint="eastAsia"/>
          <w:sz w:val="32"/>
          <w:szCs w:val="32"/>
        </w:rPr>
        <w:t>气虚血瘀证：血海活血通络，补气兼散瘀，适配气虚夹瘀周身疼痛；</w:t>
      </w:r>
    </w:p>
    <w:p w:rsidR="0018426A" w:rsidRPr="0018426A" w:rsidRDefault="0018426A" w:rsidP="00406FB9">
      <w:pPr>
        <w:pStyle w:val="aff8"/>
        <w:numPr>
          <w:ilvl w:val="0"/>
          <w:numId w:val="9"/>
        </w:numPr>
        <w:ind w:left="0" w:firstLine="640"/>
        <w:rPr>
          <w:rFonts w:ascii="仿宋_GB2312" w:eastAsia="仿宋_GB2312" w:hAnsi="宋体"/>
          <w:sz w:val="32"/>
          <w:szCs w:val="32"/>
        </w:rPr>
      </w:pPr>
      <w:r w:rsidRPr="0018426A">
        <w:rPr>
          <w:rFonts w:ascii="仿宋_GB2312" w:eastAsia="仿宋_GB2312" w:hAnsi="宋体" w:hint="eastAsia"/>
          <w:sz w:val="32"/>
          <w:szCs w:val="32"/>
        </w:rPr>
        <w:t>脾虚痰湿证：丰隆化痰祛湿，健运中州，消除痰湿困重；</w:t>
      </w:r>
    </w:p>
    <w:p w:rsidR="00695227" w:rsidRPr="0018426A" w:rsidRDefault="0018426A" w:rsidP="00406FB9">
      <w:pPr>
        <w:pStyle w:val="aff8"/>
        <w:numPr>
          <w:ilvl w:val="0"/>
          <w:numId w:val="9"/>
        </w:numPr>
        <w:ind w:left="0" w:firstLine="640"/>
        <w:rPr>
          <w:rFonts w:ascii="仿宋_GB2312" w:eastAsia="仿宋_GB2312" w:hAnsi="宋体"/>
          <w:sz w:val="32"/>
          <w:szCs w:val="32"/>
        </w:rPr>
      </w:pPr>
      <w:r w:rsidRPr="0018426A">
        <w:rPr>
          <w:rFonts w:ascii="仿宋_GB2312" w:eastAsia="仿宋_GB2312" w:hAnsi="宋体" w:hint="eastAsia"/>
          <w:sz w:val="32"/>
          <w:szCs w:val="32"/>
        </w:rPr>
        <w:t>脾肾阳虚证：双穴温补元阳，药液直输肾脏、下焦，改善畏寒、夜尿、水肿。</w:t>
      </w:r>
    </w:p>
    <w:p w:rsidR="0018426A" w:rsidRPr="0018426A" w:rsidRDefault="0018426A" w:rsidP="0018426A">
      <w:pPr>
        <w:ind w:firstLineChars="200" w:firstLine="640"/>
        <w:rPr>
          <w:rFonts w:ascii="仿宋_GB2312" w:eastAsia="仿宋_GB2312" w:hAnsi="宋体"/>
          <w:sz w:val="32"/>
          <w:szCs w:val="32"/>
        </w:rPr>
      </w:pPr>
      <w:r w:rsidRPr="0018426A">
        <w:rPr>
          <w:rFonts w:ascii="仿宋_GB2312" w:eastAsia="仿宋_GB2312" w:hAnsi="宋体" w:hint="eastAsia"/>
          <w:sz w:val="32"/>
          <w:szCs w:val="32"/>
        </w:rPr>
        <w:t>黄芪注射液单用证：肾精亏虚、气血亏虚、脾肾阳虚</w:t>
      </w:r>
      <w:r>
        <w:rPr>
          <w:rFonts w:ascii="仿宋_GB2312" w:eastAsia="仿宋_GB2312" w:hAnsi="宋体" w:hint="eastAsia"/>
          <w:sz w:val="32"/>
          <w:szCs w:val="32"/>
        </w:rPr>
        <w:t>，</w:t>
      </w:r>
      <w:r w:rsidRPr="0018426A">
        <w:rPr>
          <w:rFonts w:ascii="仿宋_GB2312" w:eastAsia="仿宋_GB2312" w:hAnsi="宋体" w:hint="eastAsia"/>
          <w:sz w:val="32"/>
          <w:szCs w:val="32"/>
        </w:rPr>
        <w:t>黄芪核心功效大补元气、健脾益肾、提升机体储备，针对性解决衰弱核心 “正气亏虚、肌肉失养”，改善乏力、消瘦、免疫低下，纯虚无明显痰湿瘀血者单用扶正。</w:t>
      </w:r>
    </w:p>
    <w:p w:rsidR="0018426A" w:rsidRDefault="0018426A" w:rsidP="0018426A">
      <w:pPr>
        <w:ind w:firstLineChars="200" w:firstLine="640"/>
        <w:rPr>
          <w:rFonts w:ascii="仿宋_GB2312" w:eastAsia="仿宋_GB2312" w:hAnsi="宋体"/>
          <w:sz w:val="32"/>
          <w:szCs w:val="32"/>
        </w:rPr>
      </w:pPr>
      <w:r w:rsidRPr="0018426A">
        <w:rPr>
          <w:rFonts w:ascii="仿宋_GB2312" w:eastAsia="仿宋_GB2312" w:hAnsi="宋体" w:hint="eastAsia"/>
          <w:sz w:val="32"/>
          <w:szCs w:val="32"/>
        </w:rPr>
        <w:t>黄芪+丹参交替：脾虚痰湿、气虚血瘀</w:t>
      </w:r>
      <w:r>
        <w:rPr>
          <w:rFonts w:ascii="仿宋_GB2312" w:eastAsia="仿宋_GB2312" w:hAnsi="宋体" w:hint="eastAsia"/>
          <w:sz w:val="32"/>
          <w:szCs w:val="32"/>
        </w:rPr>
        <w:t>，</w:t>
      </w:r>
      <w:r w:rsidRPr="0018426A">
        <w:rPr>
          <w:rFonts w:ascii="仿宋_GB2312" w:eastAsia="仿宋_GB2312" w:hAnsi="宋体" w:hint="eastAsia"/>
          <w:sz w:val="32"/>
          <w:szCs w:val="32"/>
        </w:rPr>
        <w:t>黄芪补气治本；丹参活血通络、祛湿消瘀治标；交替使用：避免单一长期活血耗气、或纯补气壅滞痰湿，攻补兼顾，解决 “虚中夹瘀、夹湿” 复杂住院老年体质。</w:t>
      </w:r>
    </w:p>
    <w:p w:rsidR="0018426A" w:rsidRPr="00406FB9" w:rsidRDefault="0018426A" w:rsidP="0018426A">
      <w:pPr>
        <w:ind w:firstLineChars="200" w:firstLine="643"/>
        <w:rPr>
          <w:rFonts w:ascii="仿宋_GB2312" w:eastAsia="仿宋_GB2312" w:hAnsi="Calibri" w:cs="Calibri"/>
          <w:b/>
          <w:bCs/>
          <w:sz w:val="32"/>
          <w:szCs w:val="32"/>
        </w:rPr>
      </w:pPr>
      <w:r w:rsidRPr="00406FB9">
        <w:rPr>
          <w:rFonts w:ascii="仿宋_GB2312" w:eastAsia="仿宋_GB2312" w:hAnsi="Calibri" w:cs="Calibri" w:hint="eastAsia"/>
          <w:b/>
          <w:bCs/>
          <w:sz w:val="32"/>
          <w:szCs w:val="32"/>
        </w:rPr>
        <w:lastRenderedPageBreak/>
        <w:t>（</w:t>
      </w:r>
      <w:r w:rsidRPr="00406FB9">
        <w:rPr>
          <w:rFonts w:ascii="仿宋_GB2312" w:eastAsia="仿宋_GB2312" w:hAnsi="Calibri" w:cs="Calibri"/>
          <w:b/>
          <w:bCs/>
          <w:sz w:val="32"/>
          <w:szCs w:val="32"/>
        </w:rPr>
        <w:t>3</w:t>
      </w:r>
      <w:r w:rsidRPr="00406FB9">
        <w:rPr>
          <w:rFonts w:ascii="仿宋_GB2312" w:eastAsia="仿宋_GB2312" w:hAnsi="Calibri" w:cs="Calibri" w:hint="eastAsia"/>
          <w:b/>
          <w:bCs/>
          <w:sz w:val="32"/>
          <w:szCs w:val="32"/>
        </w:rPr>
        <w:t>）穴位贴敷</w:t>
      </w:r>
    </w:p>
    <w:p w:rsidR="0018426A" w:rsidRDefault="0018426A" w:rsidP="0018426A">
      <w:pPr>
        <w:ind w:firstLineChars="200" w:firstLine="640"/>
        <w:rPr>
          <w:rFonts w:ascii="仿宋_GB2312" w:eastAsia="仿宋_GB2312" w:hAnsi="仿宋_GB2312" w:cs="仿宋_GB2312"/>
          <w:sz w:val="32"/>
          <w:szCs w:val="32"/>
        </w:rPr>
      </w:pPr>
      <w:r>
        <w:rPr>
          <w:rFonts w:ascii="仿宋_GB2312" w:eastAsia="仿宋_GB2312" w:hAnsi="宋体" w:hint="eastAsia"/>
          <w:sz w:val="32"/>
          <w:szCs w:val="32"/>
        </w:rPr>
        <w:t>根据</w:t>
      </w:r>
      <w:r w:rsidRPr="00832A28">
        <w:rPr>
          <w:rFonts w:ascii="仿宋_GB2312" w:eastAsia="仿宋_GB2312" w:hAnsi="宋体" w:hint="eastAsia"/>
          <w:sz w:val="32"/>
          <w:szCs w:val="32"/>
        </w:rPr>
        <w:t>《中医内科临床诊疗指南</w:t>
      </w:r>
      <w:r w:rsidRPr="00832A28">
        <w:rPr>
          <w:rFonts w:ascii="微软雅黑" w:eastAsia="微软雅黑" w:hAnsi="微软雅黑" w:cs="微软雅黑" w:hint="eastAsia"/>
          <w:sz w:val="32"/>
          <w:szCs w:val="32"/>
        </w:rPr>
        <w:t>・</w:t>
      </w:r>
      <w:r w:rsidRPr="00832A28">
        <w:rPr>
          <w:rFonts w:ascii="仿宋_GB2312" w:eastAsia="仿宋_GB2312" w:hAnsi="仿宋_GB2312" w:cs="仿宋_GB2312" w:hint="eastAsia"/>
          <w:sz w:val="32"/>
          <w:szCs w:val="32"/>
        </w:rPr>
        <w:t>老年衰弱》推荐</w:t>
      </w:r>
      <w:r>
        <w:rPr>
          <w:rFonts w:ascii="仿宋_GB2312" w:eastAsia="仿宋_GB2312" w:hAnsi="仿宋_GB2312" w:cs="仿宋_GB2312" w:hint="eastAsia"/>
          <w:sz w:val="32"/>
          <w:szCs w:val="32"/>
        </w:rPr>
        <w:t>的</w:t>
      </w:r>
      <w:r w:rsidRPr="00832A28">
        <w:rPr>
          <w:rFonts w:ascii="仿宋_GB2312" w:eastAsia="仿宋_GB2312" w:hAnsi="仿宋_GB2312" w:cs="仿宋_GB2312" w:hint="eastAsia"/>
          <w:sz w:val="32"/>
          <w:szCs w:val="32"/>
        </w:rPr>
        <w:t>取穴思路</w:t>
      </w:r>
      <w:r>
        <w:rPr>
          <w:rFonts w:ascii="仿宋_GB2312" w:eastAsia="仿宋_GB2312" w:hAnsi="仿宋_GB2312" w:cs="仿宋_GB2312" w:hint="eastAsia"/>
          <w:sz w:val="32"/>
          <w:szCs w:val="32"/>
        </w:rPr>
        <w:t>，结合实际操作给出了各种证型的穴位贴敷要求，</w:t>
      </w:r>
      <w:r w:rsidRPr="0018426A">
        <w:rPr>
          <w:rFonts w:ascii="仿宋_GB2312" w:eastAsia="仿宋_GB2312" w:hAnsi="仿宋_GB2312" w:cs="仿宋_GB2312" w:hint="eastAsia"/>
          <w:sz w:val="32"/>
          <w:szCs w:val="32"/>
        </w:rPr>
        <w:t>黑顺片、肉桂大温脾肾元阳，直达先后天之本，针对老年衰弱核心阳虚、肾精不足、脾阳亏虚，改善畏寒、肢冷、便溏、腰膝冷痛；温通经络、促进局部药物透皮吸收</w:t>
      </w:r>
      <w:r>
        <w:rPr>
          <w:rFonts w:ascii="仿宋_GB2312" w:eastAsia="仿宋_GB2312" w:hAnsi="仿宋_GB2312" w:cs="仿宋_GB2312" w:hint="eastAsia"/>
          <w:sz w:val="32"/>
          <w:szCs w:val="32"/>
        </w:rPr>
        <w:t>；</w:t>
      </w:r>
      <w:r w:rsidRPr="0018426A">
        <w:rPr>
          <w:rFonts w:ascii="仿宋_GB2312" w:eastAsia="仿宋_GB2312" w:hAnsi="仿宋_GB2312" w:cs="仿宋_GB2312" w:hint="eastAsia"/>
          <w:sz w:val="32"/>
          <w:szCs w:val="32"/>
        </w:rPr>
        <w:t>黄柏苦寒反佐</w:t>
      </w:r>
      <w:r>
        <w:rPr>
          <w:rFonts w:ascii="仿宋_GB2312" w:eastAsia="仿宋_GB2312" w:hAnsi="仿宋_GB2312" w:cs="仿宋_GB2312" w:hint="eastAsia"/>
          <w:sz w:val="32"/>
          <w:szCs w:val="32"/>
        </w:rPr>
        <w:t>，</w:t>
      </w:r>
      <w:r w:rsidRPr="0018426A">
        <w:rPr>
          <w:rFonts w:ascii="仿宋_GB2312" w:eastAsia="仿宋_GB2312" w:hAnsi="仿宋_GB2312" w:cs="仿宋_GB2312" w:hint="eastAsia"/>
          <w:sz w:val="32"/>
          <w:szCs w:val="32"/>
        </w:rPr>
        <w:t>老年住院衰弱老人多虚实夹杂，纯温热药易滋生虚火、口干烦躁、皮肤过敏；黄柏清下焦虚热、燥湿敛疮，制约附、桂燥热之性，避免贴敷后上火、皮肤灼红破溃，兼顾痰湿、郁热兼证。炙甘草补中益气、调和诸药，缓和附片毒性，缓和温热刺激，保护皮肤与脾胃；同时健脾，助气血生化，契合衰弱脾虚之本。固元粉</w:t>
      </w:r>
      <w:r>
        <w:rPr>
          <w:rFonts w:ascii="仿宋_GB2312" w:eastAsia="仿宋_GB2312" w:hAnsi="仿宋_GB2312" w:cs="仿宋_GB2312" w:hint="eastAsia"/>
          <w:sz w:val="32"/>
          <w:szCs w:val="32"/>
        </w:rPr>
        <w:t>以</w:t>
      </w:r>
      <w:r w:rsidRPr="0018426A">
        <w:rPr>
          <w:rFonts w:ascii="仿宋_GB2312" w:eastAsia="仿宋_GB2312" w:hAnsi="仿宋_GB2312" w:cs="仿宋_GB2312" w:hint="eastAsia"/>
          <w:sz w:val="32"/>
          <w:szCs w:val="32"/>
        </w:rPr>
        <w:t>温阳固本为核心，苦寒监制防燥，甘草调和护中，兼顾五型衰弱（气血、阳虚、痰湿、血瘀、精亏），通用性强，无需分证单独配药，适合病房批量标准化操作；GB/T 33414 规范穴位贴敷药材质量、炮制、制剂要求，保证用药安全统一。</w:t>
      </w:r>
    </w:p>
    <w:p w:rsidR="0018426A" w:rsidRPr="0018426A" w:rsidRDefault="0018426A" w:rsidP="0018426A">
      <w:pPr>
        <w:ind w:firstLineChars="200" w:firstLine="640"/>
        <w:rPr>
          <w:rFonts w:ascii="仿宋_GB2312" w:eastAsia="仿宋_GB2312" w:hAnsi="仿宋_GB2312" w:cs="仿宋_GB2312"/>
          <w:sz w:val="32"/>
          <w:szCs w:val="32"/>
        </w:rPr>
      </w:pPr>
      <w:r w:rsidRPr="0018426A">
        <w:rPr>
          <w:rFonts w:ascii="仿宋_GB2312" w:eastAsia="仿宋_GB2312" w:hAnsi="仿宋_GB2312" w:cs="仿宋_GB2312" w:hint="eastAsia"/>
          <w:sz w:val="32"/>
          <w:szCs w:val="32"/>
        </w:rPr>
        <w:t>老年衰弱患者皮肤薄、循环差，持续固定穴位贴敷易出现瘙痒、红斑、过敏、表皮损伤；交替取穴可给局部皮肤修复时间，降低不良反应；同时腹背阴阳交替，阴阳双调，提升扶正效果。</w:t>
      </w:r>
    </w:p>
    <w:p w:rsidR="0018426A" w:rsidRDefault="0018426A">
      <w:pPr>
        <w:ind w:firstLineChars="200" w:firstLine="640"/>
        <w:rPr>
          <w:rFonts w:ascii="仿宋_GB2312" w:eastAsia="仿宋_GB2312" w:hAnsi="宋体"/>
          <w:sz w:val="32"/>
          <w:szCs w:val="32"/>
        </w:rPr>
      </w:pPr>
      <w:bookmarkStart w:id="11" w:name="_Hlk222926951"/>
      <w:r w:rsidRPr="0018426A">
        <w:rPr>
          <w:rFonts w:ascii="仿宋_GB2312" w:eastAsia="仿宋_GB2312" w:hAnsi="宋体" w:hint="eastAsia"/>
          <w:sz w:val="32"/>
          <w:szCs w:val="32"/>
        </w:rPr>
        <w:t>衰弱前期 7～10d：虚损较轻，短期温通即可阻断衰弱进展；衰弱期脏腑久亏、肌少明显，延长至 10～14d 持续固</w:t>
      </w:r>
      <w:r w:rsidRPr="0018426A">
        <w:rPr>
          <w:rFonts w:ascii="仿宋_GB2312" w:eastAsia="仿宋_GB2312" w:hAnsi="宋体" w:hint="eastAsia"/>
          <w:sz w:val="32"/>
          <w:szCs w:val="32"/>
        </w:rPr>
        <w:lastRenderedPageBreak/>
        <w:t>本；疗程与针刺、穴位注射保持体系统一，标准一致性更强。</w:t>
      </w:r>
    </w:p>
    <w:p w:rsidR="0018426A" w:rsidRPr="00406FB9" w:rsidRDefault="0018426A" w:rsidP="0018426A">
      <w:pPr>
        <w:ind w:firstLineChars="200" w:firstLine="643"/>
        <w:rPr>
          <w:rFonts w:ascii="仿宋_GB2312" w:eastAsia="仿宋_GB2312" w:hAnsi="Calibri" w:cs="Calibri"/>
          <w:b/>
          <w:bCs/>
          <w:sz w:val="32"/>
          <w:szCs w:val="32"/>
        </w:rPr>
      </w:pPr>
      <w:r w:rsidRPr="00406FB9">
        <w:rPr>
          <w:rFonts w:ascii="仿宋_GB2312" w:eastAsia="仿宋_GB2312" w:hAnsi="Calibri" w:cs="Calibri" w:hint="eastAsia"/>
          <w:b/>
          <w:bCs/>
          <w:sz w:val="32"/>
          <w:szCs w:val="32"/>
        </w:rPr>
        <w:t>（</w:t>
      </w:r>
      <w:r w:rsidRPr="00406FB9">
        <w:rPr>
          <w:rFonts w:ascii="仿宋_GB2312" w:eastAsia="仿宋_GB2312" w:hAnsi="Calibri" w:cs="Calibri"/>
          <w:b/>
          <w:bCs/>
          <w:sz w:val="32"/>
          <w:szCs w:val="32"/>
        </w:rPr>
        <w:t>4</w:t>
      </w:r>
      <w:r w:rsidRPr="00406FB9">
        <w:rPr>
          <w:rFonts w:ascii="仿宋_GB2312" w:eastAsia="仿宋_GB2312" w:hAnsi="Calibri" w:cs="Calibri" w:hint="eastAsia"/>
          <w:b/>
          <w:bCs/>
          <w:sz w:val="32"/>
          <w:szCs w:val="32"/>
        </w:rPr>
        <w:t>）</w:t>
      </w:r>
      <w:r w:rsidR="002D2CE0" w:rsidRPr="00406FB9">
        <w:rPr>
          <w:rFonts w:ascii="仿宋_GB2312" w:eastAsia="仿宋_GB2312" w:hAnsi="Calibri" w:cs="Calibri" w:hint="eastAsia"/>
          <w:b/>
          <w:bCs/>
          <w:sz w:val="32"/>
          <w:szCs w:val="32"/>
        </w:rPr>
        <w:t>灸法</w:t>
      </w:r>
    </w:p>
    <w:p w:rsidR="0018426A" w:rsidRDefault="002D2CE0" w:rsidP="0018426A">
      <w:pPr>
        <w:ind w:firstLineChars="200" w:firstLine="640"/>
        <w:rPr>
          <w:rFonts w:ascii="仿宋_GB2312" w:eastAsia="仿宋_GB2312" w:hAnsi="仿宋_GB2312" w:cs="仿宋_GB2312"/>
          <w:sz w:val="32"/>
          <w:szCs w:val="32"/>
        </w:rPr>
      </w:pPr>
      <w:r>
        <w:rPr>
          <w:rFonts w:ascii="仿宋_GB2312" w:eastAsia="仿宋_GB2312" w:hAnsi="宋体" w:hint="eastAsia"/>
          <w:sz w:val="32"/>
          <w:szCs w:val="32"/>
        </w:rPr>
        <w:t>艾灸</w:t>
      </w:r>
      <w:r w:rsidR="0018426A">
        <w:rPr>
          <w:rFonts w:ascii="仿宋_GB2312" w:eastAsia="仿宋_GB2312" w:hAnsi="宋体" w:hint="eastAsia"/>
          <w:sz w:val="32"/>
          <w:szCs w:val="32"/>
        </w:rPr>
        <w:t>根据</w:t>
      </w:r>
      <w:r w:rsidR="0018426A" w:rsidRPr="00832A28">
        <w:rPr>
          <w:rFonts w:ascii="仿宋_GB2312" w:eastAsia="仿宋_GB2312" w:hAnsi="宋体" w:hint="eastAsia"/>
          <w:sz w:val="32"/>
          <w:szCs w:val="32"/>
        </w:rPr>
        <w:t>《中医内科临床诊疗指南</w:t>
      </w:r>
      <w:r w:rsidR="0018426A" w:rsidRPr="00832A28">
        <w:rPr>
          <w:rFonts w:ascii="微软雅黑" w:eastAsia="微软雅黑" w:hAnsi="微软雅黑" w:cs="微软雅黑" w:hint="eastAsia"/>
          <w:sz w:val="32"/>
          <w:szCs w:val="32"/>
        </w:rPr>
        <w:t>・</w:t>
      </w:r>
      <w:r w:rsidR="0018426A" w:rsidRPr="00832A28">
        <w:rPr>
          <w:rFonts w:ascii="仿宋_GB2312" w:eastAsia="仿宋_GB2312" w:hAnsi="仿宋_GB2312" w:cs="仿宋_GB2312" w:hint="eastAsia"/>
          <w:sz w:val="32"/>
          <w:szCs w:val="32"/>
        </w:rPr>
        <w:t>老年衰弱》推荐</w:t>
      </w:r>
      <w:r w:rsidR="0018426A">
        <w:rPr>
          <w:rFonts w:ascii="仿宋_GB2312" w:eastAsia="仿宋_GB2312" w:hAnsi="仿宋_GB2312" w:cs="仿宋_GB2312" w:hint="eastAsia"/>
          <w:sz w:val="32"/>
          <w:szCs w:val="32"/>
        </w:rPr>
        <w:t>的</w:t>
      </w:r>
      <w:r w:rsidR="0018426A" w:rsidRPr="00832A28">
        <w:rPr>
          <w:rFonts w:ascii="仿宋_GB2312" w:eastAsia="仿宋_GB2312" w:hAnsi="仿宋_GB2312" w:cs="仿宋_GB2312" w:hint="eastAsia"/>
          <w:sz w:val="32"/>
          <w:szCs w:val="32"/>
        </w:rPr>
        <w:t>取穴思路</w:t>
      </w:r>
      <w:r w:rsidR="0018426A">
        <w:rPr>
          <w:rFonts w:ascii="仿宋_GB2312" w:eastAsia="仿宋_GB2312" w:hAnsi="仿宋_GB2312" w:cs="仿宋_GB2312" w:hint="eastAsia"/>
          <w:sz w:val="32"/>
          <w:szCs w:val="32"/>
        </w:rPr>
        <w:t>，结合实际操作给出了</w:t>
      </w:r>
      <w:r>
        <w:rPr>
          <w:rFonts w:ascii="仿宋_GB2312" w:eastAsia="仿宋_GB2312" w:hAnsi="仿宋_GB2312" w:cs="仿宋_GB2312" w:hint="eastAsia"/>
          <w:sz w:val="32"/>
          <w:szCs w:val="32"/>
        </w:rPr>
        <w:t>艾灸</w:t>
      </w:r>
      <w:r w:rsidR="0018426A">
        <w:rPr>
          <w:rFonts w:ascii="仿宋_GB2312" w:eastAsia="仿宋_GB2312" w:hAnsi="仿宋_GB2312" w:cs="仿宋_GB2312" w:hint="eastAsia"/>
          <w:sz w:val="32"/>
          <w:szCs w:val="32"/>
        </w:rPr>
        <w:t>的</w:t>
      </w:r>
      <w:r>
        <w:rPr>
          <w:rFonts w:ascii="仿宋_GB2312" w:eastAsia="仿宋_GB2312" w:hAnsi="Calibri" w:cs="Calibri" w:hint="eastAsia"/>
          <w:sz w:val="32"/>
          <w:szCs w:val="32"/>
        </w:rPr>
        <w:t>选穴</w:t>
      </w:r>
      <w:r w:rsidR="0018426A">
        <w:rPr>
          <w:rFonts w:ascii="仿宋_GB2312" w:eastAsia="仿宋_GB2312" w:hAnsi="仿宋_GB2312" w:cs="仿宋_GB2312" w:hint="eastAsia"/>
          <w:sz w:val="32"/>
          <w:szCs w:val="32"/>
        </w:rPr>
        <w:t>要求</w:t>
      </w:r>
      <w:r>
        <w:rPr>
          <w:rFonts w:ascii="仿宋_GB2312" w:eastAsia="仿宋_GB2312" w:hAnsi="仿宋_GB2312" w:cs="仿宋_GB2312" w:hint="eastAsia"/>
          <w:sz w:val="32"/>
          <w:szCs w:val="32"/>
        </w:rPr>
        <w:t>：</w:t>
      </w:r>
    </w:p>
    <w:p w:rsidR="002D2CE0" w:rsidRPr="002D2CE0" w:rsidRDefault="002D2CE0" w:rsidP="002D2CE0">
      <w:pPr>
        <w:pStyle w:val="aff8"/>
        <w:numPr>
          <w:ilvl w:val="0"/>
          <w:numId w:val="11"/>
        </w:numPr>
        <w:ind w:firstLineChars="0"/>
        <w:rPr>
          <w:rFonts w:ascii="仿宋_GB2312" w:eastAsia="仿宋_GB2312" w:hAnsi="宋体"/>
          <w:sz w:val="32"/>
          <w:szCs w:val="32"/>
        </w:rPr>
      </w:pPr>
      <w:r w:rsidRPr="002D2CE0">
        <w:rPr>
          <w:rFonts w:ascii="仿宋_GB2312" w:eastAsia="仿宋_GB2312" w:hAnsi="宋体" w:hint="eastAsia"/>
          <w:sz w:val="32"/>
          <w:szCs w:val="32"/>
        </w:rPr>
        <w:t>气血亏虚证：足三里健脾生血；三阴交调肝脾肾、养血；气海补气固本，三穴共益气生血，改善面色萎黄、心悸乏力。</w:t>
      </w:r>
    </w:p>
    <w:p w:rsidR="002D2CE0" w:rsidRPr="002D2CE0" w:rsidRDefault="002D2CE0" w:rsidP="002D2CE0">
      <w:pPr>
        <w:pStyle w:val="aff8"/>
        <w:numPr>
          <w:ilvl w:val="0"/>
          <w:numId w:val="11"/>
        </w:numPr>
        <w:ind w:firstLineChars="0"/>
        <w:rPr>
          <w:rFonts w:ascii="仿宋_GB2312" w:eastAsia="仿宋_GB2312" w:hAnsi="宋体"/>
          <w:sz w:val="32"/>
          <w:szCs w:val="32"/>
        </w:rPr>
      </w:pPr>
      <w:r w:rsidRPr="002D2CE0">
        <w:rPr>
          <w:rFonts w:ascii="仿宋_GB2312" w:eastAsia="仿宋_GB2312" w:hAnsi="宋体" w:hint="eastAsia"/>
          <w:sz w:val="32"/>
          <w:szCs w:val="32"/>
        </w:rPr>
        <w:t>气虚血瘀证：气海、足三里补气治本；血海活血通络，补气行血，缓解周身刺痛、口唇瘀斑。</w:t>
      </w:r>
    </w:p>
    <w:p w:rsidR="002D2CE0" w:rsidRPr="002D2CE0" w:rsidRDefault="002D2CE0" w:rsidP="002D2CE0">
      <w:pPr>
        <w:pStyle w:val="aff8"/>
        <w:numPr>
          <w:ilvl w:val="0"/>
          <w:numId w:val="11"/>
        </w:numPr>
        <w:ind w:firstLineChars="0"/>
        <w:rPr>
          <w:rFonts w:ascii="仿宋_GB2312" w:eastAsia="仿宋_GB2312" w:hAnsi="宋体"/>
          <w:sz w:val="32"/>
          <w:szCs w:val="32"/>
        </w:rPr>
      </w:pPr>
      <w:r w:rsidRPr="002D2CE0">
        <w:rPr>
          <w:rFonts w:ascii="仿宋_GB2312" w:eastAsia="仿宋_GB2312" w:hAnsi="宋体" w:hint="eastAsia"/>
          <w:sz w:val="32"/>
          <w:szCs w:val="32"/>
        </w:rPr>
        <w:t>脾虚痰湿证：中脘健脾，丰隆化痰，阴陵泉利水，化解胸痞、浮肿、嗜睡便溏。</w:t>
      </w:r>
    </w:p>
    <w:p w:rsidR="002D2CE0" w:rsidRPr="002D2CE0" w:rsidRDefault="002D2CE0" w:rsidP="002D2CE0">
      <w:pPr>
        <w:pStyle w:val="aff8"/>
        <w:numPr>
          <w:ilvl w:val="0"/>
          <w:numId w:val="11"/>
        </w:numPr>
        <w:ind w:firstLineChars="0"/>
        <w:rPr>
          <w:rFonts w:ascii="仿宋_GB2312" w:eastAsia="仿宋_GB2312" w:hAnsi="宋体"/>
          <w:sz w:val="32"/>
          <w:szCs w:val="32"/>
        </w:rPr>
      </w:pPr>
      <w:r w:rsidRPr="002D2CE0">
        <w:rPr>
          <w:rFonts w:ascii="仿宋_GB2312" w:eastAsia="仿宋_GB2312" w:hAnsi="宋体" w:hint="eastAsia"/>
          <w:sz w:val="32"/>
          <w:szCs w:val="32"/>
        </w:rPr>
        <w:t>脾肾阳虚证：关元温补肾阳，足三里健运脾阳，先后天同调，改善畏寒、五更泻、下肢水肿。</w:t>
      </w:r>
    </w:p>
    <w:p w:rsidR="002D2CE0" w:rsidRPr="002D2CE0" w:rsidRDefault="002D2CE0" w:rsidP="002D2CE0">
      <w:pPr>
        <w:pStyle w:val="aff8"/>
        <w:numPr>
          <w:ilvl w:val="0"/>
          <w:numId w:val="11"/>
        </w:numPr>
        <w:ind w:firstLineChars="0"/>
        <w:rPr>
          <w:rFonts w:ascii="仿宋_GB2312" w:eastAsia="仿宋_GB2312" w:hAnsi="宋体"/>
          <w:sz w:val="32"/>
          <w:szCs w:val="32"/>
        </w:rPr>
      </w:pPr>
      <w:r w:rsidRPr="002D2CE0">
        <w:rPr>
          <w:rFonts w:ascii="仿宋_GB2312" w:eastAsia="仿宋_GB2312" w:hAnsi="宋体" w:hint="eastAsia"/>
          <w:sz w:val="32"/>
          <w:szCs w:val="32"/>
        </w:rPr>
        <w:t>肾精亏虚证：命门、肾俞填补肾精，脾俞资气血生化之源，精气血同补，改善耳鸣健忘、皮肤干枯。</w:t>
      </w:r>
    </w:p>
    <w:p w:rsidR="002D2CE0" w:rsidRDefault="002D2CE0" w:rsidP="002D2CE0">
      <w:pPr>
        <w:ind w:firstLineChars="200" w:firstLine="640"/>
        <w:rPr>
          <w:rFonts w:ascii="仿宋_GB2312" w:eastAsia="仿宋_GB2312" w:hAnsi="宋体"/>
          <w:sz w:val="32"/>
          <w:szCs w:val="32"/>
        </w:rPr>
      </w:pPr>
      <w:r w:rsidRPr="002D2CE0">
        <w:rPr>
          <w:rFonts w:ascii="仿宋_GB2312" w:eastAsia="仿宋_GB2312" w:hAnsi="宋体" w:hint="eastAsia"/>
          <w:sz w:val="32"/>
          <w:szCs w:val="32"/>
        </w:rPr>
        <w:t>督脉为 “阳脉之海”，总管一身阳气；大椎升一身之阳，命门藏真火，整条督脉施灸可一次性温补脾肾、填精益髓，针对重度衰弱、重度阳虚、常年畏寒卧床老人，普通单点艾灸力度不足，督脉灸大面积通阳固本。生姜辛温发散，导热透皮，温而不燥，缓冲艾火直接灼伤皮肤，减少刺激；1～2cm 艾绒厚度：厚度太薄热力不足，太厚局部高温易起泡，该区间热力渗透适中，持续温通背俞脏腑。30～40min：保证阳气</w:t>
      </w:r>
      <w:r w:rsidRPr="002D2CE0">
        <w:rPr>
          <w:rFonts w:ascii="仿宋_GB2312" w:eastAsia="仿宋_GB2312" w:hAnsi="宋体" w:hint="eastAsia"/>
          <w:sz w:val="32"/>
          <w:szCs w:val="32"/>
        </w:rPr>
        <w:lastRenderedPageBreak/>
        <w:t>缓慢渗透五脏，短时达不到填精温阳效果，过久易耗阴、出汗过多加重乏力。</w:t>
      </w:r>
    </w:p>
    <w:p w:rsidR="002D2CE0" w:rsidRPr="00406FB9" w:rsidRDefault="002D2CE0" w:rsidP="002D2CE0">
      <w:pPr>
        <w:ind w:firstLineChars="200" w:firstLine="643"/>
        <w:rPr>
          <w:rFonts w:ascii="仿宋_GB2312" w:eastAsia="仿宋_GB2312" w:hAnsi="宋体"/>
          <w:b/>
          <w:bCs/>
          <w:sz w:val="32"/>
          <w:szCs w:val="32"/>
        </w:rPr>
      </w:pPr>
      <w:r w:rsidRPr="00406FB9">
        <w:rPr>
          <w:rFonts w:ascii="仿宋_GB2312" w:eastAsia="仿宋_GB2312" w:hAnsi="宋体"/>
          <w:b/>
          <w:bCs/>
          <w:sz w:val="32"/>
          <w:szCs w:val="32"/>
        </w:rPr>
        <w:t>4.</w:t>
      </w:r>
      <w:r w:rsidRPr="00406FB9">
        <w:rPr>
          <w:rFonts w:ascii="仿宋_GB2312" w:eastAsia="仿宋_GB2312" w:hAnsi="宋体" w:hint="eastAsia"/>
          <w:b/>
          <w:bCs/>
          <w:sz w:val="32"/>
          <w:szCs w:val="32"/>
        </w:rPr>
        <w:t>内服法</w:t>
      </w:r>
    </w:p>
    <w:p w:rsidR="00406FB9" w:rsidRPr="00406FB9" w:rsidRDefault="00406FB9" w:rsidP="002D2CE0">
      <w:pPr>
        <w:ind w:firstLineChars="200" w:firstLine="643"/>
        <w:rPr>
          <w:rFonts w:ascii="仿宋_GB2312" w:eastAsia="仿宋_GB2312" w:hAnsi="Calibri" w:cs="Calibri"/>
          <w:b/>
          <w:bCs/>
          <w:sz w:val="32"/>
          <w:szCs w:val="32"/>
        </w:rPr>
      </w:pPr>
      <w:r w:rsidRPr="00406FB9">
        <w:rPr>
          <w:rFonts w:ascii="仿宋_GB2312" w:eastAsia="仿宋_GB2312" w:hAnsi="Calibri" w:cs="Calibri" w:hint="eastAsia"/>
          <w:b/>
          <w:bCs/>
          <w:sz w:val="32"/>
          <w:szCs w:val="32"/>
        </w:rPr>
        <w:t>（1）衰弱前期</w:t>
      </w:r>
    </w:p>
    <w:p w:rsidR="002D2CE0" w:rsidRDefault="002D2CE0" w:rsidP="002D2CE0">
      <w:pPr>
        <w:ind w:firstLineChars="200" w:firstLine="640"/>
        <w:rPr>
          <w:rFonts w:ascii="仿宋_GB2312" w:eastAsia="仿宋_GB2312" w:hAnsi="Calibri" w:cs="Calibri"/>
          <w:sz w:val="32"/>
          <w:szCs w:val="32"/>
        </w:rPr>
      </w:pPr>
      <w:r>
        <w:rPr>
          <w:rFonts w:ascii="仿宋_GB2312" w:eastAsia="仿宋_GB2312" w:hAnsi="Calibri" w:cs="Calibri" w:hint="eastAsia"/>
          <w:sz w:val="32"/>
          <w:szCs w:val="32"/>
        </w:rPr>
        <w:t>参考《中医内科学》</w:t>
      </w:r>
      <w:r w:rsidRPr="00832A28">
        <w:rPr>
          <w:rFonts w:ascii="仿宋_GB2312" w:eastAsia="仿宋_GB2312" w:hAnsi="宋体" w:hint="eastAsia"/>
          <w:sz w:val="32"/>
          <w:szCs w:val="32"/>
        </w:rPr>
        <w:t>《中医内科临床诊疗指南</w:t>
      </w:r>
      <w:r w:rsidRPr="00832A28">
        <w:rPr>
          <w:rFonts w:ascii="微软雅黑" w:eastAsia="微软雅黑" w:hAnsi="微软雅黑" w:cs="微软雅黑" w:hint="eastAsia"/>
          <w:sz w:val="32"/>
          <w:szCs w:val="32"/>
        </w:rPr>
        <w:t>・</w:t>
      </w:r>
      <w:r w:rsidRPr="00832A28">
        <w:rPr>
          <w:rFonts w:ascii="仿宋_GB2312" w:eastAsia="仿宋_GB2312" w:hAnsi="仿宋_GB2312" w:cs="仿宋_GB2312" w:hint="eastAsia"/>
          <w:sz w:val="32"/>
          <w:szCs w:val="32"/>
        </w:rPr>
        <w:t>老年衰弱</w:t>
      </w:r>
      <w:r>
        <w:rPr>
          <w:rFonts w:ascii="仿宋_GB2312" w:eastAsia="仿宋_GB2312" w:hAnsi="仿宋_GB2312" w:cs="仿宋_GB2312" w:hint="eastAsia"/>
          <w:sz w:val="32"/>
          <w:szCs w:val="32"/>
        </w:rPr>
        <w:t>》并结合起草单位的实际经验来确定，</w:t>
      </w:r>
      <w:r w:rsidRPr="002D2CE0">
        <w:rPr>
          <w:rFonts w:ascii="仿宋_GB2312" w:eastAsia="仿宋_GB2312" w:hAnsi="仿宋_GB2312" w:cs="仿宋_GB2312" w:hint="eastAsia"/>
          <w:sz w:val="32"/>
          <w:szCs w:val="32"/>
        </w:rPr>
        <w:t>衰弱前期仅存在轻度肌力下降、易疲劳，脏腑虚损程度浅，无严重脏器衰败，病机以轻虚、轻瘀、轻痰湿为主，无需汤剂峻补；代茶饮药性平和、药力轻缓，缓慢调护正气，补而不滞、久服不伤，避免重剂滋腻碍胃、耗伤阴液。《老年人衰弱筛查与干预中西医结合专家共识》《中医内科临床诊疗指南</w:t>
      </w:r>
      <w:r w:rsidRPr="002D2CE0">
        <w:rPr>
          <w:rFonts w:ascii="微软雅黑" w:eastAsia="微软雅黑" w:hAnsi="微软雅黑" w:cs="微软雅黑" w:hint="eastAsia"/>
          <w:sz w:val="32"/>
          <w:szCs w:val="32"/>
        </w:rPr>
        <w:t>・</w:t>
      </w:r>
      <w:r w:rsidRPr="002D2CE0">
        <w:rPr>
          <w:rFonts w:ascii="仿宋_GB2312" w:eastAsia="仿宋_GB2312" w:hAnsi="仿宋_GB2312" w:cs="仿宋_GB2312" w:hint="eastAsia"/>
          <w:sz w:val="32"/>
          <w:szCs w:val="32"/>
        </w:rPr>
        <w:t>老年衰弱》均提出：衰弱前期优先药食同源轻干预，循序渐进阻断向重度衰弱进展，代茶饮是指南推荐一线干预方式</w:t>
      </w:r>
      <w:r>
        <w:rPr>
          <w:rFonts w:ascii="仿宋_GB2312" w:eastAsia="仿宋_GB2312" w:hAnsi="仿宋_GB2312" w:cs="仿宋_GB2312" w:hint="eastAsia"/>
          <w:sz w:val="32"/>
          <w:szCs w:val="32"/>
        </w:rPr>
        <w:t>，起草单位依据实际经验给出了衰弱前期的对应的各种证型的治法、方药、用法、疗程等要求</w:t>
      </w:r>
      <w:r w:rsidR="00406FB9">
        <w:rPr>
          <w:rFonts w:ascii="仿宋_GB2312" w:eastAsia="仿宋_GB2312" w:hAnsi="仿宋_GB2312" w:cs="仿宋_GB2312" w:hint="eastAsia"/>
          <w:sz w:val="32"/>
          <w:szCs w:val="32"/>
        </w:rPr>
        <w:t>。</w:t>
      </w:r>
    </w:p>
    <w:p w:rsidR="002D2CE0" w:rsidRPr="002D2CE0" w:rsidRDefault="002D2CE0" w:rsidP="00406FB9">
      <w:pPr>
        <w:pStyle w:val="aff8"/>
        <w:numPr>
          <w:ilvl w:val="0"/>
          <w:numId w:val="12"/>
        </w:numPr>
        <w:ind w:left="0" w:firstLine="640"/>
        <w:rPr>
          <w:rFonts w:ascii="仿宋_GB2312" w:eastAsia="仿宋_GB2312" w:hAnsi="宋体"/>
          <w:sz w:val="32"/>
          <w:szCs w:val="32"/>
        </w:rPr>
      </w:pPr>
      <w:r w:rsidRPr="002D2CE0">
        <w:rPr>
          <w:rFonts w:ascii="仿宋_GB2312" w:eastAsia="仿宋_GB2312" w:hAnsi="宋体" w:hint="eastAsia"/>
          <w:sz w:val="32"/>
          <w:szCs w:val="32"/>
        </w:rPr>
        <w:t>气血亏虚证（黄芪 5g、党参 5g、阿胶珠 3g、山楂 3g）配伍原理：以双参益气、阿胶养血为核心，少量山楂消滞防滋腻，契合衰弱前期脾虚生化不足、气血两虚病机，补而不壅，温和缓补，适合轻度乏力、面白心悸老人长期冲泡调理。</w:t>
      </w:r>
    </w:p>
    <w:p w:rsidR="002D2CE0" w:rsidRPr="002D2CE0" w:rsidRDefault="002D2CE0" w:rsidP="00406FB9">
      <w:pPr>
        <w:pStyle w:val="aff8"/>
        <w:numPr>
          <w:ilvl w:val="0"/>
          <w:numId w:val="12"/>
        </w:numPr>
        <w:ind w:left="0" w:firstLine="640"/>
        <w:rPr>
          <w:rFonts w:ascii="仿宋_GB2312" w:eastAsia="仿宋_GB2312" w:hAnsi="宋体"/>
          <w:sz w:val="32"/>
          <w:szCs w:val="32"/>
        </w:rPr>
      </w:pPr>
      <w:r w:rsidRPr="002D2CE0">
        <w:rPr>
          <w:rFonts w:ascii="仿宋_GB2312" w:eastAsia="仿宋_GB2312" w:hAnsi="宋体" w:hint="eastAsia"/>
          <w:sz w:val="32"/>
          <w:szCs w:val="32"/>
        </w:rPr>
        <w:t>气虚血瘀证（黄芪 5g、丹参 5g、红花 3g、红曲 3g）配伍原理：遵循补气为先，轻缓活血思路，解决衰弱前</w:t>
      </w:r>
      <w:r w:rsidRPr="002D2CE0">
        <w:rPr>
          <w:rFonts w:ascii="仿宋_GB2312" w:eastAsia="仿宋_GB2312" w:hAnsi="宋体" w:hint="eastAsia"/>
          <w:sz w:val="32"/>
          <w:szCs w:val="32"/>
        </w:rPr>
        <w:lastRenderedPageBreak/>
        <w:t>期气虚无力行血、脉络瘀阻病机，活血不破气、补气不滞血，兼顾老年心脑血管基础问题。</w:t>
      </w:r>
    </w:p>
    <w:p w:rsidR="002D2CE0" w:rsidRPr="002D2CE0" w:rsidRDefault="002D2CE0" w:rsidP="00406FB9">
      <w:pPr>
        <w:pStyle w:val="aff8"/>
        <w:numPr>
          <w:ilvl w:val="0"/>
          <w:numId w:val="12"/>
        </w:numPr>
        <w:ind w:left="0" w:firstLine="640"/>
        <w:rPr>
          <w:rFonts w:ascii="仿宋_GB2312" w:eastAsia="仿宋_GB2312" w:hAnsi="宋体"/>
          <w:sz w:val="32"/>
          <w:szCs w:val="32"/>
        </w:rPr>
      </w:pPr>
      <w:r w:rsidRPr="002D2CE0">
        <w:rPr>
          <w:rFonts w:ascii="仿宋_GB2312" w:eastAsia="仿宋_GB2312" w:hAnsi="宋体" w:hint="eastAsia"/>
          <w:sz w:val="32"/>
          <w:szCs w:val="32"/>
        </w:rPr>
        <w:t>气虚血瘀证（黄芪 5g、丹参 5g、红花 3g、红曲 3g）配伍原理：遵循补气为先，轻缓活血思路，解决衰弱前期气虚无力行血、脉络瘀阻病机，活血不破气、补气不滞血，兼顾老年心脑血管基础问题。</w:t>
      </w:r>
    </w:p>
    <w:p w:rsidR="002D2CE0" w:rsidRPr="002D2CE0" w:rsidRDefault="002D2CE0" w:rsidP="00406FB9">
      <w:pPr>
        <w:pStyle w:val="aff8"/>
        <w:numPr>
          <w:ilvl w:val="0"/>
          <w:numId w:val="12"/>
        </w:numPr>
        <w:ind w:left="0" w:firstLine="640"/>
        <w:rPr>
          <w:rFonts w:ascii="仿宋_GB2312" w:eastAsia="仿宋_GB2312" w:hAnsi="宋体"/>
          <w:sz w:val="32"/>
          <w:szCs w:val="32"/>
        </w:rPr>
      </w:pPr>
      <w:r w:rsidRPr="002D2CE0">
        <w:rPr>
          <w:rFonts w:ascii="仿宋_GB2312" w:eastAsia="仿宋_GB2312" w:hAnsi="宋体" w:hint="eastAsia"/>
          <w:sz w:val="32"/>
          <w:szCs w:val="32"/>
        </w:rPr>
        <w:t>脾肾阳虚证（红参 2g、生姜 3g、龙眼肉 5g、麦冬 5g）配伍原理：少量温阳，佐以滋阴制燥，脾肾双补，兼顾阴阳平衡，解决衰弱前期畏寒、腹冷、夜尿频，防止单纯温补引发虚火口干。</w:t>
      </w:r>
    </w:p>
    <w:p w:rsidR="002D2CE0" w:rsidRPr="002D2CE0" w:rsidRDefault="002D2CE0" w:rsidP="00406FB9">
      <w:pPr>
        <w:pStyle w:val="aff8"/>
        <w:numPr>
          <w:ilvl w:val="0"/>
          <w:numId w:val="12"/>
        </w:numPr>
        <w:ind w:left="0" w:firstLine="640"/>
        <w:rPr>
          <w:rFonts w:ascii="仿宋_GB2312" w:eastAsia="仿宋_GB2312" w:hAnsi="宋体"/>
          <w:sz w:val="32"/>
          <w:szCs w:val="32"/>
        </w:rPr>
      </w:pPr>
      <w:r w:rsidRPr="002D2CE0">
        <w:rPr>
          <w:rFonts w:ascii="仿宋_GB2312" w:eastAsia="仿宋_GB2312" w:hAnsi="宋体" w:hint="eastAsia"/>
          <w:sz w:val="32"/>
          <w:szCs w:val="32"/>
        </w:rPr>
        <w:t>肾精亏虚证（枸杞 5g、桑葚 2g、菟丝子 5g、佛手 5g、山楂 5g）配伍原理：平补肝肾填精，理气消滞为辅，纯补不壅，药性平和无大寒大热，适合轻度健忘、耳鸣、毛发干枯、肾精渐亏人群长期调补。</w:t>
      </w:r>
    </w:p>
    <w:p w:rsidR="00406FB9" w:rsidRPr="00406FB9" w:rsidRDefault="00406FB9" w:rsidP="00406FB9">
      <w:pPr>
        <w:ind w:firstLineChars="200" w:firstLine="643"/>
        <w:rPr>
          <w:rFonts w:ascii="仿宋_GB2312" w:eastAsia="仿宋_GB2312" w:hAnsi="宋体"/>
          <w:b/>
          <w:bCs/>
          <w:sz w:val="32"/>
          <w:szCs w:val="32"/>
        </w:rPr>
      </w:pPr>
      <w:r w:rsidRPr="00406FB9">
        <w:rPr>
          <w:rFonts w:ascii="仿宋_GB2312" w:eastAsia="仿宋_GB2312" w:hAnsi="宋体" w:hint="eastAsia"/>
          <w:b/>
          <w:bCs/>
          <w:sz w:val="32"/>
          <w:szCs w:val="32"/>
        </w:rPr>
        <w:t>（</w:t>
      </w:r>
      <w:r w:rsidRPr="00406FB9">
        <w:rPr>
          <w:rFonts w:ascii="仿宋_GB2312" w:eastAsia="仿宋_GB2312" w:hAnsi="宋体"/>
          <w:b/>
          <w:bCs/>
          <w:sz w:val="32"/>
          <w:szCs w:val="32"/>
        </w:rPr>
        <w:t>2</w:t>
      </w:r>
      <w:r w:rsidRPr="00406FB9">
        <w:rPr>
          <w:rFonts w:ascii="仿宋_GB2312" w:eastAsia="仿宋_GB2312" w:hAnsi="宋体" w:hint="eastAsia"/>
          <w:b/>
          <w:bCs/>
          <w:sz w:val="32"/>
          <w:szCs w:val="32"/>
        </w:rPr>
        <w:t>）衰弱期</w:t>
      </w:r>
    </w:p>
    <w:p w:rsidR="002D2CE0"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参考《中医内科学》《中医内科临床诊疗指南</w:t>
      </w:r>
      <w:r w:rsidRPr="00406FB9">
        <w:rPr>
          <w:rFonts w:ascii="微软雅黑" w:eastAsia="微软雅黑" w:hAnsi="微软雅黑" w:cs="微软雅黑" w:hint="eastAsia"/>
          <w:sz w:val="32"/>
          <w:szCs w:val="32"/>
        </w:rPr>
        <w:t>・</w:t>
      </w:r>
      <w:r w:rsidRPr="00406FB9">
        <w:rPr>
          <w:rFonts w:ascii="仿宋_GB2312" w:eastAsia="仿宋_GB2312" w:hAnsi="仿宋_GB2312" w:cs="仿宋_GB2312" w:hint="eastAsia"/>
          <w:sz w:val="32"/>
          <w:szCs w:val="32"/>
        </w:rPr>
        <w:t>老年衰弱》并结合起草单位的实际经验来确定</w:t>
      </w:r>
      <w:r w:rsidRPr="00406FB9">
        <w:rPr>
          <w:rFonts w:ascii="仿宋_GB2312" w:eastAsia="仿宋_GB2312" w:hAnsi="宋体" w:hint="eastAsia"/>
          <w:sz w:val="32"/>
          <w:szCs w:val="32"/>
        </w:rPr>
        <w:t>，衰弱期老年人多脏器虚损、肌量明显减少，乏力消瘦、活动严重受限，常合并多重慢病，单纯温和代茶饮药力单薄，不足以扭转重度虚衰；传统复方汤剂多味配伍、药力醇厚，补/通/化力量更强，可深度补益脏腑、疏通瘀湿，适合重度虚损干预。</w:t>
      </w:r>
      <w:r>
        <w:rPr>
          <w:rFonts w:ascii="仿宋_GB2312" w:eastAsia="仿宋_GB2312" w:hAnsi="仿宋_GB2312" w:cs="仿宋_GB2312" w:hint="eastAsia"/>
          <w:sz w:val="32"/>
          <w:szCs w:val="32"/>
        </w:rPr>
        <w:t>起草单位依据实际经验给出了衰弱期的对应的各种证型的治法、方药、</w:t>
      </w:r>
      <w:r>
        <w:rPr>
          <w:rFonts w:ascii="仿宋_GB2312" w:eastAsia="仿宋_GB2312" w:hAnsi="仿宋_GB2312" w:cs="仿宋_GB2312" w:hint="eastAsia"/>
          <w:sz w:val="32"/>
          <w:szCs w:val="32"/>
        </w:rPr>
        <w:lastRenderedPageBreak/>
        <w:t>用法、疗程等要求。</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气血亏虚证</w:t>
      </w:r>
      <w:r>
        <w:rPr>
          <w:rFonts w:ascii="仿宋_GB2312" w:eastAsia="仿宋_GB2312" w:hAnsi="宋体" w:hint="eastAsia"/>
          <w:sz w:val="32"/>
          <w:szCs w:val="32"/>
        </w:rPr>
        <w:t>：</w:t>
      </w:r>
      <w:r w:rsidRPr="00406FB9">
        <w:rPr>
          <w:rFonts w:ascii="仿宋_GB2312" w:eastAsia="仿宋_GB2312" w:hAnsi="宋体" w:hint="eastAsia"/>
          <w:sz w:val="32"/>
          <w:szCs w:val="32"/>
        </w:rPr>
        <w:t>八珍汤为四君子+四物汤合方，健脾益气+滋阴养血双管齐下，针对衰弱期重度气血俱虚：面色苍白萎黄、极度乏力、心悸气短、肢体麻木、脉细弱。代茶饮仅轻补，汤剂四君子夯实气血生化，四物直补阴血，药力更强，纠正重度消瘦、卧床乏力。八珍颗粒为八珍汤标准制剂，与汤剂治法完全对应；振源片单重益气，适合不耐滋腻、以气虚为主的重度衰弱老人。</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气虚血瘀证</w:t>
      </w:r>
      <w:r>
        <w:rPr>
          <w:rFonts w:ascii="仿宋_GB2312" w:eastAsia="仿宋_GB2312" w:hAnsi="宋体" w:hint="eastAsia"/>
          <w:sz w:val="32"/>
          <w:szCs w:val="32"/>
        </w:rPr>
        <w:t>：</w:t>
      </w:r>
      <w:r w:rsidRPr="00406FB9">
        <w:rPr>
          <w:rFonts w:ascii="仿宋_GB2312" w:eastAsia="仿宋_GB2312" w:hAnsi="宋体" w:hint="eastAsia"/>
          <w:sz w:val="32"/>
          <w:szCs w:val="32"/>
        </w:rPr>
        <w:t>衰弱期虚损日久，气虚无力行血，瘀血阻滞全身经络，多见周身刺痛、口唇紫暗、肢体麻木、行动艰难。本方大剂黄芪补气为根本，少量活血药通络，避免单纯活血耗正气，契合 “因虚致瘀” 核心病机。补阳还五颗粒为本方成药；脑心通兼顾益气、活血、通络，适合合并脑梗、冠心病的衰弱住院老人。</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脾虚痰湿证</w:t>
      </w:r>
      <w:r>
        <w:rPr>
          <w:rFonts w:ascii="仿宋_GB2312" w:eastAsia="仿宋_GB2312" w:hAnsi="宋体" w:hint="eastAsia"/>
          <w:sz w:val="32"/>
          <w:szCs w:val="32"/>
        </w:rPr>
        <w:t>：</w:t>
      </w:r>
      <w:r w:rsidRPr="00406FB9">
        <w:rPr>
          <w:rFonts w:ascii="仿宋_GB2312" w:eastAsia="仿宋_GB2312" w:hAnsi="宋体" w:hint="eastAsia"/>
          <w:sz w:val="32"/>
          <w:szCs w:val="32"/>
        </w:rPr>
        <w:t>衰弱期脾虚日久，运化无力，水湿大量内停，表现全身浮肿、胸腹胀满、嗜睡便溏、纳食极少。本方重在健脾固本、淡渗利湿，标本同用，祛湿不伤正气，长期服用不会耗伤阴液，适合重度痰湿虚弱老人。衰弱期脾虚日久，运化无力，水湿大量内停，表现全身浮肿、胸腹胀满、嗜睡便溏、纳食极少。本方重在健脾固本、淡渗利湿，标本同用，祛湿不伤正气，长期服用不会耗伤阴液，适合重度痰湿虚弱老人。</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lastRenderedPageBreak/>
        <w:t>脾肾阳虚证</w:t>
      </w:r>
      <w:r>
        <w:rPr>
          <w:rFonts w:ascii="仿宋_GB2312" w:eastAsia="仿宋_GB2312" w:hAnsi="宋体" w:hint="eastAsia"/>
          <w:sz w:val="32"/>
          <w:szCs w:val="32"/>
        </w:rPr>
        <w:t>：</w:t>
      </w:r>
      <w:r w:rsidRPr="00406FB9">
        <w:rPr>
          <w:rFonts w:ascii="仿宋_GB2312" w:eastAsia="仿宋_GB2312" w:hAnsi="宋体" w:hint="eastAsia"/>
          <w:sz w:val="32"/>
          <w:szCs w:val="32"/>
        </w:rPr>
        <w:t>衰弱期先后天阳气俱衰，畏寒肢冷、五更泄泻、夜尿频多、下肢水肿，单纯轻温的代茶饮力度不足。金匮肾气汤少量附子、桂枝微微生火，阴中求阳，温而不燥，兼顾脾肾，避免大热药耗伤阴精，适配老年阴阳两虚体质。桂附地黄丸即金匮肾气丸成药；附子理中丸偏重温脾，以脘腹冷、腹泻突出者选用。</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肾精亏虚证</w:t>
      </w:r>
      <w:r>
        <w:rPr>
          <w:rFonts w:ascii="仿宋_GB2312" w:eastAsia="仿宋_GB2312" w:hAnsi="宋体" w:hint="eastAsia"/>
          <w:sz w:val="32"/>
          <w:szCs w:val="32"/>
        </w:rPr>
        <w:t>：</w:t>
      </w:r>
      <w:r w:rsidRPr="00406FB9">
        <w:rPr>
          <w:rFonts w:ascii="仿宋_GB2312" w:eastAsia="仿宋_GB2312" w:hAnsi="宋体" w:hint="eastAsia"/>
          <w:sz w:val="32"/>
          <w:szCs w:val="32"/>
        </w:rPr>
        <w:t>衰弱期肾精耗竭，出现重度健忘、耳聋耳鸣、身形干瘦、毛发枯槁、腰膝酸软，是衰老最深层次虚损。龟鹿二仙汤为血肉有情之品填精，药力远胜于代茶饮草木类药材，龟板滋阴、鹿角温阳，平衡填补肾精，搭配参、地补气养血，精气血同补，针对重度精亏衰弱。左归丸填精力量更强，适合精亏重症；六味地黄丸纯滋阴，阳虚不明显的精亏老人选用。</w:t>
      </w:r>
    </w:p>
    <w:p w:rsidR="00406FB9" w:rsidRDefault="00406FB9" w:rsidP="00406FB9">
      <w:pPr>
        <w:ind w:firstLineChars="200" w:firstLine="643"/>
        <w:rPr>
          <w:rFonts w:ascii="楷体" w:eastAsia="楷体" w:hAnsi="楷体"/>
          <w:b/>
          <w:sz w:val="32"/>
          <w:szCs w:val="32"/>
        </w:rPr>
      </w:pPr>
      <w:r>
        <w:rPr>
          <w:rFonts w:ascii="楷体" w:eastAsia="楷体" w:hAnsi="楷体" w:hint="eastAsia"/>
          <w:b/>
          <w:sz w:val="32"/>
          <w:szCs w:val="32"/>
        </w:rPr>
        <w:t>（三</w:t>
      </w:r>
      <w:r>
        <w:rPr>
          <w:rFonts w:ascii="楷体" w:eastAsia="楷体" w:hAnsi="楷体"/>
          <w:b/>
          <w:sz w:val="32"/>
          <w:szCs w:val="32"/>
        </w:rPr>
        <w:t>）</w:t>
      </w:r>
      <w:r>
        <w:rPr>
          <w:rFonts w:ascii="楷体" w:eastAsia="楷体" w:hAnsi="楷体" w:hint="eastAsia"/>
          <w:b/>
          <w:sz w:val="32"/>
          <w:szCs w:val="32"/>
        </w:rPr>
        <w:t>日常调护</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参考《老年人衰弱筛查与干预中西医结合专家共识》《中医内科临床诊疗指南</w:t>
      </w:r>
      <w:r w:rsidRPr="00406FB9">
        <w:rPr>
          <w:rFonts w:ascii="微软雅黑" w:eastAsia="微软雅黑" w:hAnsi="微软雅黑" w:cs="微软雅黑" w:hint="eastAsia"/>
          <w:sz w:val="32"/>
          <w:szCs w:val="32"/>
        </w:rPr>
        <w:t>・</w:t>
      </w:r>
      <w:r w:rsidRPr="00406FB9">
        <w:rPr>
          <w:rFonts w:ascii="仿宋_GB2312" w:eastAsia="仿宋_GB2312" w:hAnsi="仿宋_GB2312" w:cs="仿宋_GB2312" w:hint="eastAsia"/>
          <w:sz w:val="32"/>
          <w:szCs w:val="32"/>
        </w:rPr>
        <w:t>老年衰弱》并结合起草单位的实际经验来确定</w:t>
      </w:r>
      <w:r>
        <w:rPr>
          <w:rFonts w:ascii="仿宋_GB2312" w:eastAsia="仿宋_GB2312" w:hAnsi="宋体" w:hint="eastAsia"/>
          <w:sz w:val="32"/>
          <w:szCs w:val="32"/>
        </w:rPr>
        <w:t>。</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生活起居方面：老年衰弱脏腑阴阳失衡、卫气不足，顺应四时、规律作息可减少外感耗损；每日排便 1～2 次，防止糟粕内积耗伤气血。衰弱老人肌力、平衡能力下降，如厕、淋浴为跌倒高发场景，专人陪护可降低骨折、外伤风险，契合住院老年安全管理要求。</w:t>
      </w:r>
    </w:p>
    <w:p w:rsidR="00406FB9" w:rsidRP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lastRenderedPageBreak/>
        <w:t>饮食指导参照《老年人健康管理技术规范》标准化营养方案</w:t>
      </w:r>
      <w:r>
        <w:rPr>
          <w:rFonts w:ascii="仿宋_GB2312" w:eastAsia="仿宋_GB2312" w:hAnsi="宋体" w:hint="eastAsia"/>
          <w:sz w:val="32"/>
          <w:szCs w:val="32"/>
        </w:rPr>
        <w:t>。</w:t>
      </w:r>
      <w:r w:rsidRPr="00406FB9">
        <w:rPr>
          <w:rFonts w:ascii="仿宋_GB2312" w:eastAsia="仿宋_GB2312" w:hAnsi="宋体" w:hint="eastAsia"/>
          <w:sz w:val="32"/>
          <w:szCs w:val="32"/>
        </w:rPr>
        <w:t>衰弱核心病理为肌肉流失，每日 20～30g 优质蛋白可逆转肌少；ω-3 减轻全身低度炎症，钙与维生素 D 协同预防骨质疏松。消瘦、营养不良者补充肠内制剂，快速纠正能量缺口，是中西医一致认可的基础干预手段。</w:t>
      </w:r>
    </w:p>
    <w:p w:rsidR="00406FB9" w:rsidRP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运动调护选用八段锦、太极拳等低强度传统导引，兼顾中医形神共养与西医肌力训练，根据体能自主选择，避免高强度运动耗伤正气，分层适配衰弱前期、衰弱期人群。</w:t>
      </w:r>
    </w:p>
    <w:p w:rsidR="00406FB9" w:rsidRP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情志调护遵循 “七情内伤耗五脏” 中医理论，大喜大悲会耗损气血、扰乱脏腑功能，稳定情绪可减少应激反应，降低衰弱进展速度，同步改善失眠、乏力伴随症状。</w:t>
      </w:r>
    </w:p>
    <w:p w:rsidR="00406FB9" w:rsidRDefault="00406FB9" w:rsidP="00406FB9">
      <w:pPr>
        <w:ind w:firstLineChars="200" w:firstLine="640"/>
        <w:rPr>
          <w:rFonts w:ascii="仿宋_GB2312" w:eastAsia="仿宋_GB2312" w:hAnsi="宋体"/>
          <w:sz w:val="32"/>
          <w:szCs w:val="32"/>
        </w:rPr>
      </w:pPr>
      <w:r w:rsidRPr="00406FB9">
        <w:rPr>
          <w:rFonts w:ascii="仿宋_GB2312" w:eastAsia="仿宋_GB2312" w:hAnsi="宋体" w:hint="eastAsia"/>
          <w:sz w:val="32"/>
          <w:szCs w:val="32"/>
        </w:rPr>
        <w:t>随访实行分层管理，贴合衰弱进展规律：衰弱前期虚损较轻、进展缓慢，6-12 个月随访即可；稳定衰弱期脏腑亏虚较重，每 3-6 个月复测评估；合并急症、调药的不稳定患者缩短至 2-4 周，及时调整营养、运动、中医方案。随访从运动、营养、用药、自理能力多维度综合评价，完整追踪衰弱改善情况，构建筛查 - 治疗 - 长期养护闭环，实现住院干预向居家管理延续，降低再住院、失能风险，标准与国内老年衰弱全周期管理指南要求保持统一。</w:t>
      </w:r>
    </w:p>
    <w:p w:rsidR="00406FB9" w:rsidRDefault="00406FB9" w:rsidP="00406FB9">
      <w:pPr>
        <w:jc w:val="center"/>
        <w:rPr>
          <w:rFonts w:ascii="仿宋_GB2312" w:eastAsia="仿宋_GB2312" w:hAnsi="宋体"/>
          <w:sz w:val="32"/>
          <w:szCs w:val="32"/>
        </w:rPr>
      </w:pPr>
      <w:r>
        <w:rPr>
          <w:noProof/>
        </w:rPr>
        <w:lastRenderedPageBreak/>
        <w:drawing>
          <wp:inline distT="0" distB="0" distL="0" distR="0" wp14:anchorId="5A537D49" wp14:editId="6F3A3B2E">
            <wp:extent cx="5274310" cy="2299970"/>
            <wp:effectExtent l="0" t="0" r="254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299970"/>
                    </a:xfrm>
                    <a:prstGeom prst="rect">
                      <a:avLst/>
                    </a:prstGeom>
                  </pic:spPr>
                </pic:pic>
              </a:graphicData>
            </a:graphic>
          </wp:inline>
        </w:drawing>
      </w:r>
    </w:p>
    <w:p w:rsidR="00406FB9" w:rsidRPr="00406FB9" w:rsidRDefault="00406FB9" w:rsidP="00406FB9">
      <w:pPr>
        <w:jc w:val="center"/>
        <w:rPr>
          <w:szCs w:val="21"/>
        </w:rPr>
      </w:pPr>
      <w:r>
        <w:rPr>
          <w:rFonts w:hint="eastAsia"/>
          <w:szCs w:val="21"/>
        </w:rPr>
        <w:t>来源：</w:t>
      </w:r>
      <w:r w:rsidRPr="00406FB9">
        <w:rPr>
          <w:rFonts w:hint="eastAsia"/>
          <w:szCs w:val="21"/>
        </w:rPr>
        <w:t>老年人衰弱筛查与干预中西医结合专家共识</w:t>
      </w:r>
    </w:p>
    <w:p w:rsidR="00406FB9" w:rsidRDefault="00406FB9" w:rsidP="00406FB9">
      <w:pPr>
        <w:jc w:val="center"/>
        <w:rPr>
          <w:rFonts w:ascii="仿宋_GB2312" w:eastAsia="仿宋_GB2312" w:hAnsi="宋体"/>
          <w:sz w:val="32"/>
          <w:szCs w:val="32"/>
        </w:rPr>
      </w:pPr>
      <w:r>
        <w:rPr>
          <w:noProof/>
        </w:rPr>
        <w:drawing>
          <wp:inline distT="0" distB="0" distL="0" distR="0" wp14:anchorId="7B1951AA" wp14:editId="73007202">
            <wp:extent cx="3723809" cy="53619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809" cy="5361905"/>
                    </a:xfrm>
                    <a:prstGeom prst="rect">
                      <a:avLst/>
                    </a:prstGeom>
                  </pic:spPr>
                </pic:pic>
              </a:graphicData>
            </a:graphic>
          </wp:inline>
        </w:drawing>
      </w:r>
    </w:p>
    <w:p w:rsidR="00406FB9" w:rsidRPr="00406FB9" w:rsidRDefault="00406FB9" w:rsidP="00406FB9">
      <w:pPr>
        <w:jc w:val="center"/>
        <w:rPr>
          <w:rFonts w:ascii="仿宋_GB2312" w:eastAsia="仿宋_GB2312" w:hAnsi="宋体"/>
          <w:sz w:val="32"/>
          <w:szCs w:val="32"/>
        </w:rPr>
      </w:pPr>
      <w:r>
        <w:rPr>
          <w:rFonts w:hint="eastAsia"/>
          <w:szCs w:val="21"/>
        </w:rPr>
        <w:t>来源：</w:t>
      </w:r>
      <w:r w:rsidRPr="00832A28">
        <w:rPr>
          <w:rFonts w:hint="eastAsia"/>
          <w:szCs w:val="21"/>
        </w:rPr>
        <w:t>中医内科临床诊疗指南·老年衰弱（制定）</w:t>
      </w:r>
    </w:p>
    <w:bookmarkEnd w:id="11"/>
    <w:p w:rsidR="00695227" w:rsidRDefault="007F1C0C">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695227" w:rsidRDefault="007F1C0C">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lastRenderedPageBreak/>
        <w:t>本标准研制过程中无重大分歧意见。</w:t>
      </w:r>
    </w:p>
    <w:p w:rsidR="00695227" w:rsidRDefault="007F1C0C">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695227" w:rsidRDefault="007F1C0C">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w:t>
      </w:r>
      <w:r>
        <w:rPr>
          <w:rFonts w:ascii="仿宋_GB2312" w:eastAsia="仿宋_GB2312" w:hAnsi="Calibri" w:hint="eastAsia"/>
          <w:sz w:val="32"/>
          <w:szCs w:val="32"/>
        </w:rPr>
        <w:t>《</w:t>
      </w:r>
      <w:r w:rsidR="002A62F7">
        <w:rPr>
          <w:rFonts w:ascii="仿宋_GB2312" w:eastAsia="仿宋_GB2312" w:hAnsi="Calibri" w:hint="eastAsia"/>
          <w:sz w:val="32"/>
          <w:szCs w:val="32"/>
        </w:rPr>
        <w:t>住院衰弱老年人中医评估与干预规范</w:t>
      </w:r>
      <w:r>
        <w:rPr>
          <w:rFonts w:ascii="仿宋_GB2312" w:eastAsia="仿宋_GB2312" w:hAnsi="Calibri" w:hint="eastAsia"/>
          <w:sz w:val="32"/>
          <w:szCs w:val="32"/>
        </w:rPr>
        <w:t>》</w:t>
      </w:r>
      <w:r>
        <w:rPr>
          <w:rFonts w:ascii="仿宋_GB2312" w:eastAsia="仿宋_GB2312" w:hAnsi="仿宋" w:cs="仿宋_GB2312" w:hint="eastAsia"/>
          <w:color w:val="000000"/>
          <w:sz w:val="32"/>
          <w:szCs w:val="32"/>
          <w:lang w:bidi="ar"/>
        </w:rPr>
        <w:t>发布后，积极向各级相关行政部门、医疗机构宣传，向所有医疗机构推荐执行本标准。</w:t>
      </w:r>
    </w:p>
    <w:p w:rsidR="00695227" w:rsidRDefault="007F1C0C">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695227" w:rsidRDefault="007F1C0C">
      <w:pPr>
        <w:widowControl/>
        <w:ind w:firstLineChars="200" w:firstLine="640"/>
        <w:jc w:val="left"/>
      </w:pPr>
      <w:r>
        <w:rPr>
          <w:rFonts w:ascii="仿宋_GB2312" w:eastAsia="仿宋_GB2312" w:hAnsi="Calibri" w:hint="eastAsia"/>
          <w:sz w:val="32"/>
          <w:szCs w:val="32"/>
          <w:lang w:bidi="ar"/>
        </w:rPr>
        <w:t>无。</w:t>
      </w:r>
    </w:p>
    <w:p w:rsidR="00695227" w:rsidRDefault="00695227">
      <w:pPr>
        <w:spacing w:line="560" w:lineRule="exact"/>
        <w:ind w:firstLineChars="200" w:firstLine="640"/>
        <w:rPr>
          <w:rFonts w:ascii="仿宋_GB2312" w:eastAsia="仿宋_GB2312" w:hAnsi="宋体"/>
          <w:sz w:val="32"/>
          <w:szCs w:val="32"/>
        </w:rPr>
      </w:pPr>
    </w:p>
    <w:p w:rsidR="00695227" w:rsidRDefault="00695227">
      <w:pPr>
        <w:spacing w:line="560" w:lineRule="exact"/>
        <w:ind w:firstLineChars="200" w:firstLine="640"/>
        <w:rPr>
          <w:rFonts w:ascii="仿宋_GB2312" w:eastAsia="仿宋_GB2312" w:hAnsi="宋体"/>
          <w:sz w:val="32"/>
          <w:szCs w:val="32"/>
        </w:rPr>
      </w:pPr>
    </w:p>
    <w:p w:rsidR="00695227" w:rsidRDefault="007F1C0C" w:rsidP="00406FB9">
      <w:pPr>
        <w:spacing w:line="560" w:lineRule="exact"/>
        <w:ind w:right="1760"/>
        <w:jc w:val="right"/>
        <w:rPr>
          <w:rFonts w:ascii="仿宋_GB2312" w:eastAsia="仿宋_GB2312" w:hAnsi="宋体"/>
          <w:sz w:val="32"/>
          <w:szCs w:val="32"/>
        </w:rPr>
      </w:pPr>
      <w:r>
        <w:rPr>
          <w:rFonts w:ascii="仿宋_GB2312" w:eastAsia="仿宋_GB2312" w:hAnsi="宋体" w:hint="eastAsia"/>
          <w:sz w:val="32"/>
          <w:szCs w:val="32"/>
        </w:rPr>
        <w:t>团体标准</w:t>
      </w:r>
    </w:p>
    <w:p w:rsidR="00695227" w:rsidRDefault="007F1C0C">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Calibri" w:hint="eastAsia"/>
          <w:sz w:val="32"/>
          <w:szCs w:val="32"/>
        </w:rPr>
        <w:t>《</w:t>
      </w:r>
      <w:r w:rsidR="002A62F7">
        <w:rPr>
          <w:rFonts w:ascii="仿宋_GB2312" w:eastAsia="仿宋_GB2312" w:hAnsi="Calibri" w:hint="eastAsia"/>
          <w:sz w:val="32"/>
          <w:szCs w:val="32"/>
        </w:rPr>
        <w:t>住院衰弱老年人中医评估与干预规范</w:t>
      </w:r>
      <w:r>
        <w:rPr>
          <w:rFonts w:ascii="仿宋_GB2312" w:eastAsia="仿宋_GB2312" w:hAnsi="Calibri" w:hint="eastAsia"/>
          <w:sz w:val="32"/>
          <w:szCs w:val="32"/>
        </w:rPr>
        <w:t>》</w:t>
      </w:r>
    </w:p>
    <w:p w:rsidR="00695227" w:rsidRDefault="007F1C0C" w:rsidP="00406FB9">
      <w:pPr>
        <w:spacing w:line="560" w:lineRule="exact"/>
        <w:ind w:right="1440"/>
        <w:jc w:val="right"/>
        <w:rPr>
          <w:rFonts w:ascii="仿宋_GB2312" w:eastAsia="仿宋_GB2312" w:hAnsi="宋体"/>
          <w:sz w:val="32"/>
          <w:szCs w:val="32"/>
        </w:rPr>
      </w:pPr>
      <w:r>
        <w:rPr>
          <w:rFonts w:ascii="仿宋_GB2312" w:eastAsia="仿宋_GB2312" w:hAnsi="宋体" w:hint="eastAsia"/>
          <w:sz w:val="32"/>
          <w:szCs w:val="32"/>
        </w:rPr>
        <w:t>标准编制组</w:t>
      </w:r>
    </w:p>
    <w:p w:rsidR="00695227" w:rsidRDefault="007F1C0C" w:rsidP="00406FB9">
      <w:pPr>
        <w:spacing w:line="560" w:lineRule="exact"/>
        <w:ind w:right="1120"/>
        <w:jc w:val="right"/>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sidR="00D54FF7">
        <w:rPr>
          <w:rFonts w:ascii="仿宋_GB2312" w:eastAsia="仿宋_GB2312" w:hAnsi="宋体"/>
          <w:sz w:val="32"/>
          <w:szCs w:val="32"/>
        </w:rPr>
        <w:t>6</w:t>
      </w:r>
      <w:r>
        <w:rPr>
          <w:rFonts w:ascii="仿宋_GB2312" w:eastAsia="仿宋_GB2312" w:hAnsi="宋体" w:hint="eastAsia"/>
          <w:sz w:val="32"/>
          <w:szCs w:val="32"/>
        </w:rPr>
        <w:t>月</w:t>
      </w:r>
      <w:r w:rsidR="00D54FF7">
        <w:rPr>
          <w:rFonts w:ascii="仿宋_GB2312" w:eastAsia="仿宋_GB2312" w:hAnsi="宋体"/>
          <w:sz w:val="32"/>
          <w:szCs w:val="32"/>
        </w:rPr>
        <w:t>30</w:t>
      </w:r>
      <w:r>
        <w:rPr>
          <w:rFonts w:ascii="仿宋_GB2312" w:eastAsia="仿宋_GB2312" w:hAnsi="宋体" w:hint="eastAsia"/>
          <w:sz w:val="32"/>
          <w:szCs w:val="32"/>
        </w:rPr>
        <w:t>日</w:t>
      </w: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firstLineChars="1500" w:firstLine="4800"/>
        <w:rPr>
          <w:rFonts w:ascii="仿宋_GB2312" w:eastAsia="仿宋_GB2312" w:hAnsi="宋体"/>
          <w:sz w:val="32"/>
          <w:szCs w:val="32"/>
        </w:rPr>
      </w:pPr>
    </w:p>
    <w:p w:rsidR="00695227" w:rsidRDefault="00695227">
      <w:pPr>
        <w:spacing w:line="560" w:lineRule="exact"/>
        <w:ind w:right="640"/>
        <w:rPr>
          <w:rFonts w:ascii="仿宋_GB2312" w:eastAsia="仿宋_GB2312" w:hAnsi="宋体"/>
          <w:sz w:val="32"/>
          <w:szCs w:val="32"/>
        </w:rPr>
      </w:pPr>
    </w:p>
    <w:sectPr w:rsidR="00695227">
      <w:footerReference w:type="default" r:id="rId16"/>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7D62" w:rsidRDefault="003E7D62">
      <w:r>
        <w:separator/>
      </w:r>
    </w:p>
  </w:endnote>
  <w:endnote w:type="continuationSeparator" w:id="0">
    <w:p w:rsidR="003E7D62" w:rsidRDefault="003E7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355D5D80-DFF7-4771-9369-29C3B9598F16}"/>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27C24DEA-71A6-4490-9333-FED14E809AAE}"/>
  </w:font>
  <w:font w:name="仿宋_GB2312">
    <w:panose1 w:val="02010609030101010101"/>
    <w:charset w:val="86"/>
    <w:family w:val="modern"/>
    <w:pitch w:val="fixed"/>
    <w:sig w:usb0="00000001" w:usb1="080E0000" w:usb2="00000010" w:usb3="00000000" w:csb0="00040000" w:csb1="00000000"/>
    <w:embedRegular r:id="rId3" w:subsetted="1" w:fontKey="{B8252283-FCFE-4797-902E-27360DE1F028}"/>
    <w:embedBold r:id="rId4" w:subsetted="1" w:fontKey="{E259B5B3-02B7-45C7-AE0C-8A0F396CD674}"/>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embedBold r:id="rId5" w:subsetted="1" w:fontKey="{AA3C3003-1BA9-46AE-B7C8-EE9C53C95823}"/>
  </w:font>
  <w:font w:name="等线">
    <w:altName w:val="DengXian"/>
    <w:panose1 w:val="02010600030101010101"/>
    <w:charset w:val="86"/>
    <w:family w:val="auto"/>
    <w:pitch w:val="variable"/>
    <w:sig w:usb0="A00002BF" w:usb1="38CF7CFA" w:usb2="00000016" w:usb3="00000000" w:csb0="0004000F" w:csb1="00000000"/>
    <w:embedRegular r:id="rId6" w:subsetted="1" w:fontKey="{8C9A336B-F47D-43DB-B411-9308D1434976}"/>
  </w:font>
  <w:font w:name="微软雅黑">
    <w:panose1 w:val="020B0503020204020204"/>
    <w:charset w:val="86"/>
    <w:family w:val="swiss"/>
    <w:pitch w:val="variable"/>
    <w:sig w:usb0="80000287" w:usb1="280F3C52" w:usb2="00000016" w:usb3="00000000" w:csb0="0004001F" w:csb1="00000000"/>
    <w:embedRegular r:id="rId7" w:subsetted="1" w:fontKey="{9E644959-1235-4153-8649-D3E1DBFFC0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695227" w:rsidRDefault="007F1C0C">
        <w:pPr>
          <w:pStyle w:val="af8"/>
          <w:jc w:val="center"/>
        </w:pPr>
        <w:r>
          <w:fldChar w:fldCharType="begin"/>
        </w:r>
        <w:r>
          <w:instrText>PAGE   \* MERGEFORMAT</w:instrText>
        </w:r>
        <w:r>
          <w:fldChar w:fldCharType="separate"/>
        </w:r>
        <w:r>
          <w:rPr>
            <w:lang w:val="zh-CN"/>
          </w:rPr>
          <w:t>22</w:t>
        </w:r>
        <w:r>
          <w:fldChar w:fldCharType="end"/>
        </w:r>
      </w:p>
    </w:sdtContent>
  </w:sdt>
  <w:p w:rsidR="00695227" w:rsidRDefault="00695227">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7D62" w:rsidRDefault="003E7D62">
      <w:r>
        <w:separator/>
      </w:r>
    </w:p>
  </w:footnote>
  <w:footnote w:type="continuationSeparator" w:id="0">
    <w:p w:rsidR="003E7D62" w:rsidRDefault="003E7D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04500DE0"/>
    <w:multiLevelType w:val="hybridMultilevel"/>
    <w:tmpl w:val="E3DAE840"/>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5"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6"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48F92E78"/>
    <w:multiLevelType w:val="hybridMultilevel"/>
    <w:tmpl w:val="C9FE9410"/>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8"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9"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15:restartNumberingAfterBreak="0">
    <w:nsid w:val="7AC94530"/>
    <w:multiLevelType w:val="hybridMultilevel"/>
    <w:tmpl w:val="2AEE464E"/>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11" w15:restartNumberingAfterBreak="0">
    <w:nsid w:val="7BFF3A6A"/>
    <w:multiLevelType w:val="hybridMultilevel"/>
    <w:tmpl w:val="6BF4DF5C"/>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num w:numId="1">
    <w:abstractNumId w:val="3"/>
  </w:num>
  <w:num w:numId="2">
    <w:abstractNumId w:val="9"/>
  </w:num>
  <w:num w:numId="3">
    <w:abstractNumId w:val="5"/>
  </w:num>
  <w:num w:numId="4">
    <w:abstractNumId w:val="1"/>
  </w:num>
  <w:num w:numId="5">
    <w:abstractNumId w:val="8"/>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0"/>
  </w:num>
  <w:num w:numId="9">
    <w:abstractNumId w:val="2"/>
  </w:num>
  <w:num w:numId="10">
    <w:abstractNumId w:val="10"/>
  </w:num>
  <w:num w:numId="11">
    <w:abstractNumId w:val="7"/>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5B2A"/>
    <w:rsid w:val="000B6EA3"/>
    <w:rsid w:val="000B7B2A"/>
    <w:rsid w:val="000C1499"/>
    <w:rsid w:val="000C1656"/>
    <w:rsid w:val="000C187F"/>
    <w:rsid w:val="000C23E0"/>
    <w:rsid w:val="000C412A"/>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853"/>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4D32"/>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663A8"/>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26A"/>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60D"/>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2F7"/>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2CE0"/>
    <w:rsid w:val="002D4929"/>
    <w:rsid w:val="002D4FC0"/>
    <w:rsid w:val="002D6215"/>
    <w:rsid w:val="002D6356"/>
    <w:rsid w:val="002D74C0"/>
    <w:rsid w:val="002E1137"/>
    <w:rsid w:val="002E1BFD"/>
    <w:rsid w:val="002E33C3"/>
    <w:rsid w:val="002E4BF9"/>
    <w:rsid w:val="002E5866"/>
    <w:rsid w:val="002F1BB3"/>
    <w:rsid w:val="002F1E88"/>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5FF4"/>
    <w:rsid w:val="003D62FE"/>
    <w:rsid w:val="003D7D4F"/>
    <w:rsid w:val="003E0E39"/>
    <w:rsid w:val="003E11BD"/>
    <w:rsid w:val="003E17D3"/>
    <w:rsid w:val="003E2129"/>
    <w:rsid w:val="003E30BD"/>
    <w:rsid w:val="003E352B"/>
    <w:rsid w:val="003E40BC"/>
    <w:rsid w:val="003E4459"/>
    <w:rsid w:val="003E5596"/>
    <w:rsid w:val="003E641C"/>
    <w:rsid w:val="003E6F67"/>
    <w:rsid w:val="003E7060"/>
    <w:rsid w:val="003E7D62"/>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06FB9"/>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48C"/>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42E"/>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7BD"/>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4A9"/>
    <w:rsid w:val="0059192F"/>
    <w:rsid w:val="00591FD9"/>
    <w:rsid w:val="005921E9"/>
    <w:rsid w:val="00592BD2"/>
    <w:rsid w:val="005933A4"/>
    <w:rsid w:val="005939F4"/>
    <w:rsid w:val="005941EB"/>
    <w:rsid w:val="00594BAA"/>
    <w:rsid w:val="00595A3B"/>
    <w:rsid w:val="00597046"/>
    <w:rsid w:val="005970B9"/>
    <w:rsid w:val="005A095F"/>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1345"/>
    <w:rsid w:val="005F220F"/>
    <w:rsid w:val="005F2FEF"/>
    <w:rsid w:val="005F358A"/>
    <w:rsid w:val="005F43EF"/>
    <w:rsid w:val="005F48D3"/>
    <w:rsid w:val="005F5BD1"/>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73C5"/>
    <w:rsid w:val="00627D4F"/>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3844"/>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227"/>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9B2"/>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E6BA2"/>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4C49"/>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13B9"/>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1C0C"/>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2A28"/>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1F9"/>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1364"/>
    <w:rsid w:val="009513C1"/>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6654"/>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27AA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01F7"/>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11F"/>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6E8F"/>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1FF"/>
    <w:rsid w:val="00B46600"/>
    <w:rsid w:val="00B515D4"/>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1BD7"/>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1F7"/>
    <w:rsid w:val="00B932E9"/>
    <w:rsid w:val="00B9332E"/>
    <w:rsid w:val="00B9388D"/>
    <w:rsid w:val="00B93E41"/>
    <w:rsid w:val="00B942D9"/>
    <w:rsid w:val="00B94FB6"/>
    <w:rsid w:val="00B95736"/>
    <w:rsid w:val="00B95792"/>
    <w:rsid w:val="00B95C3B"/>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5364"/>
    <w:rsid w:val="00BD6127"/>
    <w:rsid w:val="00BD73AE"/>
    <w:rsid w:val="00BE0A61"/>
    <w:rsid w:val="00BE0E67"/>
    <w:rsid w:val="00BE204E"/>
    <w:rsid w:val="00BE2156"/>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43D6"/>
    <w:rsid w:val="00C45763"/>
    <w:rsid w:val="00C46800"/>
    <w:rsid w:val="00C47018"/>
    <w:rsid w:val="00C47059"/>
    <w:rsid w:val="00C472BB"/>
    <w:rsid w:val="00C47DDD"/>
    <w:rsid w:val="00C519E9"/>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96AB1"/>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4FF7"/>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2C4"/>
    <w:rsid w:val="00D70800"/>
    <w:rsid w:val="00D74FC3"/>
    <w:rsid w:val="00D75020"/>
    <w:rsid w:val="00D754E1"/>
    <w:rsid w:val="00D75C57"/>
    <w:rsid w:val="00D77FB9"/>
    <w:rsid w:val="00D8072E"/>
    <w:rsid w:val="00D8194D"/>
    <w:rsid w:val="00D82094"/>
    <w:rsid w:val="00D82B5B"/>
    <w:rsid w:val="00D84410"/>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E79F1"/>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B9A"/>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82C"/>
    <w:rsid w:val="00F04134"/>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3B95"/>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855"/>
    <w:rsid w:val="00F67AA4"/>
    <w:rsid w:val="00F72A3D"/>
    <w:rsid w:val="00F7355B"/>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26E"/>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58D22A7"/>
    <w:rsid w:val="07DF2906"/>
    <w:rsid w:val="09D9381F"/>
    <w:rsid w:val="09EA05ED"/>
    <w:rsid w:val="0A8F6E15"/>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BC05FB"/>
    <w:rsid w:val="41214B28"/>
    <w:rsid w:val="41C773E2"/>
    <w:rsid w:val="46325115"/>
    <w:rsid w:val="47884B7D"/>
    <w:rsid w:val="4AEEEFC8"/>
    <w:rsid w:val="4B2F5E09"/>
    <w:rsid w:val="4B9A1834"/>
    <w:rsid w:val="4D4C3002"/>
    <w:rsid w:val="4FF83828"/>
    <w:rsid w:val="55A14C92"/>
    <w:rsid w:val="575C3274"/>
    <w:rsid w:val="588418A2"/>
    <w:rsid w:val="5AD87635"/>
    <w:rsid w:val="5DF761E4"/>
    <w:rsid w:val="5F9B7AE0"/>
    <w:rsid w:val="5FE7FAD5"/>
    <w:rsid w:val="5FF4247C"/>
    <w:rsid w:val="618D6C67"/>
    <w:rsid w:val="639C7CF6"/>
    <w:rsid w:val="64095E7F"/>
    <w:rsid w:val="64414325"/>
    <w:rsid w:val="658C7FE7"/>
    <w:rsid w:val="66411775"/>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EAD5564"/>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2FC2A96-BB36-4BE8-9E4A-519FC4E5D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1">
    <w:name w:val="heading 1"/>
    <w:basedOn w:val="aa"/>
    <w:next w:val="aa"/>
    <w:link w:val="10"/>
    <w:uiPriority w:val="9"/>
    <w:qFormat/>
    <w:pPr>
      <w:keepNext/>
      <w:keepLines/>
      <w:spacing w:before="340" w:after="330" w:line="578" w:lineRule="auto"/>
      <w:outlineLvl w:val="0"/>
    </w:pPr>
    <w:rPr>
      <w:b/>
      <w:bCs/>
      <w:kern w:val="44"/>
      <w:sz w:val="44"/>
      <w:szCs w:val="44"/>
    </w:rPr>
  </w:style>
  <w:style w:type="paragraph" w:styleId="2">
    <w:name w:val="heading 2"/>
    <w:basedOn w:val="aa"/>
    <w:next w:val="aa"/>
    <w:link w:val="20"/>
    <w:uiPriority w:val="9"/>
    <w:semiHidden/>
    <w:unhideWhenUsed/>
    <w:qFormat/>
    <w:rsid w:val="002D2CE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2">
    <w:name w:val="修订1"/>
    <w:hidden/>
    <w:uiPriority w:val="99"/>
    <w:semiHidden/>
    <w:qFormat/>
    <w:rPr>
      <w:kern w:val="2"/>
      <w:sz w:val="21"/>
      <w:szCs w:val="24"/>
    </w:rPr>
  </w:style>
  <w:style w:type="character" w:customStyle="1" w:styleId="10">
    <w:name w:val="标题 1 字符"/>
    <w:basedOn w:val="ab"/>
    <w:link w:val="1"/>
    <w:uiPriority w:val="9"/>
    <w:qFormat/>
    <w:rPr>
      <w:b/>
      <w:bCs/>
      <w:kern w:val="44"/>
      <w:sz w:val="44"/>
      <w:szCs w:val="44"/>
    </w:rPr>
  </w:style>
  <w:style w:type="character" w:customStyle="1" w:styleId="20">
    <w:name w:val="标题 2 字符"/>
    <w:basedOn w:val="ab"/>
    <w:link w:val="2"/>
    <w:uiPriority w:val="9"/>
    <w:semiHidden/>
    <w:rsid w:val="002D2CE0"/>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59375">
      <w:bodyDiv w:val="1"/>
      <w:marLeft w:val="0"/>
      <w:marRight w:val="0"/>
      <w:marTop w:val="0"/>
      <w:marBottom w:val="0"/>
      <w:divBdr>
        <w:top w:val="none" w:sz="0" w:space="0" w:color="auto"/>
        <w:left w:val="none" w:sz="0" w:space="0" w:color="auto"/>
        <w:bottom w:val="none" w:sz="0" w:space="0" w:color="auto"/>
        <w:right w:val="none" w:sz="0" w:space="0" w:color="auto"/>
      </w:divBdr>
    </w:div>
    <w:div w:id="125903167">
      <w:bodyDiv w:val="1"/>
      <w:marLeft w:val="0"/>
      <w:marRight w:val="0"/>
      <w:marTop w:val="0"/>
      <w:marBottom w:val="0"/>
      <w:divBdr>
        <w:top w:val="none" w:sz="0" w:space="0" w:color="auto"/>
        <w:left w:val="none" w:sz="0" w:space="0" w:color="auto"/>
        <w:bottom w:val="none" w:sz="0" w:space="0" w:color="auto"/>
        <w:right w:val="none" w:sz="0" w:space="0" w:color="auto"/>
      </w:divBdr>
      <w:divsChild>
        <w:div w:id="259146126">
          <w:marLeft w:val="0"/>
          <w:marRight w:val="0"/>
          <w:marTop w:val="0"/>
          <w:marBottom w:val="0"/>
          <w:divBdr>
            <w:top w:val="none" w:sz="0" w:space="0" w:color="auto"/>
            <w:left w:val="none" w:sz="0" w:space="0" w:color="auto"/>
            <w:bottom w:val="none" w:sz="0" w:space="0" w:color="auto"/>
            <w:right w:val="none" w:sz="0" w:space="0" w:color="auto"/>
          </w:divBdr>
        </w:div>
        <w:div w:id="2134907366">
          <w:marLeft w:val="0"/>
          <w:marRight w:val="0"/>
          <w:marTop w:val="0"/>
          <w:marBottom w:val="0"/>
          <w:divBdr>
            <w:top w:val="none" w:sz="0" w:space="0" w:color="auto"/>
            <w:left w:val="none" w:sz="0" w:space="0" w:color="auto"/>
            <w:bottom w:val="none" w:sz="0" w:space="0" w:color="auto"/>
            <w:right w:val="none" w:sz="0" w:space="0" w:color="auto"/>
          </w:divBdr>
        </w:div>
        <w:div w:id="1025788706">
          <w:marLeft w:val="0"/>
          <w:marRight w:val="0"/>
          <w:marTop w:val="0"/>
          <w:marBottom w:val="0"/>
          <w:divBdr>
            <w:top w:val="none" w:sz="0" w:space="0" w:color="auto"/>
            <w:left w:val="none" w:sz="0" w:space="0" w:color="auto"/>
            <w:bottom w:val="none" w:sz="0" w:space="0" w:color="auto"/>
            <w:right w:val="none" w:sz="0" w:space="0" w:color="auto"/>
          </w:divBdr>
          <w:divsChild>
            <w:div w:id="35889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57283">
      <w:bodyDiv w:val="1"/>
      <w:marLeft w:val="0"/>
      <w:marRight w:val="0"/>
      <w:marTop w:val="0"/>
      <w:marBottom w:val="0"/>
      <w:divBdr>
        <w:top w:val="none" w:sz="0" w:space="0" w:color="auto"/>
        <w:left w:val="none" w:sz="0" w:space="0" w:color="auto"/>
        <w:bottom w:val="none" w:sz="0" w:space="0" w:color="auto"/>
        <w:right w:val="none" w:sz="0" w:space="0" w:color="auto"/>
      </w:divBdr>
      <w:divsChild>
        <w:div w:id="1070538544">
          <w:marLeft w:val="0"/>
          <w:marRight w:val="0"/>
          <w:marTop w:val="0"/>
          <w:marBottom w:val="0"/>
          <w:divBdr>
            <w:top w:val="none" w:sz="0" w:space="0" w:color="auto"/>
            <w:left w:val="none" w:sz="0" w:space="0" w:color="auto"/>
            <w:bottom w:val="none" w:sz="0" w:space="0" w:color="auto"/>
            <w:right w:val="none" w:sz="0" w:space="0" w:color="auto"/>
          </w:divBdr>
        </w:div>
      </w:divsChild>
    </w:div>
    <w:div w:id="164708854">
      <w:bodyDiv w:val="1"/>
      <w:marLeft w:val="0"/>
      <w:marRight w:val="0"/>
      <w:marTop w:val="0"/>
      <w:marBottom w:val="0"/>
      <w:divBdr>
        <w:top w:val="none" w:sz="0" w:space="0" w:color="auto"/>
        <w:left w:val="none" w:sz="0" w:space="0" w:color="auto"/>
        <w:bottom w:val="none" w:sz="0" w:space="0" w:color="auto"/>
        <w:right w:val="none" w:sz="0" w:space="0" w:color="auto"/>
      </w:divBdr>
    </w:div>
    <w:div w:id="322780111">
      <w:bodyDiv w:val="1"/>
      <w:marLeft w:val="0"/>
      <w:marRight w:val="0"/>
      <w:marTop w:val="0"/>
      <w:marBottom w:val="0"/>
      <w:divBdr>
        <w:top w:val="none" w:sz="0" w:space="0" w:color="auto"/>
        <w:left w:val="none" w:sz="0" w:space="0" w:color="auto"/>
        <w:bottom w:val="none" w:sz="0" w:space="0" w:color="auto"/>
        <w:right w:val="none" w:sz="0" w:space="0" w:color="auto"/>
      </w:divBdr>
      <w:divsChild>
        <w:div w:id="189952106">
          <w:marLeft w:val="0"/>
          <w:marRight w:val="0"/>
          <w:marTop w:val="0"/>
          <w:marBottom w:val="0"/>
          <w:divBdr>
            <w:top w:val="none" w:sz="0" w:space="0" w:color="auto"/>
            <w:left w:val="none" w:sz="0" w:space="0" w:color="auto"/>
            <w:bottom w:val="none" w:sz="0" w:space="0" w:color="auto"/>
            <w:right w:val="none" w:sz="0" w:space="0" w:color="auto"/>
          </w:divBdr>
        </w:div>
        <w:div w:id="850990913">
          <w:marLeft w:val="0"/>
          <w:marRight w:val="0"/>
          <w:marTop w:val="0"/>
          <w:marBottom w:val="0"/>
          <w:divBdr>
            <w:top w:val="none" w:sz="0" w:space="0" w:color="auto"/>
            <w:left w:val="none" w:sz="0" w:space="0" w:color="auto"/>
            <w:bottom w:val="none" w:sz="0" w:space="0" w:color="auto"/>
            <w:right w:val="none" w:sz="0" w:space="0" w:color="auto"/>
          </w:divBdr>
        </w:div>
        <w:div w:id="1473593963">
          <w:marLeft w:val="0"/>
          <w:marRight w:val="0"/>
          <w:marTop w:val="0"/>
          <w:marBottom w:val="0"/>
          <w:divBdr>
            <w:top w:val="none" w:sz="0" w:space="0" w:color="auto"/>
            <w:left w:val="none" w:sz="0" w:space="0" w:color="auto"/>
            <w:bottom w:val="none" w:sz="0" w:space="0" w:color="auto"/>
            <w:right w:val="none" w:sz="0" w:space="0" w:color="auto"/>
          </w:divBdr>
          <w:divsChild>
            <w:div w:id="60773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407047">
      <w:bodyDiv w:val="1"/>
      <w:marLeft w:val="0"/>
      <w:marRight w:val="0"/>
      <w:marTop w:val="0"/>
      <w:marBottom w:val="0"/>
      <w:divBdr>
        <w:top w:val="none" w:sz="0" w:space="0" w:color="auto"/>
        <w:left w:val="none" w:sz="0" w:space="0" w:color="auto"/>
        <w:bottom w:val="none" w:sz="0" w:space="0" w:color="auto"/>
        <w:right w:val="none" w:sz="0" w:space="0" w:color="auto"/>
      </w:divBdr>
    </w:div>
    <w:div w:id="673074437">
      <w:bodyDiv w:val="1"/>
      <w:marLeft w:val="0"/>
      <w:marRight w:val="0"/>
      <w:marTop w:val="0"/>
      <w:marBottom w:val="0"/>
      <w:divBdr>
        <w:top w:val="none" w:sz="0" w:space="0" w:color="auto"/>
        <w:left w:val="none" w:sz="0" w:space="0" w:color="auto"/>
        <w:bottom w:val="none" w:sz="0" w:space="0" w:color="auto"/>
        <w:right w:val="none" w:sz="0" w:space="0" w:color="auto"/>
      </w:divBdr>
      <w:divsChild>
        <w:div w:id="1183207627">
          <w:marLeft w:val="0"/>
          <w:marRight w:val="0"/>
          <w:marTop w:val="0"/>
          <w:marBottom w:val="0"/>
          <w:divBdr>
            <w:top w:val="none" w:sz="0" w:space="0" w:color="auto"/>
            <w:left w:val="none" w:sz="0" w:space="0" w:color="auto"/>
            <w:bottom w:val="none" w:sz="0" w:space="0" w:color="auto"/>
            <w:right w:val="none" w:sz="0" w:space="0" w:color="auto"/>
          </w:divBdr>
        </w:div>
      </w:divsChild>
    </w:div>
    <w:div w:id="1101947422">
      <w:bodyDiv w:val="1"/>
      <w:marLeft w:val="0"/>
      <w:marRight w:val="0"/>
      <w:marTop w:val="0"/>
      <w:marBottom w:val="0"/>
      <w:divBdr>
        <w:top w:val="none" w:sz="0" w:space="0" w:color="auto"/>
        <w:left w:val="none" w:sz="0" w:space="0" w:color="auto"/>
        <w:bottom w:val="none" w:sz="0" w:space="0" w:color="auto"/>
        <w:right w:val="none" w:sz="0" w:space="0" w:color="auto"/>
      </w:divBdr>
      <w:divsChild>
        <w:div w:id="500702114">
          <w:marLeft w:val="0"/>
          <w:marRight w:val="0"/>
          <w:marTop w:val="0"/>
          <w:marBottom w:val="0"/>
          <w:divBdr>
            <w:top w:val="none" w:sz="0" w:space="0" w:color="auto"/>
            <w:left w:val="none" w:sz="0" w:space="0" w:color="auto"/>
            <w:bottom w:val="none" w:sz="0" w:space="0" w:color="auto"/>
            <w:right w:val="none" w:sz="0" w:space="0" w:color="auto"/>
          </w:divBdr>
        </w:div>
        <w:div w:id="766924111">
          <w:marLeft w:val="0"/>
          <w:marRight w:val="0"/>
          <w:marTop w:val="0"/>
          <w:marBottom w:val="0"/>
          <w:divBdr>
            <w:top w:val="none" w:sz="0" w:space="0" w:color="auto"/>
            <w:left w:val="none" w:sz="0" w:space="0" w:color="auto"/>
            <w:bottom w:val="none" w:sz="0" w:space="0" w:color="auto"/>
            <w:right w:val="none" w:sz="0" w:space="0" w:color="auto"/>
          </w:divBdr>
        </w:div>
        <w:div w:id="1153640953">
          <w:marLeft w:val="0"/>
          <w:marRight w:val="0"/>
          <w:marTop w:val="0"/>
          <w:marBottom w:val="0"/>
          <w:divBdr>
            <w:top w:val="none" w:sz="0" w:space="0" w:color="auto"/>
            <w:left w:val="none" w:sz="0" w:space="0" w:color="auto"/>
            <w:bottom w:val="none" w:sz="0" w:space="0" w:color="auto"/>
            <w:right w:val="none" w:sz="0" w:space="0" w:color="auto"/>
          </w:divBdr>
          <w:divsChild>
            <w:div w:id="140753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004574">
      <w:bodyDiv w:val="1"/>
      <w:marLeft w:val="0"/>
      <w:marRight w:val="0"/>
      <w:marTop w:val="0"/>
      <w:marBottom w:val="0"/>
      <w:divBdr>
        <w:top w:val="none" w:sz="0" w:space="0" w:color="auto"/>
        <w:left w:val="none" w:sz="0" w:space="0" w:color="auto"/>
        <w:bottom w:val="none" w:sz="0" w:space="0" w:color="auto"/>
        <w:right w:val="none" w:sz="0" w:space="0" w:color="auto"/>
      </w:divBdr>
      <w:divsChild>
        <w:div w:id="108671064">
          <w:marLeft w:val="0"/>
          <w:marRight w:val="0"/>
          <w:marTop w:val="0"/>
          <w:marBottom w:val="0"/>
          <w:divBdr>
            <w:top w:val="none" w:sz="0" w:space="0" w:color="auto"/>
            <w:left w:val="none" w:sz="0" w:space="0" w:color="auto"/>
            <w:bottom w:val="none" w:sz="0" w:space="0" w:color="auto"/>
            <w:right w:val="none" w:sz="0" w:space="0" w:color="auto"/>
          </w:divBdr>
        </w:div>
        <w:div w:id="372732034">
          <w:marLeft w:val="0"/>
          <w:marRight w:val="0"/>
          <w:marTop w:val="0"/>
          <w:marBottom w:val="0"/>
          <w:divBdr>
            <w:top w:val="none" w:sz="0" w:space="0" w:color="auto"/>
            <w:left w:val="none" w:sz="0" w:space="0" w:color="auto"/>
            <w:bottom w:val="none" w:sz="0" w:space="0" w:color="auto"/>
            <w:right w:val="none" w:sz="0" w:space="0" w:color="auto"/>
          </w:divBdr>
        </w:div>
      </w:divsChild>
    </w:div>
    <w:div w:id="1241330536">
      <w:bodyDiv w:val="1"/>
      <w:marLeft w:val="0"/>
      <w:marRight w:val="0"/>
      <w:marTop w:val="0"/>
      <w:marBottom w:val="0"/>
      <w:divBdr>
        <w:top w:val="none" w:sz="0" w:space="0" w:color="auto"/>
        <w:left w:val="none" w:sz="0" w:space="0" w:color="auto"/>
        <w:bottom w:val="none" w:sz="0" w:space="0" w:color="auto"/>
        <w:right w:val="none" w:sz="0" w:space="0" w:color="auto"/>
      </w:divBdr>
      <w:divsChild>
        <w:div w:id="410662414">
          <w:marLeft w:val="0"/>
          <w:marRight w:val="0"/>
          <w:marTop w:val="0"/>
          <w:marBottom w:val="0"/>
          <w:divBdr>
            <w:top w:val="none" w:sz="0" w:space="0" w:color="auto"/>
            <w:left w:val="none" w:sz="0" w:space="0" w:color="auto"/>
            <w:bottom w:val="none" w:sz="0" w:space="0" w:color="auto"/>
            <w:right w:val="none" w:sz="0" w:space="0" w:color="auto"/>
          </w:divBdr>
        </w:div>
      </w:divsChild>
    </w:div>
    <w:div w:id="1245606746">
      <w:bodyDiv w:val="1"/>
      <w:marLeft w:val="0"/>
      <w:marRight w:val="0"/>
      <w:marTop w:val="0"/>
      <w:marBottom w:val="0"/>
      <w:divBdr>
        <w:top w:val="none" w:sz="0" w:space="0" w:color="auto"/>
        <w:left w:val="none" w:sz="0" w:space="0" w:color="auto"/>
        <w:bottom w:val="none" w:sz="0" w:space="0" w:color="auto"/>
        <w:right w:val="none" w:sz="0" w:space="0" w:color="auto"/>
      </w:divBdr>
    </w:div>
    <w:div w:id="1283078615">
      <w:bodyDiv w:val="1"/>
      <w:marLeft w:val="0"/>
      <w:marRight w:val="0"/>
      <w:marTop w:val="0"/>
      <w:marBottom w:val="0"/>
      <w:divBdr>
        <w:top w:val="none" w:sz="0" w:space="0" w:color="auto"/>
        <w:left w:val="none" w:sz="0" w:space="0" w:color="auto"/>
        <w:bottom w:val="none" w:sz="0" w:space="0" w:color="auto"/>
        <w:right w:val="none" w:sz="0" w:space="0" w:color="auto"/>
      </w:divBdr>
      <w:divsChild>
        <w:div w:id="1159227876">
          <w:marLeft w:val="0"/>
          <w:marRight w:val="0"/>
          <w:marTop w:val="0"/>
          <w:marBottom w:val="0"/>
          <w:divBdr>
            <w:top w:val="none" w:sz="0" w:space="0" w:color="auto"/>
            <w:left w:val="none" w:sz="0" w:space="0" w:color="auto"/>
            <w:bottom w:val="none" w:sz="0" w:space="0" w:color="auto"/>
            <w:right w:val="none" w:sz="0" w:space="0" w:color="auto"/>
          </w:divBdr>
        </w:div>
        <w:div w:id="2037147781">
          <w:marLeft w:val="0"/>
          <w:marRight w:val="0"/>
          <w:marTop w:val="0"/>
          <w:marBottom w:val="0"/>
          <w:divBdr>
            <w:top w:val="none" w:sz="0" w:space="0" w:color="auto"/>
            <w:left w:val="none" w:sz="0" w:space="0" w:color="auto"/>
            <w:bottom w:val="none" w:sz="0" w:space="0" w:color="auto"/>
            <w:right w:val="none" w:sz="0" w:space="0" w:color="auto"/>
          </w:divBdr>
        </w:div>
        <w:div w:id="1793867949">
          <w:marLeft w:val="0"/>
          <w:marRight w:val="0"/>
          <w:marTop w:val="0"/>
          <w:marBottom w:val="0"/>
          <w:divBdr>
            <w:top w:val="none" w:sz="0" w:space="0" w:color="auto"/>
            <w:left w:val="none" w:sz="0" w:space="0" w:color="auto"/>
            <w:bottom w:val="none" w:sz="0" w:space="0" w:color="auto"/>
            <w:right w:val="none" w:sz="0" w:space="0" w:color="auto"/>
          </w:divBdr>
          <w:divsChild>
            <w:div w:id="184905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988031">
      <w:bodyDiv w:val="1"/>
      <w:marLeft w:val="0"/>
      <w:marRight w:val="0"/>
      <w:marTop w:val="0"/>
      <w:marBottom w:val="0"/>
      <w:divBdr>
        <w:top w:val="none" w:sz="0" w:space="0" w:color="auto"/>
        <w:left w:val="none" w:sz="0" w:space="0" w:color="auto"/>
        <w:bottom w:val="none" w:sz="0" w:space="0" w:color="auto"/>
        <w:right w:val="none" w:sz="0" w:space="0" w:color="auto"/>
      </w:divBdr>
    </w:div>
    <w:div w:id="1470173179">
      <w:bodyDiv w:val="1"/>
      <w:marLeft w:val="0"/>
      <w:marRight w:val="0"/>
      <w:marTop w:val="0"/>
      <w:marBottom w:val="0"/>
      <w:divBdr>
        <w:top w:val="none" w:sz="0" w:space="0" w:color="auto"/>
        <w:left w:val="none" w:sz="0" w:space="0" w:color="auto"/>
        <w:bottom w:val="none" w:sz="0" w:space="0" w:color="auto"/>
        <w:right w:val="none" w:sz="0" w:space="0" w:color="auto"/>
      </w:divBdr>
      <w:divsChild>
        <w:div w:id="318660166">
          <w:marLeft w:val="0"/>
          <w:marRight w:val="0"/>
          <w:marTop w:val="0"/>
          <w:marBottom w:val="0"/>
          <w:divBdr>
            <w:top w:val="none" w:sz="0" w:space="0" w:color="auto"/>
            <w:left w:val="none" w:sz="0" w:space="0" w:color="auto"/>
            <w:bottom w:val="none" w:sz="0" w:space="0" w:color="auto"/>
            <w:right w:val="none" w:sz="0" w:space="0" w:color="auto"/>
          </w:divBdr>
        </w:div>
      </w:divsChild>
    </w:div>
    <w:div w:id="1643268163">
      <w:bodyDiv w:val="1"/>
      <w:marLeft w:val="0"/>
      <w:marRight w:val="0"/>
      <w:marTop w:val="0"/>
      <w:marBottom w:val="0"/>
      <w:divBdr>
        <w:top w:val="none" w:sz="0" w:space="0" w:color="auto"/>
        <w:left w:val="none" w:sz="0" w:space="0" w:color="auto"/>
        <w:bottom w:val="none" w:sz="0" w:space="0" w:color="auto"/>
        <w:right w:val="none" w:sz="0" w:space="0" w:color="auto"/>
      </w:divBdr>
    </w:div>
    <w:div w:id="1677422541">
      <w:bodyDiv w:val="1"/>
      <w:marLeft w:val="0"/>
      <w:marRight w:val="0"/>
      <w:marTop w:val="0"/>
      <w:marBottom w:val="0"/>
      <w:divBdr>
        <w:top w:val="none" w:sz="0" w:space="0" w:color="auto"/>
        <w:left w:val="none" w:sz="0" w:space="0" w:color="auto"/>
        <w:bottom w:val="none" w:sz="0" w:space="0" w:color="auto"/>
        <w:right w:val="none" w:sz="0" w:space="0" w:color="auto"/>
      </w:divBdr>
      <w:divsChild>
        <w:div w:id="1873883502">
          <w:marLeft w:val="0"/>
          <w:marRight w:val="0"/>
          <w:marTop w:val="0"/>
          <w:marBottom w:val="0"/>
          <w:divBdr>
            <w:top w:val="none" w:sz="0" w:space="0" w:color="auto"/>
            <w:left w:val="none" w:sz="0" w:space="0" w:color="auto"/>
            <w:bottom w:val="none" w:sz="0" w:space="0" w:color="auto"/>
            <w:right w:val="none" w:sz="0" w:space="0" w:color="auto"/>
          </w:divBdr>
          <w:divsChild>
            <w:div w:id="1485387346">
              <w:marLeft w:val="0"/>
              <w:marRight w:val="0"/>
              <w:marTop w:val="0"/>
              <w:marBottom w:val="0"/>
              <w:divBdr>
                <w:top w:val="none" w:sz="0" w:space="0" w:color="auto"/>
                <w:left w:val="none" w:sz="0" w:space="0" w:color="auto"/>
                <w:bottom w:val="none" w:sz="0" w:space="0" w:color="auto"/>
                <w:right w:val="none" w:sz="0" w:space="0" w:color="auto"/>
              </w:divBdr>
            </w:div>
          </w:divsChild>
        </w:div>
        <w:div w:id="187111365">
          <w:marLeft w:val="0"/>
          <w:marRight w:val="0"/>
          <w:marTop w:val="0"/>
          <w:marBottom w:val="0"/>
          <w:divBdr>
            <w:top w:val="none" w:sz="0" w:space="0" w:color="auto"/>
            <w:left w:val="none" w:sz="0" w:space="0" w:color="auto"/>
            <w:bottom w:val="none" w:sz="0" w:space="0" w:color="auto"/>
            <w:right w:val="none" w:sz="0" w:space="0" w:color="auto"/>
          </w:divBdr>
        </w:div>
      </w:divsChild>
    </w:div>
    <w:div w:id="1774934441">
      <w:bodyDiv w:val="1"/>
      <w:marLeft w:val="0"/>
      <w:marRight w:val="0"/>
      <w:marTop w:val="0"/>
      <w:marBottom w:val="0"/>
      <w:divBdr>
        <w:top w:val="none" w:sz="0" w:space="0" w:color="auto"/>
        <w:left w:val="none" w:sz="0" w:space="0" w:color="auto"/>
        <w:bottom w:val="none" w:sz="0" w:space="0" w:color="auto"/>
        <w:right w:val="none" w:sz="0" w:space="0" w:color="auto"/>
      </w:divBdr>
    </w:div>
    <w:div w:id="1847596495">
      <w:bodyDiv w:val="1"/>
      <w:marLeft w:val="0"/>
      <w:marRight w:val="0"/>
      <w:marTop w:val="0"/>
      <w:marBottom w:val="0"/>
      <w:divBdr>
        <w:top w:val="none" w:sz="0" w:space="0" w:color="auto"/>
        <w:left w:val="none" w:sz="0" w:space="0" w:color="auto"/>
        <w:bottom w:val="none" w:sz="0" w:space="0" w:color="auto"/>
        <w:right w:val="none" w:sz="0" w:space="0" w:color="auto"/>
      </w:divBdr>
      <w:divsChild>
        <w:div w:id="846484642">
          <w:marLeft w:val="0"/>
          <w:marRight w:val="0"/>
          <w:marTop w:val="0"/>
          <w:marBottom w:val="0"/>
          <w:divBdr>
            <w:top w:val="none" w:sz="0" w:space="0" w:color="auto"/>
            <w:left w:val="none" w:sz="0" w:space="0" w:color="auto"/>
            <w:bottom w:val="none" w:sz="0" w:space="0" w:color="auto"/>
            <w:right w:val="none" w:sz="0" w:space="0" w:color="auto"/>
          </w:divBdr>
          <w:divsChild>
            <w:div w:id="52167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754417">
      <w:bodyDiv w:val="1"/>
      <w:marLeft w:val="0"/>
      <w:marRight w:val="0"/>
      <w:marTop w:val="0"/>
      <w:marBottom w:val="0"/>
      <w:divBdr>
        <w:top w:val="none" w:sz="0" w:space="0" w:color="auto"/>
        <w:left w:val="none" w:sz="0" w:space="0" w:color="auto"/>
        <w:bottom w:val="none" w:sz="0" w:space="0" w:color="auto"/>
        <w:right w:val="none" w:sz="0" w:space="0" w:color="auto"/>
      </w:divBdr>
      <w:divsChild>
        <w:div w:id="1508863981">
          <w:marLeft w:val="0"/>
          <w:marRight w:val="0"/>
          <w:marTop w:val="0"/>
          <w:marBottom w:val="0"/>
          <w:divBdr>
            <w:top w:val="none" w:sz="0" w:space="0" w:color="auto"/>
            <w:left w:val="none" w:sz="0" w:space="0" w:color="auto"/>
            <w:bottom w:val="none" w:sz="0" w:space="0" w:color="auto"/>
            <w:right w:val="none" w:sz="0" w:space="0" w:color="auto"/>
          </w:divBdr>
        </w:div>
        <w:div w:id="195313649">
          <w:marLeft w:val="0"/>
          <w:marRight w:val="0"/>
          <w:marTop w:val="0"/>
          <w:marBottom w:val="0"/>
          <w:divBdr>
            <w:top w:val="none" w:sz="0" w:space="0" w:color="auto"/>
            <w:left w:val="none" w:sz="0" w:space="0" w:color="auto"/>
            <w:bottom w:val="none" w:sz="0" w:space="0" w:color="auto"/>
            <w:right w:val="none" w:sz="0" w:space="0" w:color="auto"/>
          </w:divBdr>
        </w:div>
        <w:div w:id="367797484">
          <w:marLeft w:val="0"/>
          <w:marRight w:val="0"/>
          <w:marTop w:val="0"/>
          <w:marBottom w:val="0"/>
          <w:divBdr>
            <w:top w:val="none" w:sz="0" w:space="0" w:color="auto"/>
            <w:left w:val="none" w:sz="0" w:space="0" w:color="auto"/>
            <w:bottom w:val="none" w:sz="0" w:space="0" w:color="auto"/>
            <w:right w:val="none" w:sz="0" w:space="0" w:color="auto"/>
          </w:divBdr>
          <w:divsChild>
            <w:div w:id="266011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103</TotalTime>
  <Pages>27</Pages>
  <Words>1655</Words>
  <Characters>9434</Characters>
  <Application>Microsoft Office Word</Application>
  <DocSecurity>0</DocSecurity>
  <Lines>78</Lines>
  <Paragraphs>22</Paragraphs>
  <ScaleCrop>false</ScaleCrop>
  <Company>Microsoft</Company>
  <LinksUpToDate>false</LinksUpToDate>
  <CharactersWithSpaces>11067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587</cp:revision>
  <cp:lastPrinted>2025-04-24T00:12:00Z</cp:lastPrinted>
  <dcterms:created xsi:type="dcterms:W3CDTF">2023-04-16T11:33:00Z</dcterms:created>
  <dcterms:modified xsi:type="dcterms:W3CDTF">2026-07-01T12:55:00Z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F4DA980463204E0D8FF44265FC1A941C_13</vt:lpwstr>
  </property>
  <property fmtid="{D5CDD505-2E9C-101B-9397-08002B2CF9AE}" pid="4" name="KSOTemplateDocerSaveRecord">
    <vt:lpwstr>eyJoZGlkIjoiMmRmOGQ2NWVjZGNiNGEzNWVhNTkyMWNhMjhjNTE1OTAiLCJ1c2VySWQiOiIzMTEzOTkyMDcifQ==</vt:lpwstr>
  </property>
</Properties>
</file>