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B845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35C387E">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E861D8B">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2CDA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8C53C7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118B07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9FF9299">
                  <w:pPr>
                    <w:pStyle w:val="53"/>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1EDE1EC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032421A5">
      <w:pPr>
        <w:pStyle w:val="54"/>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465E899">
      <w:pPr>
        <w:pStyle w:val="199"/>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45C82A9">
      <w:pPr>
        <w:pStyle w:val="200"/>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A3290D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7AB5292">
      <w:pPr>
        <w:pStyle w:val="54"/>
        <w:framePr w:w="9639" w:h="6976" w:hRule="exact" w:hSpace="0" w:vSpace="0" w:wrap="around" w:hAnchor="page" w:y="6408"/>
        <w:jc w:val="center"/>
        <w:rPr>
          <w:rFonts w:ascii="黑体" w:hAnsi="黑体" w:eastAsia="黑体"/>
          <w:b w:val="0"/>
          <w:bCs w:val="0"/>
          <w:w w:val="100"/>
        </w:rPr>
      </w:pPr>
    </w:p>
    <w:p w14:paraId="45D98D29">
      <w:pPr>
        <w:pStyle w:val="201"/>
        <w:framePr w:h="6974" w:hRule="exact" w:wrap="around" w:x="1419" w:anchorLock="1"/>
      </w:pPr>
      <w:r>
        <w:fldChar w:fldCharType="begin">
          <w:ffData>
            <w:name w:val="CSTD_NAME"/>
            <w:enabled/>
            <w:calcOnExit w:val="0"/>
            <w:textInput>
              <w:default w:val="老年肝癌术前预康复规范"/>
            </w:textInput>
          </w:ffData>
        </w:fldChar>
      </w:r>
      <w:bookmarkStart w:id="8" w:name="CSTD_NAME"/>
      <w:r>
        <w:instrText xml:space="preserve"> FORMTEXT </w:instrText>
      </w:r>
      <w:r>
        <w:fldChar w:fldCharType="separate"/>
      </w:r>
      <w:r>
        <w:rPr>
          <w:rFonts w:hint="eastAsia"/>
          <w:lang w:eastAsia="zh-CN"/>
        </w:rPr>
        <w:t>学校肺结核健康科普规</w:t>
      </w:r>
      <w:r>
        <w:t>范</w:t>
      </w:r>
      <w:r>
        <w:fldChar w:fldCharType="end"/>
      </w:r>
      <w:bookmarkEnd w:id="8"/>
    </w:p>
    <w:p w14:paraId="17277E3C">
      <w:pPr>
        <w:framePr w:w="9639" w:h="6974" w:hRule="exact" w:wrap="around" w:vAnchor="page" w:hAnchor="page" w:x="1419" w:y="6408" w:anchorLock="1"/>
        <w:ind w:left="-1418"/>
      </w:pPr>
    </w:p>
    <w:p w14:paraId="31E2DA88">
      <w:pPr>
        <w:pStyle w:val="129"/>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Specification for prehabilitation in elderly patients before liver cancer surgery"/>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Standards for health popularization of tuberculosis in schools</w:t>
      </w:r>
    </w:p>
    <w:p w14:paraId="2AC65401">
      <w:pPr>
        <w:pStyle w:val="129"/>
        <w:framePr w:w="9639" w:h="6974" w:hRule="exact" w:wrap="around" w:vAnchor="page" w:hAnchor="page" w:x="1419" w:y="6408" w:anchorLock="1"/>
        <w:jc w:val="both"/>
        <w:textAlignment w:val="bottom"/>
        <w:rPr>
          <w:rFonts w:ascii="黑体" w:hAnsi="黑体" w:eastAsia="黑体"/>
          <w:szCs w:val="28"/>
        </w:rPr>
      </w:pPr>
      <w:r>
        <w:rPr>
          <w:rFonts w:ascii="黑体" w:hAnsi="黑体" w:eastAsia="黑体"/>
          <w:szCs w:val="28"/>
        </w:rPr>
        <w:fldChar w:fldCharType="end"/>
      </w:r>
      <w:bookmarkEnd w:id="9"/>
    </w:p>
    <w:p w14:paraId="25AB76E5">
      <w:pPr>
        <w:framePr w:w="9639" w:h="6974" w:hRule="exact" w:wrap="around" w:vAnchor="page" w:hAnchor="page" w:x="1419" w:y="6408" w:anchorLock="1"/>
        <w:spacing w:line="760" w:lineRule="exact"/>
        <w:ind w:left="-1418"/>
      </w:pPr>
    </w:p>
    <w:p w14:paraId="7CC06BF5">
      <w:pPr>
        <w:pStyle w:val="129"/>
        <w:framePr w:w="9639" w:h="6974" w:hRule="exact" w:wrap="around" w:vAnchor="page" w:hAnchor="page" w:x="1419" w:y="6408" w:anchorLock="1"/>
        <w:textAlignment w:val="bottom"/>
        <w:rPr>
          <w:rFonts w:eastAsia="黑体"/>
          <w:szCs w:val="28"/>
        </w:rPr>
      </w:pPr>
    </w:p>
    <w:p w14:paraId="6C982EB7">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2DFDE721">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4A3D0AB8">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08FDA28">
      <w:pPr>
        <w:pStyle w:val="19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1A35075">
      <w:pPr>
        <w:pStyle w:val="19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C00AC80">
      <w:pPr>
        <w:pStyle w:val="155"/>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027381D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167E6F9">
      <w:pPr>
        <w:pStyle w:val="95"/>
        <w:spacing w:after="360"/>
      </w:pPr>
      <w:bookmarkStart w:id="20" w:name="_Toc229434850"/>
      <w:bookmarkStart w:id="21" w:name="_Toc227739517"/>
      <w:bookmarkStart w:id="22" w:name="_Toc230075187"/>
      <w:bookmarkStart w:id="23" w:name="BookMark1"/>
      <w:r>
        <w:rPr>
          <w:rFonts w:hint="eastAsia"/>
          <w:spacing w:val="320"/>
        </w:rPr>
        <w:t>目</w:t>
      </w:r>
      <w:r>
        <w:rPr>
          <w:rFonts w:hint="eastAsia"/>
        </w:rPr>
        <w:t>次</w:t>
      </w:r>
    </w:p>
    <w:p w14:paraId="51BC5BF1">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"_Toc230075258" </w:instrText>
      </w:r>
      <w:r>
        <w:fldChar w:fldCharType="separate"/>
      </w:r>
      <w:r>
        <w:rPr>
          <w:rStyle w:val="35"/>
          <w:rFonts w:hint="eastAsia"/>
        </w:rPr>
        <w:t>前言</w:t>
      </w:r>
      <w:r>
        <w:tab/>
      </w:r>
      <w:r>
        <w:fldChar w:fldCharType="begin"/>
      </w:r>
      <w:r>
        <w:instrText xml:space="preserve"> PAGEREF _Toc230075258 \h </w:instrText>
      </w:r>
      <w:r>
        <w:fldChar w:fldCharType="separate"/>
      </w:r>
      <w:r>
        <w:t>II</w:t>
      </w:r>
      <w:r>
        <w:fldChar w:fldCharType="end"/>
      </w:r>
      <w:r>
        <w:fldChar w:fldCharType="end"/>
      </w:r>
    </w:p>
    <w:p w14:paraId="34AC104D">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"_Toc230075259" </w:instrText>
      </w:r>
      <w:r>
        <w:fldChar w:fldCharType="separate"/>
      </w:r>
      <w:r>
        <w:rPr>
          <w:rStyle w:val="35"/>
        </w:rPr>
        <w:t xml:space="preserve">1  </w:t>
      </w:r>
      <w:r>
        <w:rPr>
          <w:rStyle w:val="35"/>
          <w:rFonts w:hint="eastAsia"/>
        </w:rPr>
        <w:t>范围</w:t>
      </w:r>
      <w:r>
        <w:tab/>
      </w:r>
      <w:r>
        <w:fldChar w:fldCharType="begin"/>
      </w:r>
      <w:r>
        <w:instrText xml:space="preserve"> PAGEREF _Toc230075259 \h </w:instrText>
      </w:r>
      <w:r>
        <w:fldChar w:fldCharType="separate"/>
      </w:r>
      <w:r>
        <w:t>1</w:t>
      </w:r>
      <w:r>
        <w:fldChar w:fldCharType="end"/>
      </w:r>
      <w:r>
        <w:fldChar w:fldCharType="end"/>
      </w:r>
    </w:p>
    <w:p w14:paraId="11486A52">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"_Toc230075260" </w:instrText>
      </w:r>
      <w:r>
        <w:fldChar w:fldCharType="separate"/>
      </w:r>
      <w:r>
        <w:rPr>
          <w:rStyle w:val="35"/>
        </w:rPr>
        <w:t xml:space="preserve">2  </w:t>
      </w:r>
      <w:r>
        <w:rPr>
          <w:rStyle w:val="35"/>
          <w:rFonts w:hint="eastAsia"/>
        </w:rPr>
        <w:t>规范性引用文件</w:t>
      </w:r>
      <w:r>
        <w:tab/>
      </w:r>
      <w:r>
        <w:fldChar w:fldCharType="begin"/>
      </w:r>
      <w:r>
        <w:instrText xml:space="preserve"> PAGEREF _Toc230075260 \h </w:instrText>
      </w:r>
      <w:r>
        <w:fldChar w:fldCharType="separate"/>
      </w:r>
      <w:r>
        <w:t>1</w:t>
      </w:r>
      <w:r>
        <w:fldChar w:fldCharType="end"/>
      </w:r>
      <w:r>
        <w:fldChar w:fldCharType="end"/>
      </w:r>
    </w:p>
    <w:p w14:paraId="3F1DEEF9">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"_Toc230075261" </w:instrText>
      </w:r>
      <w:r>
        <w:fldChar w:fldCharType="separate"/>
      </w:r>
      <w:r>
        <w:rPr>
          <w:rStyle w:val="35"/>
        </w:rPr>
        <w:t xml:space="preserve">3  </w:t>
      </w:r>
      <w:r>
        <w:rPr>
          <w:rStyle w:val="35"/>
          <w:rFonts w:hint="eastAsia"/>
        </w:rPr>
        <w:t>术语和定义</w:t>
      </w:r>
      <w:r>
        <w:tab/>
      </w:r>
      <w:r>
        <w:fldChar w:fldCharType="begin"/>
      </w:r>
      <w:r>
        <w:instrText xml:space="preserve"> PAGEREF _Toc230075261 \h </w:instrText>
      </w:r>
      <w:r>
        <w:fldChar w:fldCharType="separate"/>
      </w:r>
      <w:r>
        <w:t>1</w:t>
      </w:r>
      <w:r>
        <w:fldChar w:fldCharType="end"/>
      </w:r>
      <w:r>
        <w:fldChar w:fldCharType="end"/>
      </w:r>
    </w:p>
    <w:p w14:paraId="013478BD">
      <w:pPr>
        <w:pStyle w:val="20"/>
        <w:tabs>
          <w:tab w:val="right" w:leader="dot" w:pos="9344"/>
        </w:tabs>
      </w:pPr>
      <w:r>
        <w:fldChar w:fldCharType="begin"/>
      </w:r>
      <w:r>
        <w:instrText xml:space="preserve"> HYPERLINK \l "_Toc230075263" </w:instrText>
      </w:r>
      <w:r>
        <w:fldChar w:fldCharType="separate"/>
      </w:r>
      <w:r>
        <w:rPr>
          <w:rStyle w:val="35"/>
          <w:rFonts w:hint="eastAsia"/>
          <w:lang w:val="en-US" w:eastAsia="zh-CN"/>
        </w:rPr>
        <w:t>4</w:t>
      </w:r>
      <w:r>
        <w:rPr>
          <w:rStyle w:val="35"/>
        </w:rPr>
        <w:t xml:space="preserve">  </w:t>
      </w:r>
      <w:r>
        <w:rPr>
          <w:rStyle w:val="35"/>
          <w:rFonts w:hint="eastAsia"/>
        </w:rPr>
        <w:t>机构及人员要求</w:t>
      </w:r>
      <w:r>
        <w:tab/>
      </w:r>
      <w:r>
        <w:fldChar w:fldCharType="begin"/>
      </w:r>
      <w:r>
        <w:instrText xml:space="preserve"> PAGEREF _Toc230075263 \h </w:instrText>
      </w:r>
      <w:r>
        <w:fldChar w:fldCharType="separate"/>
      </w:r>
      <w:r>
        <w:t>2</w:t>
      </w:r>
      <w:r>
        <w:fldChar w:fldCharType="end"/>
      </w:r>
      <w:r>
        <w:fldChar w:fldCharType="end"/>
      </w:r>
    </w:p>
    <w:p w14:paraId="39BC643B">
      <w:pPr>
        <w:pStyle w:val="25"/>
        <w:tabs>
          <w:tab w:val="right" w:leader="dot" w:pos="9354"/>
          <w:tab w:val="clear" w:pos="9344"/>
        </w:tabs>
        <w:rPr>
          <w:rFonts w:hint="eastAsia"/>
          <w:spacing w:val="0"/>
          <w:lang w:eastAsia="zh-CN"/>
        </w:rPr>
      </w:pPr>
      <w:r>
        <w:rPr>
          <w:rFonts w:hint="eastAsia"/>
          <w:spacing w:val="0"/>
          <w:lang w:eastAsia="zh-CN"/>
        </w:rPr>
        <w:fldChar w:fldCharType="begin"/>
      </w:r>
      <w:r>
        <w:rPr>
          <w:rFonts w:hint="eastAsia"/>
          <w:spacing w:val="0"/>
          <w:lang w:eastAsia="zh-CN"/>
        </w:rPr>
        <w:instrText xml:space="preserve"> HYPERLINK \l _Toc15500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4.1 </w:t>
      </w:r>
      <w:r>
        <w:rPr>
          <w:rFonts w:hint="eastAsia"/>
          <w:highlight w:val="none"/>
          <w:lang w:eastAsia="zh-CN"/>
        </w:rPr>
        <w:t>机构要求</w:t>
      </w:r>
      <w:r>
        <w:tab/>
      </w:r>
      <w:r>
        <w:fldChar w:fldCharType="begin"/>
      </w:r>
      <w:r>
        <w:instrText xml:space="preserve"> PAGEREF _Toc15500 \h </w:instrText>
      </w:r>
      <w:r>
        <w:fldChar w:fldCharType="separate"/>
      </w:r>
      <w:r>
        <w:t>2</w:t>
      </w:r>
      <w:r>
        <w:fldChar w:fldCharType="end"/>
      </w:r>
      <w:r>
        <w:rPr>
          <w:rFonts w:hint="eastAsia"/>
          <w:spacing w:val="0"/>
          <w:lang w:eastAsia="zh-CN"/>
        </w:rPr>
        <w:fldChar w:fldCharType="end"/>
      </w:r>
    </w:p>
    <w:p w14:paraId="2FA7944D">
      <w:pPr>
        <w:pStyle w:val="25"/>
        <w:tabs>
          <w:tab w:val="right" w:leader="dot" w:pos="9354"/>
          <w:tab w:val="clear" w:pos="9344"/>
        </w:tabs>
        <w:rPr>
          <w:rFonts w:hint="eastAsia"/>
          <w:lang w:eastAsia="zh-CN"/>
        </w:rPr>
      </w:pPr>
      <w:r>
        <w:rPr>
          <w:rFonts w:hint="eastAsia"/>
          <w:spacing w:val="0"/>
          <w:lang w:eastAsia="zh-CN"/>
        </w:rPr>
        <w:fldChar w:fldCharType="begin"/>
      </w:r>
      <w:r>
        <w:rPr>
          <w:rFonts w:hint="eastAsia"/>
          <w:spacing w:val="0"/>
          <w:lang w:eastAsia="zh-CN"/>
        </w:rPr>
        <w:instrText xml:space="preserve"> HYPERLINK \l _Toc15500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4.</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2</w:t>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 </w:t>
      </w:r>
      <w:r>
        <w:rPr>
          <w:rFonts w:hint="eastAsia"/>
          <w:highlight w:val="none"/>
          <w:lang w:eastAsia="zh-CN"/>
        </w:rPr>
        <w:t>健康科普人员要求</w:t>
      </w:r>
      <w:r>
        <w:tab/>
      </w:r>
      <w:r>
        <w:fldChar w:fldCharType="begin"/>
      </w:r>
      <w:r>
        <w:instrText xml:space="preserve"> PAGEREF _Toc15500 \h </w:instrText>
      </w:r>
      <w:r>
        <w:fldChar w:fldCharType="separate"/>
      </w:r>
      <w:r>
        <w:t>2</w:t>
      </w:r>
      <w:r>
        <w:fldChar w:fldCharType="end"/>
      </w:r>
      <w:r>
        <w:rPr>
          <w:rFonts w:hint="eastAsia"/>
          <w:spacing w:val="0"/>
          <w:lang w:eastAsia="zh-CN"/>
        </w:rPr>
        <w:fldChar w:fldCharType="end"/>
      </w:r>
    </w:p>
    <w:p w14:paraId="5A2D65B1">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_Toc21811 </w:instrText>
      </w:r>
      <w:r>
        <w:rPr>
          <w:rFonts w:hint="eastAsia"/>
          <w:spacing w:val="0"/>
          <w:lang w:eastAsia="zh-CN"/>
        </w:rPr>
        <w:fldChar w:fldCharType="separate"/>
      </w:r>
      <w:r>
        <w:rPr>
          <w:rFonts w:hint="eastAsia" w:ascii="黑体" w:eastAsia="黑体"/>
          <w:i w:val="0"/>
          <w:lang w:eastAsia="zh-CN"/>
        </w:rPr>
        <w:t xml:space="preserve">5 </w:t>
      </w:r>
      <w:r>
        <w:rPr>
          <w:rFonts w:hint="eastAsia"/>
          <w:highlight w:val="none"/>
          <w:lang w:eastAsia="zh-CN"/>
        </w:rPr>
        <w:t>肺结核健康科普流程</w:t>
      </w:r>
      <w:r>
        <w:tab/>
      </w:r>
      <w:r>
        <w:fldChar w:fldCharType="begin"/>
      </w:r>
      <w:r>
        <w:instrText xml:space="preserve"> PAGEREF _Toc21811 \h </w:instrText>
      </w:r>
      <w:r>
        <w:fldChar w:fldCharType="separate"/>
      </w:r>
      <w:r>
        <w:t>2</w:t>
      </w:r>
      <w:r>
        <w:fldChar w:fldCharType="end"/>
      </w:r>
      <w:r>
        <w:rPr>
          <w:rFonts w:hint="eastAsia"/>
          <w:spacing w:val="0"/>
          <w:lang w:eastAsia="zh-CN"/>
        </w:rPr>
        <w:fldChar w:fldCharType="end"/>
      </w:r>
    </w:p>
    <w:p w14:paraId="6CA1247D">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_Toc10288 </w:instrText>
      </w:r>
      <w:r>
        <w:rPr>
          <w:rFonts w:hint="eastAsia"/>
          <w:spacing w:val="0"/>
          <w:lang w:eastAsia="zh-CN"/>
        </w:rPr>
        <w:fldChar w:fldCharType="separate"/>
      </w:r>
      <w:r>
        <w:rPr>
          <w:rFonts w:hint="eastAsia" w:ascii="黑体" w:eastAsia="黑体"/>
          <w:i w:val="0"/>
          <w:lang w:eastAsia="zh-CN"/>
        </w:rPr>
        <w:t xml:space="preserve">6 </w:t>
      </w:r>
      <w:r>
        <w:rPr>
          <w:rFonts w:hint="eastAsia"/>
          <w:highlight w:val="none"/>
          <w:lang w:eastAsia="zh-CN"/>
        </w:rPr>
        <w:t>肺结核健康科普内容</w:t>
      </w:r>
      <w:r>
        <w:tab/>
      </w:r>
      <w:r>
        <w:fldChar w:fldCharType="begin"/>
      </w:r>
      <w:r>
        <w:instrText xml:space="preserve"> PAGEREF _Toc10288 \h </w:instrText>
      </w:r>
      <w:r>
        <w:fldChar w:fldCharType="separate"/>
      </w:r>
      <w:r>
        <w:t>2</w:t>
      </w:r>
      <w:r>
        <w:fldChar w:fldCharType="end"/>
      </w:r>
      <w:r>
        <w:rPr>
          <w:rFonts w:hint="eastAsia"/>
          <w:spacing w:val="0"/>
          <w:lang w:eastAsia="zh-CN"/>
        </w:rPr>
        <w:fldChar w:fldCharType="end"/>
      </w:r>
    </w:p>
    <w:p w14:paraId="5EED87F2">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_Toc25516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highlight w:val="none"/>
          <w:lang w:eastAsia="zh-CN"/>
        </w:rPr>
        <w:t>科普核心理论内容</w:t>
      </w:r>
      <w:r>
        <w:tab/>
      </w:r>
      <w:r>
        <w:fldChar w:fldCharType="begin"/>
      </w:r>
      <w:r>
        <w:instrText xml:space="preserve"> PAGEREF _Toc25516 \h </w:instrText>
      </w:r>
      <w:r>
        <w:fldChar w:fldCharType="separate"/>
      </w:r>
      <w:r>
        <w:t>2</w:t>
      </w:r>
      <w:r>
        <w:fldChar w:fldCharType="end"/>
      </w:r>
      <w:r>
        <w:rPr>
          <w:rFonts w:hint="eastAsia"/>
          <w:spacing w:val="0"/>
          <w:lang w:eastAsia="zh-CN"/>
        </w:rPr>
        <w:fldChar w:fldCharType="end"/>
      </w:r>
    </w:p>
    <w:p w14:paraId="012A80E3">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_Toc27593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highlight w:val="none"/>
          <w:lang w:eastAsia="zh-CN"/>
        </w:rPr>
        <w:t>科普实操技能内容</w:t>
      </w:r>
      <w:r>
        <w:tab/>
      </w:r>
      <w:r>
        <w:fldChar w:fldCharType="begin"/>
      </w:r>
      <w:r>
        <w:instrText xml:space="preserve"> PAGEREF _Toc27593 \h </w:instrText>
      </w:r>
      <w:r>
        <w:fldChar w:fldCharType="separate"/>
      </w:r>
      <w:r>
        <w:t>3</w:t>
      </w:r>
      <w:r>
        <w:fldChar w:fldCharType="end"/>
      </w:r>
      <w:r>
        <w:rPr>
          <w:rFonts w:hint="eastAsia"/>
          <w:spacing w:val="0"/>
          <w:lang w:eastAsia="zh-CN"/>
        </w:rPr>
        <w:fldChar w:fldCharType="end"/>
      </w:r>
    </w:p>
    <w:p w14:paraId="78B93C91">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_Toc23539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highlight w:val="none"/>
        </w:rPr>
        <w:t>科普展示要求</w:t>
      </w:r>
      <w:r>
        <w:tab/>
      </w:r>
      <w:r>
        <w:fldChar w:fldCharType="begin"/>
      </w:r>
      <w:r>
        <w:instrText xml:space="preserve"> PAGEREF _Toc23539 \h </w:instrText>
      </w:r>
      <w:r>
        <w:fldChar w:fldCharType="separate"/>
      </w:r>
      <w:r>
        <w:t>3</w:t>
      </w:r>
      <w:r>
        <w:fldChar w:fldCharType="end"/>
      </w:r>
      <w:r>
        <w:rPr>
          <w:rFonts w:hint="eastAsia"/>
          <w:spacing w:val="0"/>
          <w:lang w:eastAsia="zh-CN"/>
        </w:rPr>
        <w:fldChar w:fldCharType="end"/>
      </w:r>
    </w:p>
    <w:p w14:paraId="230F2DDD">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_Toc2408 </w:instrText>
      </w:r>
      <w:r>
        <w:rPr>
          <w:rFonts w:hint="eastAsia"/>
          <w:spacing w:val="0"/>
          <w:lang w:eastAsia="zh-CN"/>
        </w:rPr>
        <w:fldChar w:fldCharType="separate"/>
      </w:r>
      <w:r>
        <w:rPr>
          <w:rFonts w:hint="eastAsia" w:ascii="黑体" w:eastAsia="黑体"/>
          <w:i w:val="0"/>
        </w:rPr>
        <w:t xml:space="preserve">7 </w:t>
      </w:r>
      <w:r>
        <w:rPr>
          <w:rFonts w:hint="eastAsia"/>
          <w:highlight w:val="none"/>
        </w:rPr>
        <w:t>肺结核健康科普实施</w:t>
      </w:r>
      <w:r>
        <w:tab/>
      </w:r>
      <w:r>
        <w:fldChar w:fldCharType="begin"/>
      </w:r>
      <w:r>
        <w:instrText xml:space="preserve"> PAGEREF _Toc2408 \h </w:instrText>
      </w:r>
      <w:r>
        <w:fldChar w:fldCharType="separate"/>
      </w:r>
      <w:r>
        <w:t>4</w:t>
      </w:r>
      <w:r>
        <w:fldChar w:fldCharType="end"/>
      </w:r>
      <w:r>
        <w:rPr>
          <w:rFonts w:hint="eastAsia"/>
          <w:spacing w:val="0"/>
          <w:lang w:eastAsia="zh-CN"/>
        </w:rPr>
        <w:fldChar w:fldCharType="end"/>
      </w:r>
    </w:p>
    <w:p w14:paraId="332F6EAC">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_Toc223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highlight w:val="none"/>
        </w:rPr>
        <w:t>常态化科普</w:t>
      </w:r>
      <w:r>
        <w:tab/>
      </w:r>
      <w:r>
        <w:fldChar w:fldCharType="begin"/>
      </w:r>
      <w:r>
        <w:instrText xml:space="preserve"> PAGEREF _Toc223 \h </w:instrText>
      </w:r>
      <w:r>
        <w:fldChar w:fldCharType="separate"/>
      </w:r>
      <w:r>
        <w:t>4</w:t>
      </w:r>
      <w:r>
        <w:fldChar w:fldCharType="end"/>
      </w:r>
      <w:r>
        <w:rPr>
          <w:rFonts w:hint="eastAsia"/>
          <w:spacing w:val="0"/>
          <w:lang w:eastAsia="zh-CN"/>
        </w:rPr>
        <w:fldChar w:fldCharType="end"/>
      </w:r>
    </w:p>
    <w:p w14:paraId="1172DF85">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_Toc28131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highlight w:val="none"/>
        </w:rPr>
        <w:t>疫情处置期间科普</w:t>
      </w:r>
      <w:r>
        <w:tab/>
      </w:r>
      <w:r>
        <w:fldChar w:fldCharType="begin"/>
      </w:r>
      <w:r>
        <w:instrText xml:space="preserve"> PAGEREF _Toc28131 \h </w:instrText>
      </w:r>
      <w:r>
        <w:fldChar w:fldCharType="separate"/>
      </w:r>
      <w:r>
        <w:t>4</w:t>
      </w:r>
      <w:r>
        <w:fldChar w:fldCharType="end"/>
      </w:r>
      <w:r>
        <w:rPr>
          <w:rFonts w:hint="eastAsia"/>
          <w:spacing w:val="0"/>
          <w:lang w:eastAsia="zh-CN"/>
        </w:rPr>
        <w:fldChar w:fldCharType="end"/>
      </w:r>
    </w:p>
    <w:p w14:paraId="1D5563D0">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_Toc29647 </w:instrText>
      </w:r>
      <w:r>
        <w:rPr>
          <w:rFonts w:hint="eastAsia"/>
          <w:spacing w:val="0"/>
          <w:lang w:eastAsia="zh-CN"/>
        </w:rPr>
        <w:fldChar w:fldCharType="separate"/>
      </w:r>
      <w:r>
        <w:rPr>
          <w:rFonts w:hint="eastAsia" w:ascii="黑体" w:eastAsia="黑体"/>
          <w:i w:val="0"/>
        </w:rPr>
        <w:t xml:space="preserve">8 </w:t>
      </w:r>
      <w:r>
        <w:rPr>
          <w:rFonts w:hint="eastAsia"/>
          <w:highlight w:val="none"/>
        </w:rPr>
        <w:t>效果评价与改进</w:t>
      </w:r>
      <w:r>
        <w:tab/>
      </w:r>
      <w:r>
        <w:fldChar w:fldCharType="begin"/>
      </w:r>
      <w:r>
        <w:instrText xml:space="preserve"> PAGEREF _Toc29647 \h </w:instrText>
      </w:r>
      <w:r>
        <w:fldChar w:fldCharType="separate"/>
      </w:r>
      <w:r>
        <w:t>4</w:t>
      </w:r>
      <w:r>
        <w:fldChar w:fldCharType="end"/>
      </w:r>
      <w:r>
        <w:rPr>
          <w:rFonts w:hint="eastAsia"/>
          <w:spacing w:val="0"/>
          <w:lang w:eastAsia="zh-CN"/>
        </w:rPr>
        <w:fldChar w:fldCharType="end"/>
      </w:r>
    </w:p>
    <w:p w14:paraId="1F8A0073">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_Toc26002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8.1 </w:t>
      </w:r>
      <w:r>
        <w:rPr>
          <w:rFonts w:hint="eastAsia"/>
          <w:highlight w:val="none"/>
        </w:rPr>
        <w:t>效果评价</w:t>
      </w:r>
      <w:r>
        <w:tab/>
      </w:r>
      <w:r>
        <w:fldChar w:fldCharType="begin"/>
      </w:r>
      <w:r>
        <w:instrText xml:space="preserve"> PAGEREF _Toc26002 \h </w:instrText>
      </w:r>
      <w:r>
        <w:fldChar w:fldCharType="separate"/>
      </w:r>
      <w:r>
        <w:t>4</w:t>
      </w:r>
      <w:r>
        <w:fldChar w:fldCharType="end"/>
      </w:r>
      <w:r>
        <w:rPr>
          <w:rFonts w:hint="eastAsia"/>
          <w:spacing w:val="0"/>
          <w:lang w:eastAsia="zh-CN"/>
        </w:rPr>
        <w:fldChar w:fldCharType="end"/>
      </w:r>
    </w:p>
    <w:p w14:paraId="2FA33F99">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_Toc1633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8.2 </w:t>
      </w:r>
      <w:r>
        <w:rPr>
          <w:rFonts w:hint="eastAsia"/>
          <w:highlight w:val="none"/>
        </w:rPr>
        <w:t>改进提升</w:t>
      </w:r>
      <w:r>
        <w:tab/>
      </w:r>
      <w:r>
        <w:fldChar w:fldCharType="begin"/>
      </w:r>
      <w:r>
        <w:instrText xml:space="preserve"> PAGEREF _Toc1633 \h </w:instrText>
      </w:r>
      <w:r>
        <w:fldChar w:fldCharType="separate"/>
      </w:r>
      <w:r>
        <w:t>4</w:t>
      </w:r>
      <w:r>
        <w:fldChar w:fldCharType="end"/>
      </w:r>
      <w:r>
        <w:rPr>
          <w:rFonts w:hint="eastAsia"/>
          <w:spacing w:val="0"/>
          <w:lang w:eastAsia="zh-CN"/>
        </w:rPr>
        <w:fldChar w:fldCharType="end"/>
      </w:r>
    </w:p>
    <w:p w14:paraId="2FCD8FCF">
      <w:pPr>
        <w:pStyle w:val="20"/>
        <w:tabs>
          <w:tab w:val="right" w:leader="dot" w:pos="9354"/>
        </w:tabs>
      </w:pPr>
      <w:r>
        <w:rPr>
          <w:rFonts w:hint="eastAsia"/>
          <w:spacing w:val="0"/>
          <w:lang w:eastAsia="zh-CN"/>
        </w:rPr>
        <w:fldChar w:fldCharType="begin"/>
      </w:r>
      <w:r>
        <w:rPr>
          <w:rFonts w:hint="eastAsia"/>
          <w:spacing w:val="0"/>
          <w:lang w:eastAsia="zh-CN"/>
        </w:rPr>
        <w:instrText xml:space="preserve"> HYPERLINK \l _Toc32673 </w:instrText>
      </w:r>
      <w:r>
        <w:rPr>
          <w:rFonts w:hint="eastAsia"/>
          <w:spacing w:val="0"/>
          <w:lang w:eastAsia="zh-CN"/>
        </w:rPr>
        <w:fldChar w:fldCharType="separate"/>
      </w:r>
      <w:r>
        <w:rPr>
          <w:rFonts w:hint="eastAsia" w:ascii="黑体" w:eastAsia="黑体"/>
          <w:i w:val="0"/>
        </w:rPr>
        <w:t xml:space="preserve">9 </w:t>
      </w:r>
      <w:r>
        <w:rPr>
          <w:rFonts w:hint="eastAsia"/>
          <w:highlight w:val="none"/>
        </w:rPr>
        <w:t>档案管理</w:t>
      </w:r>
      <w:r>
        <w:tab/>
      </w:r>
      <w:r>
        <w:fldChar w:fldCharType="begin"/>
      </w:r>
      <w:r>
        <w:instrText xml:space="preserve"> PAGEREF _Toc32673 \h </w:instrText>
      </w:r>
      <w:r>
        <w:fldChar w:fldCharType="separate"/>
      </w:r>
      <w:r>
        <w:t>4</w:t>
      </w:r>
      <w:r>
        <w:fldChar w:fldCharType="end"/>
      </w:r>
      <w:r>
        <w:rPr>
          <w:rFonts w:hint="eastAsia"/>
          <w:spacing w:val="0"/>
          <w:lang w:eastAsia="zh-CN"/>
        </w:rPr>
        <w:fldChar w:fldCharType="end"/>
      </w:r>
    </w:p>
    <w:p w14:paraId="13448CDC">
      <w:pPr>
        <w:pStyle w:val="25"/>
        <w:tabs>
          <w:tab w:val="right" w:leader="dot" w:pos="9354"/>
          <w:tab w:val="clear" w:pos="9344"/>
        </w:tabs>
      </w:pPr>
      <w:r>
        <w:rPr>
          <w:rFonts w:hint="eastAsia"/>
          <w:spacing w:val="0"/>
          <w:lang w:eastAsia="zh-CN"/>
        </w:rPr>
        <w:fldChar w:fldCharType="begin"/>
      </w:r>
      <w:r>
        <w:rPr>
          <w:rFonts w:hint="eastAsia"/>
          <w:spacing w:val="0"/>
          <w:lang w:eastAsia="zh-CN"/>
        </w:rPr>
        <w:instrText xml:space="preserve"> HYPERLINK \l _Toc1805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9.1 </w:t>
      </w:r>
      <w:r>
        <w:rPr>
          <w:rFonts w:hint="eastAsia"/>
          <w:highlight w:val="none"/>
        </w:rPr>
        <w:t>档案内容</w:t>
      </w:r>
      <w:r>
        <w:tab/>
      </w:r>
      <w:r>
        <w:fldChar w:fldCharType="begin"/>
      </w:r>
      <w:r>
        <w:instrText xml:space="preserve"> PAGEREF _Toc1805 \h </w:instrText>
      </w:r>
      <w:r>
        <w:fldChar w:fldCharType="separate"/>
      </w:r>
      <w:r>
        <w:t>4</w:t>
      </w:r>
      <w:r>
        <w:fldChar w:fldCharType="end"/>
      </w:r>
      <w:r>
        <w:rPr>
          <w:rFonts w:hint="eastAsia"/>
          <w:spacing w:val="0"/>
          <w:lang w:eastAsia="zh-CN"/>
        </w:rPr>
        <w:fldChar w:fldCharType="end"/>
      </w:r>
    </w:p>
    <w:p w14:paraId="4A96CD99">
      <w:pPr>
        <w:pStyle w:val="25"/>
        <w:rPr>
          <w:rFonts w:asciiTheme="minorHAnsi" w:hAnsiTheme="minorHAnsi" w:eastAsiaTheme="minorEastAsia" w:cstheme="minorBidi"/>
          <w:szCs w:val="22"/>
        </w:rPr>
      </w:pPr>
      <w:r>
        <w:rPr>
          <w:rFonts w:hint="eastAsia"/>
          <w:spacing w:val="0"/>
          <w:lang w:eastAsia="zh-CN"/>
        </w:rPr>
        <w:fldChar w:fldCharType="begin"/>
      </w:r>
      <w:r>
        <w:rPr>
          <w:rFonts w:hint="eastAsia"/>
          <w:spacing w:val="0"/>
          <w:lang w:eastAsia="zh-CN"/>
        </w:rPr>
        <w:instrText xml:space="preserve"> HYPERLINK \l _Toc17588 </w:instrText>
      </w:r>
      <w:r>
        <w:rPr>
          <w:rFonts w:hint="eastAsia"/>
          <w:spacing w:val="0"/>
          <w:lang w:eastAsia="zh-C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9.2 </w:t>
      </w:r>
      <w:r>
        <w:rPr>
          <w:rFonts w:hint="eastAsia"/>
          <w:highlight w:val="none"/>
        </w:rPr>
        <w:t>管理要求</w:t>
      </w:r>
      <w:r>
        <w:tab/>
      </w:r>
      <w:r>
        <w:fldChar w:fldCharType="begin"/>
      </w:r>
      <w:r>
        <w:instrText xml:space="preserve"> PAGEREF _Toc17588 \h </w:instrText>
      </w:r>
      <w:r>
        <w:fldChar w:fldCharType="separate"/>
      </w:r>
      <w:r>
        <w:t>5</w:t>
      </w:r>
      <w:r>
        <w:fldChar w:fldCharType="end"/>
      </w:r>
      <w:r>
        <w:rPr>
          <w:rFonts w:hint="eastAsia"/>
          <w:spacing w:val="0"/>
          <w:lang w:eastAsia="zh-CN"/>
        </w:rPr>
        <w:fldChar w:fldCharType="end"/>
      </w:r>
    </w:p>
    <w:p w14:paraId="57C3AA4A">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"_Toc230075282" </w:instrText>
      </w:r>
      <w:r>
        <w:fldChar w:fldCharType="separate"/>
      </w:r>
      <w:r>
        <w:rPr>
          <w:rStyle w:val="35"/>
          <w:rFonts w:hint="eastAsia"/>
        </w:rPr>
        <w:t>附录</w:t>
      </w:r>
      <w:r>
        <w:rPr>
          <w:rStyle w:val="35"/>
        </w:rPr>
        <w:t>A</w:t>
      </w:r>
      <w:r>
        <w:rPr>
          <w:rStyle w:val="35"/>
          <w:rFonts w:hint="eastAsia"/>
        </w:rPr>
        <w:t>（</w:t>
      </w:r>
      <w:r>
        <w:rPr>
          <w:rStyle w:val="35"/>
          <w:rFonts w:hint="eastAsia"/>
          <w:lang w:val="en-US" w:eastAsia="zh-CN"/>
        </w:rPr>
        <w:t>规范</w:t>
      </w:r>
      <w:r>
        <w:rPr>
          <w:rStyle w:val="35"/>
          <w:rFonts w:hint="eastAsia"/>
        </w:rPr>
        <w:t>性）</w:t>
      </w:r>
      <w:r>
        <w:rPr>
          <w:rStyle w:val="35"/>
        </w:rPr>
        <w:t xml:space="preserve">  </w:t>
      </w:r>
      <w:r>
        <w:rPr>
          <w:rStyle w:val="35"/>
          <w:rFonts w:hint="eastAsia"/>
        </w:rPr>
        <w:t>学校肺结核健康科普流程</w:t>
      </w:r>
      <w:r>
        <w:tab/>
      </w:r>
      <w:r>
        <w:rPr>
          <w:rFonts w:hint="eastAsia"/>
          <w:lang w:val="en-US" w:eastAsia="zh-CN"/>
        </w:rPr>
        <w:t>7</w:t>
      </w:r>
      <w:r>
        <w:fldChar w:fldCharType="end"/>
      </w:r>
    </w:p>
    <w:p w14:paraId="7CBF0450">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"_Toc230075283" </w:instrText>
      </w:r>
      <w:r>
        <w:fldChar w:fldCharType="separate"/>
      </w:r>
      <w:r>
        <w:rPr>
          <w:rStyle w:val="35"/>
          <w:rFonts w:hint="eastAsia"/>
        </w:rPr>
        <w:t>附录</w:t>
      </w:r>
      <w:r>
        <w:rPr>
          <w:rStyle w:val="35"/>
        </w:rPr>
        <w:t>B</w:t>
      </w:r>
      <w:r>
        <w:rPr>
          <w:rStyle w:val="35"/>
          <w:rFonts w:hint="eastAsia"/>
        </w:rPr>
        <w:t>（资料性）</w:t>
      </w:r>
      <w:r>
        <w:rPr>
          <w:rStyle w:val="35"/>
        </w:rPr>
        <w:t xml:space="preserve">  </w:t>
      </w:r>
      <w:r>
        <w:rPr>
          <w:rStyle w:val="35"/>
          <w:rFonts w:hint="eastAsia"/>
        </w:rPr>
        <w:t>学校肺结核健康科普理论知识</w:t>
      </w:r>
      <w:r>
        <w:tab/>
      </w:r>
      <w:r>
        <w:rPr>
          <w:rFonts w:hint="eastAsia"/>
          <w:lang w:val="en-US" w:eastAsia="zh-CN"/>
        </w:rPr>
        <w:t>7</w:t>
      </w:r>
      <w:r>
        <w:fldChar w:fldCharType="end"/>
      </w:r>
    </w:p>
    <w:p w14:paraId="34BA3602">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"_Toc230075284" </w:instrText>
      </w:r>
      <w:r>
        <w:fldChar w:fldCharType="separate"/>
      </w:r>
      <w:r>
        <w:rPr>
          <w:rStyle w:val="35"/>
          <w:rFonts w:hint="eastAsia"/>
        </w:rPr>
        <w:t>附录</w:t>
      </w:r>
      <w:r>
        <w:rPr>
          <w:rStyle w:val="35"/>
        </w:rPr>
        <w:t>C</w:t>
      </w:r>
      <w:r>
        <w:rPr>
          <w:rStyle w:val="35"/>
          <w:rFonts w:hint="eastAsia"/>
        </w:rPr>
        <w:t>（资料性）</w:t>
      </w:r>
      <w:r>
        <w:rPr>
          <w:rStyle w:val="35"/>
        </w:rPr>
        <w:t xml:space="preserve">  </w:t>
      </w:r>
      <w:r>
        <w:rPr>
          <w:rStyle w:val="35"/>
          <w:rFonts w:hint="eastAsia"/>
        </w:rPr>
        <w:t>学校肺结核健康科普核心知识测评表</w:t>
      </w:r>
      <w:r>
        <w:tab/>
      </w:r>
      <w:r>
        <w:fldChar w:fldCharType="begin"/>
      </w:r>
      <w:r>
        <w:instrText xml:space="preserve"> PAGEREF _Toc230075284 \h </w:instrText>
      </w:r>
      <w:r>
        <w:fldChar w:fldCharType="separate"/>
      </w:r>
      <w:r>
        <w:t>1</w:t>
      </w:r>
      <w:r>
        <w:rPr>
          <w:rFonts w:hint="eastAsia"/>
          <w:lang w:val="en-US" w:eastAsia="zh-CN"/>
        </w:rPr>
        <w:t>4</w:t>
      </w:r>
      <w:r>
        <w:fldChar w:fldCharType="end"/>
      </w:r>
      <w:r>
        <w:fldChar w:fldCharType="end"/>
      </w:r>
    </w:p>
    <w:p w14:paraId="4072737A">
      <w:pPr>
        <w:pStyle w:val="20"/>
        <w:tabs>
          <w:tab w:val="right" w:leader="dot" w:pos="9344"/>
        </w:tabs>
        <w:rPr>
          <w:rFonts w:hint="eastAsia" w:eastAsia="宋体"/>
          <w:lang w:val="en-US" w:eastAsia="zh-CN"/>
        </w:rPr>
      </w:pPr>
      <w:r>
        <w:fldChar w:fldCharType="begin"/>
      </w:r>
      <w:r>
        <w:instrText xml:space="preserve"> HYPERLINK \l "_Toc230075285" </w:instrText>
      </w:r>
      <w:r>
        <w:fldChar w:fldCharType="separate"/>
      </w:r>
      <w:r>
        <w:rPr>
          <w:rStyle w:val="35"/>
          <w:rFonts w:hint="eastAsia"/>
        </w:rPr>
        <w:t>附录</w:t>
      </w:r>
      <w:r>
        <w:rPr>
          <w:rStyle w:val="35"/>
        </w:rPr>
        <w:t>D</w:t>
      </w:r>
      <w:r>
        <w:rPr>
          <w:rStyle w:val="35"/>
          <w:rFonts w:hint="eastAsia"/>
        </w:rPr>
        <w:t>（资料性）</w:t>
      </w:r>
      <w:r>
        <w:rPr>
          <w:rStyle w:val="35"/>
        </w:rPr>
        <w:t xml:space="preserve">  </w:t>
      </w:r>
      <w:r>
        <w:rPr>
          <w:rStyle w:val="35"/>
          <w:rFonts w:hint="eastAsia"/>
        </w:rPr>
        <w:t>学校肺结核健康科普活动问卷调查</w:t>
      </w:r>
      <w:r>
        <w:tab/>
      </w:r>
      <w:r>
        <w:rPr>
          <w:rFonts w:hint="eastAsia"/>
          <w:lang w:val="en-US" w:eastAsia="zh-CN"/>
        </w:rPr>
        <w:t>1</w:t>
      </w:r>
      <w:r>
        <w:fldChar w:fldCharType="end"/>
      </w:r>
      <w:r>
        <w:rPr>
          <w:rFonts w:hint="eastAsia"/>
          <w:lang w:val="en-US" w:eastAsia="zh-CN"/>
        </w:rPr>
        <w:t>5</w:t>
      </w:r>
    </w:p>
    <w:p w14:paraId="0640B4FF">
      <w:pPr>
        <w:pStyle w:val="20"/>
        <w:tabs>
          <w:tab w:val="right" w:leader="dot" w:pos="9344"/>
        </w:tabs>
      </w:pPr>
      <w:r>
        <w:fldChar w:fldCharType="begin"/>
      </w:r>
      <w:r>
        <w:instrText xml:space="preserve"> HYPERLINK \l "_Toc230075285" </w:instrText>
      </w:r>
      <w:r>
        <w:fldChar w:fldCharType="separate"/>
      </w:r>
      <w:r>
        <w:rPr>
          <w:rStyle w:val="35"/>
          <w:rFonts w:hint="eastAsia"/>
        </w:rPr>
        <w:t>附录</w:t>
      </w:r>
      <w:r>
        <w:rPr>
          <w:rStyle w:val="35"/>
          <w:rFonts w:hint="eastAsia"/>
          <w:lang w:val="en-US" w:eastAsia="zh-CN"/>
        </w:rPr>
        <w:t>E</w:t>
      </w:r>
      <w:r>
        <w:rPr>
          <w:rStyle w:val="35"/>
          <w:rFonts w:hint="eastAsia"/>
        </w:rPr>
        <w:t>（资料性）</w:t>
      </w:r>
      <w:r>
        <w:rPr>
          <w:rStyle w:val="35"/>
        </w:rPr>
        <w:t xml:space="preserve">  </w:t>
      </w:r>
      <w:r>
        <w:rPr>
          <w:rStyle w:val="35"/>
          <w:rFonts w:hint="eastAsia"/>
        </w:rPr>
        <w:t>学校肺结核健康科普记录表</w:t>
      </w:r>
      <w:r>
        <w:tab/>
      </w:r>
      <w:r>
        <w:fldChar w:fldCharType="begin"/>
      </w:r>
      <w:r>
        <w:instrText xml:space="preserve"> PAGEREF _Toc230075285 \h </w:instrText>
      </w:r>
      <w:r>
        <w:fldChar w:fldCharType="separate"/>
      </w:r>
      <w:r>
        <w:t>16</w:t>
      </w:r>
      <w:r>
        <w:fldChar w:fldCharType="end"/>
      </w:r>
      <w:r>
        <w:fldChar w:fldCharType="end"/>
      </w:r>
    </w:p>
    <w:p w14:paraId="7758B85B">
      <w:pPr>
        <w:pStyle w:val="20"/>
        <w:tabs>
          <w:tab w:val="right" w:leader="dot" w:pos="9344"/>
        </w:tabs>
        <w:rPr>
          <w:rFonts w:asciiTheme="minorHAnsi" w:hAnsiTheme="minorHAnsi" w:eastAsiaTheme="minorEastAsia" w:cstheme="minorBidi"/>
          <w:szCs w:val="22"/>
        </w:rPr>
      </w:pPr>
      <w:r>
        <w:fldChar w:fldCharType="begin"/>
      </w:r>
      <w:r>
        <w:instrText xml:space="preserve"> HYPERLINK \l "_Toc230075286" </w:instrText>
      </w:r>
      <w:r>
        <w:fldChar w:fldCharType="separate"/>
      </w:r>
      <w:r>
        <w:rPr>
          <w:rStyle w:val="35"/>
          <w:rFonts w:hint="eastAsia"/>
        </w:rPr>
        <w:t>参考文献</w:t>
      </w:r>
      <w:r>
        <w:tab/>
      </w:r>
      <w:r>
        <w:fldChar w:fldCharType="begin"/>
      </w:r>
      <w:r>
        <w:instrText xml:space="preserve"> PAGEREF _Toc230075286 \h </w:instrText>
      </w:r>
      <w:r>
        <w:fldChar w:fldCharType="separate"/>
      </w:r>
      <w:r>
        <w:t>17</w:t>
      </w:r>
      <w:r>
        <w:fldChar w:fldCharType="end"/>
      </w:r>
      <w:r>
        <w:fldChar w:fldCharType="end"/>
      </w:r>
    </w:p>
    <w:p w14:paraId="480F30A1">
      <w:pPr>
        <w:pStyle w:val="95"/>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p w14:paraId="75B5C2AE">
      <w:pPr>
        <w:pStyle w:val="93"/>
        <w:bidi w:val="0"/>
        <w:spacing w:before="560"/>
        <w:rPr>
          <w:rFonts w:hint="eastAsia"/>
          <w:lang w:eastAsia="zh-CN"/>
        </w:rPr>
      </w:pPr>
      <w:bookmarkStart w:id="24" w:name="_Toc13881"/>
      <w:r>
        <w:rPr>
          <w:rFonts w:hint="eastAsia"/>
          <w:spacing w:val="320"/>
          <w:lang w:eastAsia="zh-CN"/>
        </w:rPr>
        <w:t>前</w:t>
      </w:r>
      <w:r>
        <w:rPr>
          <w:rFonts w:hint="eastAsia"/>
          <w:lang w:eastAsia="zh-CN"/>
        </w:rPr>
        <w:t>言</w:t>
      </w:r>
      <w:bookmarkEnd w:id="24"/>
    </w:p>
    <w:p w14:paraId="1C2CC797">
      <w:pPr>
        <w:pStyle w:val="60"/>
        <w:bidi w:val="0"/>
        <w:rPr>
          <w:rFonts w:hint="eastAsia"/>
          <w:lang w:eastAsia="zh-CN"/>
        </w:rPr>
      </w:pPr>
      <w:r>
        <w:rPr>
          <w:rFonts w:hint="eastAsia"/>
          <w:lang w:eastAsia="zh-CN"/>
        </w:rPr>
        <w:t>本文件</w:t>
      </w:r>
      <w:r>
        <w:rPr>
          <w:rFonts w:hint="eastAsia"/>
          <w:highlight w:val="none"/>
          <w:lang w:val="en-US" w:eastAsia="zh-CN"/>
        </w:rPr>
        <w:t>参</w:t>
      </w:r>
      <w:r>
        <w:rPr>
          <w:rFonts w:hint="eastAsia"/>
          <w:lang w:eastAsia="zh-CN"/>
        </w:rPr>
        <w:t>照GB/T 1.1—2020《标准化工作导则  第1部分：标准化文件的结构和起草规则》的规定起草。</w:t>
      </w:r>
    </w:p>
    <w:p w14:paraId="282D7E6D">
      <w:pPr>
        <w:pStyle w:val="60"/>
        <w:bidi w:val="0"/>
        <w:rPr>
          <w:rFonts w:hint="eastAsia"/>
          <w:highlight w:val="none"/>
          <w:lang w:eastAsia="zh-CN"/>
        </w:rPr>
      </w:pPr>
      <w:r>
        <w:rPr>
          <w:rFonts w:hint="eastAsia"/>
          <w:lang w:eastAsia="zh-CN"/>
        </w:rPr>
        <w:t>请注意本文件的某些内容可能涉及专利。本文件的发布机构不承</w:t>
      </w:r>
      <w:r>
        <w:rPr>
          <w:rFonts w:hint="eastAsia"/>
          <w:highlight w:val="none"/>
          <w:lang w:eastAsia="zh-CN"/>
        </w:rPr>
        <w:t>担识别专利的责任。</w:t>
      </w:r>
    </w:p>
    <w:p w14:paraId="05590FC1">
      <w:pPr>
        <w:pStyle w:val="60"/>
        <w:bidi w:val="0"/>
        <w:rPr>
          <w:rFonts w:hint="eastAsia"/>
          <w:highlight w:val="none"/>
          <w:lang w:eastAsia="zh-CN"/>
        </w:rPr>
      </w:pPr>
      <w:r>
        <w:rPr>
          <w:rFonts w:hint="eastAsia"/>
          <w:highlight w:val="none"/>
          <w:lang w:eastAsia="zh-CN"/>
        </w:rPr>
        <w:t>本文件由广西壮族自治区胸科医院（广西壮族自治区第四人民医院、</w:t>
      </w:r>
      <w:r>
        <w:rPr>
          <w:rFonts w:hint="eastAsia"/>
          <w:highlight w:val="none"/>
          <w:lang w:val="en-US" w:eastAsia="zh-CN"/>
        </w:rPr>
        <w:t>广西壮族自治区结核病医院</w:t>
      </w:r>
      <w:r>
        <w:rPr>
          <w:rFonts w:hint="eastAsia"/>
          <w:highlight w:val="none"/>
          <w:lang w:eastAsia="zh-CN"/>
        </w:rPr>
        <w:t>）提出并宣贯。</w:t>
      </w:r>
    </w:p>
    <w:p w14:paraId="2C07049F">
      <w:pPr>
        <w:pStyle w:val="60"/>
        <w:bidi w:val="0"/>
        <w:rPr>
          <w:rFonts w:hint="eastAsia"/>
          <w:highlight w:val="none"/>
          <w:lang w:eastAsia="zh-CN"/>
        </w:rPr>
      </w:pPr>
      <w:r>
        <w:rPr>
          <w:rFonts w:hint="eastAsia"/>
          <w:highlight w:val="none"/>
          <w:lang w:eastAsia="zh-CN"/>
        </w:rPr>
        <w:t>本文件由广西标准化协会归口。</w:t>
      </w:r>
    </w:p>
    <w:p w14:paraId="7183CA9D">
      <w:pPr>
        <w:pStyle w:val="60"/>
        <w:bidi w:val="0"/>
        <w:rPr>
          <w:rFonts w:hint="eastAsia"/>
          <w:lang w:eastAsia="zh-CN"/>
        </w:rPr>
      </w:pPr>
      <w:r>
        <w:rPr>
          <w:rFonts w:hint="eastAsia"/>
          <w:highlight w:val="none"/>
          <w:lang w:eastAsia="zh-CN"/>
        </w:rPr>
        <w:t>本文件起草单位：广西壮族自治区胸科医院（广西壮族自治区第四人民医院、</w:t>
      </w:r>
      <w:r>
        <w:rPr>
          <w:rFonts w:hint="eastAsia"/>
          <w:highlight w:val="none"/>
          <w:lang w:val="en-US" w:eastAsia="zh-CN"/>
        </w:rPr>
        <w:t>广西壮族自治区结核病医院</w:t>
      </w:r>
      <w:r>
        <w:rPr>
          <w:rFonts w:hint="eastAsia"/>
          <w:highlight w:val="none"/>
          <w:lang w:eastAsia="zh-CN"/>
        </w:rPr>
        <w:t>）、广西壮族自治区妇幼保健院、南宁市第四人民医院、右江</w:t>
      </w:r>
      <w:r>
        <w:rPr>
          <w:rFonts w:hint="eastAsia"/>
          <w:highlight w:val="none"/>
          <w:lang w:val="en-US" w:eastAsia="zh-CN"/>
        </w:rPr>
        <w:t>民族</w:t>
      </w:r>
      <w:r>
        <w:rPr>
          <w:rFonts w:hint="eastAsia"/>
          <w:highlight w:val="none"/>
          <w:lang w:eastAsia="zh-CN"/>
        </w:rPr>
        <w:t>医学院附属医院、柳州市人民医院、梧州市工人医院、梧州市第三人民医院、来宾市人民医院、河池市人民医院、河池市第四人民医院、河池市宜州区人民医院、玉林市红十字会医院、首都医科大学附属北京胸科医院、深圳市第三人民医院、</w:t>
      </w:r>
      <w:r>
        <w:rPr>
          <w:rFonts w:hint="eastAsia"/>
          <w:highlight w:val="none"/>
          <w:lang w:val="en-US" w:eastAsia="zh-CN"/>
        </w:rPr>
        <w:t>株洲市中心医院</w:t>
      </w:r>
      <w:r>
        <w:rPr>
          <w:rFonts w:hint="eastAsia"/>
          <w:highlight w:val="none"/>
          <w:lang w:eastAsia="zh-CN"/>
        </w:rPr>
        <w:t>、广州</w:t>
      </w:r>
      <w:r>
        <w:rPr>
          <w:rFonts w:hint="eastAsia"/>
          <w:highlight w:val="none"/>
          <w:lang w:val="en-US" w:eastAsia="zh-CN"/>
        </w:rPr>
        <w:t>市</w:t>
      </w:r>
      <w:r>
        <w:rPr>
          <w:rFonts w:hint="eastAsia"/>
          <w:highlight w:val="none"/>
          <w:lang w:eastAsia="zh-CN"/>
        </w:rPr>
        <w:t>胸科医</w:t>
      </w:r>
      <w:r>
        <w:rPr>
          <w:rFonts w:hint="eastAsia"/>
          <w:lang w:eastAsia="zh-CN"/>
        </w:rPr>
        <w:t>院</w:t>
      </w:r>
      <w:r>
        <w:rPr>
          <w:rFonts w:hint="eastAsia"/>
          <w:highlight w:val="none"/>
          <w:lang w:eastAsia="zh-CN"/>
        </w:rPr>
        <w:t>、钦州市第一人民医院、北海市人民医院</w:t>
      </w:r>
      <w:r>
        <w:rPr>
          <w:rFonts w:hint="eastAsia"/>
          <w:lang w:eastAsia="zh-CN"/>
        </w:rPr>
        <w:t>、</w:t>
      </w:r>
      <w:r>
        <w:rPr>
          <w:rFonts w:hint="eastAsia"/>
          <w:highlight w:val="none"/>
          <w:lang w:eastAsia="zh-CN"/>
        </w:rPr>
        <w:t>河池市第一人民医院</w:t>
      </w:r>
      <w:r>
        <w:rPr>
          <w:rFonts w:hint="eastAsia"/>
          <w:lang w:eastAsia="zh-CN"/>
        </w:rPr>
        <w:t>。</w:t>
      </w:r>
    </w:p>
    <w:p w14:paraId="26B87096">
      <w:pPr>
        <w:pStyle w:val="60"/>
        <w:bidi w:val="0"/>
        <w:rPr>
          <w:rFonts w:hint="eastAsia"/>
          <w:highlight w:val="none"/>
          <w:lang w:eastAsia="zh-CN"/>
        </w:rPr>
      </w:pPr>
      <w:r>
        <w:rPr>
          <w:rFonts w:hint="eastAsia"/>
          <w:lang w:eastAsia="zh-CN"/>
        </w:rPr>
        <w:t>本文件主要起草人</w:t>
      </w:r>
      <w:r>
        <w:rPr>
          <w:rFonts w:hint="eastAsia"/>
          <w:highlight w:val="none"/>
          <w:lang w:eastAsia="zh-CN"/>
        </w:rPr>
        <w:t>：梁月新、刘爱梅、刘桑、陈纪飞、王梁、李丽媛、廖静、韦悦、李敏珍、陈兰、龚贝贝、韦周慧、蔡立红、张凯、韦宝娟、张景、吕柳英、杨周洲、马维领、杨小丹、陆柳雪、覃凤飞、郭晓晓、廖林英、颜翠云、温静、马筱岸、黄妹青、林艳、王芳、黄浦、罗力静、姜红卫、唐雪萍、韦秋凤、李桂红、阮巧、黄锐洁、聂菲菲、王秀芬、</w:t>
      </w:r>
      <w:r>
        <w:rPr>
          <w:rFonts w:hint="eastAsia"/>
          <w:color w:val="auto"/>
          <w:highlight w:val="none"/>
          <w:lang w:val="en-US" w:eastAsia="zh-CN"/>
        </w:rPr>
        <w:t>胡玲</w:t>
      </w:r>
      <w:r>
        <w:rPr>
          <w:rFonts w:hint="eastAsia"/>
          <w:color w:val="auto"/>
          <w:highlight w:val="none"/>
          <w:lang w:eastAsia="zh-CN"/>
        </w:rPr>
        <w:t>利</w:t>
      </w:r>
      <w:r>
        <w:rPr>
          <w:rFonts w:hint="eastAsia"/>
          <w:highlight w:val="none"/>
          <w:lang w:eastAsia="zh-CN"/>
        </w:rPr>
        <w:t>、周敏娟、覃惠云、马惠、陈玉婷、樊桂芬、杨花、覃凤喜、江丽媛、</w:t>
      </w:r>
      <w:r>
        <w:rPr>
          <w:rFonts w:hint="eastAsia"/>
          <w:highlight w:val="none"/>
          <w:lang w:val="en-US" w:eastAsia="zh-CN"/>
        </w:rPr>
        <w:t>沈雪、罗怡德、</w:t>
      </w:r>
      <w:r>
        <w:rPr>
          <w:rFonts w:hint="eastAsia"/>
          <w:highlight w:val="none"/>
          <w:lang w:eastAsia="zh-CN"/>
        </w:rPr>
        <w:t>陈登翠、</w:t>
      </w:r>
      <w:r>
        <w:rPr>
          <w:rFonts w:hint="eastAsia"/>
          <w:highlight w:val="none"/>
          <w:lang w:val="en-US" w:eastAsia="zh-CN"/>
        </w:rPr>
        <w:t>蔡雨霜、蓝方明</w:t>
      </w:r>
      <w:r>
        <w:rPr>
          <w:rFonts w:hint="eastAsia"/>
          <w:highlight w:val="none"/>
          <w:lang w:eastAsia="zh-CN"/>
        </w:rPr>
        <w:t>、韦玮、石柳春</w:t>
      </w:r>
      <w:r>
        <w:rPr>
          <w:rFonts w:hint="eastAsia"/>
          <w:highlight w:val="none"/>
          <w:lang w:val="en-US" w:eastAsia="zh-CN"/>
        </w:rPr>
        <w:t>、许秀东</w:t>
      </w:r>
      <w:r>
        <w:rPr>
          <w:rFonts w:hint="eastAsia"/>
          <w:highlight w:val="none"/>
          <w:lang w:eastAsia="zh-CN"/>
        </w:rPr>
        <w:t>、黄海珍、韦冬英</w:t>
      </w:r>
      <w:r>
        <w:rPr>
          <w:rFonts w:hint="eastAsia"/>
          <w:highlight w:val="none"/>
          <w:lang w:val="en-US" w:eastAsia="zh-CN"/>
        </w:rPr>
        <w:t>、</w:t>
      </w:r>
      <w:r>
        <w:rPr>
          <w:rFonts w:hint="eastAsia"/>
          <w:highlight w:val="none"/>
          <w:lang w:eastAsia="zh-CN"/>
        </w:rPr>
        <w:t>梁秋玲。</w:t>
      </w:r>
    </w:p>
    <w:p w14:paraId="06D9635D">
      <w:pPr>
        <w:pStyle w:val="95"/>
        <w:spacing w:after="360"/>
        <w:sectPr>
          <w:pgSz w:w="11906" w:h="16838"/>
          <w:pgMar w:top="1928" w:right="1134" w:bottom="1134" w:left="1134" w:header="1418" w:footer="1134" w:gutter="284"/>
          <w:pgNumType w:fmt="upperRoman" w:start="1"/>
          <w:cols w:space="425" w:num="1"/>
          <w:formProt w:val="0"/>
          <w:docGrid w:linePitch="312" w:charSpace="0"/>
        </w:sectPr>
      </w:pPr>
    </w:p>
    <w:bookmarkEnd w:id="20"/>
    <w:bookmarkEnd w:id="21"/>
    <w:bookmarkEnd w:id="22"/>
    <w:bookmarkEnd w:id="23"/>
    <w:p w14:paraId="4A6E391C">
      <w:pPr>
        <w:spacing w:line="20" w:lineRule="exact"/>
        <w:jc w:val="both"/>
        <w:rPr>
          <w:rFonts w:ascii="黑体" w:hAnsi="黑体" w:eastAsia="黑体"/>
          <w:sz w:val="32"/>
          <w:szCs w:val="32"/>
        </w:rPr>
      </w:pPr>
      <w:bookmarkStart w:id="25" w:name="BookMark4"/>
    </w:p>
    <w:p w14:paraId="7AD474C9">
      <w:pPr>
        <w:spacing w:line="20" w:lineRule="exact"/>
        <w:jc w:val="both"/>
        <w:rPr>
          <w:rFonts w:ascii="黑体" w:hAnsi="黑体" w:eastAsia="黑体"/>
          <w:sz w:val="32"/>
          <w:szCs w:val="32"/>
        </w:rPr>
      </w:pPr>
    </w:p>
    <w:p w14:paraId="5F2E089D">
      <w:pPr>
        <w:spacing w:line="20" w:lineRule="exact"/>
        <w:jc w:val="both"/>
        <w:rPr>
          <w:rFonts w:ascii="黑体" w:hAnsi="黑体" w:eastAsia="黑体"/>
          <w:sz w:val="32"/>
          <w:szCs w:val="32"/>
        </w:rPr>
      </w:pPr>
    </w:p>
    <w:p w14:paraId="29166236">
      <w:pPr>
        <w:spacing w:line="20" w:lineRule="exact"/>
        <w:jc w:val="both"/>
        <w:rPr>
          <w:rFonts w:ascii="黑体" w:hAnsi="黑体" w:eastAsia="黑体"/>
          <w:sz w:val="32"/>
          <w:szCs w:val="32"/>
        </w:rPr>
      </w:pPr>
    </w:p>
    <w:p w14:paraId="193EA6AA">
      <w:pPr>
        <w:spacing w:line="20" w:lineRule="exact"/>
        <w:jc w:val="both"/>
        <w:rPr>
          <w:rFonts w:ascii="黑体" w:hAnsi="黑体" w:eastAsia="黑体"/>
          <w:sz w:val="32"/>
          <w:szCs w:val="32"/>
        </w:rPr>
      </w:pPr>
    </w:p>
    <w:p w14:paraId="3F3EB796">
      <w:pPr>
        <w:spacing w:line="20" w:lineRule="exact"/>
        <w:jc w:val="both"/>
        <w:rPr>
          <w:rFonts w:ascii="黑体" w:hAnsi="黑体" w:eastAsia="黑体"/>
          <w:sz w:val="32"/>
          <w:szCs w:val="32"/>
        </w:rPr>
      </w:pPr>
    </w:p>
    <w:p w14:paraId="7EB99C33">
      <w:pPr>
        <w:spacing w:line="20" w:lineRule="exact"/>
        <w:jc w:val="both"/>
        <w:rPr>
          <w:rFonts w:ascii="黑体" w:hAnsi="黑体" w:eastAsia="黑体"/>
          <w:sz w:val="32"/>
          <w:szCs w:val="32"/>
        </w:rPr>
      </w:pPr>
    </w:p>
    <w:p w14:paraId="5D639567">
      <w:pPr>
        <w:spacing w:line="20" w:lineRule="exact"/>
        <w:jc w:val="both"/>
        <w:rPr>
          <w:rFonts w:ascii="黑体" w:hAnsi="黑体" w:eastAsia="黑体"/>
          <w:sz w:val="32"/>
          <w:szCs w:val="32"/>
        </w:rPr>
      </w:pPr>
    </w:p>
    <w:p w14:paraId="2C3B4DB9">
      <w:pPr>
        <w:spacing w:line="20" w:lineRule="exact"/>
        <w:jc w:val="both"/>
        <w:rPr>
          <w:rFonts w:ascii="黑体" w:hAnsi="黑体" w:eastAsia="黑体"/>
          <w:sz w:val="32"/>
          <w:szCs w:val="32"/>
        </w:rPr>
      </w:pPr>
    </w:p>
    <w:p w14:paraId="5D1C788B">
      <w:pPr>
        <w:spacing w:line="20" w:lineRule="exact"/>
        <w:jc w:val="both"/>
        <w:rPr>
          <w:rFonts w:ascii="黑体" w:hAnsi="黑体" w:eastAsia="黑体"/>
          <w:sz w:val="32"/>
          <w:szCs w:val="32"/>
        </w:rPr>
      </w:pPr>
    </w:p>
    <w:p w14:paraId="70670381">
      <w:pPr>
        <w:spacing w:line="20" w:lineRule="exact"/>
        <w:jc w:val="both"/>
        <w:rPr>
          <w:rFonts w:ascii="黑体" w:hAnsi="黑体" w:eastAsia="黑体"/>
          <w:sz w:val="32"/>
          <w:szCs w:val="32"/>
        </w:rPr>
      </w:pPr>
    </w:p>
    <w:p w14:paraId="3A32D34C">
      <w:pPr>
        <w:spacing w:line="20" w:lineRule="exact"/>
        <w:jc w:val="both"/>
        <w:rPr>
          <w:rFonts w:ascii="黑体" w:hAnsi="黑体" w:eastAsia="黑体"/>
          <w:sz w:val="32"/>
          <w:szCs w:val="32"/>
        </w:rPr>
      </w:pPr>
    </w:p>
    <w:p w14:paraId="4B5D5705">
      <w:pPr>
        <w:spacing w:line="20" w:lineRule="exact"/>
        <w:jc w:val="both"/>
        <w:rPr>
          <w:rFonts w:ascii="黑体" w:hAnsi="黑体" w:eastAsia="黑体"/>
          <w:sz w:val="32"/>
          <w:szCs w:val="32"/>
        </w:rPr>
      </w:pPr>
    </w:p>
    <w:p w14:paraId="2C50F177">
      <w:pPr>
        <w:spacing w:line="20" w:lineRule="exact"/>
        <w:jc w:val="both"/>
        <w:rPr>
          <w:rFonts w:ascii="黑体" w:hAnsi="黑体" w:eastAsia="黑体"/>
          <w:sz w:val="32"/>
          <w:szCs w:val="32"/>
        </w:rPr>
      </w:pPr>
    </w:p>
    <w:p w14:paraId="622F841E">
      <w:pPr>
        <w:spacing w:line="20" w:lineRule="exact"/>
        <w:jc w:val="both"/>
        <w:rPr>
          <w:rFonts w:ascii="黑体" w:hAnsi="黑体" w:eastAsia="黑体"/>
          <w:sz w:val="32"/>
          <w:szCs w:val="32"/>
        </w:rPr>
      </w:pPr>
    </w:p>
    <w:p w14:paraId="57BA8170">
      <w:pPr>
        <w:spacing w:line="20" w:lineRule="exact"/>
        <w:jc w:val="both"/>
        <w:rPr>
          <w:rFonts w:ascii="黑体" w:hAnsi="黑体" w:eastAsia="黑体"/>
          <w:sz w:val="32"/>
          <w:szCs w:val="32"/>
        </w:rPr>
      </w:pPr>
    </w:p>
    <w:p w14:paraId="383A3BB1">
      <w:pPr>
        <w:spacing w:line="20" w:lineRule="exact"/>
        <w:jc w:val="both"/>
        <w:rPr>
          <w:rFonts w:ascii="黑体" w:hAnsi="黑体" w:eastAsia="黑体"/>
          <w:sz w:val="32"/>
          <w:szCs w:val="32"/>
        </w:rPr>
      </w:pPr>
    </w:p>
    <w:p w14:paraId="0EBBD359">
      <w:pPr>
        <w:spacing w:line="20" w:lineRule="exact"/>
        <w:jc w:val="both"/>
        <w:rPr>
          <w:rFonts w:ascii="黑体" w:hAnsi="黑体" w:eastAsia="黑体"/>
          <w:sz w:val="32"/>
          <w:szCs w:val="32"/>
        </w:rPr>
      </w:pPr>
    </w:p>
    <w:p w14:paraId="778A2B9F">
      <w:pPr>
        <w:spacing w:line="20" w:lineRule="exact"/>
        <w:jc w:val="both"/>
        <w:rPr>
          <w:rFonts w:ascii="黑体" w:hAnsi="黑体" w:eastAsia="黑体"/>
          <w:sz w:val="32"/>
          <w:szCs w:val="32"/>
        </w:rPr>
      </w:pPr>
    </w:p>
    <w:p w14:paraId="6D99F32A">
      <w:pPr>
        <w:pStyle w:val="181"/>
        <w:tabs>
          <w:tab w:val="center" w:pos="4737"/>
          <w:tab w:val="left" w:pos="7133"/>
        </w:tabs>
        <w:spacing w:before="0" w:after="0" w:line="240" w:lineRule="auto"/>
        <w:jc w:val="left"/>
      </w:pPr>
      <w:r>
        <w:rPr>
          <w:rFonts w:hint="eastAsia"/>
          <w:lang w:eastAsia="zh-CN"/>
        </w:rPr>
        <w:tab/>
      </w:r>
      <w:sdt>
        <w:sdtPr>
          <w:tag w:val="NEW_STAND_NAME"/>
          <w:id w:val="595910757"/>
          <w:lock w:val="sdtLocked"/>
          <w:placeholder>
            <w:docPart w:val="356707AEC9D544A6B89F3DA0CF0DABC4"/>
          </w:placeholder>
        </w:sdtPr>
        <w:sdtContent>
          <w:bookmarkEnd w:id="25"/>
          <w:bookmarkStart w:id="26" w:name="NEW_STAND_NAME"/>
          <w:bookmarkEnd w:id="26"/>
          <w:sdt>
            <w:sdtPr>
              <w:tag w:val="NEW_STAND_NAME"/>
              <w:id w:val="147466089"/>
              <w:lock w:val="sdtLocked"/>
              <w:placeholder>
                <w:docPart w:val="{ed41a2f2-f661-4030-904d-87271a08d561}"/>
              </w:placeholder>
            </w:sdtPr>
            <w:sdtContent>
              <w:r>
                <w:rPr>
                  <w:rFonts w:hint="eastAsia"/>
                  <w:lang w:eastAsia="zh-CN"/>
                </w:rPr>
                <w:t>学校肺结核健康科普规范</w:t>
              </w:r>
            </w:sdtContent>
          </w:sdt>
        </w:sdtContent>
      </w:sdt>
      <w:bookmarkStart w:id="27" w:name="_Toc26986771"/>
      <w:bookmarkStart w:id="28" w:name="_Toc97192964"/>
      <w:bookmarkStart w:id="29" w:name="_Toc26718930"/>
      <w:bookmarkStart w:id="30" w:name="_Toc24884218"/>
      <w:bookmarkStart w:id="31" w:name="_Toc17935"/>
      <w:bookmarkStart w:id="32" w:name="_Toc24884211"/>
      <w:bookmarkStart w:id="33" w:name="_Toc26986530"/>
      <w:bookmarkStart w:id="34" w:name="_Toc17233333"/>
      <w:bookmarkStart w:id="35" w:name="_Toc5617"/>
      <w:bookmarkStart w:id="36" w:name="_Toc26648465"/>
      <w:bookmarkStart w:id="37" w:name="_Toc17233325"/>
    </w:p>
    <w:p w14:paraId="36211F3A">
      <w:pPr>
        <w:pStyle w:val="181"/>
        <w:tabs>
          <w:tab w:val="center" w:pos="4737"/>
          <w:tab w:val="left" w:pos="7133"/>
        </w:tabs>
        <w:spacing w:before="0" w:after="0" w:line="240" w:lineRule="auto"/>
        <w:jc w:val="left"/>
        <w:rPr>
          <w:rFonts w:hint="eastAsia"/>
        </w:rPr>
      </w:pPr>
    </w:p>
    <w:p w14:paraId="45F6101C">
      <w:pPr>
        <w:pStyle w:val="108"/>
        <w:spacing w:before="240" w:after="240"/>
        <w:rPr>
          <w:rFonts w:hint="eastAsia"/>
          <w:sz w:val="21"/>
          <w:szCs w:val="24"/>
        </w:rPr>
      </w:pPr>
      <w:r>
        <w:rPr>
          <w:rFonts w:hint="eastAsia"/>
          <w:sz w:val="21"/>
          <w:szCs w:val="24"/>
        </w:rPr>
        <w:t>范围</w:t>
      </w:r>
      <w:bookmarkEnd w:id="27"/>
      <w:bookmarkEnd w:id="28"/>
      <w:bookmarkEnd w:id="29"/>
      <w:bookmarkEnd w:id="30"/>
      <w:bookmarkEnd w:id="31"/>
      <w:bookmarkEnd w:id="32"/>
      <w:bookmarkEnd w:id="33"/>
      <w:bookmarkEnd w:id="34"/>
      <w:bookmarkEnd w:id="35"/>
      <w:bookmarkEnd w:id="36"/>
      <w:bookmarkEnd w:id="37"/>
    </w:p>
    <w:p w14:paraId="73ED8087">
      <w:pPr>
        <w:pStyle w:val="60"/>
        <w:spacing w:beforeLines="0" w:afterLines="0"/>
        <w:ind w:firstLine="420"/>
        <w:rPr>
          <w:rFonts w:hint="default" w:ascii="宋体" w:eastAsia="宋体"/>
          <w:color w:val="auto"/>
          <w:sz w:val="21"/>
          <w:szCs w:val="24"/>
        </w:rPr>
      </w:pPr>
      <w:bookmarkStart w:id="38" w:name="_Toc17233326"/>
      <w:bookmarkStart w:id="39" w:name="_Toc24884212"/>
      <w:bookmarkStart w:id="40" w:name="_Toc26648466"/>
      <w:bookmarkStart w:id="41" w:name="_Toc17233334"/>
      <w:bookmarkStart w:id="42" w:name="_Toc24884219"/>
      <w:r>
        <w:rPr>
          <w:rFonts w:hint="default" w:ascii="宋体" w:eastAsia="宋体"/>
          <w:color w:val="auto"/>
          <w:sz w:val="21"/>
          <w:szCs w:val="24"/>
        </w:rPr>
        <w:t>本文件界定了学校肺结核健康科普的术语和定义，规定了机构及人员要求、科普流程、科普内容、科普实施、效果评价与改进、档案管理的要求。</w:t>
      </w:r>
    </w:p>
    <w:p w14:paraId="18C0DB6F">
      <w:pPr>
        <w:pStyle w:val="60"/>
        <w:spacing w:beforeLines="0" w:afterLines="0"/>
        <w:ind w:firstLine="420"/>
        <w:rPr>
          <w:rFonts w:hint="default" w:ascii="宋体" w:eastAsia="宋体"/>
          <w:color w:val="auto"/>
          <w:sz w:val="21"/>
          <w:szCs w:val="24"/>
        </w:rPr>
      </w:pPr>
      <w:r>
        <w:rPr>
          <w:rFonts w:hint="default" w:ascii="宋体" w:eastAsia="宋体"/>
          <w:color w:val="auto"/>
          <w:sz w:val="21"/>
          <w:szCs w:val="24"/>
        </w:rPr>
        <w:t>本文件适用于各级各类学校（含普通中小学、中等职业学校、普通高等学校、特殊教育学校和托幼机构等）肺结核健康科普工作和活动。</w:t>
      </w:r>
    </w:p>
    <w:p w14:paraId="0D8B479C">
      <w:pPr>
        <w:pStyle w:val="108"/>
        <w:spacing w:before="240" w:after="240"/>
        <w:rPr>
          <w:rFonts w:hint="eastAsia"/>
          <w:color w:val="auto"/>
          <w:sz w:val="21"/>
          <w:szCs w:val="24"/>
        </w:rPr>
      </w:pPr>
      <w:bookmarkStart w:id="43" w:name="_Toc26986772"/>
      <w:bookmarkStart w:id="44" w:name="_Toc26986531"/>
      <w:bookmarkStart w:id="45" w:name="_Toc26718931"/>
      <w:bookmarkStart w:id="46" w:name="_Toc97192965"/>
      <w:bookmarkStart w:id="47" w:name="_Toc26519"/>
      <w:bookmarkStart w:id="48" w:name="_Toc25265"/>
      <w:r>
        <w:rPr>
          <w:rFonts w:hint="eastAsia"/>
          <w:color w:val="auto"/>
          <w:sz w:val="21"/>
          <w:szCs w:val="24"/>
        </w:rPr>
        <w:t>规范性引用文件</w:t>
      </w:r>
      <w:bookmarkEnd w:id="38"/>
      <w:bookmarkEnd w:id="39"/>
      <w:bookmarkEnd w:id="40"/>
      <w:bookmarkEnd w:id="41"/>
      <w:bookmarkEnd w:id="42"/>
      <w:bookmarkEnd w:id="43"/>
      <w:bookmarkEnd w:id="44"/>
      <w:bookmarkEnd w:id="45"/>
      <w:bookmarkEnd w:id="46"/>
      <w:bookmarkEnd w:id="47"/>
      <w:bookmarkEnd w:id="48"/>
    </w:p>
    <w:p w14:paraId="341D78E6">
      <w:pPr>
        <w:pStyle w:val="60"/>
        <w:spacing w:beforeLines="0" w:afterLines="0"/>
        <w:ind w:firstLine="420"/>
        <w:rPr>
          <w:rFonts w:hint="eastAsia"/>
          <w:color w:val="auto"/>
          <w:sz w:val="21"/>
          <w:szCs w:val="24"/>
        </w:rPr>
      </w:pPr>
      <w:r>
        <w:rPr>
          <w:rFonts w:hint="default" w:ascii="宋体" w:eastAsia="宋体"/>
          <w:color w:val="auto"/>
          <w:sz w:val="21"/>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0DB155B">
      <w:pPr>
        <w:pStyle w:val="60"/>
        <w:spacing w:beforeLines="0" w:afterLines="0"/>
        <w:ind w:firstLine="420"/>
        <w:rPr>
          <w:rFonts w:hint="default" w:ascii="宋体" w:eastAsia="宋体"/>
          <w:color w:val="auto"/>
          <w:sz w:val="21"/>
          <w:szCs w:val="24"/>
          <w:highlight w:val="yellow"/>
        </w:rPr>
      </w:pPr>
      <w:r>
        <w:rPr>
          <w:rFonts w:hint="default" w:ascii="宋体" w:eastAsia="宋体"/>
          <w:color w:val="auto"/>
          <w:sz w:val="21"/>
          <w:szCs w:val="24"/>
        </w:rPr>
        <w:t>GB 28932-2012  中小学校传染病预防控制工作管理规范</w:t>
      </w:r>
    </w:p>
    <w:p w14:paraId="0D849AF5">
      <w:pPr>
        <w:pStyle w:val="60"/>
        <w:spacing w:beforeLines="0" w:afterLines="0"/>
        <w:ind w:firstLine="420"/>
        <w:rPr>
          <w:rFonts w:hint="default" w:ascii="宋体" w:eastAsia="宋体"/>
          <w:color w:val="auto"/>
          <w:sz w:val="21"/>
          <w:szCs w:val="24"/>
        </w:rPr>
      </w:pPr>
      <w:r>
        <w:rPr>
          <w:rFonts w:hint="default" w:ascii="宋体" w:eastAsia="宋体"/>
          <w:color w:val="auto"/>
          <w:sz w:val="21"/>
          <w:szCs w:val="24"/>
        </w:rPr>
        <w:t>WS/T 642-2019  普通高等学校传染病预防控制指南</w:t>
      </w:r>
    </w:p>
    <w:p w14:paraId="5374B265">
      <w:pPr>
        <w:pStyle w:val="60"/>
        <w:spacing w:beforeLines="0" w:afterLines="0"/>
        <w:ind w:firstLine="420"/>
        <w:rPr>
          <w:rFonts w:hint="default" w:ascii="宋体" w:eastAsia="宋体"/>
          <w:color w:val="auto"/>
          <w:sz w:val="21"/>
          <w:szCs w:val="24"/>
        </w:rPr>
      </w:pPr>
      <w:r>
        <w:rPr>
          <w:rFonts w:hint="default" w:ascii="宋体" w:eastAsia="宋体"/>
          <w:color w:val="auto"/>
          <w:sz w:val="21"/>
          <w:szCs w:val="24"/>
        </w:rPr>
        <w:t>WS/T 313-2019  医务人员手卫生规范</w:t>
      </w:r>
    </w:p>
    <w:p w14:paraId="4BDBE121">
      <w:pPr>
        <w:pStyle w:val="60"/>
        <w:spacing w:beforeLines="0" w:afterLines="0"/>
        <w:ind w:firstLine="420"/>
        <w:rPr>
          <w:rFonts w:hint="default" w:ascii="宋体" w:eastAsia="宋体"/>
          <w:color w:val="auto"/>
          <w:sz w:val="21"/>
          <w:szCs w:val="24"/>
        </w:rPr>
      </w:pPr>
      <w:r>
        <w:rPr>
          <w:rFonts w:hint="default" w:ascii="宋体" w:eastAsia="宋体"/>
          <w:color w:val="auto"/>
          <w:sz w:val="21"/>
          <w:szCs w:val="24"/>
        </w:rPr>
        <w:t>WS/T 311-2023  医院隔离技术标准</w:t>
      </w:r>
    </w:p>
    <w:p w14:paraId="70E0C435">
      <w:pPr>
        <w:pStyle w:val="108"/>
        <w:spacing w:before="240" w:after="240"/>
        <w:rPr>
          <w:rFonts w:hint="eastAsia"/>
          <w:color w:val="auto"/>
          <w:sz w:val="21"/>
          <w:szCs w:val="24"/>
        </w:rPr>
      </w:pPr>
      <w:bookmarkStart w:id="49" w:name="_Toc21133"/>
      <w:bookmarkStart w:id="50" w:name="_Toc97192966"/>
      <w:bookmarkStart w:id="51" w:name="_Toc29780"/>
      <w:r>
        <w:rPr>
          <w:rFonts w:hint="eastAsia"/>
          <w:color w:val="auto"/>
          <w:sz w:val="21"/>
          <w:szCs w:val="21"/>
        </w:rPr>
        <w:t>术语和定义</w:t>
      </w:r>
      <w:bookmarkEnd w:id="49"/>
      <w:bookmarkEnd w:id="50"/>
      <w:bookmarkEnd w:id="51"/>
    </w:p>
    <w:p w14:paraId="35D24397">
      <w:pPr>
        <w:pStyle w:val="60"/>
        <w:spacing w:beforeLines="0" w:afterLines="0"/>
        <w:ind w:firstLine="420"/>
        <w:rPr>
          <w:rFonts w:hint="eastAsia"/>
          <w:color w:val="auto"/>
          <w:sz w:val="21"/>
          <w:szCs w:val="24"/>
        </w:rPr>
      </w:pPr>
      <w:bookmarkStart w:id="52" w:name="_Toc26986532"/>
      <w:bookmarkEnd w:id="52"/>
      <w:r>
        <w:rPr>
          <w:rFonts w:hint="default" w:ascii="宋体" w:eastAsia="宋体"/>
          <w:color w:val="auto"/>
          <w:sz w:val="21"/>
          <w:szCs w:val="24"/>
        </w:rPr>
        <w:t>下列术语和定义适用于本文件。</w:t>
      </w:r>
    </w:p>
    <w:p w14:paraId="2FEAA2C2">
      <w:pPr>
        <w:pStyle w:val="227"/>
        <w:ind w:left="420" w:hanging="420" w:hangingChars="200"/>
        <w:rPr>
          <w:rFonts w:hint="eastAsia" w:ascii="黑体" w:hAnsi="黑体" w:eastAsia="黑体" w:cs="黑体"/>
          <w:color w:val="auto"/>
          <w:sz w:val="21"/>
          <w:szCs w:val="24"/>
          <w:highlight w:val="none"/>
        </w:rPr>
      </w:pPr>
      <w:r>
        <w:rPr>
          <w:rFonts w:hint="eastAsia" w:ascii="黑体" w:hAnsi="黑体" w:eastAsia="黑体" w:cs="黑体"/>
          <w:color w:val="auto"/>
          <w:sz w:val="21"/>
          <w:szCs w:val="24"/>
        </w:rPr>
        <w:br w:type="textWrapping"/>
      </w:r>
      <w:r>
        <w:rPr>
          <w:rFonts w:hint="eastAsia" w:ascii="黑体" w:hAnsi="黑体" w:eastAsia="黑体" w:cs="黑体"/>
          <w:color w:val="auto"/>
          <w:sz w:val="21"/>
          <w:szCs w:val="24"/>
          <w:highlight w:val="none"/>
        </w:rPr>
        <w:t>学校  schools</w:t>
      </w:r>
    </w:p>
    <w:p w14:paraId="476091D6">
      <w:pPr>
        <w:pStyle w:val="60"/>
        <w:spacing w:beforeLines="0" w:afterLines="0"/>
        <w:rPr>
          <w:rFonts w:hint="default" w:ascii="宋体" w:eastAsia="宋体"/>
          <w:color w:val="auto"/>
          <w:sz w:val="21"/>
          <w:szCs w:val="24"/>
          <w:highlight w:val="none"/>
        </w:rPr>
      </w:pPr>
      <w:r>
        <w:rPr>
          <w:rFonts w:hint="default" w:ascii="宋体" w:eastAsia="宋体"/>
          <w:color w:val="auto"/>
          <w:sz w:val="21"/>
          <w:szCs w:val="24"/>
          <w:highlight w:val="none"/>
        </w:rPr>
        <w:t>本文件中的学校，包括普通中小学、中等职业学校、普通高等学校、特殊教育学校和托幼机构等。</w:t>
      </w:r>
    </w:p>
    <w:p w14:paraId="3B9EC329">
      <w:pPr>
        <w:pStyle w:val="227"/>
        <w:ind w:left="420" w:hanging="420" w:hangingChars="200"/>
        <w:rPr>
          <w:rFonts w:hint="eastAsia" w:ascii="黑体" w:hAnsi="黑体" w:eastAsia="黑体" w:cs="黑体"/>
          <w:color w:val="auto"/>
          <w:sz w:val="21"/>
          <w:szCs w:val="24"/>
          <w:highlight w:val="none"/>
        </w:rPr>
      </w:pPr>
      <w:r>
        <w:rPr>
          <w:rFonts w:hint="eastAsia" w:ascii="黑体" w:hAnsi="黑体" w:eastAsia="黑体" w:cs="黑体"/>
          <w:color w:val="auto"/>
          <w:sz w:val="21"/>
          <w:szCs w:val="24"/>
          <w:highlight w:val="none"/>
        </w:rPr>
        <w:br w:type="textWrapping"/>
      </w:r>
      <w:r>
        <w:rPr>
          <w:rFonts w:hint="eastAsia" w:ascii="黑体" w:hAnsi="黑体" w:eastAsia="黑体" w:cs="黑体"/>
          <w:color w:val="auto"/>
          <w:sz w:val="21"/>
          <w:szCs w:val="24"/>
          <w:highlight w:val="none"/>
        </w:rPr>
        <w:t>肺结核  pulmonary tuberculosis</w:t>
      </w:r>
    </w:p>
    <w:p w14:paraId="348DB77C">
      <w:pPr>
        <w:pStyle w:val="60"/>
        <w:spacing w:beforeLines="0" w:afterLines="0"/>
        <w:rPr>
          <w:rFonts w:hint="default" w:ascii="宋体" w:eastAsia="宋体"/>
          <w:color w:val="auto"/>
          <w:sz w:val="21"/>
          <w:szCs w:val="24"/>
          <w:highlight w:val="none"/>
        </w:rPr>
      </w:pPr>
      <w:r>
        <w:rPr>
          <w:rFonts w:hint="default" w:ascii="宋体" w:eastAsia="宋体"/>
          <w:color w:val="auto"/>
          <w:sz w:val="21"/>
          <w:szCs w:val="24"/>
          <w:highlight w:val="none"/>
        </w:rPr>
        <w:t>是由结核分枝杆菌感染引起的以呼吸道传播为主的慢性传染病，可累及多处器官和组织，常以肺部感染为主，称为肺结核。</w:t>
      </w:r>
    </w:p>
    <w:p w14:paraId="300E7CDB">
      <w:pPr>
        <w:pStyle w:val="227"/>
        <w:ind w:left="420" w:hanging="420" w:hangingChars="200"/>
        <w:rPr>
          <w:rFonts w:hint="eastAsia" w:ascii="黑体" w:hAnsi="黑体" w:eastAsia="黑体" w:cs="黑体"/>
          <w:color w:val="auto"/>
          <w:sz w:val="21"/>
          <w:szCs w:val="24"/>
          <w:highlight w:val="none"/>
        </w:rPr>
      </w:pPr>
      <w:r>
        <w:rPr>
          <w:rFonts w:hint="eastAsia" w:ascii="黑体" w:hAnsi="黑体" w:eastAsia="黑体" w:cs="黑体"/>
          <w:color w:val="auto"/>
          <w:sz w:val="21"/>
          <w:szCs w:val="24"/>
          <w:highlight w:val="none"/>
        </w:rPr>
        <w:br w:type="textWrapping"/>
      </w:r>
      <w:r>
        <w:rPr>
          <w:rFonts w:hint="eastAsia" w:ascii="黑体" w:hAnsi="黑体" w:eastAsia="黑体" w:cs="黑体"/>
          <w:color w:val="auto"/>
          <w:sz w:val="21"/>
          <w:szCs w:val="24"/>
          <w:highlight w:val="none"/>
        </w:rPr>
        <w:t>肺结核可疑症状  suspicious symptoms of pulmonary tuberculosis</w:t>
      </w:r>
    </w:p>
    <w:p w14:paraId="6FF6D4E6">
      <w:pPr>
        <w:pStyle w:val="60"/>
        <w:spacing w:beforeLines="0" w:afterLines="0"/>
        <w:rPr>
          <w:rFonts w:hint="default" w:ascii="宋体" w:eastAsia="宋体"/>
          <w:color w:val="auto"/>
          <w:sz w:val="21"/>
          <w:szCs w:val="24"/>
          <w:highlight w:val="none"/>
        </w:rPr>
      </w:pPr>
      <w:r>
        <w:rPr>
          <w:rFonts w:hint="default" w:ascii="宋体" w:eastAsia="宋体"/>
          <w:color w:val="auto"/>
          <w:sz w:val="21"/>
          <w:szCs w:val="24"/>
          <w:highlight w:val="none"/>
        </w:rPr>
        <w:t>咳嗽、咳痰≥</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highlight w:val="none"/>
        </w:rPr>
        <w:t>2</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highlight w:val="none"/>
        </w:rPr>
        <w:t>周，和/或痰中带血或咯血为肺结核的可疑症状。</w:t>
      </w:r>
    </w:p>
    <w:p w14:paraId="6D62366C">
      <w:pPr>
        <w:pStyle w:val="227"/>
        <w:ind w:left="420" w:hanging="420" w:hangingChars="200"/>
        <w:rPr>
          <w:rFonts w:hint="eastAsia" w:ascii="黑体" w:hAnsi="黑体" w:eastAsia="黑体" w:cs="黑体"/>
          <w:color w:val="auto"/>
          <w:sz w:val="21"/>
          <w:szCs w:val="24"/>
          <w:highlight w:val="none"/>
        </w:rPr>
      </w:pPr>
      <w:r>
        <w:rPr>
          <w:rFonts w:hint="eastAsia" w:ascii="黑体" w:hAnsi="黑体" w:eastAsia="黑体" w:cs="黑体"/>
          <w:color w:val="auto"/>
          <w:sz w:val="21"/>
          <w:szCs w:val="24"/>
          <w:highlight w:val="none"/>
        </w:rPr>
        <w:br w:type="textWrapping"/>
      </w:r>
      <w:r>
        <w:rPr>
          <w:rFonts w:hint="eastAsia" w:ascii="黑体" w:hAnsi="黑体" w:eastAsia="黑体" w:cs="黑体"/>
          <w:color w:val="auto"/>
          <w:sz w:val="21"/>
          <w:szCs w:val="24"/>
          <w:highlight w:val="none"/>
        </w:rPr>
        <w:t>学校肺结核患者密切接触者  close contacts of school pulmonary tuberculosis patients</w:t>
      </w:r>
    </w:p>
    <w:p w14:paraId="1CB7C5F1">
      <w:pPr>
        <w:pStyle w:val="227"/>
        <w:numPr>
          <w:ilvl w:val="2"/>
          <w:numId w:val="0"/>
        </w:numPr>
        <w:ind w:leftChars="-200" w:firstLine="840" w:firstLineChars="400"/>
        <w:rPr>
          <w:rFonts w:hint="default"/>
          <w:color w:val="auto"/>
          <w:sz w:val="21"/>
          <w:szCs w:val="24"/>
          <w:highlight w:val="none"/>
        </w:rPr>
      </w:pPr>
      <w:r>
        <w:rPr>
          <w:rFonts w:hint="default"/>
          <w:color w:val="auto"/>
          <w:sz w:val="21"/>
          <w:szCs w:val="24"/>
          <w:highlight w:val="none"/>
        </w:rPr>
        <w:t>与学校内肺结核患者直接接触的人员，包括患者的同学、同事和家庭成员等。</w:t>
      </w:r>
    </w:p>
    <w:p w14:paraId="3FE650F0">
      <w:pPr>
        <w:pStyle w:val="227"/>
        <w:numPr>
          <w:ilvl w:val="2"/>
          <w:numId w:val="0"/>
        </w:numPr>
        <w:ind w:leftChars="-200" w:firstLine="840" w:firstLineChars="400"/>
        <w:rPr>
          <w:rFonts w:hint="default"/>
          <w:color w:val="auto"/>
          <w:sz w:val="21"/>
          <w:szCs w:val="24"/>
          <w:highlight w:val="none"/>
        </w:rPr>
      </w:pPr>
      <w:r>
        <w:rPr>
          <w:rFonts w:hint="eastAsia" w:ascii="黑体" w:hAnsi="黑体" w:eastAsia="黑体" w:cs="黑体"/>
          <w:color w:val="auto"/>
          <w:sz w:val="21"/>
          <w:szCs w:val="24"/>
          <w:highlight w:val="none"/>
        </w:rPr>
        <w:t>注1：</w:t>
      </w:r>
      <w:r>
        <w:rPr>
          <w:rFonts w:hint="default"/>
          <w:color w:val="auto"/>
          <w:sz w:val="21"/>
          <w:szCs w:val="24"/>
          <w:highlight w:val="none"/>
        </w:rPr>
        <w:t>以下情况属于密切接触者:</w:t>
      </w:r>
    </w:p>
    <w:p w14:paraId="3AC4D20A">
      <w:pPr>
        <w:pStyle w:val="227"/>
        <w:numPr>
          <w:ilvl w:val="2"/>
          <w:numId w:val="0"/>
        </w:numPr>
        <w:ind w:leftChars="-200" w:firstLine="840" w:firstLineChars="400"/>
        <w:rPr>
          <w:rFonts w:hint="default"/>
          <w:color w:val="auto"/>
          <w:sz w:val="21"/>
          <w:szCs w:val="24"/>
          <w:highlight w:val="none"/>
        </w:rPr>
      </w:pPr>
      <w:r>
        <w:rPr>
          <w:rFonts w:hint="default"/>
          <w:color w:val="auto"/>
          <w:sz w:val="21"/>
          <w:szCs w:val="24"/>
          <w:highlight w:val="none"/>
        </w:rPr>
        <w:t>1）与患者在同一个教室学习的师生、在同一个宿舍居住的同学；</w:t>
      </w:r>
    </w:p>
    <w:p w14:paraId="272E1A99">
      <w:pPr>
        <w:pStyle w:val="227"/>
        <w:numPr>
          <w:ilvl w:val="2"/>
          <w:numId w:val="0"/>
        </w:numPr>
        <w:ind w:firstLine="420" w:firstLineChars="200"/>
        <w:rPr>
          <w:rFonts w:hint="default"/>
          <w:color w:val="auto"/>
          <w:sz w:val="21"/>
          <w:szCs w:val="24"/>
          <w:highlight w:val="none"/>
        </w:rPr>
      </w:pPr>
      <w:r>
        <w:rPr>
          <w:rFonts w:hint="default"/>
          <w:color w:val="auto"/>
          <w:sz w:val="21"/>
          <w:szCs w:val="24"/>
          <w:highlight w:val="none"/>
        </w:rPr>
        <w:t>2）与患者诊断前3</w:t>
      </w:r>
      <w:r>
        <w:rPr>
          <w:rFonts w:hint="default"/>
          <w:color w:val="auto"/>
          <w:sz w:val="21"/>
          <w:szCs w:val="24"/>
          <w:highlight w:val="none"/>
          <w:vertAlign w:val="superscript"/>
        </w:rPr>
        <w:t xml:space="preserve"> </w:t>
      </w:r>
      <w:r>
        <w:rPr>
          <w:rFonts w:hint="default"/>
          <w:color w:val="auto"/>
          <w:sz w:val="21"/>
          <w:szCs w:val="24"/>
          <w:highlight w:val="none"/>
        </w:rPr>
        <w:t>个月至开始治疗后</w:t>
      </w:r>
      <w:r>
        <w:rPr>
          <w:rFonts w:hint="eastAsia"/>
          <w:color w:val="auto"/>
          <w:sz w:val="21"/>
          <w:szCs w:val="24"/>
          <w:highlight w:val="none"/>
          <w:vertAlign w:val="superscript"/>
          <w:lang w:val="en-US" w:eastAsia="zh-CN"/>
        </w:rPr>
        <w:t xml:space="preserve"> </w:t>
      </w:r>
      <w:r>
        <w:rPr>
          <w:rFonts w:hint="default"/>
          <w:color w:val="auto"/>
          <w:sz w:val="21"/>
          <w:szCs w:val="24"/>
          <w:highlight w:val="none"/>
        </w:rPr>
        <w:t>14 d内在同一住宅接触达到</w:t>
      </w:r>
      <w:r>
        <w:rPr>
          <w:rFonts w:hint="eastAsia"/>
          <w:color w:val="auto"/>
          <w:sz w:val="21"/>
          <w:szCs w:val="24"/>
          <w:highlight w:val="none"/>
          <w:vertAlign w:val="superscript"/>
          <w:lang w:val="en-US" w:eastAsia="zh-CN"/>
        </w:rPr>
        <w:t xml:space="preserve"> </w:t>
      </w:r>
      <w:r>
        <w:rPr>
          <w:rFonts w:hint="default"/>
          <w:color w:val="auto"/>
          <w:sz w:val="21"/>
          <w:szCs w:val="24"/>
          <w:highlight w:val="none"/>
        </w:rPr>
        <w:t>7</w:t>
      </w:r>
      <w:r>
        <w:rPr>
          <w:rFonts w:hint="eastAsia"/>
          <w:color w:val="auto"/>
          <w:sz w:val="21"/>
          <w:szCs w:val="24"/>
          <w:highlight w:val="none"/>
          <w:vertAlign w:val="superscript"/>
          <w:lang w:val="en-US" w:eastAsia="zh-CN"/>
        </w:rPr>
        <w:t xml:space="preserve"> </w:t>
      </w:r>
      <w:r>
        <w:rPr>
          <w:rFonts w:hint="default"/>
          <w:color w:val="auto"/>
          <w:sz w:val="21"/>
          <w:szCs w:val="24"/>
          <w:highlight w:val="none"/>
        </w:rPr>
        <w:t>d的家庭成员；</w:t>
      </w:r>
    </w:p>
    <w:p w14:paraId="7A245C73">
      <w:pPr>
        <w:pStyle w:val="227"/>
        <w:numPr>
          <w:ilvl w:val="2"/>
          <w:numId w:val="0"/>
        </w:numPr>
        <w:ind w:leftChars="-200" w:firstLine="840" w:firstLineChars="400"/>
        <w:rPr>
          <w:rFonts w:hint="default"/>
          <w:color w:val="auto"/>
          <w:sz w:val="21"/>
          <w:szCs w:val="24"/>
          <w:highlight w:val="none"/>
        </w:rPr>
      </w:pPr>
      <w:r>
        <w:rPr>
          <w:rFonts w:hint="default"/>
          <w:color w:val="auto"/>
          <w:sz w:val="21"/>
          <w:szCs w:val="24"/>
          <w:highlight w:val="none"/>
        </w:rPr>
        <w:t>3）)与患者在封闭空间直接连续接触</w:t>
      </w:r>
      <w:r>
        <w:rPr>
          <w:rFonts w:hint="eastAsia"/>
          <w:color w:val="auto"/>
          <w:sz w:val="21"/>
          <w:szCs w:val="24"/>
          <w:highlight w:val="none"/>
          <w:vertAlign w:val="superscript"/>
          <w:lang w:val="en-US" w:eastAsia="zh-CN"/>
        </w:rPr>
        <w:t xml:space="preserve"> </w:t>
      </w:r>
      <w:r>
        <w:rPr>
          <w:rFonts w:hint="default"/>
          <w:color w:val="auto"/>
          <w:sz w:val="21"/>
          <w:szCs w:val="24"/>
          <w:highlight w:val="none"/>
        </w:rPr>
        <w:t>8</w:t>
      </w:r>
      <w:r>
        <w:rPr>
          <w:rFonts w:hint="eastAsia"/>
          <w:color w:val="auto"/>
          <w:sz w:val="21"/>
          <w:szCs w:val="24"/>
          <w:highlight w:val="none"/>
          <w:vertAlign w:val="superscript"/>
          <w:lang w:val="en-US" w:eastAsia="zh-CN"/>
        </w:rPr>
        <w:t xml:space="preserve"> </w:t>
      </w:r>
      <w:r>
        <w:rPr>
          <w:rFonts w:hint="default"/>
          <w:color w:val="auto"/>
          <w:sz w:val="21"/>
          <w:szCs w:val="24"/>
          <w:highlight w:val="none"/>
        </w:rPr>
        <w:t>h及以上或累计达到</w:t>
      </w:r>
      <w:r>
        <w:rPr>
          <w:rFonts w:hint="eastAsia"/>
          <w:color w:val="auto"/>
          <w:sz w:val="21"/>
          <w:szCs w:val="24"/>
          <w:highlight w:val="none"/>
          <w:vertAlign w:val="superscript"/>
          <w:lang w:val="en-US" w:eastAsia="zh-CN"/>
        </w:rPr>
        <w:t xml:space="preserve"> </w:t>
      </w:r>
      <w:r>
        <w:rPr>
          <w:rFonts w:hint="default"/>
          <w:color w:val="auto"/>
          <w:sz w:val="21"/>
          <w:szCs w:val="24"/>
          <w:highlight w:val="none"/>
        </w:rPr>
        <w:t>40</w:t>
      </w:r>
      <w:r>
        <w:rPr>
          <w:rFonts w:hint="eastAsia"/>
          <w:color w:val="auto"/>
          <w:sz w:val="21"/>
          <w:szCs w:val="24"/>
          <w:highlight w:val="none"/>
          <w:vertAlign w:val="superscript"/>
          <w:lang w:val="en-US" w:eastAsia="zh-CN"/>
        </w:rPr>
        <w:t xml:space="preserve"> </w:t>
      </w:r>
      <w:r>
        <w:rPr>
          <w:rFonts w:hint="default"/>
          <w:color w:val="auto"/>
          <w:sz w:val="21"/>
          <w:szCs w:val="24"/>
          <w:highlight w:val="none"/>
        </w:rPr>
        <w:t>h的人员。</w:t>
      </w:r>
    </w:p>
    <w:p w14:paraId="21F0D73C">
      <w:pPr>
        <w:pStyle w:val="227"/>
        <w:numPr>
          <w:ilvl w:val="2"/>
          <w:numId w:val="0"/>
        </w:numPr>
        <w:ind w:firstLine="420" w:firstLineChars="200"/>
        <w:rPr>
          <w:rFonts w:hint="default"/>
          <w:color w:val="auto"/>
          <w:sz w:val="21"/>
          <w:szCs w:val="24"/>
          <w:highlight w:val="none"/>
        </w:rPr>
      </w:pPr>
      <w:r>
        <w:rPr>
          <w:rFonts w:hint="eastAsia" w:ascii="黑体" w:hAnsi="黑体" w:eastAsia="黑体" w:cs="黑体"/>
          <w:color w:val="auto"/>
          <w:sz w:val="21"/>
          <w:szCs w:val="24"/>
          <w:highlight w:val="none"/>
        </w:rPr>
        <w:t>注2</w:t>
      </w:r>
      <w:r>
        <w:rPr>
          <w:rFonts w:hint="default"/>
          <w:color w:val="auto"/>
          <w:sz w:val="21"/>
          <w:szCs w:val="24"/>
          <w:highlight w:val="none"/>
        </w:rPr>
        <w:t>：如果患者从出现症状到明确诊断的时间超过3个月，则密切接触者的定义更新为从症状出现时至开始治疗后</w:t>
      </w:r>
      <w:r>
        <w:rPr>
          <w:rFonts w:hint="eastAsia"/>
          <w:color w:val="auto"/>
          <w:sz w:val="21"/>
          <w:szCs w:val="24"/>
          <w:highlight w:val="none"/>
          <w:vertAlign w:val="superscript"/>
          <w:lang w:val="en-US" w:eastAsia="zh-CN"/>
        </w:rPr>
        <w:t xml:space="preserve"> </w:t>
      </w:r>
      <w:r>
        <w:rPr>
          <w:rFonts w:hint="default"/>
          <w:color w:val="auto"/>
          <w:sz w:val="21"/>
          <w:szCs w:val="24"/>
          <w:highlight w:val="none"/>
        </w:rPr>
        <w:t>14</w:t>
      </w:r>
      <w:r>
        <w:rPr>
          <w:rFonts w:hint="eastAsia"/>
          <w:color w:val="auto"/>
          <w:sz w:val="21"/>
          <w:szCs w:val="24"/>
          <w:highlight w:val="none"/>
          <w:vertAlign w:val="superscript"/>
          <w:lang w:val="en-US" w:eastAsia="zh-CN"/>
        </w:rPr>
        <w:t xml:space="preserve">  </w:t>
      </w:r>
      <w:r>
        <w:rPr>
          <w:rFonts w:hint="default"/>
          <w:color w:val="auto"/>
          <w:sz w:val="21"/>
          <w:szCs w:val="24"/>
          <w:highlight w:val="none"/>
        </w:rPr>
        <w:t>天。</w:t>
      </w:r>
    </w:p>
    <w:p w14:paraId="5255D452">
      <w:pPr>
        <w:pStyle w:val="227"/>
        <w:ind w:left="420" w:hanging="420" w:hangingChars="200"/>
        <w:rPr>
          <w:rFonts w:hint="eastAsia" w:ascii="黑体" w:hAnsi="黑体" w:eastAsia="黑体" w:cs="黑体"/>
          <w:color w:val="auto"/>
          <w:sz w:val="21"/>
          <w:szCs w:val="24"/>
        </w:rPr>
      </w:pPr>
      <w:r>
        <w:rPr>
          <w:rFonts w:hint="eastAsia" w:ascii="黑体" w:hAnsi="黑体" w:eastAsia="黑体" w:cs="黑体"/>
          <w:color w:val="auto"/>
          <w:sz w:val="21"/>
          <w:szCs w:val="24"/>
        </w:rPr>
        <w:br w:type="textWrapping"/>
      </w:r>
      <w:r>
        <w:rPr>
          <w:rFonts w:hint="eastAsia" w:ascii="黑体" w:hAnsi="黑体" w:eastAsia="黑体" w:cs="黑体"/>
          <w:color w:val="auto"/>
          <w:sz w:val="21"/>
          <w:szCs w:val="24"/>
        </w:rPr>
        <w:t>肺结核聚集性疫情  Clusters of tuberculosis</w:t>
      </w:r>
    </w:p>
    <w:p w14:paraId="74BE7729">
      <w:pPr>
        <w:pStyle w:val="60"/>
        <w:spacing w:beforeLines="0" w:afterLines="0"/>
        <w:rPr>
          <w:rFonts w:hint="default" w:ascii="宋体" w:eastAsia="宋体"/>
          <w:color w:val="auto"/>
          <w:sz w:val="21"/>
          <w:szCs w:val="24"/>
        </w:rPr>
      </w:pPr>
      <w:r>
        <w:rPr>
          <w:rFonts w:hint="default" w:ascii="宋体" w:eastAsia="宋体"/>
          <w:color w:val="auto"/>
          <w:sz w:val="21"/>
          <w:szCs w:val="24"/>
        </w:rPr>
        <w:t>指在同一所学校内，3</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个月内发现</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例或</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例以上存在流行病学关联的肺结核患者。</w:t>
      </w:r>
    </w:p>
    <w:p w14:paraId="6C92B67F">
      <w:pPr>
        <w:pStyle w:val="227"/>
        <w:ind w:left="420" w:hanging="420" w:hangingChars="200"/>
        <w:rPr>
          <w:rFonts w:hint="eastAsia" w:ascii="黑体" w:hAnsi="黑体" w:eastAsia="黑体" w:cs="黑体"/>
          <w:color w:val="auto"/>
          <w:sz w:val="21"/>
          <w:szCs w:val="24"/>
        </w:rPr>
      </w:pPr>
      <w:r>
        <w:rPr>
          <w:rFonts w:hint="eastAsia" w:ascii="黑体" w:hAnsi="黑体" w:eastAsia="黑体" w:cs="黑体"/>
          <w:color w:val="auto"/>
          <w:sz w:val="21"/>
          <w:szCs w:val="24"/>
        </w:rPr>
        <w:br w:type="textWrapping"/>
      </w:r>
      <w:r>
        <w:rPr>
          <w:rFonts w:hint="eastAsia" w:ascii="黑体" w:hAnsi="黑体" w:eastAsia="黑体" w:cs="黑体"/>
          <w:color w:val="auto"/>
          <w:sz w:val="21"/>
          <w:szCs w:val="24"/>
        </w:rPr>
        <w:t>学校结核病突发公共卫生事件  public health emergency of tuberculosis in school</w:t>
      </w:r>
    </w:p>
    <w:p w14:paraId="0AC2ED27">
      <w:pPr>
        <w:pStyle w:val="60"/>
        <w:spacing w:beforeLines="0" w:afterLines="0"/>
        <w:rPr>
          <w:rFonts w:hint="default" w:ascii="宋体" w:eastAsia="宋体"/>
          <w:color w:val="auto"/>
          <w:sz w:val="21"/>
          <w:szCs w:val="24"/>
        </w:rPr>
      </w:pPr>
      <w:r>
        <w:rPr>
          <w:rFonts w:hint="default" w:ascii="宋体" w:eastAsia="宋体"/>
          <w:color w:val="auto"/>
          <w:sz w:val="21"/>
          <w:szCs w:val="24"/>
        </w:rPr>
        <w:t>一所学校在同一学期内发生</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10</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例及以上有流行病学关联的结核病病例，或出现结核病死亡病例。学校所在地的县(区)级卫生健康行政部门应当根据现场调查和公共卫生风险评估结果，判断是否构成突发公共卫生事件;县(区)级以上卫生健康行政部门也可根据防控工作实际，按照规定工作程序直接确定事件。</w:t>
      </w:r>
    </w:p>
    <w:p w14:paraId="572387A2">
      <w:pPr>
        <w:pStyle w:val="227"/>
        <w:ind w:left="420" w:hanging="420" w:hangingChars="200"/>
        <w:rPr>
          <w:rFonts w:hint="eastAsia" w:ascii="黑体" w:hAnsi="黑体" w:eastAsia="黑体" w:cs="黑体"/>
          <w:color w:val="auto"/>
          <w:sz w:val="21"/>
          <w:szCs w:val="24"/>
        </w:rPr>
      </w:pPr>
      <w:r>
        <w:rPr>
          <w:rFonts w:hint="eastAsia" w:ascii="黑体" w:hAnsi="黑体" w:eastAsia="黑体" w:cs="黑体"/>
          <w:color w:val="auto"/>
          <w:sz w:val="21"/>
          <w:szCs w:val="24"/>
        </w:rPr>
        <w:br w:type="textWrapping"/>
      </w:r>
      <w:r>
        <w:rPr>
          <w:rFonts w:hint="eastAsia" w:ascii="黑体" w:hAnsi="黑体" w:eastAsia="黑体" w:cs="黑体"/>
          <w:color w:val="auto"/>
          <w:sz w:val="21"/>
          <w:szCs w:val="24"/>
        </w:rPr>
        <w:t>学校肺结核健康科普  school pulmonary tuberculosis health education</w:t>
      </w:r>
    </w:p>
    <w:p w14:paraId="088F2459">
      <w:pPr>
        <w:pStyle w:val="60"/>
        <w:spacing w:beforeLines="0" w:afterLines="0"/>
        <w:rPr>
          <w:rFonts w:hint="default" w:ascii="宋体" w:eastAsia="宋体"/>
          <w:color w:val="auto"/>
          <w:sz w:val="21"/>
          <w:szCs w:val="24"/>
        </w:rPr>
      </w:pPr>
      <w:r>
        <w:rPr>
          <w:rFonts w:hint="default" w:ascii="宋体" w:eastAsia="宋体"/>
          <w:color w:val="auto"/>
          <w:sz w:val="21"/>
          <w:szCs w:val="24"/>
        </w:rPr>
        <w:t>面向学校师生、家长及相关工作人员，传播肺结核防治核心知识、防控技能和相关政策要求，提升其防控意识和能力的公益性宣传教育活动。</w:t>
      </w:r>
    </w:p>
    <w:p w14:paraId="48DD5D74">
      <w:pPr>
        <w:pStyle w:val="108"/>
        <w:rPr>
          <w:rFonts w:hint="eastAsia"/>
          <w:color w:val="auto"/>
          <w:sz w:val="21"/>
          <w:szCs w:val="24"/>
        </w:rPr>
      </w:pPr>
      <w:bookmarkStart w:id="53" w:name="_Toc20994"/>
      <w:bookmarkStart w:id="54" w:name="_Toc29476"/>
      <w:r>
        <w:rPr>
          <w:rFonts w:hint="eastAsia"/>
          <w:color w:val="auto"/>
          <w:sz w:val="21"/>
          <w:szCs w:val="24"/>
        </w:rPr>
        <w:t>机构及人员要求</w:t>
      </w:r>
      <w:bookmarkEnd w:id="53"/>
      <w:bookmarkEnd w:id="54"/>
    </w:p>
    <w:p w14:paraId="4C758CC3">
      <w:pPr>
        <w:pStyle w:val="109"/>
        <w:rPr>
          <w:rFonts w:hint="eastAsia"/>
          <w:color w:val="auto"/>
          <w:sz w:val="21"/>
          <w:szCs w:val="24"/>
        </w:rPr>
      </w:pPr>
      <w:bookmarkStart w:id="55" w:name="_Toc15500"/>
      <w:bookmarkStart w:id="56" w:name="_Toc21106"/>
      <w:r>
        <w:rPr>
          <w:rFonts w:hint="eastAsia"/>
          <w:color w:val="auto"/>
          <w:sz w:val="21"/>
          <w:szCs w:val="24"/>
        </w:rPr>
        <w:t>机构要求</w:t>
      </w:r>
      <w:bookmarkEnd w:id="55"/>
      <w:bookmarkEnd w:id="56"/>
    </w:p>
    <w:p w14:paraId="4F5B86EB">
      <w:pPr>
        <w:pStyle w:val="178"/>
        <w:numPr>
          <w:ilvl w:val="0"/>
          <w:numId w:val="0"/>
        </w:numPr>
        <w:spacing w:beforeLines="0" w:afterLines="0"/>
        <w:ind w:left="0" w:firstLine="420" w:firstLineChars="200"/>
        <w:rPr>
          <w:rFonts w:hint="default"/>
          <w:color w:val="auto"/>
          <w:sz w:val="21"/>
          <w:szCs w:val="24"/>
          <w:highlight w:val="none"/>
        </w:rPr>
      </w:pPr>
      <w:bookmarkStart w:id="57" w:name="_Toc21799"/>
      <w:r>
        <w:rPr>
          <w:rFonts w:hint="default"/>
          <w:color w:val="auto"/>
          <w:sz w:val="21"/>
          <w:szCs w:val="24"/>
        </w:rPr>
        <w:t>结核病定点医疗</w:t>
      </w:r>
      <w:r>
        <w:rPr>
          <w:rFonts w:hint="default"/>
          <w:color w:val="auto"/>
          <w:sz w:val="21"/>
          <w:szCs w:val="24"/>
          <w:highlight w:val="none"/>
        </w:rPr>
        <w:t>机构、疾病预防控制机构、基层医疗卫生机构承担学校肺结核健康科普服务工作，应建立健全学校肺结核健康科普管理体系，明确专门部门或专人统筹负责科普各项工作，具体要求如下：</w:t>
      </w:r>
    </w:p>
    <w:p w14:paraId="1051625E">
      <w:pPr>
        <w:pStyle w:val="178"/>
        <w:numPr>
          <w:ilvl w:val="0"/>
          <w:numId w:val="32"/>
        </w:numPr>
        <w:spacing w:beforeLines="0" w:afterLines="0"/>
        <w:rPr>
          <w:rFonts w:hint="default"/>
          <w:color w:val="auto"/>
          <w:sz w:val="21"/>
          <w:szCs w:val="24"/>
          <w:highlight w:val="none"/>
        </w:rPr>
      </w:pPr>
      <w:r>
        <w:rPr>
          <w:rFonts w:hint="eastAsia"/>
          <w:color w:val="auto"/>
          <w:sz w:val="21"/>
          <w:szCs w:val="24"/>
          <w:highlight w:val="none"/>
          <w:lang w:val="en-US" w:eastAsia="zh-CN"/>
        </w:rPr>
        <w:t>应</w:t>
      </w:r>
      <w:r>
        <w:rPr>
          <w:rFonts w:hint="default"/>
          <w:color w:val="auto"/>
          <w:sz w:val="21"/>
          <w:szCs w:val="24"/>
          <w:highlight w:val="none"/>
        </w:rPr>
        <w:t>负责学校肺结核健康科普方案实施、人员管理、活动组织、质量管控等统筹协调工作，保障科普工作规范、有序开展；</w:t>
      </w:r>
    </w:p>
    <w:p w14:paraId="3173B90F">
      <w:pPr>
        <w:pStyle w:val="178"/>
        <w:numPr>
          <w:ilvl w:val="0"/>
          <w:numId w:val="32"/>
        </w:numPr>
        <w:spacing w:beforeLines="0" w:afterLines="0"/>
        <w:rPr>
          <w:rFonts w:hint="default"/>
          <w:color w:val="auto"/>
          <w:sz w:val="21"/>
          <w:szCs w:val="24"/>
          <w:highlight w:val="none"/>
        </w:rPr>
      </w:pPr>
      <w:r>
        <w:rPr>
          <w:rFonts w:hint="eastAsia"/>
          <w:color w:val="auto"/>
          <w:sz w:val="21"/>
          <w:szCs w:val="24"/>
          <w:highlight w:val="none"/>
          <w:lang w:val="en-US" w:eastAsia="zh-CN"/>
        </w:rPr>
        <w:t>需</w:t>
      </w:r>
      <w:r>
        <w:rPr>
          <w:rFonts w:hint="default"/>
          <w:color w:val="auto"/>
          <w:sz w:val="21"/>
          <w:szCs w:val="24"/>
          <w:highlight w:val="none"/>
        </w:rPr>
        <w:t>结合学校结核病防控实际，制定科普服务方案，明确标准化科普内容；遴选并培训科普工作人员，常态化开展校园科普活动，定期开展质量评价，落实持续改进措施；</w:t>
      </w:r>
    </w:p>
    <w:p w14:paraId="5A61602E">
      <w:pPr>
        <w:pStyle w:val="178"/>
        <w:numPr>
          <w:ilvl w:val="0"/>
          <w:numId w:val="32"/>
        </w:numPr>
        <w:spacing w:beforeLines="0" w:afterLines="0"/>
        <w:rPr>
          <w:rFonts w:hint="default"/>
          <w:color w:val="auto"/>
          <w:sz w:val="21"/>
          <w:szCs w:val="24"/>
        </w:rPr>
      </w:pPr>
      <w:r>
        <w:rPr>
          <w:rFonts w:hint="eastAsia"/>
          <w:color w:val="auto"/>
          <w:sz w:val="21"/>
          <w:szCs w:val="24"/>
          <w:highlight w:val="none"/>
          <w:lang w:val="en-US" w:eastAsia="zh-CN"/>
        </w:rPr>
        <w:t>应</w:t>
      </w:r>
      <w:r>
        <w:rPr>
          <w:rFonts w:hint="default"/>
          <w:color w:val="auto"/>
          <w:sz w:val="21"/>
          <w:szCs w:val="24"/>
          <w:highlight w:val="none"/>
        </w:rPr>
        <w:t>建立健全科普活动管理、人员管理、档案管</w:t>
      </w:r>
      <w:r>
        <w:rPr>
          <w:rFonts w:hint="default"/>
          <w:color w:val="auto"/>
          <w:sz w:val="21"/>
          <w:szCs w:val="24"/>
        </w:rPr>
        <w:t>理、投诉处理、质量控制等管理制度，实现科普工作规范化、制度化、可追溯管理；</w:t>
      </w:r>
    </w:p>
    <w:p w14:paraId="5880CC2A">
      <w:pPr>
        <w:pStyle w:val="178"/>
        <w:numPr>
          <w:ilvl w:val="0"/>
          <w:numId w:val="32"/>
        </w:numPr>
        <w:spacing w:beforeLines="0" w:afterLines="0"/>
        <w:rPr>
          <w:rFonts w:hint="default"/>
          <w:color w:val="auto"/>
          <w:sz w:val="21"/>
          <w:szCs w:val="24"/>
          <w:highlight w:val="none"/>
        </w:rPr>
      </w:pPr>
      <w:r>
        <w:rPr>
          <w:rFonts w:hint="default"/>
          <w:color w:val="auto"/>
          <w:sz w:val="21"/>
          <w:szCs w:val="24"/>
          <w:highlight w:val="none"/>
        </w:rPr>
        <w:t>学校应按规范设置医务室或卫生室，配合医疗卫生机构开展肺结核健康科普工作，明确校内科普工作负责人与联络人，建立常态化医校协同工作机制。</w:t>
      </w:r>
    </w:p>
    <w:p w14:paraId="7E52ADD0">
      <w:pPr>
        <w:pStyle w:val="109"/>
        <w:rPr>
          <w:rFonts w:hint="eastAsia"/>
          <w:color w:val="auto"/>
          <w:sz w:val="21"/>
          <w:szCs w:val="24"/>
          <w:highlight w:val="none"/>
        </w:rPr>
      </w:pPr>
      <w:bookmarkStart w:id="58" w:name="_Toc11194"/>
      <w:r>
        <w:rPr>
          <w:rFonts w:hint="eastAsia"/>
          <w:color w:val="auto"/>
          <w:sz w:val="21"/>
          <w:szCs w:val="24"/>
          <w:highlight w:val="none"/>
        </w:rPr>
        <w:t>健康科普人员要求</w:t>
      </w:r>
      <w:bookmarkEnd w:id="57"/>
      <w:bookmarkEnd w:id="58"/>
    </w:p>
    <w:p w14:paraId="6A197418">
      <w:pPr>
        <w:pStyle w:val="69"/>
        <w:rPr>
          <w:rFonts w:hint="eastAsia"/>
          <w:color w:val="auto"/>
          <w:sz w:val="21"/>
          <w:szCs w:val="24"/>
        </w:rPr>
      </w:pPr>
      <w:r>
        <w:rPr>
          <w:rFonts w:hint="default" w:ascii="宋体" w:eastAsia="宋体"/>
          <w:color w:val="auto"/>
          <w:sz w:val="21"/>
          <w:szCs w:val="24"/>
          <w:highlight w:val="none"/>
        </w:rPr>
        <w:t>健康科普管理人员应具备医疗卫生从业资质，参与肺结核防治专项培训并考核合格，拥有校园健康管理或结核病防治相关工作经验；熟悉国家及属地校园结核病防控、健康科普相关政策、标准及规范，具备良好的组织协调、沟通表</w:t>
      </w:r>
      <w:r>
        <w:rPr>
          <w:rFonts w:hint="default" w:ascii="宋体" w:eastAsia="宋体"/>
          <w:color w:val="auto"/>
          <w:sz w:val="21"/>
          <w:szCs w:val="24"/>
        </w:rPr>
        <w:t>达及统筹管理能力。</w:t>
      </w:r>
    </w:p>
    <w:p w14:paraId="36CEBC38">
      <w:pPr>
        <w:pStyle w:val="69"/>
        <w:rPr>
          <w:rFonts w:hint="default" w:ascii="宋体" w:eastAsia="宋体"/>
          <w:color w:val="auto"/>
          <w:sz w:val="21"/>
          <w:szCs w:val="24"/>
        </w:rPr>
      </w:pPr>
      <w:r>
        <w:rPr>
          <w:rFonts w:hint="default" w:ascii="宋体" w:eastAsia="宋体"/>
          <w:color w:val="auto"/>
          <w:sz w:val="21"/>
          <w:szCs w:val="24"/>
        </w:rPr>
        <w:t>健康科普实施人员应熟练掌握结核病防治专业知识与科普宣讲核心技能，语言表达流畅、善于沟通交流，宣讲举止文明规范、实操示范标准，能够精准指导师生掌握结核病防控实用技能，且需符合以下任一条件：</w:t>
      </w:r>
    </w:p>
    <w:p w14:paraId="54DC4926">
      <w:pPr>
        <w:pStyle w:val="178"/>
        <w:numPr>
          <w:ilvl w:val="0"/>
          <w:numId w:val="33"/>
        </w:numPr>
        <w:spacing w:beforeLines="0" w:afterLines="0"/>
        <w:rPr>
          <w:rFonts w:hint="default"/>
          <w:color w:val="auto"/>
          <w:sz w:val="21"/>
          <w:szCs w:val="24"/>
        </w:rPr>
      </w:pPr>
      <w:r>
        <w:rPr>
          <w:rFonts w:hint="default"/>
          <w:color w:val="auto"/>
          <w:sz w:val="21"/>
          <w:szCs w:val="24"/>
        </w:rPr>
        <w:t>卫生专业人员：</w:t>
      </w:r>
      <w:r>
        <w:rPr>
          <w:rFonts w:hint="eastAsia"/>
          <w:color w:val="auto"/>
          <w:sz w:val="21"/>
          <w:szCs w:val="24"/>
          <w:lang w:val="en-US" w:eastAsia="zh-CN"/>
        </w:rPr>
        <w:t>应</w:t>
      </w:r>
      <w:r>
        <w:rPr>
          <w:rFonts w:hint="default"/>
          <w:color w:val="auto"/>
          <w:sz w:val="21"/>
          <w:szCs w:val="24"/>
        </w:rPr>
        <w:t>具备合法有效的医疗卫生从业资质及初级及以上专业技术职称，完成结核病防治专项培训且考核合格；</w:t>
      </w:r>
    </w:p>
    <w:p w14:paraId="7452DF3E">
      <w:pPr>
        <w:pStyle w:val="178"/>
        <w:numPr>
          <w:ilvl w:val="0"/>
          <w:numId w:val="33"/>
        </w:numPr>
        <w:spacing w:beforeLines="0" w:afterLines="0"/>
        <w:rPr>
          <w:rFonts w:hint="default"/>
          <w:color w:val="auto"/>
          <w:sz w:val="21"/>
          <w:szCs w:val="24"/>
        </w:rPr>
      </w:pPr>
      <w:r>
        <w:rPr>
          <w:rFonts w:hint="default"/>
          <w:color w:val="auto"/>
          <w:sz w:val="21"/>
          <w:szCs w:val="24"/>
        </w:rPr>
        <w:t>校内在岗人员：</w:t>
      </w:r>
      <w:r>
        <w:rPr>
          <w:rFonts w:hint="eastAsia"/>
          <w:color w:val="auto"/>
          <w:sz w:val="21"/>
          <w:szCs w:val="24"/>
          <w:lang w:val="en-US" w:eastAsia="zh-CN"/>
        </w:rPr>
        <w:t>应</w:t>
      </w:r>
      <w:r>
        <w:rPr>
          <w:rFonts w:hint="default"/>
          <w:color w:val="auto"/>
          <w:sz w:val="21"/>
          <w:szCs w:val="24"/>
        </w:rPr>
        <w:t>为本校在职教职工，熟知校园健康教育工作，具备扎实的校园健康管理工作经验，完成肺结核防治科普专项培训且考核合格。</w:t>
      </w:r>
    </w:p>
    <w:p w14:paraId="42769780">
      <w:pPr>
        <w:pStyle w:val="69"/>
        <w:rPr>
          <w:rFonts w:hint="default" w:ascii="宋体" w:eastAsia="宋体"/>
          <w:color w:val="auto"/>
          <w:sz w:val="21"/>
          <w:szCs w:val="24"/>
        </w:rPr>
      </w:pPr>
      <w:r>
        <w:rPr>
          <w:rFonts w:hint="default" w:ascii="宋体" w:eastAsia="宋体"/>
          <w:color w:val="auto"/>
          <w:sz w:val="21"/>
          <w:szCs w:val="24"/>
        </w:rPr>
        <w:t>医疗卫生机构</w:t>
      </w:r>
      <w:r>
        <w:rPr>
          <w:rFonts w:hint="eastAsia" w:ascii="宋体" w:eastAsia="宋体"/>
          <w:color w:val="auto"/>
          <w:sz w:val="21"/>
          <w:szCs w:val="24"/>
          <w:lang w:val="en-US" w:eastAsia="zh-CN"/>
        </w:rPr>
        <w:t>应</w:t>
      </w:r>
      <w:r>
        <w:rPr>
          <w:rFonts w:hint="default" w:ascii="宋体" w:eastAsia="宋体"/>
          <w:color w:val="auto"/>
          <w:sz w:val="21"/>
          <w:szCs w:val="24"/>
        </w:rPr>
        <w:t>每年至少组织</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1</w:t>
      </w:r>
      <w:r>
        <w:rPr>
          <w:rFonts w:hint="eastAsia"/>
          <w:color w:val="auto"/>
          <w:sz w:val="21"/>
          <w:szCs w:val="24"/>
          <w:highlight w:val="none"/>
          <w:vertAlign w:val="superscript"/>
          <w:lang w:val="en-US" w:eastAsia="zh-CN"/>
        </w:rPr>
        <w:t xml:space="preserve"> </w:t>
      </w:r>
      <w:r>
        <w:rPr>
          <w:rFonts w:hint="default" w:ascii="宋体" w:eastAsia="宋体"/>
          <w:color w:val="auto"/>
          <w:sz w:val="21"/>
          <w:szCs w:val="24"/>
        </w:rPr>
        <w:t>次肺结核健康科普人员专项培训，培训内容</w:t>
      </w:r>
      <w:r>
        <w:rPr>
          <w:rFonts w:hint="eastAsia" w:ascii="宋体" w:eastAsia="宋体"/>
          <w:color w:val="auto"/>
          <w:sz w:val="21"/>
          <w:szCs w:val="24"/>
          <w:lang w:val="en-US" w:eastAsia="zh-CN"/>
        </w:rPr>
        <w:t>需</w:t>
      </w:r>
      <w:r>
        <w:rPr>
          <w:rFonts w:hint="default" w:ascii="宋体" w:eastAsia="宋体"/>
          <w:color w:val="auto"/>
          <w:sz w:val="21"/>
          <w:szCs w:val="24"/>
        </w:rPr>
        <w:t>涵盖最新防控政策、科普内容要点、宣讲技巧、应急处置流程等，参训人员须考核合格后方可从事科普宣讲工作。</w:t>
      </w:r>
    </w:p>
    <w:p w14:paraId="6C09B7A5">
      <w:pPr>
        <w:pStyle w:val="108"/>
        <w:rPr>
          <w:rFonts w:hint="eastAsia"/>
          <w:color w:val="auto"/>
          <w:sz w:val="21"/>
          <w:szCs w:val="24"/>
        </w:rPr>
      </w:pPr>
      <w:bookmarkStart w:id="59" w:name="_Toc4011"/>
      <w:bookmarkStart w:id="60" w:name="_Toc21811"/>
      <w:r>
        <w:rPr>
          <w:rFonts w:hint="eastAsia"/>
          <w:color w:val="auto"/>
          <w:sz w:val="21"/>
          <w:szCs w:val="24"/>
        </w:rPr>
        <w:t>肺结核健康科普流程</w:t>
      </w:r>
      <w:bookmarkEnd w:id="59"/>
      <w:bookmarkEnd w:id="60"/>
    </w:p>
    <w:p w14:paraId="69BDA697">
      <w:pPr>
        <w:pStyle w:val="60"/>
        <w:spacing w:beforeLines="0" w:afterLines="0"/>
        <w:rPr>
          <w:rFonts w:hint="default" w:ascii="宋体" w:eastAsia="宋体"/>
          <w:color w:val="auto"/>
          <w:sz w:val="21"/>
          <w:szCs w:val="24"/>
        </w:rPr>
      </w:pPr>
      <w:r>
        <w:rPr>
          <w:rFonts w:hint="default" w:ascii="宋体" w:eastAsia="宋体"/>
          <w:color w:val="auto"/>
          <w:sz w:val="21"/>
          <w:szCs w:val="24"/>
        </w:rPr>
        <w:t>学校肺结核健康科普流程见附录A。</w:t>
      </w:r>
    </w:p>
    <w:p w14:paraId="59679116">
      <w:pPr>
        <w:pStyle w:val="108"/>
        <w:rPr>
          <w:rFonts w:hint="eastAsia"/>
          <w:color w:val="auto"/>
          <w:sz w:val="21"/>
          <w:szCs w:val="24"/>
        </w:rPr>
      </w:pPr>
      <w:bookmarkStart w:id="61" w:name="_Toc27683"/>
      <w:bookmarkStart w:id="62" w:name="_Toc10288"/>
      <w:r>
        <w:rPr>
          <w:rFonts w:hint="eastAsia"/>
          <w:color w:val="auto"/>
          <w:sz w:val="21"/>
          <w:szCs w:val="24"/>
        </w:rPr>
        <w:t>肺结核健康科普内容</w:t>
      </w:r>
      <w:bookmarkEnd w:id="61"/>
      <w:bookmarkEnd w:id="62"/>
    </w:p>
    <w:p w14:paraId="5351930F">
      <w:pPr>
        <w:pStyle w:val="109"/>
        <w:rPr>
          <w:rFonts w:hint="eastAsia"/>
          <w:color w:val="auto"/>
          <w:sz w:val="21"/>
          <w:szCs w:val="24"/>
          <w:highlight w:val="none"/>
        </w:rPr>
      </w:pPr>
      <w:bookmarkStart w:id="63" w:name="_Toc30433"/>
      <w:bookmarkStart w:id="64" w:name="_Toc25516"/>
      <w:r>
        <w:rPr>
          <w:rFonts w:hint="eastAsia"/>
          <w:color w:val="auto"/>
          <w:sz w:val="21"/>
          <w:szCs w:val="24"/>
          <w:highlight w:val="none"/>
        </w:rPr>
        <w:t>科普核心理论内容</w:t>
      </w:r>
      <w:bookmarkEnd w:id="63"/>
      <w:bookmarkEnd w:id="64"/>
    </w:p>
    <w:p w14:paraId="71E07506">
      <w:pPr>
        <w:pStyle w:val="69"/>
        <w:rPr>
          <w:rFonts w:hint="eastAsia"/>
          <w:color w:val="auto"/>
          <w:sz w:val="21"/>
          <w:szCs w:val="24"/>
          <w:highlight w:val="none"/>
        </w:rPr>
      </w:pPr>
      <w:r>
        <w:rPr>
          <w:rFonts w:hint="eastAsia"/>
          <w:color w:val="auto"/>
          <w:sz w:val="21"/>
          <w:szCs w:val="24"/>
          <w:highlight w:val="none"/>
        </w:rPr>
        <w:t>面向普通中小学、中等职业学校、普通高等学校、特殊教育学校和托幼机构师生及监护人/家长</w:t>
      </w:r>
    </w:p>
    <w:p w14:paraId="0A6011F4">
      <w:pPr>
        <w:pStyle w:val="168"/>
        <w:rPr>
          <w:rFonts w:hint="default"/>
          <w:color w:val="auto"/>
          <w:sz w:val="21"/>
          <w:szCs w:val="24"/>
          <w:highlight w:val="none"/>
        </w:rPr>
      </w:pPr>
      <w:r>
        <w:rPr>
          <w:rFonts w:hint="default"/>
          <w:color w:val="auto"/>
          <w:sz w:val="21"/>
          <w:szCs w:val="24"/>
          <w:highlight w:val="none"/>
        </w:rPr>
        <w:t>科普时机：</w:t>
      </w:r>
      <w:r>
        <w:rPr>
          <w:rFonts w:hint="eastAsia"/>
          <w:color w:val="auto"/>
          <w:sz w:val="21"/>
          <w:szCs w:val="24"/>
          <w:highlight w:val="none"/>
          <w:lang w:val="en-US" w:eastAsia="zh-CN"/>
        </w:rPr>
        <w:t>宜在</w:t>
      </w:r>
      <w:r>
        <w:rPr>
          <w:rFonts w:hint="default"/>
          <w:color w:val="auto"/>
          <w:sz w:val="21"/>
          <w:szCs w:val="24"/>
          <w:highlight w:val="none"/>
        </w:rPr>
        <w:t>新学期开学第</w:t>
      </w:r>
      <w:r>
        <w:rPr>
          <w:rFonts w:hint="eastAsia"/>
          <w:color w:val="auto"/>
          <w:sz w:val="21"/>
          <w:szCs w:val="24"/>
          <w:highlight w:val="none"/>
          <w:vertAlign w:val="superscript"/>
          <w:lang w:val="en-US" w:eastAsia="zh-CN"/>
        </w:rPr>
        <w:t xml:space="preserve"> </w:t>
      </w:r>
      <w:r>
        <w:rPr>
          <w:rFonts w:hint="default"/>
          <w:color w:val="auto"/>
          <w:sz w:val="21"/>
          <w:szCs w:val="24"/>
          <w:highlight w:val="none"/>
        </w:rPr>
        <w:t>1</w:t>
      </w:r>
      <w:r>
        <w:rPr>
          <w:rFonts w:hint="eastAsia"/>
          <w:color w:val="auto"/>
          <w:sz w:val="21"/>
          <w:szCs w:val="24"/>
          <w:highlight w:val="none"/>
          <w:vertAlign w:val="superscript"/>
          <w:lang w:val="en-US" w:eastAsia="zh-CN"/>
        </w:rPr>
        <w:t xml:space="preserve"> </w:t>
      </w:r>
      <w:r>
        <w:rPr>
          <w:rFonts w:hint="default"/>
          <w:color w:val="auto"/>
          <w:sz w:val="21"/>
          <w:szCs w:val="24"/>
          <w:highlight w:val="none"/>
        </w:rPr>
        <w:t>个月内完成全覆盖科普；每学期</w:t>
      </w:r>
      <w:r>
        <w:rPr>
          <w:rFonts w:hint="eastAsia"/>
          <w:color w:val="auto"/>
          <w:sz w:val="21"/>
          <w:szCs w:val="24"/>
          <w:highlight w:val="none"/>
          <w:lang w:val="en-US" w:eastAsia="zh-CN"/>
        </w:rPr>
        <w:t>需</w:t>
      </w:r>
      <w:r>
        <w:rPr>
          <w:rFonts w:hint="default"/>
          <w:color w:val="auto"/>
          <w:sz w:val="21"/>
          <w:szCs w:val="24"/>
          <w:highlight w:val="none"/>
        </w:rPr>
        <w:t>至少开展1次强化科普；世界防治结核病日等重要节点</w:t>
      </w:r>
      <w:r>
        <w:rPr>
          <w:rFonts w:hint="eastAsia"/>
          <w:color w:val="auto"/>
          <w:sz w:val="21"/>
          <w:szCs w:val="24"/>
          <w:highlight w:val="none"/>
          <w:lang w:val="en-US" w:eastAsia="zh-CN"/>
        </w:rPr>
        <w:t>应</w:t>
      </w:r>
      <w:r>
        <w:rPr>
          <w:rFonts w:hint="default"/>
          <w:color w:val="auto"/>
          <w:sz w:val="21"/>
          <w:szCs w:val="24"/>
          <w:highlight w:val="none"/>
        </w:rPr>
        <w:t>开展主题科普。</w:t>
      </w:r>
    </w:p>
    <w:p w14:paraId="58099187">
      <w:pPr>
        <w:pStyle w:val="168"/>
        <w:rPr>
          <w:rFonts w:hint="default"/>
          <w:color w:val="auto"/>
          <w:sz w:val="21"/>
          <w:szCs w:val="24"/>
        </w:rPr>
      </w:pPr>
      <w:r>
        <w:rPr>
          <w:rFonts w:hint="default"/>
          <w:color w:val="auto"/>
          <w:sz w:val="21"/>
          <w:szCs w:val="24"/>
        </w:rPr>
        <w:t>核心内容，</w:t>
      </w:r>
      <w:r>
        <w:rPr>
          <w:rFonts w:hint="eastAsia"/>
          <w:color w:val="auto"/>
          <w:sz w:val="21"/>
          <w:szCs w:val="24"/>
          <w:lang w:val="en-US" w:eastAsia="zh-CN"/>
        </w:rPr>
        <w:t>应</w:t>
      </w:r>
      <w:r>
        <w:rPr>
          <w:rFonts w:hint="default"/>
          <w:color w:val="auto"/>
          <w:sz w:val="21"/>
          <w:szCs w:val="24"/>
        </w:rPr>
        <w:t>包括但不限于。</w:t>
      </w:r>
    </w:p>
    <w:p w14:paraId="5D077B89">
      <w:pPr>
        <w:pStyle w:val="178"/>
        <w:numPr>
          <w:ilvl w:val="0"/>
          <w:numId w:val="34"/>
        </w:numPr>
        <w:spacing w:beforeLines="0" w:afterLines="0"/>
        <w:rPr>
          <w:rFonts w:hint="default"/>
          <w:color w:val="auto"/>
          <w:sz w:val="21"/>
          <w:szCs w:val="24"/>
        </w:rPr>
      </w:pPr>
      <w:r>
        <w:rPr>
          <w:rFonts w:hint="default"/>
          <w:color w:val="auto"/>
          <w:sz w:val="21"/>
          <w:szCs w:val="24"/>
        </w:rPr>
        <w:t>肺结核防治核心信息见附录B；</w:t>
      </w:r>
    </w:p>
    <w:p w14:paraId="0C1E30DC">
      <w:pPr>
        <w:pStyle w:val="178"/>
        <w:numPr>
          <w:ilvl w:val="0"/>
          <w:numId w:val="34"/>
        </w:numPr>
        <w:spacing w:beforeLines="0" w:afterLines="0"/>
        <w:rPr>
          <w:rFonts w:hint="default"/>
          <w:color w:val="auto"/>
          <w:sz w:val="21"/>
          <w:szCs w:val="24"/>
        </w:rPr>
      </w:pPr>
      <w:r>
        <w:rPr>
          <w:rFonts w:hint="default"/>
          <w:color w:val="auto"/>
          <w:sz w:val="21"/>
          <w:szCs w:val="24"/>
        </w:rPr>
        <w:t>学校肺结核防控健康教育相关知识见附录B；</w:t>
      </w:r>
    </w:p>
    <w:p w14:paraId="08786396">
      <w:pPr>
        <w:pStyle w:val="178"/>
        <w:numPr>
          <w:ilvl w:val="0"/>
          <w:numId w:val="34"/>
        </w:numPr>
        <w:spacing w:beforeLines="0" w:afterLines="0"/>
        <w:rPr>
          <w:rFonts w:hint="default"/>
          <w:color w:val="auto"/>
          <w:sz w:val="21"/>
          <w:szCs w:val="24"/>
        </w:rPr>
      </w:pPr>
      <w:r>
        <w:rPr>
          <w:rFonts w:hint="default"/>
          <w:color w:val="auto"/>
          <w:sz w:val="21"/>
          <w:szCs w:val="24"/>
        </w:rPr>
        <w:t>学生及监护人/家长和学校教职员工肺结核健康科普内容见附录B；</w:t>
      </w:r>
    </w:p>
    <w:p w14:paraId="2061EEB2">
      <w:pPr>
        <w:pStyle w:val="178"/>
        <w:numPr>
          <w:ilvl w:val="0"/>
          <w:numId w:val="34"/>
        </w:numPr>
        <w:spacing w:beforeLines="0" w:afterLines="0"/>
        <w:rPr>
          <w:rFonts w:hint="default"/>
          <w:color w:val="auto"/>
          <w:sz w:val="21"/>
          <w:szCs w:val="24"/>
        </w:rPr>
      </w:pPr>
      <w:r>
        <w:rPr>
          <w:rFonts w:hint="default"/>
          <w:color w:val="auto"/>
          <w:sz w:val="21"/>
          <w:szCs w:val="24"/>
        </w:rPr>
        <w:t>学校肺结核感染控制基础常识。</w:t>
      </w:r>
    </w:p>
    <w:p w14:paraId="4E7820EF">
      <w:pPr>
        <w:pStyle w:val="69"/>
        <w:rPr>
          <w:rFonts w:hint="eastAsia" w:hAnsi="黑体" w:cs="黑体"/>
          <w:color w:val="auto"/>
          <w:sz w:val="21"/>
          <w:szCs w:val="24"/>
        </w:rPr>
      </w:pPr>
      <w:r>
        <w:rPr>
          <w:rFonts w:hint="eastAsia"/>
          <w:color w:val="auto"/>
          <w:sz w:val="21"/>
          <w:szCs w:val="24"/>
        </w:rPr>
        <w:t>面向学校卫生管理人员、校医</w:t>
      </w:r>
      <w:r>
        <w:rPr>
          <w:rFonts w:hint="eastAsia" w:hAnsi="黑体" w:cs="黑体"/>
          <w:color w:val="auto"/>
          <w:sz w:val="21"/>
          <w:szCs w:val="24"/>
        </w:rPr>
        <w:t>、教职工</w:t>
      </w:r>
    </w:p>
    <w:p w14:paraId="46006F21">
      <w:pPr>
        <w:pStyle w:val="168"/>
        <w:rPr>
          <w:rFonts w:hint="default"/>
          <w:color w:val="auto"/>
          <w:sz w:val="21"/>
          <w:szCs w:val="24"/>
        </w:rPr>
      </w:pPr>
      <w:r>
        <w:rPr>
          <w:rFonts w:hint="default"/>
          <w:color w:val="auto"/>
          <w:sz w:val="21"/>
          <w:szCs w:val="24"/>
        </w:rPr>
        <w:t>科普时机：</w:t>
      </w:r>
      <w:r>
        <w:rPr>
          <w:rFonts w:hint="eastAsia"/>
          <w:color w:val="auto"/>
          <w:sz w:val="21"/>
          <w:szCs w:val="24"/>
          <w:lang w:val="en-US" w:eastAsia="zh-CN"/>
        </w:rPr>
        <w:t>宜对</w:t>
      </w:r>
      <w:r>
        <w:rPr>
          <w:rFonts w:hint="default"/>
          <w:color w:val="auto"/>
          <w:sz w:val="21"/>
          <w:szCs w:val="24"/>
        </w:rPr>
        <w:t>新入职人员岗前培训；每学年</w:t>
      </w:r>
      <w:r>
        <w:rPr>
          <w:rFonts w:hint="eastAsia"/>
          <w:color w:val="auto"/>
          <w:sz w:val="21"/>
          <w:szCs w:val="24"/>
          <w:lang w:val="en-US" w:eastAsia="zh-CN"/>
        </w:rPr>
        <w:t>需</w:t>
      </w:r>
      <w:r>
        <w:rPr>
          <w:rFonts w:hint="default"/>
          <w:color w:val="auto"/>
          <w:sz w:val="21"/>
          <w:szCs w:val="24"/>
        </w:rPr>
        <w:t>至少开展</w:t>
      </w:r>
      <w:r>
        <w:rPr>
          <w:rFonts w:hint="eastAsia"/>
          <w:color w:val="auto"/>
          <w:sz w:val="21"/>
          <w:szCs w:val="24"/>
          <w:highlight w:val="none"/>
          <w:vertAlign w:val="superscript"/>
          <w:lang w:val="en-US" w:eastAsia="zh-CN"/>
        </w:rPr>
        <w:t xml:space="preserve"> </w:t>
      </w:r>
      <w:r>
        <w:rPr>
          <w:rFonts w:hint="default"/>
          <w:color w:val="auto"/>
          <w:sz w:val="21"/>
          <w:szCs w:val="24"/>
        </w:rPr>
        <w:t>1</w:t>
      </w:r>
      <w:r>
        <w:rPr>
          <w:rFonts w:hint="eastAsia"/>
          <w:color w:val="auto"/>
          <w:sz w:val="21"/>
          <w:szCs w:val="24"/>
          <w:highlight w:val="none"/>
          <w:vertAlign w:val="superscript"/>
          <w:lang w:val="en-US" w:eastAsia="zh-CN"/>
        </w:rPr>
        <w:t xml:space="preserve"> </w:t>
      </w:r>
      <w:r>
        <w:rPr>
          <w:rFonts w:hint="default"/>
          <w:color w:val="auto"/>
          <w:sz w:val="21"/>
          <w:szCs w:val="24"/>
        </w:rPr>
        <w:t>次专题培训；发生疫情时</w:t>
      </w:r>
      <w:r>
        <w:rPr>
          <w:rFonts w:hint="eastAsia"/>
          <w:color w:val="auto"/>
          <w:sz w:val="21"/>
          <w:szCs w:val="24"/>
          <w:lang w:val="en-US" w:eastAsia="zh-CN"/>
        </w:rPr>
        <w:t>应</w:t>
      </w:r>
      <w:r>
        <w:rPr>
          <w:rFonts w:hint="default"/>
          <w:color w:val="auto"/>
          <w:sz w:val="21"/>
          <w:szCs w:val="24"/>
        </w:rPr>
        <w:t>及时开展应急科普。</w:t>
      </w:r>
    </w:p>
    <w:p w14:paraId="58485251">
      <w:pPr>
        <w:pStyle w:val="168"/>
        <w:rPr>
          <w:rFonts w:hint="default"/>
          <w:color w:val="auto"/>
          <w:sz w:val="21"/>
          <w:szCs w:val="24"/>
        </w:rPr>
      </w:pPr>
      <w:r>
        <w:rPr>
          <w:rFonts w:hint="default"/>
          <w:color w:val="auto"/>
          <w:sz w:val="21"/>
          <w:szCs w:val="24"/>
        </w:rPr>
        <w:t>核心内容，</w:t>
      </w:r>
      <w:r>
        <w:rPr>
          <w:rFonts w:hint="eastAsia"/>
          <w:color w:val="auto"/>
          <w:sz w:val="21"/>
          <w:szCs w:val="24"/>
          <w:lang w:val="en-US" w:eastAsia="zh-CN"/>
        </w:rPr>
        <w:t>应</w:t>
      </w:r>
      <w:r>
        <w:rPr>
          <w:rFonts w:hint="default"/>
          <w:color w:val="auto"/>
          <w:sz w:val="21"/>
          <w:szCs w:val="24"/>
        </w:rPr>
        <w:t>包括但不限</w:t>
      </w:r>
      <w:r>
        <w:rPr>
          <w:rFonts w:hint="default"/>
          <w:color w:val="auto"/>
          <w:sz w:val="21"/>
          <w:szCs w:val="24"/>
          <w:highlight w:val="none"/>
        </w:rPr>
        <w:t>于。</w:t>
      </w:r>
    </w:p>
    <w:p w14:paraId="512184A6">
      <w:pPr>
        <w:pStyle w:val="178"/>
        <w:numPr>
          <w:ilvl w:val="0"/>
          <w:numId w:val="35"/>
        </w:numPr>
        <w:spacing w:beforeLines="0" w:afterLines="0"/>
        <w:rPr>
          <w:rFonts w:hint="default"/>
          <w:color w:val="auto"/>
          <w:sz w:val="21"/>
          <w:szCs w:val="24"/>
          <w:highlight w:val="none"/>
        </w:rPr>
      </w:pPr>
      <w:r>
        <w:rPr>
          <w:rFonts w:hint="default"/>
          <w:color w:val="auto"/>
          <w:sz w:val="21"/>
          <w:szCs w:val="24"/>
          <w:highlight w:val="none"/>
        </w:rPr>
        <w:t>本文件6.1.1.2规定的核心知识；</w:t>
      </w:r>
    </w:p>
    <w:p w14:paraId="10CA15F9">
      <w:pPr>
        <w:pStyle w:val="178"/>
        <w:numPr>
          <w:ilvl w:val="0"/>
          <w:numId w:val="35"/>
        </w:numPr>
        <w:spacing w:beforeLines="0" w:afterLines="0"/>
        <w:rPr>
          <w:rFonts w:hint="default"/>
          <w:color w:val="auto"/>
          <w:sz w:val="21"/>
          <w:szCs w:val="24"/>
          <w:highlight w:val="none"/>
        </w:rPr>
      </w:pPr>
      <w:r>
        <w:rPr>
          <w:rFonts w:hint="default"/>
          <w:color w:val="auto"/>
          <w:sz w:val="21"/>
          <w:szCs w:val="24"/>
          <w:highlight w:val="none"/>
        </w:rPr>
        <w:t>学校在肺结核防控工作中的法定职责与义务；</w:t>
      </w:r>
    </w:p>
    <w:p w14:paraId="183BB414">
      <w:pPr>
        <w:pStyle w:val="178"/>
        <w:numPr>
          <w:ilvl w:val="0"/>
          <w:numId w:val="35"/>
        </w:numPr>
        <w:spacing w:beforeLines="0" w:afterLines="0"/>
        <w:rPr>
          <w:rFonts w:hint="default"/>
          <w:color w:val="auto"/>
          <w:sz w:val="21"/>
          <w:szCs w:val="24"/>
          <w:highlight w:val="none"/>
        </w:rPr>
      </w:pPr>
      <w:r>
        <w:rPr>
          <w:rFonts w:hint="default"/>
          <w:color w:val="auto"/>
          <w:sz w:val="21"/>
          <w:szCs w:val="24"/>
          <w:highlight w:val="none"/>
        </w:rPr>
        <w:t>学校肺结核防控关键工作措施：</w:t>
      </w:r>
    </w:p>
    <w:p w14:paraId="793C8C81">
      <w:pPr>
        <w:pStyle w:val="113"/>
        <w:numPr>
          <w:ilvl w:val="1"/>
          <w:numId w:val="0"/>
        </w:numPr>
        <w:spacing w:beforeLines="0" w:afterLines="0"/>
        <w:ind w:left="851" w:firstLine="0"/>
        <w:rPr>
          <w:rFonts w:hint="default"/>
          <w:color w:val="auto"/>
          <w:sz w:val="21"/>
          <w:szCs w:val="24"/>
          <w:highlight w:val="none"/>
        </w:rPr>
      </w:pPr>
      <w:r>
        <w:rPr>
          <w:rFonts w:hint="default"/>
          <w:color w:val="auto"/>
          <w:sz w:val="21"/>
          <w:szCs w:val="24"/>
          <w:highlight w:val="none"/>
        </w:rPr>
        <w:t>——学生肺结核健康教育组织实施要求；</w:t>
      </w:r>
    </w:p>
    <w:p w14:paraId="64B729DA">
      <w:pPr>
        <w:pStyle w:val="113"/>
        <w:numPr>
          <w:ilvl w:val="1"/>
          <w:numId w:val="0"/>
        </w:numPr>
        <w:spacing w:beforeLines="0" w:afterLines="0"/>
        <w:ind w:left="851" w:firstLine="0"/>
        <w:rPr>
          <w:rFonts w:hint="default"/>
          <w:color w:val="auto"/>
          <w:sz w:val="21"/>
          <w:szCs w:val="24"/>
          <w:highlight w:val="none"/>
        </w:rPr>
      </w:pPr>
      <w:r>
        <w:rPr>
          <w:rFonts w:hint="default"/>
          <w:color w:val="auto"/>
          <w:sz w:val="21"/>
          <w:szCs w:val="24"/>
          <w:highlight w:val="none"/>
        </w:rPr>
        <w:t>——协助做好新生入学肺结核筛查、新入职员工体检；</w:t>
      </w:r>
    </w:p>
    <w:p w14:paraId="627F4455">
      <w:pPr>
        <w:pStyle w:val="113"/>
        <w:numPr>
          <w:ilvl w:val="1"/>
          <w:numId w:val="0"/>
        </w:numPr>
        <w:spacing w:beforeLines="0" w:afterLines="0"/>
        <w:ind w:left="851" w:firstLine="0"/>
        <w:rPr>
          <w:rFonts w:hint="default"/>
          <w:color w:val="auto"/>
          <w:sz w:val="21"/>
          <w:szCs w:val="24"/>
          <w:highlight w:val="none"/>
        </w:rPr>
      </w:pPr>
      <w:r>
        <w:rPr>
          <w:rFonts w:hint="default"/>
          <w:color w:val="auto"/>
          <w:sz w:val="21"/>
          <w:szCs w:val="24"/>
          <w:highlight w:val="none"/>
        </w:rPr>
        <w:t>——日常晨检、午检工作规范，重点关注咳嗽、咳痰、咯血等呼吸道症状及相关全身症状，参照GB 28932-2012、WS/T 642-2019执行；</w:t>
      </w:r>
    </w:p>
    <w:p w14:paraId="2E04FFA6">
      <w:pPr>
        <w:pStyle w:val="113"/>
        <w:numPr>
          <w:ilvl w:val="1"/>
          <w:numId w:val="0"/>
        </w:numPr>
        <w:spacing w:beforeLines="0" w:afterLines="0"/>
        <w:ind w:left="851" w:firstLine="0"/>
        <w:rPr>
          <w:rFonts w:hint="default"/>
          <w:color w:val="auto"/>
          <w:sz w:val="21"/>
          <w:szCs w:val="24"/>
          <w:highlight w:val="none"/>
        </w:rPr>
      </w:pPr>
      <w:r>
        <w:rPr>
          <w:rFonts w:hint="default"/>
          <w:color w:val="auto"/>
          <w:sz w:val="21"/>
          <w:szCs w:val="24"/>
          <w:highlight w:val="none"/>
        </w:rPr>
        <w:t>——因病缺课（缺勤）病因追查与登记制度，重点核查呼吸道症状缺课（缺勤）人员；</w:t>
      </w:r>
    </w:p>
    <w:p w14:paraId="3C758A26">
      <w:pPr>
        <w:pStyle w:val="113"/>
        <w:numPr>
          <w:ilvl w:val="1"/>
          <w:numId w:val="0"/>
        </w:numPr>
        <w:spacing w:beforeLines="0" w:afterLines="0"/>
        <w:ind w:left="851" w:firstLine="0"/>
        <w:rPr>
          <w:rFonts w:hint="default"/>
          <w:color w:val="auto"/>
          <w:sz w:val="21"/>
          <w:szCs w:val="24"/>
          <w:highlight w:val="none"/>
        </w:rPr>
      </w:pPr>
      <w:r>
        <w:rPr>
          <w:rFonts w:hint="default"/>
          <w:color w:val="auto"/>
          <w:sz w:val="21"/>
          <w:szCs w:val="24"/>
          <w:highlight w:val="none"/>
        </w:rPr>
        <w:t>——协助做好肺结核病例发现、报告工作，配合疾病预防控制机构开展个案调查、密切接触者筛查及环境消杀等应急处置；</w:t>
      </w:r>
    </w:p>
    <w:p w14:paraId="4F2FD5D7">
      <w:pPr>
        <w:pStyle w:val="113"/>
        <w:numPr>
          <w:ilvl w:val="1"/>
          <w:numId w:val="0"/>
        </w:numPr>
        <w:spacing w:beforeLines="0" w:afterLines="0"/>
        <w:ind w:left="851" w:firstLine="0"/>
        <w:rPr>
          <w:rFonts w:hint="default"/>
          <w:color w:val="auto"/>
          <w:sz w:val="21"/>
          <w:szCs w:val="24"/>
          <w:highlight w:val="none"/>
        </w:rPr>
      </w:pPr>
      <w:r>
        <w:rPr>
          <w:rFonts w:hint="default"/>
          <w:color w:val="auto"/>
          <w:sz w:val="21"/>
          <w:szCs w:val="24"/>
          <w:highlight w:val="none"/>
        </w:rPr>
        <w:t>——肺结核患者休复学（休复课）管理要求。</w:t>
      </w:r>
    </w:p>
    <w:p w14:paraId="536EE110">
      <w:pPr>
        <w:pStyle w:val="109"/>
        <w:rPr>
          <w:rFonts w:hint="eastAsia"/>
          <w:color w:val="auto"/>
          <w:sz w:val="21"/>
          <w:szCs w:val="24"/>
          <w:highlight w:val="none"/>
        </w:rPr>
      </w:pPr>
      <w:bookmarkStart w:id="65" w:name="_Toc27593"/>
      <w:bookmarkStart w:id="66" w:name="_Toc27046"/>
      <w:r>
        <w:rPr>
          <w:rFonts w:hint="eastAsia"/>
          <w:color w:val="auto"/>
          <w:sz w:val="21"/>
          <w:szCs w:val="24"/>
          <w:highlight w:val="none"/>
        </w:rPr>
        <w:t>科普实操技能内容</w:t>
      </w:r>
      <w:bookmarkEnd w:id="65"/>
      <w:bookmarkEnd w:id="66"/>
    </w:p>
    <w:p w14:paraId="64D9032D">
      <w:pPr>
        <w:pStyle w:val="169"/>
        <w:rPr>
          <w:rFonts w:hint="default"/>
          <w:color w:val="auto"/>
          <w:sz w:val="21"/>
          <w:szCs w:val="24"/>
        </w:rPr>
      </w:pPr>
      <w:r>
        <w:rPr>
          <w:rFonts w:hint="default"/>
          <w:color w:val="auto"/>
          <w:sz w:val="21"/>
          <w:szCs w:val="24"/>
        </w:rPr>
        <w:t>正确洗手方法，参照WS/T 313-2019执行。</w:t>
      </w:r>
    </w:p>
    <w:p w14:paraId="09655963">
      <w:pPr>
        <w:pStyle w:val="169"/>
        <w:rPr>
          <w:rFonts w:hint="default"/>
          <w:color w:val="auto"/>
          <w:sz w:val="21"/>
          <w:szCs w:val="24"/>
        </w:rPr>
      </w:pPr>
      <w:r>
        <w:rPr>
          <w:rFonts w:hint="default"/>
          <w:color w:val="auto"/>
          <w:sz w:val="21"/>
          <w:szCs w:val="24"/>
        </w:rPr>
        <w:t>规范佩戴口罩方法，参照WS/T 311-2023执行。</w:t>
      </w:r>
    </w:p>
    <w:p w14:paraId="006549C7">
      <w:pPr>
        <w:pStyle w:val="169"/>
        <w:rPr>
          <w:rFonts w:hint="default"/>
          <w:color w:val="auto"/>
          <w:sz w:val="21"/>
          <w:szCs w:val="24"/>
        </w:rPr>
      </w:pPr>
      <w:r>
        <w:rPr>
          <w:rFonts w:hint="default"/>
          <w:color w:val="auto"/>
          <w:sz w:val="21"/>
          <w:szCs w:val="24"/>
        </w:rPr>
        <w:t>咳嗽礼仪/呼吸道卫生，参照WS/T 311-2023执行。</w:t>
      </w:r>
    </w:p>
    <w:p w14:paraId="6D345F8D">
      <w:pPr>
        <w:pStyle w:val="109"/>
        <w:rPr>
          <w:rFonts w:hint="eastAsia"/>
          <w:color w:val="auto"/>
          <w:sz w:val="21"/>
          <w:szCs w:val="24"/>
        </w:rPr>
      </w:pPr>
      <w:bookmarkStart w:id="67" w:name="_Toc15885"/>
      <w:bookmarkStart w:id="68" w:name="_Toc23539"/>
      <w:r>
        <w:rPr>
          <w:rFonts w:hint="eastAsia"/>
          <w:color w:val="auto"/>
          <w:sz w:val="21"/>
          <w:szCs w:val="24"/>
        </w:rPr>
        <w:t>科普展示要求</w:t>
      </w:r>
      <w:bookmarkEnd w:id="67"/>
      <w:bookmarkEnd w:id="68"/>
    </w:p>
    <w:p w14:paraId="55074C73">
      <w:pPr>
        <w:pStyle w:val="69"/>
        <w:rPr>
          <w:rFonts w:hint="eastAsia"/>
          <w:color w:val="auto"/>
          <w:sz w:val="21"/>
          <w:szCs w:val="24"/>
        </w:rPr>
      </w:pPr>
      <w:r>
        <w:rPr>
          <w:rFonts w:hint="eastAsia"/>
          <w:color w:val="auto"/>
          <w:sz w:val="21"/>
          <w:szCs w:val="24"/>
        </w:rPr>
        <w:t>课堂讲授要求</w:t>
      </w:r>
    </w:p>
    <w:p w14:paraId="08BC53D3">
      <w:pPr>
        <w:pStyle w:val="168"/>
        <w:rPr>
          <w:rFonts w:hint="default"/>
          <w:color w:val="auto"/>
          <w:sz w:val="21"/>
          <w:szCs w:val="24"/>
        </w:rPr>
      </w:pPr>
      <w:r>
        <w:rPr>
          <w:rFonts w:hint="default"/>
          <w:color w:val="auto"/>
          <w:sz w:val="21"/>
          <w:szCs w:val="24"/>
        </w:rPr>
        <w:t>内容应结合地域特点和不同学段（如小学、中学、大学）、不同类型学校（如特殊教育学校、托幼机构）的认知水平设置。</w:t>
      </w:r>
    </w:p>
    <w:p w14:paraId="56282BAF">
      <w:pPr>
        <w:pStyle w:val="168"/>
        <w:rPr>
          <w:rFonts w:hint="default"/>
          <w:color w:val="auto"/>
          <w:sz w:val="21"/>
          <w:szCs w:val="24"/>
        </w:rPr>
      </w:pPr>
      <w:r>
        <w:rPr>
          <w:rFonts w:hint="eastAsia"/>
          <w:color w:val="auto"/>
          <w:sz w:val="21"/>
          <w:szCs w:val="24"/>
          <w:lang w:val="en-US" w:eastAsia="zh-CN"/>
        </w:rPr>
        <w:t>需</w:t>
      </w:r>
      <w:r>
        <w:rPr>
          <w:rFonts w:hint="default"/>
          <w:color w:val="auto"/>
          <w:sz w:val="21"/>
          <w:szCs w:val="24"/>
        </w:rPr>
        <w:t>以肺结核防治核心知识和实操技能为主，配备规范、完整的书面教案或讲稿，实操示范动作规范、到位。</w:t>
      </w:r>
    </w:p>
    <w:p w14:paraId="1DD6FD12">
      <w:pPr>
        <w:pStyle w:val="168"/>
        <w:rPr>
          <w:rFonts w:hint="default"/>
          <w:color w:val="auto"/>
          <w:sz w:val="21"/>
          <w:szCs w:val="24"/>
        </w:rPr>
      </w:pPr>
      <w:r>
        <w:rPr>
          <w:rFonts w:hint="eastAsia"/>
          <w:color w:val="auto"/>
          <w:sz w:val="21"/>
          <w:szCs w:val="24"/>
          <w:lang w:val="en-US" w:eastAsia="zh-CN"/>
        </w:rPr>
        <w:t>宜</w:t>
      </w:r>
      <w:r>
        <w:rPr>
          <w:rFonts w:hint="default"/>
          <w:color w:val="auto"/>
          <w:sz w:val="21"/>
          <w:szCs w:val="24"/>
        </w:rPr>
        <w:t>引入学校肺结核防控典型案例，采用图文并茂、互动提问等方式。</w:t>
      </w:r>
    </w:p>
    <w:p w14:paraId="083A17BE">
      <w:pPr>
        <w:pStyle w:val="69"/>
        <w:rPr>
          <w:rFonts w:hint="eastAsia"/>
          <w:color w:val="auto"/>
          <w:sz w:val="21"/>
          <w:szCs w:val="24"/>
        </w:rPr>
      </w:pPr>
      <w:r>
        <w:rPr>
          <w:rFonts w:hint="eastAsia"/>
          <w:color w:val="auto"/>
          <w:sz w:val="21"/>
          <w:szCs w:val="24"/>
        </w:rPr>
        <w:t>图文展板、宣传图册要求</w:t>
      </w:r>
    </w:p>
    <w:p w14:paraId="0ED63531">
      <w:pPr>
        <w:pStyle w:val="168"/>
        <w:rPr>
          <w:rFonts w:hint="default"/>
          <w:color w:val="auto"/>
          <w:sz w:val="21"/>
          <w:szCs w:val="24"/>
        </w:rPr>
      </w:pPr>
      <w:r>
        <w:rPr>
          <w:rFonts w:hint="default"/>
          <w:color w:val="auto"/>
          <w:sz w:val="21"/>
          <w:szCs w:val="24"/>
        </w:rPr>
        <w:t>内容科学、准确、完整，语言通俗易懂；图像清晰、色彩协调、构图合理，符合大众审美。</w:t>
      </w:r>
    </w:p>
    <w:p w14:paraId="3AD13CEE">
      <w:pPr>
        <w:pStyle w:val="168"/>
        <w:rPr>
          <w:rFonts w:hint="default"/>
          <w:color w:val="auto"/>
          <w:sz w:val="21"/>
          <w:szCs w:val="24"/>
        </w:rPr>
      </w:pPr>
      <w:r>
        <w:rPr>
          <w:rFonts w:hint="default"/>
          <w:color w:val="auto"/>
          <w:sz w:val="21"/>
          <w:szCs w:val="24"/>
        </w:rPr>
        <w:t>主题集中明确，图片与文字紧密结合，重点突出肺结核防治核心信息和实操要点。</w:t>
      </w:r>
    </w:p>
    <w:p w14:paraId="58A6AECF">
      <w:pPr>
        <w:pStyle w:val="168"/>
        <w:rPr>
          <w:rFonts w:hint="default"/>
          <w:color w:val="auto"/>
          <w:sz w:val="21"/>
          <w:szCs w:val="24"/>
        </w:rPr>
      </w:pPr>
      <w:r>
        <w:rPr>
          <w:rFonts w:hint="default"/>
          <w:color w:val="auto"/>
          <w:sz w:val="21"/>
          <w:szCs w:val="24"/>
        </w:rPr>
        <w:t>内容分为必选内容（肺结核核心危害、传播途径、可疑症状、就医途径）、基础内容（防控措施、健康生活方式）和拓展内容（政策要求、典型案例）。</w:t>
      </w:r>
    </w:p>
    <w:p w14:paraId="69EFB064">
      <w:pPr>
        <w:pStyle w:val="168"/>
        <w:rPr>
          <w:rFonts w:hint="default"/>
          <w:color w:val="auto"/>
          <w:sz w:val="21"/>
          <w:szCs w:val="24"/>
        </w:rPr>
      </w:pPr>
      <w:r>
        <w:rPr>
          <w:rFonts w:hint="default"/>
          <w:color w:val="auto"/>
          <w:sz w:val="21"/>
          <w:szCs w:val="24"/>
        </w:rPr>
        <w:t>宣传图册尺寸合理，方便日常携带与翻阅；宣传内容严禁使用恐吓式宣教方式，不得刊载易引发幼儿、特殊教育群体心理不适的图文内容。</w:t>
      </w:r>
    </w:p>
    <w:p w14:paraId="4ABCD48C">
      <w:pPr>
        <w:pStyle w:val="69"/>
        <w:rPr>
          <w:rFonts w:hint="eastAsia"/>
          <w:color w:val="auto"/>
          <w:sz w:val="21"/>
          <w:szCs w:val="24"/>
        </w:rPr>
      </w:pPr>
      <w:r>
        <w:rPr>
          <w:rFonts w:hint="eastAsia"/>
          <w:color w:val="auto"/>
          <w:sz w:val="21"/>
          <w:szCs w:val="24"/>
        </w:rPr>
        <w:t>科普视频要求</w:t>
      </w:r>
    </w:p>
    <w:p w14:paraId="20001670">
      <w:pPr>
        <w:pStyle w:val="168"/>
        <w:rPr>
          <w:rFonts w:hint="default"/>
          <w:color w:val="auto"/>
          <w:sz w:val="21"/>
          <w:szCs w:val="24"/>
        </w:rPr>
      </w:pPr>
      <w:r>
        <w:rPr>
          <w:rFonts w:hint="default"/>
          <w:color w:val="auto"/>
          <w:sz w:val="21"/>
          <w:szCs w:val="24"/>
        </w:rPr>
        <w:t>内容真实完整、逻辑清晰、层次分明。</w:t>
      </w:r>
    </w:p>
    <w:p w14:paraId="700F75DB">
      <w:pPr>
        <w:pStyle w:val="168"/>
        <w:rPr>
          <w:rFonts w:hint="default"/>
          <w:color w:val="auto"/>
          <w:sz w:val="21"/>
          <w:szCs w:val="24"/>
        </w:rPr>
      </w:pPr>
      <w:r>
        <w:rPr>
          <w:rFonts w:hint="default"/>
          <w:color w:val="auto"/>
          <w:sz w:val="21"/>
          <w:szCs w:val="24"/>
        </w:rPr>
        <w:t>配备清晰的字幕，语言简洁易懂。</w:t>
      </w:r>
    </w:p>
    <w:p w14:paraId="5140569B">
      <w:pPr>
        <w:pStyle w:val="168"/>
        <w:rPr>
          <w:rFonts w:hint="default"/>
          <w:color w:val="auto"/>
          <w:sz w:val="21"/>
          <w:szCs w:val="24"/>
        </w:rPr>
      </w:pPr>
      <w:r>
        <w:rPr>
          <w:rFonts w:hint="default"/>
          <w:color w:val="auto"/>
          <w:sz w:val="21"/>
          <w:szCs w:val="24"/>
        </w:rPr>
        <w:t>形式多样化，</w:t>
      </w:r>
      <w:r>
        <w:rPr>
          <w:rFonts w:hint="eastAsia"/>
          <w:color w:val="auto"/>
          <w:sz w:val="21"/>
          <w:szCs w:val="24"/>
          <w:lang w:val="en-US" w:eastAsia="zh-CN"/>
        </w:rPr>
        <w:t>宜</w:t>
      </w:r>
      <w:r>
        <w:rPr>
          <w:rFonts w:hint="default"/>
          <w:color w:val="auto"/>
          <w:sz w:val="21"/>
          <w:szCs w:val="24"/>
        </w:rPr>
        <w:t>采用动漫视频、情景短剧、口诀歌曲、专家讲解、患者现身说法等形式，结合校园、家庭等不同场景拍摄。</w:t>
      </w:r>
    </w:p>
    <w:p w14:paraId="3092FCE3">
      <w:pPr>
        <w:pStyle w:val="168"/>
        <w:rPr>
          <w:rFonts w:hint="default"/>
          <w:color w:val="auto"/>
          <w:sz w:val="21"/>
          <w:szCs w:val="24"/>
        </w:rPr>
      </w:pPr>
      <w:r>
        <w:rPr>
          <w:rFonts w:hint="default"/>
          <w:color w:val="auto"/>
          <w:sz w:val="21"/>
          <w:szCs w:val="24"/>
        </w:rPr>
        <w:t>基础知识讲解应贴近师生生活体验，结合时代特点、地域特色和师生实际需求设计内容。</w:t>
      </w:r>
      <w:bookmarkStart w:id="69" w:name="_Toc18852"/>
    </w:p>
    <w:p w14:paraId="65582940">
      <w:pPr>
        <w:pStyle w:val="168"/>
        <w:rPr>
          <w:rFonts w:hint="default"/>
          <w:color w:val="auto"/>
          <w:sz w:val="21"/>
          <w:szCs w:val="24"/>
        </w:rPr>
      </w:pPr>
      <w:r>
        <w:rPr>
          <w:rFonts w:hint="default"/>
          <w:color w:val="auto"/>
          <w:sz w:val="21"/>
          <w:szCs w:val="24"/>
        </w:rPr>
        <w:t>视频需标注标题、主讲人、制作单位、制作时间，按受众设定时长：低龄学生不超</w:t>
      </w:r>
      <w:r>
        <w:rPr>
          <w:rFonts w:hint="eastAsia"/>
          <w:color w:val="auto"/>
          <w:sz w:val="21"/>
          <w:szCs w:val="24"/>
          <w:highlight w:val="none"/>
          <w:vertAlign w:val="superscript"/>
          <w:lang w:val="en-US" w:eastAsia="zh-CN"/>
        </w:rPr>
        <w:t xml:space="preserve"> </w:t>
      </w:r>
      <w:r>
        <w:rPr>
          <w:rFonts w:hint="default"/>
          <w:color w:val="auto"/>
          <w:sz w:val="21"/>
          <w:szCs w:val="24"/>
        </w:rPr>
        <w:t>5</w:t>
      </w:r>
      <w:r>
        <w:rPr>
          <w:rFonts w:hint="eastAsia"/>
          <w:color w:val="auto"/>
          <w:sz w:val="21"/>
          <w:szCs w:val="24"/>
          <w:highlight w:val="none"/>
          <w:vertAlign w:val="superscript"/>
          <w:lang w:val="en-US" w:eastAsia="zh-CN"/>
        </w:rPr>
        <w:t xml:space="preserve"> </w:t>
      </w:r>
      <w:r>
        <w:rPr>
          <w:rFonts w:hint="default"/>
          <w:color w:val="auto"/>
          <w:sz w:val="21"/>
          <w:szCs w:val="24"/>
        </w:rPr>
        <w:t>min，中学及以上不超</w:t>
      </w:r>
      <w:r>
        <w:rPr>
          <w:rFonts w:hint="eastAsia"/>
          <w:color w:val="auto"/>
          <w:sz w:val="21"/>
          <w:szCs w:val="24"/>
          <w:highlight w:val="none"/>
          <w:vertAlign w:val="superscript"/>
          <w:lang w:val="en-US" w:eastAsia="zh-CN"/>
        </w:rPr>
        <w:t xml:space="preserve"> </w:t>
      </w:r>
      <w:r>
        <w:rPr>
          <w:rFonts w:hint="default"/>
          <w:color w:val="auto"/>
          <w:sz w:val="21"/>
          <w:szCs w:val="24"/>
        </w:rPr>
        <w:t>15</w:t>
      </w:r>
      <w:r>
        <w:rPr>
          <w:rFonts w:hint="eastAsia"/>
          <w:color w:val="auto"/>
          <w:sz w:val="21"/>
          <w:szCs w:val="24"/>
          <w:highlight w:val="none"/>
          <w:vertAlign w:val="superscript"/>
          <w:lang w:val="en-US" w:eastAsia="zh-CN"/>
        </w:rPr>
        <w:t xml:space="preserve"> </w:t>
      </w:r>
      <w:r>
        <w:rPr>
          <w:rFonts w:hint="default"/>
          <w:color w:val="auto"/>
          <w:sz w:val="21"/>
          <w:szCs w:val="24"/>
        </w:rPr>
        <w:t>min，专题讲座可适当延长。</w:t>
      </w:r>
    </w:p>
    <w:p w14:paraId="64AE1369">
      <w:pPr>
        <w:pStyle w:val="108"/>
        <w:rPr>
          <w:rFonts w:hint="eastAsia"/>
          <w:color w:val="auto"/>
          <w:sz w:val="21"/>
          <w:szCs w:val="24"/>
        </w:rPr>
      </w:pPr>
      <w:bookmarkStart w:id="70" w:name="_Toc2408"/>
      <w:r>
        <w:rPr>
          <w:rFonts w:hint="eastAsia"/>
          <w:color w:val="auto"/>
          <w:sz w:val="21"/>
          <w:szCs w:val="24"/>
        </w:rPr>
        <w:t>肺结核健康科普实施</w:t>
      </w:r>
      <w:bookmarkEnd w:id="69"/>
      <w:bookmarkEnd w:id="70"/>
    </w:p>
    <w:p w14:paraId="22363253">
      <w:pPr>
        <w:pStyle w:val="109"/>
        <w:rPr>
          <w:rFonts w:hint="eastAsia"/>
          <w:color w:val="auto"/>
          <w:sz w:val="21"/>
          <w:szCs w:val="24"/>
        </w:rPr>
      </w:pPr>
      <w:bookmarkStart w:id="71" w:name="_Toc8110"/>
      <w:bookmarkStart w:id="72" w:name="_Toc223"/>
      <w:r>
        <w:rPr>
          <w:rFonts w:hint="eastAsia"/>
          <w:color w:val="auto"/>
          <w:sz w:val="21"/>
          <w:szCs w:val="24"/>
        </w:rPr>
        <w:t>常态化科普</w:t>
      </w:r>
      <w:bookmarkEnd w:id="71"/>
      <w:bookmarkEnd w:id="72"/>
    </w:p>
    <w:p w14:paraId="3943BDAD">
      <w:pPr>
        <w:pStyle w:val="169"/>
        <w:rPr>
          <w:rFonts w:hint="default"/>
          <w:color w:val="auto"/>
          <w:sz w:val="21"/>
          <w:szCs w:val="24"/>
        </w:rPr>
      </w:pPr>
      <w:r>
        <w:rPr>
          <w:rFonts w:hint="default"/>
          <w:color w:val="auto"/>
          <w:sz w:val="21"/>
          <w:szCs w:val="24"/>
        </w:rPr>
        <w:t>应将肺结核防治科普纳入学校健康教育课程，小学、初中每学期开展科普教育不少于</w:t>
      </w:r>
      <w:r>
        <w:rPr>
          <w:rFonts w:hint="eastAsia"/>
          <w:color w:val="auto"/>
          <w:sz w:val="21"/>
          <w:szCs w:val="24"/>
          <w:highlight w:val="none"/>
          <w:vertAlign w:val="superscript"/>
          <w:lang w:val="en-US" w:eastAsia="zh-CN"/>
        </w:rPr>
        <w:t xml:space="preserve"> </w:t>
      </w:r>
      <w:r>
        <w:rPr>
          <w:rFonts w:hint="default"/>
          <w:color w:val="auto"/>
          <w:sz w:val="21"/>
          <w:szCs w:val="24"/>
        </w:rPr>
        <w:t>1</w:t>
      </w:r>
      <w:r>
        <w:rPr>
          <w:rFonts w:hint="eastAsia"/>
          <w:color w:val="auto"/>
          <w:sz w:val="21"/>
          <w:szCs w:val="24"/>
          <w:highlight w:val="none"/>
          <w:vertAlign w:val="superscript"/>
          <w:lang w:val="en-US" w:eastAsia="zh-CN"/>
        </w:rPr>
        <w:t xml:space="preserve"> </w:t>
      </w:r>
      <w:r>
        <w:rPr>
          <w:rFonts w:hint="default"/>
          <w:color w:val="auto"/>
          <w:sz w:val="21"/>
          <w:szCs w:val="24"/>
        </w:rPr>
        <w:t>课时，依托健康教育课、主题班会组织实施；高中及以上学段结合相关学科教学</w:t>
      </w:r>
      <w:r>
        <w:rPr>
          <w:rFonts w:hint="default"/>
          <w:strike w:val="0"/>
          <w:dstrike w:val="0"/>
          <w:color w:val="auto"/>
          <w:sz w:val="21"/>
          <w:szCs w:val="24"/>
        </w:rPr>
        <w:t>，常态化融入结核病防控知识，扎实推进校园科普教育落地</w:t>
      </w:r>
      <w:r>
        <w:rPr>
          <w:rFonts w:hint="default"/>
          <w:strike w:val="0"/>
          <w:color w:val="auto"/>
          <w:sz w:val="21"/>
          <w:szCs w:val="24"/>
        </w:rPr>
        <w:t>。</w:t>
      </w:r>
    </w:p>
    <w:p w14:paraId="4AB422B2">
      <w:pPr>
        <w:pStyle w:val="169"/>
        <w:rPr>
          <w:rFonts w:hint="default"/>
          <w:color w:val="auto"/>
          <w:sz w:val="21"/>
          <w:szCs w:val="24"/>
        </w:rPr>
      </w:pPr>
      <w:r>
        <w:rPr>
          <w:rFonts w:hint="default"/>
          <w:color w:val="auto"/>
          <w:sz w:val="21"/>
          <w:szCs w:val="24"/>
        </w:rPr>
        <w:t>宜依托校园广播、宣传栏、电子显示屏等宣传阵地，常态化推送肺结核防控核心知识；结合世界防治结核病日等重要节点开展主题宣传活动。在教学楼、图书馆、宿舍楼、医务室或卫生室、食堂等人员密集区域规范布设科普展板、宣传资料，定期更新。</w:t>
      </w:r>
    </w:p>
    <w:p w14:paraId="562EB6EA">
      <w:pPr>
        <w:pStyle w:val="169"/>
        <w:rPr>
          <w:rFonts w:hint="default"/>
          <w:color w:val="auto"/>
          <w:sz w:val="21"/>
          <w:szCs w:val="24"/>
        </w:rPr>
      </w:pPr>
      <w:r>
        <w:rPr>
          <w:rFonts w:hint="default"/>
          <w:color w:val="auto"/>
          <w:sz w:val="21"/>
          <w:szCs w:val="24"/>
        </w:rPr>
        <w:t>医疗卫生机构应常态化为学校开展业务指导与专业培训</w:t>
      </w:r>
      <w:r>
        <w:rPr>
          <w:rFonts w:hint="default"/>
          <w:color w:val="auto"/>
          <w:sz w:val="21"/>
          <w:szCs w:val="24"/>
          <w:highlight w:val="none"/>
        </w:rPr>
        <w:t>，提升校内科普人员结核病防控专业素养与宣讲能力</w:t>
      </w:r>
      <w:r>
        <w:rPr>
          <w:rFonts w:hint="eastAsia"/>
          <w:color w:val="auto"/>
          <w:sz w:val="21"/>
          <w:szCs w:val="24"/>
          <w:highlight w:val="none"/>
          <w:lang w:eastAsia="zh-CN"/>
        </w:rPr>
        <w:t>。</w:t>
      </w:r>
      <w:r>
        <w:rPr>
          <w:rFonts w:hint="default"/>
          <w:color w:val="auto"/>
          <w:sz w:val="21"/>
          <w:szCs w:val="24"/>
          <w:highlight w:val="none"/>
        </w:rPr>
        <w:t>培训内容见附录 B、C。</w:t>
      </w:r>
    </w:p>
    <w:p w14:paraId="4AFB88B3">
      <w:pPr>
        <w:pStyle w:val="169"/>
        <w:rPr>
          <w:rFonts w:hint="default"/>
          <w:color w:val="auto"/>
          <w:sz w:val="21"/>
          <w:szCs w:val="24"/>
        </w:rPr>
      </w:pPr>
      <w:r>
        <w:rPr>
          <w:rFonts w:hint="default"/>
          <w:color w:val="auto"/>
          <w:sz w:val="21"/>
          <w:szCs w:val="24"/>
        </w:rPr>
        <w:t>宜</w:t>
      </w:r>
      <w:bookmarkStart w:id="73" w:name="_Toc14738"/>
      <w:r>
        <w:rPr>
          <w:rFonts w:hint="default"/>
          <w:color w:val="auto"/>
          <w:sz w:val="21"/>
          <w:szCs w:val="24"/>
        </w:rPr>
        <w:t>通过家长会、家校沟通平台、告家长书等渠道面向家长普及防控知识</w:t>
      </w:r>
      <w:r>
        <w:rPr>
          <w:rFonts w:hint="eastAsia"/>
          <w:strike w:val="0"/>
          <w:dstrike w:val="0"/>
          <w:color w:val="auto"/>
          <w:sz w:val="21"/>
          <w:szCs w:val="24"/>
          <w:lang w:eastAsia="zh-CN"/>
        </w:rPr>
        <w:t>，</w:t>
      </w:r>
      <w:r>
        <w:rPr>
          <w:rFonts w:hint="default"/>
          <w:color w:val="auto"/>
          <w:sz w:val="21"/>
          <w:szCs w:val="24"/>
        </w:rPr>
        <w:t>依托学校官方网络平台发布科普图文、视频等宣教内容，拓宽科普宣传覆盖面。</w:t>
      </w:r>
    </w:p>
    <w:p w14:paraId="198A697F">
      <w:pPr>
        <w:pStyle w:val="109"/>
        <w:rPr>
          <w:rFonts w:hint="eastAsia"/>
          <w:color w:val="auto"/>
          <w:sz w:val="21"/>
          <w:szCs w:val="24"/>
        </w:rPr>
      </w:pPr>
      <w:bookmarkStart w:id="74" w:name="_Toc28131"/>
      <w:r>
        <w:rPr>
          <w:rFonts w:hint="eastAsia"/>
          <w:color w:val="auto"/>
          <w:sz w:val="21"/>
          <w:szCs w:val="24"/>
        </w:rPr>
        <w:t>疫情处置期间科普</w:t>
      </w:r>
      <w:bookmarkEnd w:id="73"/>
      <w:bookmarkEnd w:id="74"/>
    </w:p>
    <w:p w14:paraId="267C1957">
      <w:pPr>
        <w:pStyle w:val="169"/>
        <w:rPr>
          <w:rFonts w:hint="default"/>
          <w:color w:val="auto"/>
          <w:sz w:val="21"/>
          <w:szCs w:val="24"/>
        </w:rPr>
      </w:pPr>
      <w:r>
        <w:rPr>
          <w:rFonts w:hint="default"/>
          <w:color w:val="auto"/>
          <w:sz w:val="21"/>
          <w:szCs w:val="24"/>
        </w:rPr>
        <w:t>应立刻配合疾控部门开展专项科普，向师生及家长如实通报疫情现状，普及科学防控举措与个人防护要点。</w:t>
      </w:r>
    </w:p>
    <w:p w14:paraId="5DC40CA6">
      <w:pPr>
        <w:pStyle w:val="169"/>
        <w:rPr>
          <w:rFonts w:hint="default"/>
          <w:color w:val="auto"/>
          <w:sz w:val="21"/>
          <w:szCs w:val="24"/>
        </w:rPr>
      </w:pPr>
      <w:r>
        <w:rPr>
          <w:rFonts w:hint="default"/>
          <w:color w:val="auto"/>
          <w:sz w:val="21"/>
          <w:szCs w:val="24"/>
        </w:rPr>
        <w:t>应协助疾控部门开展个案调查、现场流行病学调查及应急处置，严格落实密切接触者筛查、追踪与健康管理。</w:t>
      </w:r>
    </w:p>
    <w:p w14:paraId="10738820">
      <w:pPr>
        <w:pStyle w:val="169"/>
        <w:rPr>
          <w:rFonts w:hint="default"/>
          <w:color w:val="auto"/>
          <w:sz w:val="21"/>
          <w:szCs w:val="24"/>
        </w:rPr>
      </w:pPr>
      <w:r>
        <w:rPr>
          <w:rFonts w:hint="default"/>
          <w:color w:val="auto"/>
          <w:sz w:val="21"/>
          <w:szCs w:val="24"/>
        </w:rPr>
        <w:t>应健全疫情舆情监测、每日研判及风险分级评估机制，及时、准确发布权威信息；启动突发公共卫生事件响应时，严格执行《突发事件应急预案管理办法》及地方相关规定。落实患者（含预防性治疗人员）心理疏导与人文关怀，严格执行休复学管理制度，凭结核病定点医疗机构出具的诊断证明办理休复学手续，持续督促患者规范治疗。</w:t>
      </w:r>
    </w:p>
    <w:p w14:paraId="2C04D248">
      <w:pPr>
        <w:pStyle w:val="169"/>
        <w:rPr>
          <w:rFonts w:hint="default"/>
          <w:color w:val="auto"/>
          <w:sz w:val="21"/>
          <w:szCs w:val="24"/>
        </w:rPr>
      </w:pPr>
      <w:r>
        <w:rPr>
          <w:rFonts w:hint="default"/>
          <w:color w:val="auto"/>
          <w:sz w:val="21"/>
          <w:szCs w:val="24"/>
        </w:rPr>
        <w:t>应统筹做好密切接触者随访管理，明确居家健康监测要求，开展针对性心理安抚，严禁泄露患者信息、杜绝标签化歧视行为。</w:t>
      </w:r>
    </w:p>
    <w:p w14:paraId="6148C0AE">
      <w:pPr>
        <w:pStyle w:val="169"/>
        <w:rPr>
          <w:rFonts w:hint="default"/>
          <w:color w:val="auto"/>
          <w:sz w:val="21"/>
          <w:szCs w:val="24"/>
        </w:rPr>
      </w:pPr>
      <w:r>
        <w:rPr>
          <w:rFonts w:hint="default"/>
          <w:color w:val="auto"/>
          <w:sz w:val="21"/>
          <w:szCs w:val="24"/>
        </w:rPr>
        <w:t>校园疫情处置期间，应按相关规定落实各项感染控制措施及操作要求。</w:t>
      </w:r>
    </w:p>
    <w:p w14:paraId="02CA0475">
      <w:pPr>
        <w:pStyle w:val="108"/>
        <w:rPr>
          <w:rFonts w:hint="eastAsia"/>
          <w:color w:val="auto"/>
          <w:sz w:val="21"/>
          <w:szCs w:val="24"/>
        </w:rPr>
      </w:pPr>
      <w:bookmarkStart w:id="75" w:name="_Toc17548"/>
      <w:bookmarkStart w:id="76" w:name="_Toc29647"/>
      <w:r>
        <w:rPr>
          <w:rFonts w:hint="eastAsia"/>
          <w:color w:val="auto"/>
          <w:sz w:val="21"/>
          <w:szCs w:val="24"/>
        </w:rPr>
        <w:t>效果评价与改进</w:t>
      </w:r>
      <w:bookmarkEnd w:id="75"/>
      <w:bookmarkEnd w:id="76"/>
    </w:p>
    <w:p w14:paraId="0048A409">
      <w:pPr>
        <w:pStyle w:val="109"/>
        <w:rPr>
          <w:rFonts w:hint="eastAsia"/>
          <w:color w:val="auto"/>
          <w:sz w:val="21"/>
          <w:szCs w:val="24"/>
          <w:highlight w:val="none"/>
        </w:rPr>
      </w:pPr>
      <w:bookmarkStart w:id="77" w:name="_Toc21406"/>
      <w:bookmarkStart w:id="78" w:name="_Toc26002"/>
      <w:r>
        <w:rPr>
          <w:rFonts w:hint="eastAsia"/>
          <w:color w:val="auto"/>
          <w:sz w:val="21"/>
          <w:szCs w:val="24"/>
          <w:highlight w:val="none"/>
        </w:rPr>
        <w:t>效果评价</w:t>
      </w:r>
      <w:bookmarkEnd w:id="77"/>
      <w:bookmarkEnd w:id="78"/>
    </w:p>
    <w:p w14:paraId="0EF5B455">
      <w:pPr>
        <w:pStyle w:val="169"/>
        <w:rPr>
          <w:rFonts w:hint="default"/>
          <w:color w:val="auto"/>
          <w:sz w:val="21"/>
          <w:szCs w:val="24"/>
          <w:highlight w:val="none"/>
        </w:rPr>
      </w:pPr>
      <w:r>
        <w:rPr>
          <w:rFonts w:hint="default"/>
          <w:color w:val="auto"/>
          <w:sz w:val="21"/>
          <w:szCs w:val="24"/>
          <w:highlight w:val="none"/>
        </w:rPr>
        <w:t>由提供科普服务的医疗卫生机构与学校共同组织开展科普工作效果评价，采用问卷调查、现场考核、知识测试、访谈等多种方式，定期对科普工作进行全面评估。知识测评见附录C。</w:t>
      </w:r>
    </w:p>
    <w:p w14:paraId="76B87BAA">
      <w:pPr>
        <w:pStyle w:val="169"/>
        <w:rPr>
          <w:rFonts w:hint="default"/>
          <w:color w:val="auto"/>
          <w:sz w:val="21"/>
          <w:szCs w:val="24"/>
          <w:highlight w:val="none"/>
        </w:rPr>
      </w:pPr>
      <w:r>
        <w:rPr>
          <w:rFonts w:hint="default"/>
          <w:color w:val="auto"/>
          <w:sz w:val="21"/>
          <w:szCs w:val="24"/>
          <w:highlight w:val="none"/>
        </w:rPr>
        <w:t>评价内容主要包括：科普对象对肺结核防治核心知识的掌握程度、防控技能的操作规范性、对科普活动的满意度，以及学校肺结核防控工作的落实情况。满意度调查见附录D。</w:t>
      </w:r>
    </w:p>
    <w:p w14:paraId="6EAD7028">
      <w:pPr>
        <w:pStyle w:val="109"/>
        <w:rPr>
          <w:rFonts w:hint="eastAsia"/>
          <w:color w:val="auto"/>
          <w:sz w:val="21"/>
          <w:szCs w:val="24"/>
        </w:rPr>
      </w:pPr>
      <w:bookmarkStart w:id="79" w:name="_Toc10394"/>
      <w:bookmarkStart w:id="80" w:name="_Toc1633"/>
      <w:r>
        <w:rPr>
          <w:rFonts w:hint="eastAsia"/>
          <w:color w:val="auto"/>
          <w:sz w:val="21"/>
          <w:szCs w:val="24"/>
        </w:rPr>
        <w:t>改进提升</w:t>
      </w:r>
      <w:bookmarkEnd w:id="79"/>
      <w:bookmarkEnd w:id="80"/>
    </w:p>
    <w:p w14:paraId="29CAAC7F">
      <w:pPr>
        <w:pStyle w:val="60"/>
        <w:spacing w:beforeLines="0" w:afterLines="0"/>
        <w:rPr>
          <w:rFonts w:hint="default" w:ascii="宋体" w:eastAsia="宋体"/>
          <w:color w:val="auto"/>
          <w:sz w:val="21"/>
          <w:szCs w:val="24"/>
        </w:rPr>
      </w:pPr>
      <w:r>
        <w:rPr>
          <w:rFonts w:hint="eastAsia"/>
          <w:color w:val="auto"/>
          <w:sz w:val="21"/>
          <w:szCs w:val="24"/>
          <w:lang w:val="en-US" w:eastAsia="zh-CN"/>
        </w:rPr>
        <w:t>应</w:t>
      </w:r>
      <w:r>
        <w:rPr>
          <w:rFonts w:hint="default" w:ascii="宋体" w:eastAsia="宋体"/>
          <w:color w:val="auto"/>
          <w:sz w:val="21"/>
          <w:szCs w:val="24"/>
        </w:rPr>
        <w:t>根据评价结果的存在问题和不足，分析原因，制定针对性的改进措施，优化科普方案、内容和形式，持续提升科普服务质量。</w:t>
      </w:r>
    </w:p>
    <w:p w14:paraId="07372D22">
      <w:pPr>
        <w:pStyle w:val="108"/>
        <w:rPr>
          <w:rFonts w:hint="eastAsia"/>
          <w:color w:val="auto"/>
          <w:sz w:val="21"/>
          <w:szCs w:val="24"/>
        </w:rPr>
      </w:pPr>
      <w:bookmarkStart w:id="81" w:name="_Toc11386"/>
      <w:bookmarkStart w:id="82" w:name="_Toc32673"/>
      <w:r>
        <w:rPr>
          <w:rFonts w:hint="eastAsia"/>
          <w:color w:val="auto"/>
          <w:sz w:val="21"/>
          <w:szCs w:val="24"/>
        </w:rPr>
        <w:t>档案管理</w:t>
      </w:r>
      <w:bookmarkEnd w:id="81"/>
      <w:bookmarkEnd w:id="82"/>
    </w:p>
    <w:p w14:paraId="29F64332">
      <w:pPr>
        <w:pStyle w:val="109"/>
        <w:rPr>
          <w:rFonts w:hint="eastAsia"/>
          <w:color w:val="auto"/>
          <w:sz w:val="21"/>
          <w:szCs w:val="24"/>
        </w:rPr>
      </w:pPr>
      <w:bookmarkStart w:id="83" w:name="_Toc15372"/>
      <w:bookmarkStart w:id="84" w:name="_Toc1805"/>
      <w:r>
        <w:rPr>
          <w:rFonts w:hint="eastAsia"/>
          <w:color w:val="auto"/>
          <w:sz w:val="21"/>
          <w:szCs w:val="24"/>
        </w:rPr>
        <w:t>档案内容</w:t>
      </w:r>
      <w:bookmarkEnd w:id="83"/>
      <w:bookmarkEnd w:id="84"/>
    </w:p>
    <w:p w14:paraId="6522DDE7">
      <w:pPr>
        <w:pStyle w:val="169"/>
        <w:rPr>
          <w:rFonts w:hint="default"/>
          <w:color w:val="auto"/>
          <w:sz w:val="21"/>
          <w:szCs w:val="24"/>
        </w:rPr>
      </w:pPr>
      <w:r>
        <w:rPr>
          <w:rFonts w:hint="default"/>
          <w:color w:val="auto"/>
          <w:sz w:val="21"/>
          <w:szCs w:val="24"/>
        </w:rPr>
        <w:t>包括但不限于科普工作方案、需求调研报告、教案讲稿、科普资料（图文展板、宣传图册、视频等）、活动记录（时间、地点、参与人员、内容、过程等）、评价报告、改进措施、经费使用情况、相关政策文件</w:t>
      </w:r>
      <w:r>
        <w:rPr>
          <w:rFonts w:hint="default"/>
          <w:color w:val="auto"/>
          <w:sz w:val="21"/>
          <w:szCs w:val="24"/>
          <w:highlight w:val="none"/>
        </w:rPr>
        <w:t>等。科普记录见附录E。</w:t>
      </w:r>
    </w:p>
    <w:p w14:paraId="172BD891">
      <w:pPr>
        <w:pStyle w:val="60"/>
        <w:spacing w:beforeLines="0" w:afterLines="0"/>
        <w:rPr>
          <w:rFonts w:hint="default" w:ascii="宋体" w:eastAsia="宋体"/>
          <w:color w:val="auto"/>
          <w:sz w:val="21"/>
          <w:szCs w:val="24"/>
        </w:rPr>
      </w:pPr>
    </w:p>
    <w:p w14:paraId="6C66855E">
      <w:pPr>
        <w:pStyle w:val="109"/>
        <w:rPr>
          <w:rFonts w:hint="eastAsia"/>
          <w:color w:val="auto"/>
          <w:sz w:val="21"/>
          <w:szCs w:val="24"/>
        </w:rPr>
      </w:pPr>
      <w:bookmarkStart w:id="85" w:name="_Toc17588"/>
      <w:bookmarkStart w:id="86" w:name="_Toc4278"/>
      <w:r>
        <w:rPr>
          <w:rFonts w:hint="eastAsia"/>
          <w:color w:val="auto"/>
          <w:sz w:val="21"/>
          <w:szCs w:val="24"/>
        </w:rPr>
        <w:t>管理要求</w:t>
      </w:r>
      <w:bookmarkEnd w:id="85"/>
      <w:bookmarkEnd w:id="86"/>
    </w:p>
    <w:p w14:paraId="7FC6E76B">
      <w:pPr>
        <w:pStyle w:val="169"/>
        <w:rPr>
          <w:rFonts w:hint="default"/>
          <w:color w:val="auto"/>
          <w:sz w:val="21"/>
          <w:szCs w:val="24"/>
        </w:rPr>
      </w:pPr>
      <w:r>
        <w:rPr>
          <w:rFonts w:hint="default"/>
          <w:color w:val="auto"/>
          <w:sz w:val="21"/>
          <w:szCs w:val="24"/>
        </w:rPr>
        <w:t>医疗机构与学校须指定专人统筹档案管理，完善管理制度。档案资料</w:t>
      </w:r>
      <w:r>
        <w:rPr>
          <w:rFonts w:hint="eastAsia"/>
          <w:color w:val="auto"/>
          <w:sz w:val="21"/>
          <w:szCs w:val="24"/>
          <w:lang w:val="en-US" w:eastAsia="zh-CN"/>
        </w:rPr>
        <w:t>应</w:t>
      </w:r>
      <w:r>
        <w:rPr>
          <w:rFonts w:hint="default"/>
          <w:color w:val="auto"/>
          <w:sz w:val="21"/>
          <w:szCs w:val="24"/>
        </w:rPr>
        <w:t>真实完整、格式规范，做到及时归集整理、分类立卷归档。</w:t>
      </w:r>
    </w:p>
    <w:p w14:paraId="47D6762E">
      <w:pPr>
        <w:pStyle w:val="169"/>
        <w:rPr>
          <w:rFonts w:hint="default"/>
          <w:color w:val="auto"/>
          <w:sz w:val="21"/>
          <w:szCs w:val="24"/>
        </w:rPr>
      </w:pPr>
      <w:r>
        <w:rPr>
          <w:rFonts w:hint="default"/>
          <w:color w:val="auto"/>
          <w:sz w:val="21"/>
          <w:szCs w:val="24"/>
        </w:rPr>
        <w:t>档案留存期限</w:t>
      </w:r>
      <w:r>
        <w:rPr>
          <w:rFonts w:hint="eastAsia"/>
          <w:color w:val="auto"/>
          <w:sz w:val="21"/>
          <w:szCs w:val="24"/>
          <w:highlight w:val="none"/>
          <w:vertAlign w:val="superscript"/>
          <w:lang w:val="en-US" w:eastAsia="zh-CN"/>
        </w:rPr>
        <w:t xml:space="preserve"> </w:t>
      </w:r>
      <w:r>
        <w:rPr>
          <w:rFonts w:hint="default"/>
          <w:color w:val="auto"/>
          <w:sz w:val="21"/>
          <w:szCs w:val="24"/>
        </w:rPr>
        <w:t>3</w:t>
      </w:r>
      <w:r>
        <w:rPr>
          <w:rFonts w:hint="eastAsia"/>
          <w:color w:val="auto"/>
          <w:sz w:val="21"/>
          <w:szCs w:val="24"/>
          <w:highlight w:val="none"/>
          <w:vertAlign w:val="superscript"/>
          <w:lang w:val="en-US" w:eastAsia="zh-CN"/>
        </w:rPr>
        <w:t xml:space="preserve"> </w:t>
      </w:r>
      <w:r>
        <w:rPr>
          <w:rFonts w:hint="default"/>
          <w:color w:val="auto"/>
          <w:sz w:val="21"/>
          <w:szCs w:val="24"/>
        </w:rPr>
        <w:t>年，纸质档案妥善存放严防损毁遗失，电子档案同步做好备份与安全管控。档案管理</w:t>
      </w:r>
      <w:r>
        <w:rPr>
          <w:rFonts w:hint="eastAsia"/>
          <w:color w:val="auto"/>
          <w:sz w:val="21"/>
          <w:szCs w:val="24"/>
          <w:lang w:val="en-US" w:eastAsia="zh-CN"/>
        </w:rPr>
        <w:t>应</w:t>
      </w:r>
      <w:r>
        <w:rPr>
          <w:rFonts w:hint="default"/>
          <w:color w:val="auto"/>
          <w:sz w:val="21"/>
          <w:szCs w:val="24"/>
        </w:rPr>
        <w:t>遵照国家及地方档案管理相关规定执行。</w:t>
      </w:r>
    </w:p>
    <w:p w14:paraId="403802DB">
      <w:pPr>
        <w:pStyle w:val="169"/>
        <w:rPr>
          <w:rFonts w:hint="default"/>
          <w:color w:val="auto"/>
          <w:sz w:val="21"/>
          <w:szCs w:val="24"/>
        </w:rPr>
      </w:pPr>
      <w:r>
        <w:rPr>
          <w:rFonts w:hint="default"/>
          <w:color w:val="auto"/>
          <w:sz w:val="21"/>
          <w:szCs w:val="24"/>
        </w:rPr>
        <w:t>科普活动采集师生影像等个人信息时，须取得本人或监护人书面知情同意，严格依照个人信息保护相关法律法规规范使用管理，严禁挪作科普宣教以外用途。</w:t>
      </w:r>
    </w:p>
    <w:p w14:paraId="2DBF5344">
      <w:pPr>
        <w:pStyle w:val="4"/>
        <w:keepNext w:val="0"/>
        <w:keepLines w:val="0"/>
        <w:widowControl/>
        <w:spacing w:before="0" w:beforeLines="0" w:after="0" w:afterLines="0" w:line="360" w:lineRule="atLeast"/>
        <w:jc w:val="left"/>
        <w:rPr>
          <w:rFonts w:hint="default" w:ascii="宋体" w:hAnsi="宋体" w:cs="宋体"/>
          <w:b w:val="0"/>
          <w:color w:val="auto"/>
          <w:sz w:val="21"/>
          <w:szCs w:val="21"/>
        </w:rPr>
      </w:pPr>
    </w:p>
    <w:p w14:paraId="0B3D1DDF">
      <w:pPr>
        <w:pStyle w:val="60"/>
        <w:spacing w:beforeLines="0" w:afterLines="0"/>
        <w:rPr>
          <w:rFonts w:hint="eastAsia"/>
          <w:color w:val="auto"/>
          <w:sz w:val="21"/>
          <w:szCs w:val="24"/>
        </w:rPr>
      </w:pPr>
    </w:p>
    <w:p w14:paraId="31D512D7">
      <w:pPr>
        <w:pStyle w:val="60"/>
        <w:spacing w:beforeLines="0" w:afterLines="0"/>
        <w:ind w:firstLine="420"/>
        <w:rPr>
          <w:rFonts w:hint="eastAsia"/>
          <w:color w:val="auto"/>
          <w:sz w:val="21"/>
          <w:szCs w:val="24"/>
        </w:rPr>
      </w:pPr>
    </w:p>
    <w:p w14:paraId="2F8053AF">
      <w:pPr>
        <w:pStyle w:val="60"/>
        <w:spacing w:beforeLines="0" w:afterLines="0"/>
        <w:ind w:firstLine="420"/>
        <w:rPr>
          <w:rFonts w:hint="eastAsia"/>
          <w:color w:val="auto"/>
          <w:sz w:val="21"/>
          <w:szCs w:val="24"/>
        </w:rPr>
      </w:pPr>
    </w:p>
    <w:p w14:paraId="70079881">
      <w:pPr>
        <w:pStyle w:val="60"/>
        <w:spacing w:beforeLines="0" w:afterLines="0"/>
        <w:ind w:firstLine="420"/>
        <w:rPr>
          <w:rFonts w:hint="eastAsia"/>
          <w:color w:val="auto"/>
          <w:sz w:val="21"/>
          <w:szCs w:val="24"/>
        </w:rPr>
      </w:pPr>
    </w:p>
    <w:p w14:paraId="07E92C4B">
      <w:pPr>
        <w:pStyle w:val="60"/>
        <w:spacing w:beforeLines="0" w:afterLines="0"/>
        <w:ind w:firstLine="420"/>
        <w:rPr>
          <w:rFonts w:hint="eastAsia"/>
          <w:color w:val="auto"/>
          <w:sz w:val="21"/>
          <w:szCs w:val="24"/>
        </w:rPr>
      </w:pPr>
    </w:p>
    <w:p w14:paraId="37E673EA">
      <w:pPr>
        <w:pStyle w:val="60"/>
        <w:spacing w:beforeLines="0" w:afterLines="0"/>
        <w:ind w:firstLine="420"/>
        <w:rPr>
          <w:rFonts w:hint="eastAsia"/>
          <w:color w:val="auto"/>
          <w:sz w:val="21"/>
          <w:szCs w:val="24"/>
        </w:rPr>
      </w:pPr>
    </w:p>
    <w:p w14:paraId="4944A8C6">
      <w:pPr>
        <w:pStyle w:val="60"/>
        <w:spacing w:beforeLines="0" w:afterLines="0"/>
        <w:ind w:firstLine="420"/>
        <w:rPr>
          <w:rFonts w:hint="eastAsia"/>
          <w:color w:val="auto"/>
          <w:sz w:val="21"/>
          <w:szCs w:val="24"/>
        </w:rPr>
      </w:pPr>
    </w:p>
    <w:p w14:paraId="74ABB1B0">
      <w:pPr>
        <w:pStyle w:val="60"/>
        <w:spacing w:beforeLines="0" w:afterLines="0"/>
        <w:ind w:firstLine="420"/>
        <w:rPr>
          <w:rFonts w:hint="eastAsia"/>
          <w:color w:val="auto"/>
          <w:sz w:val="21"/>
          <w:szCs w:val="24"/>
        </w:rPr>
      </w:pPr>
    </w:p>
    <w:p w14:paraId="1AD03A92">
      <w:pPr>
        <w:pStyle w:val="60"/>
        <w:spacing w:beforeLines="0" w:afterLines="0"/>
        <w:ind w:firstLine="420"/>
        <w:rPr>
          <w:rFonts w:hint="eastAsia"/>
          <w:color w:val="auto"/>
          <w:sz w:val="21"/>
          <w:szCs w:val="24"/>
        </w:rPr>
      </w:pPr>
    </w:p>
    <w:p w14:paraId="1F6CDF78">
      <w:pPr>
        <w:pStyle w:val="60"/>
        <w:spacing w:beforeLines="0" w:afterLines="0"/>
        <w:ind w:firstLine="420"/>
        <w:rPr>
          <w:rFonts w:hint="eastAsia"/>
          <w:color w:val="auto"/>
          <w:sz w:val="21"/>
          <w:szCs w:val="24"/>
        </w:rPr>
      </w:pPr>
    </w:p>
    <w:p w14:paraId="6DC8CB52">
      <w:pPr>
        <w:pStyle w:val="60"/>
        <w:spacing w:beforeLines="0" w:afterLines="0"/>
        <w:ind w:firstLine="420"/>
        <w:rPr>
          <w:rFonts w:hint="eastAsia"/>
          <w:color w:val="auto"/>
          <w:sz w:val="21"/>
          <w:szCs w:val="24"/>
        </w:rPr>
      </w:pPr>
    </w:p>
    <w:p w14:paraId="3ED7BBA9">
      <w:pPr>
        <w:pStyle w:val="60"/>
        <w:spacing w:beforeLines="0" w:afterLines="0"/>
        <w:ind w:firstLine="420"/>
        <w:rPr>
          <w:rFonts w:hint="eastAsia"/>
          <w:color w:val="auto"/>
          <w:sz w:val="21"/>
          <w:szCs w:val="24"/>
        </w:rPr>
      </w:pPr>
    </w:p>
    <w:p w14:paraId="55C414E8">
      <w:pPr>
        <w:pStyle w:val="60"/>
        <w:spacing w:beforeLines="0" w:afterLines="0"/>
        <w:ind w:firstLine="420"/>
        <w:rPr>
          <w:rFonts w:hint="eastAsia"/>
          <w:color w:val="auto"/>
          <w:sz w:val="21"/>
          <w:szCs w:val="24"/>
        </w:rPr>
      </w:pPr>
    </w:p>
    <w:p w14:paraId="6BC3BEC8">
      <w:pPr>
        <w:pStyle w:val="60"/>
        <w:spacing w:beforeLines="0" w:afterLines="0"/>
        <w:ind w:firstLine="420"/>
        <w:rPr>
          <w:rFonts w:hint="eastAsia"/>
          <w:color w:val="auto"/>
          <w:sz w:val="21"/>
          <w:szCs w:val="24"/>
        </w:rPr>
      </w:pPr>
    </w:p>
    <w:p w14:paraId="28155897">
      <w:pPr>
        <w:pStyle w:val="60"/>
        <w:spacing w:beforeLines="0" w:afterLines="0"/>
        <w:ind w:firstLine="420"/>
        <w:rPr>
          <w:rFonts w:hint="eastAsia"/>
          <w:color w:val="auto"/>
          <w:sz w:val="21"/>
          <w:szCs w:val="24"/>
        </w:rPr>
      </w:pPr>
    </w:p>
    <w:p w14:paraId="228A3235">
      <w:pPr>
        <w:pStyle w:val="60"/>
        <w:spacing w:beforeLines="0" w:afterLines="0"/>
        <w:ind w:firstLine="420"/>
        <w:rPr>
          <w:rFonts w:hint="eastAsia"/>
          <w:color w:val="auto"/>
          <w:sz w:val="21"/>
          <w:szCs w:val="24"/>
        </w:rPr>
      </w:pPr>
    </w:p>
    <w:p w14:paraId="7CC16917">
      <w:pPr>
        <w:pStyle w:val="60"/>
        <w:spacing w:beforeLines="0" w:afterLines="0"/>
        <w:ind w:firstLine="420"/>
        <w:rPr>
          <w:rFonts w:hint="eastAsia"/>
          <w:color w:val="auto"/>
          <w:sz w:val="21"/>
          <w:szCs w:val="24"/>
        </w:rPr>
      </w:pPr>
    </w:p>
    <w:p w14:paraId="78849AC7">
      <w:pPr>
        <w:pStyle w:val="60"/>
        <w:spacing w:beforeLines="0" w:afterLines="0"/>
        <w:rPr>
          <w:rFonts w:hint="eastAsia"/>
          <w:color w:val="auto"/>
          <w:sz w:val="21"/>
          <w:szCs w:val="24"/>
        </w:rPr>
      </w:pPr>
    </w:p>
    <w:p w14:paraId="55265AAC">
      <w:pPr>
        <w:pStyle w:val="60"/>
        <w:spacing w:beforeLines="0" w:afterLines="0"/>
        <w:rPr>
          <w:rFonts w:hint="eastAsia"/>
          <w:color w:val="auto"/>
          <w:sz w:val="21"/>
          <w:szCs w:val="24"/>
        </w:rPr>
        <w:sectPr>
          <w:headerReference r:id="rId15" w:type="default"/>
          <w:footerReference r:id="rId17" w:type="default"/>
          <w:headerReference r:id="rId16" w:type="even"/>
          <w:footerReference r:id="rId18" w:type="even"/>
          <w:pgSz w:w="11906" w:h="16838"/>
          <w:pgMar w:top="1928" w:right="1134" w:bottom="1134" w:left="1134" w:header="1418" w:footer="1134" w:gutter="284"/>
          <w:lnNumType w:countBy="0" w:distance="360"/>
          <w:pgNumType w:start="1"/>
          <w:cols w:space="720" w:num="1"/>
          <w:formProt w:val="0"/>
          <w:docGrid w:linePitch="312" w:charSpace="0"/>
        </w:sectPr>
      </w:pPr>
    </w:p>
    <w:p w14:paraId="5274C835">
      <w:pPr>
        <w:pStyle w:val="202"/>
        <w:spacing w:beforeLines="0" w:afterLines="0"/>
        <w:ind w:firstLine="0"/>
        <w:rPr>
          <w:rFonts w:hint="eastAsia"/>
          <w:color w:val="auto"/>
          <w:sz w:val="2"/>
          <w:szCs w:val="21"/>
        </w:rPr>
      </w:pPr>
      <w:bookmarkStart w:id="87" w:name="BookMark5"/>
    </w:p>
    <w:p w14:paraId="32D36C0E">
      <w:pPr>
        <w:pStyle w:val="203"/>
        <w:spacing w:beforeLines="0" w:afterLines="0"/>
        <w:ind w:firstLine="0"/>
        <w:rPr>
          <w:rFonts w:hint="eastAsia"/>
          <w:color w:val="auto"/>
          <w:sz w:val="2"/>
          <w:szCs w:val="24"/>
        </w:rPr>
      </w:pPr>
    </w:p>
    <w:p w14:paraId="622A331B">
      <w:pPr>
        <w:pStyle w:val="80"/>
        <w:spacing w:beforeLines="0"/>
        <w:rPr>
          <w:rFonts w:hint="eastAsia"/>
          <w:color w:val="auto"/>
          <w:sz w:val="21"/>
          <w:szCs w:val="24"/>
        </w:rPr>
      </w:pPr>
      <w:bookmarkStart w:id="88" w:name="_Toc18891"/>
      <w:bookmarkStart w:id="89" w:name="_Toc18352"/>
      <w:r>
        <w:rPr>
          <w:rFonts w:hint="eastAsia"/>
          <w:color w:val="auto"/>
          <w:sz w:val="21"/>
          <w:szCs w:val="24"/>
        </w:rPr>
        <w:br w:type="textWrapping"/>
      </w:r>
      <w:r>
        <w:rPr>
          <w:rFonts w:hint="eastAsia"/>
          <w:color w:val="auto"/>
          <w:sz w:val="21"/>
          <w:szCs w:val="24"/>
        </w:rPr>
        <w:t>（规范性）</w:t>
      </w:r>
      <w:r>
        <w:rPr>
          <w:rFonts w:hint="eastAsia"/>
          <w:color w:val="auto"/>
          <w:sz w:val="21"/>
          <w:szCs w:val="24"/>
        </w:rPr>
        <w:br w:type="textWrapping"/>
      </w:r>
      <w:r>
        <w:rPr>
          <w:rFonts w:hint="eastAsia"/>
          <w:color w:val="auto"/>
          <w:sz w:val="21"/>
          <w:szCs w:val="24"/>
        </w:rPr>
        <w:t>学校肺结核健康科普流程</w:t>
      </w:r>
      <w:bookmarkEnd w:id="88"/>
      <w:bookmarkEnd w:id="89"/>
    </w:p>
    <w:p w14:paraId="2F5D00CB">
      <w:pPr>
        <w:pStyle w:val="60"/>
        <w:spacing w:beforeLines="0" w:afterLines="0"/>
        <w:rPr>
          <w:rFonts w:hint="default" w:ascii="宋体" w:hAnsi="宋体" w:eastAsia="宋体" w:cs="宋体"/>
          <w:color w:val="auto"/>
          <w:sz w:val="24"/>
          <w:szCs w:val="24"/>
          <w:lang w:bidi="ar"/>
        </w:rPr>
      </w:pPr>
      <w:r>
        <w:rPr>
          <w:rFonts w:hint="default" w:ascii="宋体" w:eastAsia="宋体"/>
          <w:color w:val="auto"/>
          <w:sz w:val="21"/>
          <w:szCs w:val="24"/>
        </w:rPr>
        <w:t>学校肺结核健康科普流程见图A</w:t>
      </w:r>
      <w:r>
        <w:rPr>
          <w:rFonts w:hint="default" w:ascii="宋体" w:hAnsi="宋体" w:eastAsia="宋体" w:cs="宋体"/>
          <w:color w:val="auto"/>
          <w:sz w:val="24"/>
          <w:szCs w:val="24"/>
          <w:lang w:bidi="ar"/>
        </w:rPr>
        <w:t>.1。</w:t>
      </w:r>
    </w:p>
    <w:p w14:paraId="7744683C">
      <w:pPr>
        <w:pStyle w:val="60"/>
        <w:spacing w:beforeLines="0" w:afterLines="0"/>
        <w:rPr>
          <w:rFonts w:hint="default" w:ascii="宋体" w:hAnsi="宋体" w:eastAsia="宋体" w:cs="宋体"/>
          <w:color w:val="auto"/>
          <w:sz w:val="24"/>
          <w:szCs w:val="24"/>
          <w:lang w:bidi="ar"/>
        </w:rPr>
      </w:pPr>
      <w:r>
        <w:rPr>
          <w:rFonts w:hint="default" w:ascii="宋体" w:hAnsi="宋体" w:eastAsia="宋体" w:cs="宋体"/>
          <w:color w:val="auto"/>
          <w:sz w:val="24"/>
          <w:szCs w:val="24"/>
          <w:lang w:bidi="ar"/>
        </w:rPr>
        <w:drawing>
          <wp:anchor distT="0" distB="0" distL="114935" distR="114935" simplePos="0" relativeHeight="251660288" behindDoc="0" locked="0" layoutInCell="1" allowOverlap="1">
            <wp:simplePos x="0" y="0"/>
            <wp:positionH relativeFrom="column">
              <wp:posOffset>1901190</wp:posOffset>
            </wp:positionH>
            <wp:positionV relativeFrom="paragraph">
              <wp:posOffset>186055</wp:posOffset>
            </wp:positionV>
            <wp:extent cx="2036445" cy="4527550"/>
            <wp:effectExtent l="0" t="0" r="1905" b="6350"/>
            <wp:wrapNone/>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6"/>
                    <a:stretch>
                      <a:fillRect/>
                    </a:stretch>
                  </pic:blipFill>
                  <pic:spPr>
                    <a:xfrm>
                      <a:off x="0" y="0"/>
                      <a:ext cx="2036445" cy="4527550"/>
                    </a:xfrm>
                    <a:prstGeom prst="rect">
                      <a:avLst/>
                    </a:prstGeom>
                    <a:noFill/>
                    <a:ln>
                      <a:noFill/>
                    </a:ln>
                  </pic:spPr>
                </pic:pic>
              </a:graphicData>
            </a:graphic>
          </wp:anchor>
        </w:drawing>
      </w:r>
      <w:r>
        <w:rPr>
          <w:rFonts w:hint="default" w:ascii="宋体" w:hAnsi="宋体" w:eastAsia="宋体" w:cs="宋体"/>
          <w:color w:val="auto"/>
          <w:sz w:val="24"/>
          <w:szCs w:val="24"/>
          <w:lang w:bidi="ar"/>
        </w:rPr>
        <w:t xml:space="preserve"> </w:t>
      </w:r>
    </w:p>
    <w:p w14:paraId="200870EE">
      <w:pPr>
        <w:pStyle w:val="60"/>
        <w:spacing w:beforeLines="0" w:afterLines="0"/>
        <w:rPr>
          <w:rFonts w:hint="default" w:ascii="宋体" w:hAnsi="宋体" w:eastAsia="宋体" w:cs="宋体"/>
          <w:color w:val="auto"/>
          <w:sz w:val="24"/>
          <w:szCs w:val="24"/>
          <w:lang w:bidi="ar"/>
        </w:rPr>
      </w:pPr>
    </w:p>
    <w:p w14:paraId="1BC789F3">
      <w:pPr>
        <w:pStyle w:val="60"/>
        <w:spacing w:beforeLines="0" w:afterLines="0"/>
        <w:rPr>
          <w:rFonts w:hint="default" w:ascii="宋体" w:hAnsi="宋体" w:eastAsia="宋体" w:cs="宋体"/>
          <w:color w:val="auto"/>
          <w:sz w:val="24"/>
          <w:szCs w:val="24"/>
          <w:lang w:bidi="ar"/>
        </w:rPr>
      </w:pPr>
    </w:p>
    <w:p w14:paraId="5409BBCD">
      <w:pPr>
        <w:pStyle w:val="60"/>
        <w:spacing w:beforeLines="0" w:afterLines="0"/>
        <w:rPr>
          <w:rFonts w:hint="default" w:ascii="宋体" w:hAnsi="宋体" w:eastAsia="宋体" w:cs="宋体"/>
          <w:color w:val="auto"/>
          <w:sz w:val="24"/>
          <w:szCs w:val="24"/>
          <w:lang w:bidi="ar"/>
        </w:rPr>
      </w:pPr>
    </w:p>
    <w:p w14:paraId="72AA4A8D">
      <w:pPr>
        <w:pStyle w:val="60"/>
        <w:spacing w:beforeLines="0" w:afterLines="0"/>
        <w:rPr>
          <w:rFonts w:hint="default" w:ascii="宋体" w:hAnsi="宋体" w:eastAsia="宋体" w:cs="宋体"/>
          <w:color w:val="auto"/>
          <w:sz w:val="24"/>
          <w:szCs w:val="24"/>
          <w:lang w:bidi="ar"/>
        </w:rPr>
      </w:pPr>
    </w:p>
    <w:p w14:paraId="25EC1206">
      <w:pPr>
        <w:widowControl/>
        <w:spacing w:beforeLines="0" w:afterLines="0"/>
        <w:jc w:val="left"/>
        <w:rPr>
          <w:rFonts w:hint="default"/>
          <w:color w:val="auto"/>
          <w:sz w:val="21"/>
          <w:szCs w:val="21"/>
        </w:rPr>
      </w:pPr>
    </w:p>
    <w:p w14:paraId="0AC5C312">
      <w:pPr>
        <w:pStyle w:val="60"/>
        <w:spacing w:beforeLines="0" w:afterLines="0"/>
        <w:rPr>
          <w:rFonts w:hint="default" w:ascii="宋体" w:hAnsi="宋体" w:eastAsia="宋体" w:cs="宋体"/>
          <w:color w:val="auto"/>
          <w:sz w:val="24"/>
          <w:szCs w:val="24"/>
          <w:lang w:bidi="ar"/>
        </w:rPr>
      </w:pPr>
    </w:p>
    <w:p w14:paraId="17CD7BD1">
      <w:pPr>
        <w:pStyle w:val="60"/>
        <w:spacing w:beforeLines="0" w:afterLines="0"/>
        <w:rPr>
          <w:rFonts w:hint="default" w:ascii="宋体" w:hAnsi="宋体" w:eastAsia="宋体" w:cs="宋体"/>
          <w:color w:val="auto"/>
          <w:sz w:val="24"/>
          <w:szCs w:val="24"/>
          <w:lang w:bidi="ar"/>
        </w:rPr>
      </w:pPr>
    </w:p>
    <w:p w14:paraId="3C6340A7">
      <w:pPr>
        <w:pStyle w:val="60"/>
        <w:spacing w:beforeLines="0" w:afterLines="0"/>
        <w:rPr>
          <w:rFonts w:hint="default" w:ascii="宋体" w:hAnsi="宋体" w:eastAsia="宋体" w:cs="宋体"/>
          <w:color w:val="auto"/>
          <w:sz w:val="24"/>
          <w:szCs w:val="24"/>
          <w:lang w:bidi="ar"/>
        </w:rPr>
      </w:pPr>
    </w:p>
    <w:p w14:paraId="1E46064E">
      <w:pPr>
        <w:pStyle w:val="60"/>
        <w:spacing w:beforeLines="0" w:afterLines="0"/>
        <w:rPr>
          <w:rFonts w:hint="default" w:ascii="宋体" w:hAnsi="宋体" w:eastAsia="宋体" w:cs="宋体"/>
          <w:color w:val="auto"/>
          <w:sz w:val="24"/>
          <w:szCs w:val="24"/>
          <w:lang w:bidi="ar"/>
        </w:rPr>
      </w:pPr>
    </w:p>
    <w:p w14:paraId="5ECD72FE">
      <w:pPr>
        <w:pStyle w:val="60"/>
        <w:spacing w:beforeLines="0" w:afterLines="0"/>
        <w:rPr>
          <w:rFonts w:hint="default" w:ascii="宋体" w:hAnsi="宋体" w:eastAsia="宋体" w:cs="宋体"/>
          <w:color w:val="auto"/>
          <w:sz w:val="24"/>
          <w:szCs w:val="24"/>
          <w:lang w:bidi="ar"/>
        </w:rPr>
      </w:pPr>
    </w:p>
    <w:p w14:paraId="30C9F3EC">
      <w:pPr>
        <w:pStyle w:val="60"/>
        <w:spacing w:beforeLines="0" w:afterLines="0"/>
        <w:rPr>
          <w:rFonts w:hint="default" w:ascii="宋体" w:hAnsi="宋体" w:eastAsia="宋体" w:cs="宋体"/>
          <w:color w:val="auto"/>
          <w:sz w:val="24"/>
          <w:szCs w:val="24"/>
          <w:lang w:bidi="ar"/>
        </w:rPr>
      </w:pPr>
    </w:p>
    <w:p w14:paraId="7BCA3F97">
      <w:pPr>
        <w:pStyle w:val="60"/>
        <w:spacing w:beforeLines="0" w:afterLines="0"/>
        <w:rPr>
          <w:rFonts w:hint="default" w:ascii="宋体" w:hAnsi="宋体" w:eastAsia="宋体" w:cs="宋体"/>
          <w:color w:val="auto"/>
          <w:sz w:val="24"/>
          <w:szCs w:val="24"/>
          <w:lang w:bidi="ar"/>
        </w:rPr>
      </w:pPr>
    </w:p>
    <w:p w14:paraId="23EEBB80">
      <w:pPr>
        <w:pStyle w:val="60"/>
        <w:spacing w:beforeLines="0" w:afterLines="0"/>
        <w:rPr>
          <w:rFonts w:hint="default" w:ascii="宋体" w:hAnsi="宋体" w:eastAsia="宋体" w:cs="宋体"/>
          <w:color w:val="auto"/>
          <w:sz w:val="24"/>
          <w:szCs w:val="24"/>
          <w:lang w:bidi="ar"/>
        </w:rPr>
      </w:pPr>
    </w:p>
    <w:p w14:paraId="64EEBF0E">
      <w:pPr>
        <w:pStyle w:val="60"/>
        <w:spacing w:beforeLines="0" w:afterLines="0"/>
        <w:rPr>
          <w:rFonts w:hint="default" w:ascii="宋体" w:hAnsi="宋体" w:eastAsia="宋体" w:cs="宋体"/>
          <w:color w:val="auto"/>
          <w:sz w:val="24"/>
          <w:szCs w:val="24"/>
          <w:lang w:bidi="ar"/>
        </w:rPr>
      </w:pPr>
    </w:p>
    <w:p w14:paraId="1E0CAD03">
      <w:pPr>
        <w:pStyle w:val="60"/>
        <w:spacing w:beforeLines="0" w:afterLines="0"/>
        <w:rPr>
          <w:rFonts w:hint="default" w:ascii="宋体" w:hAnsi="宋体" w:eastAsia="宋体" w:cs="宋体"/>
          <w:color w:val="auto"/>
          <w:sz w:val="24"/>
          <w:szCs w:val="24"/>
          <w:lang w:bidi="ar"/>
        </w:rPr>
      </w:pPr>
    </w:p>
    <w:p w14:paraId="3330E22D">
      <w:pPr>
        <w:pStyle w:val="60"/>
        <w:spacing w:beforeLines="0" w:afterLines="0"/>
        <w:rPr>
          <w:rFonts w:hint="default" w:ascii="宋体" w:hAnsi="宋体" w:eastAsia="宋体" w:cs="宋体"/>
          <w:color w:val="auto"/>
          <w:sz w:val="24"/>
          <w:szCs w:val="24"/>
          <w:lang w:bidi="ar"/>
        </w:rPr>
      </w:pPr>
    </w:p>
    <w:p w14:paraId="6619A174">
      <w:pPr>
        <w:pStyle w:val="60"/>
        <w:spacing w:beforeLines="0" w:afterLines="0"/>
        <w:rPr>
          <w:rFonts w:hint="default" w:ascii="宋体" w:hAnsi="宋体" w:eastAsia="宋体" w:cs="宋体"/>
          <w:color w:val="auto"/>
          <w:sz w:val="24"/>
          <w:szCs w:val="24"/>
          <w:lang w:bidi="ar"/>
        </w:rPr>
      </w:pPr>
    </w:p>
    <w:p w14:paraId="3CF1AA9B">
      <w:pPr>
        <w:pStyle w:val="60"/>
        <w:spacing w:beforeLines="0" w:afterLines="0"/>
        <w:rPr>
          <w:rFonts w:hint="default" w:ascii="宋体" w:hAnsi="宋体" w:eastAsia="宋体" w:cs="宋体"/>
          <w:color w:val="auto"/>
          <w:sz w:val="24"/>
          <w:szCs w:val="24"/>
          <w:lang w:bidi="ar"/>
        </w:rPr>
      </w:pPr>
    </w:p>
    <w:p w14:paraId="5E57EFB4">
      <w:pPr>
        <w:pStyle w:val="60"/>
        <w:spacing w:beforeLines="0" w:afterLines="0"/>
        <w:rPr>
          <w:rFonts w:hint="default" w:ascii="宋体" w:hAnsi="宋体" w:eastAsia="宋体" w:cs="宋体"/>
          <w:color w:val="auto"/>
          <w:sz w:val="24"/>
          <w:szCs w:val="24"/>
          <w:lang w:bidi="ar"/>
        </w:rPr>
      </w:pPr>
    </w:p>
    <w:p w14:paraId="7A2237FB">
      <w:pPr>
        <w:pStyle w:val="60"/>
        <w:spacing w:beforeLines="0" w:afterLines="0"/>
        <w:rPr>
          <w:rFonts w:hint="default" w:ascii="宋体" w:hAnsi="宋体" w:eastAsia="宋体" w:cs="宋体"/>
          <w:color w:val="auto"/>
          <w:sz w:val="24"/>
          <w:szCs w:val="24"/>
          <w:lang w:bidi="ar"/>
        </w:rPr>
      </w:pPr>
    </w:p>
    <w:p w14:paraId="26E0D968">
      <w:pPr>
        <w:pStyle w:val="60"/>
        <w:spacing w:beforeLines="0" w:afterLines="0"/>
        <w:rPr>
          <w:rFonts w:hint="default" w:ascii="宋体" w:hAnsi="宋体" w:eastAsia="宋体" w:cs="宋体"/>
          <w:color w:val="auto"/>
          <w:sz w:val="24"/>
          <w:szCs w:val="24"/>
          <w:lang w:bidi="ar"/>
        </w:rPr>
      </w:pPr>
    </w:p>
    <w:p w14:paraId="03F355B4">
      <w:pPr>
        <w:pStyle w:val="60"/>
        <w:spacing w:beforeLines="0" w:afterLines="0"/>
        <w:rPr>
          <w:rFonts w:hint="default" w:ascii="宋体" w:hAnsi="宋体" w:eastAsia="宋体" w:cs="宋体"/>
          <w:color w:val="auto"/>
          <w:sz w:val="24"/>
          <w:szCs w:val="24"/>
          <w:lang w:bidi="ar"/>
        </w:rPr>
      </w:pPr>
    </w:p>
    <w:p w14:paraId="238D429D">
      <w:pPr>
        <w:pStyle w:val="60"/>
        <w:spacing w:beforeLines="0" w:afterLines="0"/>
        <w:ind w:firstLine="0" w:firstLineChars="0"/>
        <w:rPr>
          <w:rFonts w:hint="default" w:ascii="宋体" w:hAnsi="宋体" w:eastAsia="宋体" w:cs="宋体"/>
          <w:color w:val="auto"/>
          <w:sz w:val="24"/>
          <w:szCs w:val="24"/>
          <w:lang w:bidi="ar"/>
        </w:rPr>
      </w:pPr>
    </w:p>
    <w:p w14:paraId="7882B953">
      <w:pPr>
        <w:pStyle w:val="87"/>
        <w:rPr>
          <w:rFonts w:hint="eastAsia"/>
          <w:color w:val="auto"/>
          <w:sz w:val="21"/>
          <w:szCs w:val="24"/>
        </w:rPr>
        <w:sectPr>
          <w:headerReference r:id="rId19" w:type="default"/>
          <w:footerReference r:id="rId21" w:type="default"/>
          <w:headerReference r:id="rId20" w:type="even"/>
          <w:footerReference r:id="rId22" w:type="even"/>
          <w:pgSz w:w="11906" w:h="16838"/>
          <w:pgMar w:top="1928" w:right="1134" w:bottom="1134" w:left="1134" w:header="1418" w:footer="1134" w:gutter="284"/>
          <w:lnNumType w:countBy="0" w:distance="360"/>
          <w:cols w:space="720" w:num="1"/>
          <w:formProt w:val="0"/>
          <w:docGrid w:linePitch="312" w:charSpace="0"/>
        </w:sectPr>
      </w:pPr>
      <w:bookmarkStart w:id="90" w:name="_Toc17933"/>
      <w:r>
        <w:rPr>
          <w:rFonts w:hint="eastAsia"/>
          <w:color w:val="auto"/>
          <w:sz w:val="21"/>
          <w:szCs w:val="24"/>
        </w:rPr>
        <w:t>学校肺结核健康科普流程</w:t>
      </w:r>
      <w:bookmarkEnd w:id="90"/>
    </w:p>
    <w:p w14:paraId="4388F940">
      <w:pPr>
        <w:pStyle w:val="202"/>
        <w:spacing w:beforeLines="0" w:afterLines="0"/>
        <w:ind w:firstLine="0"/>
        <w:rPr>
          <w:rFonts w:hint="eastAsia"/>
          <w:color w:val="auto"/>
          <w:sz w:val="2"/>
          <w:szCs w:val="21"/>
        </w:rPr>
      </w:pPr>
    </w:p>
    <w:p w14:paraId="366DBE3E">
      <w:pPr>
        <w:pStyle w:val="203"/>
        <w:spacing w:beforeLines="0" w:afterLines="0"/>
        <w:ind w:firstLine="0"/>
        <w:rPr>
          <w:rFonts w:hint="eastAsia"/>
          <w:color w:val="auto"/>
          <w:sz w:val="2"/>
          <w:szCs w:val="24"/>
        </w:rPr>
      </w:pPr>
    </w:p>
    <w:p w14:paraId="3F149EB2">
      <w:pPr>
        <w:pStyle w:val="80"/>
        <w:spacing w:beforeLines="0"/>
        <w:rPr>
          <w:rFonts w:hint="eastAsia"/>
          <w:color w:val="auto"/>
          <w:sz w:val="21"/>
          <w:szCs w:val="24"/>
        </w:rPr>
      </w:pPr>
      <w:bookmarkStart w:id="91" w:name="_Toc9174"/>
      <w:bookmarkStart w:id="92" w:name="_Toc30144"/>
      <w:r>
        <w:rPr>
          <w:rFonts w:hint="eastAsia"/>
          <w:color w:val="auto"/>
          <w:sz w:val="21"/>
          <w:szCs w:val="24"/>
        </w:rPr>
        <w:br w:type="textWrapping"/>
      </w:r>
      <w:r>
        <w:rPr>
          <w:rFonts w:hint="eastAsia"/>
          <w:color w:val="auto"/>
          <w:sz w:val="21"/>
          <w:szCs w:val="24"/>
        </w:rPr>
        <w:t>（资料性）</w:t>
      </w:r>
      <w:r>
        <w:rPr>
          <w:rFonts w:hint="eastAsia"/>
          <w:color w:val="auto"/>
          <w:sz w:val="21"/>
          <w:szCs w:val="24"/>
        </w:rPr>
        <w:br w:type="textWrapping"/>
      </w:r>
      <w:r>
        <w:rPr>
          <w:rFonts w:hint="eastAsia"/>
          <w:color w:val="auto"/>
          <w:sz w:val="21"/>
          <w:szCs w:val="24"/>
        </w:rPr>
        <w:t>学校肺结核健康科普理论知识</w:t>
      </w:r>
      <w:bookmarkEnd w:id="91"/>
      <w:bookmarkEnd w:id="92"/>
    </w:p>
    <w:p w14:paraId="33A5C814">
      <w:pPr>
        <w:pStyle w:val="82"/>
        <w:rPr>
          <w:rFonts w:hint="eastAsia"/>
          <w:color w:val="auto"/>
          <w:sz w:val="21"/>
          <w:szCs w:val="24"/>
        </w:rPr>
      </w:pPr>
      <w:bookmarkStart w:id="93" w:name="_Toc21826"/>
      <w:bookmarkStart w:id="94" w:name="_Toc14071"/>
      <w:r>
        <w:rPr>
          <w:rFonts w:hint="eastAsia"/>
          <w:color w:val="auto"/>
          <w:sz w:val="21"/>
          <w:szCs w:val="24"/>
        </w:rPr>
        <w:t>肺结核防治核心信息</w:t>
      </w:r>
      <w:bookmarkEnd w:id="93"/>
      <w:bookmarkEnd w:id="94"/>
    </w:p>
    <w:p w14:paraId="5018F61B">
      <w:pPr>
        <w:pStyle w:val="60"/>
        <w:spacing w:beforeLines="0" w:afterLines="0"/>
        <w:rPr>
          <w:rFonts w:hint="eastAsia"/>
          <w:color w:val="auto"/>
          <w:sz w:val="21"/>
          <w:szCs w:val="24"/>
        </w:rPr>
      </w:pPr>
      <w:r>
        <w:rPr>
          <w:rFonts w:hint="default" w:ascii="宋体" w:eastAsia="宋体"/>
          <w:color w:val="auto"/>
          <w:sz w:val="21"/>
          <w:szCs w:val="24"/>
        </w:rPr>
        <w:t>肺结核防治核心信息见表B.1。</w:t>
      </w:r>
    </w:p>
    <w:p w14:paraId="59C901DD">
      <w:pPr>
        <w:pStyle w:val="81"/>
        <w:rPr>
          <w:rFonts w:hint="eastAsia"/>
          <w:color w:val="auto"/>
          <w:sz w:val="21"/>
          <w:szCs w:val="24"/>
        </w:rPr>
      </w:pPr>
      <w:bookmarkStart w:id="95" w:name="_Toc29190"/>
      <w:r>
        <w:rPr>
          <w:rFonts w:hint="eastAsia"/>
          <w:color w:val="auto"/>
          <w:sz w:val="21"/>
          <w:szCs w:val="24"/>
        </w:rPr>
        <w:t>肺结核防治核心信息</w:t>
      </w:r>
      <w:bookmarkEnd w:id="95"/>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9334"/>
      </w:tblGrid>
      <w:tr w14:paraId="72B868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2728" w:hRule="atLeast"/>
          <w:tblHeader/>
          <w:jc w:val="center"/>
        </w:trPr>
        <w:tc>
          <w:tcPr>
            <w:tcW w:w="9570" w:type="dxa"/>
            <w:tcBorders>
              <w:top w:val="single" w:color="auto" w:sz="8" w:space="0"/>
              <w:left w:val="single" w:color="auto" w:sz="8" w:space="0"/>
              <w:bottom w:val="single" w:color="auto" w:sz="8" w:space="0"/>
              <w:right w:val="single" w:color="auto" w:sz="8" w:space="0"/>
              <w:tl2br w:val="nil"/>
              <w:tr2bl w:val="nil"/>
            </w:tcBorders>
            <w:noWrap w:val="0"/>
            <w:vAlign w:val="center"/>
          </w:tcPr>
          <w:p w14:paraId="52ADAE9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1.肺结核是严重危害群众身体健康的慢性呼吸道传染病。</w:t>
            </w:r>
          </w:p>
          <w:p w14:paraId="6AFF2717">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2.肺结核主要经呼吸道飞沫传播，人群普遍易感。</w:t>
            </w:r>
          </w:p>
          <w:p w14:paraId="4F0A25B8">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3.咳嗽、咳痰持续2周及以上，属于肺结核典型可疑症状，应及时前往结核病定点医疗机构就诊检查。</w:t>
            </w:r>
          </w:p>
          <w:p w14:paraId="75588EEC">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4.日常做到不随地吐痰，咳嗽、打喷嚏遮掩口鼻，规范佩戴口罩，可有效阻断病菌传播。</w:t>
            </w:r>
          </w:p>
          <w:p w14:paraId="032610B4">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5.师生出现可疑症状或确诊肺结核，须第一时间向学校报备，严禁隐瞒病情、带病入校上课。</w:t>
            </w:r>
          </w:p>
          <w:p w14:paraId="4B092279">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6.就医就诊时如实告知旅居史、接触史及身体不适情况，配合医生排查诊疗。</w:t>
            </w:r>
          </w:p>
          <w:p w14:paraId="769C149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7.确诊肺结核后遵医嘱完成全程规范治疗，绝大多数患者能够彻底治愈，同时降低传染风险。</w:t>
            </w:r>
          </w:p>
          <w:p w14:paraId="43E8C03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8.日常勤开窗通风，保持室内空气流通，营造健康校园环境。</w:t>
            </w:r>
          </w:p>
          <w:p w14:paraId="3192E6BD">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9.规律作息、均衡膳食、坚持体育锻炼，增强自身机体免疫力。</w:t>
            </w:r>
          </w:p>
          <w:p w14:paraId="6A0B7D83">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10.密切接触过肺结核患者人员，主动配合完成健康筛查与健康监测。</w:t>
            </w:r>
          </w:p>
          <w:p w14:paraId="0880A543">
            <w:pPr>
              <w:pStyle w:val="182"/>
              <w:spacing w:beforeLines="0" w:afterLines="0"/>
              <w:jc w:val="left"/>
              <w:rPr>
                <w:rFonts w:hint="eastAsia"/>
                <w:color w:val="auto"/>
                <w:sz w:val="18"/>
                <w:szCs w:val="24"/>
              </w:rPr>
            </w:pPr>
            <w:r>
              <w:rPr>
                <w:rFonts w:hint="default" w:ascii="宋体" w:eastAsia="宋体"/>
                <w:color w:val="auto"/>
                <w:sz w:val="18"/>
                <w:szCs w:val="24"/>
              </w:rPr>
              <w:t>11.严格遵守休复学管理规定，痊愈凭正规医学证明方可返校复课。</w:t>
            </w:r>
          </w:p>
        </w:tc>
      </w:tr>
    </w:tbl>
    <w:p w14:paraId="7CC9F22D">
      <w:pPr>
        <w:pStyle w:val="60"/>
        <w:spacing w:beforeLines="0" w:afterLines="0"/>
        <w:ind w:firstLine="0" w:firstLineChars="0"/>
        <w:rPr>
          <w:rFonts w:hint="eastAsia"/>
          <w:color w:val="auto"/>
          <w:sz w:val="21"/>
          <w:szCs w:val="24"/>
        </w:rPr>
        <w:sectPr>
          <w:headerReference r:id="rId23" w:type="default"/>
          <w:footerReference r:id="rId25" w:type="default"/>
          <w:headerReference r:id="rId24" w:type="even"/>
          <w:footerReference r:id="rId26" w:type="even"/>
          <w:pgSz w:w="11906" w:h="16838"/>
          <w:pgMar w:top="1928" w:right="1134" w:bottom="1134" w:left="1134" w:header="1418" w:footer="1134" w:gutter="284"/>
          <w:lnNumType w:countBy="0" w:distance="360"/>
          <w:cols w:space="720" w:num="1"/>
          <w:formProt w:val="0"/>
          <w:docGrid w:linePitch="312" w:charSpace="0"/>
        </w:sectPr>
      </w:pPr>
    </w:p>
    <w:p w14:paraId="43C8F2FB">
      <w:pPr>
        <w:pStyle w:val="82"/>
        <w:rPr>
          <w:rFonts w:hint="eastAsia"/>
          <w:color w:val="auto"/>
          <w:sz w:val="21"/>
          <w:szCs w:val="24"/>
        </w:rPr>
      </w:pPr>
      <w:bookmarkStart w:id="96" w:name="_Toc1021"/>
      <w:bookmarkStart w:id="97" w:name="_Toc20438"/>
      <w:r>
        <w:rPr>
          <w:rFonts w:hint="eastAsia"/>
          <w:color w:val="auto"/>
          <w:sz w:val="21"/>
          <w:szCs w:val="24"/>
        </w:rPr>
        <w:t>学校肺结核防控健康教育相关知识</w:t>
      </w:r>
      <w:bookmarkEnd w:id="96"/>
      <w:bookmarkEnd w:id="97"/>
    </w:p>
    <w:p w14:paraId="249FAB1E">
      <w:pPr>
        <w:pStyle w:val="60"/>
        <w:spacing w:beforeLines="0" w:afterLines="0"/>
        <w:rPr>
          <w:rFonts w:hint="eastAsia"/>
          <w:color w:val="auto"/>
          <w:sz w:val="21"/>
          <w:szCs w:val="24"/>
        </w:rPr>
      </w:pPr>
      <w:r>
        <w:rPr>
          <w:rFonts w:hint="default" w:ascii="宋体" w:eastAsia="宋体"/>
          <w:color w:val="auto"/>
          <w:sz w:val="21"/>
          <w:szCs w:val="24"/>
        </w:rPr>
        <w:t>学校肺结核防控健康教育相关知识见表B.2。</w:t>
      </w:r>
    </w:p>
    <w:p w14:paraId="2E1A7B03">
      <w:pPr>
        <w:pStyle w:val="81"/>
        <w:rPr>
          <w:rFonts w:hint="eastAsia"/>
          <w:color w:val="auto"/>
          <w:sz w:val="21"/>
          <w:szCs w:val="24"/>
        </w:rPr>
      </w:pPr>
      <w:bookmarkStart w:id="98" w:name="_Toc32687"/>
      <w:r>
        <w:rPr>
          <w:rFonts w:hint="eastAsia"/>
          <w:color w:val="auto"/>
          <w:sz w:val="21"/>
          <w:szCs w:val="24"/>
        </w:rPr>
        <w:t>学校肺结核防控健康教育相关知识</w:t>
      </w:r>
      <w:bookmarkEnd w:id="98"/>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9334"/>
      </w:tblGrid>
      <w:tr w14:paraId="14E45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11766" w:hRule="atLeast"/>
          <w:tblHeader/>
          <w:jc w:val="center"/>
        </w:trPr>
        <w:tc>
          <w:tcPr>
            <w:tcW w:w="9570" w:type="dxa"/>
            <w:tcBorders>
              <w:top w:val="single" w:color="auto" w:sz="8" w:space="0"/>
              <w:left w:val="single" w:color="auto" w:sz="8" w:space="0"/>
              <w:bottom w:val="single" w:color="auto" w:sz="8" w:space="0"/>
              <w:right w:val="single" w:color="auto" w:sz="8" w:space="0"/>
              <w:tl2br w:val="nil"/>
              <w:tr2bl w:val="nil"/>
            </w:tcBorders>
            <w:noWrap w:val="0"/>
            <w:vAlign w:val="center"/>
          </w:tcPr>
          <w:p w14:paraId="3567FD13">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1.结核病是如何传染的？ </w:t>
            </w:r>
          </w:p>
          <w:p w14:paraId="5F3D17EF">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结核病是由结核分枝杆菌感染引起的慢性呼吸道传染病。除毛发和牙齿外，人体其他器官系统都可能受到感染而发病，但主要侵犯肺脏，称为肺结核。肺结核占各种类型结核病的</w:t>
            </w:r>
            <w:r>
              <w:rPr>
                <w:rFonts w:hint="eastAsia"/>
                <w:color w:val="auto"/>
                <w:sz w:val="18"/>
                <w:szCs w:val="24"/>
                <w:vertAlign w:val="superscript"/>
                <w:lang w:val="en-US" w:eastAsia="zh-CN"/>
              </w:rPr>
              <w:t xml:space="preserve"> </w:t>
            </w:r>
            <w:r>
              <w:rPr>
                <w:rFonts w:hint="default" w:ascii="宋体" w:eastAsia="宋体"/>
                <w:color w:val="auto"/>
                <w:sz w:val="18"/>
                <w:szCs w:val="24"/>
              </w:rPr>
              <w:t>80</w:t>
            </w:r>
            <w:r>
              <w:rPr>
                <w:rFonts w:hint="eastAsia"/>
                <w:color w:val="auto"/>
                <w:sz w:val="18"/>
                <w:szCs w:val="24"/>
                <w:vertAlign w:val="superscript"/>
                <w:lang w:val="en-US" w:eastAsia="zh-CN"/>
              </w:rPr>
              <w:t xml:space="preserve"> </w:t>
            </w:r>
            <w:r>
              <w:rPr>
                <w:rFonts w:hint="default" w:ascii="宋体" w:eastAsia="宋体"/>
                <w:color w:val="auto"/>
                <w:sz w:val="18"/>
                <w:szCs w:val="24"/>
              </w:rPr>
              <w:t>%以上，是结核病的主要类型。</w:t>
            </w:r>
          </w:p>
          <w:p w14:paraId="5D219B2D">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传染性肺结核患者咳嗽、打喷嚏、唱歌、大声说话时，含有结核分枝杆菌的飞沫可经患者鼻腔和口腔喷出体外，在空气中形成气雾（或称为飞沫），较大的飞沫很快落在地面，而较小的飞沫很快蒸发成为飞沫核，可长时间悬浮在空气中。含菌的飞沫核被吸入肺泡，就可能引发结核菌感染。 </w:t>
            </w:r>
          </w:p>
          <w:p w14:paraId="5896C5D8">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2.结核病的传染源来自哪里? </w:t>
            </w:r>
          </w:p>
          <w:p w14:paraId="5910A1D8">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结核病的传染源是排菌的活动性肺结核患者。研究表明，1</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例传染性肺结核患者如果未经规范治疗，平均一年将传染</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10-15</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个健康人，在人群密集、拥挤、通风不畅等环境下，会导致更多人暴露于感染风险中。</w:t>
            </w:r>
          </w:p>
          <w:p w14:paraId="0F9E9006">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3.肺结核的主要症状有哪些? </w:t>
            </w:r>
          </w:p>
          <w:p w14:paraId="4F8D313D">
            <w:pPr>
              <w:pStyle w:val="182"/>
              <w:numPr>
                <w:ilvl w:val="0"/>
                <w:numId w:val="0"/>
              </w:numPr>
              <w:spacing w:beforeLines="0" w:afterLines="0"/>
              <w:jc w:val="left"/>
              <w:rPr>
                <w:rFonts w:hint="default" w:ascii="宋体" w:eastAsia="宋体"/>
                <w:color w:val="auto"/>
                <w:sz w:val="18"/>
                <w:szCs w:val="24"/>
              </w:rPr>
            </w:pPr>
            <w:r>
              <w:rPr>
                <w:rFonts w:hint="default" w:ascii="宋体" w:eastAsia="宋体"/>
                <w:color w:val="auto"/>
                <w:sz w:val="18"/>
                <w:szCs w:val="24"/>
              </w:rPr>
              <w:t>肺结核的主要症状有咳嗽、咳痰，咯血或血痰，有的人会有低热、盗汗、胸痛、食欲差、疲乏和消瘦等。有咳嗽、咳痰</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xml:space="preserve">周及以上，咯血或血痰等症状的人，通常叫肺结核可疑症状者。出现肺结核可疑症状时，需警惕肺结核可能，应及时、主动到当地结核病定点医疗机构进行检查。 </w:t>
            </w:r>
          </w:p>
          <w:p w14:paraId="1647D41A">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4.诊断肺结核需要进行哪些检查？ </w:t>
            </w:r>
          </w:p>
          <w:p w14:paraId="6263DAFD">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检查的方法主要有结核分枝杆菌检测和胸部影像学检查。实验室结核分枝杆菌检查包括针对痰液等标本，进行涂片、培养和快速分子生物学检查，其中快速分子生物学检查灵敏度和特异性更高，检测准确性较强。应按照医生的要求，留取合格的痰标本或其他标本。 </w:t>
            </w:r>
          </w:p>
          <w:p w14:paraId="193546F0">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5.学生确诊肺结核后应怎么办？ </w:t>
            </w:r>
          </w:p>
          <w:p w14:paraId="66C1278B">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确诊后应立即到结核病定点医疗机构接受规范治疗，须在第一时间告知班主任与校医务室或卫生室；班主任协调学业衔接，校医务室或卫生室开展密切接触者筛查及疫情上报，严禁隐瞒病情、接触史等关键信息。需按医嘱和校规办理休学，康复后凭定点医疗机构复学证明，经校医务室或卫生室核验合格方可返校。</w:t>
            </w:r>
          </w:p>
          <w:p w14:paraId="43C11A0D">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6.新发肺结核患者应如何治疗？ </w:t>
            </w:r>
          </w:p>
          <w:p w14:paraId="2A496C0B">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新发肺结核患者的治疗采用标准抗结核治疗方案，标准疗程通常为</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6</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个月，分为强化期和继续期。强化期为</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个月，采用异烟肼、利福平、吡嗪酰胺和乙胺丁醇四药联合用药，继续期为</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4</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xml:space="preserve">个月，采用异烟肼和利福平联合用药。但如被诊断为耐药患者，需遵医嘱采用对应的耐药治疗方案。 </w:t>
            </w:r>
          </w:p>
          <w:p w14:paraId="5BD7A1D3">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7.肺结核患者在治疗期间应注意什么？ </w:t>
            </w:r>
          </w:p>
          <w:p w14:paraId="2990894C">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一旦确诊为肺结核，尽早启动、严格遵循医嘱抗结核治疗，定期复查；注意休息，加强营养，增强机体抵抗力；注意个人卫生，不随地吐痰，咳嗽、打喷嚏时用纸巾掩住口鼻；尽量减少外出，必须外出时规范佩戴医用外科口罩或医用防护口罩。 </w:t>
            </w:r>
          </w:p>
          <w:p w14:paraId="676478F5">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8.如何预防和控制结核病？ </w:t>
            </w:r>
          </w:p>
          <w:p w14:paraId="6BA67191">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预防结核病，首先要控制传染源，及时发现和治愈传染性肺结核患者，并做好隔离管理；其次是阻断传播途径，对痰液等污染物进行规范消毒处理，教室、宿舍等人员密集场所，每日通风换气2-3次，每次不少于</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3</w:t>
            </w:r>
            <w:r>
              <w:rPr>
                <w:rFonts w:hint="default" w:ascii="宋体" w:eastAsia="宋体"/>
                <w:color w:val="auto"/>
                <w:sz w:val="18"/>
                <w:szCs w:val="24"/>
                <w:highlight w:val="none"/>
              </w:rPr>
              <w:t>0</w:t>
            </w:r>
            <w:r>
              <w:rPr>
                <w:rFonts w:hint="default" w:ascii="宋体" w:eastAsia="宋体"/>
                <w:color w:val="auto"/>
                <w:sz w:val="18"/>
                <w:szCs w:val="24"/>
                <w:highlight w:val="none"/>
                <w:vertAlign w:val="subscript"/>
              </w:rPr>
              <w:t xml:space="preserve"> </w:t>
            </w:r>
            <w:r>
              <w:rPr>
                <w:rFonts w:hint="default" w:ascii="宋体" w:eastAsia="宋体"/>
                <w:color w:val="auto"/>
                <w:sz w:val="18"/>
                <w:szCs w:val="24"/>
              </w:rPr>
              <w:t>min，保持室内空气流通；第三是保护易感人群，与传染性患者接触时规范佩戴医用防护口罩等。养成良好的卫生、生活习惯，保持环境卫生和锻炼身体等。</w:t>
            </w:r>
          </w:p>
          <w:p w14:paraId="3247200C">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9.肺结核患者能治好吗？ </w:t>
            </w:r>
          </w:p>
          <w:p w14:paraId="54327C32">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新发现的肺结核患者坚持规律用药并完成规定的疗程后，95%</w:t>
            </w:r>
            <w:r>
              <w:rPr>
                <w:rFonts w:hint="eastAsia"/>
                <w:color w:val="auto"/>
                <w:sz w:val="18"/>
                <w:szCs w:val="24"/>
                <w:vertAlign w:val="superscript"/>
                <w:lang w:val="en-US" w:eastAsia="zh-CN"/>
              </w:rPr>
              <w:t xml:space="preserve"> </w:t>
            </w:r>
            <w:r>
              <w:rPr>
                <w:rFonts w:hint="default" w:ascii="宋体" w:eastAsia="宋体"/>
                <w:color w:val="auto"/>
                <w:sz w:val="18"/>
                <w:szCs w:val="24"/>
              </w:rPr>
              <w:t xml:space="preserve">以上的患者可被治愈。不按时服药、擅自中断或未完成疗程，极易导致结核分枝杆菌产生耐药性。一旦发展为耐药肺结核，不仅治疗疗程会显著延长，治疗费用大幅增加，治疗难度也会急剧上升，易出现治疗失败，甚至可能传播耐药菌株。 </w:t>
            </w:r>
          </w:p>
          <w:p w14:paraId="06A62D49">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10.肺结核治好后还会传染别人吗？ </w:t>
            </w:r>
          </w:p>
          <w:p w14:paraId="52659243">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肺结核患者经过规范治疗，传染性会快速下降，通常接受规范治疗</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2-4</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xml:space="preserve">周后，痰内结核菌数量会明显减少，传染性显著降低，基本无传播风险。患者按照规定的治疗方案完成全疗程，经检查达到治愈标准后，痰中查不到结核菌，就不再具有传染性。 </w:t>
            </w:r>
          </w:p>
          <w:p w14:paraId="06B73840">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11.为什么肺结核患者不能随地吐痰？ </w:t>
            </w:r>
          </w:p>
          <w:p w14:paraId="6AE1ED39">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肺结核患者痰液中含有大量的结核菌。如果随地吐痰，痰中的结核菌被排出体外，干燥后会附着在尘埃上形成含菌颗粒，被他人吸入后，可导致肺部结核菌感染。一旦人体抵抗力下降，就可引发肺结核。</w:t>
            </w:r>
          </w:p>
          <w:p w14:paraId="299B9767">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12.学校发现肺结核患者应该怎么办？ </w:t>
            </w:r>
          </w:p>
          <w:p w14:paraId="09B94708">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学生发现校内同学患有结核病，应向班主任/校医务室或卫生室报告，并配合做好个人健康监测。学校发现肺结核患者后，及时告知疾病预防控制机构；配合疾病预防控制机构组织开展密切接触者筛查，关注与病例同班级、同宿舍学生及授课教师的健康状况；规范开展休复学学生和休复课教职员工的管理，在疾病预防控制机构的指导下，做好在校治疗学生的服药督导和预防性治疗学生的服药管理。</w:t>
            </w:r>
          </w:p>
        </w:tc>
      </w:tr>
    </w:tbl>
    <w:p w14:paraId="6B8D3478">
      <w:pPr>
        <w:pStyle w:val="60"/>
        <w:spacing w:beforeLines="0" w:afterLines="0"/>
        <w:rPr>
          <w:rFonts w:hint="eastAsia"/>
          <w:color w:val="auto"/>
          <w:sz w:val="21"/>
          <w:szCs w:val="24"/>
        </w:rPr>
      </w:pPr>
    </w:p>
    <w:p w14:paraId="254106DC">
      <w:pPr>
        <w:pStyle w:val="60"/>
        <w:pageBreakBefore/>
        <w:spacing w:before="157" w:beforeLines="50" w:after="157" w:afterLines="50"/>
        <w:ind w:firstLine="0" w:firstLineChars="0"/>
        <w:jc w:val="center"/>
        <w:rPr>
          <w:rFonts w:hint="default" w:ascii="宋体" w:hAnsi="宋体" w:eastAsia="宋体" w:cs="宋体"/>
          <w:color w:val="auto"/>
          <w:sz w:val="21"/>
          <w:szCs w:val="24"/>
        </w:rPr>
      </w:pPr>
      <w:r>
        <w:rPr>
          <w:rFonts w:hint="eastAsia" w:ascii="黑体" w:hAnsi="黑体" w:eastAsia="黑体" w:cs="黑体"/>
          <w:color w:val="auto"/>
          <w:sz w:val="21"/>
          <w:szCs w:val="24"/>
        </w:rPr>
        <w:t>表B.2  学校肺结核防控健康教育知识</w:t>
      </w:r>
      <w:r>
        <w:rPr>
          <w:rFonts w:hint="default" w:ascii="宋体" w:hAnsi="宋体" w:eastAsia="宋体" w:cs="宋体"/>
          <w:color w:val="auto"/>
          <w:sz w:val="21"/>
          <w:szCs w:val="24"/>
        </w:rPr>
        <w:t>（续）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9334"/>
      </w:tblGrid>
      <w:tr w14:paraId="42C25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5890" w:hRule="atLeast"/>
          <w:tblHeader/>
          <w:jc w:val="center"/>
        </w:trPr>
        <w:tc>
          <w:tcPr>
            <w:tcW w:w="9570" w:type="dxa"/>
            <w:tcBorders>
              <w:top w:val="single" w:color="auto" w:sz="8" w:space="0"/>
              <w:left w:val="single" w:color="auto" w:sz="8" w:space="0"/>
              <w:bottom w:val="single" w:color="auto" w:sz="8" w:space="0"/>
              <w:right w:val="single" w:color="auto" w:sz="8" w:space="0"/>
              <w:tl2br w:val="nil"/>
              <w:tr2bl w:val="nil"/>
            </w:tcBorders>
            <w:noWrap w:val="0"/>
            <w:vAlign w:val="center"/>
          </w:tcPr>
          <w:p w14:paraId="261FC725">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13.如何开展肺结核患者密切接触者筛查？ </w:t>
            </w:r>
          </w:p>
          <w:p w14:paraId="78A34782">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肺结核患者的密切接触者是指与肺结核患者近距离频繁接触的人员，主要包括同班师生、同宿舍同学、以及与患者密切接触的其他人员。如果在密切接触者筛查中新发现了</w:t>
            </w:r>
            <w:r>
              <w:rPr>
                <w:rFonts w:hint="eastAsia"/>
                <w:color w:val="auto"/>
                <w:sz w:val="18"/>
                <w:szCs w:val="24"/>
                <w:vertAlign w:val="superscript"/>
                <w:lang w:val="en-US" w:eastAsia="zh-CN"/>
              </w:rPr>
              <w:t xml:space="preserve"> </w:t>
            </w:r>
            <w:r>
              <w:rPr>
                <w:rFonts w:hint="default" w:ascii="宋体" w:eastAsia="宋体"/>
                <w:color w:val="auto"/>
                <w:sz w:val="18"/>
                <w:szCs w:val="24"/>
              </w:rPr>
              <w:t>1</w:t>
            </w:r>
            <w:r>
              <w:rPr>
                <w:rFonts w:hint="eastAsia"/>
                <w:color w:val="auto"/>
                <w:sz w:val="18"/>
                <w:szCs w:val="24"/>
                <w:vertAlign w:val="superscript"/>
                <w:lang w:val="en-US" w:eastAsia="zh-CN"/>
              </w:rPr>
              <w:t xml:space="preserve"> </w:t>
            </w:r>
            <w:r>
              <w:rPr>
                <w:rFonts w:hint="default" w:ascii="宋体" w:eastAsia="宋体"/>
                <w:color w:val="auto"/>
                <w:sz w:val="18"/>
                <w:szCs w:val="24"/>
              </w:rPr>
              <w:t>例及以上的肺结核患者，需扩大接触者筛查范围，可延伸至同年级、同楼层师生或其他有近距离接触的人员。同时要对与病例密切接触的家庭成员进行筛查。</w:t>
            </w:r>
          </w:p>
          <w:p w14:paraId="6C24DFA5">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14.如何做好肺结核学生患者的休复学管理？ </w:t>
            </w:r>
          </w:p>
          <w:p w14:paraId="6732F16C">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结核病定点医疗机构的医生，对符合休学条件的学生患者，应当开具休学诊断证明。学校根据休学诊断证明，对患肺结核的学生采取休学管理。患者经过规范治疗，经检查符合复学标准后，医生可开具复学诊断证明，建议复学，并注明后续治疗管理措施和要求。学校凭复学诊断证明为学生办理复学手续、并督促学生落实后续治疗管理措施。</w:t>
            </w:r>
          </w:p>
          <w:p w14:paraId="176E9BF5">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15.学校处理肺结核疫情常用的消毒方法有哪些？ </w:t>
            </w:r>
          </w:p>
          <w:p w14:paraId="1DDF191A">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紫外线照射消毒：对通风不良的教室、宿舍、医务室或卫生室等场所，可采用紫外线灯消毒，消毒时需关闭门窗，无人状态下进行，消毒时间不少于</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30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min，消毒后及时开窗通风；患者的被褥、衣物、书籍等用品放在太阳下暴晒</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3-4</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h，可达到消毒效果。化学消毒：采用过氧乙酸熏蒸或喷雾消毒，作用时长不少于</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120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min，可有效杀灭环境中的结核菌，消毒后需通风换气至无刺激性气味方可进入。</w:t>
            </w:r>
          </w:p>
          <w:p w14:paraId="56527E09">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16.学校在结核病防控中要做哪些事情？ </w:t>
            </w:r>
          </w:p>
          <w:p w14:paraId="5B05DAF2">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新生入学体检和教职员工常规体检，体检中应包含结核病检查；强化对学生的结核病防治健康教育；加强日常晨检、因病缺勤病因追查及登记、结核病患者休复学/休复课管理等工作；努力改善教学和生活环境（如保障通风、清洁）；在学校出现肺结核患者后，积极配合疾病预防控制机构开展相关处置工作等。 </w:t>
            </w:r>
          </w:p>
          <w:p w14:paraId="0A1BA02A">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 xml:space="preserve">17.如何做好学校结核病突发公共卫生事件的应急处置？ </w:t>
            </w:r>
          </w:p>
          <w:p w14:paraId="58CA0786">
            <w:pPr>
              <w:pStyle w:val="182"/>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应在当地政府的领导下，严格按照相关要求和预案，积极开展应急处置工作。主要包括：事件的核实与上报、现场流行病学调查和密切接触者筛查、健康教育与心理疏导、校园环境卫生保障及消毒和事件评估等。</w:t>
            </w:r>
          </w:p>
          <w:p w14:paraId="196C5CE7">
            <w:pPr>
              <w:pStyle w:val="182"/>
              <w:numPr>
                <w:ilvl w:val="0"/>
                <w:numId w:val="0"/>
              </w:numPr>
              <w:spacing w:beforeLines="0" w:afterLines="0"/>
              <w:ind w:firstLine="360" w:firstLineChars="200"/>
              <w:jc w:val="left"/>
              <w:rPr>
                <w:rFonts w:hint="default" w:ascii="宋体" w:eastAsia="宋体"/>
                <w:color w:val="auto"/>
                <w:sz w:val="18"/>
                <w:szCs w:val="24"/>
              </w:rPr>
            </w:pPr>
            <w:r>
              <w:rPr>
                <w:rFonts w:hint="default" w:ascii="宋体" w:eastAsia="宋体"/>
                <w:color w:val="auto"/>
                <w:sz w:val="18"/>
                <w:szCs w:val="24"/>
              </w:rPr>
              <w:t>18.为什么要开展肺结核密切接触者预防性治疗？</w:t>
            </w:r>
          </w:p>
          <w:p w14:paraId="0476AB56">
            <w:pPr>
              <w:pStyle w:val="182"/>
              <w:numPr>
                <w:ilvl w:val="0"/>
                <w:numId w:val="0"/>
              </w:numPr>
              <w:spacing w:beforeLines="0" w:afterLines="0"/>
              <w:jc w:val="both"/>
              <w:rPr>
                <w:rFonts w:hint="default" w:ascii="宋体" w:eastAsia="宋体"/>
                <w:color w:val="auto"/>
                <w:sz w:val="18"/>
                <w:szCs w:val="24"/>
              </w:rPr>
            </w:pPr>
            <w:r>
              <w:rPr>
                <w:rFonts w:hint="default" w:ascii="宋体" w:eastAsia="宋体"/>
                <w:color w:val="auto"/>
                <w:sz w:val="18"/>
                <w:szCs w:val="24"/>
              </w:rPr>
              <w:t xml:space="preserve">    对肺结核患者密切接触者中的结核分枝杆菌潜伏感染者开展规范预防性治疗，是预防发病、阻断校园结核病传播的关键措施。规范完成预防性治疗可显著降低发病风险（降幅达</w:t>
            </w:r>
            <w:r>
              <w:rPr>
                <w:rFonts w:hint="eastAsia"/>
                <w:color w:val="auto"/>
                <w:sz w:val="18"/>
                <w:szCs w:val="24"/>
                <w:vertAlign w:val="superscript"/>
                <w:lang w:val="en-US" w:eastAsia="zh-CN"/>
              </w:rPr>
              <w:t xml:space="preserve"> </w:t>
            </w:r>
            <w:r>
              <w:rPr>
                <w:rFonts w:hint="default" w:ascii="宋体" w:eastAsia="宋体"/>
                <w:color w:val="auto"/>
                <w:sz w:val="18"/>
                <w:szCs w:val="24"/>
              </w:rPr>
              <w:t>60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w:t>
            </w:r>
            <w:r>
              <w:rPr>
                <w:rFonts w:hint="eastAsia"/>
                <w:color w:val="auto"/>
                <w:sz w:val="18"/>
                <w:szCs w:val="24"/>
                <w:vertAlign w:val="superscript"/>
                <w:lang w:val="en-US" w:eastAsia="zh-CN"/>
              </w:rPr>
              <w:t xml:space="preserve"> </w:t>
            </w:r>
            <w:r>
              <w:rPr>
                <w:rFonts w:hint="default" w:ascii="宋体" w:eastAsia="宋体"/>
                <w:color w:val="auto"/>
                <w:sz w:val="18"/>
                <w:szCs w:val="24"/>
              </w:rPr>
              <w:t>90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%），能有效减少学校聚集性疫情发生，保护师生健康安全。</w:t>
            </w:r>
          </w:p>
        </w:tc>
      </w:tr>
    </w:tbl>
    <w:p w14:paraId="2F68C7E9">
      <w:pPr>
        <w:pStyle w:val="82"/>
        <w:rPr>
          <w:rFonts w:hint="eastAsia"/>
          <w:color w:val="auto"/>
          <w:sz w:val="21"/>
          <w:szCs w:val="24"/>
        </w:rPr>
        <w:sectPr>
          <w:headerReference r:id="rId27" w:type="default"/>
          <w:footerReference r:id="rId29" w:type="default"/>
          <w:headerReference r:id="rId28" w:type="even"/>
          <w:footerReference r:id="rId30" w:type="even"/>
          <w:pgSz w:w="11906" w:h="16838"/>
          <w:pgMar w:top="1928" w:right="1134" w:bottom="1134" w:left="1134" w:header="1418" w:footer="1134" w:gutter="284"/>
          <w:lnNumType w:countBy="0" w:distance="360"/>
          <w:cols w:space="720" w:num="1"/>
          <w:formProt w:val="0"/>
          <w:docGrid w:linePitch="312" w:charSpace="0"/>
        </w:sectPr>
      </w:pPr>
    </w:p>
    <w:p w14:paraId="39E1C2C2">
      <w:pPr>
        <w:pStyle w:val="82"/>
        <w:rPr>
          <w:rFonts w:hint="eastAsia"/>
          <w:color w:val="auto"/>
          <w:sz w:val="21"/>
          <w:szCs w:val="24"/>
        </w:rPr>
      </w:pPr>
      <w:bookmarkStart w:id="99" w:name="_Toc22642"/>
      <w:bookmarkStart w:id="100" w:name="_Toc2717"/>
      <w:r>
        <w:rPr>
          <w:rFonts w:hint="eastAsia"/>
          <w:color w:val="auto"/>
          <w:sz w:val="21"/>
          <w:szCs w:val="24"/>
        </w:rPr>
        <w:t>学生及监护人/家长和学校教职员工肺结核健康科普内容</w:t>
      </w:r>
      <w:bookmarkEnd w:id="99"/>
      <w:bookmarkEnd w:id="100"/>
    </w:p>
    <w:p w14:paraId="61B72979">
      <w:pPr>
        <w:pStyle w:val="60"/>
        <w:spacing w:beforeLines="0" w:afterLines="0"/>
        <w:rPr>
          <w:rFonts w:hint="default" w:ascii="宋体" w:eastAsia="宋体"/>
          <w:color w:val="auto"/>
          <w:sz w:val="21"/>
          <w:szCs w:val="24"/>
        </w:rPr>
      </w:pPr>
      <w:r>
        <w:rPr>
          <w:rFonts w:hint="default" w:ascii="宋体" w:eastAsia="宋体"/>
          <w:color w:val="auto"/>
          <w:sz w:val="21"/>
          <w:szCs w:val="24"/>
        </w:rPr>
        <w:t>学生及监护人/家长和学校教职员工肺结核健康科普内容见表B.3。</w:t>
      </w:r>
    </w:p>
    <w:p w14:paraId="19BE2D46">
      <w:pPr>
        <w:pStyle w:val="81"/>
        <w:rPr>
          <w:rFonts w:hint="eastAsia"/>
          <w:color w:val="auto"/>
          <w:sz w:val="21"/>
          <w:szCs w:val="24"/>
        </w:rPr>
      </w:pPr>
      <w:bookmarkStart w:id="101" w:name="_Toc32547"/>
      <w:r>
        <w:rPr>
          <w:rFonts w:hint="eastAsia"/>
          <w:color w:val="auto"/>
          <w:sz w:val="21"/>
          <w:szCs w:val="24"/>
        </w:rPr>
        <w:t>学生及监护人/家长和学校教职员工肺结核健康科普内容</w:t>
      </w:r>
      <w:bookmarkEnd w:id="101"/>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830"/>
        <w:gridCol w:w="5891"/>
        <w:gridCol w:w="1613"/>
      </w:tblGrid>
      <w:tr w14:paraId="2BFD52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830" w:type="dxa"/>
            <w:tcBorders>
              <w:top w:val="single" w:color="auto" w:sz="8" w:space="0"/>
              <w:left w:val="single" w:color="auto" w:sz="8" w:space="0"/>
              <w:bottom w:val="single" w:color="auto" w:sz="4" w:space="0"/>
              <w:right w:val="single" w:color="auto" w:sz="4" w:space="0"/>
              <w:tl2br w:val="nil"/>
              <w:tr2bl w:val="nil"/>
            </w:tcBorders>
            <w:noWrap w:val="0"/>
            <w:vAlign w:val="center"/>
          </w:tcPr>
          <w:p w14:paraId="514322CA">
            <w:pPr>
              <w:pStyle w:val="182"/>
              <w:spacing w:beforeLines="0" w:afterLines="0"/>
              <w:rPr>
                <w:rFonts w:hint="eastAsia"/>
                <w:color w:val="auto"/>
                <w:sz w:val="18"/>
                <w:szCs w:val="24"/>
              </w:rPr>
            </w:pPr>
            <w:r>
              <w:rPr>
                <w:rFonts w:hint="default" w:ascii="宋体" w:eastAsia="宋体"/>
                <w:color w:val="auto"/>
                <w:sz w:val="18"/>
                <w:szCs w:val="24"/>
              </w:rPr>
              <w:t>人员类型</w:t>
            </w:r>
          </w:p>
        </w:tc>
        <w:tc>
          <w:tcPr>
            <w:tcW w:w="5891" w:type="dxa"/>
            <w:tcBorders>
              <w:top w:val="single" w:color="auto" w:sz="8" w:space="0"/>
              <w:left w:val="single" w:color="auto" w:sz="4" w:space="0"/>
              <w:bottom w:val="single" w:color="auto" w:sz="4" w:space="0"/>
              <w:right w:val="single" w:color="auto" w:sz="4" w:space="0"/>
              <w:tl2br w:val="nil"/>
              <w:tr2bl w:val="nil"/>
            </w:tcBorders>
            <w:noWrap w:val="0"/>
            <w:vAlign w:val="center"/>
          </w:tcPr>
          <w:p w14:paraId="326D6EB6">
            <w:pPr>
              <w:pStyle w:val="182"/>
              <w:spacing w:beforeLines="0" w:afterLines="0"/>
              <w:rPr>
                <w:rFonts w:hint="eastAsia"/>
                <w:color w:val="auto"/>
                <w:sz w:val="18"/>
                <w:szCs w:val="24"/>
              </w:rPr>
            </w:pPr>
            <w:r>
              <w:rPr>
                <w:rFonts w:hint="default" w:ascii="宋体" w:eastAsia="宋体"/>
                <w:color w:val="auto"/>
                <w:sz w:val="18"/>
                <w:szCs w:val="24"/>
              </w:rPr>
              <w:t>核心科普内容（按认知层级递进）</w:t>
            </w:r>
          </w:p>
        </w:tc>
        <w:tc>
          <w:tcPr>
            <w:tcW w:w="1613" w:type="dxa"/>
            <w:tcBorders>
              <w:top w:val="single" w:color="auto" w:sz="8" w:space="0"/>
              <w:left w:val="single" w:color="auto" w:sz="4" w:space="0"/>
              <w:bottom w:val="single" w:color="auto" w:sz="4" w:space="0"/>
              <w:right w:val="single" w:color="auto" w:sz="8" w:space="0"/>
              <w:tl2br w:val="nil"/>
              <w:tr2bl w:val="nil"/>
            </w:tcBorders>
            <w:noWrap w:val="0"/>
            <w:vAlign w:val="center"/>
          </w:tcPr>
          <w:p w14:paraId="474EF748">
            <w:pPr>
              <w:pStyle w:val="182"/>
              <w:spacing w:beforeLines="0" w:afterLines="0"/>
              <w:rPr>
                <w:rFonts w:hint="eastAsia"/>
                <w:color w:val="auto"/>
                <w:sz w:val="18"/>
                <w:szCs w:val="24"/>
              </w:rPr>
            </w:pPr>
            <w:r>
              <w:rPr>
                <w:rFonts w:hint="default" w:ascii="宋体" w:eastAsia="宋体"/>
                <w:color w:val="auto"/>
                <w:sz w:val="18"/>
                <w:szCs w:val="24"/>
              </w:rPr>
              <w:t>适配科普方式</w:t>
            </w:r>
          </w:p>
        </w:tc>
      </w:tr>
      <w:tr w14:paraId="2681A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830" w:type="dxa"/>
            <w:tcBorders>
              <w:top w:val="single" w:color="auto" w:sz="4" w:space="0"/>
              <w:left w:val="single" w:color="auto" w:sz="8" w:space="0"/>
              <w:bottom w:val="single" w:color="auto" w:sz="4" w:space="0"/>
              <w:right w:val="single" w:color="auto" w:sz="4" w:space="0"/>
              <w:tl2br w:val="nil"/>
              <w:tr2bl w:val="nil"/>
            </w:tcBorders>
            <w:noWrap w:val="0"/>
            <w:vAlign w:val="center"/>
          </w:tcPr>
          <w:p w14:paraId="377994F3">
            <w:pPr>
              <w:pStyle w:val="182"/>
              <w:spacing w:beforeLines="0" w:afterLines="0"/>
              <w:rPr>
                <w:rFonts w:hint="eastAsia"/>
                <w:color w:val="auto"/>
                <w:sz w:val="18"/>
                <w:szCs w:val="24"/>
              </w:rPr>
            </w:pPr>
            <w:r>
              <w:rPr>
                <w:rFonts w:hint="default" w:ascii="宋体" w:eastAsia="宋体"/>
                <w:color w:val="auto"/>
                <w:sz w:val="18"/>
                <w:szCs w:val="24"/>
              </w:rPr>
              <w:t>托幼机构学生、特殊教育学校学生</w:t>
            </w:r>
          </w:p>
        </w:tc>
        <w:tc>
          <w:tcPr>
            <w:tcW w:w="58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349688">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一、基础认知（具象化、生活化）</w:t>
            </w:r>
          </w:p>
          <w:p w14:paraId="17756D3A">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1.肺结核会引发咳嗽、乏力，易在校园内传染同伴，影响玩耍与学习；</w:t>
            </w:r>
          </w:p>
          <w:p w14:paraId="450D0753">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2.连续咳嗽咳痰</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18"/>
                <w:szCs w:val="24"/>
                <w:vertAlign w:val="superscript"/>
                <w:lang w:val="en-US" w:eastAsia="zh-CN"/>
              </w:rPr>
              <w:t xml:space="preserve"> </w:t>
            </w:r>
            <w:r>
              <w:rPr>
                <w:rFonts w:hint="default" w:ascii="宋体" w:eastAsia="宋体"/>
                <w:color w:val="auto"/>
                <w:sz w:val="18"/>
                <w:szCs w:val="24"/>
              </w:rPr>
              <w:t>2</w:t>
            </w:r>
            <w:r>
              <w:rPr>
                <w:rFonts w:hint="eastAsia"/>
                <w:color w:val="auto"/>
                <w:sz w:val="18"/>
                <w:szCs w:val="24"/>
                <w:vertAlign w:val="superscript"/>
                <w:lang w:val="en-US" w:eastAsia="zh-CN"/>
              </w:rPr>
              <w:t xml:space="preserve"> </w:t>
            </w:r>
            <w:r>
              <w:rPr>
                <w:rFonts w:hint="default" w:ascii="宋体" w:eastAsia="宋体"/>
                <w:color w:val="auto"/>
                <w:sz w:val="18"/>
                <w:szCs w:val="24"/>
              </w:rPr>
              <w:t>周或痰中带血，需告知老师/家长并及时就医；</w:t>
            </w:r>
          </w:p>
          <w:p w14:paraId="3C379E9F">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3.自身或他人患病需配合治疗，不可隐瞒（隐瞒会导致更多人患病）；</w:t>
            </w:r>
          </w:p>
          <w:p w14:paraId="1BB5BE32">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4.不挑食、多运动、睡好觉，增强体质防患病；</w:t>
            </w:r>
          </w:p>
          <w:p w14:paraId="700CC7A5">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5.不随地吐痰（痰用纸巾包好丢弃），咳嗽/打喷嚏用手或手肘遮口鼻。</w:t>
            </w:r>
          </w:p>
          <w:p w14:paraId="6B148DFC">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二、实操技能（趣味化教学）</w:t>
            </w:r>
          </w:p>
          <w:p w14:paraId="2DA56D8D">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6.掌握</w:t>
            </w:r>
            <w:r>
              <w:rPr>
                <w:rFonts w:hint="eastAsia"/>
                <w:color w:val="auto"/>
                <w:sz w:val="18"/>
                <w:szCs w:val="24"/>
                <w:lang w:eastAsia="zh-CN"/>
              </w:rPr>
              <w:t>“</w:t>
            </w:r>
            <w:r>
              <w:rPr>
                <w:rFonts w:hint="default" w:ascii="宋体" w:eastAsia="宋体"/>
                <w:color w:val="auto"/>
                <w:sz w:val="18"/>
                <w:szCs w:val="24"/>
              </w:rPr>
              <w:t>七步洗手法</w:t>
            </w:r>
            <w:r>
              <w:rPr>
                <w:rFonts w:hint="eastAsia"/>
                <w:color w:val="auto"/>
                <w:sz w:val="18"/>
                <w:szCs w:val="24"/>
                <w:lang w:eastAsia="zh-CN"/>
              </w:rPr>
              <w:t>”</w:t>
            </w:r>
            <w:r>
              <w:rPr>
                <w:rFonts w:hint="default" w:ascii="宋体" w:eastAsia="宋体"/>
                <w:color w:val="auto"/>
                <w:sz w:val="18"/>
                <w:szCs w:val="24"/>
              </w:rPr>
              <w:t>，饭前便后、玩完玩具后认真洗手；</w:t>
            </w:r>
          </w:p>
          <w:p w14:paraId="3C1EF84A">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7.知晓口罩需遮口鼻，身体不适时配合佩戴；</w:t>
            </w:r>
          </w:p>
          <w:p w14:paraId="002D3BA5">
            <w:pPr>
              <w:pStyle w:val="182"/>
              <w:spacing w:beforeLines="0" w:afterLines="0"/>
              <w:jc w:val="both"/>
              <w:rPr>
                <w:rFonts w:hint="eastAsia"/>
                <w:color w:val="auto"/>
                <w:sz w:val="18"/>
                <w:szCs w:val="24"/>
              </w:rPr>
            </w:pPr>
            <w:r>
              <w:rPr>
                <w:rFonts w:hint="default" w:ascii="宋体" w:eastAsia="宋体"/>
                <w:color w:val="auto"/>
                <w:sz w:val="18"/>
                <w:szCs w:val="24"/>
              </w:rPr>
              <w:t>8.学会咳嗽/打喷嚏正确姿势，不对着他人。</w:t>
            </w:r>
          </w:p>
        </w:tc>
        <w:tc>
          <w:tcPr>
            <w:tcW w:w="1613" w:type="dxa"/>
            <w:tcBorders>
              <w:top w:val="single" w:color="auto" w:sz="4" w:space="0"/>
              <w:left w:val="single" w:color="auto" w:sz="4" w:space="0"/>
              <w:bottom w:val="single" w:color="auto" w:sz="4" w:space="0"/>
              <w:right w:val="single" w:color="auto" w:sz="8" w:space="0"/>
              <w:tl2br w:val="nil"/>
              <w:tr2bl w:val="nil"/>
            </w:tcBorders>
            <w:noWrap w:val="0"/>
            <w:vAlign w:val="center"/>
          </w:tcPr>
          <w:p w14:paraId="062F7D92">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1.动画视频、儿歌口诀、互动游戏（如</w:t>
            </w:r>
            <w:r>
              <w:rPr>
                <w:rFonts w:hint="eastAsia"/>
                <w:color w:val="auto"/>
                <w:sz w:val="18"/>
                <w:szCs w:val="24"/>
                <w:lang w:eastAsia="zh-CN"/>
              </w:rPr>
              <w:t>“</w:t>
            </w:r>
            <w:r>
              <w:rPr>
                <w:rFonts w:hint="default" w:ascii="宋体" w:eastAsia="宋体"/>
                <w:color w:val="auto"/>
                <w:sz w:val="18"/>
                <w:szCs w:val="24"/>
              </w:rPr>
              <w:t>洗手小冠军</w:t>
            </w:r>
            <w:r>
              <w:rPr>
                <w:rFonts w:hint="eastAsia"/>
                <w:color w:val="auto"/>
                <w:sz w:val="18"/>
                <w:szCs w:val="24"/>
                <w:lang w:eastAsia="zh-CN"/>
              </w:rPr>
              <w:t>”</w:t>
            </w:r>
            <w:r>
              <w:rPr>
                <w:rFonts w:hint="default" w:ascii="宋体" w:eastAsia="宋体"/>
                <w:color w:val="auto"/>
                <w:sz w:val="18"/>
                <w:szCs w:val="24"/>
              </w:rPr>
              <w:t>竞赛）；</w:t>
            </w:r>
          </w:p>
          <w:p w14:paraId="62F22119">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2.情景剧表演、实物演示（玩具口罩、洗手模型）；</w:t>
            </w:r>
          </w:p>
          <w:p w14:paraId="10FB8A78">
            <w:pPr>
              <w:pStyle w:val="182"/>
              <w:spacing w:beforeLines="0" w:afterLines="0"/>
              <w:jc w:val="both"/>
              <w:rPr>
                <w:rFonts w:hint="eastAsia"/>
                <w:color w:val="auto"/>
                <w:sz w:val="18"/>
                <w:szCs w:val="24"/>
              </w:rPr>
            </w:pPr>
            <w:r>
              <w:rPr>
                <w:rFonts w:hint="default" w:ascii="宋体" w:eastAsia="宋体"/>
                <w:color w:val="auto"/>
                <w:sz w:val="18"/>
                <w:szCs w:val="24"/>
              </w:rPr>
              <w:t>3.图片卡片、绘本阅读，用简单图示替代复杂文字。</w:t>
            </w:r>
          </w:p>
        </w:tc>
      </w:tr>
      <w:tr w14:paraId="046BE1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830" w:type="dxa"/>
            <w:tcBorders>
              <w:top w:val="single" w:color="auto" w:sz="4" w:space="0"/>
              <w:left w:val="single" w:color="auto" w:sz="8" w:space="0"/>
              <w:bottom w:val="single" w:color="auto" w:sz="4" w:space="0"/>
              <w:right w:val="single" w:color="auto" w:sz="4" w:space="0"/>
              <w:tl2br w:val="nil"/>
              <w:tr2bl w:val="nil"/>
            </w:tcBorders>
            <w:noWrap w:val="0"/>
            <w:vAlign w:val="center"/>
          </w:tcPr>
          <w:p w14:paraId="08015463">
            <w:pPr>
              <w:pStyle w:val="182"/>
              <w:spacing w:beforeLines="0" w:afterLines="0"/>
              <w:rPr>
                <w:rFonts w:hint="default" w:ascii="宋体" w:eastAsia="宋体"/>
                <w:color w:val="auto"/>
                <w:sz w:val="18"/>
                <w:szCs w:val="24"/>
              </w:rPr>
            </w:pPr>
            <w:r>
              <w:rPr>
                <w:rFonts w:hint="default" w:ascii="宋体" w:eastAsia="宋体"/>
                <w:color w:val="auto"/>
                <w:sz w:val="18"/>
                <w:szCs w:val="24"/>
              </w:rPr>
              <w:t>1-6年级学生</w:t>
            </w:r>
          </w:p>
        </w:tc>
        <w:tc>
          <w:tcPr>
            <w:tcW w:w="58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BC6A6F">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一、基础认知（强化责任意识）</w:t>
            </w:r>
          </w:p>
          <w:p w14:paraId="076E41F1">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1.肺结核为呼吸道传染病，校园人员密集易传播，影响健康与教学秩序；</w:t>
            </w:r>
          </w:p>
          <w:p w14:paraId="2922DEAF">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2.咳嗽咳痰</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周或痰中带血/咯血，需警惕并告知班主任/校医/家长，及时就医检查；</w:t>
            </w:r>
          </w:p>
          <w:p w14:paraId="5A7386B3">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3.自身患病遵医嘱治疗、不擅自停药、配合隔离；发现他人患病不歧视、提醒就医并做好防护；隐瞒会加重病情、传染他人，需担责；</w:t>
            </w:r>
          </w:p>
          <w:p w14:paraId="47098BB0">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4.均衡饮食、适度运动、充足睡眠，增强免疫力防患病；</w:t>
            </w:r>
          </w:p>
          <w:p w14:paraId="15D1A798">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5.不随地吐痰，咳嗽/打喷嚏用纸巾/手肘遮挡，室内常通风。</w:t>
            </w:r>
          </w:p>
          <w:p w14:paraId="3D9D0EF8">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二、实操技能（规范操作）</w:t>
            </w:r>
          </w:p>
          <w:p w14:paraId="32074B49">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6.掌握</w:t>
            </w:r>
            <w:r>
              <w:rPr>
                <w:rFonts w:hint="eastAsia"/>
                <w:color w:val="auto"/>
                <w:sz w:val="18"/>
                <w:szCs w:val="24"/>
                <w:lang w:eastAsia="zh-CN"/>
              </w:rPr>
              <w:t>“</w:t>
            </w:r>
            <w:r>
              <w:rPr>
                <w:rFonts w:hint="default" w:ascii="宋体" w:eastAsia="宋体"/>
                <w:color w:val="auto"/>
                <w:sz w:val="18"/>
                <w:szCs w:val="24"/>
              </w:rPr>
              <w:t>七步洗手法</w:t>
            </w:r>
            <w:r>
              <w:rPr>
                <w:rFonts w:hint="eastAsia"/>
                <w:color w:val="auto"/>
                <w:sz w:val="18"/>
                <w:szCs w:val="24"/>
                <w:lang w:eastAsia="zh-CN"/>
              </w:rPr>
              <w:t>”</w:t>
            </w:r>
            <w:r>
              <w:rPr>
                <w:rFonts w:hint="default" w:ascii="宋体" w:eastAsia="宋体"/>
                <w:color w:val="auto"/>
                <w:sz w:val="18"/>
                <w:szCs w:val="24"/>
              </w:rPr>
              <w:t>，用流动水+肥皂/洗手液清洗，时长</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秒；</w:t>
            </w:r>
          </w:p>
          <w:p w14:paraId="7DCE151C">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7.正确佩戴一次性医用口罩，污染/潮湿及时更换；</w:t>
            </w:r>
          </w:p>
          <w:p w14:paraId="2064E90D">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8.遵守咳嗽礼仪：不对人群咳嗽，用过的纸巾立即丢弃并洗手。</w:t>
            </w:r>
          </w:p>
          <w:p w14:paraId="5BA1FB37">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三、拓展认知</w:t>
            </w:r>
          </w:p>
          <w:p w14:paraId="32E71AC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9.肺结核防治核心要点：可防可治、规范治疗治愈率高，主要通过飞沫传播。</w:t>
            </w:r>
          </w:p>
        </w:tc>
        <w:tc>
          <w:tcPr>
            <w:tcW w:w="1613" w:type="dxa"/>
            <w:tcBorders>
              <w:top w:val="single" w:color="auto" w:sz="4" w:space="0"/>
              <w:left w:val="single" w:color="auto" w:sz="4" w:space="0"/>
              <w:bottom w:val="single" w:color="auto" w:sz="4" w:space="0"/>
              <w:right w:val="single" w:color="auto" w:sz="8" w:space="0"/>
              <w:tl2br w:val="nil"/>
              <w:tr2bl w:val="nil"/>
            </w:tcBorders>
            <w:noWrap w:val="0"/>
            <w:vAlign w:val="center"/>
          </w:tcPr>
          <w:p w14:paraId="0BA876C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1.动画短片、互动课堂、趣味手册、知识问答竞赛；</w:t>
            </w:r>
          </w:p>
          <w:p w14:paraId="17FD93A5">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2.手抄报、绘画比赛，强化知识记忆；</w:t>
            </w:r>
          </w:p>
          <w:p w14:paraId="1BDB4E83">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3.校医现场演示洗手、戴口罩方法，分组实操练习。</w:t>
            </w:r>
          </w:p>
        </w:tc>
      </w:tr>
      <w:tr w14:paraId="523B09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830" w:type="dxa"/>
            <w:tcBorders>
              <w:top w:val="single" w:color="auto" w:sz="4" w:space="0"/>
              <w:left w:val="single" w:color="auto" w:sz="8" w:space="0"/>
              <w:bottom w:val="single" w:color="auto" w:sz="8" w:space="0"/>
              <w:right w:val="single" w:color="auto" w:sz="4" w:space="0"/>
              <w:tl2br w:val="nil"/>
              <w:tr2bl w:val="nil"/>
            </w:tcBorders>
            <w:noWrap w:val="0"/>
            <w:vAlign w:val="center"/>
          </w:tcPr>
          <w:p w14:paraId="60827A2C">
            <w:pPr>
              <w:pStyle w:val="182"/>
              <w:spacing w:beforeLines="0" w:afterLines="0"/>
              <w:rPr>
                <w:rFonts w:hint="default" w:ascii="宋体" w:eastAsia="宋体"/>
                <w:color w:val="auto"/>
                <w:sz w:val="18"/>
                <w:szCs w:val="24"/>
              </w:rPr>
            </w:pPr>
            <w:r>
              <w:rPr>
                <w:rFonts w:hint="default" w:ascii="宋体" w:eastAsia="宋体"/>
                <w:color w:val="auto"/>
                <w:sz w:val="18"/>
                <w:szCs w:val="24"/>
              </w:rPr>
              <w:t>7-9年级学生</w:t>
            </w:r>
          </w:p>
        </w:tc>
        <w:tc>
          <w:tcPr>
            <w:tcW w:w="5891" w:type="dxa"/>
            <w:tcBorders>
              <w:top w:val="single" w:color="auto" w:sz="4" w:space="0"/>
              <w:left w:val="single" w:color="auto" w:sz="4" w:space="0"/>
              <w:bottom w:val="single" w:color="auto" w:sz="8" w:space="0"/>
              <w:right w:val="single" w:color="auto" w:sz="4" w:space="0"/>
              <w:tl2br w:val="nil"/>
              <w:tr2bl w:val="nil"/>
            </w:tcBorders>
            <w:noWrap w:val="0"/>
            <w:vAlign w:val="center"/>
          </w:tcPr>
          <w:p w14:paraId="28D17A55">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一、系统认知（深化逻辑理解）</w:t>
            </w:r>
          </w:p>
          <w:p w14:paraId="4E036D7C">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1.校园人员密集易爆发肺结核聚集性疫情，损害个人健康（如肺部病变、影响学业），干扰教学秩序；</w:t>
            </w:r>
          </w:p>
          <w:p w14:paraId="7233334B">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2.咳嗽咳痰</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18"/>
                <w:szCs w:val="24"/>
                <w:vertAlign w:val="superscript"/>
                <w:lang w:val="en-US" w:eastAsia="zh-CN"/>
              </w:rPr>
              <w:t xml:space="preserve"> </w:t>
            </w:r>
            <w:r>
              <w:rPr>
                <w:rFonts w:hint="default" w:ascii="宋体" w:eastAsia="宋体"/>
                <w:color w:val="auto"/>
                <w:sz w:val="18"/>
                <w:szCs w:val="24"/>
              </w:rPr>
              <w:t>2</w:t>
            </w:r>
            <w:r>
              <w:rPr>
                <w:rFonts w:hint="eastAsia"/>
                <w:color w:val="auto"/>
                <w:sz w:val="18"/>
                <w:szCs w:val="24"/>
                <w:vertAlign w:val="superscript"/>
                <w:lang w:val="en-US" w:eastAsia="zh-CN"/>
              </w:rPr>
              <w:t xml:space="preserve"> </w:t>
            </w:r>
            <w:r>
              <w:rPr>
                <w:rFonts w:hint="default" w:ascii="宋体" w:eastAsia="宋体"/>
                <w:color w:val="auto"/>
                <w:sz w:val="18"/>
                <w:szCs w:val="24"/>
              </w:rPr>
              <w:t>周、痰中带血/咯血，或伴午后潮热、夜间盗汗、体重减轻等症状，需警惕并告知班主任，及时到定点医疗机构就诊；</w:t>
            </w:r>
          </w:p>
          <w:p w14:paraId="735935D5">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3.患病后主动报告，遵医嘱规范治疗（不擅自停药），配合学校和疾控部门管理；隐瞒病情会扩散疾病、危害他人，违反《传染病防治法》需担责；</w:t>
            </w:r>
          </w:p>
          <w:p w14:paraId="5CDFC774">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4.均衡饮食、规律运动、充足睡眠，避免过度劳累，提升免疫力；</w:t>
            </w:r>
          </w:p>
          <w:p w14:paraId="728F873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5.遵守呼吸道卫生规范：不随地吐痰，咳嗽/打喷嚏遮挡口鼻，保持室内通风，减少密闭空间停留；</w:t>
            </w:r>
          </w:p>
          <w:p w14:paraId="3EB4156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6.学校肺结核防控是保障师生健康、维护校园公共卫生安全的关键。</w:t>
            </w:r>
          </w:p>
          <w:p w14:paraId="3E627147">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二、规范技能（对接标准）</w:t>
            </w:r>
          </w:p>
          <w:p w14:paraId="1A6833E3">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7.熟练掌握规范洗手方法，明确重点洗手场景；</w:t>
            </w:r>
          </w:p>
          <w:p w14:paraId="56636E5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8.规范佩戴、更换、废弃口罩，理解不同场景口罩选择要点；</w:t>
            </w:r>
          </w:p>
          <w:p w14:paraId="5D0BF9E1">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9.严格执行咳嗽礼仪/呼吸道卫生规范，主动做好个人防护。</w:t>
            </w:r>
          </w:p>
          <w:p w14:paraId="1B985C3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三、拓展认知</w:t>
            </w:r>
          </w:p>
          <w:p w14:paraId="6FBAE6DA">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10.肺结核防治核心延伸：①主要通过飞沫传播，握手、共餐不传染；②规范治疗</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6</w:t>
            </w:r>
            <w:r>
              <w:rPr>
                <w:rFonts w:hint="default" w:ascii="Arial" w:hAnsi="Arial" w:eastAsia="宋体" w:cs="Arial"/>
                <w:color w:val="auto"/>
                <w:sz w:val="18"/>
                <w:szCs w:val="24"/>
              </w:rPr>
              <w:t>-</w:t>
            </w:r>
            <w:r>
              <w:rPr>
                <w:rFonts w:hint="default" w:ascii="宋体" w:eastAsia="宋体"/>
                <w:color w:val="auto"/>
                <w:sz w:val="18"/>
                <w:szCs w:val="24"/>
              </w:rPr>
              <w:t>8</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个月多可治愈；③可疑症状者可享定点医院免费痰涂片、胸片检查；</w:t>
            </w:r>
          </w:p>
          <w:p w14:paraId="4B1C352A">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11.校园防控延伸：①可疑症状识别与求助对象；②病原学阳性（痰菌阳性）肺结核患者是结核病的主要传染源；③需到定点门诊治疗；④新发现的肺结核患者坚持规律用药并完成规定的疗程后，95</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%以上的患者可被治愈；⑤共用餐具不传染。</w:t>
            </w:r>
          </w:p>
        </w:tc>
        <w:tc>
          <w:tcPr>
            <w:tcW w:w="1613" w:type="dxa"/>
            <w:tcBorders>
              <w:top w:val="single" w:color="auto" w:sz="4" w:space="0"/>
              <w:left w:val="single" w:color="auto" w:sz="4" w:space="0"/>
              <w:bottom w:val="single" w:color="auto" w:sz="8" w:space="0"/>
              <w:right w:val="single" w:color="auto" w:sz="8" w:space="0"/>
              <w:tl2br w:val="nil"/>
              <w:tr2bl w:val="nil"/>
            </w:tcBorders>
            <w:noWrap w:val="0"/>
            <w:vAlign w:val="center"/>
          </w:tcPr>
          <w:p w14:paraId="08BF4EB5">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1.专题讲座、科普视频、防控实操演练；</w:t>
            </w:r>
          </w:p>
          <w:p w14:paraId="2EAA99B4">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2.发放健康教育宣传册、校园典型案例分析会；</w:t>
            </w:r>
          </w:p>
          <w:p w14:paraId="02379FD0">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3.小组讨论、主题班会，深化对防控责任的理解。</w:t>
            </w:r>
          </w:p>
        </w:tc>
      </w:tr>
    </w:tbl>
    <w:p w14:paraId="1032559B">
      <w:pPr>
        <w:pStyle w:val="60"/>
        <w:keepNext/>
        <w:pageBreakBefore/>
        <w:spacing w:before="157" w:beforeLines="50" w:after="157" w:afterLines="50"/>
        <w:ind w:firstLine="0" w:firstLineChars="0"/>
        <w:jc w:val="center"/>
        <w:rPr>
          <w:rFonts w:hint="default" w:ascii="宋体" w:hAnsi="宋体" w:eastAsia="宋体" w:cs="宋体"/>
          <w:color w:val="auto"/>
          <w:sz w:val="21"/>
          <w:szCs w:val="24"/>
        </w:rPr>
      </w:pPr>
      <w:r>
        <w:rPr>
          <w:rFonts w:hint="eastAsia" w:ascii="黑体" w:hAnsi="黑体" w:eastAsia="黑体" w:cs="黑体"/>
          <w:color w:val="auto"/>
          <w:sz w:val="21"/>
          <w:szCs w:val="24"/>
        </w:rPr>
        <w:t>表B.3  学生及监护人/家长和学校教职员工肺结核健康科普内容</w:t>
      </w:r>
      <w:r>
        <w:rPr>
          <w:rFonts w:hint="default" w:ascii="宋体" w:hAnsi="宋体" w:eastAsia="宋体" w:cs="宋体"/>
          <w:color w:val="auto"/>
          <w:sz w:val="21"/>
          <w:szCs w:val="24"/>
        </w:rPr>
        <w:t>（续）</w:t>
      </w:r>
    </w:p>
    <w:tbl>
      <w:tblPr>
        <w:tblStyle w:val="29"/>
        <w:tblW w:w="979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200"/>
        <w:gridCol w:w="7238"/>
        <w:gridCol w:w="1355"/>
      </w:tblGrid>
      <w:tr w14:paraId="77397A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200" w:type="dxa"/>
            <w:tcBorders>
              <w:top w:val="single" w:color="auto" w:sz="8" w:space="0"/>
              <w:left w:val="single" w:color="auto" w:sz="8" w:space="0"/>
              <w:bottom w:val="single" w:color="auto" w:sz="4" w:space="0"/>
              <w:right w:val="single" w:color="auto" w:sz="4" w:space="0"/>
              <w:tl2br w:val="nil"/>
              <w:tr2bl w:val="nil"/>
            </w:tcBorders>
            <w:noWrap w:val="0"/>
            <w:vAlign w:val="center"/>
          </w:tcPr>
          <w:p w14:paraId="4AA876CF">
            <w:pPr>
              <w:pStyle w:val="182"/>
              <w:keepNext/>
              <w:spacing w:beforeLines="0" w:afterLines="0" w:line="210" w:lineRule="exact"/>
              <w:rPr>
                <w:rFonts w:hint="eastAsia"/>
                <w:color w:val="auto"/>
                <w:sz w:val="18"/>
                <w:szCs w:val="24"/>
              </w:rPr>
            </w:pPr>
            <w:r>
              <w:rPr>
                <w:rFonts w:hint="default" w:ascii="宋体" w:eastAsia="宋体"/>
                <w:color w:val="auto"/>
                <w:sz w:val="18"/>
                <w:szCs w:val="24"/>
              </w:rPr>
              <w:t>人员类型</w:t>
            </w:r>
          </w:p>
        </w:tc>
        <w:tc>
          <w:tcPr>
            <w:tcW w:w="7238" w:type="dxa"/>
            <w:tcBorders>
              <w:top w:val="single" w:color="auto" w:sz="8" w:space="0"/>
              <w:left w:val="single" w:color="auto" w:sz="4" w:space="0"/>
              <w:bottom w:val="single" w:color="auto" w:sz="4" w:space="0"/>
              <w:right w:val="single" w:color="auto" w:sz="4" w:space="0"/>
              <w:tl2br w:val="nil"/>
              <w:tr2bl w:val="nil"/>
            </w:tcBorders>
            <w:noWrap w:val="0"/>
            <w:vAlign w:val="center"/>
          </w:tcPr>
          <w:p w14:paraId="62BF3DCA">
            <w:pPr>
              <w:pStyle w:val="182"/>
              <w:keepNext/>
              <w:spacing w:beforeLines="0" w:afterLines="0" w:line="210" w:lineRule="exact"/>
              <w:rPr>
                <w:rFonts w:hint="eastAsia"/>
                <w:color w:val="auto"/>
                <w:sz w:val="18"/>
                <w:szCs w:val="24"/>
              </w:rPr>
            </w:pPr>
            <w:r>
              <w:rPr>
                <w:rFonts w:hint="default" w:ascii="宋体" w:eastAsia="宋体"/>
                <w:color w:val="auto"/>
                <w:sz w:val="18"/>
                <w:szCs w:val="24"/>
              </w:rPr>
              <w:t>核心科普内容（按认知层级递进）</w:t>
            </w:r>
          </w:p>
        </w:tc>
        <w:tc>
          <w:tcPr>
            <w:tcW w:w="1355" w:type="dxa"/>
            <w:tcBorders>
              <w:top w:val="single" w:color="auto" w:sz="8" w:space="0"/>
              <w:left w:val="single" w:color="auto" w:sz="4" w:space="0"/>
              <w:bottom w:val="single" w:color="auto" w:sz="4" w:space="0"/>
              <w:right w:val="single" w:color="auto" w:sz="8" w:space="0"/>
              <w:tl2br w:val="nil"/>
              <w:tr2bl w:val="nil"/>
            </w:tcBorders>
            <w:noWrap w:val="0"/>
            <w:vAlign w:val="center"/>
          </w:tcPr>
          <w:p w14:paraId="422C6929">
            <w:pPr>
              <w:pStyle w:val="182"/>
              <w:keepNext/>
              <w:spacing w:beforeLines="0" w:afterLines="0" w:line="210" w:lineRule="exact"/>
              <w:rPr>
                <w:rFonts w:hint="eastAsia"/>
                <w:color w:val="auto"/>
                <w:sz w:val="18"/>
                <w:szCs w:val="24"/>
              </w:rPr>
            </w:pPr>
            <w:r>
              <w:rPr>
                <w:rFonts w:hint="default" w:ascii="宋体" w:eastAsia="宋体"/>
                <w:color w:val="auto"/>
                <w:sz w:val="18"/>
                <w:szCs w:val="24"/>
              </w:rPr>
              <w:t>适配科普方式</w:t>
            </w:r>
          </w:p>
        </w:tc>
      </w:tr>
      <w:tr w14:paraId="34A136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5532" w:hRule="atLeast"/>
          <w:tblHeader/>
          <w:jc w:val="center"/>
        </w:trPr>
        <w:tc>
          <w:tcPr>
            <w:tcW w:w="1200" w:type="dxa"/>
            <w:tcBorders>
              <w:top w:val="single" w:color="auto" w:sz="4" w:space="0"/>
              <w:left w:val="single" w:color="auto" w:sz="8" w:space="0"/>
              <w:bottom w:val="single" w:color="auto" w:sz="4" w:space="0"/>
              <w:right w:val="single" w:color="auto" w:sz="4" w:space="0"/>
              <w:tl2br w:val="nil"/>
              <w:tr2bl w:val="nil"/>
            </w:tcBorders>
            <w:noWrap w:val="0"/>
            <w:vAlign w:val="center"/>
          </w:tcPr>
          <w:p w14:paraId="41021DF3">
            <w:pPr>
              <w:pStyle w:val="182"/>
              <w:keepNext/>
              <w:spacing w:beforeLines="0" w:afterLines="0" w:line="210" w:lineRule="exact"/>
              <w:rPr>
                <w:rFonts w:hint="default" w:ascii="宋体" w:eastAsia="宋体"/>
                <w:color w:val="auto"/>
                <w:sz w:val="18"/>
                <w:szCs w:val="24"/>
              </w:rPr>
            </w:pPr>
            <w:r>
              <w:rPr>
                <w:rFonts w:hint="default" w:ascii="宋体" w:eastAsia="宋体"/>
                <w:color w:val="auto"/>
                <w:sz w:val="18"/>
                <w:szCs w:val="24"/>
              </w:rPr>
              <w:t>职校生、高中生和大学生</w:t>
            </w:r>
          </w:p>
        </w:tc>
        <w:tc>
          <w:tcPr>
            <w:tcW w:w="7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31B651">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一、深度认知（强化责任与风险意识）</w:t>
            </w:r>
          </w:p>
          <w:p w14:paraId="10747958">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1.肺结核为呼吸道传染病，校园集体环境传播风险高，易引发聚集性疫情，损害健康并影响教学科研秩序；</w:t>
            </w:r>
          </w:p>
          <w:p w14:paraId="2D263A1D">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2.咳嗽咳痰</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周、痰中带血/咯血等可疑症状，需及时到定点医疗机构排查；</w:t>
            </w:r>
          </w:p>
          <w:p w14:paraId="5FEDA759">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3.自身患病：主动报告学校，遵医嘱完成</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6</w:t>
            </w:r>
            <w:r>
              <w:rPr>
                <w:rFonts w:hint="default" w:ascii="Arial" w:hAnsi="Arial" w:eastAsia="宋体" w:cs="Arial"/>
                <w:color w:val="auto"/>
                <w:sz w:val="18"/>
                <w:szCs w:val="24"/>
              </w:rPr>
              <w:t>-</w:t>
            </w:r>
            <w:r>
              <w:rPr>
                <w:rFonts w:hint="default" w:ascii="宋体" w:eastAsia="宋体"/>
                <w:color w:val="auto"/>
                <w:sz w:val="18"/>
                <w:szCs w:val="24"/>
              </w:rPr>
              <w:t>8</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个月规范治疗（不擅自停药）；他人患病：关怀支持并提醒就医、做好自我防护；隐瞒病情会恶化自身病情、传播疾病，违反《传染病防治法》需担责，还会影响学业；</w:t>
            </w:r>
          </w:p>
          <w:p w14:paraId="407546C0">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4.主动参与校园防控，做好个人防护；</w:t>
            </w:r>
          </w:p>
          <w:p w14:paraId="64A91EC3">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5.均衡饮食、规律运动、充足睡眠，避免熬夜劳累，增强免疫力；</w:t>
            </w:r>
          </w:p>
          <w:p w14:paraId="15231F72">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6.不随地吐痰，咳嗽/打喷嚏遮挡口鼻，保持室内通风，人员密集场所规范佩戴口罩。</w:t>
            </w:r>
          </w:p>
          <w:p w14:paraId="7608460E">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二、专业技能（实操+理论结合）</w:t>
            </w:r>
          </w:p>
          <w:p w14:paraId="6E21A5B3">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7.熟练掌握规范洗手方法及操作细节；</w:t>
            </w:r>
          </w:p>
          <w:p w14:paraId="64842012">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8.按场景选合适口罩，规范完成佩戴、更换与处理；</w:t>
            </w:r>
          </w:p>
          <w:p w14:paraId="5DE171B9">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9.严格遵守咳嗽礼仪与呼吸道卫生规范；</w:t>
            </w:r>
          </w:p>
          <w:p w14:paraId="135382F8">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10.掌握校园防控实操知识：环境通风、消毒要点，聚集性疫情应急处置配合要求。</w:t>
            </w:r>
          </w:p>
          <w:p w14:paraId="7C72ACEC">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三、拓展认知</w:t>
            </w:r>
          </w:p>
          <w:p w14:paraId="433879C7">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11.肺结核防治核心：①肺结核主要经呼吸道飞沫传播；②痰病原学检查为临床确诊金标准，开展连续</w:t>
            </w:r>
            <w:r>
              <w:rPr>
                <w:rFonts w:hint="eastAsia"/>
                <w:color w:val="auto"/>
                <w:sz w:val="18"/>
                <w:szCs w:val="24"/>
                <w:vertAlign w:val="superscript"/>
                <w:lang w:val="en-US" w:eastAsia="zh-CN"/>
              </w:rPr>
              <w:t xml:space="preserve"> </w:t>
            </w:r>
            <w:r>
              <w:rPr>
                <w:rFonts w:hint="default" w:ascii="宋体" w:eastAsia="宋体"/>
                <w:color w:val="auto"/>
                <w:sz w:val="18"/>
                <w:szCs w:val="24"/>
              </w:rPr>
              <w:t>3</w:t>
            </w:r>
            <w:r>
              <w:rPr>
                <w:rFonts w:hint="eastAsia"/>
                <w:color w:val="auto"/>
                <w:sz w:val="18"/>
                <w:szCs w:val="24"/>
                <w:vertAlign w:val="superscript"/>
                <w:lang w:val="en-US" w:eastAsia="zh-CN"/>
              </w:rPr>
              <w:t xml:space="preserve"> </w:t>
            </w:r>
            <w:r>
              <w:rPr>
                <w:rFonts w:hint="default" w:ascii="宋体" w:eastAsia="宋体"/>
                <w:color w:val="auto"/>
                <w:sz w:val="18"/>
                <w:szCs w:val="24"/>
              </w:rPr>
              <w:t>次痰涂片检查可有效提升病原菌检出率；③按属地结核病防治政策，肺结核可疑症状者可至定点医疗机构享受国家免费筛查；符合条件的活动性肺结核患者，免费领取抗结核固定剂量复合制剂规范治疗，相关细则以当地现行政策为准；④坚持全程规范开展抗结核治疗，临床治愈率可达</w:t>
            </w:r>
            <w:r>
              <w:rPr>
                <w:rFonts w:hint="eastAsia"/>
                <w:color w:val="auto"/>
                <w:sz w:val="18"/>
                <w:szCs w:val="24"/>
                <w:vertAlign w:val="superscript"/>
                <w:lang w:val="en-US" w:eastAsia="zh-CN"/>
              </w:rPr>
              <w:t xml:space="preserve"> </w:t>
            </w:r>
            <w:r>
              <w:rPr>
                <w:rFonts w:hint="default" w:ascii="宋体" w:eastAsia="宋体"/>
                <w:color w:val="auto"/>
                <w:sz w:val="18"/>
                <w:szCs w:val="24"/>
              </w:rPr>
              <w:t>95</w:t>
            </w:r>
            <w:r>
              <w:rPr>
                <w:rFonts w:hint="eastAsia"/>
                <w:color w:val="auto"/>
                <w:sz w:val="18"/>
                <w:szCs w:val="24"/>
                <w:vertAlign w:val="superscript"/>
                <w:lang w:val="en-US" w:eastAsia="zh-CN"/>
              </w:rPr>
              <w:t xml:space="preserve"> </w:t>
            </w:r>
            <w:r>
              <w:rPr>
                <w:rFonts w:hint="default" w:ascii="宋体" w:eastAsia="宋体"/>
                <w:color w:val="auto"/>
                <w:sz w:val="18"/>
                <w:szCs w:val="24"/>
              </w:rPr>
              <w:t>%以上，治愈后可正常完成学业与日常工作；</w:t>
            </w:r>
          </w:p>
          <w:p w14:paraId="5C5D55AD">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12.校园防控延伸知识：①传播机制、可疑症状识别、痰菌检查要求及易感人群特征；②病原学阳性（痰菌阳性）肺结核患者是结核病的主要传染源；③定点诊疗优势、</w:t>
            </w:r>
            <w:r>
              <w:rPr>
                <w:rFonts w:hint="eastAsia"/>
                <w:color w:val="auto"/>
                <w:sz w:val="18"/>
                <w:szCs w:val="24"/>
                <w:lang w:eastAsia="zh-CN"/>
              </w:rPr>
              <w:t>“</w:t>
            </w:r>
            <w:r>
              <w:rPr>
                <w:rFonts w:hint="default" w:ascii="宋体" w:eastAsia="宋体"/>
                <w:color w:val="auto"/>
                <w:sz w:val="18"/>
                <w:szCs w:val="24"/>
              </w:rPr>
              <w:t>早期、联合、适量、规律、全程</w:t>
            </w:r>
            <w:r>
              <w:rPr>
                <w:rFonts w:hint="eastAsia"/>
                <w:color w:val="auto"/>
                <w:sz w:val="18"/>
                <w:szCs w:val="24"/>
                <w:lang w:eastAsia="zh-CN"/>
              </w:rPr>
              <w:t>”</w:t>
            </w:r>
            <w:r>
              <w:rPr>
                <w:rFonts w:hint="default" w:ascii="宋体" w:eastAsia="宋体"/>
                <w:color w:val="auto"/>
                <w:sz w:val="18"/>
                <w:szCs w:val="24"/>
              </w:rPr>
              <w:t>治疗原则等；③耐药结核成因、危害与预防关键；④患病后心理调适方法，复学前需提供定点医疗机构诊断证明并经校医核查；⑤职校生进入食品、医疗等行业实习前，需按要求提供肺结核筛查合格证明。</w:t>
            </w:r>
          </w:p>
        </w:tc>
        <w:tc>
          <w:tcPr>
            <w:tcW w:w="1355" w:type="dxa"/>
            <w:tcBorders>
              <w:top w:val="single" w:color="auto" w:sz="4" w:space="0"/>
              <w:left w:val="single" w:color="auto" w:sz="4" w:space="0"/>
              <w:bottom w:val="single" w:color="auto" w:sz="4" w:space="0"/>
              <w:right w:val="single" w:color="auto" w:sz="8" w:space="0"/>
              <w:tl2br w:val="nil"/>
              <w:tr2bl w:val="nil"/>
            </w:tcBorders>
            <w:noWrap w:val="0"/>
            <w:vAlign w:val="center"/>
          </w:tcPr>
          <w:p w14:paraId="7A98DC2C">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1.主题宣讲、线上科普专栏、典型案例分享会；</w:t>
            </w:r>
          </w:p>
          <w:p w14:paraId="15853729">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2.辩论赛、学术沙龙，深化对防控责任的认知；</w:t>
            </w:r>
          </w:p>
          <w:p w14:paraId="08407E50">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3.实操培训（如消毒方法、口罩选择）、应急演练。</w:t>
            </w:r>
          </w:p>
        </w:tc>
      </w:tr>
      <w:tr w14:paraId="0C311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048" w:hRule="atLeast"/>
          <w:tblHeader/>
          <w:jc w:val="center"/>
        </w:trPr>
        <w:tc>
          <w:tcPr>
            <w:tcW w:w="1200" w:type="dxa"/>
            <w:vMerge w:val="restart"/>
            <w:tcBorders>
              <w:top w:val="single" w:color="auto" w:sz="4" w:space="0"/>
              <w:left w:val="single" w:color="auto" w:sz="8" w:space="0"/>
              <w:bottom w:val="single" w:color="auto" w:sz="4" w:space="0"/>
              <w:right w:val="single" w:color="auto" w:sz="4" w:space="0"/>
              <w:tl2br w:val="nil"/>
              <w:tr2bl w:val="nil"/>
            </w:tcBorders>
            <w:noWrap w:val="0"/>
            <w:vAlign w:val="center"/>
          </w:tcPr>
          <w:p w14:paraId="306C8039">
            <w:pPr>
              <w:pStyle w:val="182"/>
              <w:keepNext/>
              <w:spacing w:beforeLines="0" w:afterLines="0" w:line="210" w:lineRule="exact"/>
              <w:jc w:val="left"/>
              <w:rPr>
                <w:rFonts w:hint="default" w:ascii="宋体" w:eastAsia="宋体"/>
                <w:color w:val="auto"/>
                <w:sz w:val="18"/>
                <w:szCs w:val="24"/>
              </w:rPr>
            </w:pPr>
            <w:r>
              <w:rPr>
                <w:rFonts w:hint="default" w:ascii="宋体" w:eastAsia="宋体"/>
                <w:color w:val="auto"/>
                <w:sz w:val="18"/>
                <w:szCs w:val="24"/>
              </w:rPr>
              <w:t>托幼机构、特殊教育学校的监护人/家长</w:t>
            </w:r>
          </w:p>
        </w:tc>
        <w:tc>
          <w:tcPr>
            <w:tcW w:w="7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EA5446">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一、监护认知（聚焦孩子与家庭防控）</w:t>
            </w:r>
          </w:p>
          <w:p w14:paraId="6B9D27AB">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1.儿童免疫力弱、接触密切，肺结核易在托幼/特教机构传播，损害孩子健康并影响机构运营；</w:t>
            </w:r>
          </w:p>
          <w:p w14:paraId="1C8E6016">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2.孩子咳嗽咳痰</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18"/>
                <w:szCs w:val="24"/>
                <w:vertAlign w:val="superscript"/>
                <w:lang w:val="en-US" w:eastAsia="zh-CN"/>
              </w:rPr>
              <w:t xml:space="preserve"> </w:t>
            </w:r>
            <w:r>
              <w:rPr>
                <w:rFonts w:hint="default" w:ascii="宋体" w:eastAsia="宋体"/>
                <w:color w:val="auto"/>
                <w:sz w:val="18"/>
                <w:szCs w:val="24"/>
              </w:rPr>
              <w:t>2</w:t>
            </w:r>
            <w:r>
              <w:rPr>
                <w:rFonts w:hint="eastAsia"/>
                <w:color w:val="auto"/>
                <w:sz w:val="18"/>
                <w:szCs w:val="24"/>
                <w:vertAlign w:val="superscript"/>
                <w:lang w:val="en-US" w:eastAsia="zh-CN"/>
              </w:rPr>
              <w:t xml:space="preserve"> </w:t>
            </w:r>
            <w:r>
              <w:rPr>
                <w:rFonts w:hint="default" w:ascii="宋体" w:eastAsia="宋体"/>
                <w:color w:val="auto"/>
                <w:sz w:val="18"/>
                <w:szCs w:val="24"/>
              </w:rPr>
              <w:t>周或痰中带血/咯血，需立即送定点医疗机构就诊并告知机构；</w:t>
            </w:r>
          </w:p>
          <w:p w14:paraId="7F4F9409">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3.孩子或家人患病需主动报告，配合机构及疾控部门筛查、隔离、随访；隐瞒病情会扩散疫情，需承担法律责任与健康风险；</w:t>
            </w:r>
          </w:p>
          <w:p w14:paraId="40B5AE86">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4.家庭是孩子健康第一道防线，需配合机构落实防控措施；</w:t>
            </w:r>
          </w:p>
          <w:p w14:paraId="30C2FF54">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5.配合筛查可早发现风险，配合隔离能阻断传播，是保护所有孩子的关键；</w:t>
            </w:r>
          </w:p>
          <w:p w14:paraId="5CA5DAA6">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6.孩子出现可疑症状的规范流程：立即就诊排查→</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24</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h</w:t>
            </w:r>
            <w:r>
              <w:rPr>
                <w:rFonts w:hint="eastAsia"/>
                <w:color w:val="auto"/>
                <w:sz w:val="18"/>
                <w:szCs w:val="24"/>
                <w:vertAlign w:val="superscript"/>
                <w:lang w:val="en-US" w:eastAsia="zh-CN"/>
              </w:rPr>
              <w:t xml:space="preserve"> </w:t>
            </w:r>
            <w:r>
              <w:rPr>
                <w:rFonts w:hint="default" w:ascii="宋体" w:eastAsia="宋体"/>
                <w:color w:val="auto"/>
                <w:sz w:val="18"/>
                <w:szCs w:val="24"/>
              </w:rPr>
              <w:t>内告知机构并如实说明情况→遵医嘱治疗/隔离并反馈健康状况→凭定点医疗机构复园/复学证明经机构核查后办理返园；</w:t>
            </w:r>
          </w:p>
          <w:p w14:paraId="628AFF94">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7.培养孩子均衡饮食、适度运动、充足睡眠的健康生活方式，增强免疫力；</w:t>
            </w:r>
          </w:p>
          <w:p w14:paraId="55B571C8">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8.指导孩子养成不随地吐痰、咳嗽/打喷嚏遮挡口鼻、勤洗手的良好卫生习惯。</w:t>
            </w:r>
          </w:p>
          <w:p w14:paraId="7401313D">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二、家庭实操技能</w:t>
            </w:r>
          </w:p>
          <w:p w14:paraId="69BA0704">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9.教会孩子规范洗手方法并监督执行；</w:t>
            </w:r>
          </w:p>
          <w:p w14:paraId="49C1E846">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10.为孩子选择合适口罩，正确指导佩戴；</w:t>
            </w:r>
          </w:p>
          <w:p w14:paraId="141FB6CB">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11.指导孩子遵守咳嗽礼仪与呼吸道卫生规范；</w:t>
            </w:r>
          </w:p>
          <w:p w14:paraId="26627061">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12.掌握家庭环境消毒方法（如日常通风、物体表面清洁消毒，参照相关标准）；</w:t>
            </w:r>
          </w:p>
          <w:p w14:paraId="2815B6B8">
            <w:pPr>
              <w:pStyle w:val="182"/>
              <w:keepNext/>
              <w:spacing w:beforeLines="0" w:afterLines="0" w:line="210" w:lineRule="exact"/>
              <w:jc w:val="left"/>
              <w:rPr>
                <w:rFonts w:hint="default" w:ascii="宋体" w:eastAsia="宋体"/>
                <w:color w:val="auto"/>
                <w:sz w:val="18"/>
                <w:szCs w:val="24"/>
              </w:rPr>
            </w:pPr>
            <w:r>
              <w:rPr>
                <w:rFonts w:hint="default" w:ascii="宋体" w:eastAsia="宋体"/>
                <w:color w:val="auto"/>
                <w:sz w:val="18"/>
                <w:szCs w:val="24"/>
              </w:rPr>
              <w:t>13.每日监测孩子精神状态、有无咳嗽等症状，及时记录并报告；</w:t>
            </w:r>
          </w:p>
          <w:p w14:paraId="7B2A0790">
            <w:pPr>
              <w:pStyle w:val="182"/>
              <w:keepNext/>
              <w:spacing w:beforeLines="0" w:afterLines="0" w:line="210" w:lineRule="exact"/>
              <w:jc w:val="left"/>
              <w:rPr>
                <w:rFonts w:hint="default" w:ascii="宋体" w:eastAsia="宋体"/>
                <w:color w:val="auto"/>
                <w:sz w:val="18"/>
                <w:szCs w:val="24"/>
              </w:rPr>
            </w:pPr>
            <w:r>
              <w:rPr>
                <w:rFonts w:hint="default" w:ascii="宋体" w:eastAsia="宋体"/>
                <w:color w:val="auto"/>
                <w:sz w:val="18"/>
                <w:szCs w:val="24"/>
              </w:rPr>
              <w:t>14.如实报告孩子健康信息，遵守隔离规定，按时完成机构组织的筛查。</w:t>
            </w:r>
          </w:p>
        </w:tc>
        <w:tc>
          <w:tcPr>
            <w:tcW w:w="1355" w:type="dxa"/>
            <w:vMerge w:val="restart"/>
            <w:tcBorders>
              <w:top w:val="single" w:color="auto" w:sz="4" w:space="0"/>
              <w:left w:val="single" w:color="auto" w:sz="4" w:space="0"/>
              <w:bottom w:val="single" w:color="auto" w:sz="4" w:space="0"/>
              <w:right w:val="single" w:color="auto" w:sz="8" w:space="0"/>
              <w:tl2br w:val="nil"/>
              <w:tr2bl w:val="nil"/>
            </w:tcBorders>
            <w:noWrap w:val="0"/>
            <w:vAlign w:val="center"/>
          </w:tcPr>
          <w:p w14:paraId="448A4EBB">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1.家长课堂、线上推送（图文/短视频）、一对一沟通；</w:t>
            </w:r>
          </w:p>
          <w:p w14:paraId="17F8210A">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2.发放家庭防控指导手册、组织经验交流会；</w:t>
            </w:r>
          </w:p>
          <w:p w14:paraId="0D2555F8">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3.疾控专家线上答疑，解答防控疑问。</w:t>
            </w:r>
          </w:p>
        </w:tc>
      </w:tr>
      <w:tr w14:paraId="496807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200" w:type="dxa"/>
            <w:vMerge w:val="continue"/>
            <w:tcBorders>
              <w:top w:val="single" w:color="auto" w:sz="4" w:space="0"/>
              <w:left w:val="single" w:color="auto" w:sz="8" w:space="0"/>
              <w:bottom w:val="single" w:color="auto" w:sz="8" w:space="0"/>
              <w:right w:val="single" w:color="auto" w:sz="4" w:space="0"/>
              <w:tl2br w:val="nil"/>
              <w:tr2bl w:val="nil"/>
            </w:tcBorders>
            <w:noWrap w:val="0"/>
            <w:vAlign w:val="center"/>
          </w:tcPr>
          <w:p w14:paraId="2A63D2A8">
            <w:pPr>
              <w:pStyle w:val="182"/>
              <w:spacing w:beforeLines="0" w:afterLines="0" w:line="210" w:lineRule="exact"/>
              <w:jc w:val="left"/>
              <w:rPr>
                <w:rFonts w:hint="default" w:ascii="宋体" w:eastAsia="宋体"/>
                <w:color w:val="auto"/>
                <w:sz w:val="18"/>
                <w:szCs w:val="24"/>
              </w:rPr>
            </w:pPr>
          </w:p>
        </w:tc>
        <w:tc>
          <w:tcPr>
            <w:tcW w:w="7238" w:type="dxa"/>
            <w:tcBorders>
              <w:top w:val="single" w:color="auto" w:sz="4" w:space="0"/>
              <w:left w:val="single" w:color="auto" w:sz="4" w:space="0"/>
              <w:bottom w:val="single" w:color="auto" w:sz="8" w:space="0"/>
              <w:right w:val="single" w:color="auto" w:sz="4" w:space="0"/>
              <w:tl2br w:val="nil"/>
              <w:tr2bl w:val="nil"/>
            </w:tcBorders>
            <w:noWrap w:val="0"/>
            <w:vAlign w:val="center"/>
          </w:tcPr>
          <w:p w14:paraId="13309F98">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三、拓展认知</w:t>
            </w:r>
          </w:p>
          <w:p w14:paraId="4338DA3D">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15.肺结核防治核心：①儿童自身免疫功能尚未发育完善，属于结核病易感高发群体，患病后临床症状多不典型，极易与普通感冒症状相混淆；②新生儿依规及时接种卡介苗，能够有效降低儿童重症结核病发病风险，但无法完全杜绝结核分枝杆菌感染；③儿童肺结核诊疗严格遵循早期、联合、适量、规律、全程治疗原则，随意中断用药极易诱发耐药结核病；④出现可疑症状的儿童可享受</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3</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次免费痰涂片、免费胸部影像学检查，对符合条件的活动性肺结核患者，免费提供抗结核固定剂量复合制剂。</w:t>
            </w:r>
          </w:p>
          <w:p w14:paraId="767B887E">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16.机构防控延伸：①肺结核主要经飞沫传播，握手、共餐等不传染，痰菌检查是确诊</w:t>
            </w:r>
            <w:r>
              <w:rPr>
                <w:rFonts w:hint="eastAsia"/>
                <w:color w:val="auto"/>
                <w:sz w:val="18"/>
                <w:szCs w:val="24"/>
                <w:lang w:eastAsia="zh-CN"/>
              </w:rPr>
              <w:t>“</w:t>
            </w:r>
            <w:r>
              <w:rPr>
                <w:rFonts w:hint="default" w:ascii="宋体" w:eastAsia="宋体"/>
                <w:color w:val="auto"/>
                <w:sz w:val="18"/>
                <w:szCs w:val="24"/>
              </w:rPr>
              <w:t>金标准</w:t>
            </w:r>
            <w:r>
              <w:rPr>
                <w:rFonts w:hint="eastAsia"/>
                <w:color w:val="auto"/>
                <w:sz w:val="18"/>
                <w:szCs w:val="24"/>
                <w:lang w:eastAsia="zh-CN"/>
              </w:rPr>
              <w:t>”</w:t>
            </w:r>
            <w:r>
              <w:rPr>
                <w:rFonts w:hint="default" w:ascii="宋体" w:eastAsia="宋体"/>
                <w:color w:val="auto"/>
                <w:sz w:val="18"/>
                <w:szCs w:val="24"/>
              </w:rPr>
              <w:t>；②定点医疗机构诊疗儿童结核更具优势，规范治疗治愈率高；③需监督孩子用药，避免擅自停药/减药引发耐药结核；④特教孩子需通过行为异常辅助判断健康状况，筛查前与机构沟通适配方案；</w:t>
            </w:r>
          </w:p>
          <w:p w14:paraId="444F4F6C">
            <w:pPr>
              <w:pStyle w:val="182"/>
              <w:keepNext/>
              <w:spacing w:beforeLines="0" w:afterLines="0" w:line="210" w:lineRule="exact"/>
              <w:jc w:val="both"/>
              <w:rPr>
                <w:rFonts w:hint="default" w:ascii="宋体" w:eastAsia="宋体"/>
                <w:color w:val="auto"/>
                <w:sz w:val="18"/>
                <w:szCs w:val="24"/>
              </w:rPr>
            </w:pPr>
            <w:r>
              <w:rPr>
                <w:rFonts w:hint="default" w:ascii="宋体" w:eastAsia="宋体"/>
                <w:color w:val="auto"/>
                <w:sz w:val="18"/>
                <w:szCs w:val="24"/>
              </w:rPr>
              <w:t>17.家庭额外防控：①家庭成员确诊需单独居住、分用物品并加强消毒通风；②孩子确诊后需给予心理关怀，告知其他家长共同防护；③特教孩子复园后配合制定个性化健康监测方案，逐步恢复集体活动。</w:t>
            </w:r>
          </w:p>
        </w:tc>
        <w:tc>
          <w:tcPr>
            <w:tcW w:w="1355" w:type="dxa"/>
            <w:vMerge w:val="continue"/>
            <w:tcBorders>
              <w:top w:val="single" w:color="auto" w:sz="4" w:space="0"/>
              <w:left w:val="single" w:color="auto" w:sz="4" w:space="0"/>
              <w:bottom w:val="single" w:color="auto" w:sz="8" w:space="0"/>
              <w:right w:val="single" w:color="auto" w:sz="8" w:space="0"/>
              <w:tl2br w:val="nil"/>
              <w:tr2bl w:val="nil"/>
            </w:tcBorders>
            <w:noWrap w:val="0"/>
            <w:vAlign w:val="center"/>
          </w:tcPr>
          <w:p w14:paraId="4CD54AA8">
            <w:pPr>
              <w:pStyle w:val="182"/>
              <w:spacing w:beforeLines="0" w:afterLines="0" w:line="210" w:lineRule="exact"/>
              <w:jc w:val="both"/>
              <w:rPr>
                <w:rFonts w:hint="default" w:ascii="宋体" w:eastAsia="宋体"/>
                <w:color w:val="auto"/>
                <w:sz w:val="18"/>
                <w:szCs w:val="24"/>
              </w:rPr>
            </w:pPr>
          </w:p>
        </w:tc>
      </w:tr>
    </w:tbl>
    <w:p w14:paraId="5A7C4115">
      <w:pPr>
        <w:pStyle w:val="60"/>
        <w:keepNext/>
        <w:pageBreakBefore/>
        <w:spacing w:before="157" w:beforeLines="50" w:after="157" w:afterLines="50"/>
        <w:ind w:firstLine="0" w:firstLineChars="0"/>
        <w:jc w:val="center"/>
        <w:rPr>
          <w:rFonts w:hint="default" w:ascii="宋体" w:hAnsi="宋体" w:eastAsia="宋体" w:cs="宋体"/>
          <w:color w:val="auto"/>
          <w:sz w:val="21"/>
          <w:szCs w:val="24"/>
        </w:rPr>
      </w:pPr>
      <w:r>
        <w:rPr>
          <w:rFonts w:hint="eastAsia" w:ascii="黑体" w:hAnsi="黑体" w:eastAsia="黑体" w:cs="黑体"/>
          <w:color w:val="auto"/>
          <w:sz w:val="21"/>
          <w:szCs w:val="24"/>
        </w:rPr>
        <w:t>表B.3  学生及监护人/家长和学校教职员工肺结核健康科普内容</w:t>
      </w:r>
      <w:r>
        <w:rPr>
          <w:rFonts w:hint="default" w:ascii="宋体" w:hAnsi="宋体" w:eastAsia="宋体" w:cs="宋体"/>
          <w:color w:val="auto"/>
          <w:sz w:val="21"/>
          <w:szCs w:val="24"/>
        </w:rPr>
        <w:t>（续）</w:t>
      </w:r>
    </w:p>
    <w:tbl>
      <w:tblPr>
        <w:tblStyle w:val="29"/>
        <w:tblW w:w="965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424"/>
        <w:gridCol w:w="6444"/>
        <w:gridCol w:w="1788"/>
      </w:tblGrid>
      <w:tr w14:paraId="0E462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424" w:type="dxa"/>
            <w:tcBorders>
              <w:top w:val="single" w:color="auto" w:sz="8" w:space="0"/>
              <w:left w:val="single" w:color="auto" w:sz="8" w:space="0"/>
              <w:bottom w:val="single" w:color="auto" w:sz="4" w:space="0"/>
              <w:right w:val="single" w:color="auto" w:sz="4" w:space="0"/>
              <w:tl2br w:val="nil"/>
              <w:tr2bl w:val="nil"/>
            </w:tcBorders>
            <w:noWrap w:val="0"/>
            <w:vAlign w:val="center"/>
          </w:tcPr>
          <w:p w14:paraId="3671991F">
            <w:pPr>
              <w:pStyle w:val="182"/>
              <w:keepNext/>
              <w:spacing w:beforeLines="0" w:afterLines="0"/>
              <w:rPr>
                <w:rFonts w:hint="eastAsia"/>
                <w:color w:val="auto"/>
                <w:sz w:val="18"/>
                <w:szCs w:val="24"/>
              </w:rPr>
            </w:pPr>
            <w:r>
              <w:rPr>
                <w:rFonts w:hint="default" w:ascii="宋体" w:eastAsia="宋体"/>
                <w:color w:val="auto"/>
                <w:sz w:val="18"/>
                <w:szCs w:val="24"/>
              </w:rPr>
              <w:t>人员类型</w:t>
            </w:r>
          </w:p>
        </w:tc>
        <w:tc>
          <w:tcPr>
            <w:tcW w:w="6444" w:type="dxa"/>
            <w:tcBorders>
              <w:top w:val="single" w:color="auto" w:sz="8" w:space="0"/>
              <w:left w:val="single" w:color="auto" w:sz="4" w:space="0"/>
              <w:bottom w:val="single" w:color="auto" w:sz="4" w:space="0"/>
              <w:right w:val="single" w:color="auto" w:sz="4" w:space="0"/>
              <w:tl2br w:val="nil"/>
              <w:tr2bl w:val="nil"/>
            </w:tcBorders>
            <w:noWrap w:val="0"/>
            <w:vAlign w:val="center"/>
          </w:tcPr>
          <w:p w14:paraId="5B85E967">
            <w:pPr>
              <w:pStyle w:val="182"/>
              <w:keepNext/>
              <w:spacing w:beforeLines="0" w:afterLines="0"/>
              <w:rPr>
                <w:rFonts w:hint="eastAsia"/>
                <w:color w:val="auto"/>
                <w:sz w:val="18"/>
                <w:szCs w:val="24"/>
              </w:rPr>
            </w:pPr>
            <w:r>
              <w:rPr>
                <w:rFonts w:hint="default" w:ascii="宋体" w:eastAsia="宋体"/>
                <w:color w:val="auto"/>
                <w:sz w:val="18"/>
                <w:szCs w:val="24"/>
              </w:rPr>
              <w:t>核心科普内容（按认知层级递进）</w:t>
            </w:r>
          </w:p>
        </w:tc>
        <w:tc>
          <w:tcPr>
            <w:tcW w:w="1788" w:type="dxa"/>
            <w:tcBorders>
              <w:top w:val="single" w:color="auto" w:sz="8" w:space="0"/>
              <w:left w:val="single" w:color="auto" w:sz="4" w:space="0"/>
              <w:bottom w:val="single" w:color="auto" w:sz="4" w:space="0"/>
              <w:right w:val="single" w:color="auto" w:sz="8" w:space="0"/>
              <w:tl2br w:val="nil"/>
              <w:tr2bl w:val="nil"/>
            </w:tcBorders>
            <w:noWrap w:val="0"/>
            <w:vAlign w:val="center"/>
          </w:tcPr>
          <w:p w14:paraId="43F3A35C">
            <w:pPr>
              <w:pStyle w:val="182"/>
              <w:keepNext/>
              <w:spacing w:beforeLines="0" w:afterLines="0"/>
              <w:rPr>
                <w:rFonts w:hint="eastAsia"/>
                <w:color w:val="auto"/>
                <w:sz w:val="18"/>
                <w:szCs w:val="24"/>
              </w:rPr>
            </w:pPr>
            <w:r>
              <w:rPr>
                <w:rFonts w:hint="default" w:ascii="宋体" w:eastAsia="宋体"/>
                <w:color w:val="auto"/>
                <w:sz w:val="18"/>
                <w:szCs w:val="24"/>
              </w:rPr>
              <w:t>适配科普方式</w:t>
            </w:r>
          </w:p>
        </w:tc>
      </w:tr>
      <w:tr w14:paraId="6A81E3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424" w:type="dxa"/>
            <w:tcBorders>
              <w:top w:val="single" w:color="auto" w:sz="4" w:space="0"/>
              <w:left w:val="single" w:color="auto" w:sz="8" w:space="0"/>
              <w:bottom w:val="single" w:color="auto" w:sz="4" w:space="0"/>
              <w:right w:val="single" w:color="auto" w:sz="4" w:space="0"/>
              <w:tl2br w:val="nil"/>
              <w:tr2bl w:val="nil"/>
            </w:tcBorders>
            <w:noWrap w:val="0"/>
            <w:vAlign w:val="center"/>
          </w:tcPr>
          <w:p w14:paraId="4F73D62D">
            <w:pPr>
              <w:pStyle w:val="182"/>
              <w:keepNext/>
              <w:spacing w:beforeLines="0" w:afterLines="0"/>
              <w:rPr>
                <w:rFonts w:hint="default" w:ascii="宋体" w:eastAsia="宋体"/>
                <w:color w:val="auto"/>
                <w:sz w:val="18"/>
                <w:szCs w:val="24"/>
              </w:rPr>
            </w:pPr>
            <w:r>
              <w:rPr>
                <w:rFonts w:hint="default" w:ascii="宋体" w:eastAsia="宋体"/>
                <w:color w:val="auto"/>
                <w:sz w:val="18"/>
                <w:szCs w:val="24"/>
              </w:rPr>
              <w:t>肺结核患者</w:t>
            </w:r>
          </w:p>
        </w:tc>
        <w:tc>
          <w:tcPr>
            <w:tcW w:w="64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BAE285">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一、专属认知（侧重症状发现、主动上报、规范治疗服药）</w:t>
            </w:r>
          </w:p>
          <w:p w14:paraId="12B796E2">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1.肺结核延误诊治、未规律服药易加重肺部损伤，极易造成校园传播，引发聚集性疫情；</w:t>
            </w:r>
          </w:p>
          <w:p w14:paraId="628A7BF9">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2.熟知肺结核典型可疑症状，出现连续</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周及以上咳嗽咳痰、咯血、低热乏力等表现，第一时间自查识别；</w:t>
            </w:r>
          </w:p>
          <w:p w14:paraId="3CA40F1D">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3.发现可疑症状或确诊患病后，必须第一时间向学校如实上报，不得瞒报、迟报；</w:t>
            </w:r>
          </w:p>
          <w:p w14:paraId="73B9EC46">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4.严格遵从医嘱全程规律服药、足量足疗程治疗，坚决杜绝擅自减药、停药、断药，避免产生耐药结核病；</w:t>
            </w:r>
          </w:p>
          <w:p w14:paraId="6DBBCB6A">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5.严格按照诊疗安排按时复查，动态掌握病情恢复情况，服从休学、居家休养管理要求；</w:t>
            </w:r>
          </w:p>
          <w:p w14:paraId="0A15A9FD">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6.养成健康作息与饮食习惯，增强体质，助力病情痊愈，同时严守呼吸道卫生礼仪。</w:t>
            </w:r>
          </w:p>
          <w:p w14:paraId="781A92CE">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二、专属实操技能</w:t>
            </w:r>
          </w:p>
          <w:p w14:paraId="63260EE6">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7.熟练掌握服药时间、服药剂量、服药禁忌，牢记规范用药要点；</w:t>
            </w:r>
          </w:p>
          <w:p w14:paraId="51D019A8">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8.掌握居家及休养期间个人防护方法，规范佩戴口罩，做好居室日常通风；</w:t>
            </w:r>
          </w:p>
          <w:p w14:paraId="1F9C853F">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9.落实个人物品单独清洁消毒，做好居家隔离期间健康管理；</w:t>
            </w:r>
          </w:p>
          <w:p w14:paraId="73C42B16">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10.熟知复学返校医学判定标准，凭医疗机构康复证明依规返校。</w:t>
            </w:r>
          </w:p>
          <w:p w14:paraId="143362C0">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三、拓展认知</w:t>
            </w:r>
          </w:p>
          <w:p w14:paraId="4958D568">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11.明晰肺结核主要传播途径，知晓日常普通接触无传染风险，端正心态；</w:t>
            </w:r>
          </w:p>
          <w:p w14:paraId="31A67A9C">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12.了解国家结核病免费诊疗相关惠民政策；</w:t>
            </w:r>
          </w:p>
          <w:p w14:paraId="58FDE143">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13.正视疾病，缓解治疗期间心理压力，主动调节情绪。</w:t>
            </w:r>
          </w:p>
        </w:tc>
        <w:tc>
          <w:tcPr>
            <w:tcW w:w="1788" w:type="dxa"/>
            <w:tcBorders>
              <w:top w:val="single" w:color="auto" w:sz="4" w:space="0"/>
              <w:left w:val="single" w:color="auto" w:sz="4" w:space="0"/>
              <w:bottom w:val="single" w:color="auto" w:sz="4" w:space="0"/>
              <w:right w:val="single" w:color="auto" w:sz="8" w:space="0"/>
              <w:tl2br w:val="nil"/>
              <w:tr2bl w:val="nil"/>
            </w:tcBorders>
            <w:noWrap w:val="0"/>
            <w:vAlign w:val="center"/>
          </w:tcPr>
          <w:p w14:paraId="5330FAC6">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1.专题讲座、科普视频、防控演练；</w:t>
            </w:r>
          </w:p>
          <w:p w14:paraId="36E4700C">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2.发放针对性健康教育宣传册；</w:t>
            </w:r>
          </w:p>
          <w:p w14:paraId="6D4F8038">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3.一对一健康辅导（医生/疾控人员），个性化解答疑问；</w:t>
            </w:r>
          </w:p>
          <w:p w14:paraId="69021BE5">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4.同伴支持小组，分享康复经验，缓解心理压力。</w:t>
            </w:r>
          </w:p>
        </w:tc>
      </w:tr>
      <w:tr w14:paraId="69ED8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424" w:type="dxa"/>
            <w:tcBorders>
              <w:top w:val="single" w:color="auto" w:sz="4" w:space="0"/>
              <w:left w:val="single" w:color="auto" w:sz="8" w:space="0"/>
              <w:bottom w:val="single" w:color="auto" w:sz="8" w:space="0"/>
              <w:right w:val="single" w:color="auto" w:sz="4" w:space="0"/>
              <w:tl2br w:val="nil"/>
              <w:tr2bl w:val="nil"/>
            </w:tcBorders>
            <w:noWrap w:val="0"/>
            <w:vAlign w:val="center"/>
          </w:tcPr>
          <w:p w14:paraId="2C692CB3">
            <w:pPr>
              <w:pStyle w:val="182"/>
              <w:keepNext/>
              <w:spacing w:beforeLines="0" w:afterLines="0"/>
              <w:rPr>
                <w:rFonts w:hint="eastAsia"/>
                <w:color w:val="auto"/>
                <w:sz w:val="18"/>
                <w:szCs w:val="24"/>
              </w:rPr>
            </w:pPr>
            <w:r>
              <w:rPr>
                <w:rFonts w:hint="default" w:ascii="宋体" w:eastAsia="宋体"/>
                <w:color w:val="auto"/>
                <w:sz w:val="18"/>
                <w:szCs w:val="24"/>
              </w:rPr>
              <w:t>肺结核密切接触者</w:t>
            </w:r>
          </w:p>
        </w:tc>
        <w:tc>
          <w:tcPr>
            <w:tcW w:w="6444" w:type="dxa"/>
            <w:tcBorders>
              <w:top w:val="single" w:color="auto" w:sz="4" w:space="0"/>
              <w:left w:val="single" w:color="auto" w:sz="4" w:space="0"/>
              <w:bottom w:val="single" w:color="auto" w:sz="8" w:space="0"/>
              <w:right w:val="single" w:color="auto" w:sz="4" w:space="0"/>
              <w:tl2br w:val="nil"/>
              <w:tr2bl w:val="nil"/>
            </w:tcBorders>
            <w:noWrap w:val="0"/>
            <w:vAlign w:val="center"/>
          </w:tcPr>
          <w:p w14:paraId="5B5351EF">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一、专属认知（重点强调主动筛查、随访监测、预防性治疗）</w:t>
            </w:r>
          </w:p>
          <w:p w14:paraId="6B0DD2F1">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1.明确密切接触判定范围，认清自身感染暴露风险，主动配合学校及疾控部门开展密切接触者筛查；</w:t>
            </w:r>
          </w:p>
          <w:p w14:paraId="56B8B71B">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2.严格服从统一排查安排，按时完成胸片、结核菌素试验、血清学检测等相关筛查项目，无正当理由不得拒绝筛查；</w:t>
            </w:r>
          </w:p>
          <w:p w14:paraId="15A2E16B">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3.筛查后严格落实阶段性健康随访与自我健康监测，长期留意自身身体状态；</w:t>
            </w:r>
          </w:p>
          <w:p w14:paraId="19D101A1">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4.经评估判定为潜伏感染者后，充分知晓预防性治疗的必要性与获益性，积极接受规范预防性干预；</w:t>
            </w:r>
          </w:p>
          <w:p w14:paraId="39B666C1">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5.明确规范完成预防性治疗可大幅降低结核发病风险，是阻断校园续发病例最有效手段。</w:t>
            </w:r>
          </w:p>
          <w:p w14:paraId="6A5A4335">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二、专属实操技能</w:t>
            </w:r>
          </w:p>
          <w:p w14:paraId="32BA8C3E">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6.掌握日常校园自我防护方法，规范佩戴口罩，坚持科学洗手；</w:t>
            </w:r>
          </w:p>
          <w:p w14:paraId="6A50BA9F">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7.学会日常自我症状监测，出现可疑不适第一时间上报；</w:t>
            </w:r>
          </w:p>
          <w:p w14:paraId="09F1B27B">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8.熟知筛查流程、随访节点，按时完成复查核验；</w:t>
            </w:r>
          </w:p>
          <w:p w14:paraId="7F937D39">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9.遵从专业指导，规范完成预防性服药全流程管理。</w:t>
            </w:r>
          </w:p>
          <w:p w14:paraId="45524538">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三、拓展认知</w:t>
            </w:r>
          </w:p>
          <w:p w14:paraId="51DA0ED3">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10.分清潜伏感染与活动性结核区别，消除不必要恐慌情绪；</w:t>
            </w:r>
          </w:p>
          <w:p w14:paraId="335565B2">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11.掌握校园结核病基础防控常识，主动参与集体健康管理；</w:t>
            </w:r>
          </w:p>
          <w:p w14:paraId="7DE4FE85">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12.主动学习健康防病知识，提升自身综合防病能力。</w:t>
            </w:r>
          </w:p>
        </w:tc>
        <w:tc>
          <w:tcPr>
            <w:tcW w:w="1788" w:type="dxa"/>
            <w:tcBorders>
              <w:top w:val="single" w:color="auto" w:sz="4" w:space="0"/>
              <w:left w:val="single" w:color="auto" w:sz="4" w:space="0"/>
              <w:bottom w:val="single" w:color="auto" w:sz="8" w:space="0"/>
              <w:right w:val="single" w:color="auto" w:sz="8" w:space="0"/>
              <w:tl2br w:val="nil"/>
              <w:tr2bl w:val="nil"/>
            </w:tcBorders>
            <w:noWrap w:val="0"/>
            <w:vAlign w:val="center"/>
          </w:tcPr>
          <w:p w14:paraId="0B0C01CD">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1.专题讲座、科普视频、防控演练；</w:t>
            </w:r>
          </w:p>
          <w:p w14:paraId="7EE839BC">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2.发放针对性健康教育宣传册；</w:t>
            </w:r>
          </w:p>
          <w:p w14:paraId="3FE1F046">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3.一对一健康辅导（医生/疾控人员），个性化解答疑问；</w:t>
            </w:r>
          </w:p>
          <w:p w14:paraId="42762D78">
            <w:pPr>
              <w:pStyle w:val="182"/>
              <w:keepNext/>
              <w:spacing w:beforeLines="0" w:afterLines="0"/>
              <w:jc w:val="both"/>
              <w:rPr>
                <w:rFonts w:hint="default" w:ascii="宋体" w:eastAsia="宋体"/>
                <w:color w:val="auto"/>
                <w:sz w:val="18"/>
                <w:szCs w:val="24"/>
              </w:rPr>
            </w:pPr>
            <w:r>
              <w:rPr>
                <w:rFonts w:hint="default" w:ascii="宋体" w:eastAsia="宋体"/>
                <w:color w:val="auto"/>
                <w:sz w:val="18"/>
                <w:szCs w:val="24"/>
              </w:rPr>
              <w:t>4.同伴支持小组，分享防护经验，舒缓焦虑情绪。</w:t>
            </w:r>
          </w:p>
        </w:tc>
      </w:tr>
    </w:tbl>
    <w:p w14:paraId="240709E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br w:type="page"/>
      </w:r>
    </w:p>
    <w:p w14:paraId="39EB47A3">
      <w:pPr>
        <w:pStyle w:val="60"/>
        <w:pageBreakBefore/>
        <w:spacing w:before="157" w:beforeLines="50" w:after="157" w:afterLines="50"/>
        <w:ind w:firstLine="0" w:firstLineChars="0"/>
        <w:jc w:val="center"/>
        <w:rPr>
          <w:rFonts w:hint="default" w:ascii="宋体" w:hAnsi="宋体" w:eastAsia="宋体" w:cs="宋体"/>
          <w:color w:val="auto"/>
          <w:sz w:val="21"/>
          <w:szCs w:val="24"/>
        </w:rPr>
      </w:pPr>
      <w:r>
        <w:rPr>
          <w:rFonts w:hint="eastAsia" w:ascii="黑体" w:hAnsi="黑体" w:eastAsia="黑体" w:cs="黑体"/>
          <w:color w:val="auto"/>
          <w:sz w:val="21"/>
          <w:szCs w:val="24"/>
        </w:rPr>
        <w:t>表B.3  学生及监护人/家长和学校教职员工肺结核健康科普内容</w:t>
      </w:r>
      <w:r>
        <w:rPr>
          <w:rFonts w:hint="default" w:ascii="宋体" w:hAnsi="宋体" w:eastAsia="宋体" w:cs="宋体"/>
          <w:color w:val="auto"/>
          <w:sz w:val="21"/>
          <w:szCs w:val="24"/>
        </w:rPr>
        <w:t>（续）</w:t>
      </w:r>
    </w:p>
    <w:tbl>
      <w:tblPr>
        <w:tblStyle w:val="29"/>
        <w:tblW w:w="960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657"/>
        <w:gridCol w:w="6437"/>
        <w:gridCol w:w="1513"/>
      </w:tblGrid>
      <w:tr w14:paraId="103B99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657" w:type="dxa"/>
            <w:tcBorders>
              <w:top w:val="single" w:color="auto" w:sz="8" w:space="0"/>
              <w:left w:val="single" w:color="auto" w:sz="8" w:space="0"/>
              <w:bottom w:val="single" w:color="auto" w:sz="4" w:space="0"/>
              <w:right w:val="single" w:color="auto" w:sz="4" w:space="0"/>
              <w:tl2br w:val="nil"/>
              <w:tr2bl w:val="nil"/>
            </w:tcBorders>
            <w:noWrap w:val="0"/>
            <w:vAlign w:val="center"/>
          </w:tcPr>
          <w:p w14:paraId="6CFE17CC">
            <w:pPr>
              <w:pStyle w:val="182"/>
              <w:spacing w:beforeLines="0" w:afterLines="0"/>
              <w:rPr>
                <w:rFonts w:hint="eastAsia"/>
                <w:color w:val="auto"/>
                <w:sz w:val="18"/>
                <w:szCs w:val="24"/>
              </w:rPr>
            </w:pPr>
            <w:r>
              <w:rPr>
                <w:rFonts w:hint="default" w:ascii="宋体" w:eastAsia="宋体"/>
                <w:color w:val="auto"/>
                <w:sz w:val="18"/>
                <w:szCs w:val="24"/>
              </w:rPr>
              <w:t>人员类型</w:t>
            </w:r>
          </w:p>
        </w:tc>
        <w:tc>
          <w:tcPr>
            <w:tcW w:w="6437" w:type="dxa"/>
            <w:tcBorders>
              <w:top w:val="single" w:color="auto" w:sz="8" w:space="0"/>
              <w:left w:val="single" w:color="auto" w:sz="4" w:space="0"/>
              <w:bottom w:val="single" w:color="auto" w:sz="4" w:space="0"/>
              <w:right w:val="single" w:color="auto" w:sz="4" w:space="0"/>
              <w:tl2br w:val="nil"/>
              <w:tr2bl w:val="nil"/>
            </w:tcBorders>
            <w:noWrap w:val="0"/>
            <w:vAlign w:val="center"/>
          </w:tcPr>
          <w:p w14:paraId="45706799">
            <w:pPr>
              <w:pStyle w:val="182"/>
              <w:spacing w:beforeLines="0" w:afterLines="0"/>
              <w:rPr>
                <w:rFonts w:hint="eastAsia"/>
                <w:color w:val="auto"/>
                <w:sz w:val="18"/>
                <w:szCs w:val="24"/>
              </w:rPr>
            </w:pPr>
            <w:r>
              <w:rPr>
                <w:rFonts w:hint="default" w:ascii="宋体" w:eastAsia="宋体"/>
                <w:color w:val="auto"/>
                <w:sz w:val="18"/>
                <w:szCs w:val="24"/>
              </w:rPr>
              <w:t>核心科普内容（按认知层级递进）</w:t>
            </w:r>
          </w:p>
        </w:tc>
        <w:tc>
          <w:tcPr>
            <w:tcW w:w="1513" w:type="dxa"/>
            <w:tcBorders>
              <w:top w:val="single" w:color="auto" w:sz="8" w:space="0"/>
              <w:left w:val="single" w:color="auto" w:sz="4" w:space="0"/>
              <w:bottom w:val="single" w:color="auto" w:sz="4" w:space="0"/>
              <w:right w:val="single" w:color="auto" w:sz="8" w:space="0"/>
              <w:tl2br w:val="nil"/>
              <w:tr2bl w:val="nil"/>
            </w:tcBorders>
            <w:noWrap w:val="0"/>
            <w:vAlign w:val="center"/>
          </w:tcPr>
          <w:p w14:paraId="3B688F52">
            <w:pPr>
              <w:pStyle w:val="182"/>
              <w:spacing w:beforeLines="0" w:afterLines="0"/>
              <w:rPr>
                <w:rFonts w:hint="eastAsia"/>
                <w:color w:val="auto"/>
                <w:sz w:val="18"/>
                <w:szCs w:val="24"/>
              </w:rPr>
            </w:pPr>
            <w:r>
              <w:rPr>
                <w:rFonts w:hint="default" w:ascii="宋体" w:eastAsia="宋体"/>
                <w:color w:val="auto"/>
                <w:sz w:val="18"/>
                <w:szCs w:val="24"/>
              </w:rPr>
              <w:t>适配科普方式</w:t>
            </w:r>
          </w:p>
        </w:tc>
      </w:tr>
      <w:tr w14:paraId="436CA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657" w:type="dxa"/>
            <w:tcBorders>
              <w:top w:val="single" w:color="auto" w:sz="4" w:space="0"/>
              <w:left w:val="single" w:color="auto" w:sz="8" w:space="0"/>
              <w:bottom w:val="single" w:color="auto" w:sz="8" w:space="0"/>
              <w:right w:val="single" w:color="auto" w:sz="4" w:space="0"/>
              <w:tl2br w:val="nil"/>
              <w:tr2bl w:val="nil"/>
            </w:tcBorders>
            <w:noWrap w:val="0"/>
            <w:vAlign w:val="center"/>
          </w:tcPr>
          <w:p w14:paraId="51FD641C">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学校教职员工（含班主任、任课教师、行政人员、后勤人员等）</w:t>
            </w:r>
          </w:p>
        </w:tc>
        <w:tc>
          <w:tcPr>
            <w:tcW w:w="6437" w:type="dxa"/>
            <w:tcBorders>
              <w:top w:val="single" w:color="auto" w:sz="4" w:space="0"/>
              <w:left w:val="single" w:color="auto" w:sz="4" w:space="0"/>
              <w:bottom w:val="single" w:color="auto" w:sz="8" w:space="0"/>
              <w:right w:val="single" w:color="auto" w:sz="4" w:space="0"/>
              <w:tl2br w:val="nil"/>
              <w:tr2bl w:val="nil"/>
            </w:tcBorders>
            <w:noWrap w:val="0"/>
            <w:vAlign w:val="center"/>
          </w:tcPr>
          <w:p w14:paraId="077D1B24">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一、基础认知（明确责任与风险）</w:t>
            </w:r>
          </w:p>
          <w:p w14:paraId="70D9F4CC">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1.肺结核为呼吸道传染病，校园人员密集易引发聚集性疫情，损害师生健康、干扰教学秩序；</w:t>
            </w:r>
          </w:p>
          <w:p w14:paraId="7B1101C9">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2.需警惕自身及学生出现的肺结核可疑症状：咳嗽咳痰≥2周、痰中带血/咯血，或伴午后潮热、夜间盗汗、体重减轻、乏力等；</w:t>
            </w:r>
          </w:p>
          <w:p w14:paraId="2F57533C">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3.自身或发现学生有可疑症状需主动报告学校医务室或卫生室（班主任需第一时间掌握学生健康状况并上报），严禁隐瞒；</w:t>
            </w:r>
          </w:p>
          <w:p w14:paraId="08AF5A6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4.隐瞒病情/瞒报症状可能导致疫情扩散，需承担《中华人民共和国传染病防治法》规定的法律责任；</w:t>
            </w:r>
          </w:p>
          <w:p w14:paraId="0D4F86A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5.保持均衡饮食、规律运动、充足睡眠，避免熬夜劳累，做好个人防护以增强免疫力。</w:t>
            </w:r>
          </w:p>
          <w:p w14:paraId="72DEAF64">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二、实操技能（聚焦校园防控实操）</w:t>
            </w:r>
          </w:p>
          <w:p w14:paraId="0C62E88D">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6.掌握</w:t>
            </w:r>
            <w:r>
              <w:rPr>
                <w:rFonts w:hint="eastAsia"/>
                <w:color w:val="auto"/>
                <w:sz w:val="18"/>
                <w:szCs w:val="24"/>
                <w:lang w:eastAsia="zh-CN"/>
              </w:rPr>
              <w:t>“</w:t>
            </w:r>
            <w:r>
              <w:rPr>
                <w:rFonts w:hint="default" w:ascii="宋体" w:eastAsia="宋体"/>
                <w:color w:val="auto"/>
                <w:sz w:val="18"/>
                <w:szCs w:val="24"/>
              </w:rPr>
              <w:t>七步洗手法</w:t>
            </w:r>
            <w:r>
              <w:rPr>
                <w:rFonts w:hint="eastAsia"/>
                <w:color w:val="auto"/>
                <w:sz w:val="18"/>
                <w:szCs w:val="24"/>
                <w:lang w:eastAsia="zh-CN"/>
              </w:rPr>
              <w:t>”</w:t>
            </w:r>
            <w:r>
              <w:rPr>
                <w:rFonts w:hint="default" w:ascii="宋体" w:eastAsia="宋体"/>
                <w:color w:val="auto"/>
                <w:sz w:val="18"/>
                <w:szCs w:val="24"/>
              </w:rPr>
              <w:t>，课前课后、接触学生分泌物/公共物品后及时洗手；</w:t>
            </w:r>
          </w:p>
          <w:p w14:paraId="7E8B6193">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7.人员密集场所、接触呼吸道症状者时规范佩戴口罩，污染/潮湿及时更换；</w:t>
            </w:r>
          </w:p>
          <w:p w14:paraId="04121558">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8.自身有呼吸道症状时主动戴口罩，咳嗽/打喷嚏遮挡口鼻，不直面学生；</w:t>
            </w:r>
          </w:p>
          <w:p w14:paraId="05405C15">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9.班主任精准开展晨检（筛查呼吸道症状、记录咳嗽咳痰时长），追踪缺课学生病因，重点关注呼吸道症状缺课者；</w:t>
            </w:r>
          </w:p>
          <w:p w14:paraId="54366618">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10.协助落实教室、办公室等场所每日通风（每次</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21"/>
                <w:szCs w:val="24"/>
                <w:highlight w:val="none"/>
                <w:vertAlign w:val="superscript"/>
                <w:lang w:val="en-US" w:eastAsia="zh-CN"/>
              </w:rPr>
              <w:t xml:space="preserve"> </w:t>
            </w:r>
            <w:r>
              <w:rPr>
                <w:rFonts w:hint="eastAsia"/>
                <w:color w:val="auto"/>
                <w:sz w:val="18"/>
                <w:szCs w:val="24"/>
                <w:vertAlign w:val="superscript"/>
                <w:lang w:val="en-US" w:eastAsia="zh-CN"/>
              </w:rPr>
              <w:t xml:space="preserve"> </w:t>
            </w:r>
            <w:r>
              <w:rPr>
                <w:rFonts w:hint="default" w:ascii="宋体" w:eastAsia="宋体"/>
                <w:color w:val="auto"/>
                <w:sz w:val="18"/>
                <w:szCs w:val="24"/>
              </w:rPr>
              <w:t>30</w:t>
            </w:r>
            <w:r>
              <w:rPr>
                <w:rFonts w:hint="eastAsia"/>
                <w:color w:val="auto"/>
                <w:sz w:val="18"/>
                <w:szCs w:val="24"/>
                <w:vertAlign w:val="superscript"/>
                <w:lang w:val="en-US" w:eastAsia="zh-CN"/>
              </w:rPr>
              <w:t xml:space="preserve"> </w:t>
            </w:r>
            <w:r>
              <w:rPr>
                <w:rFonts w:hint="default" w:ascii="宋体" w:eastAsia="宋体"/>
                <w:color w:val="auto"/>
                <w:sz w:val="18"/>
                <w:szCs w:val="24"/>
                <w:highlight w:val="none"/>
                <w:vertAlign w:val="subscript"/>
              </w:rPr>
              <w:t xml:space="preserve"> </w:t>
            </w:r>
            <w:r>
              <w:rPr>
                <w:rFonts w:hint="default" w:ascii="宋体" w:eastAsia="宋体"/>
                <w:color w:val="auto"/>
                <w:sz w:val="18"/>
                <w:szCs w:val="24"/>
              </w:rPr>
              <w:t>min）、定期消毒，保持环境清洁；</w:t>
            </w:r>
          </w:p>
          <w:p w14:paraId="27C2ADA0">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11.发现学生可疑症状后，立即引导至临时隔离点，通知医务室或卫生室及家长，配合后续就医、随访。</w:t>
            </w:r>
          </w:p>
          <w:p w14:paraId="1DD1B3F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三、拓展认知（深化防控责任与协同）</w:t>
            </w:r>
          </w:p>
          <w:p w14:paraId="6D8E3B40">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12.明确在晨检、报告、配合疾控调查、落实防控措施等环节的法定职责与义务；</w:t>
            </w:r>
          </w:p>
          <w:p w14:paraId="5CBE544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13. 知晓学校</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3</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个月内出现2例及以上关联肺结核患者为聚集性疫情，配合开展应急处置；</w:t>
            </w:r>
          </w:p>
          <w:p w14:paraId="0A626048">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14.学生/同事确诊后，按要求提供接触史、协助排查密切接触者，落实班级/办公室防控措施；</w:t>
            </w:r>
          </w:p>
          <w:p w14:paraId="27F4955E">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15.掌握学生休复学管理要求：复学前须核查定点医疗机构复课诊断证明，不符合条件者不得返校；</w:t>
            </w:r>
          </w:p>
          <w:p w14:paraId="1FB28BD1">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16.对疑似/确诊学生给予关怀、避免歧视，引导其配合治疗与防控；</w:t>
            </w:r>
          </w:p>
          <w:p w14:paraId="5A201EF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17.清晰准确向家长传达防控知识、学生健康状况及处置要求，争取家长配合。</w:t>
            </w:r>
          </w:p>
        </w:tc>
        <w:tc>
          <w:tcPr>
            <w:tcW w:w="1513" w:type="dxa"/>
            <w:tcBorders>
              <w:top w:val="single" w:color="auto" w:sz="4" w:space="0"/>
              <w:left w:val="single" w:color="auto" w:sz="4" w:space="0"/>
              <w:bottom w:val="single" w:color="auto" w:sz="8" w:space="0"/>
              <w:right w:val="single" w:color="auto" w:sz="8" w:space="0"/>
              <w:tl2br w:val="nil"/>
              <w:tr2bl w:val="nil"/>
            </w:tcBorders>
            <w:noWrap w:val="0"/>
            <w:vAlign w:val="center"/>
          </w:tcPr>
          <w:p w14:paraId="7D842C84">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1.专题培训（线下集中授课）：疾控专家/结核病防治医师讲解政策、实操技能，结合校园案例分析；</w:t>
            </w:r>
          </w:p>
          <w:p w14:paraId="156F21A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2.实操演练：组织晨检、临时隔离点设置、消毒、口罩佩戴等训练，现场纠正不规范操作；</w:t>
            </w:r>
          </w:p>
          <w:p w14:paraId="1FAA99FD">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3.线上微课+资料推送：通过校园平台、微信群推送图文、短视频、制度汇编，方便碎片化学习；</w:t>
            </w:r>
          </w:p>
          <w:p w14:paraId="476D3F3A">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4.分组研讨：按岗位分组，针对防控难点开展讨论、分享经验；</w:t>
            </w:r>
          </w:p>
          <w:p w14:paraId="316F8276">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5.发放标准化手册：印发《防控工作手册》，明确岗位职责、流程、核心知识点；</w:t>
            </w:r>
          </w:p>
          <w:p w14:paraId="406D83AB">
            <w:pPr>
              <w:pStyle w:val="182"/>
              <w:spacing w:beforeLines="0" w:afterLines="0"/>
              <w:jc w:val="both"/>
              <w:rPr>
                <w:rFonts w:hint="default" w:ascii="宋体" w:eastAsia="宋体"/>
                <w:color w:val="auto"/>
                <w:sz w:val="18"/>
                <w:szCs w:val="24"/>
              </w:rPr>
            </w:pPr>
            <w:r>
              <w:rPr>
                <w:rFonts w:hint="default" w:ascii="宋体" w:eastAsia="宋体"/>
                <w:color w:val="auto"/>
                <w:sz w:val="18"/>
                <w:szCs w:val="24"/>
              </w:rPr>
              <w:t>6.定期答疑会：每学期至少</w:t>
            </w:r>
            <w:r>
              <w:rPr>
                <w:rFonts w:hint="eastAsia"/>
                <w:color w:val="auto"/>
                <w:sz w:val="18"/>
                <w:szCs w:val="24"/>
                <w:vertAlign w:val="superscript"/>
                <w:lang w:val="en-US" w:eastAsia="zh-CN"/>
              </w:rPr>
              <w:t xml:space="preserve"> </w:t>
            </w:r>
            <w:r>
              <w:rPr>
                <w:rFonts w:hint="default" w:ascii="宋体" w:eastAsia="宋体"/>
                <w:color w:val="auto"/>
                <w:sz w:val="18"/>
                <w:szCs w:val="24"/>
              </w:rPr>
              <w:t>1</w:t>
            </w:r>
            <w:r>
              <w:rPr>
                <w:rFonts w:hint="eastAsia"/>
                <w:color w:val="auto"/>
                <w:sz w:val="18"/>
                <w:szCs w:val="24"/>
                <w:vertAlign w:val="superscript"/>
                <w:lang w:val="en-US" w:eastAsia="zh-CN"/>
              </w:rPr>
              <w:t xml:space="preserve"> </w:t>
            </w:r>
            <w:r>
              <w:rPr>
                <w:rFonts w:hint="default" w:ascii="宋体" w:eastAsia="宋体"/>
                <w:color w:val="auto"/>
                <w:sz w:val="18"/>
                <w:szCs w:val="24"/>
              </w:rPr>
              <w:t>次线上/线下答疑，由专家/校医解答实操疑问。</w:t>
            </w:r>
          </w:p>
        </w:tc>
      </w:tr>
    </w:tbl>
    <w:p w14:paraId="6BBEB176">
      <w:pPr>
        <w:pStyle w:val="182"/>
        <w:spacing w:beforeLines="0" w:afterLines="0"/>
        <w:rPr>
          <w:rFonts w:hint="default" w:ascii="宋体" w:eastAsia="宋体"/>
          <w:color w:val="auto"/>
          <w:sz w:val="18"/>
          <w:szCs w:val="24"/>
        </w:rPr>
      </w:pPr>
      <w:r>
        <w:rPr>
          <w:rFonts w:hint="default" w:ascii="宋体" w:eastAsia="宋体"/>
          <w:color w:val="auto"/>
          <w:sz w:val="18"/>
          <w:szCs w:val="24"/>
        </w:rPr>
        <w:br w:type="page"/>
      </w:r>
    </w:p>
    <w:p w14:paraId="21E38CB3">
      <w:pPr>
        <w:pStyle w:val="202"/>
        <w:spacing w:beforeLines="0" w:afterLines="0"/>
        <w:ind w:firstLine="0"/>
        <w:rPr>
          <w:rFonts w:hint="eastAsia"/>
          <w:color w:val="auto"/>
          <w:sz w:val="2"/>
          <w:szCs w:val="21"/>
        </w:rPr>
      </w:pPr>
    </w:p>
    <w:p w14:paraId="0341D935">
      <w:pPr>
        <w:pStyle w:val="203"/>
        <w:spacing w:beforeLines="0" w:afterLines="0"/>
        <w:ind w:firstLine="0"/>
        <w:rPr>
          <w:rFonts w:hint="eastAsia"/>
          <w:color w:val="auto"/>
          <w:sz w:val="2"/>
          <w:szCs w:val="24"/>
        </w:rPr>
      </w:pPr>
    </w:p>
    <w:p w14:paraId="1403AB43">
      <w:pPr>
        <w:pStyle w:val="80"/>
        <w:spacing w:beforeLines="0"/>
        <w:rPr>
          <w:rFonts w:hint="eastAsia"/>
          <w:color w:val="auto"/>
          <w:sz w:val="21"/>
          <w:szCs w:val="24"/>
        </w:rPr>
      </w:pPr>
      <w:bookmarkStart w:id="102" w:name="_Toc28466"/>
      <w:bookmarkStart w:id="103" w:name="_Toc12720"/>
      <w:r>
        <w:rPr>
          <w:rFonts w:hint="eastAsia"/>
          <w:color w:val="auto"/>
          <w:sz w:val="21"/>
          <w:szCs w:val="24"/>
        </w:rPr>
        <w:br w:type="textWrapping"/>
      </w:r>
      <w:r>
        <w:rPr>
          <w:rFonts w:hint="eastAsia"/>
          <w:color w:val="auto"/>
          <w:sz w:val="21"/>
          <w:szCs w:val="24"/>
        </w:rPr>
        <w:t>（资料性）</w:t>
      </w:r>
      <w:r>
        <w:rPr>
          <w:rFonts w:hint="eastAsia"/>
          <w:color w:val="auto"/>
          <w:sz w:val="21"/>
          <w:szCs w:val="24"/>
        </w:rPr>
        <w:br w:type="textWrapping"/>
      </w:r>
      <w:r>
        <w:rPr>
          <w:rFonts w:hint="eastAsia"/>
          <w:color w:val="auto"/>
          <w:sz w:val="21"/>
          <w:szCs w:val="24"/>
        </w:rPr>
        <w:t>学校肺结核健康科普核心知识测评表</w:t>
      </w:r>
      <w:bookmarkEnd w:id="102"/>
      <w:bookmarkEnd w:id="103"/>
    </w:p>
    <w:p w14:paraId="21F8F3C2">
      <w:pPr>
        <w:pStyle w:val="60"/>
        <w:spacing w:beforeLines="0" w:afterLines="0"/>
        <w:rPr>
          <w:rFonts w:hint="eastAsia"/>
          <w:color w:val="auto"/>
          <w:sz w:val="21"/>
          <w:szCs w:val="24"/>
        </w:rPr>
      </w:pPr>
      <w:r>
        <w:rPr>
          <w:rFonts w:hint="default" w:ascii="宋体" w:eastAsia="宋体"/>
          <w:color w:val="auto"/>
          <w:sz w:val="21"/>
          <w:szCs w:val="24"/>
        </w:rPr>
        <w:t>学校肺结核健康科普核心知识测评表模板见表C.1。</w:t>
      </w:r>
    </w:p>
    <w:p w14:paraId="4AEDAD55">
      <w:pPr>
        <w:pStyle w:val="81"/>
        <w:rPr>
          <w:rFonts w:hint="eastAsia"/>
          <w:color w:val="auto"/>
          <w:sz w:val="21"/>
          <w:szCs w:val="24"/>
        </w:rPr>
      </w:pPr>
      <w:bookmarkStart w:id="104" w:name="_Toc12266"/>
      <w:r>
        <w:rPr>
          <w:rFonts w:hint="eastAsia"/>
          <w:color w:val="auto"/>
          <w:sz w:val="21"/>
          <w:szCs w:val="24"/>
        </w:rPr>
        <w:t>学校肺结核健康科普核心知识测评表</w:t>
      </w:r>
      <w:bookmarkEnd w:id="104"/>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9334"/>
      </w:tblGrid>
      <w:tr w14:paraId="44307F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9570" w:type="dxa"/>
            <w:tcBorders>
              <w:top w:val="single" w:color="auto" w:sz="8" w:space="0"/>
              <w:left w:val="single" w:color="auto" w:sz="8" w:space="0"/>
              <w:bottom w:val="single" w:color="auto" w:sz="8" w:space="0"/>
              <w:right w:val="single" w:color="auto" w:sz="8" w:space="0"/>
              <w:tl2br w:val="nil"/>
              <w:tr2bl w:val="nil"/>
            </w:tcBorders>
            <w:noWrap w:val="0"/>
            <w:vAlign w:val="center"/>
          </w:tcPr>
          <w:p w14:paraId="5F3A1430">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1.我国目前估算的结核病患者数量居世界第几位？（D）</w:t>
            </w:r>
          </w:p>
          <w:p w14:paraId="3AD1787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 xml:space="preserve">A.第一位  B.第二位  C.第三位  D.第四位 </w:t>
            </w:r>
          </w:p>
          <w:p w14:paraId="151D968C">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2.以下说法哪个正确？（C）</w:t>
            </w:r>
          </w:p>
          <w:p w14:paraId="48C9CA37">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A.肺结核在我国已经不是主要的传染病  B.肺结核在我国已经很少见了  C.肺结核是长期严重危害健康的慢性传染病  D.肺结核是不可治愈的</w:t>
            </w:r>
          </w:p>
          <w:p w14:paraId="5278BF8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3.当你或者家人咳嗽、咳痰持续</w:t>
            </w:r>
            <w:r>
              <w:rPr>
                <w:rFonts w:hint="eastAsia"/>
                <w:color w:val="auto"/>
                <w:sz w:val="18"/>
                <w:szCs w:val="24"/>
                <w:vertAlign w:val="superscript"/>
                <w:lang w:val="en-US" w:eastAsia="zh-CN"/>
              </w:rPr>
              <w:t xml:space="preserve"> </w:t>
            </w:r>
            <w:r>
              <w:rPr>
                <w:rFonts w:hint="default" w:ascii="宋体" w:eastAsia="宋体"/>
                <w:color w:val="auto"/>
                <w:sz w:val="18"/>
                <w:szCs w:val="24"/>
              </w:rPr>
              <w:t>≥</w:t>
            </w:r>
            <w:r>
              <w:rPr>
                <w:rFonts w:hint="eastAsia"/>
                <w:color w:val="auto"/>
                <w:sz w:val="18"/>
                <w:szCs w:val="24"/>
                <w:vertAlign w:val="superscript"/>
                <w:lang w:val="en-US" w:eastAsia="zh-CN"/>
              </w:rPr>
              <w:t xml:space="preserve"> </w:t>
            </w:r>
            <w:r>
              <w:rPr>
                <w:rFonts w:hint="default" w:ascii="宋体" w:eastAsia="宋体"/>
                <w:color w:val="auto"/>
                <w:sz w:val="18"/>
                <w:szCs w:val="24"/>
              </w:rPr>
              <w:t>2</w:t>
            </w:r>
            <w:r>
              <w:rPr>
                <w:rFonts w:hint="eastAsia"/>
                <w:color w:val="auto"/>
                <w:sz w:val="18"/>
                <w:szCs w:val="24"/>
                <w:vertAlign w:val="superscript"/>
                <w:lang w:val="en-US" w:eastAsia="zh-CN"/>
              </w:rPr>
              <w:t xml:space="preserve"> </w:t>
            </w:r>
            <w:r>
              <w:rPr>
                <w:rFonts w:hint="default" w:ascii="宋体" w:eastAsia="宋体"/>
                <w:color w:val="auto"/>
                <w:sz w:val="18"/>
                <w:szCs w:val="24"/>
              </w:rPr>
              <w:t>周或痰中带血、咯血时，应该怎样做？（C）</w:t>
            </w:r>
          </w:p>
          <w:p w14:paraId="280F5C3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 xml:space="preserve">A.自己购买止咳药缓解咳嗽症状  B.认为是慢性咳嗽，不予理睬  C.立即到结核病防治机构就诊，并按医生的要求进行胸部拍片及痰菌检查  D.以上都正确    </w:t>
            </w:r>
          </w:p>
          <w:p w14:paraId="3D46F70E">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4.肺结核是由什么引起的？（C）</w:t>
            </w:r>
          </w:p>
          <w:p w14:paraId="3DDA8F0D">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A.肺炎双球菌  B.病毒   C.结核分枝杆菌  D.肺吸虫</w:t>
            </w:r>
          </w:p>
          <w:p w14:paraId="6769D02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5.肺结核可疑症状的患者应该留几次痰进行痰菌检查？（C）</w:t>
            </w:r>
          </w:p>
          <w:p w14:paraId="52C9420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A.1</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次   B.2</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次   C.3</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次   D.4</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次</w:t>
            </w:r>
          </w:p>
          <w:p w14:paraId="0D28D6F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6.肺结核患者确诊的核心标准是什么？（A）</w:t>
            </w:r>
          </w:p>
          <w:p w14:paraId="2F84D12E">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A.痰结核菌检查  B.查尿  C.查血白细胞  D.查肝、肾功能</w:t>
            </w:r>
          </w:p>
          <w:p w14:paraId="50FDB415">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7.政府对肺结核可疑症状者提供免费检查主要包括：（A）</w:t>
            </w:r>
          </w:p>
          <w:p w14:paraId="438631C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A.痰涂片检查3次和X线胸片正位检查</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1</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次  B.CT检查  C.B超检查  D.痰普通培养检查</w:t>
            </w:r>
          </w:p>
          <w:p w14:paraId="6E0F3AA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 xml:space="preserve">8.怀疑得了肺结核最好到哪里去检查和治疗？（B） </w:t>
            </w:r>
          </w:p>
          <w:p w14:paraId="4C0D7179">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A.大医院内科门诊  B.定点医院结核病门诊  C.私人诊所  D.社区卫生服务中心</w:t>
            </w:r>
          </w:p>
          <w:p w14:paraId="126450D0">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9.抗结核治疗须遵循的原则是什么？（D）</w:t>
            </w:r>
          </w:p>
          <w:p w14:paraId="02F34254">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A.早期、联合  B.早期、联合、适量、规律  C.早期、联合、适量、全程  D.早期、联合、适量、规律、全程</w:t>
            </w:r>
          </w:p>
          <w:p w14:paraId="6BC50B4B">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10.新感染的结核患者如果坚持进行治疗，至少有多少可以被治愈？（D）</w:t>
            </w:r>
          </w:p>
          <w:p w14:paraId="7C0F785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A.20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B.40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C.60</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D.95</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w:t>
            </w:r>
          </w:p>
          <w:p w14:paraId="35BAAA15">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11.何种结核病患者具有传染性？（B）</w:t>
            </w:r>
          </w:p>
          <w:p w14:paraId="665D301D">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A.骨结核  B.痰涂片阳性肺结核  C.结核性胸膜炎  D.肠结核</w:t>
            </w:r>
          </w:p>
          <w:p w14:paraId="4269DCDF">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12.传染结核的主要途径：（A）</w:t>
            </w:r>
          </w:p>
          <w:p w14:paraId="7812D45F">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A.吸入含结核菌的飞沫及尘埃  B.与肺结核患者共同进餐  C.与肺结核患者握手  D.与肺结核患者共用餐具</w:t>
            </w:r>
          </w:p>
          <w:p w14:paraId="528C0D53">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13.关于肺结核防治的说法正确的是：（D）</w:t>
            </w:r>
          </w:p>
          <w:p w14:paraId="5D62DDBA">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A.肺结核可防可治  B.养成勤开窗通风的习惯  C.保证充足的睡眠，合理膳食，加强体育锻炼，提高抵御疾病的能力  D.以上都是</w:t>
            </w:r>
          </w:p>
          <w:p w14:paraId="04734C6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14.当你作为肺结核患者的陪人、家属或密切接触探视者，如何进行个人防护？（C）</w:t>
            </w:r>
          </w:p>
          <w:p w14:paraId="21EE5ABC">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A.戴纱布口罩  B.戴外科口罩  C.戴医用防护口罩（如N</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95</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/KN</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95</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 xml:space="preserve">级别）  D.不用戴口罩 </w:t>
            </w:r>
          </w:p>
          <w:p w14:paraId="6691DA2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15.抗结核治疗中途停药可导致：（B）</w:t>
            </w:r>
          </w:p>
          <w:p w14:paraId="219F44E9">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A.治愈  B.治疗失败和耐药  C.治疗成功  D.以上都不正确</w:t>
            </w:r>
          </w:p>
          <w:p w14:paraId="69AA0BE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16.在学校，有同事、老师或同学可疑得了肺结核或被诊断为肺结核时应该怎么办？（D）</w:t>
            </w:r>
          </w:p>
          <w:p w14:paraId="52C0A0D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 xml:space="preserve">A.主动向学校医务室或卫生室或班主任报告  B.不隐瞒病情  C.不带病上课  D.以上均对 </w:t>
            </w:r>
          </w:p>
          <w:p w14:paraId="5723A155">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17.下列哪类人群不属于结核易感人群：（D）</w:t>
            </w:r>
          </w:p>
          <w:p w14:paraId="7F67AB8E">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A.糖尿病患者  B.矽肺患者  C.艾滋病患者  D.未接种卡介苗的婴幼儿</w:t>
            </w:r>
          </w:p>
          <w:p w14:paraId="3992ED5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18.抗结核治疗服药过程中出现副作用的正确处理方法：（B）</w:t>
            </w:r>
          </w:p>
          <w:p w14:paraId="692F0969">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A.立即自行停药  B.及时专科医院就诊，专科医生根据具体情况确定后续治疗方案  C.服用中草药  D.坚持服药</w:t>
            </w:r>
          </w:p>
          <w:p w14:paraId="51CA1BA1">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19.考虑肺结核治疗效果的主要指标是：（D）</w:t>
            </w:r>
          </w:p>
          <w:p w14:paraId="4CE7ACF0">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A.X线表现好转  B.症状好转  C.痰结核菌转阴性  D.以上均正确</w:t>
            </w:r>
          </w:p>
          <w:p w14:paraId="527D0625">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20.结核病患者常见的症状是下列哪一个？（D）</w:t>
            </w:r>
          </w:p>
          <w:p w14:paraId="64D01DB4">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A.咳嗽、咳痰  B.疲乏、无力  C.午后低热  D.以上都正确</w:t>
            </w:r>
          </w:p>
        </w:tc>
      </w:tr>
    </w:tbl>
    <w:p w14:paraId="04FE569D">
      <w:pPr>
        <w:pStyle w:val="60"/>
        <w:spacing w:beforeLines="0" w:afterLines="0"/>
        <w:rPr>
          <w:rFonts w:hint="default" w:ascii="宋体" w:eastAsia="宋体"/>
          <w:color w:val="auto"/>
          <w:sz w:val="18"/>
          <w:szCs w:val="18"/>
        </w:rPr>
      </w:pPr>
      <w:r>
        <w:rPr>
          <w:rFonts w:hint="default" w:ascii="宋体" w:eastAsia="宋体"/>
          <w:color w:val="auto"/>
          <w:sz w:val="18"/>
          <w:szCs w:val="18"/>
        </w:rPr>
        <w:t>备注：满分100分，每题5分，测评成绩80分及以上判定为合格。</w:t>
      </w:r>
    </w:p>
    <w:p w14:paraId="47BE6D58">
      <w:pPr>
        <w:pStyle w:val="60"/>
        <w:spacing w:beforeLines="0" w:afterLines="0"/>
        <w:ind w:firstLine="0" w:firstLineChars="0"/>
        <w:rPr>
          <w:rFonts w:hint="eastAsia"/>
          <w:color w:val="auto"/>
          <w:sz w:val="21"/>
          <w:szCs w:val="24"/>
        </w:rPr>
      </w:pPr>
    </w:p>
    <w:p w14:paraId="459E01C6">
      <w:pPr>
        <w:pStyle w:val="60"/>
        <w:spacing w:beforeLines="0" w:afterLines="0"/>
        <w:rPr>
          <w:rFonts w:hint="eastAsia"/>
          <w:color w:val="auto"/>
          <w:sz w:val="21"/>
          <w:szCs w:val="24"/>
        </w:rPr>
      </w:pPr>
    </w:p>
    <w:p w14:paraId="7A3E3B44">
      <w:pPr>
        <w:pStyle w:val="60"/>
        <w:spacing w:beforeLines="0" w:afterLines="0"/>
        <w:rPr>
          <w:rFonts w:hint="eastAsia"/>
          <w:color w:val="auto"/>
          <w:sz w:val="21"/>
          <w:szCs w:val="24"/>
        </w:rPr>
        <w:sectPr>
          <w:headerReference r:id="rId31" w:type="default"/>
          <w:footerReference r:id="rId33" w:type="default"/>
          <w:headerReference r:id="rId32" w:type="even"/>
          <w:footerReference r:id="rId34" w:type="even"/>
          <w:pgSz w:w="11906" w:h="16838"/>
          <w:pgMar w:top="1928" w:right="1134" w:bottom="1134" w:left="1134" w:header="1418" w:footer="1134" w:gutter="284"/>
          <w:lnNumType w:countBy="0" w:distance="360"/>
          <w:cols w:space="720" w:num="1"/>
          <w:formProt w:val="0"/>
          <w:docGrid w:linePitch="312" w:charSpace="0"/>
        </w:sectPr>
      </w:pPr>
    </w:p>
    <w:p w14:paraId="699189A9">
      <w:pPr>
        <w:pStyle w:val="202"/>
        <w:spacing w:beforeLines="0" w:afterLines="0"/>
        <w:ind w:firstLine="0"/>
        <w:rPr>
          <w:rFonts w:hint="eastAsia"/>
          <w:color w:val="auto"/>
          <w:sz w:val="2"/>
          <w:szCs w:val="21"/>
        </w:rPr>
      </w:pPr>
    </w:p>
    <w:p w14:paraId="27D76C39">
      <w:pPr>
        <w:pStyle w:val="203"/>
        <w:spacing w:beforeLines="0" w:afterLines="0"/>
        <w:ind w:firstLine="0"/>
        <w:rPr>
          <w:rFonts w:hint="eastAsia"/>
          <w:color w:val="auto"/>
          <w:sz w:val="2"/>
          <w:szCs w:val="24"/>
        </w:rPr>
      </w:pPr>
    </w:p>
    <w:p w14:paraId="77F37AF2">
      <w:pPr>
        <w:pStyle w:val="80"/>
        <w:spacing w:beforeLines="0"/>
        <w:rPr>
          <w:rFonts w:hint="eastAsia"/>
          <w:color w:val="auto"/>
          <w:sz w:val="21"/>
          <w:szCs w:val="24"/>
        </w:rPr>
      </w:pPr>
      <w:bookmarkStart w:id="105" w:name="_Toc26120"/>
      <w:bookmarkStart w:id="106" w:name="_Toc438"/>
      <w:r>
        <w:rPr>
          <w:rFonts w:hint="eastAsia"/>
          <w:color w:val="auto"/>
          <w:sz w:val="21"/>
          <w:szCs w:val="24"/>
        </w:rPr>
        <w:br w:type="textWrapping"/>
      </w:r>
      <w:r>
        <w:rPr>
          <w:rFonts w:hint="eastAsia"/>
          <w:color w:val="auto"/>
          <w:sz w:val="21"/>
          <w:szCs w:val="24"/>
        </w:rPr>
        <w:t>（资料性）</w:t>
      </w:r>
      <w:r>
        <w:rPr>
          <w:rFonts w:hint="eastAsia"/>
          <w:color w:val="auto"/>
          <w:sz w:val="21"/>
          <w:szCs w:val="24"/>
        </w:rPr>
        <w:br w:type="textWrapping"/>
      </w:r>
      <w:r>
        <w:rPr>
          <w:rFonts w:hint="eastAsia"/>
          <w:color w:val="auto"/>
          <w:sz w:val="21"/>
          <w:szCs w:val="24"/>
        </w:rPr>
        <w:t>学校肺结核健康科普活动满意度调查</w:t>
      </w:r>
      <w:bookmarkEnd w:id="105"/>
      <w:bookmarkEnd w:id="106"/>
    </w:p>
    <w:p w14:paraId="6620BD8E">
      <w:pPr>
        <w:pStyle w:val="60"/>
        <w:spacing w:beforeLines="0" w:afterLines="0"/>
        <w:rPr>
          <w:rFonts w:hint="eastAsia"/>
          <w:color w:val="auto"/>
          <w:sz w:val="21"/>
          <w:szCs w:val="24"/>
        </w:rPr>
      </w:pPr>
      <w:r>
        <w:rPr>
          <w:rFonts w:hint="default" w:ascii="宋体" w:eastAsia="宋体"/>
          <w:color w:val="auto"/>
          <w:sz w:val="21"/>
          <w:szCs w:val="24"/>
        </w:rPr>
        <w:t>学校肺结核健康科普活动满意度调查见D.1。</w:t>
      </w:r>
    </w:p>
    <w:p w14:paraId="01F3AC63">
      <w:pPr>
        <w:pStyle w:val="81"/>
        <w:rPr>
          <w:rFonts w:hint="eastAsia"/>
          <w:color w:val="auto"/>
          <w:sz w:val="21"/>
          <w:szCs w:val="24"/>
        </w:rPr>
      </w:pPr>
      <w:bookmarkStart w:id="107" w:name="_Toc22239"/>
      <w:r>
        <w:rPr>
          <w:rFonts w:hint="eastAsia"/>
          <w:color w:val="auto"/>
          <w:sz w:val="21"/>
          <w:szCs w:val="24"/>
        </w:rPr>
        <w:t>学校肺结核健康科普活动满意度调查</w:t>
      </w:r>
      <w:bookmarkEnd w:id="107"/>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9334"/>
      </w:tblGrid>
      <w:tr w14:paraId="5DDF80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9570" w:type="dxa"/>
            <w:tcBorders>
              <w:top w:val="single" w:color="auto" w:sz="8" w:space="0"/>
              <w:left w:val="single" w:color="auto" w:sz="8" w:space="0"/>
              <w:bottom w:val="single" w:color="auto" w:sz="8" w:space="0"/>
              <w:right w:val="single" w:color="auto" w:sz="8" w:space="0"/>
              <w:tl2br w:val="nil"/>
              <w:tr2bl w:val="nil"/>
            </w:tcBorders>
            <w:noWrap w:val="0"/>
            <w:vAlign w:val="center"/>
          </w:tcPr>
          <w:p w14:paraId="4B61F98F">
            <w:pPr>
              <w:pStyle w:val="182"/>
              <w:spacing w:beforeLines="0" w:afterLines="0"/>
              <w:jc w:val="left"/>
              <w:rPr>
                <w:rFonts w:hint="eastAsia"/>
                <w:color w:val="auto"/>
                <w:sz w:val="18"/>
                <w:szCs w:val="24"/>
                <w:u w:val="single"/>
              </w:rPr>
            </w:pPr>
            <w:r>
              <w:rPr>
                <w:rFonts w:hint="default" w:ascii="宋体" w:eastAsia="宋体"/>
                <w:color w:val="auto"/>
                <w:sz w:val="18"/>
                <w:szCs w:val="24"/>
              </w:rPr>
              <w:t>编号：</w:t>
            </w:r>
            <w:r>
              <w:rPr>
                <w:rFonts w:hint="default" w:ascii="宋体" w:eastAsia="宋体"/>
                <w:color w:val="auto"/>
                <w:sz w:val="18"/>
                <w:szCs w:val="24"/>
                <w:u w:val="single"/>
              </w:rPr>
              <w:t xml:space="preserve">                    </w:t>
            </w:r>
          </w:p>
          <w:p w14:paraId="70F1E1A6">
            <w:pPr>
              <w:pStyle w:val="182"/>
              <w:spacing w:beforeLines="0" w:afterLines="0"/>
              <w:rPr>
                <w:rFonts w:hint="default" w:ascii="宋体" w:eastAsia="宋体"/>
                <w:color w:val="auto"/>
                <w:sz w:val="18"/>
                <w:szCs w:val="24"/>
              </w:rPr>
            </w:pPr>
          </w:p>
          <w:p w14:paraId="4C5BADDD">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欢迎您参加本次肺结核健康科普活动！为进一步提升学校肺结核健康科普活动质量，更好地满足师生及家长对肺结核健康科普的需求，特开展本次满意度调查。我们真诚希望得到您的真实反馈，非常感谢您的参与！</w:t>
            </w:r>
          </w:p>
          <w:p w14:paraId="312C9C0B">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填表说明：问题中未特别注明的均为单选题，每题限选1个答案；多选题已标注，可多选。请在所选答案序号下画“√”。</w:t>
            </w:r>
          </w:p>
          <w:p w14:paraId="7B6B978B">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1.您的性别？</w:t>
            </w:r>
          </w:p>
          <w:p w14:paraId="14B3CCCE">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A.男；B.女</w:t>
            </w:r>
          </w:p>
          <w:p w14:paraId="3CF37788">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2.您的年龄？</w:t>
            </w:r>
          </w:p>
          <w:p w14:paraId="3CA6BE03">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A.3</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6</w:t>
            </w:r>
            <w:r>
              <w:rPr>
                <w:rFonts w:hint="eastAsia"/>
                <w:color w:val="auto"/>
                <w:sz w:val="18"/>
                <w:szCs w:val="24"/>
                <w:vertAlign w:val="superscript"/>
                <w:lang w:val="en-US" w:eastAsia="zh-CN"/>
              </w:rPr>
              <w:t xml:space="preserve"> </w:t>
            </w:r>
            <w:r>
              <w:rPr>
                <w:rFonts w:hint="default" w:ascii="宋体" w:eastAsia="宋体"/>
                <w:color w:val="auto"/>
                <w:sz w:val="18"/>
                <w:szCs w:val="24"/>
              </w:rPr>
              <w:t>岁；B.7</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17</w:t>
            </w:r>
            <w:r>
              <w:rPr>
                <w:rFonts w:hint="eastAsia"/>
                <w:color w:val="auto"/>
                <w:sz w:val="18"/>
                <w:szCs w:val="24"/>
                <w:vertAlign w:val="superscript"/>
                <w:lang w:val="en-US" w:eastAsia="zh-CN"/>
              </w:rPr>
              <w:t xml:space="preserve"> </w:t>
            </w:r>
            <w:r>
              <w:rPr>
                <w:rFonts w:hint="default" w:ascii="宋体" w:eastAsia="宋体"/>
                <w:color w:val="auto"/>
                <w:sz w:val="18"/>
                <w:szCs w:val="24"/>
              </w:rPr>
              <w:t>岁；C.18</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24 岁；D.24</w:t>
            </w:r>
            <w:r>
              <w:rPr>
                <w:rFonts w:hint="eastAsia"/>
                <w:color w:val="auto"/>
                <w:sz w:val="18"/>
                <w:szCs w:val="24"/>
                <w:vertAlign w:val="superscript"/>
                <w:lang w:val="en-US" w:eastAsia="zh-CN"/>
              </w:rPr>
              <w:t xml:space="preserve"> </w:t>
            </w:r>
            <w:r>
              <w:rPr>
                <w:rFonts w:hint="default" w:ascii="宋体" w:eastAsia="宋体"/>
                <w:color w:val="auto"/>
                <w:sz w:val="18"/>
                <w:szCs w:val="24"/>
              </w:rPr>
              <w:t>岁以上</w:t>
            </w:r>
          </w:p>
          <w:p w14:paraId="5FFE5DD3">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3.您参与本次活动的身份对应的学校类型？</w:t>
            </w:r>
          </w:p>
          <w:p w14:paraId="4662810B">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A.托幼机构；B.中小学；C.中职校；D.高校</w:t>
            </w:r>
          </w:p>
          <w:p w14:paraId="351EB8AF">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4.您的受教育水平？</w:t>
            </w:r>
          </w:p>
          <w:p w14:paraId="3AE4D8A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A.初中及以下；B.高中；C.大学专科；D.大学本科；E.研究生</w:t>
            </w:r>
          </w:p>
          <w:p w14:paraId="2C36755B">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5.您每年参与学校组织的健康科普活动的次数？</w:t>
            </w:r>
          </w:p>
          <w:p w14:paraId="2B2B9F2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A.从不；B.1</w:t>
            </w:r>
            <w:r>
              <w:rPr>
                <w:rFonts w:hint="eastAsia"/>
                <w:color w:val="auto"/>
                <w:sz w:val="18"/>
                <w:szCs w:val="24"/>
                <w:vertAlign w:val="superscript"/>
                <w:lang w:val="en-US" w:eastAsia="zh-CN"/>
              </w:rPr>
              <w:t xml:space="preserve"> </w:t>
            </w:r>
            <w:r>
              <w:rPr>
                <w:rFonts w:hint="default" w:ascii="宋体" w:eastAsia="宋体"/>
                <w:color w:val="auto"/>
                <w:sz w:val="18"/>
                <w:szCs w:val="24"/>
              </w:rPr>
              <w:t>次；C.2</w:t>
            </w:r>
            <w:r>
              <w:rPr>
                <w:rFonts w:hint="eastAsia"/>
                <w:color w:val="auto"/>
                <w:sz w:val="18"/>
                <w:szCs w:val="24"/>
                <w:vertAlign w:val="superscript"/>
                <w:lang w:val="en-US" w:eastAsia="zh-CN"/>
              </w:rPr>
              <w:t xml:space="preserve"> </w:t>
            </w:r>
            <w:r>
              <w:rPr>
                <w:rFonts w:hint="default" w:ascii="宋体" w:eastAsia="宋体"/>
                <w:color w:val="auto"/>
                <w:sz w:val="18"/>
                <w:szCs w:val="24"/>
              </w:rPr>
              <w:t>次；D.3</w:t>
            </w:r>
            <w:r>
              <w:rPr>
                <w:rFonts w:hint="eastAsia"/>
                <w:color w:val="auto"/>
                <w:sz w:val="18"/>
                <w:szCs w:val="24"/>
                <w:vertAlign w:val="superscript"/>
                <w:lang w:val="en-US" w:eastAsia="zh-CN"/>
              </w:rPr>
              <w:t xml:space="preserve"> </w:t>
            </w:r>
            <w:r>
              <w:rPr>
                <w:rFonts w:hint="default" w:ascii="宋体" w:eastAsia="宋体"/>
                <w:color w:val="auto"/>
                <w:sz w:val="18"/>
                <w:szCs w:val="24"/>
              </w:rPr>
              <w:t>次以上</w:t>
            </w:r>
          </w:p>
          <w:p w14:paraId="3864713A">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6.您对本次肺结核健康科普活动的展现形式是否满意？</w:t>
            </w:r>
          </w:p>
          <w:p w14:paraId="4C4603AF">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A.非常满意；B.比较满意；C.一般；D.比较不满意；E.非常不满意</w:t>
            </w:r>
          </w:p>
          <w:p w14:paraId="142BA00D">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7.您对本次肺结核健康科普内容的实用性是否满意？</w:t>
            </w:r>
          </w:p>
          <w:p w14:paraId="526CE426">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A.非常满意；B.比较满意；C.一般；D.比较不满意；E.非常不满意</w:t>
            </w:r>
          </w:p>
          <w:p w14:paraId="7F5B55A9">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8.您认为本次肺结核健康科普活动在哪些问题上需要改善？【多选】</w:t>
            </w:r>
          </w:p>
          <w:p w14:paraId="3491FC17">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A.科普形式单一（文字/图片/视频/音频等形式不足）；B.内容覆盖面窄；C.互动性差；D.内容时效性不足；E.可参与度低；F.其他（请注明：________）</w:t>
            </w:r>
          </w:p>
          <w:p w14:paraId="736DB5CC">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9.您希望我们开展哪些类型的学校肺结核健康科普活动？【多选】</w:t>
            </w:r>
          </w:p>
          <w:p w14:paraId="527202B2">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A.专题讲座；B.图文展览；C.科普互动游戏；D.知识竞赛；E.宣传专栏；F.情景演练；G.其他（请注明：_______）</w:t>
            </w:r>
          </w:p>
          <w:p w14:paraId="0EC0C34B">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10.您对本次活动的整体评分是？</w:t>
            </w:r>
          </w:p>
          <w:p w14:paraId="0C1E7F74">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A.60</w:t>
            </w:r>
            <w:r>
              <w:rPr>
                <w:rFonts w:hint="eastAsia"/>
                <w:color w:val="auto"/>
                <w:sz w:val="18"/>
                <w:szCs w:val="24"/>
                <w:vertAlign w:val="superscript"/>
                <w:lang w:val="en-US" w:eastAsia="zh-CN"/>
              </w:rPr>
              <w:t xml:space="preserve"> </w:t>
            </w:r>
            <w:r>
              <w:rPr>
                <w:rFonts w:hint="default" w:ascii="宋体" w:eastAsia="宋体"/>
                <w:color w:val="auto"/>
                <w:sz w:val="18"/>
                <w:szCs w:val="24"/>
              </w:rPr>
              <w:t>分以下；B.60</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69</w:t>
            </w:r>
            <w:r>
              <w:rPr>
                <w:rFonts w:hint="eastAsia"/>
                <w:color w:val="auto"/>
                <w:sz w:val="18"/>
                <w:szCs w:val="24"/>
                <w:vertAlign w:val="superscript"/>
                <w:lang w:val="en-US" w:eastAsia="zh-CN"/>
              </w:rPr>
              <w:t xml:space="preserve"> </w:t>
            </w:r>
            <w:r>
              <w:rPr>
                <w:rFonts w:hint="default" w:ascii="宋体" w:eastAsia="宋体"/>
                <w:color w:val="auto"/>
                <w:sz w:val="18"/>
                <w:szCs w:val="24"/>
              </w:rPr>
              <w:t>分；C.70</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79</w:t>
            </w:r>
            <w:r>
              <w:rPr>
                <w:rFonts w:hint="eastAsia"/>
                <w:color w:val="auto"/>
                <w:sz w:val="18"/>
                <w:szCs w:val="24"/>
                <w:vertAlign w:val="superscript"/>
                <w:lang w:val="en-US" w:eastAsia="zh-CN"/>
              </w:rPr>
              <w:t xml:space="preserve"> </w:t>
            </w:r>
            <w:r>
              <w:rPr>
                <w:rFonts w:hint="default" w:ascii="宋体" w:eastAsia="宋体"/>
                <w:color w:val="auto"/>
                <w:sz w:val="18"/>
                <w:szCs w:val="24"/>
              </w:rPr>
              <w:t>分；D.80</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89</w:t>
            </w:r>
            <w:r>
              <w:rPr>
                <w:rFonts w:hint="eastAsia"/>
                <w:color w:val="auto"/>
                <w:sz w:val="18"/>
                <w:szCs w:val="24"/>
                <w:vertAlign w:val="superscript"/>
                <w:lang w:val="en-US" w:eastAsia="zh-CN"/>
              </w:rPr>
              <w:t xml:space="preserve"> </w:t>
            </w:r>
            <w:r>
              <w:rPr>
                <w:rFonts w:hint="default" w:ascii="宋体" w:eastAsia="宋体"/>
                <w:color w:val="auto"/>
                <w:sz w:val="18"/>
                <w:szCs w:val="24"/>
              </w:rPr>
              <w:t>分；E.90</w:t>
            </w:r>
            <w:r>
              <w:rPr>
                <w:rFonts w:hint="eastAsia"/>
                <w:color w:val="auto"/>
                <w:sz w:val="21"/>
                <w:szCs w:val="24"/>
                <w:highlight w:val="none"/>
                <w:vertAlign w:val="superscript"/>
                <w:lang w:val="en-US" w:eastAsia="zh-CN"/>
              </w:rPr>
              <w:t xml:space="preserve"> </w:t>
            </w:r>
            <w:r>
              <w:rPr>
                <w:rFonts w:hint="default" w:ascii="Arial" w:hAnsi="Arial" w:eastAsia="宋体" w:cs="Arial"/>
                <w:color w:val="auto"/>
                <w:sz w:val="18"/>
                <w:szCs w:val="24"/>
              </w:rPr>
              <w:t>~</w:t>
            </w:r>
            <w:r>
              <w:rPr>
                <w:rFonts w:hint="eastAsia"/>
                <w:color w:val="auto"/>
                <w:sz w:val="21"/>
                <w:szCs w:val="24"/>
                <w:highlight w:val="none"/>
                <w:vertAlign w:val="superscript"/>
                <w:lang w:val="en-US" w:eastAsia="zh-CN"/>
              </w:rPr>
              <w:t xml:space="preserve"> </w:t>
            </w:r>
            <w:r>
              <w:rPr>
                <w:rFonts w:hint="default" w:ascii="宋体" w:eastAsia="宋体"/>
                <w:color w:val="auto"/>
                <w:sz w:val="18"/>
                <w:szCs w:val="24"/>
              </w:rPr>
              <w:t>100</w:t>
            </w:r>
            <w:r>
              <w:rPr>
                <w:rFonts w:hint="eastAsia"/>
                <w:color w:val="auto"/>
                <w:sz w:val="18"/>
                <w:szCs w:val="24"/>
                <w:vertAlign w:val="superscript"/>
                <w:lang w:val="en-US" w:eastAsia="zh-CN"/>
              </w:rPr>
              <w:t xml:space="preserve"> </w:t>
            </w:r>
            <w:r>
              <w:rPr>
                <w:rFonts w:hint="default" w:ascii="宋体" w:eastAsia="宋体"/>
                <w:color w:val="auto"/>
                <w:sz w:val="18"/>
                <w:szCs w:val="24"/>
              </w:rPr>
              <w:t>分</w:t>
            </w:r>
          </w:p>
          <w:p w14:paraId="5DACC088">
            <w:pPr>
              <w:pStyle w:val="182"/>
              <w:spacing w:beforeLines="0" w:afterLines="0"/>
              <w:jc w:val="left"/>
              <w:rPr>
                <w:rFonts w:hint="default" w:ascii="宋体" w:eastAsia="宋体"/>
                <w:color w:val="auto"/>
                <w:sz w:val="18"/>
                <w:szCs w:val="24"/>
              </w:rPr>
            </w:pPr>
            <w:r>
              <w:rPr>
                <w:rFonts w:hint="default" w:ascii="宋体" w:eastAsia="宋体"/>
                <w:color w:val="auto"/>
                <w:sz w:val="18"/>
                <w:szCs w:val="24"/>
              </w:rPr>
              <w:t>您对学校肺结核健康科普活动的其他建议：</w:t>
            </w:r>
          </w:p>
          <w:p w14:paraId="7EAD70CF">
            <w:pPr>
              <w:pStyle w:val="182"/>
              <w:spacing w:beforeLines="0" w:afterLines="0"/>
              <w:jc w:val="left"/>
              <w:rPr>
                <w:rFonts w:hint="default" w:ascii="宋体" w:eastAsia="宋体"/>
                <w:color w:val="auto"/>
                <w:sz w:val="18"/>
                <w:szCs w:val="24"/>
              </w:rPr>
            </w:pPr>
          </w:p>
          <w:p w14:paraId="510F233C">
            <w:pPr>
              <w:pStyle w:val="182"/>
              <w:spacing w:beforeLines="0" w:afterLines="0"/>
              <w:jc w:val="left"/>
              <w:rPr>
                <w:rFonts w:hint="default" w:ascii="宋体" w:eastAsia="宋体"/>
                <w:color w:val="auto"/>
                <w:sz w:val="18"/>
                <w:szCs w:val="24"/>
              </w:rPr>
            </w:pPr>
          </w:p>
        </w:tc>
      </w:tr>
    </w:tbl>
    <w:p w14:paraId="4F3AB2D0">
      <w:pPr>
        <w:pStyle w:val="60"/>
        <w:spacing w:beforeLines="0" w:afterLines="0"/>
        <w:rPr>
          <w:rFonts w:hint="eastAsia"/>
          <w:color w:val="auto"/>
          <w:sz w:val="21"/>
          <w:szCs w:val="24"/>
        </w:rPr>
      </w:pPr>
    </w:p>
    <w:p w14:paraId="6E3373AE">
      <w:pPr>
        <w:pStyle w:val="60"/>
        <w:spacing w:beforeLines="0" w:afterLines="0"/>
        <w:rPr>
          <w:rFonts w:hint="eastAsia"/>
          <w:color w:val="auto"/>
          <w:sz w:val="21"/>
          <w:szCs w:val="24"/>
        </w:rPr>
      </w:pPr>
    </w:p>
    <w:p w14:paraId="6A63A154">
      <w:pPr>
        <w:pStyle w:val="60"/>
        <w:spacing w:beforeLines="0" w:afterLines="0"/>
        <w:rPr>
          <w:rFonts w:hint="eastAsia"/>
          <w:color w:val="auto"/>
          <w:sz w:val="21"/>
          <w:szCs w:val="24"/>
        </w:rPr>
      </w:pPr>
    </w:p>
    <w:p w14:paraId="0E95D3F5">
      <w:pPr>
        <w:pStyle w:val="60"/>
        <w:spacing w:beforeLines="0" w:afterLines="0"/>
        <w:rPr>
          <w:rFonts w:hint="eastAsia"/>
          <w:color w:val="auto"/>
          <w:sz w:val="21"/>
          <w:szCs w:val="24"/>
        </w:rPr>
      </w:pPr>
    </w:p>
    <w:p w14:paraId="0FB4F8DF">
      <w:pPr>
        <w:pStyle w:val="60"/>
        <w:spacing w:beforeLines="0" w:afterLines="0"/>
        <w:rPr>
          <w:rFonts w:hint="eastAsia"/>
          <w:color w:val="auto"/>
          <w:sz w:val="21"/>
          <w:szCs w:val="24"/>
        </w:rPr>
      </w:pPr>
    </w:p>
    <w:p w14:paraId="3FA90FBD">
      <w:pPr>
        <w:pStyle w:val="60"/>
        <w:spacing w:beforeLines="0" w:afterLines="0"/>
        <w:rPr>
          <w:rFonts w:hint="eastAsia"/>
          <w:color w:val="auto"/>
          <w:sz w:val="21"/>
          <w:szCs w:val="24"/>
        </w:rPr>
      </w:pPr>
    </w:p>
    <w:p w14:paraId="11CAA554">
      <w:pPr>
        <w:pStyle w:val="60"/>
        <w:spacing w:beforeLines="0" w:afterLines="0"/>
        <w:rPr>
          <w:rFonts w:hint="eastAsia"/>
          <w:color w:val="auto"/>
          <w:sz w:val="21"/>
          <w:szCs w:val="24"/>
        </w:rPr>
        <w:sectPr>
          <w:headerReference r:id="rId35" w:type="default"/>
          <w:footerReference r:id="rId37" w:type="default"/>
          <w:headerReference r:id="rId36" w:type="even"/>
          <w:footerReference r:id="rId38" w:type="even"/>
          <w:pgSz w:w="11906" w:h="16838"/>
          <w:pgMar w:top="1928" w:right="1134" w:bottom="1134" w:left="1134" w:header="1418" w:footer="1134" w:gutter="284"/>
          <w:lnNumType w:countBy="0" w:distance="360"/>
          <w:cols w:space="720" w:num="1"/>
          <w:formProt w:val="0"/>
          <w:docGrid w:linePitch="312" w:charSpace="0"/>
        </w:sectPr>
      </w:pPr>
    </w:p>
    <w:p w14:paraId="7703362A">
      <w:pPr>
        <w:pStyle w:val="202"/>
        <w:spacing w:beforeLines="0" w:afterLines="0"/>
        <w:ind w:firstLine="0"/>
        <w:rPr>
          <w:rFonts w:hint="eastAsia"/>
          <w:color w:val="auto"/>
          <w:sz w:val="2"/>
          <w:szCs w:val="21"/>
        </w:rPr>
      </w:pPr>
    </w:p>
    <w:p w14:paraId="61FF9EC1">
      <w:pPr>
        <w:pStyle w:val="203"/>
        <w:spacing w:beforeLines="0" w:afterLines="0"/>
        <w:ind w:firstLine="0"/>
        <w:rPr>
          <w:rFonts w:hint="eastAsia"/>
          <w:color w:val="auto"/>
          <w:sz w:val="2"/>
          <w:szCs w:val="24"/>
        </w:rPr>
      </w:pPr>
    </w:p>
    <w:p w14:paraId="0B017C93">
      <w:pPr>
        <w:pStyle w:val="80"/>
        <w:spacing w:beforeLines="0"/>
        <w:rPr>
          <w:rFonts w:hint="eastAsia"/>
          <w:color w:val="auto"/>
          <w:sz w:val="21"/>
          <w:szCs w:val="24"/>
        </w:rPr>
      </w:pPr>
      <w:bookmarkStart w:id="108" w:name="_Toc15993"/>
      <w:bookmarkStart w:id="109" w:name="_Toc4176"/>
      <w:r>
        <w:rPr>
          <w:rFonts w:hint="eastAsia"/>
          <w:color w:val="auto"/>
          <w:sz w:val="21"/>
          <w:szCs w:val="24"/>
        </w:rPr>
        <w:br w:type="textWrapping"/>
      </w:r>
      <w:r>
        <w:rPr>
          <w:rFonts w:hint="eastAsia"/>
          <w:color w:val="auto"/>
          <w:sz w:val="21"/>
          <w:szCs w:val="24"/>
        </w:rPr>
        <w:t>（资料性）</w:t>
      </w:r>
      <w:r>
        <w:rPr>
          <w:rFonts w:hint="eastAsia"/>
          <w:color w:val="auto"/>
          <w:sz w:val="21"/>
          <w:szCs w:val="24"/>
        </w:rPr>
        <w:br w:type="textWrapping"/>
      </w:r>
      <w:r>
        <w:rPr>
          <w:rFonts w:hint="eastAsia"/>
          <w:color w:val="auto"/>
          <w:sz w:val="21"/>
          <w:szCs w:val="24"/>
        </w:rPr>
        <w:t>学校肺结核健康科普记录表</w:t>
      </w:r>
      <w:bookmarkEnd w:id="108"/>
      <w:bookmarkEnd w:id="109"/>
    </w:p>
    <w:p w14:paraId="06172ABF">
      <w:pPr>
        <w:pStyle w:val="60"/>
        <w:spacing w:beforeLines="0" w:afterLines="0"/>
        <w:rPr>
          <w:rFonts w:hint="eastAsia"/>
          <w:color w:val="auto"/>
          <w:sz w:val="21"/>
          <w:szCs w:val="24"/>
        </w:rPr>
      </w:pPr>
      <w:r>
        <w:rPr>
          <w:rFonts w:hint="default" w:ascii="宋体" w:eastAsia="宋体"/>
          <w:color w:val="auto"/>
          <w:sz w:val="21"/>
          <w:szCs w:val="24"/>
        </w:rPr>
        <w:t>学校肺结核健康科普记录见表E.1。</w:t>
      </w:r>
    </w:p>
    <w:p w14:paraId="1531810B">
      <w:pPr>
        <w:pStyle w:val="81"/>
        <w:rPr>
          <w:rFonts w:hint="eastAsia"/>
          <w:color w:val="auto"/>
          <w:sz w:val="21"/>
          <w:szCs w:val="24"/>
        </w:rPr>
      </w:pPr>
      <w:bookmarkStart w:id="110" w:name="_Toc8721"/>
      <w:r>
        <w:rPr>
          <w:rFonts w:hint="eastAsia"/>
          <w:color w:val="auto"/>
          <w:sz w:val="21"/>
          <w:szCs w:val="24"/>
        </w:rPr>
        <w:t>学校肺结核健康科普记录表</w:t>
      </w:r>
      <w:bookmarkEnd w:id="110"/>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034"/>
        <w:gridCol w:w="1034"/>
        <w:gridCol w:w="1034"/>
        <w:gridCol w:w="750"/>
        <w:gridCol w:w="1204"/>
        <w:gridCol w:w="1164"/>
        <w:gridCol w:w="1041"/>
        <w:gridCol w:w="1283"/>
        <w:gridCol w:w="790"/>
      </w:tblGrid>
      <w:tr w14:paraId="136F79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061" w:type="dxa"/>
            <w:tcBorders>
              <w:top w:val="single" w:color="auto" w:sz="8" w:space="0"/>
              <w:left w:val="single" w:color="auto" w:sz="8" w:space="0"/>
              <w:bottom w:val="single" w:color="auto" w:sz="8" w:space="0"/>
              <w:right w:val="single" w:color="auto" w:sz="4" w:space="0"/>
              <w:tl2br w:val="nil"/>
              <w:tr2bl w:val="nil"/>
            </w:tcBorders>
            <w:noWrap w:val="0"/>
            <w:vAlign w:val="center"/>
          </w:tcPr>
          <w:p w14:paraId="6B259CAD">
            <w:pPr>
              <w:pStyle w:val="182"/>
              <w:spacing w:beforeLines="0" w:afterLines="0"/>
              <w:rPr>
                <w:rFonts w:hint="eastAsia"/>
                <w:color w:val="auto"/>
                <w:sz w:val="18"/>
                <w:szCs w:val="24"/>
              </w:rPr>
            </w:pPr>
            <w:r>
              <w:rPr>
                <w:rFonts w:hint="default" w:ascii="宋体" w:eastAsia="宋体"/>
                <w:color w:val="auto"/>
                <w:sz w:val="18"/>
                <w:szCs w:val="24"/>
              </w:rPr>
              <w:t>时间</w:t>
            </w:r>
          </w:p>
        </w:tc>
        <w:tc>
          <w:tcPr>
            <w:tcW w:w="1061" w:type="dxa"/>
            <w:tcBorders>
              <w:top w:val="single" w:color="auto" w:sz="8" w:space="0"/>
              <w:left w:val="single" w:color="auto" w:sz="4" w:space="0"/>
              <w:bottom w:val="single" w:color="auto" w:sz="8" w:space="0"/>
              <w:right w:val="single" w:color="auto" w:sz="4" w:space="0"/>
              <w:tl2br w:val="nil"/>
              <w:tr2bl w:val="nil"/>
            </w:tcBorders>
            <w:noWrap w:val="0"/>
            <w:vAlign w:val="center"/>
          </w:tcPr>
          <w:p w14:paraId="7479190A">
            <w:pPr>
              <w:pStyle w:val="182"/>
              <w:spacing w:beforeLines="0" w:afterLines="0"/>
              <w:rPr>
                <w:rFonts w:hint="eastAsia"/>
                <w:color w:val="auto"/>
                <w:sz w:val="18"/>
                <w:szCs w:val="24"/>
              </w:rPr>
            </w:pPr>
            <w:r>
              <w:rPr>
                <w:rFonts w:hint="default" w:ascii="宋体" w:eastAsia="宋体"/>
                <w:color w:val="auto"/>
                <w:sz w:val="18"/>
                <w:szCs w:val="24"/>
              </w:rPr>
              <w:t>地点</w:t>
            </w:r>
          </w:p>
        </w:tc>
        <w:tc>
          <w:tcPr>
            <w:tcW w:w="1061" w:type="dxa"/>
            <w:tcBorders>
              <w:top w:val="single" w:color="auto" w:sz="8" w:space="0"/>
              <w:left w:val="single" w:color="auto" w:sz="4" w:space="0"/>
              <w:bottom w:val="single" w:color="auto" w:sz="8" w:space="0"/>
              <w:right w:val="single" w:color="auto" w:sz="4" w:space="0"/>
              <w:tl2br w:val="nil"/>
              <w:tr2bl w:val="nil"/>
            </w:tcBorders>
            <w:noWrap w:val="0"/>
            <w:vAlign w:val="center"/>
          </w:tcPr>
          <w:p w14:paraId="74167DDD">
            <w:pPr>
              <w:pStyle w:val="182"/>
              <w:spacing w:beforeLines="0" w:afterLines="0"/>
              <w:rPr>
                <w:rFonts w:hint="eastAsia"/>
                <w:color w:val="auto"/>
                <w:sz w:val="18"/>
                <w:szCs w:val="24"/>
              </w:rPr>
            </w:pPr>
            <w:r>
              <w:rPr>
                <w:rFonts w:hint="default" w:ascii="宋体" w:eastAsia="宋体"/>
                <w:color w:val="auto"/>
                <w:sz w:val="18"/>
                <w:szCs w:val="24"/>
              </w:rPr>
              <w:t>班级</w:t>
            </w:r>
          </w:p>
        </w:tc>
        <w:tc>
          <w:tcPr>
            <w:tcW w:w="765" w:type="dxa"/>
            <w:tcBorders>
              <w:top w:val="single" w:color="auto" w:sz="8" w:space="0"/>
              <w:left w:val="single" w:color="auto" w:sz="4" w:space="0"/>
              <w:bottom w:val="single" w:color="auto" w:sz="8" w:space="0"/>
              <w:right w:val="single" w:color="auto" w:sz="4" w:space="0"/>
              <w:tl2br w:val="nil"/>
              <w:tr2bl w:val="nil"/>
            </w:tcBorders>
            <w:noWrap w:val="0"/>
            <w:vAlign w:val="center"/>
          </w:tcPr>
          <w:p w14:paraId="5EABE8A4">
            <w:pPr>
              <w:pStyle w:val="182"/>
              <w:spacing w:beforeLines="0" w:afterLines="0"/>
              <w:rPr>
                <w:rFonts w:hint="default" w:ascii="宋体" w:eastAsia="宋体"/>
                <w:color w:val="auto"/>
                <w:sz w:val="18"/>
                <w:szCs w:val="24"/>
              </w:rPr>
            </w:pPr>
            <w:r>
              <w:rPr>
                <w:rFonts w:hint="default" w:ascii="宋体" w:eastAsia="宋体"/>
                <w:color w:val="auto"/>
                <w:sz w:val="18"/>
                <w:szCs w:val="24"/>
              </w:rPr>
              <w:t>人数</w:t>
            </w:r>
          </w:p>
        </w:tc>
        <w:tc>
          <w:tcPr>
            <w:tcW w:w="1238" w:type="dxa"/>
            <w:tcBorders>
              <w:top w:val="single" w:color="auto" w:sz="8" w:space="0"/>
              <w:left w:val="single" w:color="auto" w:sz="4" w:space="0"/>
              <w:bottom w:val="single" w:color="auto" w:sz="8" w:space="0"/>
              <w:right w:val="single" w:color="auto" w:sz="4" w:space="0"/>
              <w:tl2br w:val="nil"/>
              <w:tr2bl w:val="nil"/>
            </w:tcBorders>
            <w:noWrap w:val="0"/>
            <w:vAlign w:val="center"/>
          </w:tcPr>
          <w:p w14:paraId="566555C7">
            <w:pPr>
              <w:pStyle w:val="182"/>
              <w:spacing w:beforeLines="0" w:afterLines="0"/>
              <w:rPr>
                <w:rFonts w:hint="default" w:ascii="宋体" w:eastAsia="宋体"/>
                <w:color w:val="auto"/>
                <w:sz w:val="18"/>
                <w:szCs w:val="24"/>
              </w:rPr>
            </w:pPr>
            <w:r>
              <w:rPr>
                <w:rFonts w:hint="default" w:ascii="宋体" w:eastAsia="宋体"/>
                <w:color w:val="auto"/>
                <w:sz w:val="18"/>
                <w:szCs w:val="24"/>
              </w:rPr>
              <w:t>学校/班级</w:t>
            </w:r>
          </w:p>
          <w:p w14:paraId="2E2F259E">
            <w:pPr>
              <w:pStyle w:val="182"/>
              <w:spacing w:beforeLines="0" w:afterLines="0"/>
              <w:rPr>
                <w:rFonts w:hint="eastAsia"/>
                <w:color w:val="auto"/>
                <w:sz w:val="18"/>
                <w:szCs w:val="24"/>
              </w:rPr>
            </w:pPr>
            <w:r>
              <w:rPr>
                <w:rFonts w:hint="default" w:ascii="宋体" w:eastAsia="宋体"/>
                <w:color w:val="auto"/>
                <w:sz w:val="18"/>
                <w:szCs w:val="24"/>
              </w:rPr>
              <w:t>负责人签名</w:t>
            </w:r>
          </w:p>
        </w:tc>
        <w:tc>
          <w:tcPr>
            <w:tcW w:w="1185" w:type="dxa"/>
            <w:tcBorders>
              <w:top w:val="single" w:color="auto" w:sz="8" w:space="0"/>
              <w:left w:val="single" w:color="auto" w:sz="4" w:space="0"/>
              <w:bottom w:val="single" w:color="auto" w:sz="8" w:space="0"/>
              <w:right w:val="single" w:color="auto" w:sz="4" w:space="0"/>
              <w:tl2br w:val="nil"/>
              <w:tr2bl w:val="nil"/>
            </w:tcBorders>
            <w:noWrap w:val="0"/>
            <w:vAlign w:val="center"/>
          </w:tcPr>
          <w:p w14:paraId="70DA02D8">
            <w:pPr>
              <w:pStyle w:val="182"/>
              <w:spacing w:beforeLines="0" w:afterLines="0"/>
              <w:rPr>
                <w:rFonts w:hint="default" w:ascii="宋体" w:eastAsia="宋体"/>
                <w:color w:val="auto"/>
                <w:sz w:val="18"/>
                <w:szCs w:val="24"/>
              </w:rPr>
            </w:pPr>
            <w:r>
              <w:rPr>
                <w:rFonts w:hint="default" w:ascii="宋体" w:eastAsia="宋体"/>
                <w:color w:val="auto"/>
                <w:sz w:val="18"/>
                <w:szCs w:val="24"/>
              </w:rPr>
              <w:t>核心知识</w:t>
            </w:r>
          </w:p>
          <w:p w14:paraId="59C7EA1D">
            <w:pPr>
              <w:pStyle w:val="182"/>
              <w:spacing w:beforeLines="0" w:afterLines="0"/>
              <w:rPr>
                <w:rFonts w:hint="eastAsia"/>
                <w:color w:val="auto"/>
                <w:sz w:val="18"/>
                <w:szCs w:val="24"/>
              </w:rPr>
            </w:pPr>
            <w:r>
              <w:rPr>
                <w:rFonts w:hint="default" w:ascii="宋体" w:eastAsia="宋体"/>
                <w:color w:val="auto"/>
                <w:sz w:val="18"/>
                <w:szCs w:val="24"/>
              </w:rPr>
              <w:t>知晓率（%）</w:t>
            </w:r>
          </w:p>
        </w:tc>
        <w:tc>
          <w:tcPr>
            <w:tcW w:w="1057" w:type="dxa"/>
            <w:tcBorders>
              <w:top w:val="single" w:color="auto" w:sz="8" w:space="0"/>
              <w:left w:val="single" w:color="auto" w:sz="4" w:space="0"/>
              <w:bottom w:val="single" w:color="auto" w:sz="8" w:space="0"/>
              <w:right w:val="single" w:color="auto" w:sz="4" w:space="0"/>
              <w:tl2br w:val="nil"/>
              <w:tr2bl w:val="nil"/>
            </w:tcBorders>
            <w:noWrap w:val="0"/>
            <w:vAlign w:val="center"/>
          </w:tcPr>
          <w:p w14:paraId="04D7BD91">
            <w:pPr>
              <w:pStyle w:val="182"/>
              <w:spacing w:beforeLines="0" w:afterLines="0"/>
              <w:rPr>
                <w:rFonts w:hint="eastAsia"/>
                <w:color w:val="auto"/>
                <w:sz w:val="18"/>
                <w:szCs w:val="24"/>
              </w:rPr>
            </w:pPr>
            <w:r>
              <w:rPr>
                <w:rFonts w:hint="default" w:ascii="宋体" w:eastAsia="宋体"/>
                <w:color w:val="auto"/>
                <w:sz w:val="18"/>
                <w:szCs w:val="24"/>
              </w:rPr>
              <w:t>满意度（%）</w:t>
            </w:r>
          </w:p>
        </w:tc>
        <w:tc>
          <w:tcPr>
            <w:tcW w:w="1320" w:type="dxa"/>
            <w:tcBorders>
              <w:top w:val="single" w:color="auto" w:sz="8" w:space="0"/>
              <w:left w:val="single" w:color="auto" w:sz="4" w:space="0"/>
              <w:bottom w:val="single" w:color="auto" w:sz="8" w:space="0"/>
              <w:right w:val="single" w:color="auto" w:sz="4" w:space="0"/>
              <w:tl2br w:val="nil"/>
              <w:tr2bl w:val="nil"/>
            </w:tcBorders>
            <w:noWrap w:val="0"/>
            <w:vAlign w:val="center"/>
          </w:tcPr>
          <w:p w14:paraId="1C4D0C0F">
            <w:pPr>
              <w:pStyle w:val="182"/>
              <w:spacing w:beforeLines="0" w:afterLines="0"/>
              <w:rPr>
                <w:rFonts w:hint="default" w:ascii="宋体" w:eastAsia="宋体"/>
                <w:color w:val="auto"/>
                <w:sz w:val="18"/>
                <w:szCs w:val="24"/>
              </w:rPr>
            </w:pPr>
            <w:r>
              <w:rPr>
                <w:rFonts w:hint="default" w:ascii="宋体" w:eastAsia="宋体"/>
                <w:color w:val="auto"/>
                <w:sz w:val="18"/>
                <w:szCs w:val="24"/>
              </w:rPr>
              <w:t>科普人员</w:t>
            </w:r>
          </w:p>
          <w:p w14:paraId="69C88BEC">
            <w:pPr>
              <w:pStyle w:val="182"/>
              <w:spacing w:beforeLines="0" w:afterLines="0"/>
              <w:rPr>
                <w:rFonts w:hint="eastAsia"/>
                <w:color w:val="auto"/>
                <w:sz w:val="18"/>
                <w:szCs w:val="24"/>
              </w:rPr>
            </w:pPr>
            <w:r>
              <w:rPr>
                <w:rFonts w:hint="default" w:ascii="宋体" w:eastAsia="宋体"/>
                <w:color w:val="auto"/>
                <w:sz w:val="18"/>
                <w:szCs w:val="24"/>
              </w:rPr>
              <w:t>签名</w:t>
            </w:r>
          </w:p>
        </w:tc>
        <w:tc>
          <w:tcPr>
            <w:tcW w:w="806" w:type="dxa"/>
            <w:tcBorders>
              <w:top w:val="single" w:color="auto" w:sz="8" w:space="0"/>
              <w:left w:val="single" w:color="auto" w:sz="4" w:space="0"/>
              <w:bottom w:val="single" w:color="auto" w:sz="8" w:space="0"/>
              <w:right w:val="single" w:color="auto" w:sz="8" w:space="0"/>
              <w:tl2br w:val="nil"/>
              <w:tr2bl w:val="nil"/>
            </w:tcBorders>
            <w:noWrap w:val="0"/>
            <w:vAlign w:val="center"/>
          </w:tcPr>
          <w:p w14:paraId="6A7B1CAB">
            <w:pPr>
              <w:pStyle w:val="182"/>
              <w:spacing w:beforeLines="0" w:afterLines="0"/>
              <w:rPr>
                <w:rFonts w:hint="eastAsia"/>
                <w:color w:val="auto"/>
                <w:sz w:val="18"/>
                <w:szCs w:val="24"/>
              </w:rPr>
            </w:pPr>
            <w:r>
              <w:rPr>
                <w:rFonts w:hint="default" w:ascii="宋体" w:eastAsia="宋体"/>
                <w:color w:val="auto"/>
                <w:sz w:val="18"/>
                <w:szCs w:val="24"/>
              </w:rPr>
              <w:t>备注</w:t>
            </w:r>
          </w:p>
        </w:tc>
      </w:tr>
      <w:tr w14:paraId="681C3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8" w:space="0"/>
              <w:left w:val="single" w:color="auto" w:sz="8" w:space="0"/>
              <w:bottom w:val="single" w:color="auto" w:sz="4" w:space="0"/>
              <w:right w:val="single" w:color="auto" w:sz="4" w:space="0"/>
              <w:tl2br w:val="nil"/>
              <w:tr2bl w:val="nil"/>
            </w:tcBorders>
            <w:noWrap w:val="0"/>
            <w:vAlign w:val="center"/>
          </w:tcPr>
          <w:p w14:paraId="22EDBC25">
            <w:pPr>
              <w:pStyle w:val="182"/>
              <w:spacing w:beforeLines="0" w:afterLines="0"/>
              <w:rPr>
                <w:rFonts w:hint="eastAsia"/>
                <w:color w:val="auto"/>
                <w:sz w:val="18"/>
                <w:szCs w:val="24"/>
              </w:rPr>
            </w:pPr>
          </w:p>
        </w:tc>
        <w:tc>
          <w:tcPr>
            <w:tcW w:w="1061" w:type="dxa"/>
            <w:tcBorders>
              <w:top w:val="single" w:color="auto" w:sz="8" w:space="0"/>
              <w:left w:val="single" w:color="auto" w:sz="4" w:space="0"/>
              <w:bottom w:val="single" w:color="auto" w:sz="4" w:space="0"/>
              <w:right w:val="single" w:color="auto" w:sz="4" w:space="0"/>
              <w:tl2br w:val="nil"/>
              <w:tr2bl w:val="nil"/>
            </w:tcBorders>
            <w:noWrap w:val="0"/>
            <w:vAlign w:val="center"/>
          </w:tcPr>
          <w:p w14:paraId="6390AA37">
            <w:pPr>
              <w:pStyle w:val="182"/>
              <w:spacing w:beforeLines="0" w:afterLines="0"/>
              <w:rPr>
                <w:rFonts w:hint="eastAsia"/>
                <w:color w:val="auto"/>
                <w:sz w:val="18"/>
                <w:szCs w:val="24"/>
              </w:rPr>
            </w:pPr>
          </w:p>
        </w:tc>
        <w:tc>
          <w:tcPr>
            <w:tcW w:w="1061" w:type="dxa"/>
            <w:tcBorders>
              <w:top w:val="single" w:color="auto" w:sz="8" w:space="0"/>
              <w:left w:val="single" w:color="auto" w:sz="4" w:space="0"/>
              <w:bottom w:val="single" w:color="auto" w:sz="4" w:space="0"/>
              <w:right w:val="single" w:color="auto" w:sz="4" w:space="0"/>
              <w:tl2br w:val="nil"/>
              <w:tr2bl w:val="nil"/>
            </w:tcBorders>
            <w:noWrap w:val="0"/>
            <w:vAlign w:val="center"/>
          </w:tcPr>
          <w:p w14:paraId="55F404C5">
            <w:pPr>
              <w:pStyle w:val="182"/>
              <w:spacing w:beforeLines="0" w:afterLines="0"/>
              <w:rPr>
                <w:rFonts w:hint="eastAsia"/>
                <w:color w:val="auto"/>
                <w:sz w:val="18"/>
                <w:szCs w:val="24"/>
              </w:rPr>
            </w:pPr>
          </w:p>
        </w:tc>
        <w:tc>
          <w:tcPr>
            <w:tcW w:w="765" w:type="dxa"/>
            <w:tcBorders>
              <w:top w:val="single" w:color="auto" w:sz="8" w:space="0"/>
              <w:left w:val="single" w:color="auto" w:sz="4" w:space="0"/>
              <w:bottom w:val="single" w:color="auto" w:sz="4" w:space="0"/>
              <w:right w:val="single" w:color="auto" w:sz="4" w:space="0"/>
              <w:tl2br w:val="nil"/>
              <w:tr2bl w:val="nil"/>
            </w:tcBorders>
            <w:noWrap w:val="0"/>
            <w:vAlign w:val="center"/>
          </w:tcPr>
          <w:p w14:paraId="7A1DC5C2">
            <w:pPr>
              <w:pStyle w:val="182"/>
              <w:spacing w:beforeLines="0" w:afterLines="0"/>
              <w:rPr>
                <w:rFonts w:hint="eastAsia"/>
                <w:color w:val="auto"/>
                <w:sz w:val="18"/>
                <w:szCs w:val="24"/>
              </w:rPr>
            </w:pPr>
          </w:p>
        </w:tc>
        <w:tc>
          <w:tcPr>
            <w:tcW w:w="1238" w:type="dxa"/>
            <w:tcBorders>
              <w:top w:val="single" w:color="auto" w:sz="8" w:space="0"/>
              <w:left w:val="single" w:color="auto" w:sz="4" w:space="0"/>
              <w:bottom w:val="single" w:color="auto" w:sz="4" w:space="0"/>
              <w:right w:val="single" w:color="auto" w:sz="4" w:space="0"/>
              <w:tl2br w:val="nil"/>
              <w:tr2bl w:val="nil"/>
            </w:tcBorders>
            <w:noWrap w:val="0"/>
            <w:vAlign w:val="center"/>
          </w:tcPr>
          <w:p w14:paraId="2A0CD0CE">
            <w:pPr>
              <w:pStyle w:val="182"/>
              <w:spacing w:beforeLines="0" w:afterLines="0"/>
              <w:rPr>
                <w:rFonts w:hint="eastAsia"/>
                <w:color w:val="auto"/>
                <w:sz w:val="18"/>
                <w:szCs w:val="24"/>
              </w:rPr>
            </w:pPr>
          </w:p>
        </w:tc>
        <w:tc>
          <w:tcPr>
            <w:tcW w:w="1185" w:type="dxa"/>
            <w:tcBorders>
              <w:top w:val="single" w:color="auto" w:sz="8" w:space="0"/>
              <w:left w:val="single" w:color="auto" w:sz="4" w:space="0"/>
              <w:bottom w:val="single" w:color="auto" w:sz="4" w:space="0"/>
              <w:right w:val="single" w:color="auto" w:sz="4" w:space="0"/>
              <w:tl2br w:val="nil"/>
              <w:tr2bl w:val="nil"/>
            </w:tcBorders>
            <w:noWrap w:val="0"/>
            <w:vAlign w:val="center"/>
          </w:tcPr>
          <w:p w14:paraId="2A47D3E0">
            <w:pPr>
              <w:pStyle w:val="182"/>
              <w:spacing w:beforeLines="0" w:afterLines="0"/>
              <w:rPr>
                <w:rFonts w:hint="eastAsia"/>
                <w:color w:val="auto"/>
                <w:sz w:val="18"/>
                <w:szCs w:val="24"/>
              </w:rPr>
            </w:pPr>
          </w:p>
        </w:tc>
        <w:tc>
          <w:tcPr>
            <w:tcW w:w="1057" w:type="dxa"/>
            <w:tcBorders>
              <w:top w:val="single" w:color="auto" w:sz="8" w:space="0"/>
              <w:left w:val="single" w:color="auto" w:sz="4" w:space="0"/>
              <w:bottom w:val="single" w:color="auto" w:sz="4" w:space="0"/>
              <w:right w:val="single" w:color="auto" w:sz="4" w:space="0"/>
              <w:tl2br w:val="nil"/>
              <w:tr2bl w:val="nil"/>
            </w:tcBorders>
            <w:noWrap w:val="0"/>
            <w:vAlign w:val="center"/>
          </w:tcPr>
          <w:p w14:paraId="239FDFD5">
            <w:pPr>
              <w:pStyle w:val="182"/>
              <w:spacing w:beforeLines="0" w:afterLines="0"/>
              <w:rPr>
                <w:rFonts w:hint="eastAsia"/>
                <w:color w:val="auto"/>
                <w:sz w:val="18"/>
                <w:szCs w:val="24"/>
              </w:rPr>
            </w:pPr>
          </w:p>
        </w:tc>
        <w:tc>
          <w:tcPr>
            <w:tcW w:w="1320" w:type="dxa"/>
            <w:tcBorders>
              <w:top w:val="single" w:color="auto" w:sz="8" w:space="0"/>
              <w:left w:val="single" w:color="auto" w:sz="4" w:space="0"/>
              <w:bottom w:val="single" w:color="auto" w:sz="4" w:space="0"/>
              <w:right w:val="single" w:color="auto" w:sz="4" w:space="0"/>
              <w:tl2br w:val="nil"/>
              <w:tr2bl w:val="nil"/>
            </w:tcBorders>
            <w:noWrap w:val="0"/>
            <w:vAlign w:val="center"/>
          </w:tcPr>
          <w:p w14:paraId="216B41DB">
            <w:pPr>
              <w:pStyle w:val="182"/>
              <w:spacing w:beforeLines="0" w:afterLines="0"/>
              <w:rPr>
                <w:rFonts w:hint="eastAsia"/>
                <w:color w:val="auto"/>
                <w:sz w:val="18"/>
                <w:szCs w:val="24"/>
              </w:rPr>
            </w:pPr>
          </w:p>
        </w:tc>
        <w:tc>
          <w:tcPr>
            <w:tcW w:w="806" w:type="dxa"/>
            <w:tcBorders>
              <w:top w:val="single" w:color="auto" w:sz="8" w:space="0"/>
              <w:left w:val="single" w:color="auto" w:sz="4" w:space="0"/>
              <w:bottom w:val="single" w:color="auto" w:sz="4" w:space="0"/>
              <w:right w:val="single" w:color="auto" w:sz="8" w:space="0"/>
              <w:tl2br w:val="nil"/>
              <w:tr2bl w:val="nil"/>
            </w:tcBorders>
            <w:noWrap w:val="0"/>
            <w:vAlign w:val="center"/>
          </w:tcPr>
          <w:p w14:paraId="2E411830">
            <w:pPr>
              <w:pStyle w:val="182"/>
              <w:spacing w:beforeLines="0" w:afterLines="0"/>
              <w:rPr>
                <w:rFonts w:hint="eastAsia"/>
                <w:color w:val="auto"/>
                <w:sz w:val="18"/>
                <w:szCs w:val="24"/>
              </w:rPr>
            </w:pPr>
          </w:p>
        </w:tc>
      </w:tr>
      <w:tr w14:paraId="62E82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4BF0DFDD">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F55334">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97759E">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78BCE0">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EF558A">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D41A32">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C78C4A">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39E5B">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1E9C77F5">
            <w:pPr>
              <w:pStyle w:val="182"/>
              <w:spacing w:beforeLines="0" w:afterLines="0"/>
              <w:rPr>
                <w:rFonts w:hint="eastAsia"/>
                <w:color w:val="auto"/>
                <w:sz w:val="18"/>
                <w:szCs w:val="24"/>
              </w:rPr>
            </w:pPr>
          </w:p>
        </w:tc>
      </w:tr>
      <w:tr w14:paraId="7561C0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3625DB94">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74D3B9">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5392F">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21DCD0">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A3E4C5">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787025">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FE31D2">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EBB73B">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1F3CE324">
            <w:pPr>
              <w:pStyle w:val="182"/>
              <w:spacing w:beforeLines="0" w:afterLines="0"/>
              <w:rPr>
                <w:rFonts w:hint="eastAsia"/>
                <w:color w:val="auto"/>
                <w:sz w:val="18"/>
                <w:szCs w:val="24"/>
              </w:rPr>
            </w:pPr>
          </w:p>
        </w:tc>
      </w:tr>
      <w:tr w14:paraId="1702C8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0CF369FC">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5FA8A2">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98F939">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082072">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77740D">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A438DD">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BDBE48">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DFE6FD">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43047F80">
            <w:pPr>
              <w:pStyle w:val="182"/>
              <w:spacing w:beforeLines="0" w:afterLines="0"/>
              <w:rPr>
                <w:rFonts w:hint="eastAsia"/>
                <w:color w:val="auto"/>
                <w:sz w:val="18"/>
                <w:szCs w:val="24"/>
              </w:rPr>
            </w:pPr>
          </w:p>
        </w:tc>
      </w:tr>
      <w:tr w14:paraId="5862B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03B26E8B">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FBD380">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BB5BB2">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0BAC39">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5E6144">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5698BE">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6AF825">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576AC6">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238C113D">
            <w:pPr>
              <w:pStyle w:val="182"/>
              <w:spacing w:beforeLines="0" w:afterLines="0"/>
              <w:rPr>
                <w:rFonts w:hint="eastAsia"/>
                <w:color w:val="auto"/>
                <w:sz w:val="18"/>
                <w:szCs w:val="24"/>
              </w:rPr>
            </w:pPr>
          </w:p>
        </w:tc>
      </w:tr>
      <w:tr w14:paraId="24B722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1E2A70CA">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36E034">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CE5814">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13677B">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841238">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A72B03">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0669C8">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7B4FE5">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3418B8BD">
            <w:pPr>
              <w:pStyle w:val="182"/>
              <w:spacing w:beforeLines="0" w:afterLines="0"/>
              <w:rPr>
                <w:rFonts w:hint="eastAsia"/>
                <w:color w:val="auto"/>
                <w:sz w:val="18"/>
                <w:szCs w:val="24"/>
              </w:rPr>
            </w:pPr>
          </w:p>
        </w:tc>
      </w:tr>
      <w:tr w14:paraId="43B407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47118207">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248A49">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6940BD">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AEBC20">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043384">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FD8F45">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C9DA5">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B0ED49">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41E31ABD">
            <w:pPr>
              <w:pStyle w:val="182"/>
              <w:spacing w:beforeLines="0" w:afterLines="0"/>
              <w:rPr>
                <w:rFonts w:hint="eastAsia"/>
                <w:color w:val="auto"/>
                <w:sz w:val="18"/>
                <w:szCs w:val="24"/>
              </w:rPr>
            </w:pPr>
          </w:p>
        </w:tc>
      </w:tr>
      <w:tr w14:paraId="28CB8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6AFE2598">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C52382">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1EBB8A">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DC2B6C">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812213">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123B0B">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D7C08C">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1C0EC7">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41C2F452">
            <w:pPr>
              <w:pStyle w:val="182"/>
              <w:spacing w:beforeLines="0" w:afterLines="0"/>
              <w:rPr>
                <w:rFonts w:hint="eastAsia"/>
                <w:color w:val="auto"/>
                <w:sz w:val="18"/>
                <w:szCs w:val="24"/>
              </w:rPr>
            </w:pPr>
          </w:p>
        </w:tc>
      </w:tr>
      <w:tr w14:paraId="125CC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12A502AE">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C75BF7">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FEFF5">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F2B42">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2AA4EB">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E8648B">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73F187">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F12791">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58DC84D7">
            <w:pPr>
              <w:pStyle w:val="182"/>
              <w:spacing w:beforeLines="0" w:afterLines="0"/>
              <w:rPr>
                <w:rFonts w:hint="eastAsia"/>
                <w:color w:val="auto"/>
                <w:sz w:val="18"/>
                <w:szCs w:val="24"/>
              </w:rPr>
            </w:pPr>
          </w:p>
        </w:tc>
      </w:tr>
      <w:tr w14:paraId="1182A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4" w:space="0"/>
              <w:right w:val="single" w:color="auto" w:sz="4" w:space="0"/>
              <w:tl2br w:val="nil"/>
              <w:tr2bl w:val="nil"/>
            </w:tcBorders>
            <w:noWrap w:val="0"/>
            <w:vAlign w:val="center"/>
          </w:tcPr>
          <w:p w14:paraId="28F874F3">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05FCA7">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5BFEE0">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1F4A0A">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E0BA01">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BCF8A3">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3C98F7">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EB9239">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4" w:space="0"/>
              <w:right w:val="single" w:color="auto" w:sz="8" w:space="0"/>
              <w:tl2br w:val="nil"/>
              <w:tr2bl w:val="nil"/>
            </w:tcBorders>
            <w:noWrap w:val="0"/>
            <w:vAlign w:val="center"/>
          </w:tcPr>
          <w:p w14:paraId="54BAEEB7">
            <w:pPr>
              <w:pStyle w:val="182"/>
              <w:spacing w:beforeLines="0" w:afterLines="0"/>
              <w:rPr>
                <w:rFonts w:hint="eastAsia"/>
                <w:color w:val="auto"/>
                <w:sz w:val="18"/>
                <w:szCs w:val="24"/>
              </w:rPr>
            </w:pPr>
          </w:p>
        </w:tc>
      </w:tr>
      <w:tr w14:paraId="38247B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061" w:type="dxa"/>
            <w:tcBorders>
              <w:top w:val="single" w:color="auto" w:sz="4" w:space="0"/>
              <w:left w:val="single" w:color="auto" w:sz="8" w:space="0"/>
              <w:bottom w:val="single" w:color="auto" w:sz="8" w:space="0"/>
              <w:right w:val="single" w:color="auto" w:sz="4" w:space="0"/>
              <w:tl2br w:val="nil"/>
              <w:tr2bl w:val="nil"/>
            </w:tcBorders>
            <w:noWrap w:val="0"/>
            <w:vAlign w:val="center"/>
          </w:tcPr>
          <w:p w14:paraId="6A19E979">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8" w:space="0"/>
              <w:right w:val="single" w:color="auto" w:sz="4" w:space="0"/>
              <w:tl2br w:val="nil"/>
              <w:tr2bl w:val="nil"/>
            </w:tcBorders>
            <w:noWrap w:val="0"/>
            <w:vAlign w:val="center"/>
          </w:tcPr>
          <w:p w14:paraId="55DA1387">
            <w:pPr>
              <w:pStyle w:val="182"/>
              <w:spacing w:beforeLines="0" w:afterLines="0"/>
              <w:rPr>
                <w:rFonts w:hint="eastAsia"/>
                <w:color w:val="auto"/>
                <w:sz w:val="18"/>
                <w:szCs w:val="24"/>
              </w:rPr>
            </w:pPr>
          </w:p>
        </w:tc>
        <w:tc>
          <w:tcPr>
            <w:tcW w:w="1061" w:type="dxa"/>
            <w:tcBorders>
              <w:top w:val="single" w:color="auto" w:sz="4" w:space="0"/>
              <w:left w:val="single" w:color="auto" w:sz="4" w:space="0"/>
              <w:bottom w:val="single" w:color="auto" w:sz="8" w:space="0"/>
              <w:right w:val="single" w:color="auto" w:sz="4" w:space="0"/>
              <w:tl2br w:val="nil"/>
              <w:tr2bl w:val="nil"/>
            </w:tcBorders>
            <w:noWrap w:val="0"/>
            <w:vAlign w:val="center"/>
          </w:tcPr>
          <w:p w14:paraId="60F6E6D8">
            <w:pPr>
              <w:pStyle w:val="182"/>
              <w:spacing w:beforeLines="0" w:afterLines="0"/>
              <w:rPr>
                <w:rFonts w:hint="eastAsia"/>
                <w:color w:val="auto"/>
                <w:sz w:val="18"/>
                <w:szCs w:val="24"/>
              </w:rPr>
            </w:pPr>
          </w:p>
        </w:tc>
        <w:tc>
          <w:tcPr>
            <w:tcW w:w="765" w:type="dxa"/>
            <w:tcBorders>
              <w:top w:val="single" w:color="auto" w:sz="4" w:space="0"/>
              <w:left w:val="single" w:color="auto" w:sz="4" w:space="0"/>
              <w:bottom w:val="single" w:color="auto" w:sz="8" w:space="0"/>
              <w:right w:val="single" w:color="auto" w:sz="4" w:space="0"/>
              <w:tl2br w:val="nil"/>
              <w:tr2bl w:val="nil"/>
            </w:tcBorders>
            <w:noWrap w:val="0"/>
            <w:vAlign w:val="center"/>
          </w:tcPr>
          <w:p w14:paraId="75066F69">
            <w:pPr>
              <w:pStyle w:val="182"/>
              <w:spacing w:beforeLines="0" w:afterLines="0"/>
              <w:rPr>
                <w:rFonts w:hint="eastAsia"/>
                <w:color w:val="auto"/>
                <w:sz w:val="18"/>
                <w:szCs w:val="24"/>
              </w:rPr>
            </w:pPr>
          </w:p>
        </w:tc>
        <w:tc>
          <w:tcPr>
            <w:tcW w:w="1238" w:type="dxa"/>
            <w:tcBorders>
              <w:top w:val="single" w:color="auto" w:sz="4" w:space="0"/>
              <w:left w:val="single" w:color="auto" w:sz="4" w:space="0"/>
              <w:bottom w:val="single" w:color="auto" w:sz="8" w:space="0"/>
              <w:right w:val="single" w:color="auto" w:sz="4" w:space="0"/>
              <w:tl2br w:val="nil"/>
              <w:tr2bl w:val="nil"/>
            </w:tcBorders>
            <w:noWrap w:val="0"/>
            <w:vAlign w:val="center"/>
          </w:tcPr>
          <w:p w14:paraId="3DB0F85C">
            <w:pPr>
              <w:pStyle w:val="182"/>
              <w:spacing w:beforeLines="0" w:afterLines="0"/>
              <w:rPr>
                <w:rFonts w:hint="eastAsia"/>
                <w:color w:val="auto"/>
                <w:sz w:val="18"/>
                <w:szCs w:val="24"/>
              </w:rPr>
            </w:pPr>
          </w:p>
        </w:tc>
        <w:tc>
          <w:tcPr>
            <w:tcW w:w="1185" w:type="dxa"/>
            <w:tcBorders>
              <w:top w:val="single" w:color="auto" w:sz="4" w:space="0"/>
              <w:left w:val="single" w:color="auto" w:sz="4" w:space="0"/>
              <w:bottom w:val="single" w:color="auto" w:sz="8" w:space="0"/>
              <w:right w:val="single" w:color="auto" w:sz="4" w:space="0"/>
              <w:tl2br w:val="nil"/>
              <w:tr2bl w:val="nil"/>
            </w:tcBorders>
            <w:noWrap w:val="0"/>
            <w:vAlign w:val="center"/>
          </w:tcPr>
          <w:p w14:paraId="624FDAEA">
            <w:pPr>
              <w:pStyle w:val="182"/>
              <w:spacing w:beforeLines="0" w:afterLines="0"/>
              <w:rPr>
                <w:rFonts w:hint="eastAsia"/>
                <w:color w:val="auto"/>
                <w:sz w:val="18"/>
                <w:szCs w:val="24"/>
              </w:rPr>
            </w:pPr>
          </w:p>
        </w:tc>
        <w:tc>
          <w:tcPr>
            <w:tcW w:w="1057" w:type="dxa"/>
            <w:tcBorders>
              <w:top w:val="single" w:color="auto" w:sz="4" w:space="0"/>
              <w:left w:val="single" w:color="auto" w:sz="4" w:space="0"/>
              <w:bottom w:val="single" w:color="auto" w:sz="8" w:space="0"/>
              <w:right w:val="single" w:color="auto" w:sz="4" w:space="0"/>
              <w:tl2br w:val="nil"/>
              <w:tr2bl w:val="nil"/>
            </w:tcBorders>
            <w:noWrap w:val="0"/>
            <w:vAlign w:val="center"/>
          </w:tcPr>
          <w:p w14:paraId="3519B709">
            <w:pPr>
              <w:pStyle w:val="182"/>
              <w:spacing w:beforeLines="0" w:afterLines="0"/>
              <w:rPr>
                <w:rFonts w:hint="eastAsia"/>
                <w:color w:val="auto"/>
                <w:sz w:val="18"/>
                <w:szCs w:val="24"/>
              </w:rPr>
            </w:pPr>
          </w:p>
        </w:tc>
        <w:tc>
          <w:tcPr>
            <w:tcW w:w="1320" w:type="dxa"/>
            <w:tcBorders>
              <w:top w:val="single" w:color="auto" w:sz="4" w:space="0"/>
              <w:left w:val="single" w:color="auto" w:sz="4" w:space="0"/>
              <w:bottom w:val="single" w:color="auto" w:sz="8" w:space="0"/>
              <w:right w:val="single" w:color="auto" w:sz="4" w:space="0"/>
              <w:tl2br w:val="nil"/>
              <w:tr2bl w:val="nil"/>
            </w:tcBorders>
            <w:noWrap w:val="0"/>
            <w:vAlign w:val="center"/>
          </w:tcPr>
          <w:p w14:paraId="525D8D1C">
            <w:pPr>
              <w:pStyle w:val="182"/>
              <w:spacing w:beforeLines="0" w:afterLines="0"/>
              <w:rPr>
                <w:rFonts w:hint="eastAsia"/>
                <w:color w:val="auto"/>
                <w:sz w:val="18"/>
                <w:szCs w:val="24"/>
              </w:rPr>
            </w:pPr>
          </w:p>
        </w:tc>
        <w:tc>
          <w:tcPr>
            <w:tcW w:w="806" w:type="dxa"/>
            <w:tcBorders>
              <w:top w:val="single" w:color="auto" w:sz="4" w:space="0"/>
              <w:left w:val="single" w:color="auto" w:sz="4" w:space="0"/>
              <w:bottom w:val="single" w:color="auto" w:sz="8" w:space="0"/>
              <w:right w:val="single" w:color="auto" w:sz="8" w:space="0"/>
              <w:tl2br w:val="nil"/>
              <w:tr2bl w:val="nil"/>
            </w:tcBorders>
            <w:noWrap w:val="0"/>
            <w:vAlign w:val="center"/>
          </w:tcPr>
          <w:p w14:paraId="27F924A3">
            <w:pPr>
              <w:pStyle w:val="182"/>
              <w:spacing w:beforeLines="0" w:afterLines="0"/>
              <w:rPr>
                <w:rFonts w:hint="eastAsia"/>
                <w:color w:val="auto"/>
                <w:sz w:val="18"/>
                <w:szCs w:val="24"/>
              </w:rPr>
            </w:pPr>
          </w:p>
        </w:tc>
      </w:tr>
    </w:tbl>
    <w:p w14:paraId="7A89A022">
      <w:pPr>
        <w:pStyle w:val="60"/>
        <w:spacing w:beforeLines="0" w:afterLines="0"/>
        <w:rPr>
          <w:rFonts w:hint="eastAsia"/>
          <w:color w:val="auto"/>
          <w:sz w:val="21"/>
          <w:szCs w:val="24"/>
        </w:rPr>
      </w:pPr>
    </w:p>
    <w:p w14:paraId="68550310">
      <w:pPr>
        <w:pStyle w:val="60"/>
        <w:spacing w:beforeLines="0" w:afterLines="0"/>
        <w:rPr>
          <w:rFonts w:hint="eastAsia"/>
          <w:color w:val="auto"/>
          <w:sz w:val="21"/>
          <w:szCs w:val="24"/>
        </w:rPr>
      </w:pPr>
      <w:r>
        <w:rPr>
          <w:rFonts w:hint="default" w:ascii="宋体" w:eastAsia="宋体"/>
          <w:color w:val="auto"/>
          <w:sz w:val="18"/>
          <w:szCs w:val="18"/>
        </w:rPr>
        <w:t>备注：科普活动记录表背面需粘贴</w:t>
      </w:r>
      <w:bookmarkStart w:id="115" w:name="_GoBack"/>
      <w:bookmarkEnd w:id="115"/>
      <w:r>
        <w:rPr>
          <w:rFonts w:hint="default" w:ascii="宋体" w:eastAsia="宋体"/>
          <w:color w:val="auto"/>
          <w:sz w:val="18"/>
          <w:szCs w:val="18"/>
        </w:rPr>
        <w:t>活动现场影像资料，照片图像清晰、要素完整，能够客观体现活动开展时间、场地、参与人员、科普形式及现场实施全貌，保障科普工作全程留痕、可追溯、可核查。</w:t>
      </w:r>
    </w:p>
    <w:p w14:paraId="7D707479">
      <w:pPr>
        <w:pStyle w:val="60"/>
        <w:spacing w:beforeLines="0" w:afterLines="0"/>
        <w:rPr>
          <w:rFonts w:hint="eastAsia"/>
          <w:color w:val="auto"/>
          <w:sz w:val="21"/>
          <w:szCs w:val="24"/>
        </w:rPr>
      </w:pPr>
    </w:p>
    <w:p w14:paraId="5638771D">
      <w:pPr>
        <w:pStyle w:val="60"/>
        <w:spacing w:beforeLines="0" w:afterLines="0"/>
        <w:rPr>
          <w:rFonts w:hint="eastAsia"/>
          <w:color w:val="auto"/>
          <w:sz w:val="21"/>
          <w:szCs w:val="24"/>
        </w:rPr>
      </w:pPr>
    </w:p>
    <w:p w14:paraId="6175BBA6">
      <w:pPr>
        <w:pStyle w:val="60"/>
        <w:spacing w:beforeLines="0" w:afterLines="0"/>
        <w:rPr>
          <w:rFonts w:hint="eastAsia"/>
          <w:color w:val="auto"/>
          <w:sz w:val="21"/>
          <w:szCs w:val="24"/>
        </w:rPr>
      </w:pPr>
    </w:p>
    <w:p w14:paraId="7419700E">
      <w:pPr>
        <w:pStyle w:val="60"/>
        <w:spacing w:beforeLines="0" w:afterLines="0"/>
        <w:rPr>
          <w:rFonts w:hint="eastAsia"/>
          <w:color w:val="auto"/>
          <w:sz w:val="21"/>
          <w:szCs w:val="24"/>
        </w:rPr>
      </w:pPr>
    </w:p>
    <w:bookmarkEnd w:id="87"/>
    <w:p w14:paraId="200CA086">
      <w:pPr>
        <w:pStyle w:val="60"/>
        <w:spacing w:beforeLines="0" w:afterLines="0"/>
        <w:rPr>
          <w:rFonts w:hint="eastAsia"/>
          <w:color w:val="auto"/>
          <w:sz w:val="21"/>
          <w:szCs w:val="24"/>
        </w:rPr>
        <w:sectPr>
          <w:headerReference r:id="rId39" w:type="default"/>
          <w:footerReference r:id="rId41" w:type="default"/>
          <w:headerReference r:id="rId40" w:type="even"/>
          <w:footerReference r:id="rId42" w:type="even"/>
          <w:pgSz w:w="11906" w:h="16838"/>
          <w:pgMar w:top="1928" w:right="1134" w:bottom="1134" w:left="1134" w:header="1418" w:footer="1134" w:gutter="284"/>
          <w:lnNumType w:countBy="0" w:distance="360"/>
          <w:cols w:space="720" w:num="1"/>
          <w:formProt w:val="0"/>
          <w:docGrid w:linePitch="312" w:charSpace="0"/>
        </w:sectPr>
      </w:pPr>
      <w:bookmarkStart w:id="111" w:name="BookMark6"/>
    </w:p>
    <w:bookmarkEnd w:id="111"/>
    <w:p w14:paraId="0683009A">
      <w:pPr>
        <w:pStyle w:val="67"/>
        <w:spacing w:beforeLines="0"/>
        <w:rPr>
          <w:rFonts w:hint="default" w:ascii="宋体" w:eastAsia="宋体"/>
          <w:color w:val="auto"/>
          <w:sz w:val="21"/>
          <w:szCs w:val="24"/>
        </w:rPr>
      </w:pPr>
      <w:bookmarkStart w:id="112" w:name="_Toc29606"/>
      <w:bookmarkStart w:id="113" w:name="_Toc3044"/>
      <w:bookmarkStart w:id="114" w:name="BookMark8"/>
      <w:r>
        <w:rPr>
          <w:rFonts w:hint="eastAsia"/>
          <w:color w:val="auto"/>
          <w:spacing w:val="105"/>
          <w:sz w:val="21"/>
          <w:szCs w:val="21"/>
        </w:rPr>
        <w:t>参考文</w:t>
      </w:r>
      <w:r>
        <w:rPr>
          <w:rFonts w:hint="eastAsia"/>
          <w:color w:val="auto"/>
          <w:sz w:val="21"/>
          <w:szCs w:val="21"/>
        </w:rPr>
        <w:t>献</w:t>
      </w:r>
      <w:bookmarkEnd w:id="112"/>
      <w:bookmarkEnd w:id="113"/>
    </w:p>
    <w:p w14:paraId="708E369B">
      <w:pPr>
        <w:pStyle w:val="60"/>
        <w:numPr>
          <w:ilvl w:val="0"/>
          <w:numId w:val="36"/>
        </w:numPr>
        <w:ind w:left="0" w:firstLine="420"/>
      </w:pPr>
      <w:r>
        <w:rPr>
          <w:rFonts w:hint="eastAsia"/>
        </w:rPr>
        <w:t xml:space="preserve">中国防痨协会. T/CHATA 004-2020 新生入学体检结核病检查规范 [S]. 北京：中国防痨协会，2020. </w:t>
      </w:r>
    </w:p>
    <w:p w14:paraId="73792EF5">
      <w:pPr>
        <w:pStyle w:val="60"/>
        <w:numPr>
          <w:ilvl w:val="0"/>
          <w:numId w:val="36"/>
        </w:numPr>
        <w:ind w:left="0" w:firstLine="420"/>
      </w:pPr>
      <w:r>
        <w:rPr>
          <w:rFonts w:hint="eastAsia"/>
        </w:rPr>
        <w:t xml:space="preserve">中国防痨协会. T/CHATA 043-2024 学校结核感染控制管理规范 [S]. 北京：中国防痨协会，2024. </w:t>
      </w:r>
    </w:p>
    <w:p w14:paraId="61C4CC21">
      <w:pPr>
        <w:pStyle w:val="60"/>
        <w:numPr>
          <w:ilvl w:val="0"/>
          <w:numId w:val="36"/>
        </w:numPr>
        <w:ind w:left="0" w:firstLine="420"/>
      </w:pPr>
      <w:r>
        <w:rPr>
          <w:rFonts w:hint="eastAsia"/>
        </w:rPr>
        <w:t xml:space="preserve">中国防痨协会. T/CHATA 003-2025 学校肺结核患者密切接触者筛查及处置规范 [S]. 北京：中国防痨协会，2025. </w:t>
      </w:r>
    </w:p>
    <w:p w14:paraId="375B9DE7">
      <w:pPr>
        <w:pStyle w:val="60"/>
        <w:numPr>
          <w:ilvl w:val="0"/>
          <w:numId w:val="36"/>
        </w:numPr>
        <w:ind w:left="0" w:firstLine="420"/>
      </w:pPr>
      <w:r>
        <w:rPr>
          <w:rFonts w:hint="eastAsia"/>
        </w:rPr>
        <w:t xml:space="preserve">中国健康促进与教育协会. T/CAHPE 007-2025 健康科普视频质量评价 [S]. 北京：中国健康促进与教育协会，2025. </w:t>
      </w:r>
    </w:p>
    <w:p w14:paraId="42EEDA58">
      <w:pPr>
        <w:pStyle w:val="60"/>
        <w:numPr>
          <w:ilvl w:val="0"/>
          <w:numId w:val="36"/>
        </w:numPr>
        <w:ind w:left="0" w:firstLine="420"/>
      </w:pPr>
      <w:r>
        <w:rPr>
          <w:rFonts w:hint="eastAsia"/>
        </w:rPr>
        <w:t xml:space="preserve">国家卫生健康委员会. WS 288-2017 肺结核诊断 [S]. 北京：中国标准出版社，2017. </w:t>
      </w:r>
    </w:p>
    <w:p w14:paraId="1FA5786C">
      <w:pPr>
        <w:pStyle w:val="60"/>
        <w:numPr>
          <w:ilvl w:val="0"/>
          <w:numId w:val="36"/>
        </w:numPr>
        <w:ind w:left="0" w:firstLine="420"/>
      </w:pPr>
      <w:r>
        <w:rPr>
          <w:rFonts w:hint="eastAsia"/>
        </w:rPr>
        <w:t xml:space="preserve">国家卫生健康委办公厅，教育部办公厅.中国学校结核病防控指南（2020 年版）[Z]. 国卫办疾控函〔2020〕910 号，2020-10-16. </w:t>
      </w:r>
    </w:p>
    <w:p w14:paraId="1E7D0402">
      <w:pPr>
        <w:pStyle w:val="60"/>
        <w:numPr>
          <w:ilvl w:val="0"/>
          <w:numId w:val="36"/>
        </w:numPr>
        <w:ind w:left="0" w:firstLine="420"/>
      </w:pPr>
      <w:r>
        <w:rPr>
          <w:rFonts w:hint="eastAsia"/>
        </w:rPr>
        <w:t>国家卫生计生委办公厅，教育部办公厅.学校结核病防控工作规范（2017 版）[Z]. 国卫办疾控发〔2017〕22 号，2017-06-26.</w:t>
      </w:r>
    </w:p>
    <w:p w14:paraId="35FF1D98">
      <w:pPr>
        <w:pStyle w:val="60"/>
        <w:numPr>
          <w:ilvl w:val="0"/>
          <w:numId w:val="36"/>
        </w:numPr>
        <w:ind w:left="0" w:firstLine="420"/>
      </w:pPr>
      <w:r>
        <w:rPr>
          <w:rFonts w:hint="eastAsia"/>
        </w:rPr>
        <w:t xml:space="preserve">顾永权，顾骏鸿，周高祥，等.余姚市2019—2020年4起学校结核病聚集性疫情处置情况分析 [J]. 现代实用医学，2021,33 (10):1318-1319,1400.DOI:10.3969/j.issn.1671-0800.2021.10.025. </w:t>
      </w:r>
    </w:p>
    <w:p w14:paraId="1E4EFD2D">
      <w:pPr>
        <w:pStyle w:val="60"/>
        <w:numPr>
          <w:ilvl w:val="0"/>
          <w:numId w:val="36"/>
        </w:numPr>
        <w:ind w:left="0" w:firstLine="420"/>
      </w:pPr>
      <w:r>
        <w:rPr>
          <w:rFonts w:hint="eastAsia"/>
        </w:rPr>
        <w:t>STERLING T R,NJIE G,ZENNER D,et al. Guidelines for the treatment of latent tuberculosis infection: recommendations from the National Tuberculosis Controllers Association and CDC,2020 [J]. MMWR Recomm Rep,2020,69 (1):1-11.</w:t>
      </w:r>
    </w:p>
    <w:p w14:paraId="5F7D5DB0">
      <w:pPr>
        <w:pStyle w:val="60"/>
        <w:numPr>
          <w:ilvl w:val="0"/>
          <w:numId w:val="36"/>
        </w:numPr>
        <w:ind w:left="0" w:firstLine="420"/>
      </w:pPr>
      <w:r>
        <w:rPr>
          <w:rFonts w:hint="eastAsia"/>
        </w:rPr>
        <w:t xml:space="preserve">上海市防痨协会，中国防痨协会青年理事会，《中国防痨杂志》编辑委员会.学校结核病疫情流行病学调查和现场处置专家共识[J].中国防痨杂志，2019,41(1):9-13.DOI:10.3969/j.issn.1000-6621.2019.01.004. </w:t>
      </w:r>
    </w:p>
    <w:p w14:paraId="3DBFA753">
      <w:pPr>
        <w:pStyle w:val="60"/>
        <w:numPr>
          <w:ilvl w:val="0"/>
          <w:numId w:val="36"/>
        </w:numPr>
        <w:ind w:left="0" w:firstLine="420"/>
      </w:pPr>
      <w:r>
        <w:rPr>
          <w:rFonts w:hint="eastAsia"/>
        </w:rPr>
        <w:t xml:space="preserve">全国人民代表大会常务委员会.中华人民共和国科学技术普及法（2024 年修订）[Z]. 中华人民共和国主席令第四十三号，2024-12-25. </w:t>
      </w:r>
    </w:p>
    <w:p w14:paraId="54B2BE40">
      <w:pPr>
        <w:pStyle w:val="60"/>
        <w:numPr>
          <w:ilvl w:val="0"/>
          <w:numId w:val="36"/>
        </w:numPr>
        <w:ind w:left="0" w:firstLine="420"/>
      </w:pPr>
      <w:r>
        <w:rPr>
          <w:rFonts w:hint="eastAsia"/>
        </w:rPr>
        <w:t xml:space="preserve">国务院办公厅.突发事件应急预案管理办法 [Z]. 国办发〔2024〕5 号，2024-01-31. </w:t>
      </w:r>
    </w:p>
    <w:p w14:paraId="51CD3F11">
      <w:pPr>
        <w:pStyle w:val="60"/>
        <w:numPr>
          <w:ilvl w:val="0"/>
          <w:numId w:val="36"/>
        </w:numPr>
        <w:ind w:left="0" w:firstLine="420"/>
      </w:pPr>
      <w:r>
        <w:rPr>
          <w:rFonts w:hint="eastAsia"/>
        </w:rPr>
        <w:t xml:space="preserve">中华人民共和国国务院.突发公共卫生事件应急条例 [Z]. 国务院令第 376 号，2003-05-09. </w:t>
      </w:r>
    </w:p>
    <w:p w14:paraId="340B259F">
      <w:pPr>
        <w:pStyle w:val="60"/>
        <w:numPr>
          <w:ilvl w:val="0"/>
          <w:numId w:val="36"/>
        </w:numPr>
        <w:ind w:left="0" w:firstLine="420"/>
      </w:pPr>
      <w:r>
        <w:rPr>
          <w:rFonts w:hint="eastAsia"/>
        </w:rPr>
        <w:t xml:space="preserve">全国人民代表大会常务委员会。中华人民共和国传染病防治法（2025 年修订）[Z]. 中华人民共和国主席令第四十七号，2025-04-30. </w:t>
      </w:r>
    </w:p>
    <w:p w14:paraId="609FBF11">
      <w:pPr>
        <w:pStyle w:val="60"/>
        <w:numPr>
          <w:ilvl w:val="0"/>
          <w:numId w:val="36"/>
        </w:numPr>
        <w:ind w:left="0" w:firstLine="420"/>
      </w:pPr>
      <w:r>
        <w:rPr>
          <w:rFonts w:hint="eastAsia"/>
        </w:rPr>
        <w:t xml:space="preserve">国家疾控局，国家卫生健康委，国家发展改革委，等.全国结核病防治规划（2024—2030 年）[Z]. 国疾控传防发〔2024〕19 号，2024-11-28. </w:t>
      </w:r>
    </w:p>
    <w:p w14:paraId="188ADDB0">
      <w:pPr>
        <w:pStyle w:val="60"/>
        <w:numPr>
          <w:ilvl w:val="0"/>
          <w:numId w:val="36"/>
        </w:numPr>
        <w:ind w:left="0" w:firstLine="420"/>
      </w:pPr>
      <w:r>
        <w:rPr>
          <w:rFonts w:hint="eastAsia"/>
        </w:rPr>
        <w:t>重庆市科普研究会，中华医学会检验医学分会，中国毒理学会，等.全生命周期主动健康科普框架中国专家共识（2025）[J]. 检验医学与临床，2025.</w:t>
      </w:r>
    </w:p>
    <w:p w14:paraId="68CA069D">
      <w:pPr>
        <w:pStyle w:val="60"/>
        <w:numPr>
          <w:ilvl w:val="0"/>
          <w:numId w:val="36"/>
        </w:numPr>
        <w:ind w:left="0" w:firstLine="420"/>
      </w:pPr>
      <w:r>
        <w:rPr>
          <w:rFonts w:hint="eastAsia"/>
        </w:rPr>
        <w:t>世界卫生组织. 2025 年全球结核病报告 [R]. 日内瓦：世界卫生组织，2025.</w:t>
      </w:r>
    </w:p>
    <w:p w14:paraId="5F4EB151">
      <w:pPr>
        <w:pStyle w:val="60"/>
        <w:spacing w:beforeLines="0" w:afterLines="0"/>
        <w:ind w:firstLine="0" w:firstLineChars="0"/>
        <w:jc w:val="center"/>
        <w:rPr>
          <w:rFonts w:hint="default" w:ascii="宋体" w:eastAsia="宋体"/>
          <w:color w:val="auto"/>
          <w:sz w:val="21"/>
          <w:szCs w:val="24"/>
        </w:rPr>
      </w:pPr>
      <w:r>
        <w:rPr>
          <w:rFonts w:hint="default" w:eastAsia="宋体"/>
          <w:color w:val="auto"/>
          <w:sz w:val="21"/>
          <w:szCs w:val="24"/>
        </w:rPr>
        <w:drawing>
          <wp:inline distT="0" distB="0" distL="114300" distR="114300">
            <wp:extent cx="1485900" cy="316865"/>
            <wp:effectExtent l="0" t="0" r="0" b="6985"/>
            <wp:docPr id="4" name="图片 7" descr="1"/>
            <wp:cNvGraphicFramePr/>
            <a:graphic xmlns:a="http://schemas.openxmlformats.org/drawingml/2006/main">
              <a:graphicData uri="http://schemas.openxmlformats.org/drawingml/2006/picture">
                <pic:pic xmlns:pic="http://schemas.openxmlformats.org/drawingml/2006/picture">
                  <pic:nvPicPr>
                    <pic:cNvPr id="4" name="图片 7" descr="1"/>
                    <pic:cNvPicPr/>
                  </pic:nvPicPr>
                  <pic:blipFill>
                    <a:blip r:embed="rId47"/>
                    <a:stretch>
                      <a:fillRect/>
                    </a:stretch>
                  </pic:blipFill>
                  <pic:spPr>
                    <a:xfrm>
                      <a:off x="0" y="0"/>
                      <a:ext cx="1485900" cy="316865"/>
                    </a:xfrm>
                    <a:prstGeom prst="rect">
                      <a:avLst/>
                    </a:prstGeom>
                    <a:noFill/>
                    <a:ln>
                      <a:noFill/>
                    </a:ln>
                  </pic:spPr>
                </pic:pic>
              </a:graphicData>
            </a:graphic>
          </wp:inline>
        </w:drawing>
      </w:r>
      <w:bookmarkEnd w:id="114"/>
    </w:p>
    <w:p w14:paraId="62711882">
      <w:pPr>
        <w:pStyle w:val="181"/>
        <w:spacing w:before="0" w:after="0" w:line="240" w:lineRule="auto"/>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120C3">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077F2">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15DA0">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2</w:t>
    </w:r>
    <w:r>
      <w:rPr>
        <w:rFonts w:hint="default"/>
        <w:sz w:val="18"/>
        <w:szCs w:val="24"/>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076F">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F2C58">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8</w:t>
    </w:r>
    <w:r>
      <w:rPr>
        <w:rFonts w:hint="default"/>
        <w:sz w:val="18"/>
        <w:szCs w:val="24"/>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09141">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9151C">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16</w:t>
    </w:r>
    <w:r>
      <w:rPr>
        <w:rFonts w:hint="default"/>
        <w:sz w:val="18"/>
        <w:szCs w:val="24"/>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81596">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0EEAC">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2</w:t>
    </w:r>
    <w:r>
      <w:rPr>
        <w:rFonts w:hint="default"/>
        <w:sz w:val="18"/>
        <w:szCs w:val="24"/>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AFA11">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5F70A">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18</w:t>
    </w:r>
    <w:r>
      <w:rPr>
        <w:rFonts w:hint="default"/>
        <w:sz w:val="18"/>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4BE6">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8C28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812D2">
    <w:pPr>
      <w:pStyle w:val="5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FC6E4">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DB2B3">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3203F">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2</w:t>
    </w:r>
    <w:r>
      <w:rPr>
        <w:rFonts w:hint="default"/>
        <w:sz w:val="18"/>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D6085">
    <w:pPr>
      <w:pStyle w:val="56"/>
      <w:spacing w:beforeLines="0" w:afterLines="0"/>
      <w:rPr>
        <w:rFonts w:hint="default"/>
        <w:sz w:val="18"/>
        <w:szCs w:val="24"/>
      </w:rPr>
    </w:pPr>
    <w:r>
      <w:rPr>
        <w:rFonts w:hint="default"/>
        <w:sz w:val="18"/>
        <w:szCs w:val="24"/>
      </w:rPr>
      <w:fldChar w:fldCharType="begin"/>
    </w:r>
    <w:r>
      <w:rPr>
        <w:rFonts w:hint="default"/>
        <w:sz w:val="18"/>
        <w:szCs w:val="24"/>
      </w:rPr>
      <w:instrText xml:space="preserve">PAGE   \* MERGEFORMAT</w:instrText>
    </w:r>
    <w:r>
      <w:rPr>
        <w:rFonts w:hint="default"/>
        <w:sz w:val="18"/>
        <w:szCs w:val="24"/>
      </w:rPr>
      <w:fldChar w:fldCharType="separate"/>
    </w:r>
    <w:r>
      <w:rPr>
        <w:rFonts w:hint="default"/>
        <w:sz w:val="18"/>
        <w:szCs w:val="24"/>
        <w:lang w:val="zh-CN"/>
      </w:rPr>
      <w:t>1</w:t>
    </w:r>
    <w:r>
      <w:rPr>
        <w:rFonts w:hint="default"/>
        <w:sz w:val="18"/>
        <w:szCs w:val="24"/>
        <w:lang w:val="zh-C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AAC47">
    <w:pPr>
      <w:pStyle w:val="55"/>
      <w:spacing w:beforeLines="0" w:afterLines="0"/>
      <w:rPr>
        <w:rFonts w:hint="default"/>
        <w:sz w:val="18"/>
        <w:szCs w:val="24"/>
      </w:rPr>
    </w:pPr>
    <w:r>
      <w:rPr>
        <w:rFonts w:hint="default"/>
        <w:sz w:val="18"/>
        <w:szCs w:val="24"/>
      </w:rPr>
      <w:fldChar w:fldCharType="begin"/>
    </w:r>
    <w:r>
      <w:rPr>
        <w:rFonts w:hint="default"/>
        <w:sz w:val="18"/>
        <w:szCs w:val="24"/>
      </w:rPr>
      <w:instrText xml:space="preserve"> PAGE   \* MERGEFORMAT \* MERGEFORMAT </w:instrText>
    </w:r>
    <w:r>
      <w:rPr>
        <w:rFonts w:hint="default"/>
        <w:sz w:val="18"/>
        <w:szCs w:val="24"/>
      </w:rPr>
      <w:fldChar w:fldCharType="separate"/>
    </w:r>
    <w:r>
      <w:rPr>
        <w:rFonts w:hint="default"/>
        <w:sz w:val="18"/>
        <w:szCs w:val="24"/>
      </w:rPr>
      <w:t>6</w:t>
    </w:r>
    <w:r>
      <w:rPr>
        <w:rFonts w:hint="default"/>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4E79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419E1">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6F45D">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32EC5">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EB1DA">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F75DC">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63D8D">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14423">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DF0A5">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86D17">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91364">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49D62">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76637">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63B8D">
    <w:pPr>
      <w:pStyle w:val="65"/>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DBC46">
    <w:pPr>
      <w:pStyle w:val="66"/>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DBB6C">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691CA">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37FD5">
    <w:pPr>
      <w:pStyle w:val="65"/>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95C91">
    <w:pPr>
      <w:pStyle w:val="66"/>
      <w:spacing w:beforeLines="0" w:afterLines="0"/>
      <w:rPr>
        <w:rFonts w:hint="eastAsia"/>
        <w:sz w:val="21"/>
        <w:szCs w:val="24"/>
      </w:rPr>
    </w:pPr>
    <w:r>
      <w:rPr>
        <w:rFonts w:hint="eastAsia"/>
        <w:sz w:val="21"/>
        <w:szCs w:val="24"/>
      </w:rPr>
      <w:fldChar w:fldCharType="begin"/>
    </w:r>
    <w:r>
      <w:rPr>
        <w:rFonts w:hint="eastAsia"/>
        <w:sz w:val="21"/>
        <w:szCs w:val="24"/>
      </w:rPr>
      <w:instrText xml:space="preserve"> STYLEREF  标准文件_文件编号 \* MERGEFORMAT </w:instrText>
    </w:r>
    <w:r>
      <w:rPr>
        <w:rFonts w:hint="eastAsia"/>
        <w:sz w:val="21"/>
        <w:szCs w:val="24"/>
      </w:rPr>
      <w:fldChar w:fldCharType="separate"/>
    </w:r>
    <w:r>
      <w:rPr>
        <w:rFonts w:hint="eastAsia"/>
        <w:sz w:val="21"/>
        <w:szCs w:val="24"/>
      </w:rPr>
      <w:t>T/GXAS XXXX—XXXX</w:t>
    </w:r>
    <w:r>
      <w:rPr>
        <w:rFonts w:hint="eastAsia"/>
        <w:sz w:val="21"/>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CC34A"/>
    <w:multiLevelType w:val="multilevel"/>
    <w:tmpl w:val="A93CC34A"/>
    <w:lvl w:ilvl="0" w:tentative="0">
      <w:start w:val="1"/>
      <w:numFmt w:val="lowerLetter"/>
      <w:lvlText w:val="%1)"/>
      <w:lvlJc w:val="left"/>
      <w:pPr>
        <w:tabs>
          <w:tab w:val="left" w:pos="851"/>
        </w:tabs>
        <w:ind w:left="851" w:hanging="426"/>
      </w:pPr>
      <w:rPr>
        <w:rFonts w:hint="default" w:ascii="宋体" w:hAnsi="Times New Roman" w:eastAsia="宋体"/>
        <w:sz w:val="21"/>
        <w:u w:val="none" w:color="auto"/>
      </w:rPr>
    </w:lvl>
    <w:lvl w:ilvl="1" w:tentative="0">
      <w:start w:val="1"/>
      <w:numFmt w:val="decimal"/>
      <w:lvlText w:val="%2)"/>
      <w:lvlJc w:val="left"/>
      <w:pPr>
        <w:tabs>
          <w:tab w:val="left" w:pos="1276"/>
        </w:tabs>
        <w:ind w:left="1276" w:hanging="425"/>
      </w:pPr>
      <w:rPr>
        <w:rFonts w:hint="default" w:ascii="宋体" w:hAnsi="Times New Roman" w:eastAsia="宋体"/>
        <w:sz w:val="21"/>
        <w:u w:val="none" w:color="auto"/>
      </w:rPr>
    </w:lvl>
    <w:lvl w:ilvl="2" w:tentative="0">
      <w:start w:val="1"/>
      <w:numFmt w:val="decimal"/>
      <w:lvlText w:val="(%3)"/>
      <w:lvlJc w:val="left"/>
      <w:pPr>
        <w:ind w:left="1701" w:hanging="425"/>
      </w:pPr>
      <w:rPr>
        <w:rFonts w:hint="default" w:ascii="宋体" w:hAnsi="Times New Roman" w:eastAsia="宋体"/>
        <w:sz w:val="21"/>
        <w:u w:val="none" w:color="auto"/>
      </w:rPr>
    </w:lvl>
    <w:lvl w:ilvl="3" w:tentative="0">
      <w:start w:val="1"/>
      <w:numFmt w:val="decimal"/>
      <w:lvlText w:val="%4."/>
      <w:lvlJc w:val="left"/>
      <w:pPr>
        <w:tabs>
          <w:tab w:val="left" w:pos="2100"/>
        </w:tabs>
        <w:ind w:left="2099" w:hanging="419"/>
      </w:pPr>
      <w:rPr>
        <w:rFonts w:hint="default"/>
        <w:u w:val="none" w:color="auto"/>
      </w:rPr>
    </w:lvl>
    <w:lvl w:ilvl="4" w:tentative="0">
      <w:start w:val="1"/>
      <w:numFmt w:val="lowerLetter"/>
      <w:lvlText w:val="%5)"/>
      <w:lvlJc w:val="left"/>
      <w:pPr>
        <w:tabs>
          <w:tab w:val="left" w:pos="2520"/>
        </w:tabs>
        <w:ind w:left="2519" w:hanging="419"/>
      </w:pPr>
      <w:rPr>
        <w:rFonts w:hint="default"/>
        <w:u w:val="none" w:color="auto"/>
      </w:rPr>
    </w:lvl>
    <w:lvl w:ilvl="5" w:tentative="0">
      <w:start w:val="1"/>
      <w:numFmt w:val="lowerRoman"/>
      <w:lvlText w:val="%6."/>
      <w:lvlJc w:val="right"/>
      <w:pPr>
        <w:tabs>
          <w:tab w:val="left" w:pos="2940"/>
        </w:tabs>
        <w:ind w:left="2939" w:hanging="419"/>
      </w:pPr>
      <w:rPr>
        <w:rFonts w:hint="default"/>
        <w:u w:val="none" w:color="auto"/>
      </w:rPr>
    </w:lvl>
    <w:lvl w:ilvl="6" w:tentative="0">
      <w:start w:val="1"/>
      <w:numFmt w:val="decimal"/>
      <w:lvlText w:val="%7."/>
      <w:lvlJc w:val="left"/>
      <w:pPr>
        <w:tabs>
          <w:tab w:val="left" w:pos="3360"/>
        </w:tabs>
        <w:ind w:left="3359" w:hanging="419"/>
      </w:pPr>
      <w:rPr>
        <w:rFonts w:hint="default"/>
        <w:u w:val="none" w:color="auto"/>
      </w:rPr>
    </w:lvl>
    <w:lvl w:ilvl="7" w:tentative="0">
      <w:start w:val="1"/>
      <w:numFmt w:val="lowerLetter"/>
      <w:lvlText w:val="%8)"/>
      <w:lvlJc w:val="left"/>
      <w:pPr>
        <w:tabs>
          <w:tab w:val="left" w:pos="3780"/>
        </w:tabs>
        <w:ind w:left="3779" w:hanging="419"/>
      </w:pPr>
      <w:rPr>
        <w:rFonts w:hint="default"/>
        <w:u w:val="none" w:color="auto"/>
      </w:rPr>
    </w:lvl>
    <w:lvl w:ilvl="8" w:tentative="0">
      <w:start w:val="1"/>
      <w:numFmt w:val="lowerRoman"/>
      <w:lvlText w:val="%9."/>
      <w:lvlJc w:val="right"/>
      <w:pPr>
        <w:tabs>
          <w:tab w:val="left" w:pos="4200"/>
        </w:tabs>
        <w:ind w:left="4199" w:hanging="419"/>
      </w:pPr>
      <w:rPr>
        <w:rFonts w:hint="default"/>
        <w:u w:val="none" w:color="auto"/>
      </w:rPr>
    </w:lvl>
  </w:abstractNum>
  <w:abstractNum w:abstractNumId="1">
    <w:nsid w:val="C91FEFD5"/>
    <w:multiLevelType w:val="multilevel"/>
    <w:tmpl w:val="C91FEFD5"/>
    <w:lvl w:ilvl="0" w:tentative="0">
      <w:start w:val="1"/>
      <w:numFmt w:val="lowerLetter"/>
      <w:lvlText w:val="%1)"/>
      <w:lvlJc w:val="left"/>
      <w:pPr>
        <w:tabs>
          <w:tab w:val="left" w:pos="851"/>
        </w:tabs>
        <w:ind w:left="851" w:hanging="426"/>
      </w:pPr>
      <w:rPr>
        <w:rFonts w:hint="default" w:ascii="宋体" w:hAnsi="Times New Roman" w:eastAsia="宋体"/>
        <w:sz w:val="21"/>
        <w:u w:val="none" w:color="auto"/>
      </w:rPr>
    </w:lvl>
    <w:lvl w:ilvl="1" w:tentative="0">
      <w:start w:val="1"/>
      <w:numFmt w:val="decimal"/>
      <w:lvlText w:val="%2)"/>
      <w:lvlJc w:val="left"/>
      <w:pPr>
        <w:tabs>
          <w:tab w:val="left" w:pos="1276"/>
        </w:tabs>
        <w:ind w:left="1276" w:hanging="425"/>
      </w:pPr>
      <w:rPr>
        <w:rFonts w:hint="default" w:ascii="宋体" w:hAnsi="Times New Roman" w:eastAsia="宋体"/>
        <w:sz w:val="21"/>
        <w:u w:val="none" w:color="auto"/>
      </w:rPr>
    </w:lvl>
    <w:lvl w:ilvl="2" w:tentative="0">
      <w:start w:val="1"/>
      <w:numFmt w:val="decimal"/>
      <w:lvlText w:val="(%3)"/>
      <w:lvlJc w:val="left"/>
      <w:pPr>
        <w:ind w:left="1701" w:hanging="425"/>
      </w:pPr>
      <w:rPr>
        <w:rFonts w:hint="default" w:ascii="宋体" w:hAnsi="Times New Roman" w:eastAsia="宋体"/>
        <w:sz w:val="21"/>
        <w:u w:val="none" w:color="auto"/>
      </w:rPr>
    </w:lvl>
    <w:lvl w:ilvl="3" w:tentative="0">
      <w:start w:val="1"/>
      <w:numFmt w:val="decimal"/>
      <w:lvlText w:val="%4."/>
      <w:lvlJc w:val="left"/>
      <w:pPr>
        <w:tabs>
          <w:tab w:val="left" w:pos="2100"/>
        </w:tabs>
        <w:ind w:left="2099" w:hanging="419"/>
      </w:pPr>
      <w:rPr>
        <w:rFonts w:hint="default"/>
        <w:u w:val="none" w:color="auto"/>
      </w:rPr>
    </w:lvl>
    <w:lvl w:ilvl="4" w:tentative="0">
      <w:start w:val="1"/>
      <w:numFmt w:val="lowerLetter"/>
      <w:lvlText w:val="%5)"/>
      <w:lvlJc w:val="left"/>
      <w:pPr>
        <w:tabs>
          <w:tab w:val="left" w:pos="2520"/>
        </w:tabs>
        <w:ind w:left="2519" w:hanging="419"/>
      </w:pPr>
      <w:rPr>
        <w:rFonts w:hint="default"/>
        <w:u w:val="none" w:color="auto"/>
      </w:rPr>
    </w:lvl>
    <w:lvl w:ilvl="5" w:tentative="0">
      <w:start w:val="1"/>
      <w:numFmt w:val="lowerRoman"/>
      <w:lvlText w:val="%6."/>
      <w:lvlJc w:val="right"/>
      <w:pPr>
        <w:tabs>
          <w:tab w:val="left" w:pos="2940"/>
        </w:tabs>
        <w:ind w:left="2939" w:hanging="419"/>
      </w:pPr>
      <w:rPr>
        <w:rFonts w:hint="default"/>
        <w:u w:val="none" w:color="auto"/>
      </w:rPr>
    </w:lvl>
    <w:lvl w:ilvl="6" w:tentative="0">
      <w:start w:val="1"/>
      <w:numFmt w:val="decimal"/>
      <w:lvlText w:val="%7."/>
      <w:lvlJc w:val="left"/>
      <w:pPr>
        <w:tabs>
          <w:tab w:val="left" w:pos="3360"/>
        </w:tabs>
        <w:ind w:left="3359" w:hanging="419"/>
      </w:pPr>
      <w:rPr>
        <w:rFonts w:hint="default"/>
        <w:u w:val="none" w:color="auto"/>
      </w:rPr>
    </w:lvl>
    <w:lvl w:ilvl="7" w:tentative="0">
      <w:start w:val="1"/>
      <w:numFmt w:val="lowerLetter"/>
      <w:lvlText w:val="%8)"/>
      <w:lvlJc w:val="left"/>
      <w:pPr>
        <w:tabs>
          <w:tab w:val="left" w:pos="3780"/>
        </w:tabs>
        <w:ind w:left="3779" w:hanging="419"/>
      </w:pPr>
      <w:rPr>
        <w:rFonts w:hint="default"/>
        <w:u w:val="none" w:color="auto"/>
      </w:rPr>
    </w:lvl>
    <w:lvl w:ilvl="8" w:tentative="0">
      <w:start w:val="1"/>
      <w:numFmt w:val="lowerRoman"/>
      <w:lvlText w:val="%9."/>
      <w:lvlJc w:val="right"/>
      <w:pPr>
        <w:tabs>
          <w:tab w:val="left" w:pos="4200"/>
        </w:tabs>
        <w:ind w:left="4199" w:hanging="419"/>
      </w:pPr>
      <w:rPr>
        <w:rFonts w:hint="default"/>
        <w:u w:val="none" w:color="auto"/>
      </w:rPr>
    </w:lvl>
  </w:abstractNum>
  <w:abstractNum w:abstractNumId="2">
    <w:nsid w:val="D5106960"/>
    <w:multiLevelType w:val="multilevel"/>
    <w:tmpl w:val="D5106960"/>
    <w:lvl w:ilvl="0" w:tentative="0">
      <w:start w:val="1"/>
      <w:numFmt w:val="lowerLetter"/>
      <w:lvlText w:val="%1)"/>
      <w:lvlJc w:val="left"/>
      <w:pPr>
        <w:tabs>
          <w:tab w:val="left" w:pos="851"/>
        </w:tabs>
        <w:ind w:left="851" w:hanging="426"/>
      </w:pPr>
      <w:rPr>
        <w:rFonts w:hint="default" w:ascii="宋体" w:hAnsi="Times New Roman" w:eastAsia="宋体"/>
        <w:sz w:val="21"/>
        <w:u w:val="none" w:color="auto"/>
      </w:rPr>
    </w:lvl>
    <w:lvl w:ilvl="1" w:tentative="0">
      <w:start w:val="1"/>
      <w:numFmt w:val="decimal"/>
      <w:lvlText w:val="%2)"/>
      <w:lvlJc w:val="left"/>
      <w:pPr>
        <w:tabs>
          <w:tab w:val="left" w:pos="1276"/>
        </w:tabs>
        <w:ind w:left="1276" w:hanging="425"/>
      </w:pPr>
      <w:rPr>
        <w:rFonts w:hint="default" w:ascii="宋体" w:hAnsi="Times New Roman" w:eastAsia="宋体"/>
        <w:sz w:val="21"/>
        <w:u w:val="none" w:color="auto"/>
      </w:rPr>
    </w:lvl>
    <w:lvl w:ilvl="2" w:tentative="0">
      <w:start w:val="1"/>
      <w:numFmt w:val="decimal"/>
      <w:lvlText w:val="(%3)"/>
      <w:lvlJc w:val="left"/>
      <w:pPr>
        <w:ind w:left="1701" w:hanging="425"/>
      </w:pPr>
      <w:rPr>
        <w:rFonts w:hint="default" w:ascii="宋体" w:hAnsi="Times New Roman" w:eastAsia="宋体"/>
        <w:sz w:val="21"/>
        <w:u w:val="none" w:color="auto"/>
      </w:rPr>
    </w:lvl>
    <w:lvl w:ilvl="3" w:tentative="0">
      <w:start w:val="1"/>
      <w:numFmt w:val="decimal"/>
      <w:lvlText w:val="%4."/>
      <w:lvlJc w:val="left"/>
      <w:pPr>
        <w:tabs>
          <w:tab w:val="left" w:pos="2100"/>
        </w:tabs>
        <w:ind w:left="2099" w:hanging="419"/>
      </w:pPr>
      <w:rPr>
        <w:rFonts w:hint="default"/>
        <w:u w:val="none" w:color="auto"/>
      </w:rPr>
    </w:lvl>
    <w:lvl w:ilvl="4" w:tentative="0">
      <w:start w:val="1"/>
      <w:numFmt w:val="lowerLetter"/>
      <w:lvlText w:val="%5)"/>
      <w:lvlJc w:val="left"/>
      <w:pPr>
        <w:tabs>
          <w:tab w:val="left" w:pos="2520"/>
        </w:tabs>
        <w:ind w:left="2519" w:hanging="419"/>
      </w:pPr>
      <w:rPr>
        <w:rFonts w:hint="default"/>
        <w:u w:val="none" w:color="auto"/>
      </w:rPr>
    </w:lvl>
    <w:lvl w:ilvl="5" w:tentative="0">
      <w:start w:val="1"/>
      <w:numFmt w:val="lowerRoman"/>
      <w:lvlText w:val="%6."/>
      <w:lvlJc w:val="right"/>
      <w:pPr>
        <w:tabs>
          <w:tab w:val="left" w:pos="2940"/>
        </w:tabs>
        <w:ind w:left="2939" w:hanging="419"/>
      </w:pPr>
      <w:rPr>
        <w:rFonts w:hint="default"/>
        <w:u w:val="none" w:color="auto"/>
      </w:rPr>
    </w:lvl>
    <w:lvl w:ilvl="6" w:tentative="0">
      <w:start w:val="1"/>
      <w:numFmt w:val="decimal"/>
      <w:lvlText w:val="%7."/>
      <w:lvlJc w:val="left"/>
      <w:pPr>
        <w:tabs>
          <w:tab w:val="left" w:pos="3360"/>
        </w:tabs>
        <w:ind w:left="3359" w:hanging="419"/>
      </w:pPr>
      <w:rPr>
        <w:rFonts w:hint="default"/>
        <w:u w:val="none" w:color="auto"/>
      </w:rPr>
    </w:lvl>
    <w:lvl w:ilvl="7" w:tentative="0">
      <w:start w:val="1"/>
      <w:numFmt w:val="lowerLetter"/>
      <w:lvlText w:val="%8)"/>
      <w:lvlJc w:val="left"/>
      <w:pPr>
        <w:tabs>
          <w:tab w:val="left" w:pos="3780"/>
        </w:tabs>
        <w:ind w:left="3779" w:hanging="419"/>
      </w:pPr>
      <w:rPr>
        <w:rFonts w:hint="default"/>
        <w:u w:val="none" w:color="auto"/>
      </w:rPr>
    </w:lvl>
    <w:lvl w:ilvl="8" w:tentative="0">
      <w:start w:val="1"/>
      <w:numFmt w:val="lowerRoman"/>
      <w:lvlText w:val="%9."/>
      <w:lvlJc w:val="right"/>
      <w:pPr>
        <w:tabs>
          <w:tab w:val="left" w:pos="4200"/>
        </w:tabs>
        <w:ind w:left="4199" w:hanging="419"/>
      </w:pPr>
      <w:rPr>
        <w:rFonts w:hint="default"/>
        <w:u w:val="none" w:color="auto"/>
      </w:rPr>
    </w:lvl>
  </w:abstractNum>
  <w:abstractNum w:abstractNumId="3">
    <w:nsid w:val="E7C51092"/>
    <w:multiLevelType w:val="multilevel"/>
    <w:tmpl w:val="E7C51092"/>
    <w:lvl w:ilvl="0" w:tentative="0">
      <w:start w:val="1"/>
      <w:numFmt w:val="lowerLetter"/>
      <w:lvlText w:val="%1)"/>
      <w:lvlJc w:val="left"/>
      <w:pPr>
        <w:tabs>
          <w:tab w:val="left" w:pos="851"/>
        </w:tabs>
        <w:ind w:left="851" w:hanging="426"/>
      </w:pPr>
      <w:rPr>
        <w:rFonts w:hint="default" w:ascii="宋体" w:hAnsi="Times New Roman" w:eastAsia="宋体"/>
        <w:sz w:val="21"/>
        <w:u w:val="none" w:color="auto"/>
      </w:rPr>
    </w:lvl>
    <w:lvl w:ilvl="1" w:tentative="0">
      <w:start w:val="1"/>
      <w:numFmt w:val="decimal"/>
      <w:lvlText w:val="%2)"/>
      <w:lvlJc w:val="left"/>
      <w:pPr>
        <w:tabs>
          <w:tab w:val="left" w:pos="1276"/>
        </w:tabs>
        <w:ind w:left="1276" w:hanging="425"/>
      </w:pPr>
      <w:rPr>
        <w:rFonts w:hint="default" w:ascii="宋体" w:hAnsi="Times New Roman" w:eastAsia="宋体"/>
        <w:sz w:val="21"/>
        <w:u w:val="none" w:color="auto"/>
      </w:rPr>
    </w:lvl>
    <w:lvl w:ilvl="2" w:tentative="0">
      <w:start w:val="1"/>
      <w:numFmt w:val="decimal"/>
      <w:lvlText w:val="(%3)"/>
      <w:lvlJc w:val="left"/>
      <w:pPr>
        <w:ind w:left="1701" w:hanging="425"/>
      </w:pPr>
      <w:rPr>
        <w:rFonts w:hint="default" w:ascii="宋体" w:hAnsi="Times New Roman" w:eastAsia="宋体"/>
        <w:sz w:val="21"/>
        <w:u w:val="none" w:color="auto"/>
      </w:rPr>
    </w:lvl>
    <w:lvl w:ilvl="3" w:tentative="0">
      <w:start w:val="1"/>
      <w:numFmt w:val="decimal"/>
      <w:lvlText w:val="%4."/>
      <w:lvlJc w:val="left"/>
      <w:pPr>
        <w:tabs>
          <w:tab w:val="left" w:pos="2100"/>
        </w:tabs>
        <w:ind w:left="2099" w:hanging="419"/>
      </w:pPr>
      <w:rPr>
        <w:rFonts w:hint="default"/>
        <w:u w:val="none" w:color="auto"/>
      </w:rPr>
    </w:lvl>
    <w:lvl w:ilvl="4" w:tentative="0">
      <w:start w:val="1"/>
      <w:numFmt w:val="lowerLetter"/>
      <w:lvlText w:val="%5)"/>
      <w:lvlJc w:val="left"/>
      <w:pPr>
        <w:tabs>
          <w:tab w:val="left" w:pos="2520"/>
        </w:tabs>
        <w:ind w:left="2519" w:hanging="419"/>
      </w:pPr>
      <w:rPr>
        <w:rFonts w:hint="default"/>
        <w:u w:val="none" w:color="auto"/>
      </w:rPr>
    </w:lvl>
    <w:lvl w:ilvl="5" w:tentative="0">
      <w:start w:val="1"/>
      <w:numFmt w:val="lowerRoman"/>
      <w:lvlText w:val="%6."/>
      <w:lvlJc w:val="right"/>
      <w:pPr>
        <w:tabs>
          <w:tab w:val="left" w:pos="2940"/>
        </w:tabs>
        <w:ind w:left="2939" w:hanging="419"/>
      </w:pPr>
      <w:rPr>
        <w:rFonts w:hint="default"/>
        <w:u w:val="none" w:color="auto"/>
      </w:rPr>
    </w:lvl>
    <w:lvl w:ilvl="6" w:tentative="0">
      <w:start w:val="1"/>
      <w:numFmt w:val="decimal"/>
      <w:lvlText w:val="%7."/>
      <w:lvlJc w:val="left"/>
      <w:pPr>
        <w:tabs>
          <w:tab w:val="left" w:pos="3360"/>
        </w:tabs>
        <w:ind w:left="3359" w:hanging="419"/>
      </w:pPr>
      <w:rPr>
        <w:rFonts w:hint="default"/>
        <w:u w:val="none" w:color="auto"/>
      </w:rPr>
    </w:lvl>
    <w:lvl w:ilvl="7" w:tentative="0">
      <w:start w:val="1"/>
      <w:numFmt w:val="lowerLetter"/>
      <w:lvlText w:val="%8)"/>
      <w:lvlJc w:val="left"/>
      <w:pPr>
        <w:tabs>
          <w:tab w:val="left" w:pos="3780"/>
        </w:tabs>
        <w:ind w:left="3779" w:hanging="419"/>
      </w:pPr>
      <w:rPr>
        <w:rFonts w:hint="default"/>
        <w:u w:val="none" w:color="auto"/>
      </w:rPr>
    </w:lvl>
    <w:lvl w:ilvl="8" w:tentative="0">
      <w:start w:val="1"/>
      <w:numFmt w:val="lowerRoman"/>
      <w:lvlText w:val="%9."/>
      <w:lvlJc w:val="right"/>
      <w:pPr>
        <w:tabs>
          <w:tab w:val="left" w:pos="4200"/>
        </w:tabs>
        <w:ind w:left="4199" w:hanging="419"/>
      </w:pPr>
      <w:rPr>
        <w:rFonts w:hint="default"/>
        <w:u w:val="none" w:color="auto"/>
      </w:rPr>
    </w:lvl>
  </w:abstractNum>
  <w:abstractNum w:abstractNumId="4">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3564E53"/>
    <w:multiLevelType w:val="multilevel"/>
    <w:tmpl w:val="23564E53"/>
    <w:lvl w:ilvl="0" w:tentative="0">
      <w:start w:val="1"/>
      <w:numFmt w:val="decimal"/>
      <w:suff w:val="nothing"/>
      <w:lvlText w:val="[%1]  "/>
      <w:lvlJc w:val="left"/>
      <w:pPr>
        <w:ind w:left="860" w:hanging="440"/>
      </w:pPr>
      <w:rPr>
        <w:rFonts w:hint="eastAsia"/>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5">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2"/>
  </w:num>
  <w:num w:numId="3">
    <w:abstractNumId w:val="9"/>
  </w:num>
  <w:num w:numId="4">
    <w:abstractNumId w:val="28"/>
  </w:num>
  <w:num w:numId="5">
    <w:abstractNumId w:val="23"/>
  </w:num>
  <w:num w:numId="6">
    <w:abstractNumId w:val="18"/>
  </w:num>
  <w:num w:numId="7">
    <w:abstractNumId w:val="12"/>
  </w:num>
  <w:num w:numId="8">
    <w:abstractNumId w:val="7"/>
  </w:num>
  <w:num w:numId="9">
    <w:abstractNumId w:val="13"/>
  </w:num>
  <w:num w:numId="10">
    <w:abstractNumId w:val="21"/>
  </w:num>
  <w:num w:numId="11">
    <w:abstractNumId w:val="30"/>
  </w:num>
  <w:num w:numId="12">
    <w:abstractNumId w:val="16"/>
  </w:num>
  <w:num w:numId="13">
    <w:abstractNumId w:val="17"/>
  </w:num>
  <w:num w:numId="14">
    <w:abstractNumId w:val="11"/>
  </w:num>
  <w:num w:numId="15">
    <w:abstractNumId w:val="24"/>
  </w:num>
  <w:num w:numId="16">
    <w:abstractNumId w:val="26"/>
  </w:num>
  <w:num w:numId="17">
    <w:abstractNumId w:val="22"/>
  </w:num>
  <w:num w:numId="18">
    <w:abstractNumId w:val="34"/>
  </w:num>
  <w:num w:numId="19">
    <w:abstractNumId w:val="20"/>
  </w:num>
  <w:num w:numId="20">
    <w:abstractNumId w:val="5"/>
  </w:num>
  <w:num w:numId="21">
    <w:abstractNumId w:val="15"/>
  </w:num>
  <w:num w:numId="22">
    <w:abstractNumId w:val="35"/>
  </w:num>
  <w:num w:numId="23">
    <w:abstractNumId w:val="25"/>
  </w:num>
  <w:num w:numId="24">
    <w:abstractNumId w:val="10"/>
  </w:num>
  <w:num w:numId="25">
    <w:abstractNumId w:val="31"/>
  </w:num>
  <w:num w:numId="26">
    <w:abstractNumId w:val="33"/>
  </w:num>
  <w:num w:numId="27">
    <w:abstractNumId w:val="6"/>
  </w:num>
  <w:num w:numId="28">
    <w:abstractNumId w:val="8"/>
  </w:num>
  <w:num w:numId="29">
    <w:abstractNumId w:val="19"/>
  </w:num>
  <w:num w:numId="30">
    <w:abstractNumId w:val="29"/>
  </w:num>
  <w:num w:numId="31">
    <w:abstractNumId w:val="27"/>
  </w:num>
  <w:num w:numId="32">
    <w:abstractNumId w:val="2"/>
  </w:num>
  <w:num w:numId="33">
    <w:abstractNumId w:val="1"/>
  </w:num>
  <w:num w:numId="34">
    <w:abstractNumId w:val="0"/>
  </w:num>
  <w:num w:numId="35">
    <w:abstractNumId w:val="3"/>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20F"/>
    <w:rsid w:val="0004249A"/>
    <w:rsid w:val="00043282"/>
    <w:rsid w:val="00044286"/>
    <w:rsid w:val="000475B0"/>
    <w:rsid w:val="00047F28"/>
    <w:rsid w:val="000503AA"/>
    <w:rsid w:val="000506A1"/>
    <w:rsid w:val="000515DD"/>
    <w:rsid w:val="00051708"/>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C55"/>
    <w:rsid w:val="000C2FBD"/>
    <w:rsid w:val="000C4B41"/>
    <w:rsid w:val="000C57D6"/>
    <w:rsid w:val="000C59ED"/>
    <w:rsid w:val="000C6362"/>
    <w:rsid w:val="000C7666"/>
    <w:rsid w:val="000D0A9C"/>
    <w:rsid w:val="000D1795"/>
    <w:rsid w:val="000D329A"/>
    <w:rsid w:val="000D4B9C"/>
    <w:rsid w:val="000D4EB6"/>
    <w:rsid w:val="000D753B"/>
    <w:rsid w:val="000E0898"/>
    <w:rsid w:val="000E4C9E"/>
    <w:rsid w:val="000E6FD7"/>
    <w:rsid w:val="000E7144"/>
    <w:rsid w:val="000F06E1"/>
    <w:rsid w:val="000F0E3C"/>
    <w:rsid w:val="000F19D5"/>
    <w:rsid w:val="000F4050"/>
    <w:rsid w:val="000F4AEA"/>
    <w:rsid w:val="000F580D"/>
    <w:rsid w:val="000F67E9"/>
    <w:rsid w:val="00104926"/>
    <w:rsid w:val="00113B1E"/>
    <w:rsid w:val="0011711C"/>
    <w:rsid w:val="00124E4F"/>
    <w:rsid w:val="00125E99"/>
    <w:rsid w:val="001260B7"/>
    <w:rsid w:val="001265CB"/>
    <w:rsid w:val="001276C8"/>
    <w:rsid w:val="001321C6"/>
    <w:rsid w:val="001325C4"/>
    <w:rsid w:val="00133010"/>
    <w:rsid w:val="001338EE"/>
    <w:rsid w:val="00133AAE"/>
    <w:rsid w:val="001351A2"/>
    <w:rsid w:val="00135323"/>
    <w:rsid w:val="001356C4"/>
    <w:rsid w:val="00136FAE"/>
    <w:rsid w:val="00137565"/>
    <w:rsid w:val="00141114"/>
    <w:rsid w:val="00142969"/>
    <w:rsid w:val="001446C2"/>
    <w:rsid w:val="001457E7"/>
    <w:rsid w:val="00145D9D"/>
    <w:rsid w:val="00146388"/>
    <w:rsid w:val="001529E5"/>
    <w:rsid w:val="00152FB3"/>
    <w:rsid w:val="00153C7E"/>
    <w:rsid w:val="0015408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76F"/>
    <w:rsid w:val="00176DFD"/>
    <w:rsid w:val="001852C9"/>
    <w:rsid w:val="00186DBC"/>
    <w:rsid w:val="00187A0B"/>
    <w:rsid w:val="00190087"/>
    <w:rsid w:val="001913C4"/>
    <w:rsid w:val="0019348F"/>
    <w:rsid w:val="00193A07"/>
    <w:rsid w:val="00194C95"/>
    <w:rsid w:val="00195C34"/>
    <w:rsid w:val="00196EF5"/>
    <w:rsid w:val="001975F4"/>
    <w:rsid w:val="001A1A53"/>
    <w:rsid w:val="001A234A"/>
    <w:rsid w:val="001A4CF3"/>
    <w:rsid w:val="001A6696"/>
    <w:rsid w:val="001B06E8"/>
    <w:rsid w:val="001B199F"/>
    <w:rsid w:val="001B2583"/>
    <w:rsid w:val="001B522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2E86"/>
    <w:rsid w:val="001D411C"/>
    <w:rsid w:val="001D463C"/>
    <w:rsid w:val="001E1B6A"/>
    <w:rsid w:val="001E2484"/>
    <w:rsid w:val="001E3CC4"/>
    <w:rsid w:val="001E3CF2"/>
    <w:rsid w:val="001E4882"/>
    <w:rsid w:val="001E73AB"/>
    <w:rsid w:val="001F042E"/>
    <w:rsid w:val="001F092D"/>
    <w:rsid w:val="001F143A"/>
    <w:rsid w:val="001F1605"/>
    <w:rsid w:val="001F2508"/>
    <w:rsid w:val="001F4816"/>
    <w:rsid w:val="001F69B4"/>
    <w:rsid w:val="001F77C7"/>
    <w:rsid w:val="001F7ED2"/>
    <w:rsid w:val="00200183"/>
    <w:rsid w:val="00200333"/>
    <w:rsid w:val="0020107D"/>
    <w:rsid w:val="00202AA4"/>
    <w:rsid w:val="002031F7"/>
    <w:rsid w:val="002040E6"/>
    <w:rsid w:val="0020527B"/>
    <w:rsid w:val="00205F2C"/>
    <w:rsid w:val="00206780"/>
    <w:rsid w:val="00210B15"/>
    <w:rsid w:val="00213505"/>
    <w:rsid w:val="002142EA"/>
    <w:rsid w:val="00215ADD"/>
    <w:rsid w:val="002204BB"/>
    <w:rsid w:val="00221B79"/>
    <w:rsid w:val="00221C6B"/>
    <w:rsid w:val="002253A1"/>
    <w:rsid w:val="00225CF8"/>
    <w:rsid w:val="0022794E"/>
    <w:rsid w:val="00233D64"/>
    <w:rsid w:val="00234737"/>
    <w:rsid w:val="0023482A"/>
    <w:rsid w:val="002359CB"/>
    <w:rsid w:val="00243540"/>
    <w:rsid w:val="002441E4"/>
    <w:rsid w:val="0024497B"/>
    <w:rsid w:val="0024515B"/>
    <w:rsid w:val="00246021"/>
    <w:rsid w:val="0024666E"/>
    <w:rsid w:val="00247F52"/>
    <w:rsid w:val="00250573"/>
    <w:rsid w:val="00250B25"/>
    <w:rsid w:val="00250BBE"/>
    <w:rsid w:val="002515C2"/>
    <w:rsid w:val="0025194F"/>
    <w:rsid w:val="00252D3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065"/>
    <w:rsid w:val="002B1966"/>
    <w:rsid w:val="002B4508"/>
    <w:rsid w:val="002B5779"/>
    <w:rsid w:val="002B5D91"/>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8CE"/>
    <w:rsid w:val="002F30E0"/>
    <w:rsid w:val="002F35E4"/>
    <w:rsid w:val="002F3730"/>
    <w:rsid w:val="002F38E1"/>
    <w:rsid w:val="002F7AF6"/>
    <w:rsid w:val="00300E63"/>
    <w:rsid w:val="00302F5F"/>
    <w:rsid w:val="0030441D"/>
    <w:rsid w:val="00306063"/>
    <w:rsid w:val="00307B09"/>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BE3"/>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4A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C69"/>
    <w:rsid w:val="00432DAA"/>
    <w:rsid w:val="00434305"/>
    <w:rsid w:val="00435DF7"/>
    <w:rsid w:val="0043741A"/>
    <w:rsid w:val="0044083F"/>
    <w:rsid w:val="00441AE7"/>
    <w:rsid w:val="00445574"/>
    <w:rsid w:val="004467FB"/>
    <w:rsid w:val="00452D6B"/>
    <w:rsid w:val="00454484"/>
    <w:rsid w:val="0045517B"/>
    <w:rsid w:val="00462899"/>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6B0"/>
    <w:rsid w:val="00492F02"/>
    <w:rsid w:val="004939AE"/>
    <w:rsid w:val="004A12DF"/>
    <w:rsid w:val="004A1BA8"/>
    <w:rsid w:val="004A2A07"/>
    <w:rsid w:val="004A4B57"/>
    <w:rsid w:val="004A63FA"/>
    <w:rsid w:val="004A6A3D"/>
    <w:rsid w:val="004B0272"/>
    <w:rsid w:val="004B2701"/>
    <w:rsid w:val="004B2E1B"/>
    <w:rsid w:val="004B3AA8"/>
    <w:rsid w:val="004B3E93"/>
    <w:rsid w:val="004C1FBC"/>
    <w:rsid w:val="004C25A2"/>
    <w:rsid w:val="004C3F1D"/>
    <w:rsid w:val="004C458D"/>
    <w:rsid w:val="004C6D96"/>
    <w:rsid w:val="004C7556"/>
    <w:rsid w:val="004C7E8B"/>
    <w:rsid w:val="004C7E9D"/>
    <w:rsid w:val="004C7F67"/>
    <w:rsid w:val="004D076D"/>
    <w:rsid w:val="004D0EF1"/>
    <w:rsid w:val="004D2253"/>
    <w:rsid w:val="004D2E40"/>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E3C"/>
    <w:rsid w:val="005220EC"/>
    <w:rsid w:val="00523F95"/>
    <w:rsid w:val="00524D65"/>
    <w:rsid w:val="00525B16"/>
    <w:rsid w:val="00533D04"/>
    <w:rsid w:val="005341E2"/>
    <w:rsid w:val="00534804"/>
    <w:rsid w:val="00534BDF"/>
    <w:rsid w:val="005354EA"/>
    <w:rsid w:val="0053585F"/>
    <w:rsid w:val="00535EC4"/>
    <w:rsid w:val="00535ED9"/>
    <w:rsid w:val="0053692B"/>
    <w:rsid w:val="00536A2C"/>
    <w:rsid w:val="00541853"/>
    <w:rsid w:val="00543BDA"/>
    <w:rsid w:val="005441CC"/>
    <w:rsid w:val="0054536F"/>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09"/>
    <w:rsid w:val="00584262"/>
    <w:rsid w:val="00586630"/>
    <w:rsid w:val="00587ADD"/>
    <w:rsid w:val="00591E7E"/>
    <w:rsid w:val="00593A49"/>
    <w:rsid w:val="00596160"/>
    <w:rsid w:val="005966E2"/>
    <w:rsid w:val="00597007"/>
    <w:rsid w:val="005A0966"/>
    <w:rsid w:val="005A11B7"/>
    <w:rsid w:val="005A260B"/>
    <w:rsid w:val="005A4A1B"/>
    <w:rsid w:val="005A4D00"/>
    <w:rsid w:val="005A777F"/>
    <w:rsid w:val="005A7830"/>
    <w:rsid w:val="005A7FCE"/>
    <w:rsid w:val="005B0F3F"/>
    <w:rsid w:val="005B191C"/>
    <w:rsid w:val="005B4903"/>
    <w:rsid w:val="005B4D70"/>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3CCD"/>
    <w:rsid w:val="005E4250"/>
    <w:rsid w:val="005E6812"/>
    <w:rsid w:val="005E7881"/>
    <w:rsid w:val="005E78E0"/>
    <w:rsid w:val="005F0D9C"/>
    <w:rsid w:val="005F284E"/>
    <w:rsid w:val="005F7436"/>
    <w:rsid w:val="0060086A"/>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3C4"/>
    <w:rsid w:val="00651ACB"/>
    <w:rsid w:val="00651C47"/>
    <w:rsid w:val="00652AB2"/>
    <w:rsid w:val="00653FED"/>
    <w:rsid w:val="00654EC0"/>
    <w:rsid w:val="0065525B"/>
    <w:rsid w:val="00655D4F"/>
    <w:rsid w:val="00656D29"/>
    <w:rsid w:val="006640E5"/>
    <w:rsid w:val="006646F1"/>
    <w:rsid w:val="00664929"/>
    <w:rsid w:val="00664F62"/>
    <w:rsid w:val="006655E1"/>
    <w:rsid w:val="006666C9"/>
    <w:rsid w:val="00672060"/>
    <w:rsid w:val="00672BFD"/>
    <w:rsid w:val="006770F4"/>
    <w:rsid w:val="00677A84"/>
    <w:rsid w:val="0068026D"/>
    <w:rsid w:val="00680A27"/>
    <w:rsid w:val="006816A4"/>
    <w:rsid w:val="006819B8"/>
    <w:rsid w:val="00682DD2"/>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1FB4"/>
    <w:rsid w:val="006C2079"/>
    <w:rsid w:val="006C5A62"/>
    <w:rsid w:val="006C5D68"/>
    <w:rsid w:val="006C6976"/>
    <w:rsid w:val="006C6DD0"/>
    <w:rsid w:val="006D04EA"/>
    <w:rsid w:val="006D16C4"/>
    <w:rsid w:val="006D3E96"/>
    <w:rsid w:val="006D4515"/>
    <w:rsid w:val="006D4BB1"/>
    <w:rsid w:val="006D6593"/>
    <w:rsid w:val="006D7C65"/>
    <w:rsid w:val="006F03A8"/>
    <w:rsid w:val="006F1259"/>
    <w:rsid w:val="006F2ACA"/>
    <w:rsid w:val="006F2ADC"/>
    <w:rsid w:val="006F2BFE"/>
    <w:rsid w:val="006F31E9"/>
    <w:rsid w:val="006F6284"/>
    <w:rsid w:val="007002C5"/>
    <w:rsid w:val="00704387"/>
    <w:rsid w:val="00707669"/>
    <w:rsid w:val="00711CBA"/>
    <w:rsid w:val="00711FB5"/>
    <w:rsid w:val="00712A01"/>
    <w:rsid w:val="00714F58"/>
    <w:rsid w:val="0072137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F31"/>
    <w:rsid w:val="007501A8"/>
    <w:rsid w:val="00750D61"/>
    <w:rsid w:val="00750EE1"/>
    <w:rsid w:val="00752B4D"/>
    <w:rsid w:val="0075391F"/>
    <w:rsid w:val="00755402"/>
    <w:rsid w:val="00756B26"/>
    <w:rsid w:val="00756EDF"/>
    <w:rsid w:val="007600E3"/>
    <w:rsid w:val="00765C43"/>
    <w:rsid w:val="00765EFB"/>
    <w:rsid w:val="007671CA"/>
    <w:rsid w:val="00767AE5"/>
    <w:rsid w:val="00767C61"/>
    <w:rsid w:val="00767DC2"/>
    <w:rsid w:val="0077008A"/>
    <w:rsid w:val="00773738"/>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6D7"/>
    <w:rsid w:val="007A6FD9"/>
    <w:rsid w:val="007A7FFA"/>
    <w:rsid w:val="007B04EB"/>
    <w:rsid w:val="007B0D4F"/>
    <w:rsid w:val="007B5A3D"/>
    <w:rsid w:val="007B5B95"/>
    <w:rsid w:val="007B6032"/>
    <w:rsid w:val="007B68EA"/>
    <w:rsid w:val="007B7453"/>
    <w:rsid w:val="007C2D89"/>
    <w:rsid w:val="007C4593"/>
    <w:rsid w:val="007C5309"/>
    <w:rsid w:val="007C6069"/>
    <w:rsid w:val="007D0302"/>
    <w:rsid w:val="007D06C4"/>
    <w:rsid w:val="007D1352"/>
    <w:rsid w:val="007D2508"/>
    <w:rsid w:val="007D346A"/>
    <w:rsid w:val="007D6518"/>
    <w:rsid w:val="007D707E"/>
    <w:rsid w:val="007D744E"/>
    <w:rsid w:val="007D76BD"/>
    <w:rsid w:val="007E0BF1"/>
    <w:rsid w:val="007E71B5"/>
    <w:rsid w:val="007F0ED8"/>
    <w:rsid w:val="007F0F63"/>
    <w:rsid w:val="007F3B02"/>
    <w:rsid w:val="007F75CE"/>
    <w:rsid w:val="008013A4"/>
    <w:rsid w:val="008015ED"/>
    <w:rsid w:val="008027CE"/>
    <w:rsid w:val="00802F42"/>
    <w:rsid w:val="00804383"/>
    <w:rsid w:val="0080459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507"/>
    <w:rsid w:val="00830621"/>
    <w:rsid w:val="0083348C"/>
    <w:rsid w:val="008373D3"/>
    <w:rsid w:val="00837667"/>
    <w:rsid w:val="00840617"/>
    <w:rsid w:val="00840F84"/>
    <w:rsid w:val="00842A47"/>
    <w:rsid w:val="00843C13"/>
    <w:rsid w:val="00843DEF"/>
    <w:rsid w:val="008454F8"/>
    <w:rsid w:val="0085173A"/>
    <w:rsid w:val="00853133"/>
    <w:rsid w:val="00854ED6"/>
    <w:rsid w:val="008603CE"/>
    <w:rsid w:val="008620FC"/>
    <w:rsid w:val="008627A5"/>
    <w:rsid w:val="00863E05"/>
    <w:rsid w:val="00865ACA"/>
    <w:rsid w:val="00865D28"/>
    <w:rsid w:val="00865F85"/>
    <w:rsid w:val="00867C10"/>
    <w:rsid w:val="00870439"/>
    <w:rsid w:val="00870DA1"/>
    <w:rsid w:val="00876C2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ACC"/>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D0E"/>
    <w:rsid w:val="008D2D1D"/>
    <w:rsid w:val="008D32AB"/>
    <w:rsid w:val="008D453D"/>
    <w:rsid w:val="008D5258"/>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394"/>
    <w:rsid w:val="008F17A3"/>
    <w:rsid w:val="008F1E6F"/>
    <w:rsid w:val="008F1ED3"/>
    <w:rsid w:val="008F4C29"/>
    <w:rsid w:val="008F70BD"/>
    <w:rsid w:val="008F788F"/>
    <w:rsid w:val="008F7EA2"/>
    <w:rsid w:val="00902722"/>
    <w:rsid w:val="009027BC"/>
    <w:rsid w:val="009062E6"/>
    <w:rsid w:val="00911BE5"/>
    <w:rsid w:val="0091367D"/>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887"/>
    <w:rsid w:val="00945180"/>
    <w:rsid w:val="00945428"/>
    <w:rsid w:val="0094607B"/>
    <w:rsid w:val="00953604"/>
    <w:rsid w:val="0095496B"/>
    <w:rsid w:val="00960CE5"/>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F86"/>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88C"/>
    <w:rsid w:val="00A30EFC"/>
    <w:rsid w:val="00A31984"/>
    <w:rsid w:val="00A32D73"/>
    <w:rsid w:val="00A3367B"/>
    <w:rsid w:val="00A33C67"/>
    <w:rsid w:val="00A34E6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833"/>
    <w:rsid w:val="00AE070A"/>
    <w:rsid w:val="00AE101C"/>
    <w:rsid w:val="00AE2A69"/>
    <w:rsid w:val="00AE37E5"/>
    <w:rsid w:val="00AE5EB4"/>
    <w:rsid w:val="00AF0C18"/>
    <w:rsid w:val="00AF47C5"/>
    <w:rsid w:val="00AF5398"/>
    <w:rsid w:val="00AF7C9C"/>
    <w:rsid w:val="00B049AF"/>
    <w:rsid w:val="00B07242"/>
    <w:rsid w:val="00B10534"/>
    <w:rsid w:val="00B113DB"/>
    <w:rsid w:val="00B11D8A"/>
    <w:rsid w:val="00B12981"/>
    <w:rsid w:val="00B147DD"/>
    <w:rsid w:val="00B156FD"/>
    <w:rsid w:val="00B20F33"/>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9DB"/>
    <w:rsid w:val="00B96D40"/>
    <w:rsid w:val="00B97386"/>
    <w:rsid w:val="00BA263B"/>
    <w:rsid w:val="00BA42B2"/>
    <w:rsid w:val="00BA58D4"/>
    <w:rsid w:val="00BA5B9E"/>
    <w:rsid w:val="00BA7C9A"/>
    <w:rsid w:val="00BB5F8F"/>
    <w:rsid w:val="00BB657A"/>
    <w:rsid w:val="00BB7CD9"/>
    <w:rsid w:val="00BC1A4E"/>
    <w:rsid w:val="00BC5DC7"/>
    <w:rsid w:val="00BC6B8B"/>
    <w:rsid w:val="00BC73D8"/>
    <w:rsid w:val="00BD52D7"/>
    <w:rsid w:val="00BD5AD2"/>
    <w:rsid w:val="00BD6214"/>
    <w:rsid w:val="00BE22F3"/>
    <w:rsid w:val="00BE5B52"/>
    <w:rsid w:val="00BE7B8D"/>
    <w:rsid w:val="00BF0993"/>
    <w:rsid w:val="00BF10A9"/>
    <w:rsid w:val="00BF1703"/>
    <w:rsid w:val="00BF19D7"/>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232"/>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E98"/>
    <w:rsid w:val="00C76847"/>
    <w:rsid w:val="00C80CB8"/>
    <w:rsid w:val="00C819F8"/>
    <w:rsid w:val="00C8248C"/>
    <w:rsid w:val="00C84E33"/>
    <w:rsid w:val="00C86919"/>
    <w:rsid w:val="00C86D6F"/>
    <w:rsid w:val="00C90159"/>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DC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24C"/>
    <w:rsid w:val="00CE0C4F"/>
    <w:rsid w:val="00CE2812"/>
    <w:rsid w:val="00CE30EA"/>
    <w:rsid w:val="00CE612A"/>
    <w:rsid w:val="00CF048A"/>
    <w:rsid w:val="00CF155A"/>
    <w:rsid w:val="00CF2947"/>
    <w:rsid w:val="00CF2DDD"/>
    <w:rsid w:val="00CF686F"/>
    <w:rsid w:val="00CF6E60"/>
    <w:rsid w:val="00CF7BCA"/>
    <w:rsid w:val="00D008FD"/>
    <w:rsid w:val="00D0321C"/>
    <w:rsid w:val="00D035EC"/>
    <w:rsid w:val="00D05E38"/>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C05"/>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D0B"/>
    <w:rsid w:val="00D97F99"/>
    <w:rsid w:val="00DA036F"/>
    <w:rsid w:val="00DA117A"/>
    <w:rsid w:val="00DA1E08"/>
    <w:rsid w:val="00DA2272"/>
    <w:rsid w:val="00DA24F8"/>
    <w:rsid w:val="00DA28E8"/>
    <w:rsid w:val="00DA38D3"/>
    <w:rsid w:val="00DA3932"/>
    <w:rsid w:val="00DA3AFC"/>
    <w:rsid w:val="00DA64F8"/>
    <w:rsid w:val="00DA6C15"/>
    <w:rsid w:val="00DB0258"/>
    <w:rsid w:val="00DB38EE"/>
    <w:rsid w:val="00DB498B"/>
    <w:rsid w:val="00DB4F61"/>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662"/>
    <w:rsid w:val="00E44A83"/>
    <w:rsid w:val="00E502C1"/>
    <w:rsid w:val="00E502DD"/>
    <w:rsid w:val="00E50D3A"/>
    <w:rsid w:val="00E51387"/>
    <w:rsid w:val="00E51E68"/>
    <w:rsid w:val="00E52EFD"/>
    <w:rsid w:val="00E5408A"/>
    <w:rsid w:val="00E54EB7"/>
    <w:rsid w:val="00E56800"/>
    <w:rsid w:val="00E60C63"/>
    <w:rsid w:val="00E62FF9"/>
    <w:rsid w:val="00E635D6"/>
    <w:rsid w:val="00E639BC"/>
    <w:rsid w:val="00E664CC"/>
    <w:rsid w:val="00E70388"/>
    <w:rsid w:val="00E70F92"/>
    <w:rsid w:val="00E73383"/>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38AA"/>
    <w:rsid w:val="00EA58D1"/>
    <w:rsid w:val="00EA61BC"/>
    <w:rsid w:val="00EA681A"/>
    <w:rsid w:val="00EA735B"/>
    <w:rsid w:val="00EB1E69"/>
    <w:rsid w:val="00EB2086"/>
    <w:rsid w:val="00EB31ED"/>
    <w:rsid w:val="00EB5D49"/>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FC1"/>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18E"/>
    <w:rsid w:val="00F6194E"/>
    <w:rsid w:val="00F623AC"/>
    <w:rsid w:val="00F6412A"/>
    <w:rsid w:val="00F65893"/>
    <w:rsid w:val="00F66A4A"/>
    <w:rsid w:val="00F71E22"/>
    <w:rsid w:val="00F72142"/>
    <w:rsid w:val="00F72AE7"/>
    <w:rsid w:val="00F742B5"/>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052"/>
    <w:rsid w:val="00FC2CB7"/>
    <w:rsid w:val="00FC4090"/>
    <w:rsid w:val="00FC55B4"/>
    <w:rsid w:val="00FD00E6"/>
    <w:rsid w:val="00FD09A1"/>
    <w:rsid w:val="00FD2A7C"/>
    <w:rsid w:val="00FD59EB"/>
    <w:rsid w:val="00FD7299"/>
    <w:rsid w:val="00FD7817"/>
    <w:rsid w:val="00FE1FBE"/>
    <w:rsid w:val="00FE3901"/>
    <w:rsid w:val="00FE39D3"/>
    <w:rsid w:val="00FE4BCE"/>
    <w:rsid w:val="00FE54AE"/>
    <w:rsid w:val="00FE576A"/>
    <w:rsid w:val="00FE7E79"/>
    <w:rsid w:val="00FF3E7D"/>
    <w:rsid w:val="00FF5B99"/>
    <w:rsid w:val="00FF730C"/>
    <w:rsid w:val="00FF73F4"/>
    <w:rsid w:val="00FF7CE4"/>
    <w:rsid w:val="00FF7E39"/>
    <w:rsid w:val="03B86720"/>
    <w:rsid w:val="05382725"/>
    <w:rsid w:val="05D074CB"/>
    <w:rsid w:val="06F85085"/>
    <w:rsid w:val="077C5CB6"/>
    <w:rsid w:val="08A56468"/>
    <w:rsid w:val="0DEF71E2"/>
    <w:rsid w:val="103E7FAD"/>
    <w:rsid w:val="13250FB0"/>
    <w:rsid w:val="1881498A"/>
    <w:rsid w:val="18EF453A"/>
    <w:rsid w:val="1A4E34E2"/>
    <w:rsid w:val="1ABE03F7"/>
    <w:rsid w:val="1CF30371"/>
    <w:rsid w:val="1E4415BE"/>
    <w:rsid w:val="242016DC"/>
    <w:rsid w:val="27181100"/>
    <w:rsid w:val="2AAA4765"/>
    <w:rsid w:val="2BF33EE9"/>
    <w:rsid w:val="2F3F0435"/>
    <w:rsid w:val="321150C9"/>
    <w:rsid w:val="36C44737"/>
    <w:rsid w:val="37584ED6"/>
    <w:rsid w:val="390241D9"/>
    <w:rsid w:val="398F0AF9"/>
    <w:rsid w:val="3D954E00"/>
    <w:rsid w:val="3DFB23C2"/>
    <w:rsid w:val="3E274FD0"/>
    <w:rsid w:val="3F3D5750"/>
    <w:rsid w:val="3FFFB53F"/>
    <w:rsid w:val="45FC6E1E"/>
    <w:rsid w:val="47AC3472"/>
    <w:rsid w:val="4D61085B"/>
    <w:rsid w:val="4F4B17C3"/>
    <w:rsid w:val="51BC54FE"/>
    <w:rsid w:val="559DEF63"/>
    <w:rsid w:val="587A0A23"/>
    <w:rsid w:val="58CB5722"/>
    <w:rsid w:val="5BAD60D0"/>
    <w:rsid w:val="5BFFB69B"/>
    <w:rsid w:val="5F3FBBB6"/>
    <w:rsid w:val="5FB7FFA4"/>
    <w:rsid w:val="65C037D1"/>
    <w:rsid w:val="66944795"/>
    <w:rsid w:val="66E113EF"/>
    <w:rsid w:val="689A6F83"/>
    <w:rsid w:val="6FBDAD60"/>
    <w:rsid w:val="70910BA8"/>
    <w:rsid w:val="71335725"/>
    <w:rsid w:val="75613480"/>
    <w:rsid w:val="764D231B"/>
    <w:rsid w:val="76C27D0D"/>
    <w:rsid w:val="772E7150"/>
    <w:rsid w:val="77BE18EC"/>
    <w:rsid w:val="7B401DC3"/>
    <w:rsid w:val="7BFB7DDE"/>
    <w:rsid w:val="7EF669A5"/>
    <w:rsid w:val="EB9FD52E"/>
    <w:rsid w:val="FA5A188C"/>
    <w:rsid w:val="FFFDE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Autospacing="1" w:afterAutospacing="1"/>
      <w:jc w:val="left"/>
    </w:pPr>
    <w:rPr>
      <w:kern w:val="0"/>
      <w:sz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0"/>
    <w:semiHidden/>
    <w:unhideWhenUsed/>
    <w:qFormat/>
    <w:uiPriority w:val="99"/>
    <w:rPr>
      <w:b/>
      <w:bCs/>
    </w:rPr>
  </w:style>
  <w:style w:type="table" w:styleId="30">
    <w:name w:val="Table Grid"/>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字符"/>
    <w:basedOn w:val="31"/>
    <w:link w:val="13"/>
    <w:qFormat/>
    <w:uiPriority w:val="99"/>
    <w:rPr>
      <w:kern w:val="2"/>
      <w:sz w:val="21"/>
      <w:szCs w:val="21"/>
    </w:rPr>
  </w:style>
  <w:style w:type="table" w:customStyle="1" w:styleId="235">
    <w:name w:val="网格型1"/>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网格型2"/>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网格型3"/>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网格型11"/>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网格型21"/>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批注主题 字符"/>
    <w:basedOn w:val="234"/>
    <w:link w:val="28"/>
    <w:semiHidden/>
    <w:qFormat/>
    <w:uiPriority w:val="99"/>
    <w:rPr>
      <w:b/>
      <w:bCs/>
      <w:kern w:val="2"/>
      <w:sz w:val="21"/>
      <w:szCs w:val="21"/>
    </w:rPr>
  </w:style>
  <w:style w:type="paragraph" w:customStyle="1" w:styleId="241">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2" Type="http://schemas.openxmlformats.org/officeDocument/2006/relationships/glossaryDocument" Target="glossary/document.xml"/><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4.jpeg"/><Relationship Id="rId46" Type="http://schemas.openxmlformats.org/officeDocument/2006/relationships/image" Target="media/image3.png"/><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56707AEC9D544A6B89F3DA0CF0DABC4"/>
        <w:style w:val=""/>
        <w:category>
          <w:name w:val="常规"/>
          <w:gallery w:val="placeholder"/>
        </w:category>
        <w:types>
          <w:type w:val="bbPlcHdr"/>
        </w:types>
        <w:behaviors>
          <w:behavior w:val="content"/>
        </w:behaviors>
        <w:description w:val=""/>
        <w:guid w:val="{27798F85-DA21-408A-9592-80F46CDA4BD5}"/>
      </w:docPartPr>
      <w:docPartBody>
        <w:p w14:paraId="51794BDC">
          <w:pPr>
            <w:pStyle w:val="5"/>
          </w:pPr>
          <w:r>
            <w:rPr>
              <w:rStyle w:val="4"/>
              <w:rFonts w:hint="eastAsia"/>
            </w:rPr>
            <w:t>单击或点击此处输入文字。</w:t>
          </w:r>
        </w:p>
      </w:docPartBody>
    </w:docPart>
    <w:docPart>
      <w:docPartPr>
        <w:name w:val="{ed41a2f2-f661-4030-904d-87271a08d561}"/>
        <w:style w:val=""/>
        <w:category>
          <w:name w:val="常规"/>
          <w:gallery w:val="placeholder"/>
        </w:category>
        <w:types>
          <w:type w:val="bbPlcHdr"/>
        </w:types>
        <w:behaviors>
          <w:behavior w:val="content"/>
        </w:behaviors>
        <w:description w:val=""/>
        <w:guid w:val="{ed41a2f2-f661-4030-904d-87271a08d561}"/>
      </w:docPartPr>
      <w:docPartBody>
        <w:p w14:paraId="7C479E1A">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9A"/>
    <w:rsid w:val="00052966"/>
    <w:rsid w:val="000C0333"/>
    <w:rsid w:val="001B2583"/>
    <w:rsid w:val="0021062D"/>
    <w:rsid w:val="00315980"/>
    <w:rsid w:val="00324DFE"/>
    <w:rsid w:val="0046549C"/>
    <w:rsid w:val="004F3DFA"/>
    <w:rsid w:val="005562C2"/>
    <w:rsid w:val="0065419A"/>
    <w:rsid w:val="00767DC2"/>
    <w:rsid w:val="00901830"/>
    <w:rsid w:val="0091033F"/>
    <w:rsid w:val="00A919DA"/>
    <w:rsid w:val="00A92FA8"/>
    <w:rsid w:val="00B16A9D"/>
    <w:rsid w:val="00BE7BC4"/>
    <w:rsid w:val="00C3391F"/>
    <w:rsid w:val="00C37A99"/>
    <w:rsid w:val="00CC6F2E"/>
    <w:rsid w:val="00E73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56707AEC9D544A6B89F3DA0CF0DAB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C154DE5302C4D17A489904E3E19C9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0472AB8DC61460782A6525B2EA6F02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48A33B-8AC0-401E-AF5F-BB471C084265}">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23</Pages>
  <Words>7368</Words>
  <Characters>7849</Characters>
  <Lines>164</Lines>
  <Paragraphs>46</Paragraphs>
  <TotalTime>20</TotalTime>
  <ScaleCrop>false</ScaleCrop>
  <LinksUpToDate>false</LinksUpToDate>
  <CharactersWithSpaces>8063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2026-06-02T03:59:00Z</dcterms:created>
  <dc:creator>Administrator</dc:creator>
  <dc:description>&lt;config cover="true" show_menu="true" version="1.0.0" doctype="SDKXY"&gt;_x000d_
&lt;/config&gt;</dc:description>
  <cp:lastModifiedBy>微_风</cp:lastModifiedBy>
  <cp:lastPrinted>2026-06-08T03:18:00Z</cp:lastPrinted>
  <dcterms:modified xsi:type="dcterms:W3CDTF">2026-06-18T08:08:00Z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KSOTemplateDocerSaveRecord">
    <vt:lpwstr>eyJoZGlkIjoiMjE5YmNkYzkzNjNlZTVmMTAyZDFjZTY4NTUwNDljYjIiLCJ1c2VySWQiOiI1Njk3NjM5MDAifQ==</vt:lpwstr>
  </property>
  <property fmtid="{D5CDD505-2E9C-101B-9397-08002B2CF9AE}" pid="17" name="ICV">
    <vt:lpwstr>88B49CDC1D3F419381786D4F5202F3DB_13</vt:lpwstr>
  </property>
</Properties>
</file>