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3A9E3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5E4D54D">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6D7A9EA">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6</w:t>
            </w:r>
            <w:r>
              <w:rPr>
                <w:rFonts w:hint="eastAsia" w:ascii="黑体" w:hAnsi="黑体" w:eastAsia="黑体"/>
                <w:sz w:val="21"/>
                <w:szCs w:val="21"/>
                <w:lang w:val="en-US" w:eastAsia="zh-CN"/>
              </w:rPr>
              <w:t>5.020</w:t>
            </w:r>
            <w:r>
              <w:rPr>
                <w:rFonts w:ascii="黑体" w:hAnsi="黑体" w:eastAsia="黑体"/>
                <w:sz w:val="21"/>
                <w:szCs w:val="21"/>
              </w:rPr>
              <w:fldChar w:fldCharType="end"/>
            </w:r>
            <w:bookmarkEnd w:id="0"/>
          </w:p>
        </w:tc>
      </w:tr>
      <w:tr w14:paraId="2CC4D4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3FD2570">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5D1DA70A">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01921AE0">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lang w:eastAsia="zh-CN"/>
                    </w:rPr>
                    <w:t>G</w:t>
                  </w:r>
                  <w:r>
                    <w:rPr>
                      <w:rFonts w:hint="eastAsia"/>
                      <w:lang w:val="en-US" w:eastAsia="zh-CN"/>
                    </w:rPr>
                    <w:t>XAS</w:t>
                  </w:r>
                  <w:r>
                    <w:fldChar w:fldCharType="end"/>
                  </w:r>
                  <w:bookmarkEnd w:id="1"/>
                </w:p>
              </w:tc>
            </w:tr>
          </w:tbl>
          <w:p w14:paraId="559E1628">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38</w:t>
            </w:r>
            <w:r>
              <w:rPr>
                <w:rFonts w:ascii="黑体" w:hAnsi="黑体" w:eastAsia="黑体"/>
                <w:sz w:val="21"/>
                <w:szCs w:val="21"/>
              </w:rPr>
              <w:fldChar w:fldCharType="end"/>
            </w:r>
            <w:bookmarkEnd w:id="2"/>
          </w:p>
        </w:tc>
      </w:tr>
    </w:tbl>
    <w:p w14:paraId="161BCF4A">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43EC1316">
      <w:pPr>
        <w:pStyle w:val="195"/>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lang w:eastAsia="zh-CN"/>
        </w:rPr>
        <w:t>G</w:t>
      </w:r>
      <w:r>
        <w:rPr>
          <w:rFonts w:hint="eastAsia"/>
          <w:lang w:val="en-US" w:eastAsia="zh-CN"/>
        </w:rPr>
        <w:t>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14:paraId="52A51E97">
      <w:pPr>
        <w:pStyle w:val="196"/>
        <w:rPr>
          <w:rFonts w:hint="eastAsia"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7"/>
    </w:p>
    <w:p w14:paraId="23935A67">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6FFE932">
      <w:pPr>
        <w:pStyle w:val="50"/>
        <w:framePr w:w="9639" w:h="6976" w:hRule="exact" w:hSpace="0" w:vSpace="0" w:wrap="around" w:hAnchor="page" w:y="6408"/>
        <w:jc w:val="center"/>
        <w:rPr>
          <w:rFonts w:hint="eastAsia" w:ascii="黑体" w:hAnsi="黑体" w:eastAsia="黑体"/>
          <w:b w:val="0"/>
          <w:bCs w:val="0"/>
          <w:w w:val="100"/>
        </w:rPr>
      </w:pPr>
    </w:p>
    <w:p w14:paraId="02A223D2">
      <w:pPr>
        <w:pStyle w:val="197"/>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rPr>
          <w:rFonts w:hint="eastAsia"/>
        </w:rPr>
        <w:t>油茶林下岗梅种植技术规程</w:t>
      </w:r>
      <w:r>
        <w:fldChar w:fldCharType="end"/>
      </w:r>
      <w:bookmarkEnd w:id="8"/>
    </w:p>
    <w:p w14:paraId="2144DE0C">
      <w:pPr>
        <w:framePr w:w="9639" w:h="6974" w:hRule="exact" w:wrap="around" w:vAnchor="page" w:hAnchor="page" w:x="1419" w:y="6408" w:anchorLock="1"/>
        <w:ind w:left="-1418"/>
      </w:pPr>
    </w:p>
    <w:p w14:paraId="6A073306">
      <w:pPr>
        <w:pStyle w:val="125"/>
        <w:framePr w:w="9639" w:h="6974" w:hRule="exact" w:wrap="around" w:vAnchor="page" w:hAnchor="page" w:x="1419" w:y="6408" w:anchorLock="1"/>
        <w:textAlignment w:val="bottom"/>
        <w:rPr>
          <w:rFonts w:eastAsia="黑体"/>
          <w:szCs w:val="28"/>
        </w:rPr>
      </w:pPr>
      <w:r>
        <w:rPr>
          <w:rFonts w:hint="eastAsia" w:ascii="黑体" w:hAnsi="黑体" w:eastAsia="黑体" w:cs="黑体"/>
          <w:szCs w:val="28"/>
        </w:rPr>
        <w:fldChar w:fldCharType="begin">
          <w:ffData>
            <w:name w:val="ESTD_NAME"/>
            <w:enabled/>
            <w:calcOnExit w:val="0"/>
            <w:textInput>
              <w:default w:val="点击此处添加标准名称的英文译名"/>
            </w:textInput>
          </w:ffData>
        </w:fldChar>
      </w:r>
      <w:bookmarkStart w:id="9" w:name="ESTD_NAME"/>
      <w:r>
        <w:rPr>
          <w:rFonts w:hint="eastAsia" w:ascii="黑体" w:hAnsi="黑体" w:eastAsia="黑体" w:cs="黑体"/>
          <w:szCs w:val="28"/>
        </w:rPr>
        <w:instrText xml:space="preserve"> FORMTEXT </w:instrText>
      </w:r>
      <w:r>
        <w:rPr>
          <w:rFonts w:hint="eastAsia" w:ascii="黑体" w:hAnsi="黑体" w:eastAsia="黑体" w:cs="黑体"/>
          <w:szCs w:val="28"/>
        </w:rPr>
        <w:fldChar w:fldCharType="separate"/>
      </w:r>
      <w:r>
        <w:rPr>
          <w:rFonts w:hint="eastAsia" w:ascii="黑体" w:hAnsi="黑体" w:eastAsia="黑体" w:cs="黑体"/>
          <w:szCs w:val="28"/>
        </w:rPr>
        <w:t xml:space="preserve"> Technical Code of Practice for Ecological Interplanting of </w:t>
      </w:r>
      <w:r>
        <w:rPr>
          <w:rFonts w:hint="eastAsia" w:ascii="黑体" w:hAnsi="黑体" w:eastAsia="黑体" w:cs="黑体"/>
          <w:i/>
          <w:iCs/>
          <w:szCs w:val="28"/>
        </w:rPr>
        <w:t>Ilex asprella</w:t>
      </w:r>
      <w:r>
        <w:rPr>
          <w:rFonts w:hint="eastAsia" w:ascii="黑体" w:hAnsi="黑体" w:eastAsia="黑体" w:cs="黑体"/>
          <w:szCs w:val="28"/>
        </w:rPr>
        <w:t xml:space="preserve"> in </w:t>
      </w:r>
      <w:r>
        <w:rPr>
          <w:rFonts w:hint="eastAsia" w:ascii="黑体" w:hAnsi="黑体" w:eastAsia="黑体" w:cs="黑体"/>
          <w:i/>
          <w:iCs/>
          <w:szCs w:val="28"/>
        </w:rPr>
        <w:t>Camellia oleifera</w:t>
      </w:r>
      <w:r>
        <w:rPr>
          <w:rFonts w:hint="eastAsia" w:ascii="黑体" w:hAnsi="黑体" w:eastAsia="黑体" w:cs="黑体"/>
          <w:szCs w:val="28"/>
        </w:rPr>
        <w:t xml:space="preserve"> Plantation</w:t>
      </w:r>
      <w:r>
        <w:rPr>
          <w:rFonts w:hint="eastAsia" w:ascii="黑体" w:hAnsi="黑体" w:eastAsia="黑体" w:cs="黑体"/>
          <w:szCs w:val="28"/>
        </w:rPr>
        <w:fldChar w:fldCharType="end"/>
      </w:r>
      <w:bookmarkEnd w:id="9"/>
    </w:p>
    <w:p w14:paraId="313D54A8">
      <w:pPr>
        <w:framePr w:w="9639" w:h="6974" w:hRule="exact" w:wrap="around" w:vAnchor="page" w:hAnchor="page" w:x="1419" w:y="6408" w:anchorLock="1"/>
        <w:spacing w:line="760" w:lineRule="exact"/>
        <w:ind w:left="-1418"/>
      </w:pPr>
    </w:p>
    <w:p w14:paraId="18E584F4">
      <w:pPr>
        <w:pStyle w:val="125"/>
        <w:framePr w:w="9639" w:h="6974" w:hRule="exact" w:wrap="around" w:vAnchor="page" w:hAnchor="page" w:x="1419" w:y="6408" w:anchorLock="1"/>
        <w:textAlignment w:val="bottom"/>
        <w:rPr>
          <w:rFonts w:eastAsia="黑体"/>
          <w:szCs w:val="28"/>
        </w:rPr>
      </w:pPr>
    </w:p>
    <w:p w14:paraId="382A48E7">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fldChar w:fldCharType="separate"/>
      </w:r>
      <w:r>
        <w:rPr>
          <w:sz w:val="24"/>
          <w:szCs w:val="28"/>
        </w:rPr>
        <w:fldChar w:fldCharType="end"/>
      </w:r>
      <w:bookmarkEnd w:id="10"/>
    </w:p>
    <w:p w14:paraId="493B8B9A">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1"/>
    </w:p>
    <w:p w14:paraId="0C6769F1">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fldChar w:fldCharType="separate"/>
      </w:r>
      <w:r>
        <w:rPr>
          <w:b/>
          <w:sz w:val="21"/>
          <w:szCs w:val="28"/>
        </w:rPr>
        <w:fldChar w:fldCharType="end"/>
      </w:r>
      <w:bookmarkEnd w:id="12"/>
    </w:p>
    <w:p w14:paraId="7657F19A">
      <w:pPr>
        <w:pStyle w:val="19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rPr>
          <w:rFonts w:hint="eastAsia"/>
        </w:rPr>
        <w:t>发布</w:t>
      </w:r>
    </w:p>
    <w:p w14:paraId="26DCA3D9">
      <w:pPr>
        <w:pStyle w:val="19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实施</w:t>
      </w:r>
    </w:p>
    <w:p w14:paraId="79867BE4">
      <w:pPr>
        <w:pStyle w:val="151"/>
        <w:framePr w:h="584" w:hRule="exact" w:hSpace="181" w:vSpace="181" w:wrap="around" w:y="14800"/>
        <w:rPr>
          <w:rFonts w:hint="eastAsia"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广西标准化协会</w:t>
      </w:r>
      <w:r>
        <w:rPr>
          <w:rFonts w:hAnsi="黑体"/>
          <w:w w:val="100"/>
          <w:sz w:val="28"/>
        </w:rPr>
        <w:fldChar w:fldCharType="end"/>
      </w:r>
      <w:bookmarkEnd w:id="19"/>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374BE5A5">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2B70A971">
      <w:pPr>
        <w:pStyle w:val="91"/>
        <w:bidi w:val="0"/>
        <w:rPr>
          <w:rFonts w:hint="eastAsia"/>
          <w:lang w:eastAsia="zh-CN"/>
        </w:rPr>
      </w:pPr>
      <w:bookmarkStart w:id="20" w:name="BookMark1"/>
      <w:bookmarkStart w:id="21" w:name="_Toc23022"/>
      <w:r>
        <w:rPr>
          <w:rFonts w:hint="eastAsia"/>
          <w:spacing w:val="320"/>
          <w:lang w:eastAsia="zh-CN"/>
        </w:rPr>
        <w:t>目</w:t>
      </w:r>
      <w:r>
        <w:rPr>
          <w:rFonts w:hint="eastAsia"/>
          <w:lang w:eastAsia="zh-CN"/>
        </w:rPr>
        <w:t>次</w:t>
      </w:r>
    </w:p>
    <w:p w14:paraId="105A7A6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TOC \o "1-1" \h</w:instrText>
      </w:r>
      <w:r>
        <w:rPr>
          <w:rFonts w:hint="eastAsia"/>
          <w:spacing w:val="0"/>
          <w:lang w:eastAsia="zh-CN"/>
        </w:rPr>
        <w:fldChar w:fldCharType="separate"/>
      </w:r>
      <w:r>
        <w:rPr>
          <w:rFonts w:hint="eastAsia"/>
          <w:spacing w:val="0"/>
          <w:lang w:eastAsia="zh-CN"/>
        </w:rPr>
        <w:fldChar w:fldCharType="begin"/>
      </w:r>
      <w:r>
        <w:rPr>
          <w:rFonts w:hint="eastAsia"/>
          <w:spacing w:val="0"/>
          <w:lang w:eastAsia="zh-CN"/>
        </w:rPr>
        <w:instrText xml:space="preserve"> HYPERLINK \l _Toc4009 </w:instrText>
      </w:r>
      <w:r>
        <w:rPr>
          <w:rFonts w:hint="eastAsia"/>
          <w:spacing w:val="0"/>
          <w:lang w:eastAsia="zh-CN"/>
        </w:rPr>
        <w:fldChar w:fldCharType="separate"/>
      </w:r>
      <w:r>
        <w:rPr>
          <w:rFonts w:hint="eastAsia"/>
          <w:spacing w:val="0"/>
          <w:lang w:eastAsia="zh-CN"/>
        </w:rPr>
        <w:t>前言</w:t>
      </w:r>
      <w:r>
        <w:rPr>
          <w:spacing w:val="0"/>
        </w:rPr>
        <w:tab/>
      </w:r>
      <w:r>
        <w:rPr>
          <w:spacing w:val="0"/>
        </w:rPr>
        <w:fldChar w:fldCharType="begin"/>
      </w:r>
      <w:r>
        <w:rPr>
          <w:spacing w:val="0"/>
        </w:rPr>
        <w:instrText xml:space="preserve"> PAGEREF _Toc4009 \h </w:instrText>
      </w:r>
      <w:r>
        <w:rPr>
          <w:spacing w:val="0"/>
        </w:rPr>
        <w:fldChar w:fldCharType="separate"/>
      </w:r>
      <w:r>
        <w:rPr>
          <w:spacing w:val="0"/>
        </w:rPr>
        <w:t>II</w:t>
      </w:r>
      <w:r>
        <w:rPr>
          <w:spacing w:val="0"/>
        </w:rPr>
        <w:fldChar w:fldCharType="end"/>
      </w:r>
      <w:r>
        <w:rPr>
          <w:rFonts w:hint="eastAsia"/>
          <w:spacing w:val="0"/>
          <w:lang w:eastAsia="zh-CN"/>
        </w:rPr>
        <w:fldChar w:fldCharType="end"/>
      </w:r>
    </w:p>
    <w:p w14:paraId="007FDBAC">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_Toc22312 </w:instrText>
      </w:r>
      <w:r>
        <w:rPr>
          <w:rFonts w:hint="eastAsia"/>
          <w:spacing w:val="0"/>
          <w:lang w:eastAsia="zh-CN"/>
        </w:rPr>
        <w:fldChar w:fldCharType="separate"/>
      </w:r>
      <w:r>
        <w:rPr>
          <w:rFonts w:hint="eastAsia" w:ascii="黑体" w:eastAsia="黑体"/>
          <w:i w:val="0"/>
          <w:spacing w:val="0"/>
        </w:rPr>
        <w:t>1</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范围</w:t>
      </w:r>
      <w:r>
        <w:rPr>
          <w:spacing w:val="0"/>
        </w:rPr>
        <w:tab/>
      </w:r>
      <w:r>
        <w:rPr>
          <w:spacing w:val="0"/>
        </w:rPr>
        <w:fldChar w:fldCharType="begin"/>
      </w:r>
      <w:r>
        <w:rPr>
          <w:spacing w:val="0"/>
        </w:rPr>
        <w:instrText xml:space="preserve"> PAGEREF _Toc22312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4A6A411A">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_Toc11842 </w:instrText>
      </w:r>
      <w:r>
        <w:rPr>
          <w:rFonts w:hint="eastAsia"/>
          <w:spacing w:val="0"/>
          <w:lang w:eastAsia="zh-CN"/>
        </w:rPr>
        <w:fldChar w:fldCharType="separate"/>
      </w:r>
      <w:r>
        <w:rPr>
          <w:rFonts w:hint="eastAsia" w:ascii="黑体" w:eastAsia="黑体"/>
          <w:i w:val="0"/>
          <w:spacing w:val="0"/>
        </w:rPr>
        <w:t>2</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rPr>
        <w:t>规范性引用文件</w:t>
      </w:r>
      <w:r>
        <w:rPr>
          <w:spacing w:val="0"/>
        </w:rPr>
        <w:tab/>
      </w:r>
      <w:r>
        <w:rPr>
          <w:spacing w:val="0"/>
        </w:rPr>
        <w:fldChar w:fldCharType="begin"/>
      </w:r>
      <w:r>
        <w:rPr>
          <w:spacing w:val="0"/>
        </w:rPr>
        <w:instrText xml:space="preserve"> PAGEREF _Toc11842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05895171">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_Toc28126 </w:instrText>
      </w:r>
      <w:r>
        <w:rPr>
          <w:rFonts w:hint="eastAsia"/>
          <w:spacing w:val="0"/>
          <w:lang w:eastAsia="zh-CN"/>
        </w:rPr>
        <w:fldChar w:fldCharType="separate"/>
      </w:r>
      <w:r>
        <w:rPr>
          <w:rFonts w:hint="eastAsia" w:ascii="黑体" w:eastAsia="黑体"/>
          <w:i w:val="0"/>
          <w:spacing w:val="0"/>
        </w:rPr>
        <w:t>3</w:t>
      </w:r>
      <w:r>
        <w:rPr>
          <w:rFonts w:hint="eastAsia" w:ascii="黑体" w:eastAsia="黑体"/>
          <w:i w:val="0"/>
          <w:spacing w:val="0"/>
          <w:lang w:eastAsia="zh-CN"/>
        </w:rPr>
        <w:t xml:space="preserve"> </w:t>
      </w:r>
      <w:r>
        <w:rPr>
          <w:rFonts w:hint="eastAsia" w:ascii="黑体" w:eastAsia="黑体"/>
          <w:i w:val="0"/>
          <w:spacing w:val="0"/>
        </w:rPr>
        <w:t xml:space="preserve"> </w:t>
      </w:r>
      <w:r>
        <w:rPr>
          <w:rFonts w:hint="eastAsia"/>
          <w:spacing w:val="0"/>
          <w:szCs w:val="21"/>
        </w:rPr>
        <w:t>术语和定义</w:t>
      </w:r>
      <w:r>
        <w:rPr>
          <w:spacing w:val="0"/>
        </w:rPr>
        <w:tab/>
      </w:r>
      <w:r>
        <w:rPr>
          <w:spacing w:val="0"/>
        </w:rPr>
        <w:fldChar w:fldCharType="begin"/>
      </w:r>
      <w:r>
        <w:rPr>
          <w:spacing w:val="0"/>
        </w:rPr>
        <w:instrText xml:space="preserve"> PAGEREF _Toc28126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6AC2C135">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_Toc14144 </w:instrText>
      </w:r>
      <w:r>
        <w:rPr>
          <w:rFonts w:hint="eastAsia"/>
          <w:spacing w:val="0"/>
          <w:lang w:eastAsia="zh-CN"/>
        </w:rPr>
        <w:fldChar w:fldCharType="separate"/>
      </w:r>
      <w:r>
        <w:rPr>
          <w:rFonts w:hint="eastAsia" w:ascii="黑体" w:eastAsia="黑体"/>
          <w:i w:val="0"/>
          <w:spacing w:val="0"/>
          <w:szCs w:val="21"/>
        </w:rPr>
        <w:t>4</w:t>
      </w:r>
      <w:r>
        <w:rPr>
          <w:rFonts w:hint="eastAsia" w:ascii="黑体" w:eastAsia="黑体"/>
          <w:i w:val="0"/>
          <w:spacing w:val="0"/>
          <w:szCs w:val="21"/>
          <w:lang w:eastAsia="zh-CN"/>
        </w:rPr>
        <w:t xml:space="preserve"> </w:t>
      </w:r>
      <w:r>
        <w:rPr>
          <w:rFonts w:hint="eastAsia" w:ascii="黑体" w:eastAsia="黑体"/>
          <w:i w:val="0"/>
          <w:spacing w:val="0"/>
          <w:szCs w:val="21"/>
        </w:rPr>
        <w:t xml:space="preserve"> </w:t>
      </w:r>
      <w:r>
        <w:rPr>
          <w:rFonts w:hint="eastAsia"/>
          <w:spacing w:val="0"/>
          <w:szCs w:val="21"/>
          <w:lang w:val="en-US" w:eastAsia="zh-CN"/>
        </w:rPr>
        <w:t>种植</w:t>
      </w:r>
      <w:r>
        <w:rPr>
          <w:rFonts w:hint="eastAsia"/>
          <w:spacing w:val="0"/>
          <w:szCs w:val="21"/>
        </w:rPr>
        <w:t>地选择</w:t>
      </w:r>
      <w:r>
        <w:rPr>
          <w:spacing w:val="0"/>
        </w:rPr>
        <w:tab/>
      </w:r>
      <w:r>
        <w:rPr>
          <w:spacing w:val="0"/>
        </w:rPr>
        <w:fldChar w:fldCharType="begin"/>
      </w:r>
      <w:r>
        <w:rPr>
          <w:spacing w:val="0"/>
        </w:rPr>
        <w:instrText xml:space="preserve"> PAGEREF _Toc14144 \h </w:instrText>
      </w:r>
      <w:r>
        <w:rPr>
          <w:spacing w:val="0"/>
        </w:rPr>
        <w:fldChar w:fldCharType="separate"/>
      </w:r>
      <w:r>
        <w:rPr>
          <w:spacing w:val="0"/>
        </w:rPr>
        <w:t>1</w:t>
      </w:r>
      <w:r>
        <w:rPr>
          <w:spacing w:val="0"/>
        </w:rPr>
        <w:fldChar w:fldCharType="end"/>
      </w:r>
      <w:r>
        <w:rPr>
          <w:rFonts w:hint="eastAsia"/>
          <w:spacing w:val="0"/>
          <w:lang w:eastAsia="zh-CN"/>
        </w:rPr>
        <w:fldChar w:fldCharType="end"/>
      </w:r>
    </w:p>
    <w:p w14:paraId="3BF0FC3D">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_Toc32170 </w:instrText>
      </w:r>
      <w:r>
        <w:rPr>
          <w:rFonts w:hint="eastAsia"/>
          <w:spacing w:val="0"/>
          <w:lang w:eastAsia="zh-CN"/>
        </w:rPr>
        <w:fldChar w:fldCharType="separate"/>
      </w:r>
      <w:r>
        <w:rPr>
          <w:rFonts w:hint="eastAsia" w:ascii="黑体" w:eastAsia="黑体"/>
          <w:i w:val="0"/>
          <w:spacing w:val="0"/>
          <w:szCs w:val="21"/>
          <w:lang w:val="en-US" w:eastAsia="zh-CN"/>
        </w:rPr>
        <w:t xml:space="preserve">5  </w:t>
      </w:r>
      <w:r>
        <w:rPr>
          <w:rFonts w:hint="eastAsia"/>
          <w:spacing w:val="0"/>
          <w:szCs w:val="21"/>
          <w:lang w:val="en-US" w:eastAsia="zh-CN"/>
        </w:rPr>
        <w:t>整地</w:t>
      </w:r>
      <w:r>
        <w:rPr>
          <w:spacing w:val="0"/>
        </w:rPr>
        <w:tab/>
      </w:r>
      <w:r>
        <w:rPr>
          <w:spacing w:val="0"/>
        </w:rPr>
        <w:fldChar w:fldCharType="begin"/>
      </w:r>
      <w:r>
        <w:rPr>
          <w:spacing w:val="0"/>
        </w:rPr>
        <w:instrText xml:space="preserve"> PAGEREF _Toc32170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4DCED187">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_Toc20778 </w:instrText>
      </w:r>
      <w:r>
        <w:rPr>
          <w:rFonts w:hint="eastAsia"/>
          <w:spacing w:val="0"/>
          <w:lang w:eastAsia="zh-CN"/>
        </w:rPr>
        <w:fldChar w:fldCharType="separate"/>
      </w:r>
      <w:r>
        <w:rPr>
          <w:rFonts w:hint="eastAsia" w:ascii="黑体" w:eastAsia="黑体"/>
          <w:i w:val="0"/>
          <w:spacing w:val="0"/>
          <w:szCs w:val="21"/>
          <w:lang w:val="en-US" w:eastAsia="zh-CN"/>
        </w:rPr>
        <w:t xml:space="preserve">6  </w:t>
      </w:r>
      <w:r>
        <w:rPr>
          <w:rFonts w:hint="eastAsia"/>
          <w:spacing w:val="0"/>
          <w:szCs w:val="21"/>
          <w:lang w:val="en-US" w:eastAsia="zh-CN"/>
        </w:rPr>
        <w:t>苗木选择</w:t>
      </w:r>
      <w:r>
        <w:rPr>
          <w:spacing w:val="0"/>
        </w:rPr>
        <w:tab/>
      </w:r>
      <w:r>
        <w:rPr>
          <w:spacing w:val="0"/>
        </w:rPr>
        <w:fldChar w:fldCharType="begin"/>
      </w:r>
      <w:r>
        <w:rPr>
          <w:spacing w:val="0"/>
        </w:rPr>
        <w:instrText xml:space="preserve"> PAGEREF _Toc20778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7A246D32">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_Toc30498 </w:instrText>
      </w:r>
      <w:r>
        <w:rPr>
          <w:rFonts w:hint="eastAsia"/>
          <w:spacing w:val="0"/>
          <w:lang w:eastAsia="zh-CN"/>
        </w:rPr>
        <w:fldChar w:fldCharType="separate"/>
      </w:r>
      <w:r>
        <w:rPr>
          <w:rFonts w:hint="eastAsia" w:ascii="黑体" w:eastAsia="黑体"/>
          <w:i w:val="0"/>
          <w:spacing w:val="0"/>
          <w:szCs w:val="21"/>
          <w:lang w:val="en-US" w:eastAsia="zh-CN"/>
        </w:rPr>
        <w:t xml:space="preserve">7  </w:t>
      </w:r>
      <w:r>
        <w:rPr>
          <w:rFonts w:hint="eastAsia"/>
          <w:spacing w:val="0"/>
          <w:szCs w:val="21"/>
          <w:lang w:val="en-US" w:eastAsia="zh-CN"/>
        </w:rPr>
        <w:t>林下种植</w:t>
      </w:r>
      <w:r>
        <w:rPr>
          <w:spacing w:val="0"/>
        </w:rPr>
        <w:tab/>
      </w:r>
      <w:r>
        <w:rPr>
          <w:spacing w:val="0"/>
        </w:rPr>
        <w:fldChar w:fldCharType="begin"/>
      </w:r>
      <w:r>
        <w:rPr>
          <w:spacing w:val="0"/>
        </w:rPr>
        <w:instrText xml:space="preserve"> PAGEREF _Toc30498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0977B506">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_Toc9667 </w:instrText>
      </w:r>
      <w:r>
        <w:rPr>
          <w:rFonts w:hint="eastAsia"/>
          <w:spacing w:val="0"/>
          <w:lang w:eastAsia="zh-CN"/>
        </w:rPr>
        <w:fldChar w:fldCharType="separate"/>
      </w:r>
      <w:r>
        <w:rPr>
          <w:rFonts w:hint="eastAsia" w:ascii="黑体" w:eastAsia="黑体"/>
          <w:i w:val="0"/>
          <w:spacing w:val="0"/>
          <w:szCs w:val="21"/>
          <w:lang w:val="en-US" w:eastAsia="zh-CN"/>
        </w:rPr>
        <w:t xml:space="preserve">8  </w:t>
      </w:r>
      <w:r>
        <w:rPr>
          <w:rFonts w:hint="eastAsia"/>
          <w:spacing w:val="0"/>
          <w:szCs w:val="21"/>
          <w:lang w:val="en-US" w:eastAsia="zh-CN"/>
        </w:rPr>
        <w:t>抚育</w:t>
      </w:r>
      <w:r>
        <w:rPr>
          <w:spacing w:val="0"/>
        </w:rPr>
        <w:tab/>
      </w:r>
      <w:r>
        <w:rPr>
          <w:spacing w:val="0"/>
        </w:rPr>
        <w:fldChar w:fldCharType="begin"/>
      </w:r>
      <w:r>
        <w:rPr>
          <w:spacing w:val="0"/>
        </w:rPr>
        <w:instrText xml:space="preserve"> PAGEREF _Toc9667 \h </w:instrText>
      </w:r>
      <w:r>
        <w:rPr>
          <w:spacing w:val="0"/>
        </w:rPr>
        <w:fldChar w:fldCharType="separate"/>
      </w:r>
      <w:r>
        <w:rPr>
          <w:spacing w:val="0"/>
        </w:rPr>
        <w:t>2</w:t>
      </w:r>
      <w:r>
        <w:rPr>
          <w:spacing w:val="0"/>
        </w:rPr>
        <w:fldChar w:fldCharType="end"/>
      </w:r>
      <w:r>
        <w:rPr>
          <w:rFonts w:hint="eastAsia"/>
          <w:spacing w:val="0"/>
          <w:lang w:eastAsia="zh-CN"/>
        </w:rPr>
        <w:fldChar w:fldCharType="end"/>
      </w:r>
    </w:p>
    <w:p w14:paraId="564CF14D">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_Toc29302 </w:instrText>
      </w:r>
      <w:r>
        <w:rPr>
          <w:rFonts w:hint="eastAsia"/>
          <w:spacing w:val="0"/>
          <w:lang w:eastAsia="zh-CN"/>
        </w:rPr>
        <w:fldChar w:fldCharType="separate"/>
      </w:r>
      <w:r>
        <w:rPr>
          <w:rFonts w:hint="eastAsia" w:ascii="黑体" w:hAnsi="Times New Roman" w:eastAsia="黑体" w:cs="Times New Roman"/>
          <w:i w:val="0"/>
          <w:spacing w:val="0"/>
          <w:szCs w:val="21"/>
          <w:lang w:val="en-US" w:eastAsia="zh-CN"/>
        </w:rPr>
        <w:t xml:space="preserve">9  </w:t>
      </w:r>
      <w:r>
        <w:rPr>
          <w:rFonts w:hint="eastAsia" w:hAnsi="Times New Roman" w:cs="Times New Roman"/>
          <w:spacing w:val="0"/>
          <w:szCs w:val="21"/>
          <w:lang w:val="en-US" w:eastAsia="zh-CN"/>
        </w:rPr>
        <w:t>病虫害防治</w:t>
      </w:r>
      <w:r>
        <w:rPr>
          <w:spacing w:val="0"/>
        </w:rPr>
        <w:tab/>
      </w:r>
      <w:r>
        <w:rPr>
          <w:spacing w:val="0"/>
        </w:rPr>
        <w:fldChar w:fldCharType="begin"/>
      </w:r>
      <w:r>
        <w:rPr>
          <w:spacing w:val="0"/>
        </w:rPr>
        <w:instrText xml:space="preserve"> PAGEREF _Toc29302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1EBE36F6">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_Toc5130 </w:instrText>
      </w:r>
      <w:r>
        <w:rPr>
          <w:rFonts w:hint="eastAsia"/>
          <w:spacing w:val="0"/>
          <w:lang w:eastAsia="zh-CN"/>
        </w:rPr>
        <w:fldChar w:fldCharType="separate"/>
      </w:r>
      <w:r>
        <w:rPr>
          <w:rFonts w:hint="eastAsia" w:ascii="黑体" w:hAnsi="Times New Roman" w:eastAsia="黑体" w:cs="Times New Roman"/>
          <w:i w:val="0"/>
          <w:spacing w:val="0"/>
          <w:szCs w:val="21"/>
          <w:lang w:val="en-US" w:eastAsia="zh-CN"/>
        </w:rPr>
        <w:t xml:space="preserve">10  </w:t>
      </w:r>
      <w:r>
        <w:rPr>
          <w:rFonts w:hint="eastAsia" w:hAnsi="Times New Roman" w:cs="Times New Roman"/>
          <w:spacing w:val="0"/>
          <w:szCs w:val="21"/>
          <w:lang w:val="en-US" w:eastAsia="zh-CN"/>
        </w:rPr>
        <w:t>采收</w:t>
      </w:r>
      <w:r>
        <w:rPr>
          <w:spacing w:val="0"/>
        </w:rPr>
        <w:tab/>
      </w:r>
      <w:r>
        <w:rPr>
          <w:spacing w:val="0"/>
        </w:rPr>
        <w:fldChar w:fldCharType="begin"/>
      </w:r>
      <w:r>
        <w:rPr>
          <w:spacing w:val="0"/>
        </w:rPr>
        <w:instrText xml:space="preserve"> PAGEREF _Toc5130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786DD832">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_Toc9202 </w:instrText>
      </w:r>
      <w:r>
        <w:rPr>
          <w:rFonts w:hint="eastAsia"/>
          <w:spacing w:val="0"/>
          <w:lang w:eastAsia="zh-CN"/>
        </w:rPr>
        <w:fldChar w:fldCharType="separate"/>
      </w:r>
      <w:r>
        <w:rPr>
          <w:rFonts w:hint="eastAsia" w:ascii="黑体" w:hAnsi="Times New Roman" w:eastAsia="黑体" w:cs="Times New Roman"/>
          <w:i w:val="0"/>
          <w:spacing w:val="0"/>
          <w:szCs w:val="21"/>
          <w:lang w:val="en-US" w:eastAsia="zh-CN"/>
        </w:rPr>
        <w:t xml:space="preserve">11  </w:t>
      </w:r>
      <w:r>
        <w:rPr>
          <w:rFonts w:hint="eastAsia" w:hAnsi="Times New Roman" w:cs="Times New Roman"/>
          <w:spacing w:val="0"/>
          <w:szCs w:val="21"/>
          <w:lang w:val="en-US" w:eastAsia="zh-CN"/>
        </w:rPr>
        <w:t>档案管理</w:t>
      </w:r>
      <w:r>
        <w:rPr>
          <w:spacing w:val="0"/>
        </w:rPr>
        <w:tab/>
      </w:r>
      <w:r>
        <w:rPr>
          <w:spacing w:val="0"/>
        </w:rPr>
        <w:fldChar w:fldCharType="begin"/>
      </w:r>
      <w:r>
        <w:rPr>
          <w:spacing w:val="0"/>
        </w:rPr>
        <w:instrText xml:space="preserve"> PAGEREF _Toc9202 \h </w:instrText>
      </w:r>
      <w:r>
        <w:rPr>
          <w:spacing w:val="0"/>
        </w:rPr>
        <w:fldChar w:fldCharType="separate"/>
      </w:r>
      <w:r>
        <w:rPr>
          <w:spacing w:val="0"/>
        </w:rPr>
        <w:t>3</w:t>
      </w:r>
      <w:r>
        <w:rPr>
          <w:spacing w:val="0"/>
        </w:rPr>
        <w:fldChar w:fldCharType="end"/>
      </w:r>
      <w:r>
        <w:rPr>
          <w:rFonts w:hint="eastAsia"/>
          <w:spacing w:val="0"/>
          <w:lang w:eastAsia="zh-CN"/>
        </w:rPr>
        <w:fldChar w:fldCharType="end"/>
      </w:r>
    </w:p>
    <w:p w14:paraId="30CF183C">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_Toc13122 </w:instrText>
      </w:r>
      <w:r>
        <w:rPr>
          <w:rFonts w:hint="eastAsia"/>
          <w:spacing w:val="0"/>
          <w:lang w:eastAsia="zh-CN"/>
        </w:rPr>
        <w:fldChar w:fldCharType="separate"/>
      </w:r>
      <w:r>
        <w:rPr>
          <w:rFonts w:hint="eastAsia"/>
          <w:spacing w:val="0"/>
          <w:lang w:eastAsia="zh-CN"/>
        </w:rPr>
        <w:t>附录A</w:t>
      </w:r>
      <w:r>
        <w:rPr>
          <w:rFonts w:hint="eastAsia"/>
          <w:spacing w:val="0"/>
          <w:lang w:eastAsia="zh-CN"/>
        </w:rPr>
        <w:t xml:space="preserve"> </w:t>
      </w:r>
      <w:r>
        <w:rPr>
          <w:rFonts w:hint="eastAsia"/>
          <w:spacing w:val="0"/>
          <w:lang w:eastAsia="zh-CN"/>
        </w:rPr>
        <w:t>（资料性 ）</w:t>
      </w:r>
      <w:r>
        <w:rPr>
          <w:rFonts w:hint="eastAsia"/>
          <w:spacing w:val="0"/>
          <w:lang w:eastAsia="zh-CN"/>
        </w:rPr>
        <w:t xml:space="preserve"> </w:t>
      </w:r>
      <w:r>
        <w:rPr>
          <w:rFonts w:hint="eastAsia"/>
          <w:spacing w:val="0"/>
          <w:lang w:eastAsia="zh-CN"/>
        </w:rPr>
        <w:t>岗梅主要</w:t>
      </w:r>
      <w:r>
        <w:rPr>
          <w:rFonts w:hint="eastAsia"/>
          <w:spacing w:val="0"/>
          <w:lang w:val="en-US" w:eastAsia="zh-CN"/>
        </w:rPr>
        <w:t>有害生物种类及防治参考方法</w:t>
      </w:r>
      <w:r>
        <w:rPr>
          <w:spacing w:val="0"/>
        </w:rPr>
        <w:tab/>
      </w:r>
      <w:r>
        <w:rPr>
          <w:spacing w:val="0"/>
        </w:rPr>
        <w:fldChar w:fldCharType="begin"/>
      </w:r>
      <w:r>
        <w:rPr>
          <w:spacing w:val="0"/>
        </w:rPr>
        <w:instrText xml:space="preserve"> PAGEREF _Toc13122 \h </w:instrText>
      </w:r>
      <w:r>
        <w:rPr>
          <w:spacing w:val="0"/>
        </w:rPr>
        <w:fldChar w:fldCharType="separate"/>
      </w:r>
      <w:r>
        <w:rPr>
          <w:spacing w:val="0"/>
        </w:rPr>
        <w:t>5</w:t>
      </w:r>
      <w:r>
        <w:rPr>
          <w:spacing w:val="0"/>
        </w:rPr>
        <w:fldChar w:fldCharType="end"/>
      </w:r>
      <w:r>
        <w:rPr>
          <w:rFonts w:hint="eastAsia"/>
          <w:spacing w:val="0"/>
          <w:lang w:eastAsia="zh-CN"/>
        </w:rPr>
        <w:fldChar w:fldCharType="end"/>
      </w:r>
    </w:p>
    <w:p w14:paraId="5F4CBA50">
      <w:pPr>
        <w:pStyle w:val="19"/>
        <w:tabs>
          <w:tab w:val="right" w:leader="dot" w:pos="9354"/>
        </w:tabs>
        <w:rPr>
          <w:spacing w:val="0"/>
        </w:rPr>
      </w:pPr>
      <w:r>
        <w:rPr>
          <w:rFonts w:hint="eastAsia"/>
          <w:spacing w:val="0"/>
          <w:lang w:eastAsia="zh-CN"/>
        </w:rPr>
        <w:fldChar w:fldCharType="begin"/>
      </w:r>
      <w:r>
        <w:rPr>
          <w:rFonts w:hint="eastAsia"/>
          <w:spacing w:val="0"/>
          <w:lang w:eastAsia="zh-CN"/>
        </w:rPr>
        <w:instrText xml:space="preserve"> HYPERLINK \l _Toc12648 </w:instrText>
      </w:r>
      <w:r>
        <w:rPr>
          <w:rFonts w:hint="eastAsia"/>
          <w:spacing w:val="0"/>
          <w:lang w:eastAsia="zh-CN"/>
        </w:rPr>
        <w:fldChar w:fldCharType="separate"/>
      </w:r>
      <w:r>
        <w:rPr>
          <w:rFonts w:hint="eastAsia"/>
          <w:spacing w:val="0"/>
          <w:lang w:eastAsia="zh-CN"/>
        </w:rPr>
        <w:t>参考文献</w:t>
      </w:r>
      <w:r>
        <w:rPr>
          <w:spacing w:val="0"/>
        </w:rPr>
        <w:tab/>
      </w:r>
      <w:r>
        <w:rPr>
          <w:spacing w:val="0"/>
        </w:rPr>
        <w:fldChar w:fldCharType="begin"/>
      </w:r>
      <w:r>
        <w:rPr>
          <w:spacing w:val="0"/>
        </w:rPr>
        <w:instrText xml:space="preserve"> PAGEREF _Toc12648 \h </w:instrText>
      </w:r>
      <w:r>
        <w:rPr>
          <w:spacing w:val="0"/>
        </w:rPr>
        <w:fldChar w:fldCharType="separate"/>
      </w:r>
      <w:r>
        <w:rPr>
          <w:spacing w:val="0"/>
        </w:rPr>
        <w:t>6</w:t>
      </w:r>
      <w:r>
        <w:rPr>
          <w:spacing w:val="0"/>
        </w:rPr>
        <w:fldChar w:fldCharType="end"/>
      </w:r>
      <w:r>
        <w:rPr>
          <w:rFonts w:hint="eastAsia"/>
          <w:spacing w:val="0"/>
          <w:lang w:eastAsia="zh-CN"/>
        </w:rPr>
        <w:fldChar w:fldCharType="end"/>
      </w:r>
    </w:p>
    <w:p w14:paraId="5B9C42DB">
      <w:pPr>
        <w:pStyle w:val="91"/>
        <w:bidi w:val="0"/>
        <w:rPr>
          <w:rFonts w:hint="eastAsia"/>
          <w:spacing w:val="0"/>
          <w:lang w:eastAsia="zh-CN"/>
        </w:rPr>
        <w:sectPr>
          <w:headerReference r:id="rId9" w:type="default"/>
          <w:footerReference r:id="rId10" w:type="default"/>
          <w:pgSz w:w="11906" w:h="16838"/>
          <w:pgMar w:top="1928" w:right="1134" w:bottom="1134" w:left="1134" w:header="1418" w:footer="1134" w:gutter="284"/>
          <w:pgNumType w:fmt="upperRoman" w:start="1"/>
          <w:cols w:space="425" w:num="1"/>
          <w:formProt w:val="0"/>
          <w:docGrid w:linePitch="312" w:charSpace="0"/>
        </w:sectPr>
      </w:pPr>
      <w:r>
        <w:rPr>
          <w:rFonts w:hint="eastAsia"/>
          <w:spacing w:val="0"/>
          <w:lang w:eastAsia="zh-CN"/>
        </w:rPr>
        <w:fldChar w:fldCharType="end"/>
      </w:r>
    </w:p>
    <w:bookmarkEnd w:id="20"/>
    <w:p w14:paraId="75B5C2AE">
      <w:pPr>
        <w:pStyle w:val="89"/>
        <w:bidi w:val="0"/>
        <w:spacing w:before="560"/>
        <w:rPr>
          <w:rFonts w:hint="eastAsia"/>
          <w:lang w:eastAsia="zh-CN"/>
        </w:rPr>
      </w:pPr>
      <w:bookmarkStart w:id="22" w:name="_Toc4009"/>
      <w:bookmarkStart w:id="23" w:name="BookMark2"/>
      <w:r>
        <w:rPr>
          <w:rFonts w:hint="eastAsia"/>
          <w:spacing w:val="320"/>
          <w:lang w:eastAsia="zh-CN"/>
        </w:rPr>
        <w:t>前</w:t>
      </w:r>
      <w:r>
        <w:rPr>
          <w:rFonts w:hint="eastAsia"/>
          <w:lang w:eastAsia="zh-CN"/>
        </w:rPr>
        <w:t>言</w:t>
      </w:r>
      <w:bookmarkEnd w:id="21"/>
      <w:bookmarkEnd w:id="22"/>
    </w:p>
    <w:p w14:paraId="32CF996A">
      <w:pPr>
        <w:pStyle w:val="56"/>
        <w:bidi w:val="0"/>
        <w:rPr>
          <w:rFonts w:hint="eastAsia"/>
          <w:lang w:eastAsia="zh-CN"/>
        </w:rPr>
      </w:pPr>
      <w:r>
        <w:rPr>
          <w:rFonts w:hint="eastAsia"/>
          <w:lang w:eastAsia="zh-CN"/>
        </w:rPr>
        <w:t>本文件按照GB/T 1.1—2020《标准化工作导则  第1部分：标准化文件的结构和起草规则》的规定起草。</w:t>
      </w:r>
    </w:p>
    <w:p w14:paraId="4D762BA4">
      <w:pPr>
        <w:pStyle w:val="56"/>
        <w:bidi w:val="0"/>
        <w:rPr>
          <w:rFonts w:hint="eastAsia"/>
          <w:lang w:eastAsia="zh-CN"/>
        </w:rPr>
      </w:pPr>
      <w:r>
        <w:rPr>
          <w:rFonts w:hint="eastAsia"/>
          <w:lang w:eastAsia="zh-CN"/>
        </w:rPr>
        <w:t>请注意本文件的某些内容可能涉及专利。本文件的发布机构不承担识别专利的责任</w:t>
      </w:r>
    </w:p>
    <w:p w14:paraId="6468A5C9">
      <w:pPr>
        <w:pStyle w:val="56"/>
        <w:bidi w:val="0"/>
        <w:rPr>
          <w:rFonts w:hint="eastAsia"/>
          <w:lang w:eastAsia="zh-CN"/>
        </w:rPr>
      </w:pPr>
      <w:r>
        <w:rPr>
          <w:rFonts w:hint="eastAsia"/>
          <w:lang w:eastAsia="zh-CN"/>
        </w:rPr>
        <w:t>本文件由</w:t>
      </w:r>
      <w:r>
        <w:rPr>
          <w:rFonts w:hint="eastAsia"/>
          <w:lang w:val="en-US" w:eastAsia="zh-CN"/>
        </w:rPr>
        <w:t>广西林学会</w:t>
      </w:r>
      <w:r>
        <w:rPr>
          <w:rFonts w:hint="eastAsia"/>
          <w:lang w:eastAsia="zh-CN"/>
        </w:rPr>
        <w:t>提出、归口</w:t>
      </w:r>
      <w:r>
        <w:rPr>
          <w:rFonts w:hint="eastAsia"/>
          <w:lang w:val="en-US" w:eastAsia="zh-CN"/>
        </w:rPr>
        <w:t>并宣贯</w:t>
      </w:r>
      <w:r>
        <w:rPr>
          <w:rFonts w:hint="eastAsia"/>
          <w:lang w:eastAsia="zh-CN"/>
        </w:rPr>
        <w:t>。</w:t>
      </w:r>
    </w:p>
    <w:p w14:paraId="2316AADD">
      <w:pPr>
        <w:pStyle w:val="56"/>
        <w:bidi w:val="0"/>
        <w:rPr>
          <w:rFonts w:hint="eastAsia"/>
          <w:color w:val="auto"/>
          <w:lang w:eastAsia="zh-CN"/>
        </w:rPr>
      </w:pPr>
      <w:r>
        <w:rPr>
          <w:rFonts w:hint="eastAsia"/>
          <w:lang w:eastAsia="zh-CN"/>
        </w:rPr>
        <w:t>本文件起草单位：广西区直国有林场林下经济绿色产业联合会、广西壮族自治区南宁树木园、广西</w:t>
      </w:r>
      <w:r>
        <w:rPr>
          <w:rFonts w:hint="eastAsia"/>
          <w:color w:val="auto"/>
          <w:lang w:eastAsia="zh-CN"/>
        </w:rPr>
        <w:t>壮族自治区国有高峰林场、广西壮族自治区国有七坡林场、广西林学会、广西壮族自治区药用植物园、广西高峰林业设计咨询有限公司、广西石斛产业协会。</w:t>
      </w:r>
    </w:p>
    <w:p w14:paraId="2A29C391">
      <w:pPr>
        <w:pStyle w:val="56"/>
        <w:bidi w:val="0"/>
        <w:rPr>
          <w:rFonts w:hint="eastAsia"/>
          <w:color w:val="auto"/>
          <w:lang w:eastAsia="zh-CN"/>
        </w:rPr>
      </w:pPr>
      <w:r>
        <w:rPr>
          <w:rFonts w:hint="eastAsia"/>
          <w:color w:val="auto"/>
          <w:lang w:eastAsia="zh-CN"/>
        </w:rPr>
        <w:t>本文件主要起草人：</w:t>
      </w:r>
      <w:r>
        <w:rPr>
          <w:rFonts w:hint="eastAsia"/>
          <w:color w:val="auto"/>
          <w:lang w:val="en-US" w:eastAsia="zh-CN"/>
        </w:rPr>
        <w:t>申礼凤、</w:t>
      </w:r>
      <w:r>
        <w:rPr>
          <w:rFonts w:hint="eastAsia"/>
          <w:color w:val="auto"/>
        </w:rPr>
        <w:t>曾昭意</w:t>
      </w:r>
      <w:r>
        <w:rPr>
          <w:rFonts w:hint="eastAsia"/>
          <w:color w:val="auto"/>
          <w:lang w:eastAsia="zh-CN"/>
        </w:rPr>
        <w:t>、</w:t>
      </w:r>
      <w:r>
        <w:rPr>
          <w:rFonts w:hint="eastAsia"/>
          <w:color w:val="auto"/>
          <w:lang w:val="en-US" w:eastAsia="zh-CN"/>
        </w:rPr>
        <w:t>唐璇、</w:t>
      </w:r>
      <w:r>
        <w:rPr>
          <w:rFonts w:hint="eastAsia"/>
          <w:color w:val="auto"/>
        </w:rPr>
        <w:t>吴敏坤</w:t>
      </w:r>
      <w:r>
        <w:rPr>
          <w:rFonts w:hint="eastAsia"/>
          <w:color w:val="auto"/>
          <w:lang w:eastAsia="zh-CN"/>
        </w:rPr>
        <w:t>、</w:t>
      </w:r>
      <w:r>
        <w:rPr>
          <w:rFonts w:hint="eastAsia"/>
          <w:color w:val="auto"/>
          <w:lang w:val="en-US" w:eastAsia="zh-CN"/>
        </w:rPr>
        <w:t>杨芳丽、陈奎、</w:t>
      </w:r>
      <w:r>
        <w:rPr>
          <w:rFonts w:hint="eastAsia"/>
          <w:color w:val="auto"/>
        </w:rPr>
        <w:t>冼礼卓</w:t>
      </w:r>
      <w:r>
        <w:rPr>
          <w:rFonts w:hint="eastAsia"/>
          <w:color w:val="auto"/>
          <w:lang w:eastAsia="zh-CN"/>
        </w:rPr>
        <w:t>、</w:t>
      </w:r>
      <w:r>
        <w:rPr>
          <w:rFonts w:hint="eastAsia"/>
          <w:color w:val="auto"/>
          <w:lang w:val="en-US" w:eastAsia="zh-CN"/>
        </w:rPr>
        <w:t>覃良伟、</w:t>
      </w:r>
      <w:r>
        <w:rPr>
          <w:rFonts w:hint="eastAsia"/>
          <w:color w:val="auto"/>
        </w:rPr>
        <w:t>吴耀科</w:t>
      </w:r>
      <w:r>
        <w:rPr>
          <w:rFonts w:hint="eastAsia"/>
          <w:color w:val="auto"/>
          <w:lang w:eastAsia="zh-CN"/>
        </w:rPr>
        <w:t>、</w:t>
      </w:r>
      <w:r>
        <w:rPr>
          <w:rFonts w:hint="eastAsia"/>
          <w:color w:val="auto"/>
        </w:rPr>
        <w:t>黄依微</w:t>
      </w:r>
      <w:r>
        <w:rPr>
          <w:rFonts w:hint="eastAsia"/>
          <w:color w:val="auto"/>
          <w:lang w:eastAsia="zh-CN"/>
        </w:rPr>
        <w:t>、</w:t>
      </w:r>
      <w:r>
        <w:rPr>
          <w:rFonts w:hint="eastAsia"/>
          <w:color w:val="auto"/>
          <w:lang w:val="en-US" w:eastAsia="zh-CN"/>
        </w:rPr>
        <w:t>梁泽俭、王书婷、</w:t>
      </w:r>
      <w:r>
        <w:rPr>
          <w:rFonts w:hint="eastAsia"/>
          <w:color w:val="auto"/>
        </w:rPr>
        <w:t>黄晓霞</w:t>
      </w:r>
      <w:r>
        <w:rPr>
          <w:rFonts w:hint="eastAsia"/>
          <w:color w:val="auto"/>
          <w:lang w:eastAsia="zh-CN"/>
        </w:rPr>
        <w:t>、</w:t>
      </w:r>
      <w:r>
        <w:rPr>
          <w:rFonts w:hint="eastAsia"/>
          <w:color w:val="auto"/>
        </w:rPr>
        <w:t>周红英</w:t>
      </w:r>
      <w:r>
        <w:rPr>
          <w:rFonts w:hint="eastAsia"/>
          <w:color w:val="auto"/>
          <w:lang w:eastAsia="zh-CN"/>
        </w:rPr>
        <w:t>、</w:t>
      </w:r>
      <w:r>
        <w:rPr>
          <w:rFonts w:hint="eastAsia"/>
          <w:color w:val="auto"/>
        </w:rPr>
        <w:t>潘晓群</w:t>
      </w:r>
      <w:r>
        <w:rPr>
          <w:rFonts w:hint="eastAsia"/>
          <w:color w:val="auto"/>
          <w:lang w:eastAsia="zh-CN"/>
        </w:rPr>
        <w:t>、</w:t>
      </w:r>
      <w:r>
        <w:rPr>
          <w:rFonts w:hint="eastAsia"/>
          <w:color w:val="auto"/>
        </w:rPr>
        <w:t>潘莉</w:t>
      </w:r>
      <w:r>
        <w:rPr>
          <w:rFonts w:hint="eastAsia"/>
          <w:color w:val="auto"/>
          <w:lang w:eastAsia="zh-CN"/>
        </w:rPr>
        <w:t>、</w:t>
      </w:r>
      <w:r>
        <w:rPr>
          <w:rFonts w:hint="eastAsia"/>
          <w:color w:val="auto"/>
        </w:rPr>
        <w:t>李书瑜</w:t>
      </w:r>
      <w:r>
        <w:rPr>
          <w:rFonts w:hint="eastAsia"/>
          <w:color w:val="auto"/>
          <w:lang w:eastAsia="zh-CN"/>
        </w:rPr>
        <w:t>、</w:t>
      </w:r>
      <w:r>
        <w:rPr>
          <w:rFonts w:hint="eastAsia"/>
          <w:color w:val="auto"/>
        </w:rPr>
        <w:t>左文明</w:t>
      </w:r>
      <w:r>
        <w:rPr>
          <w:rFonts w:hint="eastAsia"/>
          <w:color w:val="auto"/>
          <w:lang w:eastAsia="zh-CN"/>
        </w:rPr>
        <w:t>、</w:t>
      </w:r>
      <w:r>
        <w:rPr>
          <w:rFonts w:hint="eastAsia"/>
          <w:color w:val="auto"/>
        </w:rPr>
        <w:t>李本丽</w:t>
      </w:r>
      <w:r>
        <w:rPr>
          <w:rFonts w:hint="eastAsia"/>
          <w:color w:val="auto"/>
          <w:lang w:eastAsia="zh-CN"/>
        </w:rPr>
        <w:t>、</w:t>
      </w:r>
      <w:r>
        <w:rPr>
          <w:rFonts w:hint="eastAsia"/>
          <w:color w:val="auto"/>
        </w:rPr>
        <w:t>刘军</w:t>
      </w:r>
      <w:r>
        <w:rPr>
          <w:rFonts w:hint="eastAsia"/>
          <w:color w:val="auto"/>
          <w:lang w:eastAsia="zh-CN"/>
        </w:rPr>
        <w:t>、</w:t>
      </w:r>
      <w:r>
        <w:rPr>
          <w:rFonts w:hint="eastAsia"/>
          <w:color w:val="auto"/>
        </w:rPr>
        <w:t>庞秋艳</w:t>
      </w:r>
      <w:r>
        <w:rPr>
          <w:rFonts w:hint="eastAsia"/>
          <w:color w:val="auto"/>
          <w:lang w:eastAsia="zh-CN"/>
        </w:rPr>
        <w:t>、</w:t>
      </w:r>
      <w:r>
        <w:rPr>
          <w:rFonts w:hint="eastAsia"/>
          <w:color w:val="auto"/>
        </w:rPr>
        <w:t>黄碧峰</w:t>
      </w:r>
      <w:r>
        <w:rPr>
          <w:rFonts w:hint="eastAsia"/>
          <w:color w:val="auto"/>
          <w:lang w:eastAsia="zh-CN"/>
        </w:rPr>
        <w:t>、</w:t>
      </w:r>
      <w:r>
        <w:rPr>
          <w:rFonts w:hint="eastAsia"/>
          <w:color w:val="auto"/>
        </w:rPr>
        <w:t>卢立华</w:t>
      </w:r>
      <w:r>
        <w:rPr>
          <w:rFonts w:hint="eastAsia"/>
          <w:color w:val="auto"/>
          <w:lang w:eastAsia="zh-CN"/>
        </w:rPr>
        <w:t>、林建宏</w:t>
      </w:r>
      <w:r>
        <w:rPr>
          <w:rFonts w:hint="eastAsia"/>
          <w:color w:val="auto"/>
          <w:highlight w:val="none"/>
          <w:lang w:eastAsia="zh-CN"/>
        </w:rPr>
        <w:t>、胡东南、蔡亚雯、</w:t>
      </w:r>
      <w:r>
        <w:rPr>
          <w:rFonts w:hint="eastAsia"/>
          <w:color w:val="auto"/>
          <w:highlight w:val="none"/>
          <w:lang w:val="en-US" w:eastAsia="zh-CN"/>
        </w:rPr>
        <w:t>雷泽雪、罗樊丽、张艳慧、罗泽想、石小红、赵运星、廖素红</w:t>
      </w:r>
      <w:r>
        <w:rPr>
          <w:rFonts w:hint="eastAsia"/>
          <w:color w:val="auto"/>
          <w:highlight w:val="none"/>
          <w:lang w:eastAsia="zh-CN"/>
        </w:rPr>
        <w:t>。</w:t>
      </w:r>
    </w:p>
    <w:p w14:paraId="772AE411">
      <w:pPr>
        <w:pStyle w:val="56"/>
        <w:bidi w:val="0"/>
        <w:rPr>
          <w:rFonts w:hint="eastAsia"/>
          <w:lang w:eastAsia="zh-CN"/>
        </w:rPr>
      </w:pPr>
    </w:p>
    <w:p w14:paraId="086A4F84">
      <w:pPr>
        <w:pStyle w:val="56"/>
        <w:bidi w:val="0"/>
        <w:rPr>
          <w:rFonts w:hint="eastAsia"/>
          <w:lang w:eastAsia="zh-CN"/>
        </w:rPr>
      </w:pPr>
    </w:p>
    <w:p w14:paraId="0270094C">
      <w:pPr>
        <w:pStyle w:val="56"/>
        <w:bidi w:val="0"/>
        <w:rPr>
          <w:rFonts w:hint="eastAsia"/>
          <w:lang w:eastAsia="zh-CN"/>
        </w:rPr>
      </w:pPr>
    </w:p>
    <w:p w14:paraId="4B2CE392">
      <w:pPr>
        <w:pStyle w:val="56"/>
        <w:bidi w:val="0"/>
        <w:rPr>
          <w:rFonts w:hint="eastAsia"/>
          <w:lang w:eastAsia="zh-CN"/>
        </w:rPr>
      </w:pPr>
    </w:p>
    <w:p w14:paraId="2464ECCB">
      <w:pPr>
        <w:pStyle w:val="56"/>
        <w:bidi w:val="0"/>
        <w:rPr>
          <w:rFonts w:hint="eastAsia"/>
          <w:lang w:eastAsia="zh-CN"/>
        </w:rPr>
      </w:pPr>
    </w:p>
    <w:p w14:paraId="4E45C6A3">
      <w:pPr>
        <w:pStyle w:val="56"/>
        <w:bidi w:val="0"/>
        <w:rPr>
          <w:rFonts w:hint="eastAsia"/>
          <w:lang w:eastAsia="zh-CN"/>
        </w:rPr>
      </w:pPr>
    </w:p>
    <w:p w14:paraId="730A6718">
      <w:pPr>
        <w:pStyle w:val="56"/>
        <w:bidi w:val="0"/>
        <w:rPr>
          <w:rFonts w:hint="eastAsia"/>
          <w:lang w:eastAsia="zh-CN"/>
        </w:rPr>
      </w:pPr>
    </w:p>
    <w:p w14:paraId="04DCE4C5">
      <w:pPr>
        <w:pStyle w:val="56"/>
        <w:bidi w:val="0"/>
        <w:rPr>
          <w:rFonts w:hint="eastAsia"/>
          <w:lang w:eastAsia="zh-CN"/>
        </w:rPr>
        <w:sectPr>
          <w:pgSz w:w="11906" w:h="16838"/>
          <w:pgMar w:top="1928" w:right="1134" w:bottom="1134" w:left="1134" w:header="1418" w:footer="1134" w:gutter="284"/>
          <w:pgNumType w:fmt="upperRoman"/>
          <w:cols w:space="425" w:num="1"/>
          <w:formProt w:val="0"/>
          <w:docGrid w:linePitch="312" w:charSpace="0"/>
        </w:sectPr>
      </w:pPr>
    </w:p>
    <w:bookmarkEnd w:id="23"/>
    <w:p w14:paraId="78F88DD4">
      <w:pPr>
        <w:spacing w:line="20" w:lineRule="exact"/>
        <w:jc w:val="center"/>
        <w:rPr>
          <w:rFonts w:hint="eastAsia" w:ascii="黑体" w:hAnsi="黑体" w:eastAsia="黑体"/>
          <w:sz w:val="32"/>
          <w:szCs w:val="32"/>
        </w:rPr>
      </w:pPr>
      <w:bookmarkStart w:id="24" w:name="BookMark4"/>
    </w:p>
    <w:p w14:paraId="58FA81F3">
      <w:pPr>
        <w:spacing w:line="20" w:lineRule="exact"/>
        <w:jc w:val="center"/>
        <w:rPr>
          <w:rFonts w:hint="eastAsia" w:ascii="黑体" w:hAnsi="黑体" w:eastAsia="黑体"/>
          <w:sz w:val="32"/>
          <w:szCs w:val="32"/>
        </w:rPr>
      </w:pPr>
    </w:p>
    <w:sdt>
      <w:sdtPr>
        <w:tag w:val="NEW_STAND_NAME"/>
        <w:id w:val="595910757"/>
        <w:lock w:val="sdtLocked"/>
        <w:placeholder>
          <w:docPart w:val="9B3BEDB4F2724F9D81F4444A5CCE266D"/>
        </w:placeholder>
      </w:sdtPr>
      <w:sdtContent>
        <w:p w14:paraId="1D58211E">
          <w:pPr>
            <w:pStyle w:val="177"/>
            <w:bidi w:val="0"/>
            <w:spacing w:before="313" w:beforeLines="100" w:after="687" w:afterLines="220"/>
            <w:rPr>
              <w:rFonts w:hint="eastAsia"/>
            </w:rPr>
          </w:pPr>
          <w:bookmarkStart w:id="25" w:name="NEW_STAND_NAME"/>
          <w:r>
            <w:rPr>
              <w:rFonts w:hint="eastAsia"/>
              <w:lang w:eastAsia="zh-CN"/>
            </w:rPr>
            <w:t>油茶林下岗梅种植技术规程</w:t>
          </w:r>
        </w:p>
      </w:sdtContent>
    </w:sdt>
    <w:bookmarkEnd w:id="25"/>
    <w:p w14:paraId="58FB4D92">
      <w:pPr>
        <w:pStyle w:val="104"/>
        <w:spacing w:before="240" w:after="240"/>
      </w:pPr>
      <w:bookmarkStart w:id="26" w:name="_Toc26986530"/>
      <w:bookmarkStart w:id="27" w:name="_Toc24884218"/>
      <w:bookmarkStart w:id="28" w:name="_Toc26718930"/>
      <w:bookmarkStart w:id="29" w:name="_Toc14262"/>
      <w:bookmarkStart w:id="30" w:name="_Toc26986771"/>
      <w:bookmarkStart w:id="31" w:name="_Toc17233325"/>
      <w:bookmarkStart w:id="32" w:name="_Toc24884211"/>
      <w:bookmarkStart w:id="33" w:name="_Toc97192964"/>
      <w:bookmarkStart w:id="34" w:name="_Toc17233333"/>
      <w:bookmarkStart w:id="35" w:name="_Toc26648465"/>
      <w:bookmarkStart w:id="36" w:name="_Toc22312"/>
      <w:r>
        <w:rPr>
          <w:rFonts w:hint="eastAsia"/>
        </w:rPr>
        <w:t>范围</w:t>
      </w:r>
      <w:bookmarkEnd w:id="26"/>
      <w:bookmarkEnd w:id="27"/>
      <w:bookmarkEnd w:id="28"/>
      <w:bookmarkEnd w:id="29"/>
      <w:bookmarkEnd w:id="30"/>
      <w:bookmarkEnd w:id="31"/>
      <w:bookmarkEnd w:id="32"/>
      <w:bookmarkEnd w:id="33"/>
      <w:bookmarkEnd w:id="34"/>
      <w:bookmarkEnd w:id="35"/>
      <w:bookmarkEnd w:id="36"/>
    </w:p>
    <w:p w14:paraId="737055D1">
      <w:pPr>
        <w:pStyle w:val="56"/>
        <w:ind w:firstLine="420"/>
        <w:rPr>
          <w:rFonts w:hint="eastAsia" w:ascii="宋体" w:hAnsi="宋体" w:eastAsia="宋体" w:cs="宋体"/>
          <w:highlight w:val="yellow"/>
          <w:lang w:eastAsia="zh-CN"/>
        </w:rPr>
      </w:pPr>
      <w:bookmarkStart w:id="37" w:name="_Toc24884212"/>
      <w:bookmarkStart w:id="38" w:name="_Toc17233334"/>
      <w:bookmarkStart w:id="39" w:name="_Toc26648466"/>
      <w:bookmarkStart w:id="40" w:name="_Toc17233326"/>
      <w:bookmarkStart w:id="41" w:name="_Toc24884219"/>
      <w:r>
        <w:rPr>
          <w:rFonts w:hint="eastAsia" w:ascii="宋体" w:hAnsi="宋体" w:eastAsia="宋体" w:cs="宋体"/>
          <w:lang w:eastAsia="zh-CN"/>
        </w:rPr>
        <w:t>本</w:t>
      </w:r>
      <w:r>
        <w:rPr>
          <w:rFonts w:hint="eastAsia" w:ascii="宋体" w:hAnsi="宋体" w:eastAsia="宋体" w:cs="宋体"/>
          <w:lang w:val="en-US" w:eastAsia="zh-CN"/>
        </w:rPr>
        <w:t>标准界定</w:t>
      </w:r>
      <w:r>
        <w:rPr>
          <w:rFonts w:hint="eastAsia" w:ascii="宋体" w:hAnsi="宋体" w:eastAsia="宋体" w:cs="宋体"/>
          <w:lang w:eastAsia="zh-CN"/>
        </w:rPr>
        <w:t>了油茶林</w:t>
      </w:r>
      <w:r>
        <w:rPr>
          <w:rFonts w:hint="eastAsia" w:ascii="宋体" w:hAnsi="宋体" w:eastAsia="宋体" w:cs="宋体"/>
          <w:lang w:val="en-US" w:eastAsia="zh-CN"/>
        </w:rPr>
        <w:t>下种植的术语和定义，规定了</w:t>
      </w:r>
      <w:r>
        <w:rPr>
          <w:rFonts w:hint="eastAsia" w:ascii="宋体" w:hAnsi="宋体" w:eastAsia="宋体" w:cs="宋体"/>
          <w:lang w:eastAsia="zh-CN"/>
        </w:rPr>
        <w:t>岗梅（</w:t>
      </w:r>
      <w:r>
        <w:rPr>
          <w:rFonts w:hint="eastAsia" w:ascii="宋体" w:hAnsi="宋体" w:eastAsia="宋体" w:cs="宋体"/>
          <w:i/>
          <w:iCs/>
          <w:lang w:eastAsia="zh-CN"/>
        </w:rPr>
        <w:t>Ilex asprella</w:t>
      </w:r>
      <w:r>
        <w:rPr>
          <w:rFonts w:hint="eastAsia" w:ascii="宋体" w:hAnsi="宋体" w:eastAsia="宋体" w:cs="宋体"/>
          <w:highlight w:val="none"/>
          <w:lang w:eastAsia="zh-CN"/>
        </w:rPr>
        <w:t>.</w:t>
      </w:r>
      <w:r>
        <w:rPr>
          <w:rFonts w:hint="eastAsia" w:ascii="宋体" w:hAnsi="宋体" w:eastAsia="宋体" w:cs="宋体"/>
          <w:lang w:eastAsia="zh-CN"/>
        </w:rPr>
        <w:t>）</w:t>
      </w:r>
      <w:r>
        <w:rPr>
          <w:rFonts w:hint="eastAsia" w:ascii="宋体" w:hAnsi="宋体" w:eastAsia="宋体" w:cs="宋体"/>
          <w:highlight w:val="none"/>
          <w:lang w:val="en-US" w:eastAsia="zh-CN"/>
        </w:rPr>
        <w:t>种植地</w:t>
      </w:r>
      <w:r>
        <w:rPr>
          <w:rFonts w:hint="eastAsia" w:ascii="宋体" w:hAnsi="宋体" w:eastAsia="宋体" w:cs="宋体"/>
          <w:highlight w:val="none"/>
          <w:lang w:eastAsia="zh-CN"/>
        </w:rPr>
        <w:t>选择、</w:t>
      </w:r>
      <w:r>
        <w:rPr>
          <w:rFonts w:hint="eastAsia" w:ascii="宋体" w:hAnsi="宋体" w:eastAsia="宋体" w:cs="宋体"/>
          <w:highlight w:val="none"/>
          <w:lang w:val="en-US" w:eastAsia="zh-CN"/>
        </w:rPr>
        <w:t>整地、苗木</w:t>
      </w:r>
      <w:r>
        <w:rPr>
          <w:rFonts w:hint="eastAsia" w:ascii="宋体" w:hAnsi="宋体" w:eastAsia="宋体" w:cs="宋体"/>
          <w:highlight w:val="none"/>
          <w:lang w:eastAsia="zh-CN"/>
        </w:rPr>
        <w:t>选择、种植、</w:t>
      </w:r>
      <w:r>
        <w:rPr>
          <w:rFonts w:hint="eastAsia" w:ascii="宋体" w:hAnsi="宋体" w:eastAsia="宋体" w:cs="宋体"/>
          <w:highlight w:val="none"/>
          <w:lang w:val="en-US" w:eastAsia="zh-CN"/>
        </w:rPr>
        <w:t>抚育管理、病虫害防治、</w:t>
      </w:r>
      <w:r>
        <w:rPr>
          <w:rFonts w:hint="eastAsia" w:ascii="宋体" w:hAnsi="宋体" w:eastAsia="宋体" w:cs="宋体"/>
          <w:highlight w:val="none"/>
          <w:lang w:eastAsia="zh-CN"/>
        </w:rPr>
        <w:t>采收、</w:t>
      </w:r>
      <w:r>
        <w:rPr>
          <w:rFonts w:hint="eastAsia" w:ascii="宋体" w:hAnsi="宋体" w:eastAsia="宋体" w:cs="宋体"/>
          <w:highlight w:val="none"/>
          <w:lang w:val="en-US" w:eastAsia="zh-CN"/>
        </w:rPr>
        <w:t>档案管理</w:t>
      </w:r>
      <w:r>
        <w:rPr>
          <w:rFonts w:hint="eastAsia" w:ascii="宋体" w:hAnsi="宋体" w:eastAsia="宋体" w:cs="宋体"/>
          <w:highlight w:val="none"/>
          <w:lang w:eastAsia="zh-CN"/>
        </w:rPr>
        <w:t>等技术要求。</w:t>
      </w:r>
    </w:p>
    <w:p w14:paraId="3BDBB36E">
      <w:pPr>
        <w:pStyle w:val="56"/>
        <w:ind w:firstLine="420"/>
        <w:rPr>
          <w:rFonts w:hint="eastAsia" w:ascii="宋体" w:hAnsi="宋体" w:eastAsia="宋体" w:cs="宋体"/>
          <w:lang w:eastAsia="zh-CN"/>
        </w:rPr>
      </w:pPr>
      <w:r>
        <w:rPr>
          <w:rFonts w:hint="eastAsia" w:ascii="宋体" w:hAnsi="宋体" w:eastAsia="宋体" w:cs="宋体"/>
          <w:lang w:eastAsia="zh-CN"/>
        </w:rPr>
        <w:t>本文件适用于油茶林</w:t>
      </w:r>
      <w:r>
        <w:rPr>
          <w:rFonts w:hint="eastAsia" w:ascii="宋体" w:hAnsi="宋体" w:eastAsia="宋体" w:cs="宋体"/>
          <w:lang w:val="en-US" w:eastAsia="zh-CN"/>
        </w:rPr>
        <w:t>下</w:t>
      </w:r>
      <w:r>
        <w:rPr>
          <w:rFonts w:hint="eastAsia" w:ascii="宋体" w:hAnsi="宋体" w:eastAsia="宋体" w:cs="宋体"/>
          <w:lang w:eastAsia="zh-CN"/>
        </w:rPr>
        <w:t>岗梅</w:t>
      </w:r>
      <w:r>
        <w:rPr>
          <w:rFonts w:hint="eastAsia" w:ascii="宋体" w:hAnsi="宋体" w:eastAsia="宋体" w:cs="宋体"/>
          <w:lang w:val="en-US" w:eastAsia="zh-CN"/>
        </w:rPr>
        <w:t>的种植</w:t>
      </w:r>
      <w:r>
        <w:rPr>
          <w:rFonts w:hint="eastAsia" w:ascii="宋体" w:hAnsi="宋体" w:eastAsia="宋体" w:cs="宋体"/>
          <w:lang w:eastAsia="zh-CN"/>
        </w:rPr>
        <w:t>。</w:t>
      </w:r>
    </w:p>
    <w:p w14:paraId="767F512F">
      <w:pPr>
        <w:pStyle w:val="104"/>
        <w:spacing w:before="240" w:after="240"/>
      </w:pPr>
      <w:bookmarkStart w:id="42" w:name="_Toc26986531"/>
      <w:bookmarkStart w:id="43" w:name="_Toc26986772"/>
      <w:bookmarkStart w:id="44" w:name="_Toc97192965"/>
      <w:bookmarkStart w:id="45" w:name="_Toc26718931"/>
      <w:bookmarkStart w:id="46" w:name="_Toc30054"/>
      <w:bookmarkStart w:id="47" w:name="_Toc11842"/>
      <w:r>
        <w:rPr>
          <w:rFonts w:hint="eastAsia"/>
        </w:rPr>
        <w:t>规范性引用文件</w:t>
      </w:r>
      <w:bookmarkEnd w:id="37"/>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78956B8278AF41489B4C226600D2E8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D5A6A32">
          <w:pPr>
            <w:pStyle w:val="5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5A76EC">
      <w:pPr>
        <w:pStyle w:val="56"/>
        <w:ind w:firstLine="420"/>
        <w:rPr>
          <w:rFonts w:hint="eastAsia" w:ascii="宋体" w:hAnsi="宋体" w:eastAsia="宋体" w:cs="宋体"/>
          <w:lang w:eastAsia="zh-CN"/>
        </w:rPr>
      </w:pPr>
      <w:r>
        <w:rPr>
          <w:rFonts w:hint="eastAsia" w:ascii="宋体" w:hAnsi="宋体" w:eastAsia="宋体" w:cs="宋体"/>
          <w:lang w:eastAsia="zh-CN"/>
        </w:rPr>
        <w:t>GB 3095  环境空气质量标准</w:t>
      </w:r>
    </w:p>
    <w:p w14:paraId="7F81A6A1">
      <w:pPr>
        <w:pStyle w:val="56"/>
        <w:ind w:firstLine="420"/>
        <w:rPr>
          <w:rFonts w:hint="eastAsia" w:ascii="宋体" w:hAnsi="宋体" w:eastAsia="宋体" w:cs="宋体"/>
          <w:lang w:eastAsia="zh-CN"/>
        </w:rPr>
      </w:pPr>
      <w:r>
        <w:rPr>
          <w:rFonts w:hint="eastAsia" w:ascii="宋体" w:hAnsi="宋体" w:eastAsia="宋体" w:cs="宋体"/>
          <w:lang w:eastAsia="zh-CN"/>
        </w:rPr>
        <w:t>GB 5084  农田灌溉水质标准</w:t>
      </w:r>
    </w:p>
    <w:p w14:paraId="79CBF686">
      <w:pPr>
        <w:pStyle w:val="56"/>
        <w:ind w:firstLine="420"/>
        <w:rPr>
          <w:rFonts w:hint="eastAsia" w:ascii="宋体" w:hAnsi="宋体" w:eastAsia="宋体" w:cs="宋体"/>
          <w:lang w:eastAsia="zh-CN"/>
        </w:rPr>
      </w:pPr>
      <w:r>
        <w:rPr>
          <w:rFonts w:hint="eastAsia" w:ascii="宋体" w:hAnsi="宋体" w:eastAsia="宋体" w:cs="宋体"/>
          <w:lang w:eastAsia="zh-CN"/>
        </w:rPr>
        <w:t xml:space="preserve">GB/T 8321 </w:t>
      </w:r>
      <w:r>
        <w:rPr>
          <w:rFonts w:hint="eastAsia" w:ascii="宋体" w:hAnsi="宋体" w:eastAsia="宋体" w:cs="宋体"/>
          <w:lang w:val="en-US" w:eastAsia="zh-CN"/>
        </w:rPr>
        <w:t xml:space="preserve"> </w:t>
      </w:r>
      <w:r>
        <w:rPr>
          <w:rFonts w:hint="eastAsia" w:ascii="宋体" w:hAnsi="宋体" w:eastAsia="宋体" w:cs="宋体"/>
          <w:lang w:eastAsia="zh-CN"/>
        </w:rPr>
        <w:t>农药合理使用准则（所有部分）</w:t>
      </w:r>
    </w:p>
    <w:p w14:paraId="60A8A5DA">
      <w:pPr>
        <w:pStyle w:val="56"/>
        <w:ind w:firstLine="420"/>
        <w:rPr>
          <w:rFonts w:hint="eastAsia" w:ascii="宋体" w:hAnsi="宋体" w:eastAsia="宋体" w:cs="宋体"/>
          <w:lang w:eastAsia="zh-CN"/>
        </w:rPr>
      </w:pPr>
      <w:r>
        <w:rPr>
          <w:rFonts w:hint="eastAsia" w:ascii="宋体" w:hAnsi="宋体" w:eastAsia="宋体" w:cs="宋体"/>
          <w:lang w:eastAsia="zh-CN"/>
        </w:rPr>
        <w:t>GB 15618  土壤环境质量 农用地土壤污染风险管控标准（试行）</w:t>
      </w:r>
    </w:p>
    <w:p w14:paraId="3FCC5763">
      <w:pPr>
        <w:pStyle w:val="56"/>
        <w:ind w:firstLine="420"/>
        <w:rPr>
          <w:rFonts w:hint="eastAsia" w:ascii="宋体" w:hAnsi="宋体" w:eastAsia="宋体" w:cs="宋体"/>
          <w:lang w:eastAsia="zh-CN"/>
        </w:rPr>
      </w:pPr>
      <w:r>
        <w:rPr>
          <w:rFonts w:hint="eastAsia" w:ascii="宋体" w:hAnsi="宋体" w:eastAsia="宋体" w:cs="宋体"/>
          <w:lang w:eastAsia="zh-CN"/>
        </w:rPr>
        <w:t xml:space="preserve">NY/T 525 </w:t>
      </w:r>
      <w:r>
        <w:rPr>
          <w:rFonts w:hint="eastAsia" w:ascii="宋体" w:hAnsi="宋体" w:eastAsia="宋体" w:cs="宋体"/>
          <w:lang w:val="en-US" w:eastAsia="zh-CN"/>
        </w:rPr>
        <w:t xml:space="preserve"> </w:t>
      </w:r>
      <w:r>
        <w:rPr>
          <w:rFonts w:hint="eastAsia" w:ascii="宋体" w:hAnsi="宋体" w:eastAsia="宋体" w:cs="宋体"/>
          <w:lang w:eastAsia="zh-CN"/>
        </w:rPr>
        <w:t>有机肥料</w:t>
      </w:r>
    </w:p>
    <w:p w14:paraId="6B592CE0">
      <w:pPr>
        <w:pStyle w:val="56"/>
        <w:ind w:firstLine="420"/>
        <w:rPr>
          <w:rFonts w:hint="eastAsia" w:ascii="宋体" w:hAnsi="宋体" w:eastAsia="宋体" w:cs="宋体"/>
          <w:lang w:eastAsia="zh-CN"/>
        </w:rPr>
      </w:pPr>
      <w:r>
        <w:rPr>
          <w:rFonts w:hint="eastAsia" w:ascii="宋体" w:hAnsi="宋体" w:eastAsia="宋体" w:cs="宋体"/>
          <w:lang w:eastAsia="zh-CN"/>
        </w:rPr>
        <w:t xml:space="preserve">NY/T 1276 </w:t>
      </w:r>
      <w:r>
        <w:rPr>
          <w:rFonts w:hint="eastAsia" w:ascii="宋体" w:hAnsi="宋体" w:eastAsia="宋体" w:cs="宋体"/>
          <w:lang w:val="en-US" w:eastAsia="zh-CN"/>
        </w:rPr>
        <w:t xml:space="preserve"> </w:t>
      </w:r>
      <w:r>
        <w:rPr>
          <w:rFonts w:hint="eastAsia" w:ascii="宋体" w:hAnsi="宋体" w:eastAsia="宋体" w:cs="宋体"/>
          <w:lang w:eastAsia="zh-CN"/>
        </w:rPr>
        <w:t>农药安全使用规范 总则</w:t>
      </w:r>
    </w:p>
    <w:p w14:paraId="20C1D1D9">
      <w:pPr>
        <w:pStyle w:val="56"/>
        <w:ind w:firstLine="420"/>
        <w:rPr>
          <w:rFonts w:hint="eastAsia" w:ascii="宋体" w:hAnsi="宋体" w:eastAsia="宋体" w:cs="宋体"/>
          <w:lang w:eastAsia="zh-CN"/>
        </w:rPr>
      </w:pPr>
      <w:r>
        <w:rPr>
          <w:rFonts w:hint="eastAsia" w:ascii="宋体" w:hAnsi="宋体" w:eastAsia="宋体" w:cs="宋体"/>
          <w:lang w:eastAsia="zh-CN"/>
        </w:rPr>
        <w:t>DB45/T 472  油茶栽培技术规程</w:t>
      </w:r>
    </w:p>
    <w:p w14:paraId="178EC661">
      <w:pPr>
        <w:pStyle w:val="56"/>
        <w:ind w:firstLine="420"/>
        <w:rPr>
          <w:rFonts w:hint="eastAsia" w:ascii="宋体" w:hAnsi="宋体" w:eastAsia="宋体" w:cs="宋体"/>
          <w:lang w:val="en-US" w:eastAsia="zh-CN"/>
        </w:rPr>
      </w:pPr>
      <w:r>
        <w:rPr>
          <w:rFonts w:hint="eastAsia" w:ascii="宋体" w:hAnsi="宋体" w:eastAsia="宋体" w:cs="宋体"/>
          <w:lang w:val="en-US" w:eastAsia="zh-CN"/>
        </w:rPr>
        <w:t>DB45/T 532 无公害中药材  产地环境条件</w:t>
      </w:r>
    </w:p>
    <w:p w14:paraId="40EF840C">
      <w:pPr>
        <w:pStyle w:val="104"/>
        <w:spacing w:before="240" w:after="240"/>
      </w:pPr>
      <w:bookmarkStart w:id="48" w:name="_Toc97192966"/>
      <w:bookmarkStart w:id="49" w:name="_Toc26993"/>
      <w:bookmarkStart w:id="50" w:name="_Toc28126"/>
      <w:r>
        <w:rPr>
          <w:rFonts w:hint="eastAsia"/>
          <w:szCs w:val="21"/>
        </w:rPr>
        <w:t>术语和定义</w:t>
      </w:r>
      <w:bookmarkEnd w:id="48"/>
      <w:bookmarkEnd w:id="49"/>
      <w:bookmarkEnd w:id="50"/>
    </w:p>
    <w:sdt>
      <w:sdtPr>
        <w:id w:val="-1909835108"/>
        <w:placeholder>
          <w:docPart w:val="DD487E154D8B46B1811108614A11313A"/>
        </w:placeholder>
        <w:comboBox>
          <w:listItem w:displayText="点击并选择适当的引导语" w:value="点击并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723387E">
          <w:pPr>
            <w:pStyle w:val="56"/>
            <w:ind w:firstLine="420"/>
            <w:rPr>
              <w:rFonts w:hint="eastAsia" w:eastAsia="宋体"/>
              <w:lang w:eastAsia="zh-CN"/>
            </w:rPr>
          </w:pPr>
          <w:bookmarkStart w:id="51" w:name="_Toc26986532"/>
          <w:bookmarkEnd w:id="51"/>
          <w:r>
            <w:rPr>
              <w:rFonts w:ascii="Times New Roman" w:hAnsi="Times New Roman" w:eastAsia="宋体" w:cs="Times New Roman"/>
              <w:sz w:val="21"/>
              <w:lang w:val="en-US" w:eastAsia="zh-CN" w:bidi="ar-SA"/>
            </w:rPr>
            <w:t>下列术语和定义适用于本文件。</w:t>
          </w:r>
        </w:p>
      </w:sdtContent>
    </w:sdt>
    <w:p w14:paraId="79F23C14">
      <w:pPr>
        <w:pStyle w:val="223"/>
        <w:bidi w:val="0"/>
        <w:spacing w:after="0" w:afterLines="0"/>
        <w:ind w:left="420" w:hanging="420" w:hangingChars="200"/>
        <w:rPr>
          <w:rFonts w:hint="eastAsia" w:ascii="黑体" w:hAnsi="黑体" w:eastAsia="黑体" w:cs="黑体"/>
          <w:lang w:val="en-US" w:eastAsia="zh-CN"/>
        </w:rPr>
      </w:pPr>
      <w:r>
        <w:rPr>
          <w:rFonts w:hint="eastAsia" w:ascii="黑体" w:hAnsi="黑体" w:eastAsia="黑体" w:cs="黑体"/>
          <w:lang w:val="en-US" w:eastAsia="zh-CN"/>
        </w:rPr>
        <w:br w:type="textWrapping"/>
      </w:r>
      <w:r>
        <w:rPr>
          <w:rFonts w:hint="eastAsia" w:ascii="黑体" w:hAnsi="黑体" w:eastAsia="黑体" w:cs="黑体"/>
          <w:lang w:val="en-US" w:eastAsia="zh-CN"/>
        </w:rPr>
        <w:t>油茶林下种植 planted in Camellia oleifera forests</w:t>
      </w:r>
    </w:p>
    <w:p w14:paraId="5CF7D3A2">
      <w:pPr>
        <w:pStyle w:val="56"/>
        <w:ind w:firstLine="420"/>
        <w:rPr>
          <w:rFonts w:hint="eastAsia" w:ascii="宋体" w:hAnsi="宋体" w:eastAsia="宋体" w:cs="宋体"/>
          <w:lang w:eastAsia="zh-CN"/>
        </w:rPr>
      </w:pPr>
      <w:r>
        <w:rPr>
          <w:rFonts w:hint="eastAsia" w:ascii="宋体" w:hAnsi="宋体" w:eastAsia="宋体" w:cs="宋体"/>
        </w:rPr>
        <w:t>在</w:t>
      </w:r>
      <w:r>
        <w:rPr>
          <w:rFonts w:hint="eastAsia" w:ascii="宋体" w:hAnsi="宋体" w:cs="宋体"/>
          <w:lang w:val="en-US" w:eastAsia="zh-CN"/>
        </w:rPr>
        <w:t>油茶林下空间开展的种植活动</w:t>
      </w:r>
      <w:r>
        <w:rPr>
          <w:rFonts w:hint="eastAsia" w:ascii="宋体" w:hAnsi="宋体" w:eastAsia="宋体" w:cs="宋体"/>
          <w:lang w:eastAsia="zh-CN"/>
        </w:rPr>
        <w:t>。</w:t>
      </w:r>
    </w:p>
    <w:p w14:paraId="1E80F80D">
      <w:pPr>
        <w:pStyle w:val="223"/>
        <w:bidi w:val="0"/>
        <w:spacing w:after="0" w:afterLines="0"/>
        <w:ind w:left="420" w:hanging="420" w:hangingChars="200"/>
        <w:rPr>
          <w:rFonts w:hint="eastAsia" w:ascii="黑体" w:hAnsi="黑体" w:eastAsia="黑体" w:cs="黑体"/>
          <w:lang w:val="en-US" w:eastAsia="zh-CN"/>
        </w:rPr>
      </w:pPr>
      <w:r>
        <w:rPr>
          <w:rFonts w:hint="eastAsia" w:ascii="黑体" w:hAnsi="黑体" w:eastAsia="黑体" w:cs="黑体"/>
          <w:lang w:val="en-US" w:eastAsia="zh-CN"/>
        </w:rPr>
        <w:br w:type="textWrapping"/>
      </w:r>
      <w:r>
        <w:rPr>
          <w:rFonts w:hint="eastAsia" w:ascii="黑体" w:hAnsi="黑体" w:eastAsia="黑体" w:cs="黑体"/>
          <w:lang w:val="en-US" w:eastAsia="zh-CN"/>
        </w:rPr>
        <w:t xml:space="preserve">循环采伐 cyclic harvesting‌ </w:t>
      </w:r>
    </w:p>
    <w:p w14:paraId="5A47CBEF">
      <w:pPr>
        <w:pStyle w:val="56"/>
        <w:ind w:firstLine="420"/>
        <w:rPr>
          <w:rFonts w:hint="default" w:ascii="宋体" w:hAnsi="宋体" w:eastAsia="宋体" w:cs="宋体"/>
          <w:lang w:val="en-US" w:eastAsia="zh-CN"/>
        </w:rPr>
      </w:pPr>
      <w:r>
        <w:rPr>
          <w:rFonts w:hint="eastAsia" w:ascii="宋体" w:hAnsi="宋体" w:eastAsia="宋体" w:cs="宋体"/>
          <w:lang w:val="en-US" w:eastAsia="zh-CN"/>
        </w:rPr>
        <w:t>岗梅一次种植后，选择性采伐达到采伐标准</w:t>
      </w:r>
      <w:r>
        <w:rPr>
          <w:rFonts w:hint="eastAsia" w:ascii="宋体" w:hAnsi="宋体" w:cs="宋体"/>
          <w:lang w:val="en-US" w:eastAsia="zh-CN"/>
        </w:rPr>
        <w:t>的</w:t>
      </w:r>
      <w:r>
        <w:rPr>
          <w:rFonts w:hint="eastAsia" w:ascii="宋体" w:hAnsi="宋体" w:eastAsia="宋体" w:cs="宋体"/>
          <w:lang w:val="en-US" w:eastAsia="zh-CN"/>
        </w:rPr>
        <w:t>枝干，保留植株基部萌发新枝，实现多</w:t>
      </w:r>
      <w:r>
        <w:rPr>
          <w:rFonts w:hint="eastAsia" w:ascii="宋体" w:hAnsi="宋体" w:cs="宋体"/>
          <w:lang w:val="en-US" w:eastAsia="zh-CN"/>
        </w:rPr>
        <w:t>年连续采收</w:t>
      </w:r>
      <w:r>
        <w:rPr>
          <w:rFonts w:hint="eastAsia" w:ascii="宋体" w:hAnsi="宋体" w:eastAsia="宋体" w:cs="宋体"/>
          <w:lang w:val="en-US" w:eastAsia="zh-CN"/>
        </w:rPr>
        <w:t>的栽培方式。</w:t>
      </w:r>
    </w:p>
    <w:p w14:paraId="76FA66E2">
      <w:pPr>
        <w:pStyle w:val="104"/>
        <w:spacing w:before="240" w:after="240"/>
        <w:rPr>
          <w:rFonts w:hint="eastAsia"/>
          <w:szCs w:val="21"/>
        </w:rPr>
      </w:pPr>
      <w:bookmarkStart w:id="52" w:name="_Toc12140"/>
      <w:bookmarkStart w:id="53" w:name="_Toc14144"/>
      <w:r>
        <w:rPr>
          <w:rFonts w:hint="eastAsia"/>
          <w:szCs w:val="21"/>
          <w:lang w:val="en-US" w:eastAsia="zh-CN"/>
        </w:rPr>
        <w:t>种植</w:t>
      </w:r>
      <w:r>
        <w:rPr>
          <w:rFonts w:hint="eastAsia"/>
          <w:szCs w:val="21"/>
        </w:rPr>
        <w:t>地选择</w:t>
      </w:r>
      <w:bookmarkEnd w:id="52"/>
      <w:bookmarkEnd w:id="53"/>
    </w:p>
    <w:p w14:paraId="7F49EFE6">
      <w:pPr>
        <w:pStyle w:val="105"/>
        <w:bidi w:val="0"/>
        <w:rPr>
          <w:rFonts w:hint="eastAsia"/>
        </w:rPr>
      </w:pPr>
      <w:r>
        <w:rPr>
          <w:rFonts w:hint="eastAsia"/>
          <w:lang w:val="en-US" w:eastAsia="zh-CN"/>
        </w:rPr>
        <w:t>环境质量</w:t>
      </w:r>
    </w:p>
    <w:p w14:paraId="4D8FA2DB">
      <w:pPr>
        <w:pStyle w:val="56"/>
        <w:ind w:firstLine="420"/>
        <w:rPr>
          <w:rFonts w:hint="eastAsia" w:ascii="宋体" w:hAnsi="宋体" w:eastAsia="宋体" w:cs="宋体"/>
        </w:rPr>
      </w:pPr>
      <w:r>
        <w:rPr>
          <w:rFonts w:hint="eastAsia" w:ascii="宋体" w:hAnsi="宋体" w:eastAsia="宋体" w:cs="宋体"/>
          <w:lang w:eastAsia="zh-CN"/>
        </w:rPr>
        <w:t>种植地</w:t>
      </w:r>
      <w:r>
        <w:rPr>
          <w:rFonts w:hint="eastAsia" w:ascii="宋体" w:hAnsi="宋体" w:eastAsia="宋体" w:cs="宋体"/>
          <w:highlight w:val="none"/>
          <w:shd w:val="clear"/>
        </w:rPr>
        <w:t>空气环境质量应符合GB 3095中二级以上标准</w:t>
      </w:r>
      <w:r>
        <w:rPr>
          <w:rFonts w:hint="eastAsia" w:ascii="宋体" w:hAnsi="宋体" w:eastAsia="宋体" w:cs="宋体"/>
          <w:highlight w:val="none"/>
          <w:shd w:val="clear"/>
          <w:lang w:eastAsia="zh-CN"/>
        </w:rPr>
        <w:t>，</w:t>
      </w:r>
      <w:r>
        <w:rPr>
          <w:rFonts w:hint="eastAsia" w:ascii="宋体" w:hAnsi="宋体" w:eastAsia="宋体" w:cs="宋体"/>
          <w:lang w:eastAsia="zh-CN"/>
        </w:rPr>
        <w:t>其他环境质量应符合</w:t>
      </w:r>
      <w:r>
        <w:rPr>
          <w:rFonts w:hint="eastAsia" w:ascii="宋体" w:hAnsi="宋体" w:eastAsia="宋体" w:cs="宋体"/>
        </w:rPr>
        <w:t>DB45/T 532的规定。</w:t>
      </w:r>
    </w:p>
    <w:p w14:paraId="65D37FEC">
      <w:pPr>
        <w:pStyle w:val="105"/>
        <w:bidi w:val="0"/>
        <w:rPr>
          <w:rFonts w:hint="eastAsia"/>
          <w:lang w:val="en-US" w:eastAsia="zh-CN"/>
        </w:rPr>
      </w:pPr>
      <w:r>
        <w:rPr>
          <w:rFonts w:hint="eastAsia"/>
          <w:lang w:val="en-US" w:eastAsia="zh-CN"/>
        </w:rPr>
        <w:t>种植地条件</w:t>
      </w:r>
    </w:p>
    <w:p w14:paraId="49E0CD17">
      <w:pPr>
        <w:pStyle w:val="65"/>
        <w:bidi w:val="0"/>
        <w:rPr>
          <w:rFonts w:hint="eastAsia"/>
        </w:rPr>
      </w:pPr>
      <w:r>
        <w:rPr>
          <w:rFonts w:hint="eastAsia"/>
        </w:rPr>
        <w:t>海拔</w:t>
      </w:r>
    </w:p>
    <w:p w14:paraId="032B2689">
      <w:pPr>
        <w:pStyle w:val="56"/>
        <w:ind w:firstLine="420"/>
        <w:rPr>
          <w:rFonts w:hint="eastAsia" w:ascii="宋体" w:hAnsi="宋体" w:eastAsia="宋体" w:cs="宋体"/>
          <w:lang w:eastAsia="zh-CN"/>
        </w:rPr>
      </w:pPr>
      <w:r>
        <w:rPr>
          <w:rFonts w:hint="eastAsia" w:ascii="宋体" w:hAnsi="宋体" w:eastAsia="宋体" w:cs="宋体"/>
          <w:lang w:eastAsia="zh-CN"/>
        </w:rPr>
        <w:t>海拔≤1000</w:t>
      </w:r>
      <w:r>
        <w:rPr>
          <w:rFonts w:hint="eastAsia" w:ascii="宋体" w:hAnsi="宋体" w:eastAsia="宋体" w:cs="宋体"/>
          <w:vertAlign w:val="superscript"/>
          <w:lang w:val="en-US" w:eastAsia="zh-CN"/>
        </w:rPr>
        <w:t xml:space="preserve"> </w:t>
      </w:r>
      <w:r>
        <w:rPr>
          <w:rFonts w:hint="eastAsia" w:ascii="宋体" w:hAnsi="宋体" w:eastAsia="宋体" w:cs="宋体"/>
          <w:lang w:eastAsia="zh-CN"/>
        </w:rPr>
        <w:t>m，优先选择山谷、山坡下方等有自然遮阴的地块。</w:t>
      </w:r>
    </w:p>
    <w:p w14:paraId="534CE706">
      <w:pPr>
        <w:pStyle w:val="65"/>
        <w:bidi w:val="0"/>
        <w:rPr>
          <w:rFonts w:hint="eastAsia"/>
        </w:rPr>
      </w:pPr>
      <w:r>
        <w:rPr>
          <w:rFonts w:hint="eastAsia"/>
        </w:rPr>
        <w:t>土壤</w:t>
      </w:r>
    </w:p>
    <w:p w14:paraId="1BAC2E6C">
      <w:pPr>
        <w:pStyle w:val="56"/>
        <w:ind w:firstLine="420"/>
        <w:rPr>
          <w:rFonts w:hint="eastAsia" w:ascii="宋体" w:hAnsi="宋体" w:eastAsia="宋体" w:cs="宋体"/>
          <w:lang w:eastAsia="zh-CN"/>
        </w:rPr>
      </w:pPr>
      <w:r>
        <w:rPr>
          <w:rFonts w:hint="eastAsia" w:ascii="宋体" w:hAnsi="宋体" w:eastAsia="宋体" w:cs="宋体"/>
          <w:lang w:eastAsia="zh-CN"/>
        </w:rPr>
        <w:t>土层</w:t>
      </w:r>
      <w:r>
        <w:rPr>
          <w:rFonts w:hint="eastAsia" w:ascii="宋体" w:hAnsi="宋体" w:eastAsia="宋体" w:cs="宋体"/>
          <w:lang w:val="en-US" w:eastAsia="zh-CN"/>
        </w:rPr>
        <w:t>深</w:t>
      </w:r>
      <w:r>
        <w:rPr>
          <w:rFonts w:hint="eastAsia" w:ascii="宋体" w:hAnsi="宋体" w:eastAsia="宋体" w:cs="宋体"/>
          <w:lang w:eastAsia="zh-CN"/>
        </w:rPr>
        <w:t>≥50cm、疏松肥沃、腐殖质含量高、排水良好的红壤土</w:t>
      </w:r>
      <w:r>
        <w:rPr>
          <w:rFonts w:hint="eastAsia" w:ascii="宋体" w:hAnsi="宋体" w:eastAsia="宋体" w:cs="宋体"/>
          <w:lang w:val="en-US" w:eastAsia="zh-CN"/>
        </w:rPr>
        <w:t>或</w:t>
      </w:r>
      <w:r>
        <w:rPr>
          <w:rFonts w:hint="eastAsia" w:ascii="宋体" w:hAnsi="宋体" w:eastAsia="宋体" w:cs="宋体"/>
          <w:lang w:eastAsia="zh-CN"/>
        </w:rPr>
        <w:t>黄壤土，</w:t>
      </w:r>
      <w:r>
        <w:rPr>
          <w:rFonts w:hint="eastAsia" w:ascii="宋体" w:hAnsi="宋体" w:eastAsia="宋体" w:cs="宋体"/>
          <w:lang w:val="en-US" w:eastAsia="zh-CN"/>
        </w:rPr>
        <w:t>土壤</w:t>
      </w:r>
      <w:r>
        <w:rPr>
          <w:rFonts w:hint="eastAsia" w:ascii="宋体" w:hAnsi="宋体" w:eastAsia="宋体" w:cs="宋体"/>
          <w:lang w:eastAsia="zh-CN"/>
        </w:rPr>
        <w:t>pH值5.5</w:t>
      </w:r>
      <w:r>
        <w:rPr>
          <w:rFonts w:hint="eastAsia" w:ascii="宋体" w:hAnsi="宋体" w:eastAsia="宋体" w:cs="宋体"/>
          <w:lang w:val="en-US" w:eastAsia="zh-CN"/>
        </w:rPr>
        <w:t>～</w:t>
      </w:r>
      <w:r>
        <w:rPr>
          <w:rFonts w:hint="eastAsia" w:ascii="宋体" w:hAnsi="宋体" w:eastAsia="宋体" w:cs="宋体"/>
          <w:lang w:eastAsia="zh-CN"/>
        </w:rPr>
        <w:t>6.5，土壤质量应</w:t>
      </w:r>
      <w:r>
        <w:rPr>
          <w:rFonts w:hint="eastAsia" w:ascii="宋体" w:hAnsi="宋体" w:eastAsia="宋体" w:cs="宋体"/>
        </w:rPr>
        <w:t>符合GB 15618</w:t>
      </w:r>
      <w:r>
        <w:rPr>
          <w:rFonts w:hint="eastAsia" w:ascii="宋体" w:hAnsi="宋体" w:eastAsia="宋体" w:cs="宋体"/>
          <w:lang w:eastAsia="zh-CN"/>
        </w:rPr>
        <w:t>的规定。</w:t>
      </w:r>
    </w:p>
    <w:p w14:paraId="24293F33">
      <w:pPr>
        <w:pStyle w:val="65"/>
        <w:bidi w:val="0"/>
        <w:rPr>
          <w:rFonts w:hint="eastAsia"/>
        </w:rPr>
      </w:pPr>
      <w:r>
        <w:rPr>
          <w:rFonts w:hint="eastAsia"/>
          <w:lang w:val="en-US" w:eastAsia="zh-CN"/>
        </w:rPr>
        <w:t>地形</w:t>
      </w:r>
    </w:p>
    <w:p w14:paraId="23EEA515">
      <w:pPr>
        <w:pStyle w:val="56"/>
        <w:ind w:firstLine="420"/>
        <w:rPr>
          <w:rFonts w:hint="eastAsia" w:ascii="宋体" w:hAnsi="宋体" w:eastAsia="宋体" w:cs="宋体"/>
        </w:rPr>
      </w:pPr>
      <w:r>
        <w:rPr>
          <w:rFonts w:hint="eastAsia" w:ascii="宋体" w:hAnsi="宋体" w:eastAsia="宋体" w:cs="宋体"/>
        </w:rPr>
        <w:t>坡度≤30°，优先选择平缓丘陵、低山地块</w:t>
      </w:r>
      <w:r>
        <w:rPr>
          <w:rFonts w:hint="eastAsia" w:ascii="宋体" w:hAnsi="宋体" w:eastAsia="宋体" w:cs="宋体"/>
          <w:lang w:eastAsia="zh-CN"/>
        </w:rPr>
        <w:t>，</w:t>
      </w:r>
      <w:r>
        <w:rPr>
          <w:rFonts w:hint="eastAsia" w:ascii="宋体" w:hAnsi="宋体" w:eastAsia="宋体" w:cs="宋体"/>
          <w:lang w:val="en-US" w:eastAsia="zh-CN"/>
        </w:rPr>
        <w:t>忌低洼积水地</w:t>
      </w:r>
      <w:r>
        <w:rPr>
          <w:rFonts w:hint="eastAsia" w:ascii="宋体" w:hAnsi="宋体" w:eastAsia="宋体" w:cs="宋体"/>
          <w:lang w:eastAsia="zh-CN"/>
        </w:rPr>
        <w:t>。</w:t>
      </w:r>
    </w:p>
    <w:p w14:paraId="769BE6E6">
      <w:pPr>
        <w:pStyle w:val="65"/>
        <w:bidi w:val="0"/>
        <w:rPr>
          <w:rFonts w:hint="eastAsia"/>
        </w:rPr>
      </w:pPr>
      <w:r>
        <w:rPr>
          <w:rFonts w:hint="eastAsia"/>
        </w:rPr>
        <w:t>林地要求</w:t>
      </w:r>
    </w:p>
    <w:p w14:paraId="49CEDB41">
      <w:pPr>
        <w:pStyle w:val="56"/>
        <w:ind w:firstLine="420"/>
        <w:rPr>
          <w:rFonts w:hint="eastAsia" w:ascii="宋体" w:hAnsi="宋体" w:eastAsia="宋体" w:cs="宋体"/>
          <w:lang w:eastAsia="zh-CN"/>
        </w:rPr>
      </w:pPr>
      <w:r>
        <w:rPr>
          <w:rFonts w:hint="eastAsia" w:ascii="宋体" w:hAnsi="宋体" w:eastAsia="宋体" w:cs="宋体"/>
        </w:rPr>
        <w:t>油茶林郁闭度0.5</w:t>
      </w:r>
      <w:r>
        <w:rPr>
          <w:rFonts w:hint="eastAsia" w:ascii="宋体" w:hAnsi="宋体" w:eastAsia="宋体" w:cs="宋体"/>
          <w:lang w:val="en-US" w:eastAsia="zh-CN"/>
        </w:rPr>
        <w:t>～</w:t>
      </w:r>
      <w:r>
        <w:rPr>
          <w:rFonts w:hint="eastAsia" w:ascii="宋体" w:hAnsi="宋体" w:eastAsia="宋体" w:cs="宋体"/>
        </w:rPr>
        <w:t>0.7，岗梅种植距离</w:t>
      </w:r>
      <w:r>
        <w:rPr>
          <w:rFonts w:hint="eastAsia" w:ascii="宋体" w:hAnsi="宋体" w:eastAsia="宋体" w:cs="宋体"/>
          <w:lang w:val="en-US" w:eastAsia="zh-CN"/>
        </w:rPr>
        <w:t>油茶树根1</w:t>
      </w:r>
      <w:r>
        <w:rPr>
          <w:rFonts w:hint="eastAsia" w:ascii="宋体" w:hAnsi="宋体" w:eastAsia="宋体" w:cs="宋体"/>
          <w:vertAlign w:val="superscript"/>
          <w:lang w:val="en-US" w:eastAsia="zh-CN"/>
        </w:rPr>
        <w:t xml:space="preserve"> </w:t>
      </w:r>
      <w:r>
        <w:rPr>
          <w:rFonts w:hint="eastAsia" w:ascii="宋体" w:hAnsi="宋体" w:eastAsia="宋体" w:cs="宋体"/>
        </w:rPr>
        <w:t>m以上</w:t>
      </w:r>
      <w:r>
        <w:rPr>
          <w:rFonts w:hint="eastAsia" w:ascii="宋体" w:hAnsi="宋体" w:eastAsia="宋体" w:cs="宋体"/>
          <w:lang w:eastAsia="zh-CN"/>
        </w:rPr>
        <w:t>。</w:t>
      </w:r>
    </w:p>
    <w:p w14:paraId="057ED633">
      <w:pPr>
        <w:pStyle w:val="65"/>
        <w:bidi w:val="0"/>
        <w:rPr>
          <w:rFonts w:hint="eastAsia"/>
        </w:rPr>
      </w:pPr>
      <w:r>
        <w:rPr>
          <w:rFonts w:hint="eastAsia"/>
        </w:rPr>
        <w:t>配套</w:t>
      </w:r>
      <w:r>
        <w:rPr>
          <w:rFonts w:hint="eastAsia"/>
          <w:lang w:val="en-US" w:eastAsia="zh-CN"/>
        </w:rPr>
        <w:t>条件</w:t>
      </w:r>
    </w:p>
    <w:p w14:paraId="42429C7B">
      <w:pPr>
        <w:pStyle w:val="56"/>
        <w:ind w:firstLine="420"/>
        <w:rPr>
          <w:rFonts w:hint="eastAsia"/>
          <w:lang w:eastAsia="zh-CN"/>
        </w:rPr>
      </w:pPr>
      <w:r>
        <w:rPr>
          <w:rFonts w:hint="eastAsia"/>
          <w:lang w:eastAsia="zh-CN"/>
        </w:rPr>
        <w:t>近水源、交通便利，便于种植及采收运输。</w:t>
      </w:r>
    </w:p>
    <w:p w14:paraId="300E207B">
      <w:pPr>
        <w:pStyle w:val="104"/>
        <w:spacing w:before="240" w:after="240"/>
        <w:rPr>
          <w:rFonts w:hint="eastAsia"/>
          <w:szCs w:val="21"/>
          <w:lang w:val="en-US" w:eastAsia="zh-CN"/>
        </w:rPr>
      </w:pPr>
      <w:bookmarkStart w:id="54" w:name="_Toc15062"/>
      <w:bookmarkStart w:id="55" w:name="_Toc32170"/>
      <w:r>
        <w:rPr>
          <w:rFonts w:hint="eastAsia"/>
          <w:szCs w:val="21"/>
          <w:lang w:val="en-US" w:eastAsia="zh-CN"/>
        </w:rPr>
        <w:t>整地</w:t>
      </w:r>
      <w:bookmarkEnd w:id="54"/>
      <w:bookmarkEnd w:id="55"/>
    </w:p>
    <w:p w14:paraId="407F0001">
      <w:pPr>
        <w:pStyle w:val="105"/>
        <w:bidi w:val="0"/>
        <w:rPr>
          <w:rFonts w:hint="eastAsia"/>
          <w:lang w:val="en-US" w:eastAsia="zh-CN"/>
        </w:rPr>
      </w:pPr>
      <w:r>
        <w:rPr>
          <w:rFonts w:hint="eastAsia"/>
          <w:lang w:val="en-US" w:eastAsia="zh-CN"/>
        </w:rPr>
        <w:t>林地清理</w:t>
      </w:r>
    </w:p>
    <w:p w14:paraId="565BBD56">
      <w:pPr>
        <w:pStyle w:val="56"/>
        <w:ind w:firstLine="420"/>
        <w:rPr>
          <w:rFonts w:hint="eastAsia"/>
          <w:lang w:eastAsia="zh-CN"/>
        </w:rPr>
      </w:pPr>
      <w:r>
        <w:rPr>
          <w:rFonts w:hint="eastAsia"/>
          <w:lang w:eastAsia="zh-CN"/>
        </w:rPr>
        <w:t>种植前，</w:t>
      </w:r>
      <w:r>
        <w:rPr>
          <w:rFonts w:hint="eastAsia"/>
          <w:lang w:val="en-US" w:eastAsia="zh-CN"/>
        </w:rPr>
        <w:t>清理油茶林地内或林下</w:t>
      </w:r>
      <w:r>
        <w:rPr>
          <w:rFonts w:hint="eastAsia"/>
          <w:lang w:eastAsia="zh-CN"/>
        </w:rPr>
        <w:t>影响岗梅生长的杂草、杂灌、枯枝落叶</w:t>
      </w:r>
      <w:r>
        <w:rPr>
          <w:rFonts w:hint="eastAsia"/>
          <w:lang w:val="en-US" w:eastAsia="zh-CN"/>
        </w:rPr>
        <w:t>及碎石</w:t>
      </w:r>
      <w:r>
        <w:rPr>
          <w:rFonts w:hint="eastAsia"/>
          <w:lang w:eastAsia="zh-CN"/>
        </w:rPr>
        <w:t>。</w:t>
      </w:r>
    </w:p>
    <w:p w14:paraId="2CB6FA9E">
      <w:pPr>
        <w:pStyle w:val="105"/>
        <w:bidi w:val="0"/>
        <w:rPr>
          <w:rFonts w:hint="eastAsia"/>
          <w:lang w:val="en-US" w:eastAsia="zh-CN"/>
        </w:rPr>
      </w:pPr>
      <w:r>
        <w:rPr>
          <w:rFonts w:hint="eastAsia"/>
          <w:lang w:val="en-US" w:eastAsia="zh-CN"/>
        </w:rPr>
        <w:t>挖穴</w:t>
      </w:r>
    </w:p>
    <w:p w14:paraId="1F84488A">
      <w:pPr>
        <w:pStyle w:val="56"/>
        <w:ind w:firstLine="420"/>
        <w:rPr>
          <w:rFonts w:hint="eastAsia" w:ascii="宋体" w:hAnsi="宋体" w:eastAsia="宋体" w:cs="宋体"/>
          <w:lang w:eastAsia="zh-CN"/>
        </w:rPr>
      </w:pPr>
      <w:r>
        <w:rPr>
          <w:rFonts w:hint="eastAsia" w:ascii="宋体" w:hAnsi="宋体" w:eastAsia="宋体" w:cs="宋体"/>
        </w:rPr>
        <w:t>距</w:t>
      </w:r>
      <w:r>
        <w:rPr>
          <w:rFonts w:hint="eastAsia" w:ascii="宋体" w:hAnsi="宋体" w:eastAsia="宋体" w:cs="宋体"/>
          <w:lang w:val="en-US" w:eastAsia="zh-CN"/>
        </w:rPr>
        <w:t>油茶树根1</w:t>
      </w:r>
      <w:r>
        <w:rPr>
          <w:rFonts w:hint="eastAsia" w:ascii="宋体" w:hAnsi="宋体" w:eastAsia="宋体" w:cs="宋体"/>
          <w:vertAlign w:val="superscript"/>
        </w:rPr>
        <w:t xml:space="preserve"> </w:t>
      </w:r>
      <w:r>
        <w:rPr>
          <w:rFonts w:hint="eastAsia" w:ascii="宋体" w:hAnsi="宋体" w:eastAsia="宋体" w:cs="宋体"/>
        </w:rPr>
        <w:t>m以外的行间株间挖穴，栽植</w:t>
      </w:r>
      <w:r>
        <w:rPr>
          <w:rFonts w:hint="eastAsia" w:ascii="宋体" w:hAnsi="宋体" w:eastAsia="宋体" w:cs="宋体"/>
          <w:lang w:val="en-US" w:eastAsia="zh-CN"/>
        </w:rPr>
        <w:t>密度2.1</w:t>
      </w:r>
      <w:r>
        <w:rPr>
          <w:rFonts w:hint="eastAsia" w:ascii="宋体" w:hAnsi="宋体" w:eastAsia="宋体" w:cs="宋体"/>
          <w:vertAlign w:val="superscript"/>
          <w:lang w:val="en-US" w:eastAsia="zh-CN"/>
        </w:rPr>
        <w:t xml:space="preserve"> </w:t>
      </w:r>
      <w:r>
        <w:rPr>
          <w:rFonts w:hint="eastAsia" w:ascii="宋体" w:hAnsi="宋体" w:eastAsia="宋体" w:cs="宋体"/>
          <w:vertAlign w:val="superscript"/>
        </w:rPr>
        <w:t xml:space="preserve"> </w:t>
      </w:r>
      <w:r>
        <w:rPr>
          <w:rFonts w:hint="eastAsia" w:ascii="宋体" w:hAnsi="宋体" w:eastAsia="宋体" w:cs="宋体"/>
          <w:szCs w:val="21"/>
        </w:rPr>
        <w:t>m×</w:t>
      </w:r>
      <w:r>
        <w:rPr>
          <w:rFonts w:hint="eastAsia" w:ascii="宋体" w:hAnsi="宋体" w:eastAsia="宋体" w:cs="宋体"/>
          <w:szCs w:val="21"/>
          <w:lang w:val="en-US" w:eastAsia="zh-CN"/>
        </w:rPr>
        <w:t>2.1</w:t>
      </w:r>
      <w:r>
        <w:rPr>
          <w:rFonts w:hint="eastAsia" w:ascii="宋体" w:hAnsi="宋体" w:eastAsia="宋体" w:cs="宋体"/>
          <w:vertAlign w:val="superscript"/>
        </w:rPr>
        <w:t xml:space="preserve"> </w:t>
      </w:r>
      <w:r>
        <w:rPr>
          <w:rFonts w:hint="eastAsia" w:ascii="宋体" w:hAnsi="宋体" w:eastAsia="宋体" w:cs="宋体"/>
          <w:szCs w:val="21"/>
        </w:rPr>
        <w:t>m</w:t>
      </w:r>
      <w:r>
        <w:rPr>
          <w:rFonts w:hint="eastAsia" w:ascii="宋体" w:hAnsi="宋体" w:eastAsia="宋体" w:cs="宋体"/>
        </w:rPr>
        <w:t>，挖穴规格0.</w:t>
      </w:r>
      <w:r>
        <w:rPr>
          <w:rFonts w:hint="eastAsia" w:ascii="宋体" w:hAnsi="宋体" w:eastAsia="宋体" w:cs="宋体"/>
          <w:lang w:val="en-US" w:eastAsia="zh-CN"/>
        </w:rPr>
        <w:t>3</w:t>
      </w:r>
      <w:r>
        <w:rPr>
          <w:rFonts w:hint="eastAsia" w:ascii="宋体" w:hAnsi="宋体" w:eastAsia="宋体" w:cs="宋体"/>
          <w:vertAlign w:val="superscript"/>
        </w:rPr>
        <w:t xml:space="preserve"> </w:t>
      </w:r>
      <w:r>
        <w:rPr>
          <w:rFonts w:hint="eastAsia" w:ascii="宋体" w:hAnsi="宋体" w:eastAsia="宋体" w:cs="宋体"/>
        </w:rPr>
        <w:t>m×0.</w:t>
      </w:r>
      <w:r>
        <w:rPr>
          <w:rFonts w:hint="eastAsia" w:ascii="宋体" w:hAnsi="宋体" w:eastAsia="宋体" w:cs="宋体"/>
          <w:lang w:val="en-US" w:eastAsia="zh-CN"/>
        </w:rPr>
        <w:t>3</w:t>
      </w:r>
      <w:r>
        <w:rPr>
          <w:rFonts w:hint="eastAsia" w:ascii="宋体" w:hAnsi="宋体" w:eastAsia="宋体" w:cs="宋体"/>
          <w:vertAlign w:val="superscript"/>
        </w:rPr>
        <w:t xml:space="preserve"> </w:t>
      </w:r>
      <w:r>
        <w:rPr>
          <w:rFonts w:hint="eastAsia" w:ascii="宋体" w:hAnsi="宋体" w:eastAsia="宋体" w:cs="宋体"/>
        </w:rPr>
        <w:t>m×0.</w:t>
      </w:r>
      <w:r>
        <w:rPr>
          <w:rFonts w:hint="eastAsia" w:ascii="宋体" w:hAnsi="宋体" w:eastAsia="宋体" w:cs="宋体"/>
          <w:lang w:val="en-US" w:eastAsia="zh-CN"/>
        </w:rPr>
        <w:t>4</w:t>
      </w:r>
      <w:r>
        <w:rPr>
          <w:rFonts w:hint="eastAsia" w:ascii="宋体" w:hAnsi="宋体" w:eastAsia="宋体" w:cs="宋体"/>
          <w:vertAlign w:val="superscript"/>
        </w:rPr>
        <w:t xml:space="preserve"> </w:t>
      </w:r>
      <w:r>
        <w:rPr>
          <w:rFonts w:hint="eastAsia" w:ascii="宋体" w:hAnsi="宋体" w:eastAsia="宋体" w:cs="宋体"/>
        </w:rPr>
        <w:t>m</w:t>
      </w:r>
      <w:r>
        <w:rPr>
          <w:rFonts w:hint="eastAsia" w:ascii="宋体" w:hAnsi="宋体" w:eastAsia="宋体" w:cs="宋体"/>
          <w:lang w:eastAsia="zh-CN"/>
        </w:rPr>
        <w:t>。</w:t>
      </w:r>
    </w:p>
    <w:p w14:paraId="0009EE2D">
      <w:pPr>
        <w:pStyle w:val="104"/>
        <w:spacing w:before="240" w:after="240"/>
        <w:rPr>
          <w:rFonts w:hint="eastAsia"/>
          <w:szCs w:val="21"/>
          <w:lang w:val="en-US" w:eastAsia="zh-CN"/>
        </w:rPr>
      </w:pPr>
      <w:bookmarkStart w:id="56" w:name="_Toc30078"/>
      <w:bookmarkStart w:id="57" w:name="_Toc20778"/>
      <w:r>
        <w:rPr>
          <w:rFonts w:hint="eastAsia"/>
          <w:szCs w:val="21"/>
          <w:lang w:val="en-US" w:eastAsia="zh-CN"/>
        </w:rPr>
        <w:t>苗木选择</w:t>
      </w:r>
      <w:bookmarkEnd w:id="56"/>
      <w:bookmarkEnd w:id="57"/>
    </w:p>
    <w:p w14:paraId="75BDFCCD">
      <w:pPr>
        <w:pStyle w:val="56"/>
        <w:rPr>
          <w:rFonts w:hint="eastAsia" w:ascii="宋体" w:hAnsi="宋体" w:eastAsia="宋体" w:cs="宋体"/>
          <w:lang w:val="en-US" w:eastAsia="zh-CN"/>
        </w:rPr>
      </w:pPr>
      <w:r>
        <w:rPr>
          <w:rFonts w:hint="eastAsia" w:ascii="宋体" w:hAnsi="宋体" w:eastAsia="宋体" w:cs="宋体"/>
          <w:lang w:val="en-US" w:eastAsia="zh-CN"/>
        </w:rPr>
        <w:t>苗龄6个月左右，叶色正常、无病虫害、无断顶的建壮苗，苗木地径0.5</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cm以上，苗高50</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cm～60</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cm，根系发达完整，茎秆粗壮，无纺布营养袋苗。</w:t>
      </w:r>
    </w:p>
    <w:p w14:paraId="014C1985">
      <w:pPr>
        <w:pStyle w:val="104"/>
        <w:spacing w:before="240" w:after="240"/>
        <w:rPr>
          <w:rFonts w:hint="eastAsia"/>
          <w:szCs w:val="21"/>
          <w:lang w:val="en-US" w:eastAsia="zh-CN"/>
        </w:rPr>
      </w:pPr>
      <w:bookmarkStart w:id="58" w:name="_Toc4097"/>
      <w:bookmarkStart w:id="59" w:name="_Toc30498"/>
      <w:r>
        <w:rPr>
          <w:rFonts w:hint="eastAsia"/>
          <w:szCs w:val="21"/>
          <w:lang w:val="en-US" w:eastAsia="zh-CN"/>
        </w:rPr>
        <w:t>林下种植</w:t>
      </w:r>
      <w:bookmarkEnd w:id="58"/>
      <w:bookmarkEnd w:id="59"/>
    </w:p>
    <w:p w14:paraId="3A5436DE">
      <w:pPr>
        <w:pStyle w:val="105"/>
        <w:bidi w:val="0"/>
        <w:rPr>
          <w:rFonts w:hint="eastAsia"/>
          <w:lang w:val="en-US" w:eastAsia="zh-CN"/>
        </w:rPr>
      </w:pPr>
      <w:r>
        <w:rPr>
          <w:rFonts w:hint="eastAsia"/>
          <w:lang w:val="en-US" w:eastAsia="zh-CN"/>
        </w:rPr>
        <w:t>种植时间</w:t>
      </w:r>
    </w:p>
    <w:p w14:paraId="1658112D">
      <w:pPr>
        <w:pStyle w:val="56"/>
        <w:ind w:firstLine="420"/>
        <w:rPr>
          <w:rFonts w:hint="eastAsia" w:ascii="宋体" w:hAnsi="宋体" w:eastAsia="宋体" w:cs="宋体"/>
        </w:rPr>
      </w:pPr>
      <w:r>
        <w:rPr>
          <w:rFonts w:hint="eastAsia" w:ascii="宋体" w:hAnsi="宋体" w:eastAsia="宋体" w:cs="宋体"/>
        </w:rPr>
        <w:t>11月</w:t>
      </w:r>
      <w:r>
        <w:rPr>
          <w:rFonts w:hint="eastAsia" w:ascii="宋体" w:hAnsi="宋体" w:eastAsia="宋体" w:cs="宋体"/>
          <w:lang w:val="en-US" w:eastAsia="zh-CN"/>
        </w:rPr>
        <w:t>至</w:t>
      </w:r>
      <w:r>
        <w:rPr>
          <w:rFonts w:hint="eastAsia" w:ascii="宋体" w:hAnsi="宋体" w:eastAsia="宋体" w:cs="宋体"/>
        </w:rPr>
        <w:t>次年4月上旬</w:t>
      </w:r>
      <w:r>
        <w:rPr>
          <w:rFonts w:hint="eastAsia" w:ascii="宋体" w:hAnsi="宋体" w:eastAsia="宋体" w:cs="宋体"/>
          <w:lang w:eastAsia="zh-CN"/>
        </w:rPr>
        <w:t>，</w:t>
      </w:r>
      <w:r>
        <w:rPr>
          <w:rFonts w:hint="eastAsia" w:ascii="宋体" w:hAnsi="宋体" w:eastAsia="宋体" w:cs="宋体"/>
        </w:rPr>
        <w:t>阴雨天种植</w:t>
      </w:r>
      <w:r>
        <w:rPr>
          <w:rFonts w:hint="eastAsia" w:ascii="宋体" w:hAnsi="宋体" w:eastAsia="宋体" w:cs="宋体"/>
          <w:lang w:eastAsia="zh-CN"/>
        </w:rPr>
        <w:t>，</w:t>
      </w:r>
      <w:r>
        <w:rPr>
          <w:rFonts w:hint="eastAsia" w:ascii="宋体" w:hAnsi="宋体" w:eastAsia="宋体" w:cs="宋体"/>
          <w:lang w:val="en-US" w:eastAsia="zh-CN"/>
        </w:rPr>
        <w:t>避免晴天高温时段定植，减少种苗失水</w:t>
      </w:r>
      <w:r>
        <w:rPr>
          <w:rFonts w:hint="eastAsia" w:ascii="宋体" w:hAnsi="宋体" w:eastAsia="宋体" w:cs="宋体"/>
          <w:lang w:eastAsia="zh-CN"/>
        </w:rPr>
        <w:t>。</w:t>
      </w:r>
    </w:p>
    <w:p w14:paraId="3FF9772E">
      <w:pPr>
        <w:pStyle w:val="105"/>
        <w:bidi w:val="0"/>
        <w:rPr>
          <w:rFonts w:hint="eastAsia"/>
          <w:lang w:val="en-US" w:eastAsia="zh-CN"/>
        </w:rPr>
      </w:pPr>
      <w:r>
        <w:rPr>
          <w:rFonts w:hint="eastAsia"/>
          <w:lang w:val="en-US" w:eastAsia="zh-CN"/>
        </w:rPr>
        <w:t>种植</w:t>
      </w:r>
    </w:p>
    <w:p w14:paraId="0DDCE330">
      <w:pPr>
        <w:pStyle w:val="56"/>
        <w:ind w:firstLine="420"/>
        <w:rPr>
          <w:highlight w:val="yellow"/>
        </w:rPr>
      </w:pPr>
      <w:r>
        <w:rPr>
          <w:rFonts w:hint="eastAsia" w:ascii="宋体" w:hAnsi="宋体" w:cs="宋体"/>
          <w:highlight w:val="none"/>
          <w:lang w:val="en-US" w:eastAsia="zh-CN"/>
        </w:rPr>
        <w:t>种植</w:t>
      </w:r>
      <w:r>
        <w:rPr>
          <w:rFonts w:hint="eastAsia" w:ascii="宋体" w:hAnsi="宋体" w:eastAsia="宋体" w:cs="宋体"/>
          <w:highlight w:val="none"/>
        </w:rPr>
        <w:t>密度</w:t>
      </w:r>
      <w:r>
        <w:rPr>
          <w:rFonts w:hint="eastAsia" w:ascii="宋体" w:hAnsi="宋体" w:cs="宋体"/>
          <w:highlight w:val="none"/>
          <w:lang w:val="en-US" w:eastAsia="zh-CN"/>
        </w:rPr>
        <w:t>146</w:t>
      </w:r>
      <w:r>
        <w:rPr>
          <w:rFonts w:hint="eastAsia" w:ascii="宋体" w:hAnsi="宋体" w:cs="宋体"/>
          <w:highlight w:val="none"/>
          <w:vertAlign w:val="superscript"/>
          <w:lang w:val="en-US" w:eastAsia="zh-CN"/>
        </w:rPr>
        <w:t xml:space="preserve"> </w:t>
      </w:r>
      <w:r>
        <w:rPr>
          <w:rFonts w:hint="eastAsia" w:ascii="宋体" w:hAnsi="宋体" w:eastAsia="宋体" w:cs="宋体"/>
          <w:highlight w:val="none"/>
        </w:rPr>
        <w:t>株</w:t>
      </w:r>
      <w:r>
        <w:rPr>
          <w:rFonts w:hint="eastAsia" w:ascii="宋体" w:hAnsi="宋体" w:cs="宋体"/>
          <w:highlight w:val="none"/>
          <w:lang w:val="en-US" w:eastAsia="zh-CN"/>
        </w:rPr>
        <w:t>/667</w:t>
      </w:r>
      <w:r>
        <w:rPr>
          <w:rFonts w:hint="eastAsia" w:ascii="宋体" w:hAnsi="宋体" w:cs="宋体"/>
          <w:highlight w:val="none"/>
          <w:vertAlign w:val="superscript"/>
          <w:lang w:val="en-US" w:eastAsia="zh-CN"/>
        </w:rPr>
        <w:t xml:space="preserve"> </w:t>
      </w:r>
      <w:r>
        <w:rPr>
          <w:rFonts w:hint="eastAsia" w:ascii="宋体" w:hAnsi="宋体" w:cs="宋体"/>
          <w:highlight w:val="none"/>
          <w:lang w:val="en-US" w:eastAsia="zh-CN"/>
        </w:rPr>
        <w:t>m</w:t>
      </w:r>
      <w:r>
        <w:rPr>
          <w:rFonts w:hint="eastAsia" w:ascii="宋体" w:hAnsi="宋体" w:cs="宋体"/>
          <w:highlight w:val="none"/>
          <w:vertAlign w:val="superscript"/>
          <w:lang w:val="en-US" w:eastAsia="zh-CN"/>
        </w:rPr>
        <w:t>2</w:t>
      </w:r>
      <w:r>
        <w:rPr>
          <w:rFonts w:hint="eastAsia" w:ascii="宋体" w:hAnsi="宋体" w:cs="宋体"/>
          <w:highlight w:val="none"/>
          <w:lang w:eastAsia="zh-CN"/>
        </w:rPr>
        <w:t>，</w:t>
      </w:r>
      <w:r>
        <w:rPr>
          <w:rFonts w:hint="eastAsia" w:ascii="宋体" w:hAnsi="宋体" w:eastAsia="宋体" w:cs="宋体"/>
        </w:rPr>
        <w:t>将种苗放入穴中，充分展开根须，回填土壤分层踩实，根颈高于地面2</w:t>
      </w:r>
      <w:r>
        <w:rPr>
          <w:rFonts w:hint="eastAsia" w:ascii="宋体" w:hAnsi="宋体" w:cs="宋体"/>
          <w:vertAlign w:val="superscript"/>
          <w:lang w:val="en-US" w:eastAsia="zh-CN"/>
        </w:rPr>
        <w:t xml:space="preserve"> </w:t>
      </w:r>
      <w:r>
        <w:rPr>
          <w:rFonts w:hint="eastAsia" w:ascii="宋体" w:hAnsi="宋体" w:cs="宋体"/>
          <w:lang w:val="en-US" w:eastAsia="zh-CN"/>
        </w:rPr>
        <w:t>cm</w:t>
      </w:r>
      <w:r>
        <w:rPr>
          <w:rFonts w:hint="eastAsia" w:ascii="宋体" w:hAnsi="宋体" w:eastAsia="宋体" w:cs="宋体"/>
          <w:lang w:val="en-US" w:eastAsia="zh-CN"/>
        </w:rPr>
        <w:t>～</w:t>
      </w:r>
      <w:r>
        <w:rPr>
          <w:rFonts w:hint="eastAsia" w:ascii="宋体" w:hAnsi="宋体" w:eastAsia="宋体" w:cs="宋体"/>
        </w:rPr>
        <w:t>3</w:t>
      </w:r>
      <w:r>
        <w:rPr>
          <w:rFonts w:hint="eastAsia" w:ascii="宋体" w:hAnsi="宋体" w:cs="宋体"/>
          <w:vertAlign w:val="superscript"/>
          <w:lang w:val="en-US" w:eastAsia="zh-CN"/>
        </w:rPr>
        <w:t xml:space="preserve"> </w:t>
      </w:r>
      <w:r>
        <w:rPr>
          <w:rFonts w:hint="eastAsia" w:ascii="宋体" w:hAnsi="宋体" w:eastAsia="宋体" w:cs="宋体"/>
        </w:rPr>
        <w:t>cm，浇足定根水；苗盘覆盖稻草</w:t>
      </w:r>
      <w:r>
        <w:rPr>
          <w:rFonts w:hint="eastAsia" w:ascii="宋体" w:hAnsi="宋体" w:cs="宋体"/>
          <w:lang w:val="en-US" w:eastAsia="zh-CN"/>
        </w:rPr>
        <w:t>/</w:t>
      </w:r>
      <w:r>
        <w:rPr>
          <w:rFonts w:hint="eastAsia" w:ascii="宋体" w:hAnsi="宋体" w:eastAsia="宋体" w:cs="宋体"/>
        </w:rPr>
        <w:t>杂草。</w:t>
      </w:r>
    </w:p>
    <w:p w14:paraId="6E044EA6">
      <w:pPr>
        <w:pStyle w:val="105"/>
        <w:bidi w:val="0"/>
        <w:rPr>
          <w:rFonts w:hint="eastAsia"/>
          <w:lang w:val="en-US" w:eastAsia="zh-CN"/>
        </w:rPr>
      </w:pPr>
      <w:r>
        <w:rPr>
          <w:rFonts w:hint="eastAsia"/>
          <w:lang w:val="en-US" w:eastAsia="zh-CN"/>
        </w:rPr>
        <w:t>补植</w:t>
      </w:r>
    </w:p>
    <w:p w14:paraId="364A2892">
      <w:pPr>
        <w:pStyle w:val="56"/>
        <w:ind w:firstLine="420"/>
        <w:rPr>
          <w:rFonts w:hint="eastAsia" w:ascii="宋体" w:hAnsi="宋体" w:eastAsia="宋体" w:cs="宋体"/>
          <w:lang w:eastAsia="zh-CN"/>
        </w:rPr>
      </w:pPr>
      <w:r>
        <w:rPr>
          <w:rFonts w:hint="eastAsia" w:ascii="宋体" w:hAnsi="宋体" w:eastAsia="宋体" w:cs="宋体"/>
        </w:rPr>
        <w:t>定植后30</w:t>
      </w:r>
      <w:r>
        <w:rPr>
          <w:rFonts w:hint="eastAsia" w:ascii="宋体" w:hAnsi="宋体" w:eastAsia="宋体" w:cs="宋体"/>
          <w:vertAlign w:val="superscript"/>
          <w:lang w:val="en-US" w:eastAsia="zh-CN"/>
        </w:rPr>
        <w:t xml:space="preserve"> </w:t>
      </w:r>
      <w:r>
        <w:rPr>
          <w:rFonts w:hint="eastAsia" w:ascii="宋体" w:hAnsi="宋体" w:eastAsia="宋体" w:cs="宋体"/>
        </w:rPr>
        <w:t>d内检查成活情况，发现死苗、缺苗及时补植，选用同规格合格种苗，补植后加强水肥管理，成活率≥85%；补植时间同种植时间</w:t>
      </w:r>
      <w:r>
        <w:rPr>
          <w:rFonts w:hint="eastAsia" w:ascii="宋体" w:hAnsi="宋体" w:eastAsia="宋体" w:cs="宋体"/>
          <w:lang w:eastAsia="zh-CN"/>
        </w:rPr>
        <w:t>。</w:t>
      </w:r>
    </w:p>
    <w:p w14:paraId="65DBBEA3">
      <w:pPr>
        <w:pStyle w:val="104"/>
        <w:spacing w:before="240" w:after="240"/>
        <w:rPr>
          <w:rFonts w:hint="default"/>
          <w:szCs w:val="21"/>
          <w:lang w:val="en-US" w:eastAsia="zh-CN"/>
        </w:rPr>
      </w:pPr>
      <w:bookmarkStart w:id="60" w:name="_Toc32114"/>
      <w:bookmarkStart w:id="61" w:name="_Toc9667"/>
      <w:r>
        <w:rPr>
          <w:rFonts w:hint="eastAsia"/>
          <w:szCs w:val="21"/>
          <w:lang w:val="en-US" w:eastAsia="zh-CN"/>
        </w:rPr>
        <w:t>抚育</w:t>
      </w:r>
      <w:bookmarkEnd w:id="60"/>
      <w:bookmarkEnd w:id="61"/>
      <w:bookmarkStart w:id="75" w:name="_GoBack"/>
      <w:bookmarkEnd w:id="75"/>
    </w:p>
    <w:p w14:paraId="5DB9520E">
      <w:pPr>
        <w:pStyle w:val="105"/>
        <w:bidi w:val="0"/>
        <w:rPr>
          <w:rFonts w:hint="eastAsia" w:hAnsi="Times New Roman" w:cs="Times New Roman"/>
          <w:lang w:val="en-US" w:eastAsia="zh-CN"/>
        </w:rPr>
      </w:pPr>
      <w:r>
        <w:rPr>
          <w:rFonts w:hint="eastAsia" w:hAnsi="Times New Roman" w:cs="Times New Roman"/>
          <w:lang w:val="en-US" w:eastAsia="zh-CN"/>
        </w:rPr>
        <w:t>除草</w:t>
      </w:r>
    </w:p>
    <w:p w14:paraId="4B496D49">
      <w:pPr>
        <w:pStyle w:val="65"/>
        <w:bidi w:val="0"/>
        <w:rPr>
          <w:rFonts w:hint="default" w:hAnsi="Times New Roman" w:cs="Times New Roman"/>
          <w:lang w:val="en-US" w:eastAsia="zh-CN"/>
        </w:rPr>
      </w:pPr>
      <w:r>
        <w:rPr>
          <w:rFonts w:hint="eastAsia" w:hAnsi="Times New Roman" w:cs="Times New Roman"/>
          <w:lang w:val="en-US" w:eastAsia="zh-CN"/>
        </w:rPr>
        <w:t>除草时间</w:t>
      </w:r>
    </w:p>
    <w:p w14:paraId="6C7DE481">
      <w:pPr>
        <w:pStyle w:val="56"/>
        <w:rPr>
          <w:rFonts w:hint="eastAsia" w:ascii="宋体" w:hAnsi="宋体" w:eastAsia="宋体" w:cs="宋体"/>
          <w:lang w:val="en-US" w:eastAsia="zh-CN"/>
        </w:rPr>
      </w:pPr>
      <w:r>
        <w:rPr>
          <w:rFonts w:hint="eastAsia" w:ascii="宋体" w:hAnsi="宋体" w:eastAsia="宋体" w:cs="宋体"/>
          <w:lang w:val="en-US" w:eastAsia="zh-CN"/>
        </w:rPr>
        <w:t>定植后未封行前及时除草，定植后前3</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年每年除草3</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次～4</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次，分别在5月～6月、8月～9月、11月～12月及次年3月进行；封行后可减少除草次数，及时清除恶性杂草即可。</w:t>
      </w:r>
    </w:p>
    <w:p w14:paraId="757BA37F">
      <w:pPr>
        <w:pStyle w:val="65"/>
        <w:bidi w:val="0"/>
        <w:rPr>
          <w:rFonts w:hint="eastAsia" w:hAnsi="Times New Roman" w:cs="Times New Roman"/>
          <w:lang w:val="en-US" w:eastAsia="zh-CN"/>
        </w:rPr>
      </w:pPr>
      <w:r>
        <w:rPr>
          <w:rFonts w:hint="eastAsia" w:hAnsi="Times New Roman" w:cs="Times New Roman"/>
          <w:lang w:val="en-US" w:eastAsia="zh-CN"/>
        </w:rPr>
        <w:t>除草方法</w:t>
      </w:r>
    </w:p>
    <w:p w14:paraId="017E6308">
      <w:pPr>
        <w:pStyle w:val="56"/>
        <w:rPr>
          <w:rFonts w:hint="default"/>
          <w:lang w:val="en-US" w:eastAsia="zh-CN"/>
        </w:rPr>
      </w:pPr>
      <w:r>
        <w:rPr>
          <w:rFonts w:hint="default"/>
          <w:lang w:val="en-US" w:eastAsia="zh-CN"/>
        </w:rPr>
        <w:t>将杂草连根拔出集中堆沤腐熟作有机肥或销毁。</w:t>
      </w:r>
    </w:p>
    <w:p w14:paraId="56034307">
      <w:pPr>
        <w:pStyle w:val="105"/>
        <w:bidi w:val="0"/>
        <w:rPr>
          <w:rFonts w:hint="eastAsia" w:hAnsi="Times New Roman" w:cs="Times New Roman"/>
          <w:lang w:val="en-US" w:eastAsia="zh-CN"/>
        </w:rPr>
      </w:pPr>
      <w:r>
        <w:rPr>
          <w:rFonts w:hint="eastAsia" w:hAnsi="Times New Roman" w:cs="Times New Roman"/>
          <w:lang w:val="en-US" w:eastAsia="zh-CN"/>
        </w:rPr>
        <w:t>淋水</w:t>
      </w:r>
    </w:p>
    <w:p w14:paraId="47A9250D">
      <w:pPr>
        <w:pStyle w:val="56"/>
        <w:ind w:firstLine="420"/>
        <w:rPr>
          <w:rFonts w:hint="eastAsia" w:eastAsia="宋体"/>
          <w:lang w:eastAsia="zh-CN"/>
        </w:rPr>
      </w:pPr>
      <w:r>
        <w:rPr>
          <w:rFonts w:hint="eastAsia" w:ascii="宋体" w:hAnsi="宋体" w:eastAsia="宋体" w:cs="宋体"/>
        </w:rPr>
        <w:t>栽培前2</w:t>
      </w:r>
      <w:r>
        <w:rPr>
          <w:rFonts w:hint="eastAsia" w:ascii="宋体" w:hAnsi="宋体" w:eastAsia="宋体" w:cs="宋体"/>
          <w:vertAlign w:val="superscript"/>
          <w:lang w:val="en-US" w:eastAsia="zh-CN"/>
        </w:rPr>
        <w:t xml:space="preserve"> </w:t>
      </w:r>
      <w:r>
        <w:rPr>
          <w:rFonts w:hint="eastAsia" w:ascii="宋体" w:hAnsi="宋体" w:eastAsia="宋体" w:cs="宋体"/>
        </w:rPr>
        <w:t>年生长缓慢</w:t>
      </w:r>
      <w:r>
        <w:rPr>
          <w:rFonts w:hint="eastAsia" w:ascii="宋体" w:hAnsi="宋体" w:cs="宋体"/>
          <w:lang w:eastAsia="zh-CN"/>
        </w:rPr>
        <w:t>，</w:t>
      </w:r>
      <w:r>
        <w:rPr>
          <w:rFonts w:hint="eastAsia" w:ascii="宋体" w:hAnsi="宋体" w:eastAsia="宋体" w:cs="宋体"/>
        </w:rPr>
        <w:t>根系扎土不深</w:t>
      </w:r>
      <w:r>
        <w:rPr>
          <w:rFonts w:hint="eastAsia" w:ascii="宋体" w:hAnsi="宋体" w:cs="宋体"/>
          <w:lang w:eastAsia="zh-CN"/>
        </w:rPr>
        <w:t>，</w:t>
      </w:r>
      <w:r>
        <w:rPr>
          <w:rFonts w:hint="eastAsia" w:ascii="宋体" w:hAnsi="宋体" w:eastAsia="宋体" w:cs="宋体"/>
        </w:rPr>
        <w:t>遇天旱时应适时</w:t>
      </w:r>
      <w:r>
        <w:rPr>
          <w:rFonts w:hint="eastAsia" w:ascii="宋体" w:hAnsi="宋体" w:cs="宋体"/>
          <w:lang w:val="en-US" w:eastAsia="zh-CN"/>
        </w:rPr>
        <w:t>淋</w:t>
      </w:r>
      <w:r>
        <w:rPr>
          <w:rFonts w:hint="eastAsia" w:ascii="宋体" w:hAnsi="宋体" w:eastAsia="宋体" w:cs="宋体"/>
        </w:rPr>
        <w:t>水</w:t>
      </w:r>
      <w:r>
        <w:rPr>
          <w:rFonts w:hint="eastAsia"/>
          <w:lang w:eastAsia="zh-CN"/>
        </w:rPr>
        <w:t>。</w:t>
      </w:r>
    </w:p>
    <w:p w14:paraId="4145CD69">
      <w:pPr>
        <w:pStyle w:val="105"/>
        <w:bidi w:val="0"/>
        <w:rPr>
          <w:rFonts w:hint="eastAsia" w:hAnsi="Times New Roman" w:cs="Times New Roman"/>
          <w:lang w:val="en-US" w:eastAsia="zh-CN"/>
        </w:rPr>
      </w:pPr>
      <w:r>
        <w:rPr>
          <w:rFonts w:hint="eastAsia" w:hAnsi="Times New Roman" w:cs="Times New Roman"/>
          <w:lang w:val="en-US" w:eastAsia="zh-CN"/>
        </w:rPr>
        <w:t>追肥</w:t>
      </w:r>
    </w:p>
    <w:p w14:paraId="5AFE5B75">
      <w:pPr>
        <w:pStyle w:val="65"/>
        <w:bidi w:val="0"/>
        <w:rPr>
          <w:rFonts w:hint="eastAsia" w:hAnsi="Times New Roman" w:cs="Times New Roman"/>
          <w:lang w:val="en-US" w:eastAsia="zh-CN"/>
        </w:rPr>
      </w:pPr>
      <w:r>
        <w:rPr>
          <w:rFonts w:hint="eastAsia" w:hAnsi="Times New Roman" w:cs="Times New Roman"/>
          <w:lang w:val="en-US" w:eastAsia="zh-CN"/>
        </w:rPr>
        <w:t>肥料</w:t>
      </w:r>
    </w:p>
    <w:p w14:paraId="1C2959E2">
      <w:pPr>
        <w:pStyle w:val="56"/>
        <w:rPr>
          <w:rFonts w:hint="eastAsia" w:ascii="宋体" w:hAnsi="宋体" w:eastAsia="宋体" w:cs="宋体"/>
          <w:lang w:val="en-US" w:eastAsia="zh-CN"/>
        </w:rPr>
      </w:pPr>
      <w:r>
        <w:rPr>
          <w:rFonts w:hint="eastAsia" w:ascii="宋体" w:hAnsi="宋体" w:eastAsia="宋体" w:cs="宋体"/>
          <w:lang w:val="en-US" w:eastAsia="zh-CN"/>
        </w:rPr>
        <w:t>选用总养分≥8%的有机肥，其他指标符合NY/T 525要求。</w:t>
      </w:r>
    </w:p>
    <w:p w14:paraId="59F62EE2">
      <w:pPr>
        <w:pStyle w:val="65"/>
        <w:bidi w:val="0"/>
        <w:rPr>
          <w:rFonts w:hint="eastAsia" w:hAnsi="Times New Roman" w:cs="Times New Roman"/>
          <w:lang w:val="en-US" w:eastAsia="zh-CN"/>
        </w:rPr>
      </w:pPr>
      <w:r>
        <w:rPr>
          <w:rFonts w:hint="eastAsia" w:hAnsi="Times New Roman" w:cs="Times New Roman"/>
          <w:lang w:val="en-US" w:eastAsia="zh-CN"/>
        </w:rPr>
        <w:t>追肥时间</w:t>
      </w:r>
    </w:p>
    <w:p w14:paraId="6368BC43">
      <w:pPr>
        <w:pStyle w:val="56"/>
        <w:ind w:firstLine="420"/>
        <w:rPr>
          <w:rFonts w:hint="eastAsia" w:ascii="宋体" w:hAnsi="宋体" w:cs="宋体"/>
          <w:lang w:eastAsia="zh-CN"/>
        </w:rPr>
      </w:pPr>
      <w:r>
        <w:rPr>
          <w:rFonts w:hint="eastAsia" w:ascii="宋体" w:hAnsi="宋体" w:eastAsia="宋体" w:cs="宋体"/>
        </w:rPr>
        <w:t>每年追肥2次；第一次在5月～6月，第二次在11月～次年1月</w:t>
      </w:r>
      <w:r>
        <w:rPr>
          <w:rFonts w:hint="eastAsia" w:ascii="宋体" w:hAnsi="宋体" w:cs="宋体"/>
          <w:lang w:eastAsia="zh-CN"/>
        </w:rPr>
        <w:t>。</w:t>
      </w:r>
    </w:p>
    <w:p w14:paraId="23A16926">
      <w:pPr>
        <w:pStyle w:val="65"/>
        <w:bidi w:val="0"/>
        <w:rPr>
          <w:rFonts w:hint="eastAsia" w:hAnsi="Times New Roman" w:cs="Times New Roman"/>
          <w:lang w:val="en-US" w:eastAsia="zh-CN"/>
        </w:rPr>
      </w:pPr>
      <w:r>
        <w:rPr>
          <w:rFonts w:hint="eastAsia" w:hAnsi="Times New Roman" w:cs="Times New Roman"/>
          <w:lang w:val="en-US" w:eastAsia="zh-CN"/>
        </w:rPr>
        <w:t>施肥方式</w:t>
      </w:r>
    </w:p>
    <w:p w14:paraId="2970362E">
      <w:pPr>
        <w:pStyle w:val="56"/>
        <w:ind w:firstLine="420"/>
        <w:rPr>
          <w:rFonts w:hint="eastAsia" w:ascii="宋体" w:hAnsi="宋体" w:cs="宋体"/>
          <w:lang w:val="en-US" w:eastAsia="zh-CN"/>
        </w:rPr>
      </w:pPr>
      <w:r>
        <w:rPr>
          <w:rFonts w:hint="eastAsia" w:ascii="宋体" w:hAnsi="宋体" w:cs="宋体"/>
          <w:lang w:val="en-US" w:eastAsia="zh-CN"/>
        </w:rPr>
        <w:t>采用沟施、穴施或撒施，沟施/穴施在植株四周30</w:t>
      </w:r>
      <w:r>
        <w:rPr>
          <w:rFonts w:hint="eastAsia" w:ascii="宋体" w:hAnsi="宋体" w:cs="宋体"/>
          <w:vertAlign w:val="superscript"/>
          <w:lang w:val="en-US" w:eastAsia="zh-CN"/>
        </w:rPr>
        <w:t xml:space="preserve"> </w:t>
      </w:r>
      <w:r>
        <w:rPr>
          <w:rFonts w:hint="eastAsia" w:ascii="宋体" w:hAnsi="宋体" w:cs="宋体"/>
          <w:lang w:val="en-US" w:eastAsia="zh-CN"/>
        </w:rPr>
        <w:t>cm处开沟或挖穴，施肥后覆土；撒施均匀撒于植株四周，结合中耕松土翻入土中。</w:t>
      </w:r>
    </w:p>
    <w:p w14:paraId="493F9B2E">
      <w:pPr>
        <w:pStyle w:val="65"/>
        <w:bidi w:val="0"/>
        <w:rPr>
          <w:rFonts w:hint="eastAsia" w:hAnsi="Times New Roman" w:cs="Times New Roman"/>
          <w:lang w:val="en-US" w:eastAsia="zh-CN"/>
        </w:rPr>
      </w:pPr>
      <w:r>
        <w:rPr>
          <w:rFonts w:hint="eastAsia" w:hAnsi="Times New Roman" w:cs="Times New Roman"/>
          <w:lang w:val="en-US" w:eastAsia="zh-CN"/>
        </w:rPr>
        <w:t xml:space="preserve">施肥量 </w:t>
      </w:r>
    </w:p>
    <w:p w14:paraId="3BA27663">
      <w:pPr>
        <w:pStyle w:val="56"/>
        <w:ind w:firstLine="420"/>
        <w:rPr>
          <w:rFonts w:hint="eastAsia" w:ascii="宋体" w:hAnsi="宋体" w:cs="宋体"/>
          <w:lang w:val="en-US" w:eastAsia="zh-CN"/>
        </w:rPr>
      </w:pPr>
      <w:r>
        <w:rPr>
          <w:rFonts w:hint="eastAsia" w:ascii="宋体" w:hAnsi="宋体" w:cs="宋体"/>
          <w:lang w:val="en-US" w:eastAsia="zh-CN"/>
        </w:rPr>
        <w:t>36</w:t>
      </w:r>
      <w:r>
        <w:rPr>
          <w:rFonts w:hint="eastAsia" w:ascii="宋体" w:hAnsi="宋体" w:cs="宋体"/>
          <w:vertAlign w:val="superscript"/>
          <w:lang w:val="en-US" w:eastAsia="zh-CN"/>
        </w:rPr>
        <w:t xml:space="preserve"> </w:t>
      </w:r>
      <w:r>
        <w:rPr>
          <w:rFonts w:hint="eastAsia" w:ascii="宋体" w:hAnsi="宋体" w:cs="宋体"/>
          <w:lang w:val="en-US" w:eastAsia="zh-CN"/>
        </w:rPr>
        <w:t>kg/667</w:t>
      </w:r>
      <w:r>
        <w:rPr>
          <w:rFonts w:hint="eastAsia" w:ascii="宋体" w:hAnsi="宋体" w:cs="宋体"/>
          <w:vertAlign w:val="superscript"/>
          <w:lang w:val="en-US" w:eastAsia="zh-CN"/>
        </w:rPr>
        <w:t xml:space="preserve"> </w:t>
      </w:r>
      <w:r>
        <w:rPr>
          <w:rFonts w:hint="eastAsia" w:ascii="宋体" w:hAnsi="宋体" w:cs="宋体"/>
          <w:lang w:val="en-US" w:eastAsia="zh-CN"/>
        </w:rPr>
        <w:t>m</w:t>
      </w:r>
      <w:r>
        <w:rPr>
          <w:rFonts w:hint="eastAsia" w:ascii="宋体" w:hAnsi="宋体" w:cs="宋体"/>
          <w:vertAlign w:val="superscript"/>
          <w:lang w:val="en-US" w:eastAsia="zh-CN"/>
        </w:rPr>
        <w:t>2</w:t>
      </w:r>
      <w:r>
        <w:rPr>
          <w:rFonts w:hint="eastAsia" w:ascii="宋体" w:hAnsi="宋体" w:cs="宋体"/>
          <w:lang w:val="en-US" w:eastAsia="zh-CN"/>
        </w:rPr>
        <w:t>。</w:t>
      </w:r>
    </w:p>
    <w:p w14:paraId="047C4A5F">
      <w:pPr>
        <w:pStyle w:val="105"/>
        <w:bidi w:val="0"/>
        <w:rPr>
          <w:rFonts w:hint="eastAsia" w:hAnsi="Times New Roman" w:cs="Times New Roman"/>
          <w:lang w:val="en-US" w:eastAsia="zh-CN"/>
        </w:rPr>
      </w:pPr>
      <w:r>
        <w:rPr>
          <w:rFonts w:hint="eastAsia" w:hAnsi="Times New Roman" w:cs="Times New Roman"/>
          <w:lang w:val="en-US" w:eastAsia="zh-CN"/>
        </w:rPr>
        <w:t>修枝</w:t>
      </w:r>
    </w:p>
    <w:p w14:paraId="1EB484EE">
      <w:pPr>
        <w:pStyle w:val="65"/>
        <w:bidi w:val="0"/>
        <w:rPr>
          <w:rFonts w:hint="eastAsia" w:hAnsi="Times New Roman" w:cs="Times New Roman"/>
          <w:lang w:val="en-US" w:eastAsia="zh-CN"/>
        </w:rPr>
      </w:pPr>
      <w:r>
        <w:rPr>
          <w:rFonts w:hint="eastAsia" w:hAnsi="Times New Roman" w:cs="Times New Roman"/>
          <w:lang w:val="en-US" w:eastAsia="zh-CN"/>
        </w:rPr>
        <w:t>修枝时间</w:t>
      </w:r>
    </w:p>
    <w:p w14:paraId="011DA6E3">
      <w:pPr>
        <w:pStyle w:val="56"/>
        <w:rPr>
          <w:rFonts w:hint="eastAsia"/>
          <w:lang w:val="en-US" w:eastAsia="zh-CN"/>
        </w:rPr>
      </w:pPr>
      <w:r>
        <w:rPr>
          <w:rFonts w:hint="eastAsia"/>
          <w:lang w:val="en-US" w:eastAsia="zh-CN"/>
        </w:rPr>
        <w:t>冬季植株休眠期。</w:t>
      </w:r>
    </w:p>
    <w:p w14:paraId="65D38A58">
      <w:pPr>
        <w:pStyle w:val="65"/>
        <w:bidi w:val="0"/>
        <w:rPr>
          <w:rFonts w:hint="eastAsia" w:hAnsi="Times New Roman" w:cs="Times New Roman"/>
          <w:lang w:val="en-US" w:eastAsia="zh-CN"/>
        </w:rPr>
      </w:pPr>
      <w:r>
        <w:rPr>
          <w:rFonts w:hint="eastAsia" w:hAnsi="Times New Roman" w:cs="Times New Roman"/>
          <w:lang w:val="en-US" w:eastAsia="zh-CN"/>
        </w:rPr>
        <w:t>修枝方法</w:t>
      </w:r>
    </w:p>
    <w:p w14:paraId="7B99C0DE">
      <w:pPr>
        <w:pStyle w:val="56"/>
        <w:rPr>
          <w:rFonts w:hint="eastAsia"/>
          <w:lang w:val="en-US" w:eastAsia="zh-CN"/>
        </w:rPr>
      </w:pPr>
      <w:r>
        <w:rPr>
          <w:rFonts w:hint="eastAsia"/>
          <w:lang w:val="en-US" w:eastAsia="zh-CN"/>
        </w:rPr>
        <w:t>枝条密集丛生时，剪除老枝、弱枝、病枝、枯枝及过密枝条，修剪切口保持平整。</w:t>
      </w:r>
    </w:p>
    <w:p w14:paraId="1779F7B4">
      <w:pPr>
        <w:pStyle w:val="65"/>
        <w:bidi w:val="0"/>
        <w:rPr>
          <w:rFonts w:hint="eastAsia" w:hAnsi="Times New Roman" w:cs="Times New Roman"/>
          <w:lang w:val="en-US" w:eastAsia="zh-CN"/>
        </w:rPr>
      </w:pPr>
      <w:r>
        <w:rPr>
          <w:rFonts w:hint="eastAsia" w:hAnsi="Times New Roman" w:cs="Times New Roman"/>
          <w:lang w:val="en-US" w:eastAsia="zh-CN"/>
        </w:rPr>
        <w:t>循环采伐修整</w:t>
      </w:r>
    </w:p>
    <w:p w14:paraId="7C03A4A7">
      <w:pPr>
        <w:pStyle w:val="56"/>
        <w:rPr>
          <w:rFonts w:hint="eastAsia" w:ascii="宋体" w:hAnsi="宋体" w:eastAsia="宋体" w:cs="宋体"/>
          <w:lang w:val="en-US" w:eastAsia="zh-CN"/>
        </w:rPr>
      </w:pPr>
      <w:r>
        <w:rPr>
          <w:rFonts w:hint="eastAsia" w:ascii="宋体" w:hAnsi="宋体" w:eastAsia="宋体" w:cs="宋体"/>
          <w:lang w:val="en-US" w:eastAsia="zh-CN"/>
        </w:rPr>
        <w:t>采伐达到采伐标准的植株，保留基部10 cm</w:t>
      </w:r>
      <w:r>
        <w:rPr>
          <w:rFonts w:hint="eastAsia" w:ascii="宋体" w:hAnsi="宋体" w:eastAsia="宋体" w:cs="宋体"/>
          <w:lang w:val="en-US" w:eastAsia="zh-CN"/>
        </w:rPr>
        <w:t>～</w:t>
      </w:r>
      <w:r>
        <w:rPr>
          <w:rFonts w:hint="eastAsia" w:ascii="宋体" w:hAnsi="宋体" w:eastAsia="宋体" w:cs="宋体"/>
          <w:lang w:val="en-US" w:eastAsia="zh-CN"/>
        </w:rPr>
        <w:t>20</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cm，促进基部萌发新枝，及时抹除多余萌芽，保留健壮萌蘖枝。</w:t>
      </w:r>
    </w:p>
    <w:p w14:paraId="47DAA2E3">
      <w:pPr>
        <w:pStyle w:val="104"/>
        <w:spacing w:before="240" w:after="240"/>
        <w:rPr>
          <w:rFonts w:hint="eastAsia" w:hAnsi="Times New Roman" w:cs="Times New Roman"/>
          <w:szCs w:val="21"/>
          <w:lang w:val="en-US" w:eastAsia="zh-CN"/>
        </w:rPr>
      </w:pPr>
      <w:bookmarkStart w:id="62" w:name="_Toc26846"/>
      <w:bookmarkStart w:id="63" w:name="_Toc29302"/>
      <w:r>
        <w:rPr>
          <w:rFonts w:hint="eastAsia" w:hAnsi="Times New Roman" w:cs="Times New Roman"/>
          <w:szCs w:val="21"/>
          <w:lang w:val="en-US" w:eastAsia="zh-CN"/>
        </w:rPr>
        <w:t>病虫害防治</w:t>
      </w:r>
      <w:bookmarkEnd w:id="62"/>
      <w:bookmarkEnd w:id="63"/>
    </w:p>
    <w:p w14:paraId="619FF413">
      <w:pPr>
        <w:pStyle w:val="56"/>
        <w:rPr>
          <w:rFonts w:hint="eastAsia" w:ascii="宋体" w:hAnsi="宋体" w:eastAsia="宋体" w:cs="宋体"/>
          <w:lang w:val="en-US" w:eastAsia="zh-CN"/>
        </w:rPr>
      </w:pPr>
      <w:r>
        <w:rPr>
          <w:rFonts w:hint="eastAsia" w:ascii="宋体" w:hAnsi="宋体" w:eastAsia="宋体" w:cs="宋体"/>
          <w:lang w:val="en-US" w:eastAsia="zh-CN"/>
        </w:rPr>
        <w:t>按GB/T 8321（所有部分）、NY/T 1276和附录A执行。</w:t>
      </w:r>
    </w:p>
    <w:p w14:paraId="6E300050">
      <w:pPr>
        <w:pStyle w:val="104"/>
        <w:spacing w:before="240" w:after="240"/>
        <w:rPr>
          <w:rFonts w:hint="eastAsia" w:hAnsi="Times New Roman" w:cs="Times New Roman"/>
          <w:szCs w:val="21"/>
          <w:lang w:val="en-US" w:eastAsia="zh-CN"/>
        </w:rPr>
      </w:pPr>
      <w:bookmarkStart w:id="64" w:name="_Toc2892"/>
      <w:bookmarkStart w:id="65" w:name="_Toc5130"/>
      <w:r>
        <w:rPr>
          <w:rFonts w:hint="eastAsia" w:hAnsi="Times New Roman" w:cs="Times New Roman"/>
          <w:szCs w:val="21"/>
          <w:lang w:val="en-US" w:eastAsia="zh-CN"/>
        </w:rPr>
        <w:t>采收</w:t>
      </w:r>
      <w:bookmarkEnd w:id="64"/>
      <w:bookmarkEnd w:id="65"/>
    </w:p>
    <w:p w14:paraId="010C06A3">
      <w:pPr>
        <w:pStyle w:val="105"/>
        <w:bidi w:val="0"/>
        <w:rPr>
          <w:rFonts w:hint="eastAsia" w:hAnsi="Times New Roman" w:cs="Times New Roman"/>
          <w:lang w:val="en-US" w:eastAsia="zh-CN"/>
        </w:rPr>
      </w:pPr>
      <w:r>
        <w:rPr>
          <w:rFonts w:hint="eastAsia" w:hAnsi="Times New Roman" w:cs="Times New Roman"/>
          <w:lang w:val="en-US" w:eastAsia="zh-CN"/>
        </w:rPr>
        <w:t>采收年限</w:t>
      </w:r>
    </w:p>
    <w:p w14:paraId="7CC5E1A5">
      <w:pPr>
        <w:pStyle w:val="56"/>
        <w:rPr>
          <w:rFonts w:hint="eastAsia" w:ascii="宋体" w:hAnsi="宋体" w:eastAsia="宋体" w:cs="宋体"/>
          <w:lang w:val="en-US" w:eastAsia="zh-CN"/>
        </w:rPr>
      </w:pPr>
      <w:r>
        <w:rPr>
          <w:rFonts w:hint="eastAsia" w:ascii="宋体" w:hAnsi="宋体" w:eastAsia="宋体" w:cs="宋体"/>
          <w:lang w:val="en-US" w:eastAsia="zh-CN"/>
        </w:rPr>
        <w:t>岗梅种植5</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年即可进行首次采收，循环采伐后续每2年～3年可采收一次。</w:t>
      </w:r>
    </w:p>
    <w:p w14:paraId="3BB3A633">
      <w:pPr>
        <w:pStyle w:val="105"/>
        <w:bidi w:val="0"/>
        <w:rPr>
          <w:rFonts w:hint="eastAsia" w:hAnsi="Times New Roman" w:cs="Times New Roman"/>
          <w:lang w:val="en-US" w:eastAsia="zh-CN"/>
        </w:rPr>
      </w:pPr>
      <w:r>
        <w:rPr>
          <w:rFonts w:hint="eastAsia" w:hAnsi="Times New Roman" w:cs="Times New Roman"/>
          <w:lang w:val="en-US" w:eastAsia="zh-CN"/>
        </w:rPr>
        <w:t>采收时间</w:t>
      </w:r>
    </w:p>
    <w:p w14:paraId="6FE95CD9">
      <w:pPr>
        <w:pStyle w:val="56"/>
        <w:rPr>
          <w:rFonts w:hint="eastAsia" w:ascii="Times New Roman" w:hAnsi="Times New Roman" w:cs="Times New Roman"/>
          <w:lang w:val="en-US" w:eastAsia="zh-CN"/>
        </w:rPr>
      </w:pPr>
      <w:r>
        <w:rPr>
          <w:rFonts w:hint="eastAsia" w:ascii="Times New Roman" w:hAnsi="Times New Roman" w:cs="Times New Roman"/>
          <w:lang w:val="en-US" w:eastAsia="zh-CN"/>
        </w:rPr>
        <w:t>全年采挖，优先选择秋冬季植株休眠期采收。</w:t>
      </w:r>
    </w:p>
    <w:p w14:paraId="455452DF">
      <w:pPr>
        <w:pStyle w:val="105"/>
        <w:bidi w:val="0"/>
        <w:rPr>
          <w:rFonts w:hint="eastAsia" w:hAnsi="Times New Roman" w:cs="Times New Roman"/>
          <w:lang w:val="en-US" w:eastAsia="zh-CN"/>
        </w:rPr>
      </w:pPr>
      <w:r>
        <w:rPr>
          <w:rFonts w:hint="eastAsia" w:hAnsi="Times New Roman" w:cs="Times New Roman"/>
          <w:lang w:val="en-US" w:eastAsia="zh-CN"/>
        </w:rPr>
        <w:t>采收方法</w:t>
      </w:r>
    </w:p>
    <w:p w14:paraId="45648D96">
      <w:pPr>
        <w:pStyle w:val="56"/>
        <w:rPr>
          <w:rFonts w:hint="eastAsia" w:ascii="宋体" w:hAnsi="宋体" w:eastAsia="宋体" w:cs="宋体"/>
          <w:lang w:val="en-US" w:eastAsia="zh-CN"/>
        </w:rPr>
      </w:pPr>
      <w:r>
        <w:rPr>
          <w:rFonts w:hint="eastAsia" w:ascii="宋体" w:hAnsi="宋体" w:eastAsia="宋体" w:cs="宋体"/>
          <w:lang w:val="en-US" w:eastAsia="zh-CN"/>
        </w:rPr>
        <w:t>人工采挖，剪除直径小于1</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cm的细小枝条，去泥留根茎；选择性采伐枝干，保留植株基部促进新枝萌发。</w:t>
      </w:r>
    </w:p>
    <w:p w14:paraId="0467ADD9">
      <w:pPr>
        <w:pStyle w:val="105"/>
        <w:bidi w:val="0"/>
        <w:rPr>
          <w:rFonts w:hint="eastAsia" w:hAnsi="Times New Roman" w:cs="Times New Roman"/>
          <w:lang w:val="en-US" w:eastAsia="zh-CN"/>
        </w:rPr>
      </w:pPr>
      <w:r>
        <w:rPr>
          <w:rFonts w:hint="eastAsia" w:hAnsi="Times New Roman" w:cs="Times New Roman"/>
          <w:lang w:val="en-US" w:eastAsia="zh-CN"/>
        </w:rPr>
        <w:t>鲜品处理</w:t>
      </w:r>
    </w:p>
    <w:p w14:paraId="538E1C3D">
      <w:pPr>
        <w:pStyle w:val="56"/>
        <w:rPr>
          <w:rFonts w:hint="eastAsia" w:ascii="Times New Roman" w:hAnsi="Times New Roman" w:cs="Times New Roman"/>
          <w:lang w:val="en-US" w:eastAsia="zh-CN"/>
        </w:rPr>
      </w:pPr>
      <w:r>
        <w:rPr>
          <w:rFonts w:hint="eastAsia" w:ascii="Times New Roman" w:hAnsi="Times New Roman" w:cs="Times New Roman"/>
          <w:lang w:val="en-US" w:eastAsia="zh-CN"/>
        </w:rPr>
        <w:t>及时清除杂质、清洗</w:t>
      </w:r>
      <w:r>
        <w:rPr>
          <w:rFonts w:hint="eastAsia" w:cs="Times New Roman"/>
          <w:lang w:val="en-US" w:eastAsia="zh-CN"/>
        </w:rPr>
        <w:t>、</w:t>
      </w:r>
      <w:r>
        <w:rPr>
          <w:rFonts w:hint="eastAsia" w:ascii="Times New Roman" w:hAnsi="Times New Roman" w:cs="Times New Roman"/>
          <w:lang w:val="en-US" w:eastAsia="zh-CN"/>
        </w:rPr>
        <w:t>沥干，防止霉变。</w:t>
      </w:r>
    </w:p>
    <w:p w14:paraId="1729B7CC">
      <w:pPr>
        <w:pStyle w:val="104"/>
        <w:spacing w:before="240" w:after="240"/>
        <w:rPr>
          <w:rFonts w:hint="eastAsia" w:hAnsi="Times New Roman" w:cs="Times New Roman"/>
          <w:szCs w:val="21"/>
          <w:lang w:val="en-US" w:eastAsia="zh-CN"/>
        </w:rPr>
      </w:pPr>
      <w:bookmarkStart w:id="66" w:name="_Toc13851"/>
      <w:bookmarkStart w:id="67" w:name="_Toc9202"/>
      <w:r>
        <w:rPr>
          <w:rFonts w:hint="eastAsia" w:hAnsi="Times New Roman" w:cs="Times New Roman"/>
          <w:szCs w:val="21"/>
          <w:lang w:val="en-US" w:eastAsia="zh-CN"/>
        </w:rPr>
        <w:t>档案管理</w:t>
      </w:r>
      <w:bookmarkEnd w:id="66"/>
      <w:bookmarkEnd w:id="67"/>
    </w:p>
    <w:p w14:paraId="3C3B5B5A">
      <w:pPr>
        <w:pStyle w:val="105"/>
        <w:bidi w:val="0"/>
        <w:rPr>
          <w:rFonts w:hint="eastAsia" w:hAnsi="Times New Roman" w:cs="Times New Roman"/>
          <w:lang w:val="en-US" w:eastAsia="zh-CN"/>
        </w:rPr>
      </w:pPr>
      <w:r>
        <w:rPr>
          <w:rFonts w:hint="eastAsia" w:hAnsi="Times New Roman" w:cs="Times New Roman"/>
          <w:lang w:val="en-US" w:eastAsia="zh-CN"/>
        </w:rPr>
        <w:t>记录内容</w:t>
      </w:r>
    </w:p>
    <w:p w14:paraId="121439C2">
      <w:pPr>
        <w:pStyle w:val="56"/>
        <w:rPr>
          <w:rFonts w:hint="eastAsia" w:ascii="Times New Roman" w:hAnsi="Times New Roman" w:cs="Times New Roman"/>
          <w:lang w:val="en-US" w:eastAsia="zh-CN"/>
        </w:rPr>
      </w:pPr>
      <w:r>
        <w:rPr>
          <w:rFonts w:hint="eastAsia" w:ascii="Times New Roman" w:hAnsi="Times New Roman" w:cs="Times New Roman"/>
          <w:lang w:val="en-US" w:eastAsia="zh-CN"/>
        </w:rPr>
        <w:t>对岗梅种植全过程的生产技术、整地、苗木选择、种植、抚育管理、病虫害防治、采收等各环节所采取的措施进行详细、准确记录，包括种植时间、种苗规格、施肥种类与用量、农药使用情况、采收时间与产量等。</w:t>
      </w:r>
    </w:p>
    <w:p w14:paraId="4F083A7B">
      <w:pPr>
        <w:pStyle w:val="105"/>
        <w:bidi w:val="0"/>
        <w:rPr>
          <w:rFonts w:hint="eastAsia" w:hAnsi="Times New Roman" w:cs="Times New Roman"/>
          <w:lang w:val="en-US" w:eastAsia="zh-CN"/>
        </w:rPr>
      </w:pPr>
      <w:r>
        <w:rPr>
          <w:rFonts w:hint="eastAsia" w:hAnsi="Times New Roman" w:cs="Times New Roman"/>
          <w:lang w:val="en-US" w:eastAsia="zh-CN"/>
        </w:rPr>
        <w:t>档案保存</w:t>
      </w:r>
    </w:p>
    <w:p w14:paraId="0A020709">
      <w:pPr>
        <w:pStyle w:val="56"/>
        <w:rPr>
          <w:rFonts w:hint="eastAsia" w:ascii="宋体" w:hAnsi="宋体" w:eastAsia="宋体" w:cs="宋体"/>
          <w:lang w:val="en-US" w:eastAsia="zh-CN"/>
        </w:rPr>
      </w:pPr>
      <w:r>
        <w:rPr>
          <w:rFonts w:hint="eastAsia" w:ascii="宋体" w:hAnsi="宋体" w:eastAsia="宋体" w:cs="宋体"/>
          <w:lang w:val="en-US" w:eastAsia="zh-CN"/>
        </w:rPr>
        <w:t>建立规范的生产档案，档案资料以纸质和电子两种形式保存，保存期限不少于20</w:t>
      </w:r>
      <w:r>
        <w:rPr>
          <w:rFonts w:hint="eastAsia" w:ascii="宋体" w:hAnsi="宋体" w:eastAsia="宋体" w:cs="宋体"/>
          <w:vertAlign w:val="superscript"/>
          <w:lang w:val="en-US" w:eastAsia="zh-CN"/>
        </w:rPr>
        <w:t xml:space="preserve"> </w:t>
      </w:r>
      <w:r>
        <w:rPr>
          <w:rFonts w:hint="eastAsia" w:ascii="宋体" w:hAnsi="宋体" w:eastAsia="宋体" w:cs="宋体"/>
          <w:lang w:val="en-US" w:eastAsia="zh-CN"/>
        </w:rPr>
        <w:t>年，便于对种植活动进行追溯、评估和管理。</w:t>
      </w:r>
    </w:p>
    <w:p w14:paraId="67E2D198">
      <w:pPr>
        <w:pStyle w:val="56"/>
        <w:bidi w:val="0"/>
        <w:ind w:left="0" w:leftChars="0" w:firstLine="0" w:firstLineChars="0"/>
        <w:rPr>
          <w:rFonts w:hint="eastAsia"/>
          <w:lang w:eastAsia="zh-CN"/>
        </w:rPr>
      </w:pPr>
    </w:p>
    <w:p w14:paraId="6741E5B6">
      <w:pPr>
        <w:pStyle w:val="56"/>
        <w:bidi w:val="0"/>
        <w:rPr>
          <w:rFonts w:hint="eastAsia"/>
          <w:lang w:eastAsia="zh-CN"/>
        </w:rPr>
      </w:pPr>
    </w:p>
    <w:p w14:paraId="13B517B4">
      <w:pPr>
        <w:pStyle w:val="56"/>
        <w:bidi w:val="0"/>
        <w:rPr>
          <w:rFonts w:hint="eastAsia"/>
          <w:lang w:eastAsia="zh-CN"/>
        </w:rPr>
      </w:pPr>
    </w:p>
    <w:p w14:paraId="7F891D8B">
      <w:pPr>
        <w:pStyle w:val="56"/>
        <w:bidi w:val="0"/>
        <w:rPr>
          <w:rFonts w:hint="eastAsia"/>
          <w:lang w:eastAsia="zh-CN"/>
        </w:rPr>
      </w:pPr>
    </w:p>
    <w:p w14:paraId="383361BC">
      <w:pPr>
        <w:pStyle w:val="56"/>
        <w:bidi w:val="0"/>
        <w:rPr>
          <w:rFonts w:hint="eastAsia"/>
          <w:lang w:eastAsia="zh-CN"/>
        </w:rPr>
      </w:pPr>
    </w:p>
    <w:p w14:paraId="785290E9">
      <w:pPr>
        <w:pStyle w:val="56"/>
        <w:bidi w:val="0"/>
        <w:rPr>
          <w:rFonts w:hint="eastAsia"/>
          <w:lang w:eastAsia="zh-CN"/>
        </w:rPr>
      </w:pPr>
    </w:p>
    <w:p w14:paraId="269F7B22">
      <w:pPr>
        <w:pStyle w:val="56"/>
        <w:bidi w:val="0"/>
        <w:rPr>
          <w:rFonts w:hint="eastAsia"/>
          <w:lang w:eastAsia="zh-CN"/>
        </w:rPr>
      </w:pPr>
    </w:p>
    <w:p w14:paraId="45D786D0">
      <w:pPr>
        <w:pStyle w:val="56"/>
        <w:bidi w:val="0"/>
        <w:rPr>
          <w:rFonts w:hint="eastAsia"/>
          <w:lang w:eastAsia="zh-CN"/>
        </w:rPr>
      </w:pPr>
    </w:p>
    <w:p w14:paraId="405286D4">
      <w:pPr>
        <w:pStyle w:val="56"/>
        <w:bidi w:val="0"/>
        <w:rPr>
          <w:rFonts w:hint="eastAsia"/>
          <w:lang w:eastAsia="zh-CN"/>
        </w:rPr>
      </w:pPr>
    </w:p>
    <w:p w14:paraId="159E2CF1">
      <w:pPr>
        <w:pStyle w:val="56"/>
        <w:bidi w:val="0"/>
        <w:rPr>
          <w:rFonts w:hint="eastAsia"/>
          <w:lang w:eastAsia="zh-CN"/>
        </w:rPr>
      </w:pPr>
    </w:p>
    <w:p w14:paraId="1DDA8803">
      <w:pPr>
        <w:pStyle w:val="56"/>
        <w:bidi w:val="0"/>
        <w:rPr>
          <w:rFonts w:hint="eastAsia"/>
          <w:lang w:eastAsia="zh-CN"/>
        </w:rPr>
      </w:pPr>
    </w:p>
    <w:p w14:paraId="541F49B6">
      <w:pPr>
        <w:pStyle w:val="56"/>
        <w:bidi w:val="0"/>
        <w:rPr>
          <w:rFonts w:hint="eastAsia"/>
          <w:lang w:eastAsia="zh-CN"/>
        </w:rPr>
      </w:pPr>
    </w:p>
    <w:p w14:paraId="0B2B9B9C">
      <w:pPr>
        <w:pStyle w:val="56"/>
        <w:bidi w:val="0"/>
        <w:rPr>
          <w:rFonts w:hint="eastAsia"/>
          <w:lang w:eastAsia="zh-CN"/>
        </w:rPr>
      </w:pPr>
    </w:p>
    <w:p w14:paraId="7A3EF356">
      <w:pPr>
        <w:pStyle w:val="56"/>
        <w:bidi w:val="0"/>
        <w:rPr>
          <w:rFonts w:hint="eastAsia"/>
          <w:lang w:eastAsia="zh-CN"/>
        </w:rPr>
      </w:pPr>
    </w:p>
    <w:p w14:paraId="0B678EC0">
      <w:pPr>
        <w:pStyle w:val="56"/>
        <w:bidi w:val="0"/>
        <w:rPr>
          <w:rFonts w:hint="eastAsia"/>
          <w:lang w:eastAsia="zh-CN"/>
        </w:rPr>
      </w:pPr>
    </w:p>
    <w:p w14:paraId="37E6900A">
      <w:pPr>
        <w:pStyle w:val="56"/>
        <w:bidi w:val="0"/>
        <w:rPr>
          <w:rFonts w:hint="eastAsia"/>
          <w:lang w:eastAsia="zh-CN"/>
        </w:rPr>
      </w:pPr>
    </w:p>
    <w:p w14:paraId="7B3113AB">
      <w:pPr>
        <w:pStyle w:val="56"/>
        <w:bidi w:val="0"/>
        <w:rPr>
          <w:rFonts w:hint="eastAsia"/>
          <w:lang w:eastAsia="zh-CN"/>
        </w:rPr>
      </w:pPr>
    </w:p>
    <w:p w14:paraId="46E93C78">
      <w:pPr>
        <w:pStyle w:val="56"/>
        <w:bidi w:val="0"/>
        <w:rPr>
          <w:rFonts w:hint="eastAsia"/>
          <w:lang w:eastAsia="zh-CN"/>
        </w:rPr>
      </w:pPr>
    </w:p>
    <w:p w14:paraId="3F0DA5AB">
      <w:pPr>
        <w:pStyle w:val="56"/>
        <w:bidi w:val="0"/>
        <w:rPr>
          <w:rFonts w:hint="eastAsia"/>
          <w:lang w:eastAsia="zh-CN"/>
        </w:rPr>
      </w:pPr>
    </w:p>
    <w:p w14:paraId="76C99669">
      <w:pPr>
        <w:pStyle w:val="56"/>
        <w:bidi w:val="0"/>
        <w:rPr>
          <w:rFonts w:hint="eastAsia"/>
          <w:lang w:eastAsia="zh-CN"/>
        </w:rPr>
      </w:pPr>
    </w:p>
    <w:p w14:paraId="374D2A6A">
      <w:pPr>
        <w:pStyle w:val="56"/>
        <w:bidi w:val="0"/>
        <w:rPr>
          <w:rFonts w:hint="eastAsia"/>
          <w:lang w:eastAsia="zh-CN"/>
        </w:rPr>
        <w:sectPr>
          <w:pgSz w:w="11906" w:h="16838"/>
          <w:pgMar w:top="1928" w:right="1134" w:bottom="1134" w:left="1134" w:header="1418" w:footer="1134" w:gutter="284"/>
          <w:pgNumType w:fmt="decimal" w:start="1"/>
          <w:cols w:space="425" w:num="1"/>
          <w:formProt w:val="0"/>
          <w:docGrid w:linePitch="312" w:charSpace="0"/>
        </w:sectPr>
      </w:pPr>
    </w:p>
    <w:bookmarkEnd w:id="24"/>
    <w:p w14:paraId="5AEEF139">
      <w:pPr>
        <w:pStyle w:val="198"/>
        <w:bidi w:val="0"/>
        <w:rPr>
          <w:rFonts w:hint="eastAsia"/>
          <w:lang w:eastAsia="zh-CN"/>
        </w:rPr>
      </w:pPr>
      <w:bookmarkStart w:id="68" w:name="BookMark5"/>
    </w:p>
    <w:p w14:paraId="32E88D07">
      <w:pPr>
        <w:pStyle w:val="199"/>
        <w:bidi w:val="0"/>
        <w:rPr>
          <w:rFonts w:hint="eastAsia"/>
          <w:lang w:eastAsia="zh-CN"/>
        </w:rPr>
      </w:pPr>
    </w:p>
    <w:p w14:paraId="3FE48342">
      <w:pPr>
        <w:pStyle w:val="76"/>
        <w:bidi w:val="0"/>
        <w:rPr>
          <w:rFonts w:hint="eastAsia"/>
          <w:lang w:eastAsia="zh-CN"/>
        </w:rPr>
      </w:pPr>
      <w:bookmarkStart w:id="69" w:name="_Toc32468"/>
      <w:bookmarkStart w:id="70" w:name="_Toc13122"/>
      <w:r>
        <w:rPr>
          <w:rFonts w:hint="eastAsia"/>
          <w:lang w:eastAsia="zh-CN"/>
        </w:rPr>
        <w:br w:type="textWrapping"/>
      </w:r>
      <w:r>
        <w:rPr>
          <w:rFonts w:hint="eastAsia"/>
          <w:lang w:eastAsia="zh-CN"/>
        </w:rPr>
        <w:t>（资料性）</w:t>
      </w:r>
      <w:r>
        <w:rPr>
          <w:rFonts w:hint="eastAsia"/>
          <w:lang w:eastAsia="zh-CN"/>
        </w:rPr>
        <w:br w:type="textWrapping"/>
      </w:r>
      <w:r>
        <w:rPr>
          <w:rFonts w:hint="eastAsia"/>
          <w:lang w:eastAsia="zh-CN"/>
        </w:rPr>
        <w:t>岗梅主要</w:t>
      </w:r>
      <w:r>
        <w:rPr>
          <w:rFonts w:hint="eastAsia"/>
          <w:lang w:val="en-US" w:eastAsia="zh-CN"/>
        </w:rPr>
        <w:t>有害生物种类及防治参考方法</w:t>
      </w:r>
      <w:bookmarkEnd w:id="69"/>
      <w:bookmarkEnd w:id="70"/>
    </w:p>
    <w:p w14:paraId="49E1B04C">
      <w:pPr>
        <w:pStyle w:val="211"/>
        <w:numPr>
          <w:ilvl w:val="1"/>
          <w:numId w:val="0"/>
        </w:numPr>
        <w:bidi w:val="0"/>
        <w:ind w:leftChars="0"/>
        <w:rPr>
          <w:rFonts w:hint="eastAsia"/>
          <w:lang w:eastAsia="zh-CN"/>
        </w:rPr>
      </w:pPr>
      <w:r>
        <w:rPr>
          <w:rFonts w:hint="eastAsia"/>
          <w:lang w:eastAsia="zh-CN"/>
        </w:rPr>
        <w:t>岗梅主要</w:t>
      </w:r>
      <w:r>
        <w:rPr>
          <w:rFonts w:hint="eastAsia"/>
          <w:lang w:val="en-US" w:eastAsia="zh-CN"/>
        </w:rPr>
        <w:t>有害生物种类及防治方法见表A.1</w:t>
      </w:r>
      <w:r>
        <w:rPr>
          <w:rFonts w:hint="eastAsia"/>
          <w:lang w:eastAsia="zh-CN"/>
        </w:rPr>
        <w:t>。</w:t>
      </w:r>
    </w:p>
    <w:p w14:paraId="506263F1">
      <w:pPr>
        <w:pStyle w:val="77"/>
        <w:bidi w:val="0"/>
        <w:rPr>
          <w:rFonts w:hint="eastAsia"/>
          <w:lang w:eastAsia="zh-CN"/>
        </w:rPr>
      </w:pPr>
      <w:r>
        <w:rPr>
          <w:rFonts w:hint="eastAsia"/>
          <w:lang w:eastAsia="zh-CN"/>
        </w:rPr>
        <w:t>岗梅主要</w:t>
      </w:r>
      <w:r>
        <w:rPr>
          <w:rFonts w:hint="eastAsia"/>
          <w:lang w:val="en-US" w:eastAsia="zh-CN"/>
        </w:rPr>
        <w:t>有害生物种类及防治参考方法</w:t>
      </w:r>
    </w:p>
    <w:tbl>
      <w:tblPr>
        <w:tblStyle w:val="27"/>
        <w:tblW w:w="957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79"/>
        <w:gridCol w:w="1729"/>
        <w:gridCol w:w="6266"/>
      </w:tblGrid>
      <w:tr w14:paraId="21120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tcPr>
          <w:p w14:paraId="5DB5AFF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有害生物名称</w:t>
            </w:r>
          </w:p>
        </w:tc>
        <w:tc>
          <w:tcPr>
            <w:tcW w:w="1729" w:type="dxa"/>
          </w:tcPr>
          <w:p w14:paraId="57B4C42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防治时期</w:t>
            </w:r>
          </w:p>
        </w:tc>
        <w:tc>
          <w:tcPr>
            <w:tcW w:w="6266" w:type="dxa"/>
          </w:tcPr>
          <w:p w14:paraId="216B9262">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推荐防治方法</w:t>
            </w:r>
          </w:p>
        </w:tc>
      </w:tr>
      <w:tr w14:paraId="22B96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07EEA0A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枝枯病</w:t>
            </w:r>
          </w:p>
        </w:tc>
        <w:tc>
          <w:tcPr>
            <w:tcW w:w="1729" w:type="dxa"/>
            <w:vAlign w:val="center"/>
          </w:tcPr>
          <w:p w14:paraId="62CD164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3月～8月</w:t>
            </w:r>
          </w:p>
        </w:tc>
        <w:tc>
          <w:tcPr>
            <w:tcW w:w="6266" w:type="dxa"/>
          </w:tcPr>
          <w:p w14:paraId="55AF12D7">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default" w:ascii="宋体" w:hAnsi="宋体" w:cs="宋体"/>
                <w:sz w:val="21"/>
                <w:szCs w:val="21"/>
                <w:lang w:val="en-US" w:eastAsia="zh-CN"/>
              </w:rPr>
            </w:pPr>
            <w:r>
              <w:rPr>
                <w:rFonts w:hint="eastAsia" w:ascii="宋体" w:hAnsi="宋体" w:cs="宋体"/>
                <w:sz w:val="21"/>
                <w:szCs w:val="21"/>
                <w:lang w:val="en-US" w:eastAsia="zh-CN"/>
              </w:rPr>
              <w:t>喷施甲基苯并咪唑氨基甲酸酯类杀真菌剂（如苯菌灵、噻苯咪唑等）对枝枯病的发生具有一定的控制效果。如发生病害田间施用多菌灵、甲基硫菌灵等药剂刮破病斑后涂药，按照农药标签使用</w:t>
            </w:r>
          </w:p>
        </w:tc>
      </w:tr>
      <w:tr w14:paraId="651AE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75874ED7">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地衣病</w:t>
            </w:r>
          </w:p>
        </w:tc>
        <w:tc>
          <w:tcPr>
            <w:tcW w:w="1729" w:type="dxa"/>
            <w:vAlign w:val="center"/>
          </w:tcPr>
          <w:p w14:paraId="1D1B8C2B">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3月～5月</w:t>
            </w:r>
          </w:p>
        </w:tc>
        <w:tc>
          <w:tcPr>
            <w:tcW w:w="6266" w:type="dxa"/>
          </w:tcPr>
          <w:p w14:paraId="549B4F3A">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严重时可以用石灰乳液涂抹整个树干，或用波尔多液或氧氯化铜喷有地衣寄生的树干和枝条，按照农药标签使用</w:t>
            </w:r>
          </w:p>
        </w:tc>
      </w:tr>
      <w:tr w14:paraId="6CD2FE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6FE410B9">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茎基腐病</w:t>
            </w:r>
          </w:p>
        </w:tc>
        <w:tc>
          <w:tcPr>
            <w:tcW w:w="1729" w:type="dxa"/>
            <w:vAlign w:val="center"/>
          </w:tcPr>
          <w:p w14:paraId="0CBF2966">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5月～8月</w:t>
            </w:r>
          </w:p>
        </w:tc>
        <w:tc>
          <w:tcPr>
            <w:tcW w:w="6266" w:type="dxa"/>
          </w:tcPr>
          <w:p w14:paraId="761357AB">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采用多菌灵、或甲基硫菌灵、或代森锰锌等药剂灌根防治，按照农药标签使用</w:t>
            </w:r>
          </w:p>
        </w:tc>
      </w:tr>
      <w:tr w14:paraId="0CB67A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3BBF108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尺蠖</w:t>
            </w:r>
          </w:p>
        </w:tc>
        <w:tc>
          <w:tcPr>
            <w:tcW w:w="1729" w:type="dxa"/>
            <w:vAlign w:val="center"/>
          </w:tcPr>
          <w:p w14:paraId="1E3C5623">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12月至次年5月</w:t>
            </w:r>
          </w:p>
        </w:tc>
        <w:tc>
          <w:tcPr>
            <w:tcW w:w="6266" w:type="dxa"/>
          </w:tcPr>
          <w:p w14:paraId="1E021DEC">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1、2龄幼虫期的尺蠖可喷施核型多角形病毒、杀螟杆菌、多角体病毒制剂或苏云金杆菌制剂等进行生物防治。3龄幼虫施灭幼脲、辛硫磷、氟啶脲、苦参碱、印棟素等进行喷雾防治，按照农药标签使用。或采用频振式杀虫灯进行诱杀</w:t>
            </w:r>
          </w:p>
        </w:tc>
      </w:tr>
      <w:tr w14:paraId="2552D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06F542B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卷蛾</w:t>
            </w:r>
          </w:p>
        </w:tc>
        <w:tc>
          <w:tcPr>
            <w:tcW w:w="1729" w:type="dxa"/>
            <w:vAlign w:val="center"/>
          </w:tcPr>
          <w:p w14:paraId="1DD91A98">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3月～5月</w:t>
            </w:r>
          </w:p>
        </w:tc>
        <w:tc>
          <w:tcPr>
            <w:tcW w:w="6266" w:type="dxa"/>
          </w:tcPr>
          <w:p w14:paraId="4E6CE016">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对于幼虫可以选用Bt生物制剂喷施，在新梢期可选用甲维盐氯虫苯甲酰胺、氯氰菊酯或其他菊酯类杀虫剂混配生物杀虫剂，按照农药标签使用</w:t>
            </w:r>
          </w:p>
        </w:tc>
      </w:tr>
      <w:tr w14:paraId="214E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313BE1A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蚜虫</w:t>
            </w:r>
          </w:p>
        </w:tc>
        <w:tc>
          <w:tcPr>
            <w:tcW w:w="1729" w:type="dxa"/>
            <w:vAlign w:val="center"/>
          </w:tcPr>
          <w:p w14:paraId="0A680B9C">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default" w:ascii="宋体" w:hAnsi="宋体" w:cs="宋体"/>
                <w:sz w:val="21"/>
                <w:szCs w:val="21"/>
                <w:lang w:val="en-US" w:eastAsia="zh-CN"/>
              </w:rPr>
            </w:pPr>
            <w:r>
              <w:rPr>
                <w:rFonts w:hint="eastAsia" w:ascii="宋体" w:hAnsi="宋体" w:cs="宋体"/>
                <w:sz w:val="21"/>
                <w:szCs w:val="21"/>
                <w:lang w:val="en-US" w:eastAsia="zh-CN"/>
              </w:rPr>
              <w:t>4月～5月</w:t>
            </w:r>
          </w:p>
        </w:tc>
        <w:tc>
          <w:tcPr>
            <w:tcW w:w="6266" w:type="dxa"/>
          </w:tcPr>
          <w:p w14:paraId="52D9187F">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可采用吡虫啉、啶虫脒、苦参碱、抗蚜威、鱼藤酮等进行喷雾防治，按照农药标签使用</w:t>
            </w:r>
          </w:p>
        </w:tc>
      </w:tr>
      <w:tr w14:paraId="5A643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9" w:type="dxa"/>
            <w:vAlign w:val="center"/>
          </w:tcPr>
          <w:p w14:paraId="1D5D1A9E">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六星黑点蠹蛾</w:t>
            </w:r>
          </w:p>
        </w:tc>
        <w:tc>
          <w:tcPr>
            <w:tcW w:w="1729" w:type="dxa"/>
            <w:vAlign w:val="center"/>
          </w:tcPr>
          <w:p w14:paraId="6B04D74D">
            <w:pPr>
              <w:keepNext w:val="0"/>
              <w:keepLines w:val="0"/>
              <w:pageBreakBefore w:val="0"/>
              <w:widowControl w:val="0"/>
              <w:kinsoku/>
              <w:wordWrap/>
              <w:overflowPunct/>
              <w:topLinePunct w:val="0"/>
              <w:autoSpaceDE/>
              <w:autoSpaceDN/>
              <w:bidi w:val="0"/>
              <w:adjustRightInd w:val="0"/>
              <w:snapToGrid/>
              <w:spacing w:line="240" w:lineRule="auto"/>
              <w:jc w:val="center"/>
              <w:textAlignment w:val="auto"/>
              <w:rPr>
                <w:rFonts w:hint="eastAsia" w:ascii="宋体" w:hAnsi="宋体" w:cs="宋体"/>
                <w:sz w:val="21"/>
                <w:szCs w:val="21"/>
                <w:lang w:val="en-US" w:eastAsia="zh-CN"/>
              </w:rPr>
            </w:pPr>
            <w:r>
              <w:rPr>
                <w:rFonts w:hint="eastAsia" w:ascii="宋体" w:hAnsi="宋体" w:cs="宋体"/>
                <w:sz w:val="21"/>
                <w:szCs w:val="21"/>
                <w:lang w:val="en-US" w:eastAsia="zh-CN"/>
              </w:rPr>
              <w:t>4月～5月</w:t>
            </w:r>
          </w:p>
        </w:tc>
        <w:tc>
          <w:tcPr>
            <w:tcW w:w="6266" w:type="dxa"/>
          </w:tcPr>
          <w:p w14:paraId="2C315800">
            <w:pPr>
              <w:keepNext w:val="0"/>
              <w:keepLines w:val="0"/>
              <w:pageBreakBefore w:val="0"/>
              <w:widowControl w:val="0"/>
              <w:kinsoku/>
              <w:wordWrap/>
              <w:overflowPunct/>
              <w:topLinePunct w:val="0"/>
              <w:autoSpaceDE/>
              <w:autoSpaceDN/>
              <w:bidi w:val="0"/>
              <w:adjustRightInd w:val="0"/>
              <w:snapToGrid/>
              <w:spacing w:line="240" w:lineRule="auto"/>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防治时用丙溴·辛硫磷、氰戊菊酯、甲维盐、啶虫脒，按照农药标签使用</w:t>
            </w:r>
          </w:p>
        </w:tc>
      </w:tr>
    </w:tbl>
    <w:p w14:paraId="70B01922">
      <w:pPr>
        <w:pStyle w:val="56"/>
        <w:bidi w:val="0"/>
        <w:rPr>
          <w:rFonts w:hint="eastAsia"/>
          <w:lang w:eastAsia="zh-CN"/>
        </w:rPr>
      </w:pPr>
    </w:p>
    <w:p w14:paraId="13D31F2D">
      <w:pPr>
        <w:pStyle w:val="56"/>
        <w:bidi w:val="0"/>
        <w:rPr>
          <w:rFonts w:hint="eastAsia"/>
          <w:lang w:eastAsia="zh-CN"/>
        </w:rPr>
      </w:pPr>
    </w:p>
    <w:p w14:paraId="25773BD9">
      <w:pPr>
        <w:pStyle w:val="56"/>
        <w:bidi w:val="0"/>
        <w:rPr>
          <w:rFonts w:hint="eastAsia"/>
          <w:lang w:eastAsia="zh-CN"/>
        </w:rPr>
      </w:pPr>
    </w:p>
    <w:p w14:paraId="376F9EE4">
      <w:pPr>
        <w:pStyle w:val="56"/>
        <w:bidi w:val="0"/>
        <w:rPr>
          <w:rFonts w:hint="eastAsia"/>
          <w:lang w:eastAsia="zh-CN"/>
        </w:rPr>
      </w:pPr>
    </w:p>
    <w:p w14:paraId="7CE41A18">
      <w:pPr>
        <w:pStyle w:val="56"/>
        <w:bidi w:val="0"/>
        <w:rPr>
          <w:rFonts w:hint="eastAsia"/>
          <w:lang w:eastAsia="zh-CN"/>
        </w:rPr>
      </w:pPr>
    </w:p>
    <w:p w14:paraId="79B857E5">
      <w:pPr>
        <w:pStyle w:val="56"/>
        <w:bidi w:val="0"/>
        <w:rPr>
          <w:rFonts w:hint="eastAsia"/>
          <w:lang w:eastAsia="zh-CN"/>
        </w:rPr>
      </w:pPr>
    </w:p>
    <w:p w14:paraId="1ECC8B43">
      <w:pPr>
        <w:pStyle w:val="56"/>
        <w:bidi w:val="0"/>
        <w:rPr>
          <w:rFonts w:hint="eastAsia"/>
          <w:lang w:eastAsia="zh-CN"/>
        </w:rPr>
      </w:pPr>
    </w:p>
    <w:p w14:paraId="69A5D400">
      <w:pPr>
        <w:pStyle w:val="56"/>
        <w:bidi w:val="0"/>
        <w:rPr>
          <w:rFonts w:hint="eastAsia"/>
          <w:lang w:eastAsia="zh-CN"/>
        </w:rPr>
      </w:pPr>
    </w:p>
    <w:p w14:paraId="010E674C">
      <w:pPr>
        <w:pStyle w:val="56"/>
        <w:bidi w:val="0"/>
        <w:rPr>
          <w:rFonts w:hint="eastAsia"/>
          <w:lang w:eastAsia="zh-CN"/>
        </w:rPr>
      </w:pPr>
    </w:p>
    <w:p w14:paraId="2ED7F535">
      <w:pPr>
        <w:pStyle w:val="56"/>
        <w:bidi w:val="0"/>
        <w:rPr>
          <w:rFonts w:hint="eastAsia"/>
          <w:lang w:eastAsia="zh-CN"/>
        </w:rPr>
      </w:pPr>
    </w:p>
    <w:p w14:paraId="6C4C5897">
      <w:pPr>
        <w:pStyle w:val="56"/>
        <w:bidi w:val="0"/>
        <w:rPr>
          <w:rFonts w:hint="eastAsia"/>
          <w:lang w:eastAsia="zh-CN"/>
        </w:rPr>
      </w:pPr>
    </w:p>
    <w:p w14:paraId="6823EEF4">
      <w:pPr>
        <w:pStyle w:val="56"/>
        <w:bidi w:val="0"/>
        <w:rPr>
          <w:rFonts w:hint="eastAsia"/>
          <w:lang w:eastAsia="zh-CN"/>
        </w:rPr>
      </w:pPr>
    </w:p>
    <w:p w14:paraId="62710480">
      <w:pPr>
        <w:pStyle w:val="56"/>
        <w:bidi w:val="0"/>
        <w:rPr>
          <w:rFonts w:hint="eastAsia"/>
          <w:lang w:eastAsia="zh-CN"/>
        </w:rPr>
      </w:pPr>
    </w:p>
    <w:p w14:paraId="14B1BF0F">
      <w:pPr>
        <w:pStyle w:val="56"/>
        <w:bidi w:val="0"/>
        <w:rPr>
          <w:rFonts w:hint="eastAsia"/>
          <w:lang w:eastAsia="zh-CN"/>
        </w:rPr>
      </w:pPr>
    </w:p>
    <w:p w14:paraId="04C5DF5F">
      <w:pPr>
        <w:pStyle w:val="56"/>
        <w:bidi w:val="0"/>
        <w:rPr>
          <w:rFonts w:hint="eastAsia"/>
          <w:lang w:eastAsia="zh-CN"/>
        </w:rPr>
      </w:pPr>
    </w:p>
    <w:p w14:paraId="2E6C8FD5">
      <w:pPr>
        <w:pStyle w:val="56"/>
        <w:bidi w:val="0"/>
        <w:rPr>
          <w:rFonts w:hint="eastAsia"/>
          <w:lang w:eastAsia="zh-CN"/>
        </w:rPr>
      </w:pPr>
    </w:p>
    <w:p w14:paraId="70B4EFD4">
      <w:pPr>
        <w:pStyle w:val="56"/>
        <w:bidi w:val="0"/>
        <w:rPr>
          <w:rFonts w:hint="eastAsia"/>
          <w:lang w:eastAsia="zh-CN"/>
        </w:rPr>
      </w:pPr>
    </w:p>
    <w:p w14:paraId="428908CE">
      <w:pPr>
        <w:pStyle w:val="56"/>
        <w:bidi w:val="0"/>
        <w:rPr>
          <w:rFonts w:hint="eastAsia"/>
          <w:lang w:eastAsia="zh-CN"/>
        </w:rPr>
      </w:pPr>
    </w:p>
    <w:p w14:paraId="1E994D3D">
      <w:pPr>
        <w:pStyle w:val="56"/>
        <w:bidi w:val="0"/>
        <w:ind w:left="0" w:leftChars="0" w:firstLine="0" w:firstLineChars="0"/>
        <w:rPr>
          <w:rFonts w:hint="eastAsia"/>
          <w:lang w:eastAsia="zh-CN"/>
        </w:rPr>
      </w:pPr>
    </w:p>
    <w:p w14:paraId="2627A8B0">
      <w:pPr>
        <w:pStyle w:val="56"/>
        <w:bidi w:val="0"/>
        <w:rPr>
          <w:rFonts w:hint="eastAsia"/>
          <w:lang w:eastAsia="zh-CN"/>
        </w:rPr>
      </w:pPr>
    </w:p>
    <w:bookmarkEnd w:id="68"/>
    <w:p w14:paraId="3047693A">
      <w:pPr>
        <w:pStyle w:val="56"/>
        <w:bidi w:val="0"/>
        <w:rPr>
          <w:rFonts w:hint="eastAsia"/>
          <w:lang w:eastAsia="zh-CN"/>
        </w:rPr>
        <w:sectPr>
          <w:pgSz w:w="11906" w:h="16838"/>
          <w:pgMar w:top="1928" w:right="1134" w:bottom="1134" w:left="1134" w:header="1418" w:footer="1134" w:gutter="284"/>
          <w:pgNumType w:fmt="decimal"/>
          <w:cols w:space="425" w:num="1"/>
          <w:formProt w:val="0"/>
          <w:docGrid w:linePitch="312" w:charSpace="0"/>
        </w:sectPr>
      </w:pPr>
      <w:bookmarkStart w:id="71" w:name="BookMark6"/>
    </w:p>
    <w:p w14:paraId="1E41CD33">
      <w:pPr>
        <w:pStyle w:val="63"/>
        <w:bidi w:val="0"/>
        <w:rPr>
          <w:rFonts w:hint="eastAsia"/>
          <w:lang w:eastAsia="zh-CN"/>
        </w:rPr>
      </w:pPr>
      <w:bookmarkStart w:id="72" w:name="_Toc2797"/>
      <w:bookmarkStart w:id="73" w:name="_Toc12648"/>
      <w:r>
        <w:rPr>
          <w:rFonts w:hint="eastAsia"/>
          <w:spacing w:val="105"/>
          <w:lang w:eastAsia="zh-CN"/>
        </w:rPr>
        <w:t>参考文</w:t>
      </w:r>
      <w:r>
        <w:rPr>
          <w:rFonts w:hint="eastAsia"/>
          <w:lang w:eastAsia="zh-CN"/>
        </w:rPr>
        <w:t>献</w:t>
      </w:r>
      <w:bookmarkEnd w:id="72"/>
      <w:bookmarkEnd w:id="73"/>
    </w:p>
    <w:p w14:paraId="7163167F">
      <w:pPr>
        <w:pStyle w:val="56"/>
        <w:keepNext w:val="0"/>
        <w:keepLines w:val="0"/>
        <w:pageBreakBefore w:val="0"/>
        <w:widowControl/>
        <w:kinsoku/>
        <w:wordWrap/>
        <w:overflowPunct/>
        <w:topLinePunct w:val="0"/>
        <w:autoSpaceDE w:val="0"/>
        <w:autoSpaceDN w:val="0"/>
        <w:bidi w:val="0"/>
        <w:adjustRightInd/>
        <w:snapToGrid/>
        <w:ind w:left="0" w:leftChars="0" w:firstLine="420" w:firstLineChars="200"/>
        <w:textAlignment w:val="auto"/>
        <w:rPr>
          <w:rFonts w:hint="eastAsia"/>
          <w:lang w:val="en-US" w:eastAsia="zh-CN"/>
        </w:rPr>
      </w:pPr>
      <w:r>
        <w:rPr>
          <w:rFonts w:hint="eastAsia"/>
          <w:lang w:val="en-US" w:eastAsia="zh-CN"/>
        </w:rPr>
        <w:t>[1]国家药典委员会.中华人民共和国药典（一部）.中国医药科技出版社，2020.</w:t>
      </w:r>
    </w:p>
    <w:p w14:paraId="0E2A5BC4">
      <w:pPr>
        <w:pStyle w:val="56"/>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color w:val="FF0000"/>
          <w:lang w:val="en-US" w:eastAsia="zh-CN"/>
        </w:rPr>
      </w:pPr>
      <w:r>
        <w:rPr>
          <w:rFonts w:hint="eastAsia"/>
          <w:color w:val="FF0000"/>
          <w:lang w:val="en-US" w:eastAsia="zh-CN"/>
        </w:rPr>
        <w:t>[2]郭少东，杨茜萍，李念，班昊.宾阳县武陵镇 “油茶 + N” 复合经营 乡村振兴增添动力 [N]. 南宁日报，2024-08-23 (004).</w:t>
      </w:r>
    </w:p>
    <w:p w14:paraId="07EEA2D6">
      <w:pPr>
        <w:pStyle w:val="56"/>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color w:val="FF0000"/>
          <w:lang w:val="en-US" w:eastAsia="zh-CN"/>
        </w:rPr>
      </w:pPr>
      <w:r>
        <w:rPr>
          <w:rFonts w:hint="eastAsia"/>
          <w:color w:val="FF0000"/>
          <w:lang w:val="en-US" w:eastAsia="zh-CN"/>
        </w:rPr>
        <w:t>[3] 曾淑燕，张冬生，肖腊兴，陈新强，范剑明，钟奕灵，罗万业，刘惠娜，陈桂琼，魏锦秋，黄锦荣，叶雪兰.不同营林措施对油茶林下套种岗梅根系生长的影响 [J]. 湖南林业科技，2021,48 (5):65-68.</w:t>
      </w:r>
    </w:p>
    <w:p w14:paraId="6CB8CE8C">
      <w:pPr>
        <w:pStyle w:val="56"/>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color w:val="FF0000"/>
          <w:lang w:val="en-US" w:eastAsia="zh-CN"/>
        </w:rPr>
      </w:pPr>
      <w:r>
        <w:rPr>
          <w:rFonts w:hint="eastAsia"/>
          <w:color w:val="FF0000"/>
          <w:lang w:val="en-US" w:eastAsia="zh-CN"/>
        </w:rPr>
        <w:t>[4] 谢文就.连平县林下药材种植模式与栽培技术 [J]. 安徽农学通报，2026 (10):45-48.</w:t>
      </w:r>
    </w:p>
    <w:p w14:paraId="1CBD70BC">
      <w:pPr>
        <w:pStyle w:val="56"/>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color w:val="FF0000"/>
          <w:lang w:val="en-US" w:eastAsia="zh-CN"/>
        </w:rPr>
      </w:pPr>
      <w:r>
        <w:rPr>
          <w:rFonts w:hint="eastAsia"/>
          <w:color w:val="FF0000"/>
          <w:lang w:val="en-US" w:eastAsia="zh-CN"/>
        </w:rPr>
        <w:t>[5] 曾淑燕，刘惠娜，蔡梅玲，叶雪兰，魏锦秋，朱昔娇，陈新强，罗万业.油茶林下套种不同中药材的生长节律研究 [J]. 湖南林业科技，2022,49 (3):39-45.</w:t>
      </w:r>
    </w:p>
    <w:p w14:paraId="60F708FD">
      <w:pPr>
        <w:pStyle w:val="56"/>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color w:val="FF0000"/>
          <w:lang w:val="en-US" w:eastAsia="zh-CN"/>
        </w:rPr>
      </w:pPr>
      <w:r>
        <w:rPr>
          <w:rFonts w:hint="eastAsia"/>
          <w:color w:val="FF0000"/>
          <w:lang w:val="en-US" w:eastAsia="zh-CN"/>
        </w:rPr>
        <w:t>[6] 曾淑燕，邓春亮，张冬生，罗万业，朱昔娇，蔡梅玲.油茶林下套种不同中药材的综合效益评价 [J]. 福建林业科技，2023,50 (1):44-49.</w:t>
      </w:r>
    </w:p>
    <w:p w14:paraId="1F5AF2CA">
      <w:pPr>
        <w:pStyle w:val="56"/>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color w:val="FF0000"/>
          <w:lang w:val="en-US" w:eastAsia="zh-CN"/>
        </w:rPr>
      </w:pPr>
      <w:r>
        <w:rPr>
          <w:rFonts w:hint="eastAsia"/>
          <w:color w:val="FF0000"/>
          <w:lang w:val="en-US" w:eastAsia="zh-CN"/>
        </w:rPr>
        <w:t>[7] 曾淑燕，张冬生，肖腊兴，陈新强，范剑明1，刘惠娜，魏锦秋，黄锦荣，叶雪兰，朱昔娇，范秀琼.油茶林下套种岗梅、毛冬青及巴戟天的效果研究 [J]. 湖南林业科技，2020,47 (2):72-75.</w:t>
      </w:r>
    </w:p>
    <w:p w14:paraId="067E7913">
      <w:pPr>
        <w:pStyle w:val="56"/>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color w:val="FF0000"/>
          <w:lang w:val="en-US" w:eastAsia="zh-CN"/>
        </w:rPr>
      </w:pPr>
      <w:r>
        <w:rPr>
          <w:rFonts w:hint="eastAsia"/>
          <w:color w:val="FF0000"/>
          <w:lang w:val="en-US" w:eastAsia="zh-CN"/>
        </w:rPr>
        <w:t>[8] 福建省市场监督管理局.DB35/T 2251-2025 岗梅林地栽培技术规程 [S]. 福州，2025.</w:t>
      </w:r>
    </w:p>
    <w:p w14:paraId="23776F90">
      <w:pPr>
        <w:pStyle w:val="56"/>
        <w:keepNext w:val="0"/>
        <w:keepLines w:val="0"/>
        <w:pageBreakBefore w:val="0"/>
        <w:widowControl/>
        <w:numPr>
          <w:ilvl w:val="0"/>
          <w:numId w:val="0"/>
        </w:numPr>
        <w:kinsoku/>
        <w:wordWrap/>
        <w:overflowPunct/>
        <w:topLinePunct w:val="0"/>
        <w:autoSpaceDE w:val="0"/>
        <w:autoSpaceDN w:val="0"/>
        <w:bidi w:val="0"/>
        <w:adjustRightInd/>
        <w:snapToGrid/>
        <w:ind w:firstLine="420" w:firstLineChars="200"/>
        <w:textAlignment w:val="auto"/>
        <w:rPr>
          <w:rFonts w:hint="eastAsia"/>
          <w:color w:val="FF0000"/>
          <w:lang w:val="en-US" w:eastAsia="zh-CN"/>
        </w:rPr>
      </w:pPr>
      <w:r>
        <w:rPr>
          <w:rFonts w:hint="eastAsia"/>
          <w:color w:val="FF0000"/>
          <w:lang w:val="en-US" w:eastAsia="zh-CN"/>
        </w:rPr>
        <w:t>[9] 广东省市场监督管理局.DB44/T 2321-2021 岗梅栽培技术规程 [S]. 广州，2021.</w:t>
      </w:r>
    </w:p>
    <w:p w14:paraId="4AC208EE">
      <w:pPr>
        <w:pStyle w:val="56"/>
        <w:bidi w:val="0"/>
        <w:rPr>
          <w:rFonts w:hint="eastAsia"/>
          <w:lang w:val="en-US" w:eastAsia="zh-CN"/>
        </w:rPr>
      </w:pPr>
    </w:p>
    <w:p w14:paraId="0A764554">
      <w:pPr>
        <w:pStyle w:val="56"/>
        <w:bidi w:val="0"/>
        <w:rPr>
          <w:rFonts w:hint="eastAsia"/>
          <w:lang w:eastAsia="zh-CN"/>
        </w:rPr>
      </w:pPr>
    </w:p>
    <w:bookmarkEnd w:id="71"/>
    <w:p w14:paraId="6F54F139">
      <w:pPr>
        <w:pStyle w:val="56"/>
        <w:bidi w:val="0"/>
        <w:ind w:firstLine="0" w:firstLineChars="0"/>
        <w:jc w:val="center"/>
        <w:rPr>
          <w:rFonts w:hint="eastAsia"/>
          <w:lang w:eastAsia="zh-CN"/>
        </w:rPr>
      </w:pPr>
      <w:bookmarkStart w:id="74" w:name="BookMark8"/>
      <w:r>
        <w:rPr>
          <w:rFonts w:hint="eastAsia"/>
          <w:lang w:eastAsia="zh-CN"/>
        </w:rPr>
        <w:drawing>
          <wp:inline distT="0" distB="0" distL="114300" distR="114300">
            <wp:extent cx="1485900" cy="317500"/>
            <wp:effectExtent l="0" t="0" r="0" b="0"/>
            <wp:docPr id="3" name="图片 3" descr="1"/>
            <wp:cNvGraphicFramePr/>
            <a:graphic xmlns:a="http://schemas.openxmlformats.org/drawingml/2006/main">
              <a:graphicData uri="http://schemas.openxmlformats.org/drawingml/2006/picture">
                <pic:pic xmlns:pic="http://schemas.openxmlformats.org/drawingml/2006/picture">
                  <pic:nvPicPr>
                    <pic:cNvPr id="3" name="图片 3" descr="1"/>
                    <pic:cNvPicPr/>
                  </pic:nvPicPr>
                  <pic:blipFill>
                    <a:blip r:embed="rId14"/>
                    <a:stretch>
                      <a:fillRect/>
                    </a:stretch>
                  </pic:blipFill>
                  <pic:spPr>
                    <a:xfrm>
                      <a:off x="0" y="0"/>
                      <a:ext cx="1485900" cy="317500"/>
                    </a:xfrm>
                    <a:prstGeom prst="rect">
                      <a:avLst/>
                    </a:prstGeom>
                  </pic:spPr>
                </pic:pic>
              </a:graphicData>
            </a:graphic>
          </wp:inline>
        </w:drawing>
      </w:r>
      <w:bookmarkEnd w:id="74"/>
    </w:p>
    <w:sectPr>
      <w:pgSz w:w="11906" w:h="16838"/>
      <w:pgMar w:top="1928" w:right="1134" w:bottom="1134" w:left="1134" w:header="1418" w:footer="1134" w:gutter="284"/>
      <w:pgNumType w:fmt="decimal"/>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26B6D">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18E29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42EF22">
    <w:pPr>
      <w:pStyle w:val="52"/>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61CD1">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A3CA2E">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213336">
    <w:pPr>
      <w:pStyle w:val="61"/>
      <w:rPr>
        <w:rFonts w:hint="eastAsia"/>
      </w:rPr>
    </w:pPr>
    <w:r>
      <w:fldChar w:fldCharType="begin"/>
    </w:r>
    <w:r>
      <w:instrText xml:space="preserve"> STYLEREF  标准文件_文件编号  \* MERGEFORMAT </w:instrText>
    </w:r>
    <w:r>
      <w:fldChar w:fldCharType="separate"/>
    </w:r>
    <w:r>
      <w:t>T/GXAS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dit="forms" w:enforcement="1" w:cryptProviderType="rsaFull" w:cryptAlgorithmClass="hash" w:cryptAlgorithmType="typeAny" w:cryptAlgorithmSid="4" w:cryptSpinCount="0" w:hash="j1Ops/M8pSkWZ0D1MaY2nXPa2U0=" w:salt="DYQNkYxuQ8Wf5njHCojCUg=="/>
  <w:defaultTabStop w:val="420"/>
  <w:drawingGridHorizontalSpacing w:val="105"/>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CAB450D"/>
    <w:rsid w:val="0000040A"/>
    <w:rsid w:val="00000A94"/>
    <w:rsid w:val="00001972"/>
    <w:rsid w:val="00001D9A"/>
    <w:rsid w:val="00002D44"/>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4A5D"/>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ECF"/>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A07AA"/>
    <w:rsid w:val="006A25E5"/>
    <w:rsid w:val="006A2B46"/>
    <w:rsid w:val="006A336D"/>
    <w:rsid w:val="006A37B9"/>
    <w:rsid w:val="006A3D27"/>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8E0"/>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5609D"/>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3A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6980"/>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7B9"/>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286E"/>
    <w:rsid w:val="00DB38EE"/>
    <w:rsid w:val="00DB498B"/>
    <w:rsid w:val="00DB66CA"/>
    <w:rsid w:val="00DB6BCA"/>
    <w:rsid w:val="00DB6F54"/>
    <w:rsid w:val="00DB73F7"/>
    <w:rsid w:val="00DC0321"/>
    <w:rsid w:val="00DC3067"/>
    <w:rsid w:val="00DC370B"/>
    <w:rsid w:val="00DC5B90"/>
    <w:rsid w:val="00DD00FF"/>
    <w:rsid w:val="00DD027C"/>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5624"/>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D75C2"/>
    <w:rsid w:val="00EE0350"/>
    <w:rsid w:val="00EE0719"/>
    <w:rsid w:val="00EE0E80"/>
    <w:rsid w:val="00EE613F"/>
    <w:rsid w:val="00EE7295"/>
    <w:rsid w:val="00EE7869"/>
    <w:rsid w:val="00EF054A"/>
    <w:rsid w:val="00EF3235"/>
    <w:rsid w:val="00EF7076"/>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18B1DB6"/>
    <w:rsid w:val="0209128C"/>
    <w:rsid w:val="02994020"/>
    <w:rsid w:val="03582B96"/>
    <w:rsid w:val="040B66DE"/>
    <w:rsid w:val="04372FFB"/>
    <w:rsid w:val="06A86F0E"/>
    <w:rsid w:val="07071B14"/>
    <w:rsid w:val="09105AE8"/>
    <w:rsid w:val="09E3201C"/>
    <w:rsid w:val="0A1232CA"/>
    <w:rsid w:val="0A372345"/>
    <w:rsid w:val="0B536D2E"/>
    <w:rsid w:val="0E6213FB"/>
    <w:rsid w:val="0F0D2715"/>
    <w:rsid w:val="0FD26785"/>
    <w:rsid w:val="1046215F"/>
    <w:rsid w:val="10927499"/>
    <w:rsid w:val="11224C52"/>
    <w:rsid w:val="11B33417"/>
    <w:rsid w:val="12244F80"/>
    <w:rsid w:val="12BE4EC4"/>
    <w:rsid w:val="15A90E19"/>
    <w:rsid w:val="15CB59B5"/>
    <w:rsid w:val="162716E7"/>
    <w:rsid w:val="182E09AD"/>
    <w:rsid w:val="1967459C"/>
    <w:rsid w:val="19892FF3"/>
    <w:rsid w:val="1ADD0DEA"/>
    <w:rsid w:val="1B972D4E"/>
    <w:rsid w:val="1BCA30B9"/>
    <w:rsid w:val="1C1B552A"/>
    <w:rsid w:val="1C30325B"/>
    <w:rsid w:val="1EFA215C"/>
    <w:rsid w:val="1F5F550C"/>
    <w:rsid w:val="1FB52EC0"/>
    <w:rsid w:val="1FBD6C1B"/>
    <w:rsid w:val="20757F3E"/>
    <w:rsid w:val="210F1970"/>
    <w:rsid w:val="21217899"/>
    <w:rsid w:val="21DF69C8"/>
    <w:rsid w:val="230044F9"/>
    <w:rsid w:val="23441F06"/>
    <w:rsid w:val="23F4608B"/>
    <w:rsid w:val="242B504B"/>
    <w:rsid w:val="246E5D54"/>
    <w:rsid w:val="24E16D01"/>
    <w:rsid w:val="25BE7351"/>
    <w:rsid w:val="26B2758B"/>
    <w:rsid w:val="276802EB"/>
    <w:rsid w:val="29070055"/>
    <w:rsid w:val="295C16A6"/>
    <w:rsid w:val="29AB7E6A"/>
    <w:rsid w:val="29E85B05"/>
    <w:rsid w:val="2A7C02DB"/>
    <w:rsid w:val="2B7B4862"/>
    <w:rsid w:val="2C1E6D92"/>
    <w:rsid w:val="2C264CFB"/>
    <w:rsid w:val="2C4C1FA5"/>
    <w:rsid w:val="2C8A37B8"/>
    <w:rsid w:val="2CDD4174"/>
    <w:rsid w:val="2CE774BC"/>
    <w:rsid w:val="2D73434D"/>
    <w:rsid w:val="2D980FAF"/>
    <w:rsid w:val="2DBB3D24"/>
    <w:rsid w:val="2DCA072C"/>
    <w:rsid w:val="2DCF003E"/>
    <w:rsid w:val="2FF96CC5"/>
    <w:rsid w:val="30133592"/>
    <w:rsid w:val="30601689"/>
    <w:rsid w:val="30984245"/>
    <w:rsid w:val="31125662"/>
    <w:rsid w:val="329A2711"/>
    <w:rsid w:val="34741D73"/>
    <w:rsid w:val="34AA6A8D"/>
    <w:rsid w:val="34BE0E27"/>
    <w:rsid w:val="36705998"/>
    <w:rsid w:val="36935C38"/>
    <w:rsid w:val="36A34908"/>
    <w:rsid w:val="37790C78"/>
    <w:rsid w:val="392E3ED3"/>
    <w:rsid w:val="39A86127"/>
    <w:rsid w:val="39EF402C"/>
    <w:rsid w:val="3A8E6CBE"/>
    <w:rsid w:val="3BE706A1"/>
    <w:rsid w:val="3C432323"/>
    <w:rsid w:val="3CA874EC"/>
    <w:rsid w:val="3DC810EA"/>
    <w:rsid w:val="3F996DE7"/>
    <w:rsid w:val="402809E0"/>
    <w:rsid w:val="405D597D"/>
    <w:rsid w:val="40FF632E"/>
    <w:rsid w:val="41F2243E"/>
    <w:rsid w:val="42B11578"/>
    <w:rsid w:val="45C45302"/>
    <w:rsid w:val="45DC640C"/>
    <w:rsid w:val="49C774A3"/>
    <w:rsid w:val="49DD1431"/>
    <w:rsid w:val="4A026925"/>
    <w:rsid w:val="4A425AA9"/>
    <w:rsid w:val="4B400582"/>
    <w:rsid w:val="4BA62E09"/>
    <w:rsid w:val="4CAB450D"/>
    <w:rsid w:val="4D74733E"/>
    <w:rsid w:val="4D8C5742"/>
    <w:rsid w:val="4E092CA1"/>
    <w:rsid w:val="4E4B32B9"/>
    <w:rsid w:val="4E745EC6"/>
    <w:rsid w:val="4EED4D4D"/>
    <w:rsid w:val="4F6F15E1"/>
    <w:rsid w:val="4FCA1FBB"/>
    <w:rsid w:val="4FE8185E"/>
    <w:rsid w:val="50BD32F7"/>
    <w:rsid w:val="50E315F9"/>
    <w:rsid w:val="515952C4"/>
    <w:rsid w:val="518E0DA5"/>
    <w:rsid w:val="54365D54"/>
    <w:rsid w:val="54F4174B"/>
    <w:rsid w:val="554A55E4"/>
    <w:rsid w:val="55CE071F"/>
    <w:rsid w:val="567A6E1F"/>
    <w:rsid w:val="571C2407"/>
    <w:rsid w:val="57447EB8"/>
    <w:rsid w:val="59077600"/>
    <w:rsid w:val="59420A10"/>
    <w:rsid w:val="59D464F6"/>
    <w:rsid w:val="59D67344"/>
    <w:rsid w:val="59FD262F"/>
    <w:rsid w:val="5A0802B0"/>
    <w:rsid w:val="5A5F64F8"/>
    <w:rsid w:val="5A9D28FB"/>
    <w:rsid w:val="5B0D0E90"/>
    <w:rsid w:val="5CE5663B"/>
    <w:rsid w:val="5D1D6D54"/>
    <w:rsid w:val="5D9A631E"/>
    <w:rsid w:val="5DB85025"/>
    <w:rsid w:val="5E2D6537"/>
    <w:rsid w:val="5EF32E58"/>
    <w:rsid w:val="5F1D429B"/>
    <w:rsid w:val="60E53291"/>
    <w:rsid w:val="61927223"/>
    <w:rsid w:val="61DF5D9B"/>
    <w:rsid w:val="623D26D8"/>
    <w:rsid w:val="629E6EA7"/>
    <w:rsid w:val="631728A2"/>
    <w:rsid w:val="64083B4A"/>
    <w:rsid w:val="64533CB0"/>
    <w:rsid w:val="64597641"/>
    <w:rsid w:val="64A733C5"/>
    <w:rsid w:val="64CA1330"/>
    <w:rsid w:val="680E3436"/>
    <w:rsid w:val="685B1520"/>
    <w:rsid w:val="68AF429C"/>
    <w:rsid w:val="68BE602D"/>
    <w:rsid w:val="68C90706"/>
    <w:rsid w:val="6A107D22"/>
    <w:rsid w:val="6A680787"/>
    <w:rsid w:val="6B0C26E9"/>
    <w:rsid w:val="6B8D21A8"/>
    <w:rsid w:val="6C7443CC"/>
    <w:rsid w:val="6DDB613E"/>
    <w:rsid w:val="6E29164E"/>
    <w:rsid w:val="6EE50E19"/>
    <w:rsid w:val="6FE70627"/>
    <w:rsid w:val="711E678E"/>
    <w:rsid w:val="71400D8B"/>
    <w:rsid w:val="717410B3"/>
    <w:rsid w:val="72281098"/>
    <w:rsid w:val="74102486"/>
    <w:rsid w:val="7504000A"/>
    <w:rsid w:val="755E3B9C"/>
    <w:rsid w:val="758E3B34"/>
    <w:rsid w:val="75AA37DF"/>
    <w:rsid w:val="769766F2"/>
    <w:rsid w:val="77795E23"/>
    <w:rsid w:val="788159C2"/>
    <w:rsid w:val="79791F2A"/>
    <w:rsid w:val="7C100FCE"/>
    <w:rsid w:val="7C132D7D"/>
    <w:rsid w:val="7D1A3F17"/>
    <w:rsid w:val="7D82461E"/>
    <w:rsid w:val="7E137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3">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36"/>
    <w:qFormat/>
    <w:uiPriority w:val="0"/>
    <w:pPr>
      <w:keepNext/>
      <w:keepLines/>
      <w:spacing w:before="260" w:after="260" w:line="416" w:lineRule="auto"/>
      <w:outlineLvl w:val="2"/>
    </w:pPr>
    <w:rPr>
      <w:b/>
      <w:bCs/>
      <w:sz w:val="32"/>
      <w:szCs w:val="32"/>
    </w:rPr>
  </w:style>
  <w:style w:type="paragraph" w:styleId="6">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7">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8">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9">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10">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1">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86"/>
    <w:qFormat/>
    <w:uiPriority w:val="0"/>
    <w:pPr>
      <w:spacing w:after="120"/>
    </w:pPr>
  </w:style>
  <w:style w:type="paragraph" w:styleId="12">
    <w:name w:val="toc 7"/>
    <w:basedOn w:val="1"/>
    <w:next w:val="1"/>
    <w:autoRedefine/>
    <w:unhideWhenUsed/>
    <w:qFormat/>
    <w:uiPriority w:val="39"/>
    <w:pPr>
      <w:tabs>
        <w:tab w:val="right" w:leader="dot" w:pos="9344"/>
      </w:tabs>
      <w:spacing w:line="300" w:lineRule="exact"/>
      <w:ind w:left="1259"/>
    </w:pPr>
    <w:rPr>
      <w:rFonts w:ascii="宋体"/>
    </w:rPr>
  </w:style>
  <w:style w:type="paragraph" w:styleId="13">
    <w:name w:val="Normal Indent"/>
    <w:basedOn w:val="1"/>
    <w:qFormat/>
    <w:uiPriority w:val="0"/>
    <w:pPr>
      <w:ind w:firstLine="4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qFormat/>
    <w:uiPriority w:val="99"/>
    <w:rPr>
      <w:sz w:val="18"/>
      <w:szCs w:val="18"/>
    </w:rPr>
  </w:style>
  <w:style w:type="paragraph" w:styleId="17">
    <w:name w:val="footer"/>
    <w:basedOn w:val="1"/>
    <w:link w:val="44"/>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3"/>
    <w:qFormat/>
    <w:uiPriority w:val="0"/>
    <w:rPr>
      <w:b/>
      <w:bCs/>
      <w:kern w:val="44"/>
      <w:sz w:val="44"/>
      <w:szCs w:val="44"/>
    </w:rPr>
  </w:style>
  <w:style w:type="character" w:customStyle="1" w:styleId="35">
    <w:name w:val="标题 2 字符"/>
    <w:link w:val="4"/>
    <w:qFormat/>
    <w:uiPriority w:val="0"/>
    <w:rPr>
      <w:rFonts w:ascii="Arial" w:hAnsi="Arial" w:eastAsia="黑体"/>
      <w:b/>
      <w:bCs/>
      <w:kern w:val="2"/>
      <w:sz w:val="32"/>
      <w:szCs w:val="32"/>
    </w:rPr>
  </w:style>
  <w:style w:type="character" w:customStyle="1" w:styleId="36">
    <w:name w:val="标题 3 字符"/>
    <w:link w:val="5"/>
    <w:qFormat/>
    <w:uiPriority w:val="0"/>
    <w:rPr>
      <w:b/>
      <w:bCs/>
      <w:kern w:val="2"/>
      <w:sz w:val="32"/>
      <w:szCs w:val="32"/>
    </w:rPr>
  </w:style>
  <w:style w:type="character" w:customStyle="1" w:styleId="37">
    <w:name w:val="标题 4 字符"/>
    <w:link w:val="6"/>
    <w:qFormat/>
    <w:uiPriority w:val="0"/>
    <w:rPr>
      <w:rFonts w:ascii="Arial" w:hAnsi="Arial" w:eastAsia="黑体"/>
      <w:b/>
      <w:bCs/>
      <w:kern w:val="2"/>
      <w:sz w:val="28"/>
      <w:szCs w:val="28"/>
    </w:rPr>
  </w:style>
  <w:style w:type="character" w:customStyle="1" w:styleId="38">
    <w:name w:val="标题 5 字符"/>
    <w:link w:val="7"/>
    <w:qFormat/>
    <w:uiPriority w:val="0"/>
    <w:rPr>
      <w:b/>
      <w:bCs/>
      <w:kern w:val="2"/>
      <w:sz w:val="28"/>
      <w:szCs w:val="28"/>
    </w:rPr>
  </w:style>
  <w:style w:type="character" w:customStyle="1" w:styleId="39">
    <w:name w:val="标题 6 字符"/>
    <w:link w:val="8"/>
    <w:qFormat/>
    <w:uiPriority w:val="0"/>
    <w:rPr>
      <w:rFonts w:ascii="Arial" w:hAnsi="Arial" w:eastAsia="黑体"/>
      <w:b/>
      <w:bCs/>
      <w:kern w:val="2"/>
      <w:sz w:val="24"/>
      <w:szCs w:val="24"/>
    </w:rPr>
  </w:style>
  <w:style w:type="character" w:customStyle="1" w:styleId="40">
    <w:name w:val="标题 7 字符"/>
    <w:link w:val="9"/>
    <w:qFormat/>
    <w:uiPriority w:val="0"/>
    <w:rPr>
      <w:b/>
      <w:bCs/>
      <w:kern w:val="2"/>
      <w:sz w:val="24"/>
      <w:szCs w:val="24"/>
    </w:rPr>
  </w:style>
  <w:style w:type="character" w:customStyle="1" w:styleId="41">
    <w:name w:val="标题 8 字符"/>
    <w:link w:val="10"/>
    <w:qFormat/>
    <w:uiPriority w:val="0"/>
    <w:rPr>
      <w:rFonts w:ascii="Arial" w:hAnsi="Arial" w:eastAsia="黑体"/>
      <w:kern w:val="2"/>
      <w:sz w:val="24"/>
      <w:szCs w:val="24"/>
    </w:rPr>
  </w:style>
  <w:style w:type="character" w:customStyle="1" w:styleId="42">
    <w:name w:val="标题 9 字符"/>
    <w:link w:val="11"/>
    <w:qFormat/>
    <w:uiPriority w:val="0"/>
    <w:rPr>
      <w:rFonts w:ascii="Arial" w:hAnsi="Arial" w:eastAsia="黑体"/>
      <w:kern w:val="2"/>
      <w:sz w:val="21"/>
      <w:szCs w:val="21"/>
    </w:rPr>
  </w:style>
  <w:style w:type="character" w:customStyle="1" w:styleId="43">
    <w:name w:val="页眉 字符"/>
    <w:link w:val="18"/>
    <w:qFormat/>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qFormat/>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qFormat/>
    <w:uiPriority w:val="0"/>
    <w:pPr>
      <w:autoSpaceDE w:val="0"/>
      <w:autoSpaceDN w:val="0"/>
      <w:ind w:firstLine="200" w:firstLineChars="200"/>
      <w:jc w:val="both"/>
    </w:pPr>
    <w:rPr>
      <w:rFonts w:ascii="Times New Roman"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qFormat/>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qFormat/>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qFormat/>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qFormat/>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2"/>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2"/>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qFormat/>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qFormat/>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Times New Roman"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style>
  <w:style w:type="paragraph" w:customStyle="1" w:styleId="189">
    <w:name w:val="标准文件_一级项2"/>
    <w:basedOn w:val="56"/>
    <w:qFormat/>
    <w:uiPriority w:val="0"/>
    <w:pPr>
      <w:numPr>
        <w:ilvl w:val="0"/>
        <w:numId w:val="31"/>
      </w:numPr>
      <w:spacing w:line="300" w:lineRule="exact"/>
      <w:ind w:firstLineChars="0"/>
    </w:p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3.jpe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B3BEDB4F2724F9D81F4444A5CCE266D"/>
        <w:style w:val=""/>
        <w:category>
          <w:name w:val="常规"/>
          <w:gallery w:val="placeholder"/>
        </w:category>
        <w:types>
          <w:type w:val="bbPlcHdr"/>
        </w:types>
        <w:behaviors>
          <w:behavior w:val="content"/>
        </w:behaviors>
        <w:description w:val=""/>
        <w:guid w:val="{9A791DFB-56F6-4B85-997E-8EF3CEE1C2DA}"/>
      </w:docPartPr>
      <w:docPartBody>
        <w:p w14:paraId="6B71B328">
          <w:pPr>
            <w:pStyle w:val="5"/>
          </w:pPr>
          <w:r>
            <w:rPr>
              <w:rStyle w:val="4"/>
              <w:rFonts w:hint="eastAsia"/>
            </w:rPr>
            <w:t>单击或点击此处输入文字。</w:t>
          </w:r>
        </w:p>
      </w:docPartBody>
    </w:docPart>
    <w:docPart>
      <w:docPartPr>
        <w:name w:val="78956B8278AF41489B4C226600D2E8C4"/>
        <w:style w:val=""/>
        <w:category>
          <w:name w:val="常规"/>
          <w:gallery w:val="placeholder"/>
        </w:category>
        <w:types>
          <w:type w:val="bbPlcHdr"/>
        </w:types>
        <w:behaviors>
          <w:behavior w:val="content"/>
        </w:behaviors>
        <w:description w:val=""/>
        <w:guid w:val="{35D7B9DB-82B3-43EC-9478-2F4253E62990}"/>
      </w:docPartPr>
      <w:docPartBody>
        <w:p w14:paraId="3487BFC8">
          <w:pPr>
            <w:pStyle w:val="6"/>
          </w:pPr>
          <w:r>
            <w:rPr>
              <w:rStyle w:val="4"/>
              <w:rFonts w:hint="eastAsia"/>
            </w:rPr>
            <w:t>选择一项。</w:t>
          </w:r>
        </w:p>
      </w:docPartBody>
    </w:docPart>
    <w:docPart>
      <w:docPartPr>
        <w:name w:val="DD487E154D8B46B1811108614A11313A"/>
        <w:style w:val=""/>
        <w:category>
          <w:name w:val="常规"/>
          <w:gallery w:val="placeholder"/>
        </w:category>
        <w:types>
          <w:type w:val="bbPlcHdr"/>
        </w:types>
        <w:behaviors>
          <w:behavior w:val="content"/>
        </w:behaviors>
        <w:description w:val=""/>
        <w:guid w:val="{BDA84726-025B-4CC9-AFA0-B8C5A34685AA}"/>
      </w:docPartPr>
      <w:docPartBody>
        <w:p w14:paraId="2E3D87FB">
          <w:pPr>
            <w:pStyle w:val="7"/>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70EA"/>
    <w:rsid w:val="005D70EA"/>
    <w:rsid w:val="006E28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9B3BEDB4F2724F9D81F4444A5CCE266D"/>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78956B8278AF41489B4C226600D2E8C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DD487E154D8B46B1811108614A11313A"/>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团体标准.dotx</Template>
  <Pages>9</Pages>
  <Words>3078</Words>
  <Characters>3585</Characters>
  <Lines>4</Lines>
  <Paragraphs>1</Paragraphs>
  <TotalTime>1</TotalTime>
  <ScaleCrop>false</ScaleCrop>
  <LinksUpToDate>false</LinksUpToDate>
  <CharactersWithSpaces>3734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2025-07-13T12:41:00Z</dcterms:created>
  <dc:creator>弥撒夜</dc:creator>
  <cp:lastModifiedBy>弥撒夜</cp:lastModifiedBy>
  <dcterms:modified xsi:type="dcterms:W3CDTF">2026-07-15T15:30:48Z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ICV">
    <vt:lpwstr>2319DF9B66534C34BE56BBBBB8D5391A_13</vt:lpwstr>
  </property>
  <property fmtid="{D5CDD505-2E9C-101B-9397-08002B2CF9AE}" pid="15" name="KSOTemplateDocerSaveRecord">
    <vt:lpwstr>eyJoZGlkIjoiMTliNjE0YWVmNzBkYzMxZGZiNTY3MmU5YTJmZDI5OGUiLCJ1c2VySWQiOiI0NjIyMzA1OTAifQ==</vt:lpwstr>
  </property>
  <property fmtid="{D5CDD505-2E9C-101B-9397-08002B2CF9AE}" pid="16" name="KSOProductBuildVer">
    <vt:lpwstr>2052-12.1.0.26895</vt:lpwstr>
  </property>
</Properties>
</file>