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73E1A5" w14:textId="18E3B34A" w:rsidR="00D634F2" w:rsidRDefault="008854C0">
      <w:pPr>
        <w:jc w:val="center"/>
        <w:rPr>
          <w:rFonts w:ascii="方正小标宋简体" w:eastAsia="方正小标宋简体" w:cs="仿宋_GB2312"/>
          <w:bCs/>
          <w:color w:val="000000" w:themeColor="text1"/>
          <w:sz w:val="44"/>
          <w:szCs w:val="44"/>
        </w:rPr>
      </w:pPr>
      <w:r>
        <w:rPr>
          <w:rFonts w:ascii="方正小标宋简体" w:eastAsia="方正小标宋简体" w:cs="仿宋_GB2312" w:hint="eastAsia"/>
          <w:bCs/>
          <w:color w:val="000000" w:themeColor="text1"/>
          <w:sz w:val="44"/>
          <w:szCs w:val="44"/>
        </w:rPr>
        <w:t>团体标准《</w:t>
      </w:r>
      <w:r w:rsidR="002D60AF" w:rsidRPr="00EE44A5">
        <w:rPr>
          <w:rFonts w:ascii="方正小标宋简体" w:eastAsia="方正小标宋简体" w:cs="仿宋_GB2312" w:hint="eastAsia"/>
          <w:bCs/>
          <w:color w:val="000000" w:themeColor="text1"/>
          <w:sz w:val="44"/>
          <w:szCs w:val="44"/>
        </w:rPr>
        <w:t>抗肿瘤药物急性肾损伤早期诊疗规范</w:t>
      </w:r>
      <w:r w:rsidRPr="00EE44A5">
        <w:rPr>
          <w:rFonts w:ascii="方正小标宋简体" w:eastAsia="方正小标宋简体" w:cs="仿宋_GB2312" w:hint="eastAsia"/>
          <w:bCs/>
          <w:color w:val="000000" w:themeColor="text1"/>
          <w:sz w:val="44"/>
          <w:szCs w:val="44"/>
        </w:rPr>
        <w:t>》（</w:t>
      </w:r>
      <w:r w:rsidR="00FA35E2" w:rsidRPr="00EE44A5">
        <w:rPr>
          <w:rFonts w:ascii="方正小标宋简体" w:eastAsia="方正小标宋简体" w:cs="仿宋_GB2312" w:hint="eastAsia"/>
          <w:bCs/>
          <w:color w:val="000000" w:themeColor="text1"/>
          <w:sz w:val="44"/>
          <w:szCs w:val="44"/>
        </w:rPr>
        <w:t>征求</w:t>
      </w:r>
      <w:r w:rsidR="00FA35E2">
        <w:rPr>
          <w:rFonts w:ascii="方正小标宋简体" w:eastAsia="方正小标宋简体" w:cs="仿宋_GB2312" w:hint="eastAsia"/>
          <w:bCs/>
          <w:color w:val="000000" w:themeColor="text1"/>
          <w:sz w:val="44"/>
          <w:szCs w:val="44"/>
        </w:rPr>
        <w:t>意见</w:t>
      </w:r>
      <w:r>
        <w:rPr>
          <w:rFonts w:ascii="方正小标宋简体" w:eastAsia="方正小标宋简体" w:cs="仿宋_GB2312" w:hint="eastAsia"/>
          <w:bCs/>
          <w:color w:val="000000" w:themeColor="text1"/>
          <w:sz w:val="44"/>
          <w:szCs w:val="44"/>
        </w:rPr>
        <w:t>稿）编制说明</w:t>
      </w:r>
    </w:p>
    <w:p w14:paraId="12A46FE1" w14:textId="77777777" w:rsidR="00D634F2" w:rsidRDefault="00D634F2">
      <w:pPr>
        <w:ind w:firstLine="378"/>
        <w:jc w:val="center"/>
        <w:rPr>
          <w:rFonts w:ascii="方正小标宋简体" w:eastAsia="方正小标宋简体" w:cs="仿宋_GB2312"/>
          <w:bCs/>
          <w:color w:val="000000" w:themeColor="text1"/>
          <w:sz w:val="18"/>
          <w:szCs w:val="18"/>
        </w:rPr>
      </w:pPr>
    </w:p>
    <w:p w14:paraId="4964C4A8" w14:textId="62ED6E64" w:rsidR="00D634F2" w:rsidRDefault="008854C0">
      <w:pPr>
        <w:pStyle w:val="afe"/>
        <w:ind w:firstLineChars="200" w:firstLine="640"/>
        <w:jc w:val="left"/>
        <w:rPr>
          <w:rFonts w:ascii="黑体" w:eastAsia="黑体" w:hAnsi="黑体"/>
          <w:b w:val="0"/>
          <w:color w:val="000000" w:themeColor="text1"/>
        </w:rPr>
      </w:pPr>
      <w:r>
        <w:rPr>
          <w:rFonts w:ascii="黑体" w:eastAsia="黑体" w:hAnsi="黑体" w:hint="eastAsia"/>
          <w:b w:val="0"/>
          <w:color w:val="000000" w:themeColor="text1"/>
        </w:rPr>
        <w:t>一、任务来源、</w:t>
      </w:r>
      <w:r w:rsidR="00284CC4">
        <w:rPr>
          <w:rFonts w:ascii="黑体" w:eastAsia="黑体" w:hAnsi="黑体" w:hint="eastAsia"/>
          <w:b w:val="0"/>
          <w:color w:val="000000" w:themeColor="text1"/>
        </w:rPr>
        <w:t>起草单位</w:t>
      </w:r>
      <w:r>
        <w:rPr>
          <w:rFonts w:ascii="黑体" w:eastAsia="黑体" w:hAnsi="黑体" w:hint="eastAsia"/>
          <w:b w:val="0"/>
          <w:color w:val="000000" w:themeColor="text1"/>
        </w:rPr>
        <w:t>、</w:t>
      </w:r>
      <w:r>
        <w:rPr>
          <w:rFonts w:ascii="黑体" w:eastAsia="黑体" w:hAnsi="黑体"/>
          <w:b w:val="0"/>
          <w:color w:val="000000" w:themeColor="text1"/>
        </w:rPr>
        <w:t>主要起草人</w:t>
      </w:r>
    </w:p>
    <w:p w14:paraId="39D94A88" w14:textId="27F125DE" w:rsidR="00D634F2" w:rsidRDefault="00B1480E">
      <w:pPr>
        <w:spacing w:afterLines="50" w:after="120" w:line="520" w:lineRule="exact"/>
        <w:ind w:firstLineChars="200" w:firstLine="640"/>
        <w:rPr>
          <w:rFonts w:ascii="仿宋_GB2312" w:eastAsia="仿宋_GB2312"/>
          <w:color w:val="000000" w:themeColor="text1"/>
          <w:sz w:val="32"/>
          <w:szCs w:val="32"/>
        </w:rPr>
      </w:pPr>
      <w:r w:rsidRPr="00B1480E">
        <w:rPr>
          <w:rFonts w:ascii="仿宋_GB2312" w:eastAsia="仿宋_GB2312" w:hint="eastAsia"/>
          <w:color w:val="000000" w:themeColor="text1"/>
          <w:sz w:val="32"/>
          <w:szCs w:val="32"/>
        </w:rPr>
        <w:t>根据《广西标准化协会关于下达</w:t>
      </w:r>
      <w:r w:rsidRPr="00310A68">
        <w:rPr>
          <w:rFonts w:ascii="仿宋_GB2312" w:eastAsia="仿宋_GB2312" w:hint="eastAsia"/>
          <w:color w:val="000000" w:themeColor="text1"/>
          <w:sz w:val="32"/>
          <w:szCs w:val="32"/>
        </w:rPr>
        <w:t>202</w:t>
      </w:r>
      <w:r w:rsidR="002D60AF">
        <w:rPr>
          <w:rFonts w:ascii="仿宋_GB2312" w:eastAsia="仿宋_GB2312"/>
          <w:color w:val="000000" w:themeColor="text1"/>
          <w:sz w:val="32"/>
          <w:szCs w:val="32"/>
        </w:rPr>
        <w:t>6</w:t>
      </w:r>
      <w:r w:rsidRPr="00310A68">
        <w:rPr>
          <w:rFonts w:ascii="仿宋_GB2312" w:eastAsia="仿宋_GB2312" w:hint="eastAsia"/>
          <w:color w:val="000000" w:themeColor="text1"/>
          <w:sz w:val="32"/>
          <w:szCs w:val="32"/>
        </w:rPr>
        <w:t>年第</w:t>
      </w:r>
      <w:r w:rsidR="002D60AF">
        <w:rPr>
          <w:rFonts w:ascii="仿宋_GB2312" w:eastAsia="仿宋_GB2312" w:hint="eastAsia"/>
          <w:color w:val="000000" w:themeColor="text1"/>
          <w:sz w:val="32"/>
          <w:szCs w:val="32"/>
        </w:rPr>
        <w:t>一</w:t>
      </w:r>
      <w:r w:rsidRPr="00310A68">
        <w:rPr>
          <w:rFonts w:ascii="仿宋_GB2312" w:eastAsia="仿宋_GB2312" w:hint="eastAsia"/>
          <w:color w:val="000000" w:themeColor="text1"/>
          <w:sz w:val="32"/>
          <w:szCs w:val="32"/>
        </w:rPr>
        <w:t>批团体标准制修订项目计划的通知》（桂标</w:t>
      </w:r>
      <w:r w:rsidRPr="00A109E4">
        <w:rPr>
          <w:rFonts w:ascii="仿宋_GB2312" w:eastAsia="仿宋_GB2312" w:hint="eastAsia"/>
          <w:color w:val="000000" w:themeColor="text1"/>
          <w:sz w:val="32"/>
          <w:szCs w:val="32"/>
        </w:rPr>
        <w:t>协〔2025〕</w:t>
      </w:r>
      <w:r w:rsidR="002D60AF" w:rsidRPr="00A109E4">
        <w:rPr>
          <w:rFonts w:ascii="仿宋_GB2312" w:eastAsia="仿宋_GB2312"/>
          <w:color w:val="000000" w:themeColor="text1"/>
          <w:sz w:val="32"/>
          <w:szCs w:val="32"/>
        </w:rPr>
        <w:t>25</w:t>
      </w:r>
      <w:r w:rsidRPr="00A109E4">
        <w:rPr>
          <w:rFonts w:ascii="仿宋_GB2312" w:eastAsia="仿宋_GB2312" w:hint="eastAsia"/>
          <w:color w:val="000000" w:themeColor="text1"/>
          <w:sz w:val="32"/>
          <w:szCs w:val="32"/>
        </w:rPr>
        <w:t>号）文件精神，由</w:t>
      </w:r>
      <w:r w:rsidR="00A109E4" w:rsidRPr="00A109E4">
        <w:rPr>
          <w:rFonts w:ascii="仿宋_GB2312" w:eastAsia="仿宋_GB2312" w:hint="eastAsia"/>
          <w:color w:val="000000" w:themeColor="text1"/>
          <w:sz w:val="32"/>
          <w:szCs w:val="32"/>
        </w:rPr>
        <w:t>广西医科大学第一附属医院</w:t>
      </w:r>
      <w:r w:rsidRPr="00A109E4">
        <w:rPr>
          <w:rFonts w:ascii="仿宋_GB2312" w:eastAsia="仿宋_GB2312" w:hint="eastAsia"/>
          <w:color w:val="000000" w:themeColor="text1"/>
          <w:sz w:val="32"/>
          <w:szCs w:val="32"/>
        </w:rPr>
        <w:t>提出，</w:t>
      </w:r>
      <w:r w:rsidR="00A109E4" w:rsidRPr="00A109E4">
        <w:rPr>
          <w:rFonts w:ascii="仿宋_GB2312" w:eastAsia="仿宋_GB2312" w:hint="eastAsia"/>
          <w:color w:val="000000" w:themeColor="text1"/>
          <w:sz w:val="32"/>
          <w:szCs w:val="32"/>
        </w:rPr>
        <w:t>广西医科大学第一附属医院、广西医科大学第二附属医院、南宁市第二人民医院、柳州市工人医院、玉林市第一人民医院、河池市人民医院、贵港市人民医院</w:t>
      </w:r>
      <w:r w:rsidRPr="00A109E4">
        <w:rPr>
          <w:rFonts w:ascii="仿宋_GB2312" w:eastAsia="仿宋_GB2312" w:hint="eastAsia"/>
          <w:color w:val="000000" w:themeColor="text1"/>
          <w:sz w:val="32"/>
          <w:szCs w:val="32"/>
        </w:rPr>
        <w:t>等单位共同起草的团体标准《</w:t>
      </w:r>
      <w:r w:rsidR="002D60AF" w:rsidRPr="00A109E4">
        <w:rPr>
          <w:rFonts w:ascii="仿宋_GB2312" w:eastAsia="仿宋_GB2312" w:hint="eastAsia"/>
          <w:bCs/>
          <w:color w:val="000000" w:themeColor="text1"/>
          <w:sz w:val="32"/>
          <w:szCs w:val="32"/>
        </w:rPr>
        <w:t>抗肿瘤药物急性肾损伤早期诊疗规范</w:t>
      </w:r>
      <w:r w:rsidRPr="00A109E4">
        <w:rPr>
          <w:rFonts w:ascii="仿宋_GB2312" w:eastAsia="仿宋_GB2312" w:hint="eastAsia"/>
          <w:color w:val="000000" w:themeColor="text1"/>
          <w:sz w:val="32"/>
          <w:szCs w:val="32"/>
        </w:rPr>
        <w:t>》（项目编号：202</w:t>
      </w:r>
      <w:r w:rsidR="00A109E4" w:rsidRPr="00A109E4">
        <w:rPr>
          <w:rFonts w:ascii="仿宋_GB2312" w:eastAsia="仿宋_GB2312"/>
          <w:color w:val="000000" w:themeColor="text1"/>
          <w:sz w:val="32"/>
          <w:szCs w:val="32"/>
        </w:rPr>
        <w:t>6</w:t>
      </w:r>
      <w:r w:rsidRPr="00A109E4">
        <w:rPr>
          <w:rFonts w:ascii="仿宋_GB2312" w:eastAsia="仿宋_GB2312" w:hint="eastAsia"/>
          <w:color w:val="000000" w:themeColor="text1"/>
          <w:sz w:val="32"/>
          <w:szCs w:val="32"/>
        </w:rPr>
        <w:t>-</w:t>
      </w:r>
      <w:r w:rsidR="00A109E4" w:rsidRPr="00A109E4">
        <w:rPr>
          <w:rFonts w:ascii="仿宋_GB2312" w:eastAsia="仿宋_GB2312"/>
          <w:color w:val="000000" w:themeColor="text1"/>
          <w:sz w:val="32"/>
          <w:szCs w:val="32"/>
        </w:rPr>
        <w:t>0119</w:t>
      </w:r>
      <w:r w:rsidRPr="00A109E4">
        <w:rPr>
          <w:rFonts w:ascii="仿宋_GB2312" w:eastAsia="仿宋_GB2312" w:hint="eastAsia"/>
          <w:color w:val="000000" w:themeColor="text1"/>
          <w:sz w:val="32"/>
          <w:szCs w:val="32"/>
        </w:rPr>
        <w:t>）</w:t>
      </w:r>
      <w:r w:rsidR="008854C0" w:rsidRPr="00A109E4">
        <w:rPr>
          <w:rFonts w:ascii="仿宋_GB2312" w:eastAsia="仿宋_GB2312" w:hint="eastAsia"/>
          <w:color w:val="000000" w:themeColor="text1"/>
          <w:sz w:val="32"/>
          <w:szCs w:val="32"/>
        </w:rPr>
        <w:t>已获批立项。</w:t>
      </w:r>
    </w:p>
    <w:p w14:paraId="600D13A7" w14:textId="37E8FA76" w:rsidR="00D634F2" w:rsidRDefault="008854C0">
      <w:pPr>
        <w:spacing w:afterLines="50" w:after="120"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为高质量编制团体标准《</w:t>
      </w:r>
      <w:r w:rsidR="002D60AF" w:rsidRPr="00A109E4">
        <w:rPr>
          <w:rFonts w:ascii="仿宋_GB2312" w:eastAsia="仿宋_GB2312" w:hint="eastAsia"/>
          <w:color w:val="000000" w:themeColor="text1"/>
          <w:sz w:val="32"/>
          <w:szCs w:val="32"/>
        </w:rPr>
        <w:t>抗肿瘤药物急性肾损伤早期诊疗规范</w:t>
      </w:r>
      <w:r w:rsidRPr="00A109E4">
        <w:rPr>
          <w:rFonts w:ascii="仿宋_GB2312" w:eastAsia="仿宋_GB2312" w:hint="eastAsia"/>
          <w:color w:val="000000" w:themeColor="text1"/>
          <w:sz w:val="32"/>
          <w:szCs w:val="32"/>
        </w:rPr>
        <w:t>》，由</w:t>
      </w:r>
      <w:r w:rsidR="00A109E4">
        <w:rPr>
          <w:rFonts w:ascii="仿宋_GB2312" w:eastAsia="仿宋_GB2312" w:hint="eastAsia"/>
          <w:color w:val="000000" w:themeColor="text1"/>
          <w:sz w:val="32"/>
          <w:szCs w:val="32"/>
        </w:rPr>
        <w:t>起草</w:t>
      </w:r>
      <w:r w:rsidR="00A109E4">
        <w:rPr>
          <w:rFonts w:ascii="仿宋_GB2312" w:eastAsia="仿宋_GB2312"/>
          <w:color w:val="000000" w:themeColor="text1"/>
          <w:sz w:val="32"/>
          <w:szCs w:val="32"/>
        </w:rPr>
        <w:t>单位</w:t>
      </w:r>
      <w:r>
        <w:rPr>
          <w:rFonts w:ascii="仿宋_GB2312" w:eastAsia="仿宋_GB2312" w:hint="eastAsia"/>
          <w:color w:val="000000" w:themeColor="text1"/>
          <w:sz w:val="32"/>
          <w:szCs w:val="32"/>
        </w:rPr>
        <w:t>成立标准编制工作组并进行如下分工：</w:t>
      </w:r>
      <w:r w:rsidR="00D31DF4">
        <w:rPr>
          <w:rFonts w:ascii="仿宋_GB2312" w:eastAsia="仿宋_GB2312"/>
          <w:color w:val="000000" w:themeColor="text1"/>
          <w:sz w:val="32"/>
          <w:szCs w:val="32"/>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3"/>
        <w:gridCol w:w="1660"/>
        <w:gridCol w:w="1578"/>
        <w:gridCol w:w="2169"/>
        <w:gridCol w:w="2793"/>
      </w:tblGrid>
      <w:tr w:rsidR="009453F1" w14:paraId="437F8E7D" w14:textId="77777777" w:rsidTr="005A4A0E">
        <w:trPr>
          <w:trHeight w:val="450"/>
          <w:tblHeader/>
          <w:jc w:val="center"/>
        </w:trPr>
        <w:tc>
          <w:tcPr>
            <w:tcW w:w="602" w:type="pct"/>
            <w:vAlign w:val="center"/>
          </w:tcPr>
          <w:p w14:paraId="036A6A8D" w14:textId="77777777" w:rsidR="009453F1" w:rsidRDefault="009453F1" w:rsidP="002717A8">
            <w:pPr>
              <w:jc w:val="center"/>
              <w:rPr>
                <w:rFonts w:ascii="仿宋_GB2312" w:eastAsia="仿宋_GB2312" w:hAnsi="Times New Roman"/>
                <w:b/>
                <w:color w:val="000000"/>
                <w:sz w:val="24"/>
              </w:rPr>
            </w:pPr>
            <w:r>
              <w:rPr>
                <w:rFonts w:ascii="仿宋_GB2312" w:eastAsia="仿宋_GB2312" w:hAnsi="Times New Roman" w:hint="eastAsia"/>
                <w:b/>
                <w:color w:val="000000"/>
                <w:sz w:val="24"/>
              </w:rPr>
              <w:t>姓名</w:t>
            </w:r>
          </w:p>
        </w:tc>
        <w:tc>
          <w:tcPr>
            <w:tcW w:w="890" w:type="pct"/>
            <w:vAlign w:val="center"/>
          </w:tcPr>
          <w:p w14:paraId="2486677C" w14:textId="77777777" w:rsidR="009453F1" w:rsidRDefault="009453F1" w:rsidP="002717A8">
            <w:pPr>
              <w:jc w:val="center"/>
              <w:rPr>
                <w:rFonts w:ascii="仿宋_GB2312" w:eastAsia="仿宋_GB2312" w:hAnsi="Times New Roman"/>
                <w:b/>
                <w:color w:val="000000"/>
                <w:sz w:val="24"/>
              </w:rPr>
            </w:pPr>
            <w:r>
              <w:rPr>
                <w:rFonts w:ascii="仿宋_GB2312" w:eastAsia="仿宋_GB2312" w:hAnsi="Times New Roman" w:hint="eastAsia"/>
                <w:b/>
                <w:color w:val="000000"/>
                <w:sz w:val="24"/>
              </w:rPr>
              <w:t>职务/职称</w:t>
            </w:r>
          </w:p>
        </w:tc>
        <w:tc>
          <w:tcPr>
            <w:tcW w:w="846" w:type="pct"/>
            <w:vAlign w:val="center"/>
          </w:tcPr>
          <w:p w14:paraId="533CC5BB" w14:textId="77777777" w:rsidR="009453F1" w:rsidRDefault="009453F1" w:rsidP="002717A8">
            <w:pPr>
              <w:jc w:val="center"/>
              <w:rPr>
                <w:rFonts w:ascii="仿宋_GB2312" w:eastAsia="仿宋_GB2312" w:hAnsi="Times New Roman"/>
                <w:b/>
                <w:color w:val="000000"/>
                <w:sz w:val="24"/>
              </w:rPr>
            </w:pPr>
            <w:r>
              <w:rPr>
                <w:rFonts w:ascii="仿宋_GB2312" w:eastAsia="仿宋_GB2312" w:hAnsi="Times New Roman" w:hint="eastAsia"/>
                <w:b/>
                <w:color w:val="000000"/>
                <w:sz w:val="24"/>
              </w:rPr>
              <w:t>从事专业</w:t>
            </w:r>
          </w:p>
        </w:tc>
        <w:tc>
          <w:tcPr>
            <w:tcW w:w="1163" w:type="pct"/>
            <w:vAlign w:val="center"/>
          </w:tcPr>
          <w:p w14:paraId="5D7A6DED" w14:textId="77777777" w:rsidR="009453F1" w:rsidRDefault="009453F1" w:rsidP="002717A8">
            <w:pPr>
              <w:jc w:val="center"/>
              <w:rPr>
                <w:rFonts w:ascii="仿宋_GB2312" w:eastAsia="仿宋_GB2312" w:hAnsi="Times New Roman"/>
                <w:b/>
                <w:color w:val="000000"/>
                <w:sz w:val="24"/>
              </w:rPr>
            </w:pPr>
            <w:r>
              <w:rPr>
                <w:rFonts w:ascii="仿宋_GB2312" w:eastAsia="仿宋_GB2312" w:hAnsi="Times New Roman" w:hint="eastAsia"/>
                <w:b/>
                <w:color w:val="000000"/>
                <w:sz w:val="24"/>
              </w:rPr>
              <w:t>工作单位</w:t>
            </w:r>
          </w:p>
        </w:tc>
        <w:tc>
          <w:tcPr>
            <w:tcW w:w="1498" w:type="pct"/>
            <w:vAlign w:val="center"/>
          </w:tcPr>
          <w:p w14:paraId="3CD7F284" w14:textId="77777777" w:rsidR="009453F1" w:rsidRDefault="009453F1" w:rsidP="002717A8">
            <w:pPr>
              <w:jc w:val="center"/>
              <w:rPr>
                <w:rFonts w:ascii="仿宋_GB2312" w:eastAsia="仿宋_GB2312" w:hAnsi="Times New Roman"/>
                <w:b/>
                <w:color w:val="000000"/>
                <w:sz w:val="24"/>
              </w:rPr>
            </w:pPr>
            <w:r>
              <w:rPr>
                <w:rFonts w:ascii="仿宋_GB2312" w:eastAsia="仿宋_GB2312" w:hAnsi="Times New Roman" w:hint="eastAsia"/>
                <w:b/>
                <w:color w:val="000000"/>
                <w:sz w:val="24"/>
              </w:rPr>
              <w:t>责任分工</w:t>
            </w:r>
          </w:p>
        </w:tc>
      </w:tr>
      <w:tr w:rsidR="00D31DF4" w14:paraId="18418481" w14:textId="77777777" w:rsidTr="005A4A0E">
        <w:trPr>
          <w:trHeight w:val="850"/>
          <w:jc w:val="center"/>
        </w:trPr>
        <w:tc>
          <w:tcPr>
            <w:tcW w:w="602" w:type="pct"/>
            <w:vAlign w:val="center"/>
          </w:tcPr>
          <w:p w14:paraId="0F8A37C4" w14:textId="40B35CF3" w:rsidR="00D31DF4" w:rsidRDefault="00D31DF4" w:rsidP="00D31DF4">
            <w:pPr>
              <w:jc w:val="center"/>
              <w:textAlignment w:val="baseline"/>
              <w:rPr>
                <w:rFonts w:ascii="仿宋_GB2312" w:eastAsia="仿宋_GB2312" w:hAnsi="仿宋"/>
                <w:color w:val="000000"/>
                <w:sz w:val="24"/>
                <w:szCs w:val="32"/>
              </w:rPr>
            </w:pPr>
            <w:r>
              <w:rPr>
                <w:rFonts w:ascii="仿宋_GB2312" w:eastAsia="仿宋_GB2312" w:hAnsi="仿宋_GB2312" w:cs="仿宋_GB2312" w:hint="eastAsia"/>
                <w:bCs/>
                <w:color w:val="000000"/>
                <w:sz w:val="24"/>
              </w:rPr>
              <w:t>潘玲</w:t>
            </w:r>
          </w:p>
        </w:tc>
        <w:tc>
          <w:tcPr>
            <w:tcW w:w="890" w:type="pct"/>
            <w:vAlign w:val="center"/>
          </w:tcPr>
          <w:p w14:paraId="448A1253" w14:textId="3C01B763" w:rsidR="00D31DF4" w:rsidRDefault="00D31DF4" w:rsidP="00D31DF4">
            <w:pPr>
              <w:jc w:val="center"/>
              <w:textAlignment w:val="baseline"/>
              <w:rPr>
                <w:rFonts w:ascii="仿宋_GB2312" w:eastAsia="仿宋_GB2312" w:hAnsi="仿宋"/>
                <w:color w:val="000000"/>
                <w:sz w:val="24"/>
                <w:szCs w:val="32"/>
              </w:rPr>
            </w:pPr>
            <w:r>
              <w:rPr>
                <w:rFonts w:ascii="仿宋_GB2312" w:eastAsia="仿宋_GB2312" w:hAnsi="仿宋_GB2312" w:cs="仿宋_GB2312" w:hint="eastAsia"/>
                <w:bCs/>
                <w:color w:val="000000"/>
                <w:sz w:val="24"/>
              </w:rPr>
              <w:t>主任医师</w:t>
            </w:r>
          </w:p>
        </w:tc>
        <w:tc>
          <w:tcPr>
            <w:tcW w:w="846" w:type="pct"/>
            <w:vAlign w:val="center"/>
          </w:tcPr>
          <w:p w14:paraId="7FEDD5DC" w14:textId="28E51407" w:rsidR="00D31DF4" w:rsidRDefault="00D31DF4" w:rsidP="00D31DF4">
            <w:pPr>
              <w:jc w:val="center"/>
              <w:textAlignment w:val="baseline"/>
              <w:rPr>
                <w:rFonts w:ascii="仿宋_GB2312" w:eastAsia="仿宋_GB2312" w:hAnsi="仿宋"/>
                <w:color w:val="000000"/>
                <w:sz w:val="24"/>
                <w:szCs w:val="32"/>
              </w:rPr>
            </w:pPr>
            <w:r>
              <w:rPr>
                <w:rFonts w:ascii="仿宋_GB2312" w:eastAsia="仿宋_GB2312" w:hAnsi="仿宋_GB2312" w:cs="仿宋_GB2312" w:hint="eastAsia"/>
                <w:bCs/>
                <w:color w:val="000000"/>
                <w:sz w:val="24"/>
              </w:rPr>
              <w:t>肾内科</w:t>
            </w:r>
          </w:p>
        </w:tc>
        <w:tc>
          <w:tcPr>
            <w:tcW w:w="1163" w:type="pct"/>
            <w:vAlign w:val="center"/>
          </w:tcPr>
          <w:p w14:paraId="623265B6" w14:textId="773E19D2" w:rsidR="00D31DF4" w:rsidRDefault="00D31DF4" w:rsidP="00D31DF4">
            <w:pPr>
              <w:jc w:val="center"/>
              <w:textAlignment w:val="baseline"/>
              <w:rPr>
                <w:rFonts w:ascii="仿宋_GB2312" w:eastAsia="仿宋_GB2312" w:hAnsi="仿宋"/>
                <w:color w:val="000000"/>
                <w:sz w:val="24"/>
                <w:szCs w:val="32"/>
              </w:rPr>
            </w:pPr>
            <w:r>
              <w:rPr>
                <w:rFonts w:ascii="仿宋_GB2312" w:eastAsia="仿宋_GB2312" w:hAnsi="仿宋_GB2312" w:cs="仿宋_GB2312" w:hint="eastAsia"/>
                <w:bCs/>
                <w:color w:val="000000"/>
                <w:sz w:val="24"/>
              </w:rPr>
              <w:t>广西医科大学第一附属医院</w:t>
            </w:r>
          </w:p>
        </w:tc>
        <w:tc>
          <w:tcPr>
            <w:tcW w:w="1498" w:type="pct"/>
            <w:vAlign w:val="center"/>
          </w:tcPr>
          <w:p w14:paraId="4274DCA5" w14:textId="77777777" w:rsidR="00D31DF4" w:rsidRDefault="00D31DF4" w:rsidP="00D31DF4">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统筹标准编制工作，组织人员进行规范发布后的宣贯培训。</w:t>
            </w:r>
          </w:p>
        </w:tc>
      </w:tr>
      <w:tr w:rsidR="00D31DF4" w14:paraId="4F140C40" w14:textId="77777777" w:rsidTr="005A4A0E">
        <w:trPr>
          <w:trHeight w:val="850"/>
          <w:jc w:val="center"/>
        </w:trPr>
        <w:tc>
          <w:tcPr>
            <w:tcW w:w="602" w:type="pct"/>
            <w:vAlign w:val="center"/>
          </w:tcPr>
          <w:p w14:paraId="2485052F" w14:textId="3142C40F" w:rsidR="00D31DF4" w:rsidRDefault="00D31DF4" w:rsidP="00D31DF4">
            <w:pPr>
              <w:jc w:val="center"/>
              <w:textAlignment w:val="baseline"/>
              <w:rPr>
                <w:rFonts w:ascii="仿宋_GB2312" w:eastAsia="仿宋_GB2312" w:hAnsi="仿宋"/>
                <w:color w:val="000000"/>
                <w:sz w:val="24"/>
                <w:szCs w:val="32"/>
              </w:rPr>
            </w:pPr>
            <w:r>
              <w:rPr>
                <w:rFonts w:ascii="仿宋_GB2312" w:eastAsia="仿宋_GB2312" w:hAnsi="仿宋_GB2312" w:cs="仿宋_GB2312" w:hint="eastAsia"/>
                <w:bCs/>
                <w:color w:val="000000"/>
                <w:sz w:val="24"/>
              </w:rPr>
              <w:t>刘春晓</w:t>
            </w:r>
          </w:p>
        </w:tc>
        <w:tc>
          <w:tcPr>
            <w:tcW w:w="890" w:type="pct"/>
            <w:vAlign w:val="center"/>
          </w:tcPr>
          <w:p w14:paraId="1E249805" w14:textId="69684292" w:rsidR="00D31DF4" w:rsidRDefault="00D31DF4" w:rsidP="00D31DF4">
            <w:pPr>
              <w:jc w:val="center"/>
              <w:textAlignment w:val="baseline"/>
              <w:rPr>
                <w:rFonts w:ascii="仿宋_GB2312" w:eastAsia="仿宋_GB2312" w:hAnsi="仿宋"/>
                <w:color w:val="000000"/>
                <w:sz w:val="24"/>
                <w:szCs w:val="32"/>
              </w:rPr>
            </w:pPr>
            <w:r>
              <w:rPr>
                <w:rFonts w:ascii="仿宋_GB2312" w:eastAsia="仿宋_GB2312" w:hAnsi="仿宋_GB2312" w:cs="仿宋_GB2312" w:hint="eastAsia"/>
                <w:bCs/>
                <w:color w:val="000000"/>
                <w:sz w:val="24"/>
              </w:rPr>
              <w:t>科主任/主任医师</w:t>
            </w:r>
          </w:p>
        </w:tc>
        <w:tc>
          <w:tcPr>
            <w:tcW w:w="846" w:type="pct"/>
            <w:vAlign w:val="center"/>
          </w:tcPr>
          <w:p w14:paraId="7CE8B747" w14:textId="5FCED40C" w:rsidR="00D31DF4" w:rsidRDefault="00D31DF4" w:rsidP="00D31DF4">
            <w:pPr>
              <w:jc w:val="center"/>
              <w:textAlignment w:val="baseline"/>
              <w:rPr>
                <w:rFonts w:ascii="仿宋_GB2312" w:eastAsia="仿宋_GB2312" w:hAnsi="仿宋"/>
                <w:color w:val="000000"/>
                <w:sz w:val="24"/>
                <w:szCs w:val="32"/>
              </w:rPr>
            </w:pPr>
            <w:r>
              <w:rPr>
                <w:rFonts w:ascii="仿宋_GB2312" w:eastAsia="仿宋_GB2312" w:hAnsi="仿宋_GB2312" w:cs="仿宋_GB2312" w:hint="eastAsia"/>
                <w:bCs/>
                <w:color w:val="000000"/>
                <w:sz w:val="24"/>
              </w:rPr>
              <w:t>肾内科</w:t>
            </w:r>
          </w:p>
        </w:tc>
        <w:tc>
          <w:tcPr>
            <w:tcW w:w="1163" w:type="pct"/>
            <w:vAlign w:val="center"/>
          </w:tcPr>
          <w:p w14:paraId="06CC193B" w14:textId="1CA9B79D" w:rsidR="00D31DF4" w:rsidRDefault="00D31DF4" w:rsidP="00D31DF4">
            <w:pPr>
              <w:jc w:val="center"/>
              <w:textAlignment w:val="baseline"/>
              <w:rPr>
                <w:rFonts w:ascii="仿宋_GB2312" w:eastAsia="仿宋_GB2312" w:hAnsi="仿宋"/>
                <w:color w:val="000000"/>
                <w:sz w:val="24"/>
                <w:szCs w:val="32"/>
              </w:rPr>
            </w:pPr>
            <w:r>
              <w:rPr>
                <w:rFonts w:ascii="仿宋_GB2312" w:eastAsia="仿宋_GB2312" w:hAnsi="仿宋_GB2312" w:cs="仿宋_GB2312" w:hint="eastAsia"/>
                <w:bCs/>
                <w:color w:val="000000"/>
                <w:sz w:val="24"/>
              </w:rPr>
              <w:t>柳州市工人医院</w:t>
            </w:r>
          </w:p>
        </w:tc>
        <w:tc>
          <w:tcPr>
            <w:tcW w:w="1498" w:type="pct"/>
            <w:vAlign w:val="center"/>
          </w:tcPr>
          <w:p w14:paraId="5EF0986A" w14:textId="77777777" w:rsidR="00D31DF4" w:rsidRDefault="00D31DF4" w:rsidP="00D31DF4">
            <w:pPr>
              <w:suppressAutoHyphens/>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指导标准文本及编制说明编写，质量控制。</w:t>
            </w:r>
          </w:p>
        </w:tc>
      </w:tr>
      <w:tr w:rsidR="00D31DF4" w14:paraId="5866A635" w14:textId="77777777" w:rsidTr="005A4A0E">
        <w:trPr>
          <w:trHeight w:val="995"/>
          <w:jc w:val="center"/>
        </w:trPr>
        <w:tc>
          <w:tcPr>
            <w:tcW w:w="602" w:type="pct"/>
            <w:vAlign w:val="center"/>
          </w:tcPr>
          <w:p w14:paraId="4F26C2C0" w14:textId="2FFBE059" w:rsidR="00D31DF4" w:rsidRDefault="00D31DF4" w:rsidP="00D31DF4">
            <w:pPr>
              <w:suppressAutoHyphens/>
              <w:jc w:val="center"/>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宁燕虹</w:t>
            </w:r>
          </w:p>
        </w:tc>
        <w:tc>
          <w:tcPr>
            <w:tcW w:w="890" w:type="pct"/>
            <w:vAlign w:val="center"/>
          </w:tcPr>
          <w:p w14:paraId="1D0A0EE0" w14:textId="6CDA7AE4"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科主任/主任医师</w:t>
            </w:r>
          </w:p>
        </w:tc>
        <w:tc>
          <w:tcPr>
            <w:tcW w:w="846" w:type="pct"/>
            <w:vAlign w:val="center"/>
          </w:tcPr>
          <w:p w14:paraId="25E97A06" w14:textId="14A95E63"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肾内科</w:t>
            </w:r>
          </w:p>
        </w:tc>
        <w:tc>
          <w:tcPr>
            <w:tcW w:w="1163" w:type="pct"/>
            <w:vAlign w:val="center"/>
          </w:tcPr>
          <w:p w14:paraId="08FAF912" w14:textId="4096C29F"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南宁市第二人民医院</w:t>
            </w:r>
          </w:p>
        </w:tc>
        <w:tc>
          <w:tcPr>
            <w:tcW w:w="1498" w:type="pct"/>
            <w:vAlign w:val="center"/>
          </w:tcPr>
          <w:p w14:paraId="1F31E68E" w14:textId="77777777"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Times New Roman" w:cs="Times New Roman" w:hint="eastAsia"/>
                <w:bCs/>
                <w:color w:val="000000"/>
                <w:sz w:val="24"/>
              </w:rPr>
              <w:t>对标准实施情况进行总结分析，不断对标准提出修正意见。</w:t>
            </w:r>
          </w:p>
        </w:tc>
      </w:tr>
      <w:tr w:rsidR="00D31DF4" w14:paraId="1FA4074D" w14:textId="77777777" w:rsidTr="005A4A0E">
        <w:trPr>
          <w:trHeight w:val="995"/>
          <w:jc w:val="center"/>
        </w:trPr>
        <w:tc>
          <w:tcPr>
            <w:tcW w:w="602" w:type="pct"/>
            <w:vAlign w:val="center"/>
          </w:tcPr>
          <w:p w14:paraId="75032A2C" w14:textId="2C639D9C" w:rsidR="00D31DF4" w:rsidRDefault="00D31DF4" w:rsidP="00D31DF4">
            <w:pPr>
              <w:suppressAutoHyphens/>
              <w:jc w:val="center"/>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李科慧</w:t>
            </w:r>
          </w:p>
        </w:tc>
        <w:tc>
          <w:tcPr>
            <w:tcW w:w="890" w:type="pct"/>
            <w:vAlign w:val="center"/>
          </w:tcPr>
          <w:p w14:paraId="1575E1E8" w14:textId="04A224CB"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主任医师</w:t>
            </w:r>
          </w:p>
        </w:tc>
        <w:tc>
          <w:tcPr>
            <w:tcW w:w="846" w:type="pct"/>
            <w:vAlign w:val="center"/>
          </w:tcPr>
          <w:p w14:paraId="666847F0" w14:textId="5B6A3F49"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肾内科</w:t>
            </w:r>
          </w:p>
        </w:tc>
        <w:tc>
          <w:tcPr>
            <w:tcW w:w="1163" w:type="pct"/>
            <w:vAlign w:val="center"/>
          </w:tcPr>
          <w:p w14:paraId="499CA70A" w14:textId="160AAE8F"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广西医科大学第一附属医院</w:t>
            </w:r>
          </w:p>
        </w:tc>
        <w:tc>
          <w:tcPr>
            <w:tcW w:w="1498" w:type="pct"/>
            <w:vAlign w:val="center"/>
          </w:tcPr>
          <w:p w14:paraId="19C11735" w14:textId="77777777"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Times New Roman" w:cs="Times New Roman" w:hint="eastAsia"/>
                <w:bCs/>
                <w:color w:val="000000"/>
                <w:sz w:val="24"/>
              </w:rPr>
              <w:t>负责起草标准草案，征求意见稿和标准编制说明，送审稿及编制说明的编写工作。</w:t>
            </w:r>
          </w:p>
        </w:tc>
      </w:tr>
      <w:tr w:rsidR="00D31DF4" w14:paraId="78942153" w14:textId="77777777" w:rsidTr="005A4A0E">
        <w:trPr>
          <w:trHeight w:val="995"/>
          <w:jc w:val="center"/>
        </w:trPr>
        <w:tc>
          <w:tcPr>
            <w:tcW w:w="602" w:type="pct"/>
            <w:vAlign w:val="center"/>
          </w:tcPr>
          <w:p w14:paraId="72B8CD8A" w14:textId="0E3E345D" w:rsidR="00D31DF4" w:rsidRDefault="00D31DF4" w:rsidP="00D31DF4">
            <w:pPr>
              <w:suppressAutoHyphens/>
              <w:jc w:val="center"/>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罗俊</w:t>
            </w:r>
          </w:p>
        </w:tc>
        <w:tc>
          <w:tcPr>
            <w:tcW w:w="890" w:type="pct"/>
            <w:vAlign w:val="center"/>
          </w:tcPr>
          <w:p w14:paraId="36B22CA8" w14:textId="036B81A5"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主任药师</w:t>
            </w:r>
          </w:p>
        </w:tc>
        <w:tc>
          <w:tcPr>
            <w:tcW w:w="846" w:type="pct"/>
            <w:vAlign w:val="center"/>
          </w:tcPr>
          <w:p w14:paraId="6C67F6E1" w14:textId="4E5950B6"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药学部</w:t>
            </w:r>
          </w:p>
        </w:tc>
        <w:tc>
          <w:tcPr>
            <w:tcW w:w="1163" w:type="pct"/>
            <w:vAlign w:val="center"/>
          </w:tcPr>
          <w:p w14:paraId="6B770B60" w14:textId="537A31AE"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广西医科大学第一附属医院</w:t>
            </w:r>
          </w:p>
        </w:tc>
        <w:tc>
          <w:tcPr>
            <w:tcW w:w="1498" w:type="pct"/>
            <w:vAlign w:val="center"/>
          </w:tcPr>
          <w:p w14:paraId="50FC429B" w14:textId="77777777"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Times New Roman" w:cs="Times New Roman" w:hint="eastAsia"/>
                <w:bCs/>
                <w:color w:val="000000"/>
                <w:sz w:val="24"/>
              </w:rPr>
              <w:t>负责起草标准草案，征求意见稿和标准编制说明，送审稿及编制说明的编写工作。</w:t>
            </w:r>
          </w:p>
        </w:tc>
      </w:tr>
      <w:tr w:rsidR="00D31DF4" w14:paraId="0187203D" w14:textId="77777777" w:rsidTr="005A4A0E">
        <w:trPr>
          <w:trHeight w:val="995"/>
          <w:jc w:val="center"/>
        </w:trPr>
        <w:tc>
          <w:tcPr>
            <w:tcW w:w="602" w:type="pct"/>
            <w:vAlign w:val="center"/>
          </w:tcPr>
          <w:p w14:paraId="65CF785E" w14:textId="0F4A98BA" w:rsidR="00D31DF4" w:rsidRDefault="00D31DF4" w:rsidP="00D31DF4">
            <w:pPr>
              <w:suppressAutoHyphens/>
              <w:jc w:val="center"/>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lastRenderedPageBreak/>
              <w:t>卜庆</w:t>
            </w:r>
          </w:p>
        </w:tc>
        <w:tc>
          <w:tcPr>
            <w:tcW w:w="890" w:type="pct"/>
            <w:vAlign w:val="center"/>
          </w:tcPr>
          <w:p w14:paraId="63499ADE" w14:textId="3BD1C80D"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科副主任/主任医师</w:t>
            </w:r>
          </w:p>
        </w:tc>
        <w:tc>
          <w:tcPr>
            <w:tcW w:w="846" w:type="pct"/>
            <w:vAlign w:val="center"/>
          </w:tcPr>
          <w:p w14:paraId="19C725FF" w14:textId="79F46233"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肿瘤内科</w:t>
            </w:r>
          </w:p>
        </w:tc>
        <w:tc>
          <w:tcPr>
            <w:tcW w:w="1163" w:type="pct"/>
            <w:vAlign w:val="center"/>
          </w:tcPr>
          <w:p w14:paraId="080957F8" w14:textId="2F6849AC"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广西医科大学第一附属医院</w:t>
            </w:r>
          </w:p>
        </w:tc>
        <w:tc>
          <w:tcPr>
            <w:tcW w:w="1498" w:type="pct"/>
            <w:vAlign w:val="center"/>
          </w:tcPr>
          <w:p w14:paraId="69807EA3" w14:textId="77777777"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Times New Roman" w:cs="Times New Roman" w:hint="eastAsia"/>
                <w:bCs/>
                <w:color w:val="000000"/>
                <w:sz w:val="24"/>
              </w:rPr>
              <w:t>负责起草标准草案，征求意见稿和标准编制说明，送审稿及编制说明的编写工作。</w:t>
            </w:r>
          </w:p>
        </w:tc>
      </w:tr>
      <w:tr w:rsidR="00D31DF4" w14:paraId="0A40C52E" w14:textId="77777777" w:rsidTr="005A4A0E">
        <w:trPr>
          <w:trHeight w:val="995"/>
          <w:jc w:val="center"/>
        </w:trPr>
        <w:tc>
          <w:tcPr>
            <w:tcW w:w="602" w:type="pct"/>
            <w:vAlign w:val="center"/>
          </w:tcPr>
          <w:p w14:paraId="37EC82A7" w14:textId="5DAE209B" w:rsidR="00D31DF4" w:rsidRDefault="00D31DF4" w:rsidP="00D31DF4">
            <w:pPr>
              <w:suppressAutoHyphens/>
              <w:jc w:val="center"/>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蒙如庆</w:t>
            </w:r>
          </w:p>
        </w:tc>
        <w:tc>
          <w:tcPr>
            <w:tcW w:w="890" w:type="pct"/>
            <w:vAlign w:val="center"/>
          </w:tcPr>
          <w:p w14:paraId="075D06E1" w14:textId="7C25B4BE"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副院长/主任医师</w:t>
            </w:r>
          </w:p>
        </w:tc>
        <w:tc>
          <w:tcPr>
            <w:tcW w:w="846" w:type="pct"/>
            <w:vAlign w:val="center"/>
          </w:tcPr>
          <w:p w14:paraId="16DDAC40" w14:textId="4D93E671"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肾内科</w:t>
            </w:r>
          </w:p>
        </w:tc>
        <w:tc>
          <w:tcPr>
            <w:tcW w:w="1163" w:type="pct"/>
            <w:vAlign w:val="center"/>
          </w:tcPr>
          <w:p w14:paraId="5125C3CE" w14:textId="3DFC5BFC"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河池市人民医院</w:t>
            </w:r>
          </w:p>
        </w:tc>
        <w:tc>
          <w:tcPr>
            <w:tcW w:w="1498" w:type="pct"/>
            <w:vAlign w:val="center"/>
          </w:tcPr>
          <w:p w14:paraId="30D5844A" w14:textId="77777777"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Times New Roman" w:cs="Times New Roman" w:hint="eastAsia"/>
                <w:bCs/>
                <w:color w:val="000000"/>
                <w:sz w:val="24"/>
              </w:rPr>
              <w:t>负责起草标准草案，征求意见稿和标准编制说明，送审稿及编制说明的编写工作。</w:t>
            </w:r>
          </w:p>
        </w:tc>
      </w:tr>
      <w:tr w:rsidR="00D31DF4" w14:paraId="3CFCBBA9" w14:textId="77777777" w:rsidTr="005A4A0E">
        <w:trPr>
          <w:trHeight w:val="995"/>
          <w:jc w:val="center"/>
        </w:trPr>
        <w:tc>
          <w:tcPr>
            <w:tcW w:w="602" w:type="pct"/>
            <w:vAlign w:val="center"/>
          </w:tcPr>
          <w:p w14:paraId="71D93553" w14:textId="5FEB3A74" w:rsidR="00D31DF4" w:rsidRDefault="00D31DF4" w:rsidP="00D31DF4">
            <w:pPr>
              <w:suppressAutoHyphens/>
              <w:jc w:val="center"/>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黎伟</w:t>
            </w:r>
          </w:p>
        </w:tc>
        <w:tc>
          <w:tcPr>
            <w:tcW w:w="890" w:type="pct"/>
            <w:vAlign w:val="center"/>
          </w:tcPr>
          <w:p w14:paraId="34DF9329" w14:textId="5E2E5BD7"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科主任/主任医师</w:t>
            </w:r>
          </w:p>
        </w:tc>
        <w:tc>
          <w:tcPr>
            <w:tcW w:w="846" w:type="pct"/>
            <w:vAlign w:val="center"/>
          </w:tcPr>
          <w:p w14:paraId="001D55DA" w14:textId="33862FEE"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肾内科</w:t>
            </w:r>
          </w:p>
        </w:tc>
        <w:tc>
          <w:tcPr>
            <w:tcW w:w="1163" w:type="pct"/>
            <w:vAlign w:val="center"/>
          </w:tcPr>
          <w:p w14:paraId="00734A64" w14:textId="3DE99BB9"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广西医科大学第二附属医院</w:t>
            </w:r>
          </w:p>
        </w:tc>
        <w:tc>
          <w:tcPr>
            <w:tcW w:w="1498" w:type="pct"/>
            <w:vAlign w:val="center"/>
          </w:tcPr>
          <w:p w14:paraId="61F988AA" w14:textId="77777777"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Times New Roman" w:cs="Times New Roman" w:hint="eastAsia"/>
                <w:bCs/>
                <w:color w:val="000000"/>
                <w:sz w:val="24"/>
              </w:rPr>
              <w:t>查询、收集和整理资料，协助标准文本及编制说明的编写、实施。</w:t>
            </w:r>
          </w:p>
        </w:tc>
      </w:tr>
      <w:tr w:rsidR="00D31DF4" w14:paraId="74364057" w14:textId="77777777" w:rsidTr="005A4A0E">
        <w:trPr>
          <w:trHeight w:val="995"/>
          <w:jc w:val="center"/>
        </w:trPr>
        <w:tc>
          <w:tcPr>
            <w:tcW w:w="602" w:type="pct"/>
            <w:vAlign w:val="center"/>
          </w:tcPr>
          <w:p w14:paraId="46B80FA5" w14:textId="349D98E2" w:rsidR="00D31DF4" w:rsidRDefault="00D31DF4" w:rsidP="00D31DF4">
            <w:pPr>
              <w:suppressAutoHyphens/>
              <w:jc w:val="center"/>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邓兆燕</w:t>
            </w:r>
          </w:p>
        </w:tc>
        <w:tc>
          <w:tcPr>
            <w:tcW w:w="890" w:type="pct"/>
            <w:vAlign w:val="center"/>
          </w:tcPr>
          <w:p w14:paraId="1E3D1133" w14:textId="1CFED412"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科主任/主任医师</w:t>
            </w:r>
          </w:p>
        </w:tc>
        <w:tc>
          <w:tcPr>
            <w:tcW w:w="846" w:type="pct"/>
            <w:vAlign w:val="center"/>
          </w:tcPr>
          <w:p w14:paraId="27C9865B" w14:textId="771A7254"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肾内科</w:t>
            </w:r>
          </w:p>
        </w:tc>
        <w:tc>
          <w:tcPr>
            <w:tcW w:w="1163" w:type="pct"/>
            <w:vAlign w:val="center"/>
          </w:tcPr>
          <w:p w14:paraId="793406B4" w14:textId="4CA0FEC5"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玉林市第一人民医院</w:t>
            </w:r>
          </w:p>
        </w:tc>
        <w:tc>
          <w:tcPr>
            <w:tcW w:w="1498" w:type="pct"/>
            <w:vAlign w:val="center"/>
          </w:tcPr>
          <w:p w14:paraId="5BF229B1" w14:textId="77777777"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Times New Roman" w:cs="Times New Roman" w:hint="eastAsia"/>
                <w:bCs/>
                <w:color w:val="000000"/>
                <w:sz w:val="24"/>
              </w:rPr>
              <w:t>查询、收集和整理资料，协助标准文本及编制说明的编写、实施。</w:t>
            </w:r>
          </w:p>
        </w:tc>
      </w:tr>
      <w:tr w:rsidR="00D31DF4" w14:paraId="0112AD9E" w14:textId="77777777" w:rsidTr="005A4A0E">
        <w:trPr>
          <w:trHeight w:val="995"/>
          <w:jc w:val="center"/>
        </w:trPr>
        <w:tc>
          <w:tcPr>
            <w:tcW w:w="602" w:type="pct"/>
            <w:vAlign w:val="center"/>
          </w:tcPr>
          <w:p w14:paraId="604F5006" w14:textId="4BEA140E" w:rsidR="00D31DF4" w:rsidRDefault="00D31DF4" w:rsidP="00D31DF4">
            <w:pPr>
              <w:suppressAutoHyphens/>
              <w:jc w:val="center"/>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许文炎</w:t>
            </w:r>
          </w:p>
        </w:tc>
        <w:tc>
          <w:tcPr>
            <w:tcW w:w="890" w:type="pct"/>
            <w:vAlign w:val="center"/>
          </w:tcPr>
          <w:p w14:paraId="5DBDF149" w14:textId="6E1043CF"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科副主任/主任医师</w:t>
            </w:r>
          </w:p>
        </w:tc>
        <w:tc>
          <w:tcPr>
            <w:tcW w:w="846" w:type="pct"/>
            <w:vAlign w:val="center"/>
          </w:tcPr>
          <w:p w14:paraId="5ADE6811" w14:textId="01065D88"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肾内科</w:t>
            </w:r>
          </w:p>
        </w:tc>
        <w:tc>
          <w:tcPr>
            <w:tcW w:w="1163" w:type="pct"/>
            <w:vAlign w:val="center"/>
          </w:tcPr>
          <w:p w14:paraId="214B3942" w14:textId="6C3ECB4C"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贵港市人民医院</w:t>
            </w:r>
          </w:p>
        </w:tc>
        <w:tc>
          <w:tcPr>
            <w:tcW w:w="1498" w:type="pct"/>
            <w:vAlign w:val="center"/>
          </w:tcPr>
          <w:p w14:paraId="5DE04DB9" w14:textId="77777777"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Times New Roman" w:cs="Times New Roman" w:hint="eastAsia"/>
                <w:bCs/>
                <w:color w:val="000000"/>
                <w:sz w:val="24"/>
              </w:rPr>
              <w:t>查询、收集和整理资料，协助标准文本及编制说明的编写、实施。</w:t>
            </w:r>
          </w:p>
        </w:tc>
      </w:tr>
      <w:tr w:rsidR="00D31DF4" w14:paraId="0794A9A4" w14:textId="77777777" w:rsidTr="005A4A0E">
        <w:trPr>
          <w:trHeight w:val="995"/>
          <w:jc w:val="center"/>
        </w:trPr>
        <w:tc>
          <w:tcPr>
            <w:tcW w:w="602" w:type="pct"/>
            <w:vAlign w:val="center"/>
          </w:tcPr>
          <w:p w14:paraId="449B4018" w14:textId="5E6813F9" w:rsidR="00D31DF4" w:rsidRDefault="00D31DF4" w:rsidP="00D31DF4">
            <w:pPr>
              <w:suppressAutoHyphens/>
              <w:jc w:val="center"/>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朱苓瑕</w:t>
            </w:r>
          </w:p>
        </w:tc>
        <w:tc>
          <w:tcPr>
            <w:tcW w:w="890" w:type="pct"/>
            <w:vAlign w:val="center"/>
          </w:tcPr>
          <w:p w14:paraId="12F6AD51" w14:textId="59D31AD0"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副主任医师</w:t>
            </w:r>
          </w:p>
        </w:tc>
        <w:tc>
          <w:tcPr>
            <w:tcW w:w="846" w:type="pct"/>
            <w:vAlign w:val="center"/>
          </w:tcPr>
          <w:p w14:paraId="1C63BE24" w14:textId="12B871DC"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肾内科</w:t>
            </w:r>
          </w:p>
        </w:tc>
        <w:tc>
          <w:tcPr>
            <w:tcW w:w="1163" w:type="pct"/>
            <w:vAlign w:val="center"/>
          </w:tcPr>
          <w:p w14:paraId="39822A05" w14:textId="48F4C5A9"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南宁市第二人民医院</w:t>
            </w:r>
          </w:p>
        </w:tc>
        <w:tc>
          <w:tcPr>
            <w:tcW w:w="1498" w:type="pct"/>
          </w:tcPr>
          <w:p w14:paraId="5192CB78" w14:textId="77777777"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Times New Roman" w:cs="Times New Roman" w:hint="eastAsia"/>
                <w:bCs/>
                <w:color w:val="000000"/>
                <w:sz w:val="24"/>
              </w:rPr>
              <w:t>查询、收集和整理资料，协助标准文本及编制说明的编写、实施。</w:t>
            </w:r>
          </w:p>
        </w:tc>
      </w:tr>
      <w:tr w:rsidR="00D31DF4" w14:paraId="438B22CC" w14:textId="77777777" w:rsidTr="005A4A0E">
        <w:trPr>
          <w:trHeight w:val="995"/>
          <w:jc w:val="center"/>
        </w:trPr>
        <w:tc>
          <w:tcPr>
            <w:tcW w:w="602" w:type="pct"/>
            <w:vAlign w:val="center"/>
          </w:tcPr>
          <w:p w14:paraId="6D3CB365" w14:textId="1AE5D99C" w:rsidR="00D31DF4" w:rsidRDefault="00D31DF4" w:rsidP="00D31DF4">
            <w:pPr>
              <w:suppressAutoHyphens/>
              <w:jc w:val="center"/>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农智强</w:t>
            </w:r>
          </w:p>
        </w:tc>
        <w:tc>
          <w:tcPr>
            <w:tcW w:w="890" w:type="pct"/>
            <w:vAlign w:val="center"/>
          </w:tcPr>
          <w:p w14:paraId="4CBB1A15" w14:textId="7ED9F9A1"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主治医师</w:t>
            </w:r>
          </w:p>
        </w:tc>
        <w:tc>
          <w:tcPr>
            <w:tcW w:w="846" w:type="pct"/>
            <w:vAlign w:val="center"/>
          </w:tcPr>
          <w:p w14:paraId="40E48327" w14:textId="0B4A8C07"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肾内科</w:t>
            </w:r>
          </w:p>
        </w:tc>
        <w:tc>
          <w:tcPr>
            <w:tcW w:w="1163" w:type="pct"/>
            <w:vAlign w:val="center"/>
          </w:tcPr>
          <w:p w14:paraId="19883BBF" w14:textId="45EAA9CE"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南宁市第二人民医院</w:t>
            </w:r>
          </w:p>
        </w:tc>
        <w:tc>
          <w:tcPr>
            <w:tcW w:w="1498" w:type="pct"/>
          </w:tcPr>
          <w:p w14:paraId="1A68DA4B" w14:textId="77777777"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Times New Roman" w:cs="Times New Roman" w:hint="eastAsia"/>
                <w:bCs/>
                <w:color w:val="000000"/>
                <w:sz w:val="24"/>
              </w:rPr>
              <w:t>查询、收集和整理资料，协助标准文本及编制说明的编写、实施。</w:t>
            </w:r>
          </w:p>
        </w:tc>
      </w:tr>
      <w:tr w:rsidR="00D31DF4" w14:paraId="39ED304B" w14:textId="77777777" w:rsidTr="005A4A0E">
        <w:trPr>
          <w:trHeight w:val="995"/>
          <w:jc w:val="center"/>
        </w:trPr>
        <w:tc>
          <w:tcPr>
            <w:tcW w:w="602" w:type="pct"/>
            <w:vAlign w:val="center"/>
          </w:tcPr>
          <w:p w14:paraId="0D2D2F3C" w14:textId="338FD9AF" w:rsidR="00D31DF4" w:rsidRPr="00CF0253" w:rsidRDefault="00D31DF4" w:rsidP="00D31DF4">
            <w:pPr>
              <w:suppressAutoHyphens/>
              <w:jc w:val="center"/>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何启锋</w:t>
            </w:r>
          </w:p>
        </w:tc>
        <w:tc>
          <w:tcPr>
            <w:tcW w:w="890" w:type="pct"/>
            <w:vAlign w:val="center"/>
          </w:tcPr>
          <w:p w14:paraId="1979C027" w14:textId="309ED502"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主治医师</w:t>
            </w:r>
          </w:p>
        </w:tc>
        <w:tc>
          <w:tcPr>
            <w:tcW w:w="846" w:type="pct"/>
            <w:vAlign w:val="center"/>
          </w:tcPr>
          <w:p w14:paraId="6ECD6A36" w14:textId="585E7DAD"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肾内科</w:t>
            </w:r>
          </w:p>
        </w:tc>
        <w:tc>
          <w:tcPr>
            <w:tcW w:w="1163" w:type="pct"/>
            <w:vAlign w:val="center"/>
          </w:tcPr>
          <w:p w14:paraId="597095D9" w14:textId="3C08286B"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柳州市工人医院</w:t>
            </w:r>
          </w:p>
        </w:tc>
        <w:tc>
          <w:tcPr>
            <w:tcW w:w="1498" w:type="pct"/>
          </w:tcPr>
          <w:p w14:paraId="4F3185F7" w14:textId="5D149561" w:rsidR="00D31DF4" w:rsidRDefault="00D31DF4" w:rsidP="00D31DF4">
            <w:pPr>
              <w:suppressAutoHyphens/>
              <w:rPr>
                <w:rFonts w:ascii="仿宋_GB2312" w:eastAsia="仿宋_GB2312" w:hAnsi="Times New Roman" w:cs="Times New Roman"/>
                <w:bCs/>
                <w:color w:val="000000"/>
                <w:sz w:val="24"/>
              </w:rPr>
            </w:pPr>
            <w:r w:rsidRPr="00CF0253">
              <w:rPr>
                <w:rFonts w:ascii="仿宋_GB2312" w:eastAsia="仿宋_GB2312" w:hAnsi="Times New Roman" w:cs="Times New Roman" w:hint="eastAsia"/>
                <w:bCs/>
                <w:color w:val="000000"/>
                <w:sz w:val="24"/>
              </w:rPr>
              <w:t>查询、收集和整理资料，协助标准文本及编制说明的编写、实施。</w:t>
            </w:r>
          </w:p>
        </w:tc>
      </w:tr>
      <w:tr w:rsidR="00D31DF4" w14:paraId="4262A724" w14:textId="77777777" w:rsidTr="005A4A0E">
        <w:trPr>
          <w:trHeight w:val="995"/>
          <w:jc w:val="center"/>
        </w:trPr>
        <w:tc>
          <w:tcPr>
            <w:tcW w:w="602" w:type="pct"/>
            <w:vAlign w:val="center"/>
          </w:tcPr>
          <w:p w14:paraId="00142D20" w14:textId="3F18CEAB" w:rsidR="00D31DF4" w:rsidRPr="00CF0253" w:rsidRDefault="00D31DF4" w:rsidP="00D31DF4">
            <w:pPr>
              <w:suppressAutoHyphens/>
              <w:jc w:val="center"/>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甘剑光</w:t>
            </w:r>
          </w:p>
        </w:tc>
        <w:tc>
          <w:tcPr>
            <w:tcW w:w="890" w:type="pct"/>
            <w:vAlign w:val="center"/>
          </w:tcPr>
          <w:p w14:paraId="2113E00C" w14:textId="35BD465F"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副主任医师</w:t>
            </w:r>
          </w:p>
        </w:tc>
        <w:tc>
          <w:tcPr>
            <w:tcW w:w="846" w:type="pct"/>
            <w:vAlign w:val="center"/>
          </w:tcPr>
          <w:p w14:paraId="1286E16A" w14:textId="39417298"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肾内科</w:t>
            </w:r>
          </w:p>
        </w:tc>
        <w:tc>
          <w:tcPr>
            <w:tcW w:w="1163" w:type="pct"/>
            <w:vAlign w:val="center"/>
          </w:tcPr>
          <w:p w14:paraId="5B825155" w14:textId="1ED60105"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玉林市第一人民医院</w:t>
            </w:r>
          </w:p>
        </w:tc>
        <w:tc>
          <w:tcPr>
            <w:tcW w:w="1498" w:type="pct"/>
          </w:tcPr>
          <w:p w14:paraId="31772211" w14:textId="5BF7F684" w:rsidR="00D31DF4" w:rsidRDefault="00D31DF4" w:rsidP="00D31DF4">
            <w:pPr>
              <w:suppressAutoHyphens/>
              <w:rPr>
                <w:rFonts w:ascii="仿宋_GB2312" w:eastAsia="仿宋_GB2312" w:hAnsi="Times New Roman" w:cs="Times New Roman"/>
                <w:bCs/>
                <w:color w:val="000000"/>
                <w:sz w:val="24"/>
              </w:rPr>
            </w:pPr>
            <w:r w:rsidRPr="00CF0253">
              <w:rPr>
                <w:rFonts w:ascii="仿宋_GB2312" w:eastAsia="仿宋_GB2312" w:hAnsi="Times New Roman" w:cs="Times New Roman" w:hint="eastAsia"/>
                <w:bCs/>
                <w:color w:val="000000"/>
                <w:sz w:val="24"/>
              </w:rPr>
              <w:t>查询、收集和整理资料，协助标准文本及编制说明的编写、实施。</w:t>
            </w:r>
          </w:p>
        </w:tc>
      </w:tr>
      <w:tr w:rsidR="00D31DF4" w14:paraId="041DCAE5" w14:textId="77777777" w:rsidTr="005A4A0E">
        <w:trPr>
          <w:trHeight w:val="995"/>
          <w:jc w:val="center"/>
        </w:trPr>
        <w:tc>
          <w:tcPr>
            <w:tcW w:w="602" w:type="pct"/>
            <w:vAlign w:val="center"/>
          </w:tcPr>
          <w:p w14:paraId="0778F043" w14:textId="6462E14D" w:rsidR="00D31DF4" w:rsidRPr="00CF0253" w:rsidRDefault="00D31DF4" w:rsidP="00D31DF4">
            <w:pPr>
              <w:suppressAutoHyphens/>
              <w:jc w:val="center"/>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黄光明</w:t>
            </w:r>
          </w:p>
        </w:tc>
        <w:tc>
          <w:tcPr>
            <w:tcW w:w="890" w:type="pct"/>
            <w:vAlign w:val="center"/>
          </w:tcPr>
          <w:p w14:paraId="45A5F981" w14:textId="406A2FB9"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副主任药师</w:t>
            </w:r>
          </w:p>
        </w:tc>
        <w:tc>
          <w:tcPr>
            <w:tcW w:w="846" w:type="pct"/>
            <w:vAlign w:val="center"/>
          </w:tcPr>
          <w:p w14:paraId="0B61A86D" w14:textId="44B5A380"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药学部</w:t>
            </w:r>
          </w:p>
        </w:tc>
        <w:tc>
          <w:tcPr>
            <w:tcW w:w="1163" w:type="pct"/>
            <w:vAlign w:val="center"/>
          </w:tcPr>
          <w:p w14:paraId="3C8719EA" w14:textId="074E306F"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广西医科大学第一附属医院</w:t>
            </w:r>
          </w:p>
        </w:tc>
        <w:tc>
          <w:tcPr>
            <w:tcW w:w="1498" w:type="pct"/>
          </w:tcPr>
          <w:p w14:paraId="25FA0851" w14:textId="3472DD76" w:rsidR="00D31DF4" w:rsidRDefault="00D31DF4" w:rsidP="00D31DF4">
            <w:pPr>
              <w:suppressAutoHyphens/>
              <w:rPr>
                <w:rFonts w:ascii="仿宋_GB2312" w:eastAsia="仿宋_GB2312" w:hAnsi="Times New Roman" w:cs="Times New Roman"/>
                <w:bCs/>
                <w:color w:val="000000"/>
                <w:sz w:val="24"/>
              </w:rPr>
            </w:pPr>
            <w:r w:rsidRPr="00CF0253">
              <w:rPr>
                <w:rFonts w:ascii="仿宋_GB2312" w:eastAsia="仿宋_GB2312" w:hAnsi="Times New Roman" w:cs="Times New Roman" w:hint="eastAsia"/>
                <w:bCs/>
                <w:color w:val="000000"/>
                <w:sz w:val="24"/>
              </w:rPr>
              <w:t>查询、收集和整理资料，协助标准文本及编制说明的编写、实施。</w:t>
            </w:r>
          </w:p>
        </w:tc>
      </w:tr>
      <w:tr w:rsidR="00D31DF4" w14:paraId="1F4BF934" w14:textId="77777777" w:rsidTr="005A4A0E">
        <w:trPr>
          <w:trHeight w:val="995"/>
          <w:jc w:val="center"/>
        </w:trPr>
        <w:tc>
          <w:tcPr>
            <w:tcW w:w="602" w:type="pct"/>
            <w:vAlign w:val="center"/>
          </w:tcPr>
          <w:p w14:paraId="29B27E86" w14:textId="133432F2" w:rsidR="00D31DF4" w:rsidRPr="00CF0253" w:rsidRDefault="00D31DF4" w:rsidP="00D31DF4">
            <w:pPr>
              <w:suppressAutoHyphens/>
              <w:jc w:val="center"/>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黄舒文</w:t>
            </w:r>
          </w:p>
        </w:tc>
        <w:tc>
          <w:tcPr>
            <w:tcW w:w="890" w:type="pct"/>
            <w:vAlign w:val="center"/>
          </w:tcPr>
          <w:p w14:paraId="3FACB0D9" w14:textId="549317F3"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副主任药师</w:t>
            </w:r>
          </w:p>
        </w:tc>
        <w:tc>
          <w:tcPr>
            <w:tcW w:w="846" w:type="pct"/>
            <w:vAlign w:val="center"/>
          </w:tcPr>
          <w:p w14:paraId="5F094A53" w14:textId="2A0A9B4C"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药学部</w:t>
            </w:r>
          </w:p>
        </w:tc>
        <w:tc>
          <w:tcPr>
            <w:tcW w:w="1163" w:type="pct"/>
            <w:vAlign w:val="center"/>
          </w:tcPr>
          <w:p w14:paraId="027535A9" w14:textId="73F47A2A" w:rsidR="00D31DF4" w:rsidRDefault="00D31DF4" w:rsidP="00D31DF4">
            <w:pPr>
              <w:suppressAutoHyphens/>
              <w:rPr>
                <w:rFonts w:ascii="仿宋_GB2312" w:eastAsia="仿宋_GB2312" w:hAnsi="Times New Roman" w:cs="Times New Roman"/>
                <w:bCs/>
                <w:color w:val="000000"/>
                <w:sz w:val="24"/>
              </w:rPr>
            </w:pPr>
            <w:r>
              <w:rPr>
                <w:rFonts w:ascii="仿宋_GB2312" w:eastAsia="仿宋_GB2312" w:hAnsi="仿宋_GB2312" w:cs="仿宋_GB2312" w:hint="eastAsia"/>
                <w:bCs/>
                <w:color w:val="000000"/>
                <w:sz w:val="24"/>
              </w:rPr>
              <w:t>广西医科大学第一附属医院</w:t>
            </w:r>
          </w:p>
        </w:tc>
        <w:tc>
          <w:tcPr>
            <w:tcW w:w="1498" w:type="pct"/>
          </w:tcPr>
          <w:p w14:paraId="65985043" w14:textId="2E2846B0" w:rsidR="00D31DF4" w:rsidRDefault="00D31DF4" w:rsidP="00D31DF4">
            <w:pPr>
              <w:suppressAutoHyphens/>
              <w:rPr>
                <w:rFonts w:ascii="仿宋_GB2312" w:eastAsia="仿宋_GB2312" w:hAnsi="Times New Roman" w:cs="Times New Roman"/>
                <w:bCs/>
                <w:color w:val="000000"/>
                <w:sz w:val="24"/>
              </w:rPr>
            </w:pPr>
            <w:r w:rsidRPr="00CF0253">
              <w:rPr>
                <w:rFonts w:ascii="仿宋_GB2312" w:eastAsia="仿宋_GB2312" w:hAnsi="Times New Roman" w:cs="Times New Roman" w:hint="eastAsia"/>
                <w:bCs/>
                <w:color w:val="000000"/>
                <w:sz w:val="24"/>
              </w:rPr>
              <w:t>查询、收集和整理资料，协助标准文本及编制说明的编写、实施。</w:t>
            </w:r>
          </w:p>
        </w:tc>
      </w:tr>
    </w:tbl>
    <w:p w14:paraId="4C18D577" w14:textId="77777777" w:rsidR="00D634F2" w:rsidRDefault="008854C0">
      <w:pPr>
        <w:pStyle w:val="afe"/>
        <w:ind w:firstLineChars="200" w:firstLine="640"/>
        <w:jc w:val="left"/>
        <w:rPr>
          <w:rFonts w:ascii="黑体" w:eastAsia="黑体" w:hAnsi="黑体"/>
          <w:b w:val="0"/>
          <w:color w:val="000000" w:themeColor="text1"/>
        </w:rPr>
      </w:pPr>
      <w:r>
        <w:rPr>
          <w:rFonts w:ascii="黑体" w:eastAsia="黑体" w:hAnsi="黑体" w:hint="eastAsia"/>
          <w:b w:val="0"/>
          <w:color w:val="000000" w:themeColor="text1"/>
        </w:rPr>
        <w:t>二、制定标准的必要性和意义</w:t>
      </w:r>
    </w:p>
    <w:p w14:paraId="62FD8280" w14:textId="77777777" w:rsidR="00194640" w:rsidRPr="00194640" w:rsidRDefault="00194640" w:rsidP="00194640">
      <w:pPr>
        <w:spacing w:line="520" w:lineRule="exact"/>
        <w:ind w:firstLineChars="200" w:firstLine="640"/>
        <w:rPr>
          <w:rFonts w:ascii="仿宋_GB2312" w:eastAsia="仿宋_GB2312"/>
          <w:color w:val="000000" w:themeColor="text1"/>
          <w:sz w:val="32"/>
          <w:szCs w:val="32"/>
        </w:rPr>
      </w:pPr>
      <w:r w:rsidRPr="00194640">
        <w:rPr>
          <w:rFonts w:ascii="仿宋_GB2312" w:eastAsia="仿宋_GB2312" w:hint="eastAsia"/>
          <w:color w:val="000000" w:themeColor="text1"/>
          <w:sz w:val="32"/>
          <w:szCs w:val="32"/>
        </w:rPr>
        <w:t>近年来，随着我国抗肿瘤治疗的快速发展，肿瘤患者的生存期显著延长，恶性肿瘤正逐渐成为一种需要长期管理的慢性疾病。</w:t>
      </w:r>
      <w:r w:rsidRPr="00194640">
        <w:rPr>
          <w:rFonts w:ascii="仿宋_GB2312" w:eastAsia="仿宋_GB2312" w:hint="eastAsia"/>
          <w:color w:val="000000" w:themeColor="text1"/>
          <w:sz w:val="32"/>
          <w:szCs w:val="32"/>
        </w:rPr>
        <w:lastRenderedPageBreak/>
        <w:t>然而，抗肿瘤治疗在延长生命的同时，其所伴随的药物性急性肾损伤（Acute Kidney Injury, AKI）已成为严重威胁患者安全、影响治疗效果与长期生存的突出问题。</w:t>
      </w:r>
    </w:p>
    <w:p w14:paraId="32844350" w14:textId="2BAFFAF5" w:rsidR="00194640" w:rsidRPr="00194640" w:rsidRDefault="00194640" w:rsidP="00194640">
      <w:pPr>
        <w:spacing w:line="520" w:lineRule="exact"/>
        <w:ind w:firstLineChars="200" w:firstLine="640"/>
        <w:rPr>
          <w:rFonts w:ascii="仿宋_GB2312" w:eastAsia="仿宋_GB2312"/>
          <w:color w:val="000000" w:themeColor="text1"/>
          <w:sz w:val="32"/>
          <w:szCs w:val="32"/>
        </w:rPr>
      </w:pPr>
      <w:r w:rsidRPr="00194640">
        <w:rPr>
          <w:rFonts w:ascii="仿宋_GB2312" w:eastAsia="仿宋_GB2312" w:hint="eastAsia"/>
          <w:color w:val="000000" w:themeColor="text1"/>
          <w:sz w:val="32"/>
          <w:szCs w:val="32"/>
        </w:rPr>
        <w:t>国家癌症中心</w:t>
      </w:r>
      <w:r w:rsidR="00A50C45">
        <w:rPr>
          <w:rFonts w:ascii="仿宋_GB2312" w:eastAsia="仿宋_GB2312" w:hint="eastAsia"/>
          <w:color w:val="000000" w:themeColor="text1"/>
          <w:sz w:val="32"/>
          <w:szCs w:val="32"/>
        </w:rPr>
        <w:t>近三</w:t>
      </w:r>
      <w:r w:rsidRPr="00194640">
        <w:rPr>
          <w:rFonts w:ascii="仿宋_GB2312" w:eastAsia="仿宋_GB2312" w:hint="eastAsia"/>
          <w:color w:val="000000" w:themeColor="text1"/>
          <w:sz w:val="32"/>
          <w:szCs w:val="32"/>
        </w:rPr>
        <w:t>年数据显示，全国恶性肿瘤估计新发病例达380.4万例，平均每天超1万人确诊癌症，每分钟有7人确诊。随着抗肿瘤药物从传统化疗药向靶向药、免疫检查点抑制剂等多品类拓展，其临床应用覆盖肺癌、胃癌、结直肠癌等所有主流肿瘤类型，用药患者群体呈指数级增长，为抗肿瘤药物急性肾损伤的高发提供了庞大的人群基础。各类抗肿瘤药物引发急性肾损伤已成为共性临床问题。其中经典化疗药顺铂的肾损伤发生率达 20%-40%；免疫检查点抑制剂（ICIs）相关研究显示，279 例接受 ICIs 治疗的肿瘤患者中，急性肾损伤发生率为 14.7%，且 8.96% 为药物直接相关损伤；血管内皮生长因子受体抑制剂等新型靶向药也常引发血栓性微血管病等肾脏并发症。庞大的用药人群与较高的单类药物肾损伤发生率叠加，使得该病成为肿瘤治疗中需普遍应对的医疗问题，亟需标准规范诊疗流程。抗肿瘤药物急性肾损伤若诊疗不当，会显著增加医疗支出。数据显示，20%～50%的AKI幸存患者会发展为慢性肾脏病，5%进展为终末期肾病，这类患者需长期依赖血液透析或腹膜透析，每年透析相关费用超10万元。而早期规范干预可显著降低这一风险，若能通过标准流程早期发现肾损伤并调整用药，能将慢性肾病发生率降低30%以上，就可以大幅减少患者个人与医保的经济负担。</w:t>
      </w:r>
    </w:p>
    <w:p w14:paraId="17173399" w14:textId="77777777" w:rsidR="00194640" w:rsidRPr="00194640" w:rsidRDefault="00194640" w:rsidP="00194640">
      <w:pPr>
        <w:spacing w:line="520" w:lineRule="exact"/>
        <w:ind w:firstLineChars="200" w:firstLine="640"/>
        <w:rPr>
          <w:rFonts w:ascii="仿宋_GB2312" w:eastAsia="仿宋_GB2312"/>
          <w:color w:val="000000" w:themeColor="text1"/>
          <w:sz w:val="32"/>
          <w:szCs w:val="32"/>
        </w:rPr>
      </w:pPr>
      <w:r w:rsidRPr="00194640">
        <w:rPr>
          <w:rFonts w:ascii="仿宋_GB2312" w:eastAsia="仿宋_GB2312" w:hint="eastAsia"/>
          <w:color w:val="000000" w:themeColor="text1"/>
          <w:sz w:val="32"/>
          <w:szCs w:val="32"/>
        </w:rPr>
        <w:t>抗肿瘤药物相关急性肾损伤是一个发病率极高、后果极其严重、但早期干预又极具价值的临床重大问题。当前，面对这一挑战，临床实践却缺乏一部聚焦早期、操作具体、覆盖全面的诊疗规范作为统一行动纲领。这种“高负担”与“弱规范”之间的尖</w:t>
      </w:r>
      <w:r w:rsidRPr="00194640">
        <w:rPr>
          <w:rFonts w:ascii="仿宋_GB2312" w:eastAsia="仿宋_GB2312" w:hint="eastAsia"/>
          <w:color w:val="000000" w:themeColor="text1"/>
          <w:sz w:val="32"/>
          <w:szCs w:val="32"/>
        </w:rPr>
        <w:lastRenderedPageBreak/>
        <w:t>锐矛盾，构成了制定《抗肿瘤药物急性肾损伤早期诊疗规范》团体标准最根本、最迫切的必要性。</w:t>
      </w:r>
    </w:p>
    <w:p w14:paraId="46CD4C94" w14:textId="70233EC2" w:rsidR="00D634F2" w:rsidRDefault="00194640" w:rsidP="00194640">
      <w:pPr>
        <w:spacing w:line="520" w:lineRule="exact"/>
        <w:ind w:firstLineChars="200" w:firstLine="640"/>
        <w:rPr>
          <w:rFonts w:ascii="仿宋_GB2312" w:eastAsia="仿宋_GB2312"/>
          <w:color w:val="000000" w:themeColor="text1"/>
          <w:sz w:val="28"/>
          <w:szCs w:val="28"/>
        </w:rPr>
      </w:pPr>
      <w:r w:rsidRPr="00194640">
        <w:rPr>
          <w:rFonts w:ascii="仿宋_GB2312" w:eastAsia="仿宋_GB2312" w:hint="eastAsia"/>
          <w:color w:val="000000" w:themeColor="text1"/>
          <w:sz w:val="32"/>
          <w:szCs w:val="32"/>
        </w:rPr>
        <w:t>综上，制定《抗肿瘤药物急性肾损伤早期诊疗规范》，旨在填补现有指南体系在早期诊疗实操层面的空白，对统一和提升各级医疗机构的诊疗水平，实现降低AKI发生率、保障抗肿瘤治疗顺利进行、改善癌症患者总体生存预后，同时推动抗肿瘤药物急性肾损伤早期诊疗应用向标准化、精准化方向迈进，为行业高质量发展奠定基础</w:t>
      </w:r>
      <w:r w:rsidR="008854C0">
        <w:rPr>
          <w:rFonts w:ascii="仿宋_GB2312" w:eastAsia="仿宋_GB2312" w:hint="eastAsia"/>
          <w:color w:val="000000" w:themeColor="text1"/>
          <w:sz w:val="32"/>
          <w:szCs w:val="32"/>
        </w:rPr>
        <w:t>。</w:t>
      </w:r>
    </w:p>
    <w:p w14:paraId="4CFFA7A6" w14:textId="77777777" w:rsidR="00D634F2" w:rsidRDefault="008854C0">
      <w:pPr>
        <w:autoSpaceDE w:val="0"/>
        <w:autoSpaceDN w:val="0"/>
        <w:adjustRightInd w:val="0"/>
        <w:spacing w:beforeLines="50" w:before="120" w:afterLines="50" w:after="120"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三、主要起草过程</w:t>
      </w:r>
    </w:p>
    <w:p w14:paraId="06CF7C00" w14:textId="77777777" w:rsidR="00D634F2" w:rsidRDefault="008854C0">
      <w:pPr>
        <w:spacing w:line="560" w:lineRule="exact"/>
        <w:ind w:firstLineChars="200" w:firstLine="643"/>
        <w:rPr>
          <w:rFonts w:ascii="楷体" w:eastAsia="楷体" w:hAnsi="楷体" w:cs="楷体"/>
          <w:b/>
          <w:color w:val="000000" w:themeColor="text1"/>
          <w:sz w:val="32"/>
          <w:szCs w:val="32"/>
        </w:rPr>
      </w:pPr>
      <w:r>
        <w:rPr>
          <w:rFonts w:ascii="楷体" w:eastAsia="楷体" w:hAnsi="楷体" w:cs="楷体" w:hint="eastAsia"/>
          <w:b/>
          <w:color w:val="000000" w:themeColor="text1"/>
          <w:sz w:val="32"/>
          <w:szCs w:val="32"/>
        </w:rPr>
        <w:t>（一）成立标准编制工作组</w:t>
      </w:r>
    </w:p>
    <w:p w14:paraId="60D4C6AB" w14:textId="56611FFC" w:rsidR="00D634F2" w:rsidRDefault="008854C0">
      <w:pPr>
        <w:spacing w:line="520" w:lineRule="exact"/>
        <w:ind w:firstLineChars="200" w:firstLine="640"/>
        <w:jc w:val="left"/>
        <w:rPr>
          <w:rFonts w:ascii="仿宋_GB2312" w:eastAsia="仿宋_GB2312"/>
          <w:color w:val="000000" w:themeColor="text1"/>
          <w:sz w:val="32"/>
          <w:szCs w:val="32"/>
        </w:rPr>
      </w:pPr>
      <w:r>
        <w:rPr>
          <w:rFonts w:ascii="仿宋_GB2312" w:eastAsia="仿宋_GB2312" w:hint="eastAsia"/>
          <w:color w:val="000000" w:themeColor="text1"/>
          <w:sz w:val="32"/>
          <w:szCs w:val="32"/>
        </w:rPr>
        <w:t>团体</w:t>
      </w:r>
      <w:r w:rsidRPr="00630AE0">
        <w:rPr>
          <w:rFonts w:ascii="仿宋_GB2312" w:eastAsia="仿宋_GB2312" w:hint="eastAsia"/>
          <w:color w:val="000000" w:themeColor="text1"/>
          <w:sz w:val="32"/>
          <w:szCs w:val="32"/>
        </w:rPr>
        <w:t>标准《</w:t>
      </w:r>
      <w:r w:rsidR="002D60AF" w:rsidRPr="00630AE0">
        <w:rPr>
          <w:rFonts w:ascii="仿宋_GB2312" w:eastAsia="仿宋_GB2312" w:hint="eastAsia"/>
          <w:color w:val="000000" w:themeColor="text1"/>
          <w:sz w:val="32"/>
          <w:szCs w:val="32"/>
        </w:rPr>
        <w:t>抗肿瘤药物急性肾损伤早期诊疗规范</w:t>
      </w:r>
      <w:r w:rsidRPr="00630AE0">
        <w:rPr>
          <w:rFonts w:ascii="仿宋_GB2312" w:eastAsia="仿宋_GB2312" w:hint="eastAsia"/>
          <w:color w:val="000000" w:themeColor="text1"/>
          <w:sz w:val="32"/>
          <w:szCs w:val="32"/>
        </w:rPr>
        <w:t>》项目任务下达后，</w:t>
      </w:r>
      <w:r w:rsidR="00A109E4" w:rsidRPr="00630AE0">
        <w:rPr>
          <w:rFonts w:ascii="仿宋_GB2312" w:eastAsia="仿宋_GB2312" w:hint="eastAsia"/>
          <w:color w:val="000000" w:themeColor="text1"/>
          <w:sz w:val="32"/>
          <w:szCs w:val="32"/>
        </w:rPr>
        <w:t>广西医科大学第一附属医院、广西医科大学第二附属医院、南宁市第二人民医院、柳州市工人医院、玉林市第一人民医院、河池市人民医院、贵港市人民医院</w:t>
      </w:r>
      <w:r w:rsidRPr="00630AE0">
        <w:rPr>
          <w:rFonts w:ascii="仿宋_GB2312" w:eastAsia="仿宋_GB2312" w:hint="eastAsia"/>
          <w:color w:val="000000" w:themeColor="text1"/>
          <w:sz w:val="32"/>
          <w:szCs w:val="32"/>
        </w:rPr>
        <w:t>等单</w:t>
      </w:r>
      <w:r>
        <w:rPr>
          <w:rFonts w:ascii="仿宋_GB2312" w:eastAsia="仿宋_GB2312" w:hint="eastAsia"/>
          <w:color w:val="000000" w:themeColor="text1"/>
          <w:sz w:val="32"/>
          <w:szCs w:val="32"/>
        </w:rPr>
        <w:t>位成立了标准编制工作组，制定了起草编写方案与进度安排，明确任务职责，确定工作技术路线，开展标准研制工作。具体标准编制工作由</w:t>
      </w:r>
      <w:r w:rsidR="00A109E4">
        <w:rPr>
          <w:rFonts w:ascii="仿宋_GB2312" w:eastAsia="仿宋_GB2312" w:hint="eastAsia"/>
          <w:color w:val="000000" w:themeColor="text1"/>
          <w:sz w:val="32"/>
          <w:szCs w:val="32"/>
        </w:rPr>
        <w:t>广西医科大学第一附属医院、广西医科大学第二附属医院、南宁市第二人民医院、柳州市工人医院、玉林市第一人民医院、河池市人民医院、贵港市人民医院</w:t>
      </w:r>
      <w:r>
        <w:rPr>
          <w:rFonts w:ascii="仿宋_GB2312" w:eastAsia="仿宋_GB2312" w:hint="eastAsia"/>
          <w:color w:val="000000" w:themeColor="text1"/>
          <w:sz w:val="32"/>
          <w:szCs w:val="32"/>
        </w:rPr>
        <w:t>相关人员配合完成。</w:t>
      </w:r>
    </w:p>
    <w:p w14:paraId="5DD67093" w14:textId="77777777" w:rsidR="00D634F2" w:rsidRPr="00850053" w:rsidRDefault="008854C0">
      <w:pPr>
        <w:spacing w:line="520" w:lineRule="exact"/>
        <w:ind w:firstLineChars="200" w:firstLine="640"/>
        <w:jc w:val="left"/>
        <w:rPr>
          <w:rFonts w:ascii="仿宋_GB2312" w:eastAsia="仿宋_GB2312"/>
          <w:color w:val="000000" w:themeColor="text1"/>
          <w:sz w:val="32"/>
          <w:szCs w:val="32"/>
        </w:rPr>
      </w:pPr>
      <w:r>
        <w:rPr>
          <w:rFonts w:ascii="仿宋_GB2312" w:eastAsia="仿宋_GB2312" w:hint="eastAsia"/>
          <w:color w:val="000000" w:themeColor="text1"/>
          <w:sz w:val="32"/>
          <w:szCs w:val="32"/>
        </w:rPr>
        <w:t>为了明确标准</w:t>
      </w:r>
      <w:r w:rsidRPr="00850053">
        <w:rPr>
          <w:rFonts w:ascii="仿宋_GB2312" w:eastAsia="仿宋_GB2312" w:hint="eastAsia"/>
          <w:color w:val="000000" w:themeColor="text1"/>
          <w:sz w:val="32"/>
          <w:szCs w:val="32"/>
        </w:rPr>
        <w:t>编制的任务职责，确定工作技术路线，开展标准研制工作。编制工作组下设三个组，分别是资料收集组、草案编写组、标准实施组。</w:t>
      </w:r>
    </w:p>
    <w:p w14:paraId="06A9AB2C" w14:textId="68008FE0" w:rsidR="00D634F2" w:rsidRPr="00850053" w:rsidRDefault="008854C0">
      <w:pPr>
        <w:spacing w:line="520" w:lineRule="exact"/>
        <w:ind w:firstLineChars="200" w:firstLine="640"/>
        <w:rPr>
          <w:rFonts w:ascii="仿宋_GB2312" w:eastAsia="仿宋_GB2312"/>
          <w:color w:val="000000" w:themeColor="text1"/>
          <w:sz w:val="32"/>
          <w:szCs w:val="32"/>
        </w:rPr>
      </w:pPr>
      <w:r w:rsidRPr="00850053">
        <w:rPr>
          <w:rFonts w:ascii="仿宋_GB2312" w:eastAsia="仿宋_GB2312" w:hint="eastAsia"/>
          <w:color w:val="000000" w:themeColor="text1"/>
          <w:sz w:val="32"/>
          <w:szCs w:val="32"/>
        </w:rPr>
        <w:t>资料收集组负责国内外有关</w:t>
      </w:r>
      <w:r w:rsidR="00194640" w:rsidRPr="00194640">
        <w:rPr>
          <w:rFonts w:ascii="仿宋_GB2312" w:eastAsia="仿宋_GB2312" w:hint="eastAsia"/>
          <w:color w:val="000000" w:themeColor="text1"/>
          <w:sz w:val="32"/>
          <w:szCs w:val="32"/>
        </w:rPr>
        <w:t>抗肿瘤药物急性肾损伤早期诊疗</w:t>
      </w:r>
      <w:r w:rsidRPr="00194640">
        <w:rPr>
          <w:rFonts w:ascii="仿宋_GB2312" w:eastAsia="仿宋_GB2312" w:hint="eastAsia"/>
          <w:color w:val="000000" w:themeColor="text1"/>
          <w:sz w:val="32"/>
          <w:szCs w:val="32"/>
        </w:rPr>
        <w:t>相关文献资料的查询、收集和整理工作，查阅前期对</w:t>
      </w:r>
      <w:r w:rsidR="00194640" w:rsidRPr="00194640">
        <w:rPr>
          <w:rFonts w:ascii="仿宋_GB2312" w:eastAsia="仿宋_GB2312" w:hint="eastAsia"/>
          <w:color w:val="000000" w:themeColor="text1"/>
          <w:sz w:val="32"/>
          <w:szCs w:val="32"/>
        </w:rPr>
        <w:t>抗肿瘤药物急性肾损伤早期诊疗</w:t>
      </w:r>
      <w:r w:rsidRPr="00194640">
        <w:rPr>
          <w:rFonts w:ascii="仿宋_GB2312" w:eastAsia="仿宋_GB2312" w:hint="eastAsia"/>
          <w:color w:val="000000" w:themeColor="text1"/>
          <w:sz w:val="32"/>
          <w:szCs w:val="32"/>
        </w:rPr>
        <w:t>的有关研究情况和目前</w:t>
      </w:r>
      <w:r w:rsidR="00D97782" w:rsidRPr="00194640">
        <w:rPr>
          <w:rFonts w:ascii="仿宋_GB2312" w:eastAsia="仿宋_GB2312" w:hint="eastAsia"/>
          <w:color w:val="000000" w:themeColor="text1"/>
          <w:sz w:val="32"/>
          <w:szCs w:val="32"/>
        </w:rPr>
        <w:t>科学界</w:t>
      </w:r>
      <w:r w:rsidR="002A6366" w:rsidRPr="00194640">
        <w:rPr>
          <w:rFonts w:ascii="仿宋_GB2312" w:eastAsia="仿宋_GB2312" w:hint="eastAsia"/>
          <w:color w:val="000000" w:themeColor="text1"/>
          <w:sz w:val="32"/>
          <w:szCs w:val="32"/>
        </w:rPr>
        <w:t>关于</w:t>
      </w:r>
      <w:r w:rsidR="00194640" w:rsidRPr="00194640">
        <w:rPr>
          <w:rFonts w:ascii="仿宋_GB2312" w:eastAsia="仿宋_GB2312" w:hint="eastAsia"/>
          <w:color w:val="000000" w:themeColor="text1"/>
          <w:sz w:val="32"/>
          <w:szCs w:val="32"/>
        </w:rPr>
        <w:t>抗肿瘤药物急性肾损伤早期诊疗</w:t>
      </w:r>
      <w:r w:rsidRPr="00194640">
        <w:rPr>
          <w:rFonts w:ascii="仿宋_GB2312" w:eastAsia="仿宋_GB2312" w:hint="eastAsia"/>
          <w:color w:val="000000" w:themeColor="text1"/>
          <w:sz w:val="32"/>
          <w:szCs w:val="32"/>
        </w:rPr>
        <w:t>的研究进展。</w:t>
      </w:r>
    </w:p>
    <w:p w14:paraId="36185C73" w14:textId="77777777" w:rsidR="00D634F2" w:rsidRPr="00850053" w:rsidRDefault="008854C0">
      <w:pPr>
        <w:spacing w:line="520" w:lineRule="exact"/>
        <w:ind w:firstLineChars="200" w:firstLine="640"/>
        <w:rPr>
          <w:rFonts w:ascii="仿宋_GB2312" w:eastAsia="仿宋_GB2312"/>
          <w:color w:val="000000" w:themeColor="text1"/>
          <w:sz w:val="32"/>
          <w:szCs w:val="32"/>
        </w:rPr>
      </w:pPr>
      <w:r w:rsidRPr="00850053">
        <w:rPr>
          <w:rFonts w:ascii="仿宋_GB2312" w:eastAsia="仿宋_GB2312" w:hint="eastAsia"/>
          <w:color w:val="000000" w:themeColor="text1"/>
          <w:sz w:val="32"/>
          <w:szCs w:val="32"/>
        </w:rPr>
        <w:lastRenderedPageBreak/>
        <w:t>草案编写组负责起草标准草案及后续征求意见稿和标准编制说明、送审稿及编制说明等编写工作，包括后期召开征求意见会、网上征求意见，以及标准的不断修改和完善。</w:t>
      </w:r>
    </w:p>
    <w:p w14:paraId="5F9F7AB9" w14:textId="25DF273A" w:rsidR="00D634F2" w:rsidRPr="00850053" w:rsidRDefault="008854C0">
      <w:pPr>
        <w:spacing w:line="520" w:lineRule="exact"/>
        <w:ind w:firstLineChars="200" w:firstLine="640"/>
        <w:jc w:val="left"/>
        <w:rPr>
          <w:rFonts w:ascii="仿宋_GB2312" w:eastAsia="仿宋_GB2312" w:cs="仿宋_GB2312"/>
          <w:color w:val="000000" w:themeColor="text1"/>
          <w:sz w:val="28"/>
          <w:szCs w:val="28"/>
        </w:rPr>
      </w:pPr>
      <w:r w:rsidRPr="00850053">
        <w:rPr>
          <w:rFonts w:ascii="仿宋_GB2312" w:eastAsia="仿宋_GB2312" w:hint="eastAsia"/>
          <w:color w:val="000000" w:themeColor="text1"/>
          <w:sz w:val="32"/>
          <w:szCs w:val="32"/>
        </w:rPr>
        <w:t>标准实施组负责团体标准《</w:t>
      </w:r>
      <w:r w:rsidR="002D60AF">
        <w:rPr>
          <w:rFonts w:ascii="仿宋_GB2312" w:eastAsia="仿宋_GB2312" w:hint="eastAsia"/>
          <w:color w:val="000000" w:themeColor="text1"/>
          <w:sz w:val="32"/>
          <w:szCs w:val="32"/>
        </w:rPr>
        <w:t>抗肿瘤药物急性肾损伤早期诊疗规范</w:t>
      </w:r>
      <w:r w:rsidRPr="00850053">
        <w:rPr>
          <w:rFonts w:ascii="仿宋_GB2312" w:eastAsia="仿宋_GB2312" w:hint="eastAsia"/>
          <w:color w:val="000000" w:themeColor="text1"/>
          <w:sz w:val="32"/>
          <w:szCs w:val="32"/>
        </w:rPr>
        <w:t>》发布后，组织相关单位开展标准宣贯培训会，对标准进行详细解读，让相关人员了解标准，并根据标准对</w:t>
      </w:r>
      <w:r w:rsidR="00194640">
        <w:rPr>
          <w:rFonts w:ascii="仿宋_GB2312" w:eastAsia="仿宋_GB2312" w:hint="eastAsia"/>
          <w:color w:val="000000" w:themeColor="text1"/>
          <w:sz w:val="32"/>
          <w:szCs w:val="32"/>
        </w:rPr>
        <w:t>抗肿瘤药物急性肾损伤早期诊疗</w:t>
      </w:r>
      <w:r w:rsidRPr="00850053">
        <w:rPr>
          <w:rFonts w:ascii="仿宋_GB2312" w:eastAsia="仿宋_GB2312" w:hint="eastAsia"/>
          <w:color w:val="000000" w:themeColor="text1"/>
          <w:sz w:val="32"/>
          <w:szCs w:val="32"/>
        </w:rPr>
        <w:t>进行规范化操作，并对标准实施情况进行总结分析，不断对标准提出修正意见。</w:t>
      </w:r>
    </w:p>
    <w:p w14:paraId="0433E7F9" w14:textId="77777777" w:rsidR="00D634F2" w:rsidRPr="00850053" w:rsidRDefault="008854C0">
      <w:pPr>
        <w:spacing w:line="560" w:lineRule="exact"/>
        <w:ind w:firstLineChars="200" w:firstLine="643"/>
        <w:rPr>
          <w:rFonts w:ascii="楷体" w:eastAsia="楷体" w:hAnsi="楷体" w:cs="楷体"/>
          <w:b/>
          <w:color w:val="000000" w:themeColor="text1"/>
          <w:sz w:val="32"/>
          <w:szCs w:val="32"/>
        </w:rPr>
      </w:pPr>
      <w:r w:rsidRPr="00850053">
        <w:rPr>
          <w:rFonts w:ascii="楷体" w:eastAsia="楷体" w:hAnsi="楷体" w:cs="楷体" w:hint="eastAsia"/>
          <w:b/>
          <w:color w:val="000000" w:themeColor="text1"/>
          <w:sz w:val="32"/>
          <w:szCs w:val="32"/>
        </w:rPr>
        <w:t>（二）收集整理文献资料</w:t>
      </w:r>
    </w:p>
    <w:p w14:paraId="5656E9FD" w14:textId="22214504" w:rsidR="00D634F2" w:rsidRPr="007805DF" w:rsidRDefault="008854C0">
      <w:pPr>
        <w:spacing w:line="520" w:lineRule="exact"/>
        <w:ind w:firstLineChars="200" w:firstLine="640"/>
        <w:rPr>
          <w:rFonts w:ascii="仿宋_GB2312" w:eastAsia="仿宋_GB2312"/>
          <w:color w:val="000000" w:themeColor="text1"/>
          <w:sz w:val="32"/>
          <w:szCs w:val="32"/>
          <w:highlight w:val="yellow"/>
        </w:rPr>
      </w:pPr>
      <w:r w:rsidRPr="00BC1466">
        <w:rPr>
          <w:rFonts w:ascii="仿宋_GB2312" w:eastAsia="仿宋_GB2312" w:hint="eastAsia"/>
          <w:color w:val="000000" w:themeColor="text1"/>
          <w:sz w:val="32"/>
          <w:szCs w:val="32"/>
        </w:rPr>
        <w:t>标准编制工作组收集了国内有关</w:t>
      </w:r>
      <w:r w:rsidR="008A4B91" w:rsidRPr="008A4B91">
        <w:rPr>
          <w:rFonts w:ascii="仿宋_GB2312" w:eastAsia="仿宋_GB2312" w:hint="eastAsia"/>
          <w:color w:val="000000" w:themeColor="text1"/>
          <w:sz w:val="32"/>
          <w:szCs w:val="32"/>
        </w:rPr>
        <w:t>“肾 诊疗”“肾 诊断”“肾 筛查”“肾 治疗”“肾损伤”</w:t>
      </w:r>
      <w:r w:rsidRPr="00BC1466">
        <w:rPr>
          <w:rFonts w:ascii="仿宋_GB2312" w:eastAsia="仿宋_GB2312" w:hint="eastAsia"/>
          <w:color w:val="000000" w:themeColor="text1"/>
          <w:sz w:val="32"/>
          <w:szCs w:val="32"/>
        </w:rPr>
        <w:t>的相关资料。主要有：</w:t>
      </w:r>
    </w:p>
    <w:p w14:paraId="3D4F227F" w14:textId="70559F37" w:rsidR="00302A1F" w:rsidRPr="00302A1F" w:rsidRDefault="00BC1466" w:rsidP="00BC1466">
      <w:pPr>
        <w:spacing w:line="520" w:lineRule="exact"/>
        <w:ind w:firstLineChars="200" w:firstLine="640"/>
        <w:rPr>
          <w:rFonts w:ascii="仿宋_GB2312" w:eastAsia="仿宋_GB2312"/>
          <w:color w:val="000000" w:themeColor="text1"/>
          <w:sz w:val="32"/>
          <w:szCs w:val="32"/>
        </w:rPr>
      </w:pPr>
      <w:r w:rsidRPr="00302A1F">
        <w:rPr>
          <w:rFonts w:ascii="仿宋_GB2312" w:eastAsia="仿宋_GB2312"/>
          <w:color w:val="000000" w:themeColor="text1"/>
          <w:sz w:val="32"/>
          <w:szCs w:val="32"/>
        </w:rPr>
        <w:t xml:space="preserve"> </w:t>
      </w:r>
      <w:r w:rsidR="008A4B91" w:rsidRPr="008A4B91">
        <w:rPr>
          <w:rFonts w:ascii="仿宋_GB2312" w:eastAsia="仿宋_GB2312" w:hint="eastAsia"/>
          <w:color w:val="000000" w:themeColor="text1"/>
          <w:sz w:val="32"/>
          <w:szCs w:val="32"/>
        </w:rPr>
        <w:t>《DB31/T 1340—2021  慢性肾脏病早期筛查规范》《DB44/T 2575—2024  特发性膜性肾病中医证候诊断规范》《T/CARD 063—2025  残疾人排尿障碍肾损伤预防与康复指南》《T/CADERM 3047—2022  结石性肾绞痛中西医结合诊疗要求》《T/CNAS 26—2023  连续性肾脏替代治疗的护理》《SC/T 7245-2025  细菌性肾病诊断方法》《挤压综合征急性肾损伤诊治的专家共识》《急性肾损伤诊断与分类专家共识》《&lt;第28届急性疾病质量倡议工作组共识报告：脓毒症相关急性肾损伤&gt;解读》《中国急性肾损伤临床实践指南》《改善全球肾脏病预后组织(KDIGO)临床实践指南：急性肾损伤》《KDIGO急性肾损伤临床实践指南》</w:t>
      </w:r>
      <w:r w:rsidR="008A4B91">
        <w:rPr>
          <w:rFonts w:ascii="仿宋_GB2312" w:eastAsia="仿宋_GB2312" w:hint="eastAsia"/>
          <w:color w:val="000000" w:themeColor="text1"/>
          <w:sz w:val="32"/>
          <w:szCs w:val="32"/>
        </w:rPr>
        <w:t>。</w:t>
      </w:r>
    </w:p>
    <w:p w14:paraId="1F580278" w14:textId="77777777" w:rsidR="00D634F2" w:rsidRDefault="008854C0">
      <w:pPr>
        <w:spacing w:line="560" w:lineRule="exact"/>
        <w:ind w:firstLineChars="200" w:firstLine="643"/>
        <w:rPr>
          <w:rFonts w:ascii="楷体" w:eastAsia="楷体" w:hAnsi="楷体" w:cs="楷体"/>
          <w:b/>
          <w:color w:val="000000" w:themeColor="text1"/>
          <w:sz w:val="32"/>
          <w:szCs w:val="32"/>
        </w:rPr>
      </w:pPr>
      <w:r>
        <w:rPr>
          <w:rFonts w:ascii="楷体" w:eastAsia="楷体" w:hAnsi="楷体" w:cs="楷体" w:hint="eastAsia"/>
          <w:b/>
          <w:color w:val="000000" w:themeColor="text1"/>
          <w:sz w:val="32"/>
          <w:szCs w:val="32"/>
        </w:rPr>
        <w:t>（三）研讨确定标准特色</w:t>
      </w:r>
      <w:r>
        <w:rPr>
          <w:rFonts w:ascii="楷体" w:eastAsia="楷体" w:hAnsi="楷体" w:cs="楷体"/>
          <w:b/>
          <w:color w:val="000000" w:themeColor="text1"/>
          <w:sz w:val="32"/>
          <w:szCs w:val="32"/>
        </w:rPr>
        <w:t>、</w:t>
      </w:r>
      <w:r>
        <w:rPr>
          <w:rFonts w:ascii="楷体" w:eastAsia="楷体" w:hAnsi="楷体" w:cs="楷体" w:hint="eastAsia"/>
          <w:b/>
          <w:color w:val="000000" w:themeColor="text1"/>
          <w:sz w:val="32"/>
          <w:szCs w:val="32"/>
        </w:rPr>
        <w:t>创新点和主体内容</w:t>
      </w:r>
    </w:p>
    <w:p w14:paraId="0E636C72" w14:textId="77777777" w:rsidR="00D634F2" w:rsidRDefault="008854C0">
      <w:pPr>
        <w:pStyle w:val="affa"/>
        <w:rPr>
          <w:rFonts w:ascii="仿宋_GB2312" w:eastAsia="仿宋_GB2312" w:hAnsi="Calibri"/>
          <w:color w:val="000000" w:themeColor="text1"/>
        </w:rPr>
      </w:pPr>
      <w:r>
        <w:rPr>
          <w:rFonts w:ascii="仿宋_GB2312" w:eastAsia="仿宋_GB2312" w:hAnsi="Calibri" w:hint="eastAsia"/>
          <w:color w:val="000000" w:themeColor="text1"/>
        </w:rPr>
        <w:t>标准编制工作组在对收集的资料进行整理研究之后，标准编制工作组召开了标准编制会议，对标准的整体框架结构进行了研究，并对标准的关键性内容进行了初步探讨。经过研究，标准特色、创新点和主体内容如下</w:t>
      </w:r>
      <w:r>
        <w:rPr>
          <w:rFonts w:ascii="仿宋_GB2312" w:eastAsia="仿宋_GB2312" w:hAnsi="Calibri"/>
          <w:color w:val="000000" w:themeColor="text1"/>
        </w:rPr>
        <w:t>：</w:t>
      </w:r>
    </w:p>
    <w:p w14:paraId="17440365" w14:textId="4E2D1843" w:rsidR="00D634F2" w:rsidRPr="007B1EA3" w:rsidRDefault="008854C0">
      <w:pPr>
        <w:pStyle w:val="affa"/>
        <w:rPr>
          <w:rFonts w:ascii="仿宋_GB2312" w:eastAsia="仿宋_GB2312" w:hAnsi="Calibri"/>
          <w:color w:val="000000" w:themeColor="text1"/>
        </w:rPr>
      </w:pPr>
      <w:r w:rsidRPr="007B1EA3">
        <w:rPr>
          <w:rFonts w:ascii="仿宋_GB2312" w:eastAsia="仿宋_GB2312" w:hAnsi="Calibri"/>
          <w:color w:val="000000" w:themeColor="text1"/>
        </w:rPr>
        <w:lastRenderedPageBreak/>
        <w:t>1.</w:t>
      </w:r>
      <w:r w:rsidRPr="007B1EA3">
        <w:rPr>
          <w:rFonts w:ascii="仿宋_GB2312" w:eastAsia="仿宋_GB2312" w:hAnsi="Calibri" w:hint="eastAsia"/>
          <w:color w:val="000000" w:themeColor="text1"/>
        </w:rPr>
        <w:t>特色</w:t>
      </w:r>
      <w:r w:rsidR="00194640">
        <w:rPr>
          <w:rFonts w:ascii="仿宋_GB2312" w:eastAsia="仿宋_GB2312" w:hAnsi="Calibri" w:hint="eastAsia"/>
          <w:color w:val="000000" w:themeColor="text1"/>
        </w:rPr>
        <w:t>、</w:t>
      </w:r>
      <w:r w:rsidR="00194640">
        <w:rPr>
          <w:rFonts w:ascii="仿宋_GB2312" w:eastAsia="仿宋_GB2312" w:hAnsi="Calibri"/>
          <w:color w:val="000000" w:themeColor="text1"/>
        </w:rPr>
        <w:t>创新点</w:t>
      </w:r>
    </w:p>
    <w:p w14:paraId="2742F317" w14:textId="7109D3BE" w:rsidR="00D634F2" w:rsidRPr="00B8532C" w:rsidRDefault="00194640">
      <w:pPr>
        <w:pStyle w:val="affa"/>
        <w:rPr>
          <w:rFonts w:ascii="仿宋_GB2312" w:eastAsia="仿宋_GB2312" w:hAnsi="Calibri"/>
          <w:color w:val="000000" w:themeColor="text1"/>
          <w:highlight w:val="yellow"/>
        </w:rPr>
      </w:pPr>
      <w:r w:rsidRPr="00194640">
        <w:rPr>
          <w:rFonts w:ascii="仿宋_GB2312" w:eastAsia="仿宋_GB2312" w:hAnsi="Calibri" w:hint="eastAsia"/>
          <w:color w:val="000000" w:themeColor="text1"/>
        </w:rPr>
        <w:t>针对药物相关性AKI存在不同科室、甚至社区基层医院发病率较高，但容易漏诊、误诊及延误治疗的棘手问题制定标准规范，解决了药物相关性AKI的早期识别、规范化诊断、早期处理策略制定等问题。亮点技术在于早期识别诊断流程、细化药物分类、预警识别、及时有针对性的处理措施。兼顾解决“是什么”和“为什么”“如何做”，建立统一技术标准，将内容转化为可量化、可监控、可落地的临床行动指导标准。①“是什么”：提出药物相关性AKI诊断；重要药物病因分类、慢性化转变等不良预后的概念。②“为什么”：药物相关AKI早期不易识别，部分慢性化转变，早期预警及精准防治可以提高预后。按药物病因分类及药物相关性AKI特点来全程管理的必要性。③“如何做”：如何早期预警、及时识别，药物病因分类诊断遵循规范化流程，辅助决策策略、专科救治建议、针对性治疗措施，全程随访管理方案等</w:t>
      </w:r>
      <w:r w:rsidR="008854C0" w:rsidRPr="007B1EA3">
        <w:rPr>
          <w:rFonts w:ascii="仿宋_GB2312" w:eastAsia="仿宋_GB2312" w:hAnsi="Calibri" w:hint="eastAsia"/>
          <w:color w:val="000000" w:themeColor="text1"/>
        </w:rPr>
        <w:t>。</w:t>
      </w:r>
    </w:p>
    <w:p w14:paraId="66C33575" w14:textId="25F79194" w:rsidR="00D634F2" w:rsidRDefault="00B8532C">
      <w:pPr>
        <w:pStyle w:val="affa"/>
        <w:rPr>
          <w:rFonts w:ascii="仿宋_GB2312" w:eastAsia="仿宋_GB2312" w:hAnsi="Calibri"/>
          <w:color w:val="000000" w:themeColor="text1"/>
        </w:rPr>
      </w:pPr>
      <w:r>
        <w:rPr>
          <w:rFonts w:ascii="仿宋_GB2312" w:eastAsia="仿宋_GB2312" w:hAnsi="Calibri"/>
          <w:color w:val="000000" w:themeColor="text1"/>
        </w:rPr>
        <w:t>3</w:t>
      </w:r>
      <w:r w:rsidR="008854C0">
        <w:rPr>
          <w:rFonts w:ascii="仿宋_GB2312" w:eastAsia="仿宋_GB2312" w:hAnsi="Calibri"/>
          <w:color w:val="000000" w:themeColor="text1"/>
        </w:rPr>
        <w:t>.</w:t>
      </w:r>
      <w:r w:rsidR="008854C0">
        <w:rPr>
          <w:rFonts w:ascii="仿宋_GB2312" w:eastAsia="仿宋_GB2312" w:hAnsi="Calibri" w:hint="eastAsia"/>
          <w:color w:val="000000" w:themeColor="text1"/>
        </w:rPr>
        <w:t>主体内容</w:t>
      </w:r>
    </w:p>
    <w:p w14:paraId="69E6B1F4" w14:textId="1D538DE7" w:rsidR="00D634F2" w:rsidRDefault="008854C0">
      <w:pPr>
        <w:pStyle w:val="affa"/>
        <w:rPr>
          <w:rFonts w:ascii="仿宋_GB2312" w:eastAsia="仿宋_GB2312" w:hAnsi="Calibri"/>
          <w:color w:val="000000" w:themeColor="text1"/>
        </w:rPr>
      </w:pPr>
      <w:r>
        <w:rPr>
          <w:rFonts w:ascii="仿宋_GB2312" w:eastAsia="仿宋_GB2312" w:hAnsi="Calibri" w:hint="eastAsia"/>
          <w:color w:val="000000" w:themeColor="text1"/>
        </w:rPr>
        <w:t>主体内容包括</w:t>
      </w:r>
      <w:r w:rsidR="00194640" w:rsidRPr="00194640">
        <w:rPr>
          <w:rFonts w:ascii="仿宋_GB2312" w:eastAsia="仿宋_GB2312" w:hAnsi="Calibri" w:hint="eastAsia"/>
          <w:color w:val="000000" w:themeColor="text1"/>
        </w:rPr>
        <w:t>界定了抗肿瘤药物急性肾损伤早期诊疗涉及的</w:t>
      </w:r>
      <w:r w:rsidR="00365DD5" w:rsidRPr="00365DD5">
        <w:rPr>
          <w:rFonts w:ascii="仿宋_GB2312" w:eastAsia="仿宋_GB2312" w:hAnsi="Calibri" w:hint="eastAsia"/>
          <w:color w:val="000000" w:themeColor="text1"/>
        </w:rPr>
        <w:t>术语和</w:t>
      </w:r>
      <w:r w:rsidR="00365DD5" w:rsidRPr="00365DD5">
        <w:rPr>
          <w:rFonts w:ascii="仿宋_GB2312" w:eastAsia="仿宋_GB2312" w:hAnsi="Calibri"/>
          <w:color w:val="000000" w:themeColor="text1"/>
        </w:rPr>
        <w:t>定义</w:t>
      </w:r>
      <w:r w:rsidR="00365DD5" w:rsidRPr="00365DD5">
        <w:rPr>
          <w:rFonts w:ascii="仿宋_GB2312" w:eastAsia="仿宋_GB2312" w:hAnsi="Calibri" w:hint="eastAsia"/>
          <w:color w:val="000000" w:themeColor="text1"/>
        </w:rPr>
        <w:t>、缩略语、</w:t>
      </w:r>
      <w:r w:rsidR="00365DD5" w:rsidRPr="00365DD5">
        <w:rPr>
          <w:rFonts w:ascii="仿宋_GB2312" w:eastAsia="仿宋_GB2312" w:hAnsi="Calibri"/>
          <w:color w:val="000000" w:themeColor="text1"/>
        </w:rPr>
        <w:t>诊断与</w:t>
      </w:r>
      <w:r w:rsidR="00365DD5" w:rsidRPr="00365DD5">
        <w:rPr>
          <w:rFonts w:ascii="仿宋_GB2312" w:eastAsia="仿宋_GB2312" w:hAnsi="Calibri" w:hint="eastAsia"/>
          <w:color w:val="000000" w:themeColor="text1"/>
        </w:rPr>
        <w:t>监测</w:t>
      </w:r>
      <w:r w:rsidR="00365DD5" w:rsidRPr="00365DD5">
        <w:rPr>
          <w:rFonts w:ascii="仿宋_GB2312" w:eastAsia="仿宋_GB2312" w:hAnsi="Calibri"/>
          <w:color w:val="000000" w:themeColor="text1"/>
        </w:rPr>
        <w:t>、治疗和日常调护</w:t>
      </w:r>
      <w:r w:rsidR="00194640" w:rsidRPr="00194640">
        <w:rPr>
          <w:rFonts w:ascii="仿宋_GB2312" w:eastAsia="仿宋_GB2312" w:hAnsi="Calibri" w:hint="eastAsia"/>
          <w:color w:val="000000" w:themeColor="text1"/>
        </w:rPr>
        <w:t>的要求</w:t>
      </w:r>
      <w:r>
        <w:rPr>
          <w:rFonts w:ascii="仿宋_GB2312" w:eastAsia="仿宋_GB2312" w:hAnsi="Calibri" w:hint="eastAsia"/>
          <w:color w:val="000000" w:themeColor="text1"/>
        </w:rPr>
        <w:t>。</w:t>
      </w:r>
    </w:p>
    <w:p w14:paraId="5245BF6C" w14:textId="7743390B" w:rsidR="00D634F2" w:rsidRDefault="008854C0">
      <w:pPr>
        <w:spacing w:line="560" w:lineRule="exact"/>
        <w:ind w:firstLineChars="200" w:firstLine="643"/>
        <w:rPr>
          <w:rFonts w:ascii="楷体" w:eastAsia="楷体" w:hAnsi="楷体" w:cs="楷体"/>
          <w:b/>
          <w:color w:val="000000" w:themeColor="text1"/>
          <w:sz w:val="32"/>
          <w:szCs w:val="32"/>
        </w:rPr>
      </w:pPr>
      <w:r>
        <w:rPr>
          <w:rFonts w:ascii="楷体" w:eastAsia="楷体" w:hAnsi="楷体" w:cs="楷体" w:hint="eastAsia"/>
          <w:b/>
          <w:color w:val="000000" w:themeColor="text1"/>
          <w:sz w:val="32"/>
          <w:szCs w:val="32"/>
        </w:rPr>
        <w:t>（四）调研及形成草案、征求意见稿</w:t>
      </w:r>
    </w:p>
    <w:p w14:paraId="58CD6DA5" w14:textId="7E8141DA" w:rsidR="00D634F2" w:rsidRPr="000C6800" w:rsidRDefault="000C6800">
      <w:pPr>
        <w:spacing w:line="520" w:lineRule="exact"/>
        <w:ind w:firstLineChars="200" w:firstLine="640"/>
        <w:rPr>
          <w:rFonts w:ascii="仿宋_GB2312" w:eastAsia="仿宋_GB2312"/>
          <w:color w:val="000000" w:themeColor="text1"/>
          <w:sz w:val="32"/>
          <w:szCs w:val="32"/>
        </w:rPr>
      </w:pPr>
      <w:r w:rsidRPr="000C6800">
        <w:rPr>
          <w:rFonts w:ascii="仿宋_GB2312" w:eastAsia="仿宋_GB2312" w:hint="eastAsia"/>
          <w:color w:val="000000" w:themeColor="text1"/>
          <w:sz w:val="32"/>
          <w:szCs w:val="32"/>
        </w:rPr>
        <w:t>202</w:t>
      </w:r>
      <w:r w:rsidRPr="000C6800">
        <w:rPr>
          <w:rFonts w:ascii="仿宋_GB2312" w:eastAsia="仿宋_GB2312"/>
          <w:color w:val="000000" w:themeColor="text1"/>
          <w:sz w:val="32"/>
          <w:szCs w:val="32"/>
        </w:rPr>
        <w:t>5</w:t>
      </w:r>
      <w:r w:rsidRPr="000C6800">
        <w:rPr>
          <w:rFonts w:ascii="仿宋_GB2312" w:eastAsia="仿宋_GB2312" w:hint="eastAsia"/>
          <w:color w:val="000000" w:themeColor="text1"/>
          <w:sz w:val="32"/>
          <w:szCs w:val="32"/>
        </w:rPr>
        <w:t>年</w:t>
      </w:r>
      <w:r w:rsidR="001535F0">
        <w:rPr>
          <w:rFonts w:ascii="仿宋_GB2312" w:eastAsia="仿宋_GB2312"/>
          <w:color w:val="000000" w:themeColor="text1"/>
          <w:sz w:val="32"/>
          <w:szCs w:val="32"/>
        </w:rPr>
        <w:t>12</w:t>
      </w:r>
      <w:r w:rsidRPr="000C6800">
        <w:rPr>
          <w:rFonts w:ascii="仿宋_GB2312" w:eastAsia="仿宋_GB2312" w:hint="eastAsia"/>
          <w:color w:val="000000" w:themeColor="text1"/>
          <w:sz w:val="32"/>
          <w:szCs w:val="32"/>
        </w:rPr>
        <w:t>月，</w:t>
      </w:r>
      <w:r w:rsidR="008854C0" w:rsidRPr="000C6800">
        <w:rPr>
          <w:rFonts w:ascii="仿宋_GB2312" w:eastAsia="仿宋_GB2312" w:hint="eastAsia"/>
          <w:color w:val="000000" w:themeColor="text1"/>
          <w:sz w:val="32"/>
          <w:szCs w:val="32"/>
        </w:rPr>
        <w:t>标准编制工作组查阅了大量的国内文献资料，经编制组反复讨论，对</w:t>
      </w:r>
      <w:r w:rsidR="00194640">
        <w:rPr>
          <w:rFonts w:ascii="仿宋_GB2312" w:eastAsia="仿宋_GB2312" w:hint="eastAsia"/>
          <w:color w:val="000000" w:themeColor="text1"/>
          <w:sz w:val="32"/>
          <w:szCs w:val="32"/>
        </w:rPr>
        <w:t>抗肿瘤药物急性肾损伤早期诊疗</w:t>
      </w:r>
      <w:r w:rsidR="008854C0" w:rsidRPr="000C6800">
        <w:rPr>
          <w:rFonts w:ascii="仿宋_GB2312" w:eastAsia="仿宋_GB2312" w:hint="eastAsia"/>
          <w:color w:val="000000" w:themeColor="text1"/>
          <w:sz w:val="32"/>
          <w:szCs w:val="32"/>
        </w:rPr>
        <w:t>的实践情况进行系统总结，形成了标准的基本构架，对主要内容进行了讨论并对项目的工作进行了部署和安排。</w:t>
      </w:r>
    </w:p>
    <w:p w14:paraId="5BF443DB" w14:textId="12C414F3" w:rsidR="00D634F2" w:rsidRPr="000C6800" w:rsidRDefault="000C6800">
      <w:pPr>
        <w:spacing w:line="520" w:lineRule="exact"/>
        <w:ind w:firstLineChars="200" w:firstLine="640"/>
        <w:rPr>
          <w:rFonts w:ascii="仿宋_GB2312" w:eastAsia="仿宋_GB2312"/>
          <w:color w:val="000000" w:themeColor="text1"/>
          <w:sz w:val="32"/>
          <w:szCs w:val="32"/>
        </w:rPr>
      </w:pPr>
      <w:r w:rsidRPr="000C6800">
        <w:rPr>
          <w:rFonts w:ascii="仿宋_GB2312" w:eastAsia="仿宋_GB2312" w:hint="eastAsia"/>
          <w:color w:val="000000" w:themeColor="text1"/>
          <w:sz w:val="32"/>
          <w:szCs w:val="32"/>
        </w:rPr>
        <w:t>202</w:t>
      </w:r>
      <w:r w:rsidR="001535F0">
        <w:rPr>
          <w:rFonts w:ascii="仿宋_GB2312" w:eastAsia="仿宋_GB2312"/>
          <w:color w:val="000000" w:themeColor="text1"/>
          <w:sz w:val="32"/>
          <w:szCs w:val="32"/>
        </w:rPr>
        <w:t>6</w:t>
      </w:r>
      <w:r w:rsidRPr="000C6800">
        <w:rPr>
          <w:rFonts w:ascii="仿宋_GB2312" w:eastAsia="仿宋_GB2312" w:hint="eastAsia"/>
          <w:color w:val="000000" w:themeColor="text1"/>
          <w:sz w:val="32"/>
          <w:szCs w:val="32"/>
        </w:rPr>
        <w:t>年</w:t>
      </w:r>
      <w:r w:rsidR="001535F0">
        <w:rPr>
          <w:rFonts w:ascii="仿宋_GB2312" w:eastAsia="仿宋_GB2312"/>
          <w:color w:val="000000" w:themeColor="text1"/>
          <w:sz w:val="32"/>
          <w:szCs w:val="32"/>
        </w:rPr>
        <w:t>1</w:t>
      </w:r>
      <w:r w:rsidRPr="000C6800">
        <w:rPr>
          <w:rFonts w:ascii="仿宋_GB2312" w:eastAsia="仿宋_GB2312" w:hint="eastAsia"/>
          <w:color w:val="000000" w:themeColor="text1"/>
          <w:sz w:val="32"/>
          <w:szCs w:val="32"/>
        </w:rPr>
        <w:t>月～</w:t>
      </w:r>
      <w:r w:rsidR="001535F0">
        <w:rPr>
          <w:rFonts w:ascii="仿宋_GB2312" w:eastAsia="仿宋_GB2312"/>
          <w:color w:val="000000" w:themeColor="text1"/>
          <w:sz w:val="32"/>
          <w:szCs w:val="32"/>
        </w:rPr>
        <w:t>2</w:t>
      </w:r>
      <w:r w:rsidRPr="000C6800">
        <w:rPr>
          <w:rFonts w:ascii="仿宋_GB2312" w:eastAsia="仿宋_GB2312" w:hint="eastAsia"/>
          <w:color w:val="000000" w:themeColor="text1"/>
          <w:sz w:val="32"/>
          <w:szCs w:val="32"/>
        </w:rPr>
        <w:t>月，</w:t>
      </w:r>
      <w:r w:rsidR="008854C0" w:rsidRPr="000C6800">
        <w:rPr>
          <w:rFonts w:ascii="仿宋_GB2312" w:eastAsia="仿宋_GB2312" w:hint="eastAsia"/>
          <w:color w:val="000000" w:themeColor="text1"/>
          <w:sz w:val="32"/>
          <w:szCs w:val="32"/>
        </w:rPr>
        <w:t>在前期工作的基础之上，通过理清逻辑脉络，整合已有参考资料中有关</w:t>
      </w:r>
      <w:r w:rsidR="00194640">
        <w:rPr>
          <w:rFonts w:ascii="仿宋_GB2312" w:eastAsia="仿宋_GB2312" w:hint="eastAsia"/>
          <w:color w:val="000000" w:themeColor="text1"/>
          <w:sz w:val="32"/>
          <w:szCs w:val="32"/>
        </w:rPr>
        <w:t>抗肿瘤药物急性肾损伤早期诊疗</w:t>
      </w:r>
      <w:r w:rsidR="008854C0" w:rsidRPr="000C6800">
        <w:rPr>
          <w:rFonts w:ascii="仿宋_GB2312" w:eastAsia="仿宋_GB2312" w:hint="eastAsia"/>
          <w:color w:val="000000" w:themeColor="text1"/>
          <w:sz w:val="32"/>
          <w:szCs w:val="32"/>
        </w:rPr>
        <w:t>的要求，并在目前</w:t>
      </w:r>
      <w:r w:rsidR="00194640">
        <w:rPr>
          <w:rFonts w:ascii="仿宋_GB2312" w:eastAsia="仿宋_GB2312" w:hint="eastAsia"/>
          <w:color w:val="000000" w:themeColor="text1"/>
          <w:sz w:val="32"/>
          <w:szCs w:val="32"/>
        </w:rPr>
        <w:t>抗肿瘤药物急性肾损伤早期诊疗</w:t>
      </w:r>
      <w:r w:rsidR="008854C0" w:rsidRPr="000C6800">
        <w:rPr>
          <w:rFonts w:ascii="仿宋_GB2312" w:eastAsia="仿宋_GB2312" w:hint="eastAsia"/>
          <w:color w:val="000000" w:themeColor="text1"/>
          <w:sz w:val="32"/>
          <w:szCs w:val="32"/>
        </w:rPr>
        <w:t>实际操作的基础上，按照简化、统一等原则编制完成团体标准《</w:t>
      </w:r>
      <w:r w:rsidR="002D60AF">
        <w:rPr>
          <w:rFonts w:ascii="仿宋_GB2312" w:eastAsia="仿宋_GB2312" w:hint="eastAsia"/>
          <w:color w:val="000000" w:themeColor="text1"/>
          <w:sz w:val="32"/>
          <w:szCs w:val="32"/>
        </w:rPr>
        <w:t>抗肿瘤药物急</w:t>
      </w:r>
      <w:r w:rsidR="002D60AF">
        <w:rPr>
          <w:rFonts w:ascii="仿宋_GB2312" w:eastAsia="仿宋_GB2312" w:hint="eastAsia"/>
          <w:color w:val="000000" w:themeColor="text1"/>
          <w:sz w:val="32"/>
          <w:szCs w:val="32"/>
        </w:rPr>
        <w:lastRenderedPageBreak/>
        <w:t>性肾损伤早期诊疗规范</w:t>
      </w:r>
      <w:r w:rsidR="008854C0" w:rsidRPr="000C6800">
        <w:rPr>
          <w:rFonts w:ascii="仿宋_GB2312" w:eastAsia="仿宋_GB2312" w:hint="eastAsia"/>
          <w:color w:val="000000" w:themeColor="text1"/>
          <w:sz w:val="32"/>
          <w:szCs w:val="32"/>
        </w:rPr>
        <w:t>》（草案）。</w:t>
      </w:r>
    </w:p>
    <w:p w14:paraId="44DC1E7F" w14:textId="53AD8367" w:rsidR="00D634F2" w:rsidRDefault="000C6800">
      <w:pPr>
        <w:spacing w:line="520" w:lineRule="exact"/>
        <w:ind w:firstLineChars="200" w:firstLine="640"/>
        <w:rPr>
          <w:rFonts w:ascii="仿宋_GB2312" w:eastAsia="仿宋_GB2312"/>
          <w:color w:val="000000" w:themeColor="text1"/>
          <w:sz w:val="32"/>
          <w:szCs w:val="32"/>
        </w:rPr>
      </w:pPr>
      <w:r w:rsidRPr="000C6800">
        <w:rPr>
          <w:rFonts w:ascii="仿宋_GB2312" w:eastAsia="仿宋_GB2312" w:hint="eastAsia"/>
          <w:color w:val="000000" w:themeColor="text1"/>
          <w:sz w:val="32"/>
          <w:szCs w:val="32"/>
        </w:rPr>
        <w:t>202</w:t>
      </w:r>
      <w:r w:rsidR="001535F0">
        <w:rPr>
          <w:rFonts w:ascii="仿宋_GB2312" w:eastAsia="仿宋_GB2312"/>
          <w:color w:val="000000" w:themeColor="text1"/>
          <w:sz w:val="32"/>
          <w:szCs w:val="32"/>
        </w:rPr>
        <w:t>6</w:t>
      </w:r>
      <w:r w:rsidRPr="000C6800">
        <w:rPr>
          <w:rFonts w:ascii="仿宋_GB2312" w:eastAsia="仿宋_GB2312" w:hint="eastAsia"/>
          <w:color w:val="000000" w:themeColor="text1"/>
          <w:sz w:val="32"/>
          <w:szCs w:val="32"/>
        </w:rPr>
        <w:t>年</w:t>
      </w:r>
      <w:r w:rsidR="001535F0">
        <w:rPr>
          <w:rFonts w:ascii="仿宋_GB2312" w:eastAsia="仿宋_GB2312"/>
          <w:color w:val="000000" w:themeColor="text1"/>
          <w:sz w:val="32"/>
          <w:szCs w:val="32"/>
        </w:rPr>
        <w:t>3</w:t>
      </w:r>
      <w:r w:rsidRPr="000C6800">
        <w:rPr>
          <w:rFonts w:ascii="仿宋_GB2312" w:eastAsia="仿宋_GB2312" w:hint="eastAsia"/>
          <w:color w:val="000000" w:themeColor="text1"/>
          <w:sz w:val="32"/>
          <w:szCs w:val="32"/>
        </w:rPr>
        <w:t>月，</w:t>
      </w:r>
      <w:r w:rsidR="008854C0">
        <w:rPr>
          <w:rFonts w:ascii="仿宋_GB2312" w:eastAsia="仿宋_GB2312" w:hint="eastAsia"/>
          <w:color w:val="000000" w:themeColor="text1"/>
          <w:sz w:val="32"/>
          <w:szCs w:val="32"/>
        </w:rPr>
        <w:t>标准编制工作组征求</w:t>
      </w:r>
      <w:r w:rsidR="008854C0">
        <w:rPr>
          <w:rFonts w:ascii="仿宋_GB2312" w:eastAsia="仿宋_GB2312"/>
          <w:color w:val="000000" w:themeColor="text1"/>
          <w:sz w:val="32"/>
          <w:szCs w:val="32"/>
        </w:rPr>
        <w:t>到</w:t>
      </w:r>
      <w:r w:rsidR="008854C0" w:rsidRPr="001535F0">
        <w:rPr>
          <w:rFonts w:ascii="仿宋_GB2312" w:eastAsia="仿宋_GB2312"/>
          <w:color w:val="000000" w:themeColor="text1"/>
          <w:sz w:val="32"/>
          <w:szCs w:val="32"/>
        </w:rPr>
        <w:t>了</w:t>
      </w:r>
      <w:r w:rsidR="00A109E4" w:rsidRPr="001535F0">
        <w:rPr>
          <w:rFonts w:ascii="仿宋_GB2312" w:eastAsia="仿宋_GB2312" w:hint="eastAsia"/>
          <w:color w:val="000000" w:themeColor="text1"/>
          <w:sz w:val="32"/>
          <w:szCs w:val="32"/>
        </w:rPr>
        <w:t>广西医科大学第一附属医院、广西医科大学第二附属医院、南宁市第二人民医院、柳州市工人医院、玉林市第一人民医院、河池市人民医院、贵港市人民医院</w:t>
      </w:r>
      <w:r w:rsidR="008854C0" w:rsidRPr="001535F0">
        <w:rPr>
          <w:rFonts w:ascii="仿宋_GB2312" w:eastAsia="仿宋_GB2312" w:hint="eastAsia"/>
          <w:color w:val="000000" w:themeColor="text1"/>
          <w:sz w:val="32"/>
          <w:szCs w:val="32"/>
        </w:rPr>
        <w:t>等单位的内部意见，通过收集反馈的意见，标准编制工作组多次召开会议，对标准草案进行了反复修改和研究讨论，明确</w:t>
      </w:r>
      <w:r w:rsidR="00194640" w:rsidRPr="001535F0">
        <w:rPr>
          <w:rFonts w:ascii="仿宋_GB2312" w:eastAsia="仿宋_GB2312" w:hint="eastAsia"/>
          <w:color w:val="000000" w:themeColor="text1"/>
          <w:sz w:val="32"/>
          <w:szCs w:val="32"/>
        </w:rPr>
        <w:t>抗肿瘤药物急性肾损伤早期诊疗</w:t>
      </w:r>
      <w:r w:rsidR="008854C0" w:rsidRPr="001535F0">
        <w:rPr>
          <w:rFonts w:ascii="仿宋_GB2312" w:eastAsia="仿宋_GB2312" w:hint="eastAsia"/>
          <w:color w:val="000000" w:themeColor="text1"/>
          <w:sz w:val="32"/>
          <w:szCs w:val="32"/>
        </w:rPr>
        <w:t>的要点，掌握了</w:t>
      </w:r>
      <w:r w:rsidR="00194640" w:rsidRPr="001535F0">
        <w:rPr>
          <w:rFonts w:ascii="仿宋_GB2312" w:eastAsia="仿宋_GB2312" w:hint="eastAsia"/>
          <w:color w:val="000000" w:themeColor="text1"/>
          <w:sz w:val="32"/>
          <w:szCs w:val="32"/>
        </w:rPr>
        <w:t>抗肿瘤药物急性肾损伤早期诊疗</w:t>
      </w:r>
      <w:r w:rsidR="008854C0" w:rsidRPr="001535F0">
        <w:rPr>
          <w:rFonts w:ascii="仿宋_GB2312" w:eastAsia="仿宋_GB2312" w:hint="eastAsia"/>
          <w:color w:val="000000" w:themeColor="text1"/>
          <w:sz w:val="32"/>
          <w:szCs w:val="32"/>
        </w:rPr>
        <w:t>的基本情况以及要求，最终形成了</w:t>
      </w:r>
      <w:bookmarkStart w:id="0" w:name="_Hlk120181503"/>
      <w:r w:rsidR="008854C0" w:rsidRPr="001535F0">
        <w:rPr>
          <w:rFonts w:ascii="仿宋_GB2312" w:eastAsia="仿宋_GB2312" w:hint="eastAsia"/>
          <w:color w:val="000000" w:themeColor="text1"/>
          <w:sz w:val="32"/>
          <w:szCs w:val="32"/>
        </w:rPr>
        <w:t>团体标准《</w:t>
      </w:r>
      <w:r w:rsidR="002D60AF" w:rsidRPr="001535F0">
        <w:rPr>
          <w:rFonts w:ascii="仿宋_GB2312" w:eastAsia="仿宋_GB2312" w:hint="eastAsia"/>
          <w:color w:val="000000" w:themeColor="text1"/>
          <w:sz w:val="32"/>
          <w:szCs w:val="32"/>
        </w:rPr>
        <w:t>抗肿瘤药物急性肾损伤早期诊疗规范</w:t>
      </w:r>
      <w:r w:rsidR="008854C0" w:rsidRPr="001535F0">
        <w:rPr>
          <w:rFonts w:ascii="仿宋_GB2312" w:eastAsia="仿宋_GB2312" w:hint="eastAsia"/>
          <w:color w:val="000000" w:themeColor="text1"/>
          <w:sz w:val="32"/>
          <w:szCs w:val="32"/>
        </w:rPr>
        <w:t>》（征求意见稿）及其编制说明。</w:t>
      </w:r>
      <w:bookmarkEnd w:id="0"/>
    </w:p>
    <w:p w14:paraId="2596D9F6" w14:textId="77777777" w:rsidR="00D634F2" w:rsidRDefault="008854C0">
      <w:pPr>
        <w:autoSpaceDE w:val="0"/>
        <w:autoSpaceDN w:val="0"/>
        <w:adjustRightInd w:val="0"/>
        <w:spacing w:beforeLines="50" w:before="120" w:afterLines="50" w:after="120"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四、制定标准的原则和依据，与现行法律、法规的关系，与有关国家标准、行业标准的协调情况</w:t>
      </w:r>
    </w:p>
    <w:p w14:paraId="273473A2"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（一）编制原则</w:t>
      </w:r>
    </w:p>
    <w:p w14:paraId="2244C959" w14:textId="77777777" w:rsidR="00D634F2" w:rsidRDefault="008854C0">
      <w:pPr>
        <w:spacing w:line="560" w:lineRule="exact"/>
        <w:ind w:firstLineChars="200" w:firstLine="643"/>
        <w:rPr>
          <w:rFonts w:ascii="仿宋_GB2312" w:eastAsia="仿宋_GB2312" w:hAnsi="楷体" w:cs="Times New Roman"/>
          <w:b/>
          <w:color w:val="000000" w:themeColor="text1"/>
          <w:sz w:val="32"/>
          <w:szCs w:val="32"/>
        </w:rPr>
      </w:pPr>
      <w:r>
        <w:rPr>
          <w:rFonts w:ascii="仿宋_GB2312" w:eastAsia="仿宋_GB2312" w:hAnsi="楷体" w:cs="Times New Roman" w:hint="eastAsia"/>
          <w:b/>
          <w:color w:val="000000" w:themeColor="text1"/>
          <w:sz w:val="32"/>
          <w:szCs w:val="32"/>
        </w:rPr>
        <w:t>1、实用性原则</w:t>
      </w:r>
    </w:p>
    <w:p w14:paraId="43ED175A" w14:textId="42EBF349"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本标准是在充分收集国内外相关资料和文献、调研分析</w:t>
      </w:r>
      <w:r w:rsidR="00194640">
        <w:rPr>
          <w:rFonts w:ascii="仿宋_GB2312" w:eastAsia="仿宋_GB2312" w:hint="eastAsia"/>
          <w:color w:val="000000" w:themeColor="text1"/>
          <w:sz w:val="32"/>
          <w:szCs w:val="32"/>
        </w:rPr>
        <w:t>抗肿瘤药物急性肾损伤早期诊疗</w:t>
      </w:r>
      <w:r>
        <w:rPr>
          <w:rFonts w:ascii="仿宋_GB2312" w:eastAsia="仿宋_GB2312" w:hint="eastAsia"/>
          <w:color w:val="000000" w:themeColor="text1"/>
          <w:sz w:val="32"/>
          <w:szCs w:val="32"/>
        </w:rPr>
        <w:t>现状，结合</w:t>
      </w:r>
      <w:r w:rsidR="00A109E4">
        <w:rPr>
          <w:rFonts w:ascii="仿宋_GB2312" w:eastAsia="仿宋_GB2312" w:hint="eastAsia"/>
          <w:color w:val="000000" w:themeColor="text1"/>
          <w:sz w:val="32"/>
          <w:szCs w:val="32"/>
        </w:rPr>
        <w:t>广西医科大学第一附属医院、广西医科大学第二附属医院、南宁市第二人民医院、柳州市工人医院、玉林市第一人民医院、河池市人民医院、贵港市人民医院</w:t>
      </w:r>
      <w:r>
        <w:rPr>
          <w:rFonts w:ascii="仿宋_GB2312" w:eastAsia="仿宋_GB2312" w:hint="eastAsia"/>
          <w:color w:val="000000" w:themeColor="text1"/>
          <w:sz w:val="32"/>
          <w:szCs w:val="32"/>
        </w:rPr>
        <w:t>前期研究工作取得的研究成果及积累的实践经验，并借鉴国内</w:t>
      </w:r>
      <w:r w:rsidR="00194640">
        <w:rPr>
          <w:rFonts w:ascii="仿宋_GB2312" w:eastAsia="仿宋_GB2312" w:hint="eastAsia"/>
          <w:color w:val="000000" w:themeColor="text1"/>
          <w:sz w:val="32"/>
          <w:szCs w:val="32"/>
        </w:rPr>
        <w:t>抗肿瘤药物急性肾损伤早期诊疗</w:t>
      </w:r>
      <w:r>
        <w:rPr>
          <w:rFonts w:ascii="仿宋_GB2312" w:eastAsia="仿宋_GB2312" w:hint="eastAsia"/>
          <w:color w:val="000000" w:themeColor="text1"/>
          <w:sz w:val="32"/>
          <w:szCs w:val="32"/>
        </w:rPr>
        <w:t>进行总结起草的，符合工作实际，有利于</w:t>
      </w:r>
      <w:r w:rsidR="00194640">
        <w:rPr>
          <w:rFonts w:ascii="仿宋_GB2312" w:eastAsia="仿宋_GB2312" w:hint="eastAsia"/>
          <w:color w:val="000000" w:themeColor="text1"/>
          <w:sz w:val="32"/>
          <w:szCs w:val="32"/>
        </w:rPr>
        <w:t>抗肿瘤药物急性肾损伤早期诊疗</w:t>
      </w:r>
      <w:r>
        <w:rPr>
          <w:rFonts w:ascii="仿宋_GB2312" w:eastAsia="仿宋_GB2312" w:hint="eastAsia"/>
          <w:color w:val="000000" w:themeColor="text1"/>
          <w:sz w:val="32"/>
          <w:szCs w:val="32"/>
        </w:rPr>
        <w:t>的实施与推广，具有可操作性和实用性。</w:t>
      </w:r>
    </w:p>
    <w:p w14:paraId="79A59E20" w14:textId="77777777" w:rsidR="00D634F2" w:rsidRDefault="008854C0">
      <w:pPr>
        <w:spacing w:line="560" w:lineRule="exact"/>
        <w:ind w:firstLineChars="200" w:firstLine="643"/>
        <w:rPr>
          <w:rFonts w:ascii="仿宋_GB2312" w:eastAsia="仿宋_GB2312" w:hAnsi="楷体" w:cs="Times New Roman"/>
          <w:b/>
          <w:color w:val="000000" w:themeColor="text1"/>
          <w:sz w:val="32"/>
          <w:szCs w:val="32"/>
        </w:rPr>
      </w:pPr>
      <w:r>
        <w:rPr>
          <w:rFonts w:ascii="仿宋_GB2312" w:eastAsia="仿宋_GB2312" w:hAnsi="楷体" w:cs="Times New Roman" w:hint="eastAsia"/>
          <w:b/>
          <w:color w:val="000000" w:themeColor="text1"/>
          <w:sz w:val="32"/>
          <w:szCs w:val="32"/>
        </w:rPr>
        <w:t>2、协调性原则</w:t>
      </w:r>
    </w:p>
    <w:p w14:paraId="61B027EF" w14:textId="06160014"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本文件编写过程中注意了与</w:t>
      </w:r>
      <w:r w:rsidR="00194640">
        <w:rPr>
          <w:rFonts w:ascii="仿宋_GB2312" w:eastAsia="仿宋_GB2312" w:hint="eastAsia"/>
          <w:color w:val="000000" w:themeColor="text1"/>
          <w:sz w:val="32"/>
          <w:szCs w:val="32"/>
        </w:rPr>
        <w:t>抗肿瘤药物急性肾损伤早期诊疗</w:t>
      </w:r>
      <w:r>
        <w:rPr>
          <w:rFonts w:ascii="仿宋_GB2312" w:eastAsia="仿宋_GB2312" w:hint="eastAsia"/>
          <w:color w:val="000000" w:themeColor="text1"/>
          <w:sz w:val="32"/>
          <w:szCs w:val="32"/>
        </w:rPr>
        <w:t>相关法律法规的协调问题，在内容上与现行法律法规、标准协</w:t>
      </w:r>
      <w:r>
        <w:rPr>
          <w:rFonts w:ascii="仿宋_GB2312" w:eastAsia="仿宋_GB2312" w:hint="eastAsia"/>
          <w:color w:val="000000" w:themeColor="text1"/>
          <w:sz w:val="32"/>
          <w:szCs w:val="32"/>
        </w:rPr>
        <w:lastRenderedPageBreak/>
        <w:t>调一致。</w:t>
      </w:r>
    </w:p>
    <w:p w14:paraId="3DF8F4D5" w14:textId="77777777" w:rsidR="00D634F2" w:rsidRDefault="008854C0">
      <w:pPr>
        <w:spacing w:line="560" w:lineRule="exact"/>
        <w:ind w:firstLineChars="200" w:firstLine="643"/>
        <w:rPr>
          <w:rFonts w:ascii="仿宋_GB2312" w:eastAsia="仿宋_GB2312" w:hAnsi="楷体" w:cs="Times New Roman"/>
          <w:b/>
          <w:color w:val="000000" w:themeColor="text1"/>
          <w:sz w:val="32"/>
          <w:szCs w:val="32"/>
        </w:rPr>
      </w:pPr>
      <w:r>
        <w:rPr>
          <w:rFonts w:ascii="仿宋_GB2312" w:eastAsia="仿宋_GB2312" w:hAnsi="楷体" w:cs="Times New Roman" w:hint="eastAsia"/>
          <w:b/>
          <w:color w:val="000000" w:themeColor="text1"/>
          <w:sz w:val="32"/>
          <w:szCs w:val="32"/>
        </w:rPr>
        <w:t>3、规范性原则</w:t>
      </w:r>
    </w:p>
    <w:p w14:paraId="12D576A2"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本文件严格按照GB/T 1.1—2020《标准化工作规范  第1部分：标准化文件的结构和起草规则》编写本标准的内容，保证标准的编写质量。</w:t>
      </w:r>
    </w:p>
    <w:p w14:paraId="2234E3DE" w14:textId="77777777" w:rsidR="00D634F2" w:rsidRDefault="008854C0">
      <w:pPr>
        <w:spacing w:line="560" w:lineRule="exact"/>
        <w:ind w:firstLineChars="200" w:firstLine="643"/>
        <w:rPr>
          <w:rFonts w:ascii="仿宋_GB2312" w:eastAsia="仿宋_GB2312" w:hAnsi="楷体" w:cs="Times New Roman"/>
          <w:b/>
          <w:color w:val="000000" w:themeColor="text1"/>
          <w:sz w:val="32"/>
          <w:szCs w:val="32"/>
        </w:rPr>
      </w:pPr>
      <w:r>
        <w:rPr>
          <w:rFonts w:ascii="仿宋_GB2312" w:eastAsia="仿宋_GB2312" w:hAnsi="楷体" w:cs="Times New Roman" w:hint="eastAsia"/>
          <w:b/>
          <w:color w:val="000000" w:themeColor="text1"/>
          <w:sz w:val="32"/>
          <w:szCs w:val="32"/>
        </w:rPr>
        <w:t>4、前瞻性原则</w:t>
      </w:r>
    </w:p>
    <w:p w14:paraId="62168C45" w14:textId="288DDF30"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本文件在兼顾当前</w:t>
      </w:r>
      <w:r w:rsidR="00194640">
        <w:rPr>
          <w:rFonts w:ascii="仿宋_GB2312" w:eastAsia="仿宋_GB2312" w:hint="eastAsia"/>
          <w:color w:val="000000" w:themeColor="text1"/>
          <w:sz w:val="32"/>
          <w:szCs w:val="32"/>
        </w:rPr>
        <w:t>抗肿瘤药物急性肾损伤早期诊疗</w:t>
      </w:r>
      <w:r>
        <w:rPr>
          <w:rFonts w:ascii="仿宋_GB2312" w:eastAsia="仿宋_GB2312" w:hint="eastAsia"/>
          <w:color w:val="000000" w:themeColor="text1"/>
          <w:sz w:val="32"/>
          <w:szCs w:val="32"/>
        </w:rPr>
        <w:t>现实情况的同时，还考虑到了</w:t>
      </w:r>
      <w:r w:rsidR="00194640">
        <w:rPr>
          <w:rFonts w:ascii="仿宋_GB2312" w:eastAsia="仿宋_GB2312" w:hint="eastAsia"/>
          <w:color w:val="000000" w:themeColor="text1"/>
          <w:sz w:val="32"/>
          <w:szCs w:val="32"/>
        </w:rPr>
        <w:t>抗肿瘤药物急性肾损伤早期诊疗</w:t>
      </w:r>
      <w:r>
        <w:rPr>
          <w:rFonts w:ascii="仿宋_GB2312" w:eastAsia="仿宋_GB2312" w:hint="eastAsia"/>
          <w:color w:val="000000" w:themeColor="text1"/>
          <w:sz w:val="32"/>
          <w:szCs w:val="32"/>
        </w:rPr>
        <w:t>的需要，在标准中体现了个别特色性、前瞻性和先进性条款，作为对</w:t>
      </w:r>
      <w:r w:rsidR="00194640">
        <w:rPr>
          <w:rFonts w:ascii="仿宋_GB2312" w:eastAsia="仿宋_GB2312" w:hint="eastAsia"/>
          <w:color w:val="000000" w:themeColor="text1"/>
          <w:sz w:val="32"/>
          <w:szCs w:val="32"/>
        </w:rPr>
        <w:t>抗肿瘤药物急性肾损伤早期诊疗</w:t>
      </w:r>
      <w:r>
        <w:rPr>
          <w:rFonts w:ascii="仿宋_GB2312" w:eastAsia="仿宋_GB2312" w:hint="eastAsia"/>
          <w:color w:val="000000" w:themeColor="text1"/>
          <w:sz w:val="32"/>
          <w:szCs w:val="32"/>
        </w:rPr>
        <w:t>的指导。</w:t>
      </w:r>
    </w:p>
    <w:p w14:paraId="16101DFE"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（二）编制依据</w:t>
      </w:r>
    </w:p>
    <w:p w14:paraId="035B5479" w14:textId="5D81F412"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本标准严格按照GB/T 1.1—2020《标准化工作规范  第1部分：标准化文件的结构和起草规则》的规则起草，标准主要内容依据</w:t>
      </w:r>
      <w:r w:rsidR="00A109E4">
        <w:rPr>
          <w:rFonts w:ascii="仿宋_GB2312" w:eastAsia="仿宋_GB2312" w:hint="eastAsia"/>
          <w:color w:val="000000" w:themeColor="text1"/>
          <w:sz w:val="32"/>
          <w:szCs w:val="32"/>
        </w:rPr>
        <w:t>广西医科大学第一附属医院、广西医科大学第二附属医院、南宁市第二人民医院、柳州市工人医院、玉林市第一人民医院、河池市人民医院、贵港市人民医院</w:t>
      </w:r>
      <w:r>
        <w:rPr>
          <w:rFonts w:ascii="仿宋_GB2312" w:eastAsia="仿宋_GB2312" w:hint="eastAsia"/>
          <w:color w:val="000000" w:themeColor="text1"/>
          <w:sz w:val="32"/>
          <w:szCs w:val="32"/>
        </w:rPr>
        <w:t>在</w:t>
      </w:r>
      <w:r w:rsidR="00194640">
        <w:rPr>
          <w:rFonts w:ascii="仿宋_GB2312" w:eastAsia="仿宋_GB2312" w:hint="eastAsia"/>
          <w:color w:val="000000" w:themeColor="text1"/>
          <w:sz w:val="32"/>
          <w:szCs w:val="32"/>
        </w:rPr>
        <w:t>抗肿瘤药物急性肾损伤早期诊疗</w:t>
      </w:r>
      <w:r>
        <w:rPr>
          <w:rFonts w:ascii="仿宋_GB2312" w:eastAsia="仿宋_GB2312" w:hint="eastAsia"/>
          <w:color w:val="000000" w:themeColor="text1"/>
          <w:sz w:val="32"/>
          <w:szCs w:val="32"/>
        </w:rPr>
        <w:t>过程中的实践经验确定。</w:t>
      </w:r>
    </w:p>
    <w:p w14:paraId="61C44619"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（三）与现行法律、法规的关系，与有关国家标准、行业标准的协调情况</w:t>
      </w:r>
    </w:p>
    <w:p w14:paraId="41C22A5D"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本标准与相关法律法规、强制性标准协调一致，无冲突。</w:t>
      </w:r>
    </w:p>
    <w:p w14:paraId="2324C47D" w14:textId="37D24408" w:rsidR="000E0C0E" w:rsidRDefault="008854C0">
      <w:pPr>
        <w:spacing w:line="520" w:lineRule="exact"/>
        <w:ind w:firstLineChars="200" w:firstLine="640"/>
        <w:rPr>
          <w:rFonts w:ascii="Times New Roman" w:eastAsia="仿宋_GB2312" w:hAnsi="Times New Roman" w:cs="Times New Roman"/>
          <w:color w:val="000000" w:themeColor="text1"/>
          <w:sz w:val="32"/>
          <w:szCs w:val="32"/>
        </w:rPr>
      </w:pPr>
      <w:r>
        <w:rPr>
          <w:rFonts w:ascii="仿宋_GB2312" w:eastAsia="仿宋_GB2312" w:hint="eastAsia"/>
          <w:color w:val="000000" w:themeColor="text1"/>
          <w:sz w:val="32"/>
          <w:szCs w:val="32"/>
        </w:rPr>
        <w:t>经查阅，截至目前，国</w:t>
      </w:r>
      <w:r w:rsidRPr="00B938A5">
        <w:rPr>
          <w:rFonts w:ascii="仿宋_GB2312" w:eastAsia="仿宋_GB2312" w:hint="eastAsia"/>
          <w:color w:val="000000" w:themeColor="text1"/>
          <w:sz w:val="32"/>
          <w:szCs w:val="32"/>
        </w:rPr>
        <w:t>内</w:t>
      </w:r>
      <w:r w:rsidR="000E0C0E" w:rsidRPr="00B938A5">
        <w:rPr>
          <w:rFonts w:ascii="Times New Roman" w:eastAsia="仿宋_GB2312" w:hAnsi="Times New Roman" w:cs="Times New Roman" w:hint="eastAsia"/>
          <w:color w:val="000000" w:themeColor="text1"/>
          <w:sz w:val="32"/>
          <w:szCs w:val="32"/>
        </w:rPr>
        <w:t>与</w:t>
      </w:r>
      <w:r w:rsidR="008A4B91" w:rsidRPr="008A4B91">
        <w:rPr>
          <w:rFonts w:ascii="Times New Roman" w:eastAsia="仿宋_GB2312" w:hAnsi="Times New Roman" w:cs="Times New Roman" w:hint="eastAsia"/>
          <w:color w:val="000000" w:themeColor="text1"/>
          <w:sz w:val="32"/>
          <w:szCs w:val="32"/>
        </w:rPr>
        <w:t>“肾</w:t>
      </w:r>
      <w:r w:rsidR="008A4B91" w:rsidRPr="008A4B91">
        <w:rPr>
          <w:rFonts w:ascii="Times New Roman" w:eastAsia="仿宋_GB2312" w:hAnsi="Times New Roman" w:cs="Times New Roman" w:hint="eastAsia"/>
          <w:color w:val="000000" w:themeColor="text1"/>
          <w:sz w:val="32"/>
          <w:szCs w:val="32"/>
        </w:rPr>
        <w:t xml:space="preserve"> </w:t>
      </w:r>
      <w:r w:rsidR="008A4B91" w:rsidRPr="008A4B91">
        <w:rPr>
          <w:rFonts w:ascii="Times New Roman" w:eastAsia="仿宋_GB2312" w:hAnsi="Times New Roman" w:cs="Times New Roman" w:hint="eastAsia"/>
          <w:color w:val="000000" w:themeColor="text1"/>
          <w:sz w:val="32"/>
          <w:szCs w:val="32"/>
        </w:rPr>
        <w:t>诊疗”“肾</w:t>
      </w:r>
      <w:r w:rsidR="008A4B91" w:rsidRPr="008A4B91">
        <w:rPr>
          <w:rFonts w:ascii="Times New Roman" w:eastAsia="仿宋_GB2312" w:hAnsi="Times New Roman" w:cs="Times New Roman" w:hint="eastAsia"/>
          <w:color w:val="000000" w:themeColor="text1"/>
          <w:sz w:val="32"/>
          <w:szCs w:val="32"/>
        </w:rPr>
        <w:t xml:space="preserve"> </w:t>
      </w:r>
      <w:r w:rsidR="008A4B91" w:rsidRPr="008A4B91">
        <w:rPr>
          <w:rFonts w:ascii="Times New Roman" w:eastAsia="仿宋_GB2312" w:hAnsi="Times New Roman" w:cs="Times New Roman" w:hint="eastAsia"/>
          <w:color w:val="000000" w:themeColor="text1"/>
          <w:sz w:val="32"/>
          <w:szCs w:val="32"/>
        </w:rPr>
        <w:t>诊断”“肾</w:t>
      </w:r>
      <w:r w:rsidR="008A4B91" w:rsidRPr="008A4B91">
        <w:rPr>
          <w:rFonts w:ascii="Times New Roman" w:eastAsia="仿宋_GB2312" w:hAnsi="Times New Roman" w:cs="Times New Roman" w:hint="eastAsia"/>
          <w:color w:val="000000" w:themeColor="text1"/>
          <w:sz w:val="32"/>
          <w:szCs w:val="32"/>
        </w:rPr>
        <w:t xml:space="preserve"> </w:t>
      </w:r>
      <w:r w:rsidR="008A4B91" w:rsidRPr="008A4B91">
        <w:rPr>
          <w:rFonts w:ascii="Times New Roman" w:eastAsia="仿宋_GB2312" w:hAnsi="Times New Roman" w:cs="Times New Roman" w:hint="eastAsia"/>
          <w:color w:val="000000" w:themeColor="text1"/>
          <w:sz w:val="32"/>
          <w:szCs w:val="32"/>
        </w:rPr>
        <w:t>筛查”“肾</w:t>
      </w:r>
      <w:r w:rsidR="008A4B91" w:rsidRPr="008A4B91">
        <w:rPr>
          <w:rFonts w:ascii="Times New Roman" w:eastAsia="仿宋_GB2312" w:hAnsi="Times New Roman" w:cs="Times New Roman" w:hint="eastAsia"/>
          <w:color w:val="000000" w:themeColor="text1"/>
          <w:sz w:val="32"/>
          <w:szCs w:val="32"/>
        </w:rPr>
        <w:t xml:space="preserve"> </w:t>
      </w:r>
      <w:r w:rsidR="008A4B91" w:rsidRPr="008A4B91">
        <w:rPr>
          <w:rFonts w:ascii="Times New Roman" w:eastAsia="仿宋_GB2312" w:hAnsi="Times New Roman" w:cs="Times New Roman" w:hint="eastAsia"/>
          <w:color w:val="000000" w:themeColor="text1"/>
          <w:sz w:val="32"/>
          <w:szCs w:val="32"/>
        </w:rPr>
        <w:t>治疗”“肾损伤”</w:t>
      </w:r>
      <w:r w:rsidR="000E0C0E" w:rsidRPr="000E0C0E">
        <w:rPr>
          <w:rFonts w:ascii="Times New Roman" w:eastAsia="仿宋_GB2312" w:hAnsi="Times New Roman" w:cs="Times New Roman" w:hint="eastAsia"/>
          <w:color w:val="000000" w:themeColor="text1"/>
          <w:sz w:val="32"/>
          <w:szCs w:val="32"/>
        </w:rPr>
        <w:t>相关的标准有：</w:t>
      </w:r>
      <w:r w:rsidR="008A4B91" w:rsidRPr="008A4B91">
        <w:rPr>
          <w:rFonts w:ascii="Times New Roman" w:eastAsia="仿宋_GB2312" w:hAnsi="Times New Roman" w:cs="Times New Roman" w:hint="eastAsia"/>
          <w:color w:val="000000" w:themeColor="text1"/>
          <w:sz w:val="32"/>
          <w:szCs w:val="32"/>
        </w:rPr>
        <w:t>《</w:t>
      </w:r>
      <w:r w:rsidR="008A4B91" w:rsidRPr="008A4B91">
        <w:rPr>
          <w:rFonts w:ascii="Times New Roman" w:eastAsia="仿宋_GB2312" w:hAnsi="Times New Roman" w:cs="Times New Roman" w:hint="eastAsia"/>
          <w:color w:val="000000" w:themeColor="text1"/>
          <w:sz w:val="32"/>
          <w:szCs w:val="32"/>
        </w:rPr>
        <w:t>DB31/T 1340</w:t>
      </w:r>
      <w:r w:rsidR="008A4B91" w:rsidRPr="008A4B91">
        <w:rPr>
          <w:rFonts w:ascii="Times New Roman" w:eastAsia="仿宋_GB2312" w:hAnsi="Times New Roman" w:cs="Times New Roman" w:hint="eastAsia"/>
          <w:color w:val="000000" w:themeColor="text1"/>
          <w:sz w:val="32"/>
          <w:szCs w:val="32"/>
        </w:rPr>
        <w:t>—</w:t>
      </w:r>
      <w:r w:rsidR="008A4B91" w:rsidRPr="008A4B91">
        <w:rPr>
          <w:rFonts w:ascii="Times New Roman" w:eastAsia="仿宋_GB2312" w:hAnsi="Times New Roman" w:cs="Times New Roman" w:hint="eastAsia"/>
          <w:color w:val="000000" w:themeColor="text1"/>
          <w:sz w:val="32"/>
          <w:szCs w:val="32"/>
        </w:rPr>
        <w:t xml:space="preserve">2021  </w:t>
      </w:r>
      <w:r w:rsidR="008A4B91" w:rsidRPr="008A4B91">
        <w:rPr>
          <w:rFonts w:ascii="Times New Roman" w:eastAsia="仿宋_GB2312" w:hAnsi="Times New Roman" w:cs="Times New Roman" w:hint="eastAsia"/>
          <w:color w:val="000000" w:themeColor="text1"/>
          <w:sz w:val="32"/>
          <w:szCs w:val="32"/>
        </w:rPr>
        <w:t>慢性肾脏病早期筛查规范》《</w:t>
      </w:r>
      <w:r w:rsidR="008A4B91" w:rsidRPr="008A4B91">
        <w:rPr>
          <w:rFonts w:ascii="Times New Roman" w:eastAsia="仿宋_GB2312" w:hAnsi="Times New Roman" w:cs="Times New Roman" w:hint="eastAsia"/>
          <w:color w:val="000000" w:themeColor="text1"/>
          <w:sz w:val="32"/>
          <w:szCs w:val="32"/>
        </w:rPr>
        <w:t>DB44/T 2575</w:t>
      </w:r>
      <w:r w:rsidR="008A4B91" w:rsidRPr="008A4B91">
        <w:rPr>
          <w:rFonts w:ascii="Times New Roman" w:eastAsia="仿宋_GB2312" w:hAnsi="Times New Roman" w:cs="Times New Roman" w:hint="eastAsia"/>
          <w:color w:val="000000" w:themeColor="text1"/>
          <w:sz w:val="32"/>
          <w:szCs w:val="32"/>
        </w:rPr>
        <w:t>—</w:t>
      </w:r>
      <w:r w:rsidR="008A4B91" w:rsidRPr="008A4B91">
        <w:rPr>
          <w:rFonts w:ascii="Times New Roman" w:eastAsia="仿宋_GB2312" w:hAnsi="Times New Roman" w:cs="Times New Roman" w:hint="eastAsia"/>
          <w:color w:val="000000" w:themeColor="text1"/>
          <w:sz w:val="32"/>
          <w:szCs w:val="32"/>
        </w:rPr>
        <w:t xml:space="preserve">2024  </w:t>
      </w:r>
      <w:r w:rsidR="008A4B91" w:rsidRPr="008A4B91">
        <w:rPr>
          <w:rFonts w:ascii="Times New Roman" w:eastAsia="仿宋_GB2312" w:hAnsi="Times New Roman" w:cs="Times New Roman" w:hint="eastAsia"/>
          <w:color w:val="000000" w:themeColor="text1"/>
          <w:sz w:val="32"/>
          <w:szCs w:val="32"/>
        </w:rPr>
        <w:t>特发性膜性肾病中医证候诊断规范》《</w:t>
      </w:r>
      <w:r w:rsidR="008A4B91" w:rsidRPr="008A4B91">
        <w:rPr>
          <w:rFonts w:ascii="Times New Roman" w:eastAsia="仿宋_GB2312" w:hAnsi="Times New Roman" w:cs="Times New Roman" w:hint="eastAsia"/>
          <w:color w:val="000000" w:themeColor="text1"/>
          <w:sz w:val="32"/>
          <w:szCs w:val="32"/>
        </w:rPr>
        <w:t>T/CARD 063</w:t>
      </w:r>
      <w:r w:rsidR="008A4B91" w:rsidRPr="008A4B91">
        <w:rPr>
          <w:rFonts w:ascii="Times New Roman" w:eastAsia="仿宋_GB2312" w:hAnsi="Times New Roman" w:cs="Times New Roman" w:hint="eastAsia"/>
          <w:color w:val="000000" w:themeColor="text1"/>
          <w:sz w:val="32"/>
          <w:szCs w:val="32"/>
        </w:rPr>
        <w:t>—</w:t>
      </w:r>
      <w:r w:rsidR="008A4B91" w:rsidRPr="008A4B91">
        <w:rPr>
          <w:rFonts w:ascii="Times New Roman" w:eastAsia="仿宋_GB2312" w:hAnsi="Times New Roman" w:cs="Times New Roman" w:hint="eastAsia"/>
          <w:color w:val="000000" w:themeColor="text1"/>
          <w:sz w:val="32"/>
          <w:szCs w:val="32"/>
        </w:rPr>
        <w:t xml:space="preserve">2025  </w:t>
      </w:r>
      <w:r w:rsidR="008A4B91" w:rsidRPr="008A4B91">
        <w:rPr>
          <w:rFonts w:ascii="Times New Roman" w:eastAsia="仿宋_GB2312" w:hAnsi="Times New Roman" w:cs="Times New Roman" w:hint="eastAsia"/>
          <w:color w:val="000000" w:themeColor="text1"/>
          <w:sz w:val="32"/>
          <w:szCs w:val="32"/>
        </w:rPr>
        <w:t>残疾人排尿障碍肾损伤预防与康复指南》《</w:t>
      </w:r>
      <w:r w:rsidR="008A4B91" w:rsidRPr="008A4B91">
        <w:rPr>
          <w:rFonts w:ascii="Times New Roman" w:eastAsia="仿宋_GB2312" w:hAnsi="Times New Roman" w:cs="Times New Roman"/>
          <w:color w:val="000000" w:themeColor="text1"/>
          <w:sz w:val="32"/>
          <w:szCs w:val="32"/>
        </w:rPr>
        <w:t>T/CADERM 3047—2022</w:t>
      </w:r>
      <w:r w:rsidR="008A4B91" w:rsidRPr="008A4B91">
        <w:rPr>
          <w:rFonts w:ascii="Times New Roman" w:eastAsia="仿宋_GB2312" w:hAnsi="Times New Roman" w:cs="Times New Roman" w:hint="eastAsia"/>
          <w:color w:val="000000" w:themeColor="text1"/>
          <w:sz w:val="32"/>
          <w:szCs w:val="32"/>
        </w:rPr>
        <w:t xml:space="preserve">  </w:t>
      </w:r>
      <w:r w:rsidR="008A4B91" w:rsidRPr="008A4B91">
        <w:rPr>
          <w:rFonts w:ascii="Times New Roman" w:eastAsia="仿宋_GB2312" w:hAnsi="Times New Roman" w:cs="Times New Roman"/>
          <w:color w:val="000000" w:themeColor="text1"/>
          <w:sz w:val="32"/>
          <w:szCs w:val="32"/>
        </w:rPr>
        <w:t>结石性肾绞痛中西医结合诊疗要求</w:t>
      </w:r>
      <w:r w:rsidR="008A4B91" w:rsidRPr="008A4B91">
        <w:rPr>
          <w:rFonts w:ascii="Times New Roman" w:eastAsia="仿宋_GB2312" w:hAnsi="Times New Roman" w:cs="Times New Roman" w:hint="eastAsia"/>
          <w:color w:val="000000" w:themeColor="text1"/>
          <w:sz w:val="32"/>
          <w:szCs w:val="32"/>
        </w:rPr>
        <w:t>》《</w:t>
      </w:r>
      <w:r w:rsidR="008A4B91" w:rsidRPr="008A4B91">
        <w:rPr>
          <w:rFonts w:ascii="Times New Roman" w:eastAsia="仿宋_GB2312" w:hAnsi="Times New Roman" w:cs="Times New Roman" w:hint="eastAsia"/>
          <w:color w:val="000000" w:themeColor="text1"/>
          <w:sz w:val="32"/>
          <w:szCs w:val="32"/>
        </w:rPr>
        <w:t>T/CNAS 26</w:t>
      </w:r>
      <w:r w:rsidR="008A4B91" w:rsidRPr="008A4B91">
        <w:rPr>
          <w:rFonts w:ascii="Times New Roman" w:eastAsia="仿宋_GB2312" w:hAnsi="Times New Roman" w:cs="Times New Roman" w:hint="eastAsia"/>
          <w:color w:val="000000" w:themeColor="text1"/>
          <w:sz w:val="32"/>
          <w:szCs w:val="32"/>
        </w:rPr>
        <w:t>—</w:t>
      </w:r>
      <w:r w:rsidR="008A4B91" w:rsidRPr="008A4B91">
        <w:rPr>
          <w:rFonts w:ascii="Times New Roman" w:eastAsia="仿宋_GB2312" w:hAnsi="Times New Roman" w:cs="Times New Roman" w:hint="eastAsia"/>
          <w:color w:val="000000" w:themeColor="text1"/>
          <w:sz w:val="32"/>
          <w:szCs w:val="32"/>
        </w:rPr>
        <w:t xml:space="preserve">2023  </w:t>
      </w:r>
      <w:r w:rsidR="008A4B91" w:rsidRPr="008A4B91">
        <w:rPr>
          <w:rFonts w:ascii="Times New Roman" w:eastAsia="仿宋_GB2312" w:hAnsi="Times New Roman" w:cs="Times New Roman" w:hint="eastAsia"/>
          <w:color w:val="000000" w:themeColor="text1"/>
          <w:sz w:val="32"/>
          <w:szCs w:val="32"/>
        </w:rPr>
        <w:t>连续性肾脏替代</w:t>
      </w:r>
      <w:r w:rsidR="008A4B91" w:rsidRPr="008A4B91">
        <w:rPr>
          <w:rFonts w:ascii="Times New Roman" w:eastAsia="仿宋_GB2312" w:hAnsi="Times New Roman" w:cs="Times New Roman" w:hint="eastAsia"/>
          <w:color w:val="000000" w:themeColor="text1"/>
          <w:sz w:val="32"/>
          <w:szCs w:val="32"/>
        </w:rPr>
        <w:lastRenderedPageBreak/>
        <w:t>治疗的护理》《</w:t>
      </w:r>
      <w:r w:rsidR="008A4B91" w:rsidRPr="008A4B91">
        <w:rPr>
          <w:rFonts w:ascii="Times New Roman" w:eastAsia="仿宋_GB2312" w:hAnsi="Times New Roman" w:cs="Times New Roman" w:hint="eastAsia"/>
          <w:color w:val="000000" w:themeColor="text1"/>
          <w:sz w:val="32"/>
          <w:szCs w:val="32"/>
        </w:rPr>
        <w:t xml:space="preserve">SC/T 7245-2025  </w:t>
      </w:r>
      <w:r w:rsidR="008A4B91" w:rsidRPr="008A4B91">
        <w:rPr>
          <w:rFonts w:ascii="Times New Roman" w:eastAsia="仿宋_GB2312" w:hAnsi="Times New Roman" w:cs="Times New Roman" w:hint="eastAsia"/>
          <w:color w:val="000000" w:themeColor="text1"/>
          <w:sz w:val="32"/>
          <w:szCs w:val="32"/>
        </w:rPr>
        <w:t>细菌性肾病诊断方法》《挤压综合征急性肾损伤诊治的专家共识》《急性肾损伤诊断与分类专家共识》《</w:t>
      </w:r>
      <w:r w:rsidR="008A4B91" w:rsidRPr="008A4B91">
        <w:rPr>
          <w:rFonts w:ascii="Times New Roman" w:eastAsia="仿宋_GB2312" w:hAnsi="Times New Roman" w:cs="Times New Roman" w:hint="eastAsia"/>
          <w:color w:val="000000" w:themeColor="text1"/>
          <w:sz w:val="32"/>
          <w:szCs w:val="32"/>
        </w:rPr>
        <w:t>&lt;</w:t>
      </w:r>
      <w:r w:rsidR="008A4B91" w:rsidRPr="008A4B91">
        <w:rPr>
          <w:rFonts w:ascii="Times New Roman" w:eastAsia="仿宋_GB2312" w:hAnsi="Times New Roman" w:cs="Times New Roman" w:hint="eastAsia"/>
          <w:color w:val="000000" w:themeColor="text1"/>
          <w:sz w:val="32"/>
          <w:szCs w:val="32"/>
        </w:rPr>
        <w:t>第</w:t>
      </w:r>
      <w:r w:rsidR="008A4B91" w:rsidRPr="008A4B91">
        <w:rPr>
          <w:rFonts w:ascii="Times New Roman" w:eastAsia="仿宋_GB2312" w:hAnsi="Times New Roman" w:cs="Times New Roman" w:hint="eastAsia"/>
          <w:color w:val="000000" w:themeColor="text1"/>
          <w:sz w:val="32"/>
          <w:szCs w:val="32"/>
        </w:rPr>
        <w:t>28</w:t>
      </w:r>
      <w:r w:rsidR="008A4B91" w:rsidRPr="008A4B91">
        <w:rPr>
          <w:rFonts w:ascii="Times New Roman" w:eastAsia="仿宋_GB2312" w:hAnsi="Times New Roman" w:cs="Times New Roman" w:hint="eastAsia"/>
          <w:color w:val="000000" w:themeColor="text1"/>
          <w:sz w:val="32"/>
          <w:szCs w:val="32"/>
        </w:rPr>
        <w:t>届急性疾病质量倡议工作组共识报告：脓毒症相关急性肾损伤</w:t>
      </w:r>
      <w:r w:rsidR="008A4B91" w:rsidRPr="008A4B91">
        <w:rPr>
          <w:rFonts w:ascii="Times New Roman" w:eastAsia="仿宋_GB2312" w:hAnsi="Times New Roman" w:cs="Times New Roman" w:hint="eastAsia"/>
          <w:color w:val="000000" w:themeColor="text1"/>
          <w:sz w:val="32"/>
          <w:szCs w:val="32"/>
        </w:rPr>
        <w:t>&gt;</w:t>
      </w:r>
      <w:r w:rsidR="008A4B91" w:rsidRPr="008A4B91">
        <w:rPr>
          <w:rFonts w:ascii="Times New Roman" w:eastAsia="仿宋_GB2312" w:hAnsi="Times New Roman" w:cs="Times New Roman" w:hint="eastAsia"/>
          <w:color w:val="000000" w:themeColor="text1"/>
          <w:sz w:val="32"/>
          <w:szCs w:val="32"/>
        </w:rPr>
        <w:t>解读》《中国急性肾损伤临床实践指南》《改善全球肾脏病预后组织</w:t>
      </w:r>
      <w:r w:rsidR="008A4B91" w:rsidRPr="008A4B91">
        <w:rPr>
          <w:rFonts w:ascii="Times New Roman" w:eastAsia="仿宋_GB2312" w:hAnsi="Times New Roman" w:cs="Times New Roman" w:hint="eastAsia"/>
          <w:color w:val="000000" w:themeColor="text1"/>
          <w:sz w:val="32"/>
          <w:szCs w:val="32"/>
        </w:rPr>
        <w:t>(KDIGO)</w:t>
      </w:r>
      <w:r w:rsidR="008A4B91" w:rsidRPr="008A4B91">
        <w:rPr>
          <w:rFonts w:ascii="Times New Roman" w:eastAsia="仿宋_GB2312" w:hAnsi="Times New Roman" w:cs="Times New Roman" w:hint="eastAsia"/>
          <w:color w:val="000000" w:themeColor="text1"/>
          <w:sz w:val="32"/>
          <w:szCs w:val="32"/>
        </w:rPr>
        <w:t>临床实践指南：急性肾损伤》《</w:t>
      </w:r>
      <w:r w:rsidR="008A4B91" w:rsidRPr="008A4B91">
        <w:rPr>
          <w:rFonts w:ascii="Times New Roman" w:eastAsia="仿宋_GB2312" w:hAnsi="Times New Roman" w:cs="Times New Roman" w:hint="eastAsia"/>
          <w:color w:val="000000" w:themeColor="text1"/>
          <w:sz w:val="32"/>
          <w:szCs w:val="32"/>
        </w:rPr>
        <w:t>KDIGO</w:t>
      </w:r>
      <w:r w:rsidR="008A4B91" w:rsidRPr="008A4B91">
        <w:rPr>
          <w:rFonts w:ascii="Times New Roman" w:eastAsia="仿宋_GB2312" w:hAnsi="Times New Roman" w:cs="Times New Roman" w:hint="eastAsia"/>
          <w:color w:val="000000" w:themeColor="text1"/>
          <w:sz w:val="32"/>
          <w:szCs w:val="32"/>
        </w:rPr>
        <w:t>急性肾损伤临床实践指南》</w:t>
      </w:r>
      <w:r w:rsidR="000E0C0E" w:rsidRPr="008A4B91">
        <w:rPr>
          <w:rFonts w:ascii="Times New Roman" w:eastAsia="仿宋_GB2312" w:hAnsi="Times New Roman" w:cs="Times New Roman" w:hint="eastAsia"/>
          <w:color w:val="000000" w:themeColor="text1"/>
          <w:sz w:val="32"/>
          <w:szCs w:val="32"/>
        </w:rPr>
        <w:t>。</w:t>
      </w:r>
    </w:p>
    <w:p w14:paraId="50E0003C" w14:textId="1C8803A9" w:rsidR="00D634F2" w:rsidRDefault="008A4B91" w:rsidP="000E0C0E">
      <w:pPr>
        <w:spacing w:line="520" w:lineRule="exact"/>
        <w:ind w:firstLineChars="200" w:firstLine="640"/>
        <w:rPr>
          <w:rFonts w:ascii="仿宋_GB2312" w:eastAsia="仿宋_GB2312"/>
          <w:color w:val="000000" w:themeColor="text1"/>
          <w:sz w:val="32"/>
          <w:szCs w:val="32"/>
        </w:rPr>
      </w:pPr>
      <w:r w:rsidRPr="008A4B91">
        <w:rPr>
          <w:rFonts w:ascii="仿宋_GB2312" w:eastAsia="仿宋_GB2312" w:hint="eastAsia"/>
          <w:color w:val="000000" w:themeColor="text1"/>
          <w:sz w:val="32"/>
          <w:szCs w:val="32"/>
        </w:rPr>
        <w:t>以上</w:t>
      </w:r>
      <w:r w:rsidRPr="008A4B91">
        <w:rPr>
          <w:rFonts w:ascii="仿宋_GB2312" w:eastAsia="仿宋_GB2312"/>
          <w:color w:val="000000" w:themeColor="text1"/>
          <w:sz w:val="32"/>
          <w:szCs w:val="32"/>
        </w:rPr>
        <w:t>标准</w:t>
      </w:r>
      <w:r w:rsidRPr="008A4B91">
        <w:rPr>
          <w:rFonts w:ascii="仿宋_GB2312" w:eastAsia="仿宋_GB2312" w:hint="eastAsia"/>
          <w:color w:val="000000" w:themeColor="text1"/>
          <w:sz w:val="32"/>
          <w:szCs w:val="32"/>
        </w:rPr>
        <w:t>和</w:t>
      </w:r>
      <w:r w:rsidRPr="008A4B91">
        <w:rPr>
          <w:rFonts w:ascii="仿宋_GB2312" w:eastAsia="仿宋_GB2312"/>
          <w:color w:val="000000" w:themeColor="text1"/>
          <w:sz w:val="32"/>
          <w:szCs w:val="32"/>
        </w:rPr>
        <w:t>专家共识大部分不涉及</w:t>
      </w:r>
      <w:r w:rsidRPr="008A4B91">
        <w:rPr>
          <w:rFonts w:ascii="仿宋_GB2312" w:eastAsia="仿宋_GB2312" w:hint="eastAsia"/>
          <w:color w:val="000000" w:themeColor="text1"/>
          <w:sz w:val="32"/>
          <w:szCs w:val="32"/>
        </w:rPr>
        <w:t>抗肿瘤药物急性肾损伤早期诊疗内容</w:t>
      </w:r>
      <w:r w:rsidRPr="008A4B91">
        <w:rPr>
          <w:rFonts w:ascii="仿宋_GB2312" w:eastAsia="仿宋_GB2312"/>
          <w:color w:val="000000" w:themeColor="text1"/>
          <w:sz w:val="32"/>
          <w:szCs w:val="32"/>
        </w:rPr>
        <w:t>，</w:t>
      </w:r>
      <w:r w:rsidRPr="008A4B91">
        <w:rPr>
          <w:rFonts w:ascii="仿宋_GB2312" w:eastAsia="仿宋_GB2312" w:hint="eastAsia"/>
          <w:color w:val="000000" w:themeColor="text1"/>
          <w:sz w:val="32"/>
          <w:szCs w:val="32"/>
        </w:rPr>
        <w:t>而与</w:t>
      </w:r>
      <w:r w:rsidRPr="008A4B91">
        <w:rPr>
          <w:rFonts w:ascii="仿宋_GB2312" w:eastAsia="仿宋_GB2312" w:hint="eastAsia"/>
          <w:bCs/>
          <w:color w:val="000000" w:themeColor="text1"/>
          <w:sz w:val="32"/>
          <w:szCs w:val="32"/>
        </w:rPr>
        <w:t>较为</w:t>
      </w:r>
      <w:r w:rsidRPr="008A4B91">
        <w:rPr>
          <w:rFonts w:ascii="仿宋_GB2312" w:eastAsia="仿宋_GB2312"/>
          <w:bCs/>
          <w:color w:val="000000" w:themeColor="text1"/>
          <w:sz w:val="32"/>
          <w:szCs w:val="32"/>
        </w:rPr>
        <w:t>接近的</w:t>
      </w:r>
      <w:r w:rsidRPr="008A4B91">
        <w:rPr>
          <w:rFonts w:ascii="仿宋_GB2312" w:eastAsia="仿宋_GB2312" w:hint="eastAsia"/>
          <w:bCs/>
          <w:color w:val="000000" w:themeColor="text1"/>
          <w:sz w:val="32"/>
          <w:szCs w:val="32"/>
        </w:rPr>
        <w:t>《中国急性肾损伤临床实践指南》，仅涉及急性肾损伤（AKI）定义、诊断、分期、病因、治疗原则和预后。而本标准主要聚焦药物相关性AKI，且重点内容在于早期识别、药物分类、精准预测、辅助决策、规范化诊疗及全程随访管理，兼顾解决“应该做什么”和“为什么这么做”的问题，不仅与该指南有区别，而且是指南的补充及具体细化版。</w:t>
      </w:r>
      <w:r w:rsidRPr="008A4B91">
        <w:rPr>
          <w:rFonts w:ascii="仿宋_GB2312" w:eastAsia="仿宋_GB2312"/>
          <w:bCs/>
          <w:color w:val="000000" w:themeColor="text1"/>
          <w:sz w:val="32"/>
          <w:szCs w:val="32"/>
        </w:rPr>
        <w:t>本</w:t>
      </w:r>
      <w:r w:rsidRPr="008A4B91">
        <w:rPr>
          <w:rFonts w:ascii="仿宋_GB2312" w:eastAsia="仿宋_GB2312" w:hint="eastAsia"/>
          <w:bCs/>
          <w:color w:val="000000" w:themeColor="text1"/>
          <w:sz w:val="32"/>
          <w:szCs w:val="32"/>
        </w:rPr>
        <w:t>标准</w:t>
      </w:r>
      <w:r w:rsidRPr="008A4B91">
        <w:rPr>
          <w:rFonts w:ascii="仿宋_GB2312" w:eastAsia="仿宋_GB2312"/>
          <w:bCs/>
          <w:color w:val="000000" w:themeColor="text1"/>
          <w:sz w:val="32"/>
          <w:szCs w:val="32"/>
        </w:rPr>
        <w:t>的</w:t>
      </w:r>
      <w:r w:rsidRPr="008A4B91">
        <w:rPr>
          <w:rFonts w:ascii="仿宋_GB2312" w:eastAsia="仿宋_GB2312" w:hint="eastAsia"/>
          <w:bCs/>
          <w:color w:val="000000" w:themeColor="text1"/>
          <w:sz w:val="32"/>
          <w:szCs w:val="32"/>
        </w:rPr>
        <w:t>亮点技术在于早期识别诊断流程、细化药物分类、预警识别、及时有针对性的处理措施。兼顾解决“是什么”和“为什么”“如何做”，建立统一技术标准，将内容转化为可量化、可监控、可落地的临床行动指导标准。①“是什么”：提出药物相关性AKI诊断；重要药物病因分类、慢性化转变等不良预后的概念。②“为什么”：药物相关AKI早期不易识别，部分慢性化转变，早期预警及精准防治可以提高预后。按药物病因分类及药物相关性AKI特点来全程管理的必要性。</w:t>
      </w:r>
      <w:r w:rsidR="00262C14">
        <w:rPr>
          <w:rFonts w:ascii="仿宋_GB2312" w:eastAsia="仿宋_GB2312" w:hint="eastAsia"/>
          <w:bCs/>
          <w:color w:val="000000" w:themeColor="text1"/>
          <w:sz w:val="32"/>
          <w:szCs w:val="32"/>
        </w:rPr>
        <w:t>③</w:t>
      </w:r>
      <w:r w:rsidRPr="008A4B91">
        <w:rPr>
          <w:rFonts w:ascii="仿宋_GB2312" w:eastAsia="仿宋_GB2312" w:hint="eastAsia"/>
          <w:bCs/>
          <w:color w:val="000000" w:themeColor="text1"/>
          <w:sz w:val="32"/>
          <w:szCs w:val="32"/>
        </w:rPr>
        <w:t>“如何做”：如何早期预警、及时识别，药物病因分类诊断遵循规范化流程，辅助决策策略、专科救治建议、针对性治疗措施，全程随访管理方案等。本标准所涉及技术</w:t>
      </w:r>
      <w:r w:rsidRPr="008A4B91">
        <w:rPr>
          <w:rFonts w:ascii="仿宋_GB2312" w:eastAsia="仿宋_GB2312"/>
          <w:bCs/>
          <w:color w:val="000000" w:themeColor="text1"/>
          <w:sz w:val="32"/>
          <w:szCs w:val="32"/>
        </w:rPr>
        <w:t>内容</w:t>
      </w:r>
      <w:r w:rsidRPr="008A4B91">
        <w:rPr>
          <w:rFonts w:ascii="仿宋_GB2312" w:eastAsia="仿宋_GB2312" w:hint="eastAsia"/>
          <w:color w:val="000000" w:themeColor="text1"/>
          <w:sz w:val="32"/>
          <w:szCs w:val="32"/>
        </w:rPr>
        <w:t>经过了一定量的临床研究验证，</w:t>
      </w:r>
      <w:r w:rsidRPr="008A4B91">
        <w:rPr>
          <w:rFonts w:ascii="仿宋_GB2312" w:eastAsia="仿宋_GB2312" w:hint="eastAsia"/>
          <w:bCs/>
          <w:color w:val="000000" w:themeColor="text1"/>
          <w:sz w:val="32"/>
          <w:szCs w:val="32"/>
        </w:rPr>
        <w:t>应用人数超过1000人，</w:t>
      </w:r>
      <w:r w:rsidRPr="008A4B91">
        <w:rPr>
          <w:rFonts w:ascii="仿宋_GB2312" w:eastAsia="仿宋_GB2312" w:hint="eastAsia"/>
          <w:color w:val="000000" w:themeColor="text1"/>
          <w:sz w:val="32"/>
          <w:szCs w:val="32"/>
        </w:rPr>
        <w:t>该成果用于指导临床治疗实用价值大，在</w:t>
      </w:r>
      <w:r w:rsidRPr="008A4B91">
        <w:rPr>
          <w:rFonts w:ascii="仿宋_GB2312" w:eastAsia="仿宋_GB2312"/>
          <w:bCs/>
          <w:color w:val="000000" w:themeColor="text1"/>
          <w:sz w:val="32"/>
          <w:szCs w:val="32"/>
        </w:rPr>
        <w:t>有效</w:t>
      </w:r>
      <w:r w:rsidRPr="008A4B91">
        <w:rPr>
          <w:rFonts w:ascii="仿宋_GB2312" w:eastAsia="仿宋_GB2312" w:hint="eastAsia"/>
          <w:bCs/>
          <w:color w:val="000000" w:themeColor="text1"/>
          <w:sz w:val="32"/>
          <w:szCs w:val="32"/>
        </w:rPr>
        <w:t>提高药物相关急性肾损伤早诊早治及专科救治率及患者预后</w:t>
      </w:r>
      <w:r w:rsidRPr="008A4B91">
        <w:rPr>
          <w:rFonts w:ascii="仿宋_GB2312" w:eastAsia="仿宋_GB2312" w:hint="eastAsia"/>
          <w:color w:val="000000" w:themeColor="text1"/>
          <w:sz w:val="32"/>
          <w:szCs w:val="32"/>
        </w:rPr>
        <w:t>方面效果显著获</w:t>
      </w:r>
      <w:r w:rsidRPr="008A4B91">
        <w:rPr>
          <w:rFonts w:ascii="仿宋_GB2312" w:eastAsia="仿宋_GB2312" w:hint="eastAsia"/>
          <w:color w:val="000000" w:themeColor="text1"/>
          <w:sz w:val="32"/>
          <w:szCs w:val="32"/>
        </w:rPr>
        <w:lastRenderedPageBreak/>
        <w:t>得了较好的社会效益</w:t>
      </w:r>
      <w:r w:rsidR="008854C0">
        <w:rPr>
          <w:rFonts w:ascii="仿宋_GB2312" w:eastAsia="仿宋_GB2312" w:hint="eastAsia"/>
          <w:color w:val="000000" w:themeColor="text1"/>
          <w:sz w:val="32"/>
          <w:szCs w:val="32"/>
        </w:rPr>
        <w:t>。</w:t>
      </w:r>
    </w:p>
    <w:p w14:paraId="3C75DE74"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本标准的内容与现行的法律法规及强制性标准无冲突，本文件相关指标不低于强制性国家标准的相关技术要求，标准的编写符合GB/T 1.1—2020的要求。</w:t>
      </w:r>
    </w:p>
    <w:p w14:paraId="10E3EE1F" w14:textId="77777777" w:rsidR="00D634F2" w:rsidRDefault="008854C0">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五、主要条款的说明</w:t>
      </w:r>
    </w:p>
    <w:p w14:paraId="1332D6E8" w14:textId="0CCC3F9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团体</w:t>
      </w:r>
      <w:r w:rsidRPr="002E498F">
        <w:rPr>
          <w:rFonts w:ascii="仿宋_GB2312" w:eastAsia="仿宋_GB2312" w:hint="eastAsia"/>
          <w:color w:val="000000" w:themeColor="text1"/>
          <w:sz w:val="32"/>
          <w:szCs w:val="32"/>
        </w:rPr>
        <w:t>标准《</w:t>
      </w:r>
      <w:r w:rsidR="002D60AF" w:rsidRPr="002E498F">
        <w:rPr>
          <w:rFonts w:ascii="仿宋_GB2312" w:eastAsia="仿宋_GB2312" w:hint="eastAsia"/>
          <w:color w:val="000000" w:themeColor="text1"/>
          <w:sz w:val="32"/>
          <w:szCs w:val="32"/>
        </w:rPr>
        <w:t>抗肿瘤药物急性肾损伤早期诊疗规范</w:t>
      </w:r>
      <w:r w:rsidRPr="002E498F">
        <w:rPr>
          <w:rFonts w:ascii="仿宋_GB2312" w:eastAsia="仿宋_GB2312" w:hint="eastAsia"/>
          <w:color w:val="000000" w:themeColor="text1"/>
          <w:sz w:val="32"/>
          <w:szCs w:val="32"/>
        </w:rPr>
        <w:t>》的主要章节内容包括</w:t>
      </w:r>
      <w:r w:rsidR="00835A4B">
        <w:rPr>
          <w:rFonts w:ascii="仿宋_GB2312" w:eastAsia="仿宋_GB2312" w:hint="eastAsia"/>
          <w:color w:val="000000" w:themeColor="text1"/>
          <w:sz w:val="32"/>
          <w:szCs w:val="32"/>
        </w:rPr>
        <w:t>术语和</w:t>
      </w:r>
      <w:r w:rsidR="00835A4B">
        <w:rPr>
          <w:rFonts w:ascii="仿宋_GB2312" w:eastAsia="仿宋_GB2312"/>
          <w:color w:val="000000" w:themeColor="text1"/>
          <w:sz w:val="32"/>
          <w:szCs w:val="32"/>
        </w:rPr>
        <w:t>定义</w:t>
      </w:r>
      <w:r w:rsidR="00835A4B">
        <w:rPr>
          <w:rFonts w:ascii="仿宋_GB2312" w:eastAsia="仿宋_GB2312" w:hint="eastAsia"/>
          <w:color w:val="000000" w:themeColor="text1"/>
          <w:sz w:val="32"/>
          <w:szCs w:val="32"/>
        </w:rPr>
        <w:t>、缩略语</w:t>
      </w:r>
      <w:r w:rsidR="00835A4B" w:rsidRPr="009C4A95">
        <w:rPr>
          <w:rFonts w:ascii="仿宋_GB2312" w:eastAsia="仿宋_GB2312" w:hint="eastAsia"/>
          <w:color w:val="000000" w:themeColor="text1"/>
          <w:sz w:val="32"/>
          <w:szCs w:val="32"/>
        </w:rPr>
        <w:t>、</w:t>
      </w:r>
      <w:r w:rsidR="00835A4B" w:rsidRPr="009C4A95">
        <w:rPr>
          <w:rFonts w:ascii="仿宋_GB2312" w:eastAsia="仿宋_GB2312"/>
          <w:color w:val="000000" w:themeColor="text1"/>
          <w:sz w:val="32"/>
          <w:szCs w:val="32"/>
        </w:rPr>
        <w:t>诊断与</w:t>
      </w:r>
      <w:r w:rsidR="00835A4B" w:rsidRPr="009C4A95">
        <w:rPr>
          <w:rFonts w:ascii="仿宋_GB2312" w:eastAsia="仿宋_GB2312" w:hint="eastAsia"/>
          <w:color w:val="000000" w:themeColor="text1"/>
          <w:sz w:val="32"/>
          <w:szCs w:val="32"/>
        </w:rPr>
        <w:t>监测</w:t>
      </w:r>
      <w:r w:rsidR="00365DD5">
        <w:rPr>
          <w:rFonts w:ascii="仿宋_GB2312" w:eastAsia="仿宋_GB2312"/>
          <w:color w:val="000000" w:themeColor="text1"/>
          <w:sz w:val="32"/>
          <w:szCs w:val="32"/>
        </w:rPr>
        <w:t>、治疗</w:t>
      </w:r>
      <w:r w:rsidR="00835A4B" w:rsidRPr="009C4A95">
        <w:rPr>
          <w:rFonts w:ascii="仿宋_GB2312" w:eastAsia="仿宋_GB2312"/>
          <w:color w:val="000000" w:themeColor="text1"/>
          <w:sz w:val="32"/>
          <w:szCs w:val="32"/>
        </w:rPr>
        <w:t>和日常调护</w:t>
      </w:r>
      <w:r w:rsidRPr="009C4A95">
        <w:rPr>
          <w:rFonts w:ascii="仿宋_GB2312" w:eastAsia="仿宋_GB2312" w:hint="eastAsia"/>
          <w:color w:val="000000" w:themeColor="text1"/>
          <w:sz w:val="32"/>
          <w:szCs w:val="32"/>
        </w:rPr>
        <w:t>。</w:t>
      </w:r>
      <w:r w:rsidRPr="002E498F">
        <w:rPr>
          <w:rFonts w:ascii="仿宋_GB2312" w:eastAsia="仿宋_GB2312" w:hint="eastAsia"/>
          <w:color w:val="000000" w:themeColor="text1"/>
          <w:sz w:val="32"/>
          <w:szCs w:val="32"/>
        </w:rPr>
        <w:t>本文件主要内容及依据来源</w:t>
      </w:r>
      <w:r>
        <w:rPr>
          <w:rFonts w:ascii="仿宋_GB2312" w:eastAsia="仿宋_GB2312" w:hint="eastAsia"/>
          <w:color w:val="000000" w:themeColor="text1"/>
          <w:sz w:val="32"/>
          <w:szCs w:val="32"/>
        </w:rPr>
        <w:t>说明如下：</w:t>
      </w:r>
    </w:p>
    <w:p w14:paraId="5F4BAC1F" w14:textId="74166968" w:rsidR="00691524" w:rsidRDefault="00C215FD" w:rsidP="00835A4B">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（一）</w:t>
      </w:r>
      <w:r w:rsidR="00835A4B" w:rsidRPr="00835A4B">
        <w:rPr>
          <w:rFonts w:ascii="Times New Roman" w:eastAsia="楷体" w:hAnsi="Times New Roman" w:cs="Times New Roman" w:hint="eastAsia"/>
          <w:b/>
          <w:bCs/>
          <w:color w:val="000000" w:themeColor="text1"/>
          <w:kern w:val="0"/>
          <w:sz w:val="32"/>
          <w:szCs w:val="32"/>
        </w:rPr>
        <w:t>术语和定义</w:t>
      </w:r>
    </w:p>
    <w:p w14:paraId="691258B5" w14:textId="01912A50" w:rsidR="005868E0" w:rsidRPr="005868E0" w:rsidRDefault="00FB175E" w:rsidP="005868E0">
      <w:pPr>
        <w:spacing w:line="520" w:lineRule="exact"/>
        <w:ind w:firstLineChars="200" w:firstLine="640"/>
        <w:rPr>
          <w:rFonts w:ascii="仿宋_GB2312" w:eastAsia="仿宋_GB2312" w:hint="eastAsia"/>
          <w:color w:val="000000" w:themeColor="text1"/>
          <w:sz w:val="32"/>
          <w:szCs w:val="32"/>
        </w:rPr>
      </w:pPr>
      <w:r w:rsidRPr="00FB175E">
        <w:rPr>
          <w:rFonts w:ascii="仿宋_GB2312" w:eastAsia="仿宋_GB2312" w:hint="eastAsia"/>
          <w:color w:val="000000" w:themeColor="text1"/>
          <w:sz w:val="32"/>
          <w:szCs w:val="32"/>
        </w:rPr>
        <w:t>依据</w:t>
      </w:r>
      <w:r w:rsidRPr="00FB175E">
        <w:rPr>
          <w:rFonts w:ascii="仿宋_GB2312" w:eastAsia="仿宋_GB2312"/>
          <w:color w:val="000000" w:themeColor="text1"/>
          <w:sz w:val="32"/>
          <w:szCs w:val="32"/>
        </w:rPr>
        <w:t>《肿瘤合并慢性肾脏病患者抗肿瘤治疗药物用药指导 (2024 版)》，该共识系统梳理各类抗肿瘤药物肾损伤风险，明确化疗、靶向、免疫制剂均存在不同程度肾毒性</w:t>
      </w:r>
      <w:r w:rsidRPr="00FB175E">
        <w:rPr>
          <w:rFonts w:ascii="仿宋_GB2312" w:eastAsia="仿宋_GB2312" w:hint="eastAsia"/>
          <w:color w:val="000000" w:themeColor="text1"/>
          <w:sz w:val="32"/>
          <w:szCs w:val="32"/>
        </w:rPr>
        <w:t>。</w:t>
      </w:r>
      <w:r w:rsidR="00213117">
        <w:rPr>
          <w:rFonts w:ascii="仿宋_GB2312" w:eastAsia="仿宋_GB2312" w:hint="eastAsia"/>
          <w:color w:val="000000" w:themeColor="text1"/>
          <w:sz w:val="32"/>
          <w:szCs w:val="32"/>
        </w:rPr>
        <w:t>综合考虑将“抗肿瘤</w:t>
      </w:r>
      <w:r w:rsidR="00213117">
        <w:rPr>
          <w:rFonts w:ascii="仿宋_GB2312" w:eastAsia="仿宋_GB2312"/>
          <w:color w:val="000000" w:themeColor="text1"/>
          <w:sz w:val="32"/>
          <w:szCs w:val="32"/>
        </w:rPr>
        <w:t>药物</w:t>
      </w:r>
      <w:r w:rsidR="00213117">
        <w:rPr>
          <w:rFonts w:ascii="仿宋_GB2312" w:eastAsia="仿宋_GB2312" w:hint="eastAsia"/>
          <w:color w:val="000000" w:themeColor="text1"/>
          <w:sz w:val="32"/>
          <w:szCs w:val="32"/>
        </w:rPr>
        <w:t>”</w:t>
      </w:r>
      <w:r w:rsidRPr="00FB175E">
        <w:rPr>
          <w:rFonts w:ascii="仿宋_GB2312" w:eastAsia="仿宋_GB2312" w:hint="eastAsia"/>
          <w:color w:val="000000" w:themeColor="text1"/>
          <w:sz w:val="32"/>
          <w:szCs w:val="32"/>
        </w:rPr>
        <w:t>定义为：</w:t>
      </w:r>
      <w:r w:rsidRPr="00FB175E">
        <w:rPr>
          <w:rFonts w:ascii="仿宋_GB2312" w:eastAsia="仿宋_GB2312"/>
          <w:color w:val="000000" w:themeColor="text1"/>
          <w:sz w:val="32"/>
          <w:szCs w:val="32"/>
        </w:rPr>
        <w:t>在细胞或分子水平上发挥作用，用于抑制、消除或阻止肿瘤细胞生长、增殖、转移，具有潜在肾毒性或可诱发肾脏损伤的一类药物。</w:t>
      </w:r>
      <w:r w:rsidR="005868E0" w:rsidRPr="005868E0">
        <w:rPr>
          <w:rFonts w:ascii="仿宋_GB2312" w:eastAsia="仿宋_GB2312" w:hint="eastAsia"/>
          <w:color w:val="000000" w:themeColor="text1"/>
          <w:sz w:val="32"/>
          <w:szCs w:val="32"/>
        </w:rPr>
        <w:t>传统细胞毒性药物（烷化剂类如铂类、异环磷酰胺）；靶向药物（VEGF抑制剂、EGFR抑制剂、TKI）；免疫检查点抑制剂（PD-1、CTLA-4抑制剂）。这三大类是目前导致ACI-AKI的最主要药物类别。</w:t>
      </w:r>
      <w:r w:rsidR="005868E0">
        <w:rPr>
          <w:rFonts w:ascii="仿宋_GB2312" w:eastAsia="仿宋_GB2312" w:hint="eastAsia"/>
          <w:color w:val="000000" w:themeColor="text1"/>
          <w:sz w:val="32"/>
          <w:szCs w:val="32"/>
        </w:rPr>
        <w:t>对于其他未列出的药物</w:t>
      </w:r>
      <w:r w:rsidR="005868E0" w:rsidRPr="005868E0">
        <w:rPr>
          <w:rFonts w:ascii="仿宋_GB2312" w:eastAsia="仿宋_GB2312" w:hint="eastAsia"/>
          <w:color w:val="000000" w:themeColor="text1"/>
          <w:sz w:val="32"/>
          <w:szCs w:val="32"/>
        </w:rPr>
        <w:t>，</w:t>
      </w:r>
      <w:r w:rsidR="005868E0">
        <w:rPr>
          <w:rFonts w:ascii="仿宋_GB2312" w:eastAsia="仿宋_GB2312" w:hint="eastAsia"/>
          <w:color w:val="000000" w:themeColor="text1"/>
          <w:sz w:val="32"/>
          <w:szCs w:val="32"/>
        </w:rPr>
        <w:t>若具有潜在肾毒性或可诱发肾脏损伤的</w:t>
      </w:r>
      <w:r w:rsidR="005868E0" w:rsidRPr="005868E0">
        <w:rPr>
          <w:rFonts w:ascii="仿宋_GB2312" w:eastAsia="仿宋_GB2312" w:hint="eastAsia"/>
          <w:color w:val="000000" w:themeColor="text1"/>
          <w:sz w:val="32"/>
          <w:szCs w:val="32"/>
        </w:rPr>
        <w:t>特征，</w:t>
      </w:r>
      <w:r w:rsidR="005868E0">
        <w:rPr>
          <w:rFonts w:ascii="仿宋_GB2312" w:eastAsia="仿宋_GB2312" w:hint="eastAsia"/>
          <w:color w:val="000000" w:themeColor="text1"/>
          <w:sz w:val="32"/>
          <w:szCs w:val="32"/>
        </w:rPr>
        <w:t>也适用同样的</w:t>
      </w:r>
      <w:r w:rsidR="005868E0" w:rsidRPr="005868E0">
        <w:rPr>
          <w:rFonts w:ascii="仿宋_GB2312" w:eastAsia="仿宋_GB2312" w:hint="eastAsia"/>
          <w:color w:val="000000" w:themeColor="text1"/>
          <w:sz w:val="32"/>
          <w:szCs w:val="32"/>
        </w:rPr>
        <w:t>诊疗流程</w:t>
      </w:r>
      <w:r w:rsidR="005868E0">
        <w:rPr>
          <w:rFonts w:ascii="仿宋_GB2312" w:eastAsia="仿宋_GB2312" w:hint="eastAsia"/>
          <w:color w:val="000000" w:themeColor="text1"/>
          <w:sz w:val="32"/>
          <w:szCs w:val="32"/>
        </w:rPr>
        <w:t>。</w:t>
      </w:r>
      <w:bookmarkStart w:id="1" w:name="_GoBack"/>
      <w:bookmarkEnd w:id="1"/>
    </w:p>
    <w:p w14:paraId="7ABCBC4C" w14:textId="5D133534" w:rsidR="00835A4B" w:rsidRDefault="00C215FD" w:rsidP="00835A4B">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（二）</w:t>
      </w:r>
      <w:r w:rsidR="00835A4B" w:rsidRPr="00835A4B">
        <w:rPr>
          <w:rFonts w:ascii="Times New Roman" w:eastAsia="楷体" w:hAnsi="Times New Roman" w:cs="Times New Roman" w:hint="eastAsia"/>
          <w:b/>
          <w:bCs/>
          <w:color w:val="000000" w:themeColor="text1"/>
          <w:kern w:val="0"/>
          <w:sz w:val="32"/>
          <w:szCs w:val="32"/>
        </w:rPr>
        <w:t>缩略语</w:t>
      </w:r>
    </w:p>
    <w:p w14:paraId="47F2CB12" w14:textId="77F5A319" w:rsidR="00872B8D" w:rsidRDefault="00872B8D" w:rsidP="00872B8D">
      <w:pPr>
        <w:spacing w:line="520" w:lineRule="exact"/>
        <w:ind w:firstLineChars="200" w:firstLine="640"/>
        <w:rPr>
          <w:rFonts w:ascii="仿宋_GB2312" w:eastAsia="仿宋_GB2312"/>
          <w:color w:val="000000" w:themeColor="text1"/>
          <w:sz w:val="32"/>
          <w:szCs w:val="32"/>
        </w:rPr>
      </w:pPr>
      <w:r w:rsidRPr="00872B8D">
        <w:rPr>
          <w:rFonts w:ascii="仿宋_GB2312" w:eastAsia="仿宋_GB2312" w:hint="eastAsia"/>
          <w:color w:val="000000" w:themeColor="text1"/>
          <w:sz w:val="32"/>
          <w:szCs w:val="32"/>
        </w:rPr>
        <w:t>为更好理解本文件相关内容，本文件设置了下列缩略语</w:t>
      </w:r>
      <w:r>
        <w:rPr>
          <w:rFonts w:ascii="仿宋_GB2312" w:eastAsia="仿宋_GB2312" w:hint="eastAsia"/>
          <w:color w:val="000000" w:themeColor="text1"/>
          <w:sz w:val="32"/>
          <w:szCs w:val="32"/>
        </w:rPr>
        <w:t>。</w:t>
      </w:r>
    </w:p>
    <w:p w14:paraId="42FA788C" w14:textId="77777777" w:rsidR="00872B8D" w:rsidRPr="00872B8D" w:rsidRDefault="00872B8D" w:rsidP="00872B8D">
      <w:pPr>
        <w:spacing w:line="520" w:lineRule="exact"/>
        <w:ind w:firstLineChars="200" w:firstLine="640"/>
        <w:rPr>
          <w:rFonts w:ascii="仿宋_GB2312" w:eastAsia="仿宋_GB2312"/>
          <w:color w:val="000000" w:themeColor="text1"/>
          <w:sz w:val="32"/>
          <w:szCs w:val="32"/>
        </w:rPr>
      </w:pPr>
      <w:r w:rsidRPr="00872B8D">
        <w:rPr>
          <w:rFonts w:ascii="仿宋_GB2312" w:eastAsia="仿宋_GB2312" w:hint="eastAsia"/>
          <w:color w:val="000000" w:themeColor="text1"/>
          <w:sz w:val="32"/>
          <w:szCs w:val="32"/>
        </w:rPr>
        <w:t>AKI：急性肾损伤（Acute Kidney Injury）</w:t>
      </w:r>
    </w:p>
    <w:p w14:paraId="1DEF776A" w14:textId="77777777" w:rsidR="00872B8D" w:rsidRPr="00872B8D" w:rsidRDefault="00872B8D" w:rsidP="00872B8D">
      <w:pPr>
        <w:spacing w:line="520" w:lineRule="exact"/>
        <w:ind w:firstLineChars="200" w:firstLine="640"/>
        <w:rPr>
          <w:rFonts w:ascii="仿宋_GB2312" w:eastAsia="仿宋_GB2312"/>
          <w:color w:val="000000" w:themeColor="text1"/>
          <w:sz w:val="32"/>
          <w:szCs w:val="32"/>
        </w:rPr>
      </w:pPr>
      <w:r w:rsidRPr="00872B8D">
        <w:rPr>
          <w:rFonts w:ascii="仿宋_GB2312" w:eastAsia="仿宋_GB2312" w:hint="eastAsia"/>
          <w:color w:val="000000" w:themeColor="text1"/>
          <w:sz w:val="32"/>
          <w:szCs w:val="32"/>
        </w:rPr>
        <w:t>ACI-AKI：抗肿瘤药物急性肾损伤（Anticancer Drug-induced Acute Kidney Injury）</w:t>
      </w:r>
    </w:p>
    <w:p w14:paraId="06C4EE36" w14:textId="77777777" w:rsidR="00872B8D" w:rsidRPr="00872B8D" w:rsidRDefault="00872B8D" w:rsidP="00872B8D">
      <w:pPr>
        <w:spacing w:line="520" w:lineRule="exact"/>
        <w:ind w:firstLineChars="200" w:firstLine="640"/>
        <w:rPr>
          <w:rFonts w:ascii="仿宋_GB2312" w:eastAsia="仿宋_GB2312"/>
          <w:color w:val="000000" w:themeColor="text1"/>
          <w:sz w:val="32"/>
          <w:szCs w:val="32"/>
        </w:rPr>
      </w:pPr>
      <w:r w:rsidRPr="00872B8D">
        <w:rPr>
          <w:rFonts w:ascii="仿宋_GB2312" w:eastAsia="仿宋_GB2312" w:hint="eastAsia"/>
          <w:color w:val="000000" w:themeColor="text1"/>
          <w:sz w:val="32"/>
          <w:szCs w:val="32"/>
        </w:rPr>
        <w:t>Ccr：肌酐清除率（Creatinine Clearance Rate）</w:t>
      </w:r>
    </w:p>
    <w:p w14:paraId="4BF332C8" w14:textId="77777777" w:rsidR="00872B8D" w:rsidRPr="00872B8D" w:rsidRDefault="00872B8D" w:rsidP="00872B8D">
      <w:pPr>
        <w:spacing w:line="520" w:lineRule="exact"/>
        <w:ind w:firstLineChars="200" w:firstLine="640"/>
        <w:rPr>
          <w:rFonts w:ascii="仿宋_GB2312" w:eastAsia="仿宋_GB2312"/>
          <w:color w:val="000000" w:themeColor="text1"/>
          <w:sz w:val="32"/>
          <w:szCs w:val="32"/>
        </w:rPr>
      </w:pPr>
      <w:r w:rsidRPr="00872B8D">
        <w:rPr>
          <w:rFonts w:ascii="仿宋_GB2312" w:eastAsia="仿宋_GB2312" w:hint="eastAsia"/>
          <w:color w:val="000000" w:themeColor="text1"/>
          <w:sz w:val="32"/>
          <w:szCs w:val="32"/>
        </w:rPr>
        <w:t xml:space="preserve">eGFR：估算肾小球滤过率（Estimated Glomerular </w:t>
      </w:r>
      <w:r w:rsidRPr="00872B8D">
        <w:rPr>
          <w:rFonts w:ascii="仿宋_GB2312" w:eastAsia="仿宋_GB2312" w:hint="eastAsia"/>
          <w:color w:val="000000" w:themeColor="text1"/>
          <w:sz w:val="32"/>
          <w:szCs w:val="32"/>
        </w:rPr>
        <w:lastRenderedPageBreak/>
        <w:t>Filtration Rate）</w:t>
      </w:r>
    </w:p>
    <w:p w14:paraId="4BF00017" w14:textId="77777777" w:rsidR="00872B8D" w:rsidRPr="00872B8D" w:rsidRDefault="00872B8D" w:rsidP="00872B8D">
      <w:pPr>
        <w:spacing w:line="520" w:lineRule="exact"/>
        <w:ind w:firstLineChars="200" w:firstLine="640"/>
        <w:rPr>
          <w:rFonts w:ascii="仿宋_GB2312" w:eastAsia="仿宋_GB2312"/>
          <w:color w:val="000000" w:themeColor="text1"/>
          <w:sz w:val="32"/>
          <w:szCs w:val="32"/>
        </w:rPr>
      </w:pPr>
      <w:r w:rsidRPr="00872B8D">
        <w:rPr>
          <w:rFonts w:ascii="仿宋_GB2312" w:eastAsia="仿宋_GB2312" w:hint="eastAsia"/>
          <w:color w:val="000000" w:themeColor="text1"/>
          <w:sz w:val="32"/>
          <w:szCs w:val="32"/>
        </w:rPr>
        <w:t>EGFR：表皮生长因子受体（Epidermal Growth Factor Receptor）</w:t>
      </w:r>
    </w:p>
    <w:p w14:paraId="51405F9A" w14:textId="77777777" w:rsidR="00872B8D" w:rsidRPr="00872B8D" w:rsidRDefault="00872B8D" w:rsidP="00872B8D">
      <w:pPr>
        <w:spacing w:line="520" w:lineRule="exact"/>
        <w:ind w:firstLineChars="200" w:firstLine="640"/>
        <w:rPr>
          <w:rFonts w:ascii="仿宋_GB2312" w:eastAsia="仿宋_GB2312"/>
          <w:color w:val="000000" w:themeColor="text1"/>
          <w:sz w:val="32"/>
          <w:szCs w:val="32"/>
        </w:rPr>
      </w:pPr>
      <w:r w:rsidRPr="00872B8D">
        <w:rPr>
          <w:rFonts w:ascii="仿宋_GB2312" w:eastAsia="仿宋_GB2312" w:hint="eastAsia"/>
          <w:color w:val="000000" w:themeColor="text1"/>
          <w:sz w:val="32"/>
          <w:szCs w:val="32"/>
        </w:rPr>
        <w:t>irAE：免疫相关不良事件（Immune-related Adverse Events）</w:t>
      </w:r>
    </w:p>
    <w:p w14:paraId="2DA06A58" w14:textId="77777777" w:rsidR="00872B8D" w:rsidRPr="00872B8D" w:rsidRDefault="00872B8D" w:rsidP="00872B8D">
      <w:pPr>
        <w:spacing w:line="520" w:lineRule="exact"/>
        <w:ind w:firstLineChars="200" w:firstLine="640"/>
        <w:rPr>
          <w:rFonts w:ascii="仿宋_GB2312" w:eastAsia="仿宋_GB2312"/>
          <w:color w:val="000000" w:themeColor="text1"/>
          <w:sz w:val="32"/>
          <w:szCs w:val="32"/>
        </w:rPr>
      </w:pPr>
      <w:r w:rsidRPr="00872B8D">
        <w:rPr>
          <w:rFonts w:ascii="仿宋_GB2312" w:eastAsia="仿宋_GB2312" w:hint="eastAsia"/>
          <w:color w:val="000000" w:themeColor="text1"/>
          <w:sz w:val="32"/>
          <w:szCs w:val="32"/>
        </w:rPr>
        <w:t>ICI：免疫检查点抑制剂（Immune Checkpoint Inhibitors）</w:t>
      </w:r>
    </w:p>
    <w:p w14:paraId="7E1C6BCF" w14:textId="77777777" w:rsidR="00872B8D" w:rsidRPr="00872B8D" w:rsidRDefault="00872B8D" w:rsidP="00872B8D">
      <w:pPr>
        <w:spacing w:line="520" w:lineRule="exact"/>
        <w:ind w:firstLineChars="200" w:firstLine="640"/>
        <w:rPr>
          <w:rFonts w:ascii="仿宋_GB2312" w:eastAsia="仿宋_GB2312"/>
          <w:color w:val="000000" w:themeColor="text1"/>
          <w:sz w:val="32"/>
          <w:szCs w:val="32"/>
        </w:rPr>
      </w:pPr>
      <w:r w:rsidRPr="00872B8D">
        <w:rPr>
          <w:rFonts w:ascii="仿宋_GB2312" w:eastAsia="仿宋_GB2312" w:hint="eastAsia"/>
          <w:color w:val="000000" w:themeColor="text1"/>
          <w:sz w:val="32"/>
          <w:szCs w:val="32"/>
        </w:rPr>
        <w:t>Scr：血清肌酐（Serum Creatinine）</w:t>
      </w:r>
    </w:p>
    <w:p w14:paraId="2360ED18" w14:textId="77777777" w:rsidR="00872B8D" w:rsidRPr="00872B8D" w:rsidRDefault="00872B8D" w:rsidP="00872B8D">
      <w:pPr>
        <w:spacing w:line="520" w:lineRule="exact"/>
        <w:ind w:firstLineChars="200" w:firstLine="640"/>
        <w:rPr>
          <w:rFonts w:ascii="仿宋_GB2312" w:eastAsia="仿宋_GB2312"/>
          <w:color w:val="000000" w:themeColor="text1"/>
          <w:sz w:val="32"/>
          <w:szCs w:val="32"/>
        </w:rPr>
      </w:pPr>
      <w:r w:rsidRPr="00872B8D">
        <w:rPr>
          <w:rFonts w:ascii="仿宋_GB2312" w:eastAsia="仿宋_GB2312" w:hint="eastAsia"/>
          <w:color w:val="000000" w:themeColor="text1"/>
          <w:sz w:val="32"/>
          <w:szCs w:val="32"/>
        </w:rPr>
        <w:t>TKI：酪氨酸激酶抑制剂（Tyrosine Kinase Inhibitors）</w:t>
      </w:r>
    </w:p>
    <w:p w14:paraId="58748629" w14:textId="77777777" w:rsidR="00872B8D" w:rsidRPr="00872B8D" w:rsidRDefault="00872B8D" w:rsidP="00872B8D">
      <w:pPr>
        <w:spacing w:line="520" w:lineRule="exact"/>
        <w:ind w:firstLineChars="200" w:firstLine="640"/>
        <w:rPr>
          <w:rFonts w:ascii="仿宋_GB2312" w:eastAsia="仿宋_GB2312"/>
          <w:color w:val="000000" w:themeColor="text1"/>
          <w:sz w:val="32"/>
          <w:szCs w:val="32"/>
        </w:rPr>
      </w:pPr>
      <w:r w:rsidRPr="00872B8D">
        <w:rPr>
          <w:rFonts w:ascii="仿宋_GB2312" w:eastAsia="仿宋_GB2312" w:hint="eastAsia"/>
          <w:color w:val="000000" w:themeColor="text1"/>
          <w:sz w:val="32"/>
          <w:szCs w:val="32"/>
        </w:rPr>
        <w:t>TMA：血栓性微血管病（Thrombotic Microangiopathy）</w:t>
      </w:r>
    </w:p>
    <w:p w14:paraId="44ECEF19" w14:textId="01E63F8B" w:rsidR="00872B8D" w:rsidRPr="00872B8D" w:rsidRDefault="00872B8D" w:rsidP="00872B8D">
      <w:pPr>
        <w:spacing w:line="520" w:lineRule="exact"/>
        <w:ind w:firstLineChars="200" w:firstLine="640"/>
        <w:rPr>
          <w:rFonts w:ascii="仿宋_GB2312" w:eastAsia="仿宋_GB2312"/>
          <w:color w:val="000000" w:themeColor="text1"/>
          <w:sz w:val="32"/>
          <w:szCs w:val="32"/>
        </w:rPr>
      </w:pPr>
      <w:r w:rsidRPr="00872B8D">
        <w:rPr>
          <w:rFonts w:ascii="仿宋_GB2312" w:eastAsia="仿宋_GB2312" w:hint="eastAsia"/>
          <w:color w:val="000000" w:themeColor="text1"/>
          <w:sz w:val="32"/>
          <w:szCs w:val="32"/>
        </w:rPr>
        <w:t>VEGF：血管内皮生长因子（Vascular Endothelial Growth Factor）</w:t>
      </w:r>
    </w:p>
    <w:p w14:paraId="6B609F97" w14:textId="570B32D7" w:rsidR="00835A4B" w:rsidRDefault="00CB22BE" w:rsidP="00835A4B">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（三）</w:t>
      </w:r>
      <w:r w:rsidR="00835A4B" w:rsidRPr="00835A4B">
        <w:rPr>
          <w:rFonts w:ascii="Times New Roman" w:eastAsia="楷体" w:hAnsi="Times New Roman" w:cs="Times New Roman" w:hint="eastAsia"/>
          <w:b/>
          <w:bCs/>
          <w:color w:val="000000" w:themeColor="text1"/>
          <w:kern w:val="0"/>
          <w:sz w:val="32"/>
          <w:szCs w:val="32"/>
        </w:rPr>
        <w:t>诊断与监测</w:t>
      </w:r>
    </w:p>
    <w:p w14:paraId="63AA477B" w14:textId="3C7B5874" w:rsidR="00FD3BC2" w:rsidRDefault="00FD3BC2" w:rsidP="00FD3BC2">
      <w:pPr>
        <w:spacing w:line="520" w:lineRule="exact"/>
        <w:ind w:firstLineChars="200" w:firstLine="640"/>
        <w:rPr>
          <w:rFonts w:ascii="仿宋_GB2312" w:eastAsia="仿宋_GB2312"/>
          <w:color w:val="000000" w:themeColor="text1"/>
          <w:sz w:val="32"/>
          <w:szCs w:val="32"/>
        </w:rPr>
      </w:pPr>
      <w:r w:rsidRPr="00FD3BC2">
        <w:rPr>
          <w:rFonts w:ascii="仿宋_GB2312" w:eastAsia="仿宋_GB2312" w:hint="eastAsia"/>
          <w:color w:val="000000" w:themeColor="text1"/>
          <w:sz w:val="32"/>
          <w:szCs w:val="32"/>
        </w:rPr>
        <w:t>1</w:t>
      </w:r>
      <w:r w:rsidRPr="00FD3BC2">
        <w:rPr>
          <w:rFonts w:ascii="仿宋_GB2312" w:eastAsia="仿宋_GB2312"/>
          <w:color w:val="000000" w:themeColor="text1"/>
          <w:sz w:val="32"/>
          <w:szCs w:val="32"/>
        </w:rPr>
        <w:t>.</w:t>
      </w:r>
      <w:r w:rsidRPr="00FD3BC2">
        <w:rPr>
          <w:rFonts w:ascii="仿宋_GB2312" w:eastAsia="仿宋_GB2312" w:hint="eastAsia"/>
          <w:color w:val="000000" w:themeColor="text1"/>
          <w:sz w:val="32"/>
          <w:szCs w:val="32"/>
        </w:rPr>
        <w:t>用药前</w:t>
      </w:r>
      <w:r w:rsidRPr="00FD3BC2">
        <w:rPr>
          <w:rFonts w:ascii="仿宋_GB2312" w:eastAsia="仿宋_GB2312"/>
          <w:color w:val="000000" w:themeColor="text1"/>
          <w:sz w:val="32"/>
          <w:szCs w:val="32"/>
        </w:rPr>
        <w:t>评估</w:t>
      </w:r>
    </w:p>
    <w:p w14:paraId="62FD3EB1" w14:textId="38123674" w:rsidR="00FD3BC2" w:rsidRDefault="006F3473" w:rsidP="006F3473">
      <w:pPr>
        <w:spacing w:line="520" w:lineRule="exact"/>
        <w:ind w:firstLineChars="200" w:firstLine="640"/>
        <w:rPr>
          <w:rFonts w:ascii="仿宋_GB2312" w:eastAsia="仿宋_GB2312"/>
          <w:color w:val="000000" w:themeColor="text1"/>
          <w:sz w:val="32"/>
          <w:szCs w:val="32"/>
        </w:rPr>
      </w:pPr>
      <w:r w:rsidRPr="006F3473">
        <w:rPr>
          <w:rFonts w:ascii="仿宋_GB2312" w:eastAsia="仿宋_GB2312" w:hint="eastAsia"/>
          <w:color w:val="000000" w:themeColor="text1"/>
          <w:sz w:val="32"/>
          <w:szCs w:val="32"/>
        </w:rPr>
        <w:t>评估基线肾功能、尿常规、电解质及危险因素（如高龄、基础CKD</w:t>
      </w:r>
      <w:r>
        <w:rPr>
          <w:rFonts w:ascii="仿宋_GB2312" w:eastAsia="仿宋_GB2312" w:hint="eastAsia"/>
          <w:color w:val="000000" w:themeColor="text1"/>
          <w:sz w:val="32"/>
          <w:szCs w:val="32"/>
        </w:rPr>
        <w:t>、糖尿病等），</w:t>
      </w:r>
      <w:r w:rsidRPr="006F3473">
        <w:rPr>
          <w:rFonts w:ascii="仿宋_GB2312" w:eastAsia="仿宋_GB2312" w:hint="eastAsia"/>
          <w:color w:val="000000" w:themeColor="text1"/>
          <w:sz w:val="32"/>
          <w:szCs w:val="32"/>
        </w:rPr>
        <w:t>与国际上通用的“肾脏健康评估”理念一致。ADQI共识建议，在任何抗肿瘤药物治疗前都应进行肾脏健康评估，以“了解发生急性肾脏疾病的易感性”</w:t>
      </w:r>
      <w:r>
        <w:rPr>
          <w:rFonts w:ascii="仿宋_GB2312" w:eastAsia="仿宋_GB2312" w:hint="eastAsia"/>
          <w:color w:val="000000" w:themeColor="text1"/>
          <w:sz w:val="32"/>
          <w:szCs w:val="32"/>
        </w:rPr>
        <w:t>。</w:t>
      </w:r>
    </w:p>
    <w:p w14:paraId="2DBFD63C" w14:textId="6EDDBE1B" w:rsidR="006F3473" w:rsidRDefault="006F3473" w:rsidP="006F3473">
      <w:pPr>
        <w:spacing w:line="520" w:lineRule="exact"/>
        <w:ind w:firstLineChars="200" w:firstLine="640"/>
        <w:rPr>
          <w:rFonts w:ascii="仿宋_GB2312" w:eastAsia="仿宋_GB2312"/>
          <w:color w:val="000000" w:themeColor="text1"/>
          <w:sz w:val="32"/>
          <w:szCs w:val="32"/>
        </w:rPr>
      </w:pPr>
      <w:r w:rsidRPr="006F3473">
        <w:rPr>
          <w:rFonts w:ascii="仿宋_GB2312" w:eastAsia="仿宋_GB2312" w:hint="eastAsia"/>
          <w:color w:val="000000" w:themeColor="text1"/>
          <w:sz w:val="32"/>
          <w:szCs w:val="32"/>
        </w:rPr>
        <w:t>顺铂相关AKI的风险评估引用了2024年发表于《英国医学杂志》（The BMJ）的一项大型多中心队列研究。该研究通过对超过24,000名患者的数据分析，确定了包括年龄、高血压、糖尿病、血清镁水平、顺铂剂量等在内的多个独立风险因素，并开发了预测模型。</w:t>
      </w:r>
    </w:p>
    <w:p w14:paraId="4BD316CE" w14:textId="0B6117A9" w:rsidR="00412B76" w:rsidRDefault="00412B76" w:rsidP="00412B76">
      <w:pPr>
        <w:spacing w:line="520" w:lineRule="exact"/>
        <w:ind w:firstLineChars="200" w:firstLine="640"/>
        <w:rPr>
          <w:rFonts w:ascii="仿宋_GB2312" w:eastAsia="仿宋_GB2312"/>
          <w:color w:val="000000" w:themeColor="text1"/>
          <w:sz w:val="32"/>
          <w:szCs w:val="32"/>
        </w:rPr>
      </w:pPr>
      <w:r w:rsidRPr="00412B76">
        <w:rPr>
          <w:rFonts w:ascii="仿宋_GB2312" w:eastAsia="仿宋_GB2312" w:hint="eastAsia"/>
          <w:color w:val="000000" w:themeColor="text1"/>
          <w:sz w:val="32"/>
          <w:szCs w:val="32"/>
        </w:rPr>
        <w:t>2</w:t>
      </w:r>
      <w:r w:rsidRPr="00412B76">
        <w:rPr>
          <w:rFonts w:ascii="仿宋_GB2312" w:eastAsia="仿宋_GB2312"/>
          <w:color w:val="000000" w:themeColor="text1"/>
          <w:sz w:val="32"/>
          <w:szCs w:val="32"/>
        </w:rPr>
        <w:t>.</w:t>
      </w:r>
      <w:r w:rsidRPr="00412B76">
        <w:rPr>
          <w:rFonts w:ascii="仿宋_GB2312" w:eastAsia="仿宋_GB2312" w:hint="eastAsia"/>
          <w:color w:val="000000" w:themeColor="text1"/>
          <w:sz w:val="32"/>
          <w:szCs w:val="32"/>
        </w:rPr>
        <w:t>抗肿瘤药物相关AKI的诊断</w:t>
      </w:r>
    </w:p>
    <w:p w14:paraId="26D57547" w14:textId="339F365B" w:rsidR="00412B76" w:rsidRDefault="00412B76" w:rsidP="00412B76">
      <w:pPr>
        <w:spacing w:line="520" w:lineRule="exact"/>
        <w:ind w:firstLineChars="200" w:firstLine="640"/>
        <w:rPr>
          <w:rFonts w:ascii="仿宋_GB2312" w:eastAsia="仿宋_GB2312"/>
          <w:color w:val="000000" w:themeColor="text1"/>
          <w:sz w:val="32"/>
          <w:szCs w:val="32"/>
        </w:rPr>
      </w:pPr>
      <w:r w:rsidRPr="00412B76">
        <w:rPr>
          <w:rFonts w:ascii="仿宋_GB2312" w:eastAsia="仿宋_GB2312" w:hint="eastAsia"/>
          <w:color w:val="000000" w:themeColor="text1"/>
          <w:sz w:val="32"/>
          <w:szCs w:val="32"/>
        </w:rPr>
        <w:t>采用的“48h内Scr升高≥26.5μmol/L”、“7d内Scr较基线增加≥1.5倍”及“尿量&lt;0.5m</w:t>
      </w:r>
      <w:r w:rsidR="00B3731C">
        <w:rPr>
          <w:rFonts w:ascii="仿宋_GB2312" w:eastAsia="仿宋_GB2312"/>
          <w:color w:val="000000" w:themeColor="text1"/>
          <w:sz w:val="32"/>
          <w:szCs w:val="32"/>
        </w:rPr>
        <w:t>L</w:t>
      </w:r>
      <w:r w:rsidRPr="00412B76">
        <w:rPr>
          <w:rFonts w:ascii="仿宋_GB2312" w:eastAsia="仿宋_GB2312" w:hint="eastAsia"/>
          <w:color w:val="000000" w:themeColor="text1"/>
          <w:sz w:val="32"/>
          <w:szCs w:val="32"/>
        </w:rPr>
        <w:t>/(kg·h)持续6h以上”，是2012年改善全球肾脏病预后组织（KDIGO）发布的《急性肾损伤临床实践指南》所定义的AKI诊断标准</w:t>
      </w:r>
      <w:r>
        <w:rPr>
          <w:rFonts w:ascii="仿宋_GB2312" w:eastAsia="仿宋_GB2312" w:hint="eastAsia"/>
          <w:color w:val="000000" w:themeColor="text1"/>
          <w:sz w:val="32"/>
          <w:szCs w:val="32"/>
        </w:rPr>
        <w:t>。</w:t>
      </w:r>
    </w:p>
    <w:p w14:paraId="58C84F4D" w14:textId="0C6F708A" w:rsidR="00412B76" w:rsidRDefault="00412B76" w:rsidP="00412B76">
      <w:pPr>
        <w:spacing w:line="520" w:lineRule="exact"/>
        <w:ind w:firstLineChars="200" w:firstLine="640"/>
        <w:rPr>
          <w:rFonts w:ascii="仿宋_GB2312" w:eastAsia="仿宋_GB2312"/>
          <w:color w:val="000000" w:themeColor="text1"/>
          <w:sz w:val="32"/>
          <w:szCs w:val="32"/>
        </w:rPr>
      </w:pPr>
      <w:r w:rsidRPr="00412B76">
        <w:rPr>
          <w:rFonts w:ascii="仿宋_GB2312" w:eastAsia="仿宋_GB2312" w:hint="eastAsia"/>
          <w:color w:val="000000" w:themeColor="text1"/>
          <w:sz w:val="32"/>
          <w:szCs w:val="32"/>
        </w:rPr>
        <w:lastRenderedPageBreak/>
        <w:t>3</w:t>
      </w:r>
      <w:r w:rsidRPr="00412B76">
        <w:rPr>
          <w:rFonts w:ascii="仿宋_GB2312" w:eastAsia="仿宋_GB2312"/>
          <w:color w:val="000000" w:themeColor="text1"/>
          <w:sz w:val="32"/>
          <w:szCs w:val="32"/>
        </w:rPr>
        <w:t>.</w:t>
      </w:r>
      <w:r w:rsidRPr="00412B76">
        <w:rPr>
          <w:rFonts w:ascii="仿宋_GB2312" w:eastAsia="仿宋_GB2312" w:hint="eastAsia"/>
          <w:color w:val="000000" w:themeColor="text1"/>
          <w:sz w:val="32"/>
          <w:szCs w:val="32"/>
        </w:rPr>
        <w:t>识别药物肾损伤特征</w:t>
      </w:r>
    </w:p>
    <w:p w14:paraId="2A3D2398" w14:textId="7B3150B7" w:rsidR="00412B76" w:rsidRDefault="00412B76" w:rsidP="00412B76">
      <w:pPr>
        <w:spacing w:line="520" w:lineRule="exact"/>
        <w:ind w:firstLineChars="200" w:firstLine="640"/>
        <w:rPr>
          <w:rFonts w:ascii="仿宋_GB2312" w:eastAsia="仿宋_GB2312"/>
          <w:color w:val="000000" w:themeColor="text1"/>
          <w:sz w:val="32"/>
          <w:szCs w:val="32"/>
        </w:rPr>
      </w:pPr>
      <w:r w:rsidRPr="00412B76">
        <w:rPr>
          <w:rFonts w:ascii="仿宋_GB2312" w:eastAsia="仿宋_GB2312" w:hint="eastAsia"/>
          <w:color w:val="000000" w:themeColor="text1"/>
          <w:sz w:val="32"/>
          <w:szCs w:val="32"/>
        </w:rPr>
        <w:t>指出顺铂相关AKI需“重点关注低镁血症”。因为顺铂引起的肾小管损伤会导致镁离子重吸收障碍，低镁血症既是肾损伤的表现，也是加重肾毒性的风险因素，一项研究将其列为独立预测因子。</w:t>
      </w:r>
    </w:p>
    <w:p w14:paraId="2DF283E1" w14:textId="03E7CCA4" w:rsidR="00FD2B3A" w:rsidRPr="00FD2B3A" w:rsidRDefault="00FD2B3A" w:rsidP="00FD2B3A">
      <w:pPr>
        <w:spacing w:line="520" w:lineRule="exact"/>
        <w:ind w:firstLineChars="200" w:firstLine="640"/>
        <w:rPr>
          <w:rFonts w:ascii="仿宋_GB2312" w:eastAsia="仿宋_GB2312"/>
          <w:color w:val="000000" w:themeColor="text1"/>
          <w:sz w:val="32"/>
          <w:szCs w:val="32"/>
        </w:rPr>
      </w:pPr>
      <w:r w:rsidRPr="00FD2B3A">
        <w:rPr>
          <w:rFonts w:ascii="仿宋_GB2312" w:eastAsia="仿宋_GB2312" w:hint="eastAsia"/>
          <w:color w:val="000000" w:themeColor="text1"/>
          <w:sz w:val="32"/>
          <w:szCs w:val="32"/>
        </w:rPr>
        <w:t>4.监测频率与指标</w:t>
      </w:r>
    </w:p>
    <w:p w14:paraId="07E08514" w14:textId="695DEE8A" w:rsidR="00FD2B3A" w:rsidRPr="00FD2B3A" w:rsidRDefault="00FD2B3A" w:rsidP="00FD2B3A">
      <w:pPr>
        <w:spacing w:line="520" w:lineRule="exact"/>
        <w:ind w:firstLineChars="200" w:firstLine="640"/>
        <w:rPr>
          <w:rFonts w:ascii="仿宋_GB2312" w:eastAsia="仿宋_GB2312"/>
          <w:color w:val="000000" w:themeColor="text1"/>
          <w:sz w:val="32"/>
          <w:szCs w:val="32"/>
        </w:rPr>
      </w:pPr>
      <w:r w:rsidRPr="00FD2B3A">
        <w:rPr>
          <w:rFonts w:ascii="仿宋_GB2312" w:eastAsia="仿宋_GB2312" w:hint="eastAsia"/>
          <w:color w:val="000000" w:themeColor="text1"/>
          <w:sz w:val="32"/>
          <w:szCs w:val="32"/>
        </w:rPr>
        <w:t>根据药物类型制定了差异化的监测频率。例如，对肾毒性高的顺铂要求在给药后48</w:t>
      </w:r>
      <w:r>
        <w:rPr>
          <w:rFonts w:ascii="仿宋_GB2312" w:eastAsia="仿宋_GB2312" w:hint="eastAsia"/>
          <w:color w:val="000000" w:themeColor="text1"/>
          <w:sz w:val="32"/>
          <w:szCs w:val="32"/>
        </w:rPr>
        <w:t>～</w:t>
      </w:r>
      <w:r w:rsidRPr="00FD2B3A">
        <w:rPr>
          <w:rFonts w:ascii="仿宋_GB2312" w:eastAsia="仿宋_GB2312" w:hint="eastAsia"/>
          <w:color w:val="000000" w:themeColor="text1"/>
          <w:sz w:val="32"/>
          <w:szCs w:val="32"/>
        </w:rPr>
        <w:t>72h增加监测；对免疫治疗，高危人群缩短至每2周监测。这种分层管理策略是精准医疗理念的体现，根据患者暴露的风险制定个体化的监测和风险降低计划。</w:t>
      </w:r>
    </w:p>
    <w:p w14:paraId="54570ADE" w14:textId="38BCBCBA" w:rsidR="00835A4B" w:rsidRDefault="00CB22BE" w:rsidP="00835A4B">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CB22BE">
        <w:rPr>
          <w:rFonts w:ascii="Times New Roman" w:eastAsia="楷体" w:hAnsi="Times New Roman" w:cs="Times New Roman" w:hint="eastAsia"/>
          <w:b/>
          <w:bCs/>
          <w:color w:val="000000" w:themeColor="text1"/>
          <w:kern w:val="0"/>
          <w:sz w:val="32"/>
          <w:szCs w:val="32"/>
        </w:rPr>
        <w:t>（</w:t>
      </w:r>
      <w:r>
        <w:rPr>
          <w:rFonts w:ascii="Times New Roman" w:eastAsia="楷体" w:hAnsi="Times New Roman" w:cs="Times New Roman" w:hint="eastAsia"/>
          <w:b/>
          <w:bCs/>
          <w:color w:val="000000" w:themeColor="text1"/>
          <w:kern w:val="0"/>
          <w:sz w:val="32"/>
          <w:szCs w:val="32"/>
        </w:rPr>
        <w:t>四</w:t>
      </w:r>
      <w:r w:rsidRPr="00CB22BE">
        <w:rPr>
          <w:rFonts w:ascii="Times New Roman" w:eastAsia="楷体" w:hAnsi="Times New Roman" w:cs="Times New Roman" w:hint="eastAsia"/>
          <w:b/>
          <w:bCs/>
          <w:color w:val="000000" w:themeColor="text1"/>
          <w:kern w:val="0"/>
          <w:sz w:val="32"/>
          <w:szCs w:val="32"/>
        </w:rPr>
        <w:t>）</w:t>
      </w:r>
      <w:r w:rsidR="00835A4B" w:rsidRPr="00835A4B">
        <w:rPr>
          <w:rFonts w:ascii="Times New Roman" w:eastAsia="楷体" w:hAnsi="Times New Roman" w:cs="Times New Roman" w:hint="eastAsia"/>
          <w:b/>
          <w:bCs/>
          <w:color w:val="000000" w:themeColor="text1"/>
          <w:kern w:val="0"/>
          <w:sz w:val="32"/>
          <w:szCs w:val="32"/>
        </w:rPr>
        <w:t>治疗</w:t>
      </w:r>
    </w:p>
    <w:p w14:paraId="70B8E17E" w14:textId="5AC05BDB" w:rsidR="00467FBB" w:rsidRDefault="00467FBB" w:rsidP="00467FBB">
      <w:pPr>
        <w:spacing w:line="520" w:lineRule="exact"/>
        <w:ind w:firstLineChars="200" w:firstLine="640"/>
        <w:rPr>
          <w:rFonts w:ascii="仿宋_GB2312" w:eastAsia="仿宋_GB2312"/>
          <w:color w:val="000000" w:themeColor="text1"/>
          <w:sz w:val="32"/>
          <w:szCs w:val="32"/>
        </w:rPr>
      </w:pPr>
      <w:r w:rsidRPr="00467FBB">
        <w:rPr>
          <w:rFonts w:ascii="仿宋_GB2312" w:eastAsia="仿宋_GB2312" w:hint="eastAsia"/>
          <w:color w:val="000000" w:themeColor="text1"/>
          <w:sz w:val="32"/>
          <w:szCs w:val="32"/>
        </w:rPr>
        <w:t>1</w:t>
      </w:r>
      <w:r w:rsidRPr="00467FBB">
        <w:rPr>
          <w:rFonts w:ascii="仿宋_GB2312" w:eastAsia="仿宋_GB2312"/>
          <w:color w:val="000000" w:themeColor="text1"/>
          <w:sz w:val="32"/>
          <w:szCs w:val="32"/>
        </w:rPr>
        <w:t>.</w:t>
      </w:r>
      <w:r>
        <w:rPr>
          <w:rFonts w:ascii="仿宋_GB2312" w:eastAsia="仿宋_GB2312" w:hint="eastAsia"/>
          <w:color w:val="000000" w:themeColor="text1"/>
          <w:sz w:val="32"/>
          <w:szCs w:val="32"/>
        </w:rPr>
        <w:t>细胞毒性</w:t>
      </w:r>
      <w:r>
        <w:rPr>
          <w:rFonts w:ascii="仿宋_GB2312" w:eastAsia="仿宋_GB2312"/>
          <w:color w:val="000000" w:themeColor="text1"/>
          <w:sz w:val="32"/>
          <w:szCs w:val="32"/>
        </w:rPr>
        <w:t>抗肿瘤</w:t>
      </w:r>
      <w:r>
        <w:rPr>
          <w:rFonts w:ascii="仿宋_GB2312" w:eastAsia="仿宋_GB2312" w:hint="eastAsia"/>
          <w:color w:val="000000" w:themeColor="text1"/>
          <w:sz w:val="32"/>
          <w:szCs w:val="32"/>
        </w:rPr>
        <w:t>药物</w:t>
      </w:r>
      <w:r>
        <w:rPr>
          <w:rFonts w:ascii="仿宋_GB2312" w:eastAsia="仿宋_GB2312"/>
          <w:color w:val="000000" w:themeColor="text1"/>
          <w:sz w:val="32"/>
          <w:szCs w:val="32"/>
        </w:rPr>
        <w:t>相关</w:t>
      </w:r>
      <w:r>
        <w:rPr>
          <w:rFonts w:ascii="仿宋_GB2312" w:eastAsia="仿宋_GB2312" w:hint="eastAsia"/>
          <w:color w:val="000000" w:themeColor="text1"/>
          <w:sz w:val="32"/>
          <w:szCs w:val="32"/>
        </w:rPr>
        <w:t>肾</w:t>
      </w:r>
      <w:r w:rsidRPr="00467FBB">
        <w:rPr>
          <w:rFonts w:ascii="仿宋_GB2312" w:eastAsia="仿宋_GB2312" w:hint="eastAsia"/>
          <w:color w:val="000000" w:themeColor="text1"/>
          <w:sz w:val="32"/>
          <w:szCs w:val="32"/>
        </w:rPr>
        <w:t>损伤</w:t>
      </w:r>
    </w:p>
    <w:p w14:paraId="3921D15F" w14:textId="7B663C07" w:rsidR="00467FBB" w:rsidRDefault="00467FBB" w:rsidP="00467FBB">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①顺铂相关</w:t>
      </w:r>
    </w:p>
    <w:p w14:paraId="4B90B532" w14:textId="30293D4F" w:rsidR="00467FBB" w:rsidRPr="00467FBB" w:rsidRDefault="00467FBB" w:rsidP="00467FBB">
      <w:pPr>
        <w:spacing w:line="520" w:lineRule="exact"/>
        <w:ind w:firstLineChars="200" w:firstLine="640"/>
        <w:rPr>
          <w:rFonts w:ascii="仿宋_GB2312" w:eastAsia="仿宋_GB2312"/>
          <w:color w:val="000000" w:themeColor="text1"/>
          <w:sz w:val="32"/>
          <w:szCs w:val="32"/>
        </w:rPr>
      </w:pPr>
      <w:r w:rsidRPr="00467FBB">
        <w:rPr>
          <w:rFonts w:ascii="仿宋_GB2312" w:eastAsia="仿宋_GB2312" w:hint="eastAsia"/>
          <w:color w:val="000000" w:themeColor="text1"/>
          <w:sz w:val="32"/>
          <w:szCs w:val="32"/>
        </w:rPr>
        <w:t>顺铂的肾毒性源于其在肾小管上皮细胞内的蓄积，给药后大</w:t>
      </w:r>
      <w:r>
        <w:rPr>
          <w:rFonts w:ascii="仿宋_GB2312" w:eastAsia="仿宋_GB2312" w:hint="eastAsia"/>
          <w:color w:val="000000" w:themeColor="text1"/>
          <w:sz w:val="32"/>
          <w:szCs w:val="32"/>
        </w:rPr>
        <w:t>量水化可稀释药物浓度、增加尿量、减少药物在肾小管的停留时间。</w:t>
      </w:r>
      <w:r w:rsidRPr="00467FBB">
        <w:rPr>
          <w:rFonts w:ascii="仿宋_GB2312" w:eastAsia="仿宋_GB2312" w:hint="eastAsia"/>
          <w:color w:val="000000" w:themeColor="text1"/>
          <w:sz w:val="32"/>
          <w:szCs w:val="32"/>
        </w:rPr>
        <w:t>要求“常规方案为静脉总补液2500ml～4000ml”，并明确给药前6小时开始、持续至给药后6～12小时，这一时间窗正是基于顺铂药代动力学——游离顺铂在给药后约2小时达峰并迅速下降，因此给药前后充分水化是预防肾损伤的关键窗口期。</w:t>
      </w:r>
    </w:p>
    <w:p w14:paraId="0166974D" w14:textId="1F3826F7" w:rsidR="00467FBB" w:rsidRDefault="00467FBB" w:rsidP="00467FBB">
      <w:pPr>
        <w:spacing w:line="520" w:lineRule="exact"/>
        <w:ind w:firstLineChars="200" w:firstLine="640"/>
        <w:rPr>
          <w:rFonts w:ascii="仿宋_GB2312" w:eastAsia="仿宋_GB2312"/>
          <w:color w:val="000000" w:themeColor="text1"/>
          <w:sz w:val="32"/>
          <w:szCs w:val="32"/>
        </w:rPr>
      </w:pPr>
      <w:r w:rsidRPr="00467FBB">
        <w:rPr>
          <w:rFonts w:ascii="仿宋_GB2312" w:eastAsia="仿宋_GB2312" w:hint="eastAsia"/>
          <w:color w:val="000000" w:themeColor="text1"/>
          <w:sz w:val="32"/>
          <w:szCs w:val="32"/>
        </w:rPr>
        <w:t>“短水化方案（给药后4～6h内静脉补液1600ml～2500ml，联合口服补液约1000ml）”，并限定适用于“年龄&lt;65岁、心功能及基础肾功能正常者”。主要依据2025年《国际临床肿瘤学杂志》发布的日本肺癌学会指南，该指南系统回顾了多项日本前瞻性试验，证实短水化方案（约1.6～2.5L）在肾功能良好患者中安全可行，肾毒性发生率（≥2级肌酐升高）仅为2%～4.6%</w:t>
      </w:r>
      <w:r>
        <w:rPr>
          <w:rFonts w:ascii="仿宋_GB2312" w:eastAsia="仿宋_GB2312" w:hint="eastAsia"/>
          <w:color w:val="000000" w:themeColor="text1"/>
          <w:sz w:val="32"/>
          <w:szCs w:val="32"/>
        </w:rPr>
        <w:t>。</w:t>
      </w:r>
    </w:p>
    <w:p w14:paraId="713DFA19" w14:textId="4E6A779E" w:rsidR="00467FBB" w:rsidRDefault="00467FBB" w:rsidP="00467FBB">
      <w:pPr>
        <w:spacing w:line="520" w:lineRule="exact"/>
        <w:ind w:firstLineChars="200" w:firstLine="640"/>
        <w:rPr>
          <w:rFonts w:ascii="仿宋_GB2312" w:eastAsia="仿宋_GB2312"/>
          <w:color w:val="000000" w:themeColor="text1"/>
          <w:sz w:val="32"/>
          <w:szCs w:val="32"/>
        </w:rPr>
      </w:pPr>
      <w:r w:rsidRPr="00467FBB">
        <w:rPr>
          <w:rFonts w:ascii="仿宋_GB2312" w:eastAsia="仿宋_GB2312" w:hint="eastAsia"/>
          <w:color w:val="000000" w:themeColor="text1"/>
          <w:sz w:val="32"/>
          <w:szCs w:val="32"/>
        </w:rPr>
        <w:t>标准明确“不宜常规使用甘露醇预防顺铂肾损伤”，同时指</w:t>
      </w:r>
      <w:r w:rsidRPr="00467FBB">
        <w:rPr>
          <w:rFonts w:ascii="仿宋_GB2312" w:eastAsia="仿宋_GB2312" w:hint="eastAsia"/>
          <w:color w:val="000000" w:themeColor="text1"/>
          <w:sz w:val="32"/>
          <w:szCs w:val="32"/>
        </w:rPr>
        <w:lastRenderedPageBreak/>
        <w:t>出“水化基础上可联用利尿剂，但用药前应充分评估血容量”。这一表述体现了对甘露醇预防肾损伤证据的重新审视。日本肺癌学会指南虽承认甘露醇在部分研究中显示降低肾毒性的作用，但关于强制利尿剂的选择（甘露醇vs呋塞米）仍无定论，应选择更熟悉的药物。标准未简单否定利尿剂，而是强调“避免在容量不足时使用”，体现了对“先扩容再利尿”原则的坚持，这与一般AKI管理原则一致——不应使用利尿剂预防或治疗AKI（容量过载除外）</w:t>
      </w:r>
      <w:r>
        <w:rPr>
          <w:rFonts w:ascii="仿宋_GB2312" w:eastAsia="仿宋_GB2312" w:hint="eastAsia"/>
          <w:color w:val="000000" w:themeColor="text1"/>
          <w:sz w:val="32"/>
          <w:szCs w:val="32"/>
        </w:rPr>
        <w:t>。</w:t>
      </w:r>
    </w:p>
    <w:p w14:paraId="6265E55E" w14:textId="4CAD3D11" w:rsidR="00467FBB" w:rsidRDefault="00467FBB" w:rsidP="00467FBB">
      <w:pPr>
        <w:spacing w:line="520" w:lineRule="exact"/>
        <w:ind w:firstLineChars="200" w:firstLine="640"/>
        <w:rPr>
          <w:rFonts w:ascii="仿宋_GB2312" w:eastAsia="仿宋_GB2312"/>
          <w:color w:val="000000" w:themeColor="text1"/>
          <w:sz w:val="32"/>
          <w:szCs w:val="32"/>
        </w:rPr>
      </w:pPr>
      <w:r w:rsidRPr="00467FBB">
        <w:rPr>
          <w:rFonts w:ascii="仿宋_GB2312" w:eastAsia="仿宋_GB2312" w:hint="eastAsia"/>
          <w:color w:val="000000" w:themeColor="text1"/>
          <w:sz w:val="32"/>
          <w:szCs w:val="32"/>
        </w:rPr>
        <w:t>标准要求在顺铂治疗前后补充镁元素，维持血镁正常。这基于双重循证依据：首先，顺铂本身通过抑制近端小管镁重吸收导致低镁血症；其次，动物实验表明低镁血症会促进顺铂在近端小管的再摄取，从而加重肾损伤。</w:t>
      </w:r>
    </w:p>
    <w:p w14:paraId="382A9313" w14:textId="45A224D3" w:rsidR="00467FBB" w:rsidRPr="00467FBB" w:rsidRDefault="00467FBB" w:rsidP="00467FBB">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②</w:t>
      </w:r>
      <w:r w:rsidRPr="00467FBB">
        <w:rPr>
          <w:rFonts w:ascii="仿宋_GB2312" w:eastAsia="仿宋_GB2312" w:hint="eastAsia"/>
          <w:color w:val="000000" w:themeColor="text1"/>
          <w:sz w:val="32"/>
          <w:szCs w:val="32"/>
        </w:rPr>
        <w:t>大剂量甲氨蝶呤（HD-MTX</w:t>
      </w:r>
      <w:r>
        <w:rPr>
          <w:rFonts w:ascii="仿宋_GB2312" w:eastAsia="仿宋_GB2312" w:hint="eastAsia"/>
          <w:color w:val="000000" w:themeColor="text1"/>
          <w:sz w:val="32"/>
          <w:szCs w:val="32"/>
        </w:rPr>
        <w:t>）相关</w:t>
      </w:r>
    </w:p>
    <w:p w14:paraId="5459159F" w14:textId="0AE72BC1" w:rsidR="00467FBB" w:rsidRPr="00467FBB" w:rsidRDefault="00467FBB" w:rsidP="00467FBB">
      <w:pPr>
        <w:spacing w:line="520" w:lineRule="exact"/>
        <w:ind w:firstLineChars="200" w:firstLine="640"/>
        <w:rPr>
          <w:rFonts w:ascii="仿宋_GB2312" w:eastAsia="仿宋_GB2312"/>
          <w:color w:val="000000" w:themeColor="text1"/>
          <w:sz w:val="32"/>
          <w:szCs w:val="32"/>
        </w:rPr>
      </w:pPr>
      <w:r w:rsidRPr="00467FBB">
        <w:rPr>
          <w:rFonts w:ascii="仿宋_GB2312" w:eastAsia="仿宋_GB2312" w:hint="eastAsia"/>
          <w:color w:val="000000" w:themeColor="text1"/>
          <w:sz w:val="32"/>
          <w:szCs w:val="32"/>
        </w:rPr>
        <w:t>五项措施——水化、碱化尿液、亚叶酸钙解救、血药浓度监测、再激发原则——均直接源于甲氨蝶呤肾损伤的病理生理机制（代谢产物在肾小管内结晶沉积致梗阻），与国际标准共识一致。ADQI第34届共识会议（2026年发表）将甲氨蝶呤列为最常见的致肾损伤细胞毒性药物之一，并强调了其结晶肾病的机制与处理原则。</w:t>
      </w:r>
    </w:p>
    <w:p w14:paraId="116C4912" w14:textId="0F4AE711" w:rsidR="00467FBB" w:rsidRPr="00467FBB" w:rsidRDefault="00467FBB" w:rsidP="00467FBB">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③</w:t>
      </w:r>
      <w:r w:rsidRPr="00467FBB">
        <w:rPr>
          <w:rFonts w:ascii="仿宋_GB2312" w:eastAsia="仿宋_GB2312" w:hint="eastAsia"/>
          <w:color w:val="000000" w:themeColor="text1"/>
          <w:sz w:val="32"/>
          <w:szCs w:val="32"/>
        </w:rPr>
        <w:t>肿瘤溶解综合征相关高尿酸血症性肾损伤</w:t>
      </w:r>
    </w:p>
    <w:p w14:paraId="023BF150" w14:textId="77777777" w:rsidR="00467FBB" w:rsidRPr="00467FBB" w:rsidRDefault="00467FBB" w:rsidP="00467FBB">
      <w:pPr>
        <w:spacing w:line="520" w:lineRule="exact"/>
        <w:ind w:firstLineChars="200" w:firstLine="640"/>
        <w:rPr>
          <w:rFonts w:ascii="仿宋_GB2312" w:eastAsia="仿宋_GB2312"/>
          <w:color w:val="000000" w:themeColor="text1"/>
          <w:sz w:val="32"/>
          <w:szCs w:val="32"/>
        </w:rPr>
      </w:pPr>
      <w:r w:rsidRPr="00467FBB">
        <w:rPr>
          <w:rFonts w:ascii="仿宋_GB2312" w:eastAsia="仿宋_GB2312" w:hint="eastAsia"/>
          <w:color w:val="000000" w:themeColor="text1"/>
          <w:sz w:val="32"/>
          <w:szCs w:val="32"/>
        </w:rPr>
        <w:t>标准建议高危人群在化疗前2～3天开始予降尿酸药物预防，血尿酸仍不能控制时推荐使用拉布立酶；已发生高尿酸血症且血尿酸&gt;476μmol/L时“宜优先使用拉布立酶”。这一分层推荐体现了对拉布立酶（重组尿酸氧化酶）快速降尿酸作用的认可，以及在G6PD缺乏患者中禁用的警示，与肿瘤溶解综合征管理国际共识一致。</w:t>
      </w:r>
    </w:p>
    <w:p w14:paraId="6E78C5D4" w14:textId="03ACC80B" w:rsidR="00467FBB" w:rsidRPr="00467FBB" w:rsidRDefault="00467FBB" w:rsidP="00467FBB">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lastRenderedPageBreak/>
        <w:t>④</w:t>
      </w:r>
      <w:r w:rsidRPr="00467FBB">
        <w:rPr>
          <w:rFonts w:ascii="仿宋_GB2312" w:eastAsia="仿宋_GB2312" w:hint="eastAsia"/>
          <w:color w:val="000000" w:themeColor="text1"/>
          <w:sz w:val="32"/>
          <w:szCs w:val="32"/>
        </w:rPr>
        <w:t>一般处理</w:t>
      </w:r>
    </w:p>
    <w:p w14:paraId="0A955D71" w14:textId="2A4A5AB7" w:rsidR="00467FBB" w:rsidRDefault="00467FBB" w:rsidP="00467FBB">
      <w:pPr>
        <w:spacing w:line="520" w:lineRule="exact"/>
        <w:ind w:firstLineChars="200" w:firstLine="640"/>
        <w:rPr>
          <w:rFonts w:ascii="仿宋_GB2312" w:eastAsia="仿宋_GB2312"/>
          <w:color w:val="000000" w:themeColor="text1"/>
          <w:sz w:val="32"/>
          <w:szCs w:val="32"/>
        </w:rPr>
      </w:pPr>
      <w:r w:rsidRPr="00467FBB">
        <w:rPr>
          <w:rFonts w:ascii="仿宋_GB2312" w:eastAsia="仿宋_GB2312" w:hint="eastAsia"/>
          <w:color w:val="000000" w:themeColor="text1"/>
          <w:sz w:val="32"/>
          <w:szCs w:val="32"/>
        </w:rPr>
        <w:t>标准提出“纠正有效循环血容量不足，停用其他肾毒性药物，维持水电解质平衡”，这是AKI处理的基础原则。</w:t>
      </w:r>
    </w:p>
    <w:p w14:paraId="7791DFC9" w14:textId="4606FCC5" w:rsidR="00467FBB" w:rsidRDefault="00117BE9" w:rsidP="00467FBB">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w:t>
      </w:r>
      <w:r>
        <w:rPr>
          <w:rFonts w:ascii="仿宋_GB2312" w:eastAsia="仿宋_GB2312"/>
          <w:color w:val="000000" w:themeColor="text1"/>
          <w:sz w:val="32"/>
          <w:szCs w:val="32"/>
        </w:rPr>
        <w:t>.</w:t>
      </w:r>
      <w:r w:rsidRPr="00117BE9">
        <w:rPr>
          <w:rFonts w:ascii="仿宋_GB2312" w:eastAsia="仿宋_GB2312" w:hint="eastAsia"/>
          <w:color w:val="000000" w:themeColor="text1"/>
          <w:sz w:val="32"/>
          <w:szCs w:val="32"/>
        </w:rPr>
        <w:t>靶向抗肿瘤药物相关肾损伤</w:t>
      </w:r>
    </w:p>
    <w:p w14:paraId="4D1DE103" w14:textId="5CBDF439" w:rsidR="00467FBB" w:rsidRPr="00117BE9" w:rsidRDefault="009C4A95" w:rsidP="00467FBB">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①</w:t>
      </w:r>
      <w:r>
        <w:rPr>
          <w:rFonts w:ascii="仿宋_GB2312" w:eastAsia="仿宋_GB2312"/>
          <w:color w:val="000000" w:themeColor="text1"/>
          <w:sz w:val="32"/>
          <w:szCs w:val="32"/>
        </w:rPr>
        <w:t>蛋白尿</w:t>
      </w:r>
    </w:p>
    <w:p w14:paraId="015068FF" w14:textId="77777777" w:rsidR="005379D2" w:rsidRPr="005379D2" w:rsidRDefault="005379D2" w:rsidP="005379D2">
      <w:pPr>
        <w:spacing w:line="520" w:lineRule="exact"/>
        <w:ind w:firstLineChars="200" w:firstLine="640"/>
        <w:rPr>
          <w:rFonts w:ascii="仿宋_GB2312" w:eastAsia="仿宋_GB2312"/>
          <w:color w:val="000000" w:themeColor="text1"/>
          <w:sz w:val="32"/>
          <w:szCs w:val="32"/>
        </w:rPr>
      </w:pPr>
      <w:r w:rsidRPr="005379D2">
        <w:rPr>
          <w:rFonts w:ascii="仿宋_GB2312" w:eastAsia="仿宋_GB2312" w:hint="eastAsia"/>
          <w:color w:val="000000" w:themeColor="text1"/>
          <w:sz w:val="32"/>
          <w:szCs w:val="32"/>
        </w:rPr>
        <w:t>标准将蛋白尿分为三个层次进行管理：</w:t>
      </w:r>
    </w:p>
    <w:p w14:paraId="0949C7CC" w14:textId="77777777" w:rsidR="005379D2" w:rsidRPr="005379D2" w:rsidRDefault="005379D2" w:rsidP="005379D2">
      <w:pPr>
        <w:spacing w:line="520" w:lineRule="exact"/>
        <w:ind w:firstLineChars="200" w:firstLine="640"/>
        <w:rPr>
          <w:rFonts w:ascii="仿宋_GB2312" w:eastAsia="仿宋_GB2312"/>
          <w:color w:val="000000" w:themeColor="text1"/>
          <w:sz w:val="32"/>
          <w:szCs w:val="32"/>
        </w:rPr>
      </w:pPr>
      <w:r w:rsidRPr="005379D2">
        <w:rPr>
          <w:rFonts w:ascii="仿宋_GB2312" w:eastAsia="仿宋_GB2312" w:hint="eastAsia"/>
          <w:color w:val="000000" w:themeColor="text1"/>
          <w:sz w:val="32"/>
          <w:szCs w:val="32"/>
        </w:rPr>
        <w:t>尿蛋白0.12～&lt;1.0g/24h：继续用药，加强监测；</w:t>
      </w:r>
    </w:p>
    <w:p w14:paraId="21CD7FCC" w14:textId="77777777" w:rsidR="005379D2" w:rsidRPr="005379D2" w:rsidRDefault="005379D2" w:rsidP="005379D2">
      <w:pPr>
        <w:spacing w:line="520" w:lineRule="exact"/>
        <w:ind w:firstLineChars="200" w:firstLine="640"/>
        <w:rPr>
          <w:rFonts w:ascii="仿宋_GB2312" w:eastAsia="仿宋_GB2312"/>
          <w:color w:val="000000" w:themeColor="text1"/>
          <w:sz w:val="32"/>
          <w:szCs w:val="32"/>
        </w:rPr>
      </w:pPr>
      <w:r w:rsidRPr="005379D2">
        <w:rPr>
          <w:rFonts w:ascii="仿宋_GB2312" w:eastAsia="仿宋_GB2312" w:hint="eastAsia"/>
          <w:color w:val="000000" w:themeColor="text1"/>
          <w:sz w:val="32"/>
          <w:szCs w:val="32"/>
        </w:rPr>
        <w:t>尿蛋白1.0～&lt;3.5g/24h：暂停药物，使用RAS抑制剂降低尿蛋白，待恢复至&lt;2.0g/24h后重启；</w:t>
      </w:r>
    </w:p>
    <w:p w14:paraId="68CA8D70" w14:textId="77777777" w:rsidR="005379D2" w:rsidRPr="005379D2" w:rsidRDefault="005379D2" w:rsidP="005379D2">
      <w:pPr>
        <w:spacing w:line="520" w:lineRule="exact"/>
        <w:ind w:firstLineChars="200" w:firstLine="640"/>
        <w:rPr>
          <w:rFonts w:ascii="仿宋_GB2312" w:eastAsia="仿宋_GB2312"/>
          <w:color w:val="000000" w:themeColor="text1"/>
          <w:sz w:val="32"/>
          <w:szCs w:val="32"/>
        </w:rPr>
      </w:pPr>
      <w:r w:rsidRPr="005379D2">
        <w:rPr>
          <w:rFonts w:ascii="仿宋_GB2312" w:eastAsia="仿宋_GB2312" w:hint="eastAsia"/>
          <w:color w:val="000000" w:themeColor="text1"/>
          <w:sz w:val="32"/>
          <w:szCs w:val="32"/>
        </w:rPr>
        <w:t>尿蛋白≥3.5g/24h或合并肾病综合征：立即停药，转诊肾内科。</w:t>
      </w:r>
    </w:p>
    <w:p w14:paraId="57B39A58" w14:textId="5C45C781" w:rsidR="00467FBB" w:rsidRDefault="005379D2" w:rsidP="005379D2">
      <w:pPr>
        <w:spacing w:line="520" w:lineRule="exact"/>
        <w:ind w:firstLineChars="200" w:firstLine="640"/>
        <w:rPr>
          <w:rFonts w:ascii="仿宋_GB2312" w:eastAsia="仿宋_GB2312"/>
          <w:color w:val="000000" w:themeColor="text1"/>
          <w:sz w:val="32"/>
          <w:szCs w:val="32"/>
        </w:rPr>
      </w:pPr>
      <w:r w:rsidRPr="005379D2">
        <w:rPr>
          <w:rFonts w:ascii="仿宋_GB2312" w:eastAsia="仿宋_GB2312" w:hint="eastAsia"/>
          <w:color w:val="000000" w:themeColor="text1"/>
          <w:sz w:val="32"/>
          <w:szCs w:val="32"/>
        </w:rPr>
        <w:t>这一分级管理策略的依据在于：VEGF抑制剂通过损伤肾小球内皮细胞和足细胞导致蛋白尿，而RAS抑制剂可通过降低肾小球内压、改善滤过膜通透性来减少蛋白尿，这是延缓CKD进展的核心策略之一。2025年《延缓慢性肾脏病进展临床管理指南》也推荐在蛋白尿患者中使用ACEI/ARB以延缓CKD进展</w:t>
      </w:r>
      <w:r>
        <w:rPr>
          <w:rFonts w:ascii="仿宋_GB2312" w:eastAsia="仿宋_GB2312" w:hint="eastAsia"/>
          <w:color w:val="000000" w:themeColor="text1"/>
          <w:sz w:val="32"/>
          <w:szCs w:val="32"/>
        </w:rPr>
        <w:t>。</w:t>
      </w:r>
    </w:p>
    <w:p w14:paraId="34A7BE64" w14:textId="25682CB2" w:rsidR="00467FBB" w:rsidRDefault="00E440C9" w:rsidP="00467FBB">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②高血压</w:t>
      </w:r>
    </w:p>
    <w:p w14:paraId="0BA3679F" w14:textId="550C3A1F" w:rsidR="00467FBB" w:rsidRDefault="00E440C9" w:rsidP="00467FBB">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标准中</w:t>
      </w:r>
      <w:r w:rsidRPr="00E440C9">
        <w:rPr>
          <w:rFonts w:ascii="仿宋_GB2312" w:eastAsia="仿宋_GB2312"/>
          <w:color w:val="000000" w:themeColor="text1"/>
          <w:sz w:val="32"/>
          <w:szCs w:val="32"/>
        </w:rPr>
        <w:t>提出</w:t>
      </w:r>
      <w:r w:rsidRPr="00E440C9">
        <w:rPr>
          <w:rFonts w:ascii="仿宋_GB2312" w:eastAsia="仿宋_GB2312"/>
          <w:color w:val="000000" w:themeColor="text1"/>
          <w:sz w:val="32"/>
          <w:szCs w:val="32"/>
        </w:rPr>
        <w:t>“</w:t>
      </w:r>
      <w:r w:rsidRPr="00E440C9">
        <w:rPr>
          <w:rFonts w:ascii="仿宋_GB2312" w:eastAsia="仿宋_GB2312"/>
          <w:color w:val="000000" w:themeColor="text1"/>
          <w:sz w:val="32"/>
          <w:szCs w:val="32"/>
        </w:rPr>
        <w:t>应使用肾素-血管紧张素系统抑制剂，针对性改善VEGF抑制剂相关高血压</w:t>
      </w:r>
      <w:r w:rsidRPr="00E440C9">
        <w:rPr>
          <w:rFonts w:ascii="仿宋_GB2312" w:eastAsia="仿宋_GB2312"/>
          <w:color w:val="000000" w:themeColor="text1"/>
          <w:sz w:val="32"/>
          <w:szCs w:val="32"/>
        </w:rPr>
        <w:t>”</w:t>
      </w:r>
      <w:r w:rsidRPr="00E440C9">
        <w:rPr>
          <w:rFonts w:ascii="仿宋_GB2312" w:eastAsia="仿宋_GB2312"/>
          <w:color w:val="000000" w:themeColor="text1"/>
          <w:sz w:val="32"/>
          <w:szCs w:val="32"/>
        </w:rPr>
        <w:t>，这一推荐基于VEGF抑制剂高血压的发病机制（内皮功能障碍、一氧化氮减少、微血管稀疏），而RAS抑制剂可部分拮抗这些效应。标准还推荐联合用药阶梯（钙离子拮抗剂</w:t>
      </w:r>
      <w:r w:rsidRPr="00E440C9">
        <w:rPr>
          <w:rFonts w:ascii="仿宋_GB2312" w:eastAsia="仿宋_GB2312"/>
          <w:color w:val="000000" w:themeColor="text1"/>
          <w:sz w:val="32"/>
          <w:szCs w:val="32"/>
        </w:rPr>
        <w:t>→β</w:t>
      </w:r>
      <w:r w:rsidRPr="00E440C9">
        <w:rPr>
          <w:rFonts w:ascii="仿宋_GB2312" w:eastAsia="仿宋_GB2312"/>
          <w:color w:val="000000" w:themeColor="text1"/>
          <w:sz w:val="32"/>
          <w:szCs w:val="32"/>
        </w:rPr>
        <w:t>受体阻滞剂/硝酸酯类/利尿剂），体现了多药联合降压的基本原则</w:t>
      </w:r>
    </w:p>
    <w:p w14:paraId="664B60BC" w14:textId="514B3963" w:rsidR="00467FBB" w:rsidRDefault="00E440C9" w:rsidP="00467FBB">
      <w:pPr>
        <w:spacing w:line="520" w:lineRule="exact"/>
        <w:ind w:firstLineChars="200" w:firstLine="640"/>
        <w:rPr>
          <w:rFonts w:ascii="仿宋_GB2312" w:eastAsia="仿宋_GB2312"/>
          <w:color w:val="000000" w:themeColor="text1"/>
          <w:sz w:val="32"/>
          <w:szCs w:val="32"/>
        </w:rPr>
      </w:pPr>
      <w:r>
        <w:rPr>
          <w:rFonts w:ascii="仿宋_GB2312" w:eastAsia="仿宋_GB2312"/>
          <w:color w:val="000000" w:themeColor="text1"/>
          <w:sz w:val="32"/>
          <w:szCs w:val="32"/>
        </w:rPr>
        <w:t>3.</w:t>
      </w:r>
      <w:r w:rsidRPr="00E440C9">
        <w:rPr>
          <w:rFonts w:ascii="仿宋_GB2312" w:eastAsia="仿宋_GB2312" w:hint="eastAsia"/>
          <w:color w:val="000000" w:themeColor="text1"/>
          <w:sz w:val="32"/>
          <w:szCs w:val="32"/>
        </w:rPr>
        <w:t>免疫检查点抑制剂相关肾损伤</w:t>
      </w:r>
    </w:p>
    <w:p w14:paraId="4AC96BAA" w14:textId="04EE7B7C" w:rsidR="00E440C9" w:rsidRPr="00E440C9" w:rsidRDefault="00E440C9" w:rsidP="00E440C9">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参考</w:t>
      </w:r>
      <w:r w:rsidRPr="00E440C9">
        <w:rPr>
          <w:rFonts w:ascii="仿宋_GB2312" w:eastAsia="仿宋_GB2312" w:hint="eastAsia"/>
          <w:color w:val="000000" w:themeColor="text1"/>
          <w:sz w:val="32"/>
          <w:szCs w:val="32"/>
        </w:rPr>
        <w:t>2024年《Nephrology Dialysis Transplantation》发表的ICI相关肾炎治疗标准</w:t>
      </w:r>
      <w:r>
        <w:rPr>
          <w:rFonts w:ascii="仿宋_GB2312" w:eastAsia="仿宋_GB2312" w:hint="eastAsia"/>
          <w:color w:val="000000" w:themeColor="text1"/>
          <w:sz w:val="32"/>
          <w:szCs w:val="32"/>
        </w:rPr>
        <w:t>，建立</w:t>
      </w:r>
      <w:r w:rsidRPr="00E440C9">
        <w:rPr>
          <w:rFonts w:ascii="仿宋_GB2312" w:eastAsia="仿宋_GB2312" w:hint="eastAsia"/>
          <w:color w:val="000000" w:themeColor="text1"/>
          <w:sz w:val="32"/>
          <w:szCs w:val="32"/>
        </w:rPr>
        <w:t>基于Scr升高倍数的三级管理</w:t>
      </w:r>
      <w:r w:rsidRPr="00E440C9">
        <w:rPr>
          <w:rFonts w:ascii="仿宋_GB2312" w:eastAsia="仿宋_GB2312" w:hint="eastAsia"/>
          <w:color w:val="000000" w:themeColor="text1"/>
          <w:sz w:val="32"/>
          <w:szCs w:val="32"/>
        </w:rPr>
        <w:lastRenderedPageBreak/>
        <w:t>方案：</w:t>
      </w:r>
    </w:p>
    <w:p w14:paraId="69E634F5" w14:textId="77777777" w:rsidR="00E440C9" w:rsidRPr="00E440C9" w:rsidRDefault="00E440C9" w:rsidP="00E440C9">
      <w:pPr>
        <w:spacing w:line="520" w:lineRule="exact"/>
        <w:ind w:firstLineChars="200" w:firstLine="640"/>
        <w:rPr>
          <w:rFonts w:ascii="仿宋_GB2312" w:eastAsia="仿宋_GB2312"/>
          <w:color w:val="000000" w:themeColor="text1"/>
          <w:sz w:val="32"/>
          <w:szCs w:val="32"/>
        </w:rPr>
      </w:pPr>
      <w:r w:rsidRPr="00E440C9">
        <w:rPr>
          <w:rFonts w:ascii="仿宋_GB2312" w:eastAsia="仿宋_GB2312" w:hint="eastAsia"/>
          <w:color w:val="000000" w:themeColor="text1"/>
          <w:sz w:val="32"/>
          <w:szCs w:val="32"/>
        </w:rPr>
        <w:t>1级（Scr升高1.5～1.9倍）：暂停ICI，密切监测；</w:t>
      </w:r>
    </w:p>
    <w:p w14:paraId="40747454" w14:textId="77777777" w:rsidR="00E440C9" w:rsidRPr="00E440C9" w:rsidRDefault="00E440C9" w:rsidP="00E440C9">
      <w:pPr>
        <w:spacing w:line="520" w:lineRule="exact"/>
        <w:ind w:firstLineChars="200" w:firstLine="640"/>
        <w:rPr>
          <w:rFonts w:ascii="仿宋_GB2312" w:eastAsia="仿宋_GB2312"/>
          <w:color w:val="000000" w:themeColor="text1"/>
          <w:sz w:val="32"/>
          <w:szCs w:val="32"/>
        </w:rPr>
      </w:pPr>
      <w:r w:rsidRPr="00E440C9">
        <w:rPr>
          <w:rFonts w:ascii="仿宋_GB2312" w:eastAsia="仿宋_GB2312" w:hint="eastAsia"/>
          <w:color w:val="000000" w:themeColor="text1"/>
          <w:sz w:val="32"/>
          <w:szCs w:val="32"/>
        </w:rPr>
        <w:t>2级（Scr升高2.0～2.9倍）：暂停ICI，泼尼松0.5～1mg/(kg·d)；</w:t>
      </w:r>
    </w:p>
    <w:p w14:paraId="2507412D" w14:textId="588755B3" w:rsidR="00467FBB" w:rsidRDefault="00E440C9" w:rsidP="00E440C9">
      <w:pPr>
        <w:spacing w:line="520" w:lineRule="exact"/>
        <w:ind w:firstLineChars="200" w:firstLine="640"/>
        <w:rPr>
          <w:rFonts w:ascii="仿宋_GB2312" w:eastAsia="仿宋_GB2312"/>
          <w:color w:val="000000" w:themeColor="text1"/>
          <w:sz w:val="32"/>
          <w:szCs w:val="32"/>
        </w:rPr>
      </w:pPr>
      <w:r w:rsidRPr="00E440C9">
        <w:rPr>
          <w:rFonts w:ascii="仿宋_GB2312" w:eastAsia="仿宋_GB2312" w:hint="eastAsia"/>
          <w:color w:val="000000" w:themeColor="text1"/>
          <w:sz w:val="32"/>
          <w:szCs w:val="32"/>
        </w:rPr>
        <w:t>3级及以上（Scr升高≥3.0倍或绝对值≥353.6μmol/L）：永久停用ICI，泼尼松1～2mg/(kg·d)，无效时加用英夫利昔单抗、吗替麦考酚酯等二线免疫抑制剂。</w:t>
      </w:r>
    </w:p>
    <w:p w14:paraId="098D5455" w14:textId="1EEB0C82" w:rsidR="00467FBB" w:rsidRDefault="002C0F46" w:rsidP="00467FBB">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4</w:t>
      </w:r>
      <w:r>
        <w:rPr>
          <w:rFonts w:ascii="仿宋_GB2312" w:eastAsia="仿宋_GB2312"/>
          <w:color w:val="000000" w:themeColor="text1"/>
          <w:sz w:val="32"/>
          <w:szCs w:val="32"/>
        </w:rPr>
        <w:t>.</w:t>
      </w:r>
      <w:r>
        <w:rPr>
          <w:rFonts w:ascii="仿宋_GB2312" w:eastAsia="仿宋_GB2312" w:hint="eastAsia"/>
          <w:color w:val="000000" w:themeColor="text1"/>
          <w:sz w:val="32"/>
          <w:szCs w:val="32"/>
        </w:rPr>
        <w:t>肾脏代替治疗</w:t>
      </w:r>
    </w:p>
    <w:p w14:paraId="5A24AC7D" w14:textId="77777777" w:rsidR="002C0F46" w:rsidRPr="002C0F46" w:rsidRDefault="002C0F46" w:rsidP="002C0F46">
      <w:pPr>
        <w:spacing w:line="520" w:lineRule="exact"/>
        <w:ind w:firstLineChars="200" w:firstLine="640"/>
        <w:rPr>
          <w:rFonts w:ascii="仿宋_GB2312" w:eastAsia="仿宋_GB2312"/>
          <w:color w:val="000000" w:themeColor="text1"/>
          <w:sz w:val="32"/>
          <w:szCs w:val="32"/>
        </w:rPr>
      </w:pPr>
      <w:r w:rsidRPr="002C0F46">
        <w:rPr>
          <w:rFonts w:ascii="仿宋_GB2312" w:eastAsia="仿宋_GB2312" w:hint="eastAsia"/>
          <w:color w:val="000000" w:themeColor="text1"/>
          <w:sz w:val="32"/>
          <w:szCs w:val="32"/>
        </w:rPr>
        <w:t>启动指征（高钾血症&gt;6.5mmol/L、pH&lt;7.15、肺水肿、尿毒症症状、TLS严重并发症）为AKI启动RRT的经典指征，源自KDIGO 2012 AKI指南，并延续至2026年KDIGO AKI/AKD指南草案。</w:t>
      </w:r>
    </w:p>
    <w:p w14:paraId="21B0F6F8" w14:textId="5E6817DB" w:rsidR="00467FBB" w:rsidRDefault="002C0F46" w:rsidP="002C0F46">
      <w:pPr>
        <w:spacing w:line="520" w:lineRule="exact"/>
        <w:ind w:firstLineChars="200" w:firstLine="640"/>
        <w:rPr>
          <w:rFonts w:ascii="仿宋_GB2312" w:eastAsia="仿宋_GB2312"/>
          <w:color w:val="000000" w:themeColor="text1"/>
          <w:sz w:val="32"/>
          <w:szCs w:val="32"/>
        </w:rPr>
      </w:pPr>
      <w:r w:rsidRPr="002C0F46">
        <w:rPr>
          <w:rFonts w:ascii="仿宋_GB2312" w:eastAsia="仿宋_GB2312" w:hint="eastAsia"/>
          <w:color w:val="000000" w:themeColor="text1"/>
          <w:sz w:val="32"/>
          <w:szCs w:val="32"/>
        </w:rPr>
        <w:t>抗肿瘤药物与RRT协同管理——标准要求“透析清除率超过药物总清除率的25%～30%时应调整剂量”、“易被透析清除的药物宜在RRT结束后给药”，这些药代动力学原则是抗肿瘤药物剂量调整的基础。</w:t>
      </w:r>
    </w:p>
    <w:p w14:paraId="13A8CA6B" w14:textId="1BFC14AF" w:rsidR="00691524" w:rsidRDefault="00CB22BE" w:rsidP="00835A4B">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CB22BE">
        <w:rPr>
          <w:rFonts w:ascii="Times New Roman" w:eastAsia="楷体" w:hAnsi="Times New Roman" w:cs="Times New Roman" w:hint="eastAsia"/>
          <w:b/>
          <w:bCs/>
          <w:color w:val="000000" w:themeColor="text1"/>
          <w:kern w:val="0"/>
          <w:sz w:val="32"/>
          <w:szCs w:val="32"/>
        </w:rPr>
        <w:t>（</w:t>
      </w:r>
      <w:r w:rsidR="002C0F46">
        <w:rPr>
          <w:rFonts w:ascii="Times New Roman" w:eastAsia="楷体" w:hAnsi="Times New Roman" w:cs="Times New Roman" w:hint="eastAsia"/>
          <w:b/>
          <w:bCs/>
          <w:color w:val="000000" w:themeColor="text1"/>
          <w:kern w:val="0"/>
          <w:sz w:val="32"/>
          <w:szCs w:val="32"/>
        </w:rPr>
        <w:t>五</w:t>
      </w:r>
      <w:r w:rsidRPr="00CB22BE">
        <w:rPr>
          <w:rFonts w:ascii="Times New Roman" w:eastAsia="楷体" w:hAnsi="Times New Roman" w:cs="Times New Roman" w:hint="eastAsia"/>
          <w:b/>
          <w:bCs/>
          <w:color w:val="000000" w:themeColor="text1"/>
          <w:kern w:val="0"/>
          <w:sz w:val="32"/>
          <w:szCs w:val="32"/>
        </w:rPr>
        <w:t>）</w:t>
      </w:r>
      <w:r w:rsidR="00835A4B" w:rsidRPr="00835A4B">
        <w:rPr>
          <w:rFonts w:ascii="Times New Roman" w:eastAsia="楷体" w:hAnsi="Times New Roman" w:cs="Times New Roman" w:hint="eastAsia"/>
          <w:b/>
          <w:bCs/>
          <w:color w:val="000000" w:themeColor="text1"/>
          <w:kern w:val="0"/>
          <w:sz w:val="32"/>
          <w:szCs w:val="32"/>
        </w:rPr>
        <w:t>日常调护</w:t>
      </w:r>
    </w:p>
    <w:p w14:paraId="66206E83" w14:textId="452BA779" w:rsidR="00314A6C" w:rsidRDefault="001846FA" w:rsidP="001846FA">
      <w:pPr>
        <w:spacing w:line="520" w:lineRule="exact"/>
        <w:ind w:firstLineChars="200" w:firstLine="640"/>
        <w:rPr>
          <w:rFonts w:ascii="仿宋_GB2312" w:eastAsia="仿宋_GB2312"/>
          <w:color w:val="000000" w:themeColor="text1"/>
          <w:sz w:val="32"/>
          <w:szCs w:val="32"/>
        </w:rPr>
      </w:pPr>
      <w:r w:rsidRPr="001846FA">
        <w:rPr>
          <w:rFonts w:ascii="仿宋_GB2312" w:eastAsia="仿宋_GB2312" w:hint="eastAsia"/>
          <w:color w:val="000000" w:themeColor="text1"/>
          <w:sz w:val="32"/>
          <w:szCs w:val="32"/>
        </w:rPr>
        <w:t>对高尿酸血症患者的特异性要求，每日2000mL以上的饮水量可促进尿酸经尿液排泄，降低尿酸盐在肾小管内沉积的风险。对于肿瘤溶解综合征高危患者，维持充足尿量（≥2000mL/d）是预防高尿酸血症性肾损伤的基础措施之一</w:t>
      </w:r>
      <w:r w:rsidR="00314A6C">
        <w:rPr>
          <w:rFonts w:ascii="仿宋_GB2312" w:eastAsia="仿宋_GB2312" w:hint="eastAsia"/>
          <w:color w:val="000000" w:themeColor="text1"/>
          <w:sz w:val="32"/>
          <w:szCs w:val="32"/>
        </w:rPr>
        <w:t>。</w:t>
      </w:r>
    </w:p>
    <w:p w14:paraId="72C599FA" w14:textId="67EE96FC" w:rsidR="00CF36F1" w:rsidRDefault="00CF36F1" w:rsidP="001846FA">
      <w:pPr>
        <w:spacing w:line="520" w:lineRule="exact"/>
        <w:ind w:firstLineChars="200" w:firstLine="640"/>
        <w:rPr>
          <w:rFonts w:ascii="仿宋_GB2312" w:eastAsia="仿宋_GB2312"/>
          <w:color w:val="000000" w:themeColor="text1"/>
          <w:sz w:val="32"/>
          <w:szCs w:val="32"/>
        </w:rPr>
      </w:pPr>
      <w:r w:rsidRPr="00CF36F1">
        <w:rPr>
          <w:rFonts w:ascii="仿宋_GB2312" w:eastAsia="仿宋_GB2312"/>
          <w:color w:val="000000" w:themeColor="text1"/>
          <w:sz w:val="32"/>
          <w:szCs w:val="32"/>
        </w:rPr>
        <w:t>低镁血症是顺铂和EGFR抑制剂的常见副作用，虽然饮食补镁对重度低镁血症难以替代静脉补镁，但对轻度患者有辅助作用，且可降低后续治疗中再次发生低镁血症的风险。高钾血症限制钾摄入、避免高钠饮食（以控制容量和血压）是AKI管理中的通用电解质调整原则，需根据血清电解质水平动态调整</w:t>
      </w:r>
      <w:r w:rsidRPr="00CF36F1">
        <w:rPr>
          <w:rFonts w:ascii="仿宋_GB2312" w:eastAsia="仿宋_GB2312" w:hint="eastAsia"/>
          <w:color w:val="000000" w:themeColor="text1"/>
          <w:sz w:val="32"/>
          <w:szCs w:val="32"/>
        </w:rPr>
        <w:t>。</w:t>
      </w:r>
    </w:p>
    <w:p w14:paraId="30B24F79" w14:textId="5D04280B" w:rsidR="001846FA" w:rsidRPr="001846FA" w:rsidRDefault="00CF36F1" w:rsidP="001846FA">
      <w:pPr>
        <w:spacing w:line="520" w:lineRule="exact"/>
        <w:ind w:firstLineChars="200" w:firstLine="640"/>
        <w:rPr>
          <w:rFonts w:ascii="仿宋_GB2312" w:eastAsia="仿宋_GB2312"/>
          <w:color w:val="000000" w:themeColor="text1"/>
          <w:sz w:val="32"/>
          <w:szCs w:val="32"/>
        </w:rPr>
      </w:pPr>
      <w:r w:rsidRPr="00CF36F1">
        <w:rPr>
          <w:rFonts w:ascii="仿宋_GB2312" w:eastAsia="仿宋_GB2312"/>
          <w:color w:val="000000" w:themeColor="text1"/>
          <w:sz w:val="32"/>
          <w:szCs w:val="32"/>
        </w:rPr>
        <w:t>优质低蛋白饮食是延缓慢性肾脏病进展的核心营养干预策</w:t>
      </w:r>
      <w:r w:rsidRPr="00CF36F1">
        <w:rPr>
          <w:rFonts w:ascii="仿宋_GB2312" w:eastAsia="仿宋_GB2312"/>
          <w:color w:val="000000" w:themeColor="text1"/>
          <w:sz w:val="32"/>
          <w:szCs w:val="32"/>
        </w:rPr>
        <w:lastRenderedPageBreak/>
        <w:t>略之一。对于蛋白尿合并肾功能减退的患者，限制蛋白质总量（优先选择鸡蛋、鱼肉等高生物价蛋白）可在保证营养的同时减少含氮代谢废物的蓄积，延缓肾功能恶化</w:t>
      </w:r>
      <w:r w:rsidR="001846FA" w:rsidRPr="001846FA">
        <w:rPr>
          <w:rFonts w:ascii="仿宋_GB2312" w:eastAsia="仿宋_GB2312" w:hint="eastAsia"/>
          <w:color w:val="000000" w:themeColor="text1"/>
          <w:sz w:val="32"/>
          <w:szCs w:val="32"/>
        </w:rPr>
        <w:t>。</w:t>
      </w:r>
    </w:p>
    <w:p w14:paraId="08106F0E" w14:textId="77777777" w:rsidR="00D634F2" w:rsidRDefault="008854C0">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六、重大意见分歧的处理依据和结果</w:t>
      </w:r>
    </w:p>
    <w:p w14:paraId="798124BB"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本标准研制过程中无重大分歧意见。</w:t>
      </w:r>
    </w:p>
    <w:p w14:paraId="6A6B000F" w14:textId="77777777" w:rsidR="00D634F2" w:rsidRDefault="008854C0">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七、实施标准的措施</w:t>
      </w:r>
    </w:p>
    <w:p w14:paraId="25EE2F78"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（一）标准报批发布后，成立标准宣贯工作组</w:t>
      </w:r>
    </w:p>
    <w:p w14:paraId="3D9FD746"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3812799D"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（二）组织开展标准宣贯培训</w:t>
      </w:r>
    </w:p>
    <w:p w14:paraId="37D04611" w14:textId="4EFCEE95" w:rsidR="00D634F2" w:rsidRDefault="008854C0">
      <w:pPr>
        <w:spacing w:line="520" w:lineRule="exact"/>
        <w:ind w:firstLineChars="200" w:firstLine="640"/>
        <w:rPr>
          <w:rFonts w:ascii="仿宋" w:eastAsia="仿宋" w:hAnsi="仿宋"/>
          <w:color w:val="000000" w:themeColor="text1"/>
          <w:sz w:val="32"/>
          <w:szCs w:val="32"/>
        </w:rPr>
      </w:pPr>
      <w:r>
        <w:rPr>
          <w:rFonts w:ascii="仿宋_GB2312" w:eastAsia="仿宋_GB2312" w:hint="eastAsia"/>
          <w:color w:val="000000" w:themeColor="text1"/>
          <w:sz w:val="32"/>
          <w:szCs w:val="32"/>
        </w:rPr>
        <w:t>标准发布实施后，标准宣贯工作小组制作标准解读宣贯培训PPT课件和标准核心技术明白书，并按标准宣贯培训计划深入各市县相关机构，对相关技术人员开展标准宣贯培训，对标准进行逐条解读，让相关技术人员掌握标准核心技术内容，助力标准实施落地，</w:t>
      </w:r>
      <w:r w:rsidRPr="00F52CA1">
        <w:rPr>
          <w:rFonts w:ascii="仿宋_GB2312" w:eastAsia="仿宋_GB2312" w:hint="eastAsia"/>
          <w:color w:val="000000" w:themeColor="text1"/>
          <w:sz w:val="32"/>
          <w:szCs w:val="32"/>
        </w:rPr>
        <w:t>促进</w:t>
      </w:r>
      <w:r w:rsidR="00F52CA1" w:rsidRPr="00F52CA1">
        <w:rPr>
          <w:rFonts w:ascii="仿宋_GB2312" w:eastAsia="仿宋_GB2312"/>
          <w:color w:val="000000" w:themeColor="text1"/>
          <w:sz w:val="32"/>
          <w:szCs w:val="32"/>
        </w:rPr>
        <w:t>肿瘤内科临床诊疗服务高质量发展</w:t>
      </w:r>
      <w:r w:rsidRPr="00F52CA1">
        <w:rPr>
          <w:rFonts w:ascii="仿宋_GB2312" w:eastAsia="仿宋_GB2312" w:hint="eastAsia"/>
          <w:color w:val="000000" w:themeColor="text1"/>
          <w:sz w:val="32"/>
          <w:szCs w:val="32"/>
        </w:rPr>
        <w:t>。</w:t>
      </w:r>
    </w:p>
    <w:p w14:paraId="4C1CBF56"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（三）开展标准实施交流会，收集标准实施反馈信息</w:t>
      </w:r>
    </w:p>
    <w:p w14:paraId="05E512D3" w14:textId="43D220ED"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标准起草小组深入各市县相关机构技术人员召开标准实施交流会，听取标准实施过程中存在的问题并做好记录和解答，对存在的问题组织专家团队进行研讨，为标准的复审修订做准备。</w:t>
      </w:r>
    </w:p>
    <w:p w14:paraId="400FCE31"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（四）开展标准实施效果评估</w:t>
      </w:r>
    </w:p>
    <w:p w14:paraId="396607B7"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标准实施满2年，每年标准宣贯工作组采取网络调查、问卷调查、实地调研、召开座谈会或论证会、专家咨询等方式开展标准实施效果评估，并形成标准实施效果评估报告，为标准的复审修订做准备。</w:t>
      </w:r>
    </w:p>
    <w:p w14:paraId="1A42D020" w14:textId="77777777" w:rsidR="00D634F2" w:rsidRDefault="008854C0">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lastRenderedPageBreak/>
        <w:t>八、其他应当说明的事项</w:t>
      </w:r>
    </w:p>
    <w:p w14:paraId="10370A89"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无。</w:t>
      </w:r>
    </w:p>
    <w:p w14:paraId="36D45EF5" w14:textId="77777777" w:rsidR="00D634F2" w:rsidRDefault="00D634F2">
      <w:pPr>
        <w:pStyle w:val="-1"/>
        <w:rPr>
          <w:rFonts w:ascii="仿宋_GB2312" w:eastAsia="仿宋_GB2312"/>
          <w:color w:val="000000" w:themeColor="text1"/>
          <w:sz w:val="28"/>
          <w:szCs w:val="28"/>
        </w:rPr>
      </w:pPr>
    </w:p>
    <w:p w14:paraId="0C4BBABE" w14:textId="77777777" w:rsidR="00D634F2" w:rsidRDefault="00D634F2">
      <w:pPr>
        <w:pStyle w:val="-1"/>
        <w:rPr>
          <w:rFonts w:ascii="仿宋_GB2312" w:eastAsia="仿宋_GB2312"/>
          <w:color w:val="000000" w:themeColor="text1"/>
          <w:sz w:val="28"/>
          <w:szCs w:val="28"/>
        </w:rPr>
      </w:pPr>
    </w:p>
    <w:p w14:paraId="5047C76A" w14:textId="17D0DCBC" w:rsidR="00D634F2" w:rsidRDefault="008854C0">
      <w:pPr>
        <w:spacing w:line="520" w:lineRule="exact"/>
        <w:ind w:firstLineChars="200" w:firstLine="640"/>
        <w:jc w:val="right"/>
        <w:rPr>
          <w:rFonts w:ascii="仿宋_GB2312" w:eastAsia="仿宋_GB2312"/>
          <w:color w:val="000000" w:themeColor="text1"/>
          <w:sz w:val="32"/>
          <w:szCs w:val="32"/>
        </w:rPr>
      </w:pPr>
      <w:r>
        <w:rPr>
          <w:rFonts w:ascii="仿宋_GB2312" w:eastAsia="仿宋_GB2312" w:hint="eastAsia"/>
          <w:color w:val="000000" w:themeColor="text1"/>
          <w:sz w:val="32"/>
          <w:szCs w:val="32"/>
        </w:rPr>
        <w:t>团</w:t>
      </w:r>
      <w:r w:rsidRPr="002E498F">
        <w:rPr>
          <w:rFonts w:ascii="仿宋_GB2312" w:eastAsia="仿宋_GB2312" w:hint="eastAsia"/>
          <w:color w:val="000000" w:themeColor="text1"/>
          <w:sz w:val="32"/>
          <w:szCs w:val="32"/>
        </w:rPr>
        <w:t>体标准《</w:t>
      </w:r>
      <w:r w:rsidR="002D60AF" w:rsidRPr="002E498F">
        <w:rPr>
          <w:rFonts w:ascii="仿宋_GB2312" w:eastAsia="仿宋_GB2312" w:hint="eastAsia"/>
          <w:color w:val="000000" w:themeColor="text1"/>
          <w:sz w:val="32"/>
          <w:szCs w:val="32"/>
        </w:rPr>
        <w:t>抗肿瘤药物急性肾损伤早期诊疗规范</w:t>
      </w:r>
      <w:r w:rsidRPr="002E498F">
        <w:rPr>
          <w:rFonts w:ascii="仿宋_GB2312" w:eastAsia="仿宋_GB2312" w:hint="eastAsia"/>
          <w:color w:val="000000" w:themeColor="text1"/>
          <w:sz w:val="32"/>
          <w:szCs w:val="32"/>
        </w:rPr>
        <w:t>》</w:t>
      </w:r>
    </w:p>
    <w:p w14:paraId="6CBA16C8"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 w:eastAsia="仿宋" w:hAnsi="仿宋" w:hint="eastAsia"/>
          <w:color w:val="000000" w:themeColor="text1"/>
          <w:sz w:val="32"/>
          <w:szCs w:val="32"/>
        </w:rPr>
        <w:t xml:space="preserve">                             </w:t>
      </w:r>
      <w:r>
        <w:rPr>
          <w:rFonts w:ascii="仿宋_GB2312" w:eastAsia="仿宋_GB2312" w:hint="eastAsia"/>
          <w:color w:val="000000" w:themeColor="text1"/>
          <w:sz w:val="32"/>
          <w:szCs w:val="32"/>
        </w:rPr>
        <w:t>标准编制工作组</w:t>
      </w:r>
    </w:p>
    <w:p w14:paraId="3A08D85D" w14:textId="140692B8" w:rsidR="00D634F2" w:rsidRDefault="008854C0">
      <w:pPr>
        <w:spacing w:line="520" w:lineRule="exact"/>
        <w:ind w:firstLineChars="200" w:firstLine="640"/>
        <w:rPr>
          <w:rFonts w:ascii="仿宋_GB2312" w:eastAsia="仿宋_GB2312"/>
          <w:color w:val="000000" w:themeColor="text1"/>
          <w:sz w:val="32"/>
          <w:szCs w:val="32"/>
        </w:rPr>
      </w:pPr>
      <w:r>
        <w:rPr>
          <w:rFonts w:ascii="仿宋" w:eastAsia="仿宋" w:hAnsi="仿宋" w:hint="eastAsia"/>
          <w:color w:val="000000" w:themeColor="text1"/>
          <w:sz w:val="32"/>
          <w:szCs w:val="32"/>
        </w:rPr>
        <w:t xml:space="preserve">                             </w:t>
      </w:r>
      <w:r>
        <w:rPr>
          <w:rFonts w:ascii="仿宋_GB2312" w:eastAsia="仿宋_GB2312" w:hint="eastAsia"/>
          <w:color w:val="000000" w:themeColor="text1"/>
          <w:sz w:val="32"/>
          <w:szCs w:val="32"/>
        </w:rPr>
        <w:t>202</w:t>
      </w:r>
      <w:r w:rsidR="002E498F">
        <w:rPr>
          <w:rFonts w:ascii="仿宋_GB2312" w:eastAsia="仿宋_GB2312"/>
          <w:color w:val="000000" w:themeColor="text1"/>
          <w:sz w:val="32"/>
          <w:szCs w:val="32"/>
        </w:rPr>
        <w:t>6</w:t>
      </w:r>
      <w:r>
        <w:rPr>
          <w:rFonts w:ascii="仿宋_GB2312" w:eastAsia="仿宋_GB2312" w:hint="eastAsia"/>
          <w:color w:val="000000" w:themeColor="text1"/>
          <w:sz w:val="32"/>
          <w:szCs w:val="32"/>
        </w:rPr>
        <w:t>年</w:t>
      </w:r>
      <w:r w:rsidR="001A4046">
        <w:rPr>
          <w:rFonts w:ascii="仿宋_GB2312" w:eastAsia="仿宋_GB2312"/>
          <w:color w:val="000000" w:themeColor="text1"/>
          <w:sz w:val="32"/>
          <w:szCs w:val="32"/>
        </w:rPr>
        <w:t>7</w:t>
      </w:r>
      <w:r>
        <w:rPr>
          <w:rFonts w:ascii="仿宋_GB2312" w:eastAsia="仿宋_GB2312" w:hint="eastAsia"/>
          <w:color w:val="000000" w:themeColor="text1"/>
          <w:sz w:val="32"/>
          <w:szCs w:val="32"/>
        </w:rPr>
        <w:t>月</w:t>
      </w:r>
      <w:r w:rsidR="001A4046">
        <w:rPr>
          <w:rFonts w:ascii="仿宋_GB2312" w:eastAsia="仿宋_GB2312"/>
          <w:color w:val="000000" w:themeColor="text1"/>
          <w:sz w:val="32"/>
          <w:szCs w:val="32"/>
        </w:rPr>
        <w:t>25</w:t>
      </w:r>
      <w:r>
        <w:rPr>
          <w:rFonts w:ascii="仿宋_GB2312" w:eastAsia="仿宋_GB2312" w:hint="eastAsia"/>
          <w:color w:val="000000" w:themeColor="text1"/>
          <w:sz w:val="32"/>
          <w:szCs w:val="32"/>
        </w:rPr>
        <w:t>日</w:t>
      </w:r>
    </w:p>
    <w:p w14:paraId="3443FBC0" w14:textId="77777777" w:rsidR="00D157EE" w:rsidRPr="00D157EE" w:rsidRDefault="00D157EE" w:rsidP="000C3F40">
      <w:pPr>
        <w:pStyle w:val="BodyText2"/>
        <w:jc w:val="center"/>
      </w:pPr>
    </w:p>
    <w:sectPr w:rsidR="00D157EE" w:rsidRPr="00D157EE">
      <w:footerReference w:type="default" r:id="rId9"/>
      <w:pgSz w:w="11906" w:h="16838"/>
      <w:pgMar w:top="1474" w:right="1474" w:bottom="1474" w:left="147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EB50F" w14:textId="77777777" w:rsidR="009746F1" w:rsidRDefault="009746F1">
      <w:r>
        <w:separator/>
      </w:r>
    </w:p>
  </w:endnote>
  <w:endnote w:type="continuationSeparator" w:id="0">
    <w:p w14:paraId="72D076EF" w14:textId="77777777" w:rsidR="009746F1" w:rsidRDefault="0097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embedRegular r:id="rId1" w:subsetted="1" w:fontKey="{142172D0-6259-4C70-BAB0-EDF0DA6A6BEC}"/>
  </w:font>
  <w:font w:name="Calibri">
    <w:panose1 w:val="020F0502020204030204"/>
    <w:charset w:val="00"/>
    <w:family w:val="swiss"/>
    <w:pitch w:val="variable"/>
    <w:sig w:usb0="E00002FF" w:usb1="4000ACFF" w:usb2="00000001" w:usb3="00000000" w:csb0="0000019F" w:csb1="00000000"/>
    <w:embedRegular r:id="rId2" w:subsetted="1" w:fontKey="{E62826A4-F589-4451-B45F-194C90648EE6}"/>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embedRegular r:id="rId3" w:subsetted="1" w:fontKey="{EA8C4CB8-A86B-45AA-9A02-B2D3ECA5B002}"/>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embedRegular r:id="rId4" w:subsetted="1" w:fontKey="{4853E989-0D12-4356-99D0-F471D1110409}"/>
    <w:embedBold r:id="rId5" w:subsetted="1" w:fontKey="{7A2F7FDD-9094-488C-9C66-BBFFB0C3597D}"/>
  </w:font>
  <w:font w:name="楷体">
    <w:panose1 w:val="02010609060101010101"/>
    <w:charset w:val="86"/>
    <w:family w:val="modern"/>
    <w:pitch w:val="fixed"/>
    <w:sig w:usb0="800002BF" w:usb1="38CF7CFA" w:usb2="00000016" w:usb3="00000000" w:csb0="00040001" w:csb1="00000000"/>
    <w:embedBold r:id="rId6" w:subsetted="1" w:fontKey="{B15DD60E-68C6-4EA8-8B8F-B15BD3920882}"/>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65792" w14:textId="77777777" w:rsidR="00AC1923" w:rsidRDefault="00AC1923">
    <w:pPr>
      <w:pStyle w:val="af8"/>
      <w:ind w:firstLine="378"/>
    </w:pPr>
    <w:r>
      <w:rPr>
        <w:noProof/>
      </w:rPr>
      <mc:AlternateContent>
        <mc:Choice Requires="wps">
          <w:drawing>
            <wp:anchor distT="0" distB="0" distL="114300" distR="114300" simplePos="0" relativeHeight="251659264" behindDoc="0" locked="0" layoutInCell="1" allowOverlap="1" wp14:anchorId="26AD30D5" wp14:editId="5D371AB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2607E4CD" w14:textId="404A6B74" w:rsidR="00AC1923" w:rsidRDefault="00AC1923">
                          <w:pPr>
                            <w:pStyle w:val="af8"/>
                            <w:rPr>
                              <w:rFonts w:ascii="宋体" w:hAnsi="宋体"/>
                              <w:sz w:val="21"/>
                            </w:rPr>
                          </w:pPr>
                          <w:r>
                            <w:rPr>
                              <w:rFonts w:ascii="宋体" w:hAnsi="宋体" w:hint="eastAsia"/>
                              <w:sz w:val="21"/>
                            </w:rPr>
                            <w:fldChar w:fldCharType="begin"/>
                          </w:r>
                          <w:r>
                            <w:rPr>
                              <w:rFonts w:ascii="宋体" w:hAnsi="宋体" w:hint="eastAsia"/>
                              <w:sz w:val="21"/>
                            </w:rPr>
                            <w:instrText xml:space="preserve"> PAGE  \* MERGEFORMAT </w:instrText>
                          </w:r>
                          <w:r>
                            <w:rPr>
                              <w:rFonts w:ascii="宋体" w:hAnsi="宋体" w:hint="eastAsia"/>
                              <w:sz w:val="21"/>
                            </w:rPr>
                            <w:fldChar w:fldCharType="separate"/>
                          </w:r>
                          <w:r w:rsidR="005868E0">
                            <w:rPr>
                              <w:rFonts w:ascii="宋体" w:hAnsi="宋体"/>
                              <w:noProof/>
                              <w:sz w:val="21"/>
                            </w:rPr>
                            <w:t>10</w:t>
                          </w:r>
                          <w:r>
                            <w:rPr>
                              <w:rFonts w:ascii="宋体" w:hAnsi="宋体" w:hint="eastAsia"/>
                              <w:sz w:val="21"/>
                            </w:rPr>
                            <w:fldChar w:fldCharType="end"/>
                          </w:r>
                        </w:p>
                      </w:txbxContent>
                    </wps:txbx>
                    <wps:bodyPr wrap="none" lIns="0" tIns="0" rIns="0" bIns="0" upright="1">
                      <a:spAutoFit/>
                    </wps:bodyPr>
                  </wps:wsp>
                </a:graphicData>
              </a:graphic>
            </wp:anchor>
          </w:drawing>
        </mc:Choice>
        <mc:Fallback>
          <w:pict>
            <v:shapetype w14:anchorId="26AD30D5" id="_x0000_t202" coordsize="21600,21600" o:spt="202" path="m,l,21600r21600,l21600,xe">
              <v:stroke joinstyle="miter"/>
              <v:path gradientshapeok="t" o:connecttype="rect"/>
            </v:shapetype>
            <v:shape id="文本框 1" o:spid="_x0000_s1026" type="#_x0000_t202" style="position:absolute;left:0;text-align:left;margin-left:0;margin-top:0;width:4.4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" filled="f" stroked="f" strokeweight=".5pt">
              <v:textbox style="mso-fit-shape-to-text:t" inset="0,0,0,0">
                <w:txbxContent>
                  <w:p w14:paraId="2607E4CD" w14:textId="404A6B74" w:rsidR="00AC1923" w:rsidRDefault="00AC1923">
                    <w:pPr>
                      <w:pStyle w:val="af8"/>
                      <w:rPr>
                        <w:rFonts w:ascii="宋体" w:hAnsi="宋体"/>
                        <w:sz w:val="21"/>
                      </w:rPr>
                    </w:pPr>
                    <w:r>
                      <w:rPr>
                        <w:rFonts w:ascii="宋体" w:hAnsi="宋体" w:hint="eastAsia"/>
                        <w:sz w:val="21"/>
                      </w:rPr>
                      <w:fldChar w:fldCharType="begin"/>
                    </w:r>
                    <w:r>
                      <w:rPr>
                        <w:rFonts w:ascii="宋体" w:hAnsi="宋体" w:hint="eastAsia"/>
                        <w:sz w:val="21"/>
                      </w:rPr>
                      <w:instrText xml:space="preserve"> PAGE  \* MERGEFORMAT </w:instrText>
                    </w:r>
                    <w:r>
                      <w:rPr>
                        <w:rFonts w:ascii="宋体" w:hAnsi="宋体" w:hint="eastAsia"/>
                        <w:sz w:val="21"/>
                      </w:rPr>
                      <w:fldChar w:fldCharType="separate"/>
                    </w:r>
                    <w:r w:rsidR="005868E0">
                      <w:rPr>
                        <w:rFonts w:ascii="宋体" w:hAnsi="宋体"/>
                        <w:noProof/>
                        <w:sz w:val="21"/>
                      </w:rPr>
                      <w:t>10</w:t>
                    </w:r>
                    <w:r>
                      <w:rPr>
                        <w:rFonts w:ascii="宋体" w:hAnsi="宋体" w:hint="eastAsia"/>
                        <w:sz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D2CE5" w14:textId="77777777" w:rsidR="009746F1" w:rsidRDefault="009746F1">
      <w:r>
        <w:separator/>
      </w:r>
    </w:p>
  </w:footnote>
  <w:footnote w:type="continuationSeparator" w:id="0">
    <w:p w14:paraId="2B62615B" w14:textId="77777777" w:rsidR="009746F1" w:rsidRDefault="009746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CF5396"/>
    <w:multiLevelType w:val="singleLevel"/>
    <w:tmpl w:val="81CF5396"/>
    <w:lvl w:ilvl="0">
      <w:start w:val="1"/>
      <w:numFmt w:val="decimal"/>
      <w:suff w:val="nothing"/>
      <w:lvlText w:val="%1）"/>
      <w:lvlJc w:val="left"/>
    </w:lvl>
  </w:abstractNum>
  <w:abstractNum w:abstractNumId="1" w15:restartNumberingAfterBreak="0">
    <w:nsid w:val="8DDF8329"/>
    <w:multiLevelType w:val="multilevel"/>
    <w:tmpl w:val="8DDF8329"/>
    <w:lvl w:ilvl="0">
      <w:start w:val="1"/>
      <w:numFmt w:val="decimal"/>
      <w:pStyle w:val="a"/>
      <w:suff w:val="nothing"/>
      <w:lvlText w:val="表%1　"/>
      <w:legacy w:legacy="1" w:legacySpace="0" w:legacyIndent="0"/>
      <w:lvlJc w:val="left"/>
      <w:pPr>
        <w:ind w:left="0" w:firstLine="0"/>
      </w:pPr>
    </w:lvl>
    <w:lvl w:ilvl="1">
      <w:start w:val="1"/>
      <w:numFmt w:val="decimal"/>
      <w:lvlText w:val="%1.%2"/>
      <w:legacy w:legacy="1" w:legacySpace="0" w:legacyIndent="567"/>
      <w:lvlJc w:val="left"/>
      <w:pPr>
        <w:ind w:left="992" w:hanging="567"/>
      </w:pPr>
    </w:lvl>
    <w:lvl w:ilvl="2">
      <w:start w:val="1"/>
      <w:numFmt w:val="decimal"/>
      <w:lvlText w:val="%1.%2.%3"/>
      <w:legacy w:legacy="1" w:legacySpace="0" w:legacyIndent="567"/>
      <w:lvlJc w:val="left"/>
      <w:pPr>
        <w:ind w:left="1417" w:hanging="567"/>
      </w:pPr>
    </w:lvl>
    <w:lvl w:ilvl="3">
      <w:start w:val="1"/>
      <w:numFmt w:val="decimal"/>
      <w:lvlText w:val="%1.%2.%3.%4"/>
      <w:legacy w:legacy="1" w:legacySpace="0" w:legacyIndent="708"/>
      <w:lvlJc w:val="left"/>
      <w:pPr>
        <w:ind w:left="1984" w:hanging="708"/>
      </w:pPr>
    </w:lvl>
    <w:lvl w:ilvl="4">
      <w:start w:val="1"/>
      <w:numFmt w:val="decimal"/>
      <w:lvlText w:val="%1.%2.%3.%4.%5"/>
      <w:legacy w:legacy="1" w:legacySpace="0" w:legacyIndent="850"/>
      <w:lvlJc w:val="left"/>
      <w:pPr>
        <w:ind w:left="2551" w:hanging="850"/>
      </w:pPr>
    </w:lvl>
    <w:lvl w:ilvl="5">
      <w:start w:val="1"/>
      <w:numFmt w:val="decimal"/>
      <w:lvlText w:val="%1.%2.%3.%4.%5.%6"/>
      <w:legacy w:legacy="1" w:legacySpace="0" w:legacyIndent="1134"/>
      <w:lvlJc w:val="left"/>
      <w:pPr>
        <w:ind w:left="3260" w:hanging="1134"/>
      </w:pPr>
    </w:lvl>
    <w:lvl w:ilvl="6">
      <w:start w:val="1"/>
      <w:numFmt w:val="decimal"/>
      <w:lvlText w:val="%1.%2.%3.%4.%5.%6.%7"/>
      <w:legacy w:legacy="1" w:legacySpace="0" w:legacyIndent="1276"/>
      <w:lvlJc w:val="left"/>
      <w:pPr>
        <w:ind w:left="3827" w:hanging="1276"/>
      </w:pPr>
    </w:lvl>
    <w:lvl w:ilvl="7">
      <w:start w:val="1"/>
      <w:numFmt w:val="decimal"/>
      <w:lvlText w:val="%1.%2.%3.%4.%5.%6.%7.%8"/>
      <w:legacy w:legacy="1" w:legacySpace="0" w:legacyIndent="1418"/>
      <w:lvlJc w:val="left"/>
      <w:pPr>
        <w:ind w:left="4394" w:hanging="1418"/>
      </w:pPr>
    </w:lvl>
    <w:lvl w:ilvl="8">
      <w:start w:val="1"/>
      <w:numFmt w:val="decimal"/>
      <w:lvlText w:val="%1.%2.%3.%4.%5.%6.%7.%8.%9"/>
      <w:legacy w:legacy="1" w:legacySpace="0" w:legacyIndent="1700"/>
      <w:lvlJc w:val="left"/>
      <w:pPr>
        <w:ind w:left="5102" w:hanging="1700"/>
      </w:pPr>
    </w:lvl>
  </w:abstractNum>
  <w:abstractNum w:abstractNumId="2" w15:restartNumberingAfterBreak="0">
    <w:nsid w:val="A1098D4C"/>
    <w:multiLevelType w:val="singleLevel"/>
    <w:tmpl w:val="A1098D4C"/>
    <w:lvl w:ilvl="0">
      <w:start w:val="1"/>
      <w:numFmt w:val="decimal"/>
      <w:suff w:val="nothing"/>
      <w:lvlText w:val="%1、"/>
      <w:lvlJc w:val="left"/>
    </w:lvl>
  </w:abstractNum>
  <w:abstractNum w:abstractNumId="3" w15:restartNumberingAfterBreak="0">
    <w:nsid w:val="0BDC1670"/>
    <w:multiLevelType w:val="multilevel"/>
    <w:tmpl w:val="0BDC1670"/>
    <w:lvl w:ilvl="0">
      <w:start w:val="1"/>
      <w:numFmt w:val="decimal"/>
      <w:pStyle w:val="a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2C5917C3"/>
    <w:multiLevelType w:val="multilevel"/>
    <w:tmpl w:val="2C5917C3"/>
    <w:lvl w:ilvl="0">
      <w:start w:val="1"/>
      <w:numFmt w:val="none"/>
      <w:pStyle w:val="a1"/>
      <w:lvlText w:val="%1——"/>
      <w:lvlJc w:val="left"/>
      <w:pPr>
        <w:tabs>
          <w:tab w:val="left" w:pos="851"/>
        </w:tabs>
        <w:ind w:left="636" w:hanging="426"/>
      </w:pPr>
      <w:rPr>
        <w:rFonts w:ascii="宋体" w:eastAsia="宋体" w:hAnsi="Times New Roman" w:hint="eastAsia"/>
        <w:b w:val="0"/>
        <w:i w:val="0"/>
        <w:sz w:val="21"/>
      </w:rPr>
    </w:lvl>
    <w:lvl w:ilvl="1">
      <w:start w:val="1"/>
      <w:numFmt w:val="none"/>
      <w:lvlText w:val=""/>
      <w:lvlJc w:val="left"/>
      <w:pPr>
        <w:ind w:left="636" w:hanging="431"/>
      </w:pPr>
      <w:rPr>
        <w:rFonts w:ascii="Symbol" w:hAnsi="Symbol" w:hint="default"/>
        <w:sz w:val="21"/>
      </w:rPr>
    </w:lvl>
    <w:lvl w:ilvl="2">
      <w:start w:val="1"/>
      <w:numFmt w:val="bullet"/>
      <w:lvlText w:val=""/>
      <w:lvlJc w:val="left"/>
      <w:pPr>
        <w:ind w:left="636" w:hanging="426"/>
      </w:pPr>
      <w:rPr>
        <w:rFonts w:ascii="Wingdings" w:hAnsi="Wingdings" w:hint="default"/>
        <w:sz w:val="21"/>
      </w:rPr>
    </w:lvl>
    <w:lvl w:ilvl="3">
      <w:start w:val="1"/>
      <w:numFmt w:val="decimal"/>
      <w:lvlText w:val="%4."/>
      <w:lvlJc w:val="left"/>
      <w:pPr>
        <w:tabs>
          <w:tab w:val="left" w:pos="2071"/>
        </w:tabs>
        <w:ind w:left="1669" w:hanging="528"/>
      </w:pPr>
      <w:rPr>
        <w:rFonts w:hint="eastAsia"/>
      </w:rPr>
    </w:lvl>
    <w:lvl w:ilvl="4">
      <w:start w:val="1"/>
      <w:numFmt w:val="lowerLetter"/>
      <w:lvlText w:val="%5)"/>
      <w:lvlJc w:val="left"/>
      <w:pPr>
        <w:tabs>
          <w:tab w:val="left" w:pos="2383"/>
        </w:tabs>
        <w:ind w:left="1981" w:hanging="528"/>
      </w:pPr>
      <w:rPr>
        <w:rFonts w:hint="eastAsia"/>
      </w:rPr>
    </w:lvl>
    <w:lvl w:ilvl="5">
      <w:start w:val="1"/>
      <w:numFmt w:val="lowerRoman"/>
      <w:lvlText w:val="%6."/>
      <w:lvlJc w:val="right"/>
      <w:pPr>
        <w:tabs>
          <w:tab w:val="left" w:pos="2695"/>
        </w:tabs>
        <w:ind w:left="2293" w:hanging="528"/>
      </w:pPr>
      <w:rPr>
        <w:rFonts w:hint="eastAsia"/>
      </w:rPr>
    </w:lvl>
    <w:lvl w:ilvl="6">
      <w:start w:val="1"/>
      <w:numFmt w:val="decimal"/>
      <w:lvlText w:val="%7."/>
      <w:lvlJc w:val="left"/>
      <w:pPr>
        <w:tabs>
          <w:tab w:val="left" w:pos="3007"/>
        </w:tabs>
        <w:ind w:left="2605" w:hanging="528"/>
      </w:pPr>
      <w:rPr>
        <w:rFonts w:hint="eastAsia"/>
      </w:rPr>
    </w:lvl>
    <w:lvl w:ilvl="7">
      <w:start w:val="1"/>
      <w:numFmt w:val="lowerLetter"/>
      <w:lvlText w:val="%8)"/>
      <w:lvlJc w:val="left"/>
      <w:pPr>
        <w:tabs>
          <w:tab w:val="left" w:pos="3319"/>
        </w:tabs>
        <w:ind w:left="2917" w:hanging="528"/>
      </w:pPr>
      <w:rPr>
        <w:rFonts w:hint="eastAsia"/>
      </w:rPr>
    </w:lvl>
    <w:lvl w:ilvl="8">
      <w:start w:val="1"/>
      <w:numFmt w:val="lowerRoman"/>
      <w:lvlText w:val="%9."/>
      <w:lvlJc w:val="right"/>
      <w:pPr>
        <w:tabs>
          <w:tab w:val="left" w:pos="3631"/>
        </w:tabs>
        <w:ind w:left="3229" w:hanging="528"/>
      </w:pPr>
      <w:rPr>
        <w:rFonts w:hint="eastAsia"/>
      </w:rPr>
    </w:lvl>
  </w:abstractNum>
  <w:abstractNum w:abstractNumId="5" w15:restartNumberingAfterBreak="0">
    <w:nsid w:val="44C50F90"/>
    <w:multiLevelType w:val="multilevel"/>
    <w:tmpl w:val="44C50F90"/>
    <w:lvl w:ilvl="0">
      <w:start w:val="1"/>
      <w:numFmt w:val="lowerLetter"/>
      <w:pStyle w:val="a2"/>
      <w:lvlText w:val="%1)"/>
      <w:lvlJc w:val="left"/>
      <w:pPr>
        <w:tabs>
          <w:tab w:val="left" w:pos="851"/>
        </w:tabs>
        <w:ind w:left="851" w:hanging="426"/>
      </w:pPr>
      <w:rPr>
        <w:rFonts w:ascii="宋体" w:eastAsia="宋体" w:hAnsi="Times New Roman" w:hint="eastAsia"/>
        <w:sz w:val="21"/>
      </w:rPr>
    </w:lvl>
    <w:lvl w:ilvl="1">
      <w:start w:val="1"/>
      <w:numFmt w:val="decimal"/>
      <w:pStyle w:val="a3"/>
      <w:lvlText w:val="%2)"/>
      <w:lvlJc w:val="left"/>
      <w:pPr>
        <w:tabs>
          <w:tab w:val="left" w:pos="1276"/>
        </w:tabs>
        <w:ind w:left="1276" w:hanging="425"/>
      </w:pPr>
      <w:rPr>
        <w:rFonts w:ascii="宋体" w:eastAsia="宋体" w:hAnsi="Times New Roman" w:hint="eastAsia"/>
        <w:sz w:val="21"/>
      </w:rPr>
    </w:lvl>
    <w:lvl w:ilvl="2">
      <w:start w:val="1"/>
      <w:numFmt w:val="decimal"/>
      <w:pStyle w:val="a4"/>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6" w15:restartNumberingAfterBreak="0">
    <w:nsid w:val="5A9B6960"/>
    <w:multiLevelType w:val="multilevel"/>
    <w:tmpl w:val="5A9B6960"/>
    <w:lvl w:ilvl="0">
      <w:start w:val="1"/>
      <w:numFmt w:val="none"/>
      <w:pStyle w:val="a5"/>
      <w:suff w:val="nothing"/>
      <w:lvlText w:val="%1"/>
      <w:legacy w:legacy="1" w:legacySpace="0" w:legacyIndent="0"/>
      <w:lvlJc w:val="left"/>
      <w:pPr>
        <w:ind w:left="0" w:firstLine="0"/>
      </w:pPr>
      <w:rPr>
        <w:rFonts w:hint="eastAsia"/>
      </w:rPr>
    </w:lvl>
    <w:lvl w:ilvl="1">
      <w:start w:val="1"/>
      <w:numFmt w:val="decimal"/>
      <w:pStyle w:val="a6"/>
      <w:suff w:val="nothing"/>
      <w:lvlText w:val="%1%2　"/>
      <w:legacy w:legacy="1" w:legacySpace="0" w:legacyIndent="0"/>
      <w:lvlJc w:val="left"/>
      <w:pPr>
        <w:ind w:left="0" w:firstLine="0"/>
      </w:pPr>
      <w:rPr>
        <w:rFonts w:ascii="黑体" w:eastAsia="黑体" w:hAnsi="黑体" w:hint="eastAsia"/>
        <w:b w:val="0"/>
        <w:i w:val="0"/>
        <w:sz w:val="21"/>
      </w:rPr>
    </w:lvl>
    <w:lvl w:ilvl="2">
      <w:start w:val="1"/>
      <w:numFmt w:val="decimal"/>
      <w:pStyle w:val="a7"/>
      <w:suff w:val="nothing"/>
      <w:lvlText w:val="%1%2.%3　"/>
      <w:legacy w:legacy="1" w:legacySpace="0" w:legacyIndent="0"/>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egacy w:legacy="1" w:legacySpace="0" w:legacyIndent="0"/>
      <w:lvlJc w:val="left"/>
      <w:pPr>
        <w:ind w:left="0" w:firstLine="0"/>
      </w:pPr>
      <w:rPr>
        <w:rFonts w:ascii="黑体" w:eastAsia="黑体" w:hAnsi="黑体" w:hint="eastAsia"/>
        <w:b w:val="0"/>
        <w:i w:val="0"/>
        <w:sz w:val="21"/>
      </w:rPr>
    </w:lvl>
    <w:lvl w:ilvl="4">
      <w:start w:val="1"/>
      <w:numFmt w:val="decimal"/>
      <w:pStyle w:val="a8"/>
      <w:suff w:val="nothing"/>
      <w:lvlText w:val="%1%2.%3.%4.%5　"/>
      <w:legacy w:legacy="1" w:legacySpace="0" w:legacyIndent="0"/>
      <w:lvlJc w:val="left"/>
      <w:pPr>
        <w:ind w:left="0" w:firstLine="0"/>
      </w:pPr>
      <w:rPr>
        <w:rFonts w:ascii="黑体" w:eastAsia="黑体" w:hAnsi="黑体" w:hint="eastAsia"/>
        <w:b w:val="0"/>
        <w:i w:val="0"/>
        <w:sz w:val="21"/>
      </w:rPr>
    </w:lvl>
    <w:lvl w:ilvl="5">
      <w:start w:val="1"/>
      <w:numFmt w:val="decimal"/>
      <w:pStyle w:val="a9"/>
      <w:suff w:val="nothing"/>
      <w:lvlText w:val="%1%2.%3.%4.%5.%6　"/>
      <w:legacy w:legacy="1" w:legacySpace="0" w:legacyIndent="0"/>
      <w:lvlJc w:val="left"/>
      <w:pPr>
        <w:ind w:left="0" w:firstLine="0"/>
      </w:pPr>
      <w:rPr>
        <w:rFonts w:ascii="黑体" w:eastAsia="黑体" w:hAnsi="黑体" w:hint="eastAsia"/>
        <w:b w:val="0"/>
        <w:i w:val="0"/>
        <w:sz w:val="21"/>
      </w:rPr>
    </w:lvl>
    <w:lvl w:ilvl="6">
      <w:start w:val="1"/>
      <w:numFmt w:val="decimal"/>
      <w:pStyle w:val="aa"/>
      <w:suff w:val="nothing"/>
      <w:lvlText w:val="%1%2.%3.%4.%5.%6.%7　"/>
      <w:legacy w:legacy="1" w:legacySpace="0" w:legacyIndent="0"/>
      <w:lvlJc w:val="left"/>
      <w:pPr>
        <w:ind w:left="0" w:firstLine="0"/>
      </w:pPr>
      <w:rPr>
        <w:rFonts w:ascii="黑体" w:eastAsia="黑体" w:hAnsi="黑体" w:hint="eastAsia"/>
        <w:b w:val="0"/>
        <w:i w:val="0"/>
        <w:sz w:val="21"/>
      </w:rPr>
    </w:lvl>
    <w:lvl w:ilvl="7">
      <w:start w:val="1"/>
      <w:numFmt w:val="decimal"/>
      <w:lvlText w:val="%1.%2.%3.%4.%5.%6.%7.%8"/>
      <w:legacy w:legacy="1" w:legacySpace="0" w:legacyIndent="1418"/>
      <w:lvlJc w:val="left"/>
      <w:pPr>
        <w:ind w:left="3969" w:hanging="1418"/>
      </w:pPr>
      <w:rPr>
        <w:rFonts w:hint="eastAsia"/>
      </w:rPr>
    </w:lvl>
    <w:lvl w:ilvl="8">
      <w:start w:val="1"/>
      <w:numFmt w:val="decimal"/>
      <w:lvlText w:val="%1.%2.%3.%4.%5.%6.%7.%8.%9"/>
      <w:legacy w:legacy="1" w:legacySpace="0" w:legacyIndent="1700"/>
      <w:lvlJc w:val="left"/>
      <w:pPr>
        <w:ind w:left="4677" w:hanging="1700"/>
      </w:pPr>
      <w:rPr>
        <w:rFonts w:hint="eastAsia"/>
      </w:rPr>
    </w:lvl>
  </w:abstractNum>
  <w:abstractNum w:abstractNumId="7"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num w:numId="1">
    <w:abstractNumId w:val="6"/>
  </w:num>
  <w:num w:numId="2">
    <w:abstractNumId w:val="1"/>
  </w:num>
  <w:num w:numId="3">
    <w:abstractNumId w:val="5"/>
  </w:num>
  <w:num w:numId="4">
    <w:abstractNumId w:val="4"/>
  </w:num>
  <w:num w:numId="5">
    <w:abstractNumId w:val="7"/>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TrueTypeFonts/>
  <w:saveSubset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wMDc0ZjI4NzNlMjMwZWM0OGFmYTgxZDU4M2Y4NDAifQ=="/>
  </w:docVars>
  <w:rsids>
    <w:rsidRoot w:val="000D75AA"/>
    <w:rsid w:val="D9BF3AD6"/>
    <w:rsid w:val="E7FFD9D9"/>
    <w:rsid w:val="000026B4"/>
    <w:rsid w:val="000068A2"/>
    <w:rsid w:val="00014983"/>
    <w:rsid w:val="00014F92"/>
    <w:rsid w:val="000171F6"/>
    <w:rsid w:val="000178C8"/>
    <w:rsid w:val="00021AEF"/>
    <w:rsid w:val="00024C52"/>
    <w:rsid w:val="0004185E"/>
    <w:rsid w:val="00041CA7"/>
    <w:rsid w:val="000424C0"/>
    <w:rsid w:val="000513F3"/>
    <w:rsid w:val="00051A80"/>
    <w:rsid w:val="00051C74"/>
    <w:rsid w:val="00051F5E"/>
    <w:rsid w:val="000540AB"/>
    <w:rsid w:val="00055442"/>
    <w:rsid w:val="00061BDC"/>
    <w:rsid w:val="0006459C"/>
    <w:rsid w:val="000671D8"/>
    <w:rsid w:val="000709A1"/>
    <w:rsid w:val="00071CAA"/>
    <w:rsid w:val="00072103"/>
    <w:rsid w:val="000743B4"/>
    <w:rsid w:val="00075653"/>
    <w:rsid w:val="00076330"/>
    <w:rsid w:val="00082613"/>
    <w:rsid w:val="00092E1F"/>
    <w:rsid w:val="00094B6B"/>
    <w:rsid w:val="000968C6"/>
    <w:rsid w:val="000969BE"/>
    <w:rsid w:val="00097E01"/>
    <w:rsid w:val="000A2616"/>
    <w:rsid w:val="000A77F5"/>
    <w:rsid w:val="000B2F3C"/>
    <w:rsid w:val="000B3320"/>
    <w:rsid w:val="000B3E65"/>
    <w:rsid w:val="000B4242"/>
    <w:rsid w:val="000B6E76"/>
    <w:rsid w:val="000C3C30"/>
    <w:rsid w:val="000C3F40"/>
    <w:rsid w:val="000C517B"/>
    <w:rsid w:val="000C6800"/>
    <w:rsid w:val="000C7685"/>
    <w:rsid w:val="000D1FCA"/>
    <w:rsid w:val="000D211A"/>
    <w:rsid w:val="000D35F1"/>
    <w:rsid w:val="000D47AC"/>
    <w:rsid w:val="000D688C"/>
    <w:rsid w:val="000D6AA8"/>
    <w:rsid w:val="000D75AA"/>
    <w:rsid w:val="000E0C0E"/>
    <w:rsid w:val="000E53EA"/>
    <w:rsid w:val="000F03C9"/>
    <w:rsid w:val="000F21F0"/>
    <w:rsid w:val="000F2317"/>
    <w:rsid w:val="000F2861"/>
    <w:rsid w:val="000F7AED"/>
    <w:rsid w:val="00101040"/>
    <w:rsid w:val="00110AC2"/>
    <w:rsid w:val="001114EB"/>
    <w:rsid w:val="001121F0"/>
    <w:rsid w:val="001133E6"/>
    <w:rsid w:val="001133EF"/>
    <w:rsid w:val="001143BC"/>
    <w:rsid w:val="00116CEA"/>
    <w:rsid w:val="00117BE9"/>
    <w:rsid w:val="0012345E"/>
    <w:rsid w:val="00132D8B"/>
    <w:rsid w:val="001334A1"/>
    <w:rsid w:val="00133F3E"/>
    <w:rsid w:val="0013596D"/>
    <w:rsid w:val="00141D5D"/>
    <w:rsid w:val="00141D9D"/>
    <w:rsid w:val="001437B3"/>
    <w:rsid w:val="00152CB3"/>
    <w:rsid w:val="001530FB"/>
    <w:rsid w:val="001535F0"/>
    <w:rsid w:val="001548F8"/>
    <w:rsid w:val="001655CC"/>
    <w:rsid w:val="0018012C"/>
    <w:rsid w:val="001821C9"/>
    <w:rsid w:val="00183018"/>
    <w:rsid w:val="001846FA"/>
    <w:rsid w:val="00190E01"/>
    <w:rsid w:val="00192A37"/>
    <w:rsid w:val="00194640"/>
    <w:rsid w:val="001968C3"/>
    <w:rsid w:val="001A3825"/>
    <w:rsid w:val="001A4046"/>
    <w:rsid w:val="001A7570"/>
    <w:rsid w:val="001B0030"/>
    <w:rsid w:val="001B3580"/>
    <w:rsid w:val="001B6B04"/>
    <w:rsid w:val="001C21D4"/>
    <w:rsid w:val="001C4C8F"/>
    <w:rsid w:val="001C684B"/>
    <w:rsid w:val="001C7DE8"/>
    <w:rsid w:val="001D03FF"/>
    <w:rsid w:val="001D0584"/>
    <w:rsid w:val="001D3156"/>
    <w:rsid w:val="001D4971"/>
    <w:rsid w:val="001E1206"/>
    <w:rsid w:val="001E130D"/>
    <w:rsid w:val="001E1CA6"/>
    <w:rsid w:val="001E29C4"/>
    <w:rsid w:val="001E2D73"/>
    <w:rsid w:val="001F251A"/>
    <w:rsid w:val="001F2A8F"/>
    <w:rsid w:val="001F4D35"/>
    <w:rsid w:val="001F5F5D"/>
    <w:rsid w:val="00200252"/>
    <w:rsid w:val="0020127F"/>
    <w:rsid w:val="00204829"/>
    <w:rsid w:val="00205352"/>
    <w:rsid w:val="00205D69"/>
    <w:rsid w:val="00210FD3"/>
    <w:rsid w:val="00212227"/>
    <w:rsid w:val="00213117"/>
    <w:rsid w:val="0021503F"/>
    <w:rsid w:val="00215478"/>
    <w:rsid w:val="002209F0"/>
    <w:rsid w:val="002210B4"/>
    <w:rsid w:val="00221DEA"/>
    <w:rsid w:val="0022236C"/>
    <w:rsid w:val="0022377B"/>
    <w:rsid w:val="002251A3"/>
    <w:rsid w:val="00226607"/>
    <w:rsid w:val="002324B6"/>
    <w:rsid w:val="00234F7D"/>
    <w:rsid w:val="00235F58"/>
    <w:rsid w:val="00236909"/>
    <w:rsid w:val="00236EB4"/>
    <w:rsid w:val="00237A0A"/>
    <w:rsid w:val="00241F8A"/>
    <w:rsid w:val="00242A75"/>
    <w:rsid w:val="00242E52"/>
    <w:rsid w:val="0024606D"/>
    <w:rsid w:val="00246E41"/>
    <w:rsid w:val="00251C09"/>
    <w:rsid w:val="0025373A"/>
    <w:rsid w:val="00253845"/>
    <w:rsid w:val="002546EF"/>
    <w:rsid w:val="00262001"/>
    <w:rsid w:val="00262C14"/>
    <w:rsid w:val="00263E80"/>
    <w:rsid w:val="002679F0"/>
    <w:rsid w:val="00271E05"/>
    <w:rsid w:val="00280BDB"/>
    <w:rsid w:val="00281F39"/>
    <w:rsid w:val="00284CC4"/>
    <w:rsid w:val="0028500C"/>
    <w:rsid w:val="0028575C"/>
    <w:rsid w:val="002879F6"/>
    <w:rsid w:val="00291CD8"/>
    <w:rsid w:val="002920DE"/>
    <w:rsid w:val="00292F73"/>
    <w:rsid w:val="0029554A"/>
    <w:rsid w:val="00297734"/>
    <w:rsid w:val="002A1BE9"/>
    <w:rsid w:val="002A2DDC"/>
    <w:rsid w:val="002A3479"/>
    <w:rsid w:val="002A3683"/>
    <w:rsid w:val="002A6366"/>
    <w:rsid w:val="002B7B10"/>
    <w:rsid w:val="002B7C92"/>
    <w:rsid w:val="002C0F07"/>
    <w:rsid w:val="002C0F46"/>
    <w:rsid w:val="002C176B"/>
    <w:rsid w:val="002C3627"/>
    <w:rsid w:val="002D005F"/>
    <w:rsid w:val="002D0B78"/>
    <w:rsid w:val="002D2273"/>
    <w:rsid w:val="002D4342"/>
    <w:rsid w:val="002D5597"/>
    <w:rsid w:val="002D60AF"/>
    <w:rsid w:val="002E1B63"/>
    <w:rsid w:val="002E357A"/>
    <w:rsid w:val="002E3B58"/>
    <w:rsid w:val="002E4234"/>
    <w:rsid w:val="002E498F"/>
    <w:rsid w:val="002E5273"/>
    <w:rsid w:val="002F03C6"/>
    <w:rsid w:val="002F0D8E"/>
    <w:rsid w:val="002F4C45"/>
    <w:rsid w:val="002F5C0C"/>
    <w:rsid w:val="00300FDB"/>
    <w:rsid w:val="00302739"/>
    <w:rsid w:val="00302A1F"/>
    <w:rsid w:val="00310A68"/>
    <w:rsid w:val="0031223D"/>
    <w:rsid w:val="00312804"/>
    <w:rsid w:val="00313922"/>
    <w:rsid w:val="00314A6C"/>
    <w:rsid w:val="00315D1F"/>
    <w:rsid w:val="003160CF"/>
    <w:rsid w:val="00316571"/>
    <w:rsid w:val="00317091"/>
    <w:rsid w:val="00317530"/>
    <w:rsid w:val="00320CB4"/>
    <w:rsid w:val="00321E92"/>
    <w:rsid w:val="00322535"/>
    <w:rsid w:val="003259AF"/>
    <w:rsid w:val="00325F9F"/>
    <w:rsid w:val="0032620D"/>
    <w:rsid w:val="0033062D"/>
    <w:rsid w:val="003306DD"/>
    <w:rsid w:val="00330A4E"/>
    <w:rsid w:val="00332242"/>
    <w:rsid w:val="003329C7"/>
    <w:rsid w:val="003332BA"/>
    <w:rsid w:val="003348AA"/>
    <w:rsid w:val="00340D9B"/>
    <w:rsid w:val="00340FDE"/>
    <w:rsid w:val="0034308E"/>
    <w:rsid w:val="003460F3"/>
    <w:rsid w:val="00346534"/>
    <w:rsid w:val="003479E3"/>
    <w:rsid w:val="003517E7"/>
    <w:rsid w:val="00351C4B"/>
    <w:rsid w:val="00357BDF"/>
    <w:rsid w:val="00360A67"/>
    <w:rsid w:val="00360BAF"/>
    <w:rsid w:val="00361596"/>
    <w:rsid w:val="00362C01"/>
    <w:rsid w:val="00365DD5"/>
    <w:rsid w:val="00367D5E"/>
    <w:rsid w:val="00371B5F"/>
    <w:rsid w:val="00372E66"/>
    <w:rsid w:val="00373160"/>
    <w:rsid w:val="00375933"/>
    <w:rsid w:val="0037633C"/>
    <w:rsid w:val="00382E35"/>
    <w:rsid w:val="00384168"/>
    <w:rsid w:val="003872E4"/>
    <w:rsid w:val="00390AD8"/>
    <w:rsid w:val="00390C14"/>
    <w:rsid w:val="00391F54"/>
    <w:rsid w:val="00393447"/>
    <w:rsid w:val="00396F2C"/>
    <w:rsid w:val="003A3F27"/>
    <w:rsid w:val="003A49FF"/>
    <w:rsid w:val="003A5862"/>
    <w:rsid w:val="003A694A"/>
    <w:rsid w:val="003B0042"/>
    <w:rsid w:val="003B45A7"/>
    <w:rsid w:val="003B4F42"/>
    <w:rsid w:val="003B4FCF"/>
    <w:rsid w:val="003B6088"/>
    <w:rsid w:val="003C0E61"/>
    <w:rsid w:val="003D3CB2"/>
    <w:rsid w:val="003D485E"/>
    <w:rsid w:val="003D5559"/>
    <w:rsid w:val="003D5741"/>
    <w:rsid w:val="003D7E9E"/>
    <w:rsid w:val="003E080C"/>
    <w:rsid w:val="003E2B4C"/>
    <w:rsid w:val="00400A69"/>
    <w:rsid w:val="00400B2B"/>
    <w:rsid w:val="00400F75"/>
    <w:rsid w:val="004012D1"/>
    <w:rsid w:val="00405301"/>
    <w:rsid w:val="00406CA3"/>
    <w:rsid w:val="00411EFB"/>
    <w:rsid w:val="00412B76"/>
    <w:rsid w:val="0041392D"/>
    <w:rsid w:val="00417593"/>
    <w:rsid w:val="00422CC8"/>
    <w:rsid w:val="00424FB3"/>
    <w:rsid w:val="00426402"/>
    <w:rsid w:val="0042686B"/>
    <w:rsid w:val="00426DC5"/>
    <w:rsid w:val="00430411"/>
    <w:rsid w:val="004314F4"/>
    <w:rsid w:val="00432DC4"/>
    <w:rsid w:val="004373E9"/>
    <w:rsid w:val="00440265"/>
    <w:rsid w:val="0044036C"/>
    <w:rsid w:val="0044048B"/>
    <w:rsid w:val="0044065E"/>
    <w:rsid w:val="00444679"/>
    <w:rsid w:val="004458BB"/>
    <w:rsid w:val="0045095B"/>
    <w:rsid w:val="00455701"/>
    <w:rsid w:val="00460660"/>
    <w:rsid w:val="00460A36"/>
    <w:rsid w:val="004612C5"/>
    <w:rsid w:val="00461AA3"/>
    <w:rsid w:val="00462FF9"/>
    <w:rsid w:val="00467FBB"/>
    <w:rsid w:val="00471CEC"/>
    <w:rsid w:val="00473D8F"/>
    <w:rsid w:val="00474293"/>
    <w:rsid w:val="0047786D"/>
    <w:rsid w:val="004805DB"/>
    <w:rsid w:val="00480B2B"/>
    <w:rsid w:val="0048511D"/>
    <w:rsid w:val="00495AFE"/>
    <w:rsid w:val="00496185"/>
    <w:rsid w:val="00496EA4"/>
    <w:rsid w:val="004A18D9"/>
    <w:rsid w:val="004A4C72"/>
    <w:rsid w:val="004A75FF"/>
    <w:rsid w:val="004B0877"/>
    <w:rsid w:val="004B4D68"/>
    <w:rsid w:val="004C181C"/>
    <w:rsid w:val="004C445A"/>
    <w:rsid w:val="004C4477"/>
    <w:rsid w:val="004C4F1D"/>
    <w:rsid w:val="004C6673"/>
    <w:rsid w:val="004C7096"/>
    <w:rsid w:val="004C78DD"/>
    <w:rsid w:val="004C78FD"/>
    <w:rsid w:val="004C7CD6"/>
    <w:rsid w:val="004D3C4E"/>
    <w:rsid w:val="004D70EE"/>
    <w:rsid w:val="004D7C66"/>
    <w:rsid w:val="004E0167"/>
    <w:rsid w:val="004E152E"/>
    <w:rsid w:val="004E2983"/>
    <w:rsid w:val="004E5371"/>
    <w:rsid w:val="004E77D0"/>
    <w:rsid w:val="004F29B4"/>
    <w:rsid w:val="004F3228"/>
    <w:rsid w:val="004F6C5C"/>
    <w:rsid w:val="004F6DB3"/>
    <w:rsid w:val="005020DE"/>
    <w:rsid w:val="005051BE"/>
    <w:rsid w:val="00506D43"/>
    <w:rsid w:val="00507297"/>
    <w:rsid w:val="00510DCF"/>
    <w:rsid w:val="00510F10"/>
    <w:rsid w:val="00511151"/>
    <w:rsid w:val="005124A3"/>
    <w:rsid w:val="00512A66"/>
    <w:rsid w:val="00515B82"/>
    <w:rsid w:val="0051608A"/>
    <w:rsid w:val="0051755E"/>
    <w:rsid w:val="005208D0"/>
    <w:rsid w:val="00524029"/>
    <w:rsid w:val="00524E15"/>
    <w:rsid w:val="00527354"/>
    <w:rsid w:val="00527E33"/>
    <w:rsid w:val="00533B2A"/>
    <w:rsid w:val="0053400A"/>
    <w:rsid w:val="0053501E"/>
    <w:rsid w:val="0053635F"/>
    <w:rsid w:val="00536C3C"/>
    <w:rsid w:val="00537853"/>
    <w:rsid w:val="005379D2"/>
    <w:rsid w:val="00537E5F"/>
    <w:rsid w:val="00540C2F"/>
    <w:rsid w:val="00540ED5"/>
    <w:rsid w:val="0054119B"/>
    <w:rsid w:val="00542F30"/>
    <w:rsid w:val="00544407"/>
    <w:rsid w:val="0054736C"/>
    <w:rsid w:val="00547941"/>
    <w:rsid w:val="00547AAF"/>
    <w:rsid w:val="005505FD"/>
    <w:rsid w:val="0055431F"/>
    <w:rsid w:val="00554B7D"/>
    <w:rsid w:val="00564A0C"/>
    <w:rsid w:val="00564F91"/>
    <w:rsid w:val="00565DC9"/>
    <w:rsid w:val="0056706B"/>
    <w:rsid w:val="00571433"/>
    <w:rsid w:val="00571BCB"/>
    <w:rsid w:val="005734DC"/>
    <w:rsid w:val="00573DE7"/>
    <w:rsid w:val="00575956"/>
    <w:rsid w:val="00575C51"/>
    <w:rsid w:val="005777D1"/>
    <w:rsid w:val="00583E03"/>
    <w:rsid w:val="005868E0"/>
    <w:rsid w:val="005873FB"/>
    <w:rsid w:val="005910DC"/>
    <w:rsid w:val="00594F6B"/>
    <w:rsid w:val="0059544C"/>
    <w:rsid w:val="00597C52"/>
    <w:rsid w:val="005A067E"/>
    <w:rsid w:val="005A4A0E"/>
    <w:rsid w:val="005A7C01"/>
    <w:rsid w:val="005B304B"/>
    <w:rsid w:val="005B314A"/>
    <w:rsid w:val="005B6868"/>
    <w:rsid w:val="005C07C8"/>
    <w:rsid w:val="005C2C71"/>
    <w:rsid w:val="005C5910"/>
    <w:rsid w:val="005C5B2E"/>
    <w:rsid w:val="005C68B4"/>
    <w:rsid w:val="005C6BB1"/>
    <w:rsid w:val="005D2ABC"/>
    <w:rsid w:val="005D3003"/>
    <w:rsid w:val="005D616B"/>
    <w:rsid w:val="005D6C2D"/>
    <w:rsid w:val="005E3C13"/>
    <w:rsid w:val="005E47AA"/>
    <w:rsid w:val="005E5F8F"/>
    <w:rsid w:val="005E7B33"/>
    <w:rsid w:val="005F09D2"/>
    <w:rsid w:val="005F1668"/>
    <w:rsid w:val="005F2769"/>
    <w:rsid w:val="005F2AD0"/>
    <w:rsid w:val="005F2FD2"/>
    <w:rsid w:val="005F4961"/>
    <w:rsid w:val="005F529E"/>
    <w:rsid w:val="0060186C"/>
    <w:rsid w:val="00605A2E"/>
    <w:rsid w:val="0060769D"/>
    <w:rsid w:val="00611B2F"/>
    <w:rsid w:val="006121F4"/>
    <w:rsid w:val="00617539"/>
    <w:rsid w:val="00617590"/>
    <w:rsid w:val="00617B08"/>
    <w:rsid w:val="006260BB"/>
    <w:rsid w:val="0062727F"/>
    <w:rsid w:val="00627AB4"/>
    <w:rsid w:val="00630AE0"/>
    <w:rsid w:val="00631D1E"/>
    <w:rsid w:val="006335ED"/>
    <w:rsid w:val="00633E53"/>
    <w:rsid w:val="006342DB"/>
    <w:rsid w:val="006343EC"/>
    <w:rsid w:val="0063539D"/>
    <w:rsid w:val="006371EA"/>
    <w:rsid w:val="00637F53"/>
    <w:rsid w:val="006470F2"/>
    <w:rsid w:val="006477EC"/>
    <w:rsid w:val="00650F3D"/>
    <w:rsid w:val="00650FD7"/>
    <w:rsid w:val="006511A8"/>
    <w:rsid w:val="006526CC"/>
    <w:rsid w:val="00653597"/>
    <w:rsid w:val="00653CD9"/>
    <w:rsid w:val="00654C80"/>
    <w:rsid w:val="00660ECB"/>
    <w:rsid w:val="00661F06"/>
    <w:rsid w:val="00664AC8"/>
    <w:rsid w:val="0066650C"/>
    <w:rsid w:val="0066728E"/>
    <w:rsid w:val="0067031D"/>
    <w:rsid w:val="0067378F"/>
    <w:rsid w:val="0067489E"/>
    <w:rsid w:val="006773E1"/>
    <w:rsid w:val="0068386A"/>
    <w:rsid w:val="00685738"/>
    <w:rsid w:val="00691000"/>
    <w:rsid w:val="00691524"/>
    <w:rsid w:val="00695D34"/>
    <w:rsid w:val="006A0FCD"/>
    <w:rsid w:val="006A4226"/>
    <w:rsid w:val="006A4FC1"/>
    <w:rsid w:val="006A5636"/>
    <w:rsid w:val="006A6711"/>
    <w:rsid w:val="006A6CB4"/>
    <w:rsid w:val="006B0BA0"/>
    <w:rsid w:val="006B12C0"/>
    <w:rsid w:val="006B71A8"/>
    <w:rsid w:val="006C0607"/>
    <w:rsid w:val="006C3771"/>
    <w:rsid w:val="006C3BB0"/>
    <w:rsid w:val="006C5213"/>
    <w:rsid w:val="006C5D9F"/>
    <w:rsid w:val="006D0AF0"/>
    <w:rsid w:val="006D35DC"/>
    <w:rsid w:val="006D4F09"/>
    <w:rsid w:val="006E1443"/>
    <w:rsid w:val="006E2C64"/>
    <w:rsid w:val="006E4C07"/>
    <w:rsid w:val="006E6BFD"/>
    <w:rsid w:val="006E746B"/>
    <w:rsid w:val="006F3473"/>
    <w:rsid w:val="006F3E35"/>
    <w:rsid w:val="006F55FA"/>
    <w:rsid w:val="007016D6"/>
    <w:rsid w:val="00704968"/>
    <w:rsid w:val="00707BC6"/>
    <w:rsid w:val="007105C4"/>
    <w:rsid w:val="0071134C"/>
    <w:rsid w:val="007125F7"/>
    <w:rsid w:val="00714DDE"/>
    <w:rsid w:val="00720AF6"/>
    <w:rsid w:val="00724389"/>
    <w:rsid w:val="00726FA5"/>
    <w:rsid w:val="00727802"/>
    <w:rsid w:val="00731B29"/>
    <w:rsid w:val="00733795"/>
    <w:rsid w:val="00734E08"/>
    <w:rsid w:val="007351D6"/>
    <w:rsid w:val="00737200"/>
    <w:rsid w:val="00737872"/>
    <w:rsid w:val="00737D62"/>
    <w:rsid w:val="007400B5"/>
    <w:rsid w:val="0074491A"/>
    <w:rsid w:val="00747D22"/>
    <w:rsid w:val="00754349"/>
    <w:rsid w:val="00754D85"/>
    <w:rsid w:val="007557E4"/>
    <w:rsid w:val="00756356"/>
    <w:rsid w:val="00757FD8"/>
    <w:rsid w:val="007605F1"/>
    <w:rsid w:val="00763D7D"/>
    <w:rsid w:val="0076553F"/>
    <w:rsid w:val="00774434"/>
    <w:rsid w:val="007756AB"/>
    <w:rsid w:val="00777833"/>
    <w:rsid w:val="007805DF"/>
    <w:rsid w:val="007811F6"/>
    <w:rsid w:val="00781D6C"/>
    <w:rsid w:val="007845E1"/>
    <w:rsid w:val="00785759"/>
    <w:rsid w:val="007936EA"/>
    <w:rsid w:val="007940A9"/>
    <w:rsid w:val="007940BF"/>
    <w:rsid w:val="00795EA0"/>
    <w:rsid w:val="007A149B"/>
    <w:rsid w:val="007B1EA3"/>
    <w:rsid w:val="007C08A9"/>
    <w:rsid w:val="007C244C"/>
    <w:rsid w:val="007C66E4"/>
    <w:rsid w:val="007D641F"/>
    <w:rsid w:val="007D725F"/>
    <w:rsid w:val="007E18F0"/>
    <w:rsid w:val="007E608C"/>
    <w:rsid w:val="007F2B8D"/>
    <w:rsid w:val="007F3206"/>
    <w:rsid w:val="007F44C1"/>
    <w:rsid w:val="007F6D75"/>
    <w:rsid w:val="008003BA"/>
    <w:rsid w:val="00801A7F"/>
    <w:rsid w:val="0080563C"/>
    <w:rsid w:val="00806BAC"/>
    <w:rsid w:val="008105E1"/>
    <w:rsid w:val="00812DC4"/>
    <w:rsid w:val="00813A84"/>
    <w:rsid w:val="00814260"/>
    <w:rsid w:val="00814DA3"/>
    <w:rsid w:val="00815F39"/>
    <w:rsid w:val="008206EE"/>
    <w:rsid w:val="008216E8"/>
    <w:rsid w:val="008247C4"/>
    <w:rsid w:val="00825F04"/>
    <w:rsid w:val="00826611"/>
    <w:rsid w:val="00826BFA"/>
    <w:rsid w:val="00831A18"/>
    <w:rsid w:val="00835A4B"/>
    <w:rsid w:val="0083680B"/>
    <w:rsid w:val="00836EA3"/>
    <w:rsid w:val="00840B0D"/>
    <w:rsid w:val="00850053"/>
    <w:rsid w:val="00853F5C"/>
    <w:rsid w:val="00854417"/>
    <w:rsid w:val="00856862"/>
    <w:rsid w:val="00856A9B"/>
    <w:rsid w:val="00860AE3"/>
    <w:rsid w:val="008653C3"/>
    <w:rsid w:val="008715CA"/>
    <w:rsid w:val="00872B8D"/>
    <w:rsid w:val="00874BB5"/>
    <w:rsid w:val="00875B83"/>
    <w:rsid w:val="008779C2"/>
    <w:rsid w:val="0088204E"/>
    <w:rsid w:val="00882F78"/>
    <w:rsid w:val="008854C0"/>
    <w:rsid w:val="0088596D"/>
    <w:rsid w:val="00885A19"/>
    <w:rsid w:val="00886CE3"/>
    <w:rsid w:val="00887632"/>
    <w:rsid w:val="00890AB3"/>
    <w:rsid w:val="00893A2E"/>
    <w:rsid w:val="00895F4A"/>
    <w:rsid w:val="008973E6"/>
    <w:rsid w:val="008A010A"/>
    <w:rsid w:val="008A4B91"/>
    <w:rsid w:val="008B1FEC"/>
    <w:rsid w:val="008B22AA"/>
    <w:rsid w:val="008B3416"/>
    <w:rsid w:val="008B3930"/>
    <w:rsid w:val="008B422F"/>
    <w:rsid w:val="008B4863"/>
    <w:rsid w:val="008B579D"/>
    <w:rsid w:val="008B6B5F"/>
    <w:rsid w:val="008B744A"/>
    <w:rsid w:val="008C0D0B"/>
    <w:rsid w:val="008C1022"/>
    <w:rsid w:val="008C2552"/>
    <w:rsid w:val="008C50FF"/>
    <w:rsid w:val="008D00AC"/>
    <w:rsid w:val="008D02D8"/>
    <w:rsid w:val="008D1A38"/>
    <w:rsid w:val="008D3443"/>
    <w:rsid w:val="008D7187"/>
    <w:rsid w:val="008D78B0"/>
    <w:rsid w:val="008E1EB5"/>
    <w:rsid w:val="008E63DC"/>
    <w:rsid w:val="008E7ADB"/>
    <w:rsid w:val="008E7C88"/>
    <w:rsid w:val="008F0233"/>
    <w:rsid w:val="008F0327"/>
    <w:rsid w:val="008F3A33"/>
    <w:rsid w:val="008F77D3"/>
    <w:rsid w:val="008F7B61"/>
    <w:rsid w:val="00901A8D"/>
    <w:rsid w:val="009029CF"/>
    <w:rsid w:val="009031D1"/>
    <w:rsid w:val="00905E4B"/>
    <w:rsid w:val="00907D3C"/>
    <w:rsid w:val="00913E57"/>
    <w:rsid w:val="00917DDE"/>
    <w:rsid w:val="00920F97"/>
    <w:rsid w:val="009212F7"/>
    <w:rsid w:val="00921E53"/>
    <w:rsid w:val="0092324A"/>
    <w:rsid w:val="00923402"/>
    <w:rsid w:val="00923653"/>
    <w:rsid w:val="00924305"/>
    <w:rsid w:val="00926112"/>
    <w:rsid w:val="00926E1B"/>
    <w:rsid w:val="00927696"/>
    <w:rsid w:val="009312DF"/>
    <w:rsid w:val="009317D5"/>
    <w:rsid w:val="00932BA3"/>
    <w:rsid w:val="00933182"/>
    <w:rsid w:val="00933571"/>
    <w:rsid w:val="00940E07"/>
    <w:rsid w:val="009411E1"/>
    <w:rsid w:val="009425CD"/>
    <w:rsid w:val="00943727"/>
    <w:rsid w:val="009453F1"/>
    <w:rsid w:val="0094544E"/>
    <w:rsid w:val="00947EBA"/>
    <w:rsid w:val="00952A6C"/>
    <w:rsid w:val="00953891"/>
    <w:rsid w:val="00954DC7"/>
    <w:rsid w:val="00954FD2"/>
    <w:rsid w:val="0096388F"/>
    <w:rsid w:val="00963992"/>
    <w:rsid w:val="00966431"/>
    <w:rsid w:val="00966E03"/>
    <w:rsid w:val="009706A4"/>
    <w:rsid w:val="00970FC4"/>
    <w:rsid w:val="00971556"/>
    <w:rsid w:val="009718CC"/>
    <w:rsid w:val="009746F1"/>
    <w:rsid w:val="009750C1"/>
    <w:rsid w:val="00975641"/>
    <w:rsid w:val="00985F7F"/>
    <w:rsid w:val="00991C98"/>
    <w:rsid w:val="00994827"/>
    <w:rsid w:val="00997F40"/>
    <w:rsid w:val="009A0FFB"/>
    <w:rsid w:val="009A13B3"/>
    <w:rsid w:val="009A4141"/>
    <w:rsid w:val="009A5CFB"/>
    <w:rsid w:val="009A62C4"/>
    <w:rsid w:val="009B36FD"/>
    <w:rsid w:val="009B795D"/>
    <w:rsid w:val="009C0BDB"/>
    <w:rsid w:val="009C174F"/>
    <w:rsid w:val="009C21A2"/>
    <w:rsid w:val="009C2645"/>
    <w:rsid w:val="009C4A95"/>
    <w:rsid w:val="009C5B24"/>
    <w:rsid w:val="009D1C9B"/>
    <w:rsid w:val="009D2D7E"/>
    <w:rsid w:val="009D438F"/>
    <w:rsid w:val="009D5100"/>
    <w:rsid w:val="009D6865"/>
    <w:rsid w:val="009E3161"/>
    <w:rsid w:val="009F0F09"/>
    <w:rsid w:val="009F33B1"/>
    <w:rsid w:val="009F7D99"/>
    <w:rsid w:val="00A0200B"/>
    <w:rsid w:val="00A05C7B"/>
    <w:rsid w:val="00A065E9"/>
    <w:rsid w:val="00A109E4"/>
    <w:rsid w:val="00A11DCA"/>
    <w:rsid w:val="00A12161"/>
    <w:rsid w:val="00A1234F"/>
    <w:rsid w:val="00A1372A"/>
    <w:rsid w:val="00A16A3E"/>
    <w:rsid w:val="00A16D74"/>
    <w:rsid w:val="00A204FE"/>
    <w:rsid w:val="00A22171"/>
    <w:rsid w:val="00A22C63"/>
    <w:rsid w:val="00A23C1F"/>
    <w:rsid w:val="00A24C55"/>
    <w:rsid w:val="00A263D3"/>
    <w:rsid w:val="00A2656A"/>
    <w:rsid w:val="00A30314"/>
    <w:rsid w:val="00A324C0"/>
    <w:rsid w:val="00A356AD"/>
    <w:rsid w:val="00A365A2"/>
    <w:rsid w:val="00A37FDF"/>
    <w:rsid w:val="00A412E6"/>
    <w:rsid w:val="00A42C5E"/>
    <w:rsid w:val="00A4360A"/>
    <w:rsid w:val="00A43914"/>
    <w:rsid w:val="00A449BB"/>
    <w:rsid w:val="00A467C0"/>
    <w:rsid w:val="00A50C45"/>
    <w:rsid w:val="00A511A6"/>
    <w:rsid w:val="00A52D71"/>
    <w:rsid w:val="00A52E40"/>
    <w:rsid w:val="00A55696"/>
    <w:rsid w:val="00A602E9"/>
    <w:rsid w:val="00A72EA5"/>
    <w:rsid w:val="00A73E5A"/>
    <w:rsid w:val="00A75476"/>
    <w:rsid w:val="00A80798"/>
    <w:rsid w:val="00A84390"/>
    <w:rsid w:val="00A86090"/>
    <w:rsid w:val="00A865BA"/>
    <w:rsid w:val="00A877C5"/>
    <w:rsid w:val="00A87F41"/>
    <w:rsid w:val="00A87F8B"/>
    <w:rsid w:val="00A93EC6"/>
    <w:rsid w:val="00A94D0D"/>
    <w:rsid w:val="00AA112C"/>
    <w:rsid w:val="00AA4E65"/>
    <w:rsid w:val="00AA703E"/>
    <w:rsid w:val="00AB10F4"/>
    <w:rsid w:val="00AB565E"/>
    <w:rsid w:val="00AC1923"/>
    <w:rsid w:val="00AC3575"/>
    <w:rsid w:val="00AC57C3"/>
    <w:rsid w:val="00AC63CF"/>
    <w:rsid w:val="00AD0169"/>
    <w:rsid w:val="00AD0172"/>
    <w:rsid w:val="00AD2BF7"/>
    <w:rsid w:val="00AD4D17"/>
    <w:rsid w:val="00AD5449"/>
    <w:rsid w:val="00AD6E16"/>
    <w:rsid w:val="00AE261F"/>
    <w:rsid w:val="00AE277B"/>
    <w:rsid w:val="00AE2D3E"/>
    <w:rsid w:val="00AE2DC3"/>
    <w:rsid w:val="00AE3954"/>
    <w:rsid w:val="00AE3AD9"/>
    <w:rsid w:val="00AE5727"/>
    <w:rsid w:val="00AE6AA1"/>
    <w:rsid w:val="00AE7155"/>
    <w:rsid w:val="00AE7B31"/>
    <w:rsid w:val="00AF11A3"/>
    <w:rsid w:val="00AF1EF8"/>
    <w:rsid w:val="00B02088"/>
    <w:rsid w:val="00B0340D"/>
    <w:rsid w:val="00B03636"/>
    <w:rsid w:val="00B046DF"/>
    <w:rsid w:val="00B0506E"/>
    <w:rsid w:val="00B05BC1"/>
    <w:rsid w:val="00B07A8A"/>
    <w:rsid w:val="00B11249"/>
    <w:rsid w:val="00B11CC1"/>
    <w:rsid w:val="00B122F4"/>
    <w:rsid w:val="00B13D72"/>
    <w:rsid w:val="00B144D3"/>
    <w:rsid w:val="00B1480E"/>
    <w:rsid w:val="00B213D1"/>
    <w:rsid w:val="00B233CC"/>
    <w:rsid w:val="00B23C80"/>
    <w:rsid w:val="00B258C7"/>
    <w:rsid w:val="00B339D7"/>
    <w:rsid w:val="00B37157"/>
    <w:rsid w:val="00B37261"/>
    <w:rsid w:val="00B3731C"/>
    <w:rsid w:val="00B429E8"/>
    <w:rsid w:val="00B43752"/>
    <w:rsid w:val="00B50F8B"/>
    <w:rsid w:val="00B53F5C"/>
    <w:rsid w:val="00B54989"/>
    <w:rsid w:val="00B54E52"/>
    <w:rsid w:val="00B5537F"/>
    <w:rsid w:val="00B55800"/>
    <w:rsid w:val="00B56568"/>
    <w:rsid w:val="00B63784"/>
    <w:rsid w:val="00B65AE9"/>
    <w:rsid w:val="00B66676"/>
    <w:rsid w:val="00B6740B"/>
    <w:rsid w:val="00B708B2"/>
    <w:rsid w:val="00B73416"/>
    <w:rsid w:val="00B77477"/>
    <w:rsid w:val="00B81E53"/>
    <w:rsid w:val="00B82470"/>
    <w:rsid w:val="00B8532C"/>
    <w:rsid w:val="00B938A5"/>
    <w:rsid w:val="00B94E0B"/>
    <w:rsid w:val="00B94EFE"/>
    <w:rsid w:val="00B954B8"/>
    <w:rsid w:val="00B95769"/>
    <w:rsid w:val="00B95AA9"/>
    <w:rsid w:val="00BA1E45"/>
    <w:rsid w:val="00BA33F4"/>
    <w:rsid w:val="00BA570D"/>
    <w:rsid w:val="00BA5A89"/>
    <w:rsid w:val="00BA67F2"/>
    <w:rsid w:val="00BB0302"/>
    <w:rsid w:val="00BB0578"/>
    <w:rsid w:val="00BB14F3"/>
    <w:rsid w:val="00BB2599"/>
    <w:rsid w:val="00BB4557"/>
    <w:rsid w:val="00BB4A60"/>
    <w:rsid w:val="00BB6932"/>
    <w:rsid w:val="00BB7B52"/>
    <w:rsid w:val="00BC09B1"/>
    <w:rsid w:val="00BC0AE7"/>
    <w:rsid w:val="00BC0EBE"/>
    <w:rsid w:val="00BC1466"/>
    <w:rsid w:val="00BC2838"/>
    <w:rsid w:val="00BC75E3"/>
    <w:rsid w:val="00BD0462"/>
    <w:rsid w:val="00BD049A"/>
    <w:rsid w:val="00BD1C9B"/>
    <w:rsid w:val="00BD2990"/>
    <w:rsid w:val="00BD46AC"/>
    <w:rsid w:val="00BD50BC"/>
    <w:rsid w:val="00BD58F8"/>
    <w:rsid w:val="00BE1405"/>
    <w:rsid w:val="00BE2434"/>
    <w:rsid w:val="00BE4828"/>
    <w:rsid w:val="00BE7E1C"/>
    <w:rsid w:val="00BF1BCD"/>
    <w:rsid w:val="00BF2633"/>
    <w:rsid w:val="00C01697"/>
    <w:rsid w:val="00C0404B"/>
    <w:rsid w:val="00C07069"/>
    <w:rsid w:val="00C10DDC"/>
    <w:rsid w:val="00C11840"/>
    <w:rsid w:val="00C123EE"/>
    <w:rsid w:val="00C13CB6"/>
    <w:rsid w:val="00C16960"/>
    <w:rsid w:val="00C20386"/>
    <w:rsid w:val="00C215FD"/>
    <w:rsid w:val="00C24084"/>
    <w:rsid w:val="00C240EA"/>
    <w:rsid w:val="00C24E08"/>
    <w:rsid w:val="00C25A1B"/>
    <w:rsid w:val="00C3071D"/>
    <w:rsid w:val="00C32608"/>
    <w:rsid w:val="00C3263C"/>
    <w:rsid w:val="00C34527"/>
    <w:rsid w:val="00C34EF5"/>
    <w:rsid w:val="00C353E2"/>
    <w:rsid w:val="00C370DD"/>
    <w:rsid w:val="00C417EA"/>
    <w:rsid w:val="00C43474"/>
    <w:rsid w:val="00C452A4"/>
    <w:rsid w:val="00C45AB0"/>
    <w:rsid w:val="00C4615A"/>
    <w:rsid w:val="00C47943"/>
    <w:rsid w:val="00C53DA6"/>
    <w:rsid w:val="00C556A8"/>
    <w:rsid w:val="00C5603B"/>
    <w:rsid w:val="00C6357F"/>
    <w:rsid w:val="00C63CAC"/>
    <w:rsid w:val="00C63F98"/>
    <w:rsid w:val="00C6457A"/>
    <w:rsid w:val="00C65F66"/>
    <w:rsid w:val="00C7120B"/>
    <w:rsid w:val="00C7355C"/>
    <w:rsid w:val="00C75439"/>
    <w:rsid w:val="00C76192"/>
    <w:rsid w:val="00C76CBA"/>
    <w:rsid w:val="00C83F05"/>
    <w:rsid w:val="00C84144"/>
    <w:rsid w:val="00C84726"/>
    <w:rsid w:val="00C8714F"/>
    <w:rsid w:val="00C877FA"/>
    <w:rsid w:val="00C91BC6"/>
    <w:rsid w:val="00C94DE6"/>
    <w:rsid w:val="00CA061C"/>
    <w:rsid w:val="00CA42EE"/>
    <w:rsid w:val="00CA4819"/>
    <w:rsid w:val="00CA66D2"/>
    <w:rsid w:val="00CB1526"/>
    <w:rsid w:val="00CB15D9"/>
    <w:rsid w:val="00CB22BE"/>
    <w:rsid w:val="00CB4195"/>
    <w:rsid w:val="00CB4AE0"/>
    <w:rsid w:val="00CC2D94"/>
    <w:rsid w:val="00CC3BA7"/>
    <w:rsid w:val="00CC657B"/>
    <w:rsid w:val="00CC6C27"/>
    <w:rsid w:val="00CC71EF"/>
    <w:rsid w:val="00CD1247"/>
    <w:rsid w:val="00CD39C3"/>
    <w:rsid w:val="00CD641B"/>
    <w:rsid w:val="00CD7D4C"/>
    <w:rsid w:val="00CE3911"/>
    <w:rsid w:val="00CE4310"/>
    <w:rsid w:val="00CE618C"/>
    <w:rsid w:val="00CE6464"/>
    <w:rsid w:val="00CE7CD2"/>
    <w:rsid w:val="00CF0253"/>
    <w:rsid w:val="00CF1134"/>
    <w:rsid w:val="00CF2652"/>
    <w:rsid w:val="00CF36F1"/>
    <w:rsid w:val="00CF4569"/>
    <w:rsid w:val="00D01B13"/>
    <w:rsid w:val="00D0457A"/>
    <w:rsid w:val="00D04C1F"/>
    <w:rsid w:val="00D056CC"/>
    <w:rsid w:val="00D07689"/>
    <w:rsid w:val="00D12C1A"/>
    <w:rsid w:val="00D157EE"/>
    <w:rsid w:val="00D244E8"/>
    <w:rsid w:val="00D25186"/>
    <w:rsid w:val="00D26FDE"/>
    <w:rsid w:val="00D31DF4"/>
    <w:rsid w:val="00D32A78"/>
    <w:rsid w:val="00D32D33"/>
    <w:rsid w:val="00D35977"/>
    <w:rsid w:val="00D40471"/>
    <w:rsid w:val="00D41B12"/>
    <w:rsid w:val="00D43F5A"/>
    <w:rsid w:val="00D46122"/>
    <w:rsid w:val="00D46946"/>
    <w:rsid w:val="00D47978"/>
    <w:rsid w:val="00D51137"/>
    <w:rsid w:val="00D51397"/>
    <w:rsid w:val="00D63277"/>
    <w:rsid w:val="00D63378"/>
    <w:rsid w:val="00D634F2"/>
    <w:rsid w:val="00D64597"/>
    <w:rsid w:val="00D65554"/>
    <w:rsid w:val="00D6558E"/>
    <w:rsid w:val="00D67816"/>
    <w:rsid w:val="00D742F6"/>
    <w:rsid w:val="00D75133"/>
    <w:rsid w:val="00D76935"/>
    <w:rsid w:val="00D779E8"/>
    <w:rsid w:val="00D82669"/>
    <w:rsid w:val="00D830DE"/>
    <w:rsid w:val="00D85995"/>
    <w:rsid w:val="00D87A69"/>
    <w:rsid w:val="00D87F07"/>
    <w:rsid w:val="00D90E31"/>
    <w:rsid w:val="00D9142A"/>
    <w:rsid w:val="00D9558F"/>
    <w:rsid w:val="00D960EC"/>
    <w:rsid w:val="00D9735E"/>
    <w:rsid w:val="00D97782"/>
    <w:rsid w:val="00DA50C3"/>
    <w:rsid w:val="00DA7438"/>
    <w:rsid w:val="00DB0788"/>
    <w:rsid w:val="00DB7F6F"/>
    <w:rsid w:val="00DC55D0"/>
    <w:rsid w:val="00DC5BB0"/>
    <w:rsid w:val="00DD0BAD"/>
    <w:rsid w:val="00DD0DE2"/>
    <w:rsid w:val="00DD2CE2"/>
    <w:rsid w:val="00DD60DE"/>
    <w:rsid w:val="00DD642A"/>
    <w:rsid w:val="00DD71A7"/>
    <w:rsid w:val="00DE1406"/>
    <w:rsid w:val="00DE14F6"/>
    <w:rsid w:val="00DE35BE"/>
    <w:rsid w:val="00DF2589"/>
    <w:rsid w:val="00DF360F"/>
    <w:rsid w:val="00DF36CA"/>
    <w:rsid w:val="00DF4FB8"/>
    <w:rsid w:val="00DF63E3"/>
    <w:rsid w:val="00DF7385"/>
    <w:rsid w:val="00E00473"/>
    <w:rsid w:val="00E02F0D"/>
    <w:rsid w:val="00E1061C"/>
    <w:rsid w:val="00E10692"/>
    <w:rsid w:val="00E14738"/>
    <w:rsid w:val="00E1479A"/>
    <w:rsid w:val="00E15A16"/>
    <w:rsid w:val="00E206A3"/>
    <w:rsid w:val="00E20C64"/>
    <w:rsid w:val="00E24DB8"/>
    <w:rsid w:val="00E26EB0"/>
    <w:rsid w:val="00E27034"/>
    <w:rsid w:val="00E32D4B"/>
    <w:rsid w:val="00E33957"/>
    <w:rsid w:val="00E40749"/>
    <w:rsid w:val="00E41116"/>
    <w:rsid w:val="00E414EF"/>
    <w:rsid w:val="00E424DA"/>
    <w:rsid w:val="00E440C9"/>
    <w:rsid w:val="00E45390"/>
    <w:rsid w:val="00E455A5"/>
    <w:rsid w:val="00E555C5"/>
    <w:rsid w:val="00E56CCD"/>
    <w:rsid w:val="00E5722D"/>
    <w:rsid w:val="00E62643"/>
    <w:rsid w:val="00E62938"/>
    <w:rsid w:val="00E642D3"/>
    <w:rsid w:val="00E702F6"/>
    <w:rsid w:val="00E7387C"/>
    <w:rsid w:val="00E73C17"/>
    <w:rsid w:val="00E73E5F"/>
    <w:rsid w:val="00E768B8"/>
    <w:rsid w:val="00E778AE"/>
    <w:rsid w:val="00E77A0F"/>
    <w:rsid w:val="00E82D4E"/>
    <w:rsid w:val="00E835A1"/>
    <w:rsid w:val="00E83E2D"/>
    <w:rsid w:val="00E85164"/>
    <w:rsid w:val="00E8739B"/>
    <w:rsid w:val="00E90652"/>
    <w:rsid w:val="00E948B4"/>
    <w:rsid w:val="00E95C43"/>
    <w:rsid w:val="00E96570"/>
    <w:rsid w:val="00EA31DB"/>
    <w:rsid w:val="00EA68E9"/>
    <w:rsid w:val="00EA7D7F"/>
    <w:rsid w:val="00EB3C38"/>
    <w:rsid w:val="00EC12A0"/>
    <w:rsid w:val="00EC1E5F"/>
    <w:rsid w:val="00EC64A8"/>
    <w:rsid w:val="00EC78B7"/>
    <w:rsid w:val="00ED14BD"/>
    <w:rsid w:val="00ED24F1"/>
    <w:rsid w:val="00ED41E5"/>
    <w:rsid w:val="00ED49B5"/>
    <w:rsid w:val="00EE332B"/>
    <w:rsid w:val="00EE44A5"/>
    <w:rsid w:val="00EE6C01"/>
    <w:rsid w:val="00EF1519"/>
    <w:rsid w:val="00EF2896"/>
    <w:rsid w:val="00EF2C61"/>
    <w:rsid w:val="00EF4610"/>
    <w:rsid w:val="00EF6CB2"/>
    <w:rsid w:val="00EF7939"/>
    <w:rsid w:val="00F01A5C"/>
    <w:rsid w:val="00F04DE2"/>
    <w:rsid w:val="00F076E3"/>
    <w:rsid w:val="00F11CFC"/>
    <w:rsid w:val="00F1463A"/>
    <w:rsid w:val="00F15936"/>
    <w:rsid w:val="00F20B68"/>
    <w:rsid w:val="00F23DBE"/>
    <w:rsid w:val="00F31085"/>
    <w:rsid w:val="00F31737"/>
    <w:rsid w:val="00F329A7"/>
    <w:rsid w:val="00F40513"/>
    <w:rsid w:val="00F41C5C"/>
    <w:rsid w:val="00F424A9"/>
    <w:rsid w:val="00F4459F"/>
    <w:rsid w:val="00F508C7"/>
    <w:rsid w:val="00F52CA1"/>
    <w:rsid w:val="00F52F72"/>
    <w:rsid w:val="00F5729F"/>
    <w:rsid w:val="00F60524"/>
    <w:rsid w:val="00F65587"/>
    <w:rsid w:val="00F656A1"/>
    <w:rsid w:val="00F65B62"/>
    <w:rsid w:val="00F71AE6"/>
    <w:rsid w:val="00F72DC7"/>
    <w:rsid w:val="00F74B26"/>
    <w:rsid w:val="00F7503A"/>
    <w:rsid w:val="00F772DD"/>
    <w:rsid w:val="00F776C3"/>
    <w:rsid w:val="00F77E06"/>
    <w:rsid w:val="00F80CA8"/>
    <w:rsid w:val="00F8101C"/>
    <w:rsid w:val="00F850F4"/>
    <w:rsid w:val="00F85AD8"/>
    <w:rsid w:val="00F9021F"/>
    <w:rsid w:val="00F93464"/>
    <w:rsid w:val="00F95594"/>
    <w:rsid w:val="00F973A7"/>
    <w:rsid w:val="00FA35E2"/>
    <w:rsid w:val="00FA5DE1"/>
    <w:rsid w:val="00FA6CB8"/>
    <w:rsid w:val="00FA7D60"/>
    <w:rsid w:val="00FB175E"/>
    <w:rsid w:val="00FB260A"/>
    <w:rsid w:val="00FB2B02"/>
    <w:rsid w:val="00FB3516"/>
    <w:rsid w:val="00FB4897"/>
    <w:rsid w:val="00FB6664"/>
    <w:rsid w:val="00FC2464"/>
    <w:rsid w:val="00FC3224"/>
    <w:rsid w:val="00FC60C3"/>
    <w:rsid w:val="00FC6311"/>
    <w:rsid w:val="00FC7647"/>
    <w:rsid w:val="00FC7CE6"/>
    <w:rsid w:val="00FD0795"/>
    <w:rsid w:val="00FD0A4E"/>
    <w:rsid w:val="00FD2B3A"/>
    <w:rsid w:val="00FD3A37"/>
    <w:rsid w:val="00FD3BC2"/>
    <w:rsid w:val="00FD577E"/>
    <w:rsid w:val="00FD6497"/>
    <w:rsid w:val="00FD73BD"/>
    <w:rsid w:val="00FE14B4"/>
    <w:rsid w:val="00FE1EBE"/>
    <w:rsid w:val="00FE46CE"/>
    <w:rsid w:val="00FE4E43"/>
    <w:rsid w:val="00FF1103"/>
    <w:rsid w:val="00FF2EC3"/>
    <w:rsid w:val="00FF462C"/>
    <w:rsid w:val="00FF66DC"/>
    <w:rsid w:val="00FF7CD6"/>
    <w:rsid w:val="012A4E2C"/>
    <w:rsid w:val="02DC2156"/>
    <w:rsid w:val="03CC3F79"/>
    <w:rsid w:val="05CD222A"/>
    <w:rsid w:val="06084616"/>
    <w:rsid w:val="06A9292B"/>
    <w:rsid w:val="08EF7A39"/>
    <w:rsid w:val="0A5844F0"/>
    <w:rsid w:val="0DFF0ECB"/>
    <w:rsid w:val="0EE41D10"/>
    <w:rsid w:val="11386E78"/>
    <w:rsid w:val="11B73ED3"/>
    <w:rsid w:val="12277661"/>
    <w:rsid w:val="133D4C82"/>
    <w:rsid w:val="138D4967"/>
    <w:rsid w:val="13D12EE6"/>
    <w:rsid w:val="13EE1CEA"/>
    <w:rsid w:val="13F37300"/>
    <w:rsid w:val="174D6D27"/>
    <w:rsid w:val="18CE5C46"/>
    <w:rsid w:val="1A2A2D28"/>
    <w:rsid w:val="1B9C64CF"/>
    <w:rsid w:val="1E6C7E3E"/>
    <w:rsid w:val="20346CD6"/>
    <w:rsid w:val="206E043A"/>
    <w:rsid w:val="21B75E11"/>
    <w:rsid w:val="2443573A"/>
    <w:rsid w:val="25496D80"/>
    <w:rsid w:val="27095D8A"/>
    <w:rsid w:val="277B51EB"/>
    <w:rsid w:val="279E6744"/>
    <w:rsid w:val="29EF532D"/>
    <w:rsid w:val="2BAD2B02"/>
    <w:rsid w:val="2E0C3040"/>
    <w:rsid w:val="2E40384E"/>
    <w:rsid w:val="2F083808"/>
    <w:rsid w:val="2F0B058C"/>
    <w:rsid w:val="2F7C5FA4"/>
    <w:rsid w:val="344833B2"/>
    <w:rsid w:val="3D6C58AA"/>
    <w:rsid w:val="3E799816"/>
    <w:rsid w:val="403F2E01"/>
    <w:rsid w:val="431A1904"/>
    <w:rsid w:val="45413951"/>
    <w:rsid w:val="46E47FFF"/>
    <w:rsid w:val="4779601E"/>
    <w:rsid w:val="493E1AE1"/>
    <w:rsid w:val="4B2238EC"/>
    <w:rsid w:val="4C6C7CEB"/>
    <w:rsid w:val="4DDD59C1"/>
    <w:rsid w:val="4EAE0286"/>
    <w:rsid w:val="51FB0B52"/>
    <w:rsid w:val="531F075A"/>
    <w:rsid w:val="55D63DB0"/>
    <w:rsid w:val="56DA342C"/>
    <w:rsid w:val="57A01936"/>
    <w:rsid w:val="57A57FD6"/>
    <w:rsid w:val="57F01F2D"/>
    <w:rsid w:val="58D367F3"/>
    <w:rsid w:val="592C1295"/>
    <w:rsid w:val="59DD74BB"/>
    <w:rsid w:val="5A8C449C"/>
    <w:rsid w:val="5B571FFB"/>
    <w:rsid w:val="5BFB00CD"/>
    <w:rsid w:val="5C452F47"/>
    <w:rsid w:val="5D086F45"/>
    <w:rsid w:val="5D4D6706"/>
    <w:rsid w:val="60252B89"/>
    <w:rsid w:val="616C2448"/>
    <w:rsid w:val="63DF2082"/>
    <w:rsid w:val="654A16B4"/>
    <w:rsid w:val="660F1D12"/>
    <w:rsid w:val="67277FC8"/>
    <w:rsid w:val="677C2407"/>
    <w:rsid w:val="68C47A98"/>
    <w:rsid w:val="68C53F3C"/>
    <w:rsid w:val="6CC80E6D"/>
    <w:rsid w:val="6FDD1529"/>
    <w:rsid w:val="710B6BAC"/>
    <w:rsid w:val="71CC633B"/>
    <w:rsid w:val="71F238C8"/>
    <w:rsid w:val="738A5B9F"/>
    <w:rsid w:val="741F6AAA"/>
    <w:rsid w:val="74A0585D"/>
    <w:rsid w:val="77A7157C"/>
    <w:rsid w:val="78B143BF"/>
    <w:rsid w:val="7A035425"/>
    <w:rsid w:val="7AB465B7"/>
    <w:rsid w:val="7AFEC822"/>
    <w:rsid w:val="7B215011"/>
    <w:rsid w:val="7CB63E70"/>
    <w:rsid w:val="7D221505"/>
    <w:rsid w:val="7E2B6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B34D4F7"/>
  <w15:docId w15:val="{6ED72273-B959-4277-9FE0-EF6A35E8C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iPriority="0" w:qFormat="1"/>
    <w:lsdException w:name="footnote reference" w:uiPriority="0" w:qFormat="1"/>
    <w:lsdException w:name="annotation reference" w:qFormat="1"/>
    <w:lsdException w:name="line number" w:uiPriority="0"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next w:val="BodyText2"/>
    <w:qFormat/>
    <w:pPr>
      <w:widowControl w:val="0"/>
      <w:jc w:val="both"/>
    </w:pPr>
    <w:rPr>
      <w:rFonts w:ascii="Calibri" w:hAnsi="Calibri" w:cs="Calibri"/>
      <w:kern w:val="2"/>
      <w:sz w:val="21"/>
      <w:szCs w:val="24"/>
    </w:rPr>
  </w:style>
  <w:style w:type="paragraph" w:styleId="1">
    <w:name w:val="heading 1"/>
    <w:basedOn w:val="ac"/>
    <w:next w:val="ac"/>
    <w:qFormat/>
    <w:pPr>
      <w:keepNext/>
      <w:keepLines/>
      <w:spacing w:before="340" w:after="330" w:line="578" w:lineRule="auto"/>
      <w:outlineLvl w:val="0"/>
    </w:pPr>
    <w:rPr>
      <w:b/>
      <w:bCs/>
      <w:kern w:val="44"/>
      <w:sz w:val="44"/>
    </w:rPr>
  </w:style>
  <w:style w:type="paragraph" w:styleId="2">
    <w:name w:val="heading 2"/>
    <w:basedOn w:val="ac"/>
    <w:next w:val="ac"/>
    <w:qFormat/>
    <w:pPr>
      <w:keepNext/>
      <w:keepLines/>
      <w:spacing w:before="260" w:after="260" w:line="415" w:lineRule="auto"/>
      <w:outlineLvl w:val="1"/>
    </w:pPr>
    <w:rPr>
      <w:rFonts w:ascii="Times New Roman" w:eastAsia="黑体" w:hAnsi="Times New Roman"/>
      <w:b/>
      <w:sz w:val="32"/>
    </w:rPr>
  </w:style>
  <w:style w:type="paragraph" w:styleId="3">
    <w:name w:val="heading 3"/>
    <w:basedOn w:val="ac"/>
    <w:next w:val="ac"/>
    <w:qFormat/>
    <w:pPr>
      <w:keepNext/>
      <w:keepLines/>
      <w:spacing w:before="260" w:after="260" w:line="415" w:lineRule="auto"/>
      <w:outlineLvl w:val="2"/>
    </w:pPr>
    <w:rPr>
      <w:b/>
      <w:sz w:val="32"/>
    </w:rPr>
  </w:style>
  <w:style w:type="paragraph" w:styleId="7">
    <w:name w:val="heading 7"/>
    <w:basedOn w:val="ac"/>
    <w:next w:val="ac"/>
    <w:link w:val="70"/>
    <w:uiPriority w:val="9"/>
    <w:qFormat/>
    <w:pPr>
      <w:keepNext/>
      <w:keepLines/>
      <w:spacing w:before="240" w:after="64" w:line="320" w:lineRule="auto"/>
      <w:outlineLvl w:val="6"/>
    </w:pPr>
    <w:rPr>
      <w:b/>
      <w:bCs/>
      <w:sz w:val="24"/>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customStyle="1" w:styleId="BodyText2">
    <w:name w:val="BodyText2"/>
    <w:basedOn w:val="ac"/>
    <w:qFormat/>
    <w:pPr>
      <w:spacing w:after="120" w:line="480" w:lineRule="auto"/>
      <w:textAlignment w:val="baseline"/>
    </w:pPr>
    <w:rPr>
      <w:rFonts w:cs="Times New Roman"/>
      <w:sz w:val="32"/>
      <w:szCs w:val="32"/>
    </w:rPr>
  </w:style>
  <w:style w:type="paragraph" w:styleId="af0">
    <w:name w:val="annotation text"/>
    <w:basedOn w:val="ac"/>
    <w:link w:val="af1"/>
    <w:uiPriority w:val="99"/>
    <w:unhideWhenUsed/>
    <w:qFormat/>
    <w:pPr>
      <w:adjustRightInd w:val="0"/>
      <w:spacing w:line="400" w:lineRule="exact"/>
      <w:jc w:val="left"/>
    </w:pPr>
    <w:rPr>
      <w:szCs w:val="21"/>
    </w:rPr>
  </w:style>
  <w:style w:type="paragraph" w:styleId="af2">
    <w:name w:val="Date"/>
    <w:basedOn w:val="ac"/>
    <w:next w:val="ac"/>
    <w:link w:val="af3"/>
    <w:uiPriority w:val="99"/>
    <w:semiHidden/>
    <w:unhideWhenUsed/>
    <w:qFormat/>
    <w:pPr>
      <w:ind w:leftChars="2500" w:left="100"/>
    </w:pPr>
  </w:style>
  <w:style w:type="paragraph" w:styleId="af4">
    <w:name w:val="endnote text"/>
    <w:basedOn w:val="ac"/>
    <w:link w:val="af5"/>
    <w:uiPriority w:val="99"/>
    <w:semiHidden/>
    <w:unhideWhenUsed/>
    <w:qFormat/>
    <w:pPr>
      <w:snapToGrid w:val="0"/>
      <w:jc w:val="left"/>
    </w:pPr>
  </w:style>
  <w:style w:type="paragraph" w:styleId="af6">
    <w:name w:val="Balloon Text"/>
    <w:basedOn w:val="ac"/>
    <w:link w:val="af7"/>
    <w:uiPriority w:val="99"/>
    <w:unhideWhenUsed/>
    <w:qFormat/>
    <w:rPr>
      <w:sz w:val="18"/>
      <w:szCs w:val="18"/>
    </w:rPr>
  </w:style>
  <w:style w:type="paragraph" w:styleId="af8">
    <w:name w:val="footer"/>
    <w:basedOn w:val="ac"/>
    <w:link w:val="af9"/>
    <w:uiPriority w:val="99"/>
    <w:qFormat/>
    <w:pPr>
      <w:tabs>
        <w:tab w:val="center" w:pos="4153"/>
        <w:tab w:val="right" w:pos="8306"/>
      </w:tabs>
      <w:snapToGrid w:val="0"/>
      <w:jc w:val="left"/>
    </w:pPr>
    <w:rPr>
      <w:sz w:val="18"/>
      <w:szCs w:val="18"/>
    </w:rPr>
  </w:style>
  <w:style w:type="paragraph" w:styleId="afa">
    <w:name w:val="envelope return"/>
    <w:basedOn w:val="ac"/>
    <w:qFormat/>
    <w:pPr>
      <w:snapToGrid w:val="0"/>
    </w:pPr>
    <w:rPr>
      <w:rFonts w:ascii="Times New Roman" w:hAnsi="Times New Roman"/>
    </w:rPr>
  </w:style>
  <w:style w:type="paragraph" w:styleId="afb">
    <w:name w:val="header"/>
    <w:basedOn w:val="ac"/>
    <w:link w:val="afc"/>
    <w:qFormat/>
    <w:pPr>
      <w:pBdr>
        <w:bottom w:val="single" w:sz="6" w:space="1" w:color="auto"/>
      </w:pBdr>
      <w:tabs>
        <w:tab w:val="center" w:pos="4153"/>
        <w:tab w:val="right" w:pos="8306"/>
      </w:tabs>
      <w:snapToGrid w:val="0"/>
      <w:jc w:val="center"/>
    </w:pPr>
    <w:rPr>
      <w:sz w:val="18"/>
      <w:szCs w:val="18"/>
    </w:rPr>
  </w:style>
  <w:style w:type="paragraph" w:styleId="4">
    <w:name w:val="toc 4"/>
    <w:basedOn w:val="ac"/>
    <w:next w:val="ac"/>
    <w:uiPriority w:val="39"/>
    <w:unhideWhenUsed/>
    <w:qFormat/>
    <w:pPr>
      <w:tabs>
        <w:tab w:val="right" w:leader="dot" w:pos="9344"/>
      </w:tabs>
      <w:adjustRightInd w:val="0"/>
      <w:spacing w:line="300" w:lineRule="exact"/>
      <w:ind w:left="629"/>
    </w:pPr>
    <w:rPr>
      <w:rFonts w:ascii="宋体"/>
      <w:szCs w:val="21"/>
    </w:rPr>
  </w:style>
  <w:style w:type="paragraph" w:styleId="afd">
    <w:name w:val="Normal (Web)"/>
    <w:basedOn w:val="ac"/>
    <w:uiPriority w:val="99"/>
    <w:semiHidden/>
    <w:unhideWhenUsed/>
    <w:qFormat/>
    <w:rPr>
      <w:sz w:val="24"/>
    </w:rPr>
  </w:style>
  <w:style w:type="paragraph" w:styleId="afe">
    <w:name w:val="Title"/>
    <w:basedOn w:val="ac"/>
    <w:next w:val="ac"/>
    <w:link w:val="aff"/>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0">
    <w:name w:val="annotation subject"/>
    <w:basedOn w:val="af0"/>
    <w:next w:val="af0"/>
    <w:link w:val="aff1"/>
    <w:uiPriority w:val="99"/>
    <w:semiHidden/>
    <w:unhideWhenUsed/>
    <w:qFormat/>
    <w:pPr>
      <w:adjustRightInd/>
      <w:spacing w:line="240" w:lineRule="auto"/>
    </w:pPr>
    <w:rPr>
      <w:b/>
      <w:bCs/>
      <w:szCs w:val="24"/>
    </w:rPr>
  </w:style>
  <w:style w:type="table" w:styleId="aff2">
    <w:name w:val="Table Grid"/>
    <w:basedOn w:val="ae"/>
    <w:uiPriority w:val="39"/>
    <w:qFormat/>
    <w:pPr>
      <w:widowControl w:val="0"/>
      <w:jc w:val="both"/>
    </w:pPr>
    <w:tblPr>
      <w:tblBorders>
        <w:top w:val="single" w:sz="4" w:space="0" w:color="auto"/>
        <w:bottom w:val="single" w:sz="4" w:space="0" w:color="auto"/>
      </w:tblBorders>
    </w:tblPr>
  </w:style>
  <w:style w:type="character" w:styleId="aff3">
    <w:name w:val="Strong"/>
    <w:basedOn w:val="ad"/>
    <w:uiPriority w:val="22"/>
    <w:qFormat/>
    <w:rPr>
      <w:b/>
    </w:rPr>
  </w:style>
  <w:style w:type="character" w:styleId="aff4">
    <w:name w:val="endnote reference"/>
    <w:basedOn w:val="ad"/>
    <w:uiPriority w:val="99"/>
    <w:semiHidden/>
    <w:unhideWhenUsed/>
    <w:qFormat/>
    <w:rPr>
      <w:vertAlign w:val="superscript"/>
    </w:rPr>
  </w:style>
  <w:style w:type="character" w:styleId="aff5">
    <w:name w:val="line number"/>
    <w:qFormat/>
  </w:style>
  <w:style w:type="character" w:styleId="aff6">
    <w:name w:val="Hyperlink"/>
    <w:qFormat/>
    <w:rPr>
      <w:rFonts w:ascii="宋体" w:eastAsia="宋体"/>
      <w:color w:val="auto"/>
      <w:spacing w:val="0"/>
      <w:w w:val="100"/>
      <w:position w:val="0"/>
      <w:sz w:val="21"/>
      <w:u w:val="none"/>
      <w:vertAlign w:val="baseline"/>
    </w:rPr>
  </w:style>
  <w:style w:type="character" w:styleId="aff7">
    <w:name w:val="annotation reference"/>
    <w:uiPriority w:val="99"/>
    <w:qFormat/>
    <w:rPr>
      <w:sz w:val="21"/>
    </w:rPr>
  </w:style>
  <w:style w:type="character" w:styleId="aff8">
    <w:name w:val="footnote reference"/>
    <w:qFormat/>
    <w:rPr>
      <w:vertAlign w:val="superscript"/>
    </w:rPr>
  </w:style>
  <w:style w:type="paragraph" w:customStyle="1" w:styleId="-1">
    <w:name w:val="正文-公1"/>
    <w:uiPriority w:val="99"/>
    <w:qFormat/>
    <w:pPr>
      <w:widowControl w:val="0"/>
      <w:suppressAutoHyphens/>
      <w:jc w:val="both"/>
    </w:pPr>
    <w:rPr>
      <w:rFonts w:ascii="Calibri" w:hAnsi="Calibri"/>
      <w:kern w:val="2"/>
      <w:sz w:val="21"/>
      <w:szCs w:val="24"/>
    </w:rPr>
  </w:style>
  <w:style w:type="character" w:customStyle="1" w:styleId="70">
    <w:name w:val="标题 7 字符"/>
    <w:link w:val="7"/>
    <w:qFormat/>
    <w:rPr>
      <w:rFonts w:eastAsia="宋体"/>
      <w:b/>
      <w:bCs/>
      <w:kern w:val="2"/>
      <w:sz w:val="24"/>
      <w:szCs w:val="24"/>
    </w:rPr>
  </w:style>
  <w:style w:type="character" w:customStyle="1" w:styleId="af1">
    <w:name w:val="批注文字 字符"/>
    <w:link w:val="af0"/>
    <w:uiPriority w:val="99"/>
    <w:semiHidden/>
    <w:qFormat/>
    <w:rPr>
      <w:rFonts w:ascii="Calibri" w:eastAsia="宋体" w:hAnsi="Calibri"/>
      <w:kern w:val="2"/>
      <w:sz w:val="21"/>
      <w:szCs w:val="21"/>
    </w:rPr>
  </w:style>
  <w:style w:type="character" w:customStyle="1" w:styleId="af7">
    <w:name w:val="批注框文本 字符"/>
    <w:link w:val="af6"/>
    <w:uiPriority w:val="99"/>
    <w:semiHidden/>
    <w:qFormat/>
    <w:rPr>
      <w:rFonts w:eastAsia="宋体"/>
      <w:kern w:val="2"/>
      <w:sz w:val="18"/>
      <w:szCs w:val="18"/>
    </w:rPr>
  </w:style>
  <w:style w:type="character" w:customStyle="1" w:styleId="af9">
    <w:name w:val="页脚 字符"/>
    <w:link w:val="af8"/>
    <w:uiPriority w:val="99"/>
    <w:qFormat/>
    <w:locked/>
    <w:rPr>
      <w:rFonts w:eastAsia="宋体"/>
      <w:kern w:val="2"/>
      <w:sz w:val="18"/>
      <w:szCs w:val="18"/>
    </w:rPr>
  </w:style>
  <w:style w:type="paragraph" w:customStyle="1" w:styleId="aff9">
    <w:name w:val="其他标准称谓"/>
    <w:qFormat/>
    <w:pPr>
      <w:spacing w:line="0" w:lineRule="atLeast"/>
      <w:jc w:val="distribute"/>
    </w:pPr>
    <w:rPr>
      <w:rFonts w:ascii="黑体" w:eastAsia="黑体" w:hAnsi="Calibri" w:cs="Calibri"/>
      <w:sz w:val="52"/>
    </w:rPr>
  </w:style>
  <w:style w:type="paragraph" w:customStyle="1" w:styleId="10">
    <w:name w:val="封面标准号1"/>
    <w:qFormat/>
    <w:pPr>
      <w:widowControl w:val="0"/>
      <w:kinsoku w:val="0"/>
      <w:overflowPunct w:val="0"/>
      <w:autoSpaceDE w:val="0"/>
      <w:autoSpaceDN w:val="0"/>
      <w:spacing w:before="308"/>
      <w:jc w:val="right"/>
      <w:textAlignment w:val="center"/>
    </w:pPr>
    <w:rPr>
      <w:rFonts w:ascii="Calibri" w:hAnsi="Calibri" w:cs="Calibri"/>
      <w:sz w:val="28"/>
    </w:rPr>
  </w:style>
  <w:style w:type="paragraph" w:customStyle="1" w:styleId="affa">
    <w:name w:val="标准文件_段"/>
    <w:link w:val="Char"/>
    <w:qFormat/>
    <w:pPr>
      <w:autoSpaceDE w:val="0"/>
      <w:autoSpaceDN w:val="0"/>
      <w:spacing w:line="520" w:lineRule="exact"/>
      <w:ind w:firstLineChars="200" w:firstLine="640"/>
      <w:jc w:val="both"/>
    </w:pPr>
    <w:rPr>
      <w:rFonts w:ascii="仿宋" w:eastAsia="仿宋" w:hAnsi="仿宋" w:cs="Calibri"/>
      <w:kern w:val="2"/>
      <w:sz w:val="32"/>
      <w:szCs w:val="32"/>
    </w:rPr>
  </w:style>
  <w:style w:type="character" w:customStyle="1" w:styleId="Char">
    <w:name w:val="标准文件_段 Char"/>
    <w:link w:val="affa"/>
    <w:qFormat/>
    <w:rPr>
      <w:rFonts w:ascii="仿宋" w:eastAsia="仿宋" w:hAnsi="仿宋" w:cs="Calibri"/>
      <w:kern w:val="2"/>
      <w:sz w:val="32"/>
      <w:szCs w:val="32"/>
    </w:rPr>
  </w:style>
  <w:style w:type="paragraph" w:customStyle="1" w:styleId="a6">
    <w:name w:val="标准文件_章标题"/>
    <w:next w:val="affa"/>
    <w:qFormat/>
    <w:pPr>
      <w:numPr>
        <w:ilvl w:val="1"/>
        <w:numId w:val="1"/>
      </w:numPr>
      <w:spacing w:beforeLines="100" w:before="100" w:afterLines="100" w:after="100"/>
      <w:jc w:val="both"/>
      <w:outlineLvl w:val="0"/>
    </w:pPr>
    <w:rPr>
      <w:rFonts w:ascii="黑体" w:eastAsia="黑体" w:hAnsi="Calibri" w:cs="Calibri"/>
      <w:sz w:val="21"/>
    </w:rPr>
  </w:style>
  <w:style w:type="paragraph" w:customStyle="1" w:styleId="affb">
    <w:name w:val="标准文件_二级条标题"/>
    <w:next w:val="affa"/>
    <w:qFormat/>
    <w:pPr>
      <w:widowControl w:val="0"/>
      <w:spacing w:beforeLines="50" w:before="50" w:afterLines="50" w:after="50"/>
      <w:jc w:val="both"/>
      <w:outlineLvl w:val="2"/>
    </w:pPr>
    <w:rPr>
      <w:rFonts w:ascii="黑体" w:eastAsia="黑体" w:hAnsi="Calibri" w:cs="Calibri"/>
      <w:sz w:val="21"/>
    </w:rPr>
  </w:style>
  <w:style w:type="paragraph" w:customStyle="1" w:styleId="a7">
    <w:name w:val="标准文件_一级条标题"/>
    <w:basedOn w:val="a6"/>
    <w:next w:val="affa"/>
    <w:qFormat/>
    <w:pPr>
      <w:numPr>
        <w:ilvl w:val="2"/>
      </w:numPr>
      <w:spacing w:beforeLines="0" w:before="50" w:afterLines="0" w:after="50"/>
      <w:outlineLvl w:val="1"/>
    </w:pPr>
  </w:style>
  <w:style w:type="paragraph" w:customStyle="1" w:styleId="affc">
    <w:name w:val="标准文件_三级条标题"/>
    <w:basedOn w:val="affb"/>
    <w:next w:val="affa"/>
    <w:qFormat/>
    <w:pPr>
      <w:outlineLvl w:val="3"/>
    </w:pPr>
  </w:style>
  <w:style w:type="paragraph" w:customStyle="1" w:styleId="affd">
    <w:name w:val="标准文件_四级条标题"/>
    <w:next w:val="affa"/>
    <w:qFormat/>
    <w:pPr>
      <w:widowControl w:val="0"/>
      <w:spacing w:beforeLines="50" w:before="50" w:afterLines="50" w:after="50"/>
      <w:jc w:val="both"/>
      <w:outlineLvl w:val="4"/>
    </w:pPr>
    <w:rPr>
      <w:rFonts w:ascii="黑体" w:eastAsia="黑体" w:hAnsi="Calibri" w:cs="Calibri"/>
      <w:sz w:val="21"/>
    </w:rPr>
  </w:style>
  <w:style w:type="paragraph" w:customStyle="1" w:styleId="aa">
    <w:name w:val="标准文件_五级条标题"/>
    <w:next w:val="affb"/>
    <w:qFormat/>
    <w:pPr>
      <w:widowControl w:val="0"/>
      <w:numPr>
        <w:ilvl w:val="6"/>
        <w:numId w:val="1"/>
      </w:numPr>
      <w:spacing w:beforeLines="50" w:before="50" w:afterLines="50" w:after="50"/>
      <w:jc w:val="both"/>
      <w:outlineLvl w:val="5"/>
    </w:pPr>
    <w:rPr>
      <w:rFonts w:ascii="黑体" w:eastAsia="黑体" w:hAnsi="Calibri" w:cs="Calibri"/>
      <w:sz w:val="21"/>
    </w:rPr>
  </w:style>
  <w:style w:type="paragraph" w:customStyle="1" w:styleId="a5">
    <w:name w:val="前言标题"/>
    <w:next w:val="ac"/>
    <w:qFormat/>
    <w:pPr>
      <w:numPr>
        <w:numId w:val="1"/>
      </w:numPr>
      <w:shd w:val="clear" w:color="FFFFFF" w:fill="FFFFFF"/>
      <w:spacing w:before="540" w:after="600"/>
      <w:jc w:val="center"/>
      <w:outlineLvl w:val="0"/>
    </w:pPr>
    <w:rPr>
      <w:rFonts w:ascii="黑体" w:eastAsia="黑体" w:hAnsi="Calibri" w:cs="Calibri"/>
      <w:sz w:val="32"/>
    </w:rPr>
  </w:style>
  <w:style w:type="paragraph" w:customStyle="1" w:styleId="a9">
    <w:name w:val="标准文件_四级无标题"/>
    <w:basedOn w:val="affd"/>
    <w:qFormat/>
    <w:pPr>
      <w:numPr>
        <w:ilvl w:val="5"/>
        <w:numId w:val="1"/>
      </w:numPr>
    </w:pPr>
    <w:rPr>
      <w:rFonts w:ascii="宋体" w:eastAsia="宋体"/>
      <w:szCs w:val="52"/>
    </w:rPr>
  </w:style>
  <w:style w:type="paragraph" w:customStyle="1" w:styleId="a8">
    <w:name w:val="标准文件_三级无标题"/>
    <w:basedOn w:val="affc"/>
    <w:qFormat/>
    <w:pPr>
      <w:numPr>
        <w:ilvl w:val="4"/>
        <w:numId w:val="1"/>
      </w:numPr>
    </w:pPr>
    <w:rPr>
      <w:rFonts w:ascii="宋体" w:eastAsia="宋体"/>
    </w:rPr>
  </w:style>
  <w:style w:type="paragraph" w:customStyle="1" w:styleId="a">
    <w:name w:val="标准文件_正文表标题"/>
    <w:qFormat/>
    <w:pPr>
      <w:numPr>
        <w:numId w:val="2"/>
      </w:numPr>
      <w:tabs>
        <w:tab w:val="left" w:pos="0"/>
      </w:tabs>
      <w:spacing w:beforeLines="50" w:before="50" w:afterLines="50" w:after="50"/>
      <w:jc w:val="center"/>
    </w:pPr>
    <w:rPr>
      <w:rFonts w:ascii="黑体" w:eastAsia="黑体" w:hAnsi="Calibri" w:cs="Calibri"/>
      <w:sz w:val="21"/>
    </w:rPr>
  </w:style>
  <w:style w:type="character" w:customStyle="1" w:styleId="font11">
    <w:name w:val="font11"/>
    <w:qFormat/>
    <w:rPr>
      <w:rFonts w:ascii="等线" w:eastAsia="等线"/>
      <w:b/>
      <w:bCs/>
      <w:color w:val="FF0000"/>
      <w:sz w:val="22"/>
      <w:szCs w:val="22"/>
      <w:u w:val="none"/>
    </w:rPr>
  </w:style>
  <w:style w:type="character" w:customStyle="1" w:styleId="font01">
    <w:name w:val="font01"/>
    <w:qFormat/>
    <w:rPr>
      <w:rFonts w:ascii="等线" w:eastAsia="等线"/>
      <w:color w:val="000000"/>
      <w:sz w:val="22"/>
      <w:szCs w:val="22"/>
      <w:u w:val="none"/>
    </w:rPr>
  </w:style>
  <w:style w:type="paragraph" w:customStyle="1" w:styleId="affe">
    <w:name w:val="段"/>
    <w:qFormat/>
    <w:pPr>
      <w:autoSpaceDE w:val="0"/>
      <w:autoSpaceDN w:val="0"/>
      <w:ind w:firstLineChars="200" w:firstLine="200"/>
      <w:jc w:val="both"/>
    </w:pPr>
    <w:rPr>
      <w:rFonts w:ascii="宋体" w:hAnsi="Calibri" w:cs="Calibri"/>
      <w:sz w:val="21"/>
    </w:rPr>
  </w:style>
  <w:style w:type="paragraph" w:customStyle="1" w:styleId="afff">
    <w:name w:val="二级无"/>
    <w:basedOn w:val="ac"/>
    <w:qFormat/>
    <w:pPr>
      <w:widowControl/>
      <w:tabs>
        <w:tab w:val="left" w:pos="780"/>
      </w:tabs>
      <w:ind w:left="780" w:hanging="360"/>
      <w:jc w:val="left"/>
      <w:outlineLvl w:val="3"/>
    </w:pPr>
    <w:rPr>
      <w:rFonts w:ascii="宋体"/>
      <w:kern w:val="0"/>
      <w:szCs w:val="21"/>
    </w:rPr>
  </w:style>
  <w:style w:type="paragraph" w:customStyle="1" w:styleId="afff0">
    <w:name w:val="标准文件_二级无标题"/>
    <w:basedOn w:val="affb"/>
    <w:qFormat/>
    <w:pPr>
      <w:tabs>
        <w:tab w:val="left" w:pos="1200"/>
      </w:tabs>
      <w:spacing w:beforeLines="0" w:before="0" w:afterLines="0" w:after="0"/>
      <w:ind w:left="1200" w:hanging="360"/>
      <w:outlineLvl w:val="9"/>
    </w:pPr>
    <w:rPr>
      <w:rFonts w:ascii="宋体" w:eastAsia="宋体"/>
    </w:rPr>
  </w:style>
  <w:style w:type="paragraph" w:customStyle="1" w:styleId="CharCharCharChar">
    <w:name w:val="Char Char Char Char"/>
    <w:basedOn w:val="ac"/>
    <w:qFormat/>
  </w:style>
  <w:style w:type="paragraph" w:customStyle="1" w:styleId="a3">
    <w:name w:val="标准文件_数字编号列项（二级）"/>
    <w:qFormat/>
    <w:pPr>
      <w:numPr>
        <w:ilvl w:val="1"/>
        <w:numId w:val="3"/>
      </w:numPr>
      <w:jc w:val="both"/>
    </w:pPr>
    <w:rPr>
      <w:rFonts w:ascii="宋体" w:hAnsi="Calibri" w:cs="Calibri"/>
      <w:sz w:val="21"/>
    </w:rPr>
  </w:style>
  <w:style w:type="paragraph" w:customStyle="1" w:styleId="a4">
    <w:name w:val="标准文件_编号列项（三级）"/>
    <w:qFormat/>
    <w:pPr>
      <w:numPr>
        <w:ilvl w:val="2"/>
        <w:numId w:val="3"/>
      </w:numPr>
    </w:pPr>
    <w:rPr>
      <w:rFonts w:ascii="宋体" w:hAnsi="Calibri" w:cs="Calibri"/>
      <w:sz w:val="21"/>
    </w:rPr>
  </w:style>
  <w:style w:type="paragraph" w:customStyle="1" w:styleId="a2">
    <w:name w:val="标准文件_字母编号列项（一级）"/>
    <w:qFormat/>
    <w:pPr>
      <w:numPr>
        <w:numId w:val="3"/>
      </w:numPr>
      <w:jc w:val="both"/>
    </w:pPr>
    <w:rPr>
      <w:rFonts w:ascii="宋体" w:hAnsi="Calibri" w:cs="Calibri"/>
      <w:sz w:val="21"/>
    </w:rPr>
  </w:style>
  <w:style w:type="paragraph" w:customStyle="1" w:styleId="afff1">
    <w:name w:val="标准文件_术语条一"/>
    <w:basedOn w:val="ac"/>
    <w:next w:val="affa"/>
    <w:qFormat/>
    <w:pPr>
      <w:widowControl/>
    </w:pPr>
    <w:rPr>
      <w:rFonts w:ascii="宋体"/>
      <w:kern w:val="0"/>
      <w:szCs w:val="20"/>
    </w:rPr>
  </w:style>
  <w:style w:type="paragraph" w:customStyle="1" w:styleId="abstract">
    <w:name w:val="abstract"/>
    <w:basedOn w:val="ac"/>
    <w:qFormat/>
    <w:pPr>
      <w:widowControl/>
      <w:spacing w:before="100" w:beforeAutospacing="1" w:after="100" w:afterAutospacing="1"/>
      <w:jc w:val="left"/>
    </w:pPr>
    <w:rPr>
      <w:rFonts w:ascii="宋体" w:hAnsi="宋体" w:cs="宋体"/>
      <w:kern w:val="0"/>
      <w:sz w:val="24"/>
    </w:rPr>
  </w:style>
  <w:style w:type="paragraph" w:customStyle="1" w:styleId="abstractmore">
    <w:name w:val="abstract_more"/>
    <w:basedOn w:val="ac"/>
    <w:qFormat/>
    <w:pPr>
      <w:widowControl/>
      <w:spacing w:before="100" w:beforeAutospacing="1" w:after="100" w:afterAutospacing="1"/>
      <w:jc w:val="left"/>
    </w:pPr>
    <w:rPr>
      <w:rFonts w:ascii="宋体" w:hAnsi="宋体" w:cs="宋体"/>
      <w:kern w:val="0"/>
      <w:sz w:val="24"/>
    </w:rPr>
  </w:style>
  <w:style w:type="paragraph" w:styleId="afff2">
    <w:name w:val="No Spacing"/>
    <w:uiPriority w:val="99"/>
    <w:qFormat/>
    <w:pPr>
      <w:widowControl w:val="0"/>
      <w:jc w:val="both"/>
    </w:pPr>
    <w:rPr>
      <w:rFonts w:ascii="Calibri" w:hAnsi="Calibri"/>
      <w:kern w:val="2"/>
      <w:sz w:val="21"/>
      <w:szCs w:val="24"/>
    </w:rPr>
  </w:style>
  <w:style w:type="paragraph" w:customStyle="1" w:styleId="a1">
    <w:name w:val="标准文件_一级项"/>
    <w:qFormat/>
    <w:pPr>
      <w:numPr>
        <w:numId w:val="4"/>
      </w:numPr>
    </w:pPr>
    <w:rPr>
      <w:rFonts w:ascii="宋体"/>
      <w:sz w:val="21"/>
    </w:rPr>
  </w:style>
  <w:style w:type="paragraph" w:customStyle="1" w:styleId="ab">
    <w:name w:val="附录表标题"/>
    <w:basedOn w:val="ac"/>
    <w:next w:val="affe"/>
    <w:qFormat/>
    <w:pPr>
      <w:numPr>
        <w:ilvl w:val="1"/>
        <w:numId w:val="5"/>
      </w:numPr>
      <w:tabs>
        <w:tab w:val="left" w:pos="180"/>
      </w:tabs>
      <w:spacing w:beforeLines="50" w:afterLines="50"/>
      <w:ind w:left="0" w:firstLine="0"/>
      <w:jc w:val="center"/>
    </w:pPr>
    <w:rPr>
      <w:rFonts w:ascii="黑体" w:eastAsia="黑体" w:hAnsi="Times New Roman" w:cs="Times New Roman"/>
      <w:szCs w:val="21"/>
    </w:rPr>
  </w:style>
  <w:style w:type="paragraph" w:styleId="afff3">
    <w:name w:val="List Paragraph"/>
    <w:basedOn w:val="ac"/>
    <w:uiPriority w:val="99"/>
    <w:unhideWhenUsed/>
    <w:qFormat/>
    <w:pPr>
      <w:ind w:firstLineChars="200" w:firstLine="420"/>
    </w:pPr>
    <w:rPr>
      <w:rFonts w:ascii="Times New Roman" w:hAnsi="Times New Roman" w:cs="Times New Roman"/>
    </w:rPr>
  </w:style>
  <w:style w:type="character" w:customStyle="1" w:styleId="afc">
    <w:name w:val="页眉 字符"/>
    <w:basedOn w:val="ad"/>
    <w:link w:val="afb"/>
    <w:qFormat/>
    <w:rPr>
      <w:rFonts w:ascii="Calibri" w:hAnsi="Calibri" w:cs="Calibri"/>
      <w:kern w:val="2"/>
      <w:sz w:val="18"/>
      <w:szCs w:val="18"/>
    </w:rPr>
  </w:style>
  <w:style w:type="character" w:customStyle="1" w:styleId="aff1">
    <w:name w:val="批注主题 字符"/>
    <w:basedOn w:val="af1"/>
    <w:link w:val="aff0"/>
    <w:uiPriority w:val="99"/>
    <w:semiHidden/>
    <w:qFormat/>
    <w:rPr>
      <w:rFonts w:ascii="Calibri" w:eastAsia="宋体" w:hAnsi="Calibri" w:cs="Calibri"/>
      <w:b/>
      <w:bCs/>
      <w:kern w:val="2"/>
      <w:sz w:val="21"/>
      <w:szCs w:val="24"/>
    </w:rPr>
  </w:style>
  <w:style w:type="character" w:customStyle="1" w:styleId="af5">
    <w:name w:val="尾注文本 字符"/>
    <w:basedOn w:val="ad"/>
    <w:link w:val="af4"/>
    <w:uiPriority w:val="99"/>
    <w:semiHidden/>
    <w:qFormat/>
    <w:rPr>
      <w:rFonts w:ascii="Calibri" w:hAnsi="Calibri" w:cs="Calibri"/>
      <w:kern w:val="2"/>
      <w:sz w:val="21"/>
      <w:szCs w:val="24"/>
    </w:rPr>
  </w:style>
  <w:style w:type="paragraph" w:customStyle="1" w:styleId="a0">
    <w:name w:val="标准文件_方框数字列项"/>
    <w:basedOn w:val="affa"/>
    <w:qFormat/>
    <w:pPr>
      <w:numPr>
        <w:numId w:val="6"/>
      </w:numPr>
      <w:spacing w:line="240" w:lineRule="auto"/>
      <w:ind w:firstLineChars="0" w:firstLine="0"/>
    </w:pPr>
    <w:rPr>
      <w:rFonts w:ascii="宋体" w:eastAsia="宋体" w:hAnsi="Times New Roman" w:cs="Times New Roman"/>
      <w:kern w:val="0"/>
      <w:sz w:val="21"/>
      <w:szCs w:val="20"/>
    </w:rPr>
  </w:style>
  <w:style w:type="character" w:customStyle="1" w:styleId="af3">
    <w:name w:val="日期 字符"/>
    <w:basedOn w:val="ad"/>
    <w:link w:val="af2"/>
    <w:uiPriority w:val="99"/>
    <w:semiHidden/>
    <w:qFormat/>
    <w:rPr>
      <w:rFonts w:ascii="Calibri" w:hAnsi="Calibri" w:cs="Calibri"/>
      <w:kern w:val="2"/>
      <w:sz w:val="21"/>
      <w:szCs w:val="24"/>
    </w:rPr>
  </w:style>
  <w:style w:type="character" w:customStyle="1" w:styleId="aff">
    <w:name w:val="标题 字符"/>
    <w:basedOn w:val="ad"/>
    <w:link w:val="afe"/>
    <w:uiPriority w:val="10"/>
    <w:qFormat/>
    <w:rPr>
      <w:rFonts w:asciiTheme="majorHAnsi" w:eastAsiaTheme="majorEastAsia" w:hAnsiTheme="majorHAnsi" w:cstheme="majorBidi"/>
      <w:b/>
      <w:bCs/>
      <w:kern w:val="2"/>
      <w:sz w:val="32"/>
      <w:szCs w:val="32"/>
    </w:rPr>
  </w:style>
  <w:style w:type="table" w:customStyle="1" w:styleId="11">
    <w:name w:val="网格型1"/>
    <w:basedOn w:val="ae"/>
    <w:next w:val="aff2"/>
    <w:uiPriority w:val="39"/>
    <w:qFormat/>
    <w:rsid w:val="00D157E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F5C689-982F-4C5F-A840-75EA132F2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1457</TotalTime>
  <Pages>17</Pages>
  <Words>1586</Words>
  <Characters>9043</Characters>
  <Application>Microsoft Office Word</Application>
  <DocSecurity>0</DocSecurity>
  <Lines>75</Lines>
  <Paragraphs>21</Paragraphs>
  <ScaleCrop>false</ScaleCrop>
  <Company>微软中国</Company>
  <LinksUpToDate>false</LinksUpToDate>
  <CharactersWithSpaces>10608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430</cp:revision>
  <cp:lastPrinted>2025-05-09T02:21:00Z</cp:lastPrinted>
  <dcterms:created xsi:type="dcterms:W3CDTF">2024-09-29T09:06:00Z</dcterms:created>
  <dcterms:modified xsi:type="dcterms:W3CDTF">2026-07-31T08:16:00Z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A922D90BF3B641DA8C66AE267C36FA1E_13</vt:lpwstr>
  </property>
  <property fmtid="{D5CDD505-2E9C-101B-9397-08002B2CF9AE}" pid="4" name="KSOTemplateDocerSaveRecord">
    <vt:lpwstr>eyJoZGlkIjoiNmQ1ZTAxODgwYWQ1NjFmNGMzNjRlNmY2MTk2ZjA3M2MiLCJ1c2VySWQiOiI1NjkwODQ0OTAifQ==</vt:lpwstr>
  </property>
</Properties>
</file>