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E62A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3136EE8">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A19B378">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65.020.40</w:t>
            </w:r>
            <w:r>
              <w:rPr>
                <w:rFonts w:ascii="黑体" w:hAnsi="黑体" w:eastAsia="黑体"/>
                <w:sz w:val="21"/>
                <w:szCs w:val="21"/>
              </w:rPr>
              <w:fldChar w:fldCharType="end"/>
            </w:r>
            <w:bookmarkEnd w:id="0"/>
          </w:p>
        </w:tc>
      </w:tr>
      <w:tr w14:paraId="0395E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B7C7DF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D3EA89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AD723F7">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4D53893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64</w:t>
            </w:r>
            <w:r>
              <w:rPr>
                <w:rFonts w:ascii="黑体" w:hAnsi="黑体" w:eastAsia="黑体"/>
                <w:sz w:val="21"/>
                <w:szCs w:val="21"/>
              </w:rPr>
              <w:fldChar w:fldCharType="end"/>
            </w:r>
            <w:bookmarkEnd w:id="2"/>
          </w:p>
        </w:tc>
      </w:tr>
    </w:tbl>
    <w:p w14:paraId="15385126">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1C0187BA">
      <w:pPr>
        <w:pStyle w:val="195"/>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rPr>
          <w:rFonts w:hint="eastAsia"/>
        </w:rPr>
        <w:t>2025</w:t>
      </w:r>
      <w:r>
        <w:fldChar w:fldCharType="end"/>
      </w:r>
      <w:bookmarkEnd w:id="6"/>
    </w:p>
    <w:p w14:paraId="156EC4FD">
      <w:pPr>
        <w:pStyle w:val="196"/>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5CA5B83C">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58A08DE6">
      <w:pPr>
        <w:pStyle w:val="50"/>
        <w:framePr w:w="9639" w:h="6976" w:hRule="exact" w:hSpace="0" w:vSpace="0" w:wrap="around" w:hAnchor="page" w:y="6408"/>
        <w:jc w:val="center"/>
        <w:rPr>
          <w:rFonts w:ascii="黑体" w:hAnsi="黑体" w:eastAsia="黑体"/>
          <w:b w:val="0"/>
          <w:bCs w:val="0"/>
          <w:w w:val="100"/>
        </w:rPr>
      </w:pPr>
    </w:p>
    <w:p w14:paraId="5FDFF402">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桉树无节材质量分级</w:t>
      </w:r>
      <w:r>
        <w:fldChar w:fldCharType="end"/>
      </w:r>
      <w:bookmarkEnd w:id="8"/>
    </w:p>
    <w:p w14:paraId="250B5C46">
      <w:pPr>
        <w:framePr w:w="9639" w:h="6974" w:hRule="exact" w:wrap="around" w:vAnchor="page" w:hAnchor="page" w:x="1419" w:y="6408" w:anchorLock="1"/>
        <w:ind w:left="-1418"/>
      </w:pPr>
    </w:p>
    <w:p w14:paraId="318F26F0">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hint="eastAsia" w:eastAsia="黑体"/>
          <w:szCs w:val="28"/>
        </w:rPr>
        <w:t>Quality grading</w:t>
      </w:r>
      <w:r>
        <w:rPr>
          <w:rFonts w:eastAsia="黑体"/>
          <w:szCs w:val="28"/>
        </w:rPr>
        <w:t xml:space="preserve"> of </w:t>
      </w:r>
      <w:r>
        <w:rPr>
          <w:rFonts w:hint="eastAsia" w:eastAsia="黑体"/>
          <w:szCs w:val="28"/>
        </w:rPr>
        <w:t>knot-free timber</w:t>
      </w:r>
      <w:r>
        <w:rPr>
          <w:rFonts w:eastAsia="黑体"/>
          <w:szCs w:val="28"/>
        </w:rPr>
        <w:t xml:space="preserve"> of Eucalypt plantation</w:t>
      </w:r>
      <w:r>
        <w:rPr>
          <w:rFonts w:eastAsia="黑体"/>
          <w:szCs w:val="28"/>
        </w:rPr>
        <w:fldChar w:fldCharType="end"/>
      </w:r>
      <w:bookmarkEnd w:id="9"/>
    </w:p>
    <w:p w14:paraId="08E3E24C">
      <w:pPr>
        <w:framePr w:w="9639" w:h="6974" w:hRule="exact" w:wrap="around" w:vAnchor="page" w:hAnchor="page" w:x="1419" w:y="6408" w:anchorLock="1"/>
        <w:spacing w:line="760" w:lineRule="exact"/>
        <w:ind w:left="-1418"/>
      </w:pPr>
    </w:p>
    <w:p w14:paraId="1C589DFE">
      <w:pPr>
        <w:pStyle w:val="125"/>
        <w:framePr w:w="9639" w:h="6974" w:hRule="exact" w:wrap="around" w:vAnchor="page" w:hAnchor="page" w:x="1419" w:y="6408" w:anchorLock="1"/>
        <w:textAlignment w:val="bottom"/>
        <w:rPr>
          <w:rFonts w:eastAsia="黑体"/>
          <w:szCs w:val="28"/>
        </w:rPr>
      </w:pPr>
    </w:p>
    <w:p w14:paraId="5ED657AF">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56A43E81">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rFonts w:hint="eastAsia"/>
          <w:sz w:val="21"/>
          <w:szCs w:val="28"/>
        </w:rPr>
        <w:t>（本草案完成时间：2025年12月28日）</w:t>
      </w:r>
      <w:r>
        <w:rPr>
          <w:sz w:val="21"/>
          <w:szCs w:val="28"/>
        </w:rPr>
        <w:fldChar w:fldCharType="end"/>
      </w:r>
      <w:bookmarkEnd w:id="11"/>
    </w:p>
    <w:p w14:paraId="50199D16">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706A8281">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65A1741A">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2E5F366B">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F56A54F">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75B07158">
      <w:pPr>
        <w:pStyle w:val="89"/>
        <w:spacing w:before="900" w:after="360"/>
      </w:pPr>
      <w:bookmarkStart w:id="20" w:name="BookMark2"/>
      <w:r>
        <w:rPr>
          <w:spacing w:val="320"/>
        </w:rPr>
        <w:t>前</w:t>
      </w:r>
      <w:r>
        <w:t>言</w:t>
      </w:r>
    </w:p>
    <w:p w14:paraId="0FA4ACF3">
      <w:pPr>
        <w:pStyle w:val="56"/>
        <w:ind w:firstLine="420"/>
      </w:pPr>
      <w:r>
        <w:rPr>
          <w:rFonts w:hint="eastAsia"/>
        </w:rPr>
        <w:t>本文件参照GB/T 1.1—2020《标准化工作导则  第1部分：标准化文件的结构和起草规则》的规定起草。</w:t>
      </w:r>
    </w:p>
    <w:p w14:paraId="4233E6EF">
      <w:pPr>
        <w:pStyle w:val="56"/>
        <w:ind w:firstLine="420"/>
      </w:pPr>
      <w:r>
        <w:rPr>
          <w:rFonts w:hint="eastAsia"/>
        </w:rPr>
        <w:t>请注意本文件的某些内容可能涉及专利。本文件的发布机构不承担识别这些专利的责任。</w:t>
      </w:r>
    </w:p>
    <w:p w14:paraId="20EAF4B3">
      <w:pPr>
        <w:pStyle w:val="56"/>
        <w:ind w:firstLine="420"/>
      </w:pPr>
      <w:r>
        <w:rPr>
          <w:rFonts w:hint="eastAsia"/>
        </w:rPr>
        <w:t>本文件由广西林学会提出、归口并宣贯。</w:t>
      </w:r>
    </w:p>
    <w:p w14:paraId="66CD333D">
      <w:pPr>
        <w:pStyle w:val="56"/>
        <w:ind w:firstLine="420"/>
      </w:pPr>
      <w:r>
        <w:rPr>
          <w:rFonts w:hint="eastAsia"/>
        </w:rPr>
        <w:t>本文件起草单位：广西壮族自治区林业科学研究院、广西壮族自治区国有七坡林场、广西壮族自治区国有东门林场、广西森工集团股份有限公司、广西壮族自治区国有钦廉林场、广西壮族自治区国有黄冕林场、广西壮族自治区国有高峰林场、容县润达家具有限公司、广西容县楷茂木业有限公司。</w:t>
      </w:r>
    </w:p>
    <w:p w14:paraId="533E7F6F">
      <w:pPr>
        <w:pStyle w:val="56"/>
        <w:ind w:firstLine="420"/>
      </w:pPr>
      <w:bookmarkStart w:id="21" w:name="OLE_LINK1"/>
      <w:r>
        <w:rPr>
          <w:rFonts w:hint="eastAsia"/>
        </w:rPr>
        <w:t>本文件主要起草人：卢翠香、任世奇、刘媛、邓善宝、邓紫宇、叶家义、郭东强、陈文江、唐庆兰、陆海燕、陈升侃、潘会彪、陈健波、李昌荣、莫雅芳、庞祖泽、伍琪、邱媚、韦振道、朱慧、张学德、马宏伦、黄世芳、余玉珠、廖维建、申礼凤、张磊、甘铭、李斐红、黎银波、朱原立、王家妍、胡荣辉、陆艳柳、祁彪。</w:t>
      </w:r>
    </w:p>
    <w:p w14:paraId="4F352131">
      <w:pPr>
        <w:pStyle w:val="56"/>
        <w:ind w:firstLine="420"/>
      </w:pPr>
    </w:p>
    <w:bookmarkEnd w:id="21"/>
    <w:p w14:paraId="5A8D2731">
      <w:pPr>
        <w:pStyle w:val="56"/>
        <w:ind w:firstLine="420"/>
        <w:sectPr>
          <w:headerReference r:id="rId11" w:type="default"/>
          <w:footerReference r:id="rId13" w:type="default"/>
          <w:headerReference r:id="rId12"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
    </w:p>
    <w:bookmarkEnd w:id="20"/>
    <w:p w14:paraId="0CFD2EDA">
      <w:pPr>
        <w:spacing w:line="20" w:lineRule="exact"/>
        <w:jc w:val="center"/>
        <w:rPr>
          <w:rFonts w:ascii="黑体" w:hAnsi="黑体" w:eastAsia="黑体"/>
          <w:sz w:val="32"/>
          <w:szCs w:val="32"/>
        </w:rPr>
      </w:pPr>
      <w:bookmarkStart w:id="22" w:name="BookMark4"/>
    </w:p>
    <w:p w14:paraId="422FE035">
      <w:pPr>
        <w:spacing w:line="20" w:lineRule="exact"/>
        <w:jc w:val="center"/>
        <w:rPr>
          <w:rFonts w:ascii="黑体" w:hAnsi="黑体" w:eastAsia="黑体"/>
          <w:sz w:val="32"/>
          <w:szCs w:val="32"/>
        </w:rPr>
      </w:pPr>
    </w:p>
    <w:sdt>
      <w:sdtPr>
        <w:tag w:val="NEW_STAND_NAME"/>
        <w:id w:val="595910757"/>
        <w:lock w:val="sdtLocked"/>
        <w:placeholder>
          <w:docPart w:val="393880024828431194F5190C09CCF686"/>
        </w:placeholder>
      </w:sdtPr>
      <w:sdtContent>
        <w:p w14:paraId="519A7842">
          <w:pPr>
            <w:pStyle w:val="177"/>
            <w:spacing w:beforeLines="1" w:afterLines="220"/>
          </w:pPr>
          <w:bookmarkStart w:id="23" w:name="NEW_STAND_NAME"/>
          <w:r>
            <w:rPr>
              <w:rFonts w:hint="eastAsia"/>
            </w:rPr>
            <w:t>桉树无节材质量分级</w:t>
          </w:r>
        </w:p>
      </w:sdtContent>
    </w:sdt>
    <w:bookmarkEnd w:id="23"/>
    <w:p w14:paraId="106E300A">
      <w:pPr>
        <w:pStyle w:val="104"/>
        <w:spacing w:before="240" w:after="240"/>
      </w:pPr>
      <w:bookmarkStart w:id="24" w:name="_Toc17233333"/>
      <w:bookmarkStart w:id="25" w:name="_Toc24884211"/>
      <w:bookmarkStart w:id="26" w:name="_Toc26718930"/>
      <w:bookmarkStart w:id="27" w:name="_Toc26648465"/>
      <w:bookmarkStart w:id="28" w:name="_Toc26986530"/>
      <w:bookmarkStart w:id="29" w:name="_Toc26986771"/>
      <w:bookmarkStart w:id="30" w:name="_Toc97192964"/>
      <w:bookmarkStart w:id="31" w:name="_Toc17233325"/>
      <w:bookmarkStart w:id="32" w:name="_Toc24884218"/>
      <w:r>
        <w:rPr>
          <w:rFonts w:hint="eastAsia"/>
        </w:rPr>
        <w:t>范围</w:t>
      </w:r>
      <w:bookmarkEnd w:id="24"/>
      <w:bookmarkEnd w:id="25"/>
      <w:bookmarkEnd w:id="26"/>
      <w:bookmarkEnd w:id="27"/>
      <w:bookmarkEnd w:id="28"/>
      <w:bookmarkEnd w:id="29"/>
      <w:bookmarkEnd w:id="30"/>
      <w:bookmarkEnd w:id="31"/>
      <w:bookmarkEnd w:id="32"/>
    </w:p>
    <w:p w14:paraId="445A3C36">
      <w:pPr>
        <w:pStyle w:val="56"/>
        <w:ind w:firstLine="420"/>
      </w:pPr>
      <w:bookmarkStart w:id="33" w:name="_Toc24884212"/>
      <w:bookmarkStart w:id="34" w:name="_Toc17233334"/>
      <w:bookmarkStart w:id="35" w:name="_Toc26648466"/>
      <w:bookmarkStart w:id="36" w:name="_Toc24884219"/>
      <w:bookmarkStart w:id="37" w:name="_Toc17233326"/>
      <w:r>
        <w:rPr>
          <w:rFonts w:hint="eastAsia"/>
        </w:rPr>
        <w:t>本文件规定了桉树无节材的术语和定义、分类、树种、质量要求、检验方法、抽样和判定规则、标识、运输、</w:t>
      </w:r>
      <w:r>
        <w:rPr>
          <w:rFonts w:hint="eastAsia"/>
          <w:lang w:val="zh-CN"/>
        </w:rPr>
        <w:t>贮存</w:t>
      </w:r>
      <w:r>
        <w:rPr>
          <w:rFonts w:hint="eastAsia"/>
        </w:rPr>
        <w:t>等内容。</w:t>
      </w:r>
    </w:p>
    <w:p w14:paraId="0893D9F7">
      <w:pPr>
        <w:pStyle w:val="56"/>
        <w:ind w:firstLine="420"/>
      </w:pPr>
      <w:r>
        <w:rPr>
          <w:rFonts w:hint="eastAsia"/>
        </w:rPr>
        <w:t>本文件适用于广西行政区域内桉树无节材质量分级。</w:t>
      </w:r>
    </w:p>
    <w:p w14:paraId="2EEE6CD6">
      <w:pPr>
        <w:pStyle w:val="104"/>
        <w:spacing w:before="240" w:after="240"/>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2E2C8F5C6A26465E9934ADD3434108E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47E59FA">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E944B2E">
      <w:pPr>
        <w:pStyle w:val="56"/>
        <w:ind w:firstLine="420"/>
      </w:pPr>
      <w:r>
        <w:rPr>
          <w:rFonts w:hint="eastAsia"/>
        </w:rPr>
        <w:t>GB/T 144  原木检验</w:t>
      </w:r>
    </w:p>
    <w:p w14:paraId="40009481">
      <w:pPr>
        <w:pStyle w:val="56"/>
        <w:ind w:firstLine="420"/>
      </w:pPr>
      <w:r>
        <w:rPr>
          <w:rFonts w:hint="eastAsia"/>
        </w:rPr>
        <w:t>GB/T 155  原木缺陷</w:t>
      </w:r>
    </w:p>
    <w:p w14:paraId="4E72846A">
      <w:pPr>
        <w:pStyle w:val="56"/>
        <w:ind w:firstLine="420"/>
      </w:pPr>
      <w:r>
        <w:rPr>
          <w:rFonts w:hint="eastAsia"/>
        </w:rPr>
        <w:t>GB/T 4814  原木材积表</w:t>
      </w:r>
    </w:p>
    <w:p w14:paraId="508B82F8">
      <w:pPr>
        <w:pStyle w:val="56"/>
        <w:ind w:firstLine="420"/>
      </w:pPr>
      <w:r>
        <w:rPr>
          <w:rFonts w:hint="eastAsia"/>
        </w:rPr>
        <w:t>GB/T 15787  原木检验术语</w:t>
      </w:r>
    </w:p>
    <w:p w14:paraId="46BB4ED1">
      <w:pPr>
        <w:pStyle w:val="56"/>
        <w:ind w:firstLine="420"/>
      </w:pPr>
      <w:r>
        <w:rPr>
          <w:rFonts w:hint="eastAsia"/>
        </w:rPr>
        <w:t>GB/T 17659.1  原木锯材批量检查抽样、判定方法 第1部分：原木批量检查抽样、判定方法</w:t>
      </w:r>
    </w:p>
    <w:p w14:paraId="1E88D5A0">
      <w:pPr>
        <w:pStyle w:val="56"/>
        <w:ind w:firstLine="420"/>
      </w:pPr>
      <w:r>
        <w:rPr>
          <w:rFonts w:hint="eastAsia"/>
          <w:lang w:val="zh-CN"/>
        </w:rPr>
        <w:t>DB45/T</w:t>
      </w:r>
      <w:r>
        <w:rPr>
          <w:rFonts w:hint="eastAsia"/>
        </w:rPr>
        <w:t xml:space="preserve"> </w:t>
      </w:r>
      <w:r>
        <w:rPr>
          <w:rFonts w:hint="eastAsia"/>
          <w:lang w:val="zh-CN"/>
        </w:rPr>
        <w:t>2387</w:t>
      </w:r>
      <w:r>
        <w:rPr>
          <w:rFonts w:hint="eastAsia"/>
        </w:rPr>
        <w:t xml:space="preserve">  桉树无节材培育技术规程</w:t>
      </w:r>
    </w:p>
    <w:p w14:paraId="66EA244D">
      <w:pPr>
        <w:pStyle w:val="104"/>
        <w:spacing w:before="240" w:after="240"/>
      </w:pPr>
      <w:bookmarkStart w:id="42" w:name="_Toc97192966"/>
      <w:r>
        <w:rPr>
          <w:rFonts w:hint="eastAsia"/>
        </w:rPr>
        <w:t>术语和定义</w:t>
      </w:r>
      <w:bookmarkEnd w:id="42"/>
    </w:p>
    <w:sdt>
      <w:sdtPr>
        <w:rPr>
          <w:rFonts w:cs="Calibri"/>
        </w:rPr>
        <w:id w:val="-1909835108"/>
        <w:placeholder>
          <w:docPart w:val="B20A4D9D4747488B9B14B1CEB48691F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cs="Calibri"/>
        </w:rPr>
      </w:sdtEndPr>
      <w:sdtContent>
        <w:p w14:paraId="0FD5F9CA">
          <w:pPr>
            <w:pStyle w:val="56"/>
            <w:ind w:firstLine="199" w:firstLineChars="95"/>
          </w:pPr>
          <w:bookmarkStart w:id="43" w:name="_Toc26986532"/>
          <w:bookmarkEnd w:id="43"/>
          <w:r>
            <w:rPr>
              <w:rFonts w:hint="eastAsia" w:cs="Calibri"/>
            </w:rPr>
            <w:t>GB/T 15787</w:t>
          </w:r>
          <w:r>
            <w:rPr>
              <w:rFonts w:hint="eastAsia"/>
            </w:rPr>
            <w:t>、</w:t>
          </w:r>
          <w:r>
            <w:rPr>
              <w:rFonts w:hint="eastAsia" w:cs="Calibri"/>
            </w:rPr>
            <w:t>DB45/T 2387和GB/T 155</w:t>
          </w:r>
          <w:r>
            <w:rPr>
              <w:rFonts w:cs="Calibri"/>
            </w:rPr>
            <w:t>界定的以及下列术语和定义适用于本文件。</w:t>
          </w:r>
        </w:p>
      </w:sdtContent>
    </w:sdt>
    <w:p w14:paraId="35997009">
      <w:pPr>
        <w:pStyle w:val="223"/>
        <w:keepNext w:val="0"/>
        <w:keepLines w:val="0"/>
        <w:pageBreakBefore w:val="0"/>
        <w:widowControl/>
        <w:kinsoku/>
        <w:wordWrap/>
        <w:overflowPunct/>
        <w:topLinePunct w:val="0"/>
        <w:bidi w:val="0"/>
        <w:adjustRightInd/>
        <w:snapToGrid/>
        <w:spacing w:afterLines="0"/>
        <w:ind w:left="420" w:hanging="420" w:hangingChars="200"/>
        <w:textAlignment w:val="auto"/>
        <w:rPr>
          <w:rFonts w:hint="eastAsia" w:ascii="黑体" w:hAnsi="黑体" w:eastAsia="黑体" w:cs="黑体"/>
          <w:color w:val="000000" w:themeColor="text1"/>
        </w:rPr>
      </w:pPr>
      <w:r>
        <w:rPr>
          <w:rFonts w:hint="eastAsia" w:ascii="黑体" w:hAnsi="黑体" w:eastAsia="黑体" w:cs="黑体"/>
        </w:rPr>
        <w:br w:type="textWrapping"/>
      </w:r>
      <w:r>
        <w:rPr>
          <w:rFonts w:hint="eastAsia" w:ascii="黑体" w:hAnsi="黑体" w:eastAsia="黑体" w:cs="黑体"/>
          <w:color w:val="000000" w:themeColor="text1"/>
        </w:rPr>
        <w:t>无节材  clear wood</w:t>
      </w:r>
    </w:p>
    <w:p w14:paraId="7DC73244">
      <w:pPr>
        <w:pStyle w:val="56"/>
        <w:keepNext w:val="0"/>
        <w:keepLines w:val="0"/>
        <w:pageBreakBefore w:val="0"/>
        <w:widowControl/>
        <w:kinsoku/>
        <w:wordWrap/>
        <w:overflowPunct/>
        <w:topLinePunct w:val="0"/>
        <w:bidi w:val="0"/>
        <w:adjustRightInd/>
        <w:snapToGrid/>
        <w:ind w:firstLine="420"/>
        <w:textAlignment w:val="auto"/>
        <w:rPr>
          <w:rFonts w:hint="eastAsia" w:hAnsi="宋体"/>
          <w:color w:val="000000" w:themeColor="text1"/>
        </w:rPr>
      </w:pPr>
      <w:r>
        <w:rPr>
          <w:rFonts w:hint="eastAsia" w:hAnsi="宋体"/>
          <w:color w:val="000000" w:themeColor="text1"/>
        </w:rPr>
        <w:t>经修枝后未进行横截造材的桉树伐倒木，可加工成符合锯切用、旋切用、刨切用无节产品等级要求的原木。</w:t>
      </w:r>
    </w:p>
    <w:p w14:paraId="63C2695E">
      <w:pPr>
        <w:pStyle w:val="223"/>
        <w:keepNext w:val="0"/>
        <w:keepLines w:val="0"/>
        <w:pageBreakBefore w:val="0"/>
        <w:widowControl/>
        <w:kinsoku/>
        <w:wordWrap/>
        <w:overflowPunct/>
        <w:topLinePunct w:val="0"/>
        <w:bidi w:val="0"/>
        <w:adjustRightInd/>
        <w:snapToGrid/>
        <w:spacing w:afterLines="0"/>
        <w:ind w:left="420" w:hanging="420" w:hangingChars="200"/>
        <w:textAlignment w:val="auto"/>
        <w:rPr>
          <w:rFonts w:hint="eastAsia" w:ascii="黑体" w:hAnsi="黑体" w:eastAsia="黑体" w:cs="黑体"/>
          <w:color w:val="000000" w:themeColor="text1"/>
        </w:rPr>
      </w:pPr>
      <w:r>
        <w:rPr>
          <w:rFonts w:hint="eastAsia" w:ascii="黑体" w:hAnsi="黑体" w:eastAsia="黑体" w:cs="黑体"/>
        </w:rPr>
        <w:br w:type="textWrapping"/>
      </w:r>
      <w:r>
        <w:rPr>
          <w:rFonts w:hint="eastAsia" w:ascii="黑体" w:hAnsi="黑体" w:eastAsia="黑体" w:cs="黑体"/>
          <w:color w:val="000000" w:themeColor="text1"/>
          <w:lang w:eastAsia="zh-CN"/>
        </w:rPr>
        <w:t>生长缺陷</w:t>
      </w:r>
      <w:r>
        <w:rPr>
          <w:rFonts w:hint="eastAsia" w:ascii="黑体" w:hAnsi="黑体" w:eastAsia="黑体" w:cs="黑体"/>
          <w:color w:val="000000" w:themeColor="text1"/>
        </w:rPr>
        <w:t xml:space="preserve">  growth defect</w:t>
      </w:r>
    </w:p>
    <w:p w14:paraId="04DEC568">
      <w:pPr>
        <w:pStyle w:val="56"/>
        <w:keepNext w:val="0"/>
        <w:keepLines w:val="0"/>
        <w:pageBreakBefore w:val="0"/>
        <w:widowControl/>
        <w:kinsoku/>
        <w:wordWrap/>
        <w:overflowPunct/>
        <w:topLinePunct w:val="0"/>
        <w:bidi w:val="0"/>
        <w:adjustRightInd/>
        <w:snapToGrid/>
        <w:ind w:firstLine="420"/>
        <w:textAlignment w:val="auto"/>
        <w:rPr>
          <w:rFonts w:hAnsi="宋体"/>
          <w:color w:val="000000" w:themeColor="text1"/>
        </w:rPr>
      </w:pPr>
      <w:r>
        <w:rPr>
          <w:rFonts w:hint="eastAsia" w:hAnsi="宋体"/>
          <w:color w:val="000000" w:themeColor="text1"/>
          <w:lang w:eastAsia="zh-CN"/>
        </w:rPr>
        <w:t>树木生长过程中因环境胁迫或遗传因素形成的缺陷</w:t>
      </w:r>
      <w:r>
        <w:rPr>
          <w:rFonts w:hint="eastAsia" w:hAnsi="宋体"/>
          <w:color w:val="000000" w:themeColor="text1"/>
        </w:rPr>
        <w:t>。</w:t>
      </w:r>
    </w:p>
    <w:p w14:paraId="279E9702">
      <w:pPr>
        <w:pStyle w:val="223"/>
        <w:keepNext w:val="0"/>
        <w:keepLines w:val="0"/>
        <w:pageBreakBefore w:val="0"/>
        <w:widowControl/>
        <w:kinsoku/>
        <w:wordWrap/>
        <w:overflowPunct/>
        <w:topLinePunct w:val="0"/>
        <w:bidi w:val="0"/>
        <w:adjustRightInd/>
        <w:snapToGrid/>
        <w:spacing w:afterLines="0"/>
        <w:ind w:left="420" w:hanging="420" w:hangingChars="200"/>
        <w:textAlignment w:val="auto"/>
        <w:rPr>
          <w:rFonts w:hint="eastAsia" w:ascii="黑体" w:hAnsi="黑体" w:eastAsia="黑体" w:cs="黑体"/>
          <w:color w:val="000000" w:themeColor="text1"/>
        </w:rPr>
      </w:pPr>
      <w:r>
        <w:rPr>
          <w:rFonts w:hint="eastAsia" w:ascii="黑体" w:hAnsi="黑体" w:eastAsia="黑体" w:cs="黑体"/>
        </w:rPr>
        <w:br w:type="textWrapping"/>
      </w:r>
      <w:r>
        <w:rPr>
          <w:rFonts w:hint="eastAsia" w:ascii="黑体" w:hAnsi="黑体" w:eastAsia="黑体" w:cs="黑体"/>
          <w:color w:val="000000" w:themeColor="text1"/>
          <w:lang w:eastAsia="zh-CN"/>
        </w:rPr>
        <w:t>活节</w:t>
      </w:r>
      <w:r>
        <w:rPr>
          <w:rFonts w:hint="eastAsia" w:ascii="黑体" w:hAnsi="黑体" w:eastAsia="黑体" w:cs="黑体"/>
          <w:color w:val="000000" w:themeColor="text1"/>
        </w:rPr>
        <w:t xml:space="preserve">  live knot</w:t>
      </w:r>
    </w:p>
    <w:p w14:paraId="7B9318E5">
      <w:pPr>
        <w:pStyle w:val="56"/>
        <w:keepNext w:val="0"/>
        <w:keepLines w:val="0"/>
        <w:pageBreakBefore w:val="0"/>
        <w:widowControl/>
        <w:kinsoku/>
        <w:wordWrap/>
        <w:overflowPunct/>
        <w:topLinePunct w:val="0"/>
        <w:bidi w:val="0"/>
        <w:adjustRightInd/>
        <w:snapToGrid/>
        <w:ind w:firstLine="420"/>
        <w:textAlignment w:val="auto"/>
        <w:rPr>
          <w:rFonts w:hint="eastAsia" w:hAnsi="宋体"/>
          <w:color w:val="000000" w:themeColor="text1"/>
        </w:rPr>
      </w:pPr>
      <w:r>
        <w:rPr>
          <w:rFonts w:hint="eastAsia" w:hAnsi="宋体"/>
          <w:color w:val="000000" w:themeColor="text1"/>
          <w:lang w:eastAsia="zh-CN"/>
        </w:rPr>
        <w:t>指包含在树干木质部中的活枝部分，其与周围</w:t>
      </w:r>
      <w:r>
        <w:rPr>
          <w:rFonts w:hint="eastAsia" w:hAnsi="宋体"/>
          <w:color w:val="000000" w:themeColor="text1"/>
          <w:lang w:val="en-US" w:eastAsia="zh-CN"/>
        </w:rPr>
        <w:t>木材</w:t>
      </w:r>
      <w:r>
        <w:rPr>
          <w:rFonts w:hint="eastAsia" w:hAnsi="宋体"/>
          <w:color w:val="000000" w:themeColor="text1"/>
          <w:lang w:eastAsia="zh-CN"/>
        </w:rPr>
        <w:t>紧密连生，质地坚硬、构造正常</w:t>
      </w:r>
      <w:r>
        <w:rPr>
          <w:rFonts w:hint="eastAsia" w:hAnsi="宋体"/>
          <w:color w:val="000000" w:themeColor="text1"/>
        </w:rPr>
        <w:t>。</w:t>
      </w:r>
    </w:p>
    <w:p w14:paraId="55F5A832">
      <w:pPr>
        <w:pStyle w:val="223"/>
        <w:keepNext w:val="0"/>
        <w:keepLines w:val="0"/>
        <w:pageBreakBefore w:val="0"/>
        <w:widowControl/>
        <w:kinsoku/>
        <w:wordWrap/>
        <w:overflowPunct/>
        <w:topLinePunct w:val="0"/>
        <w:bidi w:val="0"/>
        <w:adjustRightInd/>
        <w:snapToGrid/>
        <w:spacing w:afterLines="0"/>
        <w:ind w:left="420" w:hanging="420" w:hangingChars="200"/>
        <w:textAlignment w:val="auto"/>
        <w:rPr>
          <w:rFonts w:hint="eastAsia" w:ascii="黑体" w:hAnsi="黑体" w:eastAsia="黑体" w:cs="黑体"/>
          <w:color w:val="000000" w:themeColor="text1"/>
        </w:rPr>
      </w:pPr>
      <w:r>
        <w:rPr>
          <w:rFonts w:hint="eastAsia" w:ascii="黑体" w:hAnsi="黑体" w:eastAsia="黑体" w:cs="黑体"/>
        </w:rPr>
        <w:br w:type="textWrapping"/>
      </w:r>
      <w:r>
        <w:rPr>
          <w:rFonts w:hint="eastAsia" w:ascii="黑体" w:hAnsi="黑体" w:eastAsia="黑体" w:cs="黑体"/>
          <w:color w:val="000000" w:themeColor="text1"/>
          <w:lang w:eastAsia="zh-CN"/>
        </w:rPr>
        <w:t>死节</w:t>
      </w:r>
      <w:r>
        <w:rPr>
          <w:rFonts w:hint="eastAsia" w:ascii="黑体" w:hAnsi="黑体" w:eastAsia="黑体" w:cs="黑体"/>
          <w:color w:val="000000" w:themeColor="text1"/>
        </w:rPr>
        <w:t xml:space="preserve">  live knot</w:t>
      </w:r>
    </w:p>
    <w:p w14:paraId="7B4951F5">
      <w:pPr>
        <w:pStyle w:val="56"/>
        <w:keepNext w:val="0"/>
        <w:keepLines w:val="0"/>
        <w:pageBreakBefore w:val="0"/>
        <w:widowControl/>
        <w:kinsoku/>
        <w:wordWrap/>
        <w:overflowPunct/>
        <w:topLinePunct w:val="0"/>
        <w:bidi w:val="0"/>
        <w:adjustRightInd/>
        <w:snapToGrid/>
        <w:ind w:firstLine="420"/>
        <w:textAlignment w:val="auto"/>
        <w:rPr>
          <w:rFonts w:hint="eastAsia" w:ascii="黑体" w:hAnsi="黑体" w:eastAsia="黑体" w:cs="黑体"/>
          <w:color w:val="0070C0"/>
        </w:rPr>
      </w:pPr>
      <w:r>
        <w:rPr>
          <w:rFonts w:hint="eastAsia" w:hAnsi="宋体"/>
          <w:color w:val="000000" w:themeColor="text1"/>
          <w:lang w:eastAsia="zh-CN"/>
        </w:rPr>
        <w:t>指包含在树干木质部中的</w:t>
      </w:r>
      <w:r>
        <w:rPr>
          <w:rFonts w:hint="eastAsia" w:hAnsi="宋体"/>
          <w:color w:val="000000" w:themeColor="text1"/>
          <w:lang w:val="en-US" w:eastAsia="zh-CN"/>
        </w:rPr>
        <w:t>枯死枝条</w:t>
      </w:r>
      <w:r>
        <w:rPr>
          <w:rFonts w:hint="eastAsia" w:hAnsi="宋体"/>
          <w:color w:val="000000" w:themeColor="text1"/>
          <w:lang w:eastAsia="zh-CN"/>
        </w:rPr>
        <w:t>，其与周围</w:t>
      </w:r>
      <w:r>
        <w:rPr>
          <w:rFonts w:hint="eastAsia" w:hAnsi="宋体"/>
          <w:color w:val="000000"/>
        </w:rPr>
        <w:t>木材脱离或部分脱离，有时脱落形成孔洞</w:t>
      </w:r>
      <w:r>
        <w:rPr>
          <w:rFonts w:hint="eastAsia" w:hAnsi="宋体"/>
          <w:color w:val="000000" w:themeColor="text1"/>
        </w:rPr>
        <w:t>。</w:t>
      </w:r>
    </w:p>
    <w:p w14:paraId="41C7E4E9">
      <w:pPr>
        <w:pStyle w:val="223"/>
        <w:ind w:left="420" w:hanging="420" w:hangingChars="200"/>
        <w:rPr>
          <w:rFonts w:ascii="黑体" w:hAnsi="黑体" w:eastAsia="黑体"/>
        </w:rPr>
      </w:pPr>
    </w:p>
    <w:p w14:paraId="50308775">
      <w:pPr>
        <w:pStyle w:val="223"/>
        <w:numPr>
          <w:ilvl w:val="0"/>
          <w:numId w:val="0"/>
        </w:numPr>
        <w:ind w:left="42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锯切用无节</w:t>
      </w:r>
      <w:r>
        <w:rPr>
          <w:rFonts w:hint="eastAsia" w:ascii="黑体" w:hAnsi="黑体" w:eastAsia="黑体"/>
          <w:color w:val="000000" w:themeColor="text1"/>
          <w:lang w:val="en-US" w:eastAsia="zh-CN"/>
          <w14:textFill>
            <w14:solidFill>
              <w14:schemeClr w14:val="tx1"/>
            </w14:solidFill>
          </w14:textFill>
        </w:rPr>
        <w:t xml:space="preserve">材  </w:t>
      </w:r>
      <w:r>
        <w:rPr>
          <w:rFonts w:hint="eastAsia" w:ascii="黑体" w:hAnsi="黑体" w:eastAsia="黑体"/>
          <w:color w:val="000000" w:themeColor="text1"/>
          <w14:textFill>
            <w14:solidFill>
              <w14:schemeClr w14:val="tx1"/>
            </w14:solidFill>
          </w14:textFill>
        </w:rPr>
        <w:t>ripping clear wood</w:t>
      </w:r>
    </w:p>
    <w:p w14:paraId="7ED8D56C">
      <w:pPr>
        <w:pStyle w:val="56"/>
        <w:ind w:firstLine="420"/>
      </w:pPr>
      <w:r>
        <w:rPr>
          <w:rFonts w:hint="eastAsia"/>
        </w:rPr>
        <w:t>用于规格锯材加工的无节原木。</w:t>
      </w:r>
    </w:p>
    <w:p w14:paraId="5E8D179B">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旋切用无节</w:t>
      </w:r>
      <w:r>
        <w:rPr>
          <w:rFonts w:hint="eastAsia" w:ascii="黑体" w:hAnsi="黑体" w:eastAsia="黑体"/>
          <w:lang w:val="en-US" w:eastAsia="zh-CN"/>
        </w:rPr>
        <w:t xml:space="preserve">材  </w:t>
      </w:r>
      <w:r>
        <w:rPr>
          <w:rFonts w:hint="eastAsia" w:ascii="黑体" w:hAnsi="黑体" w:eastAsia="黑体"/>
        </w:rPr>
        <w:t>clear wood of peeled veneer</w:t>
      </w:r>
    </w:p>
    <w:p w14:paraId="6A04E080">
      <w:pPr>
        <w:pStyle w:val="56"/>
        <w:ind w:firstLine="420"/>
        <w:rPr>
          <w:rFonts w:hAnsi="宋体"/>
          <w:color w:val="000000"/>
        </w:rPr>
      </w:pPr>
      <w:r>
        <w:rPr>
          <w:rFonts w:hint="eastAsia" w:hAnsi="宋体"/>
          <w:color w:val="000000"/>
        </w:rPr>
        <w:t>用于生产旋切单板的无节原木。</w:t>
      </w:r>
    </w:p>
    <w:p w14:paraId="697E257A">
      <w:pPr>
        <w:pStyle w:val="223"/>
        <w:ind w:left="420" w:hanging="420" w:hangingChars="200"/>
        <w:rPr>
          <w:rFonts w:ascii="黑体" w:hAnsi="黑体" w:eastAsia="黑体"/>
        </w:rPr>
      </w:pPr>
    </w:p>
    <w:p w14:paraId="69692B20">
      <w:pPr>
        <w:pStyle w:val="223"/>
        <w:numPr>
          <w:ilvl w:val="0"/>
          <w:numId w:val="0"/>
        </w:numPr>
        <w:ind w:left="420"/>
        <w:rPr>
          <w:rFonts w:ascii="黑体" w:hAnsi="黑体" w:eastAsia="黑体"/>
        </w:rPr>
      </w:pPr>
      <w:r>
        <w:rPr>
          <w:rFonts w:hint="eastAsia" w:ascii="黑体" w:hAnsi="黑体" w:eastAsia="黑体"/>
        </w:rPr>
        <w:t>刨切用无节材</w:t>
      </w:r>
      <w:r>
        <w:rPr>
          <w:rFonts w:hint="eastAsia" w:ascii="黑体" w:hAnsi="黑体" w:eastAsia="黑体"/>
          <w:lang w:val="en-US" w:eastAsia="zh-CN"/>
        </w:rPr>
        <w:t xml:space="preserve">  </w:t>
      </w:r>
      <w:r>
        <w:rPr>
          <w:rFonts w:hint="eastAsia" w:ascii="黑体" w:hAnsi="黑体" w:eastAsia="黑体"/>
        </w:rPr>
        <w:t>clear wood of sliced veneer</w:t>
      </w:r>
    </w:p>
    <w:p w14:paraId="4FCED4FE">
      <w:pPr>
        <w:pStyle w:val="56"/>
        <w:ind w:firstLine="420"/>
        <w:rPr>
          <w:rFonts w:hAnsi="宋体"/>
          <w:color w:val="000000"/>
        </w:rPr>
      </w:pPr>
      <w:r>
        <w:rPr>
          <w:rFonts w:hint="eastAsia" w:hAnsi="宋体"/>
          <w:color w:val="000000"/>
        </w:rPr>
        <w:t>用于生产刨切薄木的无节原木。</w:t>
      </w:r>
    </w:p>
    <w:p w14:paraId="011A4001">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木材质量</w:t>
      </w:r>
      <w:r>
        <w:rPr>
          <w:rFonts w:hint="eastAsia" w:ascii="黑体" w:hAnsi="黑体" w:eastAsia="黑体"/>
          <w:lang w:val="en-US" w:eastAsia="zh-CN"/>
        </w:rPr>
        <w:t xml:space="preserve">  </w:t>
      </w:r>
      <w:r>
        <w:rPr>
          <w:rFonts w:hint="eastAsia" w:ascii="黑体" w:hAnsi="黑体" w:eastAsia="黑体"/>
        </w:rPr>
        <w:t>timber quality</w:t>
      </w:r>
    </w:p>
    <w:p w14:paraId="3E90967E">
      <w:pPr>
        <w:pStyle w:val="56"/>
        <w:ind w:firstLine="420"/>
      </w:pPr>
      <w:r>
        <w:rPr>
          <w:rFonts w:hint="eastAsia" w:hAnsi="宋体"/>
        </w:rPr>
        <w:t>影响木材最终使用的材质指标。</w:t>
      </w:r>
    </w:p>
    <w:p w14:paraId="2809C00C">
      <w:pPr>
        <w:pStyle w:val="104"/>
        <w:spacing w:before="240" w:after="240"/>
        <w:rPr>
          <w:szCs w:val="21"/>
        </w:rPr>
      </w:pPr>
      <w:r>
        <w:rPr>
          <w:rFonts w:hint="eastAsia"/>
          <w:szCs w:val="21"/>
        </w:rPr>
        <w:t>分类</w:t>
      </w:r>
    </w:p>
    <w:p w14:paraId="1FB95CD5">
      <w:pPr>
        <w:pStyle w:val="105"/>
        <w:keepNext w:val="0"/>
        <w:keepLines w:val="0"/>
        <w:pageBreakBefore w:val="0"/>
        <w:widowControl/>
        <w:numPr>
          <w:ilvl w:val="0"/>
          <w:numId w:val="0"/>
        </w:numPr>
        <w:kinsoku/>
        <w:wordWrap/>
        <w:overflowPunct/>
        <w:topLinePunct w:val="0"/>
        <w:autoSpaceDE/>
        <w:autoSpaceDN/>
        <w:bidi w:val="0"/>
        <w:adjustRightInd/>
        <w:snapToGrid/>
        <w:spacing w:beforeLines="0" w:afterLines="0"/>
        <w:ind w:left="420"/>
        <w:jc w:val="left"/>
        <w:textAlignment w:val="auto"/>
        <w:rPr>
          <w:rFonts w:ascii="宋体" w:hAnsi="宋体" w:eastAsia="宋体"/>
          <w:color w:val="000000" w:themeColor="text1"/>
          <w:kern w:val="21"/>
          <w14:textFill>
            <w14:solidFill>
              <w14:schemeClr w14:val="tx1"/>
            </w14:solidFill>
          </w14:textFill>
        </w:rPr>
      </w:pPr>
      <w:r>
        <w:rPr>
          <w:rFonts w:hint="eastAsia" w:ascii="宋体" w:hAnsi="宋体" w:eastAsia="宋体"/>
          <w:color w:val="000000" w:themeColor="text1"/>
          <w:kern w:val="21"/>
          <w14:textFill>
            <w14:solidFill>
              <w14:schemeClr w14:val="tx1"/>
            </w14:solidFill>
          </w14:textFill>
        </w:rPr>
        <w:t>无节材分成3类：</w:t>
      </w:r>
    </w:p>
    <w:p w14:paraId="3420FD7F">
      <w:pPr>
        <w:pStyle w:val="105"/>
        <w:keepNext w:val="0"/>
        <w:keepLines w:val="0"/>
        <w:pageBreakBefore w:val="0"/>
        <w:widowControl/>
        <w:numPr>
          <w:ilvl w:val="0"/>
          <w:numId w:val="0"/>
        </w:numPr>
        <w:kinsoku/>
        <w:wordWrap/>
        <w:overflowPunct/>
        <w:topLinePunct w:val="0"/>
        <w:autoSpaceDE/>
        <w:autoSpaceDN/>
        <w:bidi w:val="0"/>
        <w:adjustRightInd/>
        <w:snapToGrid/>
        <w:spacing w:beforeLines="0" w:afterLines="0"/>
        <w:ind w:firstLine="420" w:firstLineChars="200"/>
        <w:jc w:val="left"/>
        <w:textAlignment w:val="auto"/>
        <w:rPr>
          <w:rFonts w:ascii="宋体" w:hAnsi="宋体" w:eastAsia="宋体"/>
          <w:color w:val="000000" w:themeColor="text1"/>
          <w:kern w:val="21"/>
          <w14:textFill>
            <w14:solidFill>
              <w14:schemeClr w14:val="tx1"/>
            </w14:solidFill>
          </w14:textFill>
        </w:rPr>
      </w:pPr>
      <w:r>
        <w:rPr>
          <w:rFonts w:hint="eastAsia" w:ascii="微软雅黑" w:hAnsi="微软雅黑" w:eastAsia="微软雅黑" w:cs="微软雅黑"/>
          <w:color w:val="000000" w:themeColor="text1"/>
          <w:kern w:val="21"/>
          <w14:textFill>
            <w14:solidFill>
              <w14:schemeClr w14:val="tx1"/>
            </w14:solidFill>
          </w14:textFill>
        </w:rPr>
        <w:t xml:space="preserve">— </w:t>
      </w:r>
      <w:r>
        <w:rPr>
          <w:rFonts w:hint="eastAsia" w:ascii="宋体" w:hAnsi="宋体" w:eastAsia="宋体"/>
          <w:color w:val="000000" w:themeColor="text1"/>
          <w:kern w:val="21"/>
          <w14:textFill>
            <w14:solidFill>
              <w14:schemeClr w14:val="tx1"/>
            </w14:solidFill>
          </w14:textFill>
        </w:rPr>
        <w:t>锯切用无节材；</w:t>
      </w:r>
    </w:p>
    <w:p w14:paraId="068CD41A">
      <w:pPr>
        <w:pStyle w:val="105"/>
        <w:keepNext w:val="0"/>
        <w:keepLines w:val="0"/>
        <w:pageBreakBefore w:val="0"/>
        <w:widowControl/>
        <w:numPr>
          <w:ilvl w:val="0"/>
          <w:numId w:val="0"/>
        </w:numPr>
        <w:kinsoku/>
        <w:wordWrap/>
        <w:overflowPunct/>
        <w:topLinePunct w:val="0"/>
        <w:autoSpaceDE/>
        <w:autoSpaceDN/>
        <w:bidi w:val="0"/>
        <w:adjustRightInd/>
        <w:snapToGrid/>
        <w:spacing w:beforeLines="0" w:afterLines="0"/>
        <w:ind w:left="420"/>
        <w:jc w:val="left"/>
        <w:textAlignment w:val="auto"/>
        <w:rPr>
          <w:rFonts w:ascii="宋体" w:hAnsi="宋体" w:eastAsia="宋体"/>
          <w:color w:val="000000" w:themeColor="text1"/>
          <w:kern w:val="21"/>
          <w14:textFill>
            <w14:solidFill>
              <w14:schemeClr w14:val="tx1"/>
            </w14:solidFill>
          </w14:textFill>
        </w:rPr>
      </w:pPr>
      <w:r>
        <w:rPr>
          <w:rFonts w:hint="eastAsia" w:ascii="微软雅黑" w:hAnsi="微软雅黑" w:eastAsia="微软雅黑" w:cs="微软雅黑"/>
          <w:color w:val="000000" w:themeColor="text1"/>
          <w:kern w:val="21"/>
          <w14:textFill>
            <w14:solidFill>
              <w14:schemeClr w14:val="tx1"/>
            </w14:solidFill>
          </w14:textFill>
        </w:rPr>
        <w:t xml:space="preserve">— </w:t>
      </w:r>
      <w:r>
        <w:rPr>
          <w:rFonts w:hint="eastAsia" w:ascii="宋体" w:hAnsi="宋体" w:eastAsia="宋体"/>
          <w:color w:val="000000" w:themeColor="text1"/>
          <w:kern w:val="21"/>
          <w14:textFill>
            <w14:solidFill>
              <w14:schemeClr w14:val="tx1"/>
            </w14:solidFill>
          </w14:textFill>
        </w:rPr>
        <w:t>旋切用无节材；</w:t>
      </w:r>
    </w:p>
    <w:p w14:paraId="239EF98E">
      <w:pPr>
        <w:pStyle w:val="105"/>
        <w:keepNext w:val="0"/>
        <w:keepLines w:val="0"/>
        <w:pageBreakBefore w:val="0"/>
        <w:widowControl/>
        <w:numPr>
          <w:ilvl w:val="0"/>
          <w:numId w:val="0"/>
        </w:numPr>
        <w:kinsoku/>
        <w:wordWrap/>
        <w:overflowPunct/>
        <w:topLinePunct w:val="0"/>
        <w:autoSpaceDE/>
        <w:autoSpaceDN/>
        <w:bidi w:val="0"/>
        <w:adjustRightInd/>
        <w:snapToGrid/>
        <w:spacing w:beforeLines="0" w:afterLines="0"/>
        <w:ind w:firstLine="420" w:firstLineChars="200"/>
        <w:jc w:val="left"/>
        <w:textAlignment w:val="auto"/>
        <w:rPr>
          <w:rFonts w:ascii="宋体" w:hAnsi="宋体" w:eastAsia="宋体"/>
          <w:color w:val="000000" w:themeColor="text1"/>
          <w:kern w:val="21"/>
          <w14:textFill>
            <w14:solidFill>
              <w14:schemeClr w14:val="tx1"/>
            </w14:solidFill>
          </w14:textFill>
        </w:rPr>
      </w:pPr>
      <w:r>
        <w:rPr>
          <w:rFonts w:hint="eastAsia" w:ascii="微软雅黑" w:hAnsi="微软雅黑" w:eastAsia="微软雅黑" w:cs="微软雅黑"/>
          <w:color w:val="000000" w:themeColor="text1"/>
          <w:kern w:val="21"/>
          <w14:textFill>
            <w14:solidFill>
              <w14:schemeClr w14:val="tx1"/>
            </w14:solidFill>
          </w14:textFill>
        </w:rPr>
        <w:t xml:space="preserve">— </w:t>
      </w:r>
      <w:r>
        <w:rPr>
          <w:rFonts w:hint="eastAsia" w:ascii="宋体" w:hAnsi="宋体" w:eastAsia="宋体"/>
          <w:color w:val="000000" w:themeColor="text1"/>
          <w:kern w:val="21"/>
          <w14:textFill>
            <w14:solidFill>
              <w14:schemeClr w14:val="tx1"/>
            </w14:solidFill>
          </w14:textFill>
        </w:rPr>
        <w:t>刨切用无节材。</w:t>
      </w:r>
    </w:p>
    <w:p w14:paraId="42C22F22">
      <w:pPr>
        <w:pStyle w:val="104"/>
        <w:spacing w:before="240" w:after="240"/>
      </w:pPr>
      <w:r>
        <w:rPr>
          <w:rFonts w:hint="eastAsia"/>
        </w:rPr>
        <w:t>要求</w:t>
      </w:r>
    </w:p>
    <w:p w14:paraId="4909085C">
      <w:pPr>
        <w:pStyle w:val="105"/>
        <w:spacing w:before="120" w:after="120"/>
      </w:pPr>
      <w:r>
        <w:rPr>
          <w:rFonts w:hint="eastAsia"/>
        </w:rPr>
        <w:t>树种</w:t>
      </w:r>
    </w:p>
    <w:p w14:paraId="7ACBE317">
      <w:pPr>
        <w:widowControl/>
        <w:snapToGrid w:val="0"/>
        <w:spacing w:beforeLines="50" w:afterLines="50" w:line="240" w:lineRule="auto"/>
        <w:ind w:left="420" w:firstLine="420"/>
        <w:jc w:val="center"/>
        <w:textAlignment w:val="baseline"/>
        <w:rPr>
          <w:rFonts w:ascii="黑体" w:hAnsi="黑体" w:eastAsia="黑体" w:cs="宋体"/>
          <w:kern w:val="21"/>
        </w:rPr>
      </w:pPr>
      <w:r>
        <w:rPr>
          <w:rFonts w:hint="eastAsia" w:ascii="黑体" w:hAnsi="黑体" w:eastAsia="黑体" w:cs="宋体"/>
          <w:kern w:val="21"/>
        </w:rPr>
        <w:t>表1  桉树无节材主要造林树（品）种及适生区</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78"/>
        <w:gridCol w:w="2693"/>
        <w:gridCol w:w="1559"/>
        <w:gridCol w:w="2960"/>
      </w:tblGrid>
      <w:tr w14:paraId="782ED3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78" w:type="dxa"/>
            <w:tcBorders>
              <w:top w:val="single" w:color="auto" w:sz="8" w:space="0"/>
              <w:left w:val="single" w:color="auto" w:sz="8" w:space="0"/>
              <w:bottom w:val="single" w:color="auto" w:sz="8" w:space="0"/>
              <w:right w:val="single" w:color="auto" w:sz="4" w:space="0"/>
            </w:tcBorders>
            <w:vAlign w:val="center"/>
          </w:tcPr>
          <w:p w14:paraId="0DB497E3">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树种</w:t>
            </w:r>
          </w:p>
        </w:tc>
        <w:tc>
          <w:tcPr>
            <w:tcW w:w="2693" w:type="dxa"/>
            <w:tcBorders>
              <w:top w:val="single" w:color="auto" w:sz="8" w:space="0"/>
              <w:left w:val="single" w:color="auto" w:sz="4" w:space="0"/>
              <w:bottom w:val="single" w:color="auto" w:sz="8" w:space="0"/>
              <w:right w:val="single" w:color="auto" w:sz="4" w:space="0"/>
            </w:tcBorders>
            <w:vAlign w:val="center"/>
          </w:tcPr>
          <w:p w14:paraId="55C70FD2">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拉丁学名</w:t>
            </w:r>
          </w:p>
        </w:tc>
        <w:tc>
          <w:tcPr>
            <w:tcW w:w="1559" w:type="dxa"/>
            <w:tcBorders>
              <w:top w:val="single" w:color="auto" w:sz="8" w:space="0"/>
              <w:left w:val="single" w:color="auto" w:sz="4" w:space="0"/>
              <w:bottom w:val="single" w:color="auto" w:sz="8" w:space="0"/>
              <w:right w:val="single" w:color="auto" w:sz="4" w:space="0"/>
            </w:tcBorders>
            <w:vAlign w:val="center"/>
          </w:tcPr>
          <w:p w14:paraId="4C3C42D2">
            <w:pPr>
              <w:widowControl/>
              <w:autoSpaceDE w:val="0"/>
              <w:autoSpaceDN w:val="0"/>
              <w:adjustRightInd/>
              <w:spacing w:line="240" w:lineRule="auto"/>
              <w:jc w:val="center"/>
              <w:rPr>
                <w:rFonts w:ascii="宋体" w:hAnsi="宋体"/>
                <w:color w:val="000000"/>
                <w:kern w:val="0"/>
                <w:sz w:val="18"/>
                <w:szCs w:val="18"/>
              </w:rPr>
            </w:pPr>
            <w:r>
              <w:rPr>
                <w:rFonts w:hint="eastAsia" w:ascii="宋体" w:hAnsi="宋体"/>
                <w:color w:val="000000"/>
                <w:kern w:val="0"/>
                <w:sz w:val="18"/>
                <w:szCs w:val="18"/>
              </w:rPr>
              <w:t>适生区</w:t>
            </w:r>
          </w:p>
        </w:tc>
        <w:tc>
          <w:tcPr>
            <w:tcW w:w="2960" w:type="dxa"/>
            <w:tcBorders>
              <w:top w:val="single" w:color="auto" w:sz="8" w:space="0"/>
              <w:left w:val="single" w:color="auto" w:sz="4" w:space="0"/>
              <w:bottom w:val="single" w:color="auto" w:sz="8" w:space="0"/>
              <w:right w:val="single" w:color="auto" w:sz="8" w:space="0"/>
            </w:tcBorders>
          </w:tcPr>
          <w:p w14:paraId="61424291">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适宜的培育目标及用途</w:t>
            </w:r>
          </w:p>
        </w:tc>
      </w:tr>
      <w:tr w14:paraId="21C79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78" w:type="dxa"/>
            <w:tcBorders>
              <w:top w:val="single" w:color="auto" w:sz="8" w:space="0"/>
              <w:left w:val="single" w:color="auto" w:sz="8" w:space="0"/>
              <w:bottom w:val="single" w:color="auto" w:sz="4" w:space="0"/>
              <w:right w:val="single" w:color="auto" w:sz="4" w:space="0"/>
            </w:tcBorders>
            <w:vAlign w:val="center"/>
          </w:tcPr>
          <w:p w14:paraId="18C62E42">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尾巨桉</w:t>
            </w:r>
          </w:p>
        </w:tc>
        <w:tc>
          <w:tcPr>
            <w:tcW w:w="2693" w:type="dxa"/>
            <w:tcBorders>
              <w:top w:val="single" w:color="auto" w:sz="8" w:space="0"/>
              <w:left w:val="single" w:color="auto" w:sz="4" w:space="0"/>
              <w:bottom w:val="single" w:color="auto" w:sz="4" w:space="0"/>
              <w:right w:val="single" w:color="auto" w:sz="4" w:space="0"/>
            </w:tcBorders>
            <w:vAlign w:val="center"/>
          </w:tcPr>
          <w:p w14:paraId="42807662">
            <w:pPr>
              <w:widowControl/>
              <w:tabs>
                <w:tab w:val="center" w:pos="4201"/>
                <w:tab w:val="right" w:leader="dot" w:pos="9298"/>
              </w:tabs>
              <w:autoSpaceDE w:val="0"/>
              <w:autoSpaceDN w:val="0"/>
              <w:adjustRightInd/>
              <w:spacing w:line="240" w:lineRule="auto"/>
              <w:jc w:val="center"/>
              <w:rPr>
                <w:rFonts w:ascii="宋体" w:hAnsi="宋体"/>
                <w:i/>
                <w:kern w:val="0"/>
                <w:sz w:val="18"/>
                <w:szCs w:val="18"/>
              </w:rPr>
            </w:pPr>
            <w:r>
              <w:rPr>
                <w:rFonts w:hint="eastAsia" w:ascii="宋体" w:hAnsi="宋体"/>
                <w:i/>
                <w:kern w:val="0"/>
                <w:sz w:val="18"/>
                <w:szCs w:val="18"/>
              </w:rPr>
              <w:t>Eucalyptus urophylla</w:t>
            </w:r>
          </w:p>
          <w:p w14:paraId="5E2FCD7D">
            <w:pPr>
              <w:widowControl/>
              <w:tabs>
                <w:tab w:val="center" w:pos="4201"/>
                <w:tab w:val="right" w:leader="dot" w:pos="9298"/>
              </w:tabs>
              <w:autoSpaceDE w:val="0"/>
              <w:autoSpaceDN w:val="0"/>
              <w:adjustRightInd/>
              <w:spacing w:line="240" w:lineRule="auto"/>
              <w:jc w:val="center"/>
              <w:rPr>
                <w:rFonts w:ascii="宋体" w:hAnsi="宋体"/>
                <w:i/>
                <w:kern w:val="0"/>
                <w:sz w:val="18"/>
                <w:szCs w:val="18"/>
              </w:rPr>
            </w:pPr>
            <w:r>
              <w:rPr>
                <w:rFonts w:hint="eastAsia" w:ascii="宋体" w:hAnsi="宋体"/>
                <w:kern w:val="0"/>
                <w:sz w:val="18"/>
                <w:szCs w:val="18"/>
              </w:rPr>
              <w:t>×</w:t>
            </w:r>
            <w:r>
              <w:rPr>
                <w:rFonts w:hint="eastAsia" w:ascii="宋体" w:hAnsi="宋体"/>
                <w:i/>
                <w:kern w:val="0"/>
                <w:sz w:val="18"/>
                <w:szCs w:val="18"/>
              </w:rPr>
              <w:t>E.grandis</w:t>
            </w:r>
          </w:p>
        </w:tc>
        <w:tc>
          <w:tcPr>
            <w:tcW w:w="1559" w:type="dxa"/>
            <w:tcBorders>
              <w:top w:val="single" w:color="auto" w:sz="8" w:space="0"/>
              <w:left w:val="single" w:color="auto" w:sz="4" w:space="0"/>
              <w:bottom w:val="single" w:color="auto" w:sz="4" w:space="0"/>
              <w:right w:val="single" w:color="auto" w:sz="4" w:space="0"/>
            </w:tcBorders>
            <w:vAlign w:val="center"/>
          </w:tcPr>
          <w:p w14:paraId="77F45B69">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桂南地区</w:t>
            </w:r>
          </w:p>
        </w:tc>
        <w:tc>
          <w:tcPr>
            <w:tcW w:w="2960" w:type="dxa"/>
            <w:tcBorders>
              <w:top w:val="single" w:color="auto" w:sz="8" w:space="0"/>
              <w:left w:val="single" w:color="auto" w:sz="4" w:space="0"/>
              <w:bottom w:val="single" w:color="auto" w:sz="4" w:space="0"/>
              <w:right w:val="single" w:color="auto" w:sz="8" w:space="0"/>
            </w:tcBorders>
            <w:vAlign w:val="center"/>
          </w:tcPr>
          <w:p w14:paraId="1C0ED777">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小径级材、中径级材</w:t>
            </w:r>
          </w:p>
          <w:p w14:paraId="49D44024">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旋切单板材</w:t>
            </w:r>
          </w:p>
        </w:tc>
      </w:tr>
      <w:tr w14:paraId="26B3A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78" w:type="dxa"/>
            <w:tcBorders>
              <w:top w:val="single" w:color="auto" w:sz="4" w:space="0"/>
              <w:left w:val="single" w:color="auto" w:sz="8" w:space="0"/>
              <w:bottom w:val="single" w:color="auto" w:sz="4" w:space="0"/>
              <w:right w:val="single" w:color="auto" w:sz="4" w:space="0"/>
            </w:tcBorders>
            <w:vAlign w:val="center"/>
          </w:tcPr>
          <w:p w14:paraId="1D6DF839">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巨尾桉</w:t>
            </w:r>
          </w:p>
        </w:tc>
        <w:tc>
          <w:tcPr>
            <w:tcW w:w="2693" w:type="dxa"/>
            <w:tcBorders>
              <w:top w:val="single" w:color="auto" w:sz="4" w:space="0"/>
              <w:left w:val="single" w:color="auto" w:sz="4" w:space="0"/>
              <w:bottom w:val="single" w:color="auto" w:sz="4" w:space="0"/>
              <w:right w:val="single" w:color="auto" w:sz="4" w:space="0"/>
            </w:tcBorders>
            <w:vAlign w:val="center"/>
          </w:tcPr>
          <w:p w14:paraId="4B48459B">
            <w:pPr>
              <w:widowControl/>
              <w:tabs>
                <w:tab w:val="center" w:pos="4201"/>
                <w:tab w:val="right" w:leader="dot" w:pos="9298"/>
              </w:tabs>
              <w:autoSpaceDE w:val="0"/>
              <w:autoSpaceDN w:val="0"/>
              <w:adjustRightInd/>
              <w:spacing w:line="240" w:lineRule="auto"/>
              <w:jc w:val="center"/>
              <w:rPr>
                <w:rFonts w:ascii="宋体" w:hAnsi="宋体"/>
                <w:i/>
                <w:kern w:val="0"/>
                <w:sz w:val="18"/>
                <w:szCs w:val="18"/>
              </w:rPr>
            </w:pPr>
            <w:r>
              <w:rPr>
                <w:rFonts w:hint="eastAsia" w:ascii="宋体" w:hAnsi="宋体"/>
                <w:i/>
                <w:kern w:val="0"/>
                <w:sz w:val="18"/>
                <w:szCs w:val="18"/>
              </w:rPr>
              <w:t>Eucalyptus grandis</w:t>
            </w:r>
          </w:p>
          <w:p w14:paraId="6541211B">
            <w:pPr>
              <w:widowControl/>
              <w:tabs>
                <w:tab w:val="center" w:pos="4201"/>
                <w:tab w:val="right" w:leader="dot" w:pos="9298"/>
              </w:tabs>
              <w:autoSpaceDE w:val="0"/>
              <w:autoSpaceDN w:val="0"/>
              <w:adjustRightInd/>
              <w:spacing w:line="240" w:lineRule="auto"/>
              <w:jc w:val="center"/>
              <w:rPr>
                <w:rFonts w:ascii="宋体" w:hAnsi="宋体"/>
                <w:i/>
                <w:kern w:val="0"/>
                <w:sz w:val="18"/>
                <w:szCs w:val="18"/>
              </w:rPr>
            </w:pPr>
            <w:r>
              <w:rPr>
                <w:rFonts w:hint="eastAsia" w:ascii="宋体" w:hAnsi="宋体"/>
                <w:kern w:val="0"/>
                <w:sz w:val="18"/>
                <w:szCs w:val="18"/>
              </w:rPr>
              <w:t>×</w:t>
            </w:r>
            <w:r>
              <w:rPr>
                <w:rFonts w:hint="eastAsia" w:ascii="宋体" w:hAnsi="宋体"/>
                <w:i/>
                <w:kern w:val="0"/>
                <w:sz w:val="18"/>
                <w:szCs w:val="18"/>
              </w:rPr>
              <w:t>E. urophylla</w:t>
            </w:r>
          </w:p>
        </w:tc>
        <w:tc>
          <w:tcPr>
            <w:tcW w:w="1559" w:type="dxa"/>
            <w:tcBorders>
              <w:top w:val="single" w:color="auto" w:sz="4" w:space="0"/>
              <w:left w:val="single" w:color="auto" w:sz="4" w:space="0"/>
              <w:bottom w:val="single" w:color="auto" w:sz="4" w:space="0"/>
              <w:right w:val="single" w:color="auto" w:sz="4" w:space="0"/>
            </w:tcBorders>
            <w:vAlign w:val="center"/>
          </w:tcPr>
          <w:p w14:paraId="634093D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桂南地区</w:t>
            </w:r>
          </w:p>
        </w:tc>
        <w:tc>
          <w:tcPr>
            <w:tcW w:w="2960" w:type="dxa"/>
            <w:tcBorders>
              <w:top w:val="single" w:color="auto" w:sz="4" w:space="0"/>
              <w:left w:val="single" w:color="auto" w:sz="4" w:space="0"/>
              <w:bottom w:val="single" w:color="auto" w:sz="4" w:space="0"/>
              <w:right w:val="single" w:color="auto" w:sz="8" w:space="0"/>
            </w:tcBorders>
            <w:vAlign w:val="center"/>
          </w:tcPr>
          <w:p w14:paraId="457BD148">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小径级材、中径级材</w:t>
            </w:r>
          </w:p>
          <w:p w14:paraId="3F73D396">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旋切单板材</w:t>
            </w:r>
          </w:p>
        </w:tc>
      </w:tr>
      <w:tr w14:paraId="7521E1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78" w:type="dxa"/>
            <w:tcBorders>
              <w:top w:val="single" w:color="auto" w:sz="4" w:space="0"/>
              <w:left w:val="single" w:color="auto" w:sz="8" w:space="0"/>
              <w:bottom w:val="single" w:color="auto" w:sz="4" w:space="0"/>
              <w:right w:val="single" w:color="auto" w:sz="4" w:space="0"/>
            </w:tcBorders>
            <w:vAlign w:val="center"/>
          </w:tcPr>
          <w:p w14:paraId="48266CAD">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尾叶桉</w:t>
            </w:r>
          </w:p>
        </w:tc>
        <w:tc>
          <w:tcPr>
            <w:tcW w:w="2693" w:type="dxa"/>
            <w:tcBorders>
              <w:top w:val="single" w:color="auto" w:sz="4" w:space="0"/>
              <w:left w:val="single" w:color="auto" w:sz="4" w:space="0"/>
              <w:bottom w:val="single" w:color="auto" w:sz="4" w:space="0"/>
              <w:right w:val="single" w:color="auto" w:sz="4" w:space="0"/>
            </w:tcBorders>
            <w:vAlign w:val="center"/>
          </w:tcPr>
          <w:p w14:paraId="7BB2B182">
            <w:pPr>
              <w:widowControl/>
              <w:tabs>
                <w:tab w:val="center" w:pos="4201"/>
                <w:tab w:val="right" w:leader="dot" w:pos="9298"/>
              </w:tabs>
              <w:autoSpaceDE w:val="0"/>
              <w:autoSpaceDN w:val="0"/>
              <w:adjustRightInd/>
              <w:spacing w:line="240" w:lineRule="auto"/>
              <w:jc w:val="center"/>
              <w:rPr>
                <w:rFonts w:ascii="宋体" w:hAnsi="宋体"/>
                <w:i/>
                <w:kern w:val="0"/>
                <w:sz w:val="18"/>
                <w:szCs w:val="18"/>
              </w:rPr>
            </w:pPr>
            <w:r>
              <w:rPr>
                <w:rFonts w:hint="eastAsia" w:ascii="宋体" w:hAnsi="宋体"/>
                <w:i/>
                <w:kern w:val="0"/>
                <w:sz w:val="18"/>
                <w:szCs w:val="18"/>
              </w:rPr>
              <w:t>Eucalyptus urophylla</w:t>
            </w:r>
          </w:p>
        </w:tc>
        <w:tc>
          <w:tcPr>
            <w:tcW w:w="1559" w:type="dxa"/>
            <w:tcBorders>
              <w:top w:val="single" w:color="auto" w:sz="4" w:space="0"/>
              <w:left w:val="single" w:color="auto" w:sz="4" w:space="0"/>
              <w:bottom w:val="single" w:color="auto" w:sz="4" w:space="0"/>
              <w:right w:val="single" w:color="auto" w:sz="4" w:space="0"/>
            </w:tcBorders>
            <w:vAlign w:val="center"/>
          </w:tcPr>
          <w:p w14:paraId="47C4B5C2">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桂南、桂中地区</w:t>
            </w:r>
          </w:p>
        </w:tc>
        <w:tc>
          <w:tcPr>
            <w:tcW w:w="2960" w:type="dxa"/>
            <w:tcBorders>
              <w:top w:val="single" w:color="auto" w:sz="4" w:space="0"/>
              <w:left w:val="single" w:color="auto" w:sz="4" w:space="0"/>
              <w:bottom w:val="single" w:color="auto" w:sz="4" w:space="0"/>
              <w:right w:val="single" w:color="auto" w:sz="8" w:space="0"/>
            </w:tcBorders>
            <w:vAlign w:val="center"/>
          </w:tcPr>
          <w:p w14:paraId="20829667">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小径级材、中径级材、大径级材</w:t>
            </w:r>
          </w:p>
          <w:p w14:paraId="5A91A0B3">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旋切单板材、锯材</w:t>
            </w:r>
          </w:p>
        </w:tc>
      </w:tr>
      <w:tr w14:paraId="00AF07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78" w:type="dxa"/>
            <w:tcBorders>
              <w:top w:val="single" w:color="auto" w:sz="4" w:space="0"/>
              <w:left w:val="single" w:color="auto" w:sz="8" w:space="0"/>
              <w:bottom w:val="single" w:color="auto" w:sz="4" w:space="0"/>
              <w:right w:val="single" w:color="auto" w:sz="4" w:space="0"/>
            </w:tcBorders>
            <w:vAlign w:val="center"/>
          </w:tcPr>
          <w:p w14:paraId="0F670FB2">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尾赤桉</w:t>
            </w:r>
          </w:p>
        </w:tc>
        <w:tc>
          <w:tcPr>
            <w:tcW w:w="2693" w:type="dxa"/>
            <w:tcBorders>
              <w:top w:val="single" w:color="auto" w:sz="4" w:space="0"/>
              <w:left w:val="single" w:color="auto" w:sz="4" w:space="0"/>
              <w:bottom w:val="single" w:color="auto" w:sz="4" w:space="0"/>
              <w:right w:val="single" w:color="auto" w:sz="4" w:space="0"/>
            </w:tcBorders>
            <w:vAlign w:val="center"/>
          </w:tcPr>
          <w:p w14:paraId="05D44059">
            <w:pPr>
              <w:widowControl/>
              <w:tabs>
                <w:tab w:val="center" w:pos="4201"/>
                <w:tab w:val="right" w:leader="dot" w:pos="9298"/>
              </w:tabs>
              <w:autoSpaceDE w:val="0"/>
              <w:autoSpaceDN w:val="0"/>
              <w:adjustRightInd/>
              <w:spacing w:line="240" w:lineRule="auto"/>
              <w:jc w:val="center"/>
              <w:rPr>
                <w:rFonts w:ascii="宋体" w:hAnsi="宋体"/>
                <w:i/>
                <w:kern w:val="0"/>
                <w:sz w:val="18"/>
                <w:szCs w:val="18"/>
              </w:rPr>
            </w:pPr>
            <w:r>
              <w:rPr>
                <w:rFonts w:hint="eastAsia" w:ascii="宋体" w:hAnsi="宋体"/>
                <w:i/>
                <w:kern w:val="0"/>
                <w:sz w:val="18"/>
                <w:szCs w:val="18"/>
              </w:rPr>
              <w:t>Eucalyptus urophylla</w:t>
            </w:r>
          </w:p>
          <w:p w14:paraId="4251F5C3">
            <w:pPr>
              <w:widowControl/>
              <w:tabs>
                <w:tab w:val="center" w:pos="4201"/>
                <w:tab w:val="right" w:leader="dot" w:pos="9298"/>
              </w:tabs>
              <w:autoSpaceDE w:val="0"/>
              <w:autoSpaceDN w:val="0"/>
              <w:adjustRightInd/>
              <w:spacing w:line="240" w:lineRule="auto"/>
              <w:jc w:val="center"/>
              <w:rPr>
                <w:rFonts w:ascii="宋体" w:hAnsi="宋体"/>
                <w:i/>
                <w:kern w:val="0"/>
                <w:sz w:val="18"/>
                <w:szCs w:val="18"/>
              </w:rPr>
            </w:pPr>
            <w:r>
              <w:rPr>
                <w:rFonts w:hint="eastAsia" w:ascii="宋体" w:hAnsi="宋体"/>
                <w:kern w:val="0"/>
                <w:sz w:val="18"/>
                <w:szCs w:val="18"/>
              </w:rPr>
              <w:t>×</w:t>
            </w:r>
            <w:r>
              <w:rPr>
                <w:rFonts w:hint="eastAsia" w:ascii="宋体" w:hAnsi="宋体"/>
                <w:i/>
                <w:kern w:val="0"/>
                <w:sz w:val="18"/>
                <w:szCs w:val="18"/>
              </w:rPr>
              <w:t>E.camaldulensis</w:t>
            </w:r>
          </w:p>
        </w:tc>
        <w:tc>
          <w:tcPr>
            <w:tcW w:w="1559" w:type="dxa"/>
            <w:tcBorders>
              <w:top w:val="single" w:color="auto" w:sz="4" w:space="0"/>
              <w:left w:val="single" w:color="auto" w:sz="4" w:space="0"/>
              <w:bottom w:val="single" w:color="auto" w:sz="4" w:space="0"/>
              <w:right w:val="single" w:color="auto" w:sz="4" w:space="0"/>
            </w:tcBorders>
            <w:vAlign w:val="center"/>
          </w:tcPr>
          <w:p w14:paraId="5864A778">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桂南、桂中地区</w:t>
            </w:r>
          </w:p>
        </w:tc>
        <w:tc>
          <w:tcPr>
            <w:tcW w:w="2960" w:type="dxa"/>
            <w:tcBorders>
              <w:top w:val="single" w:color="auto" w:sz="4" w:space="0"/>
              <w:left w:val="single" w:color="auto" w:sz="4" w:space="0"/>
              <w:bottom w:val="single" w:color="auto" w:sz="4" w:space="0"/>
              <w:right w:val="single" w:color="auto" w:sz="8" w:space="0"/>
            </w:tcBorders>
            <w:vAlign w:val="center"/>
          </w:tcPr>
          <w:p w14:paraId="4B0C7B79">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小径级材、中径级材</w:t>
            </w:r>
          </w:p>
          <w:p w14:paraId="59160159">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旋切单板材</w:t>
            </w:r>
          </w:p>
        </w:tc>
      </w:tr>
      <w:tr w14:paraId="270BCE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78" w:type="dxa"/>
            <w:tcBorders>
              <w:top w:val="single" w:color="auto" w:sz="4" w:space="0"/>
              <w:left w:val="single" w:color="auto" w:sz="8" w:space="0"/>
              <w:bottom w:val="single" w:color="auto" w:sz="4" w:space="0"/>
              <w:right w:val="single" w:color="auto" w:sz="4" w:space="0"/>
            </w:tcBorders>
            <w:vAlign w:val="center"/>
          </w:tcPr>
          <w:p w14:paraId="6552288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尾细桉</w:t>
            </w:r>
          </w:p>
        </w:tc>
        <w:tc>
          <w:tcPr>
            <w:tcW w:w="2693" w:type="dxa"/>
            <w:tcBorders>
              <w:top w:val="single" w:color="auto" w:sz="4" w:space="0"/>
              <w:left w:val="single" w:color="auto" w:sz="4" w:space="0"/>
              <w:bottom w:val="single" w:color="auto" w:sz="4" w:space="0"/>
              <w:right w:val="single" w:color="auto" w:sz="4" w:space="0"/>
            </w:tcBorders>
            <w:vAlign w:val="center"/>
          </w:tcPr>
          <w:p w14:paraId="08A44DB4">
            <w:pPr>
              <w:widowControl/>
              <w:tabs>
                <w:tab w:val="center" w:pos="4201"/>
                <w:tab w:val="right" w:leader="dot" w:pos="9298"/>
              </w:tabs>
              <w:autoSpaceDE w:val="0"/>
              <w:autoSpaceDN w:val="0"/>
              <w:adjustRightInd/>
              <w:spacing w:line="240" w:lineRule="auto"/>
              <w:jc w:val="center"/>
              <w:rPr>
                <w:rFonts w:ascii="宋体" w:hAnsi="宋体"/>
                <w:i/>
                <w:kern w:val="0"/>
                <w:sz w:val="18"/>
                <w:szCs w:val="18"/>
              </w:rPr>
            </w:pPr>
            <w:r>
              <w:rPr>
                <w:rFonts w:hint="eastAsia" w:ascii="宋体" w:hAnsi="宋体"/>
                <w:i/>
                <w:kern w:val="0"/>
                <w:sz w:val="18"/>
                <w:szCs w:val="18"/>
              </w:rPr>
              <w:t>Eucalyptus urophylla</w:t>
            </w:r>
          </w:p>
          <w:p w14:paraId="68EA5729">
            <w:pPr>
              <w:widowControl/>
              <w:tabs>
                <w:tab w:val="center" w:pos="4201"/>
                <w:tab w:val="right" w:leader="dot" w:pos="9298"/>
              </w:tabs>
              <w:autoSpaceDE w:val="0"/>
              <w:autoSpaceDN w:val="0"/>
              <w:adjustRightInd/>
              <w:spacing w:line="240" w:lineRule="auto"/>
              <w:jc w:val="center"/>
              <w:rPr>
                <w:rFonts w:ascii="宋体" w:hAnsi="宋体"/>
                <w:i/>
                <w:kern w:val="0"/>
                <w:sz w:val="18"/>
                <w:szCs w:val="18"/>
              </w:rPr>
            </w:pPr>
            <w:r>
              <w:rPr>
                <w:rFonts w:hint="eastAsia" w:ascii="宋体" w:hAnsi="宋体"/>
                <w:kern w:val="0"/>
                <w:sz w:val="18"/>
                <w:szCs w:val="18"/>
              </w:rPr>
              <w:t>×</w:t>
            </w:r>
            <w:r>
              <w:rPr>
                <w:rFonts w:hint="eastAsia" w:ascii="宋体" w:hAnsi="宋体"/>
                <w:i/>
                <w:kern w:val="0"/>
                <w:sz w:val="18"/>
                <w:szCs w:val="18"/>
              </w:rPr>
              <w:t>E.tereticornis</w:t>
            </w:r>
          </w:p>
        </w:tc>
        <w:tc>
          <w:tcPr>
            <w:tcW w:w="1559" w:type="dxa"/>
            <w:tcBorders>
              <w:top w:val="single" w:color="auto" w:sz="4" w:space="0"/>
              <w:left w:val="single" w:color="auto" w:sz="4" w:space="0"/>
              <w:bottom w:val="single" w:color="auto" w:sz="4" w:space="0"/>
              <w:right w:val="single" w:color="auto" w:sz="4" w:space="0"/>
            </w:tcBorders>
            <w:vAlign w:val="center"/>
          </w:tcPr>
          <w:p w14:paraId="1165313B">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桂南、桂中地区</w:t>
            </w:r>
          </w:p>
        </w:tc>
        <w:tc>
          <w:tcPr>
            <w:tcW w:w="2960" w:type="dxa"/>
            <w:tcBorders>
              <w:top w:val="single" w:color="auto" w:sz="4" w:space="0"/>
              <w:left w:val="single" w:color="auto" w:sz="4" w:space="0"/>
              <w:bottom w:val="single" w:color="auto" w:sz="4" w:space="0"/>
              <w:right w:val="single" w:color="auto" w:sz="8" w:space="0"/>
            </w:tcBorders>
            <w:vAlign w:val="center"/>
          </w:tcPr>
          <w:p w14:paraId="0086BD81">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小径级材、中径级材</w:t>
            </w:r>
          </w:p>
          <w:p w14:paraId="0A6ED1AF">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旋切单板材</w:t>
            </w:r>
          </w:p>
        </w:tc>
      </w:tr>
      <w:tr w14:paraId="5BDC1B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78" w:type="dxa"/>
            <w:tcBorders>
              <w:top w:val="single" w:color="auto" w:sz="4" w:space="0"/>
              <w:left w:val="single" w:color="auto" w:sz="8" w:space="0"/>
              <w:bottom w:val="single" w:color="auto" w:sz="4" w:space="0"/>
              <w:right w:val="single" w:color="auto" w:sz="4" w:space="0"/>
            </w:tcBorders>
            <w:vAlign w:val="center"/>
          </w:tcPr>
          <w:p w14:paraId="5B6580B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巨  桉</w:t>
            </w:r>
          </w:p>
        </w:tc>
        <w:tc>
          <w:tcPr>
            <w:tcW w:w="2693" w:type="dxa"/>
            <w:tcBorders>
              <w:top w:val="single" w:color="auto" w:sz="4" w:space="0"/>
              <w:left w:val="single" w:color="auto" w:sz="4" w:space="0"/>
              <w:bottom w:val="single" w:color="auto" w:sz="4" w:space="0"/>
              <w:right w:val="single" w:color="auto" w:sz="4" w:space="0"/>
            </w:tcBorders>
            <w:vAlign w:val="center"/>
          </w:tcPr>
          <w:p w14:paraId="56AFEE01">
            <w:pPr>
              <w:widowControl/>
              <w:tabs>
                <w:tab w:val="center" w:pos="4201"/>
                <w:tab w:val="right" w:leader="dot" w:pos="9298"/>
              </w:tabs>
              <w:autoSpaceDE w:val="0"/>
              <w:autoSpaceDN w:val="0"/>
              <w:adjustRightInd/>
              <w:spacing w:line="240" w:lineRule="auto"/>
              <w:jc w:val="center"/>
              <w:rPr>
                <w:rFonts w:ascii="宋体" w:hAnsi="宋体"/>
                <w:i/>
                <w:kern w:val="0"/>
                <w:sz w:val="18"/>
                <w:szCs w:val="18"/>
              </w:rPr>
            </w:pPr>
            <w:r>
              <w:rPr>
                <w:rFonts w:hint="eastAsia" w:ascii="宋体" w:hAnsi="宋体"/>
                <w:i/>
                <w:kern w:val="0"/>
                <w:sz w:val="18"/>
                <w:szCs w:val="18"/>
              </w:rPr>
              <w:t>Eucalyptus grandis</w:t>
            </w:r>
          </w:p>
        </w:tc>
        <w:tc>
          <w:tcPr>
            <w:tcW w:w="1559" w:type="dxa"/>
            <w:tcBorders>
              <w:top w:val="single" w:color="auto" w:sz="4" w:space="0"/>
              <w:left w:val="single" w:color="auto" w:sz="4" w:space="0"/>
              <w:bottom w:val="single" w:color="auto" w:sz="4" w:space="0"/>
              <w:right w:val="single" w:color="auto" w:sz="4" w:space="0"/>
            </w:tcBorders>
            <w:vAlign w:val="center"/>
          </w:tcPr>
          <w:p w14:paraId="03DCC11E">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桂西高海拔地区</w:t>
            </w:r>
          </w:p>
        </w:tc>
        <w:tc>
          <w:tcPr>
            <w:tcW w:w="2960" w:type="dxa"/>
            <w:tcBorders>
              <w:top w:val="single" w:color="auto" w:sz="4" w:space="0"/>
              <w:left w:val="single" w:color="auto" w:sz="4" w:space="0"/>
              <w:bottom w:val="single" w:color="auto" w:sz="4" w:space="0"/>
              <w:right w:val="single" w:color="auto" w:sz="8" w:space="0"/>
            </w:tcBorders>
            <w:vAlign w:val="center"/>
          </w:tcPr>
          <w:p w14:paraId="6B79EF45">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小径级材、中径级材、大径级材</w:t>
            </w:r>
          </w:p>
          <w:p w14:paraId="78F7ADAC">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旋切单板材、锯材</w:t>
            </w:r>
          </w:p>
        </w:tc>
      </w:tr>
      <w:tr w14:paraId="4B87D1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78" w:type="dxa"/>
            <w:tcBorders>
              <w:top w:val="single" w:color="auto" w:sz="4" w:space="0"/>
              <w:left w:val="single" w:color="auto" w:sz="8" w:space="0"/>
              <w:bottom w:val="single" w:color="auto" w:sz="4" w:space="0"/>
              <w:right w:val="single" w:color="auto" w:sz="4" w:space="0"/>
            </w:tcBorders>
            <w:vAlign w:val="center"/>
          </w:tcPr>
          <w:p w14:paraId="59A08A65">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赤  桉</w:t>
            </w:r>
          </w:p>
        </w:tc>
        <w:tc>
          <w:tcPr>
            <w:tcW w:w="2693" w:type="dxa"/>
            <w:tcBorders>
              <w:top w:val="single" w:color="auto" w:sz="4" w:space="0"/>
              <w:left w:val="single" w:color="auto" w:sz="4" w:space="0"/>
              <w:bottom w:val="single" w:color="auto" w:sz="4" w:space="0"/>
              <w:right w:val="single" w:color="auto" w:sz="4" w:space="0"/>
            </w:tcBorders>
            <w:vAlign w:val="center"/>
          </w:tcPr>
          <w:p w14:paraId="30F2F6B6">
            <w:pPr>
              <w:widowControl/>
              <w:tabs>
                <w:tab w:val="center" w:pos="4201"/>
                <w:tab w:val="right" w:leader="dot" w:pos="9298"/>
              </w:tabs>
              <w:autoSpaceDE w:val="0"/>
              <w:autoSpaceDN w:val="0"/>
              <w:adjustRightInd/>
              <w:spacing w:line="240" w:lineRule="auto"/>
              <w:jc w:val="center"/>
              <w:rPr>
                <w:rFonts w:ascii="宋体" w:hAnsi="宋体"/>
                <w:i/>
                <w:kern w:val="0"/>
                <w:sz w:val="18"/>
                <w:szCs w:val="18"/>
              </w:rPr>
            </w:pPr>
            <w:r>
              <w:rPr>
                <w:rFonts w:hint="eastAsia" w:ascii="宋体" w:hAnsi="宋体"/>
                <w:i/>
                <w:kern w:val="0"/>
                <w:sz w:val="18"/>
                <w:szCs w:val="18"/>
              </w:rPr>
              <w:t>Eucalyptus camaldulensis</w:t>
            </w:r>
          </w:p>
        </w:tc>
        <w:tc>
          <w:tcPr>
            <w:tcW w:w="1559" w:type="dxa"/>
            <w:tcBorders>
              <w:top w:val="single" w:color="auto" w:sz="4" w:space="0"/>
              <w:left w:val="single" w:color="auto" w:sz="4" w:space="0"/>
              <w:bottom w:val="single" w:color="auto" w:sz="4" w:space="0"/>
              <w:right w:val="single" w:color="auto" w:sz="4" w:space="0"/>
            </w:tcBorders>
            <w:vAlign w:val="center"/>
          </w:tcPr>
          <w:p w14:paraId="627B433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桂中地区</w:t>
            </w:r>
          </w:p>
        </w:tc>
        <w:tc>
          <w:tcPr>
            <w:tcW w:w="2960" w:type="dxa"/>
            <w:tcBorders>
              <w:top w:val="single" w:color="auto" w:sz="4" w:space="0"/>
              <w:left w:val="single" w:color="auto" w:sz="4" w:space="0"/>
              <w:bottom w:val="single" w:color="auto" w:sz="4" w:space="0"/>
              <w:right w:val="single" w:color="auto" w:sz="8" w:space="0"/>
            </w:tcBorders>
            <w:vAlign w:val="center"/>
          </w:tcPr>
          <w:p w14:paraId="7E49264C">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大径级材</w:t>
            </w:r>
          </w:p>
          <w:p w14:paraId="0656E76A">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锯材</w:t>
            </w:r>
          </w:p>
        </w:tc>
      </w:tr>
      <w:tr w14:paraId="6D1113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78" w:type="dxa"/>
            <w:tcBorders>
              <w:top w:val="single" w:color="auto" w:sz="4" w:space="0"/>
              <w:left w:val="single" w:color="auto" w:sz="8" w:space="0"/>
              <w:bottom w:val="single" w:color="auto" w:sz="4" w:space="0"/>
              <w:right w:val="single" w:color="auto" w:sz="4" w:space="0"/>
            </w:tcBorders>
            <w:vAlign w:val="center"/>
          </w:tcPr>
          <w:p w14:paraId="3AF55B20">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大花序桉</w:t>
            </w:r>
          </w:p>
        </w:tc>
        <w:tc>
          <w:tcPr>
            <w:tcW w:w="2693" w:type="dxa"/>
            <w:tcBorders>
              <w:top w:val="single" w:color="auto" w:sz="4" w:space="0"/>
              <w:left w:val="single" w:color="auto" w:sz="4" w:space="0"/>
              <w:bottom w:val="single" w:color="auto" w:sz="4" w:space="0"/>
              <w:right w:val="single" w:color="auto" w:sz="4" w:space="0"/>
            </w:tcBorders>
            <w:vAlign w:val="center"/>
          </w:tcPr>
          <w:p w14:paraId="6551F663">
            <w:pPr>
              <w:widowControl/>
              <w:tabs>
                <w:tab w:val="center" w:pos="4201"/>
                <w:tab w:val="right" w:leader="dot" w:pos="9298"/>
              </w:tabs>
              <w:autoSpaceDE w:val="0"/>
              <w:autoSpaceDN w:val="0"/>
              <w:adjustRightInd/>
              <w:spacing w:line="240" w:lineRule="auto"/>
              <w:jc w:val="center"/>
              <w:rPr>
                <w:rFonts w:ascii="宋体" w:hAnsi="宋体"/>
                <w:i/>
                <w:kern w:val="0"/>
                <w:sz w:val="18"/>
                <w:szCs w:val="18"/>
              </w:rPr>
            </w:pPr>
            <w:r>
              <w:rPr>
                <w:rFonts w:hint="eastAsia" w:ascii="宋体" w:hAnsi="宋体"/>
                <w:i/>
                <w:kern w:val="0"/>
                <w:sz w:val="18"/>
                <w:szCs w:val="18"/>
              </w:rPr>
              <w:t>Eucalyptus cloeziana</w:t>
            </w:r>
          </w:p>
        </w:tc>
        <w:tc>
          <w:tcPr>
            <w:tcW w:w="1559" w:type="dxa"/>
            <w:tcBorders>
              <w:top w:val="single" w:color="auto" w:sz="4" w:space="0"/>
              <w:left w:val="single" w:color="auto" w:sz="4" w:space="0"/>
              <w:bottom w:val="single" w:color="auto" w:sz="4" w:space="0"/>
              <w:right w:val="single" w:color="auto" w:sz="4" w:space="0"/>
            </w:tcBorders>
            <w:vAlign w:val="center"/>
          </w:tcPr>
          <w:p w14:paraId="2487AB2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桂南、桂中地区</w:t>
            </w:r>
          </w:p>
        </w:tc>
        <w:tc>
          <w:tcPr>
            <w:tcW w:w="2960" w:type="dxa"/>
            <w:tcBorders>
              <w:top w:val="single" w:color="auto" w:sz="4" w:space="0"/>
              <w:left w:val="single" w:color="auto" w:sz="4" w:space="0"/>
              <w:bottom w:val="single" w:color="auto" w:sz="4" w:space="0"/>
              <w:right w:val="single" w:color="auto" w:sz="8" w:space="0"/>
            </w:tcBorders>
            <w:vAlign w:val="center"/>
          </w:tcPr>
          <w:p w14:paraId="5749FFC3">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大径级材</w:t>
            </w:r>
          </w:p>
          <w:p w14:paraId="7182A915">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锯材</w:t>
            </w:r>
          </w:p>
        </w:tc>
      </w:tr>
      <w:tr w14:paraId="3D8024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78" w:type="dxa"/>
            <w:tcBorders>
              <w:top w:val="single" w:color="auto" w:sz="4" w:space="0"/>
              <w:left w:val="single" w:color="auto" w:sz="8" w:space="0"/>
              <w:bottom w:val="single" w:color="auto" w:sz="4" w:space="0"/>
              <w:right w:val="single" w:color="auto" w:sz="4" w:space="0"/>
            </w:tcBorders>
            <w:vAlign w:val="center"/>
          </w:tcPr>
          <w:p w14:paraId="4F6A1754">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邓恩桉</w:t>
            </w:r>
          </w:p>
        </w:tc>
        <w:tc>
          <w:tcPr>
            <w:tcW w:w="2693" w:type="dxa"/>
            <w:tcBorders>
              <w:top w:val="single" w:color="auto" w:sz="4" w:space="0"/>
              <w:left w:val="single" w:color="auto" w:sz="4" w:space="0"/>
              <w:bottom w:val="single" w:color="auto" w:sz="4" w:space="0"/>
              <w:right w:val="single" w:color="auto" w:sz="4" w:space="0"/>
            </w:tcBorders>
            <w:vAlign w:val="center"/>
          </w:tcPr>
          <w:p w14:paraId="16A30156">
            <w:pPr>
              <w:widowControl/>
              <w:tabs>
                <w:tab w:val="center" w:pos="4201"/>
                <w:tab w:val="right" w:leader="dot" w:pos="9298"/>
              </w:tabs>
              <w:autoSpaceDE w:val="0"/>
              <w:autoSpaceDN w:val="0"/>
              <w:adjustRightInd/>
              <w:spacing w:line="240" w:lineRule="auto"/>
              <w:jc w:val="center"/>
              <w:rPr>
                <w:rFonts w:ascii="宋体" w:hAnsi="宋体"/>
                <w:i/>
                <w:kern w:val="0"/>
                <w:sz w:val="18"/>
                <w:szCs w:val="18"/>
              </w:rPr>
            </w:pPr>
            <w:r>
              <w:rPr>
                <w:rFonts w:hint="eastAsia" w:ascii="宋体" w:hAnsi="宋体"/>
                <w:i/>
                <w:kern w:val="0"/>
                <w:sz w:val="18"/>
                <w:szCs w:val="18"/>
              </w:rPr>
              <w:t>Eucalyptus dunnii</w:t>
            </w:r>
          </w:p>
        </w:tc>
        <w:tc>
          <w:tcPr>
            <w:tcW w:w="1559" w:type="dxa"/>
            <w:tcBorders>
              <w:top w:val="single" w:color="auto" w:sz="4" w:space="0"/>
              <w:left w:val="single" w:color="auto" w:sz="4" w:space="0"/>
              <w:bottom w:val="single" w:color="auto" w:sz="4" w:space="0"/>
              <w:right w:val="single" w:color="auto" w:sz="4" w:space="0"/>
            </w:tcBorders>
            <w:vAlign w:val="center"/>
          </w:tcPr>
          <w:p w14:paraId="4E8683C1">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桂北地区</w:t>
            </w:r>
          </w:p>
        </w:tc>
        <w:tc>
          <w:tcPr>
            <w:tcW w:w="2960" w:type="dxa"/>
            <w:tcBorders>
              <w:top w:val="single" w:color="auto" w:sz="4" w:space="0"/>
              <w:left w:val="single" w:color="auto" w:sz="4" w:space="0"/>
              <w:bottom w:val="single" w:color="auto" w:sz="4" w:space="0"/>
              <w:right w:val="single" w:color="auto" w:sz="8" w:space="0"/>
            </w:tcBorders>
            <w:vAlign w:val="center"/>
          </w:tcPr>
          <w:p w14:paraId="35CFCDC1">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大径级材</w:t>
            </w:r>
          </w:p>
          <w:p w14:paraId="003F5AC5">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锯材</w:t>
            </w:r>
          </w:p>
        </w:tc>
      </w:tr>
      <w:tr w14:paraId="28C1CD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78" w:type="dxa"/>
            <w:tcBorders>
              <w:top w:val="single" w:color="auto" w:sz="4" w:space="0"/>
              <w:left w:val="single" w:color="auto" w:sz="8" w:space="0"/>
              <w:bottom w:val="single" w:color="auto" w:sz="4" w:space="0"/>
              <w:right w:val="single" w:color="auto" w:sz="4" w:space="0"/>
            </w:tcBorders>
            <w:vAlign w:val="center"/>
          </w:tcPr>
          <w:p w14:paraId="6C14457A">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粗皮桉</w:t>
            </w:r>
          </w:p>
        </w:tc>
        <w:tc>
          <w:tcPr>
            <w:tcW w:w="2693" w:type="dxa"/>
            <w:tcBorders>
              <w:top w:val="single" w:color="auto" w:sz="4" w:space="0"/>
              <w:left w:val="single" w:color="auto" w:sz="4" w:space="0"/>
              <w:bottom w:val="single" w:color="auto" w:sz="4" w:space="0"/>
              <w:right w:val="single" w:color="auto" w:sz="4" w:space="0"/>
            </w:tcBorders>
            <w:vAlign w:val="center"/>
          </w:tcPr>
          <w:p w14:paraId="554A4BAA">
            <w:pPr>
              <w:widowControl/>
              <w:tabs>
                <w:tab w:val="center" w:pos="4201"/>
                <w:tab w:val="right" w:leader="dot" w:pos="9298"/>
              </w:tabs>
              <w:autoSpaceDE w:val="0"/>
              <w:autoSpaceDN w:val="0"/>
              <w:adjustRightInd/>
              <w:spacing w:line="240" w:lineRule="auto"/>
              <w:jc w:val="center"/>
              <w:rPr>
                <w:rFonts w:ascii="宋体" w:hAnsi="宋体"/>
                <w:i/>
                <w:kern w:val="0"/>
                <w:sz w:val="18"/>
                <w:szCs w:val="18"/>
              </w:rPr>
            </w:pPr>
            <w:r>
              <w:rPr>
                <w:rFonts w:hint="eastAsia" w:ascii="宋体" w:hAnsi="宋体"/>
                <w:i/>
                <w:kern w:val="0"/>
                <w:sz w:val="18"/>
                <w:szCs w:val="18"/>
              </w:rPr>
              <w:t>Eucalyptus pellita</w:t>
            </w:r>
          </w:p>
        </w:tc>
        <w:tc>
          <w:tcPr>
            <w:tcW w:w="1559" w:type="dxa"/>
            <w:tcBorders>
              <w:top w:val="single" w:color="auto" w:sz="4" w:space="0"/>
              <w:left w:val="single" w:color="auto" w:sz="4" w:space="0"/>
              <w:bottom w:val="single" w:color="auto" w:sz="4" w:space="0"/>
              <w:right w:val="single" w:color="auto" w:sz="4" w:space="0"/>
            </w:tcBorders>
            <w:vAlign w:val="center"/>
          </w:tcPr>
          <w:p w14:paraId="0BFE9D11">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桂南、桂中地区</w:t>
            </w:r>
          </w:p>
        </w:tc>
        <w:tc>
          <w:tcPr>
            <w:tcW w:w="2960" w:type="dxa"/>
            <w:tcBorders>
              <w:top w:val="single" w:color="auto" w:sz="4" w:space="0"/>
              <w:left w:val="single" w:color="auto" w:sz="4" w:space="0"/>
              <w:bottom w:val="single" w:color="auto" w:sz="4" w:space="0"/>
              <w:right w:val="single" w:color="auto" w:sz="8" w:space="0"/>
            </w:tcBorders>
            <w:vAlign w:val="center"/>
          </w:tcPr>
          <w:p w14:paraId="72655711">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大径级材</w:t>
            </w:r>
          </w:p>
          <w:p w14:paraId="2B7B1F87">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锯材</w:t>
            </w:r>
          </w:p>
        </w:tc>
      </w:tr>
      <w:tr w14:paraId="67DE20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78" w:type="dxa"/>
            <w:tcBorders>
              <w:top w:val="single" w:color="auto" w:sz="4" w:space="0"/>
              <w:left w:val="single" w:color="auto" w:sz="8" w:space="0"/>
              <w:bottom w:val="single" w:color="auto" w:sz="4" w:space="0"/>
              <w:right w:val="single" w:color="auto" w:sz="4" w:space="0"/>
            </w:tcBorders>
            <w:vAlign w:val="center"/>
          </w:tcPr>
          <w:p w14:paraId="7AFC6E01">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柳  桉</w:t>
            </w:r>
          </w:p>
        </w:tc>
        <w:tc>
          <w:tcPr>
            <w:tcW w:w="2693" w:type="dxa"/>
            <w:tcBorders>
              <w:top w:val="single" w:color="auto" w:sz="4" w:space="0"/>
              <w:left w:val="single" w:color="auto" w:sz="4" w:space="0"/>
              <w:bottom w:val="single" w:color="auto" w:sz="4" w:space="0"/>
              <w:right w:val="single" w:color="auto" w:sz="4" w:space="0"/>
            </w:tcBorders>
            <w:vAlign w:val="center"/>
          </w:tcPr>
          <w:p w14:paraId="2D3212FC">
            <w:pPr>
              <w:widowControl/>
              <w:tabs>
                <w:tab w:val="center" w:pos="4201"/>
                <w:tab w:val="right" w:leader="dot" w:pos="9298"/>
              </w:tabs>
              <w:autoSpaceDE w:val="0"/>
              <w:autoSpaceDN w:val="0"/>
              <w:adjustRightInd/>
              <w:spacing w:line="240" w:lineRule="auto"/>
              <w:jc w:val="center"/>
              <w:rPr>
                <w:rFonts w:ascii="宋体" w:hAnsi="宋体"/>
                <w:i/>
                <w:kern w:val="0"/>
                <w:sz w:val="18"/>
                <w:szCs w:val="18"/>
              </w:rPr>
            </w:pPr>
            <w:r>
              <w:rPr>
                <w:rFonts w:hint="eastAsia" w:ascii="宋体" w:hAnsi="宋体"/>
                <w:i/>
                <w:kern w:val="0"/>
                <w:sz w:val="18"/>
                <w:szCs w:val="18"/>
              </w:rPr>
              <w:t>Eucalyptus saligna</w:t>
            </w:r>
          </w:p>
        </w:tc>
        <w:tc>
          <w:tcPr>
            <w:tcW w:w="1559" w:type="dxa"/>
            <w:tcBorders>
              <w:top w:val="single" w:color="auto" w:sz="4" w:space="0"/>
              <w:left w:val="single" w:color="auto" w:sz="4" w:space="0"/>
              <w:bottom w:val="single" w:color="auto" w:sz="4" w:space="0"/>
              <w:right w:val="single" w:color="auto" w:sz="4" w:space="0"/>
            </w:tcBorders>
            <w:vAlign w:val="center"/>
          </w:tcPr>
          <w:p w14:paraId="1E7BE5D2">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桂南、桂中地区</w:t>
            </w:r>
          </w:p>
        </w:tc>
        <w:tc>
          <w:tcPr>
            <w:tcW w:w="2960" w:type="dxa"/>
            <w:tcBorders>
              <w:top w:val="single" w:color="auto" w:sz="4" w:space="0"/>
              <w:left w:val="single" w:color="auto" w:sz="4" w:space="0"/>
              <w:bottom w:val="single" w:color="auto" w:sz="4" w:space="0"/>
              <w:right w:val="single" w:color="auto" w:sz="8" w:space="0"/>
            </w:tcBorders>
            <w:vAlign w:val="center"/>
          </w:tcPr>
          <w:p w14:paraId="5DD51D06">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大径级材</w:t>
            </w:r>
          </w:p>
          <w:p w14:paraId="74D259B2">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锯材</w:t>
            </w:r>
          </w:p>
        </w:tc>
      </w:tr>
      <w:tr w14:paraId="09D826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78" w:type="dxa"/>
            <w:tcBorders>
              <w:top w:val="single" w:color="auto" w:sz="4" w:space="0"/>
              <w:left w:val="single" w:color="auto" w:sz="8" w:space="0"/>
              <w:bottom w:val="single" w:color="auto" w:sz="4" w:space="0"/>
              <w:right w:val="single" w:color="auto" w:sz="4" w:space="0"/>
            </w:tcBorders>
            <w:vAlign w:val="center"/>
          </w:tcPr>
          <w:p w14:paraId="49FCEDF2">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窿缘桉</w:t>
            </w:r>
          </w:p>
        </w:tc>
        <w:tc>
          <w:tcPr>
            <w:tcW w:w="2693" w:type="dxa"/>
            <w:tcBorders>
              <w:top w:val="single" w:color="auto" w:sz="4" w:space="0"/>
              <w:left w:val="single" w:color="auto" w:sz="4" w:space="0"/>
              <w:bottom w:val="single" w:color="auto" w:sz="4" w:space="0"/>
              <w:right w:val="single" w:color="auto" w:sz="4" w:space="0"/>
            </w:tcBorders>
            <w:vAlign w:val="center"/>
          </w:tcPr>
          <w:p w14:paraId="24B33EEE">
            <w:pPr>
              <w:widowControl/>
              <w:tabs>
                <w:tab w:val="center" w:pos="4201"/>
                <w:tab w:val="right" w:leader="dot" w:pos="9298"/>
              </w:tabs>
              <w:autoSpaceDE w:val="0"/>
              <w:autoSpaceDN w:val="0"/>
              <w:adjustRightInd/>
              <w:spacing w:line="240" w:lineRule="auto"/>
              <w:jc w:val="center"/>
              <w:rPr>
                <w:rFonts w:ascii="宋体" w:hAnsi="宋体"/>
                <w:i/>
                <w:kern w:val="0"/>
                <w:sz w:val="18"/>
                <w:szCs w:val="18"/>
              </w:rPr>
            </w:pPr>
            <w:r>
              <w:rPr>
                <w:rFonts w:hint="eastAsia" w:ascii="宋体" w:hAnsi="宋体"/>
                <w:i/>
                <w:kern w:val="0"/>
                <w:sz w:val="18"/>
                <w:szCs w:val="18"/>
              </w:rPr>
              <w:t>Eucalyptus exserta</w:t>
            </w:r>
          </w:p>
        </w:tc>
        <w:tc>
          <w:tcPr>
            <w:tcW w:w="1559" w:type="dxa"/>
            <w:tcBorders>
              <w:top w:val="single" w:color="auto" w:sz="4" w:space="0"/>
              <w:left w:val="single" w:color="auto" w:sz="4" w:space="0"/>
              <w:bottom w:val="single" w:color="auto" w:sz="4" w:space="0"/>
              <w:right w:val="single" w:color="auto" w:sz="4" w:space="0"/>
            </w:tcBorders>
            <w:vAlign w:val="center"/>
          </w:tcPr>
          <w:p w14:paraId="1CE7F06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桂南地区</w:t>
            </w:r>
          </w:p>
        </w:tc>
        <w:tc>
          <w:tcPr>
            <w:tcW w:w="2960" w:type="dxa"/>
            <w:tcBorders>
              <w:top w:val="single" w:color="auto" w:sz="4" w:space="0"/>
              <w:left w:val="single" w:color="auto" w:sz="4" w:space="0"/>
              <w:bottom w:val="single" w:color="auto" w:sz="4" w:space="0"/>
              <w:right w:val="single" w:color="auto" w:sz="8" w:space="0"/>
            </w:tcBorders>
            <w:vAlign w:val="center"/>
          </w:tcPr>
          <w:p w14:paraId="49C12F7C">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小径级材、中径级材、大径级材</w:t>
            </w:r>
          </w:p>
          <w:p w14:paraId="3D59B85B">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旋切单板材、锯材</w:t>
            </w:r>
          </w:p>
        </w:tc>
      </w:tr>
      <w:tr w14:paraId="1B1BB1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78" w:type="dxa"/>
            <w:tcBorders>
              <w:top w:val="single" w:color="auto" w:sz="4" w:space="0"/>
              <w:left w:val="single" w:color="auto" w:sz="8" w:space="0"/>
              <w:bottom w:val="single" w:color="auto" w:sz="8" w:space="0"/>
              <w:right w:val="single" w:color="auto" w:sz="4" w:space="0"/>
            </w:tcBorders>
            <w:vAlign w:val="center"/>
          </w:tcPr>
          <w:p w14:paraId="7FC680D7">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托里桉</w:t>
            </w:r>
          </w:p>
        </w:tc>
        <w:tc>
          <w:tcPr>
            <w:tcW w:w="2693" w:type="dxa"/>
            <w:tcBorders>
              <w:top w:val="single" w:color="auto" w:sz="4" w:space="0"/>
              <w:left w:val="single" w:color="auto" w:sz="4" w:space="0"/>
              <w:bottom w:val="single" w:color="auto" w:sz="8" w:space="0"/>
              <w:right w:val="single" w:color="auto" w:sz="4" w:space="0"/>
            </w:tcBorders>
            <w:vAlign w:val="center"/>
          </w:tcPr>
          <w:p w14:paraId="61DE00DC">
            <w:pPr>
              <w:widowControl/>
              <w:tabs>
                <w:tab w:val="center" w:pos="4201"/>
                <w:tab w:val="right" w:leader="dot" w:pos="9298"/>
              </w:tabs>
              <w:autoSpaceDE w:val="0"/>
              <w:autoSpaceDN w:val="0"/>
              <w:adjustRightInd/>
              <w:spacing w:line="240" w:lineRule="auto"/>
              <w:jc w:val="center"/>
              <w:rPr>
                <w:rFonts w:ascii="宋体" w:hAnsi="宋体"/>
                <w:i/>
                <w:kern w:val="0"/>
                <w:sz w:val="18"/>
                <w:szCs w:val="18"/>
              </w:rPr>
            </w:pPr>
            <w:r>
              <w:rPr>
                <w:rFonts w:hint="eastAsia" w:ascii="宋体" w:hAnsi="宋体"/>
                <w:i/>
                <w:kern w:val="0"/>
                <w:sz w:val="18"/>
                <w:szCs w:val="18"/>
              </w:rPr>
              <w:t>Crymbia torelliana</w:t>
            </w:r>
          </w:p>
        </w:tc>
        <w:tc>
          <w:tcPr>
            <w:tcW w:w="1559" w:type="dxa"/>
            <w:tcBorders>
              <w:top w:val="single" w:color="auto" w:sz="4" w:space="0"/>
              <w:left w:val="single" w:color="auto" w:sz="4" w:space="0"/>
              <w:bottom w:val="single" w:color="auto" w:sz="8" w:space="0"/>
              <w:right w:val="single" w:color="auto" w:sz="4" w:space="0"/>
            </w:tcBorders>
            <w:vAlign w:val="center"/>
          </w:tcPr>
          <w:p w14:paraId="50822409">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桂南、桂中地区</w:t>
            </w:r>
          </w:p>
        </w:tc>
        <w:tc>
          <w:tcPr>
            <w:tcW w:w="2960" w:type="dxa"/>
            <w:tcBorders>
              <w:top w:val="single" w:color="auto" w:sz="4" w:space="0"/>
              <w:left w:val="single" w:color="auto" w:sz="4" w:space="0"/>
              <w:bottom w:val="single" w:color="auto" w:sz="8" w:space="0"/>
              <w:right w:val="single" w:color="auto" w:sz="8" w:space="0"/>
            </w:tcBorders>
            <w:vAlign w:val="center"/>
          </w:tcPr>
          <w:p w14:paraId="09164D17">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大径级材</w:t>
            </w:r>
          </w:p>
          <w:p w14:paraId="194527AE">
            <w:pPr>
              <w:widowControl/>
              <w:tabs>
                <w:tab w:val="center" w:pos="4201"/>
                <w:tab w:val="right" w:leader="dot" w:pos="9298"/>
              </w:tabs>
              <w:autoSpaceDE w:val="0"/>
              <w:autoSpaceDN w:val="0"/>
              <w:adjustRightInd/>
              <w:spacing w:line="240" w:lineRule="auto"/>
              <w:rPr>
                <w:rFonts w:ascii="宋体" w:hAnsi="宋体"/>
                <w:kern w:val="0"/>
                <w:sz w:val="18"/>
                <w:szCs w:val="18"/>
              </w:rPr>
            </w:pPr>
            <w:r>
              <w:rPr>
                <w:rFonts w:hint="eastAsia" w:ascii="宋体" w:hAnsi="宋体"/>
                <w:kern w:val="0"/>
                <w:sz w:val="18"/>
                <w:szCs w:val="18"/>
              </w:rPr>
              <w:t>锯材</w:t>
            </w:r>
          </w:p>
        </w:tc>
      </w:tr>
    </w:tbl>
    <w:p w14:paraId="4E850CBF">
      <w:pPr>
        <w:pStyle w:val="105"/>
        <w:spacing w:before="120" w:after="120"/>
      </w:pPr>
      <w:r>
        <w:rPr>
          <w:rFonts w:hint="eastAsia"/>
        </w:rPr>
        <w:t>质量要求</w:t>
      </w:r>
    </w:p>
    <w:p w14:paraId="099109BB">
      <w:pPr>
        <w:pStyle w:val="56"/>
        <w:ind w:firstLine="420"/>
      </w:pPr>
      <w:r>
        <w:rPr>
          <w:rFonts w:hint="eastAsia"/>
        </w:rPr>
        <w:t>原木按规格、外观和材质分为一等、二等、三等。各类型无节材规格、外观和材质指标应符合表2、表3、表4的要求。</w:t>
      </w:r>
    </w:p>
    <w:p w14:paraId="42FE3E67">
      <w:pPr>
        <w:widowControl/>
        <w:snapToGrid w:val="0"/>
        <w:spacing w:beforeLines="50" w:afterLines="50" w:line="240" w:lineRule="auto"/>
        <w:ind w:left="420" w:firstLine="420"/>
        <w:jc w:val="center"/>
        <w:textAlignment w:val="baseline"/>
        <w:rPr>
          <w:rFonts w:hint="eastAsia"/>
          <w:color w:val="auto"/>
        </w:rPr>
      </w:pPr>
      <w:r>
        <w:rPr>
          <w:rFonts w:hint="eastAsia" w:ascii="黑体" w:hAnsi="黑体" w:eastAsia="黑体" w:cs="宋体"/>
          <w:color w:val="auto"/>
          <w:kern w:val="21"/>
        </w:rPr>
        <w:t>表2  锯切用无节材质量要求</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2348"/>
        <w:gridCol w:w="2126"/>
        <w:gridCol w:w="2026"/>
        <w:gridCol w:w="2111"/>
      </w:tblGrid>
      <w:tr w14:paraId="7D5285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restart"/>
            <w:tcBorders/>
            <w:vAlign w:val="center"/>
          </w:tcPr>
          <w:p w14:paraId="572FD24B">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项目</w:t>
            </w:r>
          </w:p>
        </w:tc>
        <w:tc>
          <w:tcPr>
            <w:tcW w:w="2348" w:type="dxa"/>
            <w:vMerge w:val="restart"/>
            <w:tcBorders/>
            <w:vAlign w:val="center"/>
          </w:tcPr>
          <w:p w14:paraId="4C9BEDCC">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核算方法</w:t>
            </w:r>
          </w:p>
        </w:tc>
        <w:tc>
          <w:tcPr>
            <w:tcW w:w="6263" w:type="dxa"/>
            <w:gridSpan w:val="3"/>
            <w:tcBorders/>
            <w:vAlign w:val="center"/>
          </w:tcPr>
          <w:p w14:paraId="5B1EB768">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指标</w:t>
            </w:r>
          </w:p>
        </w:tc>
      </w:tr>
      <w:tr w14:paraId="16000D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bottom w:val="single" w:color="auto" w:sz="8" w:space="0"/>
            </w:tcBorders>
            <w:vAlign w:val="center"/>
          </w:tcPr>
          <w:p w14:paraId="1D85C9E0">
            <w:pPr>
              <w:widowControl/>
              <w:adjustRightInd/>
              <w:spacing w:line="240" w:lineRule="auto"/>
              <w:jc w:val="center"/>
              <w:rPr>
                <w:rFonts w:ascii="宋体" w:hAnsi="宋体"/>
                <w:color w:val="auto"/>
                <w:kern w:val="0"/>
                <w:sz w:val="18"/>
                <w:szCs w:val="18"/>
              </w:rPr>
            </w:pPr>
          </w:p>
        </w:tc>
        <w:tc>
          <w:tcPr>
            <w:tcW w:w="0" w:type="auto"/>
            <w:vMerge w:val="continue"/>
            <w:tcBorders>
              <w:bottom w:val="single" w:color="auto" w:sz="8" w:space="0"/>
            </w:tcBorders>
            <w:vAlign w:val="center"/>
          </w:tcPr>
          <w:p w14:paraId="4411630B">
            <w:pPr>
              <w:widowControl/>
              <w:adjustRightInd/>
              <w:spacing w:line="240" w:lineRule="auto"/>
              <w:jc w:val="center"/>
              <w:rPr>
                <w:rFonts w:ascii="宋体" w:hAnsi="宋体"/>
                <w:color w:val="auto"/>
                <w:kern w:val="0"/>
                <w:sz w:val="18"/>
                <w:szCs w:val="18"/>
              </w:rPr>
            </w:pPr>
          </w:p>
        </w:tc>
        <w:tc>
          <w:tcPr>
            <w:tcW w:w="2126" w:type="dxa"/>
            <w:tcBorders>
              <w:bottom w:val="single" w:color="auto" w:sz="8" w:space="0"/>
            </w:tcBorders>
            <w:vAlign w:val="center"/>
          </w:tcPr>
          <w:p w14:paraId="52969EB8">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一等</w:t>
            </w:r>
          </w:p>
        </w:tc>
        <w:tc>
          <w:tcPr>
            <w:tcW w:w="2026" w:type="dxa"/>
            <w:tcBorders>
              <w:bottom w:val="single" w:color="auto" w:sz="8" w:space="0"/>
            </w:tcBorders>
            <w:vAlign w:val="center"/>
          </w:tcPr>
          <w:p w14:paraId="552B0525">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二等</w:t>
            </w:r>
            <w:bookmarkStart w:id="50" w:name="_GoBack"/>
            <w:bookmarkEnd w:id="50"/>
          </w:p>
        </w:tc>
        <w:tc>
          <w:tcPr>
            <w:tcW w:w="0" w:type="auto"/>
            <w:tcBorders>
              <w:bottom w:val="single" w:color="auto" w:sz="8" w:space="0"/>
            </w:tcBorders>
            <w:vAlign w:val="center"/>
          </w:tcPr>
          <w:p w14:paraId="3D0987D3">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三等</w:t>
            </w:r>
          </w:p>
        </w:tc>
      </w:tr>
      <w:tr w14:paraId="34F587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op w:val="single" w:color="auto" w:sz="8" w:space="0"/>
              <w:tl2br w:val="nil"/>
              <w:tr2bl w:val="nil"/>
            </w:tcBorders>
            <w:vAlign w:val="center"/>
          </w:tcPr>
          <w:p w14:paraId="0DEF5D78">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检尺长</w:t>
            </w:r>
          </w:p>
        </w:tc>
        <w:tc>
          <w:tcPr>
            <w:tcW w:w="2348" w:type="dxa"/>
            <w:tcBorders>
              <w:top w:val="single" w:color="auto" w:sz="8" w:space="0"/>
              <w:tl2br w:val="nil"/>
              <w:tr2bl w:val="nil"/>
            </w:tcBorders>
            <w:vAlign w:val="center"/>
          </w:tcPr>
          <w:p w14:paraId="335BD614">
            <w:pPr>
              <w:widowControl/>
              <w:autoSpaceDE w:val="0"/>
              <w:autoSpaceDN w:val="0"/>
              <w:adjustRightInd/>
              <w:spacing w:line="240" w:lineRule="auto"/>
              <w:jc w:val="center"/>
              <w:rPr>
                <w:rFonts w:ascii="宋体" w:hAnsi="宋体"/>
                <w:color w:val="auto"/>
                <w:kern w:val="0"/>
                <w:sz w:val="18"/>
                <w:szCs w:val="18"/>
              </w:rPr>
            </w:pPr>
          </w:p>
        </w:tc>
        <w:tc>
          <w:tcPr>
            <w:tcW w:w="2126" w:type="dxa"/>
            <w:tcBorders>
              <w:top w:val="single" w:color="auto" w:sz="8" w:space="0"/>
              <w:tl2br w:val="nil"/>
              <w:tr2bl w:val="nil"/>
            </w:tcBorders>
            <w:vAlign w:val="center"/>
          </w:tcPr>
          <w:p w14:paraId="628C75CA">
            <w:pPr>
              <w:jc w:val="center"/>
              <w:rPr>
                <w:rFonts w:ascii="宋体" w:hAnsi="宋体"/>
                <w:color w:val="auto"/>
                <w:kern w:val="0"/>
                <w:sz w:val="18"/>
                <w:szCs w:val="18"/>
              </w:rPr>
            </w:pPr>
            <w:r>
              <w:rPr>
                <w:rFonts w:hint="eastAsia" w:ascii="宋体" w:hAnsi="宋体"/>
                <w:color w:val="auto"/>
                <w:kern w:val="0"/>
                <w:sz w:val="18"/>
                <w:szCs w:val="18"/>
              </w:rPr>
              <w:t>2 m～8 m，</w:t>
            </w:r>
            <w:bookmarkStart w:id="44" w:name="OLE_LINK8"/>
            <w:bookmarkStart w:id="45" w:name="OLE_LINK7"/>
            <w:r>
              <w:rPr>
                <w:rFonts w:ascii="宋体" w:hAnsi="宋体"/>
                <w:color w:val="auto"/>
                <w:kern w:val="0"/>
                <w:sz w:val="18"/>
                <w:szCs w:val="18"/>
              </w:rPr>
              <w:t>公差</w:t>
            </w:r>
            <w:r>
              <w:rPr>
                <w:rFonts w:ascii="宋体" w:hAnsi="宋体"/>
                <w:color w:val="auto"/>
                <w:kern w:val="0"/>
                <w:sz w:val="18"/>
                <w:szCs w:val="18"/>
                <w:eastAsianLayout w:id="24" w:combine="1"/>
              </w:rPr>
              <w:t>+6 -2</w:t>
            </w:r>
            <w:r>
              <w:rPr>
                <w:rFonts w:ascii="宋体" w:hAnsi="宋体"/>
                <w:color w:val="auto"/>
                <w:kern w:val="0"/>
                <w:sz w:val="18"/>
                <w:szCs w:val="18"/>
              </w:rPr>
              <w:t xml:space="preserve"> cm</w:t>
            </w:r>
            <w:bookmarkEnd w:id="44"/>
            <w:bookmarkEnd w:id="45"/>
          </w:p>
        </w:tc>
        <w:tc>
          <w:tcPr>
            <w:tcW w:w="2026" w:type="dxa"/>
            <w:tcBorders>
              <w:top w:val="single" w:color="auto" w:sz="8" w:space="0"/>
              <w:tl2br w:val="nil"/>
              <w:tr2bl w:val="nil"/>
            </w:tcBorders>
            <w:vAlign w:val="center"/>
          </w:tcPr>
          <w:p w14:paraId="674D579C">
            <w:pPr>
              <w:widowControl/>
              <w:autoSpaceDE w:val="0"/>
              <w:autoSpaceDN w:val="0"/>
              <w:adjustRightInd/>
              <w:spacing w:line="240" w:lineRule="auto"/>
              <w:jc w:val="center"/>
              <w:rPr>
                <w:rFonts w:ascii="宋体" w:hAnsi="宋体"/>
                <w:color w:val="auto"/>
                <w:kern w:val="0"/>
                <w:sz w:val="18"/>
                <w:szCs w:val="18"/>
              </w:rPr>
            </w:pPr>
            <w:bookmarkStart w:id="46" w:name="OLE_LINK11"/>
            <w:bookmarkStart w:id="47" w:name="OLE_LINK12"/>
            <w:r>
              <w:rPr>
                <w:rFonts w:hint="eastAsia" w:ascii="宋体" w:hAnsi="宋体"/>
                <w:color w:val="auto"/>
                <w:kern w:val="0"/>
                <w:sz w:val="18"/>
                <w:szCs w:val="18"/>
              </w:rPr>
              <w:t>2</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m～8</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w:t>
            </w:r>
            <w:bookmarkStart w:id="48" w:name="OLE_LINK9"/>
            <w:bookmarkStart w:id="49" w:name="OLE_LINK10"/>
            <w:r>
              <w:rPr>
                <w:rFonts w:hint="eastAsia" w:ascii="宋体" w:hAnsi="宋体"/>
                <w:color w:val="auto"/>
                <w:kern w:val="0"/>
                <w:sz w:val="18"/>
                <w:szCs w:val="18"/>
              </w:rPr>
              <w:t>公差</w:t>
            </w:r>
            <w:r>
              <w:rPr>
                <w:rFonts w:hint="eastAsia" w:ascii="宋体" w:hAnsi="宋体"/>
                <w:color w:val="auto"/>
                <w:kern w:val="0"/>
                <w:sz w:val="18"/>
                <w:szCs w:val="18"/>
                <w:eastAsianLayout w:id="25" w:combine="1"/>
              </w:rPr>
              <w:t>+6 -2</w:t>
            </w:r>
            <w:r>
              <w:rPr>
                <w:rFonts w:hint="eastAsia" w:ascii="宋体" w:hAnsi="宋体"/>
                <w:color w:val="auto"/>
                <w:kern w:val="0"/>
                <w:sz w:val="18"/>
                <w:szCs w:val="18"/>
              </w:rPr>
              <w:t xml:space="preserve"> cm</w:t>
            </w:r>
            <w:bookmarkEnd w:id="46"/>
            <w:bookmarkEnd w:id="47"/>
            <w:bookmarkEnd w:id="48"/>
            <w:bookmarkEnd w:id="49"/>
          </w:p>
        </w:tc>
        <w:tc>
          <w:tcPr>
            <w:tcW w:w="0" w:type="auto"/>
            <w:tcBorders>
              <w:top w:val="single" w:color="auto" w:sz="8" w:space="0"/>
              <w:tl2br w:val="nil"/>
              <w:tr2bl w:val="nil"/>
            </w:tcBorders>
            <w:vAlign w:val="center"/>
          </w:tcPr>
          <w:p w14:paraId="6C7B07A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m～8</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m，公差</w:t>
            </w:r>
            <w:r>
              <w:rPr>
                <w:rFonts w:hint="eastAsia" w:ascii="宋体" w:hAnsi="宋体"/>
                <w:color w:val="auto"/>
                <w:kern w:val="0"/>
                <w:sz w:val="18"/>
                <w:szCs w:val="18"/>
                <w:eastAsianLayout w:id="26" w:combine="1"/>
              </w:rPr>
              <w:t>+6 -2</w:t>
            </w:r>
            <w:r>
              <w:rPr>
                <w:rFonts w:hint="eastAsia" w:ascii="宋体" w:hAnsi="宋体"/>
                <w:color w:val="auto"/>
                <w:kern w:val="0"/>
                <w:sz w:val="18"/>
                <w:szCs w:val="18"/>
              </w:rPr>
              <w:t xml:space="preserve"> cm</w:t>
            </w:r>
          </w:p>
        </w:tc>
      </w:tr>
      <w:tr w14:paraId="2338A2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l2br w:val="nil"/>
              <w:tr2bl w:val="nil"/>
            </w:tcBorders>
            <w:vAlign w:val="center"/>
          </w:tcPr>
          <w:p w14:paraId="1AA5D9D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检尺径</w:t>
            </w:r>
          </w:p>
        </w:tc>
        <w:tc>
          <w:tcPr>
            <w:tcW w:w="2348" w:type="dxa"/>
            <w:tcBorders>
              <w:tl2br w:val="nil"/>
              <w:tr2bl w:val="nil"/>
            </w:tcBorders>
            <w:vAlign w:val="center"/>
          </w:tcPr>
          <w:p w14:paraId="0121619D">
            <w:pPr>
              <w:widowControl/>
              <w:autoSpaceDE w:val="0"/>
              <w:autoSpaceDN w:val="0"/>
              <w:adjustRightInd/>
              <w:spacing w:line="240" w:lineRule="auto"/>
              <w:jc w:val="center"/>
              <w:rPr>
                <w:rFonts w:ascii="宋体" w:hAnsi="宋体"/>
                <w:color w:val="auto"/>
                <w:kern w:val="0"/>
                <w:sz w:val="18"/>
                <w:szCs w:val="18"/>
              </w:rPr>
            </w:pPr>
          </w:p>
        </w:tc>
        <w:tc>
          <w:tcPr>
            <w:tcW w:w="2126" w:type="dxa"/>
            <w:tcBorders>
              <w:tl2br w:val="nil"/>
              <w:tr2bl w:val="nil"/>
            </w:tcBorders>
            <w:vAlign w:val="center"/>
          </w:tcPr>
          <w:p w14:paraId="28861885">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＞30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cm，按2</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cm进级</w:t>
            </w:r>
          </w:p>
        </w:tc>
        <w:tc>
          <w:tcPr>
            <w:tcW w:w="2026" w:type="dxa"/>
            <w:tcBorders>
              <w:tl2br w:val="nil"/>
              <w:tr2bl w:val="nil"/>
            </w:tcBorders>
            <w:vAlign w:val="center"/>
          </w:tcPr>
          <w:p w14:paraId="25FDB71B">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30～20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cm，按2</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cm进级</w:t>
            </w:r>
          </w:p>
        </w:tc>
        <w:tc>
          <w:tcPr>
            <w:tcW w:w="0" w:type="auto"/>
            <w:tcBorders>
              <w:tl2br w:val="nil"/>
              <w:tr2bl w:val="nil"/>
            </w:tcBorders>
            <w:vAlign w:val="center"/>
          </w:tcPr>
          <w:p w14:paraId="1375F29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＞16</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cm，按2</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cm进级</w:t>
            </w:r>
          </w:p>
        </w:tc>
      </w:tr>
      <w:tr w14:paraId="047B98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restart"/>
            <w:tcBorders>
              <w:tl2br w:val="nil"/>
              <w:tr2bl w:val="nil"/>
            </w:tcBorders>
            <w:vAlign w:val="center"/>
          </w:tcPr>
          <w:p w14:paraId="3A802F7D">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活节、死节</w:t>
            </w:r>
          </w:p>
        </w:tc>
        <w:tc>
          <w:tcPr>
            <w:tcW w:w="2348" w:type="dxa"/>
            <w:tcBorders>
              <w:tl2br w:val="nil"/>
              <w:tr2bl w:val="nil"/>
            </w:tcBorders>
            <w:vAlign w:val="center"/>
          </w:tcPr>
          <w:p w14:paraId="790B5834">
            <w:pPr>
              <w:widowControl/>
              <w:autoSpaceDE w:val="0"/>
              <w:autoSpaceDN w:val="0"/>
              <w:adjustRightInd/>
              <w:spacing w:line="240" w:lineRule="auto"/>
              <w:rPr>
                <w:rFonts w:ascii="宋体" w:hAnsi="宋体"/>
                <w:color w:val="auto"/>
                <w:kern w:val="0"/>
                <w:sz w:val="18"/>
                <w:szCs w:val="18"/>
              </w:rPr>
            </w:pPr>
            <w:r>
              <w:rPr>
                <w:rFonts w:hint="eastAsia" w:ascii="宋体" w:hAnsi="宋体"/>
                <w:color w:val="auto"/>
                <w:kern w:val="0"/>
                <w:sz w:val="18"/>
                <w:szCs w:val="18"/>
              </w:rPr>
              <w:t>节子直径不应超过检尺径的</w:t>
            </w:r>
          </w:p>
        </w:tc>
        <w:tc>
          <w:tcPr>
            <w:tcW w:w="2126" w:type="dxa"/>
            <w:tcBorders>
              <w:tl2br w:val="nil"/>
              <w:tr2bl w:val="nil"/>
            </w:tcBorders>
            <w:vAlign w:val="center"/>
          </w:tcPr>
          <w:p w14:paraId="3B950F05">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2026" w:type="dxa"/>
            <w:tcBorders>
              <w:tl2br w:val="nil"/>
              <w:tr2bl w:val="nil"/>
            </w:tcBorders>
            <w:vAlign w:val="center"/>
          </w:tcPr>
          <w:p w14:paraId="521F4BC0">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≤40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0" w:type="auto"/>
            <w:tcBorders>
              <w:tl2br w:val="nil"/>
              <w:tr2bl w:val="nil"/>
            </w:tcBorders>
            <w:vAlign w:val="center"/>
          </w:tcPr>
          <w:p w14:paraId="4DC06653">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不限</w:t>
            </w:r>
          </w:p>
        </w:tc>
      </w:tr>
      <w:tr w14:paraId="5606A9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1681F9BD">
            <w:pPr>
              <w:widowControl/>
              <w:adjustRightInd/>
              <w:spacing w:line="240" w:lineRule="auto"/>
              <w:jc w:val="center"/>
              <w:rPr>
                <w:rFonts w:ascii="宋体" w:hAnsi="宋体"/>
                <w:color w:val="auto"/>
                <w:kern w:val="0"/>
                <w:sz w:val="18"/>
                <w:szCs w:val="18"/>
              </w:rPr>
            </w:pPr>
          </w:p>
        </w:tc>
        <w:tc>
          <w:tcPr>
            <w:tcW w:w="2348" w:type="dxa"/>
            <w:tcBorders>
              <w:tl2br w:val="nil"/>
              <w:tr2bl w:val="nil"/>
            </w:tcBorders>
            <w:vAlign w:val="center"/>
          </w:tcPr>
          <w:p w14:paraId="5C01E3AD">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任意材长1</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m范围内个数</w:t>
            </w:r>
          </w:p>
        </w:tc>
        <w:tc>
          <w:tcPr>
            <w:tcW w:w="2126" w:type="dxa"/>
            <w:tcBorders>
              <w:tl2br w:val="nil"/>
              <w:tr2bl w:val="nil"/>
            </w:tcBorders>
            <w:vAlign w:val="center"/>
          </w:tcPr>
          <w:p w14:paraId="23329BA7">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≤3个</w:t>
            </w:r>
          </w:p>
        </w:tc>
        <w:tc>
          <w:tcPr>
            <w:tcW w:w="2026" w:type="dxa"/>
            <w:tcBorders>
              <w:tl2br w:val="nil"/>
              <w:tr2bl w:val="nil"/>
            </w:tcBorders>
            <w:vAlign w:val="center"/>
          </w:tcPr>
          <w:p w14:paraId="38FAA60F">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≤5个</w:t>
            </w:r>
          </w:p>
        </w:tc>
        <w:tc>
          <w:tcPr>
            <w:tcW w:w="0" w:type="auto"/>
            <w:tcBorders>
              <w:tl2br w:val="nil"/>
              <w:tr2bl w:val="nil"/>
            </w:tcBorders>
            <w:vAlign w:val="center"/>
          </w:tcPr>
          <w:p w14:paraId="391F00EA">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不限</w:t>
            </w:r>
          </w:p>
        </w:tc>
      </w:tr>
      <w:tr w14:paraId="060B10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l2br w:val="nil"/>
              <w:tr2bl w:val="nil"/>
            </w:tcBorders>
            <w:vAlign w:val="center"/>
          </w:tcPr>
          <w:p w14:paraId="59E874FF">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漏节</w:t>
            </w:r>
          </w:p>
        </w:tc>
        <w:tc>
          <w:tcPr>
            <w:tcW w:w="2348" w:type="dxa"/>
            <w:tcBorders>
              <w:tl2br w:val="nil"/>
              <w:tr2bl w:val="nil"/>
            </w:tcBorders>
            <w:vAlign w:val="center"/>
          </w:tcPr>
          <w:p w14:paraId="2941ECFB">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全材长范围内的个数</w:t>
            </w:r>
          </w:p>
        </w:tc>
        <w:tc>
          <w:tcPr>
            <w:tcW w:w="2126" w:type="dxa"/>
            <w:tcBorders>
              <w:tl2br w:val="nil"/>
              <w:tr2bl w:val="nil"/>
            </w:tcBorders>
            <w:vAlign w:val="center"/>
          </w:tcPr>
          <w:p w14:paraId="00AEB153">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不允许</w:t>
            </w:r>
          </w:p>
        </w:tc>
        <w:tc>
          <w:tcPr>
            <w:tcW w:w="2026" w:type="dxa"/>
            <w:tcBorders>
              <w:tl2br w:val="nil"/>
              <w:tr2bl w:val="nil"/>
            </w:tcBorders>
            <w:vAlign w:val="center"/>
          </w:tcPr>
          <w:p w14:paraId="69703364">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≤1个</w:t>
            </w:r>
          </w:p>
        </w:tc>
        <w:tc>
          <w:tcPr>
            <w:tcW w:w="0" w:type="auto"/>
            <w:tcBorders>
              <w:tl2br w:val="nil"/>
              <w:tr2bl w:val="nil"/>
            </w:tcBorders>
            <w:vAlign w:val="center"/>
          </w:tcPr>
          <w:p w14:paraId="767E1B0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≤2个</w:t>
            </w:r>
          </w:p>
        </w:tc>
      </w:tr>
      <w:tr w14:paraId="6F2ADD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l2br w:val="nil"/>
              <w:tr2bl w:val="nil"/>
            </w:tcBorders>
            <w:vAlign w:val="center"/>
          </w:tcPr>
          <w:p w14:paraId="3C935183">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腐朽</w:t>
            </w:r>
          </w:p>
        </w:tc>
        <w:tc>
          <w:tcPr>
            <w:tcW w:w="2348" w:type="dxa"/>
            <w:tcBorders>
              <w:tl2br w:val="nil"/>
              <w:tr2bl w:val="nil"/>
            </w:tcBorders>
            <w:vAlign w:val="center"/>
          </w:tcPr>
          <w:p w14:paraId="17C5DD55">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腐朽直径与检尺径的百分比</w:t>
            </w:r>
          </w:p>
        </w:tc>
        <w:tc>
          <w:tcPr>
            <w:tcW w:w="2126" w:type="dxa"/>
            <w:tcBorders>
              <w:tl2br w:val="nil"/>
              <w:tr2bl w:val="nil"/>
            </w:tcBorders>
            <w:vAlign w:val="center"/>
          </w:tcPr>
          <w:p w14:paraId="02C1E9B0">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小头不允许，大头≤15</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2026" w:type="dxa"/>
            <w:tcBorders>
              <w:tl2br w:val="nil"/>
              <w:tr2bl w:val="nil"/>
            </w:tcBorders>
            <w:vAlign w:val="center"/>
          </w:tcPr>
          <w:p w14:paraId="604833C0">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≤40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0" w:type="auto"/>
            <w:tcBorders>
              <w:tl2br w:val="nil"/>
              <w:tr2bl w:val="nil"/>
            </w:tcBorders>
            <w:vAlign w:val="center"/>
          </w:tcPr>
          <w:p w14:paraId="001A1970">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≤60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r>
      <w:tr w14:paraId="7F9BCC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l2br w:val="nil"/>
              <w:tr2bl w:val="nil"/>
            </w:tcBorders>
            <w:vAlign w:val="center"/>
          </w:tcPr>
          <w:p w14:paraId="6FF91078">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虫眼</w:t>
            </w:r>
          </w:p>
        </w:tc>
        <w:tc>
          <w:tcPr>
            <w:tcW w:w="2348" w:type="dxa"/>
            <w:tcBorders>
              <w:tl2br w:val="nil"/>
              <w:tr2bl w:val="nil"/>
            </w:tcBorders>
            <w:vAlign w:val="center"/>
          </w:tcPr>
          <w:p w14:paraId="433447B0">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任意材长1</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m范围内个数</w:t>
            </w:r>
          </w:p>
        </w:tc>
        <w:tc>
          <w:tcPr>
            <w:tcW w:w="2126" w:type="dxa"/>
            <w:tcBorders>
              <w:tl2br w:val="nil"/>
              <w:tr2bl w:val="nil"/>
            </w:tcBorders>
            <w:vAlign w:val="center"/>
          </w:tcPr>
          <w:p w14:paraId="7826FB54">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不允许</w:t>
            </w:r>
          </w:p>
        </w:tc>
        <w:tc>
          <w:tcPr>
            <w:tcW w:w="2026" w:type="dxa"/>
            <w:tcBorders>
              <w:tl2br w:val="nil"/>
              <w:tr2bl w:val="nil"/>
            </w:tcBorders>
            <w:vAlign w:val="center"/>
          </w:tcPr>
          <w:p w14:paraId="29997D36">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≤5个</w:t>
            </w:r>
          </w:p>
        </w:tc>
        <w:tc>
          <w:tcPr>
            <w:tcW w:w="0" w:type="auto"/>
            <w:tcBorders>
              <w:tl2br w:val="nil"/>
              <w:tr2bl w:val="nil"/>
            </w:tcBorders>
            <w:vAlign w:val="center"/>
          </w:tcPr>
          <w:p w14:paraId="4A6E97E3">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不限</w:t>
            </w:r>
          </w:p>
        </w:tc>
      </w:tr>
      <w:tr w14:paraId="464994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l2br w:val="nil"/>
              <w:tr2bl w:val="nil"/>
            </w:tcBorders>
            <w:vAlign w:val="center"/>
          </w:tcPr>
          <w:p w14:paraId="629156F0">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纵裂</w:t>
            </w:r>
          </w:p>
        </w:tc>
        <w:tc>
          <w:tcPr>
            <w:tcW w:w="2348" w:type="dxa"/>
            <w:tcBorders>
              <w:tl2br w:val="nil"/>
              <w:tr2bl w:val="nil"/>
            </w:tcBorders>
            <w:vAlign w:val="center"/>
          </w:tcPr>
          <w:p w14:paraId="114B23C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长度与检尺长的百分比</w:t>
            </w:r>
          </w:p>
        </w:tc>
        <w:tc>
          <w:tcPr>
            <w:tcW w:w="2126" w:type="dxa"/>
            <w:tcBorders>
              <w:tl2br w:val="nil"/>
              <w:tr2bl w:val="nil"/>
            </w:tcBorders>
            <w:vAlign w:val="center"/>
          </w:tcPr>
          <w:p w14:paraId="67738F8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≤15</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2026" w:type="dxa"/>
            <w:tcBorders>
              <w:tl2br w:val="nil"/>
              <w:tr2bl w:val="nil"/>
            </w:tcBorders>
            <w:vAlign w:val="center"/>
          </w:tcPr>
          <w:p w14:paraId="0264FBEC">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≤40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0" w:type="auto"/>
            <w:tcBorders>
              <w:tl2br w:val="nil"/>
              <w:tr2bl w:val="nil"/>
            </w:tcBorders>
            <w:vAlign w:val="center"/>
          </w:tcPr>
          <w:p w14:paraId="6E572C6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不限</w:t>
            </w:r>
          </w:p>
        </w:tc>
      </w:tr>
      <w:tr w14:paraId="528D21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l2br w:val="nil"/>
              <w:tr2bl w:val="nil"/>
            </w:tcBorders>
            <w:vAlign w:val="center"/>
          </w:tcPr>
          <w:p w14:paraId="49B6EE1F">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环裂</w:t>
            </w:r>
          </w:p>
        </w:tc>
        <w:tc>
          <w:tcPr>
            <w:tcW w:w="2348" w:type="dxa"/>
            <w:tcBorders>
              <w:tl2br w:val="nil"/>
              <w:tr2bl w:val="nil"/>
            </w:tcBorders>
            <w:vAlign w:val="center"/>
          </w:tcPr>
          <w:p w14:paraId="31F8AC03">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环裂半径与检尺径的百分比</w:t>
            </w:r>
          </w:p>
        </w:tc>
        <w:tc>
          <w:tcPr>
            <w:tcW w:w="2126" w:type="dxa"/>
            <w:tcBorders>
              <w:tl2br w:val="nil"/>
              <w:tr2bl w:val="nil"/>
            </w:tcBorders>
            <w:vAlign w:val="center"/>
          </w:tcPr>
          <w:p w14:paraId="57C707A6">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2026" w:type="dxa"/>
            <w:tcBorders>
              <w:tl2br w:val="nil"/>
              <w:tr2bl w:val="nil"/>
            </w:tcBorders>
            <w:vAlign w:val="center"/>
          </w:tcPr>
          <w:p w14:paraId="3BC6AC0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≤40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0" w:type="auto"/>
            <w:tcBorders>
              <w:tl2br w:val="nil"/>
              <w:tr2bl w:val="nil"/>
            </w:tcBorders>
            <w:vAlign w:val="center"/>
          </w:tcPr>
          <w:p w14:paraId="798FE32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不限</w:t>
            </w:r>
          </w:p>
        </w:tc>
      </w:tr>
      <w:tr w14:paraId="065E02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l2br w:val="nil"/>
              <w:tr2bl w:val="nil"/>
            </w:tcBorders>
            <w:vAlign w:val="center"/>
          </w:tcPr>
          <w:p w14:paraId="044C0C5C">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弯曲</w:t>
            </w:r>
          </w:p>
        </w:tc>
        <w:tc>
          <w:tcPr>
            <w:tcW w:w="2348" w:type="dxa"/>
            <w:tcBorders>
              <w:tl2br w:val="nil"/>
              <w:tr2bl w:val="nil"/>
            </w:tcBorders>
            <w:vAlign w:val="center"/>
          </w:tcPr>
          <w:p w14:paraId="021F95F5">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最大弯曲拱高与内曲水平长的百分比</w:t>
            </w:r>
          </w:p>
        </w:tc>
        <w:tc>
          <w:tcPr>
            <w:tcW w:w="2126" w:type="dxa"/>
            <w:tcBorders>
              <w:tl2br w:val="nil"/>
              <w:tr2bl w:val="nil"/>
            </w:tcBorders>
            <w:vAlign w:val="center"/>
          </w:tcPr>
          <w:p w14:paraId="2511A930">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2026" w:type="dxa"/>
            <w:tcBorders>
              <w:tl2br w:val="nil"/>
              <w:tr2bl w:val="nil"/>
            </w:tcBorders>
            <w:vAlign w:val="center"/>
          </w:tcPr>
          <w:p w14:paraId="768FA008">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≤4</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0" w:type="auto"/>
            <w:tcBorders>
              <w:tl2br w:val="nil"/>
              <w:tr2bl w:val="nil"/>
            </w:tcBorders>
            <w:vAlign w:val="center"/>
          </w:tcPr>
          <w:p w14:paraId="38436DD1">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≤6</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r>
      <w:tr w14:paraId="434EC8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Borders>
              <w:tl2br w:val="nil"/>
              <w:tr2bl w:val="nil"/>
            </w:tcBorders>
            <w:vAlign w:val="center"/>
          </w:tcPr>
          <w:p w14:paraId="0C295EF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外伤</w:t>
            </w:r>
          </w:p>
        </w:tc>
        <w:tc>
          <w:tcPr>
            <w:tcW w:w="2348" w:type="dxa"/>
            <w:tcBorders>
              <w:tl2br w:val="nil"/>
              <w:tr2bl w:val="nil"/>
            </w:tcBorders>
            <w:vAlign w:val="center"/>
          </w:tcPr>
          <w:p w14:paraId="7A634393">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径向深度与检尺径的百分比</w:t>
            </w:r>
          </w:p>
        </w:tc>
        <w:tc>
          <w:tcPr>
            <w:tcW w:w="2126" w:type="dxa"/>
            <w:tcBorders>
              <w:tl2br w:val="nil"/>
              <w:tr2bl w:val="nil"/>
            </w:tcBorders>
            <w:vAlign w:val="center"/>
          </w:tcPr>
          <w:p w14:paraId="2353DE0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2026" w:type="dxa"/>
            <w:tcBorders>
              <w:tl2br w:val="nil"/>
              <w:tr2bl w:val="nil"/>
            </w:tcBorders>
            <w:vAlign w:val="center"/>
          </w:tcPr>
          <w:p w14:paraId="351C0707">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≤40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0" w:type="auto"/>
            <w:tcBorders>
              <w:tl2br w:val="nil"/>
              <w:tr2bl w:val="nil"/>
            </w:tcBorders>
            <w:vAlign w:val="center"/>
          </w:tcPr>
          <w:p w14:paraId="03F6C6D5">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≤60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r>
    </w:tbl>
    <w:p w14:paraId="197A5570">
      <w:pPr>
        <w:widowControl/>
        <w:autoSpaceDE w:val="0"/>
        <w:autoSpaceDN w:val="0"/>
        <w:adjustRightInd/>
        <w:spacing w:line="240" w:lineRule="auto"/>
        <w:rPr>
          <w:rFonts w:ascii="宋体" w:hAnsi="Times New Roman" w:cs="宋体"/>
          <w:color w:val="auto"/>
          <w:kern w:val="0"/>
        </w:rPr>
      </w:pPr>
      <w:r>
        <w:rPr>
          <w:rFonts w:hint="eastAsia" w:ascii="宋体" w:hAnsi="Times New Roman" w:cs="宋体"/>
          <w:color w:val="auto"/>
          <w:kern w:val="0"/>
        </w:rPr>
        <w:t xml:space="preserve"> </w:t>
      </w:r>
    </w:p>
    <w:p w14:paraId="22EF5752">
      <w:pPr>
        <w:widowControl/>
        <w:snapToGrid w:val="0"/>
        <w:spacing w:beforeLines="50" w:afterLines="50" w:line="240" w:lineRule="auto"/>
        <w:ind w:left="420" w:firstLine="420"/>
        <w:jc w:val="center"/>
        <w:textAlignment w:val="baseline"/>
        <w:rPr>
          <w:rFonts w:ascii="黑体" w:hAnsi="黑体" w:eastAsia="黑体" w:cs="宋体"/>
          <w:color w:val="auto"/>
          <w:kern w:val="21"/>
        </w:rPr>
      </w:pPr>
      <w:r>
        <w:rPr>
          <w:rFonts w:hint="eastAsia" w:ascii="黑体" w:hAnsi="黑体" w:eastAsia="黑体" w:cs="宋体"/>
          <w:color w:val="auto"/>
          <w:kern w:val="21"/>
        </w:rPr>
        <w:t>表3  旋切用无节材质量要求</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24"/>
        <w:gridCol w:w="1700"/>
        <w:gridCol w:w="2315"/>
        <w:gridCol w:w="2315"/>
        <w:gridCol w:w="2316"/>
      </w:tblGrid>
      <w:tr w14:paraId="0806F5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vAlign w:val="center"/>
          </w:tcPr>
          <w:p w14:paraId="21A3C1F5">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项目</w:t>
            </w:r>
          </w:p>
        </w:tc>
        <w:tc>
          <w:tcPr>
            <w:tcW w:w="0" w:type="auto"/>
            <w:vMerge w:val="restart"/>
            <w:tcBorders/>
            <w:vAlign w:val="center"/>
          </w:tcPr>
          <w:p w14:paraId="66C7BC6C">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核算方法</w:t>
            </w:r>
          </w:p>
        </w:tc>
        <w:tc>
          <w:tcPr>
            <w:tcW w:w="0" w:type="auto"/>
            <w:gridSpan w:val="3"/>
            <w:tcBorders/>
            <w:vAlign w:val="center"/>
          </w:tcPr>
          <w:p w14:paraId="1EC9A173">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指标</w:t>
            </w:r>
          </w:p>
        </w:tc>
      </w:tr>
      <w:tr w14:paraId="2AFC56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bottom w:val="single" w:color="auto" w:sz="8" w:space="0"/>
            </w:tcBorders>
            <w:vAlign w:val="center"/>
          </w:tcPr>
          <w:p w14:paraId="2252DD73">
            <w:pPr>
              <w:widowControl/>
              <w:adjustRightInd/>
              <w:spacing w:line="240" w:lineRule="auto"/>
              <w:jc w:val="center"/>
              <w:rPr>
                <w:rFonts w:ascii="宋体" w:hAnsi="宋体"/>
                <w:color w:val="auto"/>
                <w:kern w:val="0"/>
                <w:sz w:val="18"/>
                <w:szCs w:val="18"/>
              </w:rPr>
            </w:pPr>
          </w:p>
        </w:tc>
        <w:tc>
          <w:tcPr>
            <w:tcW w:w="0" w:type="auto"/>
            <w:vMerge w:val="continue"/>
            <w:tcBorders>
              <w:bottom w:val="single" w:color="auto" w:sz="8" w:space="0"/>
            </w:tcBorders>
            <w:vAlign w:val="center"/>
          </w:tcPr>
          <w:p w14:paraId="14BC341F">
            <w:pPr>
              <w:widowControl/>
              <w:adjustRightInd/>
              <w:spacing w:line="240" w:lineRule="auto"/>
              <w:jc w:val="center"/>
              <w:rPr>
                <w:rFonts w:ascii="宋体" w:hAnsi="宋体"/>
                <w:color w:val="auto"/>
                <w:kern w:val="0"/>
                <w:sz w:val="18"/>
                <w:szCs w:val="18"/>
              </w:rPr>
            </w:pPr>
          </w:p>
        </w:tc>
        <w:tc>
          <w:tcPr>
            <w:tcW w:w="0" w:type="auto"/>
            <w:tcBorders>
              <w:bottom w:val="single" w:color="auto" w:sz="8" w:space="0"/>
            </w:tcBorders>
            <w:vAlign w:val="center"/>
          </w:tcPr>
          <w:p w14:paraId="0892688A">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一等</w:t>
            </w:r>
          </w:p>
        </w:tc>
        <w:tc>
          <w:tcPr>
            <w:tcW w:w="0" w:type="auto"/>
            <w:tcBorders>
              <w:bottom w:val="single" w:color="auto" w:sz="8" w:space="0"/>
            </w:tcBorders>
            <w:vAlign w:val="center"/>
          </w:tcPr>
          <w:p w14:paraId="72D568E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二等</w:t>
            </w:r>
          </w:p>
        </w:tc>
        <w:tc>
          <w:tcPr>
            <w:tcW w:w="0" w:type="auto"/>
            <w:tcBorders>
              <w:bottom w:val="single" w:color="auto" w:sz="8" w:space="0"/>
            </w:tcBorders>
            <w:vAlign w:val="center"/>
          </w:tcPr>
          <w:p w14:paraId="4F4A7A8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三等</w:t>
            </w:r>
          </w:p>
        </w:tc>
      </w:tr>
      <w:tr w14:paraId="7E904E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8" w:space="0"/>
              <w:tl2br w:val="nil"/>
              <w:tr2bl w:val="nil"/>
            </w:tcBorders>
            <w:vAlign w:val="center"/>
          </w:tcPr>
          <w:p w14:paraId="01DC150A">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检尺长</w:t>
            </w:r>
          </w:p>
        </w:tc>
        <w:tc>
          <w:tcPr>
            <w:tcW w:w="0" w:type="auto"/>
            <w:tcBorders>
              <w:top w:val="single" w:color="auto" w:sz="8" w:space="0"/>
              <w:tl2br w:val="nil"/>
              <w:tr2bl w:val="nil"/>
            </w:tcBorders>
            <w:vAlign w:val="center"/>
          </w:tcPr>
          <w:p w14:paraId="165051FE">
            <w:pPr>
              <w:widowControl/>
              <w:autoSpaceDE w:val="0"/>
              <w:autoSpaceDN w:val="0"/>
              <w:adjustRightInd/>
              <w:spacing w:line="240" w:lineRule="auto"/>
              <w:jc w:val="center"/>
              <w:rPr>
                <w:rFonts w:ascii="宋体" w:hAnsi="宋体"/>
                <w:color w:val="auto"/>
                <w:kern w:val="0"/>
                <w:sz w:val="18"/>
                <w:szCs w:val="18"/>
              </w:rPr>
            </w:pPr>
          </w:p>
        </w:tc>
        <w:tc>
          <w:tcPr>
            <w:tcW w:w="0" w:type="auto"/>
            <w:tcBorders>
              <w:top w:val="single" w:color="auto" w:sz="8" w:space="0"/>
              <w:tl2br w:val="nil"/>
              <w:tr2bl w:val="nil"/>
            </w:tcBorders>
            <w:vAlign w:val="center"/>
          </w:tcPr>
          <w:p w14:paraId="70D83E1D">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m、2.6</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m、4.0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m、5.2</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m、6.0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w:t>
            </w:r>
            <w:r>
              <w:rPr>
                <w:rFonts w:ascii="宋体" w:hAnsi="宋体"/>
                <w:color w:val="auto"/>
                <w:kern w:val="0"/>
                <w:sz w:val="18"/>
                <w:szCs w:val="18"/>
              </w:rPr>
              <w:t>公差</w:t>
            </w:r>
            <w:r>
              <w:rPr>
                <w:rFonts w:ascii="宋体" w:hAnsi="宋体"/>
                <w:color w:val="auto"/>
                <w:kern w:val="0"/>
                <w:sz w:val="18"/>
                <w:szCs w:val="18"/>
                <w:eastAsianLayout w:id="27" w:combine="1"/>
              </w:rPr>
              <w:t>+6 -2</w:t>
            </w:r>
            <w:r>
              <w:rPr>
                <w:rFonts w:hint="eastAsia" w:ascii="宋体" w:hAnsi="宋体"/>
                <w:color w:val="auto"/>
                <w:kern w:val="0"/>
                <w:sz w:val="18"/>
                <w:szCs w:val="18"/>
                <w:vertAlign w:val="superscript"/>
              </w:rPr>
              <w:t xml:space="preserve"> </w:t>
            </w:r>
            <w:r>
              <w:rPr>
                <w:rFonts w:ascii="宋体" w:hAnsi="宋体"/>
                <w:color w:val="auto"/>
                <w:kern w:val="0"/>
                <w:sz w:val="18"/>
                <w:szCs w:val="18"/>
              </w:rPr>
              <w:t>cm</w:t>
            </w:r>
          </w:p>
        </w:tc>
        <w:tc>
          <w:tcPr>
            <w:tcW w:w="0" w:type="auto"/>
            <w:tcBorders>
              <w:top w:val="single" w:color="auto" w:sz="8" w:space="0"/>
              <w:tl2br w:val="nil"/>
              <w:tr2bl w:val="nil"/>
            </w:tcBorders>
            <w:vAlign w:val="center"/>
          </w:tcPr>
          <w:p w14:paraId="2A1125E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m、2.6</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m、4.0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m、5.2</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m、6.0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w:t>
            </w:r>
            <w:r>
              <w:rPr>
                <w:rFonts w:ascii="宋体" w:hAnsi="宋体"/>
                <w:color w:val="auto"/>
                <w:kern w:val="0"/>
                <w:sz w:val="18"/>
                <w:szCs w:val="18"/>
              </w:rPr>
              <w:t>公差</w:t>
            </w:r>
            <w:r>
              <w:rPr>
                <w:rFonts w:ascii="宋体" w:hAnsi="宋体"/>
                <w:color w:val="auto"/>
                <w:kern w:val="0"/>
                <w:sz w:val="18"/>
                <w:szCs w:val="18"/>
                <w:eastAsianLayout w:id="28" w:combine="1"/>
              </w:rPr>
              <w:t>+6 -2</w:t>
            </w:r>
            <w:r>
              <w:rPr>
                <w:rFonts w:hint="eastAsia" w:ascii="宋体" w:hAnsi="宋体"/>
                <w:color w:val="auto"/>
                <w:kern w:val="0"/>
                <w:sz w:val="18"/>
                <w:szCs w:val="18"/>
                <w:vertAlign w:val="superscript"/>
              </w:rPr>
              <w:t xml:space="preserve"> </w:t>
            </w:r>
            <w:r>
              <w:rPr>
                <w:rFonts w:ascii="宋体" w:hAnsi="宋体"/>
                <w:color w:val="auto"/>
                <w:kern w:val="0"/>
                <w:sz w:val="18"/>
                <w:szCs w:val="18"/>
              </w:rPr>
              <w:t>cm</w:t>
            </w:r>
          </w:p>
        </w:tc>
        <w:tc>
          <w:tcPr>
            <w:tcW w:w="0" w:type="auto"/>
            <w:tcBorders>
              <w:top w:val="single" w:color="auto" w:sz="8" w:space="0"/>
              <w:tl2br w:val="nil"/>
              <w:tr2bl w:val="nil"/>
            </w:tcBorders>
            <w:vAlign w:val="center"/>
          </w:tcPr>
          <w:p w14:paraId="1C00209B">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m、2.6</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m、4.0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m、5.2</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m、6.0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w:t>
            </w:r>
            <w:r>
              <w:rPr>
                <w:rFonts w:ascii="宋体" w:hAnsi="宋体"/>
                <w:color w:val="auto"/>
                <w:kern w:val="0"/>
                <w:sz w:val="18"/>
                <w:szCs w:val="18"/>
              </w:rPr>
              <w:t>公差</w:t>
            </w:r>
            <w:r>
              <w:rPr>
                <w:rFonts w:ascii="宋体" w:hAnsi="宋体"/>
                <w:color w:val="auto"/>
                <w:kern w:val="0"/>
                <w:sz w:val="18"/>
                <w:szCs w:val="18"/>
                <w:eastAsianLayout w:id="29" w:combine="1"/>
              </w:rPr>
              <w:t>+6 -2</w:t>
            </w:r>
            <w:r>
              <w:rPr>
                <w:rFonts w:hint="eastAsia" w:ascii="宋体" w:hAnsi="宋体"/>
                <w:color w:val="auto"/>
                <w:kern w:val="0"/>
                <w:sz w:val="18"/>
                <w:szCs w:val="18"/>
                <w:vertAlign w:val="superscript"/>
              </w:rPr>
              <w:t xml:space="preserve"> </w:t>
            </w:r>
            <w:r>
              <w:rPr>
                <w:rFonts w:ascii="宋体" w:hAnsi="宋体"/>
                <w:color w:val="auto"/>
                <w:kern w:val="0"/>
                <w:sz w:val="18"/>
                <w:szCs w:val="18"/>
              </w:rPr>
              <w:t>cm</w:t>
            </w:r>
          </w:p>
        </w:tc>
      </w:tr>
      <w:tr w14:paraId="35BEE9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vAlign w:val="center"/>
          </w:tcPr>
          <w:p w14:paraId="3586D30B">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检尺径</w:t>
            </w:r>
          </w:p>
        </w:tc>
        <w:tc>
          <w:tcPr>
            <w:tcW w:w="0" w:type="auto"/>
            <w:tcBorders>
              <w:tl2br w:val="nil"/>
              <w:tr2bl w:val="nil"/>
            </w:tcBorders>
            <w:vAlign w:val="center"/>
          </w:tcPr>
          <w:p w14:paraId="50EA78EB">
            <w:pPr>
              <w:widowControl/>
              <w:autoSpaceDE w:val="0"/>
              <w:autoSpaceDN w:val="0"/>
              <w:adjustRightInd/>
              <w:spacing w:line="240" w:lineRule="auto"/>
              <w:jc w:val="center"/>
              <w:rPr>
                <w:rFonts w:ascii="宋体" w:hAnsi="宋体"/>
                <w:color w:val="auto"/>
                <w:kern w:val="0"/>
                <w:sz w:val="18"/>
                <w:szCs w:val="18"/>
              </w:rPr>
            </w:pPr>
          </w:p>
        </w:tc>
        <w:tc>
          <w:tcPr>
            <w:tcW w:w="0" w:type="auto"/>
            <w:tcBorders>
              <w:tl2br w:val="nil"/>
              <w:tr2bl w:val="nil"/>
            </w:tcBorders>
            <w:vAlign w:val="center"/>
          </w:tcPr>
          <w:p w14:paraId="299A2563">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＞30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cm，按2</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cm进级</w:t>
            </w:r>
          </w:p>
        </w:tc>
        <w:tc>
          <w:tcPr>
            <w:tcW w:w="0" w:type="auto"/>
            <w:tcBorders>
              <w:tl2br w:val="nil"/>
              <w:tr2bl w:val="nil"/>
            </w:tcBorders>
            <w:vAlign w:val="center"/>
          </w:tcPr>
          <w:p w14:paraId="7B57A3C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30～20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cm，按2</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cm进级</w:t>
            </w:r>
          </w:p>
        </w:tc>
        <w:tc>
          <w:tcPr>
            <w:tcW w:w="0" w:type="auto"/>
            <w:tcBorders>
              <w:tl2br w:val="nil"/>
              <w:tr2bl w:val="nil"/>
            </w:tcBorders>
            <w:vAlign w:val="center"/>
          </w:tcPr>
          <w:p w14:paraId="1E4C350A">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≥8</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cm，按2</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cm进级</w:t>
            </w:r>
          </w:p>
        </w:tc>
      </w:tr>
      <w:tr w14:paraId="7ACE8C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l2br w:val="nil"/>
              <w:tr2bl w:val="nil"/>
            </w:tcBorders>
            <w:vAlign w:val="center"/>
          </w:tcPr>
          <w:p w14:paraId="7D1FBDF1">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活节</w:t>
            </w:r>
          </w:p>
        </w:tc>
        <w:tc>
          <w:tcPr>
            <w:tcW w:w="0" w:type="auto"/>
            <w:tcBorders>
              <w:tl2br w:val="nil"/>
              <w:tr2bl w:val="nil"/>
            </w:tcBorders>
            <w:vAlign w:val="center"/>
          </w:tcPr>
          <w:p w14:paraId="02B11F44">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节子直径不应超过检尺径</w:t>
            </w:r>
          </w:p>
        </w:tc>
        <w:tc>
          <w:tcPr>
            <w:tcW w:w="0" w:type="auto"/>
            <w:tcBorders>
              <w:tl2br w:val="nil"/>
              <w:tr2bl w:val="nil"/>
            </w:tcBorders>
            <w:vAlign w:val="center"/>
          </w:tcPr>
          <w:p w14:paraId="0207F50D">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0" w:type="auto"/>
            <w:tcBorders>
              <w:tl2br w:val="nil"/>
              <w:tr2bl w:val="nil"/>
            </w:tcBorders>
            <w:vAlign w:val="center"/>
          </w:tcPr>
          <w:p w14:paraId="6381AC43">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0" w:type="auto"/>
            <w:tcBorders>
              <w:tl2br w:val="nil"/>
              <w:tr2bl w:val="nil"/>
            </w:tcBorders>
            <w:vAlign w:val="center"/>
          </w:tcPr>
          <w:p w14:paraId="1AA286D3">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≤30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r>
      <w:tr w14:paraId="78DCE2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2DED81CF">
            <w:pPr>
              <w:widowControl/>
              <w:adjustRightInd/>
              <w:spacing w:line="240" w:lineRule="auto"/>
              <w:jc w:val="center"/>
              <w:rPr>
                <w:rFonts w:ascii="宋体" w:hAnsi="宋体"/>
                <w:color w:val="auto"/>
                <w:kern w:val="0"/>
                <w:sz w:val="18"/>
                <w:szCs w:val="18"/>
              </w:rPr>
            </w:pPr>
          </w:p>
        </w:tc>
        <w:tc>
          <w:tcPr>
            <w:tcW w:w="0" w:type="auto"/>
            <w:tcBorders>
              <w:tl2br w:val="nil"/>
              <w:tr2bl w:val="nil"/>
            </w:tcBorders>
            <w:vAlign w:val="center"/>
          </w:tcPr>
          <w:p w14:paraId="2F2D548C">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任意材长1</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m范围内个数</w:t>
            </w:r>
          </w:p>
        </w:tc>
        <w:tc>
          <w:tcPr>
            <w:tcW w:w="0" w:type="auto"/>
            <w:tcBorders>
              <w:tl2br w:val="nil"/>
              <w:tr2bl w:val="nil"/>
            </w:tcBorders>
            <w:vAlign w:val="center"/>
          </w:tcPr>
          <w:p w14:paraId="236F4C2F">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≤1个</w:t>
            </w:r>
          </w:p>
        </w:tc>
        <w:tc>
          <w:tcPr>
            <w:tcW w:w="0" w:type="auto"/>
            <w:tcBorders>
              <w:tl2br w:val="nil"/>
              <w:tr2bl w:val="nil"/>
            </w:tcBorders>
            <w:vAlign w:val="center"/>
          </w:tcPr>
          <w:p w14:paraId="0AEBDD7E">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≤3个</w:t>
            </w:r>
          </w:p>
        </w:tc>
        <w:tc>
          <w:tcPr>
            <w:tcW w:w="0" w:type="auto"/>
            <w:tcBorders>
              <w:tl2br w:val="nil"/>
              <w:tr2bl w:val="nil"/>
            </w:tcBorders>
            <w:vAlign w:val="center"/>
          </w:tcPr>
          <w:p w14:paraId="0A6FB41E">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≤5个</w:t>
            </w:r>
          </w:p>
        </w:tc>
      </w:tr>
      <w:tr w14:paraId="2BE3E9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l2br w:val="nil"/>
              <w:tr2bl w:val="nil"/>
            </w:tcBorders>
            <w:vAlign w:val="center"/>
          </w:tcPr>
          <w:p w14:paraId="1CB4C234">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死节</w:t>
            </w:r>
          </w:p>
        </w:tc>
        <w:tc>
          <w:tcPr>
            <w:tcW w:w="0" w:type="auto"/>
            <w:tcBorders>
              <w:tl2br w:val="nil"/>
              <w:tr2bl w:val="nil"/>
            </w:tcBorders>
            <w:vAlign w:val="center"/>
          </w:tcPr>
          <w:p w14:paraId="4233F49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节子直径不应超过检尺径</w:t>
            </w:r>
          </w:p>
        </w:tc>
        <w:tc>
          <w:tcPr>
            <w:tcW w:w="0" w:type="auto"/>
            <w:tcBorders>
              <w:tl2br w:val="nil"/>
              <w:tr2bl w:val="nil"/>
            </w:tcBorders>
            <w:vAlign w:val="center"/>
          </w:tcPr>
          <w:p w14:paraId="39DC5E50">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≤5</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0" w:type="auto"/>
            <w:tcBorders>
              <w:tl2br w:val="nil"/>
              <w:tr2bl w:val="nil"/>
            </w:tcBorders>
            <w:vAlign w:val="center"/>
          </w:tcPr>
          <w:p w14:paraId="3F64F62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0" w:type="auto"/>
            <w:tcBorders>
              <w:tl2br w:val="nil"/>
              <w:tr2bl w:val="nil"/>
            </w:tcBorders>
            <w:vAlign w:val="center"/>
          </w:tcPr>
          <w:p w14:paraId="1F8D5F11">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≤15％</w:t>
            </w:r>
          </w:p>
        </w:tc>
      </w:tr>
      <w:tr w14:paraId="2AE52B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4CDBBF57">
            <w:pPr>
              <w:widowControl/>
              <w:autoSpaceDE w:val="0"/>
              <w:autoSpaceDN w:val="0"/>
              <w:adjustRightInd/>
              <w:spacing w:line="240" w:lineRule="auto"/>
              <w:jc w:val="center"/>
              <w:rPr>
                <w:rFonts w:ascii="宋体" w:hAnsi="宋体"/>
                <w:color w:val="auto"/>
                <w:kern w:val="0"/>
                <w:sz w:val="18"/>
                <w:szCs w:val="18"/>
              </w:rPr>
            </w:pPr>
          </w:p>
        </w:tc>
        <w:tc>
          <w:tcPr>
            <w:tcW w:w="0" w:type="auto"/>
            <w:tcBorders>
              <w:tl2br w:val="nil"/>
              <w:tr2bl w:val="nil"/>
            </w:tcBorders>
            <w:vAlign w:val="center"/>
          </w:tcPr>
          <w:p w14:paraId="109567ED">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任意材长1 m范围内个数</w:t>
            </w:r>
          </w:p>
        </w:tc>
        <w:tc>
          <w:tcPr>
            <w:tcW w:w="0" w:type="auto"/>
            <w:tcBorders>
              <w:tl2br w:val="nil"/>
              <w:tr2bl w:val="nil"/>
            </w:tcBorders>
            <w:vAlign w:val="center"/>
          </w:tcPr>
          <w:p w14:paraId="0B4A33B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≤1个</w:t>
            </w:r>
          </w:p>
        </w:tc>
        <w:tc>
          <w:tcPr>
            <w:tcW w:w="0" w:type="auto"/>
            <w:tcBorders>
              <w:tl2br w:val="nil"/>
              <w:tr2bl w:val="nil"/>
            </w:tcBorders>
            <w:vAlign w:val="center"/>
          </w:tcPr>
          <w:p w14:paraId="6E284AD0">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≤3个</w:t>
            </w:r>
          </w:p>
        </w:tc>
        <w:tc>
          <w:tcPr>
            <w:tcW w:w="0" w:type="auto"/>
            <w:tcBorders>
              <w:tl2br w:val="nil"/>
              <w:tr2bl w:val="nil"/>
            </w:tcBorders>
            <w:vAlign w:val="center"/>
          </w:tcPr>
          <w:p w14:paraId="2AFFE6A7">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≤5个</w:t>
            </w:r>
          </w:p>
        </w:tc>
      </w:tr>
      <w:tr w14:paraId="346D2E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vAlign w:val="center"/>
          </w:tcPr>
          <w:p w14:paraId="44272B37">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腐朽</w:t>
            </w:r>
          </w:p>
        </w:tc>
        <w:tc>
          <w:tcPr>
            <w:tcW w:w="0" w:type="auto"/>
            <w:tcBorders>
              <w:tl2br w:val="nil"/>
              <w:tr2bl w:val="nil"/>
            </w:tcBorders>
            <w:vAlign w:val="center"/>
          </w:tcPr>
          <w:p w14:paraId="3F3423FF">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腐朽直径与检尺径的百分比</w:t>
            </w:r>
          </w:p>
        </w:tc>
        <w:tc>
          <w:tcPr>
            <w:tcW w:w="0" w:type="auto"/>
            <w:tcBorders>
              <w:tl2br w:val="nil"/>
              <w:tr2bl w:val="nil"/>
            </w:tcBorders>
            <w:vAlign w:val="center"/>
          </w:tcPr>
          <w:p w14:paraId="65166891">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≤5 ％</w:t>
            </w:r>
          </w:p>
        </w:tc>
        <w:tc>
          <w:tcPr>
            <w:tcW w:w="0" w:type="auto"/>
            <w:tcBorders>
              <w:tl2br w:val="nil"/>
              <w:tr2bl w:val="nil"/>
            </w:tcBorders>
            <w:vAlign w:val="center"/>
          </w:tcPr>
          <w:p w14:paraId="452434BE">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≤10 ％</w:t>
            </w:r>
          </w:p>
        </w:tc>
        <w:tc>
          <w:tcPr>
            <w:tcW w:w="0" w:type="auto"/>
            <w:tcBorders>
              <w:tl2br w:val="nil"/>
              <w:tr2bl w:val="nil"/>
            </w:tcBorders>
            <w:vAlign w:val="center"/>
          </w:tcPr>
          <w:p w14:paraId="0D5E0958">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≤15 ％</w:t>
            </w:r>
          </w:p>
        </w:tc>
      </w:tr>
      <w:tr w14:paraId="290A53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vAlign w:val="center"/>
          </w:tcPr>
          <w:p w14:paraId="77211DAD">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纵裂</w:t>
            </w:r>
          </w:p>
        </w:tc>
        <w:tc>
          <w:tcPr>
            <w:tcW w:w="0" w:type="auto"/>
            <w:tcBorders>
              <w:tl2br w:val="nil"/>
              <w:tr2bl w:val="nil"/>
            </w:tcBorders>
            <w:vAlign w:val="center"/>
          </w:tcPr>
          <w:p w14:paraId="55AB96D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长度与检尺长的百分比</w:t>
            </w:r>
          </w:p>
        </w:tc>
        <w:tc>
          <w:tcPr>
            <w:tcW w:w="0" w:type="auto"/>
            <w:tcBorders>
              <w:tl2br w:val="nil"/>
              <w:tr2bl w:val="nil"/>
            </w:tcBorders>
            <w:vAlign w:val="center"/>
          </w:tcPr>
          <w:p w14:paraId="141941C7">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w:t>
            </w:r>
          </w:p>
        </w:tc>
        <w:tc>
          <w:tcPr>
            <w:tcW w:w="0" w:type="auto"/>
            <w:tcBorders>
              <w:tl2br w:val="nil"/>
              <w:tr2bl w:val="nil"/>
            </w:tcBorders>
            <w:vAlign w:val="center"/>
          </w:tcPr>
          <w:p w14:paraId="740C05E1">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≤3 ％</w:t>
            </w:r>
          </w:p>
        </w:tc>
        <w:tc>
          <w:tcPr>
            <w:tcW w:w="0" w:type="auto"/>
            <w:tcBorders>
              <w:tl2br w:val="nil"/>
              <w:tr2bl w:val="nil"/>
            </w:tcBorders>
            <w:vAlign w:val="center"/>
          </w:tcPr>
          <w:p w14:paraId="3A471D8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≤5 ％</w:t>
            </w:r>
          </w:p>
        </w:tc>
      </w:tr>
      <w:tr w14:paraId="5304D3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vAlign w:val="center"/>
          </w:tcPr>
          <w:p w14:paraId="704C870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环裂</w:t>
            </w:r>
          </w:p>
        </w:tc>
        <w:tc>
          <w:tcPr>
            <w:tcW w:w="0" w:type="auto"/>
            <w:tcBorders>
              <w:tl2br w:val="nil"/>
              <w:tr2bl w:val="nil"/>
            </w:tcBorders>
            <w:vAlign w:val="center"/>
          </w:tcPr>
          <w:p w14:paraId="3917155A">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环裂半径与检尺径的百分比</w:t>
            </w:r>
          </w:p>
        </w:tc>
        <w:tc>
          <w:tcPr>
            <w:tcW w:w="0" w:type="auto"/>
            <w:tcBorders>
              <w:tl2br w:val="nil"/>
              <w:tr2bl w:val="nil"/>
            </w:tcBorders>
            <w:vAlign w:val="center"/>
          </w:tcPr>
          <w:p w14:paraId="6A2F0A94">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不允许</w:t>
            </w:r>
          </w:p>
        </w:tc>
        <w:tc>
          <w:tcPr>
            <w:tcW w:w="0" w:type="auto"/>
            <w:tcBorders>
              <w:tl2br w:val="nil"/>
              <w:tr2bl w:val="nil"/>
            </w:tcBorders>
            <w:vAlign w:val="center"/>
          </w:tcPr>
          <w:p w14:paraId="5CD3686B">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≤3 ％</w:t>
            </w:r>
          </w:p>
        </w:tc>
        <w:tc>
          <w:tcPr>
            <w:tcW w:w="0" w:type="auto"/>
            <w:tcBorders>
              <w:tl2br w:val="nil"/>
              <w:tr2bl w:val="nil"/>
            </w:tcBorders>
            <w:vAlign w:val="center"/>
          </w:tcPr>
          <w:p w14:paraId="627D4501">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≤5％</w:t>
            </w:r>
          </w:p>
        </w:tc>
      </w:tr>
      <w:tr w14:paraId="57AAF5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vAlign w:val="center"/>
          </w:tcPr>
          <w:p w14:paraId="0719DB4E">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弯曲</w:t>
            </w:r>
          </w:p>
        </w:tc>
        <w:tc>
          <w:tcPr>
            <w:tcW w:w="0" w:type="auto"/>
            <w:tcBorders>
              <w:tl2br w:val="nil"/>
              <w:tr2bl w:val="nil"/>
            </w:tcBorders>
            <w:vAlign w:val="center"/>
          </w:tcPr>
          <w:p w14:paraId="35E5F373">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最大弯曲拱高与内曲水平长的百分比</w:t>
            </w:r>
          </w:p>
        </w:tc>
        <w:tc>
          <w:tcPr>
            <w:tcW w:w="0" w:type="auto"/>
            <w:tcBorders>
              <w:tl2br w:val="nil"/>
              <w:tr2bl w:val="nil"/>
            </w:tcBorders>
            <w:vAlign w:val="center"/>
          </w:tcPr>
          <w:p w14:paraId="52185040">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不允许</w:t>
            </w:r>
          </w:p>
        </w:tc>
        <w:tc>
          <w:tcPr>
            <w:tcW w:w="0" w:type="auto"/>
            <w:tcBorders>
              <w:tl2br w:val="nil"/>
              <w:tr2bl w:val="nil"/>
            </w:tcBorders>
            <w:vAlign w:val="center"/>
          </w:tcPr>
          <w:p w14:paraId="757F731D">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 ％</w:t>
            </w:r>
          </w:p>
        </w:tc>
        <w:tc>
          <w:tcPr>
            <w:tcW w:w="0" w:type="auto"/>
            <w:tcBorders>
              <w:tl2br w:val="nil"/>
              <w:tr2bl w:val="nil"/>
            </w:tcBorders>
            <w:vAlign w:val="center"/>
          </w:tcPr>
          <w:p w14:paraId="09349C8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 ％</w:t>
            </w:r>
          </w:p>
        </w:tc>
      </w:tr>
      <w:tr w14:paraId="3B6BAB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vAlign w:val="center"/>
          </w:tcPr>
          <w:p w14:paraId="78F4A5AC">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外伤</w:t>
            </w:r>
          </w:p>
        </w:tc>
        <w:tc>
          <w:tcPr>
            <w:tcW w:w="0" w:type="auto"/>
            <w:tcBorders>
              <w:tl2br w:val="nil"/>
              <w:tr2bl w:val="nil"/>
            </w:tcBorders>
            <w:vAlign w:val="center"/>
          </w:tcPr>
          <w:p w14:paraId="3C69576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径向深度与检尺径的百分比</w:t>
            </w:r>
          </w:p>
        </w:tc>
        <w:tc>
          <w:tcPr>
            <w:tcW w:w="0" w:type="auto"/>
            <w:tcBorders>
              <w:tl2br w:val="nil"/>
              <w:tr2bl w:val="nil"/>
            </w:tcBorders>
            <w:vAlign w:val="center"/>
          </w:tcPr>
          <w:p w14:paraId="1A32BF7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不允许</w:t>
            </w:r>
          </w:p>
        </w:tc>
        <w:tc>
          <w:tcPr>
            <w:tcW w:w="0" w:type="auto"/>
            <w:tcBorders>
              <w:tl2br w:val="nil"/>
              <w:tr2bl w:val="nil"/>
            </w:tcBorders>
            <w:vAlign w:val="center"/>
          </w:tcPr>
          <w:p w14:paraId="7A86BFFC">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≤5 ％</w:t>
            </w:r>
          </w:p>
        </w:tc>
        <w:tc>
          <w:tcPr>
            <w:tcW w:w="0" w:type="auto"/>
            <w:tcBorders>
              <w:tl2br w:val="nil"/>
              <w:tr2bl w:val="nil"/>
            </w:tcBorders>
            <w:vAlign w:val="center"/>
          </w:tcPr>
          <w:p w14:paraId="2BE97FA0">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≤10 ％</w:t>
            </w:r>
          </w:p>
        </w:tc>
      </w:tr>
      <w:tr w14:paraId="699101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l2br w:val="nil"/>
              <w:tr2bl w:val="nil"/>
            </w:tcBorders>
            <w:vAlign w:val="center"/>
          </w:tcPr>
          <w:p w14:paraId="4EE00FD5">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双丫材、炸裂</w:t>
            </w:r>
          </w:p>
        </w:tc>
        <w:tc>
          <w:tcPr>
            <w:tcW w:w="0" w:type="auto"/>
            <w:tcBorders>
              <w:tl2br w:val="nil"/>
              <w:tr2bl w:val="nil"/>
            </w:tcBorders>
            <w:vAlign w:val="center"/>
          </w:tcPr>
          <w:p w14:paraId="234E4F94">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全材长范围内</w:t>
            </w:r>
          </w:p>
        </w:tc>
        <w:tc>
          <w:tcPr>
            <w:tcW w:w="0" w:type="auto"/>
            <w:tcBorders>
              <w:tl2br w:val="nil"/>
              <w:tr2bl w:val="nil"/>
            </w:tcBorders>
            <w:vAlign w:val="center"/>
          </w:tcPr>
          <w:p w14:paraId="1135BD47">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不允许</w:t>
            </w:r>
          </w:p>
        </w:tc>
        <w:tc>
          <w:tcPr>
            <w:tcW w:w="0" w:type="auto"/>
            <w:tcBorders>
              <w:tl2br w:val="nil"/>
              <w:tr2bl w:val="nil"/>
            </w:tcBorders>
            <w:vAlign w:val="center"/>
          </w:tcPr>
          <w:p w14:paraId="104952E0">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不允许</w:t>
            </w:r>
          </w:p>
        </w:tc>
        <w:tc>
          <w:tcPr>
            <w:tcW w:w="0" w:type="auto"/>
            <w:tcBorders>
              <w:tl2br w:val="nil"/>
              <w:tr2bl w:val="nil"/>
            </w:tcBorders>
            <w:vAlign w:val="center"/>
          </w:tcPr>
          <w:p w14:paraId="168D12B6">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不允许</w:t>
            </w:r>
          </w:p>
        </w:tc>
      </w:tr>
    </w:tbl>
    <w:p w14:paraId="0DFBC0BF">
      <w:pPr>
        <w:rPr>
          <w:rFonts w:cs="Calibri"/>
          <w:color w:val="auto"/>
        </w:rPr>
      </w:pPr>
    </w:p>
    <w:p w14:paraId="5A02E184">
      <w:pPr>
        <w:widowControl/>
        <w:snapToGrid w:val="0"/>
        <w:spacing w:beforeLines="50" w:afterLines="50" w:line="240" w:lineRule="auto"/>
        <w:ind w:left="420" w:firstLine="420"/>
        <w:jc w:val="center"/>
        <w:textAlignment w:val="baseline"/>
        <w:rPr>
          <w:rFonts w:ascii="黑体" w:hAnsi="黑体" w:eastAsia="黑体" w:cs="宋体"/>
          <w:color w:val="auto"/>
          <w:kern w:val="21"/>
        </w:rPr>
      </w:pPr>
      <w:r>
        <w:rPr>
          <w:rFonts w:hint="eastAsia" w:ascii="黑体" w:hAnsi="黑体" w:eastAsia="黑体" w:cs="宋体"/>
          <w:color w:val="auto"/>
          <w:kern w:val="21"/>
        </w:rPr>
        <w:t>表4  刨切用无节材质量要求</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01"/>
        <w:gridCol w:w="2630"/>
        <w:gridCol w:w="2630"/>
      </w:tblGrid>
      <w:tr w14:paraId="6692EA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vAlign w:val="center"/>
          </w:tcPr>
          <w:p w14:paraId="6C740396">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项目</w:t>
            </w:r>
          </w:p>
        </w:tc>
        <w:tc>
          <w:tcPr>
            <w:tcW w:w="2501" w:type="dxa"/>
            <w:vMerge w:val="restart"/>
            <w:tcBorders/>
            <w:vAlign w:val="center"/>
          </w:tcPr>
          <w:p w14:paraId="730010B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核算方法</w:t>
            </w:r>
          </w:p>
        </w:tc>
        <w:tc>
          <w:tcPr>
            <w:tcW w:w="0" w:type="auto"/>
            <w:gridSpan w:val="2"/>
            <w:tcBorders/>
            <w:vAlign w:val="center"/>
          </w:tcPr>
          <w:p w14:paraId="5D1DA78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指标</w:t>
            </w:r>
          </w:p>
        </w:tc>
      </w:tr>
      <w:tr w14:paraId="186ECE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bottom w:val="single" w:color="auto" w:sz="8" w:space="0"/>
            </w:tcBorders>
            <w:vAlign w:val="center"/>
          </w:tcPr>
          <w:p w14:paraId="233D25AF">
            <w:pPr>
              <w:widowControl/>
              <w:adjustRightInd/>
              <w:spacing w:line="240" w:lineRule="auto"/>
              <w:jc w:val="center"/>
              <w:rPr>
                <w:rFonts w:ascii="宋体" w:hAnsi="宋体"/>
                <w:color w:val="auto"/>
                <w:kern w:val="0"/>
                <w:sz w:val="18"/>
                <w:szCs w:val="18"/>
              </w:rPr>
            </w:pPr>
          </w:p>
        </w:tc>
        <w:tc>
          <w:tcPr>
            <w:tcW w:w="0" w:type="auto"/>
            <w:vMerge w:val="continue"/>
            <w:tcBorders>
              <w:bottom w:val="single" w:color="auto" w:sz="8" w:space="0"/>
            </w:tcBorders>
            <w:vAlign w:val="center"/>
          </w:tcPr>
          <w:p w14:paraId="67D11AA2">
            <w:pPr>
              <w:widowControl/>
              <w:adjustRightInd/>
              <w:spacing w:line="240" w:lineRule="auto"/>
              <w:jc w:val="center"/>
              <w:rPr>
                <w:rFonts w:ascii="宋体" w:hAnsi="宋体"/>
                <w:color w:val="auto"/>
                <w:kern w:val="0"/>
                <w:sz w:val="18"/>
                <w:szCs w:val="18"/>
              </w:rPr>
            </w:pPr>
          </w:p>
        </w:tc>
        <w:tc>
          <w:tcPr>
            <w:tcW w:w="0" w:type="auto"/>
            <w:tcBorders>
              <w:bottom w:val="single" w:color="auto" w:sz="8" w:space="0"/>
            </w:tcBorders>
            <w:vAlign w:val="center"/>
          </w:tcPr>
          <w:p w14:paraId="1518550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一等</w:t>
            </w:r>
          </w:p>
        </w:tc>
        <w:tc>
          <w:tcPr>
            <w:tcW w:w="0" w:type="auto"/>
            <w:tcBorders>
              <w:bottom w:val="single" w:color="auto" w:sz="8" w:space="0"/>
            </w:tcBorders>
            <w:vAlign w:val="center"/>
          </w:tcPr>
          <w:p w14:paraId="56D62333">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二等</w:t>
            </w:r>
          </w:p>
        </w:tc>
      </w:tr>
      <w:tr w14:paraId="2B9B37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8" w:space="0"/>
              <w:tl2br w:val="nil"/>
              <w:tr2bl w:val="nil"/>
            </w:tcBorders>
            <w:vAlign w:val="center"/>
          </w:tcPr>
          <w:p w14:paraId="47823FDD">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检尺长</w:t>
            </w:r>
          </w:p>
        </w:tc>
        <w:tc>
          <w:tcPr>
            <w:tcW w:w="2501" w:type="dxa"/>
            <w:tcBorders>
              <w:top w:val="single" w:color="auto" w:sz="8" w:space="0"/>
              <w:tl2br w:val="nil"/>
              <w:tr2bl w:val="nil"/>
            </w:tcBorders>
            <w:vAlign w:val="center"/>
          </w:tcPr>
          <w:p w14:paraId="0B97FD8A">
            <w:pPr>
              <w:widowControl/>
              <w:autoSpaceDE w:val="0"/>
              <w:autoSpaceDN w:val="0"/>
              <w:adjustRightInd/>
              <w:spacing w:line="240" w:lineRule="auto"/>
              <w:jc w:val="center"/>
              <w:rPr>
                <w:rFonts w:ascii="宋体" w:hAnsi="宋体"/>
                <w:color w:val="auto"/>
                <w:kern w:val="0"/>
                <w:sz w:val="18"/>
                <w:szCs w:val="18"/>
              </w:rPr>
            </w:pPr>
          </w:p>
        </w:tc>
        <w:tc>
          <w:tcPr>
            <w:tcW w:w="0" w:type="auto"/>
            <w:tcBorders>
              <w:top w:val="single" w:color="auto" w:sz="8" w:space="0"/>
              <w:tl2br w:val="nil"/>
              <w:tr2bl w:val="nil"/>
            </w:tcBorders>
            <w:vAlign w:val="center"/>
          </w:tcPr>
          <w:p w14:paraId="6D0FCDF4">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m、2.6</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m、4.0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m、5.2</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m、6.0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w:t>
            </w:r>
            <w:r>
              <w:rPr>
                <w:rFonts w:ascii="宋体" w:hAnsi="宋体"/>
                <w:color w:val="auto"/>
                <w:kern w:val="0"/>
                <w:sz w:val="18"/>
                <w:szCs w:val="18"/>
              </w:rPr>
              <w:t>公差</w:t>
            </w:r>
            <w:r>
              <w:rPr>
                <w:rFonts w:ascii="宋体" w:hAnsi="宋体"/>
                <w:color w:val="auto"/>
                <w:kern w:val="0"/>
                <w:sz w:val="18"/>
                <w:szCs w:val="18"/>
                <w:eastAsianLayout w:id="30" w:combine="1"/>
              </w:rPr>
              <w:t>+6 -2</w:t>
            </w:r>
            <w:r>
              <w:rPr>
                <w:rFonts w:ascii="宋体" w:hAnsi="宋体"/>
                <w:color w:val="auto"/>
                <w:kern w:val="0"/>
                <w:sz w:val="18"/>
                <w:szCs w:val="18"/>
              </w:rPr>
              <w:t xml:space="preserve"> cm</w:t>
            </w:r>
          </w:p>
        </w:tc>
        <w:tc>
          <w:tcPr>
            <w:tcW w:w="0" w:type="auto"/>
            <w:tcBorders>
              <w:top w:val="single" w:color="auto" w:sz="8" w:space="0"/>
              <w:tl2br w:val="nil"/>
              <w:tr2bl w:val="nil"/>
            </w:tcBorders>
            <w:vAlign w:val="center"/>
          </w:tcPr>
          <w:p w14:paraId="1AA655BC">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m、2.6</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m、4.0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m、5.2</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m、6.0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w:t>
            </w:r>
            <w:r>
              <w:rPr>
                <w:rFonts w:ascii="宋体" w:hAnsi="宋体"/>
                <w:color w:val="auto"/>
                <w:kern w:val="0"/>
                <w:sz w:val="18"/>
                <w:szCs w:val="18"/>
              </w:rPr>
              <w:t>公差</w:t>
            </w:r>
            <w:r>
              <w:rPr>
                <w:rFonts w:ascii="宋体" w:hAnsi="宋体"/>
                <w:color w:val="auto"/>
                <w:kern w:val="0"/>
                <w:sz w:val="18"/>
                <w:szCs w:val="18"/>
                <w:eastAsianLayout w:id="31" w:combine="1"/>
              </w:rPr>
              <w:t>+6 -2</w:t>
            </w:r>
            <w:r>
              <w:rPr>
                <w:rFonts w:ascii="宋体" w:hAnsi="宋体"/>
                <w:color w:val="auto"/>
                <w:kern w:val="0"/>
                <w:sz w:val="18"/>
                <w:szCs w:val="18"/>
              </w:rPr>
              <w:t xml:space="preserve"> cm</w:t>
            </w:r>
          </w:p>
        </w:tc>
      </w:tr>
      <w:tr w14:paraId="137A3B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l2br w:val="nil"/>
              <w:tr2bl w:val="nil"/>
            </w:tcBorders>
            <w:vAlign w:val="center"/>
          </w:tcPr>
          <w:p w14:paraId="52D965C5">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检尺径</w:t>
            </w:r>
          </w:p>
        </w:tc>
        <w:tc>
          <w:tcPr>
            <w:tcW w:w="2501" w:type="dxa"/>
            <w:tcBorders>
              <w:tl2br w:val="nil"/>
              <w:tr2bl w:val="nil"/>
            </w:tcBorders>
            <w:vAlign w:val="center"/>
          </w:tcPr>
          <w:p w14:paraId="0EA815B1">
            <w:pPr>
              <w:widowControl/>
              <w:autoSpaceDE w:val="0"/>
              <w:autoSpaceDN w:val="0"/>
              <w:adjustRightInd/>
              <w:spacing w:line="240" w:lineRule="auto"/>
              <w:jc w:val="center"/>
              <w:rPr>
                <w:rFonts w:ascii="宋体" w:hAnsi="宋体"/>
                <w:color w:val="auto"/>
                <w:kern w:val="0"/>
                <w:sz w:val="18"/>
                <w:szCs w:val="18"/>
              </w:rPr>
            </w:pPr>
          </w:p>
        </w:tc>
        <w:tc>
          <w:tcPr>
            <w:tcW w:w="0" w:type="auto"/>
            <w:tcBorders>
              <w:tl2br w:val="nil"/>
              <w:tr2bl w:val="nil"/>
            </w:tcBorders>
            <w:vAlign w:val="center"/>
          </w:tcPr>
          <w:p w14:paraId="25DEC4C0">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＞30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cm，按2</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cm进级</w:t>
            </w:r>
          </w:p>
        </w:tc>
        <w:tc>
          <w:tcPr>
            <w:tcW w:w="0" w:type="auto"/>
            <w:tcBorders>
              <w:tl2br w:val="nil"/>
              <w:tr2bl w:val="nil"/>
            </w:tcBorders>
            <w:vAlign w:val="center"/>
          </w:tcPr>
          <w:p w14:paraId="17C70FCD">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30～20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cm，按2</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cm进级</w:t>
            </w:r>
          </w:p>
        </w:tc>
      </w:tr>
      <w:tr w14:paraId="6DE5C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l2br w:val="nil"/>
              <w:tr2bl w:val="nil"/>
            </w:tcBorders>
            <w:vAlign w:val="center"/>
          </w:tcPr>
          <w:p w14:paraId="347D9EB1">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活节</w:t>
            </w:r>
          </w:p>
        </w:tc>
        <w:tc>
          <w:tcPr>
            <w:tcW w:w="2501" w:type="dxa"/>
            <w:tcBorders>
              <w:tl2br w:val="nil"/>
              <w:tr2bl w:val="nil"/>
            </w:tcBorders>
            <w:vAlign w:val="center"/>
          </w:tcPr>
          <w:p w14:paraId="37799F95">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节子直径不应超过检尺径</w:t>
            </w:r>
          </w:p>
        </w:tc>
        <w:tc>
          <w:tcPr>
            <w:tcW w:w="0" w:type="auto"/>
            <w:tcBorders>
              <w:tl2br w:val="nil"/>
              <w:tr2bl w:val="nil"/>
            </w:tcBorders>
            <w:vAlign w:val="center"/>
          </w:tcPr>
          <w:p w14:paraId="4BC90D76">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≤8</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0" w:type="auto"/>
            <w:tcBorders>
              <w:tl2br w:val="nil"/>
              <w:tr2bl w:val="nil"/>
            </w:tcBorders>
            <w:vAlign w:val="center"/>
          </w:tcPr>
          <w:p w14:paraId="23AFF260">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≤15</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r>
      <w:tr w14:paraId="0FEB44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5CF0D087">
            <w:pPr>
              <w:widowControl/>
              <w:adjustRightInd/>
              <w:spacing w:line="240" w:lineRule="auto"/>
              <w:jc w:val="center"/>
              <w:rPr>
                <w:rFonts w:ascii="宋体" w:hAnsi="宋体"/>
                <w:color w:val="auto"/>
                <w:kern w:val="0"/>
                <w:sz w:val="18"/>
                <w:szCs w:val="18"/>
              </w:rPr>
            </w:pPr>
          </w:p>
        </w:tc>
        <w:tc>
          <w:tcPr>
            <w:tcW w:w="2501" w:type="dxa"/>
            <w:tcBorders>
              <w:tl2br w:val="nil"/>
              <w:tr2bl w:val="nil"/>
            </w:tcBorders>
            <w:vAlign w:val="center"/>
          </w:tcPr>
          <w:p w14:paraId="2A1DFFC7">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任意材长1</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m范围内个数</w:t>
            </w:r>
          </w:p>
        </w:tc>
        <w:tc>
          <w:tcPr>
            <w:tcW w:w="0" w:type="auto"/>
            <w:tcBorders>
              <w:tl2br w:val="nil"/>
              <w:tr2bl w:val="nil"/>
            </w:tcBorders>
            <w:vAlign w:val="center"/>
          </w:tcPr>
          <w:p w14:paraId="70E5B3C5">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≤2个</w:t>
            </w:r>
          </w:p>
        </w:tc>
        <w:tc>
          <w:tcPr>
            <w:tcW w:w="0" w:type="auto"/>
            <w:tcBorders>
              <w:tl2br w:val="nil"/>
              <w:tr2bl w:val="nil"/>
            </w:tcBorders>
            <w:vAlign w:val="center"/>
          </w:tcPr>
          <w:p w14:paraId="33F2A941">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≤5个</w:t>
            </w:r>
          </w:p>
        </w:tc>
      </w:tr>
      <w:tr w14:paraId="0F187D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vMerge w:val="restart"/>
            <w:tcBorders>
              <w:tl2br w:val="nil"/>
              <w:tr2bl w:val="nil"/>
            </w:tcBorders>
            <w:vAlign w:val="center"/>
          </w:tcPr>
          <w:p w14:paraId="07FC6E86">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死节</w:t>
            </w:r>
          </w:p>
        </w:tc>
        <w:tc>
          <w:tcPr>
            <w:tcW w:w="2501" w:type="dxa"/>
            <w:tcBorders>
              <w:tl2br w:val="nil"/>
              <w:tr2bl w:val="nil"/>
            </w:tcBorders>
            <w:vAlign w:val="center"/>
          </w:tcPr>
          <w:p w14:paraId="29B3C00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节子直径不应超过检尺径</w:t>
            </w:r>
          </w:p>
        </w:tc>
        <w:tc>
          <w:tcPr>
            <w:tcW w:w="0" w:type="auto"/>
            <w:tcBorders>
              <w:tl2br w:val="nil"/>
              <w:tr2bl w:val="nil"/>
            </w:tcBorders>
            <w:vAlign w:val="center"/>
          </w:tcPr>
          <w:p w14:paraId="5E983CE3">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≤5</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0" w:type="auto"/>
            <w:tcBorders>
              <w:tl2br w:val="nil"/>
              <w:tr2bl w:val="nil"/>
            </w:tcBorders>
            <w:vAlign w:val="center"/>
          </w:tcPr>
          <w:p w14:paraId="19C3BD4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r>
      <w:tr w14:paraId="746B3B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l2br w:val="nil"/>
              <w:tr2bl w:val="nil"/>
            </w:tcBorders>
            <w:vAlign w:val="center"/>
          </w:tcPr>
          <w:p w14:paraId="4D1D88E5">
            <w:pPr>
              <w:widowControl/>
              <w:adjustRightInd/>
              <w:spacing w:line="240" w:lineRule="auto"/>
              <w:jc w:val="center"/>
              <w:rPr>
                <w:rFonts w:ascii="宋体" w:hAnsi="宋体"/>
                <w:color w:val="auto"/>
                <w:kern w:val="0"/>
                <w:sz w:val="18"/>
                <w:szCs w:val="18"/>
              </w:rPr>
            </w:pPr>
          </w:p>
        </w:tc>
        <w:tc>
          <w:tcPr>
            <w:tcW w:w="2501" w:type="dxa"/>
            <w:tcBorders>
              <w:tl2br w:val="nil"/>
              <w:tr2bl w:val="nil"/>
            </w:tcBorders>
            <w:vAlign w:val="center"/>
          </w:tcPr>
          <w:p w14:paraId="3F8D1A0A">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任意材长1</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m范围内个数</w:t>
            </w:r>
          </w:p>
        </w:tc>
        <w:tc>
          <w:tcPr>
            <w:tcW w:w="0" w:type="auto"/>
            <w:tcBorders>
              <w:tl2br w:val="nil"/>
              <w:tr2bl w:val="nil"/>
            </w:tcBorders>
            <w:vAlign w:val="center"/>
          </w:tcPr>
          <w:p w14:paraId="454524E4">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不允许</w:t>
            </w:r>
          </w:p>
        </w:tc>
        <w:tc>
          <w:tcPr>
            <w:tcW w:w="0" w:type="auto"/>
            <w:tcBorders>
              <w:tl2br w:val="nil"/>
              <w:tr2bl w:val="nil"/>
            </w:tcBorders>
            <w:vAlign w:val="center"/>
          </w:tcPr>
          <w:p w14:paraId="6A81BF56">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w:t>
            </w:r>
          </w:p>
        </w:tc>
      </w:tr>
      <w:tr w14:paraId="13C657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l2br w:val="nil"/>
              <w:tr2bl w:val="nil"/>
            </w:tcBorders>
            <w:vAlign w:val="center"/>
          </w:tcPr>
          <w:p w14:paraId="5B83B265">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腐朽</w:t>
            </w:r>
          </w:p>
        </w:tc>
        <w:tc>
          <w:tcPr>
            <w:tcW w:w="2501" w:type="dxa"/>
            <w:tcBorders>
              <w:tl2br w:val="nil"/>
              <w:tr2bl w:val="nil"/>
            </w:tcBorders>
            <w:vAlign w:val="center"/>
          </w:tcPr>
          <w:p w14:paraId="43BAA6D3">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腐朽直径与检尺径的百分比</w:t>
            </w:r>
          </w:p>
        </w:tc>
        <w:tc>
          <w:tcPr>
            <w:tcW w:w="0" w:type="auto"/>
            <w:tcBorders>
              <w:tl2br w:val="nil"/>
              <w:tr2bl w:val="nil"/>
            </w:tcBorders>
            <w:vAlign w:val="center"/>
          </w:tcPr>
          <w:p w14:paraId="349F65A4">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不允许</w:t>
            </w:r>
          </w:p>
        </w:tc>
        <w:tc>
          <w:tcPr>
            <w:tcW w:w="0" w:type="auto"/>
            <w:tcBorders>
              <w:tl2br w:val="nil"/>
              <w:tr2bl w:val="nil"/>
            </w:tcBorders>
            <w:vAlign w:val="center"/>
          </w:tcPr>
          <w:p w14:paraId="23B4C28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小头不允许，大头≤5</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r>
      <w:tr w14:paraId="2852D0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l2br w:val="nil"/>
              <w:tr2bl w:val="nil"/>
            </w:tcBorders>
            <w:vAlign w:val="center"/>
          </w:tcPr>
          <w:p w14:paraId="7D82771B">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纵裂</w:t>
            </w:r>
          </w:p>
        </w:tc>
        <w:tc>
          <w:tcPr>
            <w:tcW w:w="2501" w:type="dxa"/>
            <w:tcBorders>
              <w:tl2br w:val="nil"/>
              <w:tr2bl w:val="nil"/>
            </w:tcBorders>
            <w:vAlign w:val="center"/>
          </w:tcPr>
          <w:p w14:paraId="30272A2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长度与检尺长的百分比</w:t>
            </w:r>
          </w:p>
        </w:tc>
        <w:tc>
          <w:tcPr>
            <w:tcW w:w="0" w:type="auto"/>
            <w:tcBorders>
              <w:tl2br w:val="nil"/>
              <w:tr2bl w:val="nil"/>
            </w:tcBorders>
            <w:vAlign w:val="center"/>
          </w:tcPr>
          <w:p w14:paraId="6357E616">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≤5</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c>
          <w:tcPr>
            <w:tcW w:w="0" w:type="auto"/>
            <w:tcBorders>
              <w:tl2br w:val="nil"/>
              <w:tr2bl w:val="nil"/>
            </w:tcBorders>
            <w:vAlign w:val="center"/>
          </w:tcPr>
          <w:p w14:paraId="0049563D">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≤10</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r>
      <w:tr w14:paraId="3ADDA6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l2br w:val="nil"/>
              <w:tr2bl w:val="nil"/>
            </w:tcBorders>
            <w:vAlign w:val="center"/>
          </w:tcPr>
          <w:p w14:paraId="2ACF99AB">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弯曲</w:t>
            </w:r>
          </w:p>
        </w:tc>
        <w:tc>
          <w:tcPr>
            <w:tcW w:w="2501" w:type="dxa"/>
            <w:tcBorders>
              <w:tl2br w:val="nil"/>
              <w:tr2bl w:val="nil"/>
            </w:tcBorders>
            <w:vAlign w:val="center"/>
          </w:tcPr>
          <w:p w14:paraId="32B4BA5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最大弯曲拱高与内曲水平长的百分比</w:t>
            </w:r>
          </w:p>
        </w:tc>
        <w:tc>
          <w:tcPr>
            <w:tcW w:w="0" w:type="auto"/>
            <w:tcBorders>
              <w:tl2br w:val="nil"/>
              <w:tr2bl w:val="nil"/>
            </w:tcBorders>
            <w:vAlign w:val="center"/>
          </w:tcPr>
          <w:p w14:paraId="775E0A5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不允许</w:t>
            </w:r>
          </w:p>
        </w:tc>
        <w:tc>
          <w:tcPr>
            <w:tcW w:w="0" w:type="auto"/>
            <w:tcBorders>
              <w:tl2br w:val="nil"/>
              <w:tr2bl w:val="nil"/>
            </w:tcBorders>
            <w:vAlign w:val="center"/>
          </w:tcPr>
          <w:p w14:paraId="4EE1E6DA">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r>
      <w:tr w14:paraId="187C87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l2br w:val="nil"/>
              <w:tr2bl w:val="nil"/>
            </w:tcBorders>
            <w:vAlign w:val="center"/>
          </w:tcPr>
          <w:p w14:paraId="294A6824">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外伤</w:t>
            </w:r>
          </w:p>
        </w:tc>
        <w:tc>
          <w:tcPr>
            <w:tcW w:w="2501" w:type="dxa"/>
            <w:tcBorders>
              <w:tl2br w:val="nil"/>
              <w:tr2bl w:val="nil"/>
            </w:tcBorders>
            <w:vAlign w:val="center"/>
          </w:tcPr>
          <w:p w14:paraId="07807A07">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径向深度与检尺径的百分比</w:t>
            </w:r>
          </w:p>
        </w:tc>
        <w:tc>
          <w:tcPr>
            <w:tcW w:w="0" w:type="auto"/>
            <w:tcBorders>
              <w:tl2br w:val="nil"/>
              <w:tr2bl w:val="nil"/>
            </w:tcBorders>
            <w:vAlign w:val="center"/>
          </w:tcPr>
          <w:p w14:paraId="56C99F5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不允许</w:t>
            </w:r>
          </w:p>
        </w:tc>
        <w:tc>
          <w:tcPr>
            <w:tcW w:w="0" w:type="auto"/>
            <w:tcBorders>
              <w:tl2br w:val="nil"/>
              <w:tr2bl w:val="nil"/>
            </w:tcBorders>
            <w:vAlign w:val="center"/>
          </w:tcPr>
          <w:p w14:paraId="2CB47644">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≤5</w:t>
            </w:r>
            <w:r>
              <w:rPr>
                <w:rFonts w:hint="eastAsia" w:ascii="宋体" w:hAnsi="宋体"/>
                <w:color w:val="auto"/>
                <w:kern w:val="0"/>
                <w:sz w:val="18"/>
                <w:szCs w:val="18"/>
                <w:vertAlign w:val="superscript"/>
              </w:rPr>
              <w:t xml:space="preserve"> </w:t>
            </w:r>
            <w:r>
              <w:rPr>
                <w:rFonts w:hint="eastAsia" w:ascii="宋体" w:hAnsi="宋体"/>
                <w:color w:val="auto"/>
                <w:kern w:val="0"/>
                <w:sz w:val="18"/>
                <w:szCs w:val="18"/>
              </w:rPr>
              <w:t>％</w:t>
            </w:r>
          </w:p>
        </w:tc>
      </w:tr>
      <w:tr w14:paraId="374455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l2br w:val="nil"/>
              <w:tr2bl w:val="nil"/>
            </w:tcBorders>
            <w:vAlign w:val="center"/>
          </w:tcPr>
          <w:p w14:paraId="6CBBBC0D">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漏节、双丫材、炸裂、虫眼、环裂</w:t>
            </w:r>
          </w:p>
        </w:tc>
        <w:tc>
          <w:tcPr>
            <w:tcW w:w="2501" w:type="dxa"/>
            <w:tcBorders>
              <w:tl2br w:val="nil"/>
              <w:tr2bl w:val="nil"/>
            </w:tcBorders>
            <w:vAlign w:val="center"/>
          </w:tcPr>
          <w:p w14:paraId="319B737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全材长范围内</w:t>
            </w:r>
          </w:p>
        </w:tc>
        <w:tc>
          <w:tcPr>
            <w:tcW w:w="0" w:type="auto"/>
            <w:tcBorders>
              <w:tl2br w:val="nil"/>
              <w:tr2bl w:val="nil"/>
            </w:tcBorders>
            <w:vAlign w:val="center"/>
          </w:tcPr>
          <w:p w14:paraId="1F80FA92">
            <w:pPr>
              <w:jc w:val="center"/>
              <w:rPr>
                <w:rFonts w:ascii="宋体" w:hAnsi="宋体" w:cs="Calibri"/>
                <w:color w:val="auto"/>
                <w:sz w:val="18"/>
                <w:szCs w:val="18"/>
              </w:rPr>
            </w:pPr>
            <w:r>
              <w:rPr>
                <w:rFonts w:hint="eastAsia" w:ascii="宋体" w:hAnsi="宋体" w:cs="Calibri"/>
                <w:color w:val="auto"/>
                <w:sz w:val="18"/>
                <w:szCs w:val="18"/>
              </w:rPr>
              <w:t>不允许</w:t>
            </w:r>
          </w:p>
        </w:tc>
        <w:tc>
          <w:tcPr>
            <w:tcW w:w="0" w:type="auto"/>
            <w:tcBorders>
              <w:tl2br w:val="nil"/>
              <w:tr2bl w:val="nil"/>
            </w:tcBorders>
            <w:vAlign w:val="center"/>
          </w:tcPr>
          <w:p w14:paraId="7747825F">
            <w:pPr>
              <w:jc w:val="center"/>
              <w:rPr>
                <w:rFonts w:ascii="宋体" w:hAnsi="宋体" w:cs="Calibri"/>
                <w:color w:val="auto"/>
                <w:sz w:val="18"/>
                <w:szCs w:val="18"/>
              </w:rPr>
            </w:pPr>
            <w:r>
              <w:rPr>
                <w:rFonts w:hint="eastAsia" w:ascii="宋体" w:hAnsi="宋体" w:cs="Calibri"/>
                <w:color w:val="auto"/>
                <w:sz w:val="18"/>
                <w:szCs w:val="18"/>
              </w:rPr>
              <w:t>不允许</w:t>
            </w:r>
          </w:p>
        </w:tc>
      </w:tr>
    </w:tbl>
    <w:p w14:paraId="1B602E7B">
      <w:pPr>
        <w:pStyle w:val="104"/>
        <w:spacing w:before="240" w:after="240"/>
        <w:rPr>
          <w:color w:val="auto"/>
        </w:rPr>
      </w:pPr>
      <w:r>
        <w:rPr>
          <w:rFonts w:hint="eastAsia"/>
          <w:color w:val="auto"/>
        </w:rPr>
        <w:t>检验方法</w:t>
      </w:r>
    </w:p>
    <w:p w14:paraId="7E338CD5">
      <w:pPr>
        <w:pStyle w:val="105"/>
        <w:spacing w:before="120" w:after="120"/>
        <w:rPr>
          <w:color w:val="auto"/>
        </w:rPr>
      </w:pPr>
      <w:r>
        <w:rPr>
          <w:rFonts w:hint="eastAsia"/>
          <w:color w:val="auto"/>
        </w:rPr>
        <w:t>检验项目</w:t>
      </w:r>
    </w:p>
    <w:p w14:paraId="08486A93">
      <w:pPr>
        <w:pStyle w:val="105"/>
        <w:numPr>
          <w:ilvl w:val="0"/>
          <w:numId w:val="0"/>
        </w:numPr>
        <w:spacing w:before="120" w:after="120"/>
        <w:ind w:firstLine="315" w:firstLineChars="150"/>
        <w:rPr>
          <w:rFonts w:ascii="宋体" w:eastAsia="宋体"/>
          <w:color w:val="auto"/>
        </w:rPr>
      </w:pPr>
      <w:r>
        <w:rPr>
          <w:rFonts w:hint="eastAsia" w:ascii="宋体" w:eastAsia="宋体"/>
          <w:color w:val="auto"/>
        </w:rPr>
        <w:t>尺寸规格（检尺长、检尺径）、材质指标（活节、死节、漏节、腐朽、虫眼、裂纹、弯曲、外伤等）。</w:t>
      </w:r>
    </w:p>
    <w:p w14:paraId="1FD3DE49">
      <w:pPr>
        <w:pStyle w:val="105"/>
        <w:spacing w:before="120" w:after="120"/>
        <w:rPr>
          <w:color w:val="auto"/>
        </w:rPr>
      </w:pPr>
      <w:r>
        <w:rPr>
          <w:rFonts w:hint="eastAsia"/>
          <w:color w:val="auto"/>
        </w:rPr>
        <w:t>检验工具</w:t>
      </w:r>
    </w:p>
    <w:p w14:paraId="49128ADA">
      <w:pPr>
        <w:pStyle w:val="105"/>
        <w:numPr>
          <w:ilvl w:val="0"/>
          <w:numId w:val="0"/>
        </w:numPr>
        <w:spacing w:before="120" w:after="120"/>
        <w:ind w:firstLine="315" w:firstLineChars="150"/>
        <w:rPr>
          <w:rFonts w:ascii="宋体" w:eastAsia="宋体"/>
          <w:color w:val="auto"/>
        </w:rPr>
      </w:pPr>
      <w:r>
        <w:rPr>
          <w:rFonts w:hint="eastAsia" w:ascii="宋体" w:eastAsia="宋体"/>
          <w:color w:val="auto"/>
        </w:rPr>
        <w:t>使用国家质检部门认证认可的检量工具，如钢卷尺（精度1 mm）、钢板尺（精度0.5 mm）、游标卡尺等（精度0.1 mm）。</w:t>
      </w:r>
    </w:p>
    <w:p w14:paraId="141E24AE">
      <w:pPr>
        <w:pStyle w:val="105"/>
        <w:spacing w:before="120" w:after="120"/>
        <w:rPr>
          <w:color w:val="auto"/>
        </w:rPr>
      </w:pPr>
      <w:r>
        <w:rPr>
          <w:rFonts w:hint="eastAsia"/>
          <w:color w:val="auto"/>
        </w:rPr>
        <w:t>尺寸检量</w:t>
      </w:r>
    </w:p>
    <w:p w14:paraId="25223B2A">
      <w:pPr>
        <w:pStyle w:val="56"/>
        <w:ind w:firstLine="420"/>
        <w:rPr>
          <w:color w:val="auto"/>
        </w:rPr>
      </w:pPr>
      <w:r>
        <w:rPr>
          <w:rFonts w:hint="eastAsia"/>
          <w:color w:val="auto"/>
        </w:rPr>
        <w:t>按GB/T 144中4.1规定的尺寸检量执行。（与第二章规范性文件中带不带年号要统一，建议不带年号）</w:t>
      </w:r>
    </w:p>
    <w:p w14:paraId="2E69FCA6">
      <w:pPr>
        <w:pStyle w:val="105"/>
        <w:spacing w:before="120" w:after="120"/>
        <w:rPr>
          <w:color w:val="auto"/>
        </w:rPr>
      </w:pPr>
      <w:r>
        <w:rPr>
          <w:rFonts w:hint="eastAsia"/>
          <w:color w:val="auto"/>
        </w:rPr>
        <w:t>材质检量</w:t>
      </w:r>
    </w:p>
    <w:p w14:paraId="766A0F97">
      <w:pPr>
        <w:pStyle w:val="56"/>
        <w:ind w:firstLine="420"/>
        <w:rPr>
          <w:color w:val="auto"/>
        </w:rPr>
      </w:pPr>
      <w:r>
        <w:rPr>
          <w:rFonts w:hint="eastAsia"/>
          <w:color w:val="auto"/>
        </w:rPr>
        <w:t>按GB/T 144中5材质检量规定执行。</w:t>
      </w:r>
    </w:p>
    <w:p w14:paraId="70CBAAC5">
      <w:pPr>
        <w:pStyle w:val="105"/>
        <w:spacing w:before="120" w:after="120"/>
        <w:rPr>
          <w:color w:val="auto"/>
        </w:rPr>
      </w:pPr>
      <w:r>
        <w:rPr>
          <w:rFonts w:hint="eastAsia"/>
          <w:color w:val="auto"/>
        </w:rPr>
        <w:t>材积计算</w:t>
      </w:r>
    </w:p>
    <w:p w14:paraId="58F294FF">
      <w:pPr>
        <w:pStyle w:val="56"/>
        <w:ind w:firstLine="420"/>
        <w:rPr>
          <w:color w:val="auto"/>
        </w:rPr>
      </w:pPr>
      <w:r>
        <w:rPr>
          <w:rFonts w:hint="eastAsia"/>
          <w:color w:val="auto"/>
        </w:rPr>
        <w:t>按GB/T 4814中3.2材积计算规定执行。</w:t>
      </w:r>
    </w:p>
    <w:p w14:paraId="7910BFDA">
      <w:pPr>
        <w:pStyle w:val="104"/>
        <w:spacing w:before="240" w:after="240"/>
        <w:rPr>
          <w:color w:val="auto"/>
        </w:rPr>
      </w:pPr>
      <w:r>
        <w:rPr>
          <w:rFonts w:hint="eastAsia"/>
          <w:color w:val="auto"/>
        </w:rPr>
        <w:t>抽样和判定规则</w:t>
      </w:r>
    </w:p>
    <w:p w14:paraId="1E36B62C">
      <w:pPr>
        <w:pStyle w:val="105"/>
        <w:spacing w:before="120" w:after="120"/>
        <w:rPr>
          <w:color w:val="auto"/>
        </w:rPr>
      </w:pPr>
      <w:r>
        <w:rPr>
          <w:rFonts w:hint="eastAsia"/>
          <w:color w:val="auto"/>
        </w:rPr>
        <w:t>抽样方案</w:t>
      </w:r>
    </w:p>
    <w:p w14:paraId="2896FB1F">
      <w:pPr>
        <w:pStyle w:val="56"/>
        <w:ind w:firstLine="420"/>
        <w:rPr>
          <w:color w:val="auto"/>
        </w:rPr>
      </w:pPr>
      <w:r>
        <w:rPr>
          <w:rFonts w:hint="eastAsia"/>
          <w:color w:val="auto"/>
        </w:rPr>
        <w:t>无节材质量检查采用GB/T 17659.1一次抽样方案，原木批的接收质量限（AQL）为4.0，检验水平为一般检验水平II,检验的严格度为正常检验，抽样方案见表5。</w:t>
      </w:r>
    </w:p>
    <w:p w14:paraId="0877156D">
      <w:pPr>
        <w:pStyle w:val="105"/>
        <w:spacing w:before="120" w:after="120"/>
        <w:rPr>
          <w:color w:val="auto"/>
        </w:rPr>
      </w:pPr>
      <w:r>
        <w:rPr>
          <w:rFonts w:hint="eastAsia"/>
          <w:color w:val="auto"/>
        </w:rPr>
        <w:t>判定</w:t>
      </w:r>
    </w:p>
    <w:p w14:paraId="1A452DC0">
      <w:pPr>
        <w:pStyle w:val="56"/>
        <w:ind w:firstLine="420"/>
        <w:rPr>
          <w:color w:val="auto"/>
        </w:rPr>
      </w:pPr>
      <w:r>
        <w:rPr>
          <w:rFonts w:hint="eastAsia"/>
          <w:color w:val="auto"/>
        </w:rPr>
        <w:t>将任意10根桉树原木组成一组，对样本的质量特征进行逐项检查。根据样本检查结果，样本中不合格数小于等于表5所对应的合格判定数，则判该批次质量合格。任一组初检样本检验结果中某项指标不合格时，允许复检一次。</w:t>
      </w:r>
    </w:p>
    <w:p w14:paraId="43E907C6">
      <w:pPr>
        <w:widowControl/>
        <w:snapToGrid w:val="0"/>
        <w:spacing w:beforeLines="50" w:afterLines="50" w:line="240" w:lineRule="auto"/>
        <w:ind w:left="420" w:firstLine="420"/>
        <w:jc w:val="center"/>
        <w:textAlignment w:val="baseline"/>
        <w:rPr>
          <w:rFonts w:ascii="黑体" w:hAnsi="黑体" w:eastAsia="黑体" w:cs="宋体"/>
          <w:color w:val="auto"/>
          <w:kern w:val="21"/>
        </w:rPr>
      </w:pPr>
      <w:r>
        <w:rPr>
          <w:rFonts w:hint="eastAsia" w:ascii="黑体" w:hAnsi="黑体" w:eastAsia="黑体" w:cs="宋体"/>
          <w:color w:val="auto"/>
          <w:kern w:val="21"/>
        </w:rPr>
        <w:t>表5</w:t>
      </w:r>
      <w:r>
        <w:rPr>
          <w:rFonts w:hint="eastAsia" w:ascii="黑体" w:hAnsi="黑体" w:eastAsia="黑体" w:cs="宋体"/>
          <w:color w:val="auto"/>
          <w:kern w:val="21"/>
          <w:lang w:val="en-US" w:eastAsia="zh-CN"/>
        </w:rPr>
        <w:t xml:space="preserve"> </w:t>
      </w:r>
      <w:r>
        <w:rPr>
          <w:rFonts w:hint="eastAsia" w:ascii="黑体" w:hAnsi="黑体" w:eastAsia="黑体" w:cs="宋体"/>
          <w:color w:val="auto"/>
          <w:kern w:val="21"/>
        </w:rPr>
        <w:t>抽样方案（表格外框线、表头线磅数参照表1）</w:t>
      </w:r>
    </w:p>
    <w:tbl>
      <w:tblPr>
        <w:tblStyle w:val="26"/>
        <w:tblW w:w="4998"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147"/>
        <w:gridCol w:w="2473"/>
        <w:gridCol w:w="2473"/>
        <w:gridCol w:w="2473"/>
      </w:tblGrid>
      <w:tr w14:paraId="17D762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122" w:type="pct"/>
            <w:tcBorders>
              <w:bottom w:val="single" w:color="auto" w:sz="8" w:space="0"/>
              <w:right w:val="single" w:color="auto" w:sz="4" w:space="0"/>
            </w:tcBorders>
            <w:vAlign w:val="center"/>
          </w:tcPr>
          <w:p w14:paraId="5F4FCE9E">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原木批量/根（件）</w:t>
            </w:r>
          </w:p>
        </w:tc>
        <w:tc>
          <w:tcPr>
            <w:tcW w:w="1292" w:type="pct"/>
            <w:tcBorders>
              <w:left w:val="single" w:color="auto" w:sz="4" w:space="0"/>
              <w:bottom w:val="single" w:color="auto" w:sz="8" w:space="0"/>
              <w:right w:val="single" w:color="auto" w:sz="4" w:space="0"/>
            </w:tcBorders>
            <w:vAlign w:val="center"/>
          </w:tcPr>
          <w:p w14:paraId="1670E1DC">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初检抽样数/根（件）</w:t>
            </w:r>
          </w:p>
        </w:tc>
        <w:tc>
          <w:tcPr>
            <w:tcW w:w="1292" w:type="pct"/>
            <w:tcBorders>
              <w:left w:val="single" w:color="auto" w:sz="4" w:space="0"/>
              <w:bottom w:val="single" w:color="auto" w:sz="8" w:space="0"/>
              <w:right w:val="single" w:color="auto" w:sz="4" w:space="0"/>
            </w:tcBorders>
            <w:vAlign w:val="center"/>
          </w:tcPr>
          <w:p w14:paraId="768D0E04">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复检抽样数/根（件）</w:t>
            </w:r>
          </w:p>
        </w:tc>
        <w:tc>
          <w:tcPr>
            <w:tcW w:w="1292" w:type="pct"/>
            <w:tcBorders>
              <w:left w:val="single" w:color="auto" w:sz="4" w:space="0"/>
              <w:bottom w:val="single" w:color="auto" w:sz="8" w:space="0"/>
            </w:tcBorders>
            <w:vAlign w:val="center"/>
          </w:tcPr>
          <w:p w14:paraId="0B5230F0">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合格判定数/根（件）</w:t>
            </w:r>
          </w:p>
        </w:tc>
      </w:tr>
      <w:tr w14:paraId="2FFC22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122" w:type="pct"/>
            <w:tcBorders>
              <w:top w:val="single" w:color="auto" w:sz="8" w:space="0"/>
              <w:left w:val="single" w:color="auto" w:sz="8" w:space="0"/>
              <w:bottom w:val="single" w:color="auto" w:sz="4" w:space="0"/>
              <w:right w:val="single" w:color="auto" w:sz="4" w:space="0"/>
            </w:tcBorders>
            <w:vAlign w:val="top"/>
          </w:tcPr>
          <w:p w14:paraId="2353ECDA">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≤150</w:t>
            </w:r>
          </w:p>
        </w:tc>
        <w:tc>
          <w:tcPr>
            <w:tcW w:w="1292" w:type="pct"/>
            <w:tcBorders>
              <w:top w:val="single" w:color="auto" w:sz="8" w:space="0"/>
              <w:left w:val="single" w:color="auto" w:sz="4" w:space="0"/>
              <w:bottom w:val="single" w:color="auto" w:sz="4" w:space="0"/>
              <w:right w:val="single" w:color="auto" w:sz="4" w:space="0"/>
            </w:tcBorders>
            <w:vAlign w:val="top"/>
          </w:tcPr>
          <w:p w14:paraId="0E91C571">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10</w:t>
            </w:r>
          </w:p>
        </w:tc>
        <w:tc>
          <w:tcPr>
            <w:tcW w:w="1292" w:type="pct"/>
            <w:tcBorders>
              <w:top w:val="single" w:color="auto" w:sz="8" w:space="0"/>
              <w:left w:val="single" w:color="auto" w:sz="4" w:space="0"/>
              <w:bottom w:val="single" w:color="auto" w:sz="4" w:space="0"/>
              <w:right w:val="single" w:color="auto" w:sz="4" w:space="0"/>
            </w:tcBorders>
            <w:vAlign w:val="top"/>
          </w:tcPr>
          <w:p w14:paraId="6E6B78C2">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20</w:t>
            </w:r>
          </w:p>
        </w:tc>
        <w:tc>
          <w:tcPr>
            <w:tcW w:w="1292" w:type="pct"/>
            <w:tcBorders>
              <w:top w:val="single" w:color="auto" w:sz="8" w:space="0"/>
              <w:left w:val="single" w:color="auto" w:sz="4" w:space="0"/>
              <w:bottom w:val="single" w:color="auto" w:sz="4" w:space="0"/>
              <w:right w:val="single" w:color="auto" w:sz="8" w:space="0"/>
            </w:tcBorders>
            <w:vAlign w:val="top"/>
          </w:tcPr>
          <w:p w14:paraId="7F0F226E">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w:t>
            </w:r>
          </w:p>
        </w:tc>
      </w:tr>
      <w:tr w14:paraId="2B492F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122" w:type="pct"/>
            <w:tcBorders>
              <w:top w:val="single" w:color="auto" w:sz="4" w:space="0"/>
              <w:left w:val="single" w:color="auto" w:sz="8" w:space="0"/>
              <w:bottom w:val="single" w:color="auto" w:sz="4" w:space="0"/>
              <w:right w:val="single" w:color="auto" w:sz="4" w:space="0"/>
            </w:tcBorders>
            <w:vAlign w:val="top"/>
          </w:tcPr>
          <w:p w14:paraId="6DF3E849">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151～280</w:t>
            </w:r>
          </w:p>
        </w:tc>
        <w:tc>
          <w:tcPr>
            <w:tcW w:w="1292" w:type="pct"/>
            <w:tcBorders>
              <w:top w:val="single" w:color="auto" w:sz="4" w:space="0"/>
              <w:left w:val="single" w:color="auto" w:sz="4" w:space="0"/>
              <w:bottom w:val="single" w:color="auto" w:sz="4" w:space="0"/>
              <w:right w:val="single" w:color="auto" w:sz="4" w:space="0"/>
            </w:tcBorders>
            <w:vAlign w:val="top"/>
          </w:tcPr>
          <w:p w14:paraId="268173EA">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20</w:t>
            </w:r>
          </w:p>
        </w:tc>
        <w:tc>
          <w:tcPr>
            <w:tcW w:w="1292" w:type="pct"/>
            <w:tcBorders>
              <w:top w:val="single" w:color="auto" w:sz="4" w:space="0"/>
              <w:left w:val="single" w:color="auto" w:sz="4" w:space="0"/>
              <w:bottom w:val="single" w:color="auto" w:sz="4" w:space="0"/>
              <w:right w:val="single" w:color="auto" w:sz="4" w:space="0"/>
            </w:tcBorders>
            <w:vAlign w:val="top"/>
          </w:tcPr>
          <w:p w14:paraId="2EE60A9C">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40</w:t>
            </w:r>
          </w:p>
        </w:tc>
        <w:tc>
          <w:tcPr>
            <w:tcW w:w="1292" w:type="pct"/>
            <w:tcBorders>
              <w:top w:val="single" w:color="auto" w:sz="4" w:space="0"/>
              <w:left w:val="single" w:color="auto" w:sz="4" w:space="0"/>
              <w:bottom w:val="single" w:color="auto" w:sz="4" w:space="0"/>
              <w:right w:val="single" w:color="auto" w:sz="8" w:space="0"/>
            </w:tcBorders>
            <w:vAlign w:val="top"/>
          </w:tcPr>
          <w:p w14:paraId="72DEF180">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w:t>
            </w:r>
          </w:p>
        </w:tc>
      </w:tr>
      <w:tr w14:paraId="1C2333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122" w:type="pct"/>
            <w:tcBorders>
              <w:top w:val="single" w:color="auto" w:sz="4" w:space="0"/>
              <w:left w:val="single" w:color="auto" w:sz="8" w:space="0"/>
              <w:bottom w:val="single" w:color="auto" w:sz="4" w:space="0"/>
              <w:right w:val="single" w:color="auto" w:sz="4" w:space="0"/>
            </w:tcBorders>
            <w:vAlign w:val="top"/>
          </w:tcPr>
          <w:p w14:paraId="0FC67DDF">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281～500</w:t>
            </w:r>
          </w:p>
        </w:tc>
        <w:tc>
          <w:tcPr>
            <w:tcW w:w="1292" w:type="pct"/>
            <w:tcBorders>
              <w:top w:val="single" w:color="auto" w:sz="4" w:space="0"/>
              <w:left w:val="single" w:color="auto" w:sz="4" w:space="0"/>
              <w:bottom w:val="single" w:color="auto" w:sz="4" w:space="0"/>
              <w:right w:val="single" w:color="auto" w:sz="4" w:space="0"/>
            </w:tcBorders>
            <w:vAlign w:val="top"/>
          </w:tcPr>
          <w:p w14:paraId="59AFC8A8">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40</w:t>
            </w:r>
          </w:p>
        </w:tc>
        <w:tc>
          <w:tcPr>
            <w:tcW w:w="1292" w:type="pct"/>
            <w:tcBorders>
              <w:top w:val="single" w:color="auto" w:sz="4" w:space="0"/>
              <w:left w:val="single" w:color="auto" w:sz="4" w:space="0"/>
              <w:bottom w:val="single" w:color="auto" w:sz="4" w:space="0"/>
              <w:right w:val="single" w:color="auto" w:sz="4" w:space="0"/>
            </w:tcBorders>
            <w:vAlign w:val="top"/>
          </w:tcPr>
          <w:p w14:paraId="269B48B1">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80</w:t>
            </w:r>
          </w:p>
        </w:tc>
        <w:tc>
          <w:tcPr>
            <w:tcW w:w="1292" w:type="pct"/>
            <w:tcBorders>
              <w:top w:val="single" w:color="auto" w:sz="4" w:space="0"/>
              <w:left w:val="single" w:color="auto" w:sz="4" w:space="0"/>
              <w:bottom w:val="single" w:color="auto" w:sz="4" w:space="0"/>
              <w:right w:val="single" w:color="auto" w:sz="8" w:space="0"/>
            </w:tcBorders>
            <w:vAlign w:val="top"/>
          </w:tcPr>
          <w:p w14:paraId="21722337">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3</w:t>
            </w:r>
          </w:p>
        </w:tc>
      </w:tr>
      <w:tr w14:paraId="14E1E0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122" w:type="pct"/>
            <w:tcBorders>
              <w:top w:val="single" w:color="auto" w:sz="4" w:space="0"/>
              <w:left w:val="single" w:color="auto" w:sz="8" w:space="0"/>
              <w:bottom w:val="single" w:color="auto" w:sz="4" w:space="0"/>
              <w:right w:val="single" w:color="auto" w:sz="4" w:space="0"/>
            </w:tcBorders>
            <w:vAlign w:val="top"/>
          </w:tcPr>
          <w:p w14:paraId="428B13ED">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501～1000</w:t>
            </w:r>
          </w:p>
        </w:tc>
        <w:tc>
          <w:tcPr>
            <w:tcW w:w="1292" w:type="pct"/>
            <w:tcBorders>
              <w:top w:val="single" w:color="auto" w:sz="4" w:space="0"/>
              <w:left w:val="single" w:color="auto" w:sz="4" w:space="0"/>
              <w:bottom w:val="single" w:color="auto" w:sz="4" w:space="0"/>
              <w:right w:val="single" w:color="auto" w:sz="4" w:space="0"/>
            </w:tcBorders>
            <w:vAlign w:val="top"/>
          </w:tcPr>
          <w:p w14:paraId="033D62D6">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80</w:t>
            </w:r>
          </w:p>
        </w:tc>
        <w:tc>
          <w:tcPr>
            <w:tcW w:w="1292" w:type="pct"/>
            <w:tcBorders>
              <w:top w:val="single" w:color="auto" w:sz="4" w:space="0"/>
              <w:left w:val="single" w:color="auto" w:sz="4" w:space="0"/>
              <w:bottom w:val="single" w:color="auto" w:sz="4" w:space="0"/>
              <w:right w:val="single" w:color="auto" w:sz="4" w:space="0"/>
            </w:tcBorders>
            <w:vAlign w:val="top"/>
          </w:tcPr>
          <w:p w14:paraId="0CBB4CD7">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160</w:t>
            </w:r>
          </w:p>
        </w:tc>
        <w:tc>
          <w:tcPr>
            <w:tcW w:w="1292" w:type="pct"/>
            <w:tcBorders>
              <w:top w:val="single" w:color="auto" w:sz="4" w:space="0"/>
              <w:left w:val="single" w:color="auto" w:sz="4" w:space="0"/>
              <w:bottom w:val="single" w:color="auto" w:sz="4" w:space="0"/>
              <w:right w:val="single" w:color="auto" w:sz="8" w:space="0"/>
            </w:tcBorders>
            <w:vAlign w:val="top"/>
          </w:tcPr>
          <w:p w14:paraId="754141AB">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5</w:t>
            </w:r>
          </w:p>
        </w:tc>
      </w:tr>
      <w:tr w14:paraId="1CDB2E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1122" w:type="pct"/>
            <w:tcBorders>
              <w:top w:val="single" w:color="auto" w:sz="4" w:space="0"/>
              <w:left w:val="single" w:color="auto" w:sz="8" w:space="0"/>
              <w:bottom w:val="single" w:color="auto" w:sz="8" w:space="0"/>
              <w:right w:val="single" w:color="auto" w:sz="4" w:space="0"/>
            </w:tcBorders>
            <w:vAlign w:val="top"/>
          </w:tcPr>
          <w:p w14:paraId="20AA1313">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≥1001</w:t>
            </w:r>
          </w:p>
        </w:tc>
        <w:tc>
          <w:tcPr>
            <w:tcW w:w="1292" w:type="pct"/>
            <w:tcBorders>
              <w:top w:val="single" w:color="auto" w:sz="4" w:space="0"/>
              <w:left w:val="single" w:color="auto" w:sz="4" w:space="0"/>
              <w:bottom w:val="single" w:color="auto" w:sz="8" w:space="0"/>
              <w:right w:val="single" w:color="auto" w:sz="4" w:space="0"/>
            </w:tcBorders>
            <w:vAlign w:val="top"/>
          </w:tcPr>
          <w:p w14:paraId="7ADC1B2A">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160</w:t>
            </w:r>
          </w:p>
        </w:tc>
        <w:tc>
          <w:tcPr>
            <w:tcW w:w="1292" w:type="pct"/>
            <w:tcBorders>
              <w:top w:val="single" w:color="auto" w:sz="4" w:space="0"/>
              <w:left w:val="single" w:color="auto" w:sz="4" w:space="0"/>
              <w:bottom w:val="single" w:color="auto" w:sz="8" w:space="0"/>
              <w:right w:val="single" w:color="auto" w:sz="4" w:space="0"/>
            </w:tcBorders>
            <w:vAlign w:val="top"/>
          </w:tcPr>
          <w:p w14:paraId="4C71DD97">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320</w:t>
            </w:r>
          </w:p>
        </w:tc>
        <w:tc>
          <w:tcPr>
            <w:tcW w:w="1292" w:type="pct"/>
            <w:tcBorders>
              <w:top w:val="single" w:color="auto" w:sz="4" w:space="0"/>
              <w:left w:val="single" w:color="auto" w:sz="4" w:space="0"/>
              <w:bottom w:val="single" w:color="auto" w:sz="8" w:space="0"/>
              <w:right w:val="single" w:color="auto" w:sz="8" w:space="0"/>
            </w:tcBorders>
            <w:vAlign w:val="top"/>
          </w:tcPr>
          <w:p w14:paraId="16AE877A">
            <w:pPr>
              <w:widowControl/>
              <w:autoSpaceDE w:val="0"/>
              <w:autoSpaceDN w:val="0"/>
              <w:adjustRightInd/>
              <w:spacing w:line="240" w:lineRule="auto"/>
              <w:jc w:val="center"/>
              <w:rPr>
                <w:rFonts w:ascii="宋体" w:hAnsi="宋体"/>
                <w:color w:val="auto"/>
                <w:kern w:val="0"/>
                <w:sz w:val="18"/>
                <w:szCs w:val="18"/>
              </w:rPr>
            </w:pPr>
            <w:r>
              <w:rPr>
                <w:rFonts w:hint="eastAsia" w:ascii="宋体" w:hAnsi="宋体"/>
                <w:color w:val="auto"/>
                <w:kern w:val="0"/>
                <w:sz w:val="18"/>
                <w:szCs w:val="18"/>
              </w:rPr>
              <w:t>7</w:t>
            </w:r>
          </w:p>
        </w:tc>
      </w:tr>
    </w:tbl>
    <w:p w14:paraId="3F69E0C0">
      <w:pPr>
        <w:pStyle w:val="104"/>
        <w:spacing w:before="240" w:after="240"/>
      </w:pPr>
      <w:r>
        <w:rPr>
          <w:rFonts w:hint="eastAsia"/>
        </w:rPr>
        <w:t>标识、运输和贮存</w:t>
      </w:r>
    </w:p>
    <w:p w14:paraId="2CD9460E">
      <w:pPr>
        <w:pStyle w:val="105"/>
        <w:spacing w:before="120" w:after="120"/>
      </w:pPr>
      <w:r>
        <w:rPr>
          <w:rFonts w:hint="eastAsia"/>
        </w:rPr>
        <w:t>标识</w:t>
      </w:r>
    </w:p>
    <w:p w14:paraId="0A3E1F88">
      <w:pPr>
        <w:pStyle w:val="56"/>
        <w:ind w:firstLine="420"/>
      </w:pPr>
      <w:r>
        <w:rPr>
          <w:rFonts w:hint="eastAsia"/>
        </w:rPr>
        <w:t>经检验符合本标准的桉树无节材，应在原木小头标注检尺径和等级，在检验单上标注执行标准、树种、产地、规格、等级、生产日期等。</w:t>
      </w:r>
    </w:p>
    <w:p w14:paraId="56C6A3EB">
      <w:pPr>
        <w:pStyle w:val="105"/>
        <w:spacing w:before="120" w:after="120"/>
      </w:pPr>
      <w:r>
        <w:rPr>
          <w:rFonts w:hint="eastAsia"/>
        </w:rPr>
        <w:t>运输</w:t>
      </w:r>
    </w:p>
    <w:p w14:paraId="0428CC7B">
      <w:pPr>
        <w:pStyle w:val="56"/>
        <w:ind w:firstLine="420"/>
      </w:pPr>
      <w:r>
        <w:rPr>
          <w:rFonts w:hint="eastAsia"/>
        </w:rPr>
        <w:t>选择透气、防水、洁净的运输工具进行运输，在运输过程中，应防止雨淋、污染和剧烈碰撞。</w:t>
      </w:r>
    </w:p>
    <w:bookmarkEnd w:id="22"/>
    <w:p w14:paraId="1D95BABD">
      <w:pPr>
        <w:pStyle w:val="105"/>
        <w:spacing w:before="120" w:after="120"/>
      </w:pPr>
      <w:r>
        <w:rPr>
          <w:rFonts w:hint="eastAsia"/>
        </w:rPr>
        <w:t>贮存</w:t>
      </w:r>
    </w:p>
    <w:p w14:paraId="36E093C4">
      <w:pPr>
        <w:pStyle w:val="56"/>
        <w:ind w:firstLine="420"/>
      </w:pPr>
      <w:r>
        <w:rPr>
          <w:rFonts w:hint="eastAsia"/>
        </w:rPr>
        <w:t>无节材应贮存于硬化地面或与潮湿地隔离的场地，并保持阴凉干燥环境。</w:t>
      </w:r>
    </w:p>
    <w:p w14:paraId="57F692BF">
      <w:pPr>
        <w:pStyle w:val="56"/>
        <w:ind w:firstLine="0" w:firstLineChars="0"/>
        <w:jc w:val="center"/>
        <w:rPr>
          <w:rFonts w:hAnsi="宋体"/>
        </w:rPr>
      </w:pPr>
      <w:r>
        <w:drawing>
          <wp:inline distT="0" distB="0" distL="0" distR="0">
            <wp:extent cx="1489075" cy="316230"/>
            <wp:effectExtent l="0" t="0" r="0" b="7620"/>
            <wp:docPr id="12" name="图片 12" descr="C:\Users\DELL\AppData\Local\Temp\ksohtml7280\wp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DELL\AppData\Local\Temp\ksohtml7280\wps9.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89075" cy="316230"/>
                    </a:xfrm>
                    <a:prstGeom prst="rect">
                      <a:avLst/>
                    </a:prstGeom>
                    <a:noFill/>
                    <a:ln>
                      <a:noFill/>
                    </a:ln>
                  </pic:spPr>
                </pic:pic>
              </a:graphicData>
            </a:graphic>
          </wp:inline>
        </w:drawing>
      </w:r>
    </w:p>
    <w:p w14:paraId="27A5A249">
      <w:pPr>
        <w:pStyle w:val="56"/>
        <w:ind w:firstLine="420"/>
      </w:pPr>
    </w:p>
    <w:sectPr>
      <w:pgSz w:w="11906" w:h="16838"/>
      <w:pgMar w:top="1928" w:right="1134" w:bottom="1134" w:left="1134" w:header="1418" w:footer="1134" w:gutter="284"/>
      <w:pgBorders>
        <w:top w:val="none" w:sz="0" w:space="0"/>
        <w:left w:val="none" w:sz="0" w:space="0"/>
        <w:bottom w:val="none" w:sz="0" w:space="0"/>
        <w:right w:val="none" w:sz="0" w:space="0"/>
      </w:pgBorders>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000AA">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FB35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517E6">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1D75A">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6F2DE">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E12CC">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99F15">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9F652">
    <w:pPr>
      <w:pStyle w:val="61"/>
    </w:pPr>
    <w:r>
      <w:fldChar w:fldCharType="begin"/>
    </w:r>
    <w:r>
      <w:instrText xml:space="preserve"> STYLEREF  标准文件_文件编号  \* MERGEFORMAT </w:instrText>
    </w:r>
    <w:r>
      <w:fldChar w:fldCharType="separate"/>
    </w:r>
    <w:r>
      <w:t>T/GXAS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BF8A0">
    <w:pPr>
      <w:pStyle w:val="18"/>
      <w:jc w:val="right"/>
    </w:pPr>
    <w:r>
      <w:fldChar w:fldCharType="begin"/>
    </w:r>
    <w:r>
      <w:instrText xml:space="preserve"> STYLEREF  标准文件_文件编号  \* MERGEFORMAT </w:instrText>
    </w:r>
    <w:r>
      <w:fldChar w:fldCharType="separate"/>
    </w:r>
    <w:r>
      <w:t>T/GXAS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attachedTemplate r:id="rId1"/>
  <w:documentProtection w:edit="forms" w:enforcement="1" w:cryptProviderType="rsaFull" w:cryptAlgorithmClass="hash" w:cryptAlgorithmType="typeAny" w:cryptAlgorithmSid="4" w:cryptSpinCount="50000" w:hash="Chl73tftw1td2vu7qYAKUvWclB8=" w:salt="tlfwDG674x/jSavFPEPMsA=="/>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E92E08"/>
    <w:rsid w:val="0000040A"/>
    <w:rsid w:val="00000A94"/>
    <w:rsid w:val="00001972"/>
    <w:rsid w:val="00001D9A"/>
    <w:rsid w:val="00007B3A"/>
    <w:rsid w:val="000107E0"/>
    <w:rsid w:val="00011FDE"/>
    <w:rsid w:val="00012FFD"/>
    <w:rsid w:val="00014162"/>
    <w:rsid w:val="00014340"/>
    <w:rsid w:val="00016255"/>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337"/>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050"/>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323"/>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6CFF"/>
    <w:rsid w:val="001529E5"/>
    <w:rsid w:val="00152FB3"/>
    <w:rsid w:val="00153C7E"/>
    <w:rsid w:val="00156B25"/>
    <w:rsid w:val="00156E1A"/>
    <w:rsid w:val="00157894"/>
    <w:rsid w:val="00157B55"/>
    <w:rsid w:val="00163D3C"/>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15D"/>
    <w:rsid w:val="001852C9"/>
    <w:rsid w:val="00187346"/>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01"/>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BC0"/>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60F"/>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656"/>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6D1"/>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3226"/>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3ADE"/>
    <w:rsid w:val="00614CC1"/>
    <w:rsid w:val="00615A9D"/>
    <w:rsid w:val="00617387"/>
    <w:rsid w:val="006205D6"/>
    <w:rsid w:val="0062394E"/>
    <w:rsid w:val="006252D8"/>
    <w:rsid w:val="006259BC"/>
    <w:rsid w:val="0062636B"/>
    <w:rsid w:val="00632182"/>
    <w:rsid w:val="00632AE0"/>
    <w:rsid w:val="00633C17"/>
    <w:rsid w:val="006346D4"/>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56EE"/>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1CEE"/>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665"/>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A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D3D"/>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344"/>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9DE"/>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08E"/>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CED"/>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04"/>
    <w:rsid w:val="00AA672E"/>
    <w:rsid w:val="00AA6EC9"/>
    <w:rsid w:val="00AB6309"/>
    <w:rsid w:val="00AB6C5F"/>
    <w:rsid w:val="00AB7129"/>
    <w:rsid w:val="00AC27A6"/>
    <w:rsid w:val="00AC30F7"/>
    <w:rsid w:val="00AC3A5A"/>
    <w:rsid w:val="00AC4D95"/>
    <w:rsid w:val="00AC5034"/>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0C31"/>
    <w:rsid w:val="00AF47C5"/>
    <w:rsid w:val="00AF5398"/>
    <w:rsid w:val="00B049AF"/>
    <w:rsid w:val="00B07242"/>
    <w:rsid w:val="00B10534"/>
    <w:rsid w:val="00B113DB"/>
    <w:rsid w:val="00B11D8A"/>
    <w:rsid w:val="00B12981"/>
    <w:rsid w:val="00B147DD"/>
    <w:rsid w:val="00B156FD"/>
    <w:rsid w:val="00B21F61"/>
    <w:rsid w:val="00B238AF"/>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C9B"/>
    <w:rsid w:val="00C103E5"/>
    <w:rsid w:val="00C13319"/>
    <w:rsid w:val="00C13EE9"/>
    <w:rsid w:val="00C21540"/>
    <w:rsid w:val="00C21906"/>
    <w:rsid w:val="00C21BFA"/>
    <w:rsid w:val="00C24C8D"/>
    <w:rsid w:val="00C25FE2"/>
    <w:rsid w:val="00C26B53"/>
    <w:rsid w:val="00C279B2"/>
    <w:rsid w:val="00C32923"/>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67EA"/>
    <w:rsid w:val="00C71372"/>
    <w:rsid w:val="00C72410"/>
    <w:rsid w:val="00C7287F"/>
    <w:rsid w:val="00C80CB8"/>
    <w:rsid w:val="00C819F8"/>
    <w:rsid w:val="00C8248C"/>
    <w:rsid w:val="00C84E31"/>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073"/>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CF7D23"/>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B74"/>
    <w:rsid w:val="00D66846"/>
    <w:rsid w:val="00D675FB"/>
    <w:rsid w:val="00D71F25"/>
    <w:rsid w:val="00D72A9C"/>
    <w:rsid w:val="00D77031"/>
    <w:rsid w:val="00D84941"/>
    <w:rsid w:val="00D84FA1"/>
    <w:rsid w:val="00D851F0"/>
    <w:rsid w:val="00D86DB7"/>
    <w:rsid w:val="00D87BF5"/>
    <w:rsid w:val="00D90721"/>
    <w:rsid w:val="00D91EC8"/>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0BA"/>
    <w:rsid w:val="00DB498B"/>
    <w:rsid w:val="00DB66CA"/>
    <w:rsid w:val="00DB6BCA"/>
    <w:rsid w:val="00DB6F54"/>
    <w:rsid w:val="00DB73F7"/>
    <w:rsid w:val="00DC0321"/>
    <w:rsid w:val="00DC3067"/>
    <w:rsid w:val="00DC370B"/>
    <w:rsid w:val="00DC48FF"/>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03E"/>
    <w:rsid w:val="00DF44DE"/>
    <w:rsid w:val="00E01138"/>
    <w:rsid w:val="00E02DFB"/>
    <w:rsid w:val="00E030F9"/>
    <w:rsid w:val="00E0311A"/>
    <w:rsid w:val="00E03138"/>
    <w:rsid w:val="00E06404"/>
    <w:rsid w:val="00E11A85"/>
    <w:rsid w:val="00E12495"/>
    <w:rsid w:val="00E15CCD"/>
    <w:rsid w:val="00E202EF"/>
    <w:rsid w:val="00E210B5"/>
    <w:rsid w:val="00E2440F"/>
    <w:rsid w:val="00E24BC5"/>
    <w:rsid w:val="00E2552F"/>
    <w:rsid w:val="00E26576"/>
    <w:rsid w:val="00E3137A"/>
    <w:rsid w:val="00E32218"/>
    <w:rsid w:val="00E32CCF"/>
    <w:rsid w:val="00E34A98"/>
    <w:rsid w:val="00E35D1E"/>
    <w:rsid w:val="00E364F9"/>
    <w:rsid w:val="00E365FA"/>
    <w:rsid w:val="00E36789"/>
    <w:rsid w:val="00E44A83"/>
    <w:rsid w:val="00E47E21"/>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6F89"/>
    <w:rsid w:val="00E77A03"/>
    <w:rsid w:val="00E822E8"/>
    <w:rsid w:val="00E82554"/>
    <w:rsid w:val="00E82606"/>
    <w:rsid w:val="00E831C1"/>
    <w:rsid w:val="00E846C8"/>
    <w:rsid w:val="00E84957"/>
    <w:rsid w:val="00E84A55"/>
    <w:rsid w:val="00E85225"/>
    <w:rsid w:val="00E85BFF"/>
    <w:rsid w:val="00E90391"/>
    <w:rsid w:val="00E906C2"/>
    <w:rsid w:val="00E92E08"/>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27E3"/>
    <w:rsid w:val="00F33817"/>
    <w:rsid w:val="00F34438"/>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34DE"/>
    <w:rsid w:val="00F84FD0"/>
    <w:rsid w:val="00F859A8"/>
    <w:rsid w:val="00F86D87"/>
    <w:rsid w:val="00F9013B"/>
    <w:rsid w:val="00F9108B"/>
    <w:rsid w:val="00F91349"/>
    <w:rsid w:val="00F93A8A"/>
    <w:rsid w:val="00F95248"/>
    <w:rsid w:val="00F956A9"/>
    <w:rsid w:val="00F963ED"/>
    <w:rsid w:val="00F966CF"/>
    <w:rsid w:val="00F96CAE"/>
    <w:rsid w:val="00F97C99"/>
    <w:rsid w:val="00FA1550"/>
    <w:rsid w:val="00FA64B9"/>
    <w:rsid w:val="00FA662D"/>
    <w:rsid w:val="00FA73B1"/>
    <w:rsid w:val="00FB0CB9"/>
    <w:rsid w:val="00FB213E"/>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4313AE"/>
    <w:rsid w:val="014C6B51"/>
    <w:rsid w:val="0216715F"/>
    <w:rsid w:val="02D07463"/>
    <w:rsid w:val="0B183F48"/>
    <w:rsid w:val="0D6214AA"/>
    <w:rsid w:val="0F506F22"/>
    <w:rsid w:val="0FFB6C85"/>
    <w:rsid w:val="12E36BE9"/>
    <w:rsid w:val="12E50BB3"/>
    <w:rsid w:val="13C24A51"/>
    <w:rsid w:val="146B50E8"/>
    <w:rsid w:val="160C56E7"/>
    <w:rsid w:val="162B0FD3"/>
    <w:rsid w:val="1B617245"/>
    <w:rsid w:val="1C447184"/>
    <w:rsid w:val="1D724BD4"/>
    <w:rsid w:val="1D890B16"/>
    <w:rsid w:val="1ED33FB6"/>
    <w:rsid w:val="1F187CA2"/>
    <w:rsid w:val="22173BAC"/>
    <w:rsid w:val="225C2967"/>
    <w:rsid w:val="22EE7610"/>
    <w:rsid w:val="230B6414"/>
    <w:rsid w:val="25DA48CA"/>
    <w:rsid w:val="2B4F70BA"/>
    <w:rsid w:val="2B5D1343"/>
    <w:rsid w:val="2D9B2DD7"/>
    <w:rsid w:val="33CD3272"/>
    <w:rsid w:val="34AE30A3"/>
    <w:rsid w:val="353C0558"/>
    <w:rsid w:val="35551771"/>
    <w:rsid w:val="356279EA"/>
    <w:rsid w:val="38DE1A7D"/>
    <w:rsid w:val="38E01351"/>
    <w:rsid w:val="3A364561"/>
    <w:rsid w:val="3AF5293A"/>
    <w:rsid w:val="3B255741"/>
    <w:rsid w:val="3C381F7C"/>
    <w:rsid w:val="3D0A4BEF"/>
    <w:rsid w:val="3E7A5DA4"/>
    <w:rsid w:val="3EF244DF"/>
    <w:rsid w:val="41232723"/>
    <w:rsid w:val="41782A6F"/>
    <w:rsid w:val="41950B2F"/>
    <w:rsid w:val="42156510"/>
    <w:rsid w:val="42B555FD"/>
    <w:rsid w:val="43FE4D82"/>
    <w:rsid w:val="462D63CF"/>
    <w:rsid w:val="4A9B77CE"/>
    <w:rsid w:val="4B7E75F2"/>
    <w:rsid w:val="4BA75C81"/>
    <w:rsid w:val="508B63A7"/>
    <w:rsid w:val="51937451"/>
    <w:rsid w:val="529B56A6"/>
    <w:rsid w:val="53E45D42"/>
    <w:rsid w:val="54AD4386"/>
    <w:rsid w:val="556C2B65"/>
    <w:rsid w:val="56293EE0"/>
    <w:rsid w:val="57EA769F"/>
    <w:rsid w:val="582351DE"/>
    <w:rsid w:val="584B6B64"/>
    <w:rsid w:val="594430E6"/>
    <w:rsid w:val="594F0101"/>
    <w:rsid w:val="5954396A"/>
    <w:rsid w:val="5A64198B"/>
    <w:rsid w:val="5C4557EC"/>
    <w:rsid w:val="5EB761CF"/>
    <w:rsid w:val="5F074FDA"/>
    <w:rsid w:val="5F0D5FB4"/>
    <w:rsid w:val="60D31618"/>
    <w:rsid w:val="60D4713E"/>
    <w:rsid w:val="612E684E"/>
    <w:rsid w:val="61BC4C6D"/>
    <w:rsid w:val="61F555BE"/>
    <w:rsid w:val="628801E0"/>
    <w:rsid w:val="64A86918"/>
    <w:rsid w:val="678571DD"/>
    <w:rsid w:val="67FC1489"/>
    <w:rsid w:val="68292A7A"/>
    <w:rsid w:val="6974326C"/>
    <w:rsid w:val="69B813AB"/>
    <w:rsid w:val="69BB533F"/>
    <w:rsid w:val="6BCE4EB6"/>
    <w:rsid w:val="6C450BB1"/>
    <w:rsid w:val="6D714693"/>
    <w:rsid w:val="70052E70"/>
    <w:rsid w:val="7281466D"/>
    <w:rsid w:val="747448B2"/>
    <w:rsid w:val="74AC4202"/>
    <w:rsid w:val="788371C7"/>
    <w:rsid w:val="7AE5221C"/>
    <w:rsid w:val="7B904EA5"/>
    <w:rsid w:val="7BF85B9E"/>
    <w:rsid w:val="7DC75C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93880024828431194F5190C09CCF686"/>
        <w:style w:val=""/>
        <w:category>
          <w:name w:val="常规"/>
          <w:gallery w:val="placeholder"/>
        </w:category>
        <w:types>
          <w:type w:val="bbPlcHdr"/>
        </w:types>
        <w:behaviors>
          <w:behavior w:val="content"/>
        </w:behaviors>
        <w:description w:val=""/>
        <w:guid w:val="{E5623462-9EF6-4307-97B6-05421934B854}"/>
      </w:docPartPr>
      <w:docPartBody>
        <w:p w14:paraId="7AD1BFA8">
          <w:pPr>
            <w:pStyle w:val="5"/>
          </w:pPr>
          <w:r>
            <w:rPr>
              <w:rStyle w:val="4"/>
              <w:rFonts w:hint="eastAsia"/>
            </w:rPr>
            <w:t>单击或点击此处输入文字。</w:t>
          </w:r>
        </w:p>
      </w:docPartBody>
    </w:docPart>
    <w:docPart>
      <w:docPartPr>
        <w:name w:val="2E2C8F5C6A26465E9934ADD3434108E9"/>
        <w:style w:val=""/>
        <w:category>
          <w:name w:val="常规"/>
          <w:gallery w:val="placeholder"/>
        </w:category>
        <w:types>
          <w:type w:val="bbPlcHdr"/>
        </w:types>
        <w:behaviors>
          <w:behavior w:val="content"/>
        </w:behaviors>
        <w:description w:val=""/>
        <w:guid w:val="{942942F6-69A4-4ED5-AB74-9F9870EBDB22}"/>
      </w:docPartPr>
      <w:docPartBody>
        <w:p w14:paraId="36071F3F">
          <w:pPr>
            <w:pStyle w:val="6"/>
          </w:pPr>
          <w:r>
            <w:rPr>
              <w:rStyle w:val="4"/>
              <w:rFonts w:hint="eastAsia"/>
            </w:rPr>
            <w:t>选择一项。</w:t>
          </w:r>
        </w:p>
      </w:docPartBody>
    </w:docPart>
    <w:docPart>
      <w:docPartPr>
        <w:name w:val="B20A4D9D4747488B9B14B1CEB48691F2"/>
        <w:style w:val=""/>
        <w:category>
          <w:name w:val="常规"/>
          <w:gallery w:val="placeholder"/>
        </w:category>
        <w:types>
          <w:type w:val="bbPlcHdr"/>
        </w:types>
        <w:behaviors>
          <w:behavior w:val="content"/>
        </w:behaviors>
        <w:description w:val=""/>
        <w:guid w:val="{9D1B339B-E98C-4786-A889-78006B9183AD}"/>
      </w:docPartPr>
      <w:docPartBody>
        <w:p w14:paraId="093932CB">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329D8"/>
    <w:rsid w:val="003329D8"/>
    <w:rsid w:val="009262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93880024828431194F5190C09CCF68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E2C8F5C6A26465E9934ADD3434108E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20A4D9D4747488B9B14B1CEB48691F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197A06-D8B0-40B1-B5D7-93D12967E4C7}">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7</Pages>
  <Words>3046</Words>
  <Characters>3757</Characters>
  <Lines>33</Lines>
  <Paragraphs>9</Paragraphs>
  <TotalTime>37</TotalTime>
  <ScaleCrop>false</ScaleCrop>
  <LinksUpToDate>false</LinksUpToDate>
  <CharactersWithSpaces>3987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2026-07-28T03:42:00Z</dcterms:created>
  <dc:creator>郭东强</dc:creator>
  <dc:description>&lt;config cover="true" show_menu="true" version="1.0.0" doctype="SDKXY"&gt;_x000d_
&lt;/config&gt;</dc:description>
  <cp:lastModifiedBy>覃门答香</cp:lastModifiedBy>
  <cp:lastPrinted>2021-02-02T08:22:00Z</cp:lastPrinted>
  <dcterms:modified xsi:type="dcterms:W3CDTF">2026-08-05T04:29:56Z</dcterms:modified>
  <dc:title>团体标准</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eyJoZGlkIjoiZDUyMTJhOGQ3MDBlYjRiYWJkMjc5MDg1MGEwNjdkMzAiLCJ1c2VySWQiOiI3MDcyODgzNzAifQ==</vt:lpwstr>
  </property>
  <property fmtid="{D5CDD505-2E9C-101B-9397-08002B2CF9AE}" pid="15" name="KSOProductBuildVer">
    <vt:lpwstr>2052-12.1.0.28043</vt:lpwstr>
  </property>
  <property fmtid="{D5CDD505-2E9C-101B-9397-08002B2CF9AE}" pid="16" name="ICV">
    <vt:lpwstr>1C30015FEEB846EE9686008BA2FA4473_12</vt:lpwstr>
  </property>
</Properties>
</file>