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FB1C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9CB5BB">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1F4998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01.040.65</w:t>
            </w:r>
            <w:r>
              <w:rPr>
                <w:rFonts w:ascii="黑体" w:hAnsi="黑体" w:eastAsia="黑体"/>
                <w:sz w:val="21"/>
                <w:szCs w:val="21"/>
              </w:rPr>
              <w:fldChar w:fldCharType="end"/>
            </w:r>
            <w:bookmarkEnd w:id="0"/>
          </w:p>
        </w:tc>
      </w:tr>
      <w:tr w14:paraId="0B58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A4D6F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E899F8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8D6ABCC">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val="en-US" w:eastAsia="zh-CN"/>
                    </w:rPr>
                    <w:t xml:space="preserve"> </w:t>
                  </w:r>
                  <w:r>
                    <w:rPr>
                      <w:rFonts w:hint="eastAsia"/>
                    </w:rPr>
                    <w:t>GXAS</w:t>
                  </w:r>
                  <w:r>
                    <w:fldChar w:fldCharType="end"/>
                  </w:r>
                  <w:bookmarkEnd w:id="1"/>
                </w:p>
              </w:tc>
            </w:tr>
          </w:tbl>
          <w:p w14:paraId="514F681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lang w:val="en-US" w:eastAsia="zh-CN"/>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hint="eastAsia" w:ascii="黑体" w:hAnsi="黑体" w:eastAsia="黑体"/>
                <w:sz w:val="21"/>
                <w:szCs w:val="21"/>
                <w:lang w:val="en-US" w:eastAsia="zh-CN"/>
              </w:rPr>
              <w:t xml:space="preserve"> </w:t>
            </w:r>
            <w:r>
              <w:rPr>
                <w:rFonts w:hint="eastAsia" w:ascii="黑体" w:hAnsi="黑体" w:eastAsia="黑体"/>
                <w:sz w:val="21"/>
                <w:szCs w:val="21"/>
              </w:rPr>
              <w:t>60/7</w:t>
            </w:r>
            <w:r>
              <w:rPr>
                <w:rFonts w:hint="eastAsia" w:ascii="黑体" w:hAnsi="黑体" w:eastAsia="黑体"/>
                <w:sz w:val="21"/>
                <w:szCs w:val="21"/>
                <w:lang w:val="en-US" w:eastAsia="zh-CN"/>
              </w:rPr>
              <w:t>9</w:t>
            </w:r>
          </w:p>
          <w:p w14:paraId="3FFC6A7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lang w:val="en-US" w:eastAsia="zh-CN"/>
              </w:rPr>
            </w:pPr>
          </w:p>
          <w:p w14:paraId="02E66C4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lang w:val="en-US" w:eastAsia="zh-CN"/>
              </w:rPr>
            </w:pPr>
          </w:p>
          <w:p w14:paraId="30BADA6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end"/>
            </w:r>
            <w:bookmarkEnd w:id="2"/>
          </w:p>
        </w:tc>
      </w:tr>
    </w:tbl>
    <w:p w14:paraId="68B0D1FA">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2744872">
      <w:pPr>
        <w:pStyle w:val="196"/>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lang w:eastAsia="zh-CN"/>
        </w:rPr>
        <w:t>G</w:t>
      </w:r>
      <w:r>
        <w:rPr>
          <w:rFonts w:hint="eastAsia"/>
          <w:lang w:val="en-US" w:eastAsia="zh-CN"/>
        </w:rPr>
        <w:t>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20C3B72">
      <w:pPr>
        <w:pStyle w:val="197"/>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4A514BD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D6951A">
      <w:pPr>
        <w:pStyle w:val="51"/>
        <w:framePr w:w="9639" w:h="6976" w:hRule="exact" w:hSpace="0" w:vSpace="0" w:wrap="around" w:hAnchor="page" w:y="6408"/>
        <w:jc w:val="center"/>
        <w:rPr>
          <w:rFonts w:hint="eastAsia" w:ascii="黑体" w:hAnsi="黑体" w:eastAsia="黑体"/>
          <w:b w:val="0"/>
          <w:bCs w:val="0"/>
          <w:w w:val="100"/>
        </w:rPr>
      </w:pPr>
    </w:p>
    <w:p w14:paraId="6222C9CE">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睡莲干花</w:t>
      </w:r>
      <w:r>
        <w:rPr>
          <w:rFonts w:hint="eastAsia"/>
        </w:rPr>
        <w:t>制品</w:t>
      </w:r>
      <w:r>
        <w:t>加工技术规程</w:t>
      </w:r>
      <w:r>
        <w:fldChar w:fldCharType="end"/>
      </w:r>
      <w:bookmarkEnd w:id="8"/>
    </w:p>
    <w:p w14:paraId="6BA4C8FD">
      <w:pPr>
        <w:framePr w:w="9639" w:h="6974" w:hRule="exact" w:wrap="around" w:vAnchor="page" w:hAnchor="page" w:x="1419" w:y="6408" w:anchorLock="1"/>
        <w:ind w:left="-1418"/>
      </w:pPr>
    </w:p>
    <w:p w14:paraId="2BBF73FE">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code of practice for processing of</w:t>
      </w:r>
      <w:r>
        <w:rPr>
          <w:rFonts w:hint="eastAsia" w:ascii="黑体" w:hAnsi="黑体" w:eastAsia="黑体"/>
          <w:szCs w:val="28"/>
          <w:lang w:val="en-US" w:eastAsia="zh-CN"/>
        </w:rPr>
        <w:t xml:space="preserve"> </w:t>
      </w:r>
      <w:r>
        <w:rPr>
          <w:rFonts w:hint="eastAsia" w:ascii="黑体" w:hAnsi="黑体" w:eastAsia="黑体"/>
          <w:szCs w:val="28"/>
        </w:rPr>
        <w:t>waterlily dried flower</w:t>
      </w:r>
      <w:r>
        <w:rPr>
          <w:rFonts w:ascii="黑体" w:hAnsi="黑体" w:eastAsia="黑体"/>
          <w:szCs w:val="28"/>
        </w:rPr>
        <w:fldChar w:fldCharType="end"/>
      </w:r>
      <w:bookmarkEnd w:id="9"/>
    </w:p>
    <w:p w14:paraId="6AD1A845">
      <w:pPr>
        <w:framePr w:w="9639" w:h="6974" w:hRule="exact" w:wrap="around" w:vAnchor="page" w:hAnchor="page" w:x="1419" w:y="6408" w:anchorLock="1"/>
        <w:spacing w:line="760" w:lineRule="exact"/>
        <w:ind w:left="-1418"/>
      </w:pPr>
    </w:p>
    <w:p w14:paraId="08314679">
      <w:pPr>
        <w:pStyle w:val="126"/>
        <w:framePr w:w="9639" w:h="6974" w:hRule="exact" w:wrap="around" w:vAnchor="page" w:hAnchor="page" w:x="1419" w:y="6408" w:anchorLock="1"/>
        <w:textAlignment w:val="bottom"/>
        <w:rPr>
          <w:rFonts w:eastAsia="黑体"/>
          <w:szCs w:val="28"/>
        </w:rPr>
      </w:pPr>
    </w:p>
    <w:p w14:paraId="6569368B">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105E613E">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024</w:t>
      </w:r>
      <w:r>
        <w:rPr>
          <w:rFonts w:hint="eastAsia"/>
          <w:sz w:val="21"/>
          <w:szCs w:val="28"/>
        </w:rPr>
        <w:t>年9月）</w:t>
      </w:r>
      <w:r>
        <w:rPr>
          <w:sz w:val="21"/>
          <w:szCs w:val="28"/>
        </w:rPr>
        <w:fldChar w:fldCharType="end"/>
      </w:r>
      <w:bookmarkEnd w:id="11"/>
    </w:p>
    <w:p w14:paraId="0FC54CD6">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1F2161E5">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EB551DA">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6D11F2DB">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7DF12DE">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759C7D0">
      <w:pPr>
        <w:pStyle w:val="90"/>
        <w:spacing w:after="360"/>
      </w:pPr>
      <w:bookmarkStart w:id="20" w:name="BookMark2"/>
      <w:r>
        <w:rPr>
          <w:spacing w:val="320"/>
        </w:rPr>
        <w:t>前</w:t>
      </w:r>
      <w:r>
        <w:t>言</w:t>
      </w:r>
    </w:p>
    <w:p w14:paraId="0A534FE1">
      <w:pPr>
        <w:pStyle w:val="57"/>
        <w:ind w:firstLine="420"/>
      </w:pPr>
      <w:r>
        <w:rPr>
          <w:rFonts w:hint="eastAsia"/>
        </w:rPr>
        <w:t>本文件</w:t>
      </w:r>
      <w:r>
        <w:rPr>
          <w:rFonts w:hint="eastAsia"/>
          <w:lang w:val="en-US" w:eastAsia="zh-CN"/>
        </w:rPr>
        <w:t>参</w:t>
      </w:r>
      <w:r>
        <w:rPr>
          <w:rFonts w:hint="eastAsia"/>
        </w:rPr>
        <w:t>照GB/T 1.1—2020《标准化工作导则  第1部分：标准化文件的结构和起草规则》的规定起草。</w:t>
      </w:r>
    </w:p>
    <w:p w14:paraId="392C31FF">
      <w:pPr>
        <w:pStyle w:val="57"/>
        <w:ind w:firstLine="420"/>
      </w:pPr>
      <w:r>
        <w:rPr>
          <w:rFonts w:hint="eastAsia"/>
        </w:rPr>
        <w:t>请注意本文件的某些内容可能涉及专利。本文件的发布机构不承担识别专利的责任。</w:t>
      </w:r>
    </w:p>
    <w:p w14:paraId="6F86D382">
      <w:pPr>
        <w:pStyle w:val="57"/>
        <w:ind w:firstLine="420"/>
        <w:rPr>
          <w:rFonts w:hint="eastAsia"/>
        </w:rPr>
      </w:pPr>
      <w:r>
        <w:rPr>
          <w:rFonts w:hint="eastAsia"/>
        </w:rPr>
        <w:t>本文件由广西花卉协会提出</w:t>
      </w:r>
      <w:r>
        <w:rPr>
          <w:rFonts w:hint="eastAsia"/>
          <w:lang w:eastAsia="zh-CN"/>
        </w:rPr>
        <w:t>、</w:t>
      </w:r>
      <w:r>
        <w:rPr>
          <w:rFonts w:hint="eastAsia"/>
          <w:lang w:val="en-US" w:eastAsia="zh-CN"/>
        </w:rPr>
        <w:t>归口</w:t>
      </w:r>
      <w:r>
        <w:rPr>
          <w:rFonts w:hint="eastAsia"/>
        </w:rPr>
        <w:t>并宣贯。</w:t>
      </w:r>
    </w:p>
    <w:p w14:paraId="226D1432">
      <w:pPr>
        <w:pStyle w:val="57"/>
        <w:ind w:firstLine="420"/>
      </w:pPr>
      <w:bookmarkStart w:id="45" w:name="_GoBack"/>
      <w:bookmarkEnd w:id="45"/>
      <w:r>
        <w:rPr>
          <w:rFonts w:hint="eastAsia"/>
        </w:rPr>
        <w:t>本文件起草单位：广西壮族自治区亚热带作物研究所、广西平果华莲科技研究所、柳州市时鲜种养专业合作社、柳州市洪伦种养专业合作社。</w:t>
      </w:r>
    </w:p>
    <w:p w14:paraId="4DAC8047">
      <w:pPr>
        <w:pStyle w:val="57"/>
        <w:ind w:firstLine="420"/>
        <w:rPr>
          <w:szCs w:val="21"/>
        </w:rPr>
      </w:pPr>
      <w:r>
        <w:rPr>
          <w:rFonts w:hint="eastAsia"/>
        </w:rPr>
        <w:t>本文件主要起草人：</w:t>
      </w:r>
      <w:r>
        <w:rPr>
          <w:rFonts w:hint="eastAsia" w:hAnsi="宋体"/>
        </w:rPr>
        <w:t>毛立彦、龙凌云、农晓慧、覃向鲜、覃庆豪、丁丽琼、黄秋伟、於艳萍、韦勇杰、黄国振、陆祖正、黄歆怡、谢振兴、覃茜、罗清、谭奕为、唐毓玮、宾振钧、苏文潘</w:t>
      </w:r>
    </w:p>
    <w:p w14:paraId="6DC213E2">
      <w:pPr>
        <w:pStyle w:val="57"/>
        <w:ind w:firstLine="420"/>
      </w:pPr>
    </w:p>
    <w:p w14:paraId="4981BB1D">
      <w:pPr>
        <w:pStyle w:val="57"/>
        <w:ind w:firstLine="420"/>
      </w:pPr>
    </w:p>
    <w:p w14:paraId="63ED004C">
      <w:pPr>
        <w:pStyle w:val="57"/>
        <w:ind w:firstLine="42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bookmarkEnd w:id="20"/>
    <w:p w14:paraId="012FABDC">
      <w:pPr>
        <w:spacing w:line="20" w:lineRule="exact"/>
        <w:jc w:val="center"/>
        <w:rPr>
          <w:rFonts w:hint="eastAsia" w:ascii="黑体" w:hAnsi="黑体" w:eastAsia="黑体"/>
          <w:sz w:val="32"/>
          <w:szCs w:val="32"/>
        </w:rPr>
      </w:pPr>
      <w:bookmarkStart w:id="21" w:name="BookMark4"/>
    </w:p>
    <w:p w14:paraId="1CE0D471">
      <w:pPr>
        <w:spacing w:line="20" w:lineRule="exact"/>
        <w:jc w:val="center"/>
        <w:rPr>
          <w:rFonts w:hint="eastAsia" w:ascii="黑体" w:hAnsi="黑体" w:eastAsia="黑体"/>
          <w:sz w:val="32"/>
          <w:szCs w:val="32"/>
        </w:rPr>
      </w:pPr>
    </w:p>
    <w:sdt>
      <w:sdtPr>
        <w:tag w:val="NEW_STAND_NAME"/>
        <w:id w:val="595910757"/>
        <w:lock w:val="sdtLocked"/>
        <w:placeholder>
          <w:docPart w:val="8445DB7D69804A50A6CF73AC605C793F"/>
        </w:placeholder>
      </w:sdtPr>
      <w:sdtContent>
        <w:p w14:paraId="7842AB65">
          <w:pPr>
            <w:pStyle w:val="178"/>
            <w:spacing w:before="2" w:beforeLines="1" w:after="528" w:afterLines="220"/>
            <w:rPr>
              <w:rFonts w:hint="eastAsia"/>
            </w:rPr>
          </w:pPr>
          <w:bookmarkStart w:id="22" w:name="NEW_STAND_NAME"/>
          <w:r>
            <w:rPr>
              <w:rFonts w:hint="eastAsia"/>
            </w:rPr>
            <w:t>睡莲干花制品加工技术规程</w:t>
          </w:r>
        </w:p>
      </w:sdtContent>
    </w:sdt>
    <w:bookmarkEnd w:id="22"/>
    <w:p w14:paraId="30B63DD0">
      <w:pPr>
        <w:pStyle w:val="105"/>
        <w:spacing w:before="240" w:after="240"/>
      </w:pPr>
      <w:bookmarkStart w:id="23" w:name="_Toc24884218"/>
      <w:bookmarkStart w:id="24" w:name="_Toc24884211"/>
      <w:bookmarkStart w:id="25" w:name="_Toc26986771"/>
      <w:bookmarkStart w:id="26" w:name="_Toc17233333"/>
      <w:bookmarkStart w:id="27" w:name="_Toc26648465"/>
      <w:bookmarkStart w:id="28" w:name="_Toc26718930"/>
      <w:bookmarkStart w:id="29" w:name="_Toc97192964"/>
      <w:bookmarkStart w:id="30" w:name="_Toc17233325"/>
      <w:bookmarkStart w:id="31" w:name="_Toc26986530"/>
      <w:r>
        <w:rPr>
          <w:rFonts w:hint="eastAsia"/>
        </w:rPr>
        <w:t>范围</w:t>
      </w:r>
      <w:bookmarkEnd w:id="23"/>
      <w:bookmarkEnd w:id="24"/>
      <w:bookmarkEnd w:id="25"/>
      <w:bookmarkEnd w:id="26"/>
      <w:bookmarkEnd w:id="27"/>
      <w:bookmarkEnd w:id="28"/>
      <w:bookmarkEnd w:id="29"/>
      <w:bookmarkEnd w:id="30"/>
      <w:bookmarkEnd w:id="31"/>
    </w:p>
    <w:p w14:paraId="2369E13D">
      <w:pPr>
        <w:pStyle w:val="57"/>
        <w:ind w:firstLine="420"/>
        <w:rPr>
          <w:rFonts w:hint="eastAsia"/>
        </w:rPr>
      </w:pPr>
      <w:bookmarkStart w:id="32" w:name="_Toc17233334"/>
      <w:bookmarkStart w:id="33" w:name="_Toc26648466"/>
      <w:bookmarkStart w:id="34" w:name="_Toc17233326"/>
      <w:bookmarkStart w:id="35" w:name="_Toc24884212"/>
      <w:bookmarkStart w:id="36" w:name="_Toc24884219"/>
      <w:r>
        <w:rPr>
          <w:rFonts w:hint="eastAsia"/>
        </w:rPr>
        <w:t>本文件确立了睡莲</w:t>
      </w:r>
      <w:r>
        <w:rPr>
          <w:rFonts w:hint="eastAsia"/>
          <w:lang w:eastAsia="zh-CN"/>
        </w:rPr>
        <w:t>（</w:t>
      </w:r>
      <w:r>
        <w:rPr>
          <w:rFonts w:hint="eastAsia"/>
          <w:i/>
          <w:iCs/>
          <w:lang w:eastAsia="zh-CN"/>
        </w:rPr>
        <w:t>Nymphaea</w:t>
      </w:r>
      <w:r>
        <w:rPr>
          <w:rFonts w:hint="eastAsia"/>
          <w:lang w:eastAsia="zh-CN"/>
        </w:rPr>
        <w:t xml:space="preserve"> L.）</w:t>
      </w:r>
      <w:r>
        <w:rPr>
          <w:rFonts w:hint="eastAsia"/>
        </w:rPr>
        <w:t>干花</w:t>
      </w:r>
      <w:r>
        <w:rPr>
          <w:rFonts w:hint="eastAsia"/>
          <w:lang w:val="en-US" w:eastAsia="zh-CN"/>
        </w:rPr>
        <w:t>制品</w:t>
      </w:r>
      <w:r>
        <w:rPr>
          <w:rFonts w:hint="eastAsia"/>
        </w:rPr>
        <w:t>加工技术的程序，规定了睡莲干花加工的</w:t>
      </w:r>
      <w:r>
        <w:rPr>
          <w:rFonts w:hint="eastAsia"/>
          <w:lang w:val="en-US" w:eastAsia="zh-CN"/>
        </w:rPr>
        <w:t>选择设备及原料用水选择</w:t>
      </w:r>
      <w:r>
        <w:rPr>
          <w:rFonts w:hint="eastAsia"/>
        </w:rPr>
        <w:t>、工艺流程、加工工艺、质量管理与包装、贮藏运输等环节的操作指示，描述了加工过程信息的追溯方法。</w:t>
      </w:r>
    </w:p>
    <w:p w14:paraId="5A6E1706">
      <w:pPr>
        <w:pStyle w:val="57"/>
        <w:ind w:firstLine="420"/>
      </w:pPr>
      <w:r>
        <w:rPr>
          <w:rFonts w:hint="eastAsia"/>
        </w:rPr>
        <w:t>本</w:t>
      </w:r>
      <w:r>
        <w:rPr>
          <w:rFonts w:hint="eastAsia"/>
          <w:lang w:val="en-US" w:eastAsia="zh-CN"/>
        </w:rPr>
        <w:t>文件</w:t>
      </w:r>
      <w:r>
        <w:rPr>
          <w:rFonts w:hint="eastAsia"/>
        </w:rPr>
        <w:t>适用于热风干燥的睡莲干花生产。</w:t>
      </w:r>
    </w:p>
    <w:p w14:paraId="4C761F70">
      <w:pPr>
        <w:pStyle w:val="105"/>
        <w:spacing w:before="240" w:after="240"/>
      </w:pPr>
      <w:bookmarkStart w:id="37" w:name="_Toc26986531"/>
      <w:bookmarkStart w:id="38" w:name="_Toc26718931"/>
      <w:bookmarkStart w:id="39" w:name="_Toc97192965"/>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0CEB27050D1247B6869EFE172F291E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8146525">
          <w:pPr>
            <w:pStyle w:val="57"/>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tbl>
      <w:tblPr>
        <w:tblStyle w:val="27"/>
        <w:tblW w:w="11408" w:type="dxa"/>
        <w:tblInd w:w="0" w:type="dxa"/>
        <w:shd w:val="clear" w:color="auto" w:fill="FFFFFF"/>
        <w:tblLayout w:type="autofit"/>
        <w:tblCellMar>
          <w:top w:w="15" w:type="dxa"/>
          <w:left w:w="15" w:type="dxa"/>
          <w:bottom w:w="15" w:type="dxa"/>
          <w:right w:w="15" w:type="dxa"/>
        </w:tblCellMar>
      </w:tblPr>
      <w:tblGrid>
        <w:gridCol w:w="11408"/>
      </w:tblGrid>
      <w:tr w14:paraId="2B954E22">
        <w:tblPrEx>
          <w:tblCellMar>
            <w:top w:w="15" w:type="dxa"/>
            <w:left w:w="15" w:type="dxa"/>
            <w:bottom w:w="15" w:type="dxa"/>
            <w:right w:w="15" w:type="dxa"/>
          </w:tblCellMar>
        </w:tblPrEx>
        <w:tc>
          <w:tcPr>
            <w:tcW w:w="0" w:type="auto"/>
            <w:shd w:val="clear" w:color="auto" w:fill="FFFFFF"/>
            <w:tcMar>
              <w:top w:w="0" w:type="dxa"/>
              <w:left w:w="0" w:type="dxa"/>
              <w:bottom w:w="0" w:type="dxa"/>
              <w:right w:w="0" w:type="dxa"/>
            </w:tcMar>
          </w:tcPr>
          <w:p w14:paraId="51790A84">
            <w:pPr>
              <w:pStyle w:val="57"/>
              <w:ind w:firstLine="420"/>
              <w:rPr>
                <w:rFonts w:hAnsi="宋体"/>
              </w:rPr>
            </w:pPr>
          </w:p>
        </w:tc>
      </w:tr>
    </w:tbl>
    <w:p w14:paraId="0933422F">
      <w:pPr>
        <w:pStyle w:val="57"/>
        <w:ind w:firstLine="420"/>
        <w:rPr>
          <w:rFonts w:hint="eastAsia" w:hAnsi="宋体"/>
        </w:rPr>
      </w:pPr>
      <w:r>
        <w:rPr>
          <w:rFonts w:hint="eastAsia" w:hAnsi="宋体"/>
        </w:rPr>
        <w:t>GB</w:t>
      </w:r>
      <w:r>
        <w:rPr>
          <w:rFonts w:hint="eastAsia"/>
        </w:rPr>
        <w:t xml:space="preserve"> 5749 </w:t>
      </w:r>
      <w:r>
        <w:t xml:space="preserve"> </w:t>
      </w:r>
      <w:r>
        <w:rPr>
          <w:rFonts w:hint="eastAsia" w:hAnsi="宋体"/>
        </w:rPr>
        <w:t>生活饮用水卫生标准</w:t>
      </w:r>
    </w:p>
    <w:tbl>
      <w:tblPr>
        <w:tblStyle w:val="27"/>
        <w:tblW w:w="11408" w:type="dxa"/>
        <w:tblInd w:w="0" w:type="dxa"/>
        <w:shd w:val="clear" w:color="auto" w:fill="FFFFFF"/>
        <w:tblLayout w:type="autofit"/>
        <w:tblCellMar>
          <w:top w:w="15" w:type="dxa"/>
          <w:left w:w="15" w:type="dxa"/>
          <w:bottom w:w="15" w:type="dxa"/>
          <w:right w:w="15" w:type="dxa"/>
        </w:tblCellMar>
      </w:tblPr>
      <w:tblGrid>
        <w:gridCol w:w="11408"/>
      </w:tblGrid>
      <w:tr w14:paraId="31942734">
        <w:tblPrEx>
          <w:shd w:val="clear" w:color="auto" w:fill="FFFFFF"/>
          <w:tblCellMar>
            <w:top w:w="15" w:type="dxa"/>
            <w:left w:w="15" w:type="dxa"/>
            <w:bottom w:w="15" w:type="dxa"/>
            <w:right w:w="15" w:type="dxa"/>
          </w:tblCellMar>
        </w:tblPrEx>
        <w:tc>
          <w:tcPr>
            <w:tcW w:w="0" w:type="auto"/>
            <w:shd w:val="clear" w:color="auto" w:fill="FFFFFF"/>
            <w:tcMar>
              <w:top w:w="0" w:type="dxa"/>
              <w:left w:w="0" w:type="dxa"/>
              <w:bottom w:w="0" w:type="dxa"/>
              <w:right w:w="0" w:type="dxa"/>
            </w:tcMar>
          </w:tcPr>
          <w:p w14:paraId="449834C9">
            <w:pPr>
              <w:pStyle w:val="57"/>
              <w:ind w:firstLine="420"/>
              <w:rPr>
                <w:rFonts w:hint="eastAsia" w:hAnsi="宋体"/>
              </w:rPr>
            </w:pPr>
            <w:r>
              <w:fldChar w:fldCharType="begin"/>
            </w:r>
            <w:r>
              <w:instrText xml:space="preserve"> HYPERLINK "https://std.samr.gov.cn/gb/search/gbDetailed?id=88F4E6DA63254198E05397BE0A0ADE2D" \t "_blank" </w:instrText>
            </w:r>
            <w:r>
              <w:fldChar w:fldCharType="separate"/>
            </w:r>
            <w:r>
              <w:t>GB/T 9106</w:t>
            </w:r>
            <w:r>
              <w:fldChar w:fldCharType="end"/>
            </w:r>
            <w:r>
              <w:rPr>
                <w:rFonts w:hint="eastAsia" w:hAnsi="宋体"/>
              </w:rPr>
              <w:t xml:space="preserve">  包装容器 两片罐 所有部分</w:t>
            </w:r>
          </w:p>
        </w:tc>
      </w:tr>
    </w:tbl>
    <w:p w14:paraId="73D1038C">
      <w:pPr>
        <w:pStyle w:val="57"/>
        <w:ind w:firstLine="420"/>
        <w:rPr>
          <w:rFonts w:hAnsi="宋体"/>
        </w:rPr>
      </w:pPr>
      <w:r>
        <w:rPr>
          <w:rFonts w:hint="eastAsia" w:hAnsi="宋体"/>
        </w:rPr>
        <w:t>GB</w:t>
      </w:r>
      <w:r>
        <w:rPr>
          <w:rFonts w:hAnsi="宋体"/>
        </w:rPr>
        <w:t xml:space="preserve"> 14881  </w:t>
      </w:r>
      <w:r>
        <w:rPr>
          <w:rFonts w:hint="eastAsia" w:hAnsi="宋体"/>
        </w:rPr>
        <w:t>食品安全国家标准 食品生产通用卫生规范</w:t>
      </w:r>
    </w:p>
    <w:p w14:paraId="76471683">
      <w:pPr>
        <w:pStyle w:val="57"/>
        <w:ind w:firstLine="420"/>
        <w:rPr>
          <w:rFonts w:hint="eastAsia" w:hAnsi="宋体"/>
        </w:rPr>
      </w:pPr>
      <w:r>
        <w:rPr>
          <w:rFonts w:hint="eastAsia" w:hAnsi="宋体"/>
        </w:rPr>
        <w:t>GB/T 28118 食品包装用塑料与铝箔复合膜、袋</w:t>
      </w:r>
    </w:p>
    <w:p w14:paraId="381B7C5D">
      <w:pPr>
        <w:pStyle w:val="57"/>
        <w:ind w:firstLine="420"/>
        <w:rPr>
          <w:rFonts w:hint="eastAsia" w:hAnsi="宋体"/>
        </w:rPr>
      </w:pPr>
      <w:r>
        <w:rPr>
          <w:rFonts w:hint="eastAsia" w:hAnsi="宋体"/>
        </w:rPr>
        <w:t>GB/T 30375  茶叶贮存</w:t>
      </w:r>
    </w:p>
    <w:p w14:paraId="3482101D">
      <w:pPr>
        <w:pStyle w:val="105"/>
        <w:spacing w:before="240" w:after="240"/>
      </w:pPr>
      <w:bookmarkStart w:id="41" w:name="_Toc97192966"/>
      <w:r>
        <w:rPr>
          <w:rFonts w:hint="eastAsia"/>
          <w:szCs w:val="21"/>
        </w:rPr>
        <w:t>术语和定义</w:t>
      </w:r>
      <w:bookmarkEnd w:id="41"/>
    </w:p>
    <w:sdt>
      <w:sdtPr>
        <w:id w:val="-1909835108"/>
        <w:placeholder>
          <w:docPart w:val="C13632BED6DE40D7A63EA08BB4512D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B104EB">
          <w:pPr>
            <w:pStyle w:val="57"/>
            <w:ind w:firstLine="420"/>
          </w:pPr>
          <w:bookmarkStart w:id="42" w:name="_Toc26986532"/>
          <w:bookmarkEnd w:id="42"/>
          <w:r>
            <w:t>下列术语和定义适用于本文件。</w:t>
          </w:r>
        </w:p>
      </w:sdtContent>
    </w:sdt>
    <w:p w14:paraId="0DD75035">
      <w:pPr>
        <w:pStyle w:val="57"/>
        <w:keepNext w:val="0"/>
        <w:keepLines w:val="0"/>
        <w:pageBreakBefore w:val="0"/>
        <w:widowControl/>
        <w:kinsoku/>
        <w:wordWrap/>
        <w:overflowPunct/>
        <w:topLinePunct w:val="0"/>
        <w:autoSpaceDE w:val="0"/>
        <w:autoSpaceDN w:val="0"/>
        <w:bidi w:val="0"/>
        <w:adjustRightInd/>
        <w:snapToGrid/>
        <w:ind w:firstLine="0" w:firstLineChars="0"/>
        <w:textAlignment w:val="auto"/>
        <w:outlineLvl w:val="1"/>
        <w:rPr>
          <w:rFonts w:hint="eastAsia" w:ascii="黑体" w:hAnsi="黑体" w:eastAsia="黑体"/>
        </w:rPr>
      </w:pPr>
      <w:r>
        <w:rPr>
          <w:rFonts w:hint="eastAsia" w:ascii="黑体" w:hAnsi="黑体" w:eastAsia="黑体"/>
        </w:rPr>
        <w:t xml:space="preserve">3.1 </w:t>
      </w:r>
    </w:p>
    <w:p w14:paraId="2E16AA27">
      <w:pPr>
        <w:pStyle w:val="57"/>
        <w:ind w:firstLine="420" w:firstLineChars="200"/>
        <w:outlineLvl w:val="1"/>
        <w:rPr>
          <w:rFonts w:hint="eastAsia" w:ascii="黑体" w:hAnsi="黑体" w:eastAsia="黑体"/>
          <w:szCs w:val="21"/>
        </w:rPr>
      </w:pPr>
      <w:r>
        <w:rPr>
          <w:rFonts w:hint="eastAsia" w:ascii="黑体" w:hAnsi="黑体" w:eastAsia="黑体"/>
        </w:rPr>
        <w:t>热带睡莲  tropical waterlily</w:t>
      </w:r>
    </w:p>
    <w:p w14:paraId="368A5A88">
      <w:pPr>
        <w:pStyle w:val="57"/>
        <w:ind w:firstLine="420"/>
        <w:rPr>
          <w:rFonts w:hint="eastAsia" w:ascii="黑体" w:hAnsi="黑体" w:eastAsia="黑体"/>
        </w:rPr>
      </w:pPr>
      <w:r>
        <w:rPr>
          <w:rFonts w:hint="eastAsia" w:hAnsi="宋体"/>
        </w:rPr>
        <w:t>叶片锯齿状，花朵挺出水面，具菠萝形块茎的睡莲。</w:t>
      </w:r>
    </w:p>
    <w:p w14:paraId="65CE8AC6">
      <w:pPr>
        <w:pStyle w:val="105"/>
        <w:spacing w:before="240" w:after="240"/>
        <w:rPr>
          <w:szCs w:val="21"/>
        </w:rPr>
      </w:pPr>
      <w:r>
        <w:rPr>
          <w:rFonts w:hint="eastAsia"/>
          <w:szCs w:val="21"/>
          <w:lang w:val="en-US" w:eastAsia="zh-CN"/>
        </w:rPr>
        <w:t>选址设备及原料用水选择</w:t>
      </w:r>
    </w:p>
    <w:p w14:paraId="3FAEA8BF">
      <w:pPr>
        <w:pStyle w:val="57"/>
        <w:spacing w:before="120" w:beforeLines="50" w:after="120" w:afterLines="50"/>
        <w:ind w:firstLine="0" w:firstLineChars="0"/>
        <w:outlineLvl w:val="1"/>
        <w:rPr>
          <w:rFonts w:hint="default" w:ascii="黑体" w:hAnsi="黑体" w:eastAsia="黑体"/>
          <w:lang w:val="en-US" w:eastAsia="zh-CN"/>
        </w:rPr>
      </w:pPr>
      <w:r>
        <w:rPr>
          <w:rFonts w:hint="eastAsia" w:ascii="黑体" w:hAnsi="黑体" w:eastAsia="黑体"/>
        </w:rPr>
        <w:t xml:space="preserve">4.1 </w:t>
      </w:r>
      <w:r>
        <w:rPr>
          <w:rFonts w:hint="eastAsia" w:ascii="黑体" w:hAnsi="黑体" w:eastAsia="黑体"/>
          <w:lang w:val="en-US" w:eastAsia="zh-CN"/>
        </w:rPr>
        <w:t>选址及设计</w:t>
      </w:r>
    </w:p>
    <w:p w14:paraId="2A8C7790">
      <w:pPr>
        <w:pStyle w:val="57"/>
        <w:ind w:firstLine="420"/>
        <w:rPr>
          <w:rFonts w:hint="default" w:hAnsi="宋体" w:eastAsia="宋体"/>
          <w:lang w:val="en-US" w:eastAsia="zh-CN"/>
        </w:rPr>
      </w:pPr>
      <w:r>
        <w:rPr>
          <w:rFonts w:hint="eastAsia" w:hAnsi="宋体"/>
        </w:rPr>
        <w:t>符合GB 14881的</w:t>
      </w:r>
      <w:r>
        <w:rPr>
          <w:rFonts w:hint="eastAsia" w:hAnsi="宋体"/>
          <w:lang w:val="en-US" w:eastAsia="zh-CN"/>
        </w:rPr>
        <w:t>选址和设计</w:t>
      </w:r>
      <w:r>
        <w:rPr>
          <w:rFonts w:hint="eastAsia" w:hAnsi="宋体"/>
        </w:rPr>
        <w:t>规定。</w:t>
      </w:r>
      <w:r>
        <w:rPr>
          <w:rFonts w:hint="eastAsia" w:hAnsi="宋体"/>
          <w:lang w:val="en-US" w:eastAsia="zh-CN"/>
        </w:rPr>
        <w:t>设置与生产能力相适应的原料存放区、加工区、包装区和成品储藏区。</w:t>
      </w:r>
    </w:p>
    <w:p w14:paraId="69D3906C">
      <w:pPr>
        <w:pStyle w:val="57"/>
        <w:spacing w:before="120" w:beforeLines="50" w:after="120" w:afterLines="50"/>
        <w:ind w:firstLine="0" w:firstLineChars="0"/>
        <w:outlineLvl w:val="1"/>
        <w:rPr>
          <w:rFonts w:hint="eastAsia" w:ascii="黑体" w:hAnsi="黑体" w:eastAsia="黑体"/>
        </w:rPr>
      </w:pPr>
      <w:r>
        <w:rPr>
          <w:rFonts w:hint="eastAsia" w:ascii="黑体" w:hAnsi="黑体" w:eastAsia="黑体"/>
        </w:rPr>
        <w:t xml:space="preserve">4.2 </w:t>
      </w:r>
      <w:r>
        <w:rPr>
          <w:rFonts w:hint="eastAsia" w:ascii="黑体" w:hAnsi="黑体" w:eastAsia="黑体"/>
          <w:lang w:val="en-US" w:eastAsia="zh-CN"/>
        </w:rPr>
        <w:t>生产</w:t>
      </w:r>
      <w:r>
        <w:rPr>
          <w:rFonts w:hint="eastAsia" w:ascii="黑体" w:hAnsi="黑体" w:eastAsia="黑体"/>
        </w:rPr>
        <w:t>设备</w:t>
      </w:r>
    </w:p>
    <w:p w14:paraId="74587984">
      <w:pPr>
        <w:pStyle w:val="57"/>
        <w:ind w:firstLine="420"/>
      </w:pPr>
      <w:r>
        <w:rPr>
          <w:rFonts w:hint="eastAsia" w:hAnsi="宋体"/>
          <w:lang w:val="en-US" w:eastAsia="zh-CN"/>
        </w:rPr>
        <w:t>所有与热带睡莲干花制品原料接触的设备与工具，表面符合</w:t>
      </w:r>
      <w:r>
        <w:rPr>
          <w:rFonts w:hint="eastAsia" w:hAnsi="宋体"/>
        </w:rPr>
        <w:t>符合GB 14881。</w:t>
      </w:r>
    </w:p>
    <w:p w14:paraId="013AA795">
      <w:pPr>
        <w:pStyle w:val="57"/>
        <w:spacing w:before="120" w:beforeLines="50" w:after="120" w:afterLines="50"/>
        <w:ind w:firstLine="0" w:firstLineChars="0"/>
        <w:outlineLvl w:val="1"/>
        <w:rPr>
          <w:rFonts w:hint="eastAsia" w:ascii="黑体" w:hAnsi="黑体" w:eastAsia="黑体"/>
        </w:rPr>
      </w:pPr>
      <w:r>
        <w:rPr>
          <w:rFonts w:hint="eastAsia" w:ascii="黑体" w:hAnsi="黑体" w:eastAsia="黑体"/>
        </w:rPr>
        <w:t>4.3 原料与用水</w:t>
      </w:r>
    </w:p>
    <w:p w14:paraId="423B9E86">
      <w:pPr>
        <w:pStyle w:val="57"/>
        <w:spacing w:before="120" w:beforeLines="50" w:after="120" w:afterLines="50"/>
        <w:ind w:firstLine="0" w:firstLineChars="0"/>
        <w:outlineLvl w:val="1"/>
        <w:rPr>
          <w:rFonts w:hint="eastAsia" w:ascii="黑体" w:hAnsi="黑体" w:eastAsia="黑体"/>
        </w:rPr>
      </w:pPr>
      <w:r>
        <w:rPr>
          <w:rFonts w:hint="eastAsia" w:ascii="黑体" w:hAnsi="黑体" w:eastAsia="黑体"/>
        </w:rPr>
        <w:t>4.</w:t>
      </w:r>
      <w:r>
        <w:rPr>
          <w:rFonts w:ascii="黑体" w:hAnsi="黑体" w:eastAsia="黑体"/>
        </w:rPr>
        <w:t>3</w:t>
      </w:r>
      <w:r>
        <w:rPr>
          <w:rFonts w:hint="eastAsia" w:ascii="黑体" w:hAnsi="黑体" w:eastAsia="黑体"/>
        </w:rPr>
        <w:t>.</w:t>
      </w:r>
      <w:r>
        <w:rPr>
          <w:rFonts w:ascii="黑体" w:hAnsi="黑体" w:eastAsia="黑体"/>
        </w:rPr>
        <w:t xml:space="preserve">1 </w:t>
      </w:r>
      <w:r>
        <w:rPr>
          <w:rFonts w:hint="eastAsia" w:ascii="黑体" w:hAnsi="黑体" w:eastAsia="黑体"/>
        </w:rPr>
        <w:t>原料</w:t>
      </w:r>
    </w:p>
    <w:p w14:paraId="043D58A5">
      <w:pPr>
        <w:pStyle w:val="57"/>
        <w:keepNext w:val="0"/>
        <w:keepLines w:val="0"/>
        <w:pageBreakBefore w:val="0"/>
        <w:widowControl/>
        <w:kinsoku/>
        <w:wordWrap/>
        <w:overflowPunct/>
        <w:topLinePunct w:val="0"/>
        <w:autoSpaceDE w:val="0"/>
        <w:autoSpaceDN w:val="0"/>
        <w:bidi w:val="0"/>
        <w:adjustRightInd/>
        <w:snapToGrid/>
        <w:ind w:firstLine="420" w:firstLineChars="200"/>
        <w:textAlignment w:val="auto"/>
        <w:rPr>
          <w:rFonts w:hint="eastAsia" w:hAnsi="宋体"/>
        </w:rPr>
      </w:pPr>
      <w:r>
        <w:rPr>
          <w:rFonts w:hint="eastAsia" w:hAnsi="宋体"/>
        </w:rPr>
        <w:t>选具有明显雌、雄蕊且具大量花粉的香气浓郁的白天开花热带睡莲为原料品种。取发育良好、无病虫害，完整无缺损的花瓣完全打开，雄蕊呈直立状，外圈雄蕊略有散粉，柱头上有明显柱头液</w:t>
      </w:r>
      <w:r>
        <w:rPr>
          <w:rFonts w:hint="eastAsia" w:hAnsi="宋体"/>
          <w:lang w:val="en-US" w:eastAsia="zh-CN"/>
        </w:rPr>
        <w:t>的</w:t>
      </w:r>
      <w:r>
        <w:rPr>
          <w:rFonts w:hint="eastAsia" w:hAnsi="宋体"/>
        </w:rPr>
        <w:t>第一天开花的花朵。</w:t>
      </w:r>
    </w:p>
    <w:p w14:paraId="407E6857">
      <w:pPr>
        <w:pStyle w:val="57"/>
        <w:spacing w:before="120" w:beforeLines="50" w:after="120" w:afterLines="50"/>
        <w:ind w:firstLine="0" w:firstLineChars="0"/>
        <w:outlineLvl w:val="1"/>
        <w:rPr>
          <w:rFonts w:hint="eastAsia" w:ascii="黑体" w:hAnsi="黑体" w:eastAsia="黑体"/>
        </w:rPr>
      </w:pPr>
      <w:r>
        <w:rPr>
          <w:rFonts w:hint="eastAsia" w:ascii="黑体" w:hAnsi="黑体" w:eastAsia="黑体"/>
        </w:rPr>
        <w:t>4.</w:t>
      </w:r>
      <w:r>
        <w:rPr>
          <w:rFonts w:ascii="黑体" w:hAnsi="黑体" w:eastAsia="黑体"/>
        </w:rPr>
        <w:t>3</w:t>
      </w:r>
      <w:r>
        <w:rPr>
          <w:rFonts w:hint="eastAsia" w:ascii="黑体" w:hAnsi="黑体" w:eastAsia="黑体"/>
        </w:rPr>
        <w:t>.</w:t>
      </w:r>
      <w:r>
        <w:rPr>
          <w:rFonts w:ascii="黑体" w:hAnsi="黑体" w:eastAsia="黑体"/>
        </w:rPr>
        <w:t xml:space="preserve">2 </w:t>
      </w:r>
      <w:r>
        <w:rPr>
          <w:rFonts w:hint="eastAsia" w:ascii="黑体" w:hAnsi="黑体" w:eastAsia="黑体"/>
        </w:rPr>
        <w:t>加工用水</w:t>
      </w:r>
    </w:p>
    <w:p w14:paraId="4C75A680">
      <w:pPr>
        <w:pStyle w:val="57"/>
        <w:ind w:firstLine="420"/>
      </w:pPr>
      <w:r>
        <w:rPr>
          <w:rFonts w:hint="eastAsia"/>
        </w:rPr>
        <w:t>符合GB</w:t>
      </w:r>
      <w:r>
        <w:t xml:space="preserve"> 5749</w:t>
      </w:r>
      <w:r>
        <w:rPr>
          <w:rFonts w:hint="eastAsia"/>
        </w:rPr>
        <w:t>的要求。</w:t>
      </w:r>
    </w:p>
    <w:p w14:paraId="0FB3F773">
      <w:pPr>
        <w:pStyle w:val="105"/>
        <w:spacing w:before="240" w:after="240"/>
        <w:rPr>
          <w:szCs w:val="21"/>
        </w:rPr>
      </w:pPr>
      <w:r>
        <w:rPr>
          <w:rFonts w:hint="eastAsia"/>
          <w:szCs w:val="21"/>
        </w:rPr>
        <w:t>工艺流程</w:t>
      </w:r>
    </w:p>
    <w:p w14:paraId="06289E91">
      <w:pPr>
        <w:pStyle w:val="57"/>
        <w:ind w:firstLine="420"/>
      </w:pPr>
      <w:r>
        <w:rPr>
          <w:rFonts w:hint="eastAsia"/>
          <w:szCs w:val="21"/>
        </w:rPr>
        <w:t>睡莲干花制品加工技术工艺流程如图1。</w:t>
      </w:r>
    </w:p>
    <w:p w14:paraId="5F57E575">
      <w:pPr>
        <w:pStyle w:val="57"/>
        <w:ind w:firstLine="0" w:firstLineChars="0"/>
        <w:jc w:val="center"/>
      </w:pPr>
      <w:r>
        <w:rPr>
          <w:rFonts w:hint="eastAsia"/>
        </w:rPr>
        <w:drawing>
          <wp:inline distT="0" distB="0" distL="114300" distR="114300">
            <wp:extent cx="5449570" cy="298450"/>
            <wp:effectExtent l="0" t="0" r="8255" b="6350"/>
            <wp:docPr id="26" name="图片 26"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片3"/>
                    <pic:cNvPicPr>
                      <a:picLocks noChangeAspect="1"/>
                    </pic:cNvPicPr>
                  </pic:nvPicPr>
                  <pic:blipFill>
                    <a:blip r:embed="rId16"/>
                    <a:stretch>
                      <a:fillRect/>
                    </a:stretch>
                  </pic:blipFill>
                  <pic:spPr>
                    <a:xfrm>
                      <a:off x="0" y="0"/>
                      <a:ext cx="5449570" cy="298450"/>
                    </a:xfrm>
                    <a:prstGeom prst="rect">
                      <a:avLst/>
                    </a:prstGeom>
                  </pic:spPr>
                </pic:pic>
              </a:graphicData>
            </a:graphic>
          </wp:inline>
        </w:drawing>
      </w:r>
    </w:p>
    <w:p w14:paraId="4A0AAFF7">
      <w:pPr>
        <w:pStyle w:val="57"/>
        <w:ind w:firstLine="0" w:firstLineChars="0"/>
        <w:jc w:val="center"/>
      </w:pPr>
      <w:r>
        <w:rPr>
          <w:rFonts w:hint="eastAsia"/>
        </w:rPr>
        <w:t>图1 睡莲干花制品加工工艺流程图</w:t>
      </w:r>
    </w:p>
    <w:p w14:paraId="170D773E">
      <w:pPr>
        <w:pStyle w:val="105"/>
        <w:spacing w:before="240" w:after="240"/>
        <w:rPr>
          <w:szCs w:val="21"/>
        </w:rPr>
      </w:pPr>
      <w:r>
        <w:rPr>
          <w:rFonts w:hint="eastAsia"/>
          <w:szCs w:val="21"/>
        </w:rPr>
        <w:t>加工工艺</w:t>
      </w:r>
    </w:p>
    <w:p w14:paraId="7AA43733">
      <w:pPr>
        <w:pStyle w:val="153"/>
        <w:spacing w:before="120" w:beforeLines="50" w:after="120" w:afterLines="50"/>
        <w:jc w:val="both"/>
        <w:rPr>
          <w:sz w:val="21"/>
          <w:szCs w:val="21"/>
        </w:rPr>
      </w:pPr>
      <w:r>
        <w:rPr>
          <w:rFonts w:hint="eastAsia"/>
          <w:sz w:val="21"/>
          <w:szCs w:val="21"/>
        </w:rPr>
        <w:t>6</w:t>
      </w:r>
      <w:r>
        <w:rPr>
          <w:rFonts w:hint="eastAsia" w:hAnsi="黑体"/>
          <w:sz w:val="21"/>
          <w:szCs w:val="21"/>
        </w:rPr>
        <w:t>.</w:t>
      </w:r>
      <w:r>
        <w:rPr>
          <w:rFonts w:hint="eastAsia"/>
          <w:sz w:val="21"/>
          <w:szCs w:val="21"/>
        </w:rPr>
        <w:t xml:space="preserve">1 </w:t>
      </w:r>
      <w:r>
        <w:rPr>
          <w:rFonts w:hint="eastAsia" w:hAnsi="黑体"/>
          <w:sz w:val="21"/>
          <w:szCs w:val="21"/>
        </w:rPr>
        <w:t>原料筛选</w:t>
      </w:r>
    </w:p>
    <w:p w14:paraId="08E689C8">
      <w:pPr>
        <w:spacing w:line="240" w:lineRule="auto"/>
        <w:ind w:firstLine="420" w:firstLineChars="200"/>
      </w:pPr>
      <w:r>
        <w:rPr>
          <w:rFonts w:hint="eastAsia" w:ascii="宋体" w:hAnsi="宋体"/>
        </w:rPr>
        <w:t>取回的鲜花根据品种特性按照花朵直径、完整度人工筛选分为Ⅰ、Ⅱ、Ⅲ级，分级标准参照附录A，去除残花、异物。</w:t>
      </w:r>
    </w:p>
    <w:p w14:paraId="0F4060A7">
      <w:pPr>
        <w:pStyle w:val="153"/>
        <w:spacing w:before="120" w:beforeLines="50" w:after="120" w:afterLines="50"/>
        <w:ind w:left="630" w:hanging="630" w:hangingChars="300"/>
        <w:jc w:val="both"/>
        <w:rPr>
          <w:sz w:val="21"/>
          <w:szCs w:val="21"/>
        </w:rPr>
      </w:pPr>
      <w:r>
        <w:rPr>
          <w:rFonts w:hint="eastAsia"/>
          <w:sz w:val="21"/>
          <w:szCs w:val="21"/>
        </w:rPr>
        <w:t>6</w:t>
      </w:r>
      <w:r>
        <w:rPr>
          <w:rFonts w:hint="eastAsia" w:hAnsi="黑体"/>
          <w:sz w:val="21"/>
          <w:szCs w:val="21"/>
        </w:rPr>
        <w:t>.2</w:t>
      </w:r>
      <w:r>
        <w:rPr>
          <w:rFonts w:hint="eastAsia"/>
          <w:sz w:val="21"/>
          <w:szCs w:val="21"/>
        </w:rPr>
        <w:t xml:space="preserve"> </w:t>
      </w:r>
      <w:r>
        <w:rPr>
          <w:rFonts w:hint="eastAsia" w:hAnsi="黑体"/>
          <w:sz w:val="21"/>
          <w:szCs w:val="21"/>
        </w:rPr>
        <w:t>清洗</w:t>
      </w:r>
    </w:p>
    <w:p w14:paraId="33C8937A">
      <w:pPr>
        <w:spacing w:line="240" w:lineRule="auto"/>
        <w:ind w:firstLine="420" w:firstLineChars="200"/>
      </w:pPr>
      <w:r>
        <w:rPr>
          <w:rFonts w:hint="eastAsia" w:ascii="宋体" w:hAnsi="宋体"/>
        </w:rPr>
        <w:t>流动水将筛选后的花朵连带花梗进行仔细清洗，去除杂质。</w:t>
      </w:r>
    </w:p>
    <w:p w14:paraId="30CE7AA0">
      <w:pPr>
        <w:pStyle w:val="153"/>
        <w:spacing w:before="120" w:beforeLines="50" w:after="120" w:afterLines="50"/>
        <w:ind w:left="630" w:hanging="630" w:hangingChars="300"/>
        <w:jc w:val="both"/>
        <w:rPr>
          <w:sz w:val="21"/>
          <w:szCs w:val="21"/>
        </w:rPr>
      </w:pPr>
      <w:r>
        <w:rPr>
          <w:rFonts w:hint="eastAsia"/>
          <w:sz w:val="21"/>
          <w:szCs w:val="21"/>
        </w:rPr>
        <w:t>6</w:t>
      </w:r>
      <w:r>
        <w:rPr>
          <w:rFonts w:hint="eastAsia" w:hAnsi="黑体"/>
          <w:sz w:val="21"/>
          <w:szCs w:val="21"/>
        </w:rPr>
        <w:t>.3</w:t>
      </w:r>
      <w:r>
        <w:rPr>
          <w:rFonts w:hint="eastAsia"/>
          <w:sz w:val="21"/>
          <w:szCs w:val="21"/>
        </w:rPr>
        <w:t xml:space="preserve"> </w:t>
      </w:r>
      <w:r>
        <w:rPr>
          <w:rFonts w:hint="eastAsia" w:hAnsi="黑体"/>
          <w:sz w:val="21"/>
          <w:szCs w:val="21"/>
        </w:rPr>
        <w:t>培养</w:t>
      </w:r>
    </w:p>
    <w:p w14:paraId="7C4314A7">
      <w:pPr>
        <w:spacing w:line="240" w:lineRule="auto"/>
        <w:ind w:firstLine="420" w:firstLineChars="200"/>
        <w:rPr>
          <w:rFonts w:hint="eastAsia" w:ascii="宋体" w:hAnsi="宋体"/>
        </w:rPr>
      </w:pPr>
      <w:r>
        <w:rPr>
          <w:rFonts w:hint="eastAsia" w:ascii="宋体" w:hAnsi="宋体"/>
        </w:rPr>
        <w:t>清洗后的花朵放入20 cm清水桶中常温静置至第二天花朵再次打开进行后续操作。</w:t>
      </w:r>
    </w:p>
    <w:p w14:paraId="347C4447">
      <w:pPr>
        <w:pStyle w:val="153"/>
        <w:spacing w:before="120" w:beforeLines="50" w:after="120" w:afterLines="50"/>
        <w:ind w:left="630" w:hanging="630" w:hangingChars="300"/>
        <w:jc w:val="both"/>
        <w:rPr>
          <w:sz w:val="21"/>
          <w:szCs w:val="21"/>
        </w:rPr>
      </w:pPr>
      <w:r>
        <w:rPr>
          <w:rFonts w:hint="eastAsia"/>
          <w:sz w:val="21"/>
          <w:szCs w:val="21"/>
        </w:rPr>
        <w:t>6</w:t>
      </w:r>
      <w:r>
        <w:rPr>
          <w:rFonts w:hint="eastAsia" w:hAnsi="黑体"/>
          <w:sz w:val="21"/>
          <w:szCs w:val="21"/>
        </w:rPr>
        <w:t>.4</w:t>
      </w:r>
      <w:r>
        <w:rPr>
          <w:rFonts w:hint="eastAsia"/>
          <w:sz w:val="21"/>
          <w:szCs w:val="21"/>
        </w:rPr>
        <w:t xml:space="preserve"> </w:t>
      </w:r>
      <w:r>
        <w:rPr>
          <w:rFonts w:hint="eastAsia" w:hAnsi="黑体"/>
          <w:sz w:val="21"/>
          <w:szCs w:val="21"/>
        </w:rPr>
        <w:t>切割</w:t>
      </w:r>
    </w:p>
    <w:p w14:paraId="1E542A24">
      <w:pPr>
        <w:spacing w:line="240" w:lineRule="auto"/>
        <w:ind w:firstLine="420" w:firstLineChars="200"/>
        <w:rPr>
          <w:rFonts w:hint="eastAsia" w:ascii="宋体" w:hAnsi="宋体"/>
        </w:rPr>
      </w:pPr>
      <w:r>
        <w:rPr>
          <w:rFonts w:hint="eastAsia" w:ascii="宋体" w:hAnsi="宋体" w:cs="宋体"/>
        </w:rPr>
        <w:t>用刀在花梗顶端往子房方向的子房约1/4处进行横向切割</w:t>
      </w:r>
      <w:r>
        <w:rPr>
          <w:rFonts w:hint="eastAsia" w:ascii="宋体" w:hAnsi="宋体"/>
        </w:rPr>
        <w:t>，切割以去掉萼片且花瓣不掉落为准。</w:t>
      </w:r>
    </w:p>
    <w:p w14:paraId="5C9F5999">
      <w:pPr>
        <w:pStyle w:val="153"/>
        <w:spacing w:before="120" w:beforeLines="50" w:after="120" w:afterLines="50"/>
        <w:ind w:left="630" w:hanging="630" w:hangingChars="300"/>
        <w:jc w:val="both"/>
        <w:rPr>
          <w:rFonts w:hint="eastAsia" w:hAnsi="黑体"/>
          <w:sz w:val="21"/>
          <w:szCs w:val="21"/>
        </w:rPr>
      </w:pPr>
      <w:r>
        <w:rPr>
          <w:rFonts w:hint="eastAsia"/>
          <w:sz w:val="21"/>
          <w:szCs w:val="21"/>
        </w:rPr>
        <w:t>6</w:t>
      </w:r>
      <w:r>
        <w:rPr>
          <w:rFonts w:hint="eastAsia" w:hAnsi="黑体"/>
          <w:sz w:val="21"/>
          <w:szCs w:val="21"/>
        </w:rPr>
        <w:t>.5</w:t>
      </w:r>
      <w:r>
        <w:rPr>
          <w:rFonts w:hint="eastAsia"/>
          <w:sz w:val="21"/>
          <w:szCs w:val="21"/>
        </w:rPr>
        <w:t xml:space="preserve"> </w:t>
      </w:r>
      <w:r>
        <w:rPr>
          <w:rFonts w:hint="eastAsia" w:hAnsi="黑体"/>
          <w:sz w:val="21"/>
          <w:szCs w:val="21"/>
        </w:rPr>
        <w:t>热风干燥（定型）</w:t>
      </w:r>
    </w:p>
    <w:p w14:paraId="6CF0C200">
      <w:pPr>
        <w:pStyle w:val="153"/>
        <w:spacing w:before="120" w:beforeLines="50" w:after="120" w:afterLines="50"/>
        <w:ind w:left="630" w:hanging="630" w:hangingChars="300"/>
        <w:jc w:val="both"/>
        <w:rPr>
          <w:sz w:val="21"/>
          <w:szCs w:val="21"/>
        </w:rPr>
      </w:pPr>
      <w:r>
        <w:rPr>
          <w:rFonts w:hint="eastAsia"/>
          <w:sz w:val="21"/>
          <w:szCs w:val="21"/>
        </w:rPr>
        <w:t>6.5.1 一次干燥</w:t>
      </w:r>
    </w:p>
    <w:p w14:paraId="6B4F6F7C">
      <w:pPr>
        <w:spacing w:line="240" w:lineRule="auto"/>
        <w:ind w:firstLine="420" w:firstLineChars="200"/>
        <w:rPr>
          <w:rFonts w:hint="eastAsia" w:ascii="宋体" w:hAnsi="宋体"/>
        </w:rPr>
      </w:pPr>
      <w:r>
        <w:rPr>
          <w:rFonts w:hint="eastAsia" w:ascii="宋体" w:hAnsi="宋体"/>
        </w:rPr>
        <w:t xml:space="preserve"> 将切割好的花朵雄蕊向下反扣于烘烤架上，铺上蒸布，加入切割的残余废料至与烘烤架边缘齐平， 在70 ℃～80 ℃温度下干燥7 h～8 h至水分含量低于10%。</w:t>
      </w:r>
    </w:p>
    <w:p w14:paraId="6174E10E">
      <w:pPr>
        <w:pStyle w:val="153"/>
        <w:spacing w:before="120" w:beforeLines="50" w:after="120" w:afterLines="50"/>
        <w:ind w:left="630" w:hanging="630" w:hangingChars="300"/>
        <w:jc w:val="both"/>
        <w:rPr>
          <w:sz w:val="21"/>
          <w:szCs w:val="21"/>
        </w:rPr>
      </w:pPr>
      <w:r>
        <w:rPr>
          <w:rFonts w:hint="eastAsia"/>
          <w:sz w:val="21"/>
          <w:szCs w:val="21"/>
        </w:rPr>
        <w:t>6</w:t>
      </w:r>
      <w:r>
        <w:rPr>
          <w:rFonts w:hint="eastAsia" w:hAnsi="黑体"/>
          <w:sz w:val="21"/>
          <w:szCs w:val="21"/>
        </w:rPr>
        <w:t>.5.2</w:t>
      </w:r>
      <w:r>
        <w:rPr>
          <w:rFonts w:hint="eastAsia"/>
          <w:sz w:val="21"/>
          <w:szCs w:val="21"/>
        </w:rPr>
        <w:t xml:space="preserve"> 二</w:t>
      </w:r>
      <w:r>
        <w:rPr>
          <w:rFonts w:hint="eastAsia" w:hAnsi="黑体"/>
          <w:sz w:val="21"/>
          <w:szCs w:val="21"/>
        </w:rPr>
        <w:t>次干燥</w:t>
      </w:r>
    </w:p>
    <w:p w14:paraId="5BEABD69">
      <w:pPr>
        <w:spacing w:line="240" w:lineRule="auto"/>
        <w:ind w:firstLine="420" w:firstLineChars="200"/>
        <w:rPr>
          <w:rFonts w:hint="eastAsia" w:ascii="宋体" w:hAnsi="宋体"/>
        </w:rPr>
      </w:pPr>
      <w:r>
        <w:rPr>
          <w:rFonts w:hint="eastAsia" w:ascii="宋体" w:hAnsi="宋体"/>
        </w:rPr>
        <w:t>将切割好的花朵雄蕊向下反扣于烘烤架上，在50 ℃～60 ℃温度下干燥10 h～12 h后将其从烘箱取出，去除干燥花朵上的杂质，将花瓣收拢拉直，并将其用5 cm～7 cm的硬质纸片固定，再次放入烘箱内50 ℃～60 ℃温度下干燥10 h～12 h至水分含量低于10%。</w:t>
      </w:r>
    </w:p>
    <w:p w14:paraId="5771517D">
      <w:pPr>
        <w:pStyle w:val="153"/>
        <w:spacing w:before="120" w:beforeLines="50" w:after="120" w:afterLines="50"/>
        <w:ind w:left="630" w:hanging="630" w:hangingChars="300"/>
        <w:jc w:val="both"/>
        <w:rPr>
          <w:sz w:val="21"/>
          <w:szCs w:val="21"/>
        </w:rPr>
      </w:pPr>
      <w:r>
        <w:rPr>
          <w:rFonts w:hint="eastAsia"/>
          <w:sz w:val="21"/>
          <w:szCs w:val="21"/>
        </w:rPr>
        <w:t>6</w:t>
      </w:r>
      <w:r>
        <w:rPr>
          <w:rFonts w:hint="eastAsia" w:hAnsi="黑体"/>
          <w:sz w:val="21"/>
          <w:szCs w:val="21"/>
        </w:rPr>
        <w:t>.6</w:t>
      </w:r>
      <w:r>
        <w:rPr>
          <w:rFonts w:hint="eastAsia"/>
          <w:sz w:val="21"/>
          <w:szCs w:val="21"/>
        </w:rPr>
        <w:t xml:space="preserve"> </w:t>
      </w:r>
      <w:r>
        <w:rPr>
          <w:rFonts w:hint="eastAsia" w:hAnsi="黑体"/>
          <w:sz w:val="21"/>
          <w:szCs w:val="21"/>
        </w:rPr>
        <w:t>回软</w:t>
      </w:r>
    </w:p>
    <w:p w14:paraId="31501B47">
      <w:pPr>
        <w:spacing w:line="240" w:lineRule="auto"/>
        <w:ind w:firstLine="420" w:firstLineChars="200"/>
        <w:rPr>
          <w:rFonts w:hint="eastAsia" w:ascii="宋体" w:hAnsi="宋体"/>
        </w:rPr>
      </w:pPr>
      <w:r>
        <w:rPr>
          <w:rFonts w:hint="eastAsia" w:ascii="宋体" w:hAnsi="宋体"/>
        </w:rPr>
        <w:t>花朵干燥结束后关闭干燥仪器，将花朵取出置于放有干燥剂的塑料袋中10 h～12 h后进行包装。</w:t>
      </w:r>
    </w:p>
    <w:p w14:paraId="693337BA">
      <w:pPr>
        <w:pStyle w:val="105"/>
        <w:numPr>
          <w:ilvl w:val="0"/>
          <w:numId w:val="32"/>
        </w:numPr>
        <w:spacing w:before="240" w:after="240"/>
        <w:rPr>
          <w:szCs w:val="21"/>
        </w:rPr>
      </w:pPr>
      <w:r>
        <w:rPr>
          <w:rFonts w:hint="eastAsia"/>
          <w:szCs w:val="21"/>
        </w:rPr>
        <w:t>质量管理与包装</w:t>
      </w:r>
    </w:p>
    <w:p w14:paraId="6CEDB89A">
      <w:pPr>
        <w:pStyle w:val="153"/>
        <w:spacing w:before="120" w:beforeLines="50" w:after="120" w:afterLines="50"/>
        <w:ind w:left="630" w:hanging="630" w:hangingChars="300"/>
        <w:jc w:val="both"/>
        <w:rPr>
          <w:sz w:val="21"/>
          <w:szCs w:val="21"/>
        </w:rPr>
      </w:pPr>
      <w:r>
        <w:rPr>
          <w:sz w:val="21"/>
          <w:szCs w:val="21"/>
        </w:rPr>
        <w:t>7</w:t>
      </w:r>
      <w:r>
        <w:rPr>
          <w:rFonts w:hint="eastAsia"/>
          <w:sz w:val="21"/>
          <w:szCs w:val="21"/>
        </w:rPr>
        <w:t>.</w:t>
      </w:r>
      <w:r>
        <w:rPr>
          <w:sz w:val="21"/>
          <w:szCs w:val="21"/>
        </w:rPr>
        <w:t xml:space="preserve">1 </w:t>
      </w:r>
      <w:r>
        <w:rPr>
          <w:rFonts w:hint="eastAsia"/>
          <w:sz w:val="21"/>
          <w:szCs w:val="21"/>
        </w:rPr>
        <w:t>质量管理</w:t>
      </w:r>
    </w:p>
    <w:p w14:paraId="76CFEA92">
      <w:pPr>
        <w:spacing w:line="240" w:lineRule="auto"/>
        <w:ind w:firstLine="420" w:firstLineChars="200"/>
        <w:rPr>
          <w:rFonts w:hint="eastAsia" w:ascii="宋体" w:hAnsi="宋体"/>
        </w:rPr>
      </w:pPr>
      <w:r>
        <w:rPr>
          <w:rFonts w:hint="eastAsia" w:ascii="宋体" w:hAnsi="宋体"/>
        </w:rPr>
        <w:t>干燥后的花朵色泽均匀，花朵完整，整体含水量低于13%，不得使用任何食品添加剂。</w:t>
      </w:r>
    </w:p>
    <w:p w14:paraId="2166E258">
      <w:pPr>
        <w:pStyle w:val="153"/>
        <w:spacing w:before="120" w:beforeLines="50" w:after="120" w:afterLines="50"/>
        <w:ind w:left="630" w:hanging="630" w:hangingChars="300"/>
        <w:jc w:val="both"/>
        <w:rPr>
          <w:sz w:val="21"/>
          <w:szCs w:val="21"/>
        </w:rPr>
      </w:pPr>
      <w:r>
        <w:rPr>
          <w:sz w:val="21"/>
          <w:szCs w:val="21"/>
        </w:rPr>
        <w:t>7</w:t>
      </w:r>
      <w:r>
        <w:rPr>
          <w:rFonts w:hint="eastAsia"/>
          <w:sz w:val="21"/>
          <w:szCs w:val="21"/>
        </w:rPr>
        <w:t>.</w:t>
      </w:r>
      <w:r>
        <w:rPr>
          <w:sz w:val="21"/>
          <w:szCs w:val="21"/>
        </w:rPr>
        <w:t>2</w:t>
      </w:r>
      <w:r>
        <w:rPr>
          <w:rFonts w:hint="eastAsia"/>
          <w:sz w:val="21"/>
          <w:szCs w:val="21"/>
        </w:rPr>
        <w:t xml:space="preserve"> 包装</w:t>
      </w:r>
    </w:p>
    <w:p w14:paraId="030614D3">
      <w:pPr>
        <w:spacing w:line="240" w:lineRule="auto"/>
        <w:ind w:firstLine="420" w:firstLineChars="200"/>
        <w:rPr>
          <w:rFonts w:hint="eastAsia" w:ascii="宋体" w:hAnsi="宋体"/>
        </w:rPr>
      </w:pPr>
      <w:r>
        <w:rPr>
          <w:rFonts w:hint="eastAsia" w:ascii="宋体" w:hAnsi="宋体"/>
        </w:rPr>
        <w:t>包装间应有恒温设施，温度控制在26 ℃以下，相对湿度控制在70％以下为宜，采用塑料包装袋或塑料透明易拉罐进行包装，包装过程轻拿轻放。包装材料符合</w:t>
      </w:r>
      <w:r>
        <w:rPr>
          <w:rFonts w:hint="eastAsia" w:ascii="宋体" w:hAnsi="宋体" w:eastAsia="宋体" w:cs="宋体"/>
        </w:rPr>
        <w:t>GB/T 28118</w:t>
      </w:r>
      <w:r>
        <w:rPr>
          <w:rFonts w:hint="eastAsia" w:ascii="宋体" w:hAnsi="宋体"/>
          <w:lang w:eastAsia="zh-CN"/>
        </w:rPr>
        <w:t>、</w:t>
      </w:r>
      <w:r>
        <w:rPr>
          <w:rFonts w:ascii="宋体" w:hAnsi="宋体"/>
        </w:rPr>
        <w:t>GB/T 9106</w:t>
      </w:r>
      <w:r>
        <w:rPr>
          <w:rFonts w:hint="eastAsia" w:ascii="宋体" w:hAnsi="宋体"/>
        </w:rPr>
        <w:t>的规定</w:t>
      </w:r>
      <w:r>
        <w:rPr>
          <w:rFonts w:hint="eastAsia" w:ascii="宋体" w:hAnsi="宋体"/>
          <w:lang w:eastAsia="zh-CN"/>
        </w:rPr>
        <w:t>。</w:t>
      </w:r>
    </w:p>
    <w:p w14:paraId="1B59A7BD">
      <w:pPr>
        <w:pStyle w:val="105"/>
        <w:numPr>
          <w:ilvl w:val="0"/>
          <w:numId w:val="32"/>
        </w:numPr>
        <w:spacing w:before="240" w:after="240"/>
        <w:rPr>
          <w:szCs w:val="21"/>
        </w:rPr>
      </w:pPr>
      <w:r>
        <w:rPr>
          <w:rFonts w:hint="eastAsia"/>
          <w:szCs w:val="21"/>
        </w:rPr>
        <w:t>贮藏运输</w:t>
      </w:r>
    </w:p>
    <w:p w14:paraId="5984C345">
      <w:pPr>
        <w:pStyle w:val="153"/>
        <w:spacing w:before="120" w:beforeLines="50" w:after="120" w:afterLines="50"/>
        <w:ind w:left="630" w:hanging="630" w:hangingChars="300"/>
        <w:jc w:val="both"/>
        <w:rPr>
          <w:sz w:val="21"/>
          <w:szCs w:val="21"/>
        </w:rPr>
      </w:pPr>
      <w:r>
        <w:rPr>
          <w:sz w:val="21"/>
          <w:szCs w:val="21"/>
        </w:rPr>
        <w:t>8</w:t>
      </w:r>
      <w:r>
        <w:rPr>
          <w:rFonts w:hint="eastAsia"/>
          <w:sz w:val="21"/>
          <w:szCs w:val="21"/>
        </w:rPr>
        <w:t>.</w:t>
      </w:r>
      <w:r>
        <w:rPr>
          <w:sz w:val="21"/>
          <w:szCs w:val="21"/>
        </w:rPr>
        <w:t xml:space="preserve">1 </w:t>
      </w:r>
      <w:r>
        <w:rPr>
          <w:rFonts w:hint="eastAsia"/>
          <w:sz w:val="21"/>
          <w:szCs w:val="21"/>
        </w:rPr>
        <w:t>贮藏方法及要求</w:t>
      </w:r>
    </w:p>
    <w:p w14:paraId="55441518">
      <w:pPr>
        <w:spacing w:line="240" w:lineRule="auto"/>
        <w:ind w:firstLine="420" w:firstLineChars="200"/>
        <w:rPr>
          <w:rFonts w:hint="eastAsia" w:ascii="宋体" w:hAnsi="宋体"/>
        </w:rPr>
      </w:pPr>
      <w:r>
        <w:rPr>
          <w:rFonts w:hint="eastAsia" w:ascii="宋体" w:hAnsi="宋体"/>
        </w:rPr>
        <w:t>包装后的睡莲干花制品贮藏于清洁、干燥、无异味、避光的仓库中。不与有毒、有害物品混存、混放。堆码距地面及墙体20 cm。贮藏符合GB/T 30375的规定。</w:t>
      </w:r>
    </w:p>
    <w:p w14:paraId="2FEA0A31">
      <w:pPr>
        <w:pStyle w:val="153"/>
        <w:spacing w:before="120" w:beforeLines="50" w:after="120" w:afterLines="50"/>
        <w:ind w:left="630" w:hanging="630" w:hangingChars="300"/>
        <w:jc w:val="both"/>
        <w:rPr>
          <w:sz w:val="21"/>
          <w:szCs w:val="21"/>
        </w:rPr>
      </w:pPr>
      <w:r>
        <w:rPr>
          <w:sz w:val="21"/>
          <w:szCs w:val="21"/>
        </w:rPr>
        <w:t>8</w:t>
      </w:r>
      <w:r>
        <w:rPr>
          <w:rFonts w:hint="eastAsia"/>
          <w:sz w:val="21"/>
          <w:szCs w:val="21"/>
        </w:rPr>
        <w:t>.</w:t>
      </w:r>
      <w:r>
        <w:rPr>
          <w:sz w:val="21"/>
          <w:szCs w:val="21"/>
        </w:rPr>
        <w:t xml:space="preserve">2 </w:t>
      </w:r>
      <w:r>
        <w:rPr>
          <w:rFonts w:hint="eastAsia"/>
          <w:sz w:val="21"/>
          <w:szCs w:val="21"/>
        </w:rPr>
        <w:t>运输</w:t>
      </w:r>
    </w:p>
    <w:p w14:paraId="4095D6C9">
      <w:pPr>
        <w:spacing w:line="240" w:lineRule="auto"/>
        <w:ind w:firstLine="420" w:firstLineChars="200"/>
        <w:rPr>
          <w:rFonts w:hint="eastAsia" w:ascii="宋体" w:hAnsi="宋体"/>
        </w:rPr>
      </w:pPr>
      <w:r>
        <w:rPr>
          <w:rFonts w:hint="eastAsia" w:ascii="宋体" w:hAnsi="宋体"/>
        </w:rPr>
        <w:t>运输工具应清洁、干燥、无异味、无污染。运输是应有防雨、防潮、防曝晒措施。不与有毒、有害、易污染的物品混装、混运。</w:t>
      </w:r>
      <w:bookmarkStart w:id="43" w:name="BookMark8"/>
    </w:p>
    <w:p w14:paraId="1BBA994E">
      <w:pPr>
        <w:spacing w:line="240" w:lineRule="auto"/>
        <w:ind w:firstLine="420" w:firstLineChars="200"/>
        <w:rPr>
          <w:rFonts w:hint="eastAsia" w:ascii="宋体" w:hAnsi="宋体"/>
        </w:rPr>
        <w:sectPr>
          <w:pgSz w:w="11906" w:h="16838"/>
          <w:pgMar w:top="1928" w:right="1134" w:bottom="1134" w:left="1134" w:header="1418" w:footer="1134" w:gutter="284"/>
          <w:pgNumType w:start="1"/>
          <w:cols w:space="425" w:num="1"/>
          <w:formProt w:val="0"/>
          <w:docGrid w:linePitch="312" w:charSpace="0"/>
        </w:sectPr>
      </w:pPr>
    </w:p>
    <w:bookmarkEnd w:id="21"/>
    <w:p w14:paraId="04700836">
      <w:pPr>
        <w:pStyle w:val="199"/>
        <w:rPr>
          <w:rFonts w:hint="eastAsia"/>
          <w:vanish w:val="0"/>
        </w:rPr>
      </w:pPr>
      <w:bookmarkStart w:id="44" w:name="BookMark5"/>
    </w:p>
    <w:p w14:paraId="1149C1B6">
      <w:pPr>
        <w:pStyle w:val="200"/>
        <w:rPr>
          <w:rFonts w:hint="eastAsia"/>
          <w:vanish w:val="0"/>
        </w:rPr>
      </w:pPr>
    </w:p>
    <w:p w14:paraId="525065A8">
      <w:pPr>
        <w:pStyle w:val="77"/>
        <w:spacing w:after="120"/>
      </w:pPr>
      <w:r>
        <w:br w:type="textWrapping"/>
      </w:r>
      <w:r>
        <w:rPr>
          <w:rFonts w:hint="eastAsia"/>
        </w:rPr>
        <w:t>（资料性）</w:t>
      </w:r>
      <w:r>
        <w:br w:type="textWrapping"/>
      </w:r>
      <w:r>
        <w:rPr>
          <w:rFonts w:hint="eastAsia"/>
        </w:rPr>
        <w:t>鲜花分级标准</w:t>
      </w:r>
    </w:p>
    <w:p w14:paraId="386A6135">
      <w:pPr>
        <w:pStyle w:val="57"/>
        <w:rPr>
          <w:rFonts w:hint="default" w:eastAsia="宋体"/>
          <w:lang w:val="en-US" w:eastAsia="zh-CN"/>
        </w:rPr>
      </w:pPr>
      <w:r>
        <w:rPr>
          <w:rFonts w:hint="eastAsia"/>
          <w:lang w:val="en-US" w:eastAsia="zh-CN"/>
        </w:rPr>
        <w:t>鲜花分级标准见表A.1</w:t>
      </w:r>
    </w:p>
    <w:p w14:paraId="13977C71">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jc w:val="center"/>
        <w:textAlignment w:val="auto"/>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表 A.1 鲜花分级标准</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984"/>
        <w:gridCol w:w="3544"/>
      </w:tblGrid>
      <w:tr w14:paraId="38C7E2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3567EF52">
            <w:pPr>
              <w:pStyle w:val="57"/>
              <w:ind w:firstLine="0" w:firstLineChars="0"/>
              <w:rPr>
                <w:rFonts w:hint="eastAsia"/>
                <w:sz w:val="18"/>
                <w:szCs w:val="18"/>
              </w:rPr>
            </w:pPr>
            <w:r>
              <w:rPr>
                <w:rFonts w:hint="eastAsia"/>
                <w:sz w:val="18"/>
                <w:szCs w:val="18"/>
              </w:rPr>
              <w:t>分级</w:t>
            </w:r>
          </w:p>
        </w:tc>
        <w:tc>
          <w:tcPr>
            <w:tcW w:w="1984" w:type="dxa"/>
          </w:tcPr>
          <w:p w14:paraId="6F54E64B">
            <w:pPr>
              <w:pStyle w:val="57"/>
              <w:ind w:firstLine="0" w:firstLineChars="0"/>
              <w:jc w:val="center"/>
              <w:rPr>
                <w:rFonts w:hint="eastAsia"/>
                <w:sz w:val="18"/>
                <w:szCs w:val="18"/>
              </w:rPr>
            </w:pPr>
            <w:r>
              <w:rPr>
                <w:rFonts w:hint="eastAsia"/>
                <w:sz w:val="18"/>
                <w:szCs w:val="18"/>
              </w:rPr>
              <w:t>花朵直径（cm）</w:t>
            </w:r>
          </w:p>
        </w:tc>
        <w:tc>
          <w:tcPr>
            <w:tcW w:w="3544" w:type="dxa"/>
          </w:tcPr>
          <w:p w14:paraId="2713AC5B">
            <w:pPr>
              <w:pStyle w:val="57"/>
              <w:ind w:firstLine="0" w:firstLineChars="0"/>
              <w:rPr>
                <w:rFonts w:hint="eastAsia"/>
                <w:sz w:val="18"/>
                <w:szCs w:val="18"/>
              </w:rPr>
            </w:pPr>
            <w:r>
              <w:rPr>
                <w:rFonts w:hint="eastAsia"/>
                <w:sz w:val="18"/>
                <w:szCs w:val="18"/>
              </w:rPr>
              <w:t>完整度</w:t>
            </w:r>
          </w:p>
        </w:tc>
      </w:tr>
      <w:tr w14:paraId="317B4C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673A888A">
            <w:pPr>
              <w:pStyle w:val="57"/>
              <w:ind w:firstLine="0" w:firstLineChars="0"/>
              <w:jc w:val="center"/>
              <w:rPr>
                <w:rFonts w:hint="eastAsia"/>
                <w:sz w:val="18"/>
                <w:szCs w:val="18"/>
              </w:rPr>
            </w:pPr>
            <w:r>
              <w:rPr>
                <w:rFonts w:hint="eastAsia" w:hAnsi="宋体"/>
                <w:sz w:val="18"/>
                <w:szCs w:val="18"/>
              </w:rPr>
              <w:t>Ⅰ</w:t>
            </w:r>
          </w:p>
        </w:tc>
        <w:tc>
          <w:tcPr>
            <w:tcW w:w="1984" w:type="dxa"/>
          </w:tcPr>
          <w:p w14:paraId="4B9508B3">
            <w:pPr>
              <w:pStyle w:val="57"/>
              <w:ind w:firstLine="0" w:firstLineChars="0"/>
              <w:jc w:val="center"/>
              <w:rPr>
                <w:rFonts w:hint="default" w:eastAsia="宋体"/>
                <w:sz w:val="18"/>
                <w:szCs w:val="18"/>
                <w:lang w:val="en-US" w:eastAsia="zh-CN"/>
              </w:rPr>
            </w:pPr>
            <w:r>
              <w:rPr>
                <w:rFonts w:hint="eastAsia"/>
                <w:sz w:val="18"/>
                <w:szCs w:val="18"/>
                <w:lang w:val="en-US" w:eastAsia="zh-CN"/>
              </w:rPr>
              <w:t>≥12</w:t>
            </w:r>
          </w:p>
        </w:tc>
        <w:tc>
          <w:tcPr>
            <w:tcW w:w="3544" w:type="dxa"/>
          </w:tcPr>
          <w:p w14:paraId="2F7B8A74">
            <w:pPr>
              <w:pStyle w:val="57"/>
              <w:ind w:firstLine="0" w:firstLineChars="0"/>
              <w:rPr>
                <w:rFonts w:hint="eastAsia"/>
                <w:sz w:val="18"/>
                <w:szCs w:val="18"/>
              </w:rPr>
            </w:pPr>
            <w:r>
              <w:rPr>
                <w:rFonts w:hint="eastAsia"/>
                <w:sz w:val="18"/>
                <w:szCs w:val="18"/>
              </w:rPr>
              <w:t>花瓣无掉落或掉落10%以下，较完整。</w:t>
            </w:r>
          </w:p>
        </w:tc>
      </w:tr>
      <w:tr w14:paraId="4FF75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12F96A8F">
            <w:pPr>
              <w:pStyle w:val="57"/>
              <w:ind w:firstLine="0" w:firstLineChars="0"/>
              <w:jc w:val="center"/>
              <w:rPr>
                <w:rFonts w:hint="eastAsia" w:hAnsi="宋体"/>
                <w:sz w:val="18"/>
                <w:szCs w:val="18"/>
              </w:rPr>
            </w:pPr>
            <w:r>
              <w:rPr>
                <w:rFonts w:hint="eastAsia" w:hAnsi="宋体"/>
                <w:sz w:val="18"/>
                <w:szCs w:val="18"/>
              </w:rPr>
              <w:t>Ⅱ</w:t>
            </w:r>
          </w:p>
        </w:tc>
        <w:tc>
          <w:tcPr>
            <w:tcW w:w="1984" w:type="dxa"/>
          </w:tcPr>
          <w:p w14:paraId="0579A6E0">
            <w:pPr>
              <w:pStyle w:val="57"/>
              <w:ind w:firstLine="0" w:firstLineChars="0"/>
              <w:jc w:val="center"/>
              <w:rPr>
                <w:rFonts w:hint="eastAsia"/>
                <w:sz w:val="18"/>
                <w:szCs w:val="18"/>
              </w:rPr>
            </w:pPr>
            <w:r>
              <w:rPr>
                <w:rFonts w:hint="eastAsia"/>
                <w:sz w:val="18"/>
                <w:szCs w:val="18"/>
                <w:lang w:val="en-US" w:eastAsia="zh-CN"/>
              </w:rPr>
              <w:t>≥12</w:t>
            </w:r>
          </w:p>
        </w:tc>
        <w:tc>
          <w:tcPr>
            <w:tcW w:w="3544" w:type="dxa"/>
          </w:tcPr>
          <w:p w14:paraId="27039853">
            <w:pPr>
              <w:pStyle w:val="57"/>
              <w:ind w:firstLine="0" w:firstLineChars="0"/>
              <w:rPr>
                <w:rFonts w:hint="eastAsia"/>
                <w:sz w:val="18"/>
                <w:szCs w:val="18"/>
              </w:rPr>
            </w:pPr>
            <w:r>
              <w:rPr>
                <w:rFonts w:hint="eastAsia"/>
                <w:sz w:val="18"/>
                <w:szCs w:val="18"/>
              </w:rPr>
              <w:t>花瓣掉落10%以上，不完整。</w:t>
            </w:r>
          </w:p>
        </w:tc>
      </w:tr>
      <w:tr w14:paraId="60A90D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37AD9BEE">
            <w:pPr>
              <w:pStyle w:val="57"/>
              <w:ind w:firstLine="0" w:firstLineChars="0"/>
              <w:jc w:val="center"/>
              <w:rPr>
                <w:rFonts w:hint="eastAsia"/>
                <w:sz w:val="18"/>
                <w:szCs w:val="18"/>
              </w:rPr>
            </w:pPr>
          </w:p>
        </w:tc>
        <w:tc>
          <w:tcPr>
            <w:tcW w:w="1984" w:type="dxa"/>
          </w:tcPr>
          <w:p w14:paraId="1A43D76C">
            <w:pPr>
              <w:pStyle w:val="57"/>
              <w:ind w:firstLine="0" w:firstLineChars="0"/>
              <w:jc w:val="center"/>
              <w:rPr>
                <w:rFonts w:hint="default" w:eastAsia="宋体"/>
                <w:sz w:val="18"/>
                <w:szCs w:val="18"/>
                <w:lang w:val="en-US" w:eastAsia="zh-CN"/>
              </w:rPr>
            </w:pPr>
            <w:r>
              <w:rPr>
                <w:rFonts w:hint="eastAsia"/>
                <w:sz w:val="18"/>
                <w:szCs w:val="18"/>
                <w:lang w:val="en-US" w:eastAsia="zh-CN"/>
              </w:rPr>
              <w:t>10</w:t>
            </w:r>
            <w:r>
              <w:rPr>
                <w:rFonts w:hint="eastAsia" w:hAnsi="宋体"/>
                <w:sz w:val="18"/>
                <w:szCs w:val="18"/>
              </w:rPr>
              <w:t>～</w:t>
            </w:r>
            <w:r>
              <w:rPr>
                <w:rFonts w:hint="eastAsia" w:hAnsi="宋体"/>
                <w:sz w:val="18"/>
                <w:szCs w:val="18"/>
                <w:lang w:val="en-US" w:eastAsia="zh-CN"/>
              </w:rPr>
              <w:t>12</w:t>
            </w:r>
          </w:p>
        </w:tc>
        <w:tc>
          <w:tcPr>
            <w:tcW w:w="3544" w:type="dxa"/>
          </w:tcPr>
          <w:p w14:paraId="37AC1B88">
            <w:pPr>
              <w:pStyle w:val="57"/>
              <w:ind w:firstLine="0" w:firstLineChars="0"/>
              <w:rPr>
                <w:rFonts w:hint="eastAsia"/>
                <w:sz w:val="18"/>
                <w:szCs w:val="18"/>
              </w:rPr>
            </w:pPr>
            <w:r>
              <w:rPr>
                <w:rFonts w:hint="eastAsia"/>
                <w:sz w:val="18"/>
                <w:szCs w:val="18"/>
              </w:rPr>
              <w:t>花瓣无掉落或掉落10%以下，较完整。</w:t>
            </w:r>
          </w:p>
        </w:tc>
      </w:tr>
      <w:tr w14:paraId="4334C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464BB9C6">
            <w:pPr>
              <w:pStyle w:val="57"/>
              <w:ind w:firstLine="0" w:firstLineChars="0"/>
              <w:jc w:val="center"/>
              <w:rPr>
                <w:rFonts w:hint="eastAsia"/>
                <w:sz w:val="18"/>
                <w:szCs w:val="18"/>
              </w:rPr>
            </w:pPr>
            <w:r>
              <w:rPr>
                <w:rFonts w:hint="eastAsia" w:hAnsi="宋体"/>
                <w:sz w:val="18"/>
                <w:szCs w:val="18"/>
              </w:rPr>
              <w:t>Ⅲ</w:t>
            </w:r>
          </w:p>
        </w:tc>
        <w:tc>
          <w:tcPr>
            <w:tcW w:w="1984" w:type="dxa"/>
          </w:tcPr>
          <w:p w14:paraId="6222AB08">
            <w:pPr>
              <w:pStyle w:val="57"/>
              <w:ind w:firstLine="0" w:firstLineChars="0"/>
              <w:jc w:val="center"/>
              <w:rPr>
                <w:rFonts w:hint="eastAsia" w:eastAsia="宋体"/>
                <w:sz w:val="18"/>
                <w:szCs w:val="18"/>
                <w:lang w:eastAsia="zh-CN"/>
              </w:rPr>
            </w:pPr>
            <w:r>
              <w:rPr>
                <w:rFonts w:hint="eastAsia"/>
                <w:sz w:val="18"/>
                <w:szCs w:val="18"/>
                <w:lang w:val="en-US" w:eastAsia="zh-CN"/>
              </w:rPr>
              <w:t>7</w:t>
            </w:r>
            <w:r>
              <w:rPr>
                <w:rFonts w:hint="eastAsia" w:hAnsi="宋体"/>
                <w:sz w:val="18"/>
                <w:szCs w:val="18"/>
              </w:rPr>
              <w:t>～</w:t>
            </w:r>
            <w:r>
              <w:rPr>
                <w:rFonts w:hint="eastAsia" w:hAnsi="宋体"/>
                <w:sz w:val="18"/>
                <w:szCs w:val="18"/>
                <w:lang w:val="en-US" w:eastAsia="zh-CN"/>
              </w:rPr>
              <w:t>9</w:t>
            </w:r>
          </w:p>
        </w:tc>
        <w:tc>
          <w:tcPr>
            <w:tcW w:w="3544" w:type="dxa"/>
          </w:tcPr>
          <w:p w14:paraId="67084465">
            <w:pPr>
              <w:pStyle w:val="57"/>
              <w:ind w:firstLine="0" w:firstLineChars="0"/>
              <w:rPr>
                <w:rFonts w:hint="eastAsia"/>
                <w:sz w:val="18"/>
                <w:szCs w:val="18"/>
              </w:rPr>
            </w:pPr>
            <w:r>
              <w:rPr>
                <w:rFonts w:hint="eastAsia"/>
                <w:sz w:val="18"/>
                <w:szCs w:val="18"/>
              </w:rPr>
              <w:t>花瓣掉落10%以上，不完整。</w:t>
            </w:r>
          </w:p>
        </w:tc>
      </w:tr>
      <w:tr w14:paraId="7FD1C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2506550C">
            <w:pPr>
              <w:pStyle w:val="57"/>
              <w:ind w:firstLine="0" w:firstLineChars="0"/>
              <w:jc w:val="center"/>
              <w:rPr>
                <w:rFonts w:hint="eastAsia" w:hAnsi="宋体"/>
                <w:sz w:val="18"/>
                <w:szCs w:val="18"/>
              </w:rPr>
            </w:pPr>
          </w:p>
        </w:tc>
        <w:tc>
          <w:tcPr>
            <w:tcW w:w="1984" w:type="dxa"/>
          </w:tcPr>
          <w:p w14:paraId="7EF96AA6">
            <w:pPr>
              <w:pStyle w:val="57"/>
              <w:ind w:firstLine="0" w:firstLineChars="0"/>
              <w:jc w:val="center"/>
              <w:rPr>
                <w:rFonts w:hint="eastAsia" w:eastAsia="宋体"/>
                <w:sz w:val="18"/>
                <w:szCs w:val="18"/>
                <w:lang w:eastAsia="zh-CN"/>
              </w:rPr>
            </w:pPr>
            <w:r>
              <w:rPr>
                <w:rFonts w:hint="eastAsia"/>
                <w:sz w:val="18"/>
                <w:szCs w:val="18"/>
              </w:rPr>
              <w:t>＜</w:t>
            </w:r>
            <w:r>
              <w:rPr>
                <w:rFonts w:hint="eastAsia"/>
                <w:sz w:val="18"/>
                <w:szCs w:val="18"/>
                <w:lang w:val="en-US" w:eastAsia="zh-CN"/>
              </w:rPr>
              <w:t>7</w:t>
            </w:r>
          </w:p>
        </w:tc>
        <w:tc>
          <w:tcPr>
            <w:tcW w:w="3544" w:type="dxa"/>
          </w:tcPr>
          <w:p w14:paraId="417D5279">
            <w:pPr>
              <w:pStyle w:val="57"/>
              <w:ind w:firstLine="0" w:firstLineChars="0"/>
              <w:rPr>
                <w:rFonts w:hint="eastAsia"/>
                <w:sz w:val="18"/>
                <w:szCs w:val="18"/>
              </w:rPr>
            </w:pPr>
            <w:r>
              <w:rPr>
                <w:rFonts w:hint="eastAsia"/>
                <w:sz w:val="18"/>
                <w:szCs w:val="18"/>
              </w:rPr>
              <w:t>花瓣无掉落或掉落10%以下，较完整。</w:t>
            </w:r>
          </w:p>
        </w:tc>
      </w:tr>
      <w:bookmarkEnd w:id="44"/>
    </w:tbl>
    <w:p w14:paraId="4F5DC6D1">
      <w:pPr>
        <w:spacing w:line="240" w:lineRule="auto"/>
        <w:rPr>
          <w:rFonts w:hint="eastAsia" w:ascii="宋体" w:hAnsi="宋体"/>
        </w:rPr>
      </w:pPr>
    </w:p>
    <w:p w14:paraId="5BA12C0C">
      <w:pPr>
        <w:pStyle w:val="57"/>
        <w:ind w:firstLine="0" w:firstLineChars="0"/>
        <w:jc w:val="center"/>
      </w:pPr>
      <w:r>
        <w:drawing>
          <wp:inline distT="0" distB="0" distL="0" distR="0">
            <wp:extent cx="1485900" cy="317500"/>
            <wp:effectExtent l="0" t="0" r="0" b="6350"/>
            <wp:docPr id="1615554851" name="图片 3"/>
            <wp:cNvGraphicFramePr/>
            <a:graphic xmlns:a="http://schemas.openxmlformats.org/drawingml/2006/main">
              <a:graphicData uri="http://schemas.openxmlformats.org/drawingml/2006/picture">
                <pic:pic xmlns:pic="http://schemas.openxmlformats.org/drawingml/2006/picture">
                  <pic:nvPicPr>
                    <pic:cNvPr id="1615554851"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D539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8FFE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2641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40C0D">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0EA9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3455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E1E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C82D">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3D80100"/>
    <w:multiLevelType w:val="multilevel"/>
    <w:tmpl w:val="13D80100"/>
    <w:lvl w:ilvl="0" w:tentative="0">
      <w:start w:val="7"/>
      <w:numFmt w:val="decimal"/>
      <w:lvlText w:val="%1"/>
      <w:lvlJc w:val="left"/>
      <w:pPr>
        <w:ind w:left="360" w:hanging="360"/>
      </w:pPr>
      <w:rPr>
        <w:rFonts w:hint="default"/>
      </w:rPr>
    </w:lvl>
    <w:lvl w:ilvl="1" w:tentative="0">
      <w:start w:val="1"/>
      <w:numFmt w:val="decimal"/>
      <w:isLgl/>
      <w:lvlText w:val="%1.%2"/>
      <w:lvlJc w:val="left"/>
      <w:pPr>
        <w:ind w:left="533" w:hanging="533"/>
      </w:pPr>
      <w:rPr>
        <w:rFonts w:hint="default" w:ascii="Calibri" w:hAnsi="Calibri"/>
      </w:rPr>
    </w:lvl>
    <w:lvl w:ilvl="2" w:tentative="0">
      <w:start w:val="1"/>
      <w:numFmt w:val="decimal"/>
      <w:isLgl/>
      <w:lvlText w:val="%1.%2.%3"/>
      <w:lvlJc w:val="left"/>
      <w:pPr>
        <w:ind w:left="720" w:hanging="720"/>
      </w:pPr>
      <w:rPr>
        <w:rFonts w:hint="default" w:ascii="Calibri" w:hAnsi="Calibri"/>
      </w:rPr>
    </w:lvl>
    <w:lvl w:ilvl="3" w:tentative="0">
      <w:start w:val="1"/>
      <w:numFmt w:val="decimal"/>
      <w:isLgl/>
      <w:lvlText w:val="%1.%2.%3.%4"/>
      <w:lvlJc w:val="left"/>
      <w:pPr>
        <w:ind w:left="720" w:hanging="720"/>
      </w:pPr>
      <w:rPr>
        <w:rFonts w:hint="default" w:ascii="Calibri" w:hAnsi="Calibri"/>
      </w:rPr>
    </w:lvl>
    <w:lvl w:ilvl="4" w:tentative="0">
      <w:start w:val="1"/>
      <w:numFmt w:val="decimal"/>
      <w:isLgl/>
      <w:lvlText w:val="%1.%2.%3.%4.%5"/>
      <w:lvlJc w:val="left"/>
      <w:pPr>
        <w:ind w:left="1080" w:hanging="1080"/>
      </w:pPr>
      <w:rPr>
        <w:rFonts w:hint="default" w:ascii="Calibri" w:hAnsi="Calibri"/>
      </w:rPr>
    </w:lvl>
    <w:lvl w:ilvl="5" w:tentative="0">
      <w:start w:val="1"/>
      <w:numFmt w:val="decimal"/>
      <w:isLgl/>
      <w:lvlText w:val="%1.%2.%3.%4.%5.%6"/>
      <w:lvlJc w:val="left"/>
      <w:pPr>
        <w:ind w:left="1080" w:hanging="1080"/>
      </w:pPr>
      <w:rPr>
        <w:rFonts w:hint="default" w:ascii="Calibri" w:hAnsi="Calibri"/>
      </w:rPr>
    </w:lvl>
    <w:lvl w:ilvl="6" w:tentative="0">
      <w:start w:val="1"/>
      <w:numFmt w:val="decimal"/>
      <w:isLgl/>
      <w:lvlText w:val="%1.%2.%3.%4.%5.%6.%7"/>
      <w:lvlJc w:val="left"/>
      <w:pPr>
        <w:ind w:left="1080" w:hanging="1080"/>
      </w:pPr>
      <w:rPr>
        <w:rFonts w:hint="default" w:ascii="Calibri" w:hAnsi="Calibri"/>
      </w:rPr>
    </w:lvl>
    <w:lvl w:ilvl="7" w:tentative="0">
      <w:start w:val="1"/>
      <w:numFmt w:val="decimal"/>
      <w:isLgl/>
      <w:lvlText w:val="%1.%2.%3.%4.%5.%6.%7.%8"/>
      <w:lvlJc w:val="left"/>
      <w:pPr>
        <w:ind w:left="1440" w:hanging="1440"/>
      </w:pPr>
      <w:rPr>
        <w:rFonts w:hint="default" w:ascii="Calibri" w:hAnsi="Calibri"/>
      </w:rPr>
    </w:lvl>
    <w:lvl w:ilvl="8" w:tentative="0">
      <w:start w:val="1"/>
      <w:numFmt w:val="decimal"/>
      <w:isLgl/>
      <w:lvlText w:val="%1.%2.%3.%4.%5.%6.%7.%8.%9"/>
      <w:lvlJc w:val="left"/>
      <w:pPr>
        <w:ind w:left="1440" w:hanging="1440"/>
      </w:pPr>
      <w:rPr>
        <w:rFonts w:hint="default" w:ascii="Calibri" w:hAnsi="Calibri"/>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2luhgukCSSZpstHtsm6gchya2YklBHIAJH/ZrNjrcVuWaE9LDTUouEuE5P7C98sOHunp4PpjV7RK2kyRhl/WDQ==" w:salt="qrFOyLcCMeZbA3ymP44IL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wNTI5ZDEwODdkZGExZDczODBjOTdiYjliNzU4N2UifQ=="/>
  </w:docVars>
  <w:rsids>
    <w:rsidRoot w:val="0073540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B8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5A6F"/>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3DDE"/>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7E4"/>
    <w:rsid w:val="005F284E"/>
    <w:rsid w:val="006015CE"/>
    <w:rsid w:val="00604784"/>
    <w:rsid w:val="00606419"/>
    <w:rsid w:val="00607D29"/>
    <w:rsid w:val="00612952"/>
    <w:rsid w:val="00614CC1"/>
    <w:rsid w:val="00615A9D"/>
    <w:rsid w:val="00617387"/>
    <w:rsid w:val="006205D6"/>
    <w:rsid w:val="006212F2"/>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40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2AA"/>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4E0"/>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4F3"/>
    <w:rsid w:val="009F2A3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92D"/>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E38"/>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2E80"/>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D76"/>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996"/>
    <w:rsid w:val="00D31DD5"/>
    <w:rsid w:val="00D32719"/>
    <w:rsid w:val="00D33333"/>
    <w:rsid w:val="00D352A2"/>
    <w:rsid w:val="00D403CB"/>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E15"/>
    <w:rsid w:val="00EE613F"/>
    <w:rsid w:val="00EE7295"/>
    <w:rsid w:val="00EE7869"/>
    <w:rsid w:val="00EF054A"/>
    <w:rsid w:val="00EF3235"/>
    <w:rsid w:val="00EF7E72"/>
    <w:rsid w:val="00F03EB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D9F"/>
    <w:rsid w:val="00F71E22"/>
    <w:rsid w:val="00F72142"/>
    <w:rsid w:val="00F72AE7"/>
    <w:rsid w:val="00F81704"/>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D53D57"/>
    <w:rsid w:val="083975CB"/>
    <w:rsid w:val="0DB036C6"/>
    <w:rsid w:val="1073405E"/>
    <w:rsid w:val="15D905D3"/>
    <w:rsid w:val="177F1B82"/>
    <w:rsid w:val="189F1C9B"/>
    <w:rsid w:val="1DD67375"/>
    <w:rsid w:val="249942CF"/>
    <w:rsid w:val="25EC4E92"/>
    <w:rsid w:val="27D127A8"/>
    <w:rsid w:val="280B6D3D"/>
    <w:rsid w:val="2B943C70"/>
    <w:rsid w:val="2D945258"/>
    <w:rsid w:val="3A6B2614"/>
    <w:rsid w:val="3C8F52B5"/>
    <w:rsid w:val="3E226B39"/>
    <w:rsid w:val="472054A8"/>
    <w:rsid w:val="49705F05"/>
    <w:rsid w:val="4AE90F33"/>
    <w:rsid w:val="4D896A1A"/>
    <w:rsid w:val="4FD8449C"/>
    <w:rsid w:val="55B441A8"/>
    <w:rsid w:val="57B34581"/>
    <w:rsid w:val="5B802DEC"/>
    <w:rsid w:val="5F303093"/>
    <w:rsid w:val="623C787F"/>
    <w:rsid w:val="63335D92"/>
    <w:rsid w:val="6D0F2F8E"/>
    <w:rsid w:val="6EFA112A"/>
    <w:rsid w:val="731B2C22"/>
    <w:rsid w:val="770C4BF0"/>
    <w:rsid w:val="7AE31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styleId="231">
    <w:name w:val="List Paragraph"/>
    <w:basedOn w:val="1"/>
    <w:qFormat/>
    <w:uiPriority w:val="34"/>
    <w:pPr>
      <w:ind w:firstLine="420" w:firstLineChars="200"/>
    </w:pPr>
  </w:style>
  <w:style w:type="character" w:customStyle="1" w:styleId="232">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445DB7D69804A50A6CF73AC605C793F"/>
        <w:style w:val=""/>
        <w:category>
          <w:name w:val="常规"/>
          <w:gallery w:val="placeholder"/>
        </w:category>
        <w:types>
          <w:type w:val="bbPlcHdr"/>
        </w:types>
        <w:behaviors>
          <w:behavior w:val="content"/>
        </w:behaviors>
        <w:description w:val=""/>
        <w:guid w:val="{DD6D5DA9-0992-409B-8277-AF5D32057E75}"/>
      </w:docPartPr>
      <w:docPartBody>
        <w:p w14:paraId="11BD602B">
          <w:pPr>
            <w:pStyle w:val="5"/>
            <w:rPr>
              <w:rFonts w:hint="eastAsia"/>
            </w:rPr>
          </w:pPr>
          <w:r>
            <w:rPr>
              <w:rStyle w:val="4"/>
              <w:rFonts w:hint="eastAsia"/>
            </w:rPr>
            <w:t>单击或点击此处输入文字。</w:t>
          </w:r>
        </w:p>
      </w:docPartBody>
    </w:docPart>
    <w:docPart>
      <w:docPartPr>
        <w:name w:val="0CEB27050D1247B6869EFE172F291E80"/>
        <w:style w:val=""/>
        <w:category>
          <w:name w:val="常规"/>
          <w:gallery w:val="placeholder"/>
        </w:category>
        <w:types>
          <w:type w:val="bbPlcHdr"/>
        </w:types>
        <w:behaviors>
          <w:behavior w:val="content"/>
        </w:behaviors>
        <w:description w:val=""/>
        <w:guid w:val="{31C94608-467C-4277-B3C3-F31107A982C6}"/>
      </w:docPartPr>
      <w:docPartBody>
        <w:p w14:paraId="2A894063">
          <w:pPr>
            <w:pStyle w:val="6"/>
            <w:rPr>
              <w:rFonts w:hint="eastAsia"/>
            </w:rPr>
          </w:pPr>
          <w:r>
            <w:rPr>
              <w:rStyle w:val="4"/>
              <w:rFonts w:hint="eastAsia"/>
            </w:rPr>
            <w:t>选择一项。</w:t>
          </w:r>
        </w:p>
      </w:docPartBody>
    </w:docPart>
    <w:docPart>
      <w:docPartPr>
        <w:name w:val="C13632BED6DE40D7A63EA08BB4512D3D"/>
        <w:style w:val=""/>
        <w:category>
          <w:name w:val="常规"/>
          <w:gallery w:val="placeholder"/>
        </w:category>
        <w:types>
          <w:type w:val="bbPlcHdr"/>
        </w:types>
        <w:behaviors>
          <w:behavior w:val="content"/>
        </w:behaviors>
        <w:description w:val=""/>
        <w:guid w:val="{BA42E902-A43B-4F63-8CD7-4E615ABCE9E1}"/>
      </w:docPartPr>
      <w:docPartBody>
        <w:p w14:paraId="759FB49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DAD"/>
    <w:rsid w:val="001414C8"/>
    <w:rsid w:val="003F5A6F"/>
    <w:rsid w:val="00682DAD"/>
    <w:rsid w:val="00D96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445DB7D69804A50A6CF73AC605C793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CEB27050D1247B6869EFE172F291E8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C13632BED6DE40D7A63EA08BB4512D3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6</Pages>
  <Words>1718</Words>
  <Characters>2026</Characters>
  <Lines>18</Lines>
  <Paragraphs>5</Paragraphs>
  <TotalTime>6</TotalTime>
  <ScaleCrop>false</ScaleCrop>
  <LinksUpToDate>false</LinksUpToDate>
  <CharactersWithSpaces>2106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2023-12-08T04:20:00Z</dcterms:created>
  <dc:creator>long</dc:creator>
  <dc:description>&lt;config cover="true" show_menu="true" version="1.0.0" doctype="SDKXY"&gt;_x000d_
&lt;/config&gt;</dc:description>
  <cp:lastModifiedBy>昏阳</cp:lastModifiedBy>
  <cp:lastPrinted>2021-02-02T08:22:00Z</cp:lastPrinted>
  <dcterms:modified xsi:type="dcterms:W3CDTF">2024-10-07T09:21:32Z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B94EDADC403642A083932C5687312354_12</vt:lpwstr>
  </property>
</Properties>
</file>