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D54DD">
      <w:pPr>
        <w:autoSpaceDE w:val="0"/>
        <w:autoSpaceDN w:val="0"/>
        <w:adjustRightInd w:val="0"/>
        <w:jc w:val="center"/>
        <w:rPr>
          <w:rFonts w:hint="default" w:ascii="Times New Roman" w:hAnsi="Times New Roman" w:eastAsia="宋体" w:cs="Times New Roman"/>
          <w:sz w:val="40"/>
          <w:szCs w:val="40"/>
          <w:lang w:val="zh-CN"/>
        </w:rPr>
      </w:pPr>
    </w:p>
    <w:p w14:paraId="4DAF8C08">
      <w:pPr>
        <w:autoSpaceDE w:val="0"/>
        <w:autoSpaceDN w:val="0"/>
        <w:adjustRightInd w:val="0"/>
        <w:jc w:val="center"/>
        <w:rPr>
          <w:rFonts w:hint="default" w:ascii="Times New Roman" w:hAnsi="Times New Roman" w:eastAsia="宋体" w:cs="Times New Roman"/>
          <w:sz w:val="40"/>
          <w:szCs w:val="40"/>
          <w:lang w:val="zh-CN"/>
        </w:rPr>
      </w:pPr>
    </w:p>
    <w:p w14:paraId="1A51DAC7">
      <w:pPr>
        <w:autoSpaceDE w:val="0"/>
        <w:autoSpaceDN w:val="0"/>
        <w:adjustRightInd w:val="0"/>
        <w:jc w:val="center"/>
        <w:rPr>
          <w:rFonts w:hint="default" w:ascii="Times New Roman" w:hAnsi="Times New Roman" w:eastAsia="宋体" w:cs="Times New Roman"/>
          <w:sz w:val="40"/>
          <w:szCs w:val="40"/>
          <w:lang w:val="zh-CN"/>
        </w:rPr>
      </w:pPr>
      <w:r>
        <w:rPr>
          <w:rFonts w:hint="default" w:ascii="Times New Roman" w:hAnsi="Times New Roman" w:eastAsia="宋体" w:cs="Times New Roman"/>
          <w:sz w:val="40"/>
          <w:szCs w:val="40"/>
          <w:lang w:val="zh-CN"/>
        </w:rPr>
        <w:t>团体标准《干制桑芽菜加工技术规程》</w:t>
      </w:r>
    </w:p>
    <w:p w14:paraId="1963E9B2">
      <w:pPr>
        <w:autoSpaceDE w:val="0"/>
        <w:autoSpaceDN w:val="0"/>
        <w:adjustRightInd w:val="0"/>
        <w:jc w:val="center"/>
        <w:rPr>
          <w:rFonts w:hint="default" w:ascii="Times New Roman" w:hAnsi="Times New Roman" w:eastAsia="宋体" w:cs="Times New Roman"/>
          <w:sz w:val="40"/>
          <w:szCs w:val="40"/>
          <w:lang w:val="zh-CN"/>
        </w:rPr>
      </w:pPr>
      <w:r>
        <w:rPr>
          <w:rFonts w:hint="default" w:ascii="Times New Roman" w:hAnsi="Times New Roman" w:eastAsia="宋体" w:cs="Times New Roman"/>
          <w:sz w:val="40"/>
          <w:szCs w:val="40"/>
          <w:lang w:val="zh-CN"/>
        </w:rPr>
        <w:t>(征求意见稿)</w:t>
      </w:r>
    </w:p>
    <w:p w14:paraId="32CC1685">
      <w:pPr>
        <w:autoSpaceDE w:val="0"/>
        <w:autoSpaceDN w:val="0"/>
        <w:adjustRightInd w:val="0"/>
        <w:jc w:val="center"/>
        <w:rPr>
          <w:rFonts w:hint="default" w:ascii="Times New Roman" w:hAnsi="Times New Roman" w:eastAsia="宋体" w:cs="Times New Roman"/>
          <w:sz w:val="40"/>
          <w:szCs w:val="40"/>
          <w:lang w:val="zh-CN"/>
        </w:rPr>
      </w:pPr>
    </w:p>
    <w:p w14:paraId="7F7D40AD">
      <w:pPr>
        <w:autoSpaceDE w:val="0"/>
        <w:autoSpaceDN w:val="0"/>
        <w:adjustRightInd w:val="0"/>
        <w:jc w:val="center"/>
        <w:rPr>
          <w:rFonts w:hint="default" w:ascii="Times New Roman" w:hAnsi="Times New Roman" w:eastAsia="宋体" w:cs="Times New Roman"/>
          <w:sz w:val="40"/>
          <w:szCs w:val="40"/>
          <w:lang w:val="zh-CN"/>
        </w:rPr>
      </w:pPr>
    </w:p>
    <w:p w14:paraId="4A85D3E6">
      <w:pPr>
        <w:autoSpaceDE w:val="0"/>
        <w:autoSpaceDN w:val="0"/>
        <w:adjustRightInd w:val="0"/>
        <w:jc w:val="center"/>
        <w:rPr>
          <w:rFonts w:hint="default" w:ascii="Times New Roman" w:hAnsi="Times New Roman" w:eastAsia="宋体" w:cs="Times New Roman"/>
          <w:sz w:val="40"/>
          <w:szCs w:val="40"/>
          <w:lang w:val="zh-CN"/>
        </w:rPr>
      </w:pPr>
    </w:p>
    <w:p w14:paraId="138D9B27">
      <w:pPr>
        <w:autoSpaceDE w:val="0"/>
        <w:autoSpaceDN w:val="0"/>
        <w:adjustRightInd w:val="0"/>
        <w:jc w:val="center"/>
        <w:rPr>
          <w:rFonts w:hint="default" w:ascii="Times New Roman" w:hAnsi="Times New Roman" w:eastAsia="宋体" w:cs="Times New Roman"/>
          <w:sz w:val="40"/>
          <w:szCs w:val="40"/>
          <w:lang w:val="zh-CN"/>
        </w:rPr>
      </w:pPr>
    </w:p>
    <w:p w14:paraId="09935F57">
      <w:pPr>
        <w:autoSpaceDE w:val="0"/>
        <w:autoSpaceDN w:val="0"/>
        <w:adjustRightInd w:val="0"/>
        <w:jc w:val="center"/>
        <w:rPr>
          <w:rFonts w:hint="default" w:ascii="Times New Roman" w:hAnsi="Times New Roman" w:eastAsia="宋体" w:cs="Times New Roman"/>
          <w:sz w:val="72"/>
          <w:szCs w:val="72"/>
          <w:lang w:val="zh-CN"/>
        </w:rPr>
      </w:pPr>
      <w:r>
        <w:rPr>
          <w:rFonts w:hint="default" w:ascii="Times New Roman" w:hAnsi="Times New Roman" w:eastAsia="宋体" w:cs="Times New Roman"/>
          <w:sz w:val="72"/>
          <w:szCs w:val="72"/>
          <w:lang w:val="zh-CN"/>
        </w:rPr>
        <w:t>编 制 说 明</w:t>
      </w:r>
    </w:p>
    <w:p w14:paraId="0D696ED7">
      <w:pPr>
        <w:autoSpaceDE w:val="0"/>
        <w:autoSpaceDN w:val="0"/>
        <w:adjustRightInd w:val="0"/>
        <w:rPr>
          <w:rFonts w:hint="default" w:ascii="Times New Roman" w:hAnsi="Times New Roman" w:eastAsia="宋体" w:cs="Times New Roman"/>
          <w:sz w:val="32"/>
          <w:szCs w:val="32"/>
          <w:lang w:val="zh-CN"/>
        </w:rPr>
      </w:pPr>
      <w:r>
        <w:rPr>
          <w:rFonts w:hint="default" w:ascii="Times New Roman" w:hAnsi="Times New Roman" w:eastAsia="宋体" w:cs="Times New Roman"/>
          <w:sz w:val="32"/>
          <w:szCs w:val="32"/>
          <w:lang w:val="zh-CN"/>
        </w:rPr>
        <w:t xml:space="preserve">   </w:t>
      </w:r>
    </w:p>
    <w:p w14:paraId="33430BE7">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5168A752">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795ED499">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2F8F5AF3">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1C979A1C">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68EC170F">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1D9DC0EB">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24524EC3">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76606728">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4C19A51C">
      <w:pPr>
        <w:autoSpaceDE w:val="0"/>
        <w:autoSpaceDN w:val="0"/>
        <w:adjustRightInd w:val="0"/>
        <w:spacing w:line="480" w:lineRule="exact"/>
        <w:rPr>
          <w:rFonts w:hint="default" w:ascii="Times New Roman" w:hAnsi="Times New Roman" w:eastAsia="宋体" w:cs="Times New Roman"/>
          <w:sz w:val="28"/>
          <w:szCs w:val="28"/>
          <w:lang w:val="zh-CN"/>
        </w:rPr>
      </w:pPr>
    </w:p>
    <w:p w14:paraId="2BE18A3D">
      <w:pPr>
        <w:autoSpaceDE w:val="0"/>
        <w:autoSpaceDN w:val="0"/>
        <w:adjustRightInd w:val="0"/>
        <w:spacing w:line="480" w:lineRule="exact"/>
        <w:jc w:val="center"/>
        <w:rPr>
          <w:rFonts w:hint="default" w:ascii="Times New Roman" w:hAnsi="Times New Roman" w:eastAsia="宋体" w:cs="Times New Roman"/>
          <w:sz w:val="28"/>
          <w:szCs w:val="28"/>
          <w:lang w:val="zh-CN"/>
        </w:rPr>
      </w:pPr>
      <w:r>
        <w:rPr>
          <w:rFonts w:hint="default" w:ascii="Times New Roman" w:hAnsi="Times New Roman" w:eastAsia="宋体" w:cs="Times New Roman"/>
          <w:sz w:val="28"/>
          <w:szCs w:val="28"/>
          <w:lang w:val="zh-CN"/>
        </w:rPr>
        <w:t>广西壮族自治区蚕业技术推广站</w:t>
      </w:r>
    </w:p>
    <w:p w14:paraId="5EF459E8">
      <w:pPr>
        <w:autoSpaceDE w:val="0"/>
        <w:autoSpaceDN w:val="0"/>
        <w:adjustRightInd w:val="0"/>
        <w:spacing w:line="480" w:lineRule="exact"/>
        <w:ind w:left="560"/>
        <w:jc w:val="center"/>
        <w:rPr>
          <w:rFonts w:hint="default" w:ascii="Times New Roman" w:hAnsi="Times New Roman" w:eastAsia="宋体" w:cs="Times New Roman"/>
          <w:sz w:val="28"/>
          <w:szCs w:val="28"/>
          <w:lang w:val="zh-CN"/>
        </w:rPr>
      </w:pPr>
      <w:r>
        <w:rPr>
          <w:rFonts w:hint="default" w:ascii="Times New Roman" w:hAnsi="Times New Roman" w:eastAsia="宋体" w:cs="Times New Roman"/>
          <w:sz w:val="28"/>
          <w:szCs w:val="28"/>
          <w:lang w:val="zh-CN"/>
        </w:rPr>
        <w:t>二</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zh-CN"/>
        </w:rPr>
        <w:t>二</w:t>
      </w:r>
      <w:r>
        <w:rPr>
          <w:rFonts w:hint="default" w:ascii="Times New Roman" w:hAnsi="Times New Roman" w:eastAsia="宋体" w:cs="Times New Roman"/>
          <w:sz w:val="28"/>
          <w:szCs w:val="28"/>
          <w:lang w:val="en-US" w:eastAsia="zh-CN"/>
        </w:rPr>
        <w:t>四</w:t>
      </w:r>
      <w:r>
        <w:rPr>
          <w:rFonts w:hint="default" w:ascii="Times New Roman" w:hAnsi="Times New Roman" w:eastAsia="宋体" w:cs="Times New Roman"/>
          <w:sz w:val="28"/>
          <w:szCs w:val="28"/>
          <w:lang w:val="zh-CN"/>
        </w:rPr>
        <w:t>年十月</w:t>
      </w:r>
    </w:p>
    <w:p w14:paraId="501F9CB0">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1AB26139">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534B70AE">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172E8BE1">
      <w:pPr>
        <w:rPr>
          <w:rFonts w:hint="default" w:ascii="Times New Roman" w:hAnsi="Times New Roman" w:eastAsia="宋体" w:cs="Times New Roman"/>
          <w:sz w:val="24"/>
        </w:rPr>
      </w:pPr>
    </w:p>
    <w:p w14:paraId="66C86773">
      <w:pPr>
        <w:adjustRightInd w:val="0"/>
        <w:snapToGrid w:val="0"/>
        <w:spacing w:line="380" w:lineRule="exact"/>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一、任务来源</w:t>
      </w:r>
    </w:p>
    <w:p w14:paraId="3135A5A2">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本标准来源于2024年第十六批广西团体标准制修订项目计划（桂标协〔2024〕115号文，项目编号为：2024-1606），由</w:t>
      </w:r>
      <w:bookmarkStart w:id="0" w:name="_Hlk169775971"/>
      <w:r>
        <w:rPr>
          <w:rFonts w:hint="default" w:ascii="Times New Roman" w:hAnsi="Times New Roman" w:eastAsia="宋体" w:cs="Times New Roman"/>
          <w:color w:val="auto"/>
          <w:sz w:val="24"/>
          <w:szCs w:val="24"/>
          <w:highlight w:val="none"/>
        </w:rPr>
        <w:t>广西壮族自治区蚕业技术推广站</w:t>
      </w:r>
      <w:bookmarkEnd w:id="0"/>
      <w:r>
        <w:rPr>
          <w:rFonts w:hint="default" w:ascii="Times New Roman" w:hAnsi="Times New Roman" w:eastAsia="宋体" w:cs="Times New Roman"/>
          <w:color w:val="auto"/>
          <w:sz w:val="24"/>
          <w:szCs w:val="24"/>
          <w:highlight w:val="none"/>
        </w:rPr>
        <w:t>提出，</w:t>
      </w:r>
      <w:bookmarkStart w:id="1" w:name="_Hlk169775984"/>
      <w:r>
        <w:rPr>
          <w:rFonts w:hint="default" w:ascii="Times New Roman" w:hAnsi="Times New Roman" w:eastAsia="宋体" w:cs="Times New Roman"/>
          <w:color w:val="auto"/>
          <w:sz w:val="24"/>
          <w:szCs w:val="24"/>
          <w:highlight w:val="none"/>
        </w:rPr>
        <w:t>广西壮族自治区蚕业技术推广站广西标准化协会、广西平果县惠民蚕业科技有限责任公司</w:t>
      </w:r>
      <w:bookmarkEnd w:id="1"/>
      <w:r>
        <w:rPr>
          <w:rFonts w:hint="default" w:ascii="Times New Roman" w:hAnsi="Times New Roman" w:eastAsia="宋体" w:cs="Times New Roman"/>
          <w:color w:val="auto"/>
          <w:sz w:val="24"/>
          <w:szCs w:val="24"/>
          <w:highlight w:val="none"/>
        </w:rPr>
        <w:t>并负责起草。</w:t>
      </w:r>
    </w:p>
    <w:p w14:paraId="6A06A911">
      <w:pPr>
        <w:adjustRightInd w:val="0"/>
        <w:snapToGrid w:val="0"/>
        <w:spacing w:line="380" w:lineRule="exac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二、编制标准的必要性、可行性和紧迫性</w:t>
      </w:r>
    </w:p>
    <w:p w14:paraId="1A5B1FD5">
      <w:pPr>
        <w:adjustRightInd w:val="0"/>
        <w:snapToGrid w:val="0"/>
        <w:spacing w:line="380" w:lineRule="exac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（一）必要性</w:t>
      </w:r>
    </w:p>
    <w:p w14:paraId="2484308F">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lang w:bidi="ar"/>
        </w:rPr>
      </w:pPr>
      <w:r>
        <w:rPr>
          <w:rFonts w:hint="default" w:ascii="Times New Roman" w:hAnsi="Times New Roman" w:eastAsia="宋体" w:cs="Times New Roman"/>
          <w:color w:val="auto"/>
          <w:sz w:val="24"/>
          <w:szCs w:val="24"/>
          <w:highlight w:val="none"/>
          <w:lang w:bidi="ar"/>
        </w:rPr>
        <w:t>桑叶是我国药食同源目录原料，传统中药表明桑叶具有疏散风热、清肺润燥、平肝明目等功效；现代药理研究表明桑叶活性成分丰富，含有人体所需的多种活性成分，例如多酚、黄酮、多糖、生物碱、氨基酸等，具有降血糖、降脂、抗炎、抗氧化性、抗肿瘤和心脏保护等作用。桑芽菜是取至桑枝顶端的</w:t>
      </w:r>
      <w:r>
        <w:rPr>
          <w:rFonts w:hint="eastAsia" w:ascii="Times New Roman" w:hAnsi="Times New Roman" w:cs="Times New Roman"/>
          <w:color w:val="auto"/>
          <w:sz w:val="24"/>
          <w:szCs w:val="24"/>
          <w:highlight w:val="none"/>
          <w:lang w:eastAsia="zh-CN" w:bidi="ar"/>
        </w:rPr>
        <w:t>“</w:t>
      </w:r>
      <w:r>
        <w:rPr>
          <w:rFonts w:hint="default" w:ascii="Times New Roman" w:hAnsi="Times New Roman" w:eastAsia="宋体" w:cs="Times New Roman"/>
          <w:color w:val="auto"/>
          <w:sz w:val="24"/>
          <w:szCs w:val="24"/>
          <w:highlight w:val="none"/>
          <w:lang w:bidi="ar"/>
        </w:rPr>
        <w:t>一芽两叶</w:t>
      </w:r>
      <w:r>
        <w:rPr>
          <w:rFonts w:hint="eastAsia" w:ascii="Times New Roman" w:hAnsi="Times New Roman" w:cs="Times New Roman"/>
          <w:color w:val="auto"/>
          <w:sz w:val="24"/>
          <w:szCs w:val="24"/>
          <w:highlight w:val="none"/>
          <w:lang w:eastAsia="zh-CN" w:bidi="ar"/>
        </w:rPr>
        <w:t>”</w:t>
      </w:r>
      <w:r>
        <w:rPr>
          <w:rFonts w:hint="default" w:ascii="Times New Roman" w:hAnsi="Times New Roman" w:eastAsia="宋体" w:cs="Times New Roman"/>
          <w:color w:val="auto"/>
          <w:sz w:val="24"/>
          <w:szCs w:val="24"/>
          <w:highlight w:val="none"/>
          <w:lang w:bidi="ar"/>
        </w:rPr>
        <w:t>，可以用来煮汤、凉拌、煮火锅等，味道鲜美，常用于餐饮店、超市、农家乐等场所，广泛适用于各种人群。近年来，以桑芽菜为主要原料，应用现代科学技术加工而成的冷冻桑芽菜受到消费者的青睐，这种新型的包装蔬菜能保留桑芽菜原有的营养及活性物质，但是冷冻桑芽菜需要全程的冷链运输及冷冻储存，在物流及储存方面花费较大，目前市面上可以常温储存的桑芽菜产品很少，因此可以常温储存、延长商品货架期的干制桑芽菜产品亟需开发，这将再次推动蚕桑产业发展和延伸蚕桑产业链。</w:t>
      </w:r>
    </w:p>
    <w:p w14:paraId="034260B2">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lang w:bidi="ar"/>
        </w:rPr>
      </w:pPr>
      <w:r>
        <w:rPr>
          <w:rFonts w:hint="default" w:ascii="Times New Roman" w:hAnsi="Times New Roman" w:eastAsia="宋体" w:cs="Times New Roman"/>
          <w:color w:val="auto"/>
          <w:sz w:val="24"/>
          <w:szCs w:val="24"/>
          <w:highlight w:val="none"/>
          <w:lang w:bidi="ar"/>
        </w:rPr>
        <w:t>干制桑芽菜可以在保持叶片的完整性的同时具有</w:t>
      </w:r>
      <w:bookmarkStart w:id="2" w:name="OLE_LINK3"/>
      <w:r>
        <w:rPr>
          <w:rFonts w:hint="default" w:ascii="Times New Roman" w:hAnsi="Times New Roman" w:eastAsia="宋体" w:cs="Times New Roman"/>
          <w:color w:val="auto"/>
          <w:sz w:val="24"/>
          <w:szCs w:val="24"/>
          <w:highlight w:val="none"/>
          <w:lang w:bidi="ar"/>
        </w:rPr>
        <w:t>桑芽菜原有的风味，同时体积小、重量轻</w:t>
      </w:r>
      <w:bookmarkEnd w:id="2"/>
      <w:r>
        <w:rPr>
          <w:rFonts w:hint="default" w:ascii="Times New Roman" w:hAnsi="Times New Roman" w:eastAsia="宋体" w:cs="Times New Roman"/>
          <w:color w:val="auto"/>
          <w:sz w:val="24"/>
          <w:szCs w:val="24"/>
          <w:highlight w:val="none"/>
          <w:lang w:bidi="ar"/>
        </w:rPr>
        <w:t>。目前袋装螺蛳粉、袋装广西特色米粉或方便面中还未配有完整叶片的蔬菜，干制桑芽菜包装后可以搭配到袋装螺蛳粉、特色米粉或方便面中，这市场前景越来越广阔，进一步延长广西特色米粉产业链。除此之外，轻便、易运输、复水性好的干制桑芽菜还可以用于餐饮领域和家庭消费市场，可选择打汤、白灼等多种烹饪方式，这大大增加市场对桑芽菜的需求，未来几年干制桑芽菜的相关产业将会有较大发展。为了避免生产过程中存在的隐患，明确生产规范化和标准化，提高干制桑芽菜产业形象，制定干制桑芽菜的加工技术规程很有必要。</w:t>
      </w:r>
    </w:p>
    <w:p w14:paraId="4DD592F7">
      <w:pPr>
        <w:pStyle w:val="11"/>
        <w:adjustRightInd w:val="0"/>
        <w:snapToGrid w:val="0"/>
        <w:spacing w:line="380" w:lineRule="exact"/>
        <w:ind w:firstLine="482"/>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（二）可行性</w:t>
      </w:r>
    </w:p>
    <w:p w14:paraId="36925019">
      <w:pPr>
        <w:adjustRightInd w:val="0"/>
        <w:snapToGrid w:val="0"/>
        <w:spacing w:line="380" w:lineRule="exact"/>
        <w:ind w:firstLine="482"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（1）政府重视与支持。</w:t>
      </w:r>
      <w:r>
        <w:rPr>
          <w:rFonts w:hint="default" w:ascii="Times New Roman" w:hAnsi="Times New Roman" w:eastAsia="宋体" w:cs="Times New Roman"/>
          <w:color w:val="auto"/>
          <w:sz w:val="24"/>
          <w:szCs w:val="24"/>
          <w:highlight w:val="none"/>
        </w:rPr>
        <w:t>干制桑芽菜通过制作与包装后其实就是一种预制菜产品，在中央一号文件提出</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提升净菜、中央厨房等产业标准化和规范化水平。培育发展预制菜产业。</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之后中央文件在《关于恢复和扩大消费的措施》中提出</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挖掘预制菜市场潜力，加快推进预制菜基地建设</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，这均表明中央大力发展预制菜产业的决心。广西农产品量多质优、产业基础好，背靠东盟国家国际市场大，发展</w:t>
      </w:r>
      <w:r>
        <w:rPr>
          <w:rFonts w:hint="default" w:ascii="Times New Roman" w:hAnsi="Times New Roman" w:eastAsia="宋体" w:cs="Times New Roman"/>
          <w:color w:val="auto"/>
          <w:sz w:val="24"/>
          <w:szCs w:val="24"/>
          <w:highlight w:val="none"/>
          <w:lang w:bidi="ar"/>
        </w:rPr>
        <w:t>预制菜产业优势明显。广西成立预制菜产业联盟以促进广西预制菜产业国内国际</w:t>
      </w:r>
      <w:r>
        <w:rPr>
          <w:rFonts w:hint="eastAsia" w:ascii="Times New Roman" w:hAnsi="Times New Roman" w:cs="Times New Roman"/>
          <w:color w:val="auto"/>
          <w:sz w:val="24"/>
          <w:szCs w:val="24"/>
          <w:highlight w:val="none"/>
          <w:lang w:eastAsia="zh-CN" w:bidi="ar"/>
        </w:rPr>
        <w:t>“</w:t>
      </w:r>
      <w:r>
        <w:rPr>
          <w:rFonts w:hint="default" w:ascii="Times New Roman" w:hAnsi="Times New Roman" w:eastAsia="宋体" w:cs="Times New Roman"/>
          <w:color w:val="auto"/>
          <w:sz w:val="24"/>
          <w:szCs w:val="24"/>
          <w:highlight w:val="none"/>
          <w:lang w:bidi="ar"/>
        </w:rPr>
        <w:t>双循环</w:t>
      </w:r>
      <w:r>
        <w:rPr>
          <w:rFonts w:hint="eastAsia" w:ascii="Times New Roman" w:hAnsi="Times New Roman" w:cs="Times New Roman"/>
          <w:color w:val="auto"/>
          <w:sz w:val="24"/>
          <w:szCs w:val="24"/>
          <w:highlight w:val="none"/>
          <w:lang w:eastAsia="zh-CN" w:bidi="ar"/>
        </w:rPr>
        <w:t>”</w:t>
      </w:r>
      <w:r>
        <w:rPr>
          <w:rFonts w:hint="default" w:ascii="Times New Roman" w:hAnsi="Times New Roman" w:eastAsia="宋体" w:cs="Times New Roman"/>
          <w:color w:val="auto"/>
          <w:sz w:val="24"/>
          <w:szCs w:val="24"/>
          <w:highlight w:val="none"/>
          <w:lang w:bidi="ar"/>
        </w:rPr>
        <w:t>，自</w:t>
      </w:r>
      <w:r>
        <w:rPr>
          <w:rFonts w:hint="default" w:ascii="Times New Roman" w:hAnsi="Times New Roman" w:eastAsia="宋体" w:cs="Times New Roman"/>
          <w:color w:val="auto"/>
          <w:sz w:val="24"/>
          <w:szCs w:val="24"/>
          <w:highlight w:val="none"/>
        </w:rPr>
        <w:t>治区农业农村厅印发的《广西</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桂味</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预制菜产业高质量发展三年行动方案（2022—2024年）》和自治区商务厅印发的《关于加快恢复和扩大餐饮消费的若干措施》均为加快预制菜产业发展提供项目预算。由此可见，干制桑芽菜加工技术规程的制定，符合广西蚕桑大省的</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桂味</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特色及餐饮行业的需求。</w:t>
      </w:r>
    </w:p>
    <w:p w14:paraId="26179BF6">
      <w:pPr>
        <w:adjustRightInd w:val="0"/>
        <w:snapToGrid w:val="0"/>
        <w:spacing w:line="380" w:lineRule="exact"/>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（2）在桑芽菜加工研究方面积累了一定的经验。</w:t>
      </w:r>
      <w:r>
        <w:rPr>
          <w:rFonts w:hint="default" w:ascii="Times New Roman" w:hAnsi="Times New Roman" w:eastAsia="宋体" w:cs="Times New Roman"/>
          <w:color w:val="auto"/>
          <w:sz w:val="24"/>
          <w:szCs w:val="24"/>
          <w:highlight w:val="none"/>
        </w:rPr>
        <w:t>研究团队</w:t>
      </w:r>
      <w:r>
        <w:rPr>
          <w:rFonts w:hint="default" w:ascii="Times New Roman" w:hAnsi="Times New Roman" w:eastAsia="宋体" w:cs="Times New Roman"/>
          <w:color w:val="auto"/>
          <w:sz w:val="24"/>
          <w:szCs w:val="24"/>
          <w:highlight w:val="none"/>
          <w:lang w:bidi="ar"/>
        </w:rPr>
        <w:t>自1999年开始，对桑叶资源利用加工工艺方面做了大量研究工作，并获得国家公益性行业专项《蚕桑资源高值化加工利用技术及设备研究与示范》等项目资助。另外，在标准制定方面也积累了一定的经验，</w:t>
      </w:r>
      <w:r>
        <w:rPr>
          <w:rFonts w:hint="default" w:ascii="Times New Roman" w:hAnsi="Times New Roman" w:eastAsia="宋体" w:cs="Times New Roman"/>
          <w:color w:val="auto"/>
          <w:sz w:val="24"/>
          <w:szCs w:val="24"/>
          <w:highlight w:val="none"/>
        </w:rPr>
        <w:t>2022年研究团队已完成广西地方标准《冷冻桑芽菜加工技术规程》，</w:t>
      </w:r>
      <w:r>
        <w:rPr>
          <w:rFonts w:hint="default" w:ascii="Times New Roman" w:hAnsi="Times New Roman" w:eastAsia="宋体" w:cs="Times New Roman"/>
          <w:color w:val="auto"/>
          <w:sz w:val="24"/>
          <w:szCs w:val="24"/>
          <w:highlight w:val="none"/>
          <w:lang w:bidi="ar"/>
        </w:rPr>
        <w:t>现已完成并获颁布了广西地方标准《桑果原汁生产技术规程》《桑叶绿茶加工技术规程》等10项，团体标准《桑果露酒加工技术规程》1项，这为编写干制桑芽菜加工技术标准打下了坚实的基础。为确保标准编写工作正常进行，我站组建了标准编写工作小组，这使编制工作更科学、严谨。</w:t>
      </w:r>
    </w:p>
    <w:p w14:paraId="776AA088">
      <w:pPr>
        <w:pStyle w:val="11"/>
        <w:adjustRightInd w:val="0"/>
        <w:snapToGrid w:val="0"/>
        <w:spacing w:line="380" w:lineRule="exact"/>
        <w:ind w:firstLine="482"/>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（三）紧迫性</w:t>
      </w:r>
    </w:p>
    <w:p w14:paraId="1EFE3FB7">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随着桑芽菜市场的快速发展，一些问题逐渐浮现出来。例如，一些地方存在生产工艺不规范、质量控制不严格等情况，导致桑芽菜品质参差不齐。为了解决这些问题，保障民众的食品安全，以及推动桑芽菜产业的可持续发展，现在是制定相关技术规程的最佳时机。通过规范生产加工流程、强化质量管理，可以有效提高干制桑芽菜的品质稳定性和市场竞争力。为了迎合广大消费者对干制桑芽菜食品安全性、标准性等的需求，充分发挥干制桑芽菜的营养保健作用，做大做强干制桑芽菜资源利用产业并正确引导其他产业健康有序发展，制定干制桑芽菜加工技术规程迫在眉睫。</w:t>
      </w:r>
    </w:p>
    <w:p w14:paraId="3E1FAE0A">
      <w:pPr>
        <w:adjustRightInd w:val="0"/>
        <w:snapToGrid w:val="0"/>
        <w:spacing w:line="380" w:lineRule="exact"/>
        <w:ind w:firstLine="482" w:firstLineChars="20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三、标准编制经过及编制原则</w:t>
      </w:r>
    </w:p>
    <w:p w14:paraId="60647D1D">
      <w:pPr>
        <w:adjustRightInd w:val="0"/>
        <w:snapToGrid w:val="0"/>
        <w:spacing w:line="380" w:lineRule="exact"/>
        <w:ind w:firstLine="482" w:firstLineChars="20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（一）标准编制前期工作</w:t>
      </w:r>
    </w:p>
    <w:p w14:paraId="0A20A651">
      <w:pPr>
        <w:adjustRightInd w:val="0"/>
        <w:snapToGrid w:val="0"/>
        <w:spacing w:line="380" w:lineRule="exact"/>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1、前期研究工作</w:t>
      </w:r>
    </w:p>
    <w:p w14:paraId="065BA027">
      <w:pPr>
        <w:adjustRightInd w:val="0"/>
        <w:snapToGrid w:val="0"/>
        <w:spacing w:line="380" w:lineRule="exact"/>
        <w:ind w:firstLine="42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广西壮族自治区蚕业技术推广站对桑叶的利用研究始于1999年，在有关桑叶绿茶、桑叶菜、桑叶粉等加工的工艺研究方面做了大量工作，得到国家公益性行业（农业）专项资金《蚕桑资源高值化加工利用技术及设备研究与示范》《桑树资源多元化利用关键技术研究与应用》等项目的资助，通过开展桑叶利用关键技术的研究建立桑叶加工技术体系，为桑叶资源的利用奠定了扎实的基础。制定《冷冻桑芽菜加工技术规程》</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《桑叶绿茶加工技术规程》</w:t>
      </w:r>
      <w:r>
        <w:rPr>
          <w:rFonts w:hint="eastAsia" w:ascii="Times New Roman" w:hAnsi="Times New Roman" w:cs="Times New Roman"/>
          <w:color w:val="auto"/>
          <w:sz w:val="24"/>
          <w:szCs w:val="24"/>
          <w:highlight w:val="none"/>
          <w:lang w:eastAsia="zh-CN"/>
        </w:rPr>
        <w:t>、</w:t>
      </w:r>
      <w:r>
        <w:rPr>
          <w:rFonts w:hint="eastAsia" w:ascii="宋体" w:hAnsi="宋体"/>
          <w:sz w:val="24"/>
        </w:rPr>
        <w:t>《桑枝栽培灵芝生产技术规程》</w:t>
      </w:r>
      <w:r>
        <w:rPr>
          <w:rFonts w:hint="eastAsia"/>
          <w:sz w:val="24"/>
          <w:lang w:eastAsia="zh-CN"/>
        </w:rPr>
        <w:t>、</w:t>
      </w:r>
      <w:r>
        <w:rPr>
          <w:rFonts w:hint="eastAsia" w:ascii="宋体" w:hAnsi="宋体"/>
          <w:sz w:val="24"/>
        </w:rPr>
        <w:t>《桑果原汁生产技术规程》</w:t>
      </w:r>
      <w:r>
        <w:rPr>
          <w:rFonts w:hint="eastAsia"/>
          <w:sz w:val="24"/>
          <w:lang w:eastAsia="zh-CN"/>
        </w:rPr>
        <w:t>、</w:t>
      </w:r>
      <w:r>
        <w:rPr>
          <w:rFonts w:hint="eastAsia" w:ascii="宋体" w:hAnsi="宋体"/>
          <w:sz w:val="24"/>
        </w:rPr>
        <w:t>《桑果露酒加工技术规程》</w:t>
      </w:r>
      <w:r>
        <w:rPr>
          <w:rFonts w:hint="default" w:ascii="Times New Roman" w:hAnsi="Times New Roman" w:eastAsia="宋体" w:cs="Times New Roman"/>
          <w:color w:val="auto"/>
          <w:sz w:val="24"/>
          <w:szCs w:val="24"/>
          <w:highlight w:val="none"/>
        </w:rPr>
        <w:t>等多项广西地方标准</w:t>
      </w:r>
      <w:r>
        <w:rPr>
          <w:rFonts w:hint="eastAsia" w:ascii="Times New Roman" w:hAnsi="Times New Roman" w:cs="Times New Roman"/>
          <w:color w:val="auto"/>
          <w:sz w:val="24"/>
          <w:szCs w:val="24"/>
          <w:highlight w:val="none"/>
          <w:lang w:eastAsia="zh-CN"/>
        </w:rPr>
        <w:t>、团体标准</w:t>
      </w:r>
      <w:r>
        <w:rPr>
          <w:rFonts w:hint="default" w:ascii="Times New Roman" w:hAnsi="Times New Roman" w:eastAsia="宋体" w:cs="Times New Roman"/>
          <w:color w:val="auto"/>
          <w:sz w:val="24"/>
          <w:szCs w:val="24"/>
          <w:highlight w:val="none"/>
        </w:rPr>
        <w:t>，为标准的制定打下扎实的基础。</w:t>
      </w:r>
    </w:p>
    <w:p w14:paraId="5FD665E5">
      <w:pPr>
        <w:adjustRightInd w:val="0"/>
        <w:snapToGrid w:val="0"/>
        <w:spacing w:line="380" w:lineRule="exact"/>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2、成立标准编制小组</w:t>
      </w:r>
    </w:p>
    <w:p w14:paraId="3F0FEDA4">
      <w:pPr>
        <w:pStyle w:val="11"/>
        <w:adjustRightInd w:val="0"/>
        <w:snapToGrid w:val="0"/>
        <w:spacing w:line="380" w:lineRule="exact"/>
        <w:ind w:firstLine="48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2024年第十六批广西团体标准制修订项目计划（桂标协〔2024〕115号文，项目编号为：2024-1606）下达后，广西蚕业技术推广站及时成立了标准编制小组，及时制定工作方案和小组成员调研、编制工作时间安排表。全面开展《干制桑芽菜加工技术规程》广西</w:t>
      </w:r>
      <w:r>
        <w:rPr>
          <w:rFonts w:hint="eastAsia" w:ascii="Times New Roman" w:cs="Times New Roman"/>
          <w:color w:val="auto"/>
          <w:sz w:val="24"/>
          <w:szCs w:val="24"/>
          <w:highlight w:val="none"/>
          <w:lang w:eastAsia="zh-CN"/>
        </w:rPr>
        <w:t>团体</w:t>
      </w:r>
      <w:r>
        <w:rPr>
          <w:rFonts w:hint="default" w:ascii="Times New Roman" w:hAnsi="Times New Roman" w:eastAsia="宋体" w:cs="Times New Roman"/>
          <w:color w:val="auto"/>
          <w:sz w:val="24"/>
          <w:szCs w:val="24"/>
          <w:highlight w:val="none"/>
        </w:rPr>
        <w:t>标准起草工作。工作小组在前期研究工作以及实地调研的基础上，对桑芽菜生产技术进行系统研究总结，大量查阅国内外文献资料，确定了标准的主要技术内容，形成了标准的基本构架。编制过程中，在广泛调查和试验研究的同时，还咨询了相关权威专家，力争编制工作科学、严谨，方法、技术路线正确。</w:t>
      </w:r>
    </w:p>
    <w:p w14:paraId="611C722F">
      <w:pPr>
        <w:adjustRightInd w:val="0"/>
        <w:snapToGrid w:val="0"/>
        <w:spacing w:line="380" w:lineRule="exac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3、标准主要起草人</w:t>
      </w:r>
    </w:p>
    <w:p w14:paraId="1B556B77">
      <w:pPr>
        <w:keepNext w:val="0"/>
        <w:keepLines w:val="0"/>
        <w:pageBreakBefore w:val="0"/>
        <w:widowControl/>
        <w:kinsoku/>
        <w:wordWrap/>
        <w:overflowPunct/>
        <w:topLinePunct w:val="0"/>
        <w:autoSpaceDE/>
        <w:autoSpaceDN/>
        <w:bidi w:val="0"/>
        <w:adjustRightInd w:val="0"/>
        <w:snapToGrid w:val="0"/>
        <w:spacing w:after="157" w:afterLines="50" w:line="380" w:lineRule="exact"/>
        <w:ind w:firstLine="556"/>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《干制桑芽菜加工技术规程》广西</w:t>
      </w:r>
      <w:r>
        <w:rPr>
          <w:rFonts w:hint="eastAsia" w:ascii="Times New Roman" w:hAnsi="Times New Roman" w:cs="Times New Roman"/>
          <w:color w:val="auto"/>
          <w:sz w:val="24"/>
          <w:szCs w:val="24"/>
          <w:highlight w:val="none"/>
          <w:lang w:eastAsia="zh-CN"/>
        </w:rPr>
        <w:t>团体</w:t>
      </w:r>
      <w:r>
        <w:rPr>
          <w:rFonts w:hint="default" w:ascii="Times New Roman" w:hAnsi="Times New Roman" w:eastAsia="宋体" w:cs="Times New Roman"/>
          <w:color w:val="auto"/>
          <w:sz w:val="24"/>
          <w:szCs w:val="24"/>
          <w:highlight w:val="none"/>
        </w:rPr>
        <w:t>标准主要起草人见表1 。</w:t>
      </w:r>
    </w:p>
    <w:p w14:paraId="37086768">
      <w:pPr>
        <w:adjustRightInd w:val="0"/>
        <w:snapToGrid w:val="0"/>
        <w:spacing w:line="380" w:lineRule="exact"/>
        <w:ind w:firstLine="555"/>
        <w:jc w:val="center"/>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表1《</w:t>
      </w:r>
      <w:r>
        <w:rPr>
          <w:rFonts w:hint="default" w:ascii="Times New Roman" w:hAnsi="Times New Roman" w:eastAsia="宋体" w:cs="Times New Roman"/>
          <w:b w:val="0"/>
          <w:bCs/>
          <w:color w:val="auto"/>
          <w:sz w:val="21"/>
          <w:szCs w:val="21"/>
          <w:highlight w:val="none"/>
          <w:lang w:eastAsia="zh-CN"/>
        </w:rPr>
        <w:t>干制</w:t>
      </w:r>
      <w:r>
        <w:rPr>
          <w:rFonts w:hint="default" w:ascii="Times New Roman" w:hAnsi="Times New Roman" w:eastAsia="宋体" w:cs="Times New Roman"/>
          <w:b w:val="0"/>
          <w:bCs/>
          <w:color w:val="auto"/>
          <w:sz w:val="21"/>
          <w:szCs w:val="21"/>
          <w:highlight w:val="none"/>
        </w:rPr>
        <w:t>桑芽菜加工技术规程》广西</w:t>
      </w:r>
      <w:r>
        <w:rPr>
          <w:rFonts w:hint="eastAsia" w:ascii="Times New Roman" w:hAnsi="Times New Roman" w:cs="Times New Roman"/>
          <w:b w:val="0"/>
          <w:bCs/>
          <w:color w:val="auto"/>
          <w:sz w:val="21"/>
          <w:szCs w:val="21"/>
          <w:highlight w:val="none"/>
          <w:lang w:eastAsia="zh-CN"/>
        </w:rPr>
        <w:t>团体</w:t>
      </w:r>
      <w:r>
        <w:rPr>
          <w:rFonts w:hint="default" w:ascii="Times New Roman" w:hAnsi="Times New Roman" w:eastAsia="宋体" w:cs="Times New Roman"/>
          <w:b w:val="0"/>
          <w:bCs/>
          <w:color w:val="auto"/>
          <w:sz w:val="21"/>
          <w:szCs w:val="21"/>
          <w:highlight w:val="none"/>
        </w:rPr>
        <w:t>标准主要起草人</w:t>
      </w:r>
    </w:p>
    <w:tbl>
      <w:tblPr>
        <w:tblStyle w:val="5"/>
        <w:tblW w:w="837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989"/>
        <w:gridCol w:w="730"/>
        <w:gridCol w:w="1488"/>
        <w:gridCol w:w="1893"/>
        <w:gridCol w:w="2561"/>
      </w:tblGrid>
      <w:tr w14:paraId="20E2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tcPr>
          <w:p w14:paraId="5873DCF1">
            <w:pPr>
              <w:adjustRightInd w:val="0"/>
              <w:snapToGrid w:val="0"/>
              <w:spacing w:line="380" w:lineRule="exact"/>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序号</w:t>
            </w:r>
          </w:p>
        </w:tc>
        <w:tc>
          <w:tcPr>
            <w:tcW w:w="989" w:type="dxa"/>
            <w:noWrap/>
            <w:vAlign w:val="center"/>
          </w:tcPr>
          <w:p w14:paraId="6FEFF36C">
            <w:pPr>
              <w:adjustRightInd w:val="0"/>
              <w:snapToGrid w:val="0"/>
              <w:spacing w:line="380" w:lineRule="exact"/>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姓名</w:t>
            </w:r>
          </w:p>
        </w:tc>
        <w:tc>
          <w:tcPr>
            <w:tcW w:w="730" w:type="dxa"/>
            <w:noWrap/>
            <w:vAlign w:val="center"/>
          </w:tcPr>
          <w:p w14:paraId="635A6953">
            <w:pPr>
              <w:adjustRightInd w:val="0"/>
              <w:snapToGrid w:val="0"/>
              <w:spacing w:line="380" w:lineRule="exact"/>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性别</w:t>
            </w:r>
          </w:p>
        </w:tc>
        <w:tc>
          <w:tcPr>
            <w:tcW w:w="1488" w:type="dxa"/>
            <w:noWrap/>
            <w:vAlign w:val="center"/>
          </w:tcPr>
          <w:p w14:paraId="1E876EFE">
            <w:pPr>
              <w:adjustRightInd w:val="0"/>
              <w:snapToGrid w:val="0"/>
              <w:spacing w:line="380" w:lineRule="exact"/>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职务/职称</w:t>
            </w:r>
          </w:p>
        </w:tc>
        <w:tc>
          <w:tcPr>
            <w:tcW w:w="1893" w:type="dxa"/>
            <w:noWrap/>
            <w:vAlign w:val="center"/>
          </w:tcPr>
          <w:p w14:paraId="4CB9D7F2">
            <w:pPr>
              <w:adjustRightInd w:val="0"/>
              <w:snapToGrid w:val="0"/>
              <w:spacing w:line="380" w:lineRule="exact"/>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工作单位</w:t>
            </w:r>
          </w:p>
        </w:tc>
        <w:tc>
          <w:tcPr>
            <w:tcW w:w="2561" w:type="dxa"/>
            <w:vAlign w:val="center"/>
          </w:tcPr>
          <w:p w14:paraId="109E384F">
            <w:pPr>
              <w:adjustRightInd w:val="0"/>
              <w:snapToGrid w:val="0"/>
              <w:spacing w:line="380" w:lineRule="exact"/>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任务分工</w:t>
            </w:r>
          </w:p>
        </w:tc>
      </w:tr>
      <w:tr w14:paraId="695A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394E1E11">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989" w:type="dxa"/>
            <w:noWrap/>
            <w:vAlign w:val="center"/>
          </w:tcPr>
          <w:p w14:paraId="04E43E28">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徐雯雯</w:t>
            </w:r>
          </w:p>
        </w:tc>
        <w:tc>
          <w:tcPr>
            <w:tcW w:w="730" w:type="dxa"/>
            <w:noWrap/>
            <w:vAlign w:val="center"/>
          </w:tcPr>
          <w:p w14:paraId="43313F0D">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女</w:t>
            </w:r>
          </w:p>
        </w:tc>
        <w:tc>
          <w:tcPr>
            <w:tcW w:w="1488" w:type="dxa"/>
            <w:noWrap/>
            <w:vAlign w:val="center"/>
          </w:tcPr>
          <w:p w14:paraId="534CAA3E">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工程师</w:t>
            </w:r>
          </w:p>
        </w:tc>
        <w:tc>
          <w:tcPr>
            <w:tcW w:w="1893" w:type="dxa"/>
            <w:noWrap/>
            <w:vAlign w:val="center"/>
          </w:tcPr>
          <w:p w14:paraId="3F2BE22B">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广西壮族自治区蚕业技术推广站</w:t>
            </w:r>
          </w:p>
        </w:tc>
        <w:tc>
          <w:tcPr>
            <w:tcW w:w="2561" w:type="dxa"/>
            <w:vAlign w:val="center"/>
          </w:tcPr>
          <w:p w14:paraId="119056B4">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负责标准框架的设计、组织安排、整体协调、最终审核等</w:t>
            </w:r>
          </w:p>
        </w:tc>
      </w:tr>
      <w:tr w14:paraId="0E45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5FF6D80F">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989" w:type="dxa"/>
            <w:noWrap/>
            <w:vAlign w:val="center"/>
          </w:tcPr>
          <w:p w14:paraId="1BCBAEF6">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梁贵秋</w:t>
            </w:r>
          </w:p>
        </w:tc>
        <w:tc>
          <w:tcPr>
            <w:tcW w:w="730" w:type="dxa"/>
            <w:noWrap/>
            <w:vAlign w:val="center"/>
          </w:tcPr>
          <w:p w14:paraId="7003E257">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女</w:t>
            </w:r>
          </w:p>
        </w:tc>
        <w:tc>
          <w:tcPr>
            <w:tcW w:w="1488" w:type="dxa"/>
            <w:noWrap/>
            <w:vAlign w:val="center"/>
          </w:tcPr>
          <w:p w14:paraId="600F0EAD">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科长/正高级农艺师</w:t>
            </w:r>
          </w:p>
        </w:tc>
        <w:tc>
          <w:tcPr>
            <w:tcW w:w="1893" w:type="dxa"/>
            <w:noWrap/>
            <w:vAlign w:val="center"/>
          </w:tcPr>
          <w:p w14:paraId="3CB2F26B">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广西壮族自治区蚕业技术推广站</w:t>
            </w:r>
          </w:p>
        </w:tc>
        <w:tc>
          <w:tcPr>
            <w:tcW w:w="2561" w:type="dxa"/>
            <w:vAlign w:val="center"/>
          </w:tcPr>
          <w:p w14:paraId="380AB81B">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参与起草、修改、编制、主要技术内容的确认等</w:t>
            </w:r>
          </w:p>
        </w:tc>
      </w:tr>
      <w:tr w14:paraId="530A3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2397E5D8">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989" w:type="dxa"/>
            <w:noWrap/>
            <w:vAlign w:val="center"/>
          </w:tcPr>
          <w:p w14:paraId="15594366">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陆春霞</w:t>
            </w:r>
          </w:p>
        </w:tc>
        <w:tc>
          <w:tcPr>
            <w:tcW w:w="730" w:type="dxa"/>
            <w:noWrap/>
            <w:vAlign w:val="center"/>
          </w:tcPr>
          <w:p w14:paraId="1C7B4ED0">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女</w:t>
            </w:r>
          </w:p>
        </w:tc>
        <w:tc>
          <w:tcPr>
            <w:tcW w:w="1488" w:type="dxa"/>
            <w:noWrap/>
            <w:vAlign w:val="center"/>
          </w:tcPr>
          <w:p w14:paraId="418B423A">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副科长/正高级农艺师</w:t>
            </w:r>
          </w:p>
        </w:tc>
        <w:tc>
          <w:tcPr>
            <w:tcW w:w="1893" w:type="dxa"/>
            <w:noWrap/>
            <w:vAlign w:val="center"/>
          </w:tcPr>
          <w:p w14:paraId="16787B8C">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广西壮族自治区蚕业技术推广站</w:t>
            </w:r>
          </w:p>
        </w:tc>
        <w:tc>
          <w:tcPr>
            <w:tcW w:w="2561" w:type="dxa"/>
            <w:vAlign w:val="center"/>
          </w:tcPr>
          <w:p w14:paraId="2728607C">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参与起草、修改、编制、主要技术内容的确认等</w:t>
            </w:r>
          </w:p>
        </w:tc>
      </w:tr>
      <w:tr w14:paraId="7951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4A25B2CE">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989" w:type="dxa"/>
            <w:noWrap/>
            <w:vAlign w:val="center"/>
          </w:tcPr>
          <w:p w14:paraId="234966CC">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肖潇</w:t>
            </w:r>
          </w:p>
        </w:tc>
        <w:tc>
          <w:tcPr>
            <w:tcW w:w="730" w:type="dxa"/>
            <w:noWrap/>
            <w:vAlign w:val="center"/>
          </w:tcPr>
          <w:p w14:paraId="51F97168">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女</w:t>
            </w:r>
          </w:p>
        </w:tc>
        <w:tc>
          <w:tcPr>
            <w:tcW w:w="1488" w:type="dxa"/>
            <w:noWrap/>
            <w:vAlign w:val="center"/>
          </w:tcPr>
          <w:p w14:paraId="69807FB1">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农艺师</w:t>
            </w:r>
          </w:p>
        </w:tc>
        <w:tc>
          <w:tcPr>
            <w:tcW w:w="1893" w:type="dxa"/>
            <w:noWrap/>
            <w:vAlign w:val="center"/>
          </w:tcPr>
          <w:p w14:paraId="01AF8C23">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广西壮族自治区蚕业技术推广站</w:t>
            </w:r>
          </w:p>
        </w:tc>
        <w:tc>
          <w:tcPr>
            <w:tcW w:w="2561" w:type="dxa"/>
            <w:vAlign w:val="center"/>
          </w:tcPr>
          <w:p w14:paraId="469FBE3B">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r w14:paraId="698B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4F809AA3">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w:t>
            </w:r>
          </w:p>
        </w:tc>
        <w:tc>
          <w:tcPr>
            <w:tcW w:w="989" w:type="dxa"/>
            <w:noWrap/>
            <w:vAlign w:val="center"/>
          </w:tcPr>
          <w:p w14:paraId="13B947BE">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刘开莉</w:t>
            </w:r>
          </w:p>
        </w:tc>
        <w:tc>
          <w:tcPr>
            <w:tcW w:w="730" w:type="dxa"/>
            <w:noWrap/>
            <w:vAlign w:val="center"/>
          </w:tcPr>
          <w:p w14:paraId="46020669">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女</w:t>
            </w:r>
          </w:p>
        </w:tc>
        <w:tc>
          <w:tcPr>
            <w:tcW w:w="1488" w:type="dxa"/>
            <w:noWrap/>
            <w:vAlign w:val="center"/>
          </w:tcPr>
          <w:p w14:paraId="56BCC16F">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农艺师</w:t>
            </w:r>
          </w:p>
        </w:tc>
        <w:tc>
          <w:tcPr>
            <w:tcW w:w="1893" w:type="dxa"/>
            <w:noWrap/>
            <w:vAlign w:val="center"/>
          </w:tcPr>
          <w:p w14:paraId="2255B09E">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广西壮族自治区蚕业技术推广站</w:t>
            </w:r>
          </w:p>
        </w:tc>
        <w:tc>
          <w:tcPr>
            <w:tcW w:w="2561" w:type="dxa"/>
            <w:vAlign w:val="center"/>
          </w:tcPr>
          <w:p w14:paraId="4C656973">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资料收集、调查研究等</w:t>
            </w:r>
          </w:p>
        </w:tc>
      </w:tr>
      <w:tr w14:paraId="6AE6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1F6E18E3">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p>
        </w:tc>
        <w:tc>
          <w:tcPr>
            <w:tcW w:w="989" w:type="dxa"/>
            <w:noWrap/>
            <w:vAlign w:val="center"/>
          </w:tcPr>
          <w:p w14:paraId="5DBD927B">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莫炳巧</w:t>
            </w:r>
          </w:p>
        </w:tc>
        <w:tc>
          <w:tcPr>
            <w:tcW w:w="730" w:type="dxa"/>
            <w:noWrap/>
            <w:vAlign w:val="center"/>
          </w:tcPr>
          <w:p w14:paraId="4CA9669A">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女</w:t>
            </w:r>
          </w:p>
        </w:tc>
        <w:tc>
          <w:tcPr>
            <w:tcW w:w="1488" w:type="dxa"/>
            <w:noWrap/>
            <w:vAlign w:val="center"/>
          </w:tcPr>
          <w:p w14:paraId="19D20DB2">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高级农艺师</w:t>
            </w:r>
          </w:p>
        </w:tc>
        <w:tc>
          <w:tcPr>
            <w:tcW w:w="1893" w:type="dxa"/>
            <w:noWrap/>
            <w:vAlign w:val="center"/>
          </w:tcPr>
          <w:p w14:paraId="2A6420C9">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广西壮族自治区蚕业技术推广站</w:t>
            </w:r>
          </w:p>
        </w:tc>
        <w:tc>
          <w:tcPr>
            <w:tcW w:w="2561" w:type="dxa"/>
            <w:vAlign w:val="center"/>
          </w:tcPr>
          <w:p w14:paraId="5E4A7E8F">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r w14:paraId="1DD7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16D9CDFD">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w:t>
            </w:r>
          </w:p>
        </w:tc>
        <w:tc>
          <w:tcPr>
            <w:tcW w:w="989" w:type="dxa"/>
            <w:noWrap/>
            <w:vAlign w:val="center"/>
          </w:tcPr>
          <w:p w14:paraId="3CC020E0">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李安华</w:t>
            </w:r>
          </w:p>
        </w:tc>
        <w:tc>
          <w:tcPr>
            <w:tcW w:w="730" w:type="dxa"/>
            <w:noWrap/>
            <w:vAlign w:val="center"/>
          </w:tcPr>
          <w:p w14:paraId="31BA1388">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男</w:t>
            </w:r>
          </w:p>
        </w:tc>
        <w:tc>
          <w:tcPr>
            <w:tcW w:w="1488" w:type="dxa"/>
            <w:noWrap/>
            <w:vAlign w:val="center"/>
          </w:tcPr>
          <w:p w14:paraId="4A8C204C">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高级经济师</w:t>
            </w:r>
          </w:p>
        </w:tc>
        <w:tc>
          <w:tcPr>
            <w:tcW w:w="1893" w:type="dxa"/>
            <w:noWrap/>
            <w:vAlign w:val="center"/>
          </w:tcPr>
          <w:p w14:paraId="7CBFDFEB">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广西壮族自治区蚕业技术推广站</w:t>
            </w:r>
          </w:p>
        </w:tc>
        <w:tc>
          <w:tcPr>
            <w:tcW w:w="2561" w:type="dxa"/>
            <w:vAlign w:val="center"/>
          </w:tcPr>
          <w:p w14:paraId="67FE322E">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r w14:paraId="63E9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38E3F23F">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w:t>
            </w:r>
          </w:p>
        </w:tc>
        <w:tc>
          <w:tcPr>
            <w:tcW w:w="989" w:type="dxa"/>
            <w:noWrap/>
            <w:vAlign w:val="center"/>
          </w:tcPr>
          <w:p w14:paraId="1BD13FBE">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陈菁</w:t>
            </w:r>
          </w:p>
        </w:tc>
        <w:tc>
          <w:tcPr>
            <w:tcW w:w="730" w:type="dxa"/>
            <w:noWrap/>
            <w:vAlign w:val="center"/>
          </w:tcPr>
          <w:p w14:paraId="4587223B">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女</w:t>
            </w:r>
          </w:p>
        </w:tc>
        <w:tc>
          <w:tcPr>
            <w:tcW w:w="1488" w:type="dxa"/>
            <w:noWrap/>
            <w:vAlign w:val="center"/>
          </w:tcPr>
          <w:p w14:paraId="6C3912D7">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助理农艺师</w:t>
            </w:r>
          </w:p>
        </w:tc>
        <w:tc>
          <w:tcPr>
            <w:tcW w:w="1893" w:type="dxa"/>
            <w:noWrap/>
            <w:vAlign w:val="center"/>
          </w:tcPr>
          <w:p w14:paraId="6494A10A">
            <w:pPr>
              <w:adjustRightInd w:val="0"/>
              <w:snapToGrid w:val="0"/>
              <w:spacing w:line="38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广西壮族自治区蚕业技术推广站</w:t>
            </w:r>
          </w:p>
        </w:tc>
        <w:tc>
          <w:tcPr>
            <w:tcW w:w="2561" w:type="dxa"/>
            <w:vAlign w:val="center"/>
          </w:tcPr>
          <w:p w14:paraId="34F2DBDE">
            <w:pPr>
              <w:adjustRightInd w:val="0"/>
              <w:snapToGrid w:val="0"/>
              <w:spacing w:line="38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bl>
    <w:p w14:paraId="169AF116">
      <w:pPr>
        <w:adjustRightInd w:val="0"/>
        <w:snapToGrid w:val="0"/>
        <w:spacing w:line="380" w:lineRule="exact"/>
        <w:rPr>
          <w:rFonts w:hint="default" w:ascii="Times New Roman" w:hAnsi="Times New Roman" w:eastAsia="宋体" w:cs="Times New Roman"/>
          <w:color w:val="auto"/>
          <w:sz w:val="24"/>
          <w:szCs w:val="24"/>
          <w:highlight w:val="none"/>
        </w:rPr>
      </w:pPr>
    </w:p>
    <w:p w14:paraId="2081D314">
      <w:pPr>
        <w:adjustRightInd w:val="0"/>
        <w:snapToGrid w:val="0"/>
        <w:spacing w:line="380" w:lineRule="exac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4、</w:t>
      </w:r>
      <w:bookmarkStart w:id="3" w:name="OLE_LINK51"/>
      <w:r>
        <w:rPr>
          <w:rFonts w:hint="default" w:ascii="Times New Roman" w:hAnsi="Times New Roman" w:eastAsia="宋体" w:cs="Times New Roman"/>
          <w:b/>
          <w:bCs/>
          <w:color w:val="auto"/>
          <w:sz w:val="24"/>
          <w:szCs w:val="24"/>
          <w:highlight w:val="none"/>
        </w:rPr>
        <w:t>资料收集、调查研究分析</w:t>
      </w:r>
      <w:bookmarkEnd w:id="3"/>
    </w:p>
    <w:p w14:paraId="4E04E824">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编制工作小组成员按照任务分工展开资料收集和调查研究分析，一方面收集国内外相关法律法规和技术标准，查阅桑芽菜加工等方面资料；另一方面派遣起草组成员前往相关加工企业实地考察调研，分析桑芽菜产品加工过程中物料变化及状态变化的因果关系，旨在提高标准的适用性、普遍性和兼容性，为所在地区桑芽菜加工提供可靠适用的加工技术依据。基于前期调研，起草小组成员对现行生产工艺技术以及桑芽菜在市场上的质量情况进行比对分析，从而获得起草标准的真实可靠基础材料。</w:t>
      </w:r>
    </w:p>
    <w:p w14:paraId="41D0CE38">
      <w:pPr>
        <w:adjustRightInd w:val="0"/>
        <w:snapToGrid w:val="0"/>
        <w:spacing w:line="380" w:lineRule="exact"/>
        <w:ind w:firstLine="482" w:firstLineChars="20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（二）标准送审稿编制经过</w:t>
      </w:r>
    </w:p>
    <w:p w14:paraId="02841815">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1、2024年标准编制项目下达后，按照广西区市场监督管理局关于编制标准工作的要求，我站组织成立标准起草编制工作小组，编制小组于项目实施期间，通过多种渠道对业内专家进行咨询，确保标准的可靠性。</w:t>
      </w:r>
    </w:p>
    <w:p w14:paraId="209C9A06">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2、标准编制小组比对近年来的研究数据，通过查阅相关文献、分析、汇总研究，确定《</w:t>
      </w:r>
      <w:r>
        <w:rPr>
          <w:rFonts w:hint="default" w:ascii="Times New Roman" w:hAnsi="Times New Roman" w:eastAsia="宋体" w:cs="Times New Roman"/>
          <w:color w:val="auto"/>
          <w:sz w:val="24"/>
          <w:szCs w:val="24"/>
          <w:highlight w:val="none"/>
          <w:lang w:eastAsia="zh-CN"/>
        </w:rPr>
        <w:t>干制</w:t>
      </w:r>
      <w:r>
        <w:rPr>
          <w:rFonts w:hint="default" w:ascii="Times New Roman" w:hAnsi="Times New Roman" w:eastAsia="宋体" w:cs="Times New Roman"/>
          <w:color w:val="auto"/>
          <w:sz w:val="24"/>
          <w:szCs w:val="24"/>
          <w:highlight w:val="none"/>
        </w:rPr>
        <w:t>桑芽菜加工技术规程》广西</w:t>
      </w:r>
      <w:r>
        <w:rPr>
          <w:rFonts w:hint="eastAsia" w:ascii="Times New Roman" w:hAnsi="Times New Roman" w:cs="Times New Roman"/>
          <w:color w:val="auto"/>
          <w:sz w:val="24"/>
          <w:szCs w:val="24"/>
          <w:highlight w:val="none"/>
          <w:lang w:eastAsia="zh-CN"/>
        </w:rPr>
        <w:t>团体</w:t>
      </w:r>
      <w:r>
        <w:rPr>
          <w:rFonts w:hint="default" w:ascii="Times New Roman" w:hAnsi="Times New Roman" w:eastAsia="宋体" w:cs="Times New Roman"/>
          <w:color w:val="auto"/>
          <w:sz w:val="24"/>
          <w:szCs w:val="24"/>
          <w:highlight w:val="none"/>
        </w:rPr>
        <w:t>标准的基本内容和总体思路。经过反复调研、讨论后形成标准的架构和纲要。</w:t>
      </w:r>
    </w:p>
    <w:p w14:paraId="32CD9B18">
      <w:pPr>
        <w:pStyle w:val="13"/>
        <w:adjustRightInd w:val="0"/>
        <w:snapToGrid w:val="0"/>
        <w:spacing w:line="380" w:lineRule="exact"/>
        <w:ind w:firstLine="48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3、编制小组根据标准的格式和编写方法，按照GB/T 1.1-2020《标准化工作导则  第1部分：标准化文件的结构和起草规则》的规定起草，经过广泛征求已经并经过反复讨论、修改、专家认证后编写形成《</w:t>
      </w:r>
      <w:r>
        <w:rPr>
          <w:rFonts w:hint="default" w:ascii="Times New Roman" w:hAnsi="Times New Roman" w:eastAsia="宋体" w:cs="Times New Roman"/>
          <w:color w:val="auto"/>
          <w:sz w:val="24"/>
          <w:szCs w:val="24"/>
          <w:highlight w:val="none"/>
          <w:lang w:eastAsia="zh-CN"/>
        </w:rPr>
        <w:t>干制</w:t>
      </w:r>
      <w:r>
        <w:rPr>
          <w:rFonts w:hint="default" w:ascii="Times New Roman" w:hAnsi="Times New Roman" w:eastAsia="宋体" w:cs="Times New Roman"/>
          <w:color w:val="auto"/>
          <w:sz w:val="24"/>
          <w:szCs w:val="24"/>
          <w:highlight w:val="none"/>
        </w:rPr>
        <w:t>桑芽菜加工技术规程》广西</w:t>
      </w:r>
      <w:r>
        <w:rPr>
          <w:rFonts w:hint="eastAsia" w:ascii="Times New Roman" w:cs="Times New Roman"/>
          <w:color w:val="auto"/>
          <w:sz w:val="24"/>
          <w:szCs w:val="24"/>
          <w:highlight w:val="none"/>
          <w:lang w:eastAsia="zh-CN"/>
        </w:rPr>
        <w:t>团体</w:t>
      </w:r>
      <w:r>
        <w:rPr>
          <w:rFonts w:hint="default" w:ascii="Times New Roman" w:hAnsi="Times New Roman" w:eastAsia="宋体" w:cs="Times New Roman"/>
          <w:color w:val="auto"/>
          <w:sz w:val="24"/>
          <w:szCs w:val="24"/>
          <w:highlight w:val="none"/>
        </w:rPr>
        <w:t>标准</w:t>
      </w:r>
      <w:r>
        <w:rPr>
          <w:rFonts w:hint="eastAsia" w:ascii="宋体" w:hAnsi="宋体" w:eastAsia="宋体" w:cs="宋体"/>
          <w:color w:val="auto"/>
          <w:sz w:val="24"/>
          <w:szCs w:val="24"/>
          <w:highlight w:val="none"/>
        </w:rPr>
        <w:t>“征求意见稿”</w:t>
      </w:r>
      <w:r>
        <w:rPr>
          <w:rFonts w:hint="default" w:ascii="Times New Roman" w:hAnsi="Times New Roman" w:eastAsia="宋体" w:cs="Times New Roman"/>
          <w:color w:val="auto"/>
          <w:sz w:val="24"/>
          <w:szCs w:val="24"/>
          <w:highlight w:val="none"/>
        </w:rPr>
        <w:t>。</w:t>
      </w:r>
    </w:p>
    <w:p w14:paraId="14C3BA11">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rPr>
      </w:pPr>
    </w:p>
    <w:p w14:paraId="33C5E98E">
      <w:pPr>
        <w:adjustRightInd w:val="0"/>
        <w:snapToGrid w:val="0"/>
        <w:spacing w:line="380" w:lineRule="exact"/>
        <w:ind w:firstLine="482" w:firstLineChars="20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（三）标准编制原则与依据</w:t>
      </w:r>
    </w:p>
    <w:p w14:paraId="4A9DBC16">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遵循全面、科学、合理、可行的原则，力求做到科学、规范、措施具体、指标准确、操作易行，充分注重标准的科学性、先进性、实用性及协调统一性。制定本标准的目的是规范桑芽菜的加工技术，提高桑芽菜的产品质量，保证桑芽菜食用安全；通过充分听取各方意见，确保标准可以作为政府部门监督、指导桑芽菜加工的依据，在实际应用上切实可行，内容与桑芽菜生产的实际紧密结合，可操作性强。</w:t>
      </w:r>
    </w:p>
    <w:p w14:paraId="2045671E">
      <w:pPr>
        <w:adjustRightInd w:val="0"/>
        <w:snapToGrid w:val="0"/>
        <w:spacing w:line="380" w:lineRule="exact"/>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2、本标准按照GB/T 1.1－2020给出的规则要求编制，并根据大量的试验数据来确定本标准的主要内容。</w:t>
      </w:r>
    </w:p>
    <w:p w14:paraId="2191BC8C">
      <w:pPr>
        <w:pStyle w:val="13"/>
        <w:adjustRightInd w:val="0"/>
        <w:snapToGrid w:val="0"/>
        <w:spacing w:line="380" w:lineRule="exact"/>
        <w:ind w:firstLine="480"/>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sz w:val="24"/>
          <w:szCs w:val="24"/>
          <w:highlight w:val="none"/>
        </w:rPr>
        <w:t>3、本标准遵循《中华人民共和国标准化法》等国家相关的法规和强制性标准，结合地方实际情况制定出来的，与现行法律、法规及强制性标准无冲突</w:t>
      </w:r>
      <w:r>
        <w:rPr>
          <w:rFonts w:hint="default" w:ascii="Times New Roman" w:hAnsi="Times New Roman" w:eastAsia="宋体" w:cs="Times New Roman"/>
          <w:color w:val="auto"/>
          <w:kern w:val="2"/>
          <w:sz w:val="24"/>
          <w:szCs w:val="24"/>
          <w:highlight w:val="none"/>
        </w:rPr>
        <w:t>。</w:t>
      </w:r>
    </w:p>
    <w:p w14:paraId="20A4CA47">
      <w:pPr>
        <w:pStyle w:val="13"/>
        <w:adjustRightInd w:val="0"/>
        <w:snapToGrid w:val="0"/>
        <w:spacing w:line="380" w:lineRule="exact"/>
        <w:ind w:firstLine="480"/>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rPr>
        <w:t>4、标准征求意见稿向社会各界共</w:t>
      </w:r>
      <w:r>
        <w:rPr>
          <w:rFonts w:hint="eastAsia" w:ascii="Times New Roman" w:cs="Times New Roman"/>
          <w:color w:val="auto"/>
          <w:kern w:val="2"/>
          <w:sz w:val="24"/>
          <w:szCs w:val="24"/>
          <w:highlight w:val="none"/>
          <w:lang w:val="en-US" w:eastAsia="zh-CN"/>
        </w:rPr>
        <w:t>8</w:t>
      </w:r>
      <w:r>
        <w:rPr>
          <w:rFonts w:hint="default" w:ascii="Times New Roman" w:hAnsi="Times New Roman" w:eastAsia="宋体" w:cs="Times New Roman"/>
          <w:color w:val="auto"/>
          <w:kern w:val="2"/>
          <w:sz w:val="24"/>
          <w:szCs w:val="24"/>
          <w:highlight w:val="none"/>
        </w:rPr>
        <w:t>家单位发出，共收集到</w:t>
      </w:r>
      <w:r>
        <w:rPr>
          <w:rFonts w:hint="eastAsia" w:ascii="Times New Roman" w:cs="Times New Roman"/>
          <w:color w:val="auto"/>
          <w:kern w:val="2"/>
          <w:sz w:val="24"/>
          <w:szCs w:val="24"/>
          <w:highlight w:val="none"/>
          <w:lang w:val="en-US" w:eastAsia="zh-CN"/>
        </w:rPr>
        <w:t>8</w:t>
      </w:r>
      <w:r>
        <w:rPr>
          <w:rFonts w:hint="default" w:ascii="Times New Roman" w:hAnsi="Times New Roman" w:eastAsia="宋体" w:cs="Times New Roman"/>
          <w:color w:val="auto"/>
          <w:kern w:val="2"/>
          <w:sz w:val="24"/>
          <w:szCs w:val="24"/>
          <w:highlight w:val="none"/>
        </w:rPr>
        <w:t>家单位有效意见</w:t>
      </w:r>
      <w:r>
        <w:rPr>
          <w:rFonts w:hint="eastAsia" w:ascii="Times New Roman" w:cs="Times New Roman"/>
          <w:color w:val="auto"/>
          <w:kern w:val="2"/>
          <w:sz w:val="24"/>
          <w:szCs w:val="24"/>
          <w:highlight w:val="none"/>
          <w:lang w:val="en-US" w:eastAsia="zh-CN"/>
        </w:rPr>
        <w:t>32</w:t>
      </w:r>
      <w:r>
        <w:rPr>
          <w:rFonts w:hint="default" w:ascii="Times New Roman" w:hAnsi="Times New Roman" w:eastAsia="宋体" w:cs="Times New Roman"/>
          <w:color w:val="auto"/>
          <w:kern w:val="2"/>
          <w:sz w:val="24"/>
          <w:szCs w:val="24"/>
          <w:highlight w:val="none"/>
        </w:rPr>
        <w:t>条，编制小组认真研究专家提出的参考意见，经过讨论和论证后，全部采纳专家提现的意见并编写形成团体标准</w:t>
      </w:r>
      <w:r>
        <w:rPr>
          <w:rFonts w:hint="eastAsia" w:ascii="Times New Roman" w:cs="Times New Roman"/>
          <w:color w:val="auto"/>
          <w:kern w:val="2"/>
          <w:sz w:val="24"/>
          <w:szCs w:val="24"/>
          <w:highlight w:val="none"/>
          <w:lang w:eastAsia="zh-CN"/>
        </w:rPr>
        <w:t>“干制桑芽菜</w:t>
      </w:r>
      <w:r>
        <w:rPr>
          <w:rFonts w:hint="default" w:ascii="Times New Roman" w:hAnsi="Times New Roman" w:eastAsia="宋体" w:cs="Times New Roman"/>
          <w:color w:val="auto"/>
          <w:kern w:val="2"/>
          <w:sz w:val="24"/>
          <w:szCs w:val="24"/>
          <w:highlight w:val="none"/>
        </w:rPr>
        <w:t>加工技术规程</w:t>
      </w:r>
      <w:r>
        <w:rPr>
          <w:rFonts w:hint="eastAsia" w:ascii="Times New Roman" w:cs="Times New Roman"/>
          <w:color w:val="auto"/>
          <w:kern w:val="2"/>
          <w:sz w:val="24"/>
          <w:szCs w:val="24"/>
          <w:highlight w:val="none"/>
          <w:lang w:eastAsia="zh-CN"/>
        </w:rPr>
        <w:t>”</w:t>
      </w:r>
      <w:r>
        <w:rPr>
          <w:rFonts w:hint="default" w:ascii="Times New Roman" w:hAnsi="Times New Roman" w:eastAsia="宋体" w:cs="Times New Roman"/>
          <w:color w:val="auto"/>
          <w:kern w:val="2"/>
          <w:sz w:val="24"/>
          <w:szCs w:val="24"/>
          <w:highlight w:val="none"/>
        </w:rPr>
        <w:t>的征求意见稿。</w:t>
      </w:r>
    </w:p>
    <w:p w14:paraId="2C604494">
      <w:pPr>
        <w:adjustRightInd w:val="0"/>
        <w:snapToGrid w:val="0"/>
        <w:spacing w:line="380" w:lineRule="exac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四、标准主要技术内容及说明</w:t>
      </w:r>
    </w:p>
    <w:p w14:paraId="0433AF05">
      <w:pPr>
        <w:adjustRightInd w:val="0"/>
        <w:snapToGrid w:val="0"/>
        <w:spacing w:line="380" w:lineRule="exac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（一）规范性引用文件</w:t>
      </w:r>
    </w:p>
    <w:p w14:paraId="4678B9EF">
      <w:pPr>
        <w:adjustRightInd w:val="0"/>
        <w:snapToGrid w:val="0"/>
        <w:spacing w:line="380" w:lineRule="exac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本标准引用文件包括：</w:t>
      </w:r>
    </w:p>
    <w:p w14:paraId="3BCE1912">
      <w:pPr>
        <w:adjustRightInd w:val="0"/>
        <w:snapToGrid w:val="0"/>
        <w:spacing w:line="380" w:lineRule="exac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2762  食品安全国家标准  食品中污染物限量</w:t>
      </w:r>
    </w:p>
    <w:p w14:paraId="25226996">
      <w:pPr>
        <w:adjustRightInd w:val="0"/>
        <w:snapToGrid w:val="0"/>
        <w:spacing w:line="380" w:lineRule="exac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2763  食品安全国家标准  食品中农药最大残留限量</w:t>
      </w:r>
    </w:p>
    <w:p w14:paraId="04F5330C">
      <w:pPr>
        <w:adjustRightInd w:val="0"/>
        <w:snapToGrid w:val="0"/>
        <w:spacing w:line="380" w:lineRule="exac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5749  生活饮用水卫生标准</w:t>
      </w:r>
    </w:p>
    <w:p w14:paraId="6AEB3CBA">
      <w:pPr>
        <w:adjustRightInd w:val="0"/>
        <w:snapToGrid w:val="0"/>
        <w:spacing w:line="380" w:lineRule="exac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7718  食品安全国家标准  预包装食品标签通则</w:t>
      </w:r>
    </w:p>
    <w:p w14:paraId="6E46BFE0">
      <w:pPr>
        <w:adjustRightInd w:val="0"/>
        <w:snapToGrid w:val="0"/>
        <w:spacing w:line="380" w:lineRule="exac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14881  食品安全国家标准 食品生产通用卫生规范</w:t>
      </w:r>
    </w:p>
    <w:p w14:paraId="684F8AD7">
      <w:pPr>
        <w:adjustRightInd w:val="0"/>
        <w:snapToGrid w:val="0"/>
        <w:spacing w:line="380" w:lineRule="exac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28050  食品安全国家标准  预包装食品营养标签通则</w:t>
      </w:r>
    </w:p>
    <w:p w14:paraId="4665A85F">
      <w:pPr>
        <w:adjustRightInd w:val="0"/>
        <w:snapToGrid w:val="0"/>
        <w:spacing w:line="380" w:lineRule="exac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（二）干制桑芽菜加工关键技术点确立</w:t>
      </w:r>
    </w:p>
    <w:p w14:paraId="7F136675">
      <w:pP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bdr w:val="single" w:sz="4" w:space="0"/>
        </w:rPr>
        <w:t>原料</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bdr w:val="single" w:sz="4" w:space="0"/>
          <w:shd w:val="clear" w:color="auto" w:fill="auto"/>
          <w:lang w:eastAsia="zh-CN"/>
        </w:rPr>
        <w:t>清洗</w:t>
      </w:r>
      <w:r>
        <w:rPr>
          <w:rFonts w:hint="default" w:ascii="Times New Roman" w:hAnsi="Times New Roman" w:eastAsia="宋体" w:cs="Times New Roman"/>
          <w:color w:val="auto"/>
          <w:sz w:val="24"/>
          <w:szCs w:val="24"/>
          <w:highlight w:val="none"/>
        </w:rPr>
        <w:t>→</w:t>
      </w:r>
      <w:r>
        <w:rPr>
          <w:rFonts w:hint="eastAsia" w:ascii="Times New Roman" w:hAnsi="Times New Roman" w:cs="Times New Roman"/>
          <w:color w:val="auto"/>
          <w:sz w:val="24"/>
          <w:szCs w:val="24"/>
          <w:highlight w:val="none"/>
          <w:bdr w:val="single" w:sz="4" w:space="0"/>
          <w:lang w:eastAsia="zh-CN"/>
        </w:rPr>
        <w:t>漂烫</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bdr w:val="single" w:sz="4" w:space="0"/>
        </w:rPr>
        <w:t>冷却</w:t>
      </w:r>
      <w:r>
        <w:rPr>
          <w:rFonts w:hint="default" w:ascii="Times New Roman" w:hAnsi="Times New Roman" w:eastAsia="宋体" w:cs="Times New Roman"/>
          <w:color w:val="auto"/>
          <w:sz w:val="24"/>
          <w:szCs w:val="24"/>
          <w:highlight w:val="none"/>
        </w:rPr>
        <w:t>→</w:t>
      </w:r>
      <w:r>
        <w:rPr>
          <w:rFonts w:hint="eastAsia" w:ascii="Times New Roman" w:hAnsi="Times New Roman" w:cs="Times New Roman"/>
          <w:color w:val="auto"/>
          <w:sz w:val="24"/>
          <w:szCs w:val="24"/>
          <w:highlight w:val="none"/>
          <w:bdr w:val="single" w:sz="4" w:space="0"/>
          <w:lang w:eastAsia="zh-CN"/>
        </w:rPr>
        <w:t>控水</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bdr w:val="single" w:sz="4" w:space="0"/>
        </w:rPr>
        <w:t>干燥</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bdr w:val="single" w:sz="4" w:space="0"/>
        </w:rPr>
        <w:t>分拣</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bdr w:val="single" w:sz="4" w:space="0"/>
        </w:rPr>
        <w:t>包装</w:t>
      </w:r>
      <w:r>
        <w:rPr>
          <w:rFonts w:hint="default" w:ascii="Times New Roman" w:hAnsi="Times New Roman" w:eastAsia="宋体" w:cs="Times New Roman"/>
          <w:color w:val="auto"/>
          <w:sz w:val="24"/>
          <w:szCs w:val="24"/>
          <w:highlight w:val="none"/>
        </w:rPr>
        <w:t>。</w:t>
      </w:r>
    </w:p>
    <w:p w14:paraId="5AF2BAF8">
      <w:pP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通过单因素试验探讨干制桑芽菜</w:t>
      </w:r>
      <w:r>
        <w:rPr>
          <w:rFonts w:hint="eastAsia" w:ascii="Times New Roman" w:hAnsi="Times New Roman" w:cs="Times New Roman"/>
          <w:color w:val="auto"/>
          <w:sz w:val="24"/>
          <w:szCs w:val="24"/>
          <w:highlight w:val="none"/>
          <w:lang w:eastAsia="zh-CN"/>
        </w:rPr>
        <w:t>漂烫</w:t>
      </w:r>
      <w:r>
        <w:rPr>
          <w:rFonts w:hint="default" w:ascii="Times New Roman" w:hAnsi="Times New Roman" w:eastAsia="宋体" w:cs="Times New Roman"/>
          <w:color w:val="auto"/>
          <w:sz w:val="24"/>
          <w:szCs w:val="24"/>
          <w:highlight w:val="none"/>
        </w:rPr>
        <w:t>、冷却和干燥过程中干制桑芽菜品质的影响。</w:t>
      </w:r>
    </w:p>
    <w:p w14:paraId="223FE820">
      <w:pPr>
        <w:pStyle w:val="15"/>
        <w:numPr>
          <w:ilvl w:val="0"/>
          <w:numId w:val="1"/>
        </w:numPr>
        <w:adjustRightInd w:val="0"/>
        <w:snapToGrid w:val="0"/>
        <w:spacing w:line="380" w:lineRule="exact"/>
        <w:ind w:firstLineChars="0"/>
        <w:rPr>
          <w:rFonts w:hint="default" w:ascii="Times New Roman" w:hAnsi="Times New Roman" w:eastAsia="宋体" w:cs="Times New Roman"/>
          <w:b/>
          <w:bCs/>
          <w:color w:val="auto"/>
          <w:sz w:val="24"/>
          <w:szCs w:val="24"/>
          <w:highlight w:val="none"/>
        </w:rPr>
      </w:pPr>
      <w:r>
        <w:rPr>
          <w:rFonts w:hint="eastAsia" w:ascii="Times New Roman" w:hAnsi="Times New Roman" w:cs="Times New Roman"/>
          <w:b/>
          <w:bCs/>
          <w:color w:val="auto"/>
          <w:sz w:val="24"/>
          <w:szCs w:val="24"/>
          <w:highlight w:val="none"/>
          <w:lang w:eastAsia="zh-CN"/>
        </w:rPr>
        <w:t>漂烫</w:t>
      </w:r>
      <w:r>
        <w:rPr>
          <w:rFonts w:hint="default" w:ascii="Times New Roman" w:hAnsi="Times New Roman" w:eastAsia="宋体" w:cs="Times New Roman"/>
          <w:b/>
          <w:bCs/>
          <w:color w:val="auto"/>
          <w:sz w:val="24"/>
          <w:szCs w:val="24"/>
          <w:highlight w:val="none"/>
        </w:rPr>
        <w:t>工艺参数的确定</w:t>
      </w:r>
    </w:p>
    <w:p w14:paraId="19BEFF5C">
      <w:pPr>
        <w:pStyle w:val="15"/>
        <w:keepNext w:val="0"/>
        <w:keepLines w:val="0"/>
        <w:pageBreakBefore w:val="0"/>
        <w:widowControl/>
        <w:kinsoku/>
        <w:wordWrap/>
        <w:overflowPunct/>
        <w:topLinePunct w:val="0"/>
        <w:autoSpaceDE/>
        <w:autoSpaceDN/>
        <w:bidi w:val="0"/>
        <w:adjustRightInd w:val="0"/>
        <w:snapToGrid w:val="0"/>
        <w:spacing w:line="380" w:lineRule="exact"/>
        <w:ind w:left="0" w:firstLine="48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在</w:t>
      </w:r>
      <w:r>
        <w:rPr>
          <w:rFonts w:hint="default" w:ascii="Times New Roman" w:hAnsi="Times New Roman" w:eastAsia="宋体" w:cs="Times New Roman"/>
          <w:color w:val="auto"/>
          <w:sz w:val="24"/>
          <w:szCs w:val="24"/>
          <w:highlight w:val="none"/>
        </w:rPr>
        <w:t>漂烫时间为30、60、90、120</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s</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冷却2 min</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烘干温度50</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下</w:t>
      </w:r>
      <w:r>
        <w:rPr>
          <w:rFonts w:hint="default" w:ascii="Times New Roman" w:hAnsi="Times New Roman" w:eastAsia="宋体" w:cs="Times New Roman"/>
          <w:color w:val="auto"/>
          <w:sz w:val="24"/>
          <w:szCs w:val="24"/>
          <w:highlight w:val="none"/>
        </w:rPr>
        <w:t>制作干制桑芽。</w:t>
      </w:r>
      <w:r>
        <w:rPr>
          <w:rFonts w:hint="eastAsia" w:ascii="Times New Roman" w:hAnsi="Times New Roman" w:cs="Times New Roman"/>
          <w:color w:val="auto"/>
          <w:sz w:val="24"/>
          <w:szCs w:val="24"/>
          <w:highlight w:val="none"/>
          <w:lang w:eastAsia="zh-CN"/>
        </w:rPr>
        <w:t>当桑芽菜含水量为</w:t>
      </w:r>
      <w:r>
        <w:rPr>
          <w:rFonts w:hint="eastAsia" w:ascii="Times New Roman" w:hAnsi="Times New Roman" w:cs="Times New Roman"/>
          <w:color w:val="auto"/>
          <w:sz w:val="24"/>
          <w:szCs w:val="24"/>
          <w:highlight w:val="none"/>
          <w:lang w:val="en-US" w:eastAsia="zh-CN"/>
        </w:rPr>
        <w:t>8%时停止加热，因为通常</w:t>
      </w:r>
      <w:r>
        <w:rPr>
          <w:rFonts w:hint="default" w:ascii="Times New Roman" w:hAnsi="Times New Roman" w:eastAsia="宋体" w:cs="Times New Roman"/>
          <w:color w:val="auto"/>
          <w:sz w:val="24"/>
          <w:szCs w:val="24"/>
          <w:highlight w:val="none"/>
        </w:rPr>
        <w:t>将蔬菜含水量降到8</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时，水分活度低于大部分微生物活动必需最低值，可抑制微生物活动</w:t>
      </w:r>
      <w:r>
        <w:rPr>
          <w:rFonts w:hint="default" w:ascii="Times New Roman" w:hAnsi="Times New Roman" w:cs="Times New Roman"/>
          <w:color w:val="auto"/>
          <w:sz w:val="24"/>
          <w:szCs w:val="24"/>
          <w:highlight w:val="none"/>
          <w:vertAlign w:val="superscript"/>
          <w:lang w:val="en-US" w:eastAsia="zh-CN"/>
        </w:rPr>
        <w:t>[1,2]</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从表</w:t>
      </w: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可以看出，随着漂烫时间增加，干制桑芽菜中主要活性成分总黄酮、总多酚、叶绿素、DNJ的含量呈下降的趋势。但是多糖含量呈现相反趋势</w:t>
      </w:r>
      <w:r>
        <w:rPr>
          <w:rFonts w:hint="default" w:ascii="Times New Roman" w:hAnsi="Times New Roman" w:eastAsia="宋体" w:cs="Times New Roman"/>
          <w:color w:val="auto"/>
          <w:sz w:val="24"/>
          <w:szCs w:val="24"/>
          <w:highlight w:val="none"/>
          <w:lang w:eastAsia="zh-CN"/>
        </w:rPr>
        <w:t>，可能是由于细胞通透性改变促进多糖扩散、水分迁移影响多糖溶解分散状态</w:t>
      </w:r>
      <w:r>
        <w:rPr>
          <w:rFonts w:hint="default" w:ascii="Times New Roman" w:hAnsi="Times New Roman" w:eastAsia="宋体" w:cs="Times New Roman"/>
          <w:color w:val="auto"/>
          <w:sz w:val="24"/>
          <w:szCs w:val="24"/>
          <w:highlight w:val="none"/>
        </w:rPr>
        <w:t>。从实验结果可以确定桑芽菜得漂烫时间为30～</w:t>
      </w:r>
      <w:r>
        <w:rPr>
          <w:rFonts w:hint="eastAsia" w:ascii="Times New Roman" w:hAnsi="Times New Roman"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0</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s。</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4"/>
        <w:gridCol w:w="1364"/>
        <w:gridCol w:w="1365"/>
        <w:gridCol w:w="1365"/>
        <w:gridCol w:w="1352"/>
        <w:gridCol w:w="1352"/>
      </w:tblGrid>
      <w:tr w14:paraId="3A7FB96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8162" w:type="dxa"/>
            <w:gridSpan w:val="6"/>
            <w:tcBorders>
              <w:top w:val="nil"/>
              <w:bottom w:val="single" w:color="auto" w:sz="4" w:space="0"/>
            </w:tcBorders>
          </w:tcPr>
          <w:p w14:paraId="012E7F19">
            <w:pPr>
              <w:pStyle w:val="15"/>
              <w:keepNext w:val="0"/>
              <w:keepLines w:val="0"/>
              <w:pageBreakBefore w:val="0"/>
              <w:widowControl/>
              <w:kinsoku/>
              <w:wordWrap/>
              <w:overflowPunct/>
              <w:topLinePunct w:val="0"/>
              <w:autoSpaceDE/>
              <w:autoSpaceDN/>
              <w:bidi w:val="0"/>
              <w:adjustRightInd w:val="0"/>
              <w:snapToGrid w:val="0"/>
              <w:spacing w:before="157" w:beforeLines="50" w:line="380" w:lineRule="exact"/>
              <w:ind w:left="363" w:firstLine="0" w:firstLineChars="0"/>
              <w:jc w:val="center"/>
              <w:textAlignment w:val="auto"/>
              <w:rPr>
                <w:rFonts w:hint="default" w:ascii="Times New Roman" w:hAnsi="Times New Roman" w:eastAsia="宋体" w:cs="Times New Roman"/>
                <w:color w:val="auto"/>
                <w:sz w:val="21"/>
                <w:szCs w:val="21"/>
                <w:highlight w:val="none"/>
              </w:rPr>
            </w:pPr>
            <w:bookmarkStart w:id="4" w:name="_Hlk170920755"/>
            <w:r>
              <w:rPr>
                <w:rFonts w:hint="default" w:ascii="Times New Roman" w:hAnsi="Times New Roman" w:eastAsia="宋体" w:cs="Times New Roman"/>
                <w:color w:val="auto"/>
                <w:sz w:val="21"/>
                <w:szCs w:val="21"/>
                <w:highlight w:val="none"/>
              </w:rPr>
              <w:t>表</w:t>
            </w: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 xml:space="preserve"> 不同漂烫时间对干制桑芽菜活性成分的影响</w:t>
            </w:r>
          </w:p>
        </w:tc>
      </w:tr>
      <w:tr w14:paraId="33C2F8A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1364" w:type="dxa"/>
            <w:tcBorders>
              <w:bottom w:val="single" w:color="auto" w:sz="4" w:space="0"/>
            </w:tcBorders>
          </w:tcPr>
          <w:p w14:paraId="39DFABBF">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漂烫时间（s）</w:t>
            </w:r>
          </w:p>
        </w:tc>
        <w:tc>
          <w:tcPr>
            <w:tcW w:w="1364" w:type="dxa"/>
            <w:tcBorders>
              <w:bottom w:val="single" w:color="auto" w:sz="4" w:space="0"/>
            </w:tcBorders>
          </w:tcPr>
          <w:p w14:paraId="54CC7F6C">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叶绿素(mg/g)</w:t>
            </w:r>
          </w:p>
        </w:tc>
        <w:tc>
          <w:tcPr>
            <w:tcW w:w="1365" w:type="dxa"/>
            <w:tcBorders>
              <w:bottom w:val="single" w:color="auto" w:sz="4" w:space="0"/>
            </w:tcBorders>
          </w:tcPr>
          <w:p w14:paraId="4441458D">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总黄酮(mg/g)</w:t>
            </w:r>
          </w:p>
        </w:tc>
        <w:tc>
          <w:tcPr>
            <w:tcW w:w="1365" w:type="dxa"/>
            <w:tcBorders>
              <w:bottom w:val="single" w:color="auto" w:sz="4" w:space="0"/>
            </w:tcBorders>
          </w:tcPr>
          <w:p w14:paraId="1715FA9B">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总多酚(mg/g)</w:t>
            </w:r>
          </w:p>
        </w:tc>
        <w:tc>
          <w:tcPr>
            <w:tcW w:w="1352" w:type="dxa"/>
            <w:tcBorders>
              <w:bottom w:val="single" w:color="auto" w:sz="4" w:space="0"/>
            </w:tcBorders>
          </w:tcPr>
          <w:p w14:paraId="413BD19E">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总多糖(mg/g)</w:t>
            </w:r>
          </w:p>
        </w:tc>
        <w:tc>
          <w:tcPr>
            <w:tcW w:w="1352" w:type="dxa"/>
            <w:tcBorders>
              <w:bottom w:val="single" w:color="auto" w:sz="4" w:space="0"/>
            </w:tcBorders>
          </w:tcPr>
          <w:p w14:paraId="61EBCE31">
            <w:pPr>
              <w:pStyle w:val="15"/>
              <w:adjustRightInd w:val="0"/>
              <w:snapToGrid w:val="0"/>
              <w:spacing w:line="44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DNJ</w:t>
            </w:r>
          </w:p>
          <w:p w14:paraId="2EE574EA">
            <w:pPr>
              <w:pStyle w:val="15"/>
              <w:adjustRightInd w:val="0"/>
              <w:snapToGrid w:val="0"/>
              <w:spacing w:line="44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(mg/g)</w:t>
            </w:r>
          </w:p>
        </w:tc>
      </w:tr>
      <w:tr w14:paraId="2DE56AF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4" w:type="dxa"/>
            <w:tcBorders>
              <w:top w:val="single" w:color="auto" w:sz="4" w:space="0"/>
              <w:bottom w:val="nil"/>
            </w:tcBorders>
          </w:tcPr>
          <w:p w14:paraId="59CA92C8">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30</w:t>
            </w:r>
          </w:p>
        </w:tc>
        <w:tc>
          <w:tcPr>
            <w:tcW w:w="1364" w:type="dxa"/>
            <w:tcBorders>
              <w:top w:val="single" w:color="auto" w:sz="4" w:space="0"/>
              <w:bottom w:val="nil"/>
            </w:tcBorders>
          </w:tcPr>
          <w:p w14:paraId="4B6DFA9E">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1.289</w:t>
            </w:r>
          </w:p>
        </w:tc>
        <w:tc>
          <w:tcPr>
            <w:tcW w:w="1365" w:type="dxa"/>
            <w:tcBorders>
              <w:top w:val="single" w:color="auto" w:sz="4" w:space="0"/>
              <w:bottom w:val="nil"/>
            </w:tcBorders>
          </w:tcPr>
          <w:p w14:paraId="553451D2">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8.156</w:t>
            </w:r>
          </w:p>
        </w:tc>
        <w:tc>
          <w:tcPr>
            <w:tcW w:w="1365" w:type="dxa"/>
            <w:tcBorders>
              <w:top w:val="single" w:color="auto" w:sz="4" w:space="0"/>
              <w:bottom w:val="nil"/>
            </w:tcBorders>
          </w:tcPr>
          <w:p w14:paraId="5333B7A2">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5.704</w:t>
            </w:r>
          </w:p>
        </w:tc>
        <w:tc>
          <w:tcPr>
            <w:tcW w:w="1352" w:type="dxa"/>
            <w:tcBorders>
              <w:top w:val="single" w:color="auto" w:sz="4" w:space="0"/>
              <w:bottom w:val="nil"/>
            </w:tcBorders>
          </w:tcPr>
          <w:p w14:paraId="0218B399">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21.243</w:t>
            </w:r>
          </w:p>
        </w:tc>
        <w:tc>
          <w:tcPr>
            <w:tcW w:w="1352" w:type="dxa"/>
            <w:tcBorders>
              <w:top w:val="single" w:color="auto" w:sz="4" w:space="0"/>
              <w:bottom w:val="nil"/>
            </w:tcBorders>
          </w:tcPr>
          <w:p w14:paraId="08AE9DB9">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1.189</w:t>
            </w:r>
          </w:p>
        </w:tc>
      </w:tr>
      <w:tr w14:paraId="4E0E71D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4" w:type="dxa"/>
            <w:tcBorders>
              <w:top w:val="nil"/>
            </w:tcBorders>
          </w:tcPr>
          <w:p w14:paraId="554595BB">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60</w:t>
            </w:r>
          </w:p>
        </w:tc>
        <w:tc>
          <w:tcPr>
            <w:tcW w:w="1364" w:type="dxa"/>
            <w:tcBorders>
              <w:top w:val="nil"/>
            </w:tcBorders>
          </w:tcPr>
          <w:p w14:paraId="698E1C3B">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1.253</w:t>
            </w:r>
          </w:p>
        </w:tc>
        <w:tc>
          <w:tcPr>
            <w:tcW w:w="1365" w:type="dxa"/>
            <w:tcBorders>
              <w:top w:val="nil"/>
            </w:tcBorders>
          </w:tcPr>
          <w:p w14:paraId="0BDDFE2B">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7.652</w:t>
            </w:r>
          </w:p>
        </w:tc>
        <w:tc>
          <w:tcPr>
            <w:tcW w:w="1365" w:type="dxa"/>
            <w:tcBorders>
              <w:top w:val="nil"/>
            </w:tcBorders>
          </w:tcPr>
          <w:p w14:paraId="5E6C7F53">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4.619</w:t>
            </w:r>
          </w:p>
        </w:tc>
        <w:tc>
          <w:tcPr>
            <w:tcW w:w="1352" w:type="dxa"/>
            <w:tcBorders>
              <w:top w:val="nil"/>
            </w:tcBorders>
          </w:tcPr>
          <w:p w14:paraId="035D8CD7">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25.770</w:t>
            </w:r>
          </w:p>
        </w:tc>
        <w:tc>
          <w:tcPr>
            <w:tcW w:w="1352" w:type="dxa"/>
            <w:tcBorders>
              <w:top w:val="nil"/>
            </w:tcBorders>
          </w:tcPr>
          <w:p w14:paraId="36F0C6FC">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1.036</w:t>
            </w:r>
          </w:p>
        </w:tc>
      </w:tr>
      <w:tr w14:paraId="4EC3D2C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4" w:type="dxa"/>
          </w:tcPr>
          <w:p w14:paraId="1B31F2BD">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90</w:t>
            </w:r>
          </w:p>
        </w:tc>
        <w:tc>
          <w:tcPr>
            <w:tcW w:w="1364" w:type="dxa"/>
          </w:tcPr>
          <w:p w14:paraId="663A07E3">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1.224</w:t>
            </w:r>
          </w:p>
        </w:tc>
        <w:tc>
          <w:tcPr>
            <w:tcW w:w="1365" w:type="dxa"/>
          </w:tcPr>
          <w:p w14:paraId="5B4D7764">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7.163</w:t>
            </w:r>
          </w:p>
        </w:tc>
        <w:tc>
          <w:tcPr>
            <w:tcW w:w="1365" w:type="dxa"/>
          </w:tcPr>
          <w:p w14:paraId="45EA0EB2">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4.157</w:t>
            </w:r>
          </w:p>
        </w:tc>
        <w:tc>
          <w:tcPr>
            <w:tcW w:w="1352" w:type="dxa"/>
          </w:tcPr>
          <w:p w14:paraId="3F429490">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27.309</w:t>
            </w:r>
          </w:p>
        </w:tc>
        <w:tc>
          <w:tcPr>
            <w:tcW w:w="1352" w:type="dxa"/>
          </w:tcPr>
          <w:p w14:paraId="784A203E">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0.855</w:t>
            </w:r>
          </w:p>
        </w:tc>
      </w:tr>
      <w:tr w14:paraId="39E0B09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4" w:type="dxa"/>
          </w:tcPr>
          <w:p w14:paraId="51132806">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120</w:t>
            </w:r>
          </w:p>
        </w:tc>
        <w:tc>
          <w:tcPr>
            <w:tcW w:w="1364" w:type="dxa"/>
          </w:tcPr>
          <w:p w14:paraId="66F34744">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1.186</w:t>
            </w:r>
          </w:p>
        </w:tc>
        <w:tc>
          <w:tcPr>
            <w:tcW w:w="1365" w:type="dxa"/>
          </w:tcPr>
          <w:p w14:paraId="1E01FAC9">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6.645</w:t>
            </w:r>
          </w:p>
        </w:tc>
        <w:tc>
          <w:tcPr>
            <w:tcW w:w="1365" w:type="dxa"/>
          </w:tcPr>
          <w:p w14:paraId="4CFEA6E4">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3.451</w:t>
            </w:r>
          </w:p>
        </w:tc>
        <w:tc>
          <w:tcPr>
            <w:tcW w:w="1352" w:type="dxa"/>
          </w:tcPr>
          <w:p w14:paraId="605569AB">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30.658</w:t>
            </w:r>
          </w:p>
        </w:tc>
        <w:tc>
          <w:tcPr>
            <w:tcW w:w="1352" w:type="dxa"/>
          </w:tcPr>
          <w:p w14:paraId="47C3B417">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0.754</w:t>
            </w:r>
          </w:p>
        </w:tc>
      </w:tr>
      <w:bookmarkEnd w:id="4"/>
    </w:tbl>
    <w:p w14:paraId="7BF12F79">
      <w:pPr>
        <w:pStyle w:val="15"/>
        <w:adjustRightInd w:val="0"/>
        <w:snapToGrid w:val="0"/>
        <w:spacing w:line="380" w:lineRule="exact"/>
        <w:ind w:left="360" w:firstLine="0" w:firstLineChars="0"/>
        <w:rPr>
          <w:rFonts w:hint="default" w:ascii="Times New Roman" w:hAnsi="Times New Roman" w:eastAsia="宋体" w:cs="Times New Roman"/>
          <w:color w:val="auto"/>
          <w:sz w:val="24"/>
          <w:szCs w:val="24"/>
          <w:highlight w:val="none"/>
        </w:rPr>
      </w:pPr>
    </w:p>
    <w:p w14:paraId="539267E4">
      <w:pPr>
        <w:pStyle w:val="15"/>
        <w:numPr>
          <w:ilvl w:val="0"/>
          <w:numId w:val="1"/>
        </w:numPr>
        <w:adjustRightInd w:val="0"/>
        <w:snapToGrid w:val="0"/>
        <w:spacing w:line="380" w:lineRule="exact"/>
        <w:ind w:firstLineChars="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冷却工艺参数的确定</w:t>
      </w:r>
    </w:p>
    <w:p w14:paraId="073F502D">
      <w:pPr>
        <w:pStyle w:val="15"/>
        <w:keepNext w:val="0"/>
        <w:keepLines w:val="0"/>
        <w:pageBreakBefore w:val="0"/>
        <w:widowControl/>
        <w:kinsoku/>
        <w:wordWrap/>
        <w:overflowPunct/>
        <w:topLinePunct w:val="0"/>
        <w:autoSpaceDE/>
        <w:autoSpaceDN/>
        <w:bidi w:val="0"/>
        <w:adjustRightInd/>
        <w:snapToGrid/>
        <w:spacing w:line="380" w:lineRule="exact"/>
        <w:ind w:firstLine="48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采用漂烫时间为30 s</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冷却时间为1、2、3、4 min</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烘干温度50 ℃制作干制桑芽。从表</w:t>
      </w:r>
      <w:r>
        <w:rPr>
          <w:rFonts w:hint="default"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可知，随着冷却时间增加，</w:t>
      </w:r>
      <w:r>
        <w:rPr>
          <w:rFonts w:hint="eastAsia" w:ascii="Times New Roman" w:hAnsi="Times New Roman" w:cs="Times New Roman"/>
          <w:color w:val="auto"/>
          <w:sz w:val="24"/>
          <w:szCs w:val="24"/>
          <w:highlight w:val="none"/>
          <w:lang w:eastAsia="zh-CN"/>
        </w:rPr>
        <w:t>干制桑芽菜</w:t>
      </w:r>
      <w:r>
        <w:rPr>
          <w:rFonts w:hint="default" w:ascii="Times New Roman" w:hAnsi="Times New Roman" w:eastAsia="宋体" w:cs="Times New Roman"/>
          <w:color w:val="auto"/>
          <w:sz w:val="24"/>
          <w:szCs w:val="24"/>
          <w:highlight w:val="none"/>
        </w:rPr>
        <w:t>中</w:t>
      </w:r>
      <w:r>
        <w:rPr>
          <w:rFonts w:hint="eastAsia" w:ascii="Times New Roman" w:hAnsi="Times New Roman" w:cs="Times New Roman"/>
          <w:color w:val="auto"/>
          <w:sz w:val="24"/>
          <w:szCs w:val="24"/>
          <w:highlight w:val="none"/>
          <w:lang w:eastAsia="zh-CN"/>
        </w:rPr>
        <w:t>叶绿素、</w:t>
      </w:r>
      <w:r>
        <w:rPr>
          <w:rFonts w:hint="default" w:ascii="Times New Roman" w:hAnsi="Times New Roman" w:eastAsia="宋体" w:cs="Times New Roman"/>
          <w:color w:val="auto"/>
          <w:sz w:val="24"/>
          <w:szCs w:val="24"/>
          <w:highlight w:val="none"/>
        </w:rPr>
        <w:t>总黄酮、总多酚、叶绿素、</w:t>
      </w:r>
      <w:r>
        <w:rPr>
          <w:rFonts w:hint="eastAsia" w:ascii="Times New Roman" w:hAnsi="Times New Roman" w:cs="Times New Roman"/>
          <w:color w:val="auto"/>
          <w:sz w:val="24"/>
          <w:szCs w:val="24"/>
          <w:highlight w:val="none"/>
          <w:lang w:eastAsia="zh-CN"/>
        </w:rPr>
        <w:t>总</w:t>
      </w:r>
      <w:r>
        <w:rPr>
          <w:rFonts w:hint="default" w:ascii="Times New Roman" w:hAnsi="Times New Roman" w:eastAsia="宋体" w:cs="Times New Roman"/>
          <w:color w:val="auto"/>
          <w:sz w:val="24"/>
          <w:szCs w:val="24"/>
          <w:highlight w:val="none"/>
        </w:rPr>
        <w:t>多糖</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DNJ的量</w:t>
      </w:r>
      <w:r>
        <w:rPr>
          <w:rFonts w:hint="eastAsia" w:ascii="Times New Roman" w:hAnsi="Times New Roman" w:cs="Times New Roman"/>
          <w:color w:val="auto"/>
          <w:sz w:val="24"/>
          <w:szCs w:val="24"/>
          <w:highlight w:val="none"/>
          <w:lang w:eastAsia="zh-CN"/>
        </w:rPr>
        <w:t>呈减少趋势</w:t>
      </w:r>
      <w:r>
        <w:rPr>
          <w:rFonts w:hint="default" w:ascii="Times New Roman" w:hAnsi="Times New Roman" w:eastAsia="宋体" w:cs="Times New Roman"/>
          <w:color w:val="auto"/>
          <w:sz w:val="24"/>
          <w:szCs w:val="24"/>
          <w:highlight w:val="none"/>
        </w:rPr>
        <w:t>，</w:t>
      </w:r>
      <w:r>
        <w:rPr>
          <w:rFonts w:hint="eastAsia" w:ascii="Times New Roman" w:hAnsi="Times New Roman" w:cs="Times New Roman"/>
          <w:color w:val="auto"/>
          <w:sz w:val="24"/>
          <w:szCs w:val="24"/>
          <w:highlight w:val="none"/>
          <w:lang w:eastAsia="zh-CN"/>
        </w:rPr>
        <w:t>但变化不大，</w:t>
      </w:r>
      <w:r>
        <w:rPr>
          <w:rFonts w:hint="default" w:ascii="Times New Roman" w:hAnsi="Times New Roman" w:eastAsia="宋体" w:cs="Times New Roman"/>
          <w:color w:val="auto"/>
          <w:sz w:val="24"/>
          <w:szCs w:val="24"/>
          <w:highlight w:val="none"/>
        </w:rPr>
        <w:t>根据实验结果与结合操作时间成本可以确定桑芽菜烫漂后冰水浸泡的</w:t>
      </w:r>
      <w:r>
        <w:rPr>
          <w:rFonts w:hint="eastAsia" w:ascii="Times New Roman" w:hAnsi="Times New Roman" w:cs="Times New Roman"/>
          <w:color w:val="auto"/>
          <w:sz w:val="24"/>
          <w:szCs w:val="24"/>
          <w:highlight w:val="none"/>
          <w:lang w:eastAsia="zh-CN"/>
        </w:rPr>
        <w:t>冷却</w:t>
      </w:r>
      <w:r>
        <w:rPr>
          <w:rFonts w:hint="default" w:ascii="Times New Roman" w:hAnsi="Times New Roman" w:eastAsia="宋体" w:cs="Times New Roman"/>
          <w:color w:val="auto"/>
          <w:sz w:val="24"/>
          <w:szCs w:val="24"/>
          <w:highlight w:val="none"/>
        </w:rPr>
        <w:t>时间为</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 xml:space="preserve"> min～3 min。</w:t>
      </w:r>
    </w:p>
    <w:tbl>
      <w:tblPr>
        <w:tblStyle w:val="6"/>
        <w:tblpPr w:leftFromText="180" w:rightFromText="180" w:vertAnchor="text" w:horzAnchor="page" w:tblpX="2073" w:tblpY="165"/>
        <w:tblOverlap w:val="never"/>
        <w:tblW w:w="8162"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4"/>
        <w:gridCol w:w="1364"/>
        <w:gridCol w:w="1365"/>
        <w:gridCol w:w="1365"/>
        <w:gridCol w:w="1352"/>
        <w:gridCol w:w="1352"/>
      </w:tblGrid>
      <w:tr w14:paraId="074221E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162" w:type="dxa"/>
            <w:gridSpan w:val="6"/>
            <w:tcBorders>
              <w:top w:val="nil"/>
              <w:bottom w:val="single" w:color="auto" w:sz="4" w:space="0"/>
            </w:tcBorders>
          </w:tcPr>
          <w:p w14:paraId="3A26D578">
            <w:pPr>
              <w:pStyle w:val="15"/>
              <w:keepNext w:val="0"/>
              <w:keepLines w:val="0"/>
              <w:pageBreakBefore w:val="0"/>
              <w:widowControl/>
              <w:kinsoku/>
              <w:wordWrap/>
              <w:overflowPunct/>
              <w:topLinePunct w:val="0"/>
              <w:autoSpaceDE/>
              <w:autoSpaceDN/>
              <w:bidi w:val="0"/>
              <w:adjustRightInd w:val="0"/>
              <w:snapToGrid w:val="0"/>
              <w:spacing w:before="157" w:beforeLines="50"/>
              <w:ind w:firstLine="48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w:t>
            </w:r>
            <w:r>
              <w:rPr>
                <w:rFonts w:hint="default"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 xml:space="preserve"> 不同冷却时间对干制桑芽菜活性成分的影响</w:t>
            </w:r>
          </w:p>
        </w:tc>
      </w:tr>
      <w:tr w14:paraId="644B033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Borders>
              <w:bottom w:val="single" w:color="auto" w:sz="4" w:space="0"/>
            </w:tcBorders>
          </w:tcPr>
          <w:p w14:paraId="1D794135">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冷却时间（min）</w:t>
            </w:r>
          </w:p>
        </w:tc>
        <w:tc>
          <w:tcPr>
            <w:tcW w:w="1364" w:type="dxa"/>
            <w:tcBorders>
              <w:bottom w:val="single" w:color="auto" w:sz="4" w:space="0"/>
            </w:tcBorders>
          </w:tcPr>
          <w:p w14:paraId="625C3ADD">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叶绿素(mg/g)</w:t>
            </w:r>
          </w:p>
        </w:tc>
        <w:tc>
          <w:tcPr>
            <w:tcW w:w="1365" w:type="dxa"/>
            <w:tcBorders>
              <w:bottom w:val="single" w:color="auto" w:sz="4" w:space="0"/>
            </w:tcBorders>
          </w:tcPr>
          <w:p w14:paraId="3BCBD0E6">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总黄酮(mg/g)</w:t>
            </w:r>
          </w:p>
        </w:tc>
        <w:tc>
          <w:tcPr>
            <w:tcW w:w="1365" w:type="dxa"/>
            <w:tcBorders>
              <w:bottom w:val="single" w:color="auto" w:sz="4" w:space="0"/>
            </w:tcBorders>
          </w:tcPr>
          <w:p w14:paraId="73F7D2D9">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总多酚(mg/g)</w:t>
            </w:r>
          </w:p>
        </w:tc>
        <w:tc>
          <w:tcPr>
            <w:tcW w:w="1352" w:type="dxa"/>
            <w:tcBorders>
              <w:bottom w:val="single" w:color="auto" w:sz="4" w:space="0"/>
            </w:tcBorders>
          </w:tcPr>
          <w:p w14:paraId="030E224C">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总多糖(mg/g)</w:t>
            </w:r>
          </w:p>
        </w:tc>
        <w:tc>
          <w:tcPr>
            <w:tcW w:w="1352" w:type="dxa"/>
            <w:tcBorders>
              <w:bottom w:val="single" w:color="auto" w:sz="4" w:space="0"/>
            </w:tcBorders>
          </w:tcPr>
          <w:p w14:paraId="68D9D5A5">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DNJ</w:t>
            </w:r>
          </w:p>
          <w:p w14:paraId="0B47B7DB">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(mg/g)</w:t>
            </w:r>
          </w:p>
        </w:tc>
      </w:tr>
      <w:tr w14:paraId="05BB2AF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Borders>
              <w:top w:val="single" w:color="auto" w:sz="4" w:space="0"/>
              <w:bottom w:val="nil"/>
            </w:tcBorders>
          </w:tcPr>
          <w:p w14:paraId="5EC45A11">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1364" w:type="dxa"/>
            <w:tcBorders>
              <w:top w:val="single" w:color="auto" w:sz="4" w:space="0"/>
              <w:bottom w:val="nil"/>
            </w:tcBorders>
            <w:vAlign w:val="bottom"/>
          </w:tcPr>
          <w:p w14:paraId="19F2FADB">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1.305</w:t>
            </w:r>
          </w:p>
        </w:tc>
        <w:tc>
          <w:tcPr>
            <w:tcW w:w="1365" w:type="dxa"/>
            <w:tcBorders>
              <w:top w:val="single" w:color="auto" w:sz="4" w:space="0"/>
              <w:bottom w:val="nil"/>
            </w:tcBorders>
            <w:vAlign w:val="center"/>
          </w:tcPr>
          <w:p w14:paraId="48C76C66">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8.086</w:t>
            </w:r>
          </w:p>
        </w:tc>
        <w:tc>
          <w:tcPr>
            <w:tcW w:w="1365" w:type="dxa"/>
            <w:tcBorders>
              <w:top w:val="single" w:color="auto" w:sz="4" w:space="0"/>
              <w:bottom w:val="nil"/>
            </w:tcBorders>
            <w:vAlign w:val="center"/>
          </w:tcPr>
          <w:p w14:paraId="0379FF5B">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5.682</w:t>
            </w:r>
          </w:p>
        </w:tc>
        <w:tc>
          <w:tcPr>
            <w:tcW w:w="1352" w:type="dxa"/>
            <w:tcBorders>
              <w:top w:val="single" w:color="auto" w:sz="4" w:space="0"/>
              <w:bottom w:val="nil"/>
            </w:tcBorders>
            <w:vAlign w:val="bottom"/>
          </w:tcPr>
          <w:p w14:paraId="012F833C">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21.756 </w:t>
            </w:r>
          </w:p>
        </w:tc>
        <w:tc>
          <w:tcPr>
            <w:tcW w:w="1352" w:type="dxa"/>
            <w:tcBorders>
              <w:top w:val="single" w:color="auto" w:sz="4" w:space="0"/>
              <w:bottom w:val="nil"/>
            </w:tcBorders>
            <w:vAlign w:val="bottom"/>
          </w:tcPr>
          <w:p w14:paraId="014CBFF5">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1.254</w:t>
            </w:r>
          </w:p>
        </w:tc>
      </w:tr>
      <w:tr w14:paraId="336CC2B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Borders>
              <w:top w:val="nil"/>
            </w:tcBorders>
          </w:tcPr>
          <w:p w14:paraId="79D06E65">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1364" w:type="dxa"/>
            <w:tcBorders>
              <w:top w:val="nil"/>
            </w:tcBorders>
            <w:vAlign w:val="bottom"/>
          </w:tcPr>
          <w:p w14:paraId="645572E5">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1.281</w:t>
            </w:r>
          </w:p>
        </w:tc>
        <w:tc>
          <w:tcPr>
            <w:tcW w:w="1365" w:type="dxa"/>
            <w:tcBorders>
              <w:top w:val="nil"/>
            </w:tcBorders>
            <w:vAlign w:val="center"/>
          </w:tcPr>
          <w:p w14:paraId="0A9A8C2E">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7.758 </w:t>
            </w:r>
          </w:p>
        </w:tc>
        <w:tc>
          <w:tcPr>
            <w:tcW w:w="1365" w:type="dxa"/>
            <w:tcBorders>
              <w:top w:val="nil"/>
            </w:tcBorders>
            <w:vAlign w:val="center"/>
          </w:tcPr>
          <w:p w14:paraId="6994C44D">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4.527 </w:t>
            </w:r>
          </w:p>
        </w:tc>
        <w:tc>
          <w:tcPr>
            <w:tcW w:w="1352" w:type="dxa"/>
            <w:tcBorders>
              <w:top w:val="nil"/>
            </w:tcBorders>
            <w:vAlign w:val="bottom"/>
          </w:tcPr>
          <w:p w14:paraId="60D83348">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r>
              <w:rPr>
                <w:rFonts w:hint="eastAsia" w:ascii="Times New Roman" w:hAnsi="Times New Roman"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rPr>
              <w:t xml:space="preserve">.952 </w:t>
            </w:r>
          </w:p>
        </w:tc>
        <w:tc>
          <w:tcPr>
            <w:tcW w:w="1352" w:type="dxa"/>
            <w:tcBorders>
              <w:top w:val="nil"/>
            </w:tcBorders>
            <w:vAlign w:val="bottom"/>
          </w:tcPr>
          <w:p w14:paraId="55F3594C">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1.185 </w:t>
            </w:r>
          </w:p>
        </w:tc>
      </w:tr>
      <w:tr w14:paraId="07D4696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Pr>
          <w:p w14:paraId="1A4BD301">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1364" w:type="dxa"/>
            <w:vAlign w:val="bottom"/>
          </w:tcPr>
          <w:p w14:paraId="2B2FAAE1">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1.256 </w:t>
            </w:r>
          </w:p>
        </w:tc>
        <w:tc>
          <w:tcPr>
            <w:tcW w:w="1365" w:type="dxa"/>
            <w:vAlign w:val="center"/>
          </w:tcPr>
          <w:p w14:paraId="54C697D1">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8.015 </w:t>
            </w:r>
          </w:p>
        </w:tc>
        <w:tc>
          <w:tcPr>
            <w:tcW w:w="1365" w:type="dxa"/>
            <w:vAlign w:val="center"/>
          </w:tcPr>
          <w:p w14:paraId="53306DE9">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4.366 </w:t>
            </w:r>
          </w:p>
        </w:tc>
        <w:tc>
          <w:tcPr>
            <w:tcW w:w="1352" w:type="dxa"/>
            <w:vAlign w:val="bottom"/>
          </w:tcPr>
          <w:p w14:paraId="6AE9937F">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r>
              <w:rPr>
                <w:rFonts w:hint="eastAsia" w:ascii="Times New Roman" w:hAnsi="Times New Roman"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rPr>
              <w:t>.</w:t>
            </w:r>
            <w:r>
              <w:rPr>
                <w:rFonts w:hint="eastAsia" w:ascii="Times New Roman" w:hAnsi="Times New Roman"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 xml:space="preserve">56 </w:t>
            </w:r>
          </w:p>
        </w:tc>
        <w:tc>
          <w:tcPr>
            <w:tcW w:w="1352" w:type="dxa"/>
            <w:vAlign w:val="bottom"/>
          </w:tcPr>
          <w:p w14:paraId="14AE193A">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1.155</w:t>
            </w:r>
          </w:p>
        </w:tc>
      </w:tr>
      <w:tr w14:paraId="444E950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Pr>
          <w:p w14:paraId="0354ECB2">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1364" w:type="dxa"/>
            <w:vAlign w:val="bottom"/>
          </w:tcPr>
          <w:p w14:paraId="23834948">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1.257 </w:t>
            </w:r>
          </w:p>
        </w:tc>
        <w:tc>
          <w:tcPr>
            <w:tcW w:w="1365" w:type="dxa"/>
            <w:vAlign w:val="center"/>
          </w:tcPr>
          <w:p w14:paraId="7CCD3C43">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7.553 </w:t>
            </w:r>
          </w:p>
        </w:tc>
        <w:tc>
          <w:tcPr>
            <w:tcW w:w="1365" w:type="dxa"/>
            <w:vAlign w:val="center"/>
          </w:tcPr>
          <w:p w14:paraId="27903083">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3.851 </w:t>
            </w:r>
          </w:p>
        </w:tc>
        <w:tc>
          <w:tcPr>
            <w:tcW w:w="1352" w:type="dxa"/>
            <w:vAlign w:val="bottom"/>
          </w:tcPr>
          <w:p w14:paraId="0CBBD7EB">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val="en-US" w:eastAsia="zh-CN"/>
              </w:rPr>
              <w:t>20</w:t>
            </w:r>
            <w:r>
              <w:rPr>
                <w:rFonts w:hint="default" w:ascii="Times New Roman" w:hAnsi="Times New Roman" w:eastAsia="宋体" w:cs="Times New Roman"/>
                <w:color w:val="auto"/>
                <w:sz w:val="21"/>
                <w:szCs w:val="21"/>
                <w:highlight w:val="none"/>
              </w:rPr>
              <w:t>.</w:t>
            </w:r>
            <w:r>
              <w:rPr>
                <w:rFonts w:hint="eastAsia" w:ascii="Times New Roman" w:hAnsi="Times New Roman"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rPr>
              <w:t xml:space="preserve">63 </w:t>
            </w:r>
          </w:p>
        </w:tc>
        <w:tc>
          <w:tcPr>
            <w:tcW w:w="1352" w:type="dxa"/>
            <w:vAlign w:val="bottom"/>
          </w:tcPr>
          <w:p w14:paraId="2FC64AE2">
            <w:pPr>
              <w:pStyle w:val="15"/>
              <w:keepNext w:val="0"/>
              <w:keepLines w:val="0"/>
              <w:pageBreakBefore w:val="0"/>
              <w:widowControl/>
              <w:kinsoku/>
              <w:wordWrap/>
              <w:overflowPunct/>
              <w:topLinePunct w:val="0"/>
              <w:autoSpaceDE/>
              <w:autoSpaceDN/>
              <w:bidi w:val="0"/>
              <w:adjustRightInd w:val="0"/>
              <w:snapToGrid w:val="0"/>
              <w:spacing w:line="380" w:lineRule="exact"/>
              <w:ind w:firstLine="0" w:firstLineChars="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eastAsia" w:ascii="Times New Roman" w:hAnsi="Times New Roman"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rPr>
              <w:t>26</w:t>
            </w:r>
          </w:p>
        </w:tc>
      </w:tr>
    </w:tbl>
    <w:p w14:paraId="53E936E6">
      <w:pPr>
        <w:pStyle w:val="15"/>
        <w:numPr>
          <w:ilvl w:val="0"/>
          <w:numId w:val="1"/>
        </w:numPr>
        <w:adjustRightInd w:val="0"/>
        <w:snapToGrid w:val="0"/>
        <w:spacing w:line="380" w:lineRule="exact"/>
        <w:ind w:firstLineChars="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控水</w:t>
      </w:r>
      <w:r>
        <w:rPr>
          <w:rFonts w:hint="default" w:ascii="Times New Roman" w:hAnsi="Times New Roman" w:eastAsia="宋体" w:cs="Times New Roman"/>
          <w:b/>
          <w:bCs/>
          <w:color w:val="auto"/>
          <w:sz w:val="24"/>
          <w:szCs w:val="24"/>
          <w:highlight w:val="none"/>
        </w:rPr>
        <w:t>工艺</w:t>
      </w:r>
    </w:p>
    <w:p w14:paraId="6C366B89">
      <w:pPr>
        <w:pStyle w:val="15"/>
        <w:adjustRightInd w:val="0"/>
        <w:snapToGrid w:val="0"/>
        <w:spacing w:line="380" w:lineRule="exact"/>
        <w:ind w:firstLine="48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采用控水设备进行控干表面水分</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eastAsia="zh-CN"/>
        </w:rPr>
        <w:t>可以利用离心机</w:t>
      </w:r>
      <w:r>
        <w:rPr>
          <w:rFonts w:hint="eastAsia" w:ascii="Times New Roman" w:hAnsi="Times New Roman" w:cs="Times New Roman"/>
          <w:color w:val="auto"/>
          <w:sz w:val="24"/>
          <w:szCs w:val="24"/>
          <w:highlight w:val="none"/>
          <w:lang w:eastAsia="zh-CN"/>
        </w:rPr>
        <w:t>甩水</w:t>
      </w:r>
      <w:r>
        <w:rPr>
          <w:rFonts w:hint="default" w:ascii="Times New Roman" w:hAnsi="Times New Roman" w:eastAsia="宋体" w:cs="Times New Roman"/>
          <w:color w:val="auto"/>
          <w:sz w:val="24"/>
          <w:szCs w:val="24"/>
          <w:highlight w:val="none"/>
        </w:rPr>
        <w:t>5</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min～6</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min</w:t>
      </w:r>
      <w:r>
        <w:rPr>
          <w:rFonts w:hint="default" w:ascii="Times New Roman" w:hAnsi="Times New Roman" w:eastAsia="宋体" w:cs="Times New Roman"/>
          <w:color w:val="auto"/>
          <w:sz w:val="24"/>
          <w:szCs w:val="24"/>
          <w:highlight w:val="none"/>
          <w:lang w:eastAsia="zh-CN"/>
        </w:rPr>
        <w:t>以缩短</w:t>
      </w:r>
      <w:r>
        <w:rPr>
          <w:rFonts w:hint="eastAsia" w:ascii="Times New Roman" w:hAnsi="Times New Roman" w:cs="Times New Roman"/>
          <w:color w:val="auto"/>
          <w:sz w:val="24"/>
          <w:szCs w:val="24"/>
          <w:highlight w:val="none"/>
          <w:lang w:eastAsia="zh-CN"/>
        </w:rPr>
        <w:t>控水</w:t>
      </w:r>
      <w:r>
        <w:rPr>
          <w:rFonts w:hint="default" w:ascii="Times New Roman" w:hAnsi="Times New Roman" w:eastAsia="宋体" w:cs="Times New Roman"/>
          <w:color w:val="auto"/>
          <w:sz w:val="24"/>
          <w:szCs w:val="24"/>
          <w:highlight w:val="none"/>
          <w:lang w:eastAsia="zh-CN"/>
        </w:rPr>
        <w:t>时间</w:t>
      </w:r>
      <w:r>
        <w:rPr>
          <w:rFonts w:hint="default" w:ascii="Times New Roman" w:hAnsi="Times New Roman" w:eastAsia="宋体" w:cs="Times New Roman"/>
          <w:color w:val="auto"/>
          <w:sz w:val="24"/>
          <w:szCs w:val="24"/>
          <w:highlight w:val="none"/>
        </w:rPr>
        <w:t>。</w:t>
      </w:r>
    </w:p>
    <w:p w14:paraId="5C512AC0">
      <w:pPr>
        <w:pStyle w:val="15"/>
        <w:numPr>
          <w:ilvl w:val="0"/>
          <w:numId w:val="1"/>
        </w:numPr>
        <w:adjustRightInd w:val="0"/>
        <w:snapToGrid w:val="0"/>
        <w:spacing w:line="380" w:lineRule="exact"/>
        <w:ind w:firstLineChars="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干燥工艺参数的确定</w:t>
      </w:r>
    </w:p>
    <w:p w14:paraId="16689EF2">
      <w:pPr>
        <w:pStyle w:val="15"/>
        <w:adjustRightInd w:val="0"/>
        <w:snapToGrid w:val="0"/>
        <w:spacing w:line="380" w:lineRule="exact"/>
        <w:ind w:firstLine="480"/>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在</w:t>
      </w:r>
      <w:r>
        <w:rPr>
          <w:rFonts w:hint="default" w:ascii="Times New Roman" w:hAnsi="Times New Roman" w:eastAsia="宋体" w:cs="Times New Roman"/>
          <w:color w:val="auto"/>
          <w:sz w:val="24"/>
          <w:szCs w:val="24"/>
          <w:highlight w:val="none"/>
        </w:rPr>
        <w:t>漂烫时间为30</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s</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冷却2 min</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烘干温度50、60、70、80</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的条件下</w:t>
      </w:r>
      <w:r>
        <w:rPr>
          <w:rFonts w:hint="default" w:ascii="Times New Roman" w:hAnsi="Times New Roman" w:eastAsia="宋体" w:cs="Times New Roman"/>
          <w:color w:val="auto"/>
          <w:sz w:val="24"/>
          <w:szCs w:val="24"/>
          <w:highlight w:val="none"/>
        </w:rPr>
        <w:t>制作干制桑芽。从表</w:t>
      </w:r>
      <w:r>
        <w:rPr>
          <w:rFonts w:hint="default"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rPr>
        <w:t>可以看出，随着烘干温度的增加，除总多糖外，叶绿素、总黄酮、总多酚、DNJ的含量基本呈下降的趋势，说明低的烘干温度对干制桑芽菜一些生物活性的保留具有促进作用。但是烘干温度的增加，对叶绿素、总黄酮、总多酚、DNJ的含量影响较漂烫时间对它们的影响低得多。从实验结果可以确定桑芽菜得</w:t>
      </w:r>
      <w:r>
        <w:rPr>
          <w:rFonts w:hint="default" w:ascii="Times New Roman" w:hAnsi="Times New Roman" w:eastAsia="宋体" w:cs="Times New Roman"/>
          <w:color w:val="auto"/>
          <w:sz w:val="24"/>
          <w:szCs w:val="24"/>
          <w:highlight w:val="none"/>
          <w:lang w:eastAsia="zh-CN"/>
        </w:rPr>
        <w:t>烘干温度</w:t>
      </w:r>
      <w:r>
        <w:rPr>
          <w:rFonts w:hint="default" w:ascii="Times New Roman" w:hAnsi="Times New Roman" w:eastAsia="宋体" w:cs="Times New Roman"/>
          <w:color w:val="auto"/>
          <w:sz w:val="24"/>
          <w:szCs w:val="24"/>
          <w:highlight w:val="none"/>
        </w:rPr>
        <w:t>为</w:t>
      </w:r>
      <w:r>
        <w:rPr>
          <w:rFonts w:hint="default" w:ascii="Times New Roman" w:hAnsi="Times New Roman" w:eastAsia="宋体" w:cs="Times New Roman"/>
          <w:color w:val="auto"/>
          <w:sz w:val="24"/>
          <w:szCs w:val="24"/>
          <w:highlight w:val="none"/>
          <w:lang w:val="en-US" w:eastAsia="zh-CN"/>
        </w:rPr>
        <w:t xml:space="preserve">50 </w:t>
      </w:r>
      <w:r>
        <w:rPr>
          <w:rFonts w:hint="default" w:ascii="Times New Roman" w:hAnsi="Times New Roman" w:eastAsia="宋体" w:cs="Times New Roman"/>
          <w:color w:val="auto"/>
          <w:sz w:val="24"/>
          <w:szCs w:val="24"/>
          <w:highlight w:val="none"/>
        </w:rPr>
        <w:t>℃～80</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w:t>
      </w:r>
    </w:p>
    <w:tbl>
      <w:tblPr>
        <w:tblStyle w:val="6"/>
        <w:tblpPr w:leftFromText="180" w:rightFromText="180" w:vertAnchor="text" w:horzAnchor="page" w:tblpX="2112" w:tblpY="323"/>
        <w:tblOverlap w:val="never"/>
        <w:tblW w:w="7995"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4"/>
        <w:gridCol w:w="1364"/>
        <w:gridCol w:w="1365"/>
        <w:gridCol w:w="1365"/>
        <w:gridCol w:w="1352"/>
        <w:gridCol w:w="1185"/>
      </w:tblGrid>
      <w:tr w14:paraId="3E62EEF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7995" w:type="dxa"/>
            <w:gridSpan w:val="6"/>
            <w:tcBorders>
              <w:top w:val="nil"/>
              <w:bottom w:val="single" w:color="auto" w:sz="4" w:space="0"/>
            </w:tcBorders>
          </w:tcPr>
          <w:p w14:paraId="2A849537">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w:t>
            </w:r>
            <w:r>
              <w:rPr>
                <w:rFonts w:hint="default"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不同干燥温度对干制桑芽菜活性成分的影响</w:t>
            </w:r>
          </w:p>
        </w:tc>
      </w:tr>
      <w:tr w14:paraId="3DC7AB1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Borders>
              <w:bottom w:val="single" w:color="auto" w:sz="4" w:space="0"/>
            </w:tcBorders>
          </w:tcPr>
          <w:p w14:paraId="39C13F9D">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干燥温度（℃）</w:t>
            </w:r>
          </w:p>
        </w:tc>
        <w:tc>
          <w:tcPr>
            <w:tcW w:w="1364" w:type="dxa"/>
            <w:tcBorders>
              <w:bottom w:val="single" w:color="auto" w:sz="4" w:space="0"/>
            </w:tcBorders>
          </w:tcPr>
          <w:p w14:paraId="0CB28404">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叶绿素(mg/g)</w:t>
            </w:r>
          </w:p>
        </w:tc>
        <w:tc>
          <w:tcPr>
            <w:tcW w:w="1365" w:type="dxa"/>
            <w:tcBorders>
              <w:bottom w:val="single" w:color="auto" w:sz="4" w:space="0"/>
            </w:tcBorders>
          </w:tcPr>
          <w:p w14:paraId="792BE658">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总黄酮(mg/g)</w:t>
            </w:r>
          </w:p>
        </w:tc>
        <w:tc>
          <w:tcPr>
            <w:tcW w:w="1365" w:type="dxa"/>
            <w:tcBorders>
              <w:bottom w:val="single" w:color="auto" w:sz="4" w:space="0"/>
            </w:tcBorders>
          </w:tcPr>
          <w:p w14:paraId="7C3639F9">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总多酚(mg/g)</w:t>
            </w:r>
          </w:p>
        </w:tc>
        <w:tc>
          <w:tcPr>
            <w:tcW w:w="1352" w:type="dxa"/>
            <w:tcBorders>
              <w:bottom w:val="single" w:color="auto" w:sz="4" w:space="0"/>
            </w:tcBorders>
          </w:tcPr>
          <w:p w14:paraId="070844B6">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总多糖(mg/g)</w:t>
            </w:r>
          </w:p>
        </w:tc>
        <w:tc>
          <w:tcPr>
            <w:tcW w:w="1185" w:type="dxa"/>
            <w:tcBorders>
              <w:bottom w:val="single" w:color="auto" w:sz="4" w:space="0"/>
            </w:tcBorders>
          </w:tcPr>
          <w:p w14:paraId="3CF050FE">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DNJ</w:t>
            </w:r>
          </w:p>
          <w:p w14:paraId="150F9AE4">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(mg/g)</w:t>
            </w:r>
          </w:p>
        </w:tc>
      </w:tr>
      <w:tr w14:paraId="71705E3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Borders>
              <w:top w:val="single" w:color="auto" w:sz="4" w:space="0"/>
              <w:bottom w:val="nil"/>
            </w:tcBorders>
          </w:tcPr>
          <w:p w14:paraId="3A3D426C">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bookmarkStart w:id="5" w:name="_Hlk171007165"/>
            <w:r>
              <w:rPr>
                <w:rFonts w:hint="default" w:ascii="Times New Roman" w:hAnsi="Times New Roman" w:eastAsia="宋体" w:cs="Times New Roman"/>
                <w:color w:val="auto"/>
                <w:sz w:val="21"/>
                <w:szCs w:val="21"/>
                <w:highlight w:val="none"/>
              </w:rPr>
              <w:t>50</w:t>
            </w:r>
          </w:p>
        </w:tc>
        <w:tc>
          <w:tcPr>
            <w:tcW w:w="1364" w:type="dxa"/>
            <w:tcBorders>
              <w:top w:val="single" w:color="auto" w:sz="4" w:space="0"/>
              <w:bottom w:val="nil"/>
            </w:tcBorders>
            <w:vAlign w:val="bottom"/>
          </w:tcPr>
          <w:p w14:paraId="72FFA85D">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1.301</w:t>
            </w:r>
          </w:p>
        </w:tc>
        <w:tc>
          <w:tcPr>
            <w:tcW w:w="1365" w:type="dxa"/>
            <w:tcBorders>
              <w:top w:val="single" w:color="auto" w:sz="4" w:space="0"/>
              <w:bottom w:val="nil"/>
            </w:tcBorders>
            <w:vAlign w:val="center"/>
          </w:tcPr>
          <w:p w14:paraId="2A59A80B">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8.140 </w:t>
            </w:r>
          </w:p>
        </w:tc>
        <w:tc>
          <w:tcPr>
            <w:tcW w:w="1365" w:type="dxa"/>
            <w:tcBorders>
              <w:top w:val="single" w:color="auto" w:sz="4" w:space="0"/>
              <w:bottom w:val="nil"/>
            </w:tcBorders>
            <w:vAlign w:val="center"/>
          </w:tcPr>
          <w:p w14:paraId="05535A5D">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5.704 </w:t>
            </w:r>
          </w:p>
        </w:tc>
        <w:tc>
          <w:tcPr>
            <w:tcW w:w="1352" w:type="dxa"/>
            <w:tcBorders>
              <w:top w:val="single" w:color="auto" w:sz="4" w:space="0"/>
              <w:bottom w:val="nil"/>
            </w:tcBorders>
            <w:vAlign w:val="bottom"/>
          </w:tcPr>
          <w:p w14:paraId="7C5D3A91">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21.652</w:t>
            </w:r>
          </w:p>
        </w:tc>
        <w:tc>
          <w:tcPr>
            <w:tcW w:w="1185" w:type="dxa"/>
            <w:tcBorders>
              <w:top w:val="single" w:color="auto" w:sz="4" w:space="0"/>
              <w:bottom w:val="nil"/>
            </w:tcBorders>
            <w:vAlign w:val="bottom"/>
          </w:tcPr>
          <w:p w14:paraId="0A9A6C2E">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1.210</w:t>
            </w:r>
          </w:p>
        </w:tc>
      </w:tr>
      <w:tr w14:paraId="6D60B57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Borders>
              <w:top w:val="nil"/>
            </w:tcBorders>
          </w:tcPr>
          <w:p w14:paraId="14DD6486">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60</w:t>
            </w:r>
          </w:p>
        </w:tc>
        <w:tc>
          <w:tcPr>
            <w:tcW w:w="1364" w:type="dxa"/>
            <w:tcBorders>
              <w:top w:val="nil"/>
            </w:tcBorders>
            <w:vAlign w:val="bottom"/>
          </w:tcPr>
          <w:p w14:paraId="4C42ED97">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1.283 </w:t>
            </w:r>
          </w:p>
        </w:tc>
        <w:tc>
          <w:tcPr>
            <w:tcW w:w="1365" w:type="dxa"/>
            <w:tcBorders>
              <w:top w:val="nil"/>
            </w:tcBorders>
            <w:vAlign w:val="center"/>
          </w:tcPr>
          <w:p w14:paraId="7179BED2">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8.063</w:t>
            </w:r>
          </w:p>
        </w:tc>
        <w:tc>
          <w:tcPr>
            <w:tcW w:w="1365" w:type="dxa"/>
            <w:tcBorders>
              <w:top w:val="nil"/>
            </w:tcBorders>
            <w:vAlign w:val="center"/>
          </w:tcPr>
          <w:p w14:paraId="59DA3789">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4.665 </w:t>
            </w:r>
          </w:p>
        </w:tc>
        <w:tc>
          <w:tcPr>
            <w:tcW w:w="1352" w:type="dxa"/>
            <w:tcBorders>
              <w:top w:val="nil"/>
            </w:tcBorders>
            <w:vAlign w:val="bottom"/>
          </w:tcPr>
          <w:p w14:paraId="6530D9BA">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23.758</w:t>
            </w:r>
          </w:p>
        </w:tc>
        <w:tc>
          <w:tcPr>
            <w:tcW w:w="1185" w:type="dxa"/>
            <w:tcBorders>
              <w:top w:val="nil"/>
            </w:tcBorders>
            <w:vAlign w:val="bottom"/>
          </w:tcPr>
          <w:p w14:paraId="13D109DB">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1.103</w:t>
            </w:r>
          </w:p>
        </w:tc>
      </w:tr>
      <w:tr w14:paraId="12AE303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Pr>
          <w:p w14:paraId="0EDBF5F4">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70</w:t>
            </w:r>
          </w:p>
        </w:tc>
        <w:tc>
          <w:tcPr>
            <w:tcW w:w="1364" w:type="dxa"/>
            <w:vAlign w:val="bottom"/>
          </w:tcPr>
          <w:p w14:paraId="0CD9A73A">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1.275 </w:t>
            </w:r>
          </w:p>
        </w:tc>
        <w:tc>
          <w:tcPr>
            <w:tcW w:w="1365" w:type="dxa"/>
            <w:vAlign w:val="center"/>
          </w:tcPr>
          <w:p w14:paraId="2583DFB3">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8.037 </w:t>
            </w:r>
          </w:p>
        </w:tc>
        <w:tc>
          <w:tcPr>
            <w:tcW w:w="1365" w:type="dxa"/>
            <w:vAlign w:val="center"/>
          </w:tcPr>
          <w:p w14:paraId="50B820BE">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4.562</w:t>
            </w:r>
          </w:p>
        </w:tc>
        <w:tc>
          <w:tcPr>
            <w:tcW w:w="1352" w:type="dxa"/>
            <w:vAlign w:val="bottom"/>
          </w:tcPr>
          <w:p w14:paraId="4469D75F">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26.533</w:t>
            </w:r>
          </w:p>
        </w:tc>
        <w:tc>
          <w:tcPr>
            <w:tcW w:w="1185" w:type="dxa"/>
            <w:vAlign w:val="bottom"/>
          </w:tcPr>
          <w:p w14:paraId="01886B56">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0.968</w:t>
            </w:r>
          </w:p>
        </w:tc>
      </w:tr>
      <w:tr w14:paraId="57B6B27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64" w:type="dxa"/>
          </w:tcPr>
          <w:p w14:paraId="72A604AC">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80</w:t>
            </w:r>
          </w:p>
        </w:tc>
        <w:tc>
          <w:tcPr>
            <w:tcW w:w="1364" w:type="dxa"/>
            <w:vAlign w:val="bottom"/>
          </w:tcPr>
          <w:p w14:paraId="1F3B84F5">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1.252 </w:t>
            </w:r>
          </w:p>
        </w:tc>
        <w:tc>
          <w:tcPr>
            <w:tcW w:w="1365" w:type="dxa"/>
            <w:vAlign w:val="center"/>
          </w:tcPr>
          <w:p w14:paraId="4EE860E2">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7.752 </w:t>
            </w:r>
          </w:p>
        </w:tc>
        <w:tc>
          <w:tcPr>
            <w:tcW w:w="1365" w:type="dxa"/>
            <w:vAlign w:val="center"/>
          </w:tcPr>
          <w:p w14:paraId="38A3B93A">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4.468</w:t>
            </w:r>
          </w:p>
        </w:tc>
        <w:tc>
          <w:tcPr>
            <w:tcW w:w="1352" w:type="dxa"/>
            <w:vAlign w:val="bottom"/>
          </w:tcPr>
          <w:p w14:paraId="4690C12B">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34.101</w:t>
            </w:r>
          </w:p>
        </w:tc>
        <w:tc>
          <w:tcPr>
            <w:tcW w:w="1185" w:type="dxa"/>
            <w:vAlign w:val="bottom"/>
          </w:tcPr>
          <w:p w14:paraId="0C917BEE">
            <w:pPr>
              <w:pStyle w:val="15"/>
              <w:adjustRightInd w:val="0"/>
              <w:snapToGrid w:val="0"/>
              <w:spacing w:line="380" w:lineRule="exact"/>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1.134</w:t>
            </w:r>
          </w:p>
        </w:tc>
      </w:tr>
      <w:bookmarkEnd w:id="5"/>
    </w:tbl>
    <w:p w14:paraId="7B50E00C">
      <w:pPr>
        <w:pStyle w:val="15"/>
        <w:adjustRightInd w:val="0"/>
        <w:snapToGrid w:val="0"/>
        <w:spacing w:line="380" w:lineRule="exact"/>
        <w:ind w:firstLine="0" w:firstLineChars="0"/>
        <w:rPr>
          <w:rFonts w:hint="default" w:ascii="Times New Roman" w:hAnsi="Times New Roman" w:eastAsia="宋体" w:cs="Times New Roman"/>
          <w:b/>
          <w:bCs/>
          <w:color w:val="auto"/>
          <w:sz w:val="24"/>
          <w:szCs w:val="24"/>
          <w:highlight w:val="none"/>
        </w:rPr>
      </w:pPr>
    </w:p>
    <w:p w14:paraId="783920EB">
      <w:pPr>
        <w:pStyle w:val="15"/>
        <w:numPr>
          <w:ilvl w:val="0"/>
          <w:numId w:val="1"/>
        </w:numPr>
        <w:adjustRightInd w:val="0"/>
        <w:snapToGrid w:val="0"/>
        <w:spacing w:line="380" w:lineRule="exact"/>
        <w:ind w:firstLineChars="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正交试验</w:t>
      </w:r>
    </w:p>
    <w:p w14:paraId="6390456C">
      <w:pPr>
        <w:keepNext w:val="0"/>
        <w:keepLines w:val="0"/>
        <w:pageBreakBefore w:val="0"/>
        <w:widowControl/>
        <w:kinsoku/>
        <w:wordWrap/>
        <w:overflowPunct/>
        <w:topLinePunct w:val="0"/>
        <w:autoSpaceDE/>
        <w:autoSpaceDN/>
        <w:bidi w:val="0"/>
        <w:adjustRightInd w:val="0"/>
        <w:snapToGrid w:val="0"/>
        <w:spacing w:line="38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为了全面考查影响因素，设计3因素4水平的正交实验，根据单因素考察结果选择正交实验因素水平见表</w:t>
      </w:r>
      <w:r>
        <w:rPr>
          <w:rFonts w:hint="default"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，正交实验结果见表</w:t>
      </w:r>
      <w:r>
        <w:rPr>
          <w:rFonts w:hint="default"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在干制桑芽菜中，存在叶绿素、总黄酮、总多酚、总多糖以及DNJ等五个有效成分指标。鉴于指标数量较多，故采用灰色关联分析法对综合得分进行分析。灰色关联分析法的特点在于其对样本量及规律性无严格要求，且分析全面、计算量较小，可以准确筛选关联程度最大程度的样本。根据灰色系统理论要求，将干制桑芽菜中的5个指标视为一个系统整体，将每个指标视为一个系统因子进行综合评估</w:t>
      </w:r>
      <w:r>
        <w:rPr>
          <w:rFonts w:hint="default" w:ascii="Times New Roman" w:hAnsi="Times New Roman" w:eastAsia="宋体" w:cs="Times New Roman"/>
          <w:color w:val="auto"/>
          <w:sz w:val="24"/>
          <w:szCs w:val="24"/>
          <w:highlight w:val="none"/>
          <w:vertAlign w:val="superscript"/>
          <w:lang w:val="en-US" w:eastAsia="zh-CN"/>
        </w:rPr>
        <w:t>[</w:t>
      </w:r>
      <w:r>
        <w:rPr>
          <w:rFonts w:hint="eastAsia" w:ascii="Times New Roman" w:hAnsi="Times New Roman"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vertAlign w:val="superscript"/>
          <w:lang w:val="en-US" w:eastAsia="zh-CN"/>
        </w:rPr>
        <w:t>]</w:t>
      </w:r>
      <w:r>
        <w:rPr>
          <w:rFonts w:hint="default" w:ascii="Times New Roman" w:hAnsi="Times New Roman" w:eastAsia="宋体" w:cs="Times New Roman"/>
          <w:color w:val="auto"/>
          <w:sz w:val="24"/>
          <w:szCs w:val="24"/>
          <w:highlight w:val="none"/>
        </w:rPr>
        <w:t>，得到相对关联度为综合得分。</w:t>
      </w:r>
    </w:p>
    <w:p w14:paraId="42198DA8">
      <w:pPr>
        <w:pStyle w:val="4"/>
        <w:keepNext w:val="0"/>
        <w:keepLines w:val="0"/>
        <w:pageBreakBefore w:val="0"/>
        <w:widowControl/>
        <w:kinsoku/>
        <w:wordWrap/>
        <w:overflowPunct/>
        <w:topLinePunct w:val="0"/>
        <w:autoSpaceDE/>
        <w:autoSpaceDN/>
        <w:bidi w:val="0"/>
        <w:adjustRightInd w:val="0"/>
        <w:snapToGrid w:val="0"/>
        <w:spacing w:before="0" w:beforeAutospacing="0" w:line="380" w:lineRule="exact"/>
        <w:ind w:left="0"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从正交试验结果中可以看出，干制桑芽菜加工工艺中综合影响因素主次为:漂烫时间&gt;烘干温度&gt;冷却时间，最佳加工工艺条件为A</w:t>
      </w:r>
      <w:r>
        <w:rPr>
          <w:rFonts w:hint="default" w:ascii="Times New Roman" w:hAnsi="Times New Roman" w:eastAsia="宋体" w:cs="Times New Roman"/>
          <w:color w:val="auto"/>
          <w:sz w:val="24"/>
          <w:szCs w:val="24"/>
          <w:highlight w:val="none"/>
          <w:vertAlign w:val="subscript"/>
        </w:rPr>
        <w:t>1</w:t>
      </w:r>
      <w:r>
        <w:rPr>
          <w:rFonts w:hint="default" w:ascii="Times New Roman" w:hAnsi="Times New Roman" w:eastAsia="宋体" w:cs="Times New Roman"/>
          <w:color w:val="auto"/>
          <w:sz w:val="24"/>
          <w:szCs w:val="24"/>
          <w:highlight w:val="none"/>
        </w:rPr>
        <w:t>B</w:t>
      </w:r>
      <w:r>
        <w:rPr>
          <w:rFonts w:hint="default" w:ascii="Times New Roman" w:hAnsi="Times New Roman" w:eastAsia="宋体" w:cs="Times New Roman"/>
          <w:color w:val="auto"/>
          <w:sz w:val="24"/>
          <w:szCs w:val="24"/>
          <w:highlight w:val="none"/>
          <w:vertAlign w:val="subscript"/>
        </w:rPr>
        <w:t>2</w:t>
      </w:r>
      <w:r>
        <w:rPr>
          <w:rFonts w:hint="default" w:ascii="Times New Roman" w:hAnsi="Times New Roman" w:eastAsia="宋体" w:cs="Times New Roman"/>
          <w:color w:val="auto"/>
          <w:sz w:val="24"/>
          <w:szCs w:val="24"/>
          <w:highlight w:val="none"/>
        </w:rPr>
        <w:t>C</w:t>
      </w:r>
      <w:r>
        <w:rPr>
          <w:rFonts w:hint="default" w:ascii="Times New Roman" w:hAnsi="Times New Roman" w:eastAsia="宋体" w:cs="Times New Roman"/>
          <w:color w:val="auto"/>
          <w:sz w:val="24"/>
          <w:szCs w:val="24"/>
          <w:highlight w:val="none"/>
          <w:vertAlign w:val="subscript"/>
        </w:rPr>
        <w:t>4</w:t>
      </w:r>
      <w:r>
        <w:rPr>
          <w:rFonts w:hint="default" w:ascii="Times New Roman" w:hAnsi="Times New Roman" w:eastAsia="宋体" w:cs="Times New Roman"/>
          <w:color w:val="auto"/>
          <w:sz w:val="24"/>
          <w:szCs w:val="24"/>
          <w:highlight w:val="none"/>
          <w:vertAlign w:val="baseline"/>
          <w:lang w:eastAsia="zh-CN"/>
        </w:rPr>
        <w:t>，即漂烫时间</w:t>
      </w:r>
      <w:r>
        <w:rPr>
          <w:rFonts w:hint="default" w:ascii="Times New Roman" w:hAnsi="Times New Roman" w:eastAsia="宋体" w:cs="Times New Roman"/>
          <w:color w:val="auto"/>
          <w:sz w:val="24"/>
          <w:szCs w:val="24"/>
          <w:highlight w:val="none"/>
          <w:vertAlign w:val="baseline"/>
          <w:lang w:val="en-US" w:eastAsia="zh-CN"/>
        </w:rPr>
        <w:t>30 s、冷却时间2 min，烘干温度80</w:t>
      </w:r>
      <w:r>
        <w:rPr>
          <w:rFonts w:hint="eastAsia" w:ascii="Times New Roman" w:hAnsi="Times New Roman" w:cs="Times New Roman"/>
          <w:color w:val="auto"/>
          <w:sz w:val="24"/>
          <w:szCs w:val="24"/>
          <w:highlight w:val="none"/>
          <w:vertAlign w:val="baseline"/>
          <w:lang w:val="en-US" w:eastAsia="zh-CN"/>
        </w:rPr>
        <w:t xml:space="preserve"> </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5"/>
        <w:gridCol w:w="2238"/>
        <w:gridCol w:w="2448"/>
        <w:gridCol w:w="1938"/>
      </w:tblGrid>
      <w:tr w14:paraId="007A1DB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29" w:type="dxa"/>
            <w:gridSpan w:val="4"/>
            <w:tcBorders>
              <w:top w:val="nil"/>
              <w:bottom w:val="single" w:color="auto" w:sz="4" w:space="0"/>
            </w:tcBorders>
            <w:vAlign w:val="center"/>
          </w:tcPr>
          <w:p w14:paraId="759A6011">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w:t>
            </w: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 xml:space="preserve"> 正交试验设计</w:t>
            </w:r>
          </w:p>
        </w:tc>
      </w:tr>
      <w:tr w14:paraId="5C20625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bottom w:val="single" w:color="auto" w:sz="4" w:space="0"/>
            </w:tcBorders>
            <w:vAlign w:val="center"/>
          </w:tcPr>
          <w:p w14:paraId="7082D2BE">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水平</w:t>
            </w:r>
          </w:p>
        </w:tc>
        <w:tc>
          <w:tcPr>
            <w:tcW w:w="2238" w:type="dxa"/>
            <w:tcBorders>
              <w:bottom w:val="single" w:color="auto" w:sz="4" w:space="0"/>
            </w:tcBorders>
            <w:vAlign w:val="center"/>
          </w:tcPr>
          <w:p w14:paraId="2F12E4F5">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漂烫时间(s)A</w:t>
            </w:r>
          </w:p>
        </w:tc>
        <w:tc>
          <w:tcPr>
            <w:tcW w:w="2448" w:type="dxa"/>
            <w:tcBorders>
              <w:bottom w:val="single" w:color="auto" w:sz="4" w:space="0"/>
            </w:tcBorders>
            <w:vAlign w:val="center"/>
          </w:tcPr>
          <w:p w14:paraId="2F12F0EF">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冷却时间(min)B</w:t>
            </w:r>
          </w:p>
        </w:tc>
        <w:tc>
          <w:tcPr>
            <w:tcW w:w="1938" w:type="dxa"/>
            <w:tcBorders>
              <w:bottom w:val="single" w:color="auto" w:sz="4" w:space="0"/>
            </w:tcBorders>
            <w:vAlign w:val="center"/>
          </w:tcPr>
          <w:p w14:paraId="305404FC">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烘干温度(℃)C</w:t>
            </w:r>
          </w:p>
        </w:tc>
      </w:tr>
      <w:tr w14:paraId="2BD1535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op w:val="single" w:color="auto" w:sz="4" w:space="0"/>
              <w:bottom w:val="nil"/>
            </w:tcBorders>
            <w:vAlign w:val="center"/>
          </w:tcPr>
          <w:p w14:paraId="454AF53E">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238" w:type="dxa"/>
            <w:tcBorders>
              <w:top w:val="single" w:color="auto" w:sz="4" w:space="0"/>
              <w:bottom w:val="nil"/>
            </w:tcBorders>
            <w:vAlign w:val="center"/>
          </w:tcPr>
          <w:p w14:paraId="11564B06">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30</w:t>
            </w:r>
          </w:p>
        </w:tc>
        <w:tc>
          <w:tcPr>
            <w:tcW w:w="2448" w:type="dxa"/>
            <w:tcBorders>
              <w:top w:val="single" w:color="auto" w:sz="4" w:space="0"/>
              <w:bottom w:val="nil"/>
            </w:tcBorders>
            <w:vAlign w:val="center"/>
          </w:tcPr>
          <w:p w14:paraId="6BAE8044">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1938" w:type="dxa"/>
            <w:tcBorders>
              <w:top w:val="single" w:color="auto" w:sz="4" w:space="0"/>
              <w:bottom w:val="nil"/>
            </w:tcBorders>
            <w:vAlign w:val="center"/>
          </w:tcPr>
          <w:p w14:paraId="7EA4CA6C">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50</w:t>
            </w:r>
          </w:p>
        </w:tc>
      </w:tr>
      <w:tr w14:paraId="38D3CA7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op w:val="nil"/>
            </w:tcBorders>
            <w:vAlign w:val="center"/>
          </w:tcPr>
          <w:p w14:paraId="25A4C709">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238" w:type="dxa"/>
            <w:tcBorders>
              <w:top w:val="nil"/>
            </w:tcBorders>
            <w:vAlign w:val="center"/>
          </w:tcPr>
          <w:p w14:paraId="6A717EA2">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60</w:t>
            </w:r>
          </w:p>
        </w:tc>
        <w:tc>
          <w:tcPr>
            <w:tcW w:w="2448" w:type="dxa"/>
            <w:tcBorders>
              <w:top w:val="nil"/>
            </w:tcBorders>
            <w:vAlign w:val="center"/>
          </w:tcPr>
          <w:p w14:paraId="5CAFC3C1">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1938" w:type="dxa"/>
            <w:tcBorders>
              <w:top w:val="nil"/>
            </w:tcBorders>
            <w:vAlign w:val="center"/>
          </w:tcPr>
          <w:p w14:paraId="3D9DB81A">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60</w:t>
            </w:r>
          </w:p>
        </w:tc>
      </w:tr>
      <w:tr w14:paraId="4102EA5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vAlign w:val="center"/>
          </w:tcPr>
          <w:p w14:paraId="7FA73908">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238" w:type="dxa"/>
            <w:vAlign w:val="center"/>
          </w:tcPr>
          <w:p w14:paraId="5BFBCE6A">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90</w:t>
            </w:r>
          </w:p>
        </w:tc>
        <w:tc>
          <w:tcPr>
            <w:tcW w:w="2448" w:type="dxa"/>
            <w:vAlign w:val="center"/>
          </w:tcPr>
          <w:p w14:paraId="7BFFABA9">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1938" w:type="dxa"/>
            <w:vAlign w:val="center"/>
          </w:tcPr>
          <w:p w14:paraId="6D638D71">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70</w:t>
            </w:r>
          </w:p>
        </w:tc>
      </w:tr>
      <w:tr w14:paraId="0C46CC3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vAlign w:val="center"/>
          </w:tcPr>
          <w:p w14:paraId="4EA9C741">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238" w:type="dxa"/>
            <w:vAlign w:val="center"/>
          </w:tcPr>
          <w:p w14:paraId="4FDA3EA1">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120</w:t>
            </w:r>
          </w:p>
        </w:tc>
        <w:tc>
          <w:tcPr>
            <w:tcW w:w="2448" w:type="dxa"/>
            <w:vAlign w:val="center"/>
          </w:tcPr>
          <w:p w14:paraId="556EFE99">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1938" w:type="dxa"/>
            <w:vAlign w:val="center"/>
          </w:tcPr>
          <w:p w14:paraId="1E783E57">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80</w:t>
            </w:r>
          </w:p>
        </w:tc>
      </w:tr>
    </w:tbl>
    <w:p w14:paraId="5FAE59B8">
      <w:pPr>
        <w:pStyle w:val="15"/>
        <w:adjustRightInd w:val="0"/>
        <w:snapToGrid w:val="0"/>
        <w:spacing w:line="380" w:lineRule="exact"/>
        <w:ind w:left="0" w:leftChars="0" w:firstLine="0" w:firstLineChars="0"/>
        <w:rPr>
          <w:rFonts w:hint="default" w:ascii="Times New Roman" w:hAnsi="Times New Roman" w:eastAsia="宋体" w:cs="Times New Roman"/>
          <w:color w:val="auto"/>
          <w:sz w:val="24"/>
          <w:szCs w:val="24"/>
          <w:highlight w:val="none"/>
        </w:rPr>
      </w:pPr>
    </w:p>
    <w:tbl>
      <w:tblPr>
        <w:tblStyle w:val="5"/>
        <w:tblpPr w:leftFromText="180" w:rightFromText="180" w:vertAnchor="text" w:horzAnchor="page" w:tblpX="1337" w:tblpY="352"/>
        <w:tblOverlap w:val="never"/>
        <w:tblW w:w="8803" w:type="dxa"/>
        <w:tblInd w:w="0" w:type="dxa"/>
        <w:tblLayout w:type="autofit"/>
        <w:tblCellMar>
          <w:top w:w="0" w:type="dxa"/>
          <w:left w:w="108" w:type="dxa"/>
          <w:bottom w:w="0" w:type="dxa"/>
          <w:right w:w="108" w:type="dxa"/>
        </w:tblCellMar>
      </w:tblPr>
      <w:tblGrid>
        <w:gridCol w:w="930"/>
        <w:gridCol w:w="822"/>
        <w:gridCol w:w="851"/>
        <w:gridCol w:w="850"/>
        <w:gridCol w:w="222"/>
        <w:gridCol w:w="850"/>
        <w:gridCol w:w="851"/>
        <w:gridCol w:w="992"/>
        <w:gridCol w:w="913"/>
        <w:gridCol w:w="756"/>
        <w:gridCol w:w="766"/>
      </w:tblGrid>
      <w:tr w14:paraId="0F82C616">
        <w:tblPrEx>
          <w:tblCellMar>
            <w:top w:w="0" w:type="dxa"/>
            <w:left w:w="108" w:type="dxa"/>
            <w:bottom w:w="0" w:type="dxa"/>
            <w:right w:w="108" w:type="dxa"/>
          </w:tblCellMar>
        </w:tblPrEx>
        <w:trPr>
          <w:trHeight w:val="300" w:hRule="atLeast"/>
        </w:trPr>
        <w:tc>
          <w:tcPr>
            <w:tcW w:w="8803" w:type="dxa"/>
            <w:gridSpan w:val="11"/>
            <w:tcBorders>
              <w:top w:val="nil"/>
              <w:left w:val="nil"/>
              <w:right w:val="nil"/>
            </w:tcBorders>
            <w:vAlign w:val="center"/>
          </w:tcPr>
          <w:p w14:paraId="0A96502A">
            <w:pPr>
              <w:pStyle w:val="15"/>
              <w:adjustRightInd w:val="0"/>
              <w:snapToGrid w:val="0"/>
              <w:spacing w:line="380" w:lineRule="exact"/>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w:t>
            </w:r>
            <w:r>
              <w:rPr>
                <w:rFonts w:hint="default"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 xml:space="preserve"> 正交试验结果直观分析表</w:t>
            </w:r>
          </w:p>
        </w:tc>
      </w:tr>
      <w:tr w14:paraId="3C598E0D">
        <w:tblPrEx>
          <w:tblCellMar>
            <w:top w:w="0" w:type="dxa"/>
            <w:left w:w="108" w:type="dxa"/>
            <w:bottom w:w="0" w:type="dxa"/>
            <w:right w:w="108" w:type="dxa"/>
          </w:tblCellMar>
        </w:tblPrEx>
        <w:trPr>
          <w:trHeight w:val="300" w:hRule="atLeast"/>
        </w:trPr>
        <w:tc>
          <w:tcPr>
            <w:tcW w:w="930" w:type="dxa"/>
            <w:vMerge w:val="restart"/>
            <w:tcBorders>
              <w:top w:val="single" w:color="auto" w:sz="4" w:space="0"/>
              <w:left w:val="nil"/>
              <w:right w:val="nil"/>
            </w:tcBorders>
            <w:vAlign w:val="center"/>
          </w:tcPr>
          <w:p w14:paraId="7942E21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2523" w:type="dxa"/>
            <w:gridSpan w:val="3"/>
            <w:tcBorders>
              <w:top w:val="single" w:color="auto" w:sz="4" w:space="0"/>
              <w:left w:val="nil"/>
              <w:bottom w:val="single" w:color="auto" w:sz="4" w:space="0"/>
              <w:right w:val="nil"/>
            </w:tcBorders>
            <w:shd w:val="clear" w:color="auto" w:fill="auto"/>
            <w:noWrap/>
            <w:vAlign w:val="center"/>
          </w:tcPr>
          <w:p w14:paraId="27D5E40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因子</w:t>
            </w:r>
          </w:p>
        </w:tc>
        <w:tc>
          <w:tcPr>
            <w:tcW w:w="222" w:type="dxa"/>
            <w:tcBorders>
              <w:top w:val="single" w:color="auto" w:sz="4" w:space="0"/>
              <w:left w:val="nil"/>
              <w:right w:val="nil"/>
            </w:tcBorders>
          </w:tcPr>
          <w:p w14:paraId="15A91CB5">
            <w:pPr>
              <w:jc w:val="center"/>
              <w:rPr>
                <w:rFonts w:hint="default" w:ascii="Times New Roman" w:hAnsi="Times New Roman" w:eastAsia="宋体" w:cs="Times New Roman"/>
                <w:color w:val="auto"/>
                <w:sz w:val="21"/>
                <w:szCs w:val="21"/>
                <w:highlight w:val="none"/>
              </w:rPr>
            </w:pPr>
          </w:p>
        </w:tc>
        <w:tc>
          <w:tcPr>
            <w:tcW w:w="4362" w:type="dxa"/>
            <w:gridSpan w:val="5"/>
            <w:tcBorders>
              <w:top w:val="single" w:color="auto" w:sz="4" w:space="0"/>
              <w:left w:val="nil"/>
              <w:bottom w:val="single" w:color="auto" w:sz="4" w:space="0"/>
              <w:right w:val="nil"/>
            </w:tcBorders>
            <w:shd w:val="clear" w:color="auto" w:fill="auto"/>
            <w:vAlign w:val="center"/>
          </w:tcPr>
          <w:p w14:paraId="6A87B64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含量（mg/g）</w:t>
            </w:r>
          </w:p>
        </w:tc>
        <w:tc>
          <w:tcPr>
            <w:tcW w:w="766" w:type="dxa"/>
            <w:vMerge w:val="restart"/>
            <w:tcBorders>
              <w:top w:val="single" w:color="auto" w:sz="4" w:space="0"/>
              <w:left w:val="nil"/>
              <w:right w:val="nil"/>
            </w:tcBorders>
            <w:vAlign w:val="center"/>
          </w:tcPr>
          <w:p w14:paraId="6ED417D6">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综合得分</w:t>
            </w:r>
          </w:p>
        </w:tc>
      </w:tr>
      <w:tr w14:paraId="26A38E23">
        <w:tblPrEx>
          <w:tblCellMar>
            <w:top w:w="0" w:type="dxa"/>
            <w:left w:w="108" w:type="dxa"/>
            <w:bottom w:w="0" w:type="dxa"/>
            <w:right w:w="108" w:type="dxa"/>
          </w:tblCellMar>
        </w:tblPrEx>
        <w:trPr>
          <w:trHeight w:val="300" w:hRule="atLeast"/>
        </w:trPr>
        <w:tc>
          <w:tcPr>
            <w:tcW w:w="930" w:type="dxa"/>
            <w:vMerge w:val="continue"/>
            <w:tcBorders>
              <w:left w:val="nil"/>
              <w:bottom w:val="single" w:color="000000" w:sz="4" w:space="0"/>
              <w:right w:val="nil"/>
            </w:tcBorders>
            <w:vAlign w:val="center"/>
          </w:tcPr>
          <w:p w14:paraId="5CF6CE56">
            <w:pPr>
              <w:jc w:val="center"/>
              <w:rPr>
                <w:rFonts w:hint="default" w:ascii="Times New Roman" w:hAnsi="Times New Roman" w:eastAsia="宋体" w:cs="Times New Roman"/>
                <w:color w:val="auto"/>
                <w:sz w:val="21"/>
                <w:szCs w:val="21"/>
                <w:highlight w:val="none"/>
              </w:rPr>
            </w:pPr>
          </w:p>
        </w:tc>
        <w:tc>
          <w:tcPr>
            <w:tcW w:w="822" w:type="dxa"/>
            <w:tcBorders>
              <w:top w:val="nil"/>
              <w:left w:val="nil"/>
              <w:bottom w:val="single" w:color="auto" w:sz="4" w:space="0"/>
              <w:right w:val="nil"/>
            </w:tcBorders>
            <w:shd w:val="clear" w:color="auto" w:fill="auto"/>
            <w:noWrap/>
            <w:vAlign w:val="center"/>
          </w:tcPr>
          <w:p w14:paraId="7E835C9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因子1</w:t>
            </w:r>
          </w:p>
        </w:tc>
        <w:tc>
          <w:tcPr>
            <w:tcW w:w="851" w:type="dxa"/>
            <w:tcBorders>
              <w:top w:val="nil"/>
              <w:left w:val="nil"/>
              <w:bottom w:val="single" w:color="auto" w:sz="4" w:space="0"/>
              <w:right w:val="nil"/>
            </w:tcBorders>
            <w:shd w:val="clear" w:color="auto" w:fill="auto"/>
            <w:noWrap/>
            <w:vAlign w:val="center"/>
          </w:tcPr>
          <w:p w14:paraId="2FBDEF9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因子2</w:t>
            </w:r>
          </w:p>
        </w:tc>
        <w:tc>
          <w:tcPr>
            <w:tcW w:w="850" w:type="dxa"/>
            <w:tcBorders>
              <w:top w:val="nil"/>
              <w:left w:val="nil"/>
              <w:bottom w:val="single" w:color="auto" w:sz="4" w:space="0"/>
              <w:right w:val="nil"/>
            </w:tcBorders>
            <w:shd w:val="clear" w:color="auto" w:fill="auto"/>
            <w:noWrap/>
            <w:vAlign w:val="center"/>
          </w:tcPr>
          <w:p w14:paraId="5B239FC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因子3</w:t>
            </w:r>
          </w:p>
        </w:tc>
        <w:tc>
          <w:tcPr>
            <w:tcW w:w="222" w:type="dxa"/>
            <w:tcBorders>
              <w:top w:val="nil"/>
              <w:left w:val="nil"/>
              <w:bottom w:val="single" w:color="auto" w:sz="4" w:space="0"/>
              <w:right w:val="nil"/>
            </w:tcBorders>
          </w:tcPr>
          <w:p w14:paraId="7F6ACFDC">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single" w:color="auto" w:sz="4" w:space="0"/>
              <w:right w:val="nil"/>
            </w:tcBorders>
            <w:shd w:val="clear" w:color="auto" w:fill="auto"/>
            <w:vAlign w:val="center"/>
          </w:tcPr>
          <w:p w14:paraId="153561A0">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叶绿素</w:t>
            </w:r>
          </w:p>
        </w:tc>
        <w:tc>
          <w:tcPr>
            <w:tcW w:w="851" w:type="dxa"/>
            <w:tcBorders>
              <w:top w:val="nil"/>
              <w:left w:val="nil"/>
              <w:bottom w:val="single" w:color="auto" w:sz="4" w:space="0"/>
              <w:right w:val="nil"/>
            </w:tcBorders>
            <w:shd w:val="clear" w:color="auto" w:fill="auto"/>
            <w:vAlign w:val="center"/>
          </w:tcPr>
          <w:p w14:paraId="36CBC67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总黄酮</w:t>
            </w:r>
          </w:p>
        </w:tc>
        <w:tc>
          <w:tcPr>
            <w:tcW w:w="992" w:type="dxa"/>
            <w:tcBorders>
              <w:top w:val="nil"/>
              <w:left w:val="nil"/>
              <w:bottom w:val="single" w:color="auto" w:sz="4" w:space="0"/>
              <w:right w:val="nil"/>
            </w:tcBorders>
            <w:shd w:val="clear" w:color="auto" w:fill="auto"/>
            <w:vAlign w:val="center"/>
          </w:tcPr>
          <w:p w14:paraId="597D4EE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总多酚</w:t>
            </w:r>
          </w:p>
        </w:tc>
        <w:tc>
          <w:tcPr>
            <w:tcW w:w="913" w:type="dxa"/>
            <w:tcBorders>
              <w:top w:val="nil"/>
              <w:left w:val="nil"/>
              <w:bottom w:val="single" w:color="auto" w:sz="4" w:space="0"/>
              <w:right w:val="nil"/>
            </w:tcBorders>
            <w:shd w:val="clear" w:color="auto" w:fill="auto"/>
            <w:vAlign w:val="center"/>
          </w:tcPr>
          <w:p w14:paraId="2238685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总多糖</w:t>
            </w:r>
          </w:p>
        </w:tc>
        <w:tc>
          <w:tcPr>
            <w:tcW w:w="756" w:type="dxa"/>
            <w:tcBorders>
              <w:top w:val="nil"/>
              <w:left w:val="nil"/>
              <w:bottom w:val="single" w:color="auto" w:sz="4" w:space="0"/>
              <w:right w:val="nil"/>
            </w:tcBorders>
            <w:shd w:val="clear" w:color="auto" w:fill="auto"/>
            <w:vAlign w:val="center"/>
          </w:tcPr>
          <w:p w14:paraId="0339C30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DNJ</w:t>
            </w:r>
          </w:p>
        </w:tc>
        <w:tc>
          <w:tcPr>
            <w:tcW w:w="766" w:type="dxa"/>
            <w:vMerge w:val="continue"/>
            <w:tcBorders>
              <w:left w:val="nil"/>
              <w:bottom w:val="single" w:color="000000" w:sz="4" w:space="0"/>
              <w:right w:val="nil"/>
            </w:tcBorders>
            <w:vAlign w:val="center"/>
          </w:tcPr>
          <w:p w14:paraId="4A090A8B">
            <w:pPr>
              <w:jc w:val="center"/>
              <w:rPr>
                <w:rFonts w:hint="default" w:ascii="Times New Roman" w:hAnsi="Times New Roman" w:eastAsia="宋体" w:cs="Times New Roman"/>
                <w:color w:val="auto"/>
                <w:sz w:val="21"/>
                <w:szCs w:val="21"/>
                <w:highlight w:val="none"/>
              </w:rPr>
            </w:pPr>
          </w:p>
        </w:tc>
      </w:tr>
      <w:tr w14:paraId="3C9A7E19">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5AA8E62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22" w:type="dxa"/>
            <w:tcBorders>
              <w:top w:val="nil"/>
              <w:left w:val="nil"/>
              <w:bottom w:val="nil"/>
              <w:right w:val="nil"/>
            </w:tcBorders>
            <w:shd w:val="clear" w:color="auto" w:fill="auto"/>
            <w:noWrap/>
            <w:vAlign w:val="center"/>
          </w:tcPr>
          <w:p w14:paraId="39EEE76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51" w:type="dxa"/>
            <w:tcBorders>
              <w:top w:val="single" w:color="auto" w:sz="4" w:space="0"/>
              <w:left w:val="nil"/>
              <w:bottom w:val="nil"/>
              <w:right w:val="nil"/>
            </w:tcBorders>
            <w:shd w:val="clear" w:color="auto" w:fill="auto"/>
            <w:noWrap/>
            <w:vAlign w:val="center"/>
          </w:tcPr>
          <w:p w14:paraId="71B39C2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50" w:type="dxa"/>
            <w:tcBorders>
              <w:top w:val="single" w:color="auto" w:sz="4" w:space="0"/>
              <w:left w:val="nil"/>
              <w:bottom w:val="nil"/>
              <w:right w:val="nil"/>
            </w:tcBorders>
            <w:shd w:val="clear" w:color="auto" w:fill="auto"/>
            <w:noWrap/>
            <w:vAlign w:val="center"/>
          </w:tcPr>
          <w:p w14:paraId="3F1CBBE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22" w:type="dxa"/>
            <w:tcBorders>
              <w:top w:val="single" w:color="auto" w:sz="4" w:space="0"/>
              <w:left w:val="nil"/>
              <w:bottom w:val="nil"/>
              <w:right w:val="nil"/>
            </w:tcBorders>
          </w:tcPr>
          <w:p w14:paraId="150761AC">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530E718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1.302</w:t>
            </w:r>
          </w:p>
        </w:tc>
        <w:tc>
          <w:tcPr>
            <w:tcW w:w="851" w:type="dxa"/>
            <w:tcBorders>
              <w:top w:val="nil"/>
              <w:left w:val="nil"/>
              <w:bottom w:val="nil"/>
              <w:right w:val="nil"/>
            </w:tcBorders>
            <w:shd w:val="clear" w:color="auto" w:fill="auto"/>
            <w:vAlign w:val="center"/>
          </w:tcPr>
          <w:p w14:paraId="4A82277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8.14</w:t>
            </w:r>
          </w:p>
        </w:tc>
        <w:tc>
          <w:tcPr>
            <w:tcW w:w="992" w:type="dxa"/>
            <w:tcBorders>
              <w:top w:val="nil"/>
              <w:left w:val="nil"/>
              <w:bottom w:val="nil"/>
              <w:right w:val="nil"/>
            </w:tcBorders>
            <w:shd w:val="clear" w:color="auto" w:fill="auto"/>
            <w:vAlign w:val="center"/>
          </w:tcPr>
          <w:p w14:paraId="57FD8C9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5.685</w:t>
            </w:r>
          </w:p>
        </w:tc>
        <w:tc>
          <w:tcPr>
            <w:tcW w:w="913" w:type="dxa"/>
            <w:tcBorders>
              <w:top w:val="nil"/>
              <w:left w:val="nil"/>
              <w:bottom w:val="nil"/>
              <w:right w:val="nil"/>
            </w:tcBorders>
            <w:shd w:val="clear" w:color="auto" w:fill="auto"/>
            <w:vAlign w:val="center"/>
          </w:tcPr>
          <w:p w14:paraId="31B184C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21.362</w:t>
            </w:r>
          </w:p>
        </w:tc>
        <w:tc>
          <w:tcPr>
            <w:tcW w:w="756" w:type="dxa"/>
            <w:tcBorders>
              <w:top w:val="nil"/>
              <w:left w:val="nil"/>
              <w:bottom w:val="nil"/>
              <w:right w:val="nil"/>
            </w:tcBorders>
            <w:shd w:val="clear" w:color="auto" w:fill="auto"/>
            <w:vAlign w:val="center"/>
          </w:tcPr>
          <w:p w14:paraId="1E64183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1.206</w:t>
            </w:r>
          </w:p>
        </w:tc>
        <w:tc>
          <w:tcPr>
            <w:tcW w:w="766" w:type="dxa"/>
            <w:tcBorders>
              <w:top w:val="nil"/>
              <w:left w:val="nil"/>
              <w:bottom w:val="nil"/>
              <w:right w:val="nil"/>
            </w:tcBorders>
            <w:shd w:val="clear" w:color="auto" w:fill="auto"/>
            <w:noWrap/>
            <w:vAlign w:val="center"/>
          </w:tcPr>
          <w:p w14:paraId="54A41B4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0.822</w:t>
            </w:r>
          </w:p>
        </w:tc>
      </w:tr>
      <w:tr w14:paraId="6CD57807">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5772A75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22" w:type="dxa"/>
            <w:tcBorders>
              <w:top w:val="nil"/>
              <w:left w:val="nil"/>
              <w:bottom w:val="nil"/>
              <w:right w:val="nil"/>
            </w:tcBorders>
            <w:shd w:val="clear" w:color="auto" w:fill="auto"/>
            <w:noWrap/>
            <w:vAlign w:val="center"/>
          </w:tcPr>
          <w:p w14:paraId="2EB955E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51" w:type="dxa"/>
            <w:tcBorders>
              <w:top w:val="nil"/>
              <w:left w:val="nil"/>
              <w:bottom w:val="nil"/>
              <w:right w:val="nil"/>
            </w:tcBorders>
            <w:shd w:val="clear" w:color="auto" w:fill="auto"/>
            <w:noWrap/>
            <w:vAlign w:val="center"/>
          </w:tcPr>
          <w:p w14:paraId="622ADBC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50" w:type="dxa"/>
            <w:tcBorders>
              <w:top w:val="nil"/>
              <w:left w:val="nil"/>
              <w:bottom w:val="nil"/>
              <w:right w:val="nil"/>
            </w:tcBorders>
            <w:shd w:val="clear" w:color="auto" w:fill="auto"/>
            <w:noWrap/>
            <w:vAlign w:val="center"/>
          </w:tcPr>
          <w:p w14:paraId="6C9A132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22" w:type="dxa"/>
            <w:tcBorders>
              <w:top w:val="nil"/>
              <w:left w:val="nil"/>
              <w:bottom w:val="nil"/>
              <w:right w:val="nil"/>
            </w:tcBorders>
          </w:tcPr>
          <w:p w14:paraId="0CB86A2B">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2D304D8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1.233</w:t>
            </w:r>
          </w:p>
        </w:tc>
        <w:tc>
          <w:tcPr>
            <w:tcW w:w="851" w:type="dxa"/>
            <w:tcBorders>
              <w:top w:val="nil"/>
              <w:left w:val="nil"/>
              <w:bottom w:val="nil"/>
              <w:right w:val="nil"/>
            </w:tcBorders>
            <w:shd w:val="clear" w:color="auto" w:fill="auto"/>
            <w:vAlign w:val="center"/>
          </w:tcPr>
          <w:p w14:paraId="379ADBA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6.338</w:t>
            </w:r>
          </w:p>
        </w:tc>
        <w:tc>
          <w:tcPr>
            <w:tcW w:w="992" w:type="dxa"/>
            <w:tcBorders>
              <w:top w:val="nil"/>
              <w:left w:val="nil"/>
              <w:bottom w:val="nil"/>
              <w:right w:val="nil"/>
            </w:tcBorders>
            <w:shd w:val="clear" w:color="auto" w:fill="auto"/>
            <w:vAlign w:val="center"/>
          </w:tcPr>
          <w:p w14:paraId="57F155E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3.887</w:t>
            </w:r>
          </w:p>
        </w:tc>
        <w:tc>
          <w:tcPr>
            <w:tcW w:w="913" w:type="dxa"/>
            <w:tcBorders>
              <w:top w:val="nil"/>
              <w:left w:val="nil"/>
              <w:bottom w:val="nil"/>
              <w:right w:val="nil"/>
            </w:tcBorders>
            <w:shd w:val="clear" w:color="auto" w:fill="auto"/>
            <w:vAlign w:val="center"/>
          </w:tcPr>
          <w:p w14:paraId="769AE35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26.052</w:t>
            </w:r>
          </w:p>
        </w:tc>
        <w:tc>
          <w:tcPr>
            <w:tcW w:w="756" w:type="dxa"/>
            <w:tcBorders>
              <w:top w:val="nil"/>
              <w:left w:val="nil"/>
              <w:bottom w:val="nil"/>
              <w:right w:val="nil"/>
            </w:tcBorders>
            <w:shd w:val="clear" w:color="auto" w:fill="auto"/>
            <w:vAlign w:val="center"/>
          </w:tcPr>
          <w:p w14:paraId="1AEF4E4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1.394</w:t>
            </w:r>
          </w:p>
        </w:tc>
        <w:tc>
          <w:tcPr>
            <w:tcW w:w="766" w:type="dxa"/>
            <w:tcBorders>
              <w:top w:val="nil"/>
              <w:left w:val="nil"/>
              <w:bottom w:val="nil"/>
              <w:right w:val="nil"/>
            </w:tcBorders>
            <w:shd w:val="clear" w:color="auto" w:fill="auto"/>
            <w:noWrap/>
            <w:vAlign w:val="center"/>
          </w:tcPr>
          <w:p w14:paraId="0567BD20">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0.743</w:t>
            </w:r>
          </w:p>
        </w:tc>
      </w:tr>
      <w:tr w14:paraId="2982ADB7">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45B8083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22" w:type="dxa"/>
            <w:tcBorders>
              <w:top w:val="nil"/>
              <w:left w:val="nil"/>
              <w:bottom w:val="nil"/>
              <w:right w:val="nil"/>
            </w:tcBorders>
            <w:shd w:val="clear" w:color="auto" w:fill="auto"/>
            <w:noWrap/>
            <w:vAlign w:val="center"/>
          </w:tcPr>
          <w:p w14:paraId="74097476">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51" w:type="dxa"/>
            <w:tcBorders>
              <w:top w:val="nil"/>
              <w:left w:val="nil"/>
              <w:bottom w:val="nil"/>
              <w:right w:val="nil"/>
            </w:tcBorders>
            <w:shd w:val="clear" w:color="auto" w:fill="auto"/>
            <w:noWrap/>
            <w:vAlign w:val="center"/>
          </w:tcPr>
          <w:p w14:paraId="3D7C715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50" w:type="dxa"/>
            <w:tcBorders>
              <w:top w:val="nil"/>
              <w:left w:val="nil"/>
              <w:bottom w:val="nil"/>
              <w:right w:val="nil"/>
            </w:tcBorders>
            <w:shd w:val="clear" w:color="auto" w:fill="auto"/>
            <w:noWrap/>
            <w:vAlign w:val="center"/>
          </w:tcPr>
          <w:p w14:paraId="455239A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22" w:type="dxa"/>
            <w:tcBorders>
              <w:top w:val="nil"/>
              <w:left w:val="nil"/>
              <w:bottom w:val="nil"/>
              <w:right w:val="nil"/>
            </w:tcBorders>
          </w:tcPr>
          <w:p w14:paraId="464534C2">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40DE8F8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1.303</w:t>
            </w:r>
          </w:p>
        </w:tc>
        <w:tc>
          <w:tcPr>
            <w:tcW w:w="851" w:type="dxa"/>
            <w:tcBorders>
              <w:top w:val="nil"/>
              <w:left w:val="nil"/>
              <w:bottom w:val="nil"/>
              <w:right w:val="nil"/>
            </w:tcBorders>
            <w:shd w:val="clear" w:color="auto" w:fill="auto"/>
            <w:vAlign w:val="center"/>
          </w:tcPr>
          <w:p w14:paraId="0BC0783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8.095</w:t>
            </w:r>
          </w:p>
        </w:tc>
        <w:tc>
          <w:tcPr>
            <w:tcW w:w="992" w:type="dxa"/>
            <w:tcBorders>
              <w:top w:val="nil"/>
              <w:left w:val="nil"/>
              <w:bottom w:val="nil"/>
              <w:right w:val="nil"/>
            </w:tcBorders>
            <w:shd w:val="clear" w:color="auto" w:fill="auto"/>
            <w:vAlign w:val="center"/>
          </w:tcPr>
          <w:p w14:paraId="0044D6F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4.586</w:t>
            </w:r>
          </w:p>
        </w:tc>
        <w:tc>
          <w:tcPr>
            <w:tcW w:w="913" w:type="dxa"/>
            <w:tcBorders>
              <w:top w:val="nil"/>
              <w:left w:val="nil"/>
              <w:bottom w:val="nil"/>
              <w:right w:val="nil"/>
            </w:tcBorders>
            <w:shd w:val="clear" w:color="auto" w:fill="auto"/>
            <w:vAlign w:val="center"/>
          </w:tcPr>
          <w:p w14:paraId="7E18B1F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23.738</w:t>
            </w:r>
          </w:p>
        </w:tc>
        <w:tc>
          <w:tcPr>
            <w:tcW w:w="756" w:type="dxa"/>
            <w:tcBorders>
              <w:top w:val="nil"/>
              <w:left w:val="nil"/>
              <w:bottom w:val="nil"/>
              <w:right w:val="nil"/>
            </w:tcBorders>
            <w:shd w:val="clear" w:color="auto" w:fill="auto"/>
            <w:vAlign w:val="center"/>
          </w:tcPr>
          <w:p w14:paraId="77C792C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0.758</w:t>
            </w:r>
          </w:p>
        </w:tc>
        <w:tc>
          <w:tcPr>
            <w:tcW w:w="766" w:type="dxa"/>
            <w:tcBorders>
              <w:top w:val="nil"/>
              <w:left w:val="nil"/>
              <w:bottom w:val="nil"/>
              <w:right w:val="nil"/>
            </w:tcBorders>
            <w:shd w:val="clear" w:color="auto" w:fill="auto"/>
            <w:noWrap/>
            <w:vAlign w:val="center"/>
          </w:tcPr>
          <w:p w14:paraId="456ADBB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0.712</w:t>
            </w:r>
          </w:p>
        </w:tc>
      </w:tr>
      <w:tr w14:paraId="4B171947">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2A49FFC9">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22" w:type="dxa"/>
            <w:tcBorders>
              <w:top w:val="nil"/>
              <w:left w:val="nil"/>
              <w:bottom w:val="nil"/>
              <w:right w:val="nil"/>
            </w:tcBorders>
            <w:shd w:val="clear" w:color="auto" w:fill="auto"/>
            <w:noWrap/>
            <w:vAlign w:val="center"/>
          </w:tcPr>
          <w:p w14:paraId="4A309AA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51" w:type="dxa"/>
            <w:tcBorders>
              <w:top w:val="nil"/>
              <w:left w:val="nil"/>
              <w:bottom w:val="nil"/>
              <w:right w:val="nil"/>
            </w:tcBorders>
            <w:shd w:val="clear" w:color="auto" w:fill="auto"/>
            <w:noWrap/>
            <w:vAlign w:val="center"/>
          </w:tcPr>
          <w:p w14:paraId="177CDF2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50" w:type="dxa"/>
            <w:tcBorders>
              <w:top w:val="nil"/>
              <w:left w:val="nil"/>
              <w:bottom w:val="nil"/>
              <w:right w:val="nil"/>
            </w:tcBorders>
            <w:shd w:val="clear" w:color="auto" w:fill="auto"/>
            <w:noWrap/>
            <w:vAlign w:val="center"/>
          </w:tcPr>
          <w:p w14:paraId="4F8421F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22" w:type="dxa"/>
            <w:tcBorders>
              <w:top w:val="nil"/>
              <w:left w:val="nil"/>
              <w:bottom w:val="nil"/>
              <w:right w:val="nil"/>
            </w:tcBorders>
          </w:tcPr>
          <w:p w14:paraId="3426F227">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5B15990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1.202</w:t>
            </w:r>
          </w:p>
        </w:tc>
        <w:tc>
          <w:tcPr>
            <w:tcW w:w="851" w:type="dxa"/>
            <w:tcBorders>
              <w:top w:val="nil"/>
              <w:left w:val="nil"/>
              <w:bottom w:val="nil"/>
              <w:right w:val="nil"/>
            </w:tcBorders>
            <w:shd w:val="clear" w:color="auto" w:fill="auto"/>
            <w:vAlign w:val="center"/>
          </w:tcPr>
          <w:p w14:paraId="46F4F72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7.759</w:t>
            </w:r>
          </w:p>
        </w:tc>
        <w:tc>
          <w:tcPr>
            <w:tcW w:w="992" w:type="dxa"/>
            <w:tcBorders>
              <w:top w:val="nil"/>
              <w:left w:val="nil"/>
              <w:bottom w:val="nil"/>
              <w:right w:val="nil"/>
            </w:tcBorders>
            <w:shd w:val="clear" w:color="auto" w:fill="auto"/>
            <w:vAlign w:val="center"/>
          </w:tcPr>
          <w:p w14:paraId="5E9A6CD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4.315</w:t>
            </w:r>
          </w:p>
        </w:tc>
        <w:tc>
          <w:tcPr>
            <w:tcW w:w="913" w:type="dxa"/>
            <w:tcBorders>
              <w:top w:val="nil"/>
              <w:left w:val="nil"/>
              <w:bottom w:val="nil"/>
              <w:right w:val="nil"/>
            </w:tcBorders>
            <w:shd w:val="clear" w:color="auto" w:fill="auto"/>
            <w:vAlign w:val="center"/>
          </w:tcPr>
          <w:p w14:paraId="4A81B4F9">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34.15</w:t>
            </w:r>
          </w:p>
        </w:tc>
        <w:tc>
          <w:tcPr>
            <w:tcW w:w="756" w:type="dxa"/>
            <w:tcBorders>
              <w:top w:val="nil"/>
              <w:left w:val="nil"/>
              <w:bottom w:val="nil"/>
              <w:right w:val="nil"/>
            </w:tcBorders>
            <w:shd w:val="clear" w:color="auto" w:fill="auto"/>
            <w:vAlign w:val="center"/>
          </w:tcPr>
          <w:p w14:paraId="5B551ACE">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1.001</w:t>
            </w:r>
          </w:p>
        </w:tc>
        <w:tc>
          <w:tcPr>
            <w:tcW w:w="766" w:type="dxa"/>
            <w:tcBorders>
              <w:top w:val="nil"/>
              <w:left w:val="nil"/>
              <w:bottom w:val="nil"/>
              <w:right w:val="nil"/>
            </w:tcBorders>
            <w:shd w:val="clear" w:color="auto" w:fill="auto"/>
            <w:noWrap/>
            <w:vAlign w:val="center"/>
          </w:tcPr>
          <w:p w14:paraId="51E17E8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0.739</w:t>
            </w:r>
          </w:p>
        </w:tc>
      </w:tr>
      <w:tr w14:paraId="50D6E711">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0A0A2E0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w:t>
            </w:r>
          </w:p>
        </w:tc>
        <w:tc>
          <w:tcPr>
            <w:tcW w:w="822" w:type="dxa"/>
            <w:tcBorders>
              <w:top w:val="nil"/>
              <w:left w:val="nil"/>
              <w:bottom w:val="nil"/>
              <w:right w:val="nil"/>
            </w:tcBorders>
            <w:shd w:val="clear" w:color="auto" w:fill="auto"/>
            <w:noWrap/>
            <w:vAlign w:val="center"/>
          </w:tcPr>
          <w:p w14:paraId="3118D7F9">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51" w:type="dxa"/>
            <w:tcBorders>
              <w:top w:val="nil"/>
              <w:left w:val="nil"/>
              <w:bottom w:val="nil"/>
              <w:right w:val="nil"/>
            </w:tcBorders>
            <w:shd w:val="clear" w:color="auto" w:fill="auto"/>
            <w:noWrap/>
            <w:vAlign w:val="center"/>
          </w:tcPr>
          <w:p w14:paraId="604FAD4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50" w:type="dxa"/>
            <w:tcBorders>
              <w:top w:val="nil"/>
              <w:left w:val="nil"/>
              <w:bottom w:val="nil"/>
              <w:right w:val="nil"/>
            </w:tcBorders>
            <w:shd w:val="clear" w:color="auto" w:fill="auto"/>
            <w:noWrap/>
            <w:vAlign w:val="center"/>
          </w:tcPr>
          <w:p w14:paraId="4FFA36E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22" w:type="dxa"/>
            <w:tcBorders>
              <w:top w:val="nil"/>
              <w:left w:val="nil"/>
              <w:bottom w:val="nil"/>
              <w:right w:val="nil"/>
            </w:tcBorders>
          </w:tcPr>
          <w:p w14:paraId="358DCE54">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74F6283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1.215</w:t>
            </w:r>
          </w:p>
        </w:tc>
        <w:tc>
          <w:tcPr>
            <w:tcW w:w="851" w:type="dxa"/>
            <w:tcBorders>
              <w:top w:val="nil"/>
              <w:left w:val="nil"/>
              <w:bottom w:val="nil"/>
              <w:right w:val="nil"/>
            </w:tcBorders>
            <w:shd w:val="clear" w:color="auto" w:fill="auto"/>
            <w:vAlign w:val="center"/>
          </w:tcPr>
          <w:p w14:paraId="446261E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7.452</w:t>
            </w:r>
          </w:p>
        </w:tc>
        <w:tc>
          <w:tcPr>
            <w:tcW w:w="992" w:type="dxa"/>
            <w:tcBorders>
              <w:top w:val="nil"/>
              <w:left w:val="nil"/>
              <w:bottom w:val="nil"/>
              <w:right w:val="nil"/>
            </w:tcBorders>
            <w:shd w:val="clear" w:color="auto" w:fill="auto"/>
            <w:vAlign w:val="center"/>
          </w:tcPr>
          <w:p w14:paraId="4D6BAAE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3.5</w:t>
            </w:r>
          </w:p>
        </w:tc>
        <w:tc>
          <w:tcPr>
            <w:tcW w:w="913" w:type="dxa"/>
            <w:tcBorders>
              <w:top w:val="nil"/>
              <w:left w:val="nil"/>
              <w:bottom w:val="nil"/>
              <w:right w:val="nil"/>
            </w:tcBorders>
            <w:shd w:val="clear" w:color="auto" w:fill="auto"/>
            <w:vAlign w:val="center"/>
          </w:tcPr>
          <w:p w14:paraId="696A5BB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27.957</w:t>
            </w:r>
          </w:p>
        </w:tc>
        <w:tc>
          <w:tcPr>
            <w:tcW w:w="756" w:type="dxa"/>
            <w:tcBorders>
              <w:top w:val="nil"/>
              <w:left w:val="nil"/>
              <w:bottom w:val="nil"/>
              <w:right w:val="nil"/>
            </w:tcBorders>
            <w:shd w:val="clear" w:color="auto" w:fill="auto"/>
            <w:vAlign w:val="center"/>
          </w:tcPr>
          <w:p w14:paraId="3A455F8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1.038</w:t>
            </w:r>
          </w:p>
        </w:tc>
        <w:tc>
          <w:tcPr>
            <w:tcW w:w="766" w:type="dxa"/>
            <w:tcBorders>
              <w:top w:val="nil"/>
              <w:left w:val="nil"/>
              <w:bottom w:val="nil"/>
              <w:right w:val="nil"/>
            </w:tcBorders>
            <w:shd w:val="clear" w:color="auto" w:fill="auto"/>
            <w:noWrap/>
            <w:vAlign w:val="center"/>
          </w:tcPr>
          <w:p w14:paraId="62AA575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0.686</w:t>
            </w:r>
          </w:p>
        </w:tc>
      </w:tr>
      <w:tr w14:paraId="6DB8FF6D">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40191B1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p>
        </w:tc>
        <w:tc>
          <w:tcPr>
            <w:tcW w:w="822" w:type="dxa"/>
            <w:tcBorders>
              <w:top w:val="nil"/>
              <w:left w:val="nil"/>
              <w:bottom w:val="nil"/>
              <w:right w:val="nil"/>
            </w:tcBorders>
            <w:shd w:val="clear" w:color="auto" w:fill="auto"/>
            <w:noWrap/>
            <w:vAlign w:val="center"/>
          </w:tcPr>
          <w:p w14:paraId="6C33669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51" w:type="dxa"/>
            <w:tcBorders>
              <w:top w:val="nil"/>
              <w:left w:val="nil"/>
              <w:bottom w:val="nil"/>
              <w:right w:val="nil"/>
            </w:tcBorders>
            <w:shd w:val="clear" w:color="auto" w:fill="auto"/>
            <w:noWrap/>
            <w:vAlign w:val="center"/>
          </w:tcPr>
          <w:p w14:paraId="7C09249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50" w:type="dxa"/>
            <w:tcBorders>
              <w:top w:val="nil"/>
              <w:left w:val="nil"/>
              <w:bottom w:val="nil"/>
              <w:right w:val="nil"/>
            </w:tcBorders>
            <w:shd w:val="clear" w:color="auto" w:fill="auto"/>
            <w:noWrap/>
            <w:vAlign w:val="center"/>
          </w:tcPr>
          <w:p w14:paraId="2C79451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22" w:type="dxa"/>
            <w:tcBorders>
              <w:top w:val="nil"/>
              <w:left w:val="nil"/>
              <w:bottom w:val="nil"/>
              <w:right w:val="nil"/>
            </w:tcBorders>
          </w:tcPr>
          <w:p w14:paraId="63DC1BE4">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2B8E77C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1.373</w:t>
            </w:r>
          </w:p>
        </w:tc>
        <w:tc>
          <w:tcPr>
            <w:tcW w:w="851" w:type="dxa"/>
            <w:tcBorders>
              <w:top w:val="nil"/>
              <w:left w:val="nil"/>
              <w:bottom w:val="nil"/>
              <w:right w:val="nil"/>
            </w:tcBorders>
            <w:shd w:val="clear" w:color="auto" w:fill="auto"/>
            <w:vAlign w:val="center"/>
          </w:tcPr>
          <w:p w14:paraId="1AB76D9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7.985</w:t>
            </w:r>
          </w:p>
        </w:tc>
        <w:tc>
          <w:tcPr>
            <w:tcW w:w="992" w:type="dxa"/>
            <w:tcBorders>
              <w:top w:val="nil"/>
              <w:left w:val="nil"/>
              <w:bottom w:val="nil"/>
              <w:right w:val="nil"/>
            </w:tcBorders>
            <w:shd w:val="clear" w:color="auto" w:fill="auto"/>
            <w:vAlign w:val="center"/>
          </w:tcPr>
          <w:p w14:paraId="4D21A0E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4.206</w:t>
            </w:r>
          </w:p>
        </w:tc>
        <w:tc>
          <w:tcPr>
            <w:tcW w:w="913" w:type="dxa"/>
            <w:tcBorders>
              <w:top w:val="nil"/>
              <w:left w:val="nil"/>
              <w:bottom w:val="nil"/>
              <w:right w:val="nil"/>
            </w:tcBorders>
            <w:shd w:val="clear" w:color="auto" w:fill="auto"/>
            <w:vAlign w:val="center"/>
          </w:tcPr>
          <w:p w14:paraId="7CDFB280">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26.626</w:t>
            </w:r>
          </w:p>
        </w:tc>
        <w:tc>
          <w:tcPr>
            <w:tcW w:w="756" w:type="dxa"/>
            <w:tcBorders>
              <w:top w:val="nil"/>
              <w:left w:val="nil"/>
              <w:bottom w:val="nil"/>
              <w:right w:val="nil"/>
            </w:tcBorders>
            <w:shd w:val="clear" w:color="auto" w:fill="auto"/>
            <w:vAlign w:val="center"/>
          </w:tcPr>
          <w:p w14:paraId="03D77FB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0.874</w:t>
            </w:r>
          </w:p>
        </w:tc>
        <w:tc>
          <w:tcPr>
            <w:tcW w:w="766" w:type="dxa"/>
            <w:tcBorders>
              <w:top w:val="nil"/>
              <w:left w:val="nil"/>
              <w:bottom w:val="nil"/>
              <w:right w:val="nil"/>
            </w:tcBorders>
            <w:shd w:val="clear" w:color="auto" w:fill="auto"/>
            <w:noWrap/>
            <w:vAlign w:val="center"/>
          </w:tcPr>
          <w:p w14:paraId="2583771E">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0.727</w:t>
            </w:r>
          </w:p>
        </w:tc>
      </w:tr>
      <w:tr w14:paraId="0A2D70DC">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3518A8F2">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w:t>
            </w:r>
          </w:p>
        </w:tc>
        <w:tc>
          <w:tcPr>
            <w:tcW w:w="822" w:type="dxa"/>
            <w:tcBorders>
              <w:top w:val="nil"/>
              <w:left w:val="nil"/>
              <w:bottom w:val="nil"/>
              <w:right w:val="nil"/>
            </w:tcBorders>
            <w:shd w:val="clear" w:color="auto" w:fill="auto"/>
            <w:noWrap/>
            <w:vAlign w:val="center"/>
          </w:tcPr>
          <w:p w14:paraId="5834E59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51" w:type="dxa"/>
            <w:tcBorders>
              <w:top w:val="nil"/>
              <w:left w:val="nil"/>
              <w:bottom w:val="nil"/>
              <w:right w:val="nil"/>
            </w:tcBorders>
            <w:shd w:val="clear" w:color="auto" w:fill="auto"/>
            <w:noWrap/>
            <w:vAlign w:val="center"/>
          </w:tcPr>
          <w:p w14:paraId="209F3EE6">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50" w:type="dxa"/>
            <w:tcBorders>
              <w:top w:val="nil"/>
              <w:left w:val="nil"/>
              <w:bottom w:val="nil"/>
              <w:right w:val="nil"/>
            </w:tcBorders>
            <w:shd w:val="clear" w:color="auto" w:fill="auto"/>
            <w:noWrap/>
            <w:vAlign w:val="center"/>
          </w:tcPr>
          <w:p w14:paraId="405E087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22" w:type="dxa"/>
            <w:tcBorders>
              <w:top w:val="nil"/>
              <w:left w:val="nil"/>
              <w:bottom w:val="nil"/>
              <w:right w:val="nil"/>
            </w:tcBorders>
          </w:tcPr>
          <w:p w14:paraId="53D113BA">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69857ADE">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1.15</w:t>
            </w:r>
          </w:p>
        </w:tc>
        <w:tc>
          <w:tcPr>
            <w:tcW w:w="851" w:type="dxa"/>
            <w:tcBorders>
              <w:top w:val="nil"/>
              <w:left w:val="nil"/>
              <w:bottom w:val="nil"/>
              <w:right w:val="nil"/>
            </w:tcBorders>
            <w:shd w:val="clear" w:color="auto" w:fill="auto"/>
            <w:vAlign w:val="center"/>
          </w:tcPr>
          <w:p w14:paraId="24909FA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7.674</w:t>
            </w:r>
          </w:p>
        </w:tc>
        <w:tc>
          <w:tcPr>
            <w:tcW w:w="992" w:type="dxa"/>
            <w:tcBorders>
              <w:top w:val="nil"/>
              <w:left w:val="nil"/>
              <w:bottom w:val="nil"/>
              <w:right w:val="nil"/>
            </w:tcBorders>
            <w:shd w:val="clear" w:color="auto" w:fill="auto"/>
            <w:vAlign w:val="center"/>
          </w:tcPr>
          <w:p w14:paraId="6A02773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4.068</w:t>
            </w:r>
          </w:p>
        </w:tc>
        <w:tc>
          <w:tcPr>
            <w:tcW w:w="913" w:type="dxa"/>
            <w:tcBorders>
              <w:top w:val="nil"/>
              <w:left w:val="nil"/>
              <w:bottom w:val="nil"/>
              <w:right w:val="nil"/>
            </w:tcBorders>
            <w:shd w:val="clear" w:color="auto" w:fill="auto"/>
            <w:vAlign w:val="center"/>
          </w:tcPr>
          <w:p w14:paraId="3B8ECB2E">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33.899</w:t>
            </w:r>
          </w:p>
        </w:tc>
        <w:tc>
          <w:tcPr>
            <w:tcW w:w="756" w:type="dxa"/>
            <w:tcBorders>
              <w:top w:val="nil"/>
              <w:left w:val="nil"/>
              <w:bottom w:val="nil"/>
              <w:right w:val="nil"/>
            </w:tcBorders>
            <w:shd w:val="clear" w:color="auto" w:fill="auto"/>
            <w:vAlign w:val="center"/>
          </w:tcPr>
          <w:p w14:paraId="3A302CB2">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1.015</w:t>
            </w:r>
          </w:p>
        </w:tc>
        <w:tc>
          <w:tcPr>
            <w:tcW w:w="766" w:type="dxa"/>
            <w:tcBorders>
              <w:top w:val="nil"/>
              <w:left w:val="nil"/>
              <w:bottom w:val="nil"/>
              <w:right w:val="nil"/>
            </w:tcBorders>
            <w:shd w:val="clear" w:color="auto" w:fill="auto"/>
            <w:noWrap/>
            <w:vAlign w:val="center"/>
          </w:tcPr>
          <w:p w14:paraId="2C3359E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0.722</w:t>
            </w:r>
          </w:p>
        </w:tc>
      </w:tr>
      <w:tr w14:paraId="406F4E99">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43587049">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w:t>
            </w:r>
          </w:p>
        </w:tc>
        <w:tc>
          <w:tcPr>
            <w:tcW w:w="822" w:type="dxa"/>
            <w:tcBorders>
              <w:top w:val="nil"/>
              <w:left w:val="nil"/>
              <w:bottom w:val="nil"/>
              <w:right w:val="nil"/>
            </w:tcBorders>
            <w:shd w:val="clear" w:color="auto" w:fill="auto"/>
            <w:noWrap/>
            <w:vAlign w:val="center"/>
          </w:tcPr>
          <w:p w14:paraId="0B11580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51" w:type="dxa"/>
            <w:tcBorders>
              <w:top w:val="nil"/>
              <w:left w:val="nil"/>
              <w:bottom w:val="nil"/>
              <w:right w:val="nil"/>
            </w:tcBorders>
            <w:shd w:val="clear" w:color="auto" w:fill="auto"/>
            <w:noWrap/>
            <w:vAlign w:val="center"/>
          </w:tcPr>
          <w:p w14:paraId="3C3427F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50" w:type="dxa"/>
            <w:tcBorders>
              <w:top w:val="nil"/>
              <w:left w:val="nil"/>
              <w:bottom w:val="nil"/>
              <w:right w:val="nil"/>
            </w:tcBorders>
            <w:shd w:val="clear" w:color="auto" w:fill="auto"/>
            <w:noWrap/>
            <w:vAlign w:val="center"/>
          </w:tcPr>
          <w:p w14:paraId="3F299C3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22" w:type="dxa"/>
            <w:tcBorders>
              <w:top w:val="nil"/>
              <w:left w:val="nil"/>
              <w:bottom w:val="nil"/>
              <w:right w:val="nil"/>
            </w:tcBorders>
          </w:tcPr>
          <w:p w14:paraId="465B2942">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3B140DE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1.311</w:t>
            </w:r>
          </w:p>
        </w:tc>
        <w:tc>
          <w:tcPr>
            <w:tcW w:w="851" w:type="dxa"/>
            <w:tcBorders>
              <w:top w:val="nil"/>
              <w:left w:val="nil"/>
              <w:bottom w:val="nil"/>
              <w:right w:val="nil"/>
            </w:tcBorders>
            <w:shd w:val="clear" w:color="auto" w:fill="auto"/>
            <w:vAlign w:val="center"/>
          </w:tcPr>
          <w:p w14:paraId="495631D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7.22</w:t>
            </w:r>
          </w:p>
        </w:tc>
        <w:tc>
          <w:tcPr>
            <w:tcW w:w="992" w:type="dxa"/>
            <w:tcBorders>
              <w:top w:val="nil"/>
              <w:left w:val="nil"/>
              <w:bottom w:val="nil"/>
              <w:right w:val="nil"/>
            </w:tcBorders>
            <w:shd w:val="clear" w:color="auto" w:fill="auto"/>
            <w:vAlign w:val="center"/>
          </w:tcPr>
          <w:p w14:paraId="0C3BF7B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3.752</w:t>
            </w:r>
          </w:p>
        </w:tc>
        <w:tc>
          <w:tcPr>
            <w:tcW w:w="913" w:type="dxa"/>
            <w:tcBorders>
              <w:top w:val="nil"/>
              <w:left w:val="nil"/>
              <w:bottom w:val="nil"/>
              <w:right w:val="nil"/>
            </w:tcBorders>
            <w:shd w:val="clear" w:color="auto" w:fill="auto"/>
            <w:vAlign w:val="center"/>
          </w:tcPr>
          <w:p w14:paraId="1B8FFA2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16.08</w:t>
            </w:r>
          </w:p>
        </w:tc>
        <w:tc>
          <w:tcPr>
            <w:tcW w:w="756" w:type="dxa"/>
            <w:tcBorders>
              <w:top w:val="nil"/>
              <w:left w:val="nil"/>
              <w:bottom w:val="nil"/>
              <w:right w:val="nil"/>
            </w:tcBorders>
            <w:shd w:val="clear" w:color="auto" w:fill="auto"/>
            <w:vAlign w:val="center"/>
          </w:tcPr>
          <w:p w14:paraId="5710F34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0.667</w:t>
            </w:r>
          </w:p>
        </w:tc>
        <w:tc>
          <w:tcPr>
            <w:tcW w:w="766" w:type="dxa"/>
            <w:tcBorders>
              <w:top w:val="nil"/>
              <w:left w:val="nil"/>
              <w:bottom w:val="nil"/>
              <w:right w:val="nil"/>
            </w:tcBorders>
            <w:shd w:val="clear" w:color="auto" w:fill="auto"/>
            <w:noWrap/>
            <w:vAlign w:val="center"/>
          </w:tcPr>
          <w:p w14:paraId="25658E4E">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0.634</w:t>
            </w:r>
          </w:p>
        </w:tc>
      </w:tr>
      <w:tr w14:paraId="60FA5D86">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33665A70">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w:t>
            </w:r>
          </w:p>
        </w:tc>
        <w:tc>
          <w:tcPr>
            <w:tcW w:w="822" w:type="dxa"/>
            <w:tcBorders>
              <w:top w:val="nil"/>
              <w:left w:val="nil"/>
              <w:bottom w:val="nil"/>
              <w:right w:val="nil"/>
            </w:tcBorders>
            <w:shd w:val="clear" w:color="auto" w:fill="auto"/>
            <w:noWrap/>
            <w:vAlign w:val="center"/>
          </w:tcPr>
          <w:p w14:paraId="2A57766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51" w:type="dxa"/>
            <w:tcBorders>
              <w:top w:val="nil"/>
              <w:left w:val="nil"/>
              <w:bottom w:val="nil"/>
              <w:right w:val="nil"/>
            </w:tcBorders>
            <w:shd w:val="clear" w:color="auto" w:fill="auto"/>
            <w:noWrap/>
            <w:vAlign w:val="center"/>
          </w:tcPr>
          <w:p w14:paraId="323CFFD6">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50" w:type="dxa"/>
            <w:tcBorders>
              <w:top w:val="nil"/>
              <w:left w:val="nil"/>
              <w:bottom w:val="nil"/>
              <w:right w:val="nil"/>
            </w:tcBorders>
            <w:shd w:val="clear" w:color="auto" w:fill="auto"/>
            <w:noWrap/>
            <w:vAlign w:val="center"/>
          </w:tcPr>
          <w:p w14:paraId="2767718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22" w:type="dxa"/>
            <w:tcBorders>
              <w:top w:val="nil"/>
              <w:left w:val="nil"/>
              <w:bottom w:val="nil"/>
              <w:right w:val="nil"/>
            </w:tcBorders>
          </w:tcPr>
          <w:p w14:paraId="36889932">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4F2494C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1.279</w:t>
            </w:r>
          </w:p>
        </w:tc>
        <w:tc>
          <w:tcPr>
            <w:tcW w:w="851" w:type="dxa"/>
            <w:tcBorders>
              <w:top w:val="nil"/>
              <w:left w:val="nil"/>
              <w:bottom w:val="nil"/>
              <w:right w:val="nil"/>
            </w:tcBorders>
            <w:shd w:val="clear" w:color="auto" w:fill="auto"/>
            <w:vAlign w:val="center"/>
          </w:tcPr>
          <w:p w14:paraId="51034C6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6.501</w:t>
            </w:r>
          </w:p>
        </w:tc>
        <w:tc>
          <w:tcPr>
            <w:tcW w:w="992" w:type="dxa"/>
            <w:tcBorders>
              <w:top w:val="nil"/>
              <w:left w:val="nil"/>
              <w:bottom w:val="nil"/>
              <w:right w:val="nil"/>
            </w:tcBorders>
            <w:shd w:val="clear" w:color="auto" w:fill="auto"/>
            <w:vAlign w:val="center"/>
          </w:tcPr>
          <w:p w14:paraId="1337112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4.317</w:t>
            </w:r>
          </w:p>
        </w:tc>
        <w:tc>
          <w:tcPr>
            <w:tcW w:w="913" w:type="dxa"/>
            <w:tcBorders>
              <w:top w:val="nil"/>
              <w:left w:val="nil"/>
              <w:bottom w:val="nil"/>
              <w:right w:val="nil"/>
            </w:tcBorders>
            <w:shd w:val="clear" w:color="auto" w:fill="auto"/>
            <w:vAlign w:val="center"/>
          </w:tcPr>
          <w:p w14:paraId="59D1565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25.891</w:t>
            </w:r>
          </w:p>
        </w:tc>
        <w:tc>
          <w:tcPr>
            <w:tcW w:w="756" w:type="dxa"/>
            <w:tcBorders>
              <w:top w:val="nil"/>
              <w:left w:val="nil"/>
              <w:bottom w:val="nil"/>
              <w:right w:val="nil"/>
            </w:tcBorders>
            <w:shd w:val="clear" w:color="auto" w:fill="auto"/>
            <w:vAlign w:val="center"/>
          </w:tcPr>
          <w:p w14:paraId="6F39066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0.703</w:t>
            </w:r>
          </w:p>
        </w:tc>
        <w:tc>
          <w:tcPr>
            <w:tcW w:w="766" w:type="dxa"/>
            <w:tcBorders>
              <w:top w:val="nil"/>
              <w:left w:val="nil"/>
              <w:bottom w:val="nil"/>
              <w:right w:val="nil"/>
            </w:tcBorders>
            <w:shd w:val="clear" w:color="auto" w:fill="auto"/>
            <w:noWrap/>
            <w:vAlign w:val="center"/>
          </w:tcPr>
          <w:p w14:paraId="487F3D6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0.653</w:t>
            </w:r>
          </w:p>
        </w:tc>
      </w:tr>
      <w:tr w14:paraId="3C0E407E">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259DC8E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w:t>
            </w:r>
          </w:p>
        </w:tc>
        <w:tc>
          <w:tcPr>
            <w:tcW w:w="822" w:type="dxa"/>
            <w:tcBorders>
              <w:top w:val="nil"/>
              <w:left w:val="nil"/>
              <w:bottom w:val="nil"/>
              <w:right w:val="nil"/>
            </w:tcBorders>
            <w:shd w:val="clear" w:color="auto" w:fill="auto"/>
            <w:noWrap/>
            <w:vAlign w:val="center"/>
          </w:tcPr>
          <w:p w14:paraId="267EC7F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51" w:type="dxa"/>
            <w:tcBorders>
              <w:top w:val="nil"/>
              <w:left w:val="nil"/>
              <w:bottom w:val="nil"/>
              <w:right w:val="nil"/>
            </w:tcBorders>
            <w:shd w:val="clear" w:color="auto" w:fill="auto"/>
            <w:noWrap/>
            <w:vAlign w:val="center"/>
          </w:tcPr>
          <w:p w14:paraId="5961F8D6">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50" w:type="dxa"/>
            <w:tcBorders>
              <w:top w:val="nil"/>
              <w:left w:val="nil"/>
              <w:bottom w:val="nil"/>
              <w:right w:val="nil"/>
            </w:tcBorders>
            <w:shd w:val="clear" w:color="auto" w:fill="auto"/>
            <w:noWrap/>
            <w:vAlign w:val="center"/>
          </w:tcPr>
          <w:p w14:paraId="5692D66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22" w:type="dxa"/>
            <w:tcBorders>
              <w:top w:val="nil"/>
              <w:left w:val="nil"/>
              <w:bottom w:val="nil"/>
              <w:right w:val="nil"/>
            </w:tcBorders>
          </w:tcPr>
          <w:p w14:paraId="5B628DF9">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42A9CE7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1.413</w:t>
            </w:r>
          </w:p>
        </w:tc>
        <w:tc>
          <w:tcPr>
            <w:tcW w:w="851" w:type="dxa"/>
            <w:tcBorders>
              <w:top w:val="nil"/>
              <w:left w:val="nil"/>
              <w:bottom w:val="nil"/>
              <w:right w:val="nil"/>
            </w:tcBorders>
            <w:shd w:val="clear" w:color="auto" w:fill="auto"/>
            <w:vAlign w:val="center"/>
          </w:tcPr>
          <w:p w14:paraId="7ABE021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7.868</w:t>
            </w:r>
          </w:p>
        </w:tc>
        <w:tc>
          <w:tcPr>
            <w:tcW w:w="992" w:type="dxa"/>
            <w:tcBorders>
              <w:top w:val="nil"/>
              <w:left w:val="nil"/>
              <w:bottom w:val="nil"/>
              <w:right w:val="nil"/>
            </w:tcBorders>
            <w:shd w:val="clear" w:color="auto" w:fill="auto"/>
            <w:vAlign w:val="center"/>
          </w:tcPr>
          <w:p w14:paraId="3D8C62A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3.726</w:t>
            </w:r>
          </w:p>
        </w:tc>
        <w:tc>
          <w:tcPr>
            <w:tcW w:w="913" w:type="dxa"/>
            <w:tcBorders>
              <w:top w:val="nil"/>
              <w:left w:val="nil"/>
              <w:bottom w:val="nil"/>
              <w:right w:val="nil"/>
            </w:tcBorders>
            <w:shd w:val="clear" w:color="auto" w:fill="auto"/>
            <w:vAlign w:val="center"/>
          </w:tcPr>
          <w:p w14:paraId="594756B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39.695</w:t>
            </w:r>
          </w:p>
        </w:tc>
        <w:tc>
          <w:tcPr>
            <w:tcW w:w="756" w:type="dxa"/>
            <w:tcBorders>
              <w:top w:val="nil"/>
              <w:left w:val="nil"/>
              <w:bottom w:val="nil"/>
              <w:right w:val="nil"/>
            </w:tcBorders>
            <w:shd w:val="clear" w:color="auto" w:fill="auto"/>
            <w:vAlign w:val="center"/>
          </w:tcPr>
          <w:p w14:paraId="4271127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0.643</w:t>
            </w:r>
          </w:p>
        </w:tc>
        <w:tc>
          <w:tcPr>
            <w:tcW w:w="766" w:type="dxa"/>
            <w:tcBorders>
              <w:top w:val="nil"/>
              <w:left w:val="nil"/>
              <w:bottom w:val="nil"/>
              <w:right w:val="nil"/>
            </w:tcBorders>
            <w:shd w:val="clear" w:color="auto" w:fill="auto"/>
            <w:noWrap/>
            <w:vAlign w:val="center"/>
          </w:tcPr>
          <w:p w14:paraId="4639334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0.771</w:t>
            </w:r>
          </w:p>
        </w:tc>
      </w:tr>
      <w:tr w14:paraId="70C2B5F6">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72E825D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w:t>
            </w:r>
          </w:p>
        </w:tc>
        <w:tc>
          <w:tcPr>
            <w:tcW w:w="822" w:type="dxa"/>
            <w:tcBorders>
              <w:top w:val="nil"/>
              <w:left w:val="nil"/>
              <w:bottom w:val="nil"/>
              <w:right w:val="nil"/>
            </w:tcBorders>
            <w:shd w:val="clear" w:color="auto" w:fill="auto"/>
            <w:noWrap/>
            <w:vAlign w:val="center"/>
          </w:tcPr>
          <w:p w14:paraId="4EAF6CB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51" w:type="dxa"/>
            <w:tcBorders>
              <w:top w:val="nil"/>
              <w:left w:val="nil"/>
              <w:bottom w:val="nil"/>
              <w:right w:val="nil"/>
            </w:tcBorders>
            <w:shd w:val="clear" w:color="auto" w:fill="auto"/>
            <w:noWrap/>
            <w:vAlign w:val="center"/>
          </w:tcPr>
          <w:p w14:paraId="03D4BD1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50" w:type="dxa"/>
            <w:tcBorders>
              <w:top w:val="nil"/>
              <w:left w:val="nil"/>
              <w:bottom w:val="nil"/>
              <w:right w:val="nil"/>
            </w:tcBorders>
            <w:shd w:val="clear" w:color="auto" w:fill="auto"/>
            <w:noWrap/>
            <w:vAlign w:val="center"/>
          </w:tcPr>
          <w:p w14:paraId="399C531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22" w:type="dxa"/>
            <w:tcBorders>
              <w:top w:val="nil"/>
              <w:left w:val="nil"/>
              <w:bottom w:val="nil"/>
              <w:right w:val="nil"/>
            </w:tcBorders>
          </w:tcPr>
          <w:p w14:paraId="3E30F163">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35EDBEF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1.405</w:t>
            </w:r>
          </w:p>
        </w:tc>
        <w:tc>
          <w:tcPr>
            <w:tcW w:w="851" w:type="dxa"/>
            <w:tcBorders>
              <w:top w:val="nil"/>
              <w:left w:val="nil"/>
              <w:bottom w:val="nil"/>
              <w:right w:val="nil"/>
            </w:tcBorders>
            <w:shd w:val="clear" w:color="auto" w:fill="auto"/>
            <w:vAlign w:val="center"/>
          </w:tcPr>
          <w:p w14:paraId="4066AA7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6.896</w:t>
            </w:r>
          </w:p>
        </w:tc>
        <w:tc>
          <w:tcPr>
            <w:tcW w:w="992" w:type="dxa"/>
            <w:tcBorders>
              <w:top w:val="nil"/>
              <w:left w:val="nil"/>
              <w:bottom w:val="nil"/>
              <w:right w:val="nil"/>
            </w:tcBorders>
            <w:shd w:val="clear" w:color="auto" w:fill="auto"/>
            <w:vAlign w:val="center"/>
          </w:tcPr>
          <w:p w14:paraId="7A6F7F6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3.754</w:t>
            </w:r>
          </w:p>
        </w:tc>
        <w:tc>
          <w:tcPr>
            <w:tcW w:w="913" w:type="dxa"/>
            <w:tcBorders>
              <w:top w:val="nil"/>
              <w:left w:val="nil"/>
              <w:bottom w:val="nil"/>
              <w:right w:val="nil"/>
            </w:tcBorders>
            <w:shd w:val="clear" w:color="auto" w:fill="auto"/>
            <w:vAlign w:val="center"/>
          </w:tcPr>
          <w:p w14:paraId="651BCF5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27.13</w:t>
            </w:r>
          </w:p>
        </w:tc>
        <w:tc>
          <w:tcPr>
            <w:tcW w:w="756" w:type="dxa"/>
            <w:tcBorders>
              <w:top w:val="nil"/>
              <w:left w:val="nil"/>
              <w:bottom w:val="nil"/>
              <w:right w:val="nil"/>
            </w:tcBorders>
            <w:shd w:val="clear" w:color="auto" w:fill="auto"/>
            <w:vAlign w:val="center"/>
          </w:tcPr>
          <w:p w14:paraId="7FB0F8EE">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0.632</w:t>
            </w:r>
          </w:p>
        </w:tc>
        <w:tc>
          <w:tcPr>
            <w:tcW w:w="766" w:type="dxa"/>
            <w:tcBorders>
              <w:top w:val="nil"/>
              <w:left w:val="nil"/>
              <w:bottom w:val="nil"/>
              <w:right w:val="nil"/>
            </w:tcBorders>
            <w:shd w:val="clear" w:color="auto" w:fill="auto"/>
            <w:noWrap/>
            <w:vAlign w:val="center"/>
          </w:tcPr>
          <w:p w14:paraId="0E77FACD">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0.670</w:t>
            </w:r>
          </w:p>
        </w:tc>
      </w:tr>
      <w:tr w14:paraId="6EC10557">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05DDDFD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w:t>
            </w:r>
          </w:p>
        </w:tc>
        <w:tc>
          <w:tcPr>
            <w:tcW w:w="822" w:type="dxa"/>
            <w:tcBorders>
              <w:top w:val="nil"/>
              <w:left w:val="nil"/>
              <w:bottom w:val="nil"/>
              <w:right w:val="nil"/>
            </w:tcBorders>
            <w:shd w:val="clear" w:color="auto" w:fill="auto"/>
            <w:noWrap/>
            <w:vAlign w:val="center"/>
          </w:tcPr>
          <w:p w14:paraId="59ABD8B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51" w:type="dxa"/>
            <w:tcBorders>
              <w:top w:val="nil"/>
              <w:left w:val="nil"/>
              <w:bottom w:val="nil"/>
              <w:right w:val="nil"/>
            </w:tcBorders>
            <w:shd w:val="clear" w:color="auto" w:fill="auto"/>
            <w:noWrap/>
            <w:vAlign w:val="center"/>
          </w:tcPr>
          <w:p w14:paraId="48A0CCA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50" w:type="dxa"/>
            <w:tcBorders>
              <w:top w:val="nil"/>
              <w:left w:val="nil"/>
              <w:bottom w:val="nil"/>
              <w:right w:val="nil"/>
            </w:tcBorders>
            <w:shd w:val="clear" w:color="auto" w:fill="auto"/>
            <w:noWrap/>
            <w:vAlign w:val="center"/>
          </w:tcPr>
          <w:p w14:paraId="3F4C47F0">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22" w:type="dxa"/>
            <w:tcBorders>
              <w:top w:val="nil"/>
              <w:left w:val="nil"/>
              <w:bottom w:val="nil"/>
              <w:right w:val="nil"/>
            </w:tcBorders>
          </w:tcPr>
          <w:p w14:paraId="37177305">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067A0540">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1.338</w:t>
            </w:r>
          </w:p>
        </w:tc>
        <w:tc>
          <w:tcPr>
            <w:tcW w:w="851" w:type="dxa"/>
            <w:tcBorders>
              <w:top w:val="nil"/>
              <w:left w:val="nil"/>
              <w:bottom w:val="nil"/>
              <w:right w:val="nil"/>
            </w:tcBorders>
            <w:shd w:val="clear" w:color="auto" w:fill="auto"/>
            <w:vAlign w:val="center"/>
          </w:tcPr>
          <w:p w14:paraId="0257461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7.92</w:t>
            </w:r>
          </w:p>
        </w:tc>
        <w:tc>
          <w:tcPr>
            <w:tcW w:w="992" w:type="dxa"/>
            <w:tcBorders>
              <w:top w:val="nil"/>
              <w:left w:val="nil"/>
              <w:bottom w:val="nil"/>
              <w:right w:val="nil"/>
            </w:tcBorders>
            <w:shd w:val="clear" w:color="auto" w:fill="auto"/>
            <w:vAlign w:val="center"/>
          </w:tcPr>
          <w:p w14:paraId="5BA8542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3.322</w:t>
            </w:r>
          </w:p>
        </w:tc>
        <w:tc>
          <w:tcPr>
            <w:tcW w:w="913" w:type="dxa"/>
            <w:tcBorders>
              <w:top w:val="nil"/>
              <w:left w:val="nil"/>
              <w:bottom w:val="nil"/>
              <w:right w:val="nil"/>
            </w:tcBorders>
            <w:shd w:val="clear" w:color="auto" w:fill="auto"/>
            <w:vAlign w:val="center"/>
          </w:tcPr>
          <w:p w14:paraId="3384F936">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27.579</w:t>
            </w:r>
          </w:p>
        </w:tc>
        <w:tc>
          <w:tcPr>
            <w:tcW w:w="756" w:type="dxa"/>
            <w:tcBorders>
              <w:top w:val="nil"/>
              <w:left w:val="nil"/>
              <w:bottom w:val="nil"/>
              <w:right w:val="nil"/>
            </w:tcBorders>
            <w:shd w:val="clear" w:color="auto" w:fill="auto"/>
            <w:vAlign w:val="center"/>
          </w:tcPr>
          <w:p w14:paraId="060816B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0.688</w:t>
            </w:r>
          </w:p>
        </w:tc>
        <w:tc>
          <w:tcPr>
            <w:tcW w:w="766" w:type="dxa"/>
            <w:tcBorders>
              <w:top w:val="nil"/>
              <w:left w:val="nil"/>
              <w:bottom w:val="nil"/>
              <w:right w:val="nil"/>
            </w:tcBorders>
            <w:shd w:val="clear" w:color="auto" w:fill="auto"/>
            <w:noWrap/>
            <w:vAlign w:val="center"/>
          </w:tcPr>
          <w:p w14:paraId="52B07A2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0.683</w:t>
            </w:r>
          </w:p>
        </w:tc>
      </w:tr>
      <w:tr w14:paraId="509515CA">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502C5F5E">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w:t>
            </w:r>
          </w:p>
        </w:tc>
        <w:tc>
          <w:tcPr>
            <w:tcW w:w="822" w:type="dxa"/>
            <w:tcBorders>
              <w:top w:val="nil"/>
              <w:left w:val="nil"/>
              <w:bottom w:val="nil"/>
              <w:right w:val="nil"/>
            </w:tcBorders>
            <w:shd w:val="clear" w:color="auto" w:fill="auto"/>
            <w:noWrap/>
            <w:vAlign w:val="center"/>
          </w:tcPr>
          <w:p w14:paraId="016E5C2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51" w:type="dxa"/>
            <w:tcBorders>
              <w:top w:val="nil"/>
              <w:left w:val="nil"/>
              <w:bottom w:val="nil"/>
              <w:right w:val="nil"/>
            </w:tcBorders>
            <w:shd w:val="clear" w:color="auto" w:fill="auto"/>
            <w:noWrap/>
            <w:vAlign w:val="center"/>
          </w:tcPr>
          <w:p w14:paraId="5E2E6D02">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850" w:type="dxa"/>
            <w:tcBorders>
              <w:top w:val="nil"/>
              <w:left w:val="nil"/>
              <w:bottom w:val="nil"/>
              <w:right w:val="nil"/>
            </w:tcBorders>
            <w:shd w:val="clear" w:color="auto" w:fill="auto"/>
            <w:noWrap/>
            <w:vAlign w:val="center"/>
          </w:tcPr>
          <w:p w14:paraId="51CF090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22" w:type="dxa"/>
            <w:tcBorders>
              <w:top w:val="nil"/>
              <w:left w:val="nil"/>
              <w:bottom w:val="nil"/>
              <w:right w:val="nil"/>
            </w:tcBorders>
          </w:tcPr>
          <w:p w14:paraId="14225E4C">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480E9FD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1.144</w:t>
            </w:r>
          </w:p>
        </w:tc>
        <w:tc>
          <w:tcPr>
            <w:tcW w:w="851" w:type="dxa"/>
            <w:tcBorders>
              <w:top w:val="nil"/>
              <w:left w:val="nil"/>
              <w:bottom w:val="nil"/>
              <w:right w:val="nil"/>
            </w:tcBorders>
            <w:shd w:val="clear" w:color="auto" w:fill="auto"/>
            <w:vAlign w:val="center"/>
          </w:tcPr>
          <w:p w14:paraId="1EA933A2">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6.925</w:t>
            </w:r>
          </w:p>
        </w:tc>
        <w:tc>
          <w:tcPr>
            <w:tcW w:w="992" w:type="dxa"/>
            <w:tcBorders>
              <w:top w:val="nil"/>
              <w:left w:val="nil"/>
              <w:bottom w:val="nil"/>
              <w:right w:val="nil"/>
            </w:tcBorders>
            <w:shd w:val="clear" w:color="auto" w:fill="auto"/>
            <w:vAlign w:val="center"/>
          </w:tcPr>
          <w:p w14:paraId="16C8BEE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3.149</w:t>
            </w:r>
          </w:p>
        </w:tc>
        <w:tc>
          <w:tcPr>
            <w:tcW w:w="913" w:type="dxa"/>
            <w:tcBorders>
              <w:top w:val="nil"/>
              <w:left w:val="nil"/>
              <w:bottom w:val="nil"/>
              <w:right w:val="nil"/>
            </w:tcBorders>
            <w:shd w:val="clear" w:color="auto" w:fill="auto"/>
            <w:vAlign w:val="center"/>
          </w:tcPr>
          <w:p w14:paraId="402F3BD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41.254</w:t>
            </w:r>
          </w:p>
        </w:tc>
        <w:tc>
          <w:tcPr>
            <w:tcW w:w="756" w:type="dxa"/>
            <w:tcBorders>
              <w:top w:val="nil"/>
              <w:left w:val="nil"/>
              <w:bottom w:val="nil"/>
              <w:right w:val="nil"/>
            </w:tcBorders>
            <w:shd w:val="clear" w:color="auto" w:fill="auto"/>
            <w:vAlign w:val="center"/>
          </w:tcPr>
          <w:p w14:paraId="509CBCD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0.686</w:t>
            </w:r>
          </w:p>
        </w:tc>
        <w:tc>
          <w:tcPr>
            <w:tcW w:w="766" w:type="dxa"/>
            <w:tcBorders>
              <w:top w:val="nil"/>
              <w:left w:val="nil"/>
              <w:bottom w:val="nil"/>
              <w:right w:val="nil"/>
            </w:tcBorders>
            <w:shd w:val="clear" w:color="auto" w:fill="auto"/>
            <w:noWrap/>
            <w:vAlign w:val="center"/>
          </w:tcPr>
          <w:p w14:paraId="52DB5CF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0.701</w:t>
            </w:r>
          </w:p>
        </w:tc>
      </w:tr>
      <w:tr w14:paraId="353B3514">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27FA846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14</w:t>
            </w:r>
          </w:p>
        </w:tc>
        <w:tc>
          <w:tcPr>
            <w:tcW w:w="822" w:type="dxa"/>
            <w:tcBorders>
              <w:top w:val="nil"/>
              <w:left w:val="nil"/>
              <w:bottom w:val="nil"/>
              <w:right w:val="nil"/>
            </w:tcBorders>
            <w:shd w:val="clear" w:color="auto" w:fill="auto"/>
            <w:noWrap/>
            <w:vAlign w:val="center"/>
          </w:tcPr>
          <w:p w14:paraId="2EB88D3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51" w:type="dxa"/>
            <w:tcBorders>
              <w:top w:val="nil"/>
              <w:left w:val="nil"/>
              <w:bottom w:val="nil"/>
              <w:right w:val="nil"/>
            </w:tcBorders>
            <w:shd w:val="clear" w:color="auto" w:fill="auto"/>
            <w:noWrap/>
            <w:vAlign w:val="center"/>
          </w:tcPr>
          <w:p w14:paraId="49FEF2C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850" w:type="dxa"/>
            <w:tcBorders>
              <w:top w:val="nil"/>
              <w:left w:val="nil"/>
              <w:bottom w:val="nil"/>
              <w:right w:val="nil"/>
            </w:tcBorders>
            <w:shd w:val="clear" w:color="auto" w:fill="auto"/>
            <w:noWrap/>
            <w:vAlign w:val="center"/>
          </w:tcPr>
          <w:p w14:paraId="11F9A03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22" w:type="dxa"/>
            <w:tcBorders>
              <w:top w:val="nil"/>
              <w:left w:val="nil"/>
              <w:bottom w:val="nil"/>
              <w:right w:val="nil"/>
            </w:tcBorders>
          </w:tcPr>
          <w:p w14:paraId="4A6B8390">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6E99AF0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1.287</w:t>
            </w:r>
          </w:p>
        </w:tc>
        <w:tc>
          <w:tcPr>
            <w:tcW w:w="851" w:type="dxa"/>
            <w:tcBorders>
              <w:top w:val="nil"/>
              <w:left w:val="nil"/>
              <w:bottom w:val="nil"/>
              <w:right w:val="nil"/>
            </w:tcBorders>
            <w:shd w:val="clear" w:color="auto" w:fill="auto"/>
            <w:vAlign w:val="center"/>
          </w:tcPr>
          <w:p w14:paraId="3F33EBB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7.813</w:t>
            </w:r>
          </w:p>
        </w:tc>
        <w:tc>
          <w:tcPr>
            <w:tcW w:w="992" w:type="dxa"/>
            <w:tcBorders>
              <w:top w:val="nil"/>
              <w:left w:val="nil"/>
              <w:bottom w:val="nil"/>
              <w:right w:val="nil"/>
            </w:tcBorders>
            <w:shd w:val="clear" w:color="auto" w:fill="auto"/>
            <w:vAlign w:val="center"/>
          </w:tcPr>
          <w:p w14:paraId="689F3DD2">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3.731</w:t>
            </w:r>
          </w:p>
        </w:tc>
        <w:tc>
          <w:tcPr>
            <w:tcW w:w="913" w:type="dxa"/>
            <w:tcBorders>
              <w:top w:val="nil"/>
              <w:left w:val="nil"/>
              <w:bottom w:val="nil"/>
              <w:right w:val="nil"/>
            </w:tcBorders>
            <w:shd w:val="clear" w:color="auto" w:fill="auto"/>
            <w:vAlign w:val="center"/>
          </w:tcPr>
          <w:p w14:paraId="28A864C7">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22.335</w:t>
            </w:r>
          </w:p>
        </w:tc>
        <w:tc>
          <w:tcPr>
            <w:tcW w:w="756" w:type="dxa"/>
            <w:tcBorders>
              <w:top w:val="nil"/>
              <w:left w:val="nil"/>
              <w:bottom w:val="nil"/>
              <w:right w:val="nil"/>
            </w:tcBorders>
            <w:shd w:val="clear" w:color="auto" w:fill="auto"/>
            <w:vAlign w:val="center"/>
          </w:tcPr>
          <w:p w14:paraId="79B3AE9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0.427</w:t>
            </w:r>
          </w:p>
        </w:tc>
        <w:tc>
          <w:tcPr>
            <w:tcW w:w="766" w:type="dxa"/>
            <w:tcBorders>
              <w:top w:val="nil"/>
              <w:left w:val="nil"/>
              <w:bottom w:val="nil"/>
              <w:right w:val="nil"/>
            </w:tcBorders>
            <w:shd w:val="clear" w:color="auto" w:fill="auto"/>
            <w:noWrap/>
            <w:vAlign w:val="center"/>
          </w:tcPr>
          <w:p w14:paraId="13CDE5D9">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0.648</w:t>
            </w:r>
          </w:p>
        </w:tc>
      </w:tr>
      <w:tr w14:paraId="7C4A1CC4">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3AF9ACF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15</w:t>
            </w:r>
          </w:p>
        </w:tc>
        <w:tc>
          <w:tcPr>
            <w:tcW w:w="822" w:type="dxa"/>
            <w:tcBorders>
              <w:top w:val="nil"/>
              <w:left w:val="nil"/>
              <w:bottom w:val="nil"/>
              <w:right w:val="nil"/>
            </w:tcBorders>
            <w:shd w:val="clear" w:color="auto" w:fill="auto"/>
            <w:noWrap/>
            <w:vAlign w:val="center"/>
          </w:tcPr>
          <w:p w14:paraId="3E76BD6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51" w:type="dxa"/>
            <w:tcBorders>
              <w:top w:val="nil"/>
              <w:left w:val="nil"/>
              <w:bottom w:val="nil"/>
              <w:right w:val="nil"/>
            </w:tcBorders>
            <w:shd w:val="clear" w:color="auto" w:fill="auto"/>
            <w:noWrap/>
            <w:vAlign w:val="center"/>
          </w:tcPr>
          <w:p w14:paraId="4BF8527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850" w:type="dxa"/>
            <w:tcBorders>
              <w:top w:val="nil"/>
              <w:left w:val="nil"/>
              <w:bottom w:val="nil"/>
              <w:right w:val="nil"/>
            </w:tcBorders>
            <w:shd w:val="clear" w:color="auto" w:fill="auto"/>
            <w:noWrap/>
            <w:vAlign w:val="center"/>
          </w:tcPr>
          <w:p w14:paraId="6BC8D8B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22" w:type="dxa"/>
            <w:tcBorders>
              <w:top w:val="nil"/>
              <w:left w:val="nil"/>
              <w:bottom w:val="nil"/>
              <w:right w:val="nil"/>
            </w:tcBorders>
          </w:tcPr>
          <w:p w14:paraId="5405D0AD">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2E7CDA3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1.23</w:t>
            </w:r>
          </w:p>
        </w:tc>
        <w:tc>
          <w:tcPr>
            <w:tcW w:w="851" w:type="dxa"/>
            <w:tcBorders>
              <w:top w:val="nil"/>
              <w:left w:val="nil"/>
              <w:bottom w:val="nil"/>
              <w:right w:val="nil"/>
            </w:tcBorders>
            <w:shd w:val="clear" w:color="auto" w:fill="auto"/>
            <w:vAlign w:val="center"/>
          </w:tcPr>
          <w:p w14:paraId="106F4A6B">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7.109</w:t>
            </w:r>
          </w:p>
        </w:tc>
        <w:tc>
          <w:tcPr>
            <w:tcW w:w="992" w:type="dxa"/>
            <w:tcBorders>
              <w:top w:val="nil"/>
              <w:left w:val="nil"/>
              <w:bottom w:val="nil"/>
              <w:right w:val="nil"/>
            </w:tcBorders>
            <w:shd w:val="clear" w:color="auto" w:fill="auto"/>
            <w:vAlign w:val="center"/>
          </w:tcPr>
          <w:p w14:paraId="5E0BFAE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3.329</w:t>
            </w:r>
          </w:p>
        </w:tc>
        <w:tc>
          <w:tcPr>
            <w:tcW w:w="913" w:type="dxa"/>
            <w:tcBorders>
              <w:top w:val="nil"/>
              <w:left w:val="nil"/>
              <w:bottom w:val="nil"/>
              <w:right w:val="nil"/>
            </w:tcBorders>
            <w:shd w:val="clear" w:color="auto" w:fill="auto"/>
            <w:vAlign w:val="center"/>
          </w:tcPr>
          <w:p w14:paraId="7D9943A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31.327</w:t>
            </w:r>
          </w:p>
        </w:tc>
        <w:tc>
          <w:tcPr>
            <w:tcW w:w="756" w:type="dxa"/>
            <w:tcBorders>
              <w:top w:val="nil"/>
              <w:left w:val="nil"/>
              <w:bottom w:val="nil"/>
              <w:right w:val="nil"/>
            </w:tcBorders>
            <w:shd w:val="clear" w:color="auto" w:fill="auto"/>
            <w:vAlign w:val="center"/>
          </w:tcPr>
          <w:p w14:paraId="322F1369">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0.53</w:t>
            </w:r>
          </w:p>
        </w:tc>
        <w:tc>
          <w:tcPr>
            <w:tcW w:w="766" w:type="dxa"/>
            <w:tcBorders>
              <w:top w:val="nil"/>
              <w:left w:val="nil"/>
              <w:bottom w:val="nil"/>
              <w:right w:val="nil"/>
            </w:tcBorders>
            <w:shd w:val="clear" w:color="auto" w:fill="auto"/>
            <w:noWrap/>
            <w:vAlign w:val="center"/>
          </w:tcPr>
          <w:p w14:paraId="3D707D9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0.644</w:t>
            </w:r>
          </w:p>
        </w:tc>
      </w:tr>
      <w:tr w14:paraId="7306B4F4">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1A8DB3DE">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16</w:t>
            </w:r>
          </w:p>
        </w:tc>
        <w:tc>
          <w:tcPr>
            <w:tcW w:w="822" w:type="dxa"/>
            <w:tcBorders>
              <w:top w:val="nil"/>
              <w:left w:val="nil"/>
              <w:bottom w:val="nil"/>
              <w:right w:val="nil"/>
            </w:tcBorders>
            <w:shd w:val="clear" w:color="auto" w:fill="auto"/>
            <w:noWrap/>
            <w:vAlign w:val="center"/>
          </w:tcPr>
          <w:p w14:paraId="701DDC48">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51" w:type="dxa"/>
            <w:tcBorders>
              <w:top w:val="nil"/>
              <w:left w:val="nil"/>
              <w:bottom w:val="nil"/>
              <w:right w:val="nil"/>
            </w:tcBorders>
            <w:shd w:val="clear" w:color="auto" w:fill="auto"/>
            <w:noWrap/>
            <w:vAlign w:val="center"/>
          </w:tcPr>
          <w:p w14:paraId="66166945">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850" w:type="dxa"/>
            <w:tcBorders>
              <w:top w:val="nil"/>
              <w:left w:val="nil"/>
              <w:bottom w:val="nil"/>
              <w:right w:val="nil"/>
            </w:tcBorders>
            <w:shd w:val="clear" w:color="auto" w:fill="auto"/>
            <w:noWrap/>
            <w:vAlign w:val="center"/>
          </w:tcPr>
          <w:p w14:paraId="47AAE94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22" w:type="dxa"/>
            <w:tcBorders>
              <w:top w:val="nil"/>
              <w:left w:val="nil"/>
              <w:bottom w:val="nil"/>
              <w:right w:val="nil"/>
            </w:tcBorders>
          </w:tcPr>
          <w:p w14:paraId="5FDEA036">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vAlign w:val="center"/>
          </w:tcPr>
          <w:p w14:paraId="432B960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1.421</w:t>
            </w:r>
          </w:p>
        </w:tc>
        <w:tc>
          <w:tcPr>
            <w:tcW w:w="851" w:type="dxa"/>
            <w:tcBorders>
              <w:top w:val="nil"/>
              <w:left w:val="nil"/>
              <w:bottom w:val="nil"/>
              <w:right w:val="nil"/>
            </w:tcBorders>
            <w:shd w:val="clear" w:color="auto" w:fill="auto"/>
            <w:vAlign w:val="center"/>
          </w:tcPr>
          <w:p w14:paraId="53ED5B41">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7.482</w:t>
            </w:r>
          </w:p>
        </w:tc>
        <w:tc>
          <w:tcPr>
            <w:tcW w:w="992" w:type="dxa"/>
            <w:tcBorders>
              <w:top w:val="nil"/>
              <w:left w:val="nil"/>
              <w:bottom w:val="nil"/>
              <w:right w:val="nil"/>
            </w:tcBorders>
            <w:shd w:val="clear" w:color="auto" w:fill="auto"/>
            <w:vAlign w:val="center"/>
          </w:tcPr>
          <w:p w14:paraId="59EC22E3">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3.711</w:t>
            </w:r>
          </w:p>
        </w:tc>
        <w:tc>
          <w:tcPr>
            <w:tcW w:w="913" w:type="dxa"/>
            <w:tcBorders>
              <w:top w:val="nil"/>
              <w:left w:val="nil"/>
              <w:bottom w:val="nil"/>
              <w:right w:val="nil"/>
            </w:tcBorders>
            <w:shd w:val="clear" w:color="auto" w:fill="auto"/>
            <w:vAlign w:val="center"/>
          </w:tcPr>
          <w:p w14:paraId="07900E6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31.829</w:t>
            </w:r>
          </w:p>
        </w:tc>
        <w:tc>
          <w:tcPr>
            <w:tcW w:w="756" w:type="dxa"/>
            <w:tcBorders>
              <w:top w:val="nil"/>
              <w:left w:val="nil"/>
              <w:bottom w:val="nil"/>
              <w:right w:val="nil"/>
            </w:tcBorders>
            <w:shd w:val="clear" w:color="auto" w:fill="auto"/>
            <w:vAlign w:val="center"/>
          </w:tcPr>
          <w:p w14:paraId="6122E07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0.33</w:t>
            </w:r>
          </w:p>
        </w:tc>
        <w:tc>
          <w:tcPr>
            <w:tcW w:w="766" w:type="dxa"/>
            <w:tcBorders>
              <w:top w:val="nil"/>
              <w:left w:val="nil"/>
              <w:bottom w:val="nil"/>
              <w:right w:val="nil"/>
            </w:tcBorders>
            <w:shd w:val="clear" w:color="auto" w:fill="auto"/>
            <w:noWrap/>
            <w:vAlign w:val="center"/>
          </w:tcPr>
          <w:p w14:paraId="0A9A9676">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0.693</w:t>
            </w:r>
          </w:p>
        </w:tc>
      </w:tr>
      <w:tr w14:paraId="7810AE35">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6E2D160F">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eastAsia="zh-CN"/>
              </w:rPr>
              <w:t>均值</w:t>
            </w:r>
            <w:r>
              <w:rPr>
                <w:rFonts w:hint="default" w:ascii="Times New Roman" w:hAnsi="Times New Roman" w:eastAsia="宋体" w:cs="Times New Roman"/>
                <w:color w:val="auto"/>
                <w:sz w:val="21"/>
                <w:szCs w:val="21"/>
                <w:highlight w:val="none"/>
                <w:lang w:val="en-US" w:eastAsia="zh-CN"/>
              </w:rPr>
              <w:t>1</w:t>
            </w:r>
          </w:p>
        </w:tc>
        <w:tc>
          <w:tcPr>
            <w:tcW w:w="822" w:type="dxa"/>
            <w:tcBorders>
              <w:top w:val="nil"/>
              <w:left w:val="nil"/>
              <w:bottom w:val="nil"/>
              <w:right w:val="nil"/>
            </w:tcBorders>
            <w:shd w:val="clear" w:color="auto" w:fill="auto"/>
            <w:noWrap/>
            <w:vAlign w:val="bottom"/>
          </w:tcPr>
          <w:p w14:paraId="5C2EDCE1">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0.754 </w:t>
            </w:r>
          </w:p>
        </w:tc>
        <w:tc>
          <w:tcPr>
            <w:tcW w:w="851" w:type="dxa"/>
            <w:tcBorders>
              <w:top w:val="nil"/>
              <w:left w:val="nil"/>
              <w:bottom w:val="nil"/>
              <w:right w:val="nil"/>
            </w:tcBorders>
            <w:shd w:val="clear" w:color="auto" w:fill="auto"/>
            <w:noWrap/>
            <w:vAlign w:val="bottom"/>
          </w:tcPr>
          <w:p w14:paraId="79A492B9">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0.716 </w:t>
            </w:r>
          </w:p>
        </w:tc>
        <w:tc>
          <w:tcPr>
            <w:tcW w:w="850" w:type="dxa"/>
            <w:tcBorders>
              <w:top w:val="nil"/>
              <w:left w:val="nil"/>
              <w:bottom w:val="nil"/>
              <w:right w:val="nil"/>
            </w:tcBorders>
            <w:shd w:val="clear" w:color="auto" w:fill="auto"/>
            <w:noWrap/>
            <w:vAlign w:val="bottom"/>
          </w:tcPr>
          <w:p w14:paraId="722CFC5C">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0.728 </w:t>
            </w:r>
          </w:p>
        </w:tc>
        <w:tc>
          <w:tcPr>
            <w:tcW w:w="222" w:type="dxa"/>
            <w:tcBorders>
              <w:top w:val="nil"/>
              <w:left w:val="nil"/>
              <w:bottom w:val="nil"/>
              <w:right w:val="nil"/>
            </w:tcBorders>
          </w:tcPr>
          <w:p w14:paraId="4512CC36">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noWrap/>
            <w:vAlign w:val="center"/>
          </w:tcPr>
          <w:p w14:paraId="1176FFC1">
            <w:pPr>
              <w:jc w:val="center"/>
              <w:rPr>
                <w:rFonts w:hint="default" w:ascii="Times New Roman" w:hAnsi="Times New Roman" w:eastAsia="宋体" w:cs="Times New Roman"/>
                <w:color w:val="auto"/>
                <w:sz w:val="21"/>
                <w:szCs w:val="21"/>
                <w:highlight w:val="none"/>
              </w:rPr>
            </w:pPr>
          </w:p>
        </w:tc>
        <w:tc>
          <w:tcPr>
            <w:tcW w:w="851" w:type="dxa"/>
            <w:tcBorders>
              <w:top w:val="nil"/>
              <w:left w:val="nil"/>
              <w:bottom w:val="nil"/>
              <w:right w:val="nil"/>
            </w:tcBorders>
            <w:shd w:val="clear" w:color="auto" w:fill="auto"/>
            <w:noWrap/>
            <w:vAlign w:val="center"/>
          </w:tcPr>
          <w:p w14:paraId="23EC92B4">
            <w:pPr>
              <w:jc w:val="center"/>
              <w:rPr>
                <w:rFonts w:hint="default" w:ascii="Times New Roman" w:hAnsi="Times New Roman" w:eastAsia="宋体" w:cs="Times New Roman"/>
                <w:color w:val="auto"/>
                <w:sz w:val="21"/>
                <w:szCs w:val="21"/>
                <w:highlight w:val="none"/>
              </w:rPr>
            </w:pPr>
          </w:p>
        </w:tc>
        <w:tc>
          <w:tcPr>
            <w:tcW w:w="992" w:type="dxa"/>
            <w:tcBorders>
              <w:top w:val="nil"/>
              <w:left w:val="nil"/>
              <w:bottom w:val="nil"/>
              <w:right w:val="nil"/>
            </w:tcBorders>
            <w:shd w:val="clear" w:color="auto" w:fill="auto"/>
            <w:noWrap/>
            <w:vAlign w:val="center"/>
          </w:tcPr>
          <w:p w14:paraId="7CDB5C94">
            <w:pPr>
              <w:jc w:val="center"/>
              <w:rPr>
                <w:rFonts w:hint="default" w:ascii="Times New Roman" w:hAnsi="Times New Roman" w:eastAsia="宋体" w:cs="Times New Roman"/>
                <w:color w:val="auto"/>
                <w:sz w:val="21"/>
                <w:szCs w:val="21"/>
                <w:highlight w:val="none"/>
              </w:rPr>
            </w:pPr>
          </w:p>
        </w:tc>
        <w:tc>
          <w:tcPr>
            <w:tcW w:w="913" w:type="dxa"/>
            <w:tcBorders>
              <w:top w:val="nil"/>
              <w:left w:val="nil"/>
              <w:bottom w:val="nil"/>
              <w:right w:val="nil"/>
            </w:tcBorders>
            <w:shd w:val="clear" w:color="auto" w:fill="auto"/>
            <w:noWrap/>
            <w:vAlign w:val="center"/>
          </w:tcPr>
          <w:p w14:paraId="33601720">
            <w:pPr>
              <w:jc w:val="center"/>
              <w:rPr>
                <w:rFonts w:hint="default" w:ascii="Times New Roman" w:hAnsi="Times New Roman" w:eastAsia="宋体" w:cs="Times New Roman"/>
                <w:color w:val="auto"/>
                <w:sz w:val="21"/>
                <w:szCs w:val="21"/>
                <w:highlight w:val="none"/>
              </w:rPr>
            </w:pPr>
          </w:p>
        </w:tc>
        <w:tc>
          <w:tcPr>
            <w:tcW w:w="756" w:type="dxa"/>
            <w:tcBorders>
              <w:top w:val="nil"/>
              <w:left w:val="nil"/>
              <w:bottom w:val="nil"/>
              <w:right w:val="nil"/>
            </w:tcBorders>
            <w:shd w:val="clear" w:color="auto" w:fill="auto"/>
            <w:noWrap/>
            <w:vAlign w:val="center"/>
          </w:tcPr>
          <w:p w14:paraId="6ED17711">
            <w:pPr>
              <w:jc w:val="center"/>
              <w:rPr>
                <w:rFonts w:hint="default" w:ascii="Times New Roman" w:hAnsi="Times New Roman" w:eastAsia="宋体" w:cs="Times New Roman"/>
                <w:color w:val="auto"/>
                <w:sz w:val="21"/>
                <w:szCs w:val="21"/>
                <w:highlight w:val="none"/>
              </w:rPr>
            </w:pPr>
          </w:p>
        </w:tc>
        <w:tc>
          <w:tcPr>
            <w:tcW w:w="766" w:type="dxa"/>
            <w:tcBorders>
              <w:top w:val="nil"/>
              <w:left w:val="nil"/>
              <w:bottom w:val="nil"/>
              <w:right w:val="nil"/>
            </w:tcBorders>
            <w:shd w:val="clear" w:color="auto" w:fill="auto"/>
            <w:noWrap/>
            <w:vAlign w:val="center"/>
          </w:tcPr>
          <w:p w14:paraId="777CE839">
            <w:pPr>
              <w:jc w:val="center"/>
              <w:rPr>
                <w:rFonts w:hint="default" w:ascii="Times New Roman" w:hAnsi="Times New Roman" w:eastAsia="宋体" w:cs="Times New Roman"/>
                <w:color w:val="auto"/>
                <w:sz w:val="21"/>
                <w:szCs w:val="21"/>
                <w:highlight w:val="none"/>
              </w:rPr>
            </w:pPr>
          </w:p>
        </w:tc>
      </w:tr>
      <w:tr w14:paraId="73020DF8">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39E0D7E6">
            <w:pPr>
              <w:jc w:val="center"/>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highlight w:val="none"/>
                <w:lang w:eastAsia="zh-CN"/>
              </w:rPr>
              <w:t>均值</w:t>
            </w:r>
            <w:r>
              <w:rPr>
                <w:rFonts w:hint="default" w:ascii="Times New Roman" w:hAnsi="Times New Roman" w:eastAsia="宋体" w:cs="Times New Roman"/>
                <w:color w:val="auto"/>
                <w:sz w:val="21"/>
                <w:szCs w:val="21"/>
                <w:highlight w:val="none"/>
                <w:lang w:val="en-US" w:eastAsia="zh-CN"/>
              </w:rPr>
              <w:t>2</w:t>
            </w:r>
          </w:p>
        </w:tc>
        <w:tc>
          <w:tcPr>
            <w:tcW w:w="822" w:type="dxa"/>
            <w:tcBorders>
              <w:top w:val="nil"/>
              <w:left w:val="nil"/>
              <w:bottom w:val="nil"/>
              <w:right w:val="nil"/>
            </w:tcBorders>
            <w:shd w:val="clear" w:color="auto" w:fill="auto"/>
            <w:noWrap/>
            <w:vAlign w:val="bottom"/>
          </w:tcPr>
          <w:p w14:paraId="6CB022DF">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0.692 </w:t>
            </w:r>
          </w:p>
        </w:tc>
        <w:tc>
          <w:tcPr>
            <w:tcW w:w="851" w:type="dxa"/>
            <w:tcBorders>
              <w:top w:val="nil"/>
              <w:left w:val="nil"/>
              <w:bottom w:val="nil"/>
              <w:right w:val="nil"/>
            </w:tcBorders>
            <w:shd w:val="clear" w:color="auto" w:fill="auto"/>
            <w:noWrap/>
            <w:vAlign w:val="bottom"/>
          </w:tcPr>
          <w:p w14:paraId="62D9604C">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0.722 </w:t>
            </w:r>
          </w:p>
        </w:tc>
        <w:tc>
          <w:tcPr>
            <w:tcW w:w="850" w:type="dxa"/>
            <w:tcBorders>
              <w:top w:val="nil"/>
              <w:left w:val="nil"/>
              <w:bottom w:val="nil"/>
              <w:right w:val="nil"/>
            </w:tcBorders>
            <w:shd w:val="clear" w:color="auto" w:fill="auto"/>
            <w:noWrap/>
            <w:vAlign w:val="bottom"/>
          </w:tcPr>
          <w:p w14:paraId="583E40C0">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0.689 </w:t>
            </w:r>
          </w:p>
        </w:tc>
        <w:tc>
          <w:tcPr>
            <w:tcW w:w="222" w:type="dxa"/>
            <w:tcBorders>
              <w:top w:val="nil"/>
              <w:left w:val="nil"/>
              <w:bottom w:val="nil"/>
              <w:right w:val="nil"/>
            </w:tcBorders>
          </w:tcPr>
          <w:p w14:paraId="55CCB66E">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noWrap/>
            <w:vAlign w:val="center"/>
          </w:tcPr>
          <w:p w14:paraId="24E2B88D">
            <w:pPr>
              <w:jc w:val="center"/>
              <w:rPr>
                <w:rFonts w:hint="default" w:ascii="Times New Roman" w:hAnsi="Times New Roman" w:eastAsia="宋体" w:cs="Times New Roman"/>
                <w:color w:val="auto"/>
                <w:sz w:val="21"/>
                <w:szCs w:val="21"/>
                <w:highlight w:val="none"/>
              </w:rPr>
            </w:pPr>
          </w:p>
        </w:tc>
        <w:tc>
          <w:tcPr>
            <w:tcW w:w="851" w:type="dxa"/>
            <w:tcBorders>
              <w:top w:val="nil"/>
              <w:left w:val="nil"/>
              <w:bottom w:val="nil"/>
              <w:right w:val="nil"/>
            </w:tcBorders>
            <w:shd w:val="clear" w:color="auto" w:fill="auto"/>
            <w:noWrap/>
            <w:vAlign w:val="center"/>
          </w:tcPr>
          <w:p w14:paraId="7541A13F">
            <w:pPr>
              <w:jc w:val="center"/>
              <w:rPr>
                <w:rFonts w:hint="default" w:ascii="Times New Roman" w:hAnsi="Times New Roman" w:eastAsia="宋体" w:cs="Times New Roman"/>
                <w:color w:val="auto"/>
                <w:sz w:val="21"/>
                <w:szCs w:val="21"/>
                <w:highlight w:val="none"/>
              </w:rPr>
            </w:pPr>
          </w:p>
        </w:tc>
        <w:tc>
          <w:tcPr>
            <w:tcW w:w="992" w:type="dxa"/>
            <w:tcBorders>
              <w:top w:val="nil"/>
              <w:left w:val="nil"/>
              <w:bottom w:val="nil"/>
              <w:right w:val="nil"/>
            </w:tcBorders>
            <w:shd w:val="clear" w:color="auto" w:fill="auto"/>
            <w:noWrap/>
            <w:vAlign w:val="center"/>
          </w:tcPr>
          <w:p w14:paraId="65525FC2">
            <w:pPr>
              <w:jc w:val="center"/>
              <w:rPr>
                <w:rFonts w:hint="default" w:ascii="Times New Roman" w:hAnsi="Times New Roman" w:eastAsia="宋体" w:cs="Times New Roman"/>
                <w:color w:val="auto"/>
                <w:sz w:val="21"/>
                <w:szCs w:val="21"/>
                <w:highlight w:val="none"/>
              </w:rPr>
            </w:pPr>
          </w:p>
        </w:tc>
        <w:tc>
          <w:tcPr>
            <w:tcW w:w="913" w:type="dxa"/>
            <w:tcBorders>
              <w:top w:val="nil"/>
              <w:left w:val="nil"/>
              <w:bottom w:val="nil"/>
              <w:right w:val="nil"/>
            </w:tcBorders>
            <w:shd w:val="clear" w:color="auto" w:fill="auto"/>
            <w:noWrap/>
            <w:vAlign w:val="center"/>
          </w:tcPr>
          <w:p w14:paraId="167BBF65">
            <w:pPr>
              <w:jc w:val="center"/>
              <w:rPr>
                <w:rFonts w:hint="default" w:ascii="Times New Roman" w:hAnsi="Times New Roman" w:eastAsia="宋体" w:cs="Times New Roman"/>
                <w:color w:val="auto"/>
                <w:sz w:val="21"/>
                <w:szCs w:val="21"/>
                <w:highlight w:val="none"/>
              </w:rPr>
            </w:pPr>
          </w:p>
        </w:tc>
        <w:tc>
          <w:tcPr>
            <w:tcW w:w="756" w:type="dxa"/>
            <w:tcBorders>
              <w:top w:val="nil"/>
              <w:left w:val="nil"/>
              <w:bottom w:val="nil"/>
              <w:right w:val="nil"/>
            </w:tcBorders>
            <w:shd w:val="clear" w:color="auto" w:fill="auto"/>
            <w:noWrap/>
            <w:vAlign w:val="center"/>
          </w:tcPr>
          <w:p w14:paraId="3B5EDA53">
            <w:pPr>
              <w:jc w:val="center"/>
              <w:rPr>
                <w:rFonts w:hint="default" w:ascii="Times New Roman" w:hAnsi="Times New Roman" w:eastAsia="宋体" w:cs="Times New Roman"/>
                <w:color w:val="auto"/>
                <w:sz w:val="21"/>
                <w:szCs w:val="21"/>
                <w:highlight w:val="none"/>
              </w:rPr>
            </w:pPr>
          </w:p>
        </w:tc>
        <w:tc>
          <w:tcPr>
            <w:tcW w:w="766" w:type="dxa"/>
            <w:tcBorders>
              <w:top w:val="nil"/>
              <w:left w:val="nil"/>
              <w:bottom w:val="nil"/>
              <w:right w:val="nil"/>
            </w:tcBorders>
            <w:shd w:val="clear" w:color="auto" w:fill="auto"/>
            <w:noWrap/>
            <w:vAlign w:val="center"/>
          </w:tcPr>
          <w:p w14:paraId="729CC827">
            <w:pPr>
              <w:jc w:val="center"/>
              <w:rPr>
                <w:rFonts w:hint="default" w:ascii="Times New Roman" w:hAnsi="Times New Roman" w:eastAsia="宋体" w:cs="Times New Roman"/>
                <w:color w:val="auto"/>
                <w:sz w:val="21"/>
                <w:szCs w:val="21"/>
                <w:highlight w:val="none"/>
              </w:rPr>
            </w:pPr>
          </w:p>
        </w:tc>
      </w:tr>
      <w:tr w14:paraId="6A8DF985">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2E627187">
            <w:pPr>
              <w:jc w:val="center"/>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highlight w:val="none"/>
                <w:lang w:eastAsia="zh-CN"/>
              </w:rPr>
              <w:t>均值</w:t>
            </w:r>
            <w:r>
              <w:rPr>
                <w:rFonts w:hint="default" w:ascii="Times New Roman" w:hAnsi="Times New Roman" w:eastAsia="宋体" w:cs="Times New Roman"/>
                <w:color w:val="auto"/>
                <w:sz w:val="21"/>
                <w:szCs w:val="21"/>
                <w:highlight w:val="none"/>
                <w:lang w:val="en-US" w:eastAsia="zh-CN"/>
              </w:rPr>
              <w:t>3</w:t>
            </w:r>
          </w:p>
        </w:tc>
        <w:tc>
          <w:tcPr>
            <w:tcW w:w="822" w:type="dxa"/>
            <w:tcBorders>
              <w:top w:val="nil"/>
              <w:left w:val="nil"/>
              <w:bottom w:val="nil"/>
              <w:right w:val="nil"/>
            </w:tcBorders>
            <w:shd w:val="clear" w:color="auto" w:fill="auto"/>
            <w:noWrap/>
            <w:vAlign w:val="bottom"/>
          </w:tcPr>
          <w:p w14:paraId="7C49C257">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0.695 </w:t>
            </w:r>
          </w:p>
        </w:tc>
        <w:tc>
          <w:tcPr>
            <w:tcW w:w="851" w:type="dxa"/>
            <w:tcBorders>
              <w:top w:val="nil"/>
              <w:left w:val="nil"/>
              <w:bottom w:val="nil"/>
              <w:right w:val="nil"/>
            </w:tcBorders>
            <w:shd w:val="clear" w:color="auto" w:fill="auto"/>
            <w:noWrap/>
            <w:vAlign w:val="bottom"/>
          </w:tcPr>
          <w:p w14:paraId="18FC74EB">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0.687 </w:t>
            </w:r>
          </w:p>
        </w:tc>
        <w:tc>
          <w:tcPr>
            <w:tcW w:w="850" w:type="dxa"/>
            <w:tcBorders>
              <w:top w:val="nil"/>
              <w:left w:val="nil"/>
              <w:bottom w:val="nil"/>
              <w:right w:val="nil"/>
            </w:tcBorders>
            <w:shd w:val="clear" w:color="auto" w:fill="auto"/>
            <w:noWrap/>
            <w:vAlign w:val="bottom"/>
          </w:tcPr>
          <w:p w14:paraId="25E11158">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0.662 </w:t>
            </w:r>
          </w:p>
        </w:tc>
        <w:tc>
          <w:tcPr>
            <w:tcW w:w="222" w:type="dxa"/>
            <w:tcBorders>
              <w:top w:val="nil"/>
              <w:left w:val="nil"/>
              <w:bottom w:val="nil"/>
              <w:right w:val="nil"/>
            </w:tcBorders>
          </w:tcPr>
          <w:p w14:paraId="6210E8D8">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noWrap/>
            <w:vAlign w:val="center"/>
          </w:tcPr>
          <w:p w14:paraId="0D96F0C4">
            <w:pPr>
              <w:jc w:val="center"/>
              <w:rPr>
                <w:rFonts w:hint="default" w:ascii="Times New Roman" w:hAnsi="Times New Roman" w:eastAsia="宋体" w:cs="Times New Roman"/>
                <w:color w:val="auto"/>
                <w:sz w:val="21"/>
                <w:szCs w:val="21"/>
                <w:highlight w:val="none"/>
              </w:rPr>
            </w:pPr>
          </w:p>
        </w:tc>
        <w:tc>
          <w:tcPr>
            <w:tcW w:w="851" w:type="dxa"/>
            <w:tcBorders>
              <w:top w:val="nil"/>
              <w:left w:val="nil"/>
              <w:bottom w:val="nil"/>
              <w:right w:val="nil"/>
            </w:tcBorders>
            <w:shd w:val="clear" w:color="auto" w:fill="auto"/>
            <w:noWrap/>
            <w:vAlign w:val="center"/>
          </w:tcPr>
          <w:p w14:paraId="4AD5A7D5">
            <w:pPr>
              <w:jc w:val="center"/>
              <w:rPr>
                <w:rFonts w:hint="default" w:ascii="Times New Roman" w:hAnsi="Times New Roman" w:eastAsia="宋体" w:cs="Times New Roman"/>
                <w:color w:val="auto"/>
                <w:sz w:val="21"/>
                <w:szCs w:val="21"/>
                <w:highlight w:val="none"/>
              </w:rPr>
            </w:pPr>
          </w:p>
        </w:tc>
        <w:tc>
          <w:tcPr>
            <w:tcW w:w="992" w:type="dxa"/>
            <w:tcBorders>
              <w:top w:val="nil"/>
              <w:left w:val="nil"/>
              <w:bottom w:val="nil"/>
              <w:right w:val="nil"/>
            </w:tcBorders>
            <w:shd w:val="clear" w:color="auto" w:fill="auto"/>
            <w:noWrap/>
            <w:vAlign w:val="center"/>
          </w:tcPr>
          <w:p w14:paraId="2CD139FC">
            <w:pPr>
              <w:jc w:val="center"/>
              <w:rPr>
                <w:rFonts w:hint="default" w:ascii="Times New Roman" w:hAnsi="Times New Roman" w:eastAsia="宋体" w:cs="Times New Roman"/>
                <w:color w:val="auto"/>
                <w:sz w:val="21"/>
                <w:szCs w:val="21"/>
                <w:highlight w:val="none"/>
              </w:rPr>
            </w:pPr>
          </w:p>
        </w:tc>
        <w:tc>
          <w:tcPr>
            <w:tcW w:w="913" w:type="dxa"/>
            <w:tcBorders>
              <w:top w:val="nil"/>
              <w:left w:val="nil"/>
              <w:bottom w:val="nil"/>
              <w:right w:val="nil"/>
            </w:tcBorders>
            <w:shd w:val="clear" w:color="auto" w:fill="auto"/>
            <w:noWrap/>
            <w:vAlign w:val="center"/>
          </w:tcPr>
          <w:p w14:paraId="030B507E">
            <w:pPr>
              <w:jc w:val="center"/>
              <w:rPr>
                <w:rFonts w:hint="default" w:ascii="Times New Roman" w:hAnsi="Times New Roman" w:eastAsia="宋体" w:cs="Times New Roman"/>
                <w:color w:val="auto"/>
                <w:sz w:val="21"/>
                <w:szCs w:val="21"/>
                <w:highlight w:val="none"/>
              </w:rPr>
            </w:pPr>
          </w:p>
        </w:tc>
        <w:tc>
          <w:tcPr>
            <w:tcW w:w="756" w:type="dxa"/>
            <w:tcBorders>
              <w:top w:val="nil"/>
              <w:left w:val="nil"/>
              <w:bottom w:val="nil"/>
              <w:right w:val="nil"/>
            </w:tcBorders>
            <w:shd w:val="clear" w:color="auto" w:fill="auto"/>
            <w:noWrap/>
            <w:vAlign w:val="center"/>
          </w:tcPr>
          <w:p w14:paraId="55C0D330">
            <w:pPr>
              <w:jc w:val="center"/>
              <w:rPr>
                <w:rFonts w:hint="default" w:ascii="Times New Roman" w:hAnsi="Times New Roman" w:eastAsia="宋体" w:cs="Times New Roman"/>
                <w:color w:val="auto"/>
                <w:sz w:val="21"/>
                <w:szCs w:val="21"/>
                <w:highlight w:val="none"/>
              </w:rPr>
            </w:pPr>
          </w:p>
        </w:tc>
        <w:tc>
          <w:tcPr>
            <w:tcW w:w="766" w:type="dxa"/>
            <w:tcBorders>
              <w:top w:val="nil"/>
              <w:left w:val="nil"/>
              <w:bottom w:val="nil"/>
              <w:right w:val="nil"/>
            </w:tcBorders>
            <w:shd w:val="clear" w:color="auto" w:fill="auto"/>
            <w:noWrap/>
            <w:vAlign w:val="center"/>
          </w:tcPr>
          <w:p w14:paraId="30565872">
            <w:pPr>
              <w:jc w:val="center"/>
              <w:rPr>
                <w:rFonts w:hint="default" w:ascii="Times New Roman" w:hAnsi="Times New Roman" w:eastAsia="宋体" w:cs="Times New Roman"/>
                <w:color w:val="auto"/>
                <w:sz w:val="21"/>
                <w:szCs w:val="21"/>
                <w:highlight w:val="none"/>
              </w:rPr>
            </w:pPr>
          </w:p>
        </w:tc>
      </w:tr>
      <w:tr w14:paraId="3B07C515">
        <w:tblPrEx>
          <w:tblCellMar>
            <w:top w:w="0" w:type="dxa"/>
            <w:left w:w="108" w:type="dxa"/>
            <w:bottom w:w="0" w:type="dxa"/>
            <w:right w:w="108" w:type="dxa"/>
          </w:tblCellMar>
        </w:tblPrEx>
        <w:trPr>
          <w:trHeight w:val="300" w:hRule="atLeast"/>
        </w:trPr>
        <w:tc>
          <w:tcPr>
            <w:tcW w:w="930" w:type="dxa"/>
            <w:tcBorders>
              <w:top w:val="nil"/>
              <w:left w:val="nil"/>
              <w:bottom w:val="nil"/>
              <w:right w:val="nil"/>
            </w:tcBorders>
            <w:shd w:val="clear" w:color="auto" w:fill="auto"/>
            <w:noWrap/>
            <w:vAlign w:val="center"/>
          </w:tcPr>
          <w:p w14:paraId="44C1B1F3">
            <w:pPr>
              <w:jc w:val="center"/>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highlight w:val="none"/>
                <w:lang w:eastAsia="zh-CN"/>
              </w:rPr>
              <w:t>均值</w:t>
            </w:r>
            <w:r>
              <w:rPr>
                <w:rFonts w:hint="default" w:ascii="Times New Roman" w:hAnsi="Times New Roman" w:eastAsia="宋体" w:cs="Times New Roman"/>
                <w:color w:val="auto"/>
                <w:sz w:val="21"/>
                <w:szCs w:val="21"/>
                <w:highlight w:val="none"/>
                <w:lang w:val="en-US" w:eastAsia="zh-CN"/>
              </w:rPr>
              <w:t>4</w:t>
            </w:r>
          </w:p>
        </w:tc>
        <w:tc>
          <w:tcPr>
            <w:tcW w:w="822" w:type="dxa"/>
            <w:tcBorders>
              <w:top w:val="nil"/>
              <w:left w:val="nil"/>
              <w:bottom w:val="nil"/>
              <w:right w:val="nil"/>
            </w:tcBorders>
            <w:shd w:val="clear" w:color="auto" w:fill="auto"/>
            <w:noWrap/>
            <w:vAlign w:val="bottom"/>
          </w:tcPr>
          <w:p w14:paraId="16CFA199">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0.672 </w:t>
            </w:r>
          </w:p>
        </w:tc>
        <w:tc>
          <w:tcPr>
            <w:tcW w:w="851" w:type="dxa"/>
            <w:tcBorders>
              <w:top w:val="nil"/>
              <w:left w:val="nil"/>
              <w:bottom w:val="nil"/>
              <w:right w:val="nil"/>
            </w:tcBorders>
            <w:shd w:val="clear" w:color="auto" w:fill="auto"/>
            <w:noWrap/>
            <w:vAlign w:val="bottom"/>
          </w:tcPr>
          <w:p w14:paraId="2DB49041">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0.687 </w:t>
            </w:r>
          </w:p>
        </w:tc>
        <w:tc>
          <w:tcPr>
            <w:tcW w:w="850" w:type="dxa"/>
            <w:tcBorders>
              <w:top w:val="nil"/>
              <w:left w:val="nil"/>
              <w:bottom w:val="nil"/>
              <w:right w:val="nil"/>
            </w:tcBorders>
            <w:shd w:val="clear" w:color="auto" w:fill="auto"/>
            <w:noWrap/>
            <w:vAlign w:val="bottom"/>
          </w:tcPr>
          <w:p w14:paraId="49731263">
            <w:pPr>
              <w:keepNext w:val="0"/>
              <w:keepLines w:val="0"/>
              <w:widowControl/>
              <w:suppressLineNumbers w:val="0"/>
              <w:jc w:val="right"/>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auto"/>
                <w:kern w:val="0"/>
                <w:sz w:val="21"/>
                <w:szCs w:val="21"/>
                <w:u w:val="none"/>
                <w:lang w:val="en-US" w:eastAsia="zh-CN" w:bidi="ar"/>
              </w:rPr>
              <w:t xml:space="preserve">0.733 </w:t>
            </w:r>
          </w:p>
        </w:tc>
        <w:tc>
          <w:tcPr>
            <w:tcW w:w="222" w:type="dxa"/>
            <w:tcBorders>
              <w:top w:val="nil"/>
              <w:left w:val="nil"/>
              <w:bottom w:val="nil"/>
              <w:right w:val="nil"/>
            </w:tcBorders>
          </w:tcPr>
          <w:p w14:paraId="305AB947">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nil"/>
              <w:right w:val="nil"/>
            </w:tcBorders>
            <w:shd w:val="clear" w:color="auto" w:fill="auto"/>
            <w:noWrap/>
            <w:vAlign w:val="center"/>
          </w:tcPr>
          <w:p w14:paraId="321EF3CB">
            <w:pPr>
              <w:jc w:val="center"/>
              <w:rPr>
                <w:rFonts w:hint="default" w:ascii="Times New Roman" w:hAnsi="Times New Roman" w:eastAsia="宋体" w:cs="Times New Roman"/>
                <w:color w:val="auto"/>
                <w:sz w:val="21"/>
                <w:szCs w:val="21"/>
                <w:highlight w:val="none"/>
              </w:rPr>
            </w:pPr>
          </w:p>
        </w:tc>
        <w:tc>
          <w:tcPr>
            <w:tcW w:w="851" w:type="dxa"/>
            <w:tcBorders>
              <w:top w:val="nil"/>
              <w:left w:val="nil"/>
              <w:bottom w:val="nil"/>
              <w:right w:val="nil"/>
            </w:tcBorders>
            <w:shd w:val="clear" w:color="auto" w:fill="auto"/>
            <w:noWrap/>
            <w:vAlign w:val="center"/>
          </w:tcPr>
          <w:p w14:paraId="3C7E8E3F">
            <w:pPr>
              <w:jc w:val="center"/>
              <w:rPr>
                <w:rFonts w:hint="default" w:ascii="Times New Roman" w:hAnsi="Times New Roman" w:eastAsia="宋体" w:cs="Times New Roman"/>
                <w:color w:val="auto"/>
                <w:sz w:val="21"/>
                <w:szCs w:val="21"/>
                <w:highlight w:val="none"/>
              </w:rPr>
            </w:pPr>
          </w:p>
        </w:tc>
        <w:tc>
          <w:tcPr>
            <w:tcW w:w="992" w:type="dxa"/>
            <w:tcBorders>
              <w:top w:val="nil"/>
              <w:left w:val="nil"/>
              <w:bottom w:val="nil"/>
              <w:right w:val="nil"/>
            </w:tcBorders>
            <w:shd w:val="clear" w:color="auto" w:fill="auto"/>
            <w:noWrap/>
            <w:vAlign w:val="center"/>
          </w:tcPr>
          <w:p w14:paraId="557D95C3">
            <w:pPr>
              <w:jc w:val="center"/>
              <w:rPr>
                <w:rFonts w:hint="default" w:ascii="Times New Roman" w:hAnsi="Times New Roman" w:eastAsia="宋体" w:cs="Times New Roman"/>
                <w:color w:val="auto"/>
                <w:sz w:val="21"/>
                <w:szCs w:val="21"/>
                <w:highlight w:val="none"/>
              </w:rPr>
            </w:pPr>
          </w:p>
        </w:tc>
        <w:tc>
          <w:tcPr>
            <w:tcW w:w="913" w:type="dxa"/>
            <w:tcBorders>
              <w:top w:val="nil"/>
              <w:left w:val="nil"/>
              <w:bottom w:val="nil"/>
              <w:right w:val="nil"/>
            </w:tcBorders>
            <w:shd w:val="clear" w:color="auto" w:fill="auto"/>
            <w:noWrap/>
            <w:vAlign w:val="center"/>
          </w:tcPr>
          <w:p w14:paraId="7E0B88F5">
            <w:pPr>
              <w:jc w:val="center"/>
              <w:rPr>
                <w:rFonts w:hint="default" w:ascii="Times New Roman" w:hAnsi="Times New Roman" w:eastAsia="宋体" w:cs="Times New Roman"/>
                <w:color w:val="auto"/>
                <w:sz w:val="21"/>
                <w:szCs w:val="21"/>
                <w:highlight w:val="none"/>
              </w:rPr>
            </w:pPr>
          </w:p>
        </w:tc>
        <w:tc>
          <w:tcPr>
            <w:tcW w:w="756" w:type="dxa"/>
            <w:tcBorders>
              <w:top w:val="nil"/>
              <w:left w:val="nil"/>
              <w:bottom w:val="nil"/>
              <w:right w:val="nil"/>
            </w:tcBorders>
            <w:shd w:val="clear" w:color="auto" w:fill="auto"/>
            <w:noWrap/>
            <w:vAlign w:val="center"/>
          </w:tcPr>
          <w:p w14:paraId="2D8C6032">
            <w:pPr>
              <w:jc w:val="center"/>
              <w:rPr>
                <w:rFonts w:hint="default" w:ascii="Times New Roman" w:hAnsi="Times New Roman" w:eastAsia="宋体" w:cs="Times New Roman"/>
                <w:color w:val="auto"/>
                <w:sz w:val="21"/>
                <w:szCs w:val="21"/>
                <w:highlight w:val="none"/>
              </w:rPr>
            </w:pPr>
          </w:p>
        </w:tc>
        <w:tc>
          <w:tcPr>
            <w:tcW w:w="766" w:type="dxa"/>
            <w:tcBorders>
              <w:top w:val="nil"/>
              <w:left w:val="nil"/>
              <w:bottom w:val="nil"/>
              <w:right w:val="nil"/>
            </w:tcBorders>
            <w:shd w:val="clear" w:color="auto" w:fill="auto"/>
            <w:noWrap/>
            <w:vAlign w:val="center"/>
          </w:tcPr>
          <w:p w14:paraId="6141C04B">
            <w:pPr>
              <w:jc w:val="center"/>
              <w:rPr>
                <w:rFonts w:hint="default" w:ascii="Times New Roman" w:hAnsi="Times New Roman" w:eastAsia="宋体" w:cs="Times New Roman"/>
                <w:color w:val="auto"/>
                <w:sz w:val="21"/>
                <w:szCs w:val="21"/>
                <w:highlight w:val="none"/>
              </w:rPr>
            </w:pPr>
          </w:p>
        </w:tc>
      </w:tr>
      <w:tr w14:paraId="713DEA3D">
        <w:tblPrEx>
          <w:tblCellMar>
            <w:top w:w="0" w:type="dxa"/>
            <w:left w:w="108" w:type="dxa"/>
            <w:bottom w:w="0" w:type="dxa"/>
            <w:right w:w="108" w:type="dxa"/>
          </w:tblCellMar>
        </w:tblPrEx>
        <w:trPr>
          <w:trHeight w:val="300" w:hRule="atLeast"/>
        </w:trPr>
        <w:tc>
          <w:tcPr>
            <w:tcW w:w="930" w:type="dxa"/>
            <w:tcBorders>
              <w:top w:val="nil"/>
              <w:left w:val="nil"/>
              <w:bottom w:val="single" w:color="auto" w:sz="4" w:space="0"/>
              <w:right w:val="nil"/>
            </w:tcBorders>
            <w:shd w:val="clear" w:color="auto" w:fill="auto"/>
            <w:noWrap/>
            <w:vAlign w:val="center"/>
          </w:tcPr>
          <w:p w14:paraId="752966DD">
            <w:pPr>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极差</w:t>
            </w:r>
          </w:p>
        </w:tc>
        <w:tc>
          <w:tcPr>
            <w:tcW w:w="822" w:type="dxa"/>
            <w:tcBorders>
              <w:top w:val="nil"/>
              <w:left w:val="nil"/>
              <w:bottom w:val="single" w:color="auto" w:sz="4" w:space="0"/>
              <w:right w:val="nil"/>
            </w:tcBorders>
            <w:shd w:val="clear" w:color="auto" w:fill="auto"/>
            <w:noWrap/>
            <w:vAlign w:val="bottom"/>
          </w:tcPr>
          <w:p w14:paraId="51E0416A">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0.082 </w:t>
            </w:r>
          </w:p>
        </w:tc>
        <w:tc>
          <w:tcPr>
            <w:tcW w:w="851" w:type="dxa"/>
            <w:tcBorders>
              <w:top w:val="nil"/>
              <w:left w:val="nil"/>
              <w:bottom w:val="single" w:color="auto" w:sz="4" w:space="0"/>
              <w:right w:val="nil"/>
            </w:tcBorders>
            <w:shd w:val="clear" w:color="auto" w:fill="auto"/>
            <w:noWrap/>
            <w:vAlign w:val="bottom"/>
          </w:tcPr>
          <w:p w14:paraId="569BE19F">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0.035 </w:t>
            </w:r>
          </w:p>
        </w:tc>
        <w:tc>
          <w:tcPr>
            <w:tcW w:w="850" w:type="dxa"/>
            <w:tcBorders>
              <w:top w:val="nil"/>
              <w:left w:val="nil"/>
              <w:bottom w:val="single" w:color="auto" w:sz="4" w:space="0"/>
              <w:right w:val="nil"/>
            </w:tcBorders>
            <w:shd w:val="clear" w:color="auto" w:fill="auto"/>
            <w:noWrap/>
            <w:vAlign w:val="bottom"/>
          </w:tcPr>
          <w:p w14:paraId="0F3A87C4">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0.071 </w:t>
            </w:r>
          </w:p>
        </w:tc>
        <w:tc>
          <w:tcPr>
            <w:tcW w:w="222" w:type="dxa"/>
            <w:tcBorders>
              <w:top w:val="nil"/>
              <w:left w:val="nil"/>
              <w:bottom w:val="single" w:color="auto" w:sz="4" w:space="0"/>
              <w:right w:val="nil"/>
            </w:tcBorders>
          </w:tcPr>
          <w:p w14:paraId="1542A8A0">
            <w:pPr>
              <w:jc w:val="center"/>
              <w:rPr>
                <w:rFonts w:hint="default" w:ascii="Times New Roman" w:hAnsi="Times New Roman" w:eastAsia="宋体" w:cs="Times New Roman"/>
                <w:color w:val="auto"/>
                <w:sz w:val="21"/>
                <w:szCs w:val="21"/>
                <w:highlight w:val="none"/>
              </w:rPr>
            </w:pPr>
          </w:p>
        </w:tc>
        <w:tc>
          <w:tcPr>
            <w:tcW w:w="850" w:type="dxa"/>
            <w:tcBorders>
              <w:top w:val="nil"/>
              <w:left w:val="nil"/>
              <w:bottom w:val="single" w:color="auto" w:sz="4" w:space="0"/>
              <w:right w:val="nil"/>
            </w:tcBorders>
            <w:shd w:val="clear" w:color="auto" w:fill="auto"/>
            <w:noWrap/>
            <w:vAlign w:val="center"/>
          </w:tcPr>
          <w:p w14:paraId="7666E892">
            <w:pPr>
              <w:jc w:val="center"/>
              <w:rPr>
                <w:rFonts w:hint="default" w:ascii="Times New Roman" w:hAnsi="Times New Roman" w:eastAsia="宋体" w:cs="Times New Roman"/>
                <w:color w:val="auto"/>
                <w:sz w:val="21"/>
                <w:szCs w:val="21"/>
                <w:highlight w:val="none"/>
              </w:rPr>
            </w:pPr>
          </w:p>
        </w:tc>
        <w:tc>
          <w:tcPr>
            <w:tcW w:w="851" w:type="dxa"/>
            <w:tcBorders>
              <w:top w:val="nil"/>
              <w:left w:val="nil"/>
              <w:bottom w:val="single" w:color="auto" w:sz="4" w:space="0"/>
              <w:right w:val="nil"/>
            </w:tcBorders>
            <w:shd w:val="clear" w:color="auto" w:fill="auto"/>
            <w:noWrap/>
            <w:vAlign w:val="center"/>
          </w:tcPr>
          <w:p w14:paraId="0052A8E0">
            <w:pPr>
              <w:jc w:val="center"/>
              <w:rPr>
                <w:rFonts w:hint="default" w:ascii="Times New Roman" w:hAnsi="Times New Roman" w:eastAsia="宋体" w:cs="Times New Roman"/>
                <w:color w:val="auto"/>
                <w:sz w:val="21"/>
                <w:szCs w:val="21"/>
                <w:highlight w:val="none"/>
              </w:rPr>
            </w:pPr>
          </w:p>
        </w:tc>
        <w:tc>
          <w:tcPr>
            <w:tcW w:w="992" w:type="dxa"/>
            <w:tcBorders>
              <w:top w:val="nil"/>
              <w:left w:val="nil"/>
              <w:bottom w:val="single" w:color="auto" w:sz="4" w:space="0"/>
              <w:right w:val="nil"/>
            </w:tcBorders>
            <w:shd w:val="clear" w:color="auto" w:fill="auto"/>
            <w:noWrap/>
            <w:vAlign w:val="center"/>
          </w:tcPr>
          <w:p w14:paraId="72CDA4A0">
            <w:pPr>
              <w:jc w:val="center"/>
              <w:rPr>
                <w:rFonts w:hint="default" w:ascii="Times New Roman" w:hAnsi="Times New Roman" w:eastAsia="宋体" w:cs="Times New Roman"/>
                <w:color w:val="auto"/>
                <w:sz w:val="21"/>
                <w:szCs w:val="21"/>
                <w:highlight w:val="none"/>
              </w:rPr>
            </w:pPr>
          </w:p>
        </w:tc>
        <w:tc>
          <w:tcPr>
            <w:tcW w:w="913" w:type="dxa"/>
            <w:tcBorders>
              <w:top w:val="nil"/>
              <w:left w:val="nil"/>
              <w:bottom w:val="single" w:color="auto" w:sz="4" w:space="0"/>
              <w:right w:val="nil"/>
            </w:tcBorders>
            <w:shd w:val="clear" w:color="auto" w:fill="auto"/>
            <w:noWrap/>
            <w:vAlign w:val="center"/>
          </w:tcPr>
          <w:p w14:paraId="06D4C6E9">
            <w:pPr>
              <w:jc w:val="center"/>
              <w:rPr>
                <w:rFonts w:hint="default" w:ascii="Times New Roman" w:hAnsi="Times New Roman" w:eastAsia="宋体" w:cs="Times New Roman"/>
                <w:color w:val="auto"/>
                <w:sz w:val="21"/>
                <w:szCs w:val="21"/>
                <w:highlight w:val="none"/>
              </w:rPr>
            </w:pPr>
          </w:p>
        </w:tc>
        <w:tc>
          <w:tcPr>
            <w:tcW w:w="756" w:type="dxa"/>
            <w:tcBorders>
              <w:top w:val="nil"/>
              <w:left w:val="nil"/>
              <w:bottom w:val="single" w:color="auto" w:sz="4" w:space="0"/>
              <w:right w:val="nil"/>
            </w:tcBorders>
            <w:shd w:val="clear" w:color="auto" w:fill="auto"/>
            <w:noWrap/>
            <w:vAlign w:val="center"/>
          </w:tcPr>
          <w:p w14:paraId="60849E27">
            <w:pPr>
              <w:jc w:val="center"/>
              <w:rPr>
                <w:rFonts w:hint="default" w:ascii="Times New Roman" w:hAnsi="Times New Roman" w:eastAsia="宋体" w:cs="Times New Roman"/>
                <w:color w:val="auto"/>
                <w:sz w:val="21"/>
                <w:szCs w:val="21"/>
                <w:highlight w:val="none"/>
              </w:rPr>
            </w:pPr>
          </w:p>
        </w:tc>
        <w:tc>
          <w:tcPr>
            <w:tcW w:w="766" w:type="dxa"/>
            <w:tcBorders>
              <w:top w:val="nil"/>
              <w:left w:val="nil"/>
              <w:bottom w:val="single" w:color="auto" w:sz="4" w:space="0"/>
              <w:right w:val="nil"/>
            </w:tcBorders>
            <w:shd w:val="clear" w:color="auto" w:fill="auto"/>
            <w:noWrap/>
            <w:vAlign w:val="center"/>
          </w:tcPr>
          <w:p w14:paraId="10A01CA9">
            <w:pPr>
              <w:jc w:val="center"/>
              <w:rPr>
                <w:rFonts w:hint="default" w:ascii="Times New Roman" w:hAnsi="Times New Roman" w:eastAsia="宋体" w:cs="Times New Roman"/>
                <w:color w:val="auto"/>
                <w:sz w:val="21"/>
                <w:szCs w:val="21"/>
                <w:highlight w:val="none"/>
              </w:rPr>
            </w:pPr>
          </w:p>
        </w:tc>
      </w:tr>
    </w:tbl>
    <w:p w14:paraId="62B1AD39">
      <w:pPr>
        <w:pStyle w:val="15"/>
        <w:adjustRightInd w:val="0"/>
        <w:snapToGrid w:val="0"/>
        <w:spacing w:line="380" w:lineRule="exact"/>
        <w:ind w:left="0" w:leftChars="0" w:firstLine="0" w:firstLineChars="0"/>
        <w:rPr>
          <w:rFonts w:hint="default" w:ascii="Times New Roman" w:hAnsi="Times New Roman" w:eastAsia="宋体" w:cs="Times New Roman"/>
          <w:b/>
          <w:bCs/>
          <w:color w:val="auto"/>
          <w:kern w:val="2"/>
          <w:sz w:val="24"/>
          <w:szCs w:val="24"/>
          <w:highlight w:val="none"/>
        </w:rPr>
      </w:pPr>
    </w:p>
    <w:p w14:paraId="6BE0B6B4">
      <w:pPr>
        <w:pStyle w:val="15"/>
        <w:numPr>
          <w:ilvl w:val="0"/>
          <w:numId w:val="1"/>
        </w:numPr>
        <w:adjustRightInd w:val="0"/>
        <w:snapToGrid w:val="0"/>
        <w:spacing w:line="380" w:lineRule="exact"/>
        <w:ind w:firstLineChars="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复水试验</w:t>
      </w:r>
    </w:p>
    <w:p w14:paraId="7413807C">
      <w:pPr>
        <w:pStyle w:val="15"/>
        <w:keepNext w:val="0"/>
        <w:keepLines w:val="0"/>
        <w:pageBreakBefore w:val="0"/>
        <w:widowControl/>
        <w:kinsoku/>
        <w:wordWrap/>
        <w:overflowPunct/>
        <w:topLinePunct w:val="0"/>
        <w:autoSpaceDE/>
        <w:autoSpaceDN/>
        <w:bidi w:val="0"/>
        <w:adjustRightInd w:val="0"/>
        <w:snapToGrid w:val="0"/>
        <w:spacing w:line="380" w:lineRule="exact"/>
        <w:ind w:firstLine="480" w:firstLineChars="200"/>
        <w:jc w:val="center"/>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color w:val="auto"/>
          <w:sz w:val="24"/>
          <w:szCs w:val="24"/>
          <w:highlight w:val="none"/>
        </w:rPr>
        <w:drawing>
          <wp:anchor distT="0" distB="0" distL="114935" distR="114935" simplePos="0" relativeHeight="251659264" behindDoc="0" locked="0" layoutInCell="1" allowOverlap="1">
            <wp:simplePos x="0" y="0"/>
            <wp:positionH relativeFrom="column">
              <wp:posOffset>1129665</wp:posOffset>
            </wp:positionH>
            <wp:positionV relativeFrom="paragraph">
              <wp:posOffset>191770</wp:posOffset>
            </wp:positionV>
            <wp:extent cx="3359785" cy="1792605"/>
            <wp:effectExtent l="4445" t="5080" r="7620" b="12065"/>
            <wp:wrapTopAndBottom/>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anchor>
        </w:drawing>
      </w:r>
      <w:r>
        <w:rPr>
          <w:rFonts w:hint="default" w:ascii="Times New Roman" w:hAnsi="Times New Roman" w:eastAsia="宋体" w:cs="Times New Roman"/>
          <w:b/>
          <w:bCs/>
          <w:color w:val="auto"/>
          <w:sz w:val="24"/>
          <w:szCs w:val="24"/>
          <w:highlight w:val="none"/>
          <w:lang w:eastAsia="zh-CN"/>
        </w:rPr>
        <w:t>图</w:t>
      </w:r>
      <w:r>
        <w:rPr>
          <w:rFonts w:hint="default" w:ascii="Times New Roman" w:hAnsi="Times New Roman" w:eastAsia="宋体" w:cs="Times New Roman"/>
          <w:b/>
          <w:bCs/>
          <w:color w:val="auto"/>
          <w:sz w:val="24"/>
          <w:szCs w:val="24"/>
          <w:highlight w:val="none"/>
          <w:lang w:val="en-US" w:eastAsia="zh-CN"/>
        </w:rPr>
        <w:t>1 复水时间对复水率的影响</w:t>
      </w:r>
    </w:p>
    <w:p w14:paraId="74472FD3">
      <w:pPr>
        <w:pStyle w:val="15"/>
        <w:keepNext w:val="0"/>
        <w:keepLines w:val="0"/>
        <w:pageBreakBefore w:val="0"/>
        <w:widowControl/>
        <w:kinsoku/>
        <w:wordWrap/>
        <w:overflowPunct/>
        <w:topLinePunct w:val="0"/>
        <w:autoSpaceDE/>
        <w:autoSpaceDN/>
        <w:bidi w:val="0"/>
        <w:adjustRightInd w:val="0"/>
        <w:snapToGrid w:val="0"/>
        <w:spacing w:line="38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取干制桑芽菜，加入</w:t>
      </w:r>
      <w:r>
        <w:rPr>
          <w:rFonts w:hint="default" w:ascii="Times New Roman" w:hAnsi="Times New Roman" w:eastAsia="宋体" w:cs="Times New Roman"/>
          <w:color w:val="auto"/>
          <w:sz w:val="24"/>
          <w:szCs w:val="24"/>
          <w:highlight w:val="none"/>
        </w:rPr>
        <w:t>95</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℃～100</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℃的</w:t>
      </w:r>
      <w:r>
        <w:rPr>
          <w:rFonts w:hint="default" w:ascii="Times New Roman" w:hAnsi="Times New Roman" w:eastAsia="宋体" w:cs="Times New Roman"/>
          <w:color w:val="auto"/>
          <w:sz w:val="24"/>
          <w:szCs w:val="24"/>
          <w:highlight w:val="none"/>
          <w:lang w:eastAsia="zh-CN"/>
        </w:rPr>
        <w:t>热</w:t>
      </w:r>
      <w:r>
        <w:rPr>
          <w:rFonts w:hint="default" w:ascii="Times New Roman" w:hAnsi="Times New Roman" w:eastAsia="宋体" w:cs="Times New Roman"/>
          <w:color w:val="auto"/>
          <w:sz w:val="24"/>
          <w:szCs w:val="24"/>
          <w:highlight w:val="none"/>
        </w:rPr>
        <w:t>水</w:t>
      </w:r>
      <w:r>
        <w:rPr>
          <w:rFonts w:hint="default" w:ascii="Times New Roman" w:hAnsi="Times New Roman" w:eastAsia="宋体" w:cs="Times New Roman"/>
          <w:color w:val="auto"/>
          <w:sz w:val="24"/>
          <w:szCs w:val="24"/>
          <w:highlight w:val="none"/>
          <w:lang w:eastAsia="zh-CN"/>
        </w:rPr>
        <w:t>闷</w:t>
      </w:r>
      <w:r>
        <w:rPr>
          <w:rFonts w:hint="default" w:ascii="Times New Roman" w:hAnsi="Times New Roman" w:eastAsia="宋体" w:cs="Times New Roman"/>
          <w:color w:val="auto"/>
          <w:sz w:val="24"/>
          <w:szCs w:val="24"/>
          <w:highlight w:val="none"/>
          <w:lang w:val="en-US" w:eastAsia="zh-CN"/>
        </w:rPr>
        <w:t>1、2、3、4、</w:t>
      </w:r>
      <w:r>
        <w:rPr>
          <w:rFonts w:hint="default" w:ascii="Times New Roman" w:hAnsi="Times New Roman" w:eastAsia="宋体" w:cs="Times New Roman"/>
          <w:color w:val="auto"/>
          <w:sz w:val="24"/>
          <w:szCs w:val="24"/>
          <w:highlight w:val="none"/>
        </w:rPr>
        <w:t>5</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6、10</w:t>
      </w:r>
      <w:r>
        <w:rPr>
          <w:rFonts w:hint="default" w:ascii="Times New Roman" w:hAnsi="Times New Roman" w:eastAsia="宋体" w:cs="Times New Roman"/>
          <w:color w:val="auto"/>
          <w:sz w:val="24"/>
          <w:szCs w:val="24"/>
          <w:highlight w:val="none"/>
        </w:rPr>
        <w:t xml:space="preserve"> min，滤纸</w:t>
      </w:r>
      <w:r>
        <w:rPr>
          <w:rFonts w:hint="default" w:ascii="Times New Roman" w:hAnsi="Times New Roman" w:eastAsia="宋体" w:cs="Times New Roman"/>
          <w:color w:val="auto"/>
          <w:sz w:val="24"/>
          <w:szCs w:val="24"/>
          <w:highlight w:val="none"/>
          <w:lang w:eastAsia="zh-CN"/>
        </w:rPr>
        <w:t>沥干</w:t>
      </w:r>
      <w:r>
        <w:rPr>
          <w:rFonts w:hint="default" w:ascii="Times New Roman" w:hAnsi="Times New Roman" w:eastAsia="宋体" w:cs="Times New Roman"/>
          <w:color w:val="auto"/>
          <w:sz w:val="24"/>
          <w:szCs w:val="24"/>
          <w:highlight w:val="none"/>
        </w:rPr>
        <w:t>表面水分，称重，每个样品重复3次，按</w:t>
      </w:r>
      <w:r>
        <w:rPr>
          <w:rFonts w:hint="eastAsia" w:ascii="Times New Roman" w:hAnsi="Times New Roman" w:cs="Times New Roman"/>
          <w:color w:val="auto"/>
          <w:sz w:val="24"/>
          <w:szCs w:val="24"/>
          <w:highlight w:val="none"/>
          <w:lang w:eastAsia="zh-CN"/>
        </w:rPr>
        <w:t>公</w:t>
      </w:r>
      <w:r>
        <w:rPr>
          <w:rFonts w:hint="default" w:ascii="Times New Roman" w:hAnsi="Times New Roman" w:eastAsia="宋体" w:cs="Times New Roman"/>
          <w:color w:val="auto"/>
          <w:sz w:val="24"/>
          <w:szCs w:val="24"/>
          <w:highlight w:val="none"/>
        </w:rPr>
        <w:t>式（</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）计算复水率</w:t>
      </w:r>
      <w:r>
        <w:rPr>
          <w:rFonts w:hint="default" w:ascii="Times New Roman" w:hAnsi="Times New Roman" w:eastAsia="宋体" w:cs="Times New Roman"/>
          <w:color w:val="auto"/>
          <w:sz w:val="24"/>
          <w:szCs w:val="24"/>
          <w:highlight w:val="none"/>
          <w:lang w:val="en-US" w:eastAsia="zh-CN"/>
        </w:rPr>
        <w:t>，结果如</w:t>
      </w:r>
      <w:r>
        <w:rPr>
          <w:rFonts w:hint="default" w:ascii="Times New Roman" w:hAnsi="Times New Roman" w:eastAsia="宋体" w:cs="Times New Roman"/>
          <w:color w:val="auto"/>
          <w:sz w:val="24"/>
          <w:szCs w:val="24"/>
          <w:highlight w:val="none"/>
          <w:lang w:eastAsia="zh-CN"/>
        </w:rPr>
        <w:t>图</w:t>
      </w:r>
      <w:r>
        <w:rPr>
          <w:rFonts w:hint="default" w:ascii="Times New Roman" w:hAnsi="Times New Roman" w:eastAsia="宋体" w:cs="Times New Roman"/>
          <w:color w:val="auto"/>
          <w:sz w:val="24"/>
          <w:szCs w:val="24"/>
          <w:highlight w:val="none"/>
          <w:lang w:val="en-US" w:eastAsia="zh-CN"/>
        </w:rPr>
        <w:t>1。由此可知，干制桑芽菜经过5 min的热水复水可以</w:t>
      </w:r>
      <w:r>
        <w:rPr>
          <w:rFonts w:hint="default" w:ascii="Times New Roman" w:hAnsi="Times New Roman" w:eastAsia="宋体" w:cs="Times New Roman"/>
          <w:color w:val="auto"/>
          <w:sz w:val="24"/>
          <w:szCs w:val="24"/>
          <w:highlight w:val="none"/>
        </w:rPr>
        <w:t>基本恢复脱水前状态</w:t>
      </w:r>
      <w:r>
        <w:rPr>
          <w:rFonts w:hint="default" w:ascii="Times New Roman" w:hAnsi="Times New Roman" w:eastAsia="宋体" w:cs="Times New Roman"/>
          <w:color w:val="auto"/>
          <w:sz w:val="24"/>
          <w:szCs w:val="24"/>
          <w:highlight w:val="none"/>
          <w:lang w:eastAsia="zh-CN"/>
        </w:rPr>
        <w:t>，所以复水时间可以选择为</w:t>
      </w:r>
      <w:r>
        <w:rPr>
          <w:rFonts w:hint="default" w:ascii="Times New Roman" w:hAnsi="Times New Roman" w:eastAsia="宋体" w:cs="Times New Roman"/>
          <w:color w:val="auto"/>
          <w:sz w:val="24"/>
          <w:szCs w:val="24"/>
          <w:highlight w:val="none"/>
          <w:lang w:val="en-US" w:eastAsia="zh-CN"/>
        </w:rPr>
        <w:t>5 min以上</w:t>
      </w:r>
      <w:r>
        <w:rPr>
          <w:rFonts w:hint="default" w:ascii="Times New Roman" w:hAnsi="Times New Roman" w:eastAsia="宋体" w:cs="Times New Roman"/>
          <w:color w:val="auto"/>
          <w:sz w:val="24"/>
          <w:szCs w:val="24"/>
          <w:highlight w:val="none"/>
        </w:rPr>
        <w:t>。</w:t>
      </w:r>
    </w:p>
    <w:p w14:paraId="4783BD82">
      <w:pPr>
        <w:pStyle w:val="15"/>
        <w:keepNext w:val="0"/>
        <w:keepLines w:val="0"/>
        <w:pageBreakBefore w:val="0"/>
        <w:widowControl/>
        <w:kinsoku/>
        <w:wordWrap/>
        <w:overflowPunct/>
        <w:topLinePunct w:val="0"/>
        <w:autoSpaceDE/>
        <w:autoSpaceDN/>
        <w:bidi w:val="0"/>
        <w:adjustRightInd w:val="0"/>
        <w:snapToGrid w:val="0"/>
        <w:spacing w:after="157" w:afterLines="50" w:line="600" w:lineRule="exact"/>
        <w:ind w:firstLine="480" w:firstLineChars="200"/>
        <w:textAlignment w:val="auto"/>
        <w:rPr>
          <w:rFonts w:hint="default" w:ascii="Times New Roman" w:hAnsi="Times New Roman" w:eastAsia="宋体" w:cs="Times New Roman"/>
          <w:color w:val="auto"/>
          <w:sz w:val="24"/>
          <w:szCs w:val="24"/>
          <w:highlight w:val="none"/>
          <w:lang w:val="en-US" w:eastAsia="zh-CN" w:bidi="ar-SA"/>
        </w:rPr>
      </w:pPr>
      <m:oMath>
        <m:r>
          <m:rPr>
            <m:sty m:val="p"/>
          </m:rPr>
          <w:rPr>
            <w:rFonts w:hint="default" w:ascii="Cambria Math" w:hAnsi="Cambria Math" w:eastAsia="宋体" w:cs="Times New Roman"/>
            <w:color w:val="auto"/>
            <w:sz w:val="24"/>
            <w:szCs w:val="24"/>
            <w:highlight w:val="none"/>
            <w:lang w:val="en-US" w:eastAsia="zh-CN" w:bidi="ar-SA"/>
          </w:rPr>
          <m:t>R=</m:t>
        </m:r>
        <m:f>
          <m:fPr>
            <m:ctrlPr>
              <w:rPr>
                <w:rFonts w:hint="default" w:ascii="Cambria Math" w:hAnsi="Cambria Math" w:eastAsia="宋体" w:cs="Times New Roman"/>
                <w:color w:val="auto"/>
                <w:sz w:val="24"/>
                <w:szCs w:val="24"/>
                <w:highlight w:val="none"/>
                <w:lang w:val="en-US" w:eastAsia="zh-CN" w:bidi="ar-SA"/>
              </w:rPr>
            </m:ctrlPr>
          </m:fPr>
          <m:num>
            <m:sSub>
              <m:sSubPr>
                <m:ctrlPr>
                  <w:rPr>
                    <w:rFonts w:hint="default" w:ascii="Cambria Math" w:hAnsi="Cambria Math" w:eastAsia="宋体" w:cs="Times New Roman"/>
                    <w:i w:val="0"/>
                    <w:color w:val="auto"/>
                    <w:sz w:val="24"/>
                    <w:szCs w:val="24"/>
                    <w:highlight w:val="none"/>
                    <w:lang w:val="en-US" w:eastAsia="zh-CN" w:bidi="ar-SA"/>
                  </w:rPr>
                </m:ctrlPr>
              </m:sSubPr>
              <m:e>
                <m:r>
                  <m:rPr>
                    <m:sty m:val="p"/>
                  </m:rPr>
                  <w:rPr>
                    <w:rFonts w:hint="default" w:ascii="Cambria Math" w:hAnsi="Cambria Math" w:eastAsia="宋体" w:cs="Times New Roman"/>
                    <w:color w:val="auto"/>
                    <w:sz w:val="24"/>
                    <w:szCs w:val="24"/>
                    <w:highlight w:val="none"/>
                    <w:lang w:val="en-US" w:eastAsia="zh-CN" w:bidi="ar-SA"/>
                  </w:rPr>
                  <m:t>m</m:t>
                </m:r>
                <m:ctrlPr>
                  <w:rPr>
                    <w:rFonts w:hint="default" w:ascii="Cambria Math" w:hAnsi="Cambria Math" w:eastAsia="宋体" w:cs="Times New Roman"/>
                    <w:i w:val="0"/>
                    <w:color w:val="auto"/>
                    <w:sz w:val="24"/>
                    <w:szCs w:val="24"/>
                    <w:highlight w:val="none"/>
                    <w:lang w:val="en-US" w:eastAsia="zh-CN" w:bidi="ar-SA"/>
                  </w:rPr>
                </m:ctrlPr>
              </m:e>
              <m:sub>
                <m:r>
                  <m:rPr>
                    <m:sty m:val="p"/>
                  </m:rPr>
                  <w:rPr>
                    <w:rFonts w:hint="default" w:ascii="Cambria Math" w:hAnsi="Cambria Math" w:eastAsia="宋体" w:cs="Times New Roman"/>
                    <w:color w:val="auto"/>
                    <w:sz w:val="24"/>
                    <w:szCs w:val="24"/>
                    <w:highlight w:val="none"/>
                    <w:lang w:val="en-US" w:eastAsia="zh-CN" w:bidi="ar-SA"/>
                  </w:rPr>
                  <m:t>2</m:t>
                </m:r>
                <m:ctrlPr>
                  <w:rPr>
                    <w:rFonts w:hint="default" w:ascii="Cambria Math" w:hAnsi="Cambria Math" w:eastAsia="宋体" w:cs="Times New Roman"/>
                    <w:i w:val="0"/>
                    <w:color w:val="auto"/>
                    <w:sz w:val="24"/>
                    <w:szCs w:val="24"/>
                    <w:highlight w:val="none"/>
                    <w:lang w:val="en-US" w:eastAsia="zh-CN" w:bidi="ar-SA"/>
                  </w:rPr>
                </m:ctrlPr>
              </m:sub>
            </m:sSub>
            <m:r>
              <m:rPr>
                <m:sty m:val="p"/>
              </m:rPr>
              <w:rPr>
                <w:rFonts w:hint="default" w:ascii="Cambria Math" w:hAnsi="Cambria Math" w:eastAsia="宋体" w:cs="Times New Roman"/>
                <w:color w:val="auto"/>
                <w:sz w:val="24"/>
                <w:szCs w:val="24"/>
                <w:highlight w:val="none"/>
                <w:lang w:val="en-US" w:eastAsia="zh-CN" w:bidi="ar-SA"/>
              </w:rPr>
              <m:t>−</m:t>
            </m:r>
            <m:sSub>
              <m:sSubPr>
                <m:ctrlPr>
                  <w:rPr>
                    <w:rFonts w:hint="default" w:ascii="Cambria Math" w:hAnsi="Cambria Math" w:eastAsia="宋体" w:cs="Times New Roman"/>
                    <w:color w:val="auto"/>
                    <w:sz w:val="24"/>
                    <w:szCs w:val="24"/>
                    <w:highlight w:val="none"/>
                    <w:lang w:val="en-US" w:eastAsia="zh-CN" w:bidi="ar-SA"/>
                  </w:rPr>
                </m:ctrlPr>
              </m:sSubPr>
              <m:e>
                <m:r>
                  <m:rPr>
                    <m:sty m:val="p"/>
                  </m:rPr>
                  <w:rPr>
                    <w:rFonts w:hint="default" w:ascii="Cambria Math" w:hAnsi="Cambria Math" w:eastAsia="宋体" w:cs="Times New Roman"/>
                    <w:color w:val="auto"/>
                    <w:sz w:val="24"/>
                    <w:szCs w:val="24"/>
                    <w:highlight w:val="none"/>
                    <w:lang w:val="en-US" w:eastAsia="zh-CN" w:bidi="ar-SA"/>
                  </w:rPr>
                  <m:t>m</m:t>
                </m:r>
                <m:ctrlPr>
                  <w:rPr>
                    <w:rFonts w:hint="default" w:ascii="Cambria Math" w:hAnsi="Cambria Math" w:eastAsia="宋体" w:cs="Times New Roman"/>
                    <w:color w:val="auto"/>
                    <w:sz w:val="24"/>
                    <w:szCs w:val="24"/>
                    <w:highlight w:val="none"/>
                    <w:lang w:val="en-US" w:eastAsia="zh-CN" w:bidi="ar-SA"/>
                  </w:rPr>
                </m:ctrlPr>
              </m:e>
              <m:sub>
                <m:r>
                  <m:rPr>
                    <m:sty m:val="p"/>
                  </m:rPr>
                  <w:rPr>
                    <w:rFonts w:hint="default" w:ascii="Cambria Math" w:hAnsi="Cambria Math" w:eastAsia="宋体" w:cs="Times New Roman"/>
                    <w:color w:val="auto"/>
                    <w:sz w:val="24"/>
                    <w:szCs w:val="24"/>
                    <w:highlight w:val="none"/>
                    <w:lang w:val="en-US" w:eastAsia="zh-CN" w:bidi="ar-SA"/>
                  </w:rPr>
                  <m:t>1</m:t>
                </m:r>
                <m:ctrlPr>
                  <w:rPr>
                    <w:rFonts w:hint="default" w:ascii="Cambria Math" w:hAnsi="Cambria Math" w:eastAsia="宋体" w:cs="Times New Roman"/>
                    <w:color w:val="auto"/>
                    <w:sz w:val="24"/>
                    <w:szCs w:val="24"/>
                    <w:highlight w:val="none"/>
                    <w:lang w:val="en-US" w:eastAsia="zh-CN" w:bidi="ar-SA"/>
                  </w:rPr>
                </m:ctrlPr>
              </m:sub>
            </m:sSub>
            <m:ctrlPr>
              <w:rPr>
                <w:rFonts w:hint="default" w:ascii="Cambria Math" w:hAnsi="Cambria Math" w:eastAsia="宋体" w:cs="Times New Roman"/>
                <w:color w:val="auto"/>
                <w:sz w:val="24"/>
                <w:szCs w:val="24"/>
                <w:highlight w:val="none"/>
                <w:lang w:val="en-US" w:eastAsia="zh-CN" w:bidi="ar-SA"/>
              </w:rPr>
            </m:ctrlPr>
          </m:num>
          <m:den>
            <m:sSub>
              <m:sSubPr>
                <m:ctrlPr>
                  <w:rPr>
                    <w:rFonts w:hint="default" w:ascii="Cambria Math" w:hAnsi="Cambria Math" w:eastAsia="宋体" w:cs="Times New Roman"/>
                    <w:color w:val="auto"/>
                    <w:sz w:val="24"/>
                    <w:szCs w:val="24"/>
                    <w:highlight w:val="none"/>
                    <w:lang w:val="en-US" w:eastAsia="zh-CN" w:bidi="ar-SA"/>
                  </w:rPr>
                </m:ctrlPr>
              </m:sSubPr>
              <m:e>
                <m:r>
                  <m:rPr>
                    <m:sty m:val="p"/>
                  </m:rPr>
                  <w:rPr>
                    <w:rFonts w:hint="default" w:ascii="Cambria Math" w:hAnsi="Cambria Math" w:eastAsia="宋体" w:cs="Times New Roman"/>
                    <w:color w:val="auto"/>
                    <w:sz w:val="24"/>
                    <w:szCs w:val="24"/>
                    <w:highlight w:val="none"/>
                    <w:lang w:val="en-US" w:eastAsia="zh-CN" w:bidi="ar-SA"/>
                  </w:rPr>
                  <m:t>m</m:t>
                </m:r>
                <m:ctrlPr>
                  <w:rPr>
                    <w:rFonts w:hint="default" w:ascii="Cambria Math" w:hAnsi="Cambria Math" w:eastAsia="宋体" w:cs="Times New Roman"/>
                    <w:color w:val="auto"/>
                    <w:sz w:val="24"/>
                    <w:szCs w:val="24"/>
                    <w:highlight w:val="none"/>
                    <w:lang w:val="en-US" w:eastAsia="zh-CN" w:bidi="ar-SA"/>
                  </w:rPr>
                </m:ctrlPr>
              </m:e>
              <m:sub>
                <m:r>
                  <m:rPr>
                    <m:sty m:val="p"/>
                  </m:rPr>
                  <w:rPr>
                    <w:rFonts w:hint="default" w:ascii="Cambria Math" w:hAnsi="Cambria Math" w:eastAsia="宋体" w:cs="Times New Roman"/>
                    <w:color w:val="auto"/>
                    <w:sz w:val="24"/>
                    <w:szCs w:val="24"/>
                    <w:highlight w:val="none"/>
                    <w:lang w:val="en-US" w:eastAsia="zh-CN" w:bidi="ar-SA"/>
                  </w:rPr>
                  <m:t>1</m:t>
                </m:r>
                <m:ctrlPr>
                  <w:rPr>
                    <w:rFonts w:hint="default" w:ascii="Cambria Math" w:hAnsi="Cambria Math" w:eastAsia="宋体" w:cs="Times New Roman"/>
                    <w:color w:val="auto"/>
                    <w:sz w:val="24"/>
                    <w:szCs w:val="24"/>
                    <w:highlight w:val="none"/>
                    <w:lang w:val="en-US" w:eastAsia="zh-CN" w:bidi="ar-SA"/>
                  </w:rPr>
                </m:ctrlPr>
              </m:sub>
            </m:sSub>
            <m:ctrlPr>
              <w:rPr>
                <w:rFonts w:hint="default" w:ascii="Cambria Math" w:hAnsi="Cambria Math" w:eastAsia="宋体" w:cs="Times New Roman"/>
                <w:color w:val="auto"/>
                <w:sz w:val="24"/>
                <w:szCs w:val="24"/>
                <w:highlight w:val="none"/>
                <w:lang w:val="en-US" w:eastAsia="zh-CN" w:bidi="ar-SA"/>
              </w:rPr>
            </m:ctrlPr>
          </m:den>
        </m:f>
        <m:r>
          <m:rPr>
            <m:sty m:val="p"/>
          </m:rPr>
          <w:rPr>
            <w:rFonts w:hint="default" w:ascii="Cambria Math" w:hAnsi="Cambria Math" w:eastAsia="宋体" w:cs="Times New Roman"/>
            <w:color w:val="auto"/>
            <w:sz w:val="24"/>
            <w:szCs w:val="24"/>
            <w:highlight w:val="none"/>
            <w:lang w:val="en-US" w:eastAsia="zh-CN" w:bidi="ar-SA"/>
          </w:rPr>
          <m:t>×1</m:t>
        </m:r>
      </m:oMath>
      <w:r>
        <w:rPr>
          <w:rFonts w:hint="default" w:ascii="Times New Roman" w:hAnsi="Times New Roman" w:eastAsia="宋体" w:cs="Times New Roman"/>
          <w:color w:val="auto"/>
          <w:sz w:val="24"/>
          <w:szCs w:val="24"/>
          <w:highlight w:val="none"/>
          <w:lang w:val="en-US" w:eastAsia="zh-CN" w:bidi="ar-SA"/>
        </w:rPr>
        <w:t xml:space="preserve">00%   </w:t>
      </w:r>
      <w:r>
        <w:rPr>
          <w:rFonts w:hint="eastAsia" w:ascii="Times New Roman" w:hAnsi="Times New Roman" w:cs="Times New Roman"/>
          <w:color w:val="auto"/>
          <w:sz w:val="24"/>
          <w:szCs w:val="24"/>
          <w:highlight w:val="none"/>
          <w:lang w:val="en-US" w:eastAsia="zh-CN" w:bidi="ar-SA"/>
        </w:rPr>
        <w:t xml:space="preserve">          </w:t>
      </w:r>
      <w:r>
        <w:rPr>
          <w:rFonts w:hint="default" w:ascii="Times New Roman" w:hAnsi="Times New Roman" w:eastAsia="宋体" w:cs="Times New Roman"/>
          <w:color w:val="auto"/>
          <w:sz w:val="24"/>
          <w:szCs w:val="24"/>
          <w:highlight w:val="none"/>
          <w:lang w:val="en-US" w:eastAsia="zh-CN" w:bidi="ar-SA"/>
        </w:rPr>
        <w:t xml:space="preserve">   公式（1）</w:t>
      </w:r>
    </w:p>
    <w:p w14:paraId="24F648E8">
      <w:pPr>
        <w:pStyle w:val="15"/>
        <w:keepNext w:val="0"/>
        <w:keepLines w:val="0"/>
        <w:pageBreakBefore w:val="0"/>
        <w:widowControl/>
        <w:kinsoku/>
        <w:wordWrap/>
        <w:overflowPunct/>
        <w:topLinePunct w:val="0"/>
        <w:autoSpaceDE/>
        <w:autoSpaceDN/>
        <w:bidi w:val="0"/>
        <w:adjustRightInd w:val="0"/>
        <w:snapToGrid w:val="0"/>
        <w:spacing w:line="380" w:lineRule="exact"/>
        <w:ind w:firstLine="480" w:firstLineChars="200"/>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式中：</w:t>
      </w:r>
    </w:p>
    <w:p w14:paraId="794576DA">
      <w:pPr>
        <w:pStyle w:val="15"/>
        <w:keepNext w:val="0"/>
        <w:keepLines w:val="0"/>
        <w:pageBreakBefore w:val="0"/>
        <w:widowControl/>
        <w:kinsoku/>
        <w:wordWrap/>
        <w:overflowPunct/>
        <w:topLinePunct w:val="0"/>
        <w:autoSpaceDE/>
        <w:autoSpaceDN/>
        <w:bidi w:val="0"/>
        <w:adjustRightInd w:val="0"/>
        <w:snapToGrid w:val="0"/>
        <w:spacing w:line="380" w:lineRule="exact"/>
        <w:ind w:firstLine="480" w:firstLineChars="200"/>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R：干燥桑芽菜复水率，%；</w:t>
      </w:r>
    </w:p>
    <w:p w14:paraId="15275DD3">
      <w:pPr>
        <w:pStyle w:val="15"/>
        <w:keepNext w:val="0"/>
        <w:keepLines w:val="0"/>
        <w:pageBreakBefore w:val="0"/>
        <w:widowControl/>
        <w:kinsoku/>
        <w:wordWrap/>
        <w:overflowPunct/>
        <w:topLinePunct w:val="0"/>
        <w:autoSpaceDE/>
        <w:autoSpaceDN/>
        <w:bidi w:val="0"/>
        <w:adjustRightInd w:val="0"/>
        <w:snapToGrid w:val="0"/>
        <w:spacing w:line="380" w:lineRule="exact"/>
        <w:ind w:firstLine="480" w:firstLineChars="200"/>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m</w:t>
      </w:r>
      <w:r>
        <w:rPr>
          <w:rFonts w:hint="default" w:ascii="Times New Roman" w:hAnsi="Times New Roman" w:eastAsia="宋体" w:cs="Times New Roman"/>
          <w:color w:val="auto"/>
          <w:sz w:val="24"/>
          <w:szCs w:val="24"/>
          <w:highlight w:val="none"/>
          <w:vertAlign w:val="subscript"/>
          <w:lang w:val="en-US" w:eastAsia="zh-CN" w:bidi="ar-SA"/>
        </w:rPr>
        <w:t>1</w:t>
      </w:r>
      <w:r>
        <w:rPr>
          <w:rFonts w:hint="default" w:ascii="Times New Roman" w:hAnsi="Times New Roman" w:eastAsia="宋体" w:cs="Times New Roman"/>
          <w:color w:val="auto"/>
          <w:sz w:val="24"/>
          <w:szCs w:val="24"/>
          <w:highlight w:val="none"/>
          <w:lang w:val="en-US" w:eastAsia="zh-CN" w:bidi="ar-SA"/>
        </w:rPr>
        <w:t>：干制桑芽菜样品质量，g；</w:t>
      </w:r>
    </w:p>
    <w:p w14:paraId="4DC139F3">
      <w:pPr>
        <w:pStyle w:val="15"/>
        <w:keepNext w:val="0"/>
        <w:keepLines w:val="0"/>
        <w:pageBreakBefore w:val="0"/>
        <w:widowControl/>
        <w:kinsoku/>
        <w:wordWrap/>
        <w:overflowPunct/>
        <w:topLinePunct w:val="0"/>
        <w:autoSpaceDE/>
        <w:autoSpaceDN/>
        <w:bidi w:val="0"/>
        <w:adjustRightInd w:val="0"/>
        <w:snapToGrid w:val="0"/>
        <w:spacing w:line="380" w:lineRule="exact"/>
        <w:ind w:firstLine="480" w:firstLineChars="200"/>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m</w:t>
      </w:r>
      <w:r>
        <w:rPr>
          <w:rFonts w:hint="default" w:ascii="Times New Roman" w:hAnsi="Times New Roman" w:eastAsia="宋体" w:cs="Times New Roman"/>
          <w:color w:val="auto"/>
          <w:sz w:val="24"/>
          <w:szCs w:val="24"/>
          <w:highlight w:val="none"/>
          <w:vertAlign w:val="subscript"/>
          <w:lang w:val="en-US" w:eastAsia="zh-CN" w:bidi="ar-SA"/>
        </w:rPr>
        <w:t>2</w:t>
      </w:r>
      <w:r>
        <w:rPr>
          <w:rFonts w:hint="default" w:ascii="Times New Roman" w:hAnsi="Times New Roman" w:eastAsia="宋体" w:cs="Times New Roman"/>
          <w:color w:val="auto"/>
          <w:sz w:val="24"/>
          <w:szCs w:val="24"/>
          <w:highlight w:val="none"/>
          <w:lang w:val="en-US" w:eastAsia="zh-CN" w:bidi="ar-SA"/>
        </w:rPr>
        <w:t>：样品复水后的沥干品质量，g。</w:t>
      </w:r>
    </w:p>
    <w:p w14:paraId="21D9C91B">
      <w:pPr>
        <w:pStyle w:val="15"/>
        <w:keepNext w:val="0"/>
        <w:keepLines w:val="0"/>
        <w:pageBreakBefore w:val="0"/>
        <w:widowControl/>
        <w:numPr>
          <w:ilvl w:val="0"/>
          <w:numId w:val="2"/>
        </w:numPr>
        <w:kinsoku/>
        <w:wordWrap/>
        <w:overflowPunct/>
        <w:topLinePunct w:val="0"/>
        <w:autoSpaceDE/>
        <w:autoSpaceDN/>
        <w:bidi w:val="0"/>
        <w:adjustRightInd w:val="0"/>
        <w:snapToGrid w:val="0"/>
        <w:spacing w:before="157" w:beforeLines="50" w:line="380" w:lineRule="exact"/>
        <w:ind w:firstLine="0" w:firstLineChars="0"/>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国内外同类标准制修订情况及与法律法规、强制性标准关系</w:t>
      </w:r>
    </w:p>
    <w:p w14:paraId="1D58B275">
      <w:pPr>
        <w:pStyle w:val="15"/>
        <w:keepNext w:val="0"/>
        <w:keepLines w:val="0"/>
        <w:pageBreakBefore w:val="0"/>
        <w:widowControl/>
        <w:numPr>
          <w:ilvl w:val="0"/>
          <w:numId w:val="0"/>
        </w:numPr>
        <w:kinsoku/>
        <w:wordWrap/>
        <w:overflowPunct/>
        <w:topLinePunct w:val="0"/>
        <w:autoSpaceDE/>
        <w:autoSpaceDN/>
        <w:bidi w:val="0"/>
        <w:adjustRightInd w:val="0"/>
        <w:snapToGrid w:val="0"/>
        <w:spacing w:line="380" w:lineRule="exact"/>
        <w:ind w:firstLine="480" w:firstLineChars="200"/>
        <w:textAlignment w:val="auto"/>
        <w:rPr>
          <w:rFonts w:hint="default" w:ascii="Times New Roman" w:hAnsi="Times New Roman" w:eastAsia="宋体" w:cs="Times New Roman"/>
          <w:color w:val="FF0000"/>
          <w:sz w:val="24"/>
          <w:szCs w:val="24"/>
          <w:highlight w:val="none"/>
          <w:lang w:eastAsia="zh-CN"/>
        </w:rPr>
      </w:pPr>
      <w:r>
        <w:rPr>
          <w:rFonts w:hint="default" w:ascii="Times New Roman" w:hAnsi="Times New Roman" w:eastAsia="宋体" w:cs="Times New Roman"/>
          <w:color w:val="auto"/>
          <w:sz w:val="24"/>
          <w:szCs w:val="24"/>
          <w:highlight w:val="none"/>
        </w:rPr>
        <w:t>经查阅，未制定与干制桑芽菜有关的国家、行业标准；相比于</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T/NCJSC 1-2022 脱水桑叶菜加工技术规程》的</w:t>
      </w:r>
      <w:r>
        <w:rPr>
          <w:rFonts w:hint="eastAsia" w:ascii="Times New Roman" w:hAnsi="Times New Roman" w:cs="Times New Roman"/>
          <w:color w:val="auto"/>
          <w:sz w:val="24"/>
          <w:szCs w:val="24"/>
          <w:highlight w:val="none"/>
          <w:lang w:eastAsia="zh-CN"/>
        </w:rPr>
        <w:t>漂烫</w:t>
      </w:r>
      <w:r>
        <w:rPr>
          <w:rFonts w:hint="default" w:ascii="Times New Roman" w:hAnsi="Times New Roman" w:eastAsia="宋体" w:cs="Times New Roman"/>
          <w:color w:val="auto"/>
          <w:sz w:val="24"/>
          <w:szCs w:val="24"/>
          <w:highlight w:val="none"/>
        </w:rPr>
        <w:t>温度为55 ℃～60 ℃，时间为1</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min左右，本人申请技术规程</w:t>
      </w:r>
      <w:r>
        <w:rPr>
          <w:rFonts w:hint="eastAsia" w:ascii="Times New Roman" w:hAnsi="Times New Roman" w:cs="Times New Roman"/>
          <w:color w:val="auto"/>
          <w:sz w:val="24"/>
          <w:szCs w:val="24"/>
          <w:highlight w:val="none"/>
          <w:lang w:eastAsia="zh-CN"/>
        </w:rPr>
        <w:t>漂烫</w:t>
      </w:r>
      <w:r>
        <w:rPr>
          <w:rFonts w:hint="default" w:ascii="Times New Roman" w:hAnsi="Times New Roman" w:eastAsia="宋体" w:cs="Times New Roman"/>
          <w:color w:val="auto"/>
          <w:sz w:val="24"/>
          <w:szCs w:val="24"/>
          <w:highlight w:val="none"/>
        </w:rPr>
        <w:t>温度为95 ℃～100 ℃，时间为30 s</w:t>
      </w:r>
      <w:bookmarkStart w:id="6" w:name="_GoBack"/>
      <w:bookmarkEnd w:id="6"/>
      <w:r>
        <w:rPr>
          <w:rFonts w:hint="default" w:ascii="Times New Roman" w:hAnsi="Times New Roman" w:eastAsia="宋体" w:cs="Times New Roman"/>
          <w:color w:val="auto"/>
          <w:sz w:val="24"/>
          <w:szCs w:val="24"/>
          <w:highlight w:val="none"/>
        </w:rPr>
        <w:t>灭酶效果更好；相比于广东省蔬菜产业协会发布团体标准《T/GDVIA 028.6-2022 桑芽菜全产业链标准体系 干桑芽菜加工技术规程》使用的热泵干燥技术，本人申请的技术规程采用的热风干燥技术更节约设备成本，操作更加便捷；除此之外本人申请技术规程明确了冷却步骤的时间，弥补了以上2项团体标准的不足。</w:t>
      </w:r>
      <w:r>
        <w:rPr>
          <w:rFonts w:hint="default" w:ascii="Times New Roman" w:hAnsi="Times New Roman" w:eastAsia="宋体" w:cs="Times New Roman"/>
          <w:color w:val="auto"/>
          <w:sz w:val="24"/>
          <w:szCs w:val="24"/>
          <w:highlight w:val="none"/>
          <w:lang w:eastAsia="zh-CN"/>
        </w:rPr>
        <w:t>与广西地方标准《DB45/T 2493—2022</w:t>
      </w:r>
      <w:r>
        <w:rPr>
          <w:rFonts w:hint="default" w:ascii="Times New Roman" w:hAnsi="Times New Roman" w:eastAsia="宋体" w:cs="Times New Roman"/>
          <w:color w:val="auto"/>
          <w:sz w:val="24"/>
          <w:szCs w:val="24"/>
          <w:highlight w:val="none"/>
          <w:lang w:val="en-US" w:eastAsia="zh-CN"/>
        </w:rPr>
        <w:t xml:space="preserve"> 冷冻桑芽菜加工技术规程</w:t>
      </w:r>
      <w:r>
        <w:rPr>
          <w:rFonts w:hint="default" w:ascii="Times New Roman" w:hAnsi="Times New Roman" w:eastAsia="宋体" w:cs="Times New Roman"/>
          <w:color w:val="auto"/>
          <w:sz w:val="24"/>
          <w:szCs w:val="24"/>
          <w:highlight w:val="none"/>
          <w:lang w:eastAsia="zh-CN"/>
        </w:rPr>
        <w:t>》相比，</w:t>
      </w:r>
      <w:r>
        <w:rPr>
          <w:rFonts w:hint="default" w:ascii="Times New Roman" w:hAnsi="Times New Roman" w:eastAsia="宋体" w:cs="Times New Roman"/>
          <w:color w:val="auto"/>
          <w:sz w:val="24"/>
          <w:szCs w:val="24"/>
          <w:highlight w:val="none"/>
        </w:rPr>
        <w:t>本人申请的技术规程</w:t>
      </w:r>
      <w:r>
        <w:rPr>
          <w:rFonts w:hint="default" w:ascii="Times New Roman" w:hAnsi="Times New Roman" w:eastAsia="宋体" w:cs="Times New Roman"/>
          <w:color w:val="auto"/>
          <w:sz w:val="24"/>
          <w:szCs w:val="24"/>
          <w:highlight w:val="none"/>
          <w:lang w:eastAsia="zh-CN"/>
        </w:rPr>
        <w:t>不需要冷冻工艺，且产品可以在常温下储存及运输。</w:t>
      </w:r>
    </w:p>
    <w:p w14:paraId="32746624">
      <w:pPr>
        <w:pStyle w:val="15"/>
        <w:numPr>
          <w:ilvl w:val="0"/>
          <w:numId w:val="2"/>
        </w:numPr>
        <w:adjustRightInd w:val="0"/>
        <w:snapToGrid w:val="0"/>
        <w:spacing w:line="380" w:lineRule="exact"/>
        <w:ind w:firstLine="0" w:firstLineChars="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标准编制的组织保障</w:t>
      </w:r>
    </w:p>
    <w:p w14:paraId="5D91886B">
      <w:pPr>
        <w:keepNext w:val="0"/>
        <w:keepLines w:val="0"/>
        <w:pageBreakBefore w:val="0"/>
        <w:kinsoku/>
        <w:wordWrap/>
        <w:overflowPunct/>
        <w:topLinePunct w:val="0"/>
        <w:bidi w:val="0"/>
        <w:snapToGrid/>
        <w:spacing w:line="440" w:lineRule="exact"/>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szCs w:val="24"/>
          <w:highlight w:val="none"/>
          <w:lang w:val="en-US" w:eastAsia="zh-CN" w:bidi="ar-SA"/>
        </w:rPr>
        <w:t>2024年第十六批广西标准化协会团体标准制定（修订）项目计划下达后，我单位成立标准起草工作小组；部署了制标工作方案和小组成员分工负责标准起草工作时间安排表，全面启动了我单位开展</w:t>
      </w:r>
      <w:r>
        <w:rPr>
          <w:rFonts w:hint="default" w:ascii="宋体" w:hAnsi="宋体" w:eastAsia="宋体" w:cs="宋体"/>
          <w:color w:val="auto"/>
          <w:sz w:val="24"/>
          <w:szCs w:val="24"/>
          <w:highlight w:val="none"/>
          <w:lang w:val="en-US" w:eastAsia="zh-CN" w:bidi="ar-SA"/>
        </w:rPr>
        <w:t>“干制桑芽菜加工技术规程”团</w:t>
      </w:r>
      <w:r>
        <w:rPr>
          <w:rFonts w:hint="default" w:ascii="Times New Roman" w:hAnsi="Times New Roman" w:eastAsia="宋体" w:cs="Times New Roman"/>
          <w:color w:val="auto"/>
          <w:sz w:val="24"/>
          <w:szCs w:val="24"/>
          <w:highlight w:val="none"/>
          <w:lang w:val="en-US" w:eastAsia="zh-CN" w:bidi="ar-SA"/>
        </w:rPr>
        <w:t>体标准的编制工作。在起草的过程中，课题成员不断地验证、完善规程的技术参数，并进行重复试验验证，最终形成了本标准的修订思路和纲要，于2024年10月初完</w:t>
      </w:r>
      <w:r>
        <w:rPr>
          <w:rFonts w:hint="eastAsia" w:ascii="宋体" w:hAnsi="宋体" w:eastAsia="宋体" w:cs="宋体"/>
          <w:color w:val="auto"/>
          <w:sz w:val="24"/>
          <w:szCs w:val="24"/>
          <w:highlight w:val="none"/>
          <w:lang w:val="en-US" w:eastAsia="zh-CN" w:bidi="ar-SA"/>
        </w:rPr>
        <w:t>成“干制桑芽菜加工技术规程”团体标</w:t>
      </w:r>
      <w:r>
        <w:rPr>
          <w:rFonts w:hint="default" w:ascii="Times New Roman" w:hAnsi="Times New Roman" w:eastAsia="宋体" w:cs="Times New Roman"/>
          <w:color w:val="auto"/>
          <w:sz w:val="24"/>
          <w:szCs w:val="24"/>
          <w:highlight w:val="none"/>
          <w:lang w:val="en-US" w:eastAsia="zh-CN" w:bidi="ar-SA"/>
        </w:rPr>
        <w:t>准的征求意见稿。</w:t>
      </w:r>
    </w:p>
    <w:p w14:paraId="258A31C9">
      <w:pPr>
        <w:pStyle w:val="15"/>
        <w:numPr>
          <w:ilvl w:val="0"/>
          <w:numId w:val="2"/>
        </w:numPr>
        <w:adjustRightInd w:val="0"/>
        <w:snapToGrid w:val="0"/>
        <w:spacing w:line="380" w:lineRule="exact"/>
        <w:ind w:firstLine="0" w:firstLineChars="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重大分歧意见的处理经过和依据</w:t>
      </w:r>
    </w:p>
    <w:p w14:paraId="4F51C520">
      <w:pPr>
        <w:keepNext w:val="0"/>
        <w:keepLines w:val="0"/>
        <w:pageBreakBefore w:val="0"/>
        <w:kinsoku/>
        <w:wordWrap/>
        <w:overflowPunct/>
        <w:topLinePunct w:val="0"/>
        <w:bidi w:val="0"/>
        <w:snapToGrid/>
        <w:spacing w:line="440" w:lineRule="exact"/>
        <w:ind w:firstLine="480" w:firstLineChars="200"/>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本文件研制过程中无重大分歧意见。</w:t>
      </w:r>
    </w:p>
    <w:p w14:paraId="4A40766B">
      <w:pPr>
        <w:pStyle w:val="15"/>
        <w:adjustRightInd w:val="0"/>
        <w:snapToGrid w:val="0"/>
        <w:spacing w:line="380" w:lineRule="exact"/>
        <w:ind w:left="0" w:leftChars="0" w:firstLine="0" w:firstLineChars="0"/>
        <w:rPr>
          <w:rFonts w:hint="default" w:ascii="Times New Roman" w:hAnsi="Times New Roman" w:eastAsia="宋体" w:cs="Times New Roman"/>
          <w:color w:val="auto"/>
          <w:sz w:val="24"/>
          <w:szCs w:val="24"/>
          <w:highlight w:val="none"/>
        </w:rPr>
      </w:pPr>
    </w:p>
    <w:p w14:paraId="4128F625">
      <w:pPr>
        <w:pStyle w:val="15"/>
        <w:adjustRightInd w:val="0"/>
        <w:snapToGrid w:val="0"/>
        <w:spacing w:line="380" w:lineRule="exact"/>
        <w:ind w:left="0" w:leftChars="0" w:firstLine="0" w:firstLineChars="0"/>
        <w:rPr>
          <w:rFonts w:hint="default" w:ascii="Times New Roman" w:hAnsi="Times New Roman" w:eastAsia="宋体" w:cs="Times New Roman"/>
          <w:color w:val="auto"/>
          <w:sz w:val="24"/>
          <w:szCs w:val="24"/>
          <w:highlight w:val="none"/>
        </w:rPr>
      </w:pPr>
    </w:p>
    <w:p w14:paraId="70932004">
      <w:pPr>
        <w:pStyle w:val="15"/>
        <w:adjustRightInd w:val="0"/>
        <w:snapToGrid w:val="0"/>
        <w:spacing w:line="380" w:lineRule="exact"/>
        <w:ind w:left="0" w:leftChars="0" w:firstLine="0" w:firstLineChars="0"/>
        <w:rPr>
          <w:rFonts w:hint="default" w:ascii="Times New Roman" w:hAnsi="Times New Roman" w:eastAsia="宋体" w:cs="Times New Roman"/>
          <w:color w:val="auto"/>
          <w:sz w:val="24"/>
          <w:szCs w:val="24"/>
          <w:highlight w:val="none"/>
        </w:rPr>
      </w:pPr>
    </w:p>
    <w:p w14:paraId="6399B9B0">
      <w:pPr>
        <w:pStyle w:val="15"/>
        <w:adjustRightInd w:val="0"/>
        <w:snapToGrid w:val="0"/>
        <w:spacing w:line="380" w:lineRule="exact"/>
        <w:ind w:left="0" w:leftChars="0" w:firstLine="0" w:firstLineChars="0"/>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参考文献</w:t>
      </w:r>
    </w:p>
    <w:p w14:paraId="7E90466B">
      <w:pPr>
        <w:pStyle w:val="15"/>
        <w:keepNext w:val="0"/>
        <w:keepLines w:val="0"/>
        <w:pageBreakBefore w:val="0"/>
        <w:widowControl/>
        <w:numPr>
          <w:ilvl w:val="0"/>
          <w:numId w:val="3"/>
        </w:numPr>
        <w:kinsoku/>
        <w:wordWrap/>
        <w:overflowPunct/>
        <w:topLinePunct w:val="0"/>
        <w:autoSpaceDE/>
        <w:autoSpaceDN/>
        <w:bidi w:val="0"/>
        <w:adjustRightInd w:val="0"/>
        <w:snapToGrid w:val="0"/>
        <w:spacing w:line="380" w:lineRule="exact"/>
        <w:ind w:left="480" w:leftChars="0" w:hanging="480" w:hangingChars="200"/>
        <w:jc w:val="both"/>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侯瑞明,</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吕利贞.</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脱水蔬菜的干制方法及其控制分析[J].</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农产品加工,</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2017,</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(24):</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59-61.</w:t>
      </w:r>
    </w:p>
    <w:p w14:paraId="2EB384BD">
      <w:pPr>
        <w:pStyle w:val="15"/>
        <w:keepNext w:val="0"/>
        <w:keepLines w:val="0"/>
        <w:pageBreakBefore w:val="0"/>
        <w:widowControl/>
        <w:numPr>
          <w:ilvl w:val="0"/>
          <w:numId w:val="3"/>
        </w:numPr>
        <w:kinsoku/>
        <w:wordWrap/>
        <w:overflowPunct/>
        <w:topLinePunct w:val="0"/>
        <w:autoSpaceDE/>
        <w:autoSpaceDN/>
        <w:bidi w:val="0"/>
        <w:adjustRightInd w:val="0"/>
        <w:snapToGrid w:val="0"/>
        <w:spacing w:line="380" w:lineRule="exact"/>
        <w:ind w:left="480" w:leftChars="0" w:hanging="480" w:hangingChars="200"/>
        <w:jc w:val="both"/>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尹燕,</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李霞,</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李永才,</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等.</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微波-热风联合干燥方法对兰州百合品质的影响[J].</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食品安全质量检测学报,</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2024,</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15(10):</w:t>
      </w:r>
      <w:r>
        <w:rPr>
          <w:rFonts w:hint="eastAsia" w:ascii="Times New Roman" w:hAnsi="Times New Roman"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lang w:val="en-US" w:eastAsia="zh-CN"/>
        </w:rPr>
        <w:t>304-312.</w:t>
      </w:r>
    </w:p>
    <w:p w14:paraId="6FD83F83">
      <w:pPr>
        <w:pStyle w:val="15"/>
        <w:keepNext w:val="0"/>
        <w:keepLines w:val="0"/>
        <w:pageBreakBefore w:val="0"/>
        <w:widowControl/>
        <w:kinsoku/>
        <w:wordWrap/>
        <w:overflowPunct/>
        <w:topLinePunct w:val="0"/>
        <w:autoSpaceDE/>
        <w:autoSpaceDN/>
        <w:bidi w:val="0"/>
        <w:adjustRightInd w:val="0"/>
        <w:snapToGrid w:val="0"/>
        <w:spacing w:line="380" w:lineRule="exact"/>
        <w:ind w:left="480" w:leftChars="0" w:hanging="480" w:hangingChars="200"/>
        <w:jc w:val="both"/>
        <w:textAlignment w:val="auto"/>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[3]</w:t>
      </w:r>
      <w:r>
        <w:rPr>
          <w:rFonts w:hint="default" w:ascii="Times New Roman" w:hAnsi="Times New Roman" w:eastAsia="宋体" w:cs="Times New Roman"/>
          <w:b w:val="0"/>
          <w:bCs w:val="0"/>
          <w:color w:val="auto"/>
          <w:sz w:val="24"/>
          <w:szCs w:val="24"/>
          <w:highlight w:val="none"/>
          <w:lang w:val="en-US" w:eastAsia="zh-CN"/>
        </w:rPr>
        <w:t>徐雯雯, 陆春霞, 肖潇, 等. 桂桑优12和粤椹大10不同季节和叶位的桑叶</w:t>
      </w:r>
      <w:r>
        <w:rPr>
          <w:rFonts w:hint="default" w:ascii="Times New Roman" w:hAnsi="Times New Roman" w:eastAsia="宋体" w:cs="Times New Roman"/>
          <w:color w:val="auto"/>
          <w:sz w:val="24"/>
          <w:szCs w:val="24"/>
          <w:highlight w:val="none"/>
          <w:lang w:val="en-US" w:eastAsia="zh-CN"/>
        </w:rPr>
        <w:t>及桑叶茶品质分析[J]. 广西蚕业, 2023, 60(2): 12-19.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F9BB4"/>
    <w:multiLevelType w:val="singleLevel"/>
    <w:tmpl w:val="000F9BB4"/>
    <w:lvl w:ilvl="0" w:tentative="0">
      <w:start w:val="1"/>
      <w:numFmt w:val="decimal"/>
      <w:lvlText w:val="[%1]"/>
      <w:lvlJc w:val="left"/>
      <w:pPr>
        <w:tabs>
          <w:tab w:val="left" w:pos="312"/>
        </w:tabs>
      </w:pPr>
    </w:lvl>
  </w:abstractNum>
  <w:abstractNum w:abstractNumId="1">
    <w:nsid w:val="36EC2BC4"/>
    <w:multiLevelType w:val="multilevel"/>
    <w:tmpl w:val="36EC2BC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A844D8E"/>
    <w:multiLevelType w:val="singleLevel"/>
    <w:tmpl w:val="5A844D8E"/>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NjMTdhZGMyNDNkYmQwOGY2NDJjYjViMDIzZDVhZmYifQ=="/>
  </w:docVars>
  <w:rsids>
    <w:rsidRoot w:val="00E0347E"/>
    <w:rsid w:val="00040998"/>
    <w:rsid w:val="00045A5A"/>
    <w:rsid w:val="00075D68"/>
    <w:rsid w:val="000B62C8"/>
    <w:rsid w:val="000C4E75"/>
    <w:rsid w:val="000C5246"/>
    <w:rsid w:val="00145CD3"/>
    <w:rsid w:val="00154128"/>
    <w:rsid w:val="001C60F7"/>
    <w:rsid w:val="001E41D6"/>
    <w:rsid w:val="00247CA4"/>
    <w:rsid w:val="00262E83"/>
    <w:rsid w:val="00272137"/>
    <w:rsid w:val="00283A35"/>
    <w:rsid w:val="00286B82"/>
    <w:rsid w:val="002C3910"/>
    <w:rsid w:val="00326EE8"/>
    <w:rsid w:val="00327CC9"/>
    <w:rsid w:val="003526AF"/>
    <w:rsid w:val="00365F14"/>
    <w:rsid w:val="00387890"/>
    <w:rsid w:val="003A4AF8"/>
    <w:rsid w:val="003A53CD"/>
    <w:rsid w:val="0042098A"/>
    <w:rsid w:val="00425720"/>
    <w:rsid w:val="0050537B"/>
    <w:rsid w:val="00546683"/>
    <w:rsid w:val="005B2287"/>
    <w:rsid w:val="00655DD2"/>
    <w:rsid w:val="006B23AD"/>
    <w:rsid w:val="00714AFE"/>
    <w:rsid w:val="007E000A"/>
    <w:rsid w:val="0081324A"/>
    <w:rsid w:val="0081423F"/>
    <w:rsid w:val="00840C62"/>
    <w:rsid w:val="00852E98"/>
    <w:rsid w:val="008536E6"/>
    <w:rsid w:val="00857B2B"/>
    <w:rsid w:val="00864434"/>
    <w:rsid w:val="00906A20"/>
    <w:rsid w:val="00926014"/>
    <w:rsid w:val="00A55F8A"/>
    <w:rsid w:val="00A60733"/>
    <w:rsid w:val="00B71F59"/>
    <w:rsid w:val="00B761B2"/>
    <w:rsid w:val="00B94DE7"/>
    <w:rsid w:val="00BF2F81"/>
    <w:rsid w:val="00C06DFF"/>
    <w:rsid w:val="00C15AF9"/>
    <w:rsid w:val="00C60BFE"/>
    <w:rsid w:val="00CC40FB"/>
    <w:rsid w:val="00D1791A"/>
    <w:rsid w:val="00D21BFE"/>
    <w:rsid w:val="00D66DA2"/>
    <w:rsid w:val="00D93A0A"/>
    <w:rsid w:val="00DA4718"/>
    <w:rsid w:val="00DC6297"/>
    <w:rsid w:val="00E0347E"/>
    <w:rsid w:val="00E52BF4"/>
    <w:rsid w:val="00E65370"/>
    <w:rsid w:val="00E94B16"/>
    <w:rsid w:val="00E97EBE"/>
    <w:rsid w:val="00F27EA3"/>
    <w:rsid w:val="00F37282"/>
    <w:rsid w:val="00F952B6"/>
    <w:rsid w:val="00FE078B"/>
    <w:rsid w:val="02FA613C"/>
    <w:rsid w:val="05485E21"/>
    <w:rsid w:val="06A91579"/>
    <w:rsid w:val="09383975"/>
    <w:rsid w:val="0A130955"/>
    <w:rsid w:val="0A965F47"/>
    <w:rsid w:val="0C6D2756"/>
    <w:rsid w:val="119B0164"/>
    <w:rsid w:val="12AE0904"/>
    <w:rsid w:val="151076B4"/>
    <w:rsid w:val="15D241DC"/>
    <w:rsid w:val="17C63699"/>
    <w:rsid w:val="193E0C4B"/>
    <w:rsid w:val="1A5B3B12"/>
    <w:rsid w:val="1AA50278"/>
    <w:rsid w:val="1AC17353"/>
    <w:rsid w:val="1AF54E77"/>
    <w:rsid w:val="1C56042C"/>
    <w:rsid w:val="207E094B"/>
    <w:rsid w:val="228049F1"/>
    <w:rsid w:val="258B1167"/>
    <w:rsid w:val="267E061F"/>
    <w:rsid w:val="309D0472"/>
    <w:rsid w:val="32715B68"/>
    <w:rsid w:val="39BF18AF"/>
    <w:rsid w:val="3A501423"/>
    <w:rsid w:val="3CCC7526"/>
    <w:rsid w:val="40CB0EDD"/>
    <w:rsid w:val="41354774"/>
    <w:rsid w:val="44B51B35"/>
    <w:rsid w:val="4E0A3E8A"/>
    <w:rsid w:val="532A43FD"/>
    <w:rsid w:val="56D93B58"/>
    <w:rsid w:val="58D141B4"/>
    <w:rsid w:val="5A1B4BD1"/>
    <w:rsid w:val="5D833EB9"/>
    <w:rsid w:val="62AF32D4"/>
    <w:rsid w:val="658361F5"/>
    <w:rsid w:val="681F52D0"/>
    <w:rsid w:val="6B19752C"/>
    <w:rsid w:val="6BD902BA"/>
    <w:rsid w:val="711E538F"/>
    <w:rsid w:val="73412411"/>
    <w:rsid w:val="73522D24"/>
    <w:rsid w:val="74AD5E25"/>
    <w:rsid w:val="7D7F3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pPr>
    <w:rPr>
      <w:sz w:val="18"/>
      <w:szCs w:val="18"/>
    </w:rPr>
  </w:style>
  <w:style w:type="paragraph" w:styleId="3">
    <w:name w:val="header"/>
    <w:basedOn w:val="1"/>
    <w:link w:val="9"/>
    <w:unhideWhenUsed/>
    <w:qFormat/>
    <w:uiPriority w:val="99"/>
    <w:pPr>
      <w:tabs>
        <w:tab w:val="center" w:pos="4153"/>
        <w:tab w:val="right" w:pos="8306"/>
      </w:tabs>
      <w:snapToGrid w:val="0"/>
      <w:jc w:val="center"/>
    </w:pPr>
    <w:rPr>
      <w:sz w:val="18"/>
      <w:szCs w:val="18"/>
    </w:rPr>
  </w:style>
  <w:style w:type="paragraph" w:styleId="4">
    <w:name w:val="Normal (Web)"/>
    <w:basedOn w:val="1"/>
    <w:link w:val="16"/>
    <w:unhideWhenUsed/>
    <w:qFormat/>
    <w:uiPriority w:val="99"/>
    <w:pPr>
      <w:spacing w:before="100" w:beforeAutospacing="1" w:after="100" w:afterAutospacing="1"/>
    </w:p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bCs/>
    </w:rPr>
  </w:style>
  <w:style w:type="character" w:customStyle="1" w:styleId="9">
    <w:name w:val="页眉 字符"/>
    <w:basedOn w:val="7"/>
    <w:link w:val="3"/>
    <w:qFormat/>
    <w:uiPriority w:val="99"/>
    <w:rPr>
      <w:sz w:val="18"/>
      <w:szCs w:val="18"/>
    </w:rPr>
  </w:style>
  <w:style w:type="character" w:customStyle="1" w:styleId="10">
    <w:name w:val="页脚 字符"/>
    <w:basedOn w:val="7"/>
    <w:link w:val="2"/>
    <w:qFormat/>
    <w:uiPriority w:val="99"/>
    <w:rPr>
      <w:sz w:val="18"/>
      <w:szCs w:val="18"/>
    </w:rPr>
  </w:style>
  <w:style w:type="paragraph" w:customStyle="1" w:styleId="11">
    <w:name w:val="段"/>
    <w:link w:val="1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
    <w:name w:val="段 Char"/>
    <w:link w:val="11"/>
    <w:qFormat/>
    <w:uiPriority w:val="0"/>
    <w:rPr>
      <w:rFonts w:ascii="宋体" w:hAnsi="Times New Roman" w:eastAsia="宋体" w:cs="Times New Roman"/>
      <w:kern w:val="0"/>
      <w:szCs w:val="20"/>
    </w:rPr>
  </w:style>
  <w:style w:type="paragraph" w:customStyle="1" w:styleId="13">
    <w:name w:val="标准文件_段"/>
    <w:link w:val="1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link w:val="13"/>
    <w:qFormat/>
    <w:uiPriority w:val="0"/>
    <w:rPr>
      <w:rFonts w:ascii="宋体" w:hAnsi="Times New Roman" w:eastAsia="宋体" w:cs="Times New Roman"/>
      <w:kern w:val="0"/>
      <w:szCs w:val="20"/>
    </w:rPr>
  </w:style>
  <w:style w:type="paragraph" w:styleId="15">
    <w:name w:val="List Paragraph"/>
    <w:basedOn w:val="1"/>
    <w:qFormat/>
    <w:uiPriority w:val="34"/>
    <w:pPr>
      <w:ind w:firstLine="420" w:firstLineChars="200"/>
    </w:pPr>
  </w:style>
  <w:style w:type="character" w:customStyle="1" w:styleId="16">
    <w:name w:val="普通(网站) 字符"/>
    <w:basedOn w:val="7"/>
    <w:link w:val="4"/>
    <w:qFormat/>
    <w:uiPriority w:val="99"/>
    <w:rPr>
      <w:rFonts w:ascii="宋体" w:hAnsi="宋体" w:cs="宋体"/>
      <w:sz w:val="24"/>
      <w:szCs w:val="24"/>
    </w:rPr>
  </w:style>
  <w:style w:type="character" w:customStyle="1" w:styleId="17">
    <w:name w:val="title-grjjrl"/>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xww\01gxcy\08&#35770;&#25991;\03&#24178;&#21046;&#26705;&#33469;&#33756;\&#22242;&#20307;&#25216;&#26415;&#35268;&#31243;-&#20919;&#20923;&#24178;&#29157;&#26705;&#21494;&#33756;\&#26032;\&#24464;&#65292;&#24635;&#2771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6777026946807"/>
          <c:y val="0.157027373337802"/>
          <c:w val="0.785127334465195"/>
          <c:h val="0.596738544474394"/>
        </c:manualLayout>
      </c:layout>
      <c:barChart>
        <c:barDir val="col"/>
        <c:grouping val="clustered"/>
        <c:varyColors val="0"/>
        <c:ser>
          <c:idx val="0"/>
          <c:order val="0"/>
          <c:spPr>
            <a:solidFill>
              <a:schemeClr val="accent1"/>
            </a:solidFill>
            <a:ln w="19050" cap="rnd">
              <a:noFill/>
              <a:round/>
            </a:ln>
            <a:effectLst/>
          </c:spPr>
          <c:invertIfNegative val="0"/>
          <c:dLbls>
            <c:delete val="1"/>
          </c:dLbls>
          <c:cat>
            <c:strRef>
              <c:f>'[徐，总汇1.xlsx]复水率'!$A$2:$A$9</c:f>
              <c:strCache>
                <c:ptCount val="8"/>
                <c:pt idx="0">
                  <c:v>1</c:v>
                </c:pt>
                <c:pt idx="1">
                  <c:v>2</c:v>
                </c:pt>
                <c:pt idx="2">
                  <c:v>3</c:v>
                </c:pt>
                <c:pt idx="3">
                  <c:v>4</c:v>
                </c:pt>
                <c:pt idx="4">
                  <c:v>5</c:v>
                </c:pt>
                <c:pt idx="5">
                  <c:v>6</c:v>
                </c:pt>
                <c:pt idx="6">
                  <c:v>……</c:v>
                </c:pt>
                <c:pt idx="7">
                  <c:v>10</c:v>
                </c:pt>
              </c:strCache>
            </c:strRef>
          </c:cat>
          <c:val>
            <c:numRef>
              <c:f>'[徐，总汇1.xlsx]复水率'!$C$2:$C$9</c:f>
              <c:numCache>
                <c:formatCode>General</c:formatCode>
                <c:ptCount val="8"/>
                <c:pt idx="0">
                  <c:v>301.282051282051</c:v>
                </c:pt>
                <c:pt idx="1">
                  <c:v>338.461538461538</c:v>
                </c:pt>
                <c:pt idx="2">
                  <c:v>363.461538461538</c:v>
                </c:pt>
                <c:pt idx="3">
                  <c:v>383.974358974359</c:v>
                </c:pt>
                <c:pt idx="4">
                  <c:v>406.410256410256</c:v>
                </c:pt>
                <c:pt idx="5">
                  <c:v>411.538461538461</c:v>
                </c:pt>
                <c:pt idx="6">
                  <c:v>0</c:v>
                </c:pt>
                <c:pt idx="7">
                  <c:v>425</c:v>
                </c:pt>
              </c:numCache>
            </c:numRef>
          </c:val>
        </c:ser>
        <c:dLbls>
          <c:showLegendKey val="0"/>
          <c:showVal val="0"/>
          <c:showCatName val="0"/>
          <c:showSerName val="0"/>
          <c:showPercent val="0"/>
          <c:showBubbleSize val="0"/>
        </c:dLbls>
        <c:gapWidth val="150"/>
        <c:overlap val="0"/>
        <c:axId val="342035104"/>
        <c:axId val="966607358"/>
      </c:barChart>
      <c:catAx>
        <c:axId val="342035104"/>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复水时间（</a:t>
                </a:r>
                <a:r>
                  <a:rPr lang="en-US" altLang="zh-CN"/>
                  <a:t>min)</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6607358"/>
        <c:crosses val="autoZero"/>
        <c:auto val="1"/>
        <c:lblAlgn val="ctr"/>
        <c:lblOffset val="100"/>
        <c:noMultiLvlLbl val="0"/>
      </c:catAx>
      <c:valAx>
        <c:axId val="966607358"/>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altLang="en-US"/>
                  <a:t>复水率（</a:t>
                </a:r>
                <a:r>
                  <a:rPr lang="en-US" altLang="zh-CN"/>
                  <a:t>%</a:t>
                </a:r>
                <a:r>
                  <a:rPr altLang="en-US"/>
                  <a:t>）</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2035104"/>
        <c:crosses val="autoZero"/>
        <c:crossBetween val="between"/>
        <c:majorUnit val="100"/>
      </c:valAx>
      <c:spPr>
        <a:noFill/>
        <a:ln w="9525" cap="flat" cmpd="sng" algn="ctr">
          <a:solidFill>
            <a:schemeClr val="tx1">
              <a:lumMod val="15000"/>
              <a:lumOff val="85000"/>
            </a:schemeClr>
          </a:solidFill>
          <a:round/>
        </a:ln>
        <a:effectLst/>
      </c:spPr>
    </c:plotArea>
    <c:plotVisOnly val="1"/>
    <c:dispBlanksAs val="gap"/>
    <c:showDLblsOverMax val="0"/>
    <c:extLst>
      <c:ext uri="{0b15fc19-7d7d-44ad-8c2d-2c3a37ce22c3}">
        <chartProps xmlns="https://web.wps.cn/et/2018/main" chartId="{21196597-f5ab-4b8f-ac27-02b4533deac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17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no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5239</Words>
  <Characters>6226</Characters>
  <Lines>54</Lines>
  <Paragraphs>15</Paragraphs>
  <TotalTime>2</TotalTime>
  <ScaleCrop>false</ScaleCrop>
  <LinksUpToDate>false</LinksUpToDate>
  <CharactersWithSpaces>6323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2024-10-08T13:40:00Z</dcterms:created>
  <dc:creator>lenovo</dc:creator>
  <cp:lastModifiedBy>#白白</cp:lastModifiedBy>
  <dcterms:modified xsi:type="dcterms:W3CDTF">2024-10-31T09:22:17Z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72B8A458EA6A4DB3AC8180EF217BCCBE_13</vt:lpwstr>
  </property>
</Properties>
</file>