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4CC0B4">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团体标准《</w:t>
      </w:r>
      <w:r>
        <w:rPr>
          <w:rFonts w:hint="eastAsia" w:ascii="方正小标宋简体" w:hAnsi="方正小标宋简体" w:eastAsia="方正小标宋简体" w:cs="方正小标宋简体"/>
          <w:sz w:val="44"/>
          <w:szCs w:val="44"/>
          <w:lang w:val="en-US" w:eastAsia="zh-CN"/>
        </w:rPr>
        <w:t>六堡茶年份茶品鉴指南</w:t>
      </w:r>
      <w:r>
        <w:rPr>
          <w:rFonts w:hint="eastAsia" w:ascii="方正小标宋简体" w:hAnsi="方正小标宋简体" w:eastAsia="方正小标宋简体" w:cs="方正小标宋简体"/>
          <w:sz w:val="44"/>
          <w:szCs w:val="44"/>
        </w:rPr>
        <w:t>》</w:t>
      </w:r>
    </w:p>
    <w:p w14:paraId="54CBB398">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w:t>
      </w:r>
      <w:r>
        <w:rPr>
          <w:rFonts w:hint="eastAsia" w:ascii="方正小标宋简体" w:hAnsi="方正小标宋简体" w:eastAsia="方正小标宋简体" w:cs="方正小标宋简体"/>
          <w:sz w:val="44"/>
          <w:szCs w:val="44"/>
          <w:lang w:val="en-US" w:eastAsia="zh-CN"/>
        </w:rPr>
        <w:t>征求意见</w:t>
      </w:r>
      <w:r>
        <w:rPr>
          <w:rFonts w:hint="eastAsia" w:ascii="方正小标宋简体" w:hAnsi="方正小标宋简体" w:eastAsia="方正小标宋简体" w:cs="方正小标宋简体"/>
          <w:sz w:val="44"/>
          <w:szCs w:val="44"/>
        </w:rPr>
        <w:t>稿）编制说明</w:t>
      </w:r>
    </w:p>
    <w:p w14:paraId="1EAB1CA4">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一、任务来源、起草单位、主要起草人</w:t>
      </w:r>
    </w:p>
    <w:p w14:paraId="37CAC76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根据《广西标准化协会关于下达202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年第</w:t>
      </w:r>
      <w:r>
        <w:rPr>
          <w:rFonts w:hint="eastAsia" w:ascii="仿宋_GB2312" w:hAnsi="宋体" w:eastAsia="仿宋_GB2312"/>
          <w:sz w:val="32"/>
          <w:szCs w:val="28"/>
          <w:lang w:val="zh-CN" w:eastAsia="zh-CN"/>
        </w:rPr>
        <w:t>三十八</w:t>
      </w:r>
      <w:r>
        <w:rPr>
          <w:rFonts w:hint="eastAsia" w:ascii="仿宋_GB2312" w:hAnsi="宋体" w:eastAsia="仿宋_GB2312"/>
          <w:sz w:val="32"/>
          <w:szCs w:val="28"/>
          <w:lang w:val="zh-CN"/>
        </w:rPr>
        <w:t>批团体标准制修订项目计划的通知》（桂标协</w:t>
      </w:r>
      <w:r>
        <w:rPr>
          <w:rFonts w:hint="eastAsia" w:ascii="仿宋_GB2312" w:hAnsi="微软雅黑" w:eastAsia="仿宋_GB2312" w:cs="微软雅黑"/>
          <w:sz w:val="32"/>
          <w:szCs w:val="28"/>
          <w:lang w:val="zh-CN"/>
        </w:rPr>
        <w:t>〔</w:t>
      </w:r>
      <w:r>
        <w:rPr>
          <w:rFonts w:hint="eastAsia" w:ascii="仿宋_GB2312" w:hAnsi="宋体" w:eastAsia="仿宋_GB2312"/>
          <w:sz w:val="32"/>
          <w:szCs w:val="28"/>
          <w:lang w:val="zh-CN"/>
        </w:rPr>
        <w:t>20</w:t>
      </w:r>
      <w:r>
        <w:rPr>
          <w:rFonts w:hint="eastAsia" w:ascii="仿宋_GB2312" w:hAnsi="宋体" w:eastAsia="仿宋_GB2312"/>
          <w:sz w:val="32"/>
          <w:szCs w:val="28"/>
          <w:lang w:val="en-US" w:eastAsia="zh-CN"/>
        </w:rPr>
        <w:t>24</w:t>
      </w:r>
      <w:r>
        <w:rPr>
          <w:rFonts w:hint="eastAsia" w:ascii="仿宋_GB2312" w:hAnsi="微软雅黑" w:eastAsia="仿宋_GB2312" w:cs="微软雅黑"/>
          <w:sz w:val="32"/>
          <w:szCs w:val="28"/>
          <w:lang w:val="zh-CN"/>
        </w:rPr>
        <w:t>〕</w:t>
      </w:r>
      <w:r>
        <w:rPr>
          <w:rFonts w:hint="eastAsia" w:ascii="仿宋_GB2312" w:hAnsi="宋体" w:eastAsia="仿宋_GB2312"/>
          <w:color w:val="auto"/>
          <w:sz w:val="32"/>
          <w:szCs w:val="28"/>
          <w:lang w:val="en-US" w:eastAsia="zh-CN"/>
        </w:rPr>
        <w:t>263</w:t>
      </w:r>
      <w:r>
        <w:rPr>
          <w:rFonts w:hint="eastAsia" w:ascii="仿宋_GB2312" w:hAnsi="宋体" w:eastAsia="仿宋_GB2312"/>
          <w:sz w:val="32"/>
          <w:szCs w:val="28"/>
          <w:lang w:val="zh-CN"/>
        </w:rPr>
        <w:t>号）文件精神，由</w:t>
      </w:r>
      <w:r>
        <w:rPr>
          <w:rFonts w:hint="eastAsia" w:ascii="仿宋_GB2312" w:hAnsi="宋体" w:eastAsia="仿宋_GB2312"/>
          <w:sz w:val="32"/>
          <w:szCs w:val="28"/>
          <w:lang w:val="en-US" w:eastAsia="zh-CN"/>
        </w:rPr>
        <w:t>梧州市茶业商会</w:t>
      </w:r>
      <w:r>
        <w:rPr>
          <w:rFonts w:hint="eastAsia" w:ascii="仿宋_GB2312" w:hAnsi="宋体" w:eastAsia="仿宋_GB2312"/>
          <w:sz w:val="32"/>
          <w:szCs w:val="28"/>
          <w:lang w:val="zh-CN"/>
        </w:rPr>
        <w:t>提出，</w:t>
      </w:r>
      <w:r>
        <w:rPr>
          <w:rFonts w:hint="eastAsia" w:ascii="仿宋_GB2312" w:hAnsi="宋体" w:eastAsia="仿宋_GB2312"/>
          <w:sz w:val="32"/>
          <w:szCs w:val="28"/>
          <w:lang w:val="zh-CN" w:eastAsia="zh-CN"/>
        </w:rPr>
        <w:t>梧州市茶业商会、梧州六堡茶研究会、马来西亚六堡茶协会</w:t>
      </w:r>
      <w:r>
        <w:rPr>
          <w:rFonts w:hint="eastAsia" w:ascii="仿宋_GB2312" w:hAnsi="宋体" w:eastAsia="仿宋_GB2312"/>
          <w:sz w:val="32"/>
          <w:szCs w:val="28"/>
          <w:lang w:val="zh-CN"/>
        </w:rPr>
        <w:t>等</w:t>
      </w:r>
      <w:r>
        <w:rPr>
          <w:rFonts w:ascii="仿宋_GB2312" w:hAnsi="宋体" w:eastAsia="仿宋_GB2312"/>
          <w:sz w:val="32"/>
          <w:szCs w:val="28"/>
          <w:lang w:val="zh-CN"/>
        </w:rPr>
        <w:t>单位</w:t>
      </w:r>
      <w:r>
        <w:rPr>
          <w:rFonts w:hint="eastAsia" w:ascii="仿宋_GB2312" w:hAnsi="宋体" w:eastAsia="仿宋_GB2312"/>
          <w:sz w:val="32"/>
          <w:szCs w:val="28"/>
          <w:lang w:val="zh-CN"/>
        </w:rPr>
        <w:t>共同起草的团体标准《</w:t>
      </w:r>
      <w:r>
        <w:rPr>
          <w:rFonts w:hint="eastAsia" w:ascii="仿宋_GB2312" w:hAnsi="宋体" w:eastAsia="仿宋_GB2312"/>
          <w:sz w:val="32"/>
          <w:szCs w:val="28"/>
          <w:lang w:val="en-US" w:eastAsia="zh-CN"/>
        </w:rPr>
        <w:t>六堡茶年份茶品鉴指南</w:t>
      </w:r>
      <w:r>
        <w:rPr>
          <w:rFonts w:hint="eastAsia" w:ascii="仿宋_GB2312" w:hAnsi="宋体" w:eastAsia="仿宋_GB2312"/>
          <w:sz w:val="32"/>
          <w:szCs w:val="28"/>
          <w:lang w:val="zh-CN"/>
        </w:rPr>
        <w:t>》(项目编号：202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w:t>
      </w:r>
      <w:r>
        <w:rPr>
          <w:rFonts w:hint="eastAsia" w:ascii="仿宋_GB2312" w:hAnsi="宋体" w:eastAsia="仿宋_GB2312"/>
          <w:color w:val="auto"/>
          <w:sz w:val="32"/>
          <w:szCs w:val="28"/>
          <w:lang w:val="en-US" w:eastAsia="zh-CN"/>
        </w:rPr>
        <w:t>3801</w:t>
      </w:r>
      <w:r>
        <w:rPr>
          <w:rFonts w:hint="eastAsia" w:ascii="仿宋_GB2312" w:hAnsi="宋体" w:eastAsia="仿宋_GB2312"/>
          <w:color w:val="auto"/>
          <w:sz w:val="32"/>
          <w:szCs w:val="28"/>
          <w:lang w:val="zh-CN"/>
        </w:rPr>
        <w:t>)</w:t>
      </w:r>
      <w:r>
        <w:rPr>
          <w:rFonts w:hint="eastAsia" w:ascii="仿宋_GB2312" w:hAnsi="宋体" w:eastAsia="仿宋_GB2312"/>
          <w:sz w:val="32"/>
          <w:szCs w:val="28"/>
          <w:lang w:val="zh-CN"/>
        </w:rPr>
        <w:t>已获立项。</w:t>
      </w:r>
    </w:p>
    <w:p w14:paraId="1ECA19E2">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二、制定标准的必要性和意义</w:t>
      </w:r>
    </w:p>
    <w:p w14:paraId="1F89B00B">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六堡茶产制历史悠久，在清代嘉庆年间成为24</w:t>
      </w:r>
      <w:r>
        <w:rPr>
          <w:rFonts w:hint="eastAsia" w:ascii="仿宋_GB2312" w:hAnsi="宋体" w:eastAsia="仿宋_GB2312"/>
          <w:sz w:val="32"/>
          <w:szCs w:val="32"/>
          <w:lang w:eastAsia="zh-CN"/>
        </w:rPr>
        <w:t>种</w:t>
      </w:r>
      <w:r>
        <w:rPr>
          <w:rFonts w:hint="eastAsia" w:ascii="仿宋_GB2312" w:hAnsi="宋体" w:eastAsia="仿宋_GB2312"/>
          <w:sz w:val="32"/>
          <w:szCs w:val="32"/>
        </w:rPr>
        <w:t>历史名茶之一，向以侨销茶著称，梧州是六堡茶的发源地、成名地、出口的始运地</w:t>
      </w:r>
      <w:r>
        <w:rPr>
          <w:rFonts w:hint="eastAsia" w:ascii="仿宋_GB2312" w:hAnsi="宋体" w:eastAsia="仿宋_GB2312"/>
          <w:sz w:val="32"/>
          <w:szCs w:val="32"/>
          <w:lang w:eastAsia="zh-CN"/>
        </w:rPr>
        <w:t>。六堡茶以红、浓、陈、醇四绝著称，有越陈越佳、越陈越有价值的特性</w:t>
      </w:r>
      <w:r>
        <w:rPr>
          <w:rFonts w:hint="eastAsia" w:ascii="仿宋_GB2312" w:hAnsi="宋体" w:eastAsia="仿宋_GB2312"/>
          <w:sz w:val="32"/>
          <w:szCs w:val="32"/>
        </w:rPr>
        <w:t>。</w:t>
      </w:r>
      <w:r>
        <w:rPr>
          <w:rFonts w:hint="eastAsia" w:ascii="仿宋_GB2312" w:hAnsi="宋体" w:eastAsia="仿宋_GB2312"/>
          <w:sz w:val="32"/>
          <w:szCs w:val="32"/>
          <w:lang w:val="en-US" w:eastAsia="zh-CN"/>
        </w:rPr>
        <w:t>消费者中有买新茶、藏新茶、喝老茶的风气。随着存储时间的延长，六堡茶的陈香愈发明显，汤色由浑浊转为明亮，滋味更陈醇甘滑，叶底颜色也逐渐加深。六堡茶在陈化过程中，其品质会发生显著变化，干茶的色泽由黑褐油润变为红褐，香气由水气和青臭气变得越来越淡，汤色由微浊变清澈鲜艳，滋味由略带水味和青涩味变得越来越平和、协调，槟榔味也越明显，甘滑感增强。这些变化使得六堡茶在陈化过程中逐渐展现出其独特的品质和风味。近年来，六堡茶产业发展迅速，六堡茶品牌价值不断攀升。全市建成千亩以上茶园43个，生态茶园面积约40万亩，六堡茶产量3.5万吨，综合产值超过200亿元，居广西茶叶第1位。“梧州六堡茶”荣获“2024年中国茶区域公用品牌价值TOP20”第13名，品牌价值达到49.73亿元。‌‌</w:t>
      </w:r>
    </w:p>
    <w:p w14:paraId="494E29BB">
      <w:pPr>
        <w:spacing w:line="560" w:lineRule="exact"/>
        <w:ind w:firstLine="640" w:firstLineChars="200"/>
        <w:rPr>
          <w:rFonts w:hint="eastAsia" w:ascii="仿宋_GB2312" w:hAnsi="宋体" w:eastAsia="仿宋_GB2312"/>
          <w:sz w:val="32"/>
          <w:szCs w:val="32"/>
          <w:lang w:val="en-US" w:eastAsia="zh-CN"/>
        </w:rPr>
      </w:pPr>
      <w:r>
        <w:rPr>
          <w:rFonts w:hint="eastAsia" w:ascii="仿宋_GB2312" w:hAnsi="宋体" w:eastAsia="仿宋_GB2312"/>
          <w:sz w:val="32"/>
          <w:szCs w:val="32"/>
          <w:lang w:val="en-US" w:eastAsia="zh-CN"/>
        </w:rPr>
        <w:t>2023年，我们梧州市茶业商会联合广东、河南、马来西亚、新加坡等地的茶行业社会团体共同起草了T/GXAS 566—2023</w:t>
      </w:r>
      <w:r>
        <w:rPr>
          <w:rFonts w:hint="eastAsia" w:ascii="仿宋_GB2312" w:hAnsi="宋体" w:eastAsia="仿宋_GB2312"/>
          <w:sz w:val="32"/>
          <w:szCs w:val="32"/>
        </w:rPr>
        <w:t>《六堡茶斗茶规则》团体标准，</w:t>
      </w:r>
      <w:r>
        <w:rPr>
          <w:rFonts w:hint="eastAsia" w:ascii="仿宋_GB2312" w:hAnsi="宋体" w:eastAsia="仿宋_GB2312"/>
          <w:sz w:val="32"/>
          <w:szCs w:val="32"/>
          <w:lang w:eastAsia="zh-CN"/>
        </w:rPr>
        <w:t>后被“</w:t>
      </w:r>
      <w:r>
        <w:rPr>
          <w:rFonts w:hint="eastAsia" w:ascii="仿宋_GB2312" w:hAnsi="宋体" w:eastAsia="仿宋_GB2312"/>
          <w:sz w:val="32"/>
          <w:szCs w:val="32"/>
          <w:lang w:val="en-US" w:eastAsia="zh-CN"/>
        </w:rPr>
        <w:t>2023全球六堡茶品鉴斗茶大会</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三鹤杯·2024年梧州六堡茶斗茶大赛</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所采用，吸引了来自、越南、中国香港、中国台湾、马来西亚等地的茶友们送茶样参加斗茶，还有多位境外茶界专家学者应邀担任专业评委工作，参加斗茶的茶样累创新高，斗茶取得前所未有的巨大成功。这极大地鼓舞了所有参加《六堡茶斗茶规则》团体标准起草的团体，传统销区东南亚国家茶行业团体组织对制定品鉴标准有期待，并谋划再接再励，</w:t>
      </w:r>
      <w:r>
        <w:rPr>
          <w:rFonts w:hint="eastAsia" w:ascii="仿宋_GB2312" w:hAnsi="宋体" w:eastAsia="仿宋_GB2312"/>
          <w:sz w:val="32"/>
          <w:szCs w:val="32"/>
          <w:lang w:eastAsia="zh-CN"/>
        </w:rPr>
        <w:t>再次</w:t>
      </w:r>
      <w:r>
        <w:rPr>
          <w:rFonts w:hint="eastAsia" w:ascii="仿宋_GB2312" w:hAnsi="宋体" w:eastAsia="仿宋_GB2312"/>
          <w:sz w:val="32"/>
          <w:szCs w:val="32"/>
        </w:rPr>
        <w:t>联合多国</w:t>
      </w:r>
      <w:r>
        <w:rPr>
          <w:rFonts w:hint="eastAsia" w:ascii="仿宋_GB2312" w:hAnsi="宋体" w:eastAsia="仿宋_GB2312"/>
          <w:sz w:val="32"/>
          <w:szCs w:val="32"/>
          <w:lang w:eastAsia="zh-CN"/>
        </w:rPr>
        <w:t>制定</w:t>
      </w:r>
      <w:r>
        <w:rPr>
          <w:rFonts w:hint="eastAsia" w:ascii="仿宋_GB2312" w:hAnsi="宋体" w:eastAsia="仿宋_GB2312"/>
          <w:sz w:val="32"/>
          <w:szCs w:val="32"/>
          <w:lang w:val="en-US" w:eastAsia="zh-CN"/>
        </w:rPr>
        <w:t>《六堡茶年份茶品鉴指南》团体标准。</w:t>
      </w:r>
      <w:r>
        <w:rPr>
          <w:rFonts w:hint="eastAsia" w:ascii="仿宋_GB2312" w:hAnsi="宋体" w:eastAsia="仿宋_GB2312"/>
          <w:sz w:val="32"/>
          <w:szCs w:val="32"/>
        </w:rPr>
        <w:t>近年来，由于六堡茶有越陈越佳、越陈越有价值的特性，</w:t>
      </w:r>
      <w:r>
        <w:rPr>
          <w:rFonts w:hint="eastAsia" w:ascii="仿宋_GB2312" w:hAnsi="宋体" w:eastAsia="仿宋_GB2312"/>
          <w:sz w:val="32"/>
          <w:szCs w:val="32"/>
          <w:lang w:eastAsia="zh-CN"/>
        </w:rPr>
        <w:t>更需要指导企业和消费者辨别市场上</w:t>
      </w:r>
      <w:r>
        <w:rPr>
          <w:rFonts w:hint="eastAsia" w:ascii="仿宋_GB2312" w:hAnsi="宋体" w:eastAsia="仿宋_GB2312"/>
          <w:sz w:val="32"/>
          <w:szCs w:val="32"/>
        </w:rPr>
        <w:t>制售</w:t>
      </w:r>
      <w:r>
        <w:rPr>
          <w:rFonts w:hint="eastAsia" w:ascii="仿宋_GB2312" w:hAnsi="宋体" w:eastAsia="仿宋_GB2312"/>
          <w:sz w:val="32"/>
          <w:szCs w:val="32"/>
          <w:lang w:eastAsia="zh-CN"/>
        </w:rPr>
        <w:t>的</w:t>
      </w:r>
      <w:r>
        <w:rPr>
          <w:rFonts w:hint="eastAsia" w:ascii="仿宋_GB2312" w:hAnsi="宋体" w:eastAsia="仿宋_GB2312"/>
          <w:sz w:val="32"/>
          <w:szCs w:val="32"/>
        </w:rPr>
        <w:t>假年份茶，</w:t>
      </w:r>
      <w:r>
        <w:rPr>
          <w:rFonts w:hint="eastAsia" w:ascii="仿宋_GB2312" w:hAnsi="宋体" w:eastAsia="仿宋_GB2312"/>
          <w:sz w:val="32"/>
          <w:szCs w:val="32"/>
          <w:lang w:eastAsia="zh-CN"/>
        </w:rPr>
        <w:t>防治</w:t>
      </w:r>
      <w:r>
        <w:rPr>
          <w:rFonts w:hint="eastAsia" w:ascii="仿宋_GB2312" w:hAnsi="宋体" w:eastAsia="仿宋_GB2312"/>
          <w:sz w:val="32"/>
          <w:szCs w:val="32"/>
        </w:rPr>
        <w:t>造假之风</w:t>
      </w:r>
      <w:r>
        <w:rPr>
          <w:rFonts w:hint="eastAsia" w:ascii="仿宋_GB2312" w:hAnsi="宋体" w:eastAsia="仿宋_GB2312"/>
          <w:sz w:val="32"/>
          <w:szCs w:val="32"/>
          <w:lang w:eastAsia="zh-CN"/>
        </w:rPr>
        <w:t>；境外一些造假的老六堡茶还通过各种渠道流入国内市场</w:t>
      </w:r>
      <w:r>
        <w:rPr>
          <w:rFonts w:hint="eastAsia" w:ascii="仿宋_GB2312" w:hAnsi="宋体" w:eastAsia="仿宋_GB2312"/>
          <w:sz w:val="32"/>
          <w:szCs w:val="32"/>
        </w:rPr>
        <w:t>，扰乱了市场秩序，成为阻碍六堡茶产业发展的一</w:t>
      </w:r>
      <w:r>
        <w:rPr>
          <w:rFonts w:hint="eastAsia" w:ascii="仿宋_GB2312" w:hAnsi="宋体" w:eastAsia="仿宋_GB2312"/>
          <w:sz w:val="32"/>
          <w:szCs w:val="32"/>
          <w:lang w:eastAsia="zh-CN"/>
        </w:rPr>
        <w:t>颗</w:t>
      </w:r>
      <w:r>
        <w:rPr>
          <w:rFonts w:hint="eastAsia" w:ascii="仿宋_GB2312" w:hAnsi="宋体" w:eastAsia="仿宋_GB2312"/>
          <w:sz w:val="32"/>
          <w:szCs w:val="32"/>
        </w:rPr>
        <w:t>定时炸弹，</w:t>
      </w:r>
      <w:r>
        <w:rPr>
          <w:rFonts w:hint="eastAsia" w:ascii="仿宋_GB2312" w:hAnsi="宋体" w:eastAsia="仿宋_GB2312"/>
          <w:sz w:val="32"/>
          <w:szCs w:val="32"/>
          <w:lang w:eastAsia="zh-CN"/>
        </w:rPr>
        <w:t>应及时以标准化手段对年份茶品鉴作出指导，避免</w:t>
      </w:r>
      <w:r>
        <w:rPr>
          <w:rFonts w:hint="eastAsia" w:ascii="仿宋_GB2312" w:hAnsi="宋体" w:eastAsia="仿宋_GB2312"/>
          <w:sz w:val="32"/>
          <w:szCs w:val="32"/>
        </w:rPr>
        <w:t>影响到六堡茶产业的健康发展。</w:t>
      </w:r>
    </w:p>
    <w:p w14:paraId="4941F850">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32"/>
        </w:rPr>
        <w:t>通过制定团体标准</w:t>
      </w:r>
      <w:r>
        <w:rPr>
          <w:rFonts w:hint="eastAsia" w:ascii="仿宋_GB2312" w:hAnsi="宋体" w:eastAsia="仿宋_GB2312"/>
          <w:sz w:val="32"/>
          <w:szCs w:val="32"/>
          <w:lang w:val="en-US" w:eastAsia="zh-CN"/>
        </w:rPr>
        <w:t>《六堡茶年份茶品鉴指南》</w:t>
      </w:r>
      <w:r>
        <w:rPr>
          <w:rFonts w:hint="eastAsia" w:ascii="仿宋_GB2312" w:hAnsi="宋体" w:eastAsia="仿宋_GB2312"/>
          <w:sz w:val="32"/>
          <w:szCs w:val="32"/>
        </w:rPr>
        <w:t>，以标准为抓手，统一规范</w:t>
      </w:r>
      <w:r>
        <w:rPr>
          <w:rFonts w:hint="eastAsia" w:ascii="仿宋_GB2312" w:hAnsi="宋体" w:eastAsia="仿宋_GB2312"/>
          <w:sz w:val="32"/>
          <w:szCs w:val="32"/>
          <w:lang w:eastAsia="zh-CN"/>
        </w:rPr>
        <w:t>六堡茶年份茶品鉴</w:t>
      </w:r>
      <w:r>
        <w:rPr>
          <w:rFonts w:hint="eastAsia" w:ascii="仿宋_GB2312" w:hAnsi="宋体" w:eastAsia="仿宋_GB2312"/>
          <w:sz w:val="32"/>
          <w:szCs w:val="32"/>
        </w:rPr>
        <w:t>要求，对提高</w:t>
      </w:r>
      <w:r>
        <w:rPr>
          <w:rFonts w:hint="eastAsia" w:ascii="仿宋_GB2312" w:hAnsi="宋体" w:eastAsia="仿宋_GB2312"/>
          <w:sz w:val="32"/>
          <w:szCs w:val="32"/>
          <w:lang w:eastAsia="zh-CN"/>
        </w:rPr>
        <w:t>品鉴</w:t>
      </w:r>
      <w:r>
        <w:rPr>
          <w:rFonts w:hint="eastAsia" w:ascii="仿宋_GB2312" w:hAnsi="宋体" w:eastAsia="仿宋_GB2312"/>
          <w:sz w:val="32"/>
          <w:szCs w:val="32"/>
        </w:rPr>
        <w:t>技术水平，遏制假老茶泛滥</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更</w:t>
      </w:r>
      <w:r>
        <w:rPr>
          <w:rFonts w:hint="eastAsia" w:ascii="仿宋_GB2312" w:hAnsi="宋体" w:eastAsia="仿宋_GB2312"/>
          <w:sz w:val="32"/>
          <w:szCs w:val="32"/>
          <w:lang w:eastAsia="zh-CN"/>
        </w:rPr>
        <w:t>好地维护各方权益，为六堡茶产业的健康发展营造良好环境，提升</w:t>
      </w:r>
      <w:r>
        <w:rPr>
          <w:rFonts w:hint="eastAsia" w:ascii="仿宋_GB2312" w:hAnsi="宋体" w:eastAsia="仿宋_GB2312"/>
          <w:sz w:val="32"/>
          <w:szCs w:val="32"/>
        </w:rPr>
        <w:t>六堡茶在海</w:t>
      </w:r>
      <w:r>
        <w:rPr>
          <w:rFonts w:hint="eastAsia" w:ascii="仿宋_GB2312" w:hAnsi="宋体" w:eastAsia="仿宋_GB2312"/>
          <w:sz w:val="32"/>
          <w:szCs w:val="32"/>
          <w:lang w:eastAsia="zh-CN"/>
        </w:rPr>
        <w:t>内</w:t>
      </w:r>
      <w:r>
        <w:rPr>
          <w:rFonts w:hint="eastAsia" w:ascii="仿宋_GB2312" w:hAnsi="宋体" w:eastAsia="仿宋_GB2312"/>
          <w:sz w:val="32"/>
          <w:szCs w:val="32"/>
        </w:rPr>
        <w:t>外市场的知名度和美誉度，稳固并扩大海</w:t>
      </w:r>
      <w:r>
        <w:rPr>
          <w:rFonts w:hint="eastAsia" w:ascii="仿宋_GB2312" w:hAnsi="宋体" w:eastAsia="仿宋_GB2312"/>
          <w:sz w:val="32"/>
          <w:szCs w:val="32"/>
          <w:lang w:eastAsia="zh-CN"/>
        </w:rPr>
        <w:t>风</w:t>
      </w:r>
      <w:r>
        <w:rPr>
          <w:rFonts w:hint="eastAsia" w:ascii="仿宋_GB2312" w:hAnsi="宋体" w:eastAsia="仿宋_GB2312"/>
          <w:sz w:val="32"/>
          <w:szCs w:val="32"/>
        </w:rPr>
        <w:t>外六堡茶消费群体，</w:t>
      </w:r>
      <w:r>
        <w:rPr>
          <w:rFonts w:hint="eastAsia" w:ascii="仿宋_GB2312" w:hAnsi="宋体" w:eastAsia="仿宋_GB2312"/>
          <w:sz w:val="32"/>
          <w:szCs w:val="32"/>
          <w:lang w:eastAsia="zh-CN"/>
        </w:rPr>
        <w:t>促进</w:t>
      </w:r>
      <w:r>
        <w:rPr>
          <w:rFonts w:hint="eastAsia" w:ascii="仿宋_GB2312" w:hAnsi="宋体" w:eastAsia="仿宋_GB2312"/>
          <w:sz w:val="32"/>
          <w:szCs w:val="32"/>
        </w:rPr>
        <w:t>六堡茶扩大出口</w:t>
      </w:r>
      <w:r>
        <w:rPr>
          <w:rFonts w:hint="eastAsia" w:ascii="仿宋_GB2312" w:hAnsi="宋体" w:eastAsia="仿宋_GB2312"/>
          <w:sz w:val="32"/>
          <w:szCs w:val="32"/>
          <w:lang w:eastAsia="zh-CN"/>
        </w:rPr>
        <w:t>，进而</w:t>
      </w:r>
      <w:r>
        <w:rPr>
          <w:rFonts w:hint="eastAsia" w:ascii="仿宋_GB2312" w:hAnsi="宋体" w:eastAsia="仿宋_GB2312"/>
          <w:sz w:val="32"/>
          <w:szCs w:val="32"/>
        </w:rPr>
        <w:t>促进广西</w:t>
      </w:r>
      <w:r>
        <w:rPr>
          <w:rFonts w:hint="eastAsia" w:ascii="仿宋_GB2312" w:hAnsi="宋体" w:eastAsia="仿宋_GB2312"/>
          <w:sz w:val="32"/>
          <w:szCs w:val="32"/>
          <w:lang w:eastAsia="zh-CN"/>
        </w:rPr>
        <w:t>六堡茶产业</w:t>
      </w:r>
      <w:r>
        <w:rPr>
          <w:rFonts w:hint="eastAsia" w:ascii="仿宋_GB2312" w:hAnsi="宋体" w:eastAsia="仿宋_GB2312"/>
          <w:sz w:val="32"/>
          <w:szCs w:val="32"/>
        </w:rPr>
        <w:t>高质量</w:t>
      </w:r>
      <w:r>
        <w:rPr>
          <w:rFonts w:hint="eastAsia" w:ascii="仿宋_GB2312" w:hAnsi="宋体" w:eastAsia="仿宋_GB2312"/>
          <w:sz w:val="32"/>
          <w:szCs w:val="32"/>
          <w:lang w:eastAsia="zh-CN"/>
        </w:rPr>
        <w:t>高发展、全产业链发展都</w:t>
      </w:r>
      <w:r>
        <w:rPr>
          <w:rFonts w:hint="eastAsia" w:ascii="仿宋_GB2312" w:hAnsi="宋体" w:eastAsia="仿宋_GB2312"/>
          <w:sz w:val="32"/>
          <w:szCs w:val="32"/>
        </w:rPr>
        <w:t>具有重要意义。因此制定团体标准《六堡茶年份茶品鉴指南》很有必要</w:t>
      </w:r>
      <w:r>
        <w:rPr>
          <w:rFonts w:hint="eastAsia" w:ascii="仿宋_GB2312" w:hAnsi="宋体" w:eastAsia="仿宋_GB2312"/>
          <w:sz w:val="32"/>
          <w:szCs w:val="28"/>
          <w:lang w:val="zh-CN"/>
        </w:rPr>
        <w:t>。</w:t>
      </w:r>
    </w:p>
    <w:p w14:paraId="0DB68CA9">
      <w:pPr>
        <w:spacing w:line="560" w:lineRule="exact"/>
        <w:ind w:firstLine="640" w:firstLineChars="200"/>
        <w:outlineLvl w:val="0"/>
        <w:rPr>
          <w:rFonts w:hint="eastAsia" w:ascii="黑体" w:hAnsi="黑体" w:eastAsia="黑体" w:cs="黑体"/>
          <w:bCs/>
          <w:sz w:val="32"/>
          <w:szCs w:val="32"/>
        </w:rPr>
      </w:pPr>
    </w:p>
    <w:p w14:paraId="6A2E2B7D">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三、主要起草过程</w:t>
      </w:r>
    </w:p>
    <w:p w14:paraId="7544A61F">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（一）成立标准编制工作组</w:t>
      </w:r>
    </w:p>
    <w:p w14:paraId="740B6099">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团体标准《六堡茶年份茶品鉴指南》项目任务下达后，</w:t>
      </w:r>
      <w:r>
        <w:rPr>
          <w:rFonts w:hint="eastAsia" w:ascii="仿宋_GB2312" w:hAnsi="宋体" w:eastAsia="仿宋_GB2312"/>
          <w:sz w:val="32"/>
          <w:szCs w:val="28"/>
          <w:lang w:val="en-US" w:eastAsia="zh-CN"/>
        </w:rPr>
        <w:t>梧州市茶业商会</w:t>
      </w:r>
      <w:r>
        <w:rPr>
          <w:rFonts w:hint="eastAsia" w:ascii="仿宋_GB2312" w:hAnsi="宋体" w:eastAsia="仿宋_GB2312"/>
          <w:sz w:val="32"/>
          <w:szCs w:val="28"/>
          <w:lang w:val="zh-CN"/>
        </w:rPr>
        <w:t>成立了标准编制工作组，制定了标准编写方案，明确任务职责，确定工作技术路线，开展标准研制工作，具体标准编制工作由起草单位相关人员配合完成。</w:t>
      </w:r>
    </w:p>
    <w:p w14:paraId="3C73201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为了明确标准编制的任务职责，确定工作技术路线，开展标准研制工作。标准编制工作组下设</w:t>
      </w:r>
      <w:r>
        <w:rPr>
          <w:rFonts w:hint="eastAsia" w:ascii="仿宋_GB2312" w:hAnsi="宋体" w:eastAsia="仿宋_GB2312"/>
          <w:sz w:val="32"/>
          <w:szCs w:val="28"/>
          <w:lang w:val="en-US" w:eastAsia="zh-CN"/>
        </w:rPr>
        <w:t>二</w:t>
      </w:r>
      <w:r>
        <w:rPr>
          <w:rFonts w:hint="eastAsia" w:ascii="仿宋_GB2312" w:hAnsi="宋体" w:eastAsia="仿宋_GB2312"/>
          <w:sz w:val="32"/>
          <w:szCs w:val="28"/>
          <w:lang w:val="zh-CN"/>
        </w:rPr>
        <w:t>个组，分别是资料收集组、草案编写组。资料收集组负责国内外有关六堡茶年份茶品鉴方面的文献资料的查询、收集和整理工作，查阅前期对六堡茶年份茶品鉴方面的有关研究情况和目前科学界六堡茶年份茶品鉴的研究进展；草案编写组负责起草标准草案及后续征求意见稿和标准编制说明、送审稿及编制说明等编写工作，包括后期召开征求意见会、网上征求意见，以及标准的不断修改和完善。</w:t>
      </w:r>
    </w:p>
    <w:p w14:paraId="64B324B4">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（二）收集整理文献资料</w:t>
      </w:r>
    </w:p>
    <w:p w14:paraId="072E5F3D">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标准编制工作组收集了国内有关六堡茶年份茶品鉴相关文献资料。具体列出如下：</w:t>
      </w:r>
    </w:p>
    <w:p w14:paraId="64286165">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GB/T 14487  茶叶感官审评术语</w:t>
      </w:r>
    </w:p>
    <w:p w14:paraId="457B02DF">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GB/T 32719.4  黑茶  第4部分：六堡茶</w:t>
      </w:r>
    </w:p>
    <w:p w14:paraId="5BBFB88F">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DB45/T 581-2009  六堡茶</w:t>
      </w:r>
    </w:p>
    <w:p w14:paraId="23A910BD">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DB45/T 1114  地理标志产品  六堡茶</w:t>
      </w:r>
    </w:p>
    <w:p w14:paraId="38EA7791">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DB45/T 1291  六堡茶加工与感官审评术语</w:t>
      </w:r>
    </w:p>
    <w:p w14:paraId="53759FA0">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DB45/T 1647  六堡茶产品批号编码规范</w:t>
      </w:r>
    </w:p>
    <w:p w14:paraId="30772C0A">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DB45/T 1649  六堡茶冲泡用品饮方法</w:t>
      </w:r>
    </w:p>
    <w:p w14:paraId="287612DB">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DB45/T 2436  六堡茶感官审评方法</w:t>
      </w:r>
    </w:p>
    <w:p w14:paraId="43133D9F">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DBS45/ 057  食品安全地方标准  六堡茶（传统工艺）</w:t>
      </w:r>
    </w:p>
    <w:p w14:paraId="1AC217C9">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T/GXAS 116  广西优质六堡茶</w:t>
      </w:r>
    </w:p>
    <w:p w14:paraId="421E4BD9">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T/GXAS 311  地理标志农产品  广西六堡茶</w:t>
      </w:r>
    </w:p>
    <w:p w14:paraId="5D22EEA6">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T/GXAS 566  六堡茶斗茶规则</w:t>
      </w:r>
    </w:p>
    <w:p w14:paraId="08F1FF18">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（三）研讨确定标准主体内容</w:t>
      </w:r>
    </w:p>
    <w:p w14:paraId="1C110312">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标准编制工作组在对收集的资料进行整理研究后，标准编制工作组召开了标准编制会议，对标准的整体框架进行了研究，并对标准的关键性问题进行了初步探讨。经过研究，本文件界定了六堡茶年份茶品鉴涉及的术语和定义，确立了六堡茶年份茶品鉴总则，给出了品鉴需要考虑的基本模型及解析、专业品鉴评委确定、品鉴方法、品鉴需要考虑的因素、陈化时间计算、品鉴程序</w:t>
      </w:r>
      <w:r>
        <w:rPr>
          <w:rFonts w:hint="eastAsia" w:ascii="仿宋_GB2312" w:hAnsi="宋体" w:eastAsia="仿宋_GB2312"/>
          <w:sz w:val="32"/>
          <w:szCs w:val="28"/>
          <w:lang w:val="zh-CN" w:eastAsia="zh-CN"/>
        </w:rPr>
        <w:t>、</w:t>
      </w:r>
      <w:r>
        <w:rPr>
          <w:rFonts w:hint="eastAsia" w:ascii="仿宋_GB2312" w:hAnsi="宋体" w:eastAsia="仿宋_GB2312"/>
          <w:sz w:val="32"/>
          <w:szCs w:val="28"/>
          <w:lang w:val="zh-CN"/>
        </w:rPr>
        <w:t>品鉴报告、保密、总结、档案管理等方面的建议和相关信息。</w:t>
      </w:r>
    </w:p>
    <w:p w14:paraId="0123B9D8">
      <w:pPr>
        <w:spacing w:line="560" w:lineRule="exact"/>
        <w:ind w:firstLine="643" w:firstLineChars="200"/>
        <w:outlineLvl w:val="1"/>
        <w:rPr>
          <w:rFonts w:hint="eastAsia" w:ascii="楷体" w:hAnsi="楷体" w:eastAsia="楷体"/>
          <w:b/>
          <w:sz w:val="32"/>
          <w:szCs w:val="32"/>
          <w:lang w:val="zh-CN"/>
        </w:rPr>
      </w:pPr>
      <w:r>
        <w:rPr>
          <w:rFonts w:hint="eastAsia" w:ascii="楷体" w:hAnsi="楷体" w:eastAsia="楷体"/>
          <w:b/>
          <w:sz w:val="32"/>
          <w:szCs w:val="32"/>
          <w:lang w:val="zh-CN"/>
        </w:rPr>
        <w:t>（四）调研</w:t>
      </w:r>
      <w:r>
        <w:rPr>
          <w:rFonts w:hint="eastAsia" w:ascii="楷体" w:hAnsi="楷体" w:eastAsia="楷体"/>
          <w:b/>
          <w:sz w:val="32"/>
          <w:szCs w:val="32"/>
          <w:lang w:val="en-US" w:eastAsia="zh-CN"/>
        </w:rPr>
        <w:t>及</w:t>
      </w:r>
      <w:r>
        <w:rPr>
          <w:rFonts w:hint="eastAsia" w:ascii="楷体" w:hAnsi="楷体" w:eastAsia="楷体"/>
          <w:b/>
          <w:sz w:val="32"/>
          <w:szCs w:val="32"/>
          <w:lang w:val="zh-CN"/>
        </w:rPr>
        <w:t>形成草案、征求意见稿</w:t>
      </w:r>
    </w:p>
    <w:p w14:paraId="3651FC2C">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9</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10</w:t>
      </w:r>
      <w:r>
        <w:rPr>
          <w:rFonts w:hint="eastAsia" w:ascii="仿宋_GB2312" w:hAnsi="宋体" w:eastAsia="仿宋_GB2312"/>
          <w:sz w:val="32"/>
          <w:szCs w:val="28"/>
          <w:lang w:val="zh-CN"/>
        </w:rPr>
        <w:t>月，标准起草工作小组进行了广泛实地调研工作，查阅了大量的国内外文献资料，对六堡茶年份茶品鉴进行系统总结。经编制组反复讨论，形成了标准的基本构架，对主要内容进行了讨论并对项目的工作进行了部署和安排。在前期工作的基础之上，通过理清逻辑脉络，整合已有的参考资料中有关六堡茶年份茶品鉴的内容，并结合六堡茶年份茶品鉴及</w:t>
      </w:r>
      <w:r>
        <w:rPr>
          <w:rFonts w:ascii="仿宋_GB2312" w:hAnsi="宋体" w:eastAsia="仿宋_GB2312"/>
          <w:sz w:val="32"/>
          <w:szCs w:val="28"/>
          <w:lang w:val="zh-CN"/>
        </w:rPr>
        <w:t>前期研究</w:t>
      </w:r>
      <w:r>
        <w:rPr>
          <w:rFonts w:hint="eastAsia" w:ascii="仿宋_GB2312" w:hAnsi="宋体" w:eastAsia="仿宋_GB2312"/>
          <w:sz w:val="32"/>
          <w:szCs w:val="28"/>
          <w:lang w:val="zh-CN"/>
        </w:rPr>
        <w:t>的基础上，按照简化、统一等原则编制完成团体标准《六堡茶年份茶品鉴指南》（草案）。</w:t>
      </w:r>
    </w:p>
    <w:p w14:paraId="495A00EE">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10</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11</w:t>
      </w:r>
      <w:r>
        <w:rPr>
          <w:rFonts w:hint="eastAsia" w:ascii="仿宋_GB2312" w:hAnsi="宋体" w:eastAsia="仿宋_GB2312"/>
          <w:sz w:val="32"/>
          <w:szCs w:val="28"/>
          <w:lang w:val="zh-CN"/>
        </w:rPr>
        <w:t>月，编制组再次深入</w:t>
      </w:r>
      <w:bookmarkStart w:id="0" w:name="_GoBack"/>
      <w:bookmarkEnd w:id="0"/>
      <w:r>
        <w:rPr>
          <w:rFonts w:hint="eastAsia" w:ascii="仿宋_GB2312" w:hAnsi="宋体" w:eastAsia="仿宋_GB2312"/>
          <w:sz w:val="32"/>
          <w:szCs w:val="28"/>
          <w:lang w:val="zh-CN"/>
        </w:rPr>
        <w:t>企业进行分组调研，并向</w:t>
      </w:r>
      <w:r>
        <w:rPr>
          <w:rFonts w:hint="eastAsia" w:ascii="仿宋_GB2312" w:hAnsi="宋体" w:eastAsia="仿宋_GB2312"/>
          <w:sz w:val="32"/>
          <w:szCs w:val="28"/>
          <w:lang w:val="en-US" w:eastAsia="zh-CN"/>
        </w:rPr>
        <w:t>涉及</w:t>
      </w:r>
      <w:r>
        <w:rPr>
          <w:rFonts w:hint="eastAsia" w:ascii="仿宋_GB2312" w:hAnsi="宋体" w:eastAsia="仿宋_GB2312"/>
          <w:sz w:val="32"/>
          <w:szCs w:val="28"/>
          <w:lang w:val="zh-CN"/>
        </w:rPr>
        <w:t>六堡茶年份茶品鉴的相关科研单位、企业征求意见。根据反馈意见及试验成果，标准编制工作组多次召开会议，对标准草案进行反复修改和研究讨论，形成团体标准《六堡茶年份茶品鉴指南》（征求意见稿）和（征求意见稿）编制说明。</w:t>
      </w:r>
    </w:p>
    <w:p w14:paraId="5D81EB9C">
      <w:pPr>
        <w:numPr>
          <w:ilvl w:val="0"/>
          <w:numId w:val="8"/>
        </w:numPr>
        <w:spacing w:line="560" w:lineRule="exact"/>
        <w:ind w:firstLine="640" w:firstLineChars="200"/>
        <w:outlineLvl w:val="0"/>
        <w:rPr>
          <w:rFonts w:hint="eastAsia" w:ascii="黑体" w:hAnsi="黑体" w:eastAsia="黑体" w:cs="黑体"/>
          <w:bCs/>
          <w:sz w:val="32"/>
          <w:szCs w:val="32"/>
        </w:rPr>
      </w:pPr>
      <w:r>
        <w:rPr>
          <w:rFonts w:hint="eastAsia" w:ascii="黑体" w:hAnsi="黑体" w:eastAsia="黑体" w:cs="黑体"/>
          <w:bCs/>
          <w:sz w:val="32"/>
          <w:szCs w:val="32"/>
        </w:rPr>
        <w:t>制定标准的原则和依据，与现行法律、法规的关系，与有关国家标准、行业标准的协调情况</w:t>
      </w:r>
    </w:p>
    <w:p w14:paraId="5FD4A0AB">
      <w:pPr>
        <w:ind w:firstLine="643" w:firstLineChars="200"/>
        <w:outlineLvl w:val="1"/>
        <w:rPr>
          <w:rFonts w:hint="eastAsia" w:ascii="黑体" w:hAnsi="黑体" w:eastAsia="黑体" w:cs="黑体"/>
          <w:bCs/>
          <w:sz w:val="32"/>
          <w:szCs w:val="32"/>
        </w:rPr>
      </w:pPr>
      <w:r>
        <w:rPr>
          <w:rFonts w:hint="eastAsia" w:ascii="楷体" w:hAnsi="楷体" w:eastAsia="楷体"/>
          <w:b/>
          <w:sz w:val="32"/>
          <w:szCs w:val="32"/>
          <w:lang w:val="zh-CN"/>
        </w:rPr>
        <w:t>（一）编制原则</w:t>
      </w:r>
    </w:p>
    <w:p w14:paraId="32D1AD4F">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1、</w:t>
      </w:r>
      <w:r>
        <w:rPr>
          <w:rFonts w:hint="eastAsia" w:ascii="楷体" w:hAnsi="楷体" w:eastAsia="楷体"/>
          <w:b/>
          <w:sz w:val="32"/>
          <w:szCs w:val="32"/>
          <w:lang w:val="zh-CN"/>
        </w:rPr>
        <w:t>实用性原则</w:t>
      </w:r>
    </w:p>
    <w:p w14:paraId="08E00E49">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是在充分收集相关资料和文献，分析六堡茶年份茶品鉴现状及特点，调研六堡茶年份茶品鉴情况，在现有国家、行业标准相关六堡茶年份茶品鉴的基础上，结合多年试验研究而总结起草的。符合当前六堡茶年份茶品鉴</w:t>
      </w:r>
      <w:r>
        <w:rPr>
          <w:rFonts w:hint="eastAsia" w:ascii="仿宋_GB2312" w:hAnsi="宋体" w:eastAsia="仿宋_GB2312"/>
          <w:sz w:val="32"/>
          <w:szCs w:val="28"/>
          <w:lang w:val="en-US" w:eastAsia="zh-CN"/>
        </w:rPr>
        <w:t>现状</w:t>
      </w:r>
      <w:r>
        <w:rPr>
          <w:rFonts w:hint="eastAsia" w:ascii="仿宋_GB2312" w:hAnsi="宋体" w:eastAsia="仿宋_GB2312"/>
          <w:sz w:val="32"/>
          <w:szCs w:val="28"/>
          <w:lang w:val="zh-CN"/>
        </w:rPr>
        <w:t>，有利于行业的长远发展，有利于规范六堡茶年份茶品鉴和商品经济价值，推动六堡茶产业</w:t>
      </w:r>
      <w:r>
        <w:rPr>
          <w:rFonts w:hint="eastAsia" w:ascii="仿宋_GB2312" w:hAnsi="宋体" w:eastAsia="仿宋_GB2312"/>
          <w:sz w:val="32"/>
          <w:szCs w:val="28"/>
          <w:lang w:val="en-US" w:eastAsia="zh-CN"/>
        </w:rPr>
        <w:t>高质量</w:t>
      </w:r>
      <w:r>
        <w:rPr>
          <w:rFonts w:hint="eastAsia" w:ascii="仿宋_GB2312" w:hAnsi="宋体" w:eastAsia="仿宋_GB2312"/>
          <w:sz w:val="32"/>
          <w:szCs w:val="28"/>
          <w:lang w:val="zh-CN"/>
        </w:rPr>
        <w:t>发展，具有较强的实用性和可操作性。</w:t>
      </w:r>
    </w:p>
    <w:p w14:paraId="48442E8D">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2、</w:t>
      </w:r>
      <w:r>
        <w:rPr>
          <w:rFonts w:hint="eastAsia" w:ascii="楷体" w:hAnsi="楷体" w:eastAsia="楷体"/>
          <w:b/>
          <w:sz w:val="32"/>
          <w:szCs w:val="32"/>
          <w:lang w:val="zh-CN"/>
        </w:rPr>
        <w:t>协调性原则</w:t>
      </w:r>
    </w:p>
    <w:p w14:paraId="20C277C8">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本文件编写过程中注意了与六堡茶年份茶品鉴相关法律法规的协调问题，在内容上与现行法律法规、标准协调一致。</w:t>
      </w:r>
    </w:p>
    <w:p w14:paraId="18BA3E04">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3、</w:t>
      </w:r>
      <w:r>
        <w:rPr>
          <w:rFonts w:hint="eastAsia" w:ascii="楷体" w:hAnsi="楷体" w:eastAsia="楷体"/>
          <w:b/>
          <w:sz w:val="32"/>
          <w:szCs w:val="32"/>
          <w:lang w:val="zh-CN"/>
        </w:rPr>
        <w:t>规范性原则</w:t>
      </w:r>
    </w:p>
    <w:p w14:paraId="3505ADB5">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本文件严格按照GB/T 1.1—2020《标准化工作导则 第1部分：标准的结构和编写》的要求和规定编写本标准的内容，保证标准的编写质量。</w:t>
      </w:r>
    </w:p>
    <w:p w14:paraId="1EB63D55">
      <w:pPr>
        <w:ind w:firstLine="643" w:firstLineChars="200"/>
        <w:outlineLvl w:val="1"/>
        <w:rPr>
          <w:rFonts w:ascii="楷体" w:hAnsi="楷体" w:eastAsia="楷体"/>
          <w:b/>
          <w:sz w:val="32"/>
          <w:szCs w:val="32"/>
          <w:lang w:val="zh-CN"/>
        </w:rPr>
      </w:pPr>
      <w:r>
        <w:rPr>
          <w:rFonts w:hint="eastAsia" w:ascii="楷体" w:hAnsi="楷体" w:eastAsia="楷体"/>
          <w:b/>
          <w:sz w:val="32"/>
          <w:szCs w:val="32"/>
          <w:lang w:val="en-US" w:eastAsia="zh-CN"/>
        </w:rPr>
        <w:t>4、</w:t>
      </w:r>
      <w:r>
        <w:rPr>
          <w:rFonts w:hint="eastAsia" w:ascii="楷体" w:hAnsi="楷体" w:eastAsia="楷体"/>
          <w:b/>
          <w:sz w:val="32"/>
          <w:szCs w:val="32"/>
          <w:lang w:val="zh-CN"/>
        </w:rPr>
        <w:t>前瞻性原则</w:t>
      </w:r>
    </w:p>
    <w:p w14:paraId="66E4A8E8">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本文件在兼顾当前区内六堡茶年份茶现实情况的同时，根据当前广西区内六堡茶年份茶品鉴</w:t>
      </w:r>
      <w:r>
        <w:rPr>
          <w:rFonts w:ascii="仿宋_GB2312" w:hAnsi="宋体" w:eastAsia="仿宋_GB2312"/>
          <w:sz w:val="32"/>
          <w:szCs w:val="28"/>
          <w:lang w:val="zh-CN"/>
        </w:rPr>
        <w:t>无标准进行</w:t>
      </w:r>
      <w:r>
        <w:rPr>
          <w:rFonts w:hint="eastAsia" w:ascii="仿宋_GB2312" w:hAnsi="宋体" w:eastAsia="仿宋_GB2312"/>
          <w:sz w:val="32"/>
          <w:szCs w:val="28"/>
          <w:lang w:val="zh-CN"/>
        </w:rPr>
        <w:t>统一</w:t>
      </w:r>
      <w:r>
        <w:rPr>
          <w:rFonts w:ascii="仿宋_GB2312" w:hAnsi="宋体" w:eastAsia="仿宋_GB2312"/>
          <w:sz w:val="32"/>
          <w:szCs w:val="28"/>
          <w:lang w:val="zh-CN"/>
        </w:rPr>
        <w:t>规范</w:t>
      </w:r>
      <w:r>
        <w:rPr>
          <w:rFonts w:hint="eastAsia" w:ascii="仿宋_GB2312" w:hAnsi="宋体" w:eastAsia="仿宋_GB2312"/>
          <w:sz w:val="32"/>
          <w:szCs w:val="28"/>
          <w:lang w:val="zh-CN"/>
        </w:rPr>
        <w:t>的现状，还考虑到了六堡茶年份茶发展需要，在标准中体现了个别特色性、前瞻性和先进性条款，作为对六堡茶年份茶品鉴的指导。</w:t>
      </w:r>
    </w:p>
    <w:p w14:paraId="0D42C1A2">
      <w:pPr>
        <w:ind w:firstLine="643" w:firstLineChars="200"/>
        <w:outlineLvl w:val="1"/>
        <w:rPr>
          <w:rFonts w:hint="eastAsia" w:ascii="楷体" w:hAnsi="楷体" w:eastAsia="楷体"/>
          <w:b/>
          <w:sz w:val="32"/>
          <w:szCs w:val="32"/>
          <w:lang w:val="zh-CN"/>
        </w:rPr>
      </w:pPr>
      <w:r>
        <w:rPr>
          <w:rFonts w:hint="eastAsia" w:ascii="楷体" w:hAnsi="楷体" w:eastAsia="楷体"/>
          <w:b/>
          <w:sz w:val="32"/>
          <w:szCs w:val="32"/>
          <w:lang w:val="zh-CN"/>
        </w:rPr>
        <w:t>（二）编制依据</w:t>
      </w:r>
    </w:p>
    <w:p w14:paraId="4731C40B">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本标准严格按照GB/T 1.1—2020《标准化工作导则  第1部分：标准化文件的结构和起草规则》的规则起草，标准主要内容依据起草单位在六堡茶年份茶品鉴研究应用过程中的实践经验确定。</w:t>
      </w:r>
    </w:p>
    <w:p w14:paraId="3DFE0681">
      <w:pPr>
        <w:numPr>
          <w:ilvl w:val="0"/>
          <w:numId w:val="0"/>
        </w:numPr>
        <w:ind w:firstLine="643" w:firstLineChars="200"/>
        <w:outlineLvl w:val="1"/>
        <w:rPr>
          <w:rFonts w:hint="eastAsia" w:ascii="楷体" w:hAnsi="楷体" w:eastAsia="楷体"/>
          <w:b/>
          <w:sz w:val="32"/>
          <w:szCs w:val="32"/>
          <w:lang w:val="zh-CN"/>
        </w:rPr>
      </w:pPr>
      <w:r>
        <w:rPr>
          <w:rFonts w:hint="eastAsia" w:ascii="楷体" w:hAnsi="楷体" w:eastAsia="楷体" w:cs="Times New Roman"/>
          <w:b/>
          <w:kern w:val="2"/>
          <w:sz w:val="32"/>
          <w:szCs w:val="32"/>
          <w:lang w:val="zh-CN" w:eastAsia="zh-CN" w:bidi="ar-SA"/>
        </w:rPr>
        <w:t>（三）</w:t>
      </w:r>
      <w:r>
        <w:rPr>
          <w:rFonts w:hint="eastAsia" w:ascii="楷体" w:hAnsi="楷体" w:eastAsia="楷体"/>
          <w:b/>
          <w:sz w:val="32"/>
          <w:szCs w:val="32"/>
          <w:lang w:val="zh-CN"/>
        </w:rPr>
        <w:t>与现行法律、法规的关系，与有关国家标准、行业标准的协调情况</w:t>
      </w:r>
    </w:p>
    <w:p w14:paraId="3F05BC6E">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本标准与相关法律法规、强制性标准协调一致，无冲突。</w:t>
      </w:r>
    </w:p>
    <w:p w14:paraId="05A0FDF0">
      <w:pPr>
        <w:spacing w:line="560" w:lineRule="exact"/>
        <w:ind w:firstLine="640" w:firstLineChars="200"/>
        <w:rPr>
          <w:rFonts w:hint="eastAsia" w:ascii="仿宋_GB2312" w:hAnsi="宋体" w:eastAsia="仿宋_GB2312"/>
          <w:sz w:val="32"/>
          <w:szCs w:val="28"/>
          <w:lang w:val="zh-CN" w:eastAsia="zh-CN"/>
        </w:rPr>
      </w:pPr>
      <w:r>
        <w:rPr>
          <w:rFonts w:hint="eastAsia" w:ascii="仿宋_GB2312" w:hAnsi="宋体" w:eastAsia="仿宋_GB2312"/>
          <w:sz w:val="32"/>
          <w:szCs w:val="28"/>
          <w:lang w:val="zh-CN"/>
        </w:rPr>
        <w:t>经查阅，</w:t>
      </w:r>
      <w:r>
        <w:rPr>
          <w:rFonts w:hint="eastAsia" w:ascii="仿宋_GB2312" w:hAnsi="宋体" w:eastAsia="仿宋_GB2312"/>
          <w:sz w:val="32"/>
          <w:szCs w:val="28"/>
          <w:lang w:val="zh-CN" w:eastAsia="zh-CN"/>
        </w:rPr>
        <w:t>国内暂无“六堡茶年份茶</w:t>
      </w:r>
      <w:r>
        <w:rPr>
          <w:rFonts w:hint="eastAsia" w:ascii="仿宋_GB2312" w:hAnsi="宋体" w:eastAsia="仿宋_GB2312"/>
          <w:sz w:val="32"/>
          <w:szCs w:val="28"/>
          <w:lang w:val="en-US" w:eastAsia="zh-CN"/>
        </w:rPr>
        <w:t>品鉴</w:t>
      </w:r>
      <w:r>
        <w:rPr>
          <w:rFonts w:hint="eastAsia" w:ascii="仿宋_GB2312" w:hAnsi="宋体" w:eastAsia="仿宋_GB2312"/>
          <w:sz w:val="32"/>
          <w:szCs w:val="28"/>
          <w:lang w:val="zh-CN" w:eastAsia="zh-CN"/>
        </w:rPr>
        <w:t>”的国家标准、行业标准、地方标准、国际标准。</w:t>
      </w:r>
    </w:p>
    <w:p w14:paraId="3078D69B">
      <w:pPr>
        <w:spacing w:line="560" w:lineRule="exact"/>
        <w:ind w:firstLine="640" w:firstLineChars="200"/>
        <w:rPr>
          <w:rFonts w:hint="eastAsia" w:ascii="仿宋_GB2312" w:hAnsi="宋体" w:eastAsia="仿宋_GB2312"/>
          <w:sz w:val="32"/>
          <w:szCs w:val="28"/>
          <w:lang w:val="zh-CN" w:eastAsia="zh-CN"/>
        </w:rPr>
      </w:pPr>
      <w:r>
        <w:rPr>
          <w:rFonts w:hint="eastAsia" w:ascii="仿宋_GB2312" w:hAnsi="宋体" w:eastAsia="仿宋_GB2312"/>
          <w:sz w:val="32"/>
          <w:szCs w:val="28"/>
          <w:lang w:val="zh-CN"/>
        </w:rPr>
        <w:t>与</w:t>
      </w:r>
      <w:r>
        <w:rPr>
          <w:rFonts w:hint="eastAsia" w:ascii="仿宋_GB2312" w:hAnsi="宋体" w:eastAsia="仿宋_GB2312"/>
          <w:sz w:val="32"/>
          <w:szCs w:val="28"/>
          <w:lang w:val="zh-CN" w:eastAsia="zh-CN"/>
        </w:rPr>
        <w:t>相关有“年份茶”标准有T/HBAS 025—2024</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赤壁青砖茶年份茶品质评定规范、T/CZTEA 002—2022</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凤凰单丛（枞）茶年份茶、T/CCOICDG 003—2021</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年份茶贸易规范、T/CCOICDG 002—2021</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年份茶评估规范、T/CCOICDG 001—2021</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年份茶数字化仓储与藏养规范。以上主要涉及年份茶评估</w:t>
      </w:r>
      <w:r>
        <w:rPr>
          <w:rFonts w:hint="eastAsia" w:ascii="仿宋_GB2312" w:hAnsi="宋体" w:eastAsia="仿宋_GB2312"/>
          <w:sz w:val="32"/>
          <w:szCs w:val="28"/>
          <w:lang w:val="en-US" w:eastAsia="zh-CN"/>
        </w:rPr>
        <w:t>、</w:t>
      </w:r>
      <w:r>
        <w:rPr>
          <w:rFonts w:hint="eastAsia" w:ascii="仿宋_GB2312" w:hAnsi="宋体" w:eastAsia="仿宋_GB2312"/>
          <w:sz w:val="32"/>
          <w:szCs w:val="28"/>
          <w:lang w:val="zh-CN" w:eastAsia="zh-CN"/>
        </w:rPr>
        <w:t>赤壁青砖茶、凤凰单丛（枞）茶品种的年份茶品质评定，不涉及六堡茶的年份茶标准。</w:t>
      </w:r>
    </w:p>
    <w:p w14:paraId="0664D81B">
      <w:pPr>
        <w:spacing w:line="560" w:lineRule="exact"/>
        <w:ind w:firstLine="640" w:firstLineChars="200"/>
        <w:rPr>
          <w:rFonts w:hint="default" w:ascii="仿宋_GB2312" w:hAnsi="宋体" w:eastAsia="仿宋_GB2312"/>
          <w:sz w:val="32"/>
          <w:szCs w:val="28"/>
          <w:lang w:val="en-US" w:eastAsia="zh-CN"/>
        </w:rPr>
      </w:pPr>
      <w:r>
        <w:rPr>
          <w:rFonts w:hint="eastAsia" w:ascii="仿宋_GB2312" w:hAnsi="宋体" w:eastAsia="仿宋_GB2312"/>
          <w:sz w:val="32"/>
          <w:szCs w:val="28"/>
          <w:lang w:val="zh-CN" w:eastAsia="zh-CN"/>
        </w:rPr>
        <w:t>与“品鉴”相关的标准有：DB3410/T 43-2024  黄山贡菊冲泡与品鉴方法、DB35/T 2137-2023  漳平水仙茶冲泡与品鉴方法、DB43/T 2333-2022  湖南红茶 工夫红茶冲泡与品鉴方法、DB35/T 2017-2021  台式乌龙茶冲泡与品鉴方法、DB35/T 1953-2020  绿茶冲泡与品鉴方法、DB35/T 1634-2016  茉莉花茶冲泡与品鉴方法、DB35/T 1633-2016  白茶冲泡与品鉴方法、T/CTMA 045—2022</w:t>
      </w:r>
      <w:r>
        <w:rPr>
          <w:rFonts w:hint="eastAsia" w:ascii="仿宋_GB2312" w:hAnsi="宋体" w:eastAsia="仿宋_GB2312"/>
          <w:sz w:val="32"/>
          <w:szCs w:val="28"/>
          <w:lang w:val="zh-CN" w:eastAsia="zh-CN"/>
        </w:rPr>
        <w:tab/>
      </w:r>
      <w:r>
        <w:rPr>
          <w:rFonts w:hint="eastAsia" w:ascii="仿宋_GB2312" w:hAnsi="宋体" w:eastAsia="仿宋_GB2312"/>
          <w:sz w:val="32"/>
          <w:szCs w:val="28"/>
          <w:lang w:val="zh-CN" w:eastAsia="zh-CN"/>
        </w:rPr>
        <w:t>金骏眉红茶冲泡与品鉴方法等</w:t>
      </w:r>
      <w:r>
        <w:rPr>
          <w:rFonts w:hint="eastAsia" w:ascii="仿宋_GB2312" w:hAnsi="宋体" w:eastAsia="仿宋_GB2312"/>
          <w:sz w:val="32"/>
          <w:szCs w:val="28"/>
          <w:lang w:val="en-US" w:eastAsia="zh-CN"/>
        </w:rPr>
        <w:t>57个现行地方标准和团体标准。</w:t>
      </w:r>
    </w:p>
    <w:p w14:paraId="55182502">
      <w:pPr>
        <w:spacing w:line="560" w:lineRule="exact"/>
        <w:ind w:firstLine="640" w:firstLineChars="200"/>
        <w:rPr>
          <w:rFonts w:hint="eastAsia" w:ascii="仿宋_GB2312" w:hAnsi="宋体" w:eastAsia="仿宋_GB2312"/>
          <w:sz w:val="32"/>
          <w:szCs w:val="28"/>
          <w:lang w:val="zh-CN" w:eastAsia="zh-CN"/>
        </w:rPr>
      </w:pPr>
      <w:r>
        <w:rPr>
          <w:rFonts w:hint="eastAsia" w:ascii="仿宋_GB2312" w:hAnsi="宋体" w:eastAsia="仿宋_GB2312"/>
          <w:sz w:val="32"/>
          <w:szCs w:val="28"/>
          <w:lang w:val="zh-CN"/>
        </w:rPr>
        <w:t>与“六堡茶</w:t>
      </w:r>
      <w:r>
        <w:rPr>
          <w:rFonts w:hint="eastAsia" w:ascii="仿宋_GB2312" w:hAnsi="宋体" w:eastAsia="仿宋_GB2312"/>
          <w:sz w:val="32"/>
          <w:szCs w:val="28"/>
          <w:lang w:val="zh-CN" w:eastAsia="zh-CN"/>
        </w:rPr>
        <w:t xml:space="preserve">  品饮</w:t>
      </w:r>
      <w:r>
        <w:rPr>
          <w:rFonts w:hint="eastAsia" w:ascii="仿宋_GB2312" w:hAnsi="宋体" w:eastAsia="仿宋_GB2312"/>
          <w:sz w:val="32"/>
          <w:szCs w:val="28"/>
          <w:lang w:val="zh-CN"/>
        </w:rPr>
        <w:t>”</w:t>
      </w:r>
      <w:r>
        <w:rPr>
          <w:rFonts w:hint="eastAsia" w:ascii="仿宋_GB2312" w:hAnsi="宋体" w:eastAsia="仿宋_GB2312"/>
          <w:sz w:val="32"/>
          <w:szCs w:val="28"/>
          <w:lang w:val="zh-CN" w:eastAsia="zh-CN"/>
        </w:rPr>
        <w:t>“审评”</w:t>
      </w:r>
      <w:r>
        <w:rPr>
          <w:rFonts w:hint="eastAsia" w:ascii="仿宋_GB2312" w:hAnsi="宋体" w:eastAsia="仿宋_GB2312"/>
          <w:sz w:val="32"/>
          <w:szCs w:val="28"/>
          <w:lang w:val="zh-CN"/>
        </w:rPr>
        <w:t>相关的标准</w:t>
      </w:r>
      <w:r>
        <w:rPr>
          <w:rFonts w:hint="eastAsia" w:ascii="仿宋_GB2312" w:hAnsi="宋体" w:eastAsia="仿宋_GB2312"/>
          <w:sz w:val="32"/>
          <w:szCs w:val="28"/>
          <w:lang w:val="zh-CN" w:eastAsia="zh-CN"/>
        </w:rPr>
        <w:t>主要</w:t>
      </w:r>
      <w:r>
        <w:rPr>
          <w:rFonts w:hint="eastAsia" w:ascii="仿宋_GB2312" w:hAnsi="宋体" w:eastAsia="仿宋_GB2312"/>
          <w:sz w:val="32"/>
          <w:szCs w:val="28"/>
          <w:lang w:val="zh-CN"/>
        </w:rPr>
        <w:t>有：DB45/T 1291</w:t>
      </w:r>
      <w:r>
        <w:rPr>
          <w:rFonts w:hint="eastAsia" w:ascii="仿宋_GB2312" w:hAnsi="宋体" w:eastAsia="仿宋_GB2312"/>
          <w:sz w:val="32"/>
          <w:szCs w:val="28"/>
          <w:lang w:val="zh-CN" w:eastAsia="zh-CN"/>
        </w:rPr>
        <w:t>-2016</w:t>
      </w:r>
      <w:r>
        <w:rPr>
          <w:rFonts w:hint="eastAsia" w:ascii="仿宋_GB2312" w:hAnsi="宋体" w:eastAsia="仿宋_GB2312"/>
          <w:sz w:val="32"/>
          <w:szCs w:val="28"/>
          <w:lang w:val="zh-CN"/>
        </w:rPr>
        <w:t>《六堡茶加工与感官审评术语》</w:t>
      </w:r>
      <w:r>
        <w:rPr>
          <w:rFonts w:hint="eastAsia" w:ascii="仿宋_GB2312" w:hAnsi="宋体" w:eastAsia="仿宋_GB2312"/>
          <w:sz w:val="32"/>
          <w:szCs w:val="28"/>
          <w:lang w:val="zh-CN" w:eastAsia="zh-CN"/>
        </w:rPr>
        <w:t>、</w:t>
      </w:r>
      <w:r>
        <w:rPr>
          <w:rFonts w:hint="eastAsia" w:ascii="仿宋_GB2312" w:hAnsi="宋体" w:eastAsia="仿宋_GB2312"/>
          <w:sz w:val="32"/>
          <w:szCs w:val="28"/>
          <w:lang w:val="zh-CN"/>
        </w:rPr>
        <w:t>DB45/T 1649</w:t>
      </w:r>
      <w:r>
        <w:rPr>
          <w:rFonts w:hint="eastAsia" w:ascii="仿宋_GB2312" w:hAnsi="宋体" w:eastAsia="仿宋_GB2312"/>
          <w:sz w:val="32"/>
          <w:szCs w:val="28"/>
          <w:lang w:val="zh-CN" w:eastAsia="zh-CN"/>
        </w:rPr>
        <w:t>-2017</w:t>
      </w:r>
      <w:r>
        <w:rPr>
          <w:rFonts w:hint="eastAsia" w:ascii="仿宋_GB2312" w:hAnsi="宋体" w:eastAsia="仿宋_GB2312"/>
          <w:sz w:val="32"/>
          <w:szCs w:val="28"/>
          <w:lang w:val="zh-CN"/>
        </w:rPr>
        <w:t xml:space="preserve"> 《六堡茶冲泡用品饮方法》</w:t>
      </w:r>
      <w:r>
        <w:rPr>
          <w:rFonts w:hint="eastAsia" w:ascii="仿宋_GB2312" w:hAnsi="宋体" w:eastAsia="仿宋_GB2312"/>
          <w:sz w:val="32"/>
          <w:szCs w:val="28"/>
          <w:lang w:val="zh-CN" w:eastAsia="zh-CN"/>
        </w:rPr>
        <w:t>、</w:t>
      </w:r>
      <w:r>
        <w:rPr>
          <w:rFonts w:hint="eastAsia" w:ascii="仿宋_GB2312" w:hAnsi="宋体" w:eastAsia="仿宋_GB2312"/>
          <w:sz w:val="32"/>
          <w:szCs w:val="28"/>
          <w:lang w:val="zh-CN"/>
        </w:rPr>
        <w:t>DB45/T 2436</w:t>
      </w:r>
      <w:r>
        <w:rPr>
          <w:rFonts w:hint="eastAsia" w:ascii="仿宋_GB2312" w:hAnsi="宋体" w:eastAsia="仿宋_GB2312"/>
          <w:sz w:val="32"/>
          <w:szCs w:val="28"/>
          <w:lang w:val="zh-CN" w:eastAsia="zh-CN"/>
        </w:rPr>
        <w:t>-2022《</w:t>
      </w:r>
      <w:r>
        <w:rPr>
          <w:rFonts w:hint="eastAsia" w:ascii="仿宋_GB2312" w:hAnsi="宋体" w:eastAsia="仿宋_GB2312"/>
          <w:sz w:val="32"/>
          <w:szCs w:val="28"/>
          <w:lang w:val="zh-CN"/>
        </w:rPr>
        <w:t>六堡茶感官审评方法</w:t>
      </w:r>
      <w:r>
        <w:rPr>
          <w:rFonts w:hint="eastAsia" w:ascii="仿宋_GB2312" w:hAnsi="宋体" w:eastAsia="仿宋_GB2312"/>
          <w:sz w:val="32"/>
          <w:szCs w:val="28"/>
          <w:lang w:val="zh-CN" w:eastAsia="zh-CN"/>
        </w:rPr>
        <w:t>》</w:t>
      </w:r>
      <w:r>
        <w:rPr>
          <w:rFonts w:hint="eastAsia" w:ascii="仿宋_GB2312" w:hAnsi="宋体" w:eastAsia="仿宋_GB2312"/>
          <w:sz w:val="32"/>
          <w:szCs w:val="28"/>
          <w:lang w:val="zh-CN"/>
        </w:rPr>
        <w:t>。</w:t>
      </w:r>
      <w:r>
        <w:rPr>
          <w:rFonts w:hint="eastAsia" w:ascii="仿宋_GB2312" w:hAnsi="宋体" w:eastAsia="仿宋_GB2312"/>
          <w:sz w:val="32"/>
          <w:szCs w:val="28"/>
          <w:lang w:val="zh-CN" w:eastAsia="zh-CN"/>
        </w:rPr>
        <w:t>其中《六堡茶加工与感官审评术语》规定了本标准规定了六堡茶的通用术语、加工术语及感官审评术语和定义；适用于六堡茶的加工和感官审评。</w:t>
      </w:r>
      <w:r>
        <w:rPr>
          <w:rFonts w:hint="eastAsia" w:ascii="仿宋_GB2312" w:hAnsi="宋体" w:eastAsia="仿宋_GB2312"/>
          <w:sz w:val="32"/>
          <w:szCs w:val="28"/>
          <w:lang w:val="zh-CN"/>
        </w:rPr>
        <w:t>《六堡茶冲泡用品饮方法》</w:t>
      </w:r>
      <w:r>
        <w:rPr>
          <w:rFonts w:hint="eastAsia" w:ascii="仿宋_GB2312" w:hAnsi="宋体" w:eastAsia="仿宋_GB2312"/>
          <w:sz w:val="32"/>
          <w:szCs w:val="28"/>
          <w:lang w:val="zh-CN" w:eastAsia="zh-CN"/>
        </w:rPr>
        <w:t>规定了六堡茶的冲泡与品饮器具，品饮环境，茶、水、器的选择，冲泡程序和品饮方法，适用于六堡茶的冲泡及品饮。《六堡茶感官审评方法》界定了六堡茶感官审评方法的术语和定义，规定了审评条件、审评方法及审评结果与判定；适用于六堡茶的感官审评。但上述标准均无法指导六堡茶年份茶的品鉴需要考虑的基本模型及解析、专业品鉴评委确定、品鉴方法、品鉴需要考虑的因素、陈化时间计算、品鉴报告、保密、总结、档案管理等方面的建议和相关信息。</w:t>
      </w:r>
    </w:p>
    <w:p w14:paraId="6FD9AE6F">
      <w:pPr>
        <w:spacing w:line="56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eastAsia="zh-CN"/>
        </w:rPr>
        <w:t>综上所述，以上标准均不适用于六堡茶年份茶的品鉴的指导。本标准的主要核心技术为</w:t>
      </w:r>
      <w:r>
        <w:rPr>
          <w:rFonts w:hint="eastAsia" w:ascii="仿宋_GB2312" w:hAnsi="宋体" w:eastAsia="仿宋_GB2312"/>
          <w:sz w:val="32"/>
          <w:szCs w:val="28"/>
          <w:lang w:val="zh-CN"/>
        </w:rPr>
        <w:t>：（1）</w:t>
      </w:r>
      <w:r>
        <w:rPr>
          <w:rFonts w:hint="eastAsia" w:ascii="仿宋_GB2312" w:hAnsi="宋体" w:eastAsia="仿宋_GB2312"/>
          <w:sz w:val="32"/>
          <w:szCs w:val="28"/>
          <w:lang w:val="zh-CN" w:eastAsia="zh-CN"/>
        </w:rPr>
        <w:t>界定了关键术语：如六堡茶年份茶、六堡茶品鉴、专业品鉴评委、文献、体感、发酵适度、炭化气、炭化味、委托品鉴方、被委托品鉴方等。（2）确立了总则：如基于公平、公正、公开的原则，基于六堡茶相关的法律、法规、标准等要求，于六堡茶风味随发酵程度和陈化时间变化而变化的规律等。（3）建立了基本模型及解析：建立有14种感官品质指标的变化规律及解析。规定专业品鉴评委确定：包括专业品鉴评委征集、录用及裁判长确定。（4）规定品鉴方法：包括确定查证55项内容，按DB45/T 1649、DB45/T 2436 规定的方法进行品鉴。（5）规定陈化时间计算公式。（6）规定品鉴报告格式。（7）规定保密、总结、档案管理等事项。</w:t>
      </w:r>
    </w:p>
    <w:p w14:paraId="260891BD">
      <w:pPr>
        <w:spacing w:line="560" w:lineRule="exact"/>
        <w:ind w:firstLine="640" w:firstLineChars="200"/>
        <w:outlineLvl w:val="0"/>
        <w:rPr>
          <w:rFonts w:ascii="黑体" w:hAnsi="黑体" w:eastAsia="黑体" w:cs="黑体"/>
          <w:bCs/>
          <w:sz w:val="32"/>
          <w:szCs w:val="32"/>
        </w:rPr>
      </w:pPr>
      <w:r>
        <w:rPr>
          <w:rFonts w:hint="eastAsia" w:ascii="黑体" w:hAnsi="黑体" w:eastAsia="黑体" w:cs="黑体"/>
          <w:bCs/>
          <w:sz w:val="32"/>
          <w:szCs w:val="32"/>
        </w:rPr>
        <w:t>五、主要条款的说明，主要技术指标、参数、试验验证的论述</w:t>
      </w:r>
    </w:p>
    <w:p w14:paraId="7B65962B">
      <w:pPr>
        <w:spacing w:line="560" w:lineRule="exact"/>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团体标准《</w:t>
      </w:r>
      <w:r>
        <w:rPr>
          <w:rFonts w:hint="eastAsia" w:ascii="仿宋_GB2312" w:hAnsi="宋体" w:eastAsia="仿宋_GB2312"/>
          <w:sz w:val="32"/>
          <w:szCs w:val="28"/>
          <w:lang w:val="en-US" w:eastAsia="zh-CN"/>
        </w:rPr>
        <w:t>六堡茶年份茶品鉴指南</w:t>
      </w:r>
      <w:r>
        <w:rPr>
          <w:rFonts w:hint="eastAsia" w:ascii="仿宋_GB2312" w:hAnsi="宋体" w:eastAsia="仿宋_GB2312"/>
          <w:sz w:val="32"/>
          <w:szCs w:val="28"/>
          <w:lang w:val="zh-CN"/>
        </w:rPr>
        <w:t>》确立了六堡茶年份茶品鉴总则，给出了品鉴需要考虑的基本模型及解析、专业品鉴评委确定、品鉴方法、品鉴需要考虑的因素、陈化时间计算、品鉴报告、保密、总结、档案管理等方面的建议和相关信息。</w:t>
      </w:r>
      <w:r>
        <w:rPr>
          <w:rFonts w:hint="eastAsia" w:ascii="仿宋_GB2312" w:hAnsi="宋体" w:eastAsia="仿宋_GB2312"/>
          <w:sz w:val="32"/>
          <w:szCs w:val="28"/>
          <w:lang w:val="zh-CN" w:eastAsia="zh-CN"/>
        </w:rPr>
        <w:t>本标准最核心的关键是建立了六堡茶年份茶基本模型及解析，模型涉及14种感官品质指标的变化规律，并对其进行了解析。模型的来源是吴平于2009年第1期《茶叶》杂志上发表的《六堡茶之越陈越好,好在哪里?》及吴平于2021年在《茶叶》杂志上发表的《六堡茶风味轮的构建及解析》这两篇论文中对陈年六堡茶风味随陈化时间变化而变化的规律的论述，在此基础上依据品鉴实践进行了一些扩充，形成六堡茶风味随发酵程度和陈化时间变化而变化的规律模型。</w:t>
      </w:r>
    </w:p>
    <w:p w14:paraId="7F387869">
      <w:pPr>
        <w:spacing w:line="560" w:lineRule="exact"/>
        <w:ind w:firstLine="643" w:firstLineChars="200"/>
        <w:outlineLvl w:val="1"/>
        <w:rPr>
          <w:rFonts w:ascii="楷体" w:hAnsi="楷体" w:eastAsia="楷体"/>
          <w:b/>
          <w:sz w:val="32"/>
          <w:szCs w:val="32"/>
          <w:lang w:val="zh-CN"/>
        </w:rPr>
      </w:pPr>
      <w:r>
        <w:rPr>
          <w:rFonts w:hint="eastAsia" w:ascii="楷体" w:hAnsi="楷体" w:eastAsia="楷体"/>
          <w:b/>
          <w:sz w:val="32"/>
          <w:szCs w:val="32"/>
          <w:lang w:val="zh-CN"/>
        </w:rPr>
        <w:t>（一）术语</w:t>
      </w:r>
      <w:r>
        <w:rPr>
          <w:rFonts w:ascii="楷体" w:hAnsi="楷体" w:eastAsia="楷体"/>
          <w:b/>
          <w:sz w:val="32"/>
          <w:szCs w:val="32"/>
          <w:lang w:val="zh-CN"/>
        </w:rPr>
        <w:t>和定义</w:t>
      </w:r>
    </w:p>
    <w:p w14:paraId="3F582687">
      <w:pPr>
        <w:spacing w:line="560" w:lineRule="exact"/>
        <w:ind w:firstLine="640" w:firstLineChars="200"/>
        <w:rPr>
          <w:rFonts w:hint="eastAsia" w:ascii="仿宋_GB2312" w:hAnsi="楷体" w:eastAsia="仿宋_GB2312"/>
          <w:sz w:val="32"/>
          <w:szCs w:val="32"/>
          <w:lang w:val="zh-CN"/>
        </w:rPr>
      </w:pPr>
      <w:r>
        <w:rPr>
          <w:rFonts w:hint="eastAsia" w:ascii="仿宋_GB2312" w:hAnsi="楷体" w:eastAsia="仿宋_GB2312"/>
          <w:sz w:val="32"/>
          <w:szCs w:val="32"/>
          <w:lang w:val="zh-CN"/>
        </w:rPr>
        <w:t>主要</w:t>
      </w:r>
      <w:r>
        <w:rPr>
          <w:rFonts w:ascii="仿宋_GB2312" w:hAnsi="楷体" w:eastAsia="仿宋_GB2312"/>
          <w:sz w:val="32"/>
          <w:szCs w:val="32"/>
          <w:lang w:val="zh-CN"/>
        </w:rPr>
        <w:t>依据</w:t>
      </w:r>
      <w:r>
        <w:rPr>
          <w:rFonts w:hint="default" w:ascii="仿宋_GB2312" w:hAnsi="楷体" w:eastAsia="仿宋_GB2312"/>
          <w:sz w:val="32"/>
          <w:szCs w:val="32"/>
          <w:lang w:val="zh-CN" w:eastAsia="zh-CN"/>
        </w:rPr>
        <w:t>GB/T 14487</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DB45/T 1114</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DB45/T 1291</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DB45/T 1649</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DBS45/ 057</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T/GXAS 116</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T/GXAS 311</w:t>
      </w:r>
      <w:r>
        <w:rPr>
          <w:rFonts w:hint="eastAsia" w:ascii="仿宋_GB2312" w:hAnsi="楷体" w:eastAsia="仿宋_GB2312"/>
          <w:sz w:val="32"/>
          <w:szCs w:val="32"/>
          <w:lang w:val="zh-CN" w:eastAsia="zh-CN"/>
        </w:rPr>
        <w:t>、</w:t>
      </w:r>
      <w:r>
        <w:rPr>
          <w:rFonts w:hint="default" w:ascii="仿宋_GB2312" w:hAnsi="楷体" w:eastAsia="仿宋_GB2312"/>
          <w:sz w:val="32"/>
          <w:szCs w:val="32"/>
          <w:lang w:val="zh-CN" w:eastAsia="zh-CN"/>
        </w:rPr>
        <w:t>T/GXAS 566</w:t>
      </w:r>
      <w:r>
        <w:rPr>
          <w:rFonts w:hint="eastAsia" w:ascii="仿宋_GB2312" w:hAnsi="楷体" w:eastAsia="仿宋_GB2312"/>
          <w:sz w:val="32"/>
          <w:szCs w:val="32"/>
          <w:lang w:val="zh-CN" w:eastAsia="zh-CN"/>
        </w:rPr>
        <w:t>界定的术语和定义确定</w:t>
      </w:r>
      <w:r>
        <w:rPr>
          <w:rFonts w:hint="eastAsia" w:ascii="仿宋_GB2312" w:hAnsi="楷体" w:eastAsia="仿宋_GB2312"/>
          <w:sz w:val="32"/>
          <w:szCs w:val="32"/>
          <w:lang w:val="zh-CN"/>
        </w:rPr>
        <w:t>。</w:t>
      </w:r>
    </w:p>
    <w:p w14:paraId="1F63E2B0">
      <w:pPr>
        <w:spacing w:line="560" w:lineRule="exact"/>
        <w:ind w:firstLine="640" w:firstLineChars="200"/>
        <w:rPr>
          <w:rFonts w:hint="eastAsia" w:ascii="仿宋_GB2312" w:hAnsi="楷体" w:eastAsia="仿宋_GB2312"/>
          <w:sz w:val="32"/>
          <w:szCs w:val="32"/>
          <w:lang w:val="zh-CN"/>
        </w:rPr>
      </w:pPr>
      <w:r>
        <w:rPr>
          <w:rFonts w:hint="eastAsia" w:ascii="仿宋_GB2312" w:hAnsi="楷体" w:eastAsia="仿宋_GB2312"/>
          <w:sz w:val="32"/>
          <w:szCs w:val="32"/>
          <w:lang w:val="zh-CN" w:eastAsia="zh-CN"/>
        </w:rPr>
        <w:t>根据行业内普遍认知和经验一般将六堡茶年份茶界定为：“陈化时间不少于10年（含10年）的六堡茶”，炭化气、炭化味界定为多因茶叶在渥堆发酵或陈化初期温度过高烧心，或陈放过久，出现炭化所产生的似木炭的气味和味道。</w:t>
      </w:r>
    </w:p>
    <w:p w14:paraId="3BADDAB3">
      <w:pPr>
        <w:spacing w:line="560" w:lineRule="exact"/>
        <w:ind w:firstLine="640" w:firstLineChars="200"/>
        <w:rPr>
          <w:rFonts w:hint="eastAsia" w:ascii="仿宋_GB2312" w:hAnsi="楷体" w:eastAsia="仿宋_GB2312"/>
          <w:sz w:val="32"/>
          <w:szCs w:val="32"/>
          <w:lang w:val="en-US" w:eastAsia="zh-CN"/>
        </w:rPr>
      </w:pPr>
      <w:r>
        <w:rPr>
          <w:rFonts w:hint="eastAsia" w:ascii="仿宋_GB2312" w:hAnsi="楷体" w:eastAsia="仿宋_GB2312"/>
          <w:sz w:val="32"/>
          <w:szCs w:val="32"/>
          <w:lang w:val="zh-CN" w:eastAsia="zh-CN"/>
        </w:rPr>
        <w:t>发酵适度界定为：六堡茶毛茶在渥堆发酵加工时，发酵至叶色变褐、发出醇香即为适度。主要参考</w:t>
      </w:r>
      <w:r>
        <w:rPr>
          <w:rFonts w:hint="eastAsia" w:ascii="仿宋_GB2312" w:hAnsi="楷体" w:eastAsia="仿宋_GB2312"/>
          <w:sz w:val="32"/>
          <w:szCs w:val="32"/>
          <w:lang w:val="en-US" w:eastAsia="zh-CN"/>
        </w:rPr>
        <w:t>DB45/479-2014六堡茶加工技术规程，渥堆加工工序中有规定待叶色变为红褐或黑褐，发出醇香，即为渥堆适度。</w:t>
      </w:r>
    </w:p>
    <w:p w14:paraId="12B2FD81">
      <w:pPr>
        <w:spacing w:line="560" w:lineRule="exact"/>
        <w:ind w:firstLine="643" w:firstLineChars="200"/>
        <w:outlineLvl w:val="1"/>
        <w:rPr>
          <w:rFonts w:hint="eastAsia" w:ascii="楷体" w:hAnsi="楷体" w:eastAsia="楷体"/>
          <w:b/>
          <w:sz w:val="32"/>
          <w:szCs w:val="32"/>
          <w:lang w:val="en-US" w:eastAsia="zh-CN"/>
        </w:rPr>
      </w:pPr>
      <w:r>
        <w:rPr>
          <w:rFonts w:hint="eastAsia" w:ascii="楷体" w:hAnsi="楷体" w:eastAsia="楷体"/>
          <w:b/>
          <w:sz w:val="32"/>
          <w:szCs w:val="32"/>
          <w:lang w:val="en-US" w:eastAsia="zh-CN"/>
        </w:rPr>
        <w:t>（二）总则</w:t>
      </w:r>
    </w:p>
    <w:p w14:paraId="0ED73ED0">
      <w:pPr>
        <w:spacing w:line="560" w:lineRule="exact"/>
        <w:ind w:firstLine="640" w:firstLineChars="200"/>
        <w:rPr>
          <w:rFonts w:hint="eastAsia" w:ascii="仿宋_GB2312" w:hAnsi="楷体" w:eastAsia="仿宋_GB2312"/>
          <w:sz w:val="32"/>
          <w:szCs w:val="32"/>
          <w:lang w:val="zh-CN"/>
        </w:rPr>
      </w:pPr>
      <w:r>
        <w:rPr>
          <w:rFonts w:hint="eastAsia" w:ascii="仿宋_GB2312" w:hAnsi="楷体" w:eastAsia="仿宋_GB2312"/>
          <w:sz w:val="32"/>
          <w:szCs w:val="32"/>
          <w:lang w:val="en-US" w:eastAsia="zh-CN"/>
        </w:rPr>
        <w:t>年份茶品鉴过程需要遵循公平、公正、公开，符合法律和标准规定，六堡茶风味随发酵程度和陈化时间变化而变化的规律、符合六堡茶相关的历史文献记载，涉及的人员需要进行签署商业保密</w:t>
      </w:r>
      <w:r>
        <w:rPr>
          <w:rFonts w:hint="default" w:ascii="仿宋_GB2312" w:hAnsi="楷体" w:eastAsia="仿宋_GB2312"/>
          <w:sz w:val="32"/>
          <w:szCs w:val="32"/>
          <w:lang w:val="en-US" w:eastAsia="zh-CN"/>
        </w:rPr>
        <w:t>。</w:t>
      </w:r>
      <w:r>
        <w:rPr>
          <w:rFonts w:hint="eastAsia" w:ascii="仿宋_GB2312" w:hAnsi="楷体" w:eastAsia="仿宋_GB2312"/>
          <w:sz w:val="32"/>
          <w:szCs w:val="32"/>
          <w:lang w:val="en-US" w:eastAsia="zh-CN"/>
        </w:rPr>
        <w:t>因此规定了</w:t>
      </w:r>
      <w:r>
        <w:rPr>
          <w:rFonts w:hint="default" w:ascii="仿宋_GB2312" w:hAnsi="楷体" w:eastAsia="仿宋_GB2312"/>
          <w:sz w:val="32"/>
          <w:szCs w:val="32"/>
          <w:lang w:val="en-US" w:eastAsia="zh-CN"/>
        </w:rPr>
        <w:t>基于公平、公正、公开的原则</w:t>
      </w:r>
      <w:r>
        <w:rPr>
          <w:rFonts w:hint="eastAsia" w:ascii="仿宋_GB2312" w:hAnsi="楷体" w:eastAsia="仿宋_GB2312"/>
          <w:sz w:val="32"/>
          <w:szCs w:val="32"/>
          <w:lang w:val="en-US" w:eastAsia="zh-CN"/>
        </w:rPr>
        <w:t>，</w:t>
      </w:r>
      <w:r>
        <w:rPr>
          <w:rFonts w:hint="default" w:ascii="仿宋_GB2312" w:hAnsi="楷体" w:eastAsia="仿宋_GB2312"/>
          <w:sz w:val="32"/>
          <w:szCs w:val="32"/>
          <w:lang w:val="en-US" w:eastAsia="zh-CN"/>
        </w:rPr>
        <w:t>基于六堡茶相关的法律、法规、标准等要求</w:t>
      </w:r>
      <w:r>
        <w:rPr>
          <w:rFonts w:hint="eastAsia" w:ascii="仿宋_GB2312" w:hAnsi="楷体" w:eastAsia="仿宋_GB2312"/>
          <w:sz w:val="32"/>
          <w:szCs w:val="32"/>
          <w:lang w:val="en-US" w:eastAsia="zh-CN"/>
        </w:rPr>
        <w:t>；</w:t>
      </w:r>
      <w:r>
        <w:rPr>
          <w:rFonts w:hint="default" w:ascii="仿宋_GB2312" w:hAnsi="楷体" w:eastAsia="仿宋_GB2312"/>
          <w:sz w:val="32"/>
          <w:szCs w:val="32"/>
          <w:lang w:val="en-US" w:eastAsia="zh-CN"/>
        </w:rPr>
        <w:t>基于六堡茶风味随发酵程度和陈化时间变化而变化的规律</w:t>
      </w:r>
      <w:r>
        <w:rPr>
          <w:rFonts w:hint="eastAsia" w:ascii="仿宋_GB2312" w:hAnsi="楷体" w:eastAsia="仿宋_GB2312"/>
          <w:sz w:val="32"/>
          <w:szCs w:val="32"/>
          <w:lang w:val="en-US" w:eastAsia="zh-CN"/>
        </w:rPr>
        <w:t>；</w:t>
      </w:r>
      <w:r>
        <w:rPr>
          <w:rFonts w:hint="default" w:ascii="仿宋_GB2312" w:hAnsi="楷体" w:eastAsia="仿宋_GB2312"/>
          <w:sz w:val="32"/>
          <w:szCs w:val="32"/>
          <w:lang w:val="en-US" w:eastAsia="zh-CN"/>
        </w:rPr>
        <w:t>基于六堡茶相关的历史文献记载</w:t>
      </w:r>
      <w:r>
        <w:rPr>
          <w:rFonts w:hint="eastAsia" w:ascii="仿宋_GB2312" w:hAnsi="楷体" w:eastAsia="仿宋_GB2312"/>
          <w:sz w:val="32"/>
          <w:szCs w:val="32"/>
          <w:lang w:val="en-US" w:eastAsia="zh-CN"/>
        </w:rPr>
        <w:t>；</w:t>
      </w:r>
      <w:r>
        <w:rPr>
          <w:rFonts w:hint="default" w:ascii="仿宋_GB2312" w:hAnsi="楷体" w:eastAsia="仿宋_GB2312"/>
          <w:sz w:val="32"/>
          <w:szCs w:val="32"/>
          <w:lang w:val="en-US" w:eastAsia="zh-CN"/>
        </w:rPr>
        <w:t>基于专业品鉴评委的知识和经验积累</w:t>
      </w:r>
      <w:r>
        <w:rPr>
          <w:rFonts w:hint="eastAsia" w:ascii="仿宋_GB2312" w:hAnsi="楷体" w:eastAsia="仿宋_GB2312"/>
          <w:sz w:val="32"/>
          <w:szCs w:val="32"/>
          <w:lang w:val="en-US" w:eastAsia="zh-CN"/>
        </w:rPr>
        <w:t>；</w:t>
      </w:r>
      <w:r>
        <w:rPr>
          <w:rFonts w:hint="default" w:ascii="仿宋_GB2312" w:hAnsi="楷体" w:eastAsia="仿宋_GB2312"/>
          <w:sz w:val="32"/>
          <w:szCs w:val="32"/>
          <w:lang w:val="en-US" w:eastAsia="zh-CN"/>
        </w:rPr>
        <w:t>基于对被委托单位的商业秘密履行保密义务。</w:t>
      </w:r>
    </w:p>
    <w:p w14:paraId="18629105">
      <w:pPr>
        <w:ind w:firstLine="643" w:firstLineChars="200"/>
        <w:outlineLvl w:val="1"/>
        <w:rPr>
          <w:rFonts w:ascii="楷体" w:hAnsi="楷体" w:eastAsia="楷体"/>
          <w:b/>
          <w:bCs/>
          <w:sz w:val="32"/>
          <w:szCs w:val="32"/>
        </w:rPr>
      </w:pPr>
      <w:r>
        <w:rPr>
          <w:rFonts w:hint="eastAsia" w:ascii="楷体" w:hAnsi="楷体" w:eastAsia="楷体"/>
          <w:b/>
          <w:bCs/>
          <w:sz w:val="32"/>
          <w:szCs w:val="32"/>
        </w:rPr>
        <w:t>（</w:t>
      </w:r>
      <w:r>
        <w:rPr>
          <w:rFonts w:hint="eastAsia" w:ascii="楷体" w:hAnsi="楷体" w:eastAsia="楷体"/>
          <w:b/>
          <w:bCs/>
          <w:sz w:val="32"/>
          <w:szCs w:val="32"/>
          <w:lang w:eastAsia="zh-CN"/>
        </w:rPr>
        <w:t>三</w:t>
      </w:r>
      <w:r>
        <w:rPr>
          <w:rFonts w:hint="eastAsia" w:ascii="楷体" w:hAnsi="楷体" w:eastAsia="楷体"/>
          <w:b/>
          <w:bCs/>
          <w:sz w:val="32"/>
          <w:szCs w:val="32"/>
        </w:rPr>
        <w:t>）</w:t>
      </w:r>
      <w:r>
        <w:rPr>
          <w:rFonts w:hint="eastAsia" w:ascii="楷体" w:hAnsi="楷体" w:eastAsia="楷体"/>
          <w:b/>
          <w:bCs/>
          <w:sz w:val="32"/>
          <w:szCs w:val="32"/>
          <w:lang w:val="en-US" w:eastAsia="zh-CN"/>
        </w:rPr>
        <w:t>基本模型及解析</w:t>
      </w:r>
    </w:p>
    <w:p w14:paraId="3F860A8B">
      <w:pPr>
        <w:spacing w:line="560" w:lineRule="exact"/>
        <w:ind w:firstLine="648" w:firstLineChars="200"/>
        <w:rPr>
          <w:rFonts w:hint="eastAsia" w:ascii="仿宋_GB2312" w:hAnsi="仿宋_GB2312" w:eastAsia="仿宋_GB2312"/>
          <w:color w:val="000000"/>
          <w:spacing w:val="2"/>
          <w:sz w:val="32"/>
          <w:lang w:eastAsia="zh-CN"/>
        </w:rPr>
      </w:pPr>
      <w:r>
        <w:rPr>
          <w:rFonts w:hint="eastAsia" w:ascii="仿宋_GB2312" w:hAnsi="仿宋_GB2312" w:eastAsia="仿宋_GB2312"/>
          <w:color w:val="000000"/>
          <w:spacing w:val="2"/>
          <w:sz w:val="32"/>
          <w:lang w:val="en-US" w:eastAsia="zh-CN"/>
        </w:rPr>
        <w:t>一、六堡茶年份茶品鉴</w:t>
      </w:r>
      <w:r>
        <w:rPr>
          <w:rFonts w:hint="eastAsia" w:ascii="仿宋_GB2312" w:hAnsi="仿宋_GB2312" w:eastAsia="仿宋_GB2312"/>
          <w:color w:val="000000"/>
          <w:spacing w:val="2"/>
          <w:sz w:val="32"/>
          <w:lang w:eastAsia="zh-CN"/>
        </w:rPr>
        <w:t>基本模型，主要参考起草单位主要起草人吴平</w:t>
      </w:r>
      <w:r>
        <w:rPr>
          <w:rFonts w:hint="eastAsia" w:ascii="仿宋_GB2312" w:hAnsi="仿宋_GB2312" w:eastAsia="仿宋_GB2312"/>
          <w:color w:val="000000"/>
          <w:spacing w:val="2"/>
          <w:sz w:val="32"/>
          <w:lang w:val="zh-CN" w:eastAsia="zh-CN"/>
        </w:rPr>
        <w:t>在《茶叶》杂志上发表的</w:t>
      </w:r>
      <w:r>
        <w:rPr>
          <w:rFonts w:hint="eastAsia" w:ascii="仿宋_GB2312" w:hAnsi="仿宋_GB2312" w:eastAsia="仿宋_GB2312"/>
          <w:color w:val="000000"/>
          <w:spacing w:val="2"/>
          <w:sz w:val="32"/>
          <w:lang w:eastAsia="zh-CN"/>
        </w:rPr>
        <w:t>文献《</w:t>
      </w:r>
      <w:r>
        <w:rPr>
          <w:rFonts w:hint="eastAsia" w:ascii="仿宋_GB2312" w:hAnsi="仿宋_GB2312" w:eastAsia="仿宋_GB2312"/>
          <w:color w:val="000000"/>
          <w:spacing w:val="2"/>
          <w:sz w:val="32"/>
          <w:lang w:val="zh-CN" w:eastAsia="zh-CN"/>
        </w:rPr>
        <w:t>六堡茶风味轮的构建及解析</w:t>
      </w:r>
      <w:r>
        <w:rPr>
          <w:rFonts w:hint="eastAsia" w:ascii="仿宋_GB2312" w:hAnsi="仿宋_GB2312" w:eastAsia="仿宋_GB2312"/>
          <w:color w:val="000000"/>
          <w:spacing w:val="2"/>
          <w:sz w:val="32"/>
          <w:lang w:eastAsia="zh-CN"/>
        </w:rPr>
        <w:t>》。</w:t>
      </w:r>
    </w:p>
    <w:tbl>
      <w:tblPr>
        <w:tblStyle w:val="11"/>
        <w:tblpPr w:leftFromText="180" w:rightFromText="180" w:vertAnchor="text" w:horzAnchor="page" w:tblpX="1271" w:tblpY="25"/>
        <w:tblOverlap w:val="never"/>
        <w:tblW w:w="96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540"/>
        <w:gridCol w:w="575"/>
        <w:gridCol w:w="575"/>
        <w:gridCol w:w="580"/>
        <w:gridCol w:w="570"/>
        <w:gridCol w:w="575"/>
        <w:gridCol w:w="575"/>
        <w:gridCol w:w="575"/>
        <w:gridCol w:w="575"/>
        <w:gridCol w:w="575"/>
        <w:gridCol w:w="575"/>
        <w:gridCol w:w="575"/>
        <w:gridCol w:w="575"/>
        <w:gridCol w:w="575"/>
        <w:gridCol w:w="583"/>
      </w:tblGrid>
      <w:tr w14:paraId="26BA4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31"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15D587E4">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茶叶发酵</w:t>
            </w:r>
          </w:p>
          <w:p w14:paraId="78D3BDE7">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程度</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19C038B6">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sz w:val="18"/>
                <w:szCs w:val="18"/>
                <w:lang w:val="en-US"/>
              </w:rPr>
            </w:pPr>
            <w:r>
              <w:rPr>
                <w:rFonts w:hint="eastAsia" w:ascii="宋体" w:hAnsi="宋体" w:eastAsia="宋体" w:cs="宋体"/>
                <w:color w:val="000000"/>
                <w:kern w:val="2"/>
                <w:sz w:val="18"/>
                <w:szCs w:val="18"/>
                <w:lang w:val="en-US" w:eastAsia="zh-CN" w:bidi="ar"/>
              </w:rPr>
              <w:t>偏重（深）</w: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72F2204A">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sz w:val="18"/>
                <w:szCs w:val="18"/>
                <w:lang w:val="en-US"/>
              </w:rPr>
            </w:pPr>
            <w:r>
              <w:rPr>
                <w:rFonts w:hint="eastAsia" w:ascii="宋体" w:hAnsi="宋体" w:eastAsia="宋体" w:cs="宋体"/>
                <w:color w:val="000000"/>
                <w:kern w:val="2"/>
                <w:sz w:val="18"/>
                <w:szCs w:val="18"/>
                <w:lang w:val="en-US" w:eastAsia="zh-CN" w:bidi="ar"/>
              </w:rPr>
              <w:t>适度</w:t>
            </w: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3EBAB4DD">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偏轻（浅）</w:t>
            </w:r>
          </w:p>
        </w:tc>
      </w:tr>
      <w:tr w14:paraId="323D4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0FCBA467">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干茶油润程度</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1E6938AE">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sz w:val="18"/>
                <w:szCs w:val="18"/>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3360" behindDoc="0" locked="0" layoutInCell="1" allowOverlap="1">
                      <wp:simplePos x="0" y="0"/>
                      <wp:positionH relativeFrom="column">
                        <wp:posOffset>-61595</wp:posOffset>
                      </wp:positionH>
                      <wp:positionV relativeFrom="paragraph">
                        <wp:posOffset>22860</wp:posOffset>
                      </wp:positionV>
                      <wp:extent cx="5111115" cy="231775"/>
                      <wp:effectExtent l="635" t="9525" r="12700" b="25400"/>
                      <wp:wrapNone/>
                      <wp:docPr id="19" name="直接箭头连接符 19"/>
                      <wp:cNvGraphicFramePr/>
                      <a:graphic xmlns:a="http://schemas.openxmlformats.org/drawingml/2006/main">
                        <a:graphicData uri="http://schemas.microsoft.com/office/word/2010/wordprocessingShape">
                          <wps:wsp>
                            <wps:cNvCnPr/>
                            <wps:spPr>
                              <a:xfrm>
                                <a:off x="0" y="0"/>
                                <a:ext cx="5111115" cy="231775"/>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4.85pt;margin-top:1.8pt;height:18.25pt;width:402.45pt;z-index:251663360;mso-width-relative:page;mso-height-relative:page;" filled="f" stroked="t" coordsize="21600,21600" o:gfxdata="UEsDBAoAAAAAAIdO4kAAAAAAAAAAAAAAAAAEAAAAZHJzL1BLAwQUAAAACACHTuJAmK12A9QAAAAH&#10;AQAADwAAAGRycy9kb3ducmV2LnhtbE2OwU6EMBRF9yb+Q/NM3JiZwqgMgzxmYeLKhczoBzxoBSJ9&#10;JbQM9e+tK13e3JtzT3kMZhQXPbvBMkK6TUBobq0auEP4eH/Z5CCcJ1Y0WtYI39rBsbq+KqlQduWT&#10;vpx9JyKEXUEIvfdTIaVre23Ibe2kOXafdjbkY5w7qWZaI9yMcpckmTQ0cHzoadLPvW6/zotBCG8Z&#10;+1DnoVl5eXX5XR3I1Ii3N2nyBMLr4P/G8Ksf1aGKTo1dWDkxImwO+7hEuM9AxHp/eNyBaBAekhRk&#10;Vcr//tUPUEsDBBQAAAAIAIdO4kBwhTvP/wEAAPQDAAAOAAAAZHJzL2Uyb0RvYy54bWytU82O0zAQ&#10;viPxDpbvNG1RWTZquoeW5YKgEuwDTB0nseQ/ebxN+xK8ABIn4ASc9s7TwPIYjJ3SheXSAzk4Y8/M&#10;N/N9Hs8vdkazrQyonK34ZDTmTFrhamXbil+9uXz0lDOMYGvQzsqK7yXyi8XDB/Pel3LqOqdrGRiB&#10;WCx7X/EuRl8WBYpOGsCR89KSs3HBQKRtaIs6QE/oRhfT8fhJ0btQ++CERKTT1eDkB8RwCqBrGiXk&#10;yolrI20cUIPUEIkSdsojX+Rum0aK+KppUEamK05MY16pCNmbtBaLOZRtAN8pcWgBTmnhHicDylLR&#10;I9QKIrDroP6BMkoEh66JI+FMMRDJihCLyfieNq878DJzIanRH0XH/wcrXm7XgamaJuGcMwuGbvz2&#10;3c2Ptx9vv375/uHm57f3yf78iZGfxOo9lpSztOtw2KFfh8R81wST/sSJ7bLA+6PAcheZoMPZJH0z&#10;zgT5po8nZ2ezBFrcZfuA8bl0hiWj4hgDqLaLS2ct3aULk6wybF9gHBJ/J6TS2rI+ERnP6HoF0HA2&#10;NBRkGk8E0bY5GZ1W9aXSOqVgaDdLHdgW0oDk79DRX2GpygqwG+KyK4VB2Umon9maxb0n5Sy9GJ56&#10;MLLmTEt6YMnKkRGUPiWSxNCWNElKD9oma+PqfZY8n9MwZNUOg5um7c99zr57rIt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K12A9QAAAAHAQAADwAAAAAAAAABACAAAAAiAAAAZHJzL2Rvd25yZXYu&#10;eG1sUEsBAhQAFAAAAAgAh07iQHCFO8//AQAA9AMAAA4AAAAAAAAAAQAgAAAAIwEAAGRycy9lMm9E&#10;b2MueG1sUEsFBgAAAAAGAAYAWQEAAJQFAAAAAA==&#10;">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1F2E8E77">
            <w:pPr>
              <w:keepNext w:val="0"/>
              <w:keepLines w:val="0"/>
              <w:widowControl w:val="0"/>
              <w:suppressLineNumbers w:val="0"/>
              <w:adjustRightInd w:val="0"/>
              <w:spacing w:before="0" w:beforeAutospacing="0" w:after="0" w:afterAutospacing="0" w:line="400" w:lineRule="exact"/>
              <w:ind w:left="0" w:right="0"/>
              <w:jc w:val="center"/>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3C56A4E9">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p>
        </w:tc>
      </w:tr>
      <w:tr w14:paraId="38209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0E16A9DB">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干茶红褐程度</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66440F4B">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sz w:val="18"/>
                <w:szCs w:val="18"/>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4384" behindDoc="0" locked="0" layoutInCell="1" allowOverlap="1">
                      <wp:simplePos x="0" y="0"/>
                      <wp:positionH relativeFrom="column">
                        <wp:posOffset>534670</wp:posOffset>
                      </wp:positionH>
                      <wp:positionV relativeFrom="paragraph">
                        <wp:posOffset>54610</wp:posOffset>
                      </wp:positionV>
                      <wp:extent cx="4524375" cy="313690"/>
                      <wp:effectExtent l="635" t="9525" r="8890" b="19685"/>
                      <wp:wrapNone/>
                      <wp:docPr id="18" name="直接箭头连接符 4"/>
                      <wp:cNvGraphicFramePr/>
                      <a:graphic xmlns:a="http://schemas.openxmlformats.org/drawingml/2006/main">
                        <a:graphicData uri="http://schemas.microsoft.com/office/word/2010/wordprocessingShape">
                          <wps:wsp>
                            <wps:cNvCnPr/>
                            <wps:spPr>
                              <a:xfrm flipV="1">
                                <a:off x="0" y="0"/>
                                <a:ext cx="4524375" cy="313690"/>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直接箭头连接符 4" o:spid="_x0000_s1026" o:spt="32" type="#_x0000_t32" style="position:absolute;left:0pt;flip:y;margin-left:42.1pt;margin-top:4.3pt;height:24.7pt;width:356.25pt;z-index:251664384;mso-width-relative:page;mso-height-relative:page;" filled="f" stroked="t" coordsize="21600,21600" o:gfxdata="UEsDBAoAAAAAAIdO4kAAAAAAAAAAAAAAAAAEAAAAZHJzL1BLAwQUAAAACACHTuJAQugfh9cAAAAH&#10;AQAADwAAAGRycy9kb3ducmV2LnhtbE2OP0/DMBTEdyS+g/WQ2KjdAkka4nSg6oDUgRaGjm78SCLs&#10;5zR2/8Cn5zHBdDrd6e5XLS7eiROOsQ+kYTpRIJCaYHtqNby/re4KEDEZssYFQg1fGGFRX19VprTh&#10;TBs8bVMreIRiaTR0KQ2llLHp0Js4CQMSZx9h9CaxHVtpR3Pmce/kTKlMetMTP3RmwOcOm8/t0WtQ&#10;8bBZr0N+2GX3L+7V98vVcvzW+vZmqp5AJLykvzL84jM61My0D0eyUTgNxcOMm6wZCI7zeZaD2Gt4&#10;LBTIupL/+esfUEsDBBQAAAAIAIdO4kBWb/eyCwIAAP0DAAAOAAAAZHJzL2Uyb0RvYy54bWytU0uO&#10;EzEQ3SNxB8t70vkOTCudWSQMGwSR+Owdt91tyT+5POnkElwAiRWwAlazn9MMwzEou0OAYZMFvWiV&#10;P/XqvVfl+cXOaLIVAZSzFR0NhpQIy12tbFPRN68vHz2hBCKzNdPOioruBdCLxcMH886XYuxap2sR&#10;CIJYKDtf0TZGXxYF8FYYBgPnhcVD6YJhEZehKerAOkQ3uhgPh2dF50Ltg+MCAHdX/SE9IIZTAJ2U&#10;iouV41dG2NijBqFZREnQKg90kdlKKXh8KSWISHRFUWnMfyyC8Sb9i8WclU1gvlX8QIGdQuGeJsOU&#10;xaJHqBWLjFwF9Q+UUTw4cDIOuDNFLyQ7gipGw3vevGqZF1kLWg3+aDr8P1j+YrsORNU4Cdh3ywx2&#10;/O799fd3n+6+fb39eP3j5kOKv3wm0+RV56HElKVdh8MK/Dok4TsZDJFa+bcIla1AcWSXnd4fnRa7&#10;SDhuTmfj6eTxjBKOZ5PR5Ow8t6LocRKeDxCfCWdICioKMTDVtHHprMWmutDXYNvnEJEJJv5KSMna&#10;kg5pnA9n2GfOcEolTgeGxqNSsE0mCE6r+lJpnVIgNJulDmTL0qTkLwlG4L+upSorBm1/Lx/1M9QK&#10;Vj+1NYl7jxZafDo0cTCipkQLfGkpQkBWRqb0KTextLbIIHneu5yijav32fy8j1OROR4mOI3dn+uc&#10;/fvVLn4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Qugfh9cAAAAHAQAADwAAAAAAAAABACAAAAAi&#10;AAAAZHJzL2Rvd25yZXYueG1sUEsBAhQAFAAAAAgAh07iQFZv97ILAgAA/QMAAA4AAAAAAAAAAQAg&#10;AAAAJgEAAGRycy9lMm9Eb2MueG1sUEsFBgAAAAAGAAYAWQEAAKMFAAAAAA==&#10;">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67E8109E">
            <w:pPr>
              <w:keepNext w:val="0"/>
              <w:keepLines w:val="0"/>
              <w:widowControl w:val="0"/>
              <w:suppressLineNumbers w:val="0"/>
              <w:adjustRightInd w:val="0"/>
              <w:spacing w:before="0" w:beforeAutospacing="0" w:after="0" w:afterAutospacing="0" w:line="400" w:lineRule="exact"/>
              <w:ind w:left="0" w:right="0"/>
              <w:jc w:val="center"/>
              <w:rPr>
                <w:rFonts w:hint="default"/>
                <w:color w:val="FF0000"/>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2D252243">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p>
        </w:tc>
      </w:tr>
      <w:tr w14:paraId="5C2B8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62A8D0FA">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干茶香气</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6E7FFC08">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2336" behindDoc="0" locked="0" layoutInCell="1" allowOverlap="1">
                      <wp:simplePos x="0" y="0"/>
                      <wp:positionH relativeFrom="column">
                        <wp:posOffset>-61595</wp:posOffset>
                      </wp:positionH>
                      <wp:positionV relativeFrom="paragraph">
                        <wp:posOffset>23495</wp:posOffset>
                      </wp:positionV>
                      <wp:extent cx="5126990" cy="313055"/>
                      <wp:effectExtent l="5715" t="4445" r="10795" b="25400"/>
                      <wp:wrapNone/>
                      <wp:docPr id="17" name="任意多边形 57"/>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57" o:spid="_x0000_s1026" o:spt="100" style="position:absolute;left:0pt;margin-left:-4.85pt;margin-top:1.85pt;height:24.65pt;width:403.7pt;z-index:251662336;mso-width-relative:page;mso-height-relative:page;" filled="f" stroked="t" coordsize="12840,600" o:gfxdata="UEsDBAoAAAAAAIdO4kAAAAAAAAAAAAAAAAAEAAAAZHJzL1BLAwQUAAAACACHTuJAueDLQNcAAAAH&#10;AQAADwAAAGRycy9kb3ducmV2LnhtbE2OzU7DMBCE70i8g7VIXKrWDhWkCXEqAeqxSAQk1JsTmzjg&#10;n8h2k/D2LCc4zY5mNPtV+8UaMqkQB+84ZBsGRLnOy8H1HN5eD+sdkJiEk8J4pzh8qwj7+vKiEqX0&#10;s3tRU5N6giMuloKDTmksKY2dVlbEjR+Vw+zDBysS2tBTGcSM49bQG8buqBWDww9ajOpRq+6rOVsO&#10;x2L1NH8e9fODyU7TqnkPy2FsOb++ytg9kKSW9FeGX3xEhxqZWn92MhLDYV3k2OSwRcE4L3I8Wg63&#10;Wwa0ruh//voHUEsDBBQAAAAIAIdO4kAWkitayQIAAA4GAAAOAAAAZHJzL2Uyb0RvYy54bWytVM1u&#10;EzEQviPxDpaPSHR/yiZN1KRSCeVSQUXLAzhe764lr21sJ7vhzJ07R8RLoAqehiIeg7F387OtkHog&#10;h814PP483zfjOT1ra4HWzFiu5AwnRzFGTFKVc1nO8Pubi+cnGFlHZE6EkmyGN8zis/nTJ6eNnrJU&#10;VUrkzCAAkXba6BmunNPTKLK0YjWxR0ozCZuFMjVxsDRllBvSAHotojSOR1GjTK6Nosxa8C66Tdwj&#10;mscAqqLglC0UXdVMug7VMEEcULIV1xbPQ7ZFwah7WxSWOSRmGJi68IVLwF76bzQ/JdPSEF1x2qdA&#10;HpPCPU414RIu3UEtiCNoZfgDqJpTo6wq3BFVddQRCYoAiyS+p811RTQLXEBqq3ei2/8HS9+srwzi&#10;OXTCGCNJaqj4r9vb358+33378ufn97sfX1E29jI12k4h+lpfmX5lwfSc28LU/h/YoDZIu9lJy1qH&#10;KDizJB1NJqA6hb3j5DjOMg8a7U/TlXWvmQpIZH1pXVeaHKwgbN5n59pLjIpaQJmeRShGDUrSkxfb&#10;Su6jbgZRFRrFD2PeHcQElH+inR9EAhLa4QGDcpsjqbZp01ZuTQM96Lsv5A3951rIDDrQtXA79KBr&#10;z7su1MT5856sN1EDNQnMUDXDPnu/U6s1u1Ehxu3F7rlBLvt9ulpyes4+HkZnMTzuUIBeCx1AkjgZ&#10;BX86cB8nWedOghvQh5jDVQeVpZPuzABpEo+6i9PxwN/zg4yyroL37oCllyL0yU6eELPvFakuuBCh&#10;WYQMok3izDcageFUwFAAs9bQ4FaWQUKrBM/9Ga+iNeXypTBoTfyACL++Lwdh2li3ILbq4sJWV7SK&#10;kfyVzJHbaHg5EiYm9jnULMdIMBiw3grJOcLFYyKBnpDA2L+37oV5a6nyDTzUBiYVMPmwIgYuWmnD&#10;ywp6Kgk5+zgYE0GtfqT5OXS4Drj7MT7/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DkFAABbQ29udGVudF9UeXBlc10ueG1sUEsBAhQACgAAAAAA&#10;h07iQAAAAAAAAAAAAAAAAAYAAAAAAAAAAAAQAAAAGwQAAF9yZWxzL1BLAQIUABQAAAAIAIdO4kCK&#10;FGY80QAAAJQBAAALAAAAAAAAAAEAIAAAAD8EAABfcmVscy8ucmVsc1BLAQIUAAoAAAAAAIdO4kAA&#10;AAAAAAAAAAAAAAAEAAAAAAAAAAAAEAAAAAAAAABkcnMvUEsBAhQAFAAAAAgAh07iQLngy0DXAAAA&#10;BwEAAA8AAAAAAAAAAQAgAAAAIgAAAGRycy9kb3ducmV2LnhtbFBLAQIUABQAAAAIAIdO4kAWkita&#10;yQIAAA4GAAAOAAAAAAAAAAEAIAAAACYBAABkcnMvZTJvRG9jLnhtbFBLBQYAAAAABgAGAFkBAABh&#10;BgAAAAA=&#10;" path="m0,600c508,310,1016,20,3156,10c5296,0,9068,270,12840,540e">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478B8D82">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4CD00185">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03A98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30E2A0A7">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72576" behindDoc="0" locked="0" layoutInCell="1" allowOverlap="1">
                      <wp:simplePos x="0" y="0"/>
                      <wp:positionH relativeFrom="column">
                        <wp:posOffset>897255</wp:posOffset>
                      </wp:positionH>
                      <wp:positionV relativeFrom="paragraph">
                        <wp:posOffset>-1905</wp:posOffset>
                      </wp:positionV>
                      <wp:extent cx="5126990" cy="313055"/>
                      <wp:effectExtent l="5715" t="4445" r="10795" b="25400"/>
                      <wp:wrapNone/>
                      <wp:docPr id="16" name="任意多边形 56"/>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56" o:spid="_x0000_s1026" o:spt="100" style="position:absolute;left:0pt;margin-left:70.65pt;margin-top:-0.15pt;height:24.65pt;width:403.7pt;z-index:251672576;mso-width-relative:page;mso-height-relative:page;" filled="f" stroked="t" coordsize="12840,600" o:gfxdata="UEsDBAoAAAAAAIdO4kAAAAAAAAAAAAAAAAAEAAAAZHJzL1BLAwQUAAAACACHTuJA+V3rstgAAAAI&#10;AQAADwAAAGRycy9kb3ducmV2LnhtbE2PT0vEMBTE74LfITzBy7KbVItua9MFlT2uYBWWvaVNbKr5&#10;U5JsW7+9z5OeHsMM835T7RZryKRCHLzjkG0YEOU6LwfXc3h/26+3QGISTgrjneLwrSLs6suLSpTS&#10;z+5VTU3qCZa4WAoOOqWxpDR2WlkRN35UDr0PH6xIKENPZRAzlltDbxi7o1YMDj9oMaonrbqv5mw5&#10;HIrV8/x50C+PJjtNq+YYlv3Ycn59lbEHIEkt6S8Mv/iIDjUytf7sZCQGdZ7dYpTDGg/6Rb69B9Jy&#10;yAsGtK7o/wH1D1BLAwQUAAAACACHTuJAFnyzjMkCAAAOBgAADgAAAGRycy9lMm9Eb2MueG1srVTN&#10;btQwEL4j8Q6Wj0g0yZYs3VV3K5WlXBBUtDyA13ESS/7D9m6ynLlz54h4CVTB01DEYzB2sj9phdQD&#10;e8iO7fE3830zntOzVgq0ZtZxrWY4O0oxYorqgqtqht9fXzw9wch5ogoitGIzvGEOn80fPzptzJSN&#10;dK1FwSwCEOWmjZnh2nszTRJHayaJO9KGKTgstZXEw9JWSWFJA+hSJKM0HSeNtoWxmjLnYHfRHeIe&#10;0T4EUJclp2yh6Uoy5TtUywTxQMnV3Dg8j9mWJaP+bVk65pGYYWDq4xeCgL0M32R+SqaVJabmtE+B&#10;PCSFO5wk4QqC7qAWxBO0svwelOTUaqdLf0S1TDoiURFgkaV3tLmqiWGRC0jtzE509/9g6Zv1pUW8&#10;gE4YY6SIhIr/urn5/enz7bcvf35+v/3xFeXjIFNj3BS8r8yl7VcOzMC5La0M/8AGtVHazU5a1npE&#10;YTPPRuPJBFSncHacHad5HkCT/W26cv4V0xGJrF8735WmACsKW/TZ+fY1RqUUUKYnCUpRg7LRybNt&#10;Jfde1wOvGo3T+z7vDnwiyj/Rzg88AQnt8IBBtc2R1Nu0aau2poUeDN0X84b+8y1kBh3oW4gOPejb&#10;864LDfHhfiAbTNRATSIzVM9wyD6cSL1m1zr6+L3YPTfIZX9OV0tOz9nHQ+88hccdC9BrYSJIlobi&#10;w/5osH2cQeXDdha3AX2IOVx1UPlo0t0ZIE3ScRd49Hyw3/ODEHlXwTsxYBmkiH2ykyf67HtF6Qsu&#10;RGwWoaJokzQPjUZgOJUwFMCUBhrcqSpK6LTgRbgTVHS2Wr4QFq1JGBDx1/flwM1Y5xfE1Z1fPOqK&#10;VjNSvFQF8hsDL0fBxMQhB8kKjASDARusmJwnXDzEE+gJBYzDe+teWLCWutjAQ21gUgGTDytiIdDK&#10;WF7V0FNZzDn4wZiIavUjLcyhw3XE3Y/x+V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D5Xeuy2AAA&#10;AAgBAAAPAAAAAAAAAAEAIAAAACIAAABkcnMvZG93bnJldi54bWxQSwECFAAUAAAACACHTuJAFnyz&#10;jMkCAAAOBgAADgAAAAAAAAABACAAAAAnAQAAZHJzL2Uyb0RvYy54bWxQSwUGAAAAAAYABgBZAQAA&#10;YgYAAAAA&#10;" path="m0,600c508,310,1016,20,3156,10c5296,0,9068,270,12840,540e">
                      <v:fill on="f" focussize="0,0"/>
                      <v:stroke weight="1.5pt" color="#000000" joinstyle="round"/>
                      <v:imagedata o:title=""/>
                      <o:lock v:ext="edit" aspectratio="f"/>
                    </v:shape>
                  </w:pict>
                </mc:Fallback>
              </mc:AlternateContent>
            </w:r>
            <w:r>
              <w:rPr>
                <w:rFonts w:hint="eastAsia" w:ascii="宋体" w:hAnsi="宋体" w:eastAsia="宋体" w:cs="宋体"/>
                <w:color w:val="000000"/>
                <w:kern w:val="2"/>
                <w:sz w:val="21"/>
                <w:szCs w:val="21"/>
                <w:lang w:val="en-US" w:eastAsia="zh-CN" w:bidi="ar"/>
              </w:rPr>
              <w:t>汤面香气</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A40BAB0">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32AFA01F">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17A8DA06">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6D268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55A8FC06">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叶底香气</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D15B057">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7456" behindDoc="0" locked="0" layoutInCell="1" allowOverlap="1">
                      <wp:simplePos x="0" y="0"/>
                      <wp:positionH relativeFrom="column">
                        <wp:posOffset>-67945</wp:posOffset>
                      </wp:positionH>
                      <wp:positionV relativeFrom="paragraph">
                        <wp:posOffset>23495</wp:posOffset>
                      </wp:positionV>
                      <wp:extent cx="5126990" cy="313055"/>
                      <wp:effectExtent l="5715" t="4445" r="10795" b="25400"/>
                      <wp:wrapNone/>
                      <wp:docPr id="20" name="任意多边形 47"/>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47" o:spid="_x0000_s1026" o:spt="100" style="position:absolute;left:0pt;margin-left:-5.35pt;margin-top:1.85pt;height:24.65pt;width:403.7pt;z-index:251667456;mso-width-relative:page;mso-height-relative:page;" filled="f" stroked="t" coordsize="12840,600" o:gfxdata="UEsDBAoAAAAAAIdO4kAAAAAAAAAAAAAAAAAEAAAAZHJzL1BLAwQUAAAACACHTuJAXhtRO9kAAAAI&#10;AQAADwAAAGRycy9kb3ducmV2LnhtbE2PzU7DMBCE70i8g7VIXKrWDhUtDdlUAtRjkRqQEDcnNnHA&#10;P1HsJuHtWU5w2l3NaPabYj87y0Y9xC54hGwlgGnfBNX5FuH15bC8AxaT9Era4DXCt46wLy8vCpmr&#10;MPmTHqvUMgrxMZcIJqU+5zw2RjsZV6HXnrSPMDiZ6BxargY5Ubiz/EaIDXey8/TByF4/Gt18VWeH&#10;cNwtnqbPo3l+sNn7uKjehvnQ14jXV5m4B5b0nP7M8ItP6FASUx3OXkVmEZaZ2JIVYU2D9O1uQ0uN&#10;cLsWwMuC/y9Q/gBQSwMEFAAAAAgAh07iQKPs0DHLAgAADgYAAA4AAABkcnMvZTJvRG9jLnhtbK1U&#10;y24TMRTdI/EPlpdIdB7tpE3USaUSyqaCipYPcDyeh+Sxje1kJqzZs+8S8ROogq+hiM/g2p68WiF1&#10;QRaTa/v6+Jzj63t61rccLZk2jRQ5Tg5ijJigsmhEleMPNxcvTzAyloiCcClYjlfM4LPp82ennZqw&#10;VNaSF0wjABFm0qkc19aqSRQZWrOWmAOpmIDFUuqWWBjqKio06QC95VEax6Ook7pQWlJmDMzOwiIe&#10;EPVTAGVZNpTNJF20TNiAqhknFiSZulEGTz3bsmTUvitLwyziOQal1n/hEIjn7htNT8mk0kTVDR0o&#10;kKdQeKCpJY2AQzdQM2IJWujmEVTbUC2NLO0BlW0UhHhHQEUSP/DmuiaKeS1gtVEb083/g6Vvl1ca&#10;NUWOU7BEkBZu/Nfd3e/PX+6/3f75+f3+x1d0dOxs6pSZQPa1utLDyEDoNPelbt0/qEG9t3a1sZb1&#10;FlGYzJJ0NB7DERTWDpPDOMscaLTdTRfGvmHSI5HlpbHhagqIvLHFwM72lxiVLYdrehGhGHUoSU+O&#10;1je5zbrZy6rRKH6c834nx6P8E+18JxOQ0AYPFFRrjqRe06a9WIcaatBVn+cN9Wd7YAYVaHs4HWrQ&#10;9uehChWxbr8T60LUwev0ylCdY8ferbRyyW6kz7FbswdtwGW7Thfzhp6zT7vZWQyP21/A4IXyIEmc&#10;jPw81IB3PUwfJlmYTvw0oO9j7o/Cniwdhz17SON4FA5Oj/fmB33AKAs3+OAMGDorfJ1s7PE521oR&#10;8qLh3NPmwps2jjNXaASaUwlNAcJWQYEbUXkLjeRN4fY4F42u5q+4RkviGoT/DXW5l6a0sTNi6pDn&#10;l4JTNSPFa1Egu1LwcgR0TOw4tKzAiDNosC7y5Cxp+FMyQR4XoNi9t/DCXDSXxQoeagedCpR8XBAN&#10;By2UbqoaairxnF0etAnv1tDSXB/aHXvcbRuf/g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BeG1E7&#10;2QAAAAgBAAAPAAAAAAAAAAEAIAAAACIAAABkcnMvZG93bnJldi54bWxQSwECFAAUAAAACACHTuJA&#10;o+zQMcsCAAAOBgAADgAAAAAAAAABACAAAAAoAQAAZHJzL2Uyb0RvYy54bWxQSwUGAAAAAAYABgBZ&#10;AQAAZQYAAAAA&#10;" path="m0,600c508,310,1016,20,3156,10c5296,0,9068,270,12840,540e">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44AA6555">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77584105">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77B0D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7E89375B">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 xml:space="preserve">汤滋味 </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785756F6">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8480" behindDoc="0" locked="0" layoutInCell="1" allowOverlap="1">
                      <wp:simplePos x="0" y="0"/>
                      <wp:positionH relativeFrom="column">
                        <wp:posOffset>-67945</wp:posOffset>
                      </wp:positionH>
                      <wp:positionV relativeFrom="paragraph">
                        <wp:posOffset>10795</wp:posOffset>
                      </wp:positionV>
                      <wp:extent cx="5126990" cy="313055"/>
                      <wp:effectExtent l="5715" t="4445" r="10795" b="25400"/>
                      <wp:wrapNone/>
                      <wp:docPr id="21" name="任意多边形 48"/>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48" o:spid="_x0000_s1026" o:spt="100" style="position:absolute;left:0pt;margin-left:-5.35pt;margin-top:0.85pt;height:24.65pt;width:403.7pt;z-index:251668480;mso-width-relative:page;mso-height-relative:page;" filled="f" stroked="t" coordsize="12840,600" o:gfxdata="UEsDBAoAAAAAAIdO4kAAAAAAAAAAAAAAAAAEAAAAZHJzL1BLAwQUAAAACACHTuJArUUOK9gAAAAI&#10;AQAADwAAAGRycy9kb3ducmV2LnhtbE2PzU7DMBCE70i8g7VIXKrWNhItTeNUAtRjkQhIqDcnNnHA&#10;P5HtJuHtWU70tLua0ew35X52low6pj54AXzFgGjfBtX7TsD722H5ACRl6ZW0wWsBPzrBvrq+KmWh&#10;wuRf9VjnjmCIT4UUYHIeCkpTa7STaRUG7VH7DNHJjGfsqIpywnBn6R1ja+pk7/GDkYN+Mrr9rs9O&#10;wHG7eJ6+jubl0fLTuKg/4nwYGiFubzjbAcl6zv9m+MNHdKiQqQlnrxKxApacbdCKAg7UN9s1Lo2A&#10;e86AViW9LFD9AlBLAwQUAAAACACHTuJA5gxP7ckCAAAOBgAADgAAAGRycy9lMm9Eb2MueG1srVTN&#10;bhMxEL4j8Q6Wj0h0f9oNSdRNpRLKpYKKlgdwvN7sSv7DdrIbzty5c0S8BKrgaSjiMRh7Nz/bCqkH&#10;ctiMx+PP830zntOzVnC0ZsbWSuY4OYoxYpKqopbLHL+/uXg+xsg6IgvClWQ53jCLz2ZPn5w2espS&#10;VSleMIMARNppo3NcOaenUWRpxQSxR0ozCZulMoI4WJplVBjSALrgURrHo6hRptBGUWYteOfdJu4R&#10;zWMAVVnWlM0VXQkmXYdqGCcOKNmq1hbPQrZlyah7W5aWOcRzDExd+MIlYC/8N5qdkunSEF3VtE+B&#10;PCaFe5wEqSVcuoOaE0fQytQPoERNjbKqdEdUiagjEhQBFkl8T5vrimgWuIDUVu9Et/8Plr5ZXxlU&#10;FzlOE4wkEVDxX7e3vz99vvv25c/P73c/vqKTsZep0XYK0df6yvQrC6bn3JZG+H9gg9og7WYnLWsd&#10;ouDMknQ0mYDqFPaOk+M4yzxotD9NV9a9ZiogkfWldV1pCrCCsEWfnWsvMSoFhzI9i1CMGpSk45Nt&#10;JfdRN4OoCo3ihzHvDmICyj/Rzg8iAQnt8IDBcpsjqbZp01ZuTQM96Lsv5A3951rIDDrQtXA79KBr&#10;z7su1MT5856sN1EDrzMwQ1WOffZ+R6g1u1Ehxu3F7rlBLvt9ulrU9Jx9PIzOYnjcoQC9FjqAJHEy&#10;Cv504D5Oss6dBDegDzGHqw4qSyfdmQHSJB51F6cvBv6eH2SUdRW8dwcsvRShT3byhJh9r0h1UXMe&#10;moXLINokznyjERhOJQwFMIWGBrdyGSS0iteFP+NVtGa5eMkNWhM/IMKv78tBmDbWzYmturiw1RWt&#10;YqR4JQvkNhpejoSJiX0OghUYcQYD1lshOUdq/phIoMclMPbvrXth3lqoYgMPtYFJBUw+rIiBi1ba&#10;1MsKeioJOfs4GBNBrX6k+Tl0uA64+zE++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CtRQ4r2AAA&#10;AAgBAAAPAAAAAAAAAAEAIAAAACIAAABkcnMvZG93bnJldi54bWxQSwECFAAUAAAACACHTuJA5gxP&#10;7ckCAAAOBgAADgAAAAAAAAABACAAAAAnAQAAZHJzL2Uyb0RvYy54bWxQSwUGAAAAAAYABgBZAQAA&#10;YgYAAAAA&#10;" path="m0,600c508,310,1016,20,3156,10c5296,0,9068,270,12840,540e">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6D228E42">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180340C4">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49CF7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5826E769">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空杯留香</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5433E0A2">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9504" behindDoc="0" locked="0" layoutInCell="1" allowOverlap="1">
                      <wp:simplePos x="0" y="0"/>
                      <wp:positionH relativeFrom="column">
                        <wp:posOffset>-61595</wp:posOffset>
                      </wp:positionH>
                      <wp:positionV relativeFrom="paragraph">
                        <wp:posOffset>4445</wp:posOffset>
                      </wp:positionV>
                      <wp:extent cx="5126990" cy="313055"/>
                      <wp:effectExtent l="5715" t="4445" r="10795" b="25400"/>
                      <wp:wrapNone/>
                      <wp:docPr id="22" name="任意多边形 49"/>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49" o:spid="_x0000_s1026" o:spt="100" style="position:absolute;left:0pt;margin-left:-4.85pt;margin-top:0.35pt;height:24.65pt;width:403.7pt;z-index:251669504;mso-width-relative:page;mso-height-relative:page;" filled="f" stroked="t" coordsize="12840,600" o:gfxdata="UEsDBAoAAAAAAIdO4kAAAAAAAAAAAAAAAAAEAAAAZHJzL1BLAwQUAAAACACHTuJApTP3UNUAAAAG&#10;AQAADwAAAGRycy9kb3ducmV2LnhtbE2OQUvEMBCF74L/IYzgZdlNKmhtbbqgsscVrIJ4S5uxqTZJ&#10;SbJt/feOJ7085vEeb75qv9qRzRji4J2EbCeAoeu8Hlwv4fXlsL0FFpNyWo3eoYRvjLCvz88qVWq/&#10;uGecm9QzGnGxVBJMSlPJeewMWhV3fkJH2YcPViWyoec6qIXG7civhLjhVg2OPhg14YPB7qs5WQnH&#10;YvO4fB7N0/2Yvc+b5i2sh6mV8vIiE3fAEq7prwy/+IQONTG1/uR0ZKOEbZFTUwIppXmR09FKuBYC&#10;eF3x//j1D1BLAwQUAAAACACHTuJA0OEgTskCAAAOBgAADgAAAGRycy9lMm9Eb2MueG1srVTNbhMx&#10;EL4j8Q6Wj0h0f9oNTdRNpRLKpYKKhgdwvN6sJa9tbCe74cydO0fES6AKnoYiHoOxd/OzrZB6IIfN&#10;eDz+PN834zk7b2uB1sxYrmSOk6MYIyapKrhc5vj9/PL5KUbWEVkQoSTL8YZZfD59+uSs0ROWqkqJ&#10;ghkEINJOGp3jyjk9iSJLK1YTe6Q0k7BZKlMTB0uzjApDGkCvRZTG8ShqlCm0UZRZC95Zt4l7RPMY&#10;QFWWnLKZoquaSdehGiaIA0q24triaci2LBl1b8vSModEjoGpC1+4BOyF/0bTMzJZGqIrTvsUyGNS&#10;uMepJlzCpTuoGXEErQx/AFVzapRVpTuiqo46IkERYJHE97S5qYhmgQtIbfVOdPv/YOmb9bVBvMhx&#10;mmIkSQ0V/3V7+/vT57tvX/78/H734ys6GXuZGm0nEH2jr02/smB6zm1pav8PbFAbpN3spGWtQxSc&#10;WZKOxmNQncLecXIcZ5kHjfan6cq610wFJLK+sq4rTQFWELbos3PtFUZlLaBMzyIUowYl6enJtpL7&#10;qPkgqkKj+GHMu4OYgPJPtIuDSEBCOzxgsNzmSKpt2rSVW9NAD/ruC3lD/7kWMoMOdC3cDj3o2ouu&#10;CzVx/rwn603UwOsMzFCVY5+936nVms1ViHF7sXtukMt+n64WnF6wj4fRWQyPOxSg10IHkCRORsGf&#10;DtzHSda5k+AG9CHmcNVBZem4OzNAGsej7uL0xcDf84OMsq6C9+6ApZci9MlOnhCz7xWpLrkQoVmE&#10;DKKN48w3GoHhVMJQALPW0OBWLoOEVgle+DNeRWuWi5fCoDXxAyL8+r4chGlj3YzYqosLW13RKkaK&#10;V7JAbqPh5UiYmNjnULMCI8FgwHorJOcIF4+JBHpCAmP/3roX5q2FKjbwUBuYVMDkw4oYuGilDV9W&#10;0FNJyNnHwZgIavUjzc+hw3XA3Y/x6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3BQAAW0NvbnRlbnRfVHlwZXNdLnhtbFBLAQIUAAoAAAAAAIdO&#10;4kAAAAAAAAAAAAAAAAAGAAAAAAAAAAAAEAAAABkEAABfcmVscy9QSwECFAAUAAAACACHTuJAihRm&#10;PNEAAACUAQAACwAAAAAAAAABACAAAAA9BAAAX3JlbHMvLnJlbHNQSwECFAAKAAAAAACHTuJAAAAA&#10;AAAAAAAAAAAABAAAAAAAAAAAABAAAAAAAAAAZHJzL1BLAQIUABQAAAAIAIdO4kClM/dQ1QAAAAYB&#10;AAAPAAAAAAAAAAEAIAAAACIAAABkcnMvZG93bnJldi54bWxQSwECFAAUAAAACACHTuJA0OEgTskC&#10;AAAOBgAADgAAAAAAAAABACAAAAAkAQAAZHJzL2Uyb0RvYy54bWxQSwUGAAAAAAYABgBZAQAAXwYA&#10;AAAA&#10;" path="m0,600c508,310,1016,20,3156,10c5296,0,9068,270,12840,540e">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63220A40">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25059586">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23650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1900C406">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汤色</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20B75D22">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70528" behindDoc="0" locked="0" layoutInCell="1" allowOverlap="1">
                      <wp:simplePos x="0" y="0"/>
                      <wp:positionH relativeFrom="column">
                        <wp:posOffset>-67945</wp:posOffset>
                      </wp:positionH>
                      <wp:positionV relativeFrom="paragraph">
                        <wp:posOffset>10795</wp:posOffset>
                      </wp:positionV>
                      <wp:extent cx="5126990" cy="313055"/>
                      <wp:effectExtent l="5715" t="4445" r="10795" b="25400"/>
                      <wp:wrapNone/>
                      <wp:docPr id="23" name="任意多边形 50"/>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50" o:spid="_x0000_s1026" o:spt="100" style="position:absolute;left:0pt;margin-left:-5.35pt;margin-top:0.85pt;height:24.65pt;width:403.7pt;z-index:251670528;mso-width-relative:page;mso-height-relative:page;" filled="f" stroked="t" coordsize="12840,600" o:gfxdata="UEsDBAoAAAAAAIdO4kAAAAAAAAAAAAAAAAAEAAAAZHJzL1BLAwQUAAAACACHTuJArUUOK9gAAAAI&#10;AQAADwAAAGRycy9kb3ducmV2LnhtbE2PzU7DMBCE70i8g7VIXKrWNhItTeNUAtRjkQhIqDcnNnHA&#10;P5HtJuHtWU70tLua0ew35X52low6pj54AXzFgGjfBtX7TsD722H5ACRl6ZW0wWsBPzrBvrq+KmWh&#10;wuRf9VjnjmCIT4UUYHIeCkpTa7STaRUG7VH7DNHJjGfsqIpywnBn6R1ja+pk7/GDkYN+Mrr9rs9O&#10;wHG7eJ6+jubl0fLTuKg/4nwYGiFubzjbAcl6zv9m+MNHdKiQqQlnrxKxApacbdCKAg7UN9s1Lo2A&#10;e86AViW9LFD9AlBLAwQUAAAACACHTuJAr0NW8cgCAAAOBgAADgAAAGRycy9lMm9Eb2MueG1srVTN&#10;bhMxEL4j8Q6Wj0h0f8KGJuqmUgnlUkFFywM4Xu+P5LWN7WQ3nLlz7xHxEqiCp6GIx2Ds3WSzrZB6&#10;IIfNeDz+PN834zk5bWuONkybSooUR0chRkxQmVWiSPGH6/PnxxgZS0RGuBQsxVtm8Oni6ZOTRs1Z&#10;LEvJM6YRgAgzb1SKS2vVPAgMLVlNzJFUTMBmLnVNLCx1EWSaNIBe8yAOw2nQSJ0pLSkzBrzLbhP3&#10;iPoxgDLPK8qWkq5rJmyHqhknFiiZslIGL3y2ec6ofZfnhlnEUwxMrf/CJWCv3DdYnJB5oYkqK9qn&#10;QB6Twj1ONakEXLqHWhJL0FpXD6DqimppZG6PqKyDjohXBFhE4T1trkqimOcCUhu1F938P1j6dnOp&#10;UZWlOJ5gJEgNFf91e/v785e7bzd/fn6/+/EVJV6mRpk5RF+pSw2iuZUB03Fuc127f2CDWi/tdi8t&#10;ay2i4EyieDqbgeoU9ibRJEwSp30wnKZrY98w6ZHI5sLYrjQZWF7YrM/OthcY5TWHMj0LUIgaFMXH&#10;L3aVHKKuR1ElmoYPY94fxHiUf6KdHUQCEtrjAYNilyMpd2nTVuxMDT3ous/nDf1nW8gMOtC2cDv0&#10;oG3Pui5UxLrzjqwzUQOv0zNDZYpd9m6nlht2LX2MHcTuuUEuwz5dryp6xj4dRichPG5fgF4L5UGi&#10;MJp6fzxyT6Kkc0feDehjzPGqg0riWXdmhDQLp93F8cuRv+cHGSVdBe/dAUsnhe+TvTw+ZugVIc8r&#10;zn2zcOFFm4XQsYgSGE45DAUwawUNbkThJTSSV5k741Q0uli94hptiBsQ/tf35ShMaWOXxJRdnN/q&#10;ilYykr0WGbJbBS9HwMTELoeaZRhxBgPWWT45Syr+mEigxwUwHl6Ys1Yy28JDbWBSAZOPa6LhorXS&#10;VVFCT0U+ZxcHY8Kr1Y80N4cO1x53GOOL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DkFAABbQ29udGVudF9UeXBlc10ueG1sUEsBAhQACgAAAAAA&#10;h07iQAAAAAAAAAAAAAAAAAYAAAAAAAAAAAAQAAAAGwQAAF9yZWxzL1BLAQIUABQAAAAIAIdO4kCK&#10;FGY80QAAAJQBAAALAAAAAAAAAAEAIAAAAD8EAABfcmVscy8ucmVsc1BLAQIUAAoAAAAAAIdO4kAA&#10;AAAAAAAAAAAAAAAEAAAAAAAAAAAAEAAAAAAAAABkcnMvUEsBAhQAFAAAAAgAh07iQK1FDivYAAAA&#10;CAEAAA8AAAAAAAAAAQAgAAAAIgAAAGRycy9kb3ducmV2LnhtbFBLAQIUABQAAAAIAIdO4kCvQ1bx&#10;yAIAAA4GAAAOAAAAAAAAAAEAIAAAACcBAABkcnMvZTJvRG9jLnhtbFBLBQYAAAAABgAGAFkBAABh&#10;BgAAAAA=&#10;" path="m0,600c508,310,1016,20,3156,10c5296,0,9068,270,12840,540e">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1B300204">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68A3550D">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53568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35F3C1C9">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韵味</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0E111063">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71552" behindDoc="0" locked="0" layoutInCell="1" allowOverlap="1">
                      <wp:simplePos x="0" y="0"/>
                      <wp:positionH relativeFrom="column">
                        <wp:posOffset>-67945</wp:posOffset>
                      </wp:positionH>
                      <wp:positionV relativeFrom="paragraph">
                        <wp:posOffset>10795</wp:posOffset>
                      </wp:positionV>
                      <wp:extent cx="5126990" cy="313055"/>
                      <wp:effectExtent l="5715" t="4445" r="10795" b="25400"/>
                      <wp:wrapNone/>
                      <wp:docPr id="24" name="任意多边形 54"/>
                      <wp:cNvGraphicFramePr/>
                      <a:graphic xmlns:a="http://schemas.openxmlformats.org/drawingml/2006/main">
                        <a:graphicData uri="http://schemas.microsoft.com/office/word/2010/wordprocessingShape">
                          <wps:wsp>
                            <wps:cNvSpPr/>
                            <wps:spPr>
                              <a:xfrm>
                                <a:off x="0" y="0"/>
                                <a:ext cx="5126990" cy="313055"/>
                              </a:xfrm>
                              <a:custGeom>
                                <a:avLst/>
                                <a:gdLst>
                                  <a:gd name="txL" fmla="*/ 0 w 12840"/>
                                  <a:gd name="txT" fmla="*/ 0 h 600"/>
                                  <a:gd name="txR" fmla="*/ 12840 w 12840"/>
                                  <a:gd name="txB" fmla="*/ 600 h 600"/>
                                </a:gdLst>
                                <a:ahLst/>
                                <a:cxnLst/>
                                <a:rect l="txL" t="txT" r="txR" b="txB"/>
                                <a:pathLst>
                                  <a:path w="12840" h="600">
                                    <a:moveTo>
                                      <a:pt x="0" y="600"/>
                                    </a:moveTo>
                                    <a:cubicBezTo>
                                      <a:pt x="508" y="310"/>
                                      <a:pt x="1016" y="20"/>
                                      <a:pt x="3156" y="10"/>
                                    </a:cubicBezTo>
                                    <a:cubicBezTo>
                                      <a:pt x="5296" y="0"/>
                                      <a:pt x="9068" y="270"/>
                                      <a:pt x="12840" y="540"/>
                                    </a:cubicBezTo>
                                  </a:path>
                                </a:pathLst>
                              </a:custGeom>
                              <a:noFill/>
                              <a:ln w="19050" cap="flat" cmpd="sng">
                                <a:solidFill>
                                  <a:srgbClr val="000000"/>
                                </a:solidFill>
                                <a:prstDash val="solid"/>
                                <a:headEnd type="none" w="med" len="med"/>
                                <a:tailEnd type="none" w="med" len="med"/>
                              </a:ln>
                            </wps:spPr>
                            <wps:bodyPr wrap="square" upright="1"/>
                          </wps:wsp>
                        </a:graphicData>
                      </a:graphic>
                    </wp:anchor>
                  </w:drawing>
                </mc:Choice>
                <mc:Fallback>
                  <w:pict>
                    <v:shape id="任意多边形 54" o:spid="_x0000_s1026" o:spt="100" style="position:absolute;left:0pt;margin-left:-5.35pt;margin-top:0.85pt;height:24.65pt;width:403.7pt;z-index:251671552;mso-width-relative:page;mso-height-relative:page;" filled="f" stroked="t" coordsize="12840,600" o:gfxdata="UEsDBAoAAAAAAIdO4kAAAAAAAAAAAAAAAAAEAAAAZHJzL1BLAwQUAAAACACHTuJArUUOK9gAAAAI&#10;AQAADwAAAGRycy9kb3ducmV2LnhtbE2PzU7DMBCE70i8g7VIXKrWNhItTeNUAtRjkQhIqDcnNnHA&#10;P5HtJuHtWU70tLua0ew35X52low6pj54AXzFgGjfBtX7TsD722H5ACRl6ZW0wWsBPzrBvrq+KmWh&#10;wuRf9VjnjmCIT4UUYHIeCkpTa7STaRUG7VH7DNHJjGfsqIpywnBn6R1ja+pk7/GDkYN+Mrr9rs9O&#10;wHG7eJ6+jubl0fLTuKg/4nwYGiFubzjbAcl6zv9m+MNHdKiQqQlnrxKxApacbdCKAg7UN9s1Lo2A&#10;e86AViW9LFD9AlBLAwQUAAAACACHTuJAgHXbUskCAAAOBgAADgAAAGRycy9lMm9Eb2MueG1srVTN&#10;bhMxEL4j8Q6Wj0h0f9oNTdRNpRLKpYKKhgdwvN7sSv7DdrIbzty5c0S8BKrgaSjiMRh7Nz/bCqkH&#10;ctiMx+PP830znrPzVnC0ZsbWSuY4OYoxYpKqopbLHL+fXz4/xcg6IgvClWQ53jCLz6dPn5w1esJS&#10;VSleMIMARNpJo3NcOacnUWRpxQSxR0ozCZulMoI4WJplVBjSALrgURrHo6hRptBGUWYteGfdJu4R&#10;zWMAVVnWlM0UXQkmXYdqGCcOKNmq1hZPQ7Zlyah7W5aWOcRzDExd+MIlYC/8N5qekcnSEF3VtE+B&#10;PCaFe5wEqSVcuoOaEUfQytQPoERNjbKqdEdUiagjEhQBFkl8T5ubimgWuIDUVu9Et/8Plr5ZXxtU&#10;FzlOTzCSREDFf93e/v70+e7blz8/v9/9+IqyEy9To+0Eom/0telXFkzPuS2N8P/ABrVB2s1OWtY6&#10;RMGZJeloPAbVKewdJ8dxlnnQaH+arqx7zVRAIusr67rSFGAFYYs+O9deYVQKDmV6FqEYNShJT0+2&#10;ldxHzQdRFRrFD2PeHcQElH+iXRxEAhLa4QGD5TZHUm3Tpq3cmgZ60HdfyBv6z7WQGXSga+F26EHX&#10;XnRdqInz5z1Zb6IGXmdghqoc++z9jlBrNlchxu3F7rlBLvt9ulrU9IJ9PIzOYnjcoQC9FjqAJHEy&#10;Cv504D5Oss6dBDegDzGHqw4qS8fdmQHSOB51F6cvBv6eH2SUdRW8dwcsvRShT3byhJh9r0h1WXMe&#10;moXLINo4znyjERhOJQwFMIWGBrdyGSS0iteFP+NVtGa5eMkNWhM/IMKv78tBmDbWzYituriw1RWt&#10;YqR4JQvkNhpejoSJiX0OghUYcQYD1lshOUdq/phIoMclMPbvrXth3lqoYgMPtYFJBUw+rIiBi1ba&#10;1MsKeioJOfs4GBNBrX6k+Tl0uA64+zE+/Q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CtRQ4r2AAA&#10;AAgBAAAPAAAAAAAAAAEAIAAAACIAAABkcnMvZG93bnJldi54bWxQSwECFAAUAAAACACHTuJAgHXb&#10;UskCAAAOBgAADgAAAAAAAAABACAAAAAnAQAAZHJzL2Uyb0RvYy54bWxQSwUGAAAAAAYABgBZAQAA&#10;YgYAAAAA&#10;" path="m0,600c508,310,1016,20,3156,10c5296,0,9068,270,12840,540e">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0D1D00D6">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6C17C35D">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3FEBF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279A179B">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滋味厚度</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E91CAD6">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1312" behindDoc="0" locked="0" layoutInCell="1" allowOverlap="1">
                      <wp:simplePos x="0" y="0"/>
                      <wp:positionH relativeFrom="column">
                        <wp:posOffset>-59055</wp:posOffset>
                      </wp:positionH>
                      <wp:positionV relativeFrom="paragraph">
                        <wp:posOffset>-635</wp:posOffset>
                      </wp:positionV>
                      <wp:extent cx="5114925" cy="222885"/>
                      <wp:effectExtent l="635" t="9525" r="8890" b="15240"/>
                      <wp:wrapNone/>
                      <wp:docPr id="25" name="直接箭头连接符 65"/>
                      <wp:cNvGraphicFramePr/>
                      <a:graphic xmlns:a="http://schemas.openxmlformats.org/drawingml/2006/main">
                        <a:graphicData uri="http://schemas.microsoft.com/office/word/2010/wordprocessingShape">
                          <wps:wsp>
                            <wps:cNvCnPr/>
                            <wps:spPr>
                              <a:xfrm>
                                <a:off x="0" y="0"/>
                                <a:ext cx="5114925" cy="222885"/>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直接箭头连接符 65" o:spid="_x0000_s1026" o:spt="32" type="#_x0000_t32" style="position:absolute;left:0pt;margin-left:-4.65pt;margin-top:-0.05pt;height:17.55pt;width:402.75pt;z-index:251661312;mso-width-relative:page;mso-height-relative:page;" filled="f" stroked="t" coordsize="21600,21600" o:gfxdata="UEsDBAoAAAAAAIdO4kAAAAAAAAAAAAAAAAAEAAAAZHJzL1BLAwQUAAAACACHTuJAZw3xBdQAAAAH&#10;AQAADwAAAGRycy9kb3ducmV2LnhtbE2OwU7DMBBE70j8g7VIXFDrpBUhTeP0gMSJA6HwAZt4SaLG&#10;6yh2GvP3mBOcRqMZzbzyFMworjS7wbKCdJuAIG6tHrhT8PnxsslBOI+scbRMCr7Jwam6vSmx0Hbl&#10;d7qefSfiCLsCFfTeT4WUru3JoNvaiThmX3Y26KOdO6lnXOO4GeUuSTJpcOD40ONEzz21l/NiFIS3&#10;jH2o89CsvLy6/KEOaGql7u/S5AjCU/B/ZfjFj+hQRabGLqydGBVsDvvYjJqCiPHTIduBaBTsHxOQ&#10;VSn/81c/UEsDBBQAAAAIAIdO4kDLG/MvBAIAAPQDAAAOAAAAZHJzL2Uyb0RvYy54bWytU0uOEzEQ&#10;3SNxB8t70kmLjDKtdGaRMGwQRAIO4Njubkv+yeVJJ5fgAkisgBWwmv2cBoZjTNmdycCwyYJeuMuf&#10;elXv+Xl+sTOabGUA5WxNJ6MxJdJyJ5Rta/r+3eWzGSUQmRVMOytrupdALxZPn8x7X8nSdU4LGQiC&#10;WKh6X9MuRl8VBfBOGgYj56XFzcYFwyJOQ1uIwHpEN7oox+OzondB+OC4BMDV1bBJD4jhFEDXNIrL&#10;leNXRto4oAapWURK0CkPdJG7bRrJ45umARmJrikyjXnEIhhv0lgs5qxqA/Od4ocW2CktPOJkmLJY&#10;9Ai1YpGRq6D+gTKKBweuiSPuTDEQyYogi8n4kTZvO+Zl5oJSgz+KDv8Plr/ergNRoqbllBLLDN74&#10;7cfrXx++3P74/vPz9e+bTyn+9pWcTZNYvYcKc5Z2HQ4z8OuQmO+aYNIfOZFdFnh/FFjuIuG4OJ1M&#10;np+nQhz3yrKczTJo8ZDtA8SX0hmSgppCDEy1XVw6a/EuXZhkldn2FUSsj4n3Cam0tqRHS5+Pp3i9&#10;nKE5GzQFhsYjQbBtTganlbhUWqcUCO1mqQPZsmSQ/CWaCPzXsVRlxaAbzuWtwTqdZOKFFSTuPSpn&#10;8cXQ1IORghIt8YGlCAFZFZnSp5zE0tpiB0npQdsUbZzYZ8nzOpoh93gwbnLbn/Oc/fBYF3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nDfEF1AAAAAcBAAAPAAAAAAAAAAEAIAAAACIAAABkcnMvZG93&#10;bnJldi54bWxQSwECFAAUAAAACACHTuJAyxvzLwQCAAD0AwAADgAAAAAAAAABACAAAAAjAQAAZHJz&#10;L2Uyb0RvYy54bWxQSwUGAAAAAAYABgBZAQAAmQUAAAAA&#10;">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315D2CD8">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0CB2B021">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485E2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7E35BB07">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汤面炭化气</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1576B15F">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16C11908">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6432" behindDoc="0" locked="0" layoutInCell="1" allowOverlap="1">
                      <wp:simplePos x="0" y="0"/>
                      <wp:positionH relativeFrom="column">
                        <wp:posOffset>235585</wp:posOffset>
                      </wp:positionH>
                      <wp:positionV relativeFrom="paragraph">
                        <wp:posOffset>136525</wp:posOffset>
                      </wp:positionV>
                      <wp:extent cx="3708400" cy="196850"/>
                      <wp:effectExtent l="635" t="9525" r="5715" b="22225"/>
                      <wp:wrapNone/>
                      <wp:docPr id="26" name="直接箭头连接符 20"/>
                      <wp:cNvGraphicFramePr/>
                      <a:graphic xmlns:a="http://schemas.openxmlformats.org/drawingml/2006/main">
                        <a:graphicData uri="http://schemas.microsoft.com/office/word/2010/wordprocessingShape">
                          <wps:wsp>
                            <wps:cNvCnPr/>
                            <wps:spPr>
                              <a:xfrm flipV="1">
                                <a:off x="0" y="0"/>
                                <a:ext cx="3708400" cy="196850"/>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直接箭头连接符 20" o:spid="_x0000_s1026" o:spt="32" type="#_x0000_t32" style="position:absolute;left:0pt;flip:y;margin-left:18.55pt;margin-top:10.75pt;height:15.5pt;width:292pt;z-index:251666432;mso-width-relative:page;mso-height-relative:page;" filled="f" stroked="t" coordsize="21600,21600" o:gfxdata="UEsDBAoAAAAAAIdO4kAAAAAAAAAAAAAAAAAEAAAAZHJzL1BLAwQUAAAACACHTuJA3NqMuNgAAAAI&#10;AQAADwAAAGRycy9kb3ducmV2LnhtbE2PzU7DMBCE70i8g7VI3KjtVElRiNMDVQ9IPdCWA0c3NkmE&#10;vU5t9weenuUEx9kZzXzbLK/esbONaQyoQM4EMItdMCP2Ct7264dHYClrNNoFtAq+bIJle3vT6NqE&#10;C27teZd7RiWYaq1gyHmqOU/dYL1OszBZJO8jRK8zydhzE/WFyr3jhRAV93pEWhj0ZJ8H233uTl6B&#10;SMftZhMWx/dq/uJe/bhar+K3Uvd3UjwBy/aa/8Lwi0/o0BLTIZzQJOYUzBeSkgoKWQIjvyokHQ4K&#10;yqIE3jb8/wPtD1BLAwQUAAAACACHTuJAlALy8ggCAAD+AwAADgAAAGRycy9lMm9Eb2MueG1srVNL&#10;jhMxEN0jcQfLe9KdACFE6cwiYdggGInP3vGn25J/cnnSySW4ABIrYAWsZs9pYDgGZXfIwLDJgl60&#10;yi7Xq3rPz4uznTVkKyNo7xo6HtWUSMe90K5t6OtX5/dmlEBiTjDjnWzoXgI9W969s+jDXE58542Q&#10;kSCIg3kfGtqlFOZVBbyTlsHIB+kwqXy0LOEytpWIrEd0a6pJXU+r3kcRoucSAHfXQ5IeEOMpgF4p&#10;zeXa80srXRpQozQsISXodAC6LNMqJXl6oRTIRExDkWkqf2yC8Sb/q+WCzdvIQqf5YQR2ygi3OFmm&#10;HTY9Qq1ZYuQy6n+grObRg1dpxL2tBiJFEWQxrm9p87JjQRYuKDWEo+jw/2D58+1FJFo0dDKlxDGL&#10;N3797urH24/XX798/3D189v7HH/+RCZFrD7AHGtW7iKidHkF4SJm5jsVLVFGhzfoqqIFsiO7IvX+&#10;KLXcJcJx8/6jevagxlvgmBs/ns4eFvhqwMl4IUJ6Kr0lOWgopMh026WVdw5v1cehB9s+g4STYOHv&#10;glxsHOkzbo2whDO0qUJ7YGgDUgXXlgHBGy3OtTG5BGK7WZlItixbpXzZHQj817HcZc2gG86V1GCi&#10;TjLxxAmS9gE1dPh2aJ7BSkGJkfjUclTslpg2p5zE1sbhBDcq52jjxb6IX/bRFmXGg4Wz7/5cl+qb&#10;Z7v8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zajLjYAAAACAEAAA8AAAAAAAAAAQAgAAAAIgAA&#10;AGRycy9kb3ducmV2LnhtbFBLAQIUABQAAAAIAIdO4kCUAvLyCAIAAP4DAAAOAAAAAAAAAAEAIAAA&#10;ACcBAABkcnMvZTJvRG9jLnhtbFBLBQYAAAAABgAGAFkBAAChBQAAAAA=&#10;">
                      <v:fill on="f" focussize="0,0"/>
                      <v:stroke weight="1.5pt" color="#000000" joinstyle="round"/>
                      <v:imagedata o:title=""/>
                      <o:lock v:ext="edit" aspectratio="f"/>
                    </v:shape>
                  </w:pict>
                </mc:Fallback>
              </mc:AlternateContent>
            </w: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5616CBB2">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22178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1C4058D9">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汤中炭化味</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AF92A85">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3731DC59">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0288" behindDoc="0" locked="0" layoutInCell="1" allowOverlap="1">
                      <wp:simplePos x="0" y="0"/>
                      <wp:positionH relativeFrom="column">
                        <wp:posOffset>248920</wp:posOffset>
                      </wp:positionH>
                      <wp:positionV relativeFrom="paragraph">
                        <wp:posOffset>207010</wp:posOffset>
                      </wp:positionV>
                      <wp:extent cx="3708400" cy="196850"/>
                      <wp:effectExtent l="635" t="9525" r="5715" b="22225"/>
                      <wp:wrapNone/>
                      <wp:docPr id="27" name="直接箭头连接符 74"/>
                      <wp:cNvGraphicFramePr/>
                      <a:graphic xmlns:a="http://schemas.openxmlformats.org/drawingml/2006/main">
                        <a:graphicData uri="http://schemas.microsoft.com/office/word/2010/wordprocessingShape">
                          <wps:wsp>
                            <wps:cNvCnPr/>
                            <wps:spPr>
                              <a:xfrm flipV="1">
                                <a:off x="0" y="0"/>
                                <a:ext cx="3708400" cy="196850"/>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直接箭头连接符 74" o:spid="_x0000_s1026" o:spt="32" type="#_x0000_t32" style="position:absolute;left:0pt;flip:y;margin-left:19.6pt;margin-top:16.3pt;height:15.5pt;width:292pt;z-index:251660288;mso-width-relative:page;mso-height-relative:page;" filled="f" stroked="t" coordsize="21600,21600" o:gfxdata="UEsDBAoAAAAAAIdO4kAAAAAAAAAAAAAAAAAEAAAAZHJzL1BLAwQUAAAACACHTuJAfm9dG9cAAAAI&#10;AQAADwAAAGRycy9kb3ducmV2LnhtbE2PPU/DMBCGdyT+g3VIbNRuIhkIcTpQdUDqQFsGRjc+koj4&#10;nNruB/x6jgmm+3hfvfdcvbj4UZwwpiGQgflMgUBqgxuoM/C2W909gEjZkrNjIDTwhQkWzfVVbSsX&#10;zrTB0zZ3gkMoVdZAn/NUSZnaHr1NszAhsfYRoreZx9hJF+2Zw/0oC6W09HYgvtDbCZ97bD+3R29A&#10;pcNmvQ73h3ddvoyvfliulvHbmNubuXoCkfGS/8zwi8/o0DDTPhzJJTEaKB8LdnItNAjWdVHyYs9N&#10;qUE2tfz/QPMDUEsDBBQAAAAIAIdO4kCSQCq6CwIAAP4DAAAOAAAAZHJzL2Uyb0RvYy54bWytU72O&#10;EzEQ7pF4B8s92U04LmGVzRUJR4MgEj+947V3LflPHl82eQleAIkKqA6q63kaOB6DsTcEOJoUbLEa&#10;ezzfzPf58/xiZzTZigDK2ZqORyUlwnLXKNvW9PWrywczSiAy2zDtrKjpXgC9WNy/N+99JSauc7oR&#10;gSCIhar3Ne1i9FVRAO+EYTByXlhMShcMi7gMbdEE1iO60cWkLM+L3oXGB8cFAO6uhiQ9IIZTAJ2U&#10;iouV41dG2DigBqFZRErQKQ90kaeVUvD4QkoQkeiaItOY/9gE4036F4s5q9rAfKf4YQR2ygh3OBmm&#10;LDY9Qq1YZOQqqH+gjOLBgZNxxJ0pBiJZEWQxLu9o87JjXmQuKDX4o+jw/2D58+06ENXUdDKlxDKD&#10;N3777ub724+3Xz5/+3Dz4+v7FF9/ItOzJFbvocKapV2Hwwr8OiTmOxkMkVr5N+iqrAWyI7ss9f4o&#10;tdhFwnHz4bScnZV4Cxxz48fns0f5LooBJ+H5APGpcIakoKYQA1NtF5fOWrxVF4YebPsMIk6Chb8K&#10;UrG2pE+4JcISztCmEu2BofFIFWybBwSnVXOptE4lENrNUgeyZckq+UuEEfivY6nLikE3nMupwUSd&#10;YM0T25C496ihxbdD0wxGNJRogU8tRQjIqsiUPuUkttYWJ0iaDyqnaOOafRY/76Mt8owHCyff/bnO&#10;1b+f7eI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fm9dG9cAAAAIAQAADwAAAAAAAAABACAAAAAi&#10;AAAAZHJzL2Rvd25yZXYueG1sUEsBAhQAFAAAAAgAh07iQJJAKroLAgAA/gMAAA4AAAAAAAAAAQAg&#10;AAAAJgEAAGRycy9lMm9Eb2MueG1sUEsFBgAAAAAGAAYAWQEAAKMFAAAAAA==&#10;">
                      <v:fill on="f" focussize="0,0"/>
                      <v:stroke weight="1.5pt" color="#000000" joinstyle="round"/>
                      <v:imagedata o:title=""/>
                      <o:lock v:ext="edit" aspectratio="f"/>
                    </v:shape>
                  </w:pict>
                </mc:Fallback>
              </mc:AlternateContent>
            </w: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01130EA7">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4728E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79F5E45D">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汤底微炭粒</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1B41F474">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000000"/>
                <w:lang w:val="en-US"/>
              </w:rPr>
            </w:pP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35DB19D4">
            <w:pPr>
              <w:keepNext w:val="0"/>
              <w:keepLines w:val="0"/>
              <w:widowControl w:val="0"/>
              <w:suppressLineNumbers w:val="0"/>
              <w:adjustRightInd w:val="0"/>
              <w:spacing w:before="0" w:beforeAutospacing="0" w:after="0" w:afterAutospacing="0" w:line="400" w:lineRule="exact"/>
              <w:ind w:left="0" w:right="0"/>
              <w:jc w:val="left"/>
              <w:rPr>
                <w:rFonts w:hint="default"/>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65408" behindDoc="0" locked="0" layoutInCell="1" allowOverlap="1">
                      <wp:simplePos x="0" y="0"/>
                      <wp:positionH relativeFrom="column">
                        <wp:posOffset>235585</wp:posOffset>
                      </wp:positionH>
                      <wp:positionV relativeFrom="paragraph">
                        <wp:posOffset>200025</wp:posOffset>
                      </wp:positionV>
                      <wp:extent cx="3708400" cy="196850"/>
                      <wp:effectExtent l="635" t="9525" r="5715" b="22225"/>
                      <wp:wrapNone/>
                      <wp:docPr id="28" name="直接箭头连接符 7"/>
                      <wp:cNvGraphicFramePr/>
                      <a:graphic xmlns:a="http://schemas.openxmlformats.org/drawingml/2006/main">
                        <a:graphicData uri="http://schemas.microsoft.com/office/word/2010/wordprocessingShape">
                          <wps:wsp>
                            <wps:cNvCnPr/>
                            <wps:spPr>
                              <a:xfrm flipV="1">
                                <a:off x="0" y="0"/>
                                <a:ext cx="3708400" cy="196850"/>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直接箭头连接符 7" o:spid="_x0000_s1026" o:spt="32" type="#_x0000_t32" style="position:absolute;left:0pt;flip:y;margin-left:18.55pt;margin-top:15.75pt;height:15.5pt;width:292pt;z-index:251665408;mso-width-relative:page;mso-height-relative:page;" filled="f" stroked="t" coordsize="21600,21600" o:gfxdata="UEsDBAoAAAAAAIdO4kAAAAAAAAAAAAAAAAAEAAAAZHJzL1BLAwQUAAAACACHTuJA3aUaTtcAAAAI&#10;AQAADwAAAGRycy9kb3ducmV2LnhtbE2PPU/DMBCGdyT+g3VIbNR2q6YoxOlA1QGpAy0MjG58JBHx&#10;ObXdD/j1XCeY7uN99d5z1fLiB3HCmPpABvREgUBqguupNfD+tn54BJGyJWeHQGjgGxMs69ubypYu&#10;nGmLp11uBYdQKq2BLuexlDI1HXqbJmFEYu0zRG8zj7GVLtozh/tBTpUqpLc98YXOjvjcYfO1O3oD&#10;Kh22m01YHD6K2cvw6vvVehV/jLm/0+oJRMZL/jPDFZ/RoWamfTiSS2IwMFtodnLVcxCsF1PNi/21&#10;mYOsK/n/gfoXUEsDBBQAAAAIAIdO4kAavGpACQIAAP0DAAAOAAAAZHJzL2Uyb0RvYy54bWytU8mO&#10;EzEQvSPxD5bvpDsBZkIrnTkkDBcEkVjujpduS97k8mT5CX4AiRNwAk5z52tg+AzK7hBguORAH1rl&#10;pV7Ve/U8u9hZQzYygvaupeNRTYl03Avtupa+enl5b0oJJOYEM97Jlu4l0Iv53TuzbWjkxPfeCBkJ&#10;gjhotqGlfUqhqSrgvbQMRj5Ih4fKR8sSLmNXici2iG5NNanrs2rrowjRcwmAu8vhkB4Q4ymAXinN&#10;5dLzKytdGlCjNCwhJeh1ADov3SoleXquFMhETEuRaSp/LILxOv+r+Yw1XWSh1/zQAjulhVucLNMO&#10;ix6hliwxchX1P1BW8+jBqzTi3lYDkaIIshjXt7R50bMgCxeUGsJRdPh/sPzZZhWJFi2d4Nwdszjx&#10;m7fX3998uPny+dv76x9f3+X400dynrXaBmgwZeFW8bCCsIqZ+E5FS5TR4TWaqkiB5MiuKL0/Ki13&#10;iXDcvH9eTx/UOASOZ+NHZ9OHZRTVgJPxQoT0RHpLctBSSJHprk8L7xwO1cehBts8hYSdYOKvhJxs&#10;HNlm3BphCWfoUoXuwNAGZAquKw2CN1pcamNyCsRuvTCRbFh2SvkyYQT+61qusmTQD/fK0eChXjLx&#10;2AmS9gEldPh0aO7BSkGJkfjScoSArElMm1NuYmnjsIOs+aByjtZe7Iv4ZR9dUXo8ODjb7s91yf79&#10;au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2lGk7XAAAACAEAAA8AAAAAAAAAAQAgAAAAIgAA&#10;AGRycy9kb3ducmV2LnhtbFBLAQIUABQAAAAIAIdO4kAavGpACQIAAP0DAAAOAAAAAAAAAAEAIAAA&#10;ACYBAABkcnMvZTJvRG9jLnhtbFBLBQYAAAAABgAGAFkBAAChBQAAAAA=&#10;">
                      <v:fill on="f" focussize="0,0"/>
                      <v:stroke weight="1.5pt" color="#000000" joinstyle="round"/>
                      <v:imagedata o:title=""/>
                      <o:lock v:ext="edit" aspectratio="f"/>
                    </v:shape>
                  </w:pict>
                </mc:Fallback>
              </mc:AlternateContent>
            </w: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64A78568">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000000"/>
                <w:lang w:val="en-US"/>
              </w:rPr>
            </w:pPr>
          </w:p>
        </w:tc>
      </w:tr>
      <w:tr w14:paraId="54DE8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0" w:type="dxa"/>
            <w:tcBorders>
              <w:top w:val="single" w:color="auto" w:sz="4" w:space="0"/>
              <w:left w:val="single" w:color="auto" w:sz="4" w:space="0"/>
              <w:bottom w:val="single" w:color="auto" w:sz="4" w:space="0"/>
              <w:right w:val="single" w:color="auto" w:sz="4" w:space="0"/>
            </w:tcBorders>
            <w:shd w:val="clear" w:color="auto" w:fill="auto"/>
            <w:vAlign w:val="center"/>
          </w:tcPr>
          <w:p w14:paraId="7C742C19">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lang w:val="en-US"/>
              </w:rPr>
            </w:pPr>
            <w:r>
              <w:rPr>
                <w:rFonts w:hint="eastAsia" w:ascii="宋体" w:hAnsi="宋体" w:eastAsia="宋体" w:cs="宋体"/>
                <w:kern w:val="2"/>
                <w:sz w:val="21"/>
                <w:szCs w:val="21"/>
                <w:lang w:val="en-US" w:eastAsia="zh-CN" w:bidi="ar"/>
              </w:rPr>
              <w:t>体感</w:t>
            </w:r>
          </w:p>
        </w:tc>
        <w:tc>
          <w:tcPr>
            <w:tcW w:w="173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7BDF0F41">
            <w:pPr>
              <w:keepNext w:val="0"/>
              <w:keepLines w:val="0"/>
              <w:widowControl w:val="0"/>
              <w:suppressLineNumbers w:val="0"/>
              <w:adjustRightInd w:val="0"/>
              <w:spacing w:before="0" w:beforeAutospacing="0" w:after="0" w:afterAutospacing="0" w:line="400" w:lineRule="exact"/>
              <w:ind w:left="0" w:right="0"/>
              <w:jc w:val="left"/>
              <w:rPr>
                <w:rFonts w:hint="eastAsia" w:ascii="宋体" w:hAnsi="宋体" w:eastAsia="宋体" w:cs="宋体"/>
                <w:color w:val="FF0000"/>
                <w:lang w:val="en-US"/>
              </w:rPr>
            </w:pPr>
            <w:r>
              <w:rPr>
                <w:rFonts w:hint="default" w:ascii="Calibri" w:hAnsi="Calibri" w:eastAsia="宋体" w:cs="Times New Roman"/>
                <w:kern w:val="2"/>
                <w:sz w:val="21"/>
                <w:szCs w:val="21"/>
                <w:lang w:val="en-US" w:eastAsia="zh-CN" w:bidi="ar"/>
              </w:rPr>
              <mc:AlternateContent>
                <mc:Choice Requires="wps">
                  <w:drawing>
                    <wp:anchor distT="0" distB="0" distL="114300" distR="114300" simplePos="0" relativeHeight="251659264" behindDoc="0" locked="0" layoutInCell="1" allowOverlap="1">
                      <wp:simplePos x="0" y="0"/>
                      <wp:positionH relativeFrom="column">
                        <wp:posOffset>610870</wp:posOffset>
                      </wp:positionH>
                      <wp:positionV relativeFrom="paragraph">
                        <wp:posOffset>84455</wp:posOffset>
                      </wp:positionV>
                      <wp:extent cx="4445000" cy="302895"/>
                      <wp:effectExtent l="635" t="9525" r="12065" b="11430"/>
                      <wp:wrapNone/>
                      <wp:docPr id="29" name="直接箭头连接符 88"/>
                      <wp:cNvGraphicFramePr/>
                      <a:graphic xmlns:a="http://schemas.openxmlformats.org/drawingml/2006/main">
                        <a:graphicData uri="http://schemas.microsoft.com/office/word/2010/wordprocessingShape">
                          <wps:wsp>
                            <wps:cNvCnPr/>
                            <wps:spPr>
                              <a:xfrm flipV="1">
                                <a:off x="0" y="0"/>
                                <a:ext cx="4445000" cy="302895"/>
                              </a:xfrm>
                              <a:prstGeom prst="straightConnector1">
                                <a:avLst/>
                              </a:prstGeom>
                              <a:ln w="19050" cap="flat" cmpd="sng">
                                <a:solidFill>
                                  <a:srgbClr val="000000"/>
                                </a:solidFill>
                                <a:prstDash val="solid"/>
                                <a:headEnd type="none" w="med" len="med"/>
                                <a:tailEnd type="none" w="med" len="med"/>
                              </a:ln>
                            </wps:spPr>
                            <wps:bodyPr/>
                          </wps:wsp>
                        </a:graphicData>
                      </a:graphic>
                    </wp:anchor>
                  </w:drawing>
                </mc:Choice>
                <mc:Fallback>
                  <w:pict>
                    <v:shape id="直接箭头连接符 88" o:spid="_x0000_s1026" o:spt="32" type="#_x0000_t32" style="position:absolute;left:0pt;flip:y;margin-left:48.1pt;margin-top:6.65pt;height:23.85pt;width:350pt;z-index:251659264;mso-width-relative:page;mso-height-relative:page;" filled="f" stroked="t" coordsize="21600,21600" o:gfxdata="UEsDBAoAAAAAAIdO4kAAAAAAAAAAAAAAAAAEAAAAZHJzL1BLAwQUAAAACACHTuJAK1Py5tcAAAAI&#10;AQAADwAAAGRycy9kb3ducmV2LnhtbE2PzU7DMBCE70i8g7VI3KidRkohjdMDVQ9IPdCWA0c33iYR&#10;9jqN3R94ehYucNyZ0ew31eLqnTjjGPtAGrKJAoHUBNtTq+Ftt3p4BBGTIWtcINTwiREW9e1NZUob&#10;LrTB8za1gksolkZDl9JQShmbDr2JkzAgsXcIozeJz7GVdjQXLvdOTpUqpDc98YfODPjcYfOxPXkN&#10;Kh4363WYHd+L/MW9+n65Wo5fWt/fZWoOIuE1/YXhB5/RoWamfTiRjcJpeCqmnGQ9z0GwP/sV9hqK&#10;TIGsK/l/QP0NUEsDBBQAAAAIAIdO4kBlr48UCQIAAP4DAAAOAAAAZHJzL2Uyb0RvYy54bWytU72O&#10;EzEQ7pF4B8s92b2QoGSVzRUJR4MgEj+9Y3t3LflPHl82eQleAIkKqIDqep4Gjsdg7A0BjiYFLqyx&#10;Z+ab+T6PF5d7o8lOBlDO1vRiVFIiLXdC2bamr15ePZhRApFZwbSzsqYHCfRyef/eoveVHLvOaSED&#10;QRALVe9r2sXoq6IA3knDYOS8tOhsXDAs4jG0hQisR3Sji3FZPip6F4QPjksAvF0PTnpEDOcAuqZR&#10;XK4dvzbSxgE1SM0iUoJOeaDL3G3TSB6fNw3ISHRNkWnMOxZBe5v2YrlgVRuY7xQ/tsDOaeEOJ8OU&#10;xaInqDWLjFwH9Q+UUTw4cE0ccWeKgUhWBFlclHe0edExLzMXlBr8SXT4f7D82W4TiBI1Hc8psczg&#10;i9++vfn+5sPtl8/f3t/8+Pou2Z8+ktksidV7qDBnZTfheAK/CYn5vgmGNFr51zhVWQtkR/ZZ6sNJ&#10;armPhOPlZDKZliW+Akffw3I8m08TfDHgJDwfID6RzpBk1BRiYKrt4spZi6/qwlCD7Z5CHBJ/JaRk&#10;bUmPbczLaSrBcEwbHA80jUeqYNvcIDitxJXSOqVAaLcrHciOpVHJ69jRX2GpyppBN8RlVwpjVSeZ&#10;eGwFiQePGlr8OzT1YKSgREv8asnKkZEpfU4kiqEtapI0H1RO1taJQxY/3+NYZNWOI5zm7s9zzv79&#10;bZ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CtT8ubXAAAACAEAAA8AAAAAAAAAAQAgAAAAIgAA&#10;AGRycy9kb3ducmV2LnhtbFBLAQIUABQAAAAIAIdO4kBlr48UCQIAAP4DAAAOAAAAAAAAAAEAIAAA&#10;ACYBAABkcnMvZTJvRG9jLnhtbFBLBQYAAAAABgAGAFkBAAChBQAAAAA=&#10;">
                      <v:fill on="f" focussize="0,0"/>
                      <v:stroke weight="1.5pt" color="#000000" joinstyle="round"/>
                      <v:imagedata o:title=""/>
                      <o:lock v:ext="edit" aspectratio="f"/>
                    </v:shape>
                  </w:pict>
                </mc:Fallback>
              </mc:AlternateContent>
            </w:r>
          </w:p>
        </w:tc>
        <w:tc>
          <w:tcPr>
            <w:tcW w:w="570" w:type="dxa"/>
            <w:tcBorders>
              <w:top w:val="single" w:color="auto" w:sz="4" w:space="0"/>
              <w:left w:val="single" w:color="auto" w:sz="4" w:space="0"/>
              <w:bottom w:val="single" w:color="auto" w:sz="4" w:space="0"/>
              <w:right w:val="single" w:color="auto" w:sz="4" w:space="0"/>
            </w:tcBorders>
            <w:shd w:val="clear" w:color="auto" w:fill="auto"/>
            <w:vAlign w:val="center"/>
          </w:tcPr>
          <w:p w14:paraId="28110261">
            <w:pPr>
              <w:keepNext w:val="0"/>
              <w:keepLines w:val="0"/>
              <w:widowControl w:val="0"/>
              <w:suppressLineNumbers w:val="0"/>
              <w:adjustRightInd w:val="0"/>
              <w:spacing w:before="0" w:beforeAutospacing="0" w:after="0" w:afterAutospacing="0" w:line="400" w:lineRule="exact"/>
              <w:ind w:left="0" w:right="0"/>
              <w:jc w:val="left"/>
              <w:rPr>
                <w:rFonts w:hint="default"/>
                <w:color w:val="FF0000"/>
                <w:lang w:val="en-US"/>
              </w:rPr>
            </w:pPr>
          </w:p>
        </w:tc>
        <w:tc>
          <w:tcPr>
            <w:tcW w:w="5758"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14:paraId="786179D1">
            <w:pPr>
              <w:keepNext w:val="0"/>
              <w:keepLines w:val="0"/>
              <w:widowControl w:val="0"/>
              <w:suppressLineNumbers w:val="0"/>
              <w:adjustRightInd w:val="0"/>
              <w:spacing w:before="0" w:beforeAutospacing="0" w:after="0" w:afterAutospacing="0" w:line="400" w:lineRule="exact"/>
              <w:ind w:left="0" w:right="0"/>
              <w:jc w:val="right"/>
              <w:rPr>
                <w:rFonts w:hint="eastAsia" w:ascii="宋体" w:hAnsi="宋体" w:eastAsia="宋体" w:cs="宋体"/>
                <w:color w:val="FF0000"/>
                <w:lang w:val="en-US"/>
              </w:rPr>
            </w:pPr>
          </w:p>
        </w:tc>
      </w:tr>
      <w:tr w14:paraId="493B1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1" w:hRule="atLeast"/>
        </w:trPr>
        <w:tc>
          <w:tcPr>
            <w:tcW w:w="1540" w:type="dxa"/>
            <w:tcBorders>
              <w:top w:val="single" w:color="auto" w:sz="4" w:space="0"/>
              <w:left w:val="single" w:color="auto" w:sz="4" w:space="0"/>
              <w:bottom w:val="single" w:color="auto" w:sz="4" w:space="0"/>
              <w:right w:val="nil"/>
            </w:tcBorders>
            <w:shd w:val="clear" w:color="auto" w:fill="auto"/>
            <w:vAlign w:val="center"/>
          </w:tcPr>
          <w:p w14:paraId="1F6823E9">
            <w:pPr>
              <w:keepNext w:val="0"/>
              <w:keepLines w:val="0"/>
              <w:widowControl w:val="0"/>
              <w:suppressLineNumbers w:val="0"/>
              <w:adjustRightInd w:val="0"/>
              <w:spacing w:before="0" w:beforeAutospacing="0" w:after="0" w:afterAutospacing="0" w:line="400" w:lineRule="exact"/>
              <w:ind w:left="0" w:right="0"/>
              <w:jc w:val="center"/>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陈化时间（年）</w:t>
            </w:r>
          </w:p>
        </w:tc>
        <w:tc>
          <w:tcPr>
            <w:tcW w:w="575" w:type="dxa"/>
            <w:tcBorders>
              <w:top w:val="single" w:color="auto" w:sz="4" w:space="0"/>
              <w:left w:val="nil"/>
              <w:bottom w:val="single" w:color="auto" w:sz="4" w:space="0"/>
              <w:right w:val="nil"/>
            </w:tcBorders>
            <w:shd w:val="clear" w:color="auto" w:fill="auto"/>
            <w:vAlign w:val="top"/>
          </w:tcPr>
          <w:p w14:paraId="2456EFC9">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0</w:t>
            </w:r>
          </w:p>
        </w:tc>
        <w:tc>
          <w:tcPr>
            <w:tcW w:w="575" w:type="dxa"/>
            <w:tcBorders>
              <w:top w:val="single" w:color="auto" w:sz="4" w:space="0"/>
              <w:left w:val="nil"/>
              <w:bottom w:val="single" w:color="auto" w:sz="4" w:space="0"/>
              <w:right w:val="nil"/>
            </w:tcBorders>
            <w:shd w:val="clear" w:color="auto" w:fill="auto"/>
            <w:vAlign w:val="top"/>
          </w:tcPr>
          <w:p w14:paraId="61E3B3BF">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5</w:t>
            </w:r>
          </w:p>
        </w:tc>
        <w:tc>
          <w:tcPr>
            <w:tcW w:w="580" w:type="dxa"/>
            <w:tcBorders>
              <w:top w:val="single" w:color="auto" w:sz="4" w:space="0"/>
              <w:left w:val="nil"/>
              <w:bottom w:val="single" w:color="auto" w:sz="4" w:space="0"/>
              <w:right w:val="nil"/>
            </w:tcBorders>
            <w:shd w:val="clear" w:color="auto" w:fill="auto"/>
            <w:vAlign w:val="top"/>
          </w:tcPr>
          <w:p w14:paraId="67364FE8">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10</w:t>
            </w:r>
          </w:p>
        </w:tc>
        <w:tc>
          <w:tcPr>
            <w:tcW w:w="570" w:type="dxa"/>
            <w:tcBorders>
              <w:top w:val="single" w:color="auto" w:sz="4" w:space="0"/>
              <w:left w:val="nil"/>
              <w:bottom w:val="single" w:color="auto" w:sz="4" w:space="0"/>
              <w:right w:val="nil"/>
            </w:tcBorders>
            <w:shd w:val="clear" w:color="auto" w:fill="auto"/>
            <w:vAlign w:val="top"/>
          </w:tcPr>
          <w:p w14:paraId="20069DA0">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15</w:t>
            </w:r>
          </w:p>
        </w:tc>
        <w:tc>
          <w:tcPr>
            <w:tcW w:w="575" w:type="dxa"/>
            <w:tcBorders>
              <w:top w:val="single" w:color="auto" w:sz="4" w:space="0"/>
              <w:left w:val="nil"/>
              <w:bottom w:val="single" w:color="auto" w:sz="4" w:space="0"/>
              <w:right w:val="nil"/>
            </w:tcBorders>
            <w:shd w:val="clear" w:color="auto" w:fill="auto"/>
            <w:vAlign w:val="top"/>
          </w:tcPr>
          <w:p w14:paraId="65CE9CC2">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20</w:t>
            </w:r>
          </w:p>
        </w:tc>
        <w:tc>
          <w:tcPr>
            <w:tcW w:w="575" w:type="dxa"/>
            <w:tcBorders>
              <w:top w:val="single" w:color="auto" w:sz="4" w:space="0"/>
              <w:left w:val="nil"/>
              <w:bottom w:val="single" w:color="auto" w:sz="4" w:space="0"/>
              <w:right w:val="nil"/>
            </w:tcBorders>
            <w:shd w:val="clear" w:color="auto" w:fill="auto"/>
            <w:vAlign w:val="top"/>
          </w:tcPr>
          <w:p w14:paraId="02E89D49">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25</w:t>
            </w:r>
          </w:p>
        </w:tc>
        <w:tc>
          <w:tcPr>
            <w:tcW w:w="575" w:type="dxa"/>
            <w:tcBorders>
              <w:top w:val="single" w:color="auto" w:sz="4" w:space="0"/>
              <w:left w:val="nil"/>
              <w:bottom w:val="single" w:color="auto" w:sz="4" w:space="0"/>
              <w:right w:val="nil"/>
            </w:tcBorders>
            <w:shd w:val="clear" w:color="auto" w:fill="auto"/>
            <w:vAlign w:val="top"/>
          </w:tcPr>
          <w:p w14:paraId="3310CDBB">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30</w:t>
            </w:r>
          </w:p>
        </w:tc>
        <w:tc>
          <w:tcPr>
            <w:tcW w:w="575" w:type="dxa"/>
            <w:tcBorders>
              <w:top w:val="single" w:color="auto" w:sz="4" w:space="0"/>
              <w:left w:val="nil"/>
              <w:bottom w:val="single" w:color="auto" w:sz="4" w:space="0"/>
              <w:right w:val="nil"/>
            </w:tcBorders>
            <w:shd w:val="clear" w:color="auto" w:fill="auto"/>
            <w:vAlign w:val="top"/>
          </w:tcPr>
          <w:p w14:paraId="3D1A4374">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35</w:t>
            </w:r>
          </w:p>
        </w:tc>
        <w:tc>
          <w:tcPr>
            <w:tcW w:w="575" w:type="dxa"/>
            <w:tcBorders>
              <w:top w:val="single" w:color="auto" w:sz="4" w:space="0"/>
              <w:left w:val="nil"/>
              <w:bottom w:val="single" w:color="auto" w:sz="4" w:space="0"/>
              <w:right w:val="nil"/>
            </w:tcBorders>
            <w:shd w:val="clear" w:color="auto" w:fill="auto"/>
            <w:vAlign w:val="top"/>
          </w:tcPr>
          <w:p w14:paraId="2FED1922">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40</w:t>
            </w:r>
          </w:p>
        </w:tc>
        <w:tc>
          <w:tcPr>
            <w:tcW w:w="575" w:type="dxa"/>
            <w:tcBorders>
              <w:top w:val="single" w:color="auto" w:sz="4" w:space="0"/>
              <w:left w:val="nil"/>
              <w:bottom w:val="single" w:color="auto" w:sz="4" w:space="0"/>
              <w:right w:val="nil"/>
            </w:tcBorders>
            <w:shd w:val="clear" w:color="auto" w:fill="auto"/>
            <w:vAlign w:val="top"/>
          </w:tcPr>
          <w:p w14:paraId="5B069404">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45</w:t>
            </w:r>
          </w:p>
        </w:tc>
        <w:tc>
          <w:tcPr>
            <w:tcW w:w="575" w:type="dxa"/>
            <w:tcBorders>
              <w:top w:val="single" w:color="auto" w:sz="4" w:space="0"/>
              <w:left w:val="nil"/>
              <w:bottom w:val="single" w:color="auto" w:sz="4" w:space="0"/>
              <w:right w:val="nil"/>
            </w:tcBorders>
            <w:shd w:val="clear" w:color="auto" w:fill="auto"/>
            <w:vAlign w:val="top"/>
          </w:tcPr>
          <w:p w14:paraId="3E521854">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50</w:t>
            </w:r>
          </w:p>
        </w:tc>
        <w:tc>
          <w:tcPr>
            <w:tcW w:w="575" w:type="dxa"/>
            <w:tcBorders>
              <w:top w:val="single" w:color="auto" w:sz="4" w:space="0"/>
              <w:left w:val="nil"/>
              <w:bottom w:val="single" w:color="auto" w:sz="4" w:space="0"/>
              <w:right w:val="nil"/>
            </w:tcBorders>
            <w:shd w:val="clear" w:color="auto" w:fill="auto"/>
            <w:vAlign w:val="top"/>
          </w:tcPr>
          <w:p w14:paraId="7232A3CB">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55</w:t>
            </w:r>
          </w:p>
        </w:tc>
        <w:tc>
          <w:tcPr>
            <w:tcW w:w="575" w:type="dxa"/>
            <w:tcBorders>
              <w:top w:val="single" w:color="auto" w:sz="4" w:space="0"/>
              <w:left w:val="nil"/>
              <w:bottom w:val="single" w:color="auto" w:sz="4" w:space="0"/>
              <w:right w:val="nil"/>
            </w:tcBorders>
            <w:shd w:val="clear" w:color="auto" w:fill="auto"/>
            <w:vAlign w:val="top"/>
          </w:tcPr>
          <w:p w14:paraId="11D94EE3">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60</w:t>
            </w:r>
          </w:p>
        </w:tc>
        <w:tc>
          <w:tcPr>
            <w:tcW w:w="583" w:type="dxa"/>
            <w:tcBorders>
              <w:top w:val="single" w:color="auto" w:sz="4" w:space="0"/>
              <w:left w:val="nil"/>
              <w:bottom w:val="single" w:color="auto" w:sz="4" w:space="0"/>
              <w:right w:val="single" w:color="auto" w:sz="4" w:space="0"/>
            </w:tcBorders>
            <w:shd w:val="clear" w:color="auto" w:fill="auto"/>
            <w:vAlign w:val="top"/>
          </w:tcPr>
          <w:p w14:paraId="14AEFB9E">
            <w:pPr>
              <w:keepNext w:val="0"/>
              <w:keepLines w:val="0"/>
              <w:widowControl w:val="0"/>
              <w:suppressLineNumbers w:val="0"/>
              <w:adjustRightInd w:val="0"/>
              <w:spacing w:before="0" w:beforeAutospacing="0" w:after="0" w:afterAutospacing="0" w:line="400" w:lineRule="exact"/>
              <w:ind w:left="0" w:right="0"/>
              <w:jc w:val="both"/>
              <w:rPr>
                <w:rFonts w:hint="eastAsia" w:ascii="宋体" w:hAnsi="宋体" w:eastAsia="宋体" w:cs="宋体"/>
                <w:color w:val="000000"/>
                <w:lang w:val="en-US"/>
              </w:rPr>
            </w:pPr>
            <w:r>
              <w:rPr>
                <w:rFonts w:hint="eastAsia" w:ascii="宋体" w:hAnsi="宋体" w:eastAsia="宋体" w:cs="宋体"/>
                <w:color w:val="000000"/>
                <w:kern w:val="2"/>
                <w:sz w:val="21"/>
                <w:szCs w:val="21"/>
                <w:lang w:val="en-US" w:eastAsia="zh-CN" w:bidi="ar"/>
              </w:rPr>
              <w:t>65</w:t>
            </w:r>
          </w:p>
        </w:tc>
      </w:tr>
    </w:tbl>
    <w:p w14:paraId="323CDF31">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olor w:val="000000"/>
          <w:spacing w:val="2"/>
          <w:sz w:val="30"/>
          <w:szCs w:val="30"/>
        </w:rPr>
      </w:pPr>
      <w:r>
        <w:rPr>
          <w:rFonts w:hint="eastAsia" w:ascii="仿宋_GB2312" w:hAnsi="仿宋_GB2312" w:eastAsia="仿宋_GB2312"/>
          <w:color w:val="000000"/>
          <w:spacing w:val="2"/>
          <w:sz w:val="30"/>
          <w:szCs w:val="30"/>
        </w:rPr>
        <w:t>图1  六堡茶风味随发酵程度和陈化时间变化而变化的规律模型</w:t>
      </w:r>
    </w:p>
    <w:p w14:paraId="50EAF8B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drawing>
          <wp:inline distT="0" distB="0" distL="114300" distR="114300">
            <wp:extent cx="5083810" cy="2186940"/>
            <wp:effectExtent l="0" t="0" r="2540" b="3810"/>
            <wp:docPr id="1" name="图片 1" descr="六堡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六堡茶图片"/>
                    <pic:cNvPicPr>
                      <a:picLocks noChangeAspect="1"/>
                    </pic:cNvPicPr>
                  </pic:nvPicPr>
                  <pic:blipFill>
                    <a:blip r:embed="rId5"/>
                    <a:stretch>
                      <a:fillRect/>
                    </a:stretch>
                  </pic:blipFill>
                  <pic:spPr>
                    <a:xfrm>
                      <a:off x="0" y="0"/>
                      <a:ext cx="5083810" cy="2186940"/>
                    </a:xfrm>
                    <a:prstGeom prst="rect">
                      <a:avLst/>
                    </a:prstGeom>
                  </pic:spPr>
                </pic:pic>
              </a:graphicData>
            </a:graphic>
          </wp:inline>
        </w:drawing>
      </w:r>
    </w:p>
    <w:p w14:paraId="6521569F">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二、</w:t>
      </w:r>
      <w:r>
        <w:rPr>
          <w:rFonts w:hint="eastAsia" w:ascii="仿宋_GB2312" w:hAnsi="仿宋_GB2312" w:eastAsia="仿宋_GB2312"/>
          <w:color w:val="000000"/>
          <w:spacing w:val="2"/>
          <w:sz w:val="32"/>
        </w:rPr>
        <w:t>基本模型解析</w:t>
      </w:r>
      <w:r>
        <w:rPr>
          <w:rFonts w:hint="eastAsia" w:ascii="仿宋_GB2312" w:hAnsi="仿宋_GB2312" w:eastAsia="仿宋_GB2312"/>
          <w:color w:val="000000"/>
          <w:spacing w:val="2"/>
          <w:sz w:val="32"/>
          <w:lang w:eastAsia="zh-CN"/>
        </w:rPr>
        <w:t>。主要参考起草单位主要起草人吴平</w:t>
      </w:r>
      <w:r>
        <w:rPr>
          <w:rFonts w:hint="eastAsia" w:ascii="仿宋_GB2312" w:hAnsi="仿宋_GB2312" w:eastAsia="仿宋_GB2312"/>
          <w:color w:val="000000"/>
          <w:spacing w:val="2"/>
          <w:sz w:val="32"/>
          <w:lang w:val="zh-CN" w:eastAsia="zh-CN"/>
        </w:rPr>
        <w:t>在《茶叶》杂志上发表的</w:t>
      </w:r>
      <w:r>
        <w:rPr>
          <w:rFonts w:hint="eastAsia" w:ascii="仿宋_GB2312" w:hAnsi="仿宋_GB2312" w:eastAsia="仿宋_GB2312"/>
          <w:color w:val="000000"/>
          <w:spacing w:val="2"/>
          <w:sz w:val="32"/>
          <w:lang w:eastAsia="zh-CN"/>
        </w:rPr>
        <w:t>文献《</w:t>
      </w:r>
      <w:r>
        <w:rPr>
          <w:rFonts w:hint="eastAsia" w:ascii="仿宋_GB2312" w:hAnsi="仿宋_GB2312" w:eastAsia="仿宋_GB2312"/>
          <w:color w:val="000000"/>
          <w:spacing w:val="2"/>
          <w:sz w:val="32"/>
          <w:lang w:val="zh-CN" w:eastAsia="zh-CN"/>
        </w:rPr>
        <w:t>六堡茶风味轮的构建及解析</w:t>
      </w:r>
      <w:r>
        <w:rPr>
          <w:rFonts w:hint="eastAsia" w:ascii="仿宋_GB2312" w:hAnsi="仿宋_GB2312" w:eastAsia="仿宋_GB2312"/>
          <w:color w:val="000000"/>
          <w:spacing w:val="2"/>
          <w:sz w:val="32"/>
          <w:lang w:eastAsia="zh-CN"/>
        </w:rPr>
        <w:t>》并总结的经验规律。</w:t>
      </w:r>
    </w:p>
    <w:p w14:paraId="17F0F34B">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（1）</w:t>
      </w:r>
      <w:r>
        <w:rPr>
          <w:rFonts w:hint="eastAsia" w:ascii="仿宋_GB2312" w:hAnsi="仿宋_GB2312" w:eastAsia="仿宋_GB2312"/>
          <w:color w:val="000000"/>
          <w:spacing w:val="2"/>
          <w:sz w:val="32"/>
          <w:lang w:eastAsia="zh-CN"/>
        </w:rPr>
        <w:t>干</w:t>
      </w:r>
      <w:r>
        <w:rPr>
          <w:rFonts w:hint="eastAsia" w:ascii="仿宋_GB2312" w:hAnsi="仿宋_GB2312" w:eastAsia="仿宋_GB2312"/>
          <w:color w:val="000000"/>
          <w:spacing w:val="2"/>
          <w:sz w:val="32"/>
        </w:rPr>
        <w:t>茶油润程度随陈化时间变化而变化的规律</w:t>
      </w:r>
    </w:p>
    <w:p w14:paraId="0A804924">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rPr>
        <w:t>发酵程度适度的六堡茶，陈化时间越长</w:t>
      </w:r>
      <w:r>
        <w:rPr>
          <w:rFonts w:hint="eastAsia" w:ascii="仿宋_GB2312" w:hAnsi="仿宋_GB2312" w:eastAsia="仿宋_GB2312"/>
          <w:color w:val="000000"/>
          <w:spacing w:val="2"/>
          <w:sz w:val="32"/>
          <w:lang w:eastAsia="zh-CN"/>
        </w:rPr>
        <w:t>，干茶</w:t>
      </w:r>
      <w:r>
        <w:rPr>
          <w:rFonts w:hint="eastAsia" w:ascii="仿宋_GB2312" w:hAnsi="仿宋_GB2312" w:eastAsia="仿宋_GB2312"/>
          <w:color w:val="000000"/>
          <w:spacing w:val="2"/>
          <w:sz w:val="32"/>
          <w:lang w:val="en-US" w:eastAsia="zh-CN"/>
        </w:rPr>
        <w:t>油</w:t>
      </w:r>
      <w:r>
        <w:rPr>
          <w:rFonts w:hint="eastAsia" w:ascii="仿宋_GB2312" w:hAnsi="仿宋_GB2312" w:eastAsia="仿宋_GB2312"/>
          <w:color w:val="000000"/>
          <w:spacing w:val="2"/>
          <w:sz w:val="32"/>
          <w:lang w:eastAsia="zh-CN"/>
        </w:rPr>
        <w:t>润</w:t>
      </w:r>
      <w:r>
        <w:rPr>
          <w:rFonts w:hint="eastAsia" w:ascii="仿宋_GB2312" w:hAnsi="仿宋_GB2312" w:eastAsia="仿宋_GB2312"/>
          <w:color w:val="000000"/>
          <w:spacing w:val="2"/>
          <w:sz w:val="32"/>
          <w:lang w:val="en-US" w:eastAsia="zh-CN"/>
        </w:rPr>
        <w:t>程度</w:t>
      </w:r>
      <w:r>
        <w:rPr>
          <w:rFonts w:hint="eastAsia" w:ascii="仿宋_GB2312" w:hAnsi="仿宋_GB2312" w:eastAsia="仿宋_GB2312"/>
          <w:color w:val="000000"/>
          <w:spacing w:val="2"/>
          <w:sz w:val="32"/>
        </w:rPr>
        <w:t>越</w:t>
      </w:r>
      <w:r>
        <w:rPr>
          <w:rFonts w:hint="eastAsia" w:ascii="仿宋_GB2312" w:hAnsi="仿宋_GB2312" w:eastAsia="仿宋_GB2312"/>
          <w:color w:val="000000"/>
          <w:spacing w:val="2"/>
          <w:sz w:val="32"/>
          <w:lang w:val="en-US" w:eastAsia="zh-CN"/>
        </w:rPr>
        <w:t>弱、红褐程度</w:t>
      </w:r>
      <w:r>
        <w:rPr>
          <w:rFonts w:hint="eastAsia" w:ascii="仿宋_GB2312" w:hAnsi="仿宋_GB2312" w:eastAsia="仿宋_GB2312"/>
          <w:color w:val="000000"/>
          <w:spacing w:val="2"/>
          <w:sz w:val="32"/>
        </w:rPr>
        <w:t>越</w:t>
      </w:r>
      <w:r>
        <w:rPr>
          <w:rFonts w:hint="eastAsia" w:ascii="仿宋_GB2312" w:hAnsi="仿宋_GB2312" w:eastAsia="仿宋_GB2312"/>
          <w:color w:val="000000"/>
          <w:spacing w:val="2"/>
          <w:sz w:val="32"/>
          <w:lang w:val="en-US" w:eastAsia="zh-CN"/>
        </w:rPr>
        <w:t>显。</w:t>
      </w:r>
    </w:p>
    <w:p w14:paraId="52B8D35A">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2）</w:t>
      </w:r>
      <w:r>
        <w:rPr>
          <w:rFonts w:hint="eastAsia" w:ascii="仿宋_GB2312" w:hAnsi="仿宋_GB2312" w:eastAsia="仿宋_GB2312"/>
          <w:color w:val="000000"/>
          <w:spacing w:val="2"/>
          <w:sz w:val="32"/>
          <w:lang w:eastAsia="zh-CN"/>
        </w:rPr>
        <w:t>干</w:t>
      </w:r>
      <w:r>
        <w:rPr>
          <w:rFonts w:hint="eastAsia" w:ascii="仿宋_GB2312" w:hAnsi="仿宋_GB2312" w:eastAsia="仿宋_GB2312"/>
          <w:color w:val="000000"/>
          <w:spacing w:val="2"/>
          <w:sz w:val="32"/>
        </w:rPr>
        <w:t>茶</w:t>
      </w:r>
      <w:r>
        <w:rPr>
          <w:rFonts w:hint="eastAsia" w:ascii="仿宋_GB2312" w:hAnsi="仿宋_GB2312" w:eastAsia="仿宋_GB2312"/>
          <w:color w:val="000000"/>
          <w:spacing w:val="2"/>
          <w:sz w:val="32"/>
          <w:lang w:eastAsia="zh-CN"/>
        </w:rPr>
        <w:t>红褐</w:t>
      </w:r>
      <w:r>
        <w:rPr>
          <w:rFonts w:hint="eastAsia" w:ascii="仿宋_GB2312" w:hAnsi="仿宋_GB2312" w:eastAsia="仿宋_GB2312"/>
          <w:color w:val="000000"/>
          <w:spacing w:val="2"/>
          <w:sz w:val="32"/>
        </w:rPr>
        <w:t>程度随陈化时间变化而变化的规律</w:t>
      </w:r>
    </w:p>
    <w:p w14:paraId="5B24B39D">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发酵程度适度的六堡茶，陈化时间越长</w:t>
      </w:r>
      <w:r>
        <w:rPr>
          <w:rFonts w:hint="eastAsia" w:ascii="仿宋_GB2312" w:hAnsi="仿宋_GB2312" w:eastAsia="仿宋_GB2312"/>
          <w:color w:val="000000"/>
          <w:spacing w:val="2"/>
          <w:sz w:val="32"/>
          <w:lang w:eastAsia="zh-CN"/>
        </w:rPr>
        <w:t>，干茶</w:t>
      </w:r>
      <w:r>
        <w:rPr>
          <w:rFonts w:hint="eastAsia" w:ascii="仿宋_GB2312" w:hAnsi="仿宋_GB2312" w:eastAsia="仿宋_GB2312"/>
          <w:color w:val="000000"/>
          <w:spacing w:val="2"/>
          <w:sz w:val="32"/>
          <w:lang w:val="en-US" w:eastAsia="zh-CN"/>
        </w:rPr>
        <w:t>油</w:t>
      </w:r>
      <w:r>
        <w:rPr>
          <w:rFonts w:hint="eastAsia" w:ascii="仿宋_GB2312" w:hAnsi="仿宋_GB2312" w:eastAsia="仿宋_GB2312"/>
          <w:color w:val="000000"/>
          <w:spacing w:val="2"/>
          <w:sz w:val="32"/>
          <w:lang w:eastAsia="zh-CN"/>
        </w:rPr>
        <w:t>润</w:t>
      </w:r>
      <w:r>
        <w:rPr>
          <w:rFonts w:hint="eastAsia" w:ascii="仿宋_GB2312" w:hAnsi="仿宋_GB2312" w:eastAsia="仿宋_GB2312"/>
          <w:color w:val="000000"/>
          <w:spacing w:val="2"/>
          <w:sz w:val="32"/>
          <w:lang w:val="en-US" w:eastAsia="zh-CN"/>
        </w:rPr>
        <w:t>程度</w:t>
      </w:r>
      <w:r>
        <w:rPr>
          <w:rFonts w:hint="eastAsia" w:ascii="仿宋_GB2312" w:hAnsi="仿宋_GB2312" w:eastAsia="仿宋_GB2312"/>
          <w:color w:val="000000"/>
          <w:spacing w:val="2"/>
          <w:sz w:val="32"/>
        </w:rPr>
        <w:t>越</w:t>
      </w:r>
      <w:r>
        <w:rPr>
          <w:rFonts w:hint="eastAsia" w:ascii="仿宋_GB2312" w:hAnsi="仿宋_GB2312" w:eastAsia="仿宋_GB2312"/>
          <w:color w:val="000000"/>
          <w:spacing w:val="2"/>
          <w:sz w:val="32"/>
          <w:lang w:val="en-US" w:eastAsia="zh-CN"/>
        </w:rPr>
        <w:t>弱、红褐程度</w:t>
      </w:r>
      <w:r>
        <w:rPr>
          <w:rFonts w:hint="eastAsia" w:ascii="仿宋_GB2312" w:hAnsi="仿宋_GB2312" w:eastAsia="仿宋_GB2312"/>
          <w:color w:val="000000"/>
          <w:spacing w:val="2"/>
          <w:sz w:val="32"/>
        </w:rPr>
        <w:t>越</w:t>
      </w:r>
      <w:r>
        <w:rPr>
          <w:rFonts w:hint="eastAsia" w:ascii="仿宋_GB2312" w:hAnsi="仿宋_GB2312" w:eastAsia="仿宋_GB2312"/>
          <w:color w:val="000000"/>
          <w:spacing w:val="2"/>
          <w:sz w:val="32"/>
          <w:lang w:val="en-US" w:eastAsia="zh-CN"/>
        </w:rPr>
        <w:t>显。</w:t>
      </w:r>
    </w:p>
    <w:p w14:paraId="63C045D0">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（3）</w:t>
      </w:r>
      <w:r>
        <w:rPr>
          <w:rFonts w:hint="eastAsia" w:ascii="仿宋_GB2312" w:hAnsi="仿宋_GB2312" w:eastAsia="仿宋_GB2312"/>
          <w:color w:val="000000"/>
          <w:spacing w:val="2"/>
          <w:sz w:val="32"/>
          <w:lang w:eastAsia="zh-CN"/>
        </w:rPr>
        <w:t>干</w:t>
      </w:r>
      <w:r>
        <w:rPr>
          <w:rFonts w:hint="eastAsia" w:ascii="仿宋_GB2312" w:hAnsi="仿宋_GB2312" w:eastAsia="仿宋_GB2312"/>
          <w:color w:val="000000"/>
          <w:spacing w:val="2"/>
          <w:sz w:val="32"/>
        </w:rPr>
        <w:t>茶</w:t>
      </w:r>
      <w:r>
        <w:rPr>
          <w:rFonts w:hint="eastAsia" w:ascii="仿宋_GB2312" w:hAnsi="仿宋_GB2312" w:eastAsia="仿宋_GB2312"/>
          <w:color w:val="000000"/>
          <w:spacing w:val="2"/>
          <w:sz w:val="32"/>
          <w:lang w:eastAsia="zh-CN"/>
        </w:rPr>
        <w:t>香气</w:t>
      </w:r>
      <w:r>
        <w:rPr>
          <w:rFonts w:hint="eastAsia" w:ascii="仿宋_GB2312" w:hAnsi="仿宋_GB2312" w:eastAsia="仿宋_GB2312"/>
          <w:color w:val="000000"/>
          <w:spacing w:val="2"/>
          <w:sz w:val="32"/>
        </w:rPr>
        <w:t>随陈化时间变化而变化的规律</w:t>
      </w:r>
    </w:p>
    <w:p w14:paraId="55750EA9">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对于发酵程度适度的六堡茶，陈化时间越长，新茶香中的大部分香气、滋味越减弱，但醇和味、甜味却相对突显；汽蒸工艺香、味变化不明显；而陈茶的香气、滋味越增强、丰富；陈化时间在</w:t>
      </w:r>
      <w:r>
        <w:rPr>
          <w:rFonts w:hint="eastAsia" w:ascii="仿宋_GB2312" w:hAnsi="仿宋_GB2312" w:eastAsia="仿宋_GB2312"/>
          <w:color w:val="000000"/>
          <w:spacing w:val="2"/>
          <w:sz w:val="32"/>
          <w:lang w:val="en-US" w:eastAsia="zh-CN"/>
        </w:rPr>
        <w:t>15</w:t>
      </w:r>
      <w:r>
        <w:rPr>
          <w:rFonts w:hint="eastAsia" w:ascii="仿宋_GB2312" w:hAnsi="仿宋_GB2312" w:eastAsia="仿宋_GB2312"/>
          <w:color w:val="000000"/>
          <w:spacing w:val="2"/>
          <w:sz w:val="32"/>
        </w:rPr>
        <w:t>年～</w:t>
      </w:r>
      <w:r>
        <w:rPr>
          <w:rFonts w:hint="eastAsia" w:ascii="仿宋_GB2312" w:hAnsi="仿宋_GB2312" w:eastAsia="仿宋_GB2312"/>
          <w:color w:val="000000"/>
          <w:spacing w:val="2"/>
          <w:sz w:val="32"/>
          <w:lang w:val="en-US" w:eastAsia="zh-CN"/>
        </w:rPr>
        <w:t>20</w:t>
      </w:r>
      <w:r>
        <w:rPr>
          <w:rFonts w:hint="eastAsia" w:ascii="仿宋_GB2312" w:hAnsi="仿宋_GB2312" w:eastAsia="仿宋_GB2312"/>
          <w:color w:val="000000"/>
          <w:spacing w:val="2"/>
          <w:sz w:val="32"/>
        </w:rPr>
        <w:t>年，茶香气和滋味达到最高峰，是最佳适饮期。对于发酵程度偏浅的六堡茶，茶香气和滋味达到最高峰的时间会适当延后；对于发酵程度偏深的六堡茶，茶香气和滋味达到最高峰的时间会适当提前。</w:t>
      </w:r>
    </w:p>
    <w:p w14:paraId="0ED4F974">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（4）</w:t>
      </w:r>
      <w:r>
        <w:rPr>
          <w:rFonts w:hint="eastAsia" w:ascii="仿宋_GB2312" w:hAnsi="仿宋_GB2312" w:eastAsia="仿宋_GB2312"/>
          <w:color w:val="000000"/>
          <w:spacing w:val="2"/>
          <w:sz w:val="32"/>
        </w:rPr>
        <w:t>汤</w:t>
      </w:r>
      <w:r>
        <w:rPr>
          <w:rFonts w:hint="eastAsia" w:ascii="仿宋_GB2312" w:hAnsi="仿宋_GB2312" w:eastAsia="仿宋_GB2312"/>
          <w:color w:val="000000"/>
          <w:spacing w:val="2"/>
          <w:sz w:val="32"/>
          <w:lang w:eastAsia="zh-CN"/>
        </w:rPr>
        <w:t>面香气</w:t>
      </w:r>
      <w:r>
        <w:rPr>
          <w:rFonts w:hint="eastAsia" w:ascii="仿宋_GB2312" w:hAnsi="仿宋_GB2312" w:eastAsia="仿宋_GB2312"/>
          <w:color w:val="000000"/>
          <w:spacing w:val="2"/>
          <w:sz w:val="32"/>
        </w:rPr>
        <w:t>随陈化时间变化而变化的规律</w:t>
      </w:r>
    </w:p>
    <w:p w14:paraId="30637FE1">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w:t>
      </w:r>
      <w:r>
        <w:rPr>
          <w:rFonts w:hint="eastAsia" w:ascii="仿宋_GB2312" w:hAnsi="仿宋_GB2312" w:eastAsia="仿宋_GB2312"/>
          <w:color w:val="000000"/>
          <w:spacing w:val="2"/>
          <w:sz w:val="32"/>
          <w:lang w:eastAsia="zh-CN"/>
        </w:rPr>
        <w:t>约</w:t>
      </w:r>
      <w:r>
        <w:rPr>
          <w:rFonts w:hint="eastAsia" w:ascii="仿宋_GB2312" w:hAnsi="仿宋_GB2312" w:eastAsia="仿宋_GB2312"/>
          <w:color w:val="000000"/>
          <w:spacing w:val="2"/>
          <w:sz w:val="32"/>
        </w:rPr>
        <w:t>在15年～20年时，汤面香气的丰富度、持久度达到最高峰；对于发酵程度偏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的六堡茶，汤面香气达到最高峰的时间会</w:t>
      </w:r>
      <w:r>
        <w:rPr>
          <w:rFonts w:hint="eastAsia" w:ascii="仿宋_GB2312" w:hAnsi="仿宋_GB2312" w:eastAsia="仿宋_GB2312"/>
          <w:color w:val="000000"/>
          <w:spacing w:val="2"/>
          <w:sz w:val="32"/>
          <w:lang w:eastAsia="zh-CN"/>
        </w:rPr>
        <w:t>随之推迟</w:t>
      </w:r>
      <w:r>
        <w:rPr>
          <w:rFonts w:hint="eastAsia" w:ascii="仿宋_GB2312" w:hAnsi="仿宋_GB2312" w:eastAsia="仿宋_GB2312"/>
          <w:color w:val="000000"/>
          <w:spacing w:val="2"/>
          <w:sz w:val="32"/>
        </w:rPr>
        <w:t>；对于发酵程度偏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的六堡茶，汤面香气达到最高峰的时间会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w:t>
      </w:r>
    </w:p>
    <w:p w14:paraId="1FA8E7D2">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5）</w:t>
      </w:r>
      <w:r>
        <w:rPr>
          <w:rFonts w:hint="eastAsia" w:ascii="仿宋_GB2312" w:hAnsi="仿宋_GB2312" w:eastAsia="仿宋_GB2312"/>
          <w:color w:val="000000"/>
          <w:spacing w:val="2"/>
          <w:sz w:val="32"/>
          <w:lang w:eastAsia="zh-CN"/>
        </w:rPr>
        <w:t>叶底</w:t>
      </w:r>
      <w:r>
        <w:rPr>
          <w:rFonts w:hint="eastAsia" w:ascii="仿宋_GB2312" w:hAnsi="仿宋_GB2312" w:eastAsia="仿宋_GB2312"/>
          <w:color w:val="000000"/>
          <w:spacing w:val="2"/>
          <w:sz w:val="32"/>
        </w:rPr>
        <w:t>香气随陈化时间变化而变化的规律</w:t>
      </w:r>
    </w:p>
    <w:p w14:paraId="0C9CC23F">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对于发酵程度适度的六堡茶，陈化时间越长，大部分新茶香气越减弱；汽蒸工艺香变化不明显；而陈茶的香气越</w:t>
      </w:r>
      <w:r>
        <w:rPr>
          <w:rFonts w:hint="eastAsia" w:ascii="仿宋_GB2312" w:hAnsi="仿宋_GB2312" w:eastAsia="仿宋_GB2312"/>
          <w:color w:val="000000"/>
          <w:spacing w:val="2"/>
          <w:sz w:val="32"/>
          <w:lang w:eastAsia="zh-CN"/>
        </w:rPr>
        <w:t>显</w:t>
      </w:r>
      <w:r>
        <w:rPr>
          <w:rFonts w:hint="eastAsia" w:ascii="仿宋_GB2312" w:hAnsi="仿宋_GB2312" w:eastAsia="仿宋_GB2312"/>
          <w:color w:val="000000"/>
          <w:spacing w:val="2"/>
          <w:sz w:val="32"/>
        </w:rPr>
        <w:t>、越丰富；陈化时间</w:t>
      </w:r>
      <w:r>
        <w:rPr>
          <w:rFonts w:hint="eastAsia" w:ascii="仿宋_GB2312" w:hAnsi="仿宋_GB2312" w:eastAsia="仿宋_GB2312"/>
          <w:color w:val="000000"/>
          <w:spacing w:val="2"/>
          <w:sz w:val="32"/>
          <w:lang w:eastAsia="zh-CN"/>
        </w:rPr>
        <w:t>约</w:t>
      </w:r>
      <w:r>
        <w:rPr>
          <w:rFonts w:hint="eastAsia" w:ascii="仿宋_GB2312" w:hAnsi="仿宋_GB2312" w:eastAsia="仿宋_GB2312"/>
          <w:color w:val="000000"/>
          <w:spacing w:val="2"/>
          <w:sz w:val="32"/>
        </w:rPr>
        <w:t>在15年～20年，茶香气达到最高峰，是最佳适饮期</w:t>
      </w: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rPr>
        <w:t>对于发酵程度偏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的六堡茶，茶香气达到最高峰的时间会</w:t>
      </w:r>
      <w:r>
        <w:rPr>
          <w:rFonts w:hint="eastAsia" w:ascii="仿宋_GB2312" w:hAnsi="仿宋_GB2312" w:eastAsia="仿宋_GB2312"/>
          <w:color w:val="000000"/>
          <w:spacing w:val="2"/>
          <w:sz w:val="32"/>
          <w:lang w:eastAsia="zh-CN"/>
        </w:rPr>
        <w:t>随之推迟</w:t>
      </w:r>
      <w:r>
        <w:rPr>
          <w:rFonts w:hint="eastAsia" w:ascii="仿宋_GB2312" w:hAnsi="仿宋_GB2312" w:eastAsia="仿宋_GB2312"/>
          <w:color w:val="000000"/>
          <w:spacing w:val="2"/>
          <w:sz w:val="32"/>
        </w:rPr>
        <w:t>；对于发酵程度偏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的六堡茶，茶香气达到最高峰的时间会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w:t>
      </w:r>
    </w:p>
    <w:p w14:paraId="31BD8405">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（6）</w:t>
      </w:r>
      <w:r>
        <w:rPr>
          <w:rFonts w:hint="eastAsia" w:ascii="仿宋_GB2312" w:hAnsi="仿宋_GB2312" w:eastAsia="仿宋_GB2312"/>
          <w:color w:val="000000"/>
          <w:spacing w:val="2"/>
          <w:sz w:val="32"/>
          <w:lang w:eastAsia="zh-CN"/>
        </w:rPr>
        <w:t>汤</w:t>
      </w:r>
      <w:r>
        <w:rPr>
          <w:rFonts w:hint="eastAsia" w:ascii="仿宋_GB2312" w:hAnsi="仿宋_GB2312" w:eastAsia="仿宋_GB2312"/>
          <w:color w:val="000000"/>
          <w:spacing w:val="2"/>
          <w:sz w:val="32"/>
        </w:rPr>
        <w:t>滋味随陈化时间变化而变化的规律</w:t>
      </w:r>
    </w:p>
    <w:p w14:paraId="16F7797E">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对于发酵程度适度的六堡茶，陈化时间越长，大部分新茶滋味越减弱，但醇和味、甜味却相对突显；汽蒸工艺味变化不明显；而陈茶的滋味越增强、丰富；陈化时间</w:t>
      </w:r>
      <w:r>
        <w:rPr>
          <w:rFonts w:hint="eastAsia" w:ascii="仿宋_GB2312" w:hAnsi="仿宋_GB2312" w:eastAsia="仿宋_GB2312"/>
          <w:color w:val="000000"/>
          <w:spacing w:val="2"/>
          <w:sz w:val="32"/>
          <w:lang w:eastAsia="zh-CN"/>
        </w:rPr>
        <w:t>约</w:t>
      </w:r>
      <w:r>
        <w:rPr>
          <w:rFonts w:hint="eastAsia" w:ascii="仿宋_GB2312" w:hAnsi="仿宋_GB2312" w:eastAsia="仿宋_GB2312"/>
          <w:color w:val="000000"/>
          <w:spacing w:val="2"/>
          <w:sz w:val="32"/>
        </w:rPr>
        <w:t>在15年～20年，茶滋味达到最高峰，是最佳适饮期</w:t>
      </w: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rPr>
        <w:t>对于发酵程度偏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的六堡茶，茶滋味达到最高峰的时间会</w:t>
      </w:r>
      <w:r>
        <w:rPr>
          <w:rFonts w:hint="eastAsia" w:ascii="仿宋_GB2312" w:hAnsi="仿宋_GB2312" w:eastAsia="仿宋_GB2312"/>
          <w:color w:val="000000"/>
          <w:spacing w:val="2"/>
          <w:sz w:val="32"/>
          <w:lang w:eastAsia="zh-CN"/>
        </w:rPr>
        <w:t>随之推迟</w:t>
      </w:r>
      <w:r>
        <w:rPr>
          <w:rFonts w:hint="eastAsia" w:ascii="仿宋_GB2312" w:hAnsi="仿宋_GB2312" w:eastAsia="仿宋_GB2312"/>
          <w:color w:val="000000"/>
          <w:spacing w:val="2"/>
          <w:sz w:val="32"/>
        </w:rPr>
        <w:t>；对于发酵程度偏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的六堡茶，茶滋味达到最高峰的时间会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w:t>
      </w:r>
    </w:p>
    <w:p w14:paraId="2EB688D6">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7）</w:t>
      </w:r>
      <w:r>
        <w:rPr>
          <w:rFonts w:hint="eastAsia" w:ascii="仿宋_GB2312" w:hAnsi="仿宋_GB2312" w:eastAsia="仿宋_GB2312"/>
          <w:color w:val="000000"/>
          <w:spacing w:val="2"/>
          <w:sz w:val="32"/>
        </w:rPr>
        <w:t>空杯留香随陈化时间变化而变化的规律</w:t>
      </w:r>
    </w:p>
    <w:p w14:paraId="3B486C98">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w:t>
      </w:r>
      <w:r>
        <w:rPr>
          <w:rFonts w:hint="eastAsia" w:ascii="仿宋_GB2312" w:hAnsi="仿宋_GB2312" w:eastAsia="仿宋_GB2312"/>
          <w:color w:val="000000"/>
          <w:spacing w:val="2"/>
          <w:sz w:val="32"/>
          <w:lang w:eastAsia="zh-CN"/>
        </w:rPr>
        <w:t>约</w:t>
      </w:r>
      <w:r>
        <w:rPr>
          <w:rFonts w:hint="eastAsia" w:ascii="仿宋_GB2312" w:hAnsi="仿宋_GB2312" w:eastAsia="仿宋_GB2312"/>
          <w:color w:val="000000"/>
          <w:spacing w:val="2"/>
          <w:sz w:val="32"/>
        </w:rPr>
        <w:t>在15年～20年时，空杯留香的丰富度、持久度达到最高峰；对于发酵程度偏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的六堡茶，空杯留香达到最高峰的时间会</w:t>
      </w:r>
      <w:r>
        <w:rPr>
          <w:rFonts w:hint="eastAsia" w:ascii="仿宋_GB2312" w:hAnsi="仿宋_GB2312" w:eastAsia="仿宋_GB2312"/>
          <w:color w:val="000000"/>
          <w:spacing w:val="2"/>
          <w:sz w:val="32"/>
          <w:lang w:eastAsia="zh-CN"/>
        </w:rPr>
        <w:t>随之推迟</w:t>
      </w:r>
      <w:r>
        <w:rPr>
          <w:rFonts w:hint="eastAsia" w:ascii="仿宋_GB2312" w:hAnsi="仿宋_GB2312" w:eastAsia="仿宋_GB2312"/>
          <w:color w:val="000000"/>
          <w:spacing w:val="2"/>
          <w:sz w:val="32"/>
        </w:rPr>
        <w:t>；对于发酵程度偏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的六堡茶，空杯留香达到最高峰的时间会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w:t>
      </w:r>
    </w:p>
    <w:p w14:paraId="79C0B3BA">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（8）</w:t>
      </w:r>
      <w:r>
        <w:rPr>
          <w:rFonts w:hint="eastAsia" w:ascii="仿宋_GB2312" w:hAnsi="仿宋_GB2312" w:eastAsia="仿宋_GB2312"/>
          <w:color w:val="000000"/>
          <w:spacing w:val="2"/>
          <w:sz w:val="32"/>
        </w:rPr>
        <w:t>汤色随陈化时间变化而变化的规律</w:t>
      </w:r>
    </w:p>
    <w:p w14:paraId="08423C24">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对于发酵程度适中的六堡茶，陈化时间越长，茶汤中的红色越深、 紫红色越明显，在15年-20年达到高峰期，此后茶汤中的红色趋于变浅。对于发酵程度偏浅的六堡茶，汤色变深红、紫红的时间会慢些，高峰期过后红色变浅的时间也会迟些；对于发酵程度偏深的六堡茶，则正好相反</w:t>
      </w:r>
      <w:r>
        <w:rPr>
          <w:rFonts w:hint="eastAsia" w:ascii="仿宋_GB2312" w:hAnsi="仿宋_GB2312" w:eastAsia="仿宋_GB2312"/>
          <w:color w:val="000000"/>
          <w:spacing w:val="2"/>
          <w:sz w:val="32"/>
        </w:rPr>
        <w:t>。</w:t>
      </w:r>
    </w:p>
    <w:p w14:paraId="47AAA844">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9）</w:t>
      </w:r>
      <w:r>
        <w:rPr>
          <w:rFonts w:hint="eastAsia" w:ascii="仿宋_GB2312" w:hAnsi="仿宋_GB2312" w:eastAsia="仿宋_GB2312"/>
          <w:color w:val="000000"/>
          <w:spacing w:val="2"/>
          <w:sz w:val="32"/>
        </w:rPr>
        <w:t>韵味随陈化时间变化而变化的规律</w:t>
      </w:r>
    </w:p>
    <w:p w14:paraId="6C47AFA5">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val="en-US" w:eastAsia="zh-CN"/>
        </w:rPr>
        <w:t>对于发酵程度适度的六堡茶，陈化时间在15年～20年，茶韵的均衡感、协调感、舒畅感、细腻感、悠长感等均达到最佳；发酵程度偏浅的茶，达到最佳的时间会适当推迟；而发酵程度偏深的茶，达到最佳的时间会适当提前。</w:t>
      </w:r>
    </w:p>
    <w:p w14:paraId="63C243A4">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10）</w:t>
      </w:r>
      <w:r>
        <w:rPr>
          <w:rFonts w:hint="eastAsia" w:ascii="仿宋_GB2312" w:hAnsi="仿宋_GB2312" w:eastAsia="仿宋_GB2312"/>
          <w:color w:val="000000"/>
          <w:spacing w:val="2"/>
          <w:sz w:val="32"/>
        </w:rPr>
        <w:t>滋味厚度随陈化时间变化而变化的规律</w:t>
      </w:r>
    </w:p>
    <w:p w14:paraId="01D25BD2">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无论何种发酵程度的六堡茶，滋味厚度都随着陈化时间延长而下降。</w:t>
      </w:r>
    </w:p>
    <w:p w14:paraId="0171F3FF">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11）</w:t>
      </w:r>
      <w:r>
        <w:rPr>
          <w:rFonts w:hint="eastAsia" w:ascii="仿宋_GB2312" w:hAnsi="仿宋_GB2312" w:eastAsia="仿宋_GB2312"/>
          <w:color w:val="000000"/>
          <w:spacing w:val="2"/>
          <w:sz w:val="32"/>
          <w:lang w:eastAsia="zh-CN"/>
        </w:rPr>
        <w:t>汤面</w:t>
      </w:r>
      <w:r>
        <w:rPr>
          <w:rFonts w:hint="eastAsia" w:ascii="仿宋_GB2312" w:hAnsi="仿宋_GB2312" w:eastAsia="仿宋_GB2312"/>
          <w:color w:val="000000"/>
          <w:spacing w:val="2"/>
          <w:sz w:val="32"/>
        </w:rPr>
        <w:t>炭化气随陈化时间变化而变化的规律</w:t>
      </w:r>
    </w:p>
    <w:p w14:paraId="6B61D41B">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对于发酵程度适度的六堡茶，陈化时间在接近15年时，会出现炭化气味；</w:t>
      </w:r>
      <w:r>
        <w:rPr>
          <w:rFonts w:hint="eastAsia" w:ascii="仿宋_GB2312" w:hAnsi="仿宋_GB2312" w:eastAsia="仿宋_GB2312"/>
          <w:color w:val="000000"/>
          <w:spacing w:val="2"/>
          <w:sz w:val="32"/>
          <w:lang w:val="en-US" w:eastAsia="zh-CN"/>
        </w:rPr>
        <w:t>对于</w:t>
      </w:r>
      <w:r>
        <w:rPr>
          <w:rFonts w:hint="eastAsia" w:ascii="仿宋_GB2312" w:hAnsi="仿宋_GB2312" w:eastAsia="仿宋_GB2312"/>
          <w:color w:val="000000"/>
          <w:spacing w:val="2"/>
          <w:sz w:val="32"/>
        </w:rPr>
        <w:t>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的茶，出现炭化气味的时间会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推迟；</w:t>
      </w:r>
      <w:r>
        <w:rPr>
          <w:rFonts w:hint="eastAsia" w:ascii="仿宋_GB2312" w:hAnsi="仿宋_GB2312" w:eastAsia="仿宋_GB2312"/>
          <w:color w:val="000000"/>
          <w:spacing w:val="2"/>
          <w:sz w:val="32"/>
          <w:lang w:eastAsia="zh-CN"/>
        </w:rPr>
        <w:t>对于</w:t>
      </w:r>
      <w:r>
        <w:rPr>
          <w:rFonts w:hint="eastAsia" w:ascii="仿宋_GB2312" w:hAnsi="仿宋_GB2312" w:eastAsia="仿宋_GB2312"/>
          <w:color w:val="000000"/>
          <w:spacing w:val="2"/>
          <w:sz w:val="32"/>
        </w:rPr>
        <w:t>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的茶，出现炭化气味的时间会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提前；汤出现炭化气味后，会随着随陈化时间的延长而愈加明显。</w:t>
      </w:r>
    </w:p>
    <w:p w14:paraId="2014F63F">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12）</w:t>
      </w:r>
      <w:r>
        <w:rPr>
          <w:rFonts w:hint="eastAsia" w:ascii="仿宋_GB2312" w:hAnsi="仿宋_GB2312" w:eastAsia="仿宋_GB2312"/>
          <w:color w:val="000000"/>
          <w:spacing w:val="2"/>
          <w:sz w:val="32"/>
          <w:lang w:eastAsia="zh-CN"/>
        </w:rPr>
        <w:t>汤中</w:t>
      </w:r>
      <w:r>
        <w:rPr>
          <w:rFonts w:hint="eastAsia" w:ascii="仿宋_GB2312" w:hAnsi="仿宋_GB2312" w:eastAsia="仿宋_GB2312"/>
          <w:color w:val="000000"/>
          <w:spacing w:val="2"/>
          <w:sz w:val="32"/>
        </w:rPr>
        <w:t>炭化味随陈化时间变化而变化的规律</w:t>
      </w:r>
    </w:p>
    <w:p w14:paraId="2FB24845">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对于发酵程度适度的六堡茶，陈化时间在接近15年时，会出现炭化气味；</w:t>
      </w:r>
      <w:r>
        <w:rPr>
          <w:rFonts w:hint="eastAsia" w:ascii="仿宋_GB2312" w:hAnsi="仿宋_GB2312" w:eastAsia="仿宋_GB2312"/>
          <w:color w:val="000000"/>
          <w:spacing w:val="2"/>
          <w:sz w:val="32"/>
          <w:lang w:val="en-US" w:eastAsia="zh-CN"/>
        </w:rPr>
        <w:t>对于</w:t>
      </w:r>
      <w:r>
        <w:rPr>
          <w:rFonts w:hint="eastAsia" w:ascii="仿宋_GB2312" w:hAnsi="仿宋_GB2312" w:eastAsia="仿宋_GB2312"/>
          <w:color w:val="000000"/>
          <w:spacing w:val="2"/>
          <w:sz w:val="32"/>
        </w:rPr>
        <w:t>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的茶，出现炭化气味的时间会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推迟；</w:t>
      </w:r>
      <w:r>
        <w:rPr>
          <w:rFonts w:hint="eastAsia" w:ascii="仿宋_GB2312" w:hAnsi="仿宋_GB2312" w:eastAsia="仿宋_GB2312"/>
          <w:color w:val="000000"/>
          <w:spacing w:val="2"/>
          <w:sz w:val="32"/>
          <w:lang w:eastAsia="zh-CN"/>
        </w:rPr>
        <w:t>对于</w:t>
      </w:r>
      <w:r>
        <w:rPr>
          <w:rFonts w:hint="eastAsia" w:ascii="仿宋_GB2312" w:hAnsi="仿宋_GB2312" w:eastAsia="仿宋_GB2312"/>
          <w:color w:val="000000"/>
          <w:spacing w:val="2"/>
          <w:sz w:val="32"/>
        </w:rPr>
        <w:t>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的茶，出现炭化气味的时间会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提前；汤出现炭化气味后，会随着随陈化的时间延长而愈加明显。</w:t>
      </w:r>
    </w:p>
    <w:p w14:paraId="2011F1FF">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13）</w:t>
      </w:r>
      <w:r>
        <w:rPr>
          <w:rFonts w:hint="eastAsia" w:ascii="仿宋_GB2312" w:hAnsi="仿宋_GB2312" w:eastAsia="仿宋_GB2312"/>
          <w:color w:val="000000"/>
          <w:spacing w:val="2"/>
          <w:sz w:val="32"/>
        </w:rPr>
        <w:t>汤底微炭粒随陈化时间变化而变化的规律</w:t>
      </w:r>
    </w:p>
    <w:p w14:paraId="01328278">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rPr>
        <w:t>对于发酵程度适度的六堡茶，陈化时间在接近15年时，汤底会出现肉眼可见的微炭粒；</w:t>
      </w:r>
      <w:r>
        <w:rPr>
          <w:rFonts w:hint="eastAsia" w:ascii="仿宋_GB2312" w:hAnsi="仿宋_GB2312" w:eastAsia="仿宋_GB2312"/>
          <w:color w:val="000000"/>
          <w:spacing w:val="2"/>
          <w:sz w:val="32"/>
          <w:lang w:val="en-US" w:eastAsia="zh-CN"/>
        </w:rPr>
        <w:t>对于</w:t>
      </w:r>
      <w:r>
        <w:rPr>
          <w:rFonts w:hint="eastAsia" w:ascii="仿宋_GB2312" w:hAnsi="仿宋_GB2312" w:eastAsia="仿宋_GB2312"/>
          <w:color w:val="000000"/>
          <w:spacing w:val="2"/>
          <w:sz w:val="32"/>
        </w:rPr>
        <w:t>发酵程度偏</w:t>
      </w:r>
      <w:r>
        <w:rPr>
          <w:rFonts w:hint="eastAsia" w:ascii="仿宋_GB2312" w:hAnsi="仿宋_GB2312" w:eastAsia="仿宋_GB2312"/>
          <w:color w:val="000000"/>
          <w:spacing w:val="2"/>
          <w:sz w:val="32"/>
          <w:lang w:eastAsia="zh-CN"/>
        </w:rPr>
        <w:t>轻</w:t>
      </w:r>
      <w:r>
        <w:rPr>
          <w:rFonts w:hint="eastAsia" w:ascii="仿宋_GB2312" w:hAnsi="仿宋_GB2312" w:eastAsia="仿宋_GB2312"/>
          <w:color w:val="000000"/>
          <w:spacing w:val="2"/>
          <w:sz w:val="32"/>
        </w:rPr>
        <w:t>的茶，汤底出现肉眼可见的微炭粒的时间会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推迟；</w:t>
      </w:r>
      <w:r>
        <w:rPr>
          <w:rFonts w:hint="eastAsia" w:ascii="仿宋_GB2312" w:hAnsi="仿宋_GB2312" w:eastAsia="仿宋_GB2312"/>
          <w:color w:val="000000"/>
          <w:spacing w:val="2"/>
          <w:sz w:val="32"/>
          <w:lang w:val="en-US" w:eastAsia="zh-CN"/>
        </w:rPr>
        <w:t>对于</w:t>
      </w:r>
      <w:r>
        <w:rPr>
          <w:rFonts w:hint="eastAsia" w:ascii="仿宋_GB2312" w:hAnsi="仿宋_GB2312" w:eastAsia="仿宋_GB2312"/>
          <w:color w:val="000000"/>
          <w:spacing w:val="2"/>
          <w:sz w:val="32"/>
        </w:rPr>
        <w:t>发酵程度偏</w:t>
      </w:r>
      <w:r>
        <w:rPr>
          <w:rFonts w:hint="eastAsia" w:ascii="仿宋_GB2312" w:hAnsi="仿宋_GB2312" w:eastAsia="仿宋_GB2312"/>
          <w:color w:val="000000"/>
          <w:spacing w:val="2"/>
          <w:sz w:val="32"/>
          <w:lang w:eastAsia="zh-CN"/>
        </w:rPr>
        <w:t>重</w:t>
      </w:r>
      <w:r>
        <w:rPr>
          <w:rFonts w:hint="eastAsia" w:ascii="仿宋_GB2312" w:hAnsi="仿宋_GB2312" w:eastAsia="仿宋_GB2312"/>
          <w:color w:val="000000"/>
          <w:spacing w:val="2"/>
          <w:sz w:val="32"/>
        </w:rPr>
        <w:t>的茶，汤底会出现肉眼可见的微炭粒的时间会</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提前；汤底出现肉眼可见的微炭粒后，会随着随陈化时间的延长而愈加明显。</w:t>
      </w:r>
    </w:p>
    <w:p w14:paraId="669160E8">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rPr>
        <w:t>1</w:t>
      </w:r>
      <w:r>
        <w:rPr>
          <w:rFonts w:hint="eastAsia" w:ascii="仿宋_GB2312" w:hAnsi="仿宋_GB2312" w:eastAsia="仿宋_GB2312"/>
          <w:color w:val="000000"/>
          <w:spacing w:val="2"/>
          <w:sz w:val="32"/>
          <w:lang w:val="en-US" w:eastAsia="zh-CN"/>
        </w:rPr>
        <w:t>4）</w:t>
      </w:r>
      <w:r>
        <w:rPr>
          <w:rFonts w:hint="eastAsia" w:ascii="仿宋_GB2312" w:hAnsi="仿宋_GB2312" w:eastAsia="仿宋_GB2312"/>
          <w:color w:val="000000"/>
          <w:spacing w:val="2"/>
          <w:sz w:val="32"/>
        </w:rPr>
        <w:t>体感随陈化时间变化而变化的规律</w:t>
      </w:r>
    </w:p>
    <w:p w14:paraId="6E48A545">
      <w:pPr>
        <w:spacing w:line="560" w:lineRule="exact"/>
        <w:ind w:firstLine="648" w:firstLineChars="200"/>
        <w:rPr>
          <w:rFonts w:ascii="仿宋_GB2312" w:hAnsi="仿宋_GB2312" w:eastAsia="仿宋_GB2312"/>
          <w:color w:val="000000"/>
          <w:spacing w:val="2"/>
          <w:sz w:val="32"/>
        </w:rPr>
      </w:pPr>
      <w:r>
        <w:rPr>
          <w:rFonts w:hint="eastAsia" w:ascii="仿宋_GB2312" w:hAnsi="仿宋_GB2312" w:eastAsia="仿宋_GB2312"/>
          <w:color w:val="000000"/>
          <w:spacing w:val="2"/>
          <w:sz w:val="32"/>
        </w:rPr>
        <w:t>对于普通原料制成的六堡茶，陈化时</w:t>
      </w:r>
      <w:r>
        <w:rPr>
          <w:rFonts w:hint="eastAsia" w:ascii="仿宋_GB2312" w:hAnsi="仿宋_GB2312" w:eastAsia="仿宋_GB2312"/>
          <w:color w:val="000000"/>
          <w:spacing w:val="2"/>
          <w:sz w:val="32"/>
          <w:lang w:eastAsia="zh-CN"/>
        </w:rPr>
        <w:t>间</w:t>
      </w:r>
      <w:r>
        <w:rPr>
          <w:rFonts w:hint="eastAsia" w:ascii="仿宋_GB2312" w:hAnsi="仿宋_GB2312" w:eastAsia="仿宋_GB2312"/>
          <w:color w:val="000000"/>
          <w:spacing w:val="2"/>
          <w:sz w:val="32"/>
        </w:rPr>
        <w:t>接近10年时会有体感；对于老树茶(树龄≥50年)或古树茶(树龄≥100年)原料制成的六堡茶，出现体感的时间会比普通原料制成的六堡茶</w:t>
      </w:r>
      <w:r>
        <w:rPr>
          <w:rFonts w:hint="eastAsia" w:ascii="仿宋_GB2312" w:hAnsi="仿宋_GB2312" w:eastAsia="仿宋_GB2312"/>
          <w:color w:val="000000"/>
          <w:spacing w:val="2"/>
          <w:sz w:val="32"/>
          <w:lang w:eastAsia="zh-CN"/>
        </w:rPr>
        <w:t>随之</w:t>
      </w:r>
      <w:r>
        <w:rPr>
          <w:rFonts w:hint="eastAsia" w:ascii="仿宋_GB2312" w:hAnsi="仿宋_GB2312" w:eastAsia="仿宋_GB2312"/>
          <w:color w:val="000000"/>
          <w:spacing w:val="2"/>
          <w:sz w:val="32"/>
        </w:rPr>
        <w:t>提前；体感会随着陈化时间的延长而变得愈加丰富、强烈</w:t>
      </w:r>
      <w:r>
        <w:rPr>
          <w:rFonts w:ascii="仿宋_GB2312" w:hAnsi="仿宋_GB2312" w:eastAsia="仿宋_GB2312"/>
          <w:color w:val="000000"/>
          <w:spacing w:val="2"/>
          <w:sz w:val="32"/>
        </w:rPr>
        <w:t>。</w:t>
      </w:r>
    </w:p>
    <w:p w14:paraId="33E4CA27">
      <w:pPr>
        <w:spacing w:line="560" w:lineRule="exact"/>
        <w:ind w:firstLine="648" w:firstLineChars="200"/>
        <w:rPr>
          <w:rFonts w:hint="eastAsia" w:ascii="仿宋_GB2312" w:hAnsi="仿宋_GB2312" w:eastAsia="仿宋_GB2312"/>
          <w:color w:val="000000"/>
          <w:spacing w:val="2"/>
          <w:sz w:val="32"/>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15</w:t>
      </w: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rPr>
        <w:t>茶香气和滋味随发酵程度变化而变化的规律</w:t>
      </w:r>
    </w:p>
    <w:p w14:paraId="11B84897">
      <w:pPr>
        <w:spacing w:line="560" w:lineRule="exact"/>
        <w:ind w:firstLine="648" w:firstLineChars="200"/>
        <w:rPr>
          <w:rFonts w:hint="eastAsia" w:ascii="仿宋_GB2312" w:hAnsi="仿宋_GB2312" w:eastAsia="仿宋_GB2312"/>
          <w:color w:val="000000"/>
          <w:spacing w:val="2"/>
          <w:sz w:val="32"/>
          <w:lang w:eastAsia="zh-CN"/>
        </w:rPr>
      </w:pPr>
      <w:r>
        <w:rPr>
          <w:rFonts w:hint="eastAsia" w:ascii="仿宋_GB2312" w:hAnsi="仿宋_GB2312" w:eastAsia="仿宋_GB2312"/>
          <w:color w:val="000000"/>
          <w:spacing w:val="2"/>
          <w:sz w:val="32"/>
        </w:rPr>
        <w:t>发酵程度适度的六堡茶，发酵形成的香气、滋味强于毛茶残余的香气、滋味。 发酵程度偏轻的六堡茶，发酵形成的香气和滋味弱于毛茶残余的香气、滋味；发酵程度偏深的六堡茶，发酵形成的香气和滋味强烈，毛茶残余的香气、滋味消失殆尽</w:t>
      </w:r>
      <w:r>
        <w:rPr>
          <w:rFonts w:hint="eastAsia" w:ascii="仿宋_GB2312" w:hAnsi="仿宋_GB2312" w:eastAsia="仿宋_GB2312"/>
          <w:color w:val="000000"/>
          <w:spacing w:val="2"/>
          <w:sz w:val="32"/>
          <w:lang w:eastAsia="zh-CN"/>
        </w:rPr>
        <w:t>。</w:t>
      </w:r>
    </w:p>
    <w:p w14:paraId="5D953AC8">
      <w:pPr>
        <w:spacing w:line="560" w:lineRule="exact"/>
        <w:ind w:firstLine="648" w:firstLineChars="200"/>
        <w:rPr>
          <w:rFonts w:hint="eastAsia" w:ascii="仿宋_GB2312" w:hAnsi="仿宋_GB2312" w:eastAsia="仿宋_GB2312"/>
          <w:color w:val="000000"/>
          <w:spacing w:val="2"/>
          <w:sz w:val="32"/>
          <w:lang w:eastAsia="zh-CN"/>
        </w:rPr>
      </w:pPr>
      <w:r>
        <w:rPr>
          <w:rFonts w:hint="eastAsia" w:ascii="仿宋_GB2312" w:hAnsi="仿宋_GB2312" w:eastAsia="仿宋_GB2312"/>
          <w:color w:val="000000"/>
          <w:spacing w:val="2"/>
          <w:sz w:val="32"/>
          <w:lang w:eastAsia="zh-CN"/>
        </w:rPr>
        <w:t>（</w:t>
      </w:r>
      <w:r>
        <w:rPr>
          <w:rFonts w:hint="eastAsia" w:ascii="仿宋_GB2312" w:hAnsi="仿宋_GB2312" w:eastAsia="仿宋_GB2312"/>
          <w:color w:val="000000"/>
          <w:spacing w:val="2"/>
          <w:sz w:val="32"/>
          <w:lang w:val="en-US" w:eastAsia="zh-CN"/>
        </w:rPr>
        <w:t>16</w:t>
      </w:r>
      <w:r>
        <w:rPr>
          <w:rFonts w:hint="eastAsia" w:ascii="仿宋_GB2312" w:hAnsi="仿宋_GB2312" w:eastAsia="仿宋_GB2312"/>
          <w:color w:val="000000"/>
          <w:spacing w:val="2"/>
          <w:sz w:val="32"/>
          <w:lang w:eastAsia="zh-CN"/>
        </w:rPr>
        <w:t>）茶韵味随发酵程度变化而变化的规律</w:t>
      </w:r>
    </w:p>
    <w:p w14:paraId="37AC70D3">
      <w:pPr>
        <w:spacing w:line="560" w:lineRule="exact"/>
        <w:ind w:firstLine="648" w:firstLineChars="200"/>
        <w:rPr>
          <w:rFonts w:hint="eastAsia" w:ascii="仿宋_GB2312" w:hAnsi="仿宋_GB2312" w:eastAsia="仿宋_GB2312"/>
          <w:color w:val="000000"/>
          <w:spacing w:val="2"/>
          <w:sz w:val="32"/>
          <w:lang w:eastAsia="zh-CN"/>
        </w:rPr>
      </w:pPr>
      <w:r>
        <w:rPr>
          <w:rFonts w:hint="eastAsia" w:ascii="仿宋_GB2312" w:hAnsi="仿宋_GB2312" w:eastAsia="仿宋_GB2312"/>
          <w:color w:val="000000"/>
          <w:spacing w:val="2"/>
          <w:sz w:val="32"/>
          <w:lang w:eastAsia="zh-CN"/>
        </w:rPr>
        <w:t>对于发酵程度适度的六堡茶，地域环境发酵韵味强于毛茶余韵；而发酵程度偏浅的茶，地域环境发酵韵味弱于毛茶余韵；发酵程度偏深的茶，地域环境发酵韵味强烈，毛茶余韵消失殆尽。主要参考</w:t>
      </w:r>
      <w:r>
        <w:rPr>
          <w:rFonts w:hint="eastAsia" w:ascii="仿宋_GB2312" w:hAnsi="仿宋_GB2312" w:eastAsia="仿宋_GB2312"/>
          <w:color w:val="000000"/>
          <w:spacing w:val="2"/>
          <w:sz w:val="32"/>
          <w:lang w:val="zh-CN" w:eastAsia="zh-CN"/>
        </w:rPr>
        <w:t>在《茶叶》杂志上发表的</w:t>
      </w:r>
      <w:r>
        <w:rPr>
          <w:rFonts w:hint="eastAsia" w:ascii="仿宋_GB2312" w:hAnsi="仿宋_GB2312" w:eastAsia="仿宋_GB2312"/>
          <w:color w:val="000000"/>
          <w:spacing w:val="2"/>
          <w:sz w:val="32"/>
          <w:lang w:eastAsia="zh-CN"/>
        </w:rPr>
        <w:t>文献《</w:t>
      </w:r>
      <w:r>
        <w:rPr>
          <w:rFonts w:hint="eastAsia" w:ascii="仿宋_GB2312" w:hAnsi="仿宋_GB2312" w:eastAsia="仿宋_GB2312"/>
          <w:color w:val="000000"/>
          <w:spacing w:val="2"/>
          <w:sz w:val="32"/>
          <w:lang w:val="zh-CN" w:eastAsia="zh-CN"/>
        </w:rPr>
        <w:t>六堡茶风味轮的构建及解析</w:t>
      </w:r>
      <w:r>
        <w:rPr>
          <w:rFonts w:hint="eastAsia" w:ascii="仿宋_GB2312" w:hAnsi="仿宋_GB2312" w:eastAsia="仿宋_GB2312"/>
          <w:color w:val="000000"/>
          <w:spacing w:val="2"/>
          <w:sz w:val="32"/>
          <w:lang w:eastAsia="zh-CN"/>
        </w:rPr>
        <w:t>》。</w:t>
      </w:r>
    </w:p>
    <w:p w14:paraId="29252D5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color w:val="000000"/>
          <w:spacing w:val="2"/>
          <w:sz w:val="32"/>
          <w:lang w:eastAsia="zh-CN"/>
        </w:rPr>
      </w:pPr>
      <w:r>
        <w:rPr>
          <w:rFonts w:hint="eastAsia" w:ascii="仿宋_GB2312" w:hAnsi="仿宋_GB2312" w:eastAsia="仿宋_GB2312"/>
          <w:color w:val="000000"/>
          <w:spacing w:val="2"/>
          <w:sz w:val="32"/>
          <w:lang w:eastAsia="zh-CN"/>
        </w:rPr>
        <w:drawing>
          <wp:inline distT="0" distB="0" distL="114300" distR="114300">
            <wp:extent cx="5100955" cy="3136265"/>
            <wp:effectExtent l="0" t="0" r="4445" b="6985"/>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1"/>
                    </pic:cNvPicPr>
                  </pic:nvPicPr>
                  <pic:blipFill>
                    <a:blip r:embed="rId6"/>
                    <a:stretch>
                      <a:fillRect/>
                    </a:stretch>
                  </pic:blipFill>
                  <pic:spPr>
                    <a:xfrm>
                      <a:off x="0" y="0"/>
                      <a:ext cx="5100955" cy="3136265"/>
                    </a:xfrm>
                    <a:prstGeom prst="rect">
                      <a:avLst/>
                    </a:prstGeom>
                    <a:noFill/>
                    <a:ln>
                      <a:noFill/>
                    </a:ln>
                  </pic:spPr>
                </pic:pic>
              </a:graphicData>
            </a:graphic>
          </wp:inline>
        </w:drawing>
      </w:r>
    </w:p>
    <w:p w14:paraId="7F7895F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b/>
          <w:bCs/>
          <w:color w:val="000000"/>
          <w:spacing w:val="2"/>
          <w:sz w:val="24"/>
          <w:szCs w:val="24"/>
          <w:lang w:val="zh-CN" w:eastAsia="zh-CN"/>
        </w:rPr>
      </w:pPr>
      <w:r>
        <w:rPr>
          <w:rFonts w:hint="eastAsia" w:ascii="仿宋_GB2312" w:hAnsi="仿宋_GB2312" w:eastAsia="仿宋_GB2312"/>
          <w:b/>
          <w:bCs/>
          <w:color w:val="000000"/>
          <w:spacing w:val="2"/>
          <w:sz w:val="24"/>
          <w:szCs w:val="24"/>
          <w:lang w:val="zh-CN" w:eastAsia="zh-CN"/>
        </w:rPr>
        <w:t>参考来源：《六堡茶风味轮的构建及解析》</w:t>
      </w:r>
    </w:p>
    <w:p w14:paraId="3D22106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b/>
          <w:bCs/>
          <w:color w:val="000000"/>
          <w:spacing w:val="2"/>
          <w:sz w:val="24"/>
          <w:szCs w:val="24"/>
          <w:lang w:val="zh-CN" w:eastAsia="zh-CN"/>
        </w:rPr>
      </w:pPr>
      <w:r>
        <w:rPr>
          <w:rFonts w:hint="eastAsia" w:ascii="仿宋_GB2312" w:hAnsi="仿宋_GB2312" w:eastAsia="仿宋_GB2312"/>
          <w:b/>
          <w:bCs/>
          <w:color w:val="000000"/>
          <w:spacing w:val="2"/>
          <w:sz w:val="24"/>
          <w:szCs w:val="24"/>
          <w:lang w:val="zh-CN" w:eastAsia="zh-CN"/>
        </w:rPr>
        <w:drawing>
          <wp:inline distT="0" distB="0" distL="114300" distR="114300">
            <wp:extent cx="5683250" cy="5346065"/>
            <wp:effectExtent l="0" t="0" r="12700" b="6985"/>
            <wp:docPr id="3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5"/>
                    <pic:cNvPicPr>
                      <a:picLocks noChangeAspect="1"/>
                    </pic:cNvPicPr>
                  </pic:nvPicPr>
                  <pic:blipFill>
                    <a:blip r:embed="rId7"/>
                    <a:stretch>
                      <a:fillRect/>
                    </a:stretch>
                  </pic:blipFill>
                  <pic:spPr>
                    <a:xfrm>
                      <a:off x="0" y="0"/>
                      <a:ext cx="5683250" cy="5346065"/>
                    </a:xfrm>
                    <a:prstGeom prst="rect">
                      <a:avLst/>
                    </a:prstGeom>
                    <a:noFill/>
                    <a:ln>
                      <a:noFill/>
                    </a:ln>
                  </pic:spPr>
                </pic:pic>
              </a:graphicData>
            </a:graphic>
          </wp:inline>
        </w:drawing>
      </w:r>
    </w:p>
    <w:p w14:paraId="726D46FB">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_GB2312" w:eastAsia="仿宋_GB2312"/>
          <w:b/>
          <w:bCs/>
          <w:color w:val="000000"/>
          <w:spacing w:val="2"/>
          <w:sz w:val="24"/>
          <w:szCs w:val="24"/>
          <w:lang w:val="zh-CN" w:eastAsia="zh-CN"/>
        </w:rPr>
      </w:pPr>
      <w:r>
        <w:rPr>
          <w:rFonts w:hint="eastAsia" w:ascii="仿宋_GB2312" w:hAnsi="仿宋_GB2312" w:eastAsia="仿宋_GB2312"/>
          <w:b/>
          <w:bCs/>
          <w:color w:val="000000"/>
          <w:spacing w:val="2"/>
          <w:sz w:val="24"/>
          <w:szCs w:val="24"/>
          <w:lang w:val="zh-CN" w:eastAsia="zh-CN"/>
        </w:rPr>
        <w:t>吴平于2009年第1期《茶叶》杂志上发表的《六堡茶之越陈越好,好在哪里?》</w:t>
      </w:r>
    </w:p>
    <w:p w14:paraId="5306D0B6">
      <w:pPr>
        <w:spacing w:line="560" w:lineRule="exact"/>
        <w:ind w:firstLine="608" w:firstLineChars="200"/>
        <w:rPr>
          <w:rFonts w:hint="eastAsia" w:ascii="仿宋_GB2312" w:hAnsi="仿宋_GB2312" w:eastAsia="仿宋_GB2312"/>
          <w:b w:val="0"/>
          <w:bCs w:val="0"/>
          <w:color w:val="000000"/>
          <w:spacing w:val="2"/>
          <w:sz w:val="30"/>
          <w:szCs w:val="30"/>
          <w:lang w:val="zh-CN" w:eastAsia="zh-CN"/>
        </w:rPr>
      </w:pPr>
      <w:r>
        <w:rPr>
          <w:rFonts w:hint="eastAsia" w:ascii="仿宋_GB2312" w:hAnsi="仿宋_GB2312" w:eastAsia="仿宋_GB2312"/>
          <w:b w:val="0"/>
          <w:bCs w:val="0"/>
          <w:color w:val="000000"/>
          <w:spacing w:val="2"/>
          <w:sz w:val="30"/>
          <w:szCs w:val="30"/>
          <w:lang w:val="zh-CN" w:eastAsia="zh-CN"/>
        </w:rPr>
        <w:t>根据吴平于2009年第1期《茶叶》杂志上发表的《六堡茶之越陈越好,好在哪里?》的研究表述，随着接触六堡茶的时间延长,若以刚出厂的新茶与陈化多年的老茶相比较,则六堡茶之越陈越好,可以归纳如下：1.好在干茶的色泽,越陈,由黑褐油润变微红褐。2.好在干茶的香气,越陈,由略带水气变得越来越淡,以至消失,而陈香则越来越高。3.好在茶的汤色,越陈,由微浊变清澈、鲜艳,由黄红变深红,甚至紫红,而黄色则越来越浅,甚至消失。4.好在茶的叶底香气,越陈,由略带水气和青臭气变得越来越淡,甚至消失,而陈香则越来越高。5</w:t>
      </w:r>
      <w:r>
        <w:rPr>
          <w:rFonts w:hint="eastAsia" w:ascii="仿宋_GB2312" w:hAnsi="仿宋_GB2312" w:eastAsia="仿宋_GB2312"/>
          <w:b w:val="0"/>
          <w:bCs w:val="0"/>
          <w:color w:val="000000"/>
          <w:spacing w:val="2"/>
          <w:sz w:val="30"/>
          <w:szCs w:val="30"/>
          <w:lang w:val="en-US" w:eastAsia="zh-CN"/>
        </w:rPr>
        <w:t>.</w:t>
      </w:r>
      <w:r>
        <w:rPr>
          <w:rFonts w:hint="eastAsia" w:ascii="仿宋_GB2312" w:hAnsi="仿宋_GB2312" w:eastAsia="仿宋_GB2312"/>
          <w:b w:val="0"/>
          <w:bCs w:val="0"/>
          <w:color w:val="000000"/>
          <w:spacing w:val="2"/>
          <w:sz w:val="30"/>
          <w:szCs w:val="30"/>
          <w:lang w:val="zh-CN" w:eastAsia="zh-CN"/>
        </w:rPr>
        <w:t>好在茶的滋味,越陈,由略带水味、青涩味和刺激性味变得越来越淡，甚至消失,而陈味则越来越浓、口感越来越平和,槟榔味也越明显,甘滑感越强。6.好在茶的回味回香,越陈,由淡薄短促变得优雅、细腻、丰满、悠长、齿唇颊留香持久。7.好在茶的叶底色泽,越陈,由微红褐变黑褐。概括而言,最突出的体会是茶的香气和滋味趋于平和、协调、优雅、舒畅,茶韵味越来越显现。</w:t>
      </w:r>
    </w:p>
    <w:p w14:paraId="37AA4CFE">
      <w:pPr>
        <w:spacing w:line="560" w:lineRule="exact"/>
        <w:ind w:firstLine="643" w:firstLineChars="200"/>
        <w:outlineLvl w:val="1"/>
        <w:rPr>
          <w:rFonts w:hint="eastAsia" w:ascii="楷体" w:hAnsi="楷体" w:eastAsia="楷体"/>
          <w:b/>
          <w:sz w:val="32"/>
          <w:szCs w:val="32"/>
          <w:lang w:val="en-US" w:eastAsia="zh-CN"/>
        </w:rPr>
      </w:pPr>
      <w:r>
        <w:rPr>
          <w:rFonts w:hint="eastAsia" w:ascii="楷体" w:hAnsi="楷体" w:eastAsia="楷体"/>
          <w:b/>
          <w:sz w:val="32"/>
          <w:szCs w:val="32"/>
          <w:lang w:val="en-US" w:eastAsia="zh-CN"/>
        </w:rPr>
        <w:t>（四）品鉴程序</w:t>
      </w:r>
    </w:p>
    <w:p w14:paraId="4D8842CD">
      <w:pPr>
        <w:spacing w:line="560" w:lineRule="exact"/>
        <w:ind w:firstLine="60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b w:val="0"/>
          <w:bCs w:val="0"/>
          <w:color w:val="000000"/>
          <w:spacing w:val="2"/>
          <w:sz w:val="30"/>
          <w:szCs w:val="30"/>
          <w:lang w:val="zh-CN" w:eastAsia="zh-CN"/>
        </w:rPr>
        <w:t>起草单位主要起草人应邀担任六堡茶斗茶或评茶比赛评委多达８次，与评委们共同审评的六堡茶样品达</w:t>
      </w:r>
      <w:r>
        <w:rPr>
          <w:rFonts w:hint="eastAsia" w:ascii="仿宋_GB2312" w:hAnsi="仿宋_GB2312" w:eastAsia="仿宋_GB2312"/>
          <w:b w:val="0"/>
          <w:bCs w:val="0"/>
          <w:color w:val="000000"/>
          <w:spacing w:val="2"/>
          <w:sz w:val="30"/>
          <w:szCs w:val="30"/>
          <w:lang w:val="en-US" w:eastAsia="zh-CN"/>
        </w:rPr>
        <w:t>1000</w:t>
      </w:r>
      <w:r>
        <w:rPr>
          <w:rFonts w:hint="eastAsia" w:ascii="仿宋_GB2312" w:hAnsi="仿宋_GB2312" w:eastAsia="仿宋_GB2312"/>
          <w:b w:val="0"/>
          <w:bCs w:val="0"/>
          <w:color w:val="000000"/>
          <w:spacing w:val="2"/>
          <w:sz w:val="30"/>
          <w:szCs w:val="30"/>
          <w:lang w:val="zh-CN" w:eastAsia="zh-CN"/>
        </w:rPr>
        <w:t>多个，样品分布在不同厂家、不同原料品种、不同生产时期、不同陈化间、不同陈化地域，期间与评委们进行多次探讨、交流。根据多年经验对品鉴程序作出了规定。</w:t>
      </w:r>
      <w:r>
        <w:rPr>
          <w:rFonts w:hint="eastAsia" w:ascii="仿宋_GB2312" w:hAnsi="仿宋_GB2312" w:eastAsia="仿宋_GB2312"/>
          <w:color w:val="000000"/>
          <w:spacing w:val="2"/>
          <w:sz w:val="32"/>
          <w:lang w:val="en-US" w:eastAsia="zh-CN"/>
        </w:rPr>
        <w:t>品鉴程序包括样品登记、专业品鉴评委确定、签订回避承诺书、保密承诺书、品鉴方法、计算陈化时间、品鉴报告、总结。</w:t>
      </w:r>
    </w:p>
    <w:p w14:paraId="5CB6F7E1">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1.专业品鉴评委确定</w:t>
      </w:r>
    </w:p>
    <w:p w14:paraId="09F45E29">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（1）评委征集：被委托方宜通过媒体公开征集专业品鉴评委。专业品鉴评委人员应提供学历、评茶员职业资格证书、从事茶叶感官审评工作的证明等资料。</w:t>
      </w:r>
    </w:p>
    <w:p w14:paraId="2B8E225A">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专业品鉴评委应符合以下条件：应获得评茶员（师）职业资格证书或职业技能等级证书10年以上，或者取得高级评茶员（师）以上职业资格证书或职业技能等级证书；应获得中级(含中级)以上技术职称；应熟悉六堡茶相关的产制历史、法规、标准等文献。</w:t>
      </w:r>
    </w:p>
    <w:p w14:paraId="4345DC2B">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（2）评委录用：被委托方对申报为专业品鉴评委的人员按了附录B.1进行登记，从符合专业品鉴评委资格的人员中择优录用。选送茶叶样品参加品鉴的单位及其人员不应担任专业品鉴评委。</w:t>
      </w:r>
    </w:p>
    <w:p w14:paraId="1D7BF411">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当需要出具品鉴报告时，每次品鉴的专业品鉴评委人数不少于5人，应为奇数。具体专业品鉴评委人数宜与待品鉴样品的数量、品鉴难度相适应。专业品鉴评委人员分布宜兼顾各专业品鉴评委的专长，每类专长评委至少1人。</w:t>
      </w:r>
    </w:p>
    <w:p w14:paraId="5376CA1E">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3）裁判长确定：应从符合专业品鉴评委资格的人员中择优确定裁判长。总裁判长应精通六堡茶年份茶品鉴指南、产品执行标准及相关文献，至少具有2次六堡茶委托品鉴经验；小组裁判长应熟悉六堡茶年份茶品鉴指南、产品执行标准及相关文献，具有六堡茶委托品鉴经验。</w:t>
      </w:r>
    </w:p>
    <w:p w14:paraId="405499ED">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2.签订回避承诺书、保密承诺书：根据六堡茶年份茶品鉴过程的商业保密原则，专业品鉴评委、裁判长与被委托方签订回避承诺书。专业品鉴评委及相关协助品鉴人员均应与被委托品鉴方签订涉密人员保密承诺书。</w:t>
      </w:r>
    </w:p>
    <w:p w14:paraId="76E19307">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3.品鉴方法：被委托方按6章的规定进行查证。按DB45/T 1649、DB45/T 2436规定的方法品鉴。对陈化年份的评判应由各专业品鉴评委独立进行。</w:t>
      </w:r>
    </w:p>
    <w:p w14:paraId="09DBCC24">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4.计算陈化时间：被委托方按公式（1）计算陈化时间：</w:t>
      </w:r>
    </w:p>
    <w:p w14:paraId="54C3DF0A">
      <w:pPr>
        <w:spacing w:line="560" w:lineRule="exact"/>
        <w:ind w:firstLine="648" w:firstLineChars="200"/>
        <w:jc w:val="right"/>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M=m＋r……………………………(1)</w:t>
      </w:r>
    </w:p>
    <w:p w14:paraId="4DCEC9FE">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式中：</w:t>
      </w:r>
    </w:p>
    <w:p w14:paraId="369C369B">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M——陈化时间（单位：年）；</w:t>
      </w:r>
    </w:p>
    <w:p w14:paraId="13F1A76A">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m——各专业品鉴评委确定的陈化时间的中位值（单位：年）；</w:t>
      </w:r>
    </w:p>
    <w:p w14:paraId="619E9F24">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r——陈化时间区间半径（单位：年）；由组长综合各评委确定的陈化时间值及其他因素而确定；其中，当中位值不超过30年时，区间的半径宜不超过中位值的15％；当中位值不超过60年时，区间的半径宜不超过中位值的12％；当中位值不超过100年时，区间的半径宜不超过中位值的10％。</w:t>
      </w:r>
    </w:p>
    <w:p w14:paraId="5FBEBB56">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5.品鉴报告：当需要出具品鉴报告时，综合B.2～B.10的查证情况，对待品鉴产品作出品鉴结论；报告格式应符合B.10要求。</w:t>
      </w:r>
    </w:p>
    <w:p w14:paraId="1401E394">
      <w:pPr>
        <w:spacing w:line="560" w:lineRule="exact"/>
        <w:ind w:firstLine="648" w:firstLineChars="200"/>
        <w:rPr>
          <w:rFonts w:hint="eastAsia" w:ascii="仿宋_GB2312" w:hAnsi="仿宋_GB2312" w:eastAsia="仿宋_GB2312"/>
          <w:color w:val="000000"/>
          <w:spacing w:val="2"/>
          <w:sz w:val="32"/>
          <w:lang w:val="en-US" w:eastAsia="zh-CN"/>
        </w:rPr>
      </w:pPr>
      <w:r>
        <w:rPr>
          <w:rFonts w:hint="eastAsia" w:ascii="仿宋_GB2312" w:hAnsi="仿宋_GB2312" w:eastAsia="仿宋_GB2312"/>
          <w:color w:val="000000"/>
          <w:spacing w:val="2"/>
          <w:sz w:val="32"/>
          <w:lang w:val="en-US" w:eastAsia="zh-CN"/>
        </w:rPr>
        <w:t>6.总结：品鉴活动组织方应及时召集专业品鉴评委及相关工作人员对品鉴活动进行全面总结，对活动的成功经验、不足进行分析，提出今后的改进建议，并形成书面报告。</w:t>
      </w:r>
    </w:p>
    <w:p w14:paraId="005DBB82">
      <w:pPr>
        <w:spacing w:line="560" w:lineRule="exact"/>
        <w:rPr>
          <w:rFonts w:hint="eastAsia" w:ascii="楷体" w:hAnsi="楷体" w:eastAsia="楷体"/>
          <w:b/>
          <w:bCs/>
          <w:sz w:val="32"/>
          <w:szCs w:val="32"/>
          <w:lang w:val="en-US" w:eastAsia="zh-CN"/>
        </w:rPr>
      </w:pPr>
      <w:r>
        <w:rPr>
          <w:rFonts w:hint="eastAsia" w:ascii="楷体" w:hAnsi="楷体" w:eastAsia="楷体"/>
          <w:b/>
          <w:bCs/>
          <w:sz w:val="32"/>
          <w:szCs w:val="32"/>
          <w:lang w:val="en-US" w:eastAsia="zh-CN"/>
        </w:rPr>
        <w:t>（五）档案管理</w:t>
      </w:r>
    </w:p>
    <w:p w14:paraId="1A8ED211">
      <w:pPr>
        <w:spacing w:line="560" w:lineRule="exact"/>
        <w:ind w:firstLine="648" w:firstLineChars="200"/>
        <w:rPr>
          <w:rFonts w:hint="eastAsia" w:ascii="楷体" w:hAnsi="楷体" w:eastAsia="楷体"/>
          <w:b/>
          <w:bCs/>
          <w:sz w:val="32"/>
          <w:szCs w:val="32"/>
          <w:lang w:val="en-US" w:eastAsia="zh-CN"/>
        </w:rPr>
      </w:pPr>
      <w:r>
        <w:rPr>
          <w:rFonts w:hint="eastAsia" w:ascii="仿宋_GB2312" w:hAnsi="仿宋_GB2312" w:eastAsia="仿宋_GB2312"/>
          <w:color w:val="000000"/>
          <w:spacing w:val="2"/>
          <w:sz w:val="32"/>
          <w:lang w:val="en-US" w:eastAsia="zh-CN"/>
        </w:rPr>
        <w:t>按照六堡茶品鉴活动档案管理规定。品鉴活动组织方应及时收集品鉴计划内容、品鉴记录、总结报告、剩余样品等图文信息资料或实物形成档案记录并妥善保存，保存时间不少于3年。</w:t>
      </w:r>
    </w:p>
    <w:p w14:paraId="1D0464C2">
      <w:pPr>
        <w:pStyle w:val="53"/>
        <w:ind w:firstLine="643"/>
        <w:rPr>
          <w:bCs/>
        </w:rPr>
      </w:pPr>
      <w:r>
        <w:rPr>
          <w:rFonts w:hint="eastAsia" w:ascii="黑体" w:hAnsi="黑体" w:eastAsia="黑体" w:cs="黑体"/>
          <w:bCs/>
          <w:sz w:val="32"/>
          <w:szCs w:val="32"/>
        </w:rPr>
        <w:t>六、</w:t>
      </w:r>
      <w:r>
        <w:rPr>
          <w:rFonts w:hint="eastAsia"/>
        </w:rPr>
        <w:t>重大意见分歧的处理依据和结果</w:t>
      </w:r>
    </w:p>
    <w:p w14:paraId="47F38C80">
      <w:pPr>
        <w:spacing w:line="520" w:lineRule="exact"/>
        <w:ind w:firstLine="648" w:firstLineChars="200"/>
        <w:rPr>
          <w:rFonts w:ascii="仿宋_GB2312" w:eastAsia="仿宋_GB2312"/>
          <w:sz w:val="28"/>
          <w:szCs w:val="28"/>
        </w:rPr>
      </w:pPr>
      <w:r>
        <w:rPr>
          <w:rFonts w:hint="eastAsia" w:ascii="仿宋_GB2312" w:hAnsi="仿宋_GB2312" w:eastAsia="仿宋_GB2312"/>
          <w:spacing w:val="2"/>
          <w:sz w:val="32"/>
        </w:rPr>
        <w:t>本标准研制过程中无重大分歧意见。</w:t>
      </w:r>
    </w:p>
    <w:p w14:paraId="1B44FCE4">
      <w:pPr>
        <w:pStyle w:val="53"/>
        <w:ind w:firstLine="640"/>
      </w:pPr>
      <w:r>
        <w:rPr>
          <w:rFonts w:hint="eastAsia" w:ascii="黑体"/>
          <w:bCs/>
        </w:rPr>
        <w:t>七、</w:t>
      </w:r>
      <w:r>
        <w:rPr>
          <w:rFonts w:hint="eastAsia"/>
        </w:rPr>
        <w:t>实施标准的措施</w:t>
      </w:r>
    </w:p>
    <w:p w14:paraId="1919FC0E">
      <w:pPr>
        <w:spacing w:line="500" w:lineRule="exact"/>
        <w:ind w:firstLine="602" w:firstLineChars="200"/>
        <w:rPr>
          <w:rFonts w:ascii="仿宋_GB2312" w:eastAsia="仿宋_GB2312" w:cs="仿宋_GB2312"/>
          <w:b/>
          <w:sz w:val="30"/>
          <w:szCs w:val="30"/>
        </w:rPr>
      </w:pPr>
      <w:r>
        <w:rPr>
          <w:rFonts w:hint="eastAsia" w:ascii="仿宋_GB2312" w:eastAsia="仿宋_GB2312" w:cs="仿宋_GB2312"/>
          <w:b/>
          <w:sz w:val="30"/>
          <w:szCs w:val="30"/>
        </w:rPr>
        <w:t>（一）标准报批发布后，成立标准宣贯工作组</w:t>
      </w:r>
    </w:p>
    <w:p w14:paraId="65815962">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本标准发布后，成立以吴平、吴燕、谢宏昭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r>
        <w:rPr>
          <w:rFonts w:hint="eastAsia" w:ascii="仿宋_GB2312" w:eastAsia="仿宋_GB2312"/>
          <w:sz w:val="28"/>
          <w:szCs w:val="28"/>
        </w:rPr>
        <w:t>。</w:t>
      </w:r>
    </w:p>
    <w:p w14:paraId="01C2F276">
      <w:pPr>
        <w:spacing w:line="500" w:lineRule="exact"/>
        <w:ind w:firstLine="602" w:firstLineChars="200"/>
        <w:rPr>
          <w:rFonts w:hint="eastAsia" w:ascii="仿宋_GB2312" w:eastAsia="仿宋_GB2312" w:cs="仿宋_GB2312"/>
          <w:b/>
          <w:sz w:val="30"/>
          <w:szCs w:val="30"/>
        </w:rPr>
      </w:pPr>
      <w:r>
        <w:rPr>
          <w:rFonts w:hint="eastAsia" w:ascii="仿宋_GB2312" w:eastAsia="仿宋_GB2312" w:cs="仿宋_GB2312"/>
          <w:b/>
          <w:sz w:val="30"/>
          <w:szCs w:val="30"/>
        </w:rPr>
        <w:t>（二）组织开展标准宣贯培训</w:t>
      </w:r>
    </w:p>
    <w:p w14:paraId="47B1F319">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标准发布实施后，标准宣贯工作小组制作标准解读宣贯培训PPT课件和标准核心技术明白书，并按标准宣贯培训计划深入</w:t>
      </w:r>
      <w:r>
        <w:rPr>
          <w:rFonts w:hint="eastAsia" w:ascii="仿宋_GB2312" w:hAnsi="仿宋_GB2312" w:eastAsia="仿宋_GB2312"/>
          <w:spacing w:val="2"/>
          <w:sz w:val="32"/>
          <w:lang w:val="en-US" w:eastAsia="zh-CN"/>
        </w:rPr>
        <w:t>各市县</w:t>
      </w:r>
      <w:r>
        <w:rPr>
          <w:rFonts w:hint="eastAsia" w:ascii="仿宋_GB2312" w:hAnsi="仿宋_GB2312" w:eastAsia="仿宋_GB2312"/>
          <w:spacing w:val="2"/>
          <w:sz w:val="32"/>
          <w:lang w:eastAsia="zh-CN"/>
        </w:rPr>
        <w:t>六堡茶年份茶品鉴</w:t>
      </w:r>
      <w:r>
        <w:rPr>
          <w:rFonts w:hint="eastAsia" w:ascii="仿宋_GB2312" w:hAnsi="仿宋_GB2312" w:eastAsia="仿宋_GB2312"/>
          <w:spacing w:val="2"/>
          <w:sz w:val="32"/>
        </w:rPr>
        <w:t>相关的企事业单位，对</w:t>
      </w:r>
      <w:r>
        <w:rPr>
          <w:rFonts w:hint="eastAsia" w:ascii="仿宋_GB2312" w:hAnsi="仿宋_GB2312" w:eastAsia="仿宋_GB2312"/>
          <w:spacing w:val="2"/>
          <w:sz w:val="32"/>
          <w:lang w:val="en-US" w:eastAsia="zh-CN"/>
        </w:rPr>
        <w:t>相关技术</w:t>
      </w:r>
      <w:r>
        <w:rPr>
          <w:rFonts w:hint="eastAsia" w:ascii="仿宋_GB2312" w:hAnsi="仿宋_GB2312" w:eastAsia="仿宋_GB2312"/>
          <w:spacing w:val="2"/>
          <w:sz w:val="32"/>
        </w:rPr>
        <w:t>人员开展标准宣贯培训，对标准进行逐条解读，让</w:t>
      </w:r>
      <w:r>
        <w:rPr>
          <w:rFonts w:hint="eastAsia" w:ascii="仿宋_GB2312" w:hAnsi="仿宋_GB2312" w:eastAsia="仿宋_GB2312"/>
          <w:spacing w:val="2"/>
          <w:sz w:val="32"/>
          <w:lang w:val="en-US" w:eastAsia="zh-CN"/>
        </w:rPr>
        <w:t>相关技术</w:t>
      </w:r>
      <w:r>
        <w:rPr>
          <w:rFonts w:hint="eastAsia" w:ascii="仿宋_GB2312" w:hAnsi="仿宋_GB2312" w:eastAsia="仿宋_GB2312"/>
          <w:spacing w:val="2"/>
          <w:sz w:val="32"/>
        </w:rPr>
        <w:t>人员掌握标准核心技术内容，助力标准实施落地，推动</w:t>
      </w:r>
      <w:r>
        <w:rPr>
          <w:rFonts w:hint="eastAsia" w:ascii="仿宋_GB2312" w:hAnsi="仿宋_GB2312" w:eastAsia="仿宋_GB2312"/>
          <w:spacing w:val="2"/>
          <w:sz w:val="32"/>
          <w:lang w:val="en-US" w:eastAsia="zh-CN"/>
        </w:rPr>
        <w:t>六堡茶产业</w:t>
      </w:r>
      <w:r>
        <w:rPr>
          <w:rFonts w:hint="eastAsia" w:ascii="仿宋_GB2312" w:hAnsi="仿宋_GB2312" w:eastAsia="仿宋_GB2312"/>
          <w:spacing w:val="2"/>
          <w:sz w:val="32"/>
        </w:rPr>
        <w:t>高质量发展</w:t>
      </w:r>
      <w:r>
        <w:rPr>
          <w:rFonts w:hint="eastAsia" w:ascii="仿宋_GB2312" w:eastAsia="仿宋_GB2312"/>
          <w:sz w:val="28"/>
          <w:szCs w:val="28"/>
        </w:rPr>
        <w:t>。</w:t>
      </w:r>
    </w:p>
    <w:p w14:paraId="09D3D48E">
      <w:pPr>
        <w:spacing w:line="500" w:lineRule="exact"/>
        <w:ind w:firstLine="602" w:firstLineChars="200"/>
        <w:rPr>
          <w:rFonts w:hint="eastAsia" w:ascii="仿宋_GB2312" w:eastAsia="仿宋_GB2312" w:cs="仿宋_GB2312"/>
          <w:b/>
          <w:sz w:val="30"/>
          <w:szCs w:val="30"/>
        </w:rPr>
      </w:pPr>
      <w:r>
        <w:rPr>
          <w:rFonts w:hint="eastAsia" w:ascii="仿宋_GB2312" w:eastAsia="仿宋_GB2312" w:cs="仿宋_GB2312"/>
          <w:b/>
          <w:sz w:val="30"/>
          <w:szCs w:val="30"/>
        </w:rPr>
        <w:t>（三）开展标准实施交流会，收集标准实施反馈信息</w:t>
      </w:r>
    </w:p>
    <w:p w14:paraId="0341CB8A">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标准起草小组深入各市县</w:t>
      </w:r>
      <w:r>
        <w:rPr>
          <w:rFonts w:hint="eastAsia" w:ascii="仿宋_GB2312" w:hAnsi="仿宋_GB2312" w:eastAsia="仿宋_GB2312"/>
          <w:spacing w:val="2"/>
          <w:sz w:val="32"/>
          <w:lang w:eastAsia="zh-CN"/>
        </w:rPr>
        <w:t>六堡茶年份茶</w:t>
      </w:r>
      <w:r>
        <w:rPr>
          <w:rFonts w:hint="eastAsia" w:ascii="仿宋_GB2312" w:hAnsi="仿宋_GB2312" w:eastAsia="仿宋_GB2312"/>
          <w:spacing w:val="2"/>
          <w:sz w:val="32"/>
        </w:rPr>
        <w:t>相关的企事业单位组织</w:t>
      </w:r>
      <w:r>
        <w:rPr>
          <w:rFonts w:hint="eastAsia" w:ascii="仿宋_GB2312" w:hAnsi="仿宋_GB2312" w:eastAsia="仿宋_GB2312"/>
          <w:spacing w:val="2"/>
          <w:sz w:val="32"/>
          <w:lang w:val="en-US" w:eastAsia="zh-CN"/>
        </w:rPr>
        <w:t>加工及管理</w:t>
      </w:r>
      <w:r>
        <w:rPr>
          <w:rFonts w:hint="eastAsia" w:ascii="仿宋_GB2312" w:hAnsi="仿宋_GB2312" w:eastAsia="仿宋_GB2312"/>
          <w:spacing w:val="2"/>
          <w:sz w:val="32"/>
        </w:rPr>
        <w:t>人员召开标准实施交流会，听取标准实施过程中存在的问题并做好记录和解答，对存在的问题组织专家团队进行研讨，为标准的复审修订做准备。</w:t>
      </w:r>
    </w:p>
    <w:p w14:paraId="03AEEBF5">
      <w:pPr>
        <w:spacing w:line="500" w:lineRule="exact"/>
        <w:ind w:firstLine="602" w:firstLineChars="200"/>
        <w:rPr>
          <w:rFonts w:hint="eastAsia" w:ascii="仿宋_GB2312" w:eastAsia="仿宋_GB2312" w:cs="仿宋_GB2312"/>
          <w:b/>
          <w:sz w:val="30"/>
          <w:szCs w:val="30"/>
        </w:rPr>
      </w:pPr>
      <w:r>
        <w:rPr>
          <w:rFonts w:hint="eastAsia" w:ascii="仿宋_GB2312" w:eastAsia="仿宋_GB2312" w:cs="仿宋_GB2312"/>
          <w:b/>
          <w:sz w:val="30"/>
          <w:szCs w:val="30"/>
        </w:rPr>
        <w:t>（四）开展标准实施效果评估</w:t>
      </w:r>
    </w:p>
    <w:p w14:paraId="66A03F7B">
      <w:pPr>
        <w:spacing w:line="500" w:lineRule="exact"/>
        <w:ind w:firstLine="648" w:firstLineChars="200"/>
        <w:rPr>
          <w:rFonts w:ascii="仿宋_GB2312" w:eastAsia="仿宋_GB2312"/>
          <w:sz w:val="28"/>
          <w:szCs w:val="28"/>
        </w:rPr>
      </w:pPr>
      <w:r>
        <w:rPr>
          <w:rFonts w:hint="eastAsia" w:ascii="仿宋_GB2312" w:hAnsi="仿宋_GB2312" w:eastAsia="仿宋_GB2312"/>
          <w:spacing w:val="2"/>
          <w:sz w:val="32"/>
        </w:rPr>
        <w:t>标准实施满2年，每年标准宣贯工作组采取网络调查、问卷调查、实地调研、召开座谈会或论证会、专家咨询等方式开展标准实施效果评估，并形成标准实施效果评估报告，为标准的复审修订做准备。</w:t>
      </w:r>
    </w:p>
    <w:p w14:paraId="4A282547">
      <w:pPr>
        <w:pStyle w:val="53"/>
        <w:ind w:firstLine="640"/>
      </w:pPr>
      <w:r>
        <w:rPr>
          <w:rFonts w:hint="eastAsia"/>
        </w:rPr>
        <w:t>八、其他应当说明的事项</w:t>
      </w:r>
    </w:p>
    <w:p w14:paraId="64C966E7">
      <w:pPr>
        <w:spacing w:line="500" w:lineRule="exact"/>
        <w:ind w:firstLine="648" w:firstLineChars="200"/>
        <w:rPr>
          <w:rFonts w:hint="eastAsia" w:ascii="仿宋_GB2312" w:hAnsi="仿宋_GB2312" w:eastAsia="仿宋_GB2312"/>
          <w:spacing w:val="2"/>
          <w:sz w:val="32"/>
          <w:lang w:val="zh-CN"/>
        </w:rPr>
      </w:pPr>
      <w:r>
        <w:rPr>
          <w:rFonts w:hint="eastAsia" w:ascii="仿宋_GB2312" w:hAnsi="仿宋_GB2312" w:eastAsia="仿宋_GB2312"/>
          <w:spacing w:val="2"/>
          <w:sz w:val="32"/>
        </w:rPr>
        <w:t>无</w:t>
      </w:r>
      <w:r>
        <w:rPr>
          <w:rFonts w:hint="eastAsia" w:ascii="仿宋_GB2312" w:hAnsi="仿宋_GB2312" w:eastAsia="仿宋_GB2312"/>
          <w:spacing w:val="2"/>
          <w:sz w:val="32"/>
          <w:lang w:val="zh-CN"/>
        </w:rPr>
        <w:t>。</w:t>
      </w:r>
    </w:p>
    <w:p w14:paraId="26988AC8">
      <w:pPr>
        <w:ind w:firstLine="640" w:firstLineChars="200"/>
        <w:rPr>
          <w:rFonts w:ascii="仿宋_GB2312" w:hAnsi="宋体" w:eastAsia="仿宋_GB2312"/>
          <w:sz w:val="32"/>
          <w:szCs w:val="28"/>
          <w:lang w:val="zh-CN"/>
        </w:rPr>
      </w:pPr>
    </w:p>
    <w:p w14:paraId="32C8496D">
      <w:pPr>
        <w:ind w:firstLine="560" w:firstLineChars="200"/>
        <w:rPr>
          <w:rFonts w:ascii="仿宋_GB2312" w:hAnsi="宋体" w:eastAsia="仿宋_GB2312"/>
          <w:sz w:val="32"/>
          <w:szCs w:val="28"/>
          <w:lang w:val="zh-CN"/>
        </w:rPr>
      </w:pPr>
      <w:r>
        <w:rPr>
          <w:rFonts w:hint="eastAsia" w:ascii="仿宋_GB2312" w:hAnsi="宋体" w:eastAsia="仿宋_GB2312"/>
          <w:sz w:val="28"/>
          <w:szCs w:val="32"/>
          <w:lang w:val="zh-CN"/>
        </w:rPr>
        <w:t xml:space="preserve">         </w:t>
      </w:r>
      <w:r>
        <w:rPr>
          <w:rFonts w:ascii="仿宋_GB2312" w:hAnsi="宋体" w:eastAsia="仿宋_GB2312"/>
          <w:sz w:val="28"/>
          <w:szCs w:val="32"/>
          <w:lang w:val="zh-CN"/>
        </w:rPr>
        <w:t xml:space="preserve"> </w:t>
      </w:r>
      <w:r>
        <w:rPr>
          <w:rFonts w:hint="eastAsia" w:ascii="仿宋_GB2312" w:hAnsi="宋体" w:eastAsia="仿宋_GB2312"/>
          <w:sz w:val="28"/>
          <w:szCs w:val="32"/>
          <w:lang w:val="en-US" w:eastAsia="zh-CN"/>
        </w:rPr>
        <w:t xml:space="preserve">     </w:t>
      </w:r>
      <w:r>
        <w:rPr>
          <w:rFonts w:ascii="仿宋_GB2312" w:hAnsi="宋体" w:eastAsia="仿宋_GB2312"/>
          <w:sz w:val="28"/>
          <w:szCs w:val="32"/>
          <w:lang w:val="zh-CN"/>
        </w:rPr>
        <w:t xml:space="preserve">  </w:t>
      </w:r>
      <w:r>
        <w:rPr>
          <w:rFonts w:hint="eastAsia" w:ascii="仿宋_GB2312" w:hAnsi="宋体" w:eastAsia="仿宋_GB2312"/>
          <w:sz w:val="28"/>
          <w:szCs w:val="32"/>
          <w:lang w:val="en-US" w:eastAsia="zh-CN"/>
        </w:rPr>
        <w:t xml:space="preserve"> </w:t>
      </w:r>
      <w:r>
        <w:rPr>
          <w:rFonts w:ascii="仿宋_GB2312" w:hAnsi="宋体" w:eastAsia="仿宋_GB2312"/>
          <w:sz w:val="28"/>
          <w:szCs w:val="32"/>
          <w:lang w:val="zh-CN"/>
        </w:rPr>
        <w:t xml:space="preserve">   </w:t>
      </w:r>
      <w:r>
        <w:rPr>
          <w:rFonts w:hint="eastAsia" w:ascii="仿宋_GB2312" w:hAnsi="宋体" w:eastAsia="仿宋_GB2312"/>
          <w:sz w:val="32"/>
          <w:szCs w:val="28"/>
          <w:lang w:val="zh-CN"/>
        </w:rPr>
        <w:t>团体标准《</w:t>
      </w:r>
      <w:r>
        <w:rPr>
          <w:rFonts w:hint="eastAsia" w:ascii="仿宋_GB2312" w:hAnsi="宋体" w:eastAsia="仿宋_GB2312"/>
          <w:sz w:val="32"/>
          <w:szCs w:val="28"/>
          <w:lang w:val="zh-CN" w:eastAsia="zh-CN"/>
        </w:rPr>
        <w:t>六堡茶年份茶品鉴指南</w:t>
      </w:r>
      <w:r>
        <w:rPr>
          <w:rFonts w:hint="eastAsia" w:ascii="仿宋_GB2312" w:hAnsi="宋体" w:eastAsia="仿宋_GB2312"/>
          <w:sz w:val="32"/>
          <w:szCs w:val="28"/>
          <w:lang w:val="zh-CN"/>
        </w:rPr>
        <w:t>》</w:t>
      </w:r>
    </w:p>
    <w:p w14:paraId="39968886">
      <w:pPr>
        <w:ind w:firstLine="5760" w:firstLineChars="1800"/>
        <w:rPr>
          <w:rFonts w:ascii="仿宋_GB2312" w:hAnsi="宋体" w:eastAsia="仿宋_GB2312"/>
          <w:sz w:val="32"/>
          <w:szCs w:val="28"/>
          <w:lang w:val="zh-CN"/>
        </w:rPr>
      </w:pPr>
      <w:r>
        <w:rPr>
          <w:rFonts w:hint="eastAsia" w:ascii="仿宋_GB2312" w:hAnsi="宋体" w:eastAsia="仿宋_GB2312"/>
          <w:sz w:val="32"/>
          <w:szCs w:val="28"/>
          <w:lang w:val="zh-CN"/>
        </w:rPr>
        <w:t>标准编制小组</w:t>
      </w:r>
    </w:p>
    <w:p w14:paraId="05F69ABF">
      <w:pPr>
        <w:ind w:firstLine="640" w:firstLineChars="200"/>
        <w:rPr>
          <w:rFonts w:ascii="仿宋_GB2312" w:hAnsi="宋体" w:eastAsia="仿宋_GB2312"/>
          <w:sz w:val="32"/>
          <w:szCs w:val="28"/>
          <w:lang w:val="zh-CN"/>
        </w:rPr>
      </w:pPr>
      <w:r>
        <w:rPr>
          <w:rFonts w:hint="eastAsia" w:ascii="仿宋_GB2312" w:hAnsi="宋体" w:eastAsia="仿宋_GB2312"/>
          <w:sz w:val="32"/>
          <w:szCs w:val="28"/>
          <w:lang w:val="zh-CN"/>
        </w:rPr>
        <w:t xml:space="preserve">                    </w:t>
      </w:r>
      <w:r>
        <w:rPr>
          <w:rFonts w:hint="eastAsia" w:ascii="仿宋_GB2312" w:hAnsi="宋体" w:eastAsia="仿宋_GB2312"/>
          <w:sz w:val="32"/>
          <w:szCs w:val="28"/>
          <w:lang w:val="en-US" w:eastAsia="zh-CN"/>
        </w:rPr>
        <w:t xml:space="preserve">  </w:t>
      </w:r>
      <w:r>
        <w:rPr>
          <w:rFonts w:hint="eastAsia" w:ascii="仿宋_GB2312" w:hAnsi="宋体" w:eastAsia="仿宋_GB2312"/>
          <w:sz w:val="32"/>
          <w:szCs w:val="28"/>
          <w:lang w:val="zh-CN"/>
        </w:rPr>
        <w:t xml:space="preserve">     </w:t>
      </w:r>
      <w:r>
        <w:rPr>
          <w:rFonts w:ascii="仿宋_GB2312" w:hAnsi="宋体" w:eastAsia="仿宋_GB2312"/>
          <w:sz w:val="32"/>
          <w:szCs w:val="28"/>
          <w:lang w:val="zh-CN"/>
        </w:rPr>
        <w:t xml:space="preserve">   </w:t>
      </w:r>
      <w:r>
        <w:rPr>
          <w:rFonts w:hint="eastAsia" w:ascii="仿宋_GB2312" w:hAnsi="宋体" w:eastAsia="仿宋_GB2312"/>
          <w:sz w:val="32"/>
          <w:szCs w:val="28"/>
          <w:lang w:val="zh-CN"/>
        </w:rPr>
        <w:t>202</w:t>
      </w:r>
      <w:r>
        <w:rPr>
          <w:rFonts w:ascii="仿宋_GB2312" w:hAnsi="宋体" w:eastAsia="仿宋_GB2312"/>
          <w:sz w:val="32"/>
          <w:szCs w:val="28"/>
          <w:lang w:val="zh-CN"/>
        </w:rPr>
        <w:t>4</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11</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20</w:t>
      </w:r>
      <w:r>
        <w:rPr>
          <w:rFonts w:hint="eastAsia" w:ascii="仿宋_GB2312" w:hAnsi="宋体" w:eastAsia="仿宋_GB2312"/>
          <w:sz w:val="32"/>
          <w:szCs w:val="28"/>
          <w:lang w:val="zh-CN"/>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953CD11-E7AD-422C-AD34-E29113DAAB09}"/>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embedRegular r:id="rId2" w:fontKey="{86970B08-A6F5-4043-BA48-9629F409AD78}"/>
  </w:font>
  <w:font w:name="仿宋_GB2312">
    <w:panose1 w:val="02010609030101010101"/>
    <w:charset w:val="86"/>
    <w:family w:val="modern"/>
    <w:pitch w:val="default"/>
    <w:sig w:usb0="00000001" w:usb1="080E0000" w:usb2="00000000" w:usb3="00000000" w:csb0="00040000" w:csb1="00000000"/>
    <w:embedRegular r:id="rId3" w:fontKey="{EABAD55E-62FF-498E-99DD-E01296F7602E}"/>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embedRegular r:id="rId4" w:fontKey="{2C3C8A99-80B1-490E-9BE0-1FF40EA49337}"/>
  </w:font>
  <w:font w:name="仿宋">
    <w:panose1 w:val="02010609060101010101"/>
    <w:charset w:val="86"/>
    <w:family w:val="auto"/>
    <w:pitch w:val="default"/>
    <w:sig w:usb0="800002BF" w:usb1="38CF7CFA" w:usb2="00000016" w:usb3="00000000" w:csb0="00040001" w:csb1="00000000"/>
  </w:font>
  <w:font w:name="方正小标宋简体">
    <w:panose1 w:val="03000509000000000000"/>
    <w:charset w:val="86"/>
    <w:family w:val="script"/>
    <w:pitch w:val="default"/>
    <w:sig w:usb0="00000001" w:usb1="080E0000" w:usb2="00000000" w:usb3="00000000" w:csb0="00040000" w:csb1="00000000"/>
    <w:embedRegular r:id="rId5" w:fontKey="{907DC2E9-AD95-4938-955E-395B03F16285}"/>
  </w:font>
  <w:font w:name="楷体">
    <w:panose1 w:val="02010609060101010101"/>
    <w:charset w:val="86"/>
    <w:family w:val="modern"/>
    <w:pitch w:val="default"/>
    <w:sig w:usb0="800002BF" w:usb1="38CF7CFA" w:usb2="00000016" w:usb3="00000000" w:csb0="00040001" w:csb1="00000000"/>
    <w:embedRegular r:id="rId6" w:fontKey="{1F52293D-D6B9-48A8-8FEF-1DFEB75C621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212968"/>
    </w:sdtPr>
    <w:sdtContent>
      <w:p w14:paraId="4F7BBBEB">
        <w:pPr>
          <w:pStyle w:val="6"/>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Pr>
            <w:rFonts w:ascii="宋体" w:hAnsi="宋体"/>
            <w:sz w:val="32"/>
            <w:szCs w:val="32"/>
            <w:lang w:val="zh-CN"/>
          </w:rPr>
          <w:t>14</w:t>
        </w:r>
        <w:r>
          <w:rPr>
            <w:rFonts w:ascii="宋体" w:hAnsi="宋体"/>
            <w:sz w:val="32"/>
            <w:szCs w:val="32"/>
          </w:rPr>
          <w:fldChar w:fldCharType="end"/>
        </w:r>
      </w:p>
    </w:sdtContent>
  </w:sdt>
  <w:p w14:paraId="43A34DCD">
    <w:pPr>
      <w:pStyle w:val="6"/>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E1DC9D"/>
    <w:multiLevelType w:val="multilevel"/>
    <w:tmpl w:val="F6E1DC9D"/>
    <w:lvl w:ilvl="0" w:tentative="0">
      <w:start w:val="1"/>
      <w:numFmt w:val="none"/>
      <w:pStyle w:val="55"/>
      <w:lvlText w:val="%1——"/>
      <w:lvlJc w:val="left"/>
      <w:pPr>
        <w:tabs>
          <w:tab w:val="left" w:pos="851"/>
        </w:tabs>
        <w:ind w:left="851" w:hanging="426"/>
      </w:pPr>
      <w:rPr>
        <w:rFonts w:hint="eastAsia" w:ascii="宋体" w:hAnsi="Times New Roman" w:eastAsia="宋体" w:cs="宋体"/>
        <w:b w:val="0"/>
        <w:i w:val="0"/>
        <w:sz w:val="21"/>
      </w:rPr>
    </w:lvl>
    <w:lvl w:ilvl="1" w:tentative="0">
      <w:start w:val="1"/>
      <w:numFmt w:val="none"/>
      <w:lvlText w:val=""/>
      <w:lvlJc w:val="left"/>
      <w:pPr>
        <w:ind w:left="851" w:hanging="431"/>
      </w:pPr>
      <w:rPr>
        <w:rFonts w:ascii="Symbol" w:hAnsi="Symbol" w:cs="Symbol"/>
        <w:sz w:val="21"/>
      </w:rPr>
    </w:lvl>
    <w:lvl w:ilvl="2" w:tentative="0">
      <w:start w:val="1"/>
      <w:numFmt w:val="bullet"/>
      <w:lvlText w:val=""/>
      <w:lvlJc w:val="left"/>
      <w:pPr>
        <w:ind w:left="851" w:hanging="426"/>
      </w:pPr>
      <w:rPr>
        <w:rFonts w:hint="default" w:ascii="Wingdings" w:hAnsi="Wingdings" w:cs="Wingdings"/>
        <w:sz w:val="21"/>
      </w:rPr>
    </w:lvl>
    <w:lvl w:ilvl="3" w:tentative="0">
      <w:start w:val="1"/>
      <w:numFmt w:val="decimal"/>
      <w:lvlText w:val="%4."/>
      <w:lvlJc w:val="left"/>
      <w:pPr>
        <w:tabs>
          <w:tab w:val="left" w:pos="2071"/>
        </w:tabs>
        <w:ind w:left="1884" w:hanging="528"/>
      </w:pPr>
    </w:lvl>
    <w:lvl w:ilvl="4" w:tentative="0">
      <w:start w:val="1"/>
      <w:numFmt w:val="lowerLetter"/>
      <w:lvlText w:val="%5)"/>
      <w:lvlJc w:val="left"/>
      <w:pPr>
        <w:tabs>
          <w:tab w:val="left" w:pos="2383"/>
        </w:tabs>
        <w:ind w:left="2196" w:hanging="528"/>
      </w:pPr>
    </w:lvl>
    <w:lvl w:ilvl="5" w:tentative="0">
      <w:start w:val="1"/>
      <w:numFmt w:val="lowerRoman"/>
      <w:lvlText w:val="%6."/>
      <w:lvlJc w:val="right"/>
      <w:pPr>
        <w:tabs>
          <w:tab w:val="left" w:pos="2695"/>
        </w:tabs>
        <w:ind w:left="2508" w:hanging="528"/>
      </w:pPr>
    </w:lvl>
    <w:lvl w:ilvl="6" w:tentative="0">
      <w:start w:val="1"/>
      <w:numFmt w:val="decimal"/>
      <w:lvlText w:val="%7."/>
      <w:lvlJc w:val="left"/>
      <w:pPr>
        <w:tabs>
          <w:tab w:val="left" w:pos="3007"/>
        </w:tabs>
        <w:ind w:left="2820" w:hanging="528"/>
      </w:pPr>
    </w:lvl>
    <w:lvl w:ilvl="7" w:tentative="0">
      <w:start w:val="1"/>
      <w:numFmt w:val="lowerLetter"/>
      <w:lvlText w:val="%8)"/>
      <w:lvlJc w:val="left"/>
      <w:pPr>
        <w:tabs>
          <w:tab w:val="left" w:pos="3319"/>
        </w:tabs>
        <w:ind w:left="3132" w:hanging="528"/>
      </w:pPr>
    </w:lvl>
    <w:lvl w:ilvl="8" w:tentative="0">
      <w:start w:val="1"/>
      <w:numFmt w:val="lowerRoman"/>
      <w:lvlText w:val="%9."/>
      <w:lvlJc w:val="right"/>
      <w:pPr>
        <w:tabs>
          <w:tab w:val="left" w:pos="3631"/>
        </w:tabs>
        <w:ind w:left="3444" w:hanging="528"/>
      </w:pPr>
    </w:lvl>
  </w:abstractNum>
  <w:abstractNum w:abstractNumId="1">
    <w:nsid w:val="F7EC27CF"/>
    <w:multiLevelType w:val="singleLevel"/>
    <w:tmpl w:val="F7EC27CF"/>
    <w:lvl w:ilvl="0" w:tentative="0">
      <w:start w:val="4"/>
      <w:numFmt w:val="chineseCounting"/>
      <w:suff w:val="nothing"/>
      <w:lvlText w:val="（%1）"/>
      <w:lvlJc w:val="left"/>
      <w:rPr>
        <w:rFonts w:hint="eastAsia"/>
      </w:rPr>
    </w:lvl>
  </w:abstractNum>
  <w:abstractNum w:abstractNumId="2">
    <w:nsid w:val="079102AD"/>
    <w:multiLevelType w:val="multilevel"/>
    <w:tmpl w:val="079102AD"/>
    <w:lvl w:ilvl="0" w:tentative="0">
      <w:start w:val="1"/>
      <w:numFmt w:val="decimal"/>
      <w:pStyle w:val="50"/>
      <w:suff w:val="nothing"/>
      <w:lvlText w:val="注%1："/>
      <w:lvlJc w:val="left"/>
      <w:pPr>
        <w:ind w:left="1440"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1FC91163"/>
    <w:multiLevelType w:val="multilevel"/>
    <w:tmpl w:val="1FC91163"/>
    <w:lvl w:ilvl="0" w:tentative="0">
      <w:start w:val="1"/>
      <w:numFmt w:val="decimal"/>
      <w:pStyle w:val="34"/>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3"/>
      <w:suff w:val="nothing"/>
      <w:lvlText w:val="%1.%2　"/>
      <w:lvlJc w:val="left"/>
      <w:pPr>
        <w:ind w:left="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35"/>
      <w:suff w:val="nothing"/>
      <w:lvlText w:val="%1.%2.%3　"/>
      <w:lvlJc w:val="left"/>
      <w:pPr>
        <w:ind w:left="4361" w:firstLine="0"/>
      </w:pPr>
      <w:rPr>
        <w:rFonts w:hint="eastAsia" w:ascii="黑体" w:hAnsi="Times New Roman" w:eastAsia="黑体"/>
        <w:b w:val="0"/>
        <w:i w:val="0"/>
        <w:sz w:val="21"/>
      </w:rPr>
    </w:lvl>
    <w:lvl w:ilvl="3" w:tentative="0">
      <w:start w:val="1"/>
      <w:numFmt w:val="decimal"/>
      <w:pStyle w:val="36"/>
      <w:suff w:val="nothing"/>
      <w:lvlText w:val="%1.%2.%3.%4　"/>
      <w:lvlJc w:val="left"/>
      <w:pPr>
        <w:ind w:left="0" w:firstLine="0"/>
      </w:pPr>
      <w:rPr>
        <w:rFonts w:hint="eastAsia" w:ascii="黑体" w:hAnsi="Times New Roman" w:eastAsia="黑体"/>
        <w:b w:val="0"/>
        <w:i w:val="0"/>
        <w:sz w:val="21"/>
      </w:rPr>
    </w:lvl>
    <w:lvl w:ilvl="4" w:tentative="0">
      <w:start w:val="1"/>
      <w:numFmt w:val="decimal"/>
      <w:pStyle w:val="37"/>
      <w:suff w:val="nothing"/>
      <w:lvlText w:val="%1.%2.%3.%4.%5　"/>
      <w:lvlJc w:val="left"/>
      <w:pPr>
        <w:ind w:left="840" w:firstLine="0"/>
      </w:pPr>
      <w:rPr>
        <w:rFonts w:hint="eastAsia" w:ascii="黑体" w:hAnsi="Times New Roman" w:eastAsia="黑体"/>
        <w:b w:val="0"/>
        <w:i w:val="0"/>
        <w:sz w:val="21"/>
      </w:rPr>
    </w:lvl>
    <w:lvl w:ilvl="5" w:tentative="0">
      <w:start w:val="1"/>
      <w:numFmt w:val="decimal"/>
      <w:pStyle w:val="38"/>
      <w:suff w:val="nothing"/>
      <w:lvlText w:val="%1.%2.%3.%4.%5.%6　"/>
      <w:lvlJc w:val="left"/>
      <w:pPr>
        <w:ind w:left="-420" w:firstLine="0"/>
      </w:pPr>
      <w:rPr>
        <w:rFonts w:hint="eastAsia" w:ascii="黑体" w:hAnsi="Times New Roman" w:eastAsia="黑体"/>
        <w:b w:val="0"/>
        <w:i w:val="0"/>
        <w:sz w:val="21"/>
      </w:rPr>
    </w:lvl>
    <w:lvl w:ilvl="6" w:tentative="0">
      <w:start w:val="1"/>
      <w:numFmt w:val="decimal"/>
      <w:suff w:val="nothing"/>
      <w:lvlText w:val="%1%2.%3.%4.%5.%6.%7　"/>
      <w:lvlJc w:val="left"/>
      <w:pPr>
        <w:ind w:left="-420" w:firstLine="0"/>
      </w:pPr>
      <w:rPr>
        <w:rFonts w:hint="eastAsia" w:ascii="黑体" w:hAnsi="Times New Roman" w:eastAsia="黑体"/>
        <w:b w:val="0"/>
        <w:i w:val="0"/>
        <w:sz w:val="21"/>
      </w:rPr>
    </w:lvl>
    <w:lvl w:ilvl="7" w:tentative="0">
      <w:start w:val="1"/>
      <w:numFmt w:val="decimal"/>
      <w:lvlText w:val="%1.%2.%3.%4.%5.%6.%7.%8"/>
      <w:lvlJc w:val="left"/>
      <w:pPr>
        <w:tabs>
          <w:tab w:val="left" w:pos="3931"/>
        </w:tabs>
        <w:ind w:left="3549" w:hanging="1418"/>
      </w:pPr>
      <w:rPr>
        <w:rFonts w:hint="eastAsia"/>
      </w:rPr>
    </w:lvl>
    <w:lvl w:ilvl="8" w:tentative="0">
      <w:start w:val="1"/>
      <w:numFmt w:val="decimal"/>
      <w:lvlText w:val="%1.%2.%3.%4.%5.%6.%7.%8.%9"/>
      <w:lvlJc w:val="left"/>
      <w:pPr>
        <w:tabs>
          <w:tab w:val="left" w:pos="4357"/>
        </w:tabs>
        <w:ind w:left="4257" w:hanging="1700"/>
      </w:pPr>
      <w:rPr>
        <w:rFonts w:hint="eastAsia"/>
      </w:rPr>
    </w:lvl>
  </w:abstractNum>
  <w:abstractNum w:abstractNumId="4">
    <w:nsid w:val="5603797C"/>
    <w:multiLevelType w:val="multilevel"/>
    <w:tmpl w:val="5603797C"/>
    <w:lvl w:ilvl="0" w:tentative="0">
      <w:start w:val="1"/>
      <w:numFmt w:val="upperLetter"/>
      <w:pStyle w:val="47"/>
      <w:suff w:val="space"/>
      <w:lvlText w:val="%1"/>
      <w:lvlJc w:val="left"/>
      <w:pPr>
        <w:ind w:left="425" w:hanging="425"/>
      </w:pPr>
      <w:rPr>
        <w:rFonts w:hint="eastAsia"/>
      </w:rPr>
    </w:lvl>
    <w:lvl w:ilvl="1" w:tentative="0">
      <w:start w:val="1"/>
      <w:numFmt w:val="decimal"/>
      <w:pStyle w:val="46"/>
      <w:suff w:val="space"/>
      <w:lvlText w:val="表%1.%2"/>
      <w:lvlJc w:val="center"/>
      <w:pPr>
        <w:ind w:left="0" w:firstLine="0"/>
      </w:pPr>
      <w:rPr>
        <w:rFonts w:hint="eastAsia" w:ascii="黑体" w:eastAsia="黑体"/>
        <w:sz w:val="21"/>
        <w:lang w:val="en-US"/>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646260FA"/>
    <w:multiLevelType w:val="multilevel"/>
    <w:tmpl w:val="646260FA"/>
    <w:lvl w:ilvl="0" w:tentative="0">
      <w:start w:val="1"/>
      <w:numFmt w:val="decimal"/>
      <w:pStyle w:val="44"/>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6">
    <w:nsid w:val="6CEA2025"/>
    <w:multiLevelType w:val="multilevel"/>
    <w:tmpl w:val="6CEA2025"/>
    <w:lvl w:ilvl="0" w:tentative="0">
      <w:start w:val="1"/>
      <w:numFmt w:val="none"/>
      <w:pStyle w:val="29"/>
      <w:suff w:val="nothing"/>
      <w:lvlText w:val="%1"/>
      <w:lvlJc w:val="left"/>
      <w:pPr>
        <w:ind w:left="0" w:firstLine="0"/>
      </w:pPr>
      <w:rPr>
        <w:rFonts w:hint="eastAsia"/>
      </w:rPr>
    </w:lvl>
    <w:lvl w:ilvl="1" w:tentative="0">
      <w:start w:val="1"/>
      <w:numFmt w:val="decimal"/>
      <w:pStyle w:val="27"/>
      <w:suff w:val="nothing"/>
      <w:lvlText w:val="%1%2　"/>
      <w:lvlJc w:val="left"/>
      <w:pPr>
        <w:ind w:left="0" w:firstLine="0"/>
      </w:pPr>
      <w:rPr>
        <w:rFonts w:hint="eastAsia" w:ascii="黑体" w:eastAsia="黑体"/>
        <w:b w:val="0"/>
        <w:i w:val="0"/>
        <w:sz w:val="21"/>
      </w:rPr>
    </w:lvl>
    <w:lvl w:ilvl="2" w:tentative="0">
      <w:start w:val="1"/>
      <w:numFmt w:val="decimal"/>
      <w:pStyle w:val="28"/>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23"/>
      <w:suff w:val="nothing"/>
      <w:lvlText w:val="%1%2.%3.%4　"/>
      <w:lvlJc w:val="left"/>
      <w:pPr>
        <w:ind w:left="0" w:firstLine="0"/>
      </w:pPr>
      <w:rPr>
        <w:rFonts w:hint="eastAsia" w:ascii="黑体" w:eastAsia="黑体"/>
        <w:b w:val="0"/>
        <w:i w:val="0"/>
        <w:sz w:val="21"/>
      </w:rPr>
    </w:lvl>
    <w:lvl w:ilvl="4" w:tentative="0">
      <w:start w:val="1"/>
      <w:numFmt w:val="decimal"/>
      <w:pStyle w:val="24"/>
      <w:suff w:val="nothing"/>
      <w:lvlText w:val="%1%2.%3.%4.%5　"/>
      <w:lvlJc w:val="left"/>
      <w:pPr>
        <w:ind w:left="0" w:firstLine="0"/>
      </w:pPr>
      <w:rPr>
        <w:rFonts w:hint="eastAsia" w:ascii="黑体" w:eastAsia="黑体"/>
        <w:b w:val="0"/>
        <w:i w:val="0"/>
        <w:sz w:val="21"/>
      </w:rPr>
    </w:lvl>
    <w:lvl w:ilvl="5" w:tentative="0">
      <w:start w:val="1"/>
      <w:numFmt w:val="decimal"/>
      <w:pStyle w:val="25"/>
      <w:suff w:val="nothing"/>
      <w:lvlText w:val="%1%2.%3.%4.%5.%6　"/>
      <w:lvlJc w:val="left"/>
      <w:pPr>
        <w:ind w:left="0" w:firstLine="0"/>
      </w:pPr>
      <w:rPr>
        <w:rFonts w:hint="eastAsia" w:ascii="黑体" w:eastAsia="黑体"/>
        <w:b w:val="0"/>
        <w:i w:val="0"/>
        <w:sz w:val="21"/>
      </w:rPr>
    </w:lvl>
    <w:lvl w:ilvl="6" w:tentative="0">
      <w:start w:val="1"/>
      <w:numFmt w:val="decimal"/>
      <w:pStyle w:val="26"/>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7">
    <w:nsid w:val="6D210EE5"/>
    <w:multiLevelType w:val="singleLevel"/>
    <w:tmpl w:val="6D210EE5"/>
    <w:lvl w:ilvl="0" w:tentative="0">
      <w:start w:val="4"/>
      <w:numFmt w:val="chineseCounting"/>
      <w:suff w:val="nothing"/>
      <w:lvlText w:val="%1、"/>
      <w:lvlJc w:val="left"/>
      <w:rPr>
        <w:rFonts w:hint="eastAsia"/>
      </w:rPr>
    </w:lvl>
  </w:abstractNum>
  <w:num w:numId="1">
    <w:abstractNumId w:val="6"/>
  </w:num>
  <w:num w:numId="2">
    <w:abstractNumId w:val="3"/>
  </w:num>
  <w:num w:numId="3">
    <w:abstractNumId w:val="1"/>
  </w:num>
  <w:num w:numId="4">
    <w:abstractNumId w:val="5"/>
  </w:num>
  <w:num w:numId="5">
    <w:abstractNumId w:val="4"/>
  </w:num>
  <w:num w:numId="6">
    <w:abstractNumId w:val="2"/>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52F40A7A"/>
    <w:rsid w:val="00002030"/>
    <w:rsid w:val="00004B01"/>
    <w:rsid w:val="00004C4A"/>
    <w:rsid w:val="000073E2"/>
    <w:rsid w:val="00010BF3"/>
    <w:rsid w:val="00010E6E"/>
    <w:rsid w:val="0001162D"/>
    <w:rsid w:val="0001346F"/>
    <w:rsid w:val="000172E1"/>
    <w:rsid w:val="0001783B"/>
    <w:rsid w:val="00021C3C"/>
    <w:rsid w:val="00022A5F"/>
    <w:rsid w:val="000252AF"/>
    <w:rsid w:val="000255B1"/>
    <w:rsid w:val="00031C67"/>
    <w:rsid w:val="00036A4E"/>
    <w:rsid w:val="00036BAC"/>
    <w:rsid w:val="00040FDC"/>
    <w:rsid w:val="00045D6D"/>
    <w:rsid w:val="00047E64"/>
    <w:rsid w:val="00050D8A"/>
    <w:rsid w:val="00052EF2"/>
    <w:rsid w:val="00057AD3"/>
    <w:rsid w:val="00070361"/>
    <w:rsid w:val="00070749"/>
    <w:rsid w:val="00072AE1"/>
    <w:rsid w:val="00074C76"/>
    <w:rsid w:val="00075056"/>
    <w:rsid w:val="0008582A"/>
    <w:rsid w:val="000877AB"/>
    <w:rsid w:val="0009217D"/>
    <w:rsid w:val="00094586"/>
    <w:rsid w:val="00095094"/>
    <w:rsid w:val="000A029B"/>
    <w:rsid w:val="000A1420"/>
    <w:rsid w:val="000A63E7"/>
    <w:rsid w:val="000A7A8C"/>
    <w:rsid w:val="000A7D1E"/>
    <w:rsid w:val="000B14A3"/>
    <w:rsid w:val="000B15F9"/>
    <w:rsid w:val="000B25F0"/>
    <w:rsid w:val="000C1B17"/>
    <w:rsid w:val="000C5234"/>
    <w:rsid w:val="000C7B94"/>
    <w:rsid w:val="000D092D"/>
    <w:rsid w:val="000D0936"/>
    <w:rsid w:val="000D2085"/>
    <w:rsid w:val="000D2512"/>
    <w:rsid w:val="000D4AA2"/>
    <w:rsid w:val="000D59DE"/>
    <w:rsid w:val="000D5D37"/>
    <w:rsid w:val="000D7675"/>
    <w:rsid w:val="000E68F4"/>
    <w:rsid w:val="000E6DEA"/>
    <w:rsid w:val="000F124B"/>
    <w:rsid w:val="000F3C96"/>
    <w:rsid w:val="000F51A4"/>
    <w:rsid w:val="000F5CC1"/>
    <w:rsid w:val="000F6FC5"/>
    <w:rsid w:val="000F7431"/>
    <w:rsid w:val="000F77A5"/>
    <w:rsid w:val="0010044B"/>
    <w:rsid w:val="00106E48"/>
    <w:rsid w:val="001074C4"/>
    <w:rsid w:val="00113C15"/>
    <w:rsid w:val="00113EE6"/>
    <w:rsid w:val="0011771D"/>
    <w:rsid w:val="00122F32"/>
    <w:rsid w:val="00123812"/>
    <w:rsid w:val="001240E5"/>
    <w:rsid w:val="00124F8C"/>
    <w:rsid w:val="00127C38"/>
    <w:rsid w:val="00127DA2"/>
    <w:rsid w:val="0013283F"/>
    <w:rsid w:val="001409FB"/>
    <w:rsid w:val="0014292D"/>
    <w:rsid w:val="00144CFD"/>
    <w:rsid w:val="00146E1F"/>
    <w:rsid w:val="00147F6F"/>
    <w:rsid w:val="00151C6D"/>
    <w:rsid w:val="00151FAB"/>
    <w:rsid w:val="001521B7"/>
    <w:rsid w:val="00152E1B"/>
    <w:rsid w:val="00164EB5"/>
    <w:rsid w:val="001670A9"/>
    <w:rsid w:val="00171151"/>
    <w:rsid w:val="00171BE7"/>
    <w:rsid w:val="0017232E"/>
    <w:rsid w:val="00172B0C"/>
    <w:rsid w:val="0017337C"/>
    <w:rsid w:val="0017654D"/>
    <w:rsid w:val="00176C27"/>
    <w:rsid w:val="001804FB"/>
    <w:rsid w:val="00184228"/>
    <w:rsid w:val="001901B7"/>
    <w:rsid w:val="00193030"/>
    <w:rsid w:val="00193D3F"/>
    <w:rsid w:val="001A129A"/>
    <w:rsid w:val="001A2C3B"/>
    <w:rsid w:val="001A44D7"/>
    <w:rsid w:val="001A4509"/>
    <w:rsid w:val="001A5698"/>
    <w:rsid w:val="001A5BA4"/>
    <w:rsid w:val="001A60A2"/>
    <w:rsid w:val="001A7A69"/>
    <w:rsid w:val="001B03C8"/>
    <w:rsid w:val="001B08A5"/>
    <w:rsid w:val="001B08C8"/>
    <w:rsid w:val="001B28B9"/>
    <w:rsid w:val="001B6EFC"/>
    <w:rsid w:val="001B74CE"/>
    <w:rsid w:val="001C067E"/>
    <w:rsid w:val="001C0ABF"/>
    <w:rsid w:val="001C2136"/>
    <w:rsid w:val="001C4BEF"/>
    <w:rsid w:val="001C600B"/>
    <w:rsid w:val="001C7C32"/>
    <w:rsid w:val="001D0A9B"/>
    <w:rsid w:val="001D6DFB"/>
    <w:rsid w:val="001E0A61"/>
    <w:rsid w:val="001E2028"/>
    <w:rsid w:val="001E2214"/>
    <w:rsid w:val="001E35AB"/>
    <w:rsid w:val="001E5046"/>
    <w:rsid w:val="001F4B81"/>
    <w:rsid w:val="0020008A"/>
    <w:rsid w:val="002008BD"/>
    <w:rsid w:val="002052DF"/>
    <w:rsid w:val="00205A58"/>
    <w:rsid w:val="00207269"/>
    <w:rsid w:val="002118F0"/>
    <w:rsid w:val="002139BA"/>
    <w:rsid w:val="00214A8A"/>
    <w:rsid w:val="0021627C"/>
    <w:rsid w:val="002242A4"/>
    <w:rsid w:val="0022494F"/>
    <w:rsid w:val="00224C22"/>
    <w:rsid w:val="0022611B"/>
    <w:rsid w:val="002324AB"/>
    <w:rsid w:val="002362C7"/>
    <w:rsid w:val="00240262"/>
    <w:rsid w:val="00240DD0"/>
    <w:rsid w:val="00244076"/>
    <w:rsid w:val="00246898"/>
    <w:rsid w:val="0025067D"/>
    <w:rsid w:val="00255B2D"/>
    <w:rsid w:val="0025708A"/>
    <w:rsid w:val="002602A5"/>
    <w:rsid w:val="00263F21"/>
    <w:rsid w:val="00265259"/>
    <w:rsid w:val="002722E9"/>
    <w:rsid w:val="00274817"/>
    <w:rsid w:val="00275785"/>
    <w:rsid w:val="0027606A"/>
    <w:rsid w:val="002770E7"/>
    <w:rsid w:val="0028089D"/>
    <w:rsid w:val="00286F69"/>
    <w:rsid w:val="00294913"/>
    <w:rsid w:val="00297CC4"/>
    <w:rsid w:val="002A1E5E"/>
    <w:rsid w:val="002A26BA"/>
    <w:rsid w:val="002A32D5"/>
    <w:rsid w:val="002A58A4"/>
    <w:rsid w:val="002A7EEE"/>
    <w:rsid w:val="002B656B"/>
    <w:rsid w:val="002C0A09"/>
    <w:rsid w:val="002C0A5C"/>
    <w:rsid w:val="002C18A8"/>
    <w:rsid w:val="002C322D"/>
    <w:rsid w:val="002C5022"/>
    <w:rsid w:val="002C5836"/>
    <w:rsid w:val="002D4945"/>
    <w:rsid w:val="002D63AD"/>
    <w:rsid w:val="002D6E7D"/>
    <w:rsid w:val="002D7CF5"/>
    <w:rsid w:val="002E3C13"/>
    <w:rsid w:val="002E4CF8"/>
    <w:rsid w:val="002E6378"/>
    <w:rsid w:val="002E6456"/>
    <w:rsid w:val="002F1363"/>
    <w:rsid w:val="002F1CF3"/>
    <w:rsid w:val="002F247A"/>
    <w:rsid w:val="002F2C24"/>
    <w:rsid w:val="002F4F22"/>
    <w:rsid w:val="00305AE4"/>
    <w:rsid w:val="0030658C"/>
    <w:rsid w:val="00306B56"/>
    <w:rsid w:val="003070BD"/>
    <w:rsid w:val="00310580"/>
    <w:rsid w:val="00313604"/>
    <w:rsid w:val="00316BB1"/>
    <w:rsid w:val="00320404"/>
    <w:rsid w:val="003230C1"/>
    <w:rsid w:val="0032577A"/>
    <w:rsid w:val="00332A60"/>
    <w:rsid w:val="00332CD2"/>
    <w:rsid w:val="0033374E"/>
    <w:rsid w:val="0033381E"/>
    <w:rsid w:val="00333E2F"/>
    <w:rsid w:val="00340AA6"/>
    <w:rsid w:val="003438F5"/>
    <w:rsid w:val="0034456A"/>
    <w:rsid w:val="00347C27"/>
    <w:rsid w:val="00350542"/>
    <w:rsid w:val="0035100C"/>
    <w:rsid w:val="00361165"/>
    <w:rsid w:val="00371733"/>
    <w:rsid w:val="00382CF3"/>
    <w:rsid w:val="00384E7B"/>
    <w:rsid w:val="003855F8"/>
    <w:rsid w:val="00386773"/>
    <w:rsid w:val="00387783"/>
    <w:rsid w:val="0039067E"/>
    <w:rsid w:val="003A0843"/>
    <w:rsid w:val="003A0912"/>
    <w:rsid w:val="003A7270"/>
    <w:rsid w:val="003B2175"/>
    <w:rsid w:val="003B58B2"/>
    <w:rsid w:val="003B5E20"/>
    <w:rsid w:val="003B624C"/>
    <w:rsid w:val="003C0EF2"/>
    <w:rsid w:val="003C0F86"/>
    <w:rsid w:val="003C2E41"/>
    <w:rsid w:val="003C41C7"/>
    <w:rsid w:val="003D217A"/>
    <w:rsid w:val="003D35F5"/>
    <w:rsid w:val="003D593D"/>
    <w:rsid w:val="003E3F3F"/>
    <w:rsid w:val="003E3F52"/>
    <w:rsid w:val="003E42C1"/>
    <w:rsid w:val="003F206F"/>
    <w:rsid w:val="003F7245"/>
    <w:rsid w:val="003F76C4"/>
    <w:rsid w:val="004000B9"/>
    <w:rsid w:val="00403C1F"/>
    <w:rsid w:val="004057CB"/>
    <w:rsid w:val="004071AD"/>
    <w:rsid w:val="00414772"/>
    <w:rsid w:val="00416771"/>
    <w:rsid w:val="0042060E"/>
    <w:rsid w:val="00423B26"/>
    <w:rsid w:val="00423DBE"/>
    <w:rsid w:val="00427AB0"/>
    <w:rsid w:val="00427E5F"/>
    <w:rsid w:val="00430FDB"/>
    <w:rsid w:val="00431613"/>
    <w:rsid w:val="00431F05"/>
    <w:rsid w:val="00432FE1"/>
    <w:rsid w:val="004334C2"/>
    <w:rsid w:val="004364E4"/>
    <w:rsid w:val="004370D6"/>
    <w:rsid w:val="004427FE"/>
    <w:rsid w:val="00443C8F"/>
    <w:rsid w:val="00444343"/>
    <w:rsid w:val="004456FA"/>
    <w:rsid w:val="004460F2"/>
    <w:rsid w:val="004464EA"/>
    <w:rsid w:val="00446864"/>
    <w:rsid w:val="00447093"/>
    <w:rsid w:val="004476EC"/>
    <w:rsid w:val="00455DDE"/>
    <w:rsid w:val="00457D76"/>
    <w:rsid w:val="00467F5A"/>
    <w:rsid w:val="004714EA"/>
    <w:rsid w:val="00472AF8"/>
    <w:rsid w:val="00473340"/>
    <w:rsid w:val="00483264"/>
    <w:rsid w:val="00487AD3"/>
    <w:rsid w:val="00487CD5"/>
    <w:rsid w:val="00490B58"/>
    <w:rsid w:val="00495B49"/>
    <w:rsid w:val="004A085B"/>
    <w:rsid w:val="004A558B"/>
    <w:rsid w:val="004A67D6"/>
    <w:rsid w:val="004A6EF8"/>
    <w:rsid w:val="004A70D3"/>
    <w:rsid w:val="004B3E07"/>
    <w:rsid w:val="004B7836"/>
    <w:rsid w:val="004C0DEB"/>
    <w:rsid w:val="004C0F0C"/>
    <w:rsid w:val="004C13CE"/>
    <w:rsid w:val="004C3D65"/>
    <w:rsid w:val="004C4192"/>
    <w:rsid w:val="004C6640"/>
    <w:rsid w:val="004C6D83"/>
    <w:rsid w:val="004D0734"/>
    <w:rsid w:val="004D08F0"/>
    <w:rsid w:val="004D1A39"/>
    <w:rsid w:val="004D2F08"/>
    <w:rsid w:val="004E16F1"/>
    <w:rsid w:val="004E174F"/>
    <w:rsid w:val="004E2A80"/>
    <w:rsid w:val="004F35E4"/>
    <w:rsid w:val="004F632C"/>
    <w:rsid w:val="004F6563"/>
    <w:rsid w:val="004F6860"/>
    <w:rsid w:val="00502ED1"/>
    <w:rsid w:val="00503679"/>
    <w:rsid w:val="00505174"/>
    <w:rsid w:val="00506E71"/>
    <w:rsid w:val="00507F69"/>
    <w:rsid w:val="0052090F"/>
    <w:rsid w:val="00531BFC"/>
    <w:rsid w:val="00531E86"/>
    <w:rsid w:val="00533090"/>
    <w:rsid w:val="005334DC"/>
    <w:rsid w:val="00534C7A"/>
    <w:rsid w:val="00534E76"/>
    <w:rsid w:val="005418E6"/>
    <w:rsid w:val="0054263E"/>
    <w:rsid w:val="00542C6C"/>
    <w:rsid w:val="00543432"/>
    <w:rsid w:val="00543CD4"/>
    <w:rsid w:val="00546648"/>
    <w:rsid w:val="00550516"/>
    <w:rsid w:val="00550AA4"/>
    <w:rsid w:val="00552387"/>
    <w:rsid w:val="0055581B"/>
    <w:rsid w:val="00555B17"/>
    <w:rsid w:val="00556950"/>
    <w:rsid w:val="0055791F"/>
    <w:rsid w:val="00563A69"/>
    <w:rsid w:val="005739E2"/>
    <w:rsid w:val="005742A0"/>
    <w:rsid w:val="00575CAC"/>
    <w:rsid w:val="0058057F"/>
    <w:rsid w:val="00584AE2"/>
    <w:rsid w:val="00584E25"/>
    <w:rsid w:val="00585D6E"/>
    <w:rsid w:val="00587573"/>
    <w:rsid w:val="00596018"/>
    <w:rsid w:val="005A03D0"/>
    <w:rsid w:val="005A22BD"/>
    <w:rsid w:val="005A47E5"/>
    <w:rsid w:val="005A4D84"/>
    <w:rsid w:val="005A56FC"/>
    <w:rsid w:val="005B08D7"/>
    <w:rsid w:val="005B1C23"/>
    <w:rsid w:val="005B2C83"/>
    <w:rsid w:val="005B4F6A"/>
    <w:rsid w:val="005C01D0"/>
    <w:rsid w:val="005C1850"/>
    <w:rsid w:val="005C240D"/>
    <w:rsid w:val="005D0EE5"/>
    <w:rsid w:val="005D103D"/>
    <w:rsid w:val="005D5823"/>
    <w:rsid w:val="005E18D3"/>
    <w:rsid w:val="005E2FE1"/>
    <w:rsid w:val="005E509C"/>
    <w:rsid w:val="005F02EE"/>
    <w:rsid w:val="00601416"/>
    <w:rsid w:val="00603C54"/>
    <w:rsid w:val="00604982"/>
    <w:rsid w:val="00605579"/>
    <w:rsid w:val="00606685"/>
    <w:rsid w:val="006069CB"/>
    <w:rsid w:val="006117A9"/>
    <w:rsid w:val="006179DF"/>
    <w:rsid w:val="006251E7"/>
    <w:rsid w:val="006255F6"/>
    <w:rsid w:val="006255FF"/>
    <w:rsid w:val="0062579B"/>
    <w:rsid w:val="00625952"/>
    <w:rsid w:val="00630EE0"/>
    <w:rsid w:val="006322F0"/>
    <w:rsid w:val="0063304D"/>
    <w:rsid w:val="00634F18"/>
    <w:rsid w:val="0063510B"/>
    <w:rsid w:val="006374FE"/>
    <w:rsid w:val="00637EE1"/>
    <w:rsid w:val="0064237F"/>
    <w:rsid w:val="00643931"/>
    <w:rsid w:val="00643DC2"/>
    <w:rsid w:val="00645B65"/>
    <w:rsid w:val="00647A52"/>
    <w:rsid w:val="00657118"/>
    <w:rsid w:val="00657EE4"/>
    <w:rsid w:val="00663A2D"/>
    <w:rsid w:val="006651FC"/>
    <w:rsid w:val="00676521"/>
    <w:rsid w:val="00676728"/>
    <w:rsid w:val="00676AA0"/>
    <w:rsid w:val="00683E8F"/>
    <w:rsid w:val="006867A4"/>
    <w:rsid w:val="006947E9"/>
    <w:rsid w:val="006A089E"/>
    <w:rsid w:val="006A4180"/>
    <w:rsid w:val="006A4DEF"/>
    <w:rsid w:val="006A558C"/>
    <w:rsid w:val="006A5D51"/>
    <w:rsid w:val="006A6C12"/>
    <w:rsid w:val="006A6C6E"/>
    <w:rsid w:val="006B4680"/>
    <w:rsid w:val="006B4686"/>
    <w:rsid w:val="006B5247"/>
    <w:rsid w:val="006B55BE"/>
    <w:rsid w:val="006C0B35"/>
    <w:rsid w:val="006C2D86"/>
    <w:rsid w:val="006C5D24"/>
    <w:rsid w:val="006C6978"/>
    <w:rsid w:val="006D0ABD"/>
    <w:rsid w:val="006D2529"/>
    <w:rsid w:val="006D4B6C"/>
    <w:rsid w:val="006D4CAF"/>
    <w:rsid w:val="006D7035"/>
    <w:rsid w:val="006D74F1"/>
    <w:rsid w:val="006E0EAE"/>
    <w:rsid w:val="006E3F49"/>
    <w:rsid w:val="006E45C6"/>
    <w:rsid w:val="006E45F0"/>
    <w:rsid w:val="006E5A86"/>
    <w:rsid w:val="006E5D11"/>
    <w:rsid w:val="006E719E"/>
    <w:rsid w:val="006E72AA"/>
    <w:rsid w:val="006E7B72"/>
    <w:rsid w:val="006E7C98"/>
    <w:rsid w:val="006F33AE"/>
    <w:rsid w:val="006F36AF"/>
    <w:rsid w:val="006F579F"/>
    <w:rsid w:val="006F7C18"/>
    <w:rsid w:val="00705791"/>
    <w:rsid w:val="00705DC0"/>
    <w:rsid w:val="00707310"/>
    <w:rsid w:val="007211EB"/>
    <w:rsid w:val="00725661"/>
    <w:rsid w:val="0072647B"/>
    <w:rsid w:val="007317AF"/>
    <w:rsid w:val="00734925"/>
    <w:rsid w:val="0073717B"/>
    <w:rsid w:val="00743324"/>
    <w:rsid w:val="00743BE7"/>
    <w:rsid w:val="007464D8"/>
    <w:rsid w:val="007473CE"/>
    <w:rsid w:val="00750917"/>
    <w:rsid w:val="0075225E"/>
    <w:rsid w:val="0075538B"/>
    <w:rsid w:val="0075649E"/>
    <w:rsid w:val="00756B7A"/>
    <w:rsid w:val="007658D5"/>
    <w:rsid w:val="007723F1"/>
    <w:rsid w:val="0077269F"/>
    <w:rsid w:val="00773D4E"/>
    <w:rsid w:val="0077484C"/>
    <w:rsid w:val="00782FF7"/>
    <w:rsid w:val="00783975"/>
    <w:rsid w:val="00786E8E"/>
    <w:rsid w:val="007908FC"/>
    <w:rsid w:val="00795E8F"/>
    <w:rsid w:val="007A0AB4"/>
    <w:rsid w:val="007A3DBE"/>
    <w:rsid w:val="007A486B"/>
    <w:rsid w:val="007A5147"/>
    <w:rsid w:val="007B3222"/>
    <w:rsid w:val="007B7084"/>
    <w:rsid w:val="007B7D2B"/>
    <w:rsid w:val="007C05E2"/>
    <w:rsid w:val="007C06D1"/>
    <w:rsid w:val="007C14D0"/>
    <w:rsid w:val="007C4BD4"/>
    <w:rsid w:val="007C591F"/>
    <w:rsid w:val="007D2E45"/>
    <w:rsid w:val="007D630D"/>
    <w:rsid w:val="007D643C"/>
    <w:rsid w:val="007E3249"/>
    <w:rsid w:val="007F37EE"/>
    <w:rsid w:val="007F5AD7"/>
    <w:rsid w:val="007F6F3A"/>
    <w:rsid w:val="007F7265"/>
    <w:rsid w:val="007F7C5A"/>
    <w:rsid w:val="0080432C"/>
    <w:rsid w:val="008064A0"/>
    <w:rsid w:val="00810133"/>
    <w:rsid w:val="00812F89"/>
    <w:rsid w:val="00815E3D"/>
    <w:rsid w:val="00816C6C"/>
    <w:rsid w:val="00817D5D"/>
    <w:rsid w:val="00817DA2"/>
    <w:rsid w:val="00817EEE"/>
    <w:rsid w:val="00823A17"/>
    <w:rsid w:val="008252D1"/>
    <w:rsid w:val="00827B75"/>
    <w:rsid w:val="00830741"/>
    <w:rsid w:val="008307C2"/>
    <w:rsid w:val="008349E8"/>
    <w:rsid w:val="008359F3"/>
    <w:rsid w:val="008451F4"/>
    <w:rsid w:val="00846662"/>
    <w:rsid w:val="00846B43"/>
    <w:rsid w:val="00846C7D"/>
    <w:rsid w:val="00847950"/>
    <w:rsid w:val="008507CD"/>
    <w:rsid w:val="00853B04"/>
    <w:rsid w:val="00853F2E"/>
    <w:rsid w:val="008540BE"/>
    <w:rsid w:val="00854A6E"/>
    <w:rsid w:val="00854E95"/>
    <w:rsid w:val="00862A1E"/>
    <w:rsid w:val="00862B14"/>
    <w:rsid w:val="0086324C"/>
    <w:rsid w:val="0086390E"/>
    <w:rsid w:val="008668A8"/>
    <w:rsid w:val="00866934"/>
    <w:rsid w:val="0087147C"/>
    <w:rsid w:val="008762C2"/>
    <w:rsid w:val="00877AC9"/>
    <w:rsid w:val="008816F1"/>
    <w:rsid w:val="008907C2"/>
    <w:rsid w:val="00892C1C"/>
    <w:rsid w:val="00897050"/>
    <w:rsid w:val="008A137F"/>
    <w:rsid w:val="008A3597"/>
    <w:rsid w:val="008A5EFE"/>
    <w:rsid w:val="008B16C5"/>
    <w:rsid w:val="008B26B0"/>
    <w:rsid w:val="008B5643"/>
    <w:rsid w:val="008B680D"/>
    <w:rsid w:val="008B6C66"/>
    <w:rsid w:val="008B75DD"/>
    <w:rsid w:val="008C3A06"/>
    <w:rsid w:val="008C441E"/>
    <w:rsid w:val="008C5D48"/>
    <w:rsid w:val="008C65ED"/>
    <w:rsid w:val="008C682F"/>
    <w:rsid w:val="008C6AC7"/>
    <w:rsid w:val="008C6BD8"/>
    <w:rsid w:val="008D1373"/>
    <w:rsid w:val="008D4E14"/>
    <w:rsid w:val="008E00E7"/>
    <w:rsid w:val="008E168B"/>
    <w:rsid w:val="008E2021"/>
    <w:rsid w:val="008E3E24"/>
    <w:rsid w:val="008F2DF4"/>
    <w:rsid w:val="008F2F90"/>
    <w:rsid w:val="008F40B5"/>
    <w:rsid w:val="008F75F6"/>
    <w:rsid w:val="009032FB"/>
    <w:rsid w:val="00904023"/>
    <w:rsid w:val="00905603"/>
    <w:rsid w:val="009111EA"/>
    <w:rsid w:val="00911F99"/>
    <w:rsid w:val="009132BF"/>
    <w:rsid w:val="00923F57"/>
    <w:rsid w:val="009309AA"/>
    <w:rsid w:val="00943571"/>
    <w:rsid w:val="00946400"/>
    <w:rsid w:val="00962394"/>
    <w:rsid w:val="00965A51"/>
    <w:rsid w:val="009671CA"/>
    <w:rsid w:val="00967B03"/>
    <w:rsid w:val="0097074C"/>
    <w:rsid w:val="00972962"/>
    <w:rsid w:val="00972FC5"/>
    <w:rsid w:val="00974279"/>
    <w:rsid w:val="00981956"/>
    <w:rsid w:val="00982BD5"/>
    <w:rsid w:val="00983918"/>
    <w:rsid w:val="009918CC"/>
    <w:rsid w:val="0099345D"/>
    <w:rsid w:val="00996984"/>
    <w:rsid w:val="00996C24"/>
    <w:rsid w:val="009A0290"/>
    <w:rsid w:val="009A1E9B"/>
    <w:rsid w:val="009A770B"/>
    <w:rsid w:val="009A7AE8"/>
    <w:rsid w:val="009B05F8"/>
    <w:rsid w:val="009B0913"/>
    <w:rsid w:val="009B0F1C"/>
    <w:rsid w:val="009B3475"/>
    <w:rsid w:val="009B5DAD"/>
    <w:rsid w:val="009B62A8"/>
    <w:rsid w:val="009C01B4"/>
    <w:rsid w:val="009C266D"/>
    <w:rsid w:val="009C27C6"/>
    <w:rsid w:val="009C3228"/>
    <w:rsid w:val="009C4D74"/>
    <w:rsid w:val="009C725B"/>
    <w:rsid w:val="009D23FA"/>
    <w:rsid w:val="009D266B"/>
    <w:rsid w:val="009D61BA"/>
    <w:rsid w:val="009E02E5"/>
    <w:rsid w:val="009E21D2"/>
    <w:rsid w:val="009E36D8"/>
    <w:rsid w:val="009E4104"/>
    <w:rsid w:val="009E6753"/>
    <w:rsid w:val="009E6BEE"/>
    <w:rsid w:val="009E6E38"/>
    <w:rsid w:val="009F07EA"/>
    <w:rsid w:val="009F3D27"/>
    <w:rsid w:val="009F5F47"/>
    <w:rsid w:val="00A00ABF"/>
    <w:rsid w:val="00A01F1F"/>
    <w:rsid w:val="00A06C3F"/>
    <w:rsid w:val="00A07E0F"/>
    <w:rsid w:val="00A11396"/>
    <w:rsid w:val="00A1473A"/>
    <w:rsid w:val="00A14D87"/>
    <w:rsid w:val="00A1543E"/>
    <w:rsid w:val="00A15EF5"/>
    <w:rsid w:val="00A173F3"/>
    <w:rsid w:val="00A17F31"/>
    <w:rsid w:val="00A24BF5"/>
    <w:rsid w:val="00A24FDF"/>
    <w:rsid w:val="00A32B67"/>
    <w:rsid w:val="00A33BC3"/>
    <w:rsid w:val="00A3695A"/>
    <w:rsid w:val="00A417A3"/>
    <w:rsid w:val="00A427B6"/>
    <w:rsid w:val="00A43D07"/>
    <w:rsid w:val="00A51DDB"/>
    <w:rsid w:val="00A53EF2"/>
    <w:rsid w:val="00A56182"/>
    <w:rsid w:val="00A57903"/>
    <w:rsid w:val="00A60B45"/>
    <w:rsid w:val="00A614F7"/>
    <w:rsid w:val="00A72752"/>
    <w:rsid w:val="00A72BE0"/>
    <w:rsid w:val="00A72F2B"/>
    <w:rsid w:val="00A746B4"/>
    <w:rsid w:val="00A74EE5"/>
    <w:rsid w:val="00A761E4"/>
    <w:rsid w:val="00A7661B"/>
    <w:rsid w:val="00A775A4"/>
    <w:rsid w:val="00A819DE"/>
    <w:rsid w:val="00A8557D"/>
    <w:rsid w:val="00A905AF"/>
    <w:rsid w:val="00A912E4"/>
    <w:rsid w:val="00A92404"/>
    <w:rsid w:val="00A93605"/>
    <w:rsid w:val="00A96B83"/>
    <w:rsid w:val="00A9764A"/>
    <w:rsid w:val="00AA0C10"/>
    <w:rsid w:val="00AA376B"/>
    <w:rsid w:val="00AB06B2"/>
    <w:rsid w:val="00AB2DA5"/>
    <w:rsid w:val="00AB436B"/>
    <w:rsid w:val="00AB6D03"/>
    <w:rsid w:val="00AC4B5F"/>
    <w:rsid w:val="00AC62A5"/>
    <w:rsid w:val="00AC6564"/>
    <w:rsid w:val="00AC7271"/>
    <w:rsid w:val="00AD03AD"/>
    <w:rsid w:val="00AD16BA"/>
    <w:rsid w:val="00AD6406"/>
    <w:rsid w:val="00AE0409"/>
    <w:rsid w:val="00AE0CC7"/>
    <w:rsid w:val="00AE2E1C"/>
    <w:rsid w:val="00AE3EF8"/>
    <w:rsid w:val="00AE5FAD"/>
    <w:rsid w:val="00AE6884"/>
    <w:rsid w:val="00AE6EDA"/>
    <w:rsid w:val="00AE7736"/>
    <w:rsid w:val="00AE7C04"/>
    <w:rsid w:val="00B001F4"/>
    <w:rsid w:val="00B00783"/>
    <w:rsid w:val="00B0296E"/>
    <w:rsid w:val="00B03ACD"/>
    <w:rsid w:val="00B123DB"/>
    <w:rsid w:val="00B13EFE"/>
    <w:rsid w:val="00B160C4"/>
    <w:rsid w:val="00B16697"/>
    <w:rsid w:val="00B268CE"/>
    <w:rsid w:val="00B27F04"/>
    <w:rsid w:val="00B3000B"/>
    <w:rsid w:val="00B34676"/>
    <w:rsid w:val="00B35959"/>
    <w:rsid w:val="00B42781"/>
    <w:rsid w:val="00B43123"/>
    <w:rsid w:val="00B43B12"/>
    <w:rsid w:val="00B50F53"/>
    <w:rsid w:val="00B53FB2"/>
    <w:rsid w:val="00B540BC"/>
    <w:rsid w:val="00B54EC2"/>
    <w:rsid w:val="00B604A5"/>
    <w:rsid w:val="00B613A1"/>
    <w:rsid w:val="00B6365B"/>
    <w:rsid w:val="00B636A3"/>
    <w:rsid w:val="00B65EC8"/>
    <w:rsid w:val="00B7141F"/>
    <w:rsid w:val="00B80E71"/>
    <w:rsid w:val="00B82DBE"/>
    <w:rsid w:val="00B90BCC"/>
    <w:rsid w:val="00B925F3"/>
    <w:rsid w:val="00B97929"/>
    <w:rsid w:val="00BB479C"/>
    <w:rsid w:val="00BB6FF5"/>
    <w:rsid w:val="00BC05FC"/>
    <w:rsid w:val="00BC171F"/>
    <w:rsid w:val="00BC2F6B"/>
    <w:rsid w:val="00BC2F96"/>
    <w:rsid w:val="00BC4455"/>
    <w:rsid w:val="00BD0E64"/>
    <w:rsid w:val="00BD10BC"/>
    <w:rsid w:val="00BD2791"/>
    <w:rsid w:val="00BD2CBA"/>
    <w:rsid w:val="00BD4E78"/>
    <w:rsid w:val="00BD62CB"/>
    <w:rsid w:val="00BD7550"/>
    <w:rsid w:val="00BE5140"/>
    <w:rsid w:val="00BE7BC2"/>
    <w:rsid w:val="00BF0016"/>
    <w:rsid w:val="00BF5764"/>
    <w:rsid w:val="00C03202"/>
    <w:rsid w:val="00C075FE"/>
    <w:rsid w:val="00C13F3F"/>
    <w:rsid w:val="00C17CA3"/>
    <w:rsid w:val="00C2083A"/>
    <w:rsid w:val="00C2476C"/>
    <w:rsid w:val="00C256DF"/>
    <w:rsid w:val="00C27BAE"/>
    <w:rsid w:val="00C27EE3"/>
    <w:rsid w:val="00C30F95"/>
    <w:rsid w:val="00C31177"/>
    <w:rsid w:val="00C3291B"/>
    <w:rsid w:val="00C33069"/>
    <w:rsid w:val="00C3316E"/>
    <w:rsid w:val="00C332A3"/>
    <w:rsid w:val="00C4029B"/>
    <w:rsid w:val="00C4082F"/>
    <w:rsid w:val="00C42251"/>
    <w:rsid w:val="00C42D43"/>
    <w:rsid w:val="00C468FA"/>
    <w:rsid w:val="00C46D76"/>
    <w:rsid w:val="00C512F4"/>
    <w:rsid w:val="00C53498"/>
    <w:rsid w:val="00C53C8B"/>
    <w:rsid w:val="00C552A1"/>
    <w:rsid w:val="00C576EA"/>
    <w:rsid w:val="00C62B66"/>
    <w:rsid w:val="00C632E5"/>
    <w:rsid w:val="00C670C8"/>
    <w:rsid w:val="00C71A2A"/>
    <w:rsid w:val="00C729D5"/>
    <w:rsid w:val="00C74827"/>
    <w:rsid w:val="00C751EC"/>
    <w:rsid w:val="00C77D35"/>
    <w:rsid w:val="00C86E93"/>
    <w:rsid w:val="00C93DB8"/>
    <w:rsid w:val="00C955A5"/>
    <w:rsid w:val="00CB013D"/>
    <w:rsid w:val="00CB598E"/>
    <w:rsid w:val="00CC2F39"/>
    <w:rsid w:val="00CC315E"/>
    <w:rsid w:val="00CC35A5"/>
    <w:rsid w:val="00CC6A91"/>
    <w:rsid w:val="00CC7931"/>
    <w:rsid w:val="00CD2054"/>
    <w:rsid w:val="00CD5F20"/>
    <w:rsid w:val="00CD6DD2"/>
    <w:rsid w:val="00CE0644"/>
    <w:rsid w:val="00CE0EE1"/>
    <w:rsid w:val="00CE2C95"/>
    <w:rsid w:val="00CE45EC"/>
    <w:rsid w:val="00CE4E86"/>
    <w:rsid w:val="00CF0C38"/>
    <w:rsid w:val="00CF3ECE"/>
    <w:rsid w:val="00CF45E1"/>
    <w:rsid w:val="00CF746A"/>
    <w:rsid w:val="00D007BE"/>
    <w:rsid w:val="00D0154F"/>
    <w:rsid w:val="00D0439E"/>
    <w:rsid w:val="00D04BBD"/>
    <w:rsid w:val="00D04C92"/>
    <w:rsid w:val="00D127DD"/>
    <w:rsid w:val="00D129C1"/>
    <w:rsid w:val="00D31E19"/>
    <w:rsid w:val="00D35563"/>
    <w:rsid w:val="00D4017B"/>
    <w:rsid w:val="00D413C7"/>
    <w:rsid w:val="00D41F6E"/>
    <w:rsid w:val="00D44366"/>
    <w:rsid w:val="00D45485"/>
    <w:rsid w:val="00D45A60"/>
    <w:rsid w:val="00D52670"/>
    <w:rsid w:val="00D52D3A"/>
    <w:rsid w:val="00D5472A"/>
    <w:rsid w:val="00D55E67"/>
    <w:rsid w:val="00D570E4"/>
    <w:rsid w:val="00D603FD"/>
    <w:rsid w:val="00D61555"/>
    <w:rsid w:val="00D624BF"/>
    <w:rsid w:val="00D64185"/>
    <w:rsid w:val="00D6448D"/>
    <w:rsid w:val="00D6621F"/>
    <w:rsid w:val="00D732B5"/>
    <w:rsid w:val="00D74029"/>
    <w:rsid w:val="00D77265"/>
    <w:rsid w:val="00D77F0F"/>
    <w:rsid w:val="00D901D5"/>
    <w:rsid w:val="00D91693"/>
    <w:rsid w:val="00D94810"/>
    <w:rsid w:val="00DA0E02"/>
    <w:rsid w:val="00DA36F2"/>
    <w:rsid w:val="00DA4DAC"/>
    <w:rsid w:val="00DB077E"/>
    <w:rsid w:val="00DC0876"/>
    <w:rsid w:val="00DC3084"/>
    <w:rsid w:val="00DC325A"/>
    <w:rsid w:val="00DC39B3"/>
    <w:rsid w:val="00DC5650"/>
    <w:rsid w:val="00DC6A64"/>
    <w:rsid w:val="00DD1E0C"/>
    <w:rsid w:val="00DE0E4E"/>
    <w:rsid w:val="00DE3986"/>
    <w:rsid w:val="00DE5F16"/>
    <w:rsid w:val="00DF3ABD"/>
    <w:rsid w:val="00DF5055"/>
    <w:rsid w:val="00DF5A2F"/>
    <w:rsid w:val="00DF6063"/>
    <w:rsid w:val="00DF671D"/>
    <w:rsid w:val="00E0037A"/>
    <w:rsid w:val="00E01EB8"/>
    <w:rsid w:val="00E0763C"/>
    <w:rsid w:val="00E077CA"/>
    <w:rsid w:val="00E10D4E"/>
    <w:rsid w:val="00E114CE"/>
    <w:rsid w:val="00E153B5"/>
    <w:rsid w:val="00E165A6"/>
    <w:rsid w:val="00E2048F"/>
    <w:rsid w:val="00E22B90"/>
    <w:rsid w:val="00E2587A"/>
    <w:rsid w:val="00E266E5"/>
    <w:rsid w:val="00E34012"/>
    <w:rsid w:val="00E34597"/>
    <w:rsid w:val="00E34744"/>
    <w:rsid w:val="00E352F7"/>
    <w:rsid w:val="00E36A2F"/>
    <w:rsid w:val="00E40928"/>
    <w:rsid w:val="00E44E39"/>
    <w:rsid w:val="00E50B46"/>
    <w:rsid w:val="00E54082"/>
    <w:rsid w:val="00E55B1A"/>
    <w:rsid w:val="00E57F20"/>
    <w:rsid w:val="00E71F30"/>
    <w:rsid w:val="00E75003"/>
    <w:rsid w:val="00E75D8A"/>
    <w:rsid w:val="00E769C9"/>
    <w:rsid w:val="00E77A73"/>
    <w:rsid w:val="00E801DC"/>
    <w:rsid w:val="00E82889"/>
    <w:rsid w:val="00E857AA"/>
    <w:rsid w:val="00E85B5D"/>
    <w:rsid w:val="00E87031"/>
    <w:rsid w:val="00E91AD0"/>
    <w:rsid w:val="00E93D18"/>
    <w:rsid w:val="00EA04C0"/>
    <w:rsid w:val="00EB013C"/>
    <w:rsid w:val="00EB27B6"/>
    <w:rsid w:val="00EB341E"/>
    <w:rsid w:val="00EB360A"/>
    <w:rsid w:val="00EB5476"/>
    <w:rsid w:val="00EB7532"/>
    <w:rsid w:val="00EC06F7"/>
    <w:rsid w:val="00EC22A2"/>
    <w:rsid w:val="00EC5B56"/>
    <w:rsid w:val="00ED0847"/>
    <w:rsid w:val="00ED1D5B"/>
    <w:rsid w:val="00ED5650"/>
    <w:rsid w:val="00EE49F6"/>
    <w:rsid w:val="00EE4D8C"/>
    <w:rsid w:val="00EE745B"/>
    <w:rsid w:val="00EE78B6"/>
    <w:rsid w:val="00EE7D57"/>
    <w:rsid w:val="00F0301A"/>
    <w:rsid w:val="00F042E7"/>
    <w:rsid w:val="00F115C7"/>
    <w:rsid w:val="00F13400"/>
    <w:rsid w:val="00F226C9"/>
    <w:rsid w:val="00F24FBB"/>
    <w:rsid w:val="00F26D9C"/>
    <w:rsid w:val="00F313B7"/>
    <w:rsid w:val="00F3374D"/>
    <w:rsid w:val="00F33B63"/>
    <w:rsid w:val="00F43E2B"/>
    <w:rsid w:val="00F469E3"/>
    <w:rsid w:val="00F51980"/>
    <w:rsid w:val="00F63710"/>
    <w:rsid w:val="00F67BB0"/>
    <w:rsid w:val="00F70FCD"/>
    <w:rsid w:val="00F718EB"/>
    <w:rsid w:val="00F732E3"/>
    <w:rsid w:val="00F73D6A"/>
    <w:rsid w:val="00F755BF"/>
    <w:rsid w:val="00F77801"/>
    <w:rsid w:val="00F77D16"/>
    <w:rsid w:val="00F804F9"/>
    <w:rsid w:val="00F8690F"/>
    <w:rsid w:val="00F8731F"/>
    <w:rsid w:val="00F900BE"/>
    <w:rsid w:val="00F9435B"/>
    <w:rsid w:val="00F972A0"/>
    <w:rsid w:val="00FA2720"/>
    <w:rsid w:val="00FA3E1B"/>
    <w:rsid w:val="00FA576C"/>
    <w:rsid w:val="00FA77B1"/>
    <w:rsid w:val="00FB047A"/>
    <w:rsid w:val="00FB0E82"/>
    <w:rsid w:val="00FC08CE"/>
    <w:rsid w:val="00FC0E0B"/>
    <w:rsid w:val="00FC1F81"/>
    <w:rsid w:val="00FC599D"/>
    <w:rsid w:val="00FC68A8"/>
    <w:rsid w:val="00FD15E7"/>
    <w:rsid w:val="00FD16A7"/>
    <w:rsid w:val="00FD19C3"/>
    <w:rsid w:val="00FD3708"/>
    <w:rsid w:val="00FD482A"/>
    <w:rsid w:val="00FE19BD"/>
    <w:rsid w:val="00FE253C"/>
    <w:rsid w:val="00FE377D"/>
    <w:rsid w:val="00FF0EF1"/>
    <w:rsid w:val="00FF1C92"/>
    <w:rsid w:val="00FF3472"/>
    <w:rsid w:val="00FF455E"/>
    <w:rsid w:val="00FF6348"/>
    <w:rsid w:val="00FF683B"/>
    <w:rsid w:val="012073A2"/>
    <w:rsid w:val="01973053"/>
    <w:rsid w:val="027E74CA"/>
    <w:rsid w:val="03443858"/>
    <w:rsid w:val="034B5463"/>
    <w:rsid w:val="037046DE"/>
    <w:rsid w:val="03A964DC"/>
    <w:rsid w:val="04702B56"/>
    <w:rsid w:val="04DB3C44"/>
    <w:rsid w:val="09222717"/>
    <w:rsid w:val="0CF43C8A"/>
    <w:rsid w:val="0D4967B3"/>
    <w:rsid w:val="0DA87EC0"/>
    <w:rsid w:val="0DB3012C"/>
    <w:rsid w:val="0F447B05"/>
    <w:rsid w:val="0FEC3E14"/>
    <w:rsid w:val="12286499"/>
    <w:rsid w:val="12A53D1F"/>
    <w:rsid w:val="134C146A"/>
    <w:rsid w:val="13DD5CD2"/>
    <w:rsid w:val="14377FD0"/>
    <w:rsid w:val="14856F74"/>
    <w:rsid w:val="15C0748F"/>
    <w:rsid w:val="16174E54"/>
    <w:rsid w:val="16BE53A8"/>
    <w:rsid w:val="17A35DDF"/>
    <w:rsid w:val="18787EC5"/>
    <w:rsid w:val="19E84073"/>
    <w:rsid w:val="1ABF6B15"/>
    <w:rsid w:val="1AE259D8"/>
    <w:rsid w:val="1AEF3D03"/>
    <w:rsid w:val="1B7E0E69"/>
    <w:rsid w:val="1C136E65"/>
    <w:rsid w:val="1CC031EA"/>
    <w:rsid w:val="1E582E45"/>
    <w:rsid w:val="1EFA407E"/>
    <w:rsid w:val="1F126151"/>
    <w:rsid w:val="204131A1"/>
    <w:rsid w:val="207B506F"/>
    <w:rsid w:val="21604DF6"/>
    <w:rsid w:val="21873EBE"/>
    <w:rsid w:val="21B878C1"/>
    <w:rsid w:val="22723962"/>
    <w:rsid w:val="23496F3C"/>
    <w:rsid w:val="241C4DDC"/>
    <w:rsid w:val="24CD0EEF"/>
    <w:rsid w:val="24D067A5"/>
    <w:rsid w:val="2568796F"/>
    <w:rsid w:val="260764AC"/>
    <w:rsid w:val="27640417"/>
    <w:rsid w:val="29204D61"/>
    <w:rsid w:val="29F563F0"/>
    <w:rsid w:val="2B97780B"/>
    <w:rsid w:val="2CCB46E5"/>
    <w:rsid w:val="2E2A5CB9"/>
    <w:rsid w:val="2E6073FD"/>
    <w:rsid w:val="2F24002C"/>
    <w:rsid w:val="31AE15C3"/>
    <w:rsid w:val="31FF6CE2"/>
    <w:rsid w:val="351D1F86"/>
    <w:rsid w:val="35BB3EF4"/>
    <w:rsid w:val="369C4E13"/>
    <w:rsid w:val="386B0FD9"/>
    <w:rsid w:val="3933479C"/>
    <w:rsid w:val="396D1326"/>
    <w:rsid w:val="3B97665A"/>
    <w:rsid w:val="3DB37F03"/>
    <w:rsid w:val="3E046715"/>
    <w:rsid w:val="3EE2552D"/>
    <w:rsid w:val="3F040261"/>
    <w:rsid w:val="41F615F3"/>
    <w:rsid w:val="4671391C"/>
    <w:rsid w:val="46ED03C2"/>
    <w:rsid w:val="479E48B1"/>
    <w:rsid w:val="484F252F"/>
    <w:rsid w:val="4A8A1CA2"/>
    <w:rsid w:val="4B011028"/>
    <w:rsid w:val="4C661C38"/>
    <w:rsid w:val="4C9A5EA5"/>
    <w:rsid w:val="4EE2079C"/>
    <w:rsid w:val="4F4E509D"/>
    <w:rsid w:val="50D543D0"/>
    <w:rsid w:val="51885345"/>
    <w:rsid w:val="52F40A7A"/>
    <w:rsid w:val="53AB37CE"/>
    <w:rsid w:val="555F515E"/>
    <w:rsid w:val="56FD190E"/>
    <w:rsid w:val="579529A0"/>
    <w:rsid w:val="57C57BE5"/>
    <w:rsid w:val="593908DE"/>
    <w:rsid w:val="5B20154B"/>
    <w:rsid w:val="5DB11630"/>
    <w:rsid w:val="5EB85928"/>
    <w:rsid w:val="5F7F05A5"/>
    <w:rsid w:val="60090E87"/>
    <w:rsid w:val="616855EF"/>
    <w:rsid w:val="62E269BE"/>
    <w:rsid w:val="63273FE2"/>
    <w:rsid w:val="633C4553"/>
    <w:rsid w:val="635E1DC8"/>
    <w:rsid w:val="63F8153B"/>
    <w:rsid w:val="66BF71C4"/>
    <w:rsid w:val="67CE2B39"/>
    <w:rsid w:val="68A1291D"/>
    <w:rsid w:val="68B76BCA"/>
    <w:rsid w:val="68D12C7B"/>
    <w:rsid w:val="693646B5"/>
    <w:rsid w:val="69604790"/>
    <w:rsid w:val="6F100594"/>
    <w:rsid w:val="6FB05B67"/>
    <w:rsid w:val="70241AA7"/>
    <w:rsid w:val="7028162B"/>
    <w:rsid w:val="7221670E"/>
    <w:rsid w:val="72BB3CBA"/>
    <w:rsid w:val="73222030"/>
    <w:rsid w:val="73FB2F08"/>
    <w:rsid w:val="74B64137"/>
    <w:rsid w:val="76552FDB"/>
    <w:rsid w:val="77A46809"/>
    <w:rsid w:val="784A713A"/>
    <w:rsid w:val="793E45B1"/>
    <w:rsid w:val="7A5B26E7"/>
    <w:rsid w:val="7A610B9B"/>
    <w:rsid w:val="7AFA5663"/>
    <w:rsid w:val="7C8141C6"/>
    <w:rsid w:val="7CD95DB0"/>
    <w:rsid w:val="7DAB739D"/>
    <w:rsid w:val="7E9755DB"/>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3"/>
    <w:basedOn w:val="1"/>
    <w:next w:val="1"/>
    <w:semiHidden/>
    <w:unhideWhenUsed/>
    <w:qFormat/>
    <w:uiPriority w:val="0"/>
    <w:pPr>
      <w:spacing w:beforeAutospacing="1" w:afterAutospacing="1"/>
      <w:jc w:val="left"/>
      <w:outlineLvl w:val="2"/>
    </w:pPr>
    <w:rPr>
      <w:rFonts w:hint="eastAsia" w:ascii="宋体" w:hAnsi="宋体"/>
      <w:b/>
      <w:kern w:val="0"/>
      <w:sz w:val="27"/>
      <w:szCs w:val="27"/>
    </w:rPr>
  </w:style>
  <w:style w:type="character" w:default="1" w:styleId="13">
    <w:name w:val="Default Paragraph Font"/>
    <w:semiHidden/>
    <w:unhideWhenUsed/>
    <w:qFormat/>
    <w:uiPriority w:val="1"/>
  </w:style>
  <w:style w:type="table" w:default="1" w:styleId="11">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3">
    <w:name w:val="annotation text"/>
    <w:basedOn w:val="1"/>
    <w:link w:val="48"/>
    <w:semiHidden/>
    <w:unhideWhenUsed/>
    <w:qFormat/>
    <w:uiPriority w:val="0"/>
    <w:pPr>
      <w:jc w:val="left"/>
    </w:pPr>
  </w:style>
  <w:style w:type="paragraph" w:styleId="4">
    <w:name w:val="Body Text"/>
    <w:basedOn w:val="1"/>
    <w:link w:val="43"/>
    <w:unhideWhenUsed/>
    <w:qFormat/>
    <w:uiPriority w:val="99"/>
    <w:pPr>
      <w:ind w:left="109"/>
    </w:pPr>
    <w:rPr>
      <w:rFonts w:ascii="仿宋_GB2312" w:hAnsi="仿宋_GB2312" w:eastAsia="仿宋_GB2312" w:cs="Calibri"/>
      <w:sz w:val="32"/>
    </w:rPr>
  </w:style>
  <w:style w:type="paragraph" w:styleId="5">
    <w:name w:val="Balloon Text"/>
    <w:basedOn w:val="1"/>
    <w:link w:val="22"/>
    <w:qFormat/>
    <w:uiPriority w:val="0"/>
    <w:rPr>
      <w:sz w:val="18"/>
      <w:szCs w:val="18"/>
    </w:rPr>
  </w:style>
  <w:style w:type="paragraph" w:styleId="6">
    <w:name w:val="footer"/>
    <w:basedOn w:val="1"/>
    <w:link w:val="21"/>
    <w:qFormat/>
    <w:uiPriority w:val="99"/>
    <w:pPr>
      <w:tabs>
        <w:tab w:val="center" w:pos="4153"/>
        <w:tab w:val="right" w:pos="8306"/>
      </w:tabs>
      <w:snapToGrid w:val="0"/>
      <w:jc w:val="left"/>
    </w:pPr>
    <w:rPr>
      <w:sz w:val="18"/>
      <w:szCs w:val="18"/>
    </w:rPr>
  </w:style>
  <w:style w:type="paragraph" w:styleId="7">
    <w:name w:val="header"/>
    <w:basedOn w:val="1"/>
    <w:link w:val="20"/>
    <w:qFormat/>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link w:val="41"/>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9">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10">
    <w:name w:val="annotation subject"/>
    <w:basedOn w:val="3"/>
    <w:next w:val="3"/>
    <w:link w:val="49"/>
    <w:semiHidden/>
    <w:unhideWhenUsed/>
    <w:qFormat/>
    <w:uiPriority w:val="0"/>
    <w:rPr>
      <w:b/>
      <w:bCs/>
    </w:rPr>
  </w:style>
  <w:style w:type="table" w:styleId="12">
    <w:name w:val="Table Grid"/>
    <w:basedOn w:val="11"/>
    <w:qFormat/>
    <w:uiPriority w:val="39"/>
    <w:rPr>
      <w:rFonts w:asciiTheme="minorHAnsi" w:hAnsiTheme="minorHAnsi" w:eastAsiaTheme="minorEastAsia" w:cstheme="minorBid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Hyperlink"/>
    <w:basedOn w:val="13"/>
    <w:unhideWhenUsed/>
    <w:qFormat/>
    <w:uiPriority w:val="99"/>
    <w:rPr>
      <w:color w:val="0000FF"/>
      <w:u w:val="single"/>
    </w:rPr>
  </w:style>
  <w:style w:type="character" w:styleId="16">
    <w:name w:val="annotation reference"/>
    <w:basedOn w:val="13"/>
    <w:semiHidden/>
    <w:unhideWhenUsed/>
    <w:qFormat/>
    <w:uiPriority w:val="0"/>
    <w:rPr>
      <w:sz w:val="21"/>
      <w:szCs w:val="21"/>
    </w:rPr>
  </w:style>
  <w:style w:type="paragraph" w:styleId="17">
    <w:name w:val="List Paragraph"/>
    <w:basedOn w:val="1"/>
    <w:qFormat/>
    <w:uiPriority w:val="0"/>
    <w:pPr>
      <w:ind w:firstLine="420" w:firstLineChars="200"/>
    </w:pPr>
    <w:rPr>
      <w:szCs w:val="22"/>
    </w:rPr>
  </w:style>
  <w:style w:type="paragraph" w:customStyle="1" w:styleId="18">
    <w:name w:val="标准文件_段"/>
    <w:link w:val="19"/>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19">
    <w:name w:val="标准文件_段 Char"/>
    <w:link w:val="18"/>
    <w:qFormat/>
    <w:uiPriority w:val="0"/>
    <w:rPr>
      <w:rFonts w:ascii="宋体"/>
      <w:sz w:val="21"/>
    </w:rPr>
  </w:style>
  <w:style w:type="character" w:customStyle="1" w:styleId="20">
    <w:name w:val="页眉 字符"/>
    <w:basedOn w:val="13"/>
    <w:link w:val="7"/>
    <w:qFormat/>
    <w:uiPriority w:val="0"/>
    <w:rPr>
      <w:rFonts w:ascii="Times New Roman" w:hAnsi="Times New Roman"/>
      <w:kern w:val="2"/>
      <w:sz w:val="18"/>
      <w:szCs w:val="18"/>
    </w:rPr>
  </w:style>
  <w:style w:type="character" w:customStyle="1" w:styleId="21">
    <w:name w:val="页脚 字符"/>
    <w:basedOn w:val="13"/>
    <w:link w:val="6"/>
    <w:qFormat/>
    <w:uiPriority w:val="99"/>
    <w:rPr>
      <w:rFonts w:ascii="Times New Roman" w:hAnsi="Times New Roman"/>
      <w:kern w:val="2"/>
      <w:sz w:val="18"/>
      <w:szCs w:val="18"/>
    </w:rPr>
  </w:style>
  <w:style w:type="character" w:customStyle="1" w:styleId="22">
    <w:name w:val="批注框文本 字符"/>
    <w:basedOn w:val="13"/>
    <w:link w:val="5"/>
    <w:qFormat/>
    <w:uiPriority w:val="0"/>
    <w:rPr>
      <w:rFonts w:ascii="Times New Roman" w:hAnsi="Times New Roman"/>
      <w:kern w:val="2"/>
      <w:sz w:val="18"/>
      <w:szCs w:val="18"/>
    </w:rPr>
  </w:style>
  <w:style w:type="paragraph" w:customStyle="1" w:styleId="23">
    <w:name w:val="标准文件_二级条标题"/>
    <w:next w:val="18"/>
    <w:qFormat/>
    <w:uiPriority w:val="0"/>
    <w:pPr>
      <w:widowControl w:val="0"/>
      <w:numPr>
        <w:ilvl w:val="3"/>
        <w:numId w:val="1"/>
      </w:numPr>
      <w:spacing w:beforeLines="50" w:afterLines="50"/>
      <w:jc w:val="both"/>
      <w:outlineLvl w:val="2"/>
    </w:pPr>
    <w:rPr>
      <w:rFonts w:ascii="黑体" w:hAnsi="Times New Roman" w:eastAsia="黑体" w:cs="Times New Roman"/>
      <w:sz w:val="21"/>
      <w:lang w:val="en-US" w:eastAsia="zh-CN" w:bidi="ar-SA"/>
    </w:rPr>
  </w:style>
  <w:style w:type="paragraph" w:customStyle="1" w:styleId="24">
    <w:name w:val="标准文件_三级条标题"/>
    <w:basedOn w:val="23"/>
    <w:next w:val="18"/>
    <w:qFormat/>
    <w:uiPriority w:val="0"/>
    <w:pPr>
      <w:widowControl/>
      <w:numPr>
        <w:ilvl w:val="4"/>
      </w:numPr>
      <w:outlineLvl w:val="3"/>
    </w:pPr>
  </w:style>
  <w:style w:type="paragraph" w:customStyle="1" w:styleId="25">
    <w:name w:val="标准文件_四级条标题"/>
    <w:next w:val="18"/>
    <w:qFormat/>
    <w:uiPriority w:val="0"/>
    <w:pPr>
      <w:widowControl w:val="0"/>
      <w:numPr>
        <w:ilvl w:val="5"/>
        <w:numId w:val="1"/>
      </w:numPr>
      <w:spacing w:beforeLines="50" w:afterLines="50"/>
      <w:jc w:val="both"/>
      <w:outlineLvl w:val="4"/>
    </w:pPr>
    <w:rPr>
      <w:rFonts w:ascii="黑体" w:hAnsi="Times New Roman" w:eastAsia="黑体" w:cs="Times New Roman"/>
      <w:sz w:val="21"/>
      <w:lang w:val="en-US" w:eastAsia="zh-CN" w:bidi="ar-SA"/>
    </w:rPr>
  </w:style>
  <w:style w:type="paragraph" w:customStyle="1" w:styleId="26">
    <w:name w:val="标准文件_五级条标题"/>
    <w:next w:val="18"/>
    <w:qFormat/>
    <w:uiPriority w:val="0"/>
    <w:pPr>
      <w:widowControl w:val="0"/>
      <w:numPr>
        <w:ilvl w:val="6"/>
        <w:numId w:val="1"/>
      </w:numPr>
      <w:spacing w:beforeLines="50" w:afterLines="50"/>
      <w:jc w:val="both"/>
      <w:outlineLvl w:val="5"/>
    </w:pPr>
    <w:rPr>
      <w:rFonts w:ascii="黑体" w:hAnsi="Times New Roman" w:eastAsia="黑体" w:cs="Times New Roman"/>
      <w:sz w:val="21"/>
      <w:lang w:val="en-US" w:eastAsia="zh-CN" w:bidi="ar-SA"/>
    </w:rPr>
  </w:style>
  <w:style w:type="paragraph" w:customStyle="1" w:styleId="27">
    <w:name w:val="标准文件_章标题"/>
    <w:next w:val="18"/>
    <w:qFormat/>
    <w:uiPriority w:val="0"/>
    <w:pPr>
      <w:numPr>
        <w:ilvl w:val="1"/>
        <w:numId w:val="1"/>
      </w:numPr>
      <w:spacing w:beforeLines="100" w:afterLines="100"/>
      <w:jc w:val="both"/>
      <w:outlineLvl w:val="0"/>
    </w:pPr>
    <w:rPr>
      <w:rFonts w:ascii="黑体" w:hAnsi="Times New Roman" w:eastAsia="黑体" w:cs="Times New Roman"/>
      <w:sz w:val="21"/>
      <w:lang w:val="en-US" w:eastAsia="zh-CN" w:bidi="ar-SA"/>
    </w:rPr>
  </w:style>
  <w:style w:type="paragraph" w:customStyle="1" w:styleId="28">
    <w:name w:val="标准文件_一级条标题"/>
    <w:basedOn w:val="27"/>
    <w:next w:val="18"/>
    <w:qFormat/>
    <w:uiPriority w:val="0"/>
    <w:pPr>
      <w:numPr>
        <w:ilvl w:val="2"/>
      </w:numPr>
      <w:spacing w:beforeLines="50" w:afterLines="50"/>
      <w:outlineLvl w:val="1"/>
    </w:pPr>
  </w:style>
  <w:style w:type="paragraph" w:customStyle="1" w:styleId="29">
    <w:name w:val="前言标题"/>
    <w:next w:val="1"/>
    <w:qFormat/>
    <w:uiPriority w:val="0"/>
    <w:pPr>
      <w:numPr>
        <w:ilvl w:val="0"/>
        <w:numId w:val="1"/>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30">
    <w:name w:val="标准文件_二级无标题"/>
    <w:basedOn w:val="23"/>
    <w:qFormat/>
    <w:uiPriority w:val="0"/>
    <w:pPr>
      <w:spacing w:beforeLines="0" w:afterLines="0"/>
      <w:outlineLvl w:val="9"/>
    </w:pPr>
    <w:rPr>
      <w:rFonts w:ascii="宋体" w:eastAsia="宋体"/>
    </w:rPr>
  </w:style>
  <w:style w:type="character" w:customStyle="1" w:styleId="31">
    <w:name w:val="段 Char"/>
    <w:link w:val="32"/>
    <w:qFormat/>
    <w:uiPriority w:val="0"/>
    <w:rPr>
      <w:rFonts w:ascii="宋体"/>
      <w:sz w:val="21"/>
    </w:rPr>
  </w:style>
  <w:style w:type="paragraph" w:customStyle="1" w:styleId="32">
    <w:name w:val="段"/>
    <w:link w:val="31"/>
    <w:qFormat/>
    <w:uiPriority w:val="0"/>
    <w:pPr>
      <w:autoSpaceDE w:val="0"/>
      <w:autoSpaceDN w:val="0"/>
      <w:ind w:firstLine="200" w:firstLineChars="200"/>
      <w:jc w:val="both"/>
    </w:pPr>
    <w:rPr>
      <w:rFonts w:ascii="宋体" w:hAnsi="Calibri" w:eastAsia="宋体" w:cs="Times New Roman"/>
      <w:sz w:val="21"/>
      <w:lang w:val="en-US" w:eastAsia="zh-CN" w:bidi="ar-SA"/>
    </w:rPr>
  </w:style>
  <w:style w:type="paragraph" w:customStyle="1" w:styleId="33">
    <w:name w:val="一级条标题"/>
    <w:next w:val="32"/>
    <w:qFormat/>
    <w:uiPriority w:val="0"/>
    <w:pPr>
      <w:numPr>
        <w:ilvl w:val="1"/>
        <w:numId w:val="2"/>
      </w:numPr>
      <w:spacing w:beforeLines="50" w:afterLines="50"/>
      <w:outlineLvl w:val="2"/>
    </w:pPr>
    <w:rPr>
      <w:rFonts w:ascii="黑体" w:hAnsi="Times New Roman" w:eastAsia="黑体" w:cs="Times New Roman"/>
      <w:sz w:val="21"/>
      <w:szCs w:val="21"/>
      <w:lang w:val="en-US" w:eastAsia="zh-CN" w:bidi="ar-SA"/>
    </w:rPr>
  </w:style>
  <w:style w:type="paragraph" w:customStyle="1" w:styleId="34">
    <w:name w:val="章标题"/>
    <w:next w:val="32"/>
    <w:qFormat/>
    <w:uiPriority w:val="0"/>
    <w:pPr>
      <w:numPr>
        <w:ilvl w:val="0"/>
        <w:numId w:val="2"/>
      </w:numPr>
      <w:spacing w:beforeLines="100" w:afterLines="100"/>
      <w:jc w:val="both"/>
      <w:outlineLvl w:val="1"/>
    </w:pPr>
    <w:rPr>
      <w:rFonts w:ascii="黑体" w:hAnsi="Times New Roman" w:eastAsia="黑体" w:cs="Times New Roman"/>
      <w:sz w:val="21"/>
      <w:lang w:val="en-US" w:eastAsia="zh-CN" w:bidi="ar-SA"/>
    </w:rPr>
  </w:style>
  <w:style w:type="paragraph" w:customStyle="1" w:styleId="35">
    <w:name w:val="二级条标题"/>
    <w:basedOn w:val="33"/>
    <w:next w:val="32"/>
    <w:qFormat/>
    <w:uiPriority w:val="0"/>
    <w:pPr>
      <w:numPr>
        <w:ilvl w:val="2"/>
      </w:numPr>
      <w:spacing w:before="50" w:after="50"/>
      <w:outlineLvl w:val="3"/>
    </w:pPr>
  </w:style>
  <w:style w:type="paragraph" w:customStyle="1" w:styleId="36">
    <w:name w:val="三级条标题"/>
    <w:basedOn w:val="35"/>
    <w:next w:val="32"/>
    <w:qFormat/>
    <w:uiPriority w:val="0"/>
    <w:pPr>
      <w:numPr>
        <w:ilvl w:val="3"/>
      </w:numPr>
      <w:outlineLvl w:val="4"/>
    </w:pPr>
  </w:style>
  <w:style w:type="paragraph" w:customStyle="1" w:styleId="37">
    <w:name w:val="四级条标题"/>
    <w:basedOn w:val="36"/>
    <w:next w:val="32"/>
    <w:qFormat/>
    <w:uiPriority w:val="0"/>
    <w:pPr>
      <w:numPr>
        <w:ilvl w:val="4"/>
      </w:numPr>
      <w:outlineLvl w:val="5"/>
    </w:pPr>
  </w:style>
  <w:style w:type="paragraph" w:customStyle="1" w:styleId="38">
    <w:name w:val="五级条标题"/>
    <w:basedOn w:val="37"/>
    <w:next w:val="32"/>
    <w:qFormat/>
    <w:uiPriority w:val="0"/>
    <w:pPr>
      <w:numPr>
        <w:ilvl w:val="5"/>
      </w:numPr>
      <w:outlineLvl w:val="6"/>
    </w:pPr>
  </w:style>
  <w:style w:type="paragraph" w:customStyle="1" w:styleId="39">
    <w:name w:val="标准文件_术语条一"/>
    <w:basedOn w:val="1"/>
    <w:next w:val="18"/>
    <w:qFormat/>
    <w:uiPriority w:val="0"/>
    <w:pPr>
      <w:widowControl/>
      <w:numPr>
        <w:ilvl w:val="2"/>
        <w:numId w:val="3"/>
      </w:numPr>
    </w:pPr>
    <w:rPr>
      <w:rFonts w:ascii="宋体"/>
      <w:kern w:val="0"/>
      <w:szCs w:val="20"/>
    </w:rPr>
  </w:style>
  <w:style w:type="paragraph" w:customStyle="1" w:styleId="40">
    <w:name w:val="正文1"/>
    <w:qFormat/>
    <w:uiPriority w:val="0"/>
    <w:pPr>
      <w:jc w:val="both"/>
    </w:pPr>
    <w:rPr>
      <w:rFonts w:ascii="Times New Roman" w:hAnsi="Times New Roman" w:eastAsia="宋体" w:cs="Times New Roman"/>
      <w:kern w:val="2"/>
      <w:sz w:val="21"/>
      <w:szCs w:val="21"/>
      <w:lang w:val="en-US" w:eastAsia="zh-CN" w:bidi="ar-SA"/>
    </w:rPr>
  </w:style>
  <w:style w:type="character" w:customStyle="1" w:styleId="41">
    <w:name w:val="HTML 预设格式 字符"/>
    <w:basedOn w:val="13"/>
    <w:link w:val="8"/>
    <w:qFormat/>
    <w:uiPriority w:val="99"/>
    <w:rPr>
      <w:rFonts w:ascii="宋体" w:hAnsi="宋体" w:cs="宋体"/>
      <w:sz w:val="24"/>
      <w:szCs w:val="24"/>
    </w:rPr>
  </w:style>
  <w:style w:type="paragraph" w:styleId="42">
    <w:name w:val="No Spacing"/>
    <w:qFormat/>
    <w:uiPriority w:val="1"/>
    <w:pPr>
      <w:adjustRightInd w:val="0"/>
      <w:snapToGrid w:val="0"/>
    </w:pPr>
    <w:rPr>
      <w:rFonts w:ascii="Tahoma" w:hAnsi="Tahoma" w:eastAsia="微软雅黑" w:cs="Times New Roman"/>
      <w:sz w:val="22"/>
      <w:szCs w:val="22"/>
      <w:lang w:val="en-US" w:eastAsia="zh-CN" w:bidi="ar-SA"/>
    </w:rPr>
  </w:style>
  <w:style w:type="character" w:customStyle="1" w:styleId="43">
    <w:name w:val="正文文本 字符"/>
    <w:basedOn w:val="13"/>
    <w:link w:val="4"/>
    <w:qFormat/>
    <w:uiPriority w:val="99"/>
    <w:rPr>
      <w:rFonts w:ascii="仿宋_GB2312" w:hAnsi="仿宋_GB2312" w:eastAsia="仿宋_GB2312" w:cs="Calibri"/>
      <w:kern w:val="2"/>
      <w:sz w:val="32"/>
      <w:szCs w:val="24"/>
    </w:rPr>
  </w:style>
  <w:style w:type="paragraph" w:customStyle="1" w:styleId="44">
    <w:name w:val="标准文件_正文表标题"/>
    <w:next w:val="18"/>
    <w:qFormat/>
    <w:uiPriority w:val="0"/>
    <w:pPr>
      <w:numPr>
        <w:ilvl w:val="0"/>
        <w:numId w:val="4"/>
      </w:num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45">
    <w:name w:val="标准文件_表格"/>
    <w:basedOn w:val="18"/>
    <w:qFormat/>
    <w:uiPriority w:val="0"/>
    <w:pPr>
      <w:ind w:firstLine="0" w:firstLineChars="0"/>
      <w:jc w:val="center"/>
    </w:pPr>
    <w:rPr>
      <w:sz w:val="18"/>
    </w:rPr>
  </w:style>
  <w:style w:type="paragraph" w:customStyle="1" w:styleId="46">
    <w:name w:val="标准文件_附录表标题"/>
    <w:next w:val="18"/>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47">
    <w:name w:val="标准文件_附录表标号"/>
    <w:basedOn w:val="18"/>
    <w:next w:val="18"/>
    <w:qFormat/>
    <w:uiPriority w:val="0"/>
    <w:pPr>
      <w:numPr>
        <w:ilvl w:val="0"/>
        <w:numId w:val="5"/>
      </w:numPr>
      <w:spacing w:line="14" w:lineRule="exact"/>
      <w:ind w:firstLine="0" w:firstLineChars="0"/>
      <w:jc w:val="center"/>
    </w:pPr>
    <w:rPr>
      <w:rFonts w:eastAsia="黑体"/>
      <w:vanish/>
      <w:sz w:val="2"/>
    </w:rPr>
  </w:style>
  <w:style w:type="character" w:customStyle="1" w:styleId="48">
    <w:name w:val="批注文字 字符"/>
    <w:basedOn w:val="13"/>
    <w:link w:val="3"/>
    <w:semiHidden/>
    <w:qFormat/>
    <w:uiPriority w:val="0"/>
    <w:rPr>
      <w:rFonts w:ascii="Times New Roman" w:hAnsi="Times New Roman"/>
      <w:kern w:val="2"/>
      <w:sz w:val="21"/>
      <w:szCs w:val="24"/>
    </w:rPr>
  </w:style>
  <w:style w:type="character" w:customStyle="1" w:styleId="49">
    <w:name w:val="批注主题 字符"/>
    <w:basedOn w:val="48"/>
    <w:link w:val="10"/>
    <w:semiHidden/>
    <w:qFormat/>
    <w:uiPriority w:val="0"/>
    <w:rPr>
      <w:rFonts w:ascii="Times New Roman" w:hAnsi="Times New Roman"/>
      <w:b/>
      <w:bCs/>
      <w:kern w:val="2"/>
      <w:sz w:val="21"/>
      <w:szCs w:val="24"/>
    </w:rPr>
  </w:style>
  <w:style w:type="paragraph" w:customStyle="1" w:styleId="50">
    <w:name w:val="标准文件_注×："/>
    <w:qFormat/>
    <w:uiPriority w:val="0"/>
    <w:pPr>
      <w:widowControl w:val="0"/>
      <w:numPr>
        <w:ilvl w:val="0"/>
        <w:numId w:val="6"/>
      </w:numPr>
      <w:autoSpaceDE w:val="0"/>
      <w:autoSpaceDN w:val="0"/>
      <w:ind w:left="811"/>
      <w:jc w:val="both"/>
    </w:pPr>
    <w:rPr>
      <w:rFonts w:ascii="宋体" w:hAnsi="Times New Roman" w:eastAsia="宋体" w:cs="Times New Roman"/>
      <w:sz w:val="18"/>
      <w:szCs w:val="18"/>
      <w:lang w:val="en-US" w:eastAsia="zh-CN" w:bidi="ar-SA"/>
    </w:rPr>
  </w:style>
  <w:style w:type="paragraph" w:customStyle="1" w:styleId="51">
    <w:name w:val="表格内容"/>
    <w:basedOn w:val="1"/>
    <w:autoRedefine/>
    <w:qFormat/>
    <w:uiPriority w:val="0"/>
    <w:pPr>
      <w:jc w:val="center"/>
    </w:pPr>
    <w:rPr>
      <w:rFonts w:ascii="仿宋" w:hAnsi="仿宋" w:eastAsia="仿宋_GB2312" w:cs="仿宋"/>
      <w:sz w:val="24"/>
    </w:rPr>
  </w:style>
  <w:style w:type="paragraph" w:customStyle="1" w:styleId="52">
    <w:name w:val="二级标题"/>
    <w:basedOn w:val="1"/>
    <w:autoRedefine/>
    <w:qFormat/>
    <w:uiPriority w:val="0"/>
    <w:pPr>
      <w:widowControl/>
      <w:tabs>
        <w:tab w:val="center" w:pos="4201"/>
        <w:tab w:val="right" w:leader="dot" w:pos="9298"/>
      </w:tabs>
      <w:autoSpaceDE w:val="0"/>
      <w:autoSpaceDN w:val="0"/>
      <w:spacing w:line="520" w:lineRule="exact"/>
      <w:ind w:firstLine="200" w:firstLineChars="200"/>
      <w:outlineLvl w:val="1"/>
    </w:pPr>
    <w:rPr>
      <w:rFonts w:ascii="仿宋_GB2312" w:eastAsia="仿宋_GB2312"/>
      <w:b/>
      <w:bCs/>
      <w:kern w:val="0"/>
      <w:sz w:val="28"/>
      <w:szCs w:val="28"/>
    </w:rPr>
  </w:style>
  <w:style w:type="paragraph" w:customStyle="1" w:styleId="53">
    <w:name w:val="一级标题"/>
    <w:basedOn w:val="1"/>
    <w:autoRedefine/>
    <w:qFormat/>
    <w:uiPriority w:val="0"/>
    <w:pPr>
      <w:spacing w:line="360" w:lineRule="auto"/>
      <w:ind w:firstLine="200" w:firstLineChars="200"/>
      <w:outlineLvl w:val="0"/>
    </w:pPr>
    <w:rPr>
      <w:rFonts w:eastAsia="黑体"/>
      <w:sz w:val="32"/>
    </w:rPr>
  </w:style>
  <w:style w:type="paragraph" w:customStyle="1" w:styleId="54">
    <w:name w:val="标准文件_一级无标题"/>
    <w:basedOn w:val="28"/>
    <w:qFormat/>
    <w:uiPriority w:val="0"/>
    <w:pPr>
      <w:spacing w:before="0" w:beforeLines="0" w:after="0" w:afterLines="0"/>
      <w:outlineLvl w:val="9"/>
    </w:pPr>
    <w:rPr>
      <w:rFonts w:ascii="宋体" w:eastAsia="宋体"/>
    </w:rPr>
  </w:style>
  <w:style w:type="paragraph" w:customStyle="1" w:styleId="55">
    <w:name w:val="标准文件_一级项"/>
    <w:basedOn w:val="1"/>
    <w:qFormat/>
    <w:uiPriority w:val="0"/>
    <w:pPr>
      <w:keepNext w:val="0"/>
      <w:keepLines w:val="0"/>
      <w:widowControl/>
      <w:numPr>
        <w:ilvl w:val="0"/>
        <w:numId w:val="7"/>
      </w:numPr>
      <w:suppressLineNumbers w:val="0"/>
      <w:adjustRightInd/>
      <w:spacing w:before="0" w:beforeAutospacing="0" w:after="0" w:afterAutospacing="0" w:line="240" w:lineRule="auto"/>
      <w:ind w:left="851" w:right="0" w:hanging="426"/>
      <w:jc w:val="left"/>
    </w:pPr>
    <w:rPr>
      <w:rFonts w:hint="eastAsia" w:ascii="宋体" w:hAnsi="Times New Roman" w:eastAsia="宋体" w:cs="Times New Roman"/>
      <w:kern w:val="0"/>
      <w:sz w:val="21"/>
      <w:szCs w:val="20"/>
      <w:lang w:val="en-US" w:eastAsia="zh-CN" w:bidi="ar"/>
    </w:rPr>
  </w:style>
  <w:style w:type="paragraph" w:customStyle="1" w:styleId="56">
    <w:name w:val="标准文件_三级无标题"/>
    <w:basedOn w:val="24"/>
    <w:qFormat/>
    <w:uiPriority w:val="0"/>
    <w:pPr>
      <w:spacing w:before="0" w:beforeLines="0" w:after="0" w:afterLines="0"/>
      <w:outlineLvl w:val="9"/>
    </w:pPr>
    <w:rPr>
      <w:rFonts w:ascii="宋体" w:eastAsia="宋体"/>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D8E194-DCDD-45F0-B0E4-EE1449686611}">
  <ds:schemaRefs/>
</ds:datastoreItem>
</file>

<file path=docProps/app.xml><?xml version="1.0" encoding="utf-8"?>
<Properties xmlns="http://schemas.openxmlformats.org/officeDocument/2006/extended-properties" xmlns:vt="http://schemas.openxmlformats.org/officeDocument/2006/docPropsVTypes">
  <Template>Normal</Template>
  <Pages>19</Pages>
  <Words>9252</Words>
  <Characters>9841</Characters>
  <Lines>57</Lines>
  <Paragraphs>16</Paragraphs>
  <TotalTime>1</TotalTime>
  <ScaleCrop>false</ScaleCrop>
  <LinksUpToDate>false</LinksUpToDate>
  <CharactersWithSpaces>10000</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2023-06-06T00:40:00Z</dcterms:created>
  <dc:creator>Administrator</dc:creator>
  <cp:lastModifiedBy>XIEX</cp:lastModifiedBy>
  <dcterms:modified xsi:type="dcterms:W3CDTF">2024-11-21T11:23:39Z</dcterms:modified>
  <cp:revision>68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F8011D4260BB43FDB998BD4832D25949_13</vt:lpwstr>
  </property>
</Properties>
</file>