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396B85">
      <w:pPr>
        <w:spacing w:line="600" w:lineRule="exact"/>
        <w:jc w:val="center"/>
        <w:rPr>
          <w:rFonts w:hint="eastAsia"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color w:val="auto"/>
          <w:sz w:val="44"/>
          <w:szCs w:val="44"/>
        </w:rPr>
        <w:t>团体标准《</w:t>
      </w:r>
      <w:r>
        <w:rPr>
          <w:rFonts w:hint="eastAsia" w:ascii="方正小标宋简体" w:hAnsi="方正小标宋简体" w:eastAsia="方正小标宋简体" w:cs="方正小标宋简体"/>
          <w:color w:val="auto"/>
          <w:sz w:val="44"/>
          <w:szCs w:val="44"/>
          <w:lang w:val="en-US" w:eastAsia="zh-CN"/>
        </w:rPr>
        <w:t>桉树林下种植砂仁技术规程</w:t>
      </w:r>
      <w:r>
        <w:rPr>
          <w:rFonts w:hint="eastAsia" w:ascii="方正小标宋简体" w:hAnsi="方正小标宋简体" w:eastAsia="方正小标宋简体" w:cs="方正小标宋简体"/>
          <w:color w:val="auto"/>
          <w:sz w:val="44"/>
          <w:szCs w:val="44"/>
        </w:rPr>
        <w:t>》</w:t>
      </w:r>
    </w:p>
    <w:p w14:paraId="6598E788">
      <w:pPr>
        <w:spacing w:line="600" w:lineRule="exact"/>
        <w:jc w:val="center"/>
        <w:rPr>
          <w:rFonts w:hint="eastAsia"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color w:val="auto"/>
          <w:sz w:val="44"/>
          <w:szCs w:val="44"/>
        </w:rPr>
        <w:t>（</w:t>
      </w:r>
      <w:r>
        <w:rPr>
          <w:rFonts w:hint="eastAsia" w:ascii="方正小标宋简体" w:hAnsi="方正小标宋简体" w:eastAsia="方正小标宋简体" w:cs="方正小标宋简体"/>
          <w:color w:val="auto"/>
          <w:sz w:val="44"/>
          <w:szCs w:val="44"/>
          <w:lang w:val="en-US" w:eastAsia="zh-CN"/>
        </w:rPr>
        <w:t>征求意见</w:t>
      </w:r>
      <w:r>
        <w:rPr>
          <w:rFonts w:hint="eastAsia" w:ascii="方正小标宋简体" w:hAnsi="方正小标宋简体" w:eastAsia="方正小标宋简体" w:cs="方正小标宋简体"/>
          <w:color w:val="auto"/>
          <w:sz w:val="44"/>
          <w:szCs w:val="44"/>
        </w:rPr>
        <w:t>稿）编制说明</w:t>
      </w:r>
    </w:p>
    <w:p w14:paraId="7599731B">
      <w:pPr>
        <w:spacing w:line="560" w:lineRule="exact"/>
        <w:ind w:firstLine="640" w:firstLineChars="200"/>
        <w:rPr>
          <w:rFonts w:hint="eastAsia" w:ascii="黑体" w:hAnsi="黑体" w:eastAsia="黑体" w:cs="黑体"/>
          <w:bCs/>
          <w:color w:val="auto"/>
          <w:sz w:val="32"/>
          <w:szCs w:val="32"/>
        </w:rPr>
      </w:pPr>
    </w:p>
    <w:p w14:paraId="6077408B">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黑体" w:hAnsi="黑体" w:eastAsia="黑体" w:cs="黑体"/>
          <w:bCs/>
          <w:color w:val="auto"/>
          <w:sz w:val="32"/>
          <w:szCs w:val="32"/>
          <w:lang w:eastAsia="zh-CN"/>
        </w:rPr>
      </w:pPr>
      <w:r>
        <w:rPr>
          <w:rFonts w:hint="eastAsia" w:ascii="黑体" w:hAnsi="黑体" w:eastAsia="黑体" w:cs="黑体"/>
          <w:bCs/>
          <w:color w:val="auto"/>
          <w:sz w:val="32"/>
          <w:szCs w:val="32"/>
        </w:rPr>
        <w:t>一、任务来源</w:t>
      </w:r>
      <w:r>
        <w:rPr>
          <w:rFonts w:hint="eastAsia" w:ascii="黑体" w:hAnsi="黑体" w:eastAsia="黑体" w:cs="黑体"/>
          <w:bCs/>
          <w:color w:val="auto"/>
          <w:sz w:val="32"/>
          <w:szCs w:val="32"/>
          <w:lang w:eastAsia="zh-CN"/>
        </w:rPr>
        <w:t>及起草单位</w:t>
      </w:r>
    </w:p>
    <w:p w14:paraId="77D89559">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ascii="仿宋_GB2312" w:hAnsi="宋体" w:eastAsia="仿宋_GB2312"/>
          <w:color w:val="auto"/>
          <w:sz w:val="32"/>
          <w:szCs w:val="28"/>
          <w:lang w:val="zh-CN"/>
        </w:rPr>
      </w:pPr>
      <w:r>
        <w:rPr>
          <w:rFonts w:hint="eastAsia" w:ascii="仿宋_GB2312" w:hAnsi="宋体" w:eastAsia="仿宋_GB2312"/>
          <w:color w:val="auto"/>
          <w:sz w:val="32"/>
          <w:szCs w:val="28"/>
          <w:lang w:val="zh-CN"/>
        </w:rPr>
        <w:t>根据</w:t>
      </w:r>
      <w:r>
        <w:rPr>
          <w:rFonts w:hint="eastAsia" w:ascii="仿宋_GB2312" w:hAnsi="仿宋_GB2312" w:eastAsia="仿宋_GB2312" w:cs="仿宋_GB2312"/>
          <w:sz w:val="32"/>
          <w:szCs w:val="32"/>
          <w:highlight w:val="none"/>
        </w:rPr>
        <w:t>广西标准化协会《关于下达202</w:t>
      </w:r>
      <w:r>
        <w:rPr>
          <w:rFonts w:hint="eastAsia" w:ascii="仿宋_GB2312" w:hAnsi="仿宋_GB2312" w:eastAsia="仿宋_GB2312" w:cs="仿宋_GB2312"/>
          <w:sz w:val="32"/>
          <w:szCs w:val="32"/>
          <w:highlight w:val="none"/>
          <w:lang w:val="en-US" w:eastAsia="zh-CN"/>
        </w:rPr>
        <w:t>4</w:t>
      </w:r>
      <w:r>
        <w:rPr>
          <w:rFonts w:hint="eastAsia" w:ascii="仿宋_GB2312" w:hAnsi="仿宋_GB2312" w:eastAsia="仿宋_GB2312" w:cs="仿宋_GB2312"/>
          <w:sz w:val="32"/>
          <w:szCs w:val="32"/>
          <w:highlight w:val="none"/>
        </w:rPr>
        <w:t>年第</w:t>
      </w:r>
      <w:r>
        <w:rPr>
          <w:rFonts w:hint="eastAsia" w:ascii="仿宋_GB2312" w:hAnsi="仿宋_GB2312" w:eastAsia="仿宋_GB2312" w:cs="仿宋_GB2312"/>
          <w:sz w:val="32"/>
          <w:szCs w:val="32"/>
          <w:highlight w:val="none"/>
          <w:lang w:val="en-US" w:eastAsia="zh-CN"/>
        </w:rPr>
        <w:t>四</w:t>
      </w:r>
      <w:r>
        <w:rPr>
          <w:rFonts w:hint="eastAsia" w:ascii="仿宋_GB2312" w:hAnsi="仿宋_GB2312" w:eastAsia="仿宋_GB2312" w:cs="仿宋_GB2312"/>
          <w:sz w:val="32"/>
          <w:szCs w:val="32"/>
          <w:highlight w:val="none"/>
        </w:rPr>
        <w:t>批广西团体标准制修订项目计划的通知》（桂标协〔202</w:t>
      </w:r>
      <w:r>
        <w:rPr>
          <w:rFonts w:hint="eastAsia" w:ascii="仿宋_GB2312" w:hAnsi="仿宋_GB2312" w:eastAsia="仿宋_GB2312" w:cs="仿宋_GB2312"/>
          <w:sz w:val="32"/>
          <w:szCs w:val="32"/>
          <w:highlight w:val="none"/>
          <w:lang w:val="en-US" w:eastAsia="zh-CN"/>
        </w:rPr>
        <w:t>4</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val="en-US" w:eastAsia="zh-CN"/>
        </w:rPr>
        <w:t>31</w:t>
      </w:r>
      <w:r>
        <w:rPr>
          <w:rFonts w:hint="eastAsia" w:ascii="仿宋_GB2312" w:hAnsi="仿宋_GB2312" w:eastAsia="仿宋_GB2312" w:cs="仿宋_GB2312"/>
          <w:sz w:val="32"/>
          <w:szCs w:val="32"/>
          <w:highlight w:val="none"/>
        </w:rPr>
        <w:t>号）</w:t>
      </w:r>
      <w:r>
        <w:rPr>
          <w:rFonts w:hint="eastAsia" w:ascii="仿宋_GB2312" w:hAnsi="宋体" w:eastAsia="仿宋_GB2312"/>
          <w:color w:val="auto"/>
          <w:sz w:val="32"/>
          <w:szCs w:val="28"/>
          <w:lang w:val="zh-CN"/>
        </w:rPr>
        <w:t>文件精神，</w:t>
      </w:r>
      <w:r>
        <w:rPr>
          <w:rFonts w:hint="eastAsia" w:ascii="仿宋_GB2312" w:hAnsi="宋体" w:eastAsia="仿宋_GB2312"/>
          <w:color w:val="auto"/>
          <w:sz w:val="32"/>
          <w:szCs w:val="28"/>
          <w:lang w:val="en-US" w:eastAsia="zh-CN"/>
        </w:rPr>
        <w:t>经</w:t>
      </w:r>
      <w:r>
        <w:rPr>
          <w:rFonts w:hint="eastAsia" w:ascii="仿宋_GB2312" w:hAnsi="宋体" w:eastAsia="仿宋_GB2312"/>
          <w:color w:val="auto"/>
          <w:sz w:val="32"/>
          <w:szCs w:val="28"/>
          <w:lang w:val="zh-CN"/>
        </w:rPr>
        <w:t>广西林学会提出，</w:t>
      </w:r>
      <w:r>
        <w:rPr>
          <w:rFonts w:hint="eastAsia" w:ascii="仿宋_GB2312" w:hAnsi="宋体" w:eastAsia="仿宋_GB2312"/>
          <w:color w:val="auto"/>
          <w:sz w:val="32"/>
          <w:szCs w:val="28"/>
          <w:lang w:val="en-US" w:eastAsia="zh-CN"/>
        </w:rPr>
        <w:t>由</w:t>
      </w:r>
      <w:r>
        <w:rPr>
          <w:rFonts w:hint="eastAsia" w:ascii="仿宋_GB2312" w:hAnsi="仿宋_GB2312" w:eastAsia="仿宋_GB2312" w:cs="仿宋_GB2312"/>
          <w:sz w:val="32"/>
          <w:szCs w:val="32"/>
          <w:highlight w:val="none"/>
          <w:lang w:val="en-US" w:eastAsia="zh-CN"/>
        </w:rPr>
        <w:t>广西区直国有林场林下经济绿色产业联合会</w:t>
      </w:r>
      <w:r>
        <w:rPr>
          <w:rFonts w:hint="eastAsia" w:ascii="仿宋_GB2312" w:hAnsi="仿宋_GB2312" w:eastAsia="仿宋_GB2312" w:cs="仿宋_GB2312"/>
          <w:sz w:val="32"/>
          <w:szCs w:val="32"/>
          <w:highlight w:val="none"/>
          <w:lang w:eastAsia="zh-CN"/>
        </w:rPr>
        <w:t>、广西林学会</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广西壮族自治区国有高峰林场、广西壮族自治区国有黄冕林场、广西生态职业技术学院</w:t>
      </w:r>
      <w:r>
        <w:rPr>
          <w:rFonts w:hint="eastAsia" w:ascii="仿宋_GB2312" w:hAnsi="宋体" w:eastAsia="仿宋_GB2312"/>
          <w:color w:val="auto"/>
          <w:sz w:val="32"/>
          <w:szCs w:val="28"/>
          <w:lang w:val="zh-CN"/>
        </w:rPr>
        <w:t>等单位共同起草团体标准《</w:t>
      </w:r>
      <w:r>
        <w:rPr>
          <w:rFonts w:hint="eastAsia" w:ascii="仿宋_GB2312" w:hAnsi="仿宋_GB2312" w:eastAsia="仿宋_GB2312" w:cs="仿宋_GB2312"/>
          <w:sz w:val="32"/>
          <w:szCs w:val="32"/>
          <w:lang w:val="en-US" w:eastAsia="zh-CN"/>
        </w:rPr>
        <w:t>桉树林下种植砂仁技术规程》（</w:t>
      </w:r>
      <w:r>
        <w:rPr>
          <w:rFonts w:hint="eastAsia" w:ascii="仿宋_GB2312" w:hAnsi="仿宋_GB2312" w:eastAsia="仿宋_GB2312" w:cs="仿宋_GB2312"/>
          <w:sz w:val="32"/>
          <w:szCs w:val="32"/>
        </w:rPr>
        <w:t>项目编号</w:t>
      </w:r>
      <w:r>
        <w:rPr>
          <w:rFonts w:hint="eastAsia" w:ascii="仿宋_GB2312" w:hAnsi="仿宋_GB2312" w:eastAsia="仿宋_GB2312" w:cs="仿宋_GB2312"/>
          <w:sz w:val="32"/>
          <w:szCs w:val="32"/>
          <w:lang w:val="en-US" w:eastAsia="zh-CN"/>
        </w:rPr>
        <w:t>2024-0402</w:t>
      </w:r>
      <w:r>
        <w:rPr>
          <w:rFonts w:hint="eastAsia" w:ascii="仿宋_GB2312" w:hAnsi="仿宋_GB2312" w:eastAsia="仿宋_GB2312" w:cs="仿宋_GB2312"/>
          <w:sz w:val="32"/>
          <w:szCs w:val="32"/>
        </w:rPr>
        <w:t>）</w:t>
      </w:r>
      <w:r>
        <w:rPr>
          <w:rFonts w:hint="eastAsia" w:ascii="仿宋_GB2312" w:hAnsi="宋体" w:eastAsia="仿宋_GB2312"/>
          <w:color w:val="auto"/>
          <w:sz w:val="32"/>
          <w:szCs w:val="28"/>
          <w:lang w:val="zh-CN"/>
        </w:rPr>
        <w:t>。</w:t>
      </w:r>
    </w:p>
    <w:p w14:paraId="6133AD70">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ascii="黑体" w:hAnsi="黑体" w:eastAsia="黑体" w:cs="黑体"/>
          <w:bCs/>
          <w:color w:val="auto"/>
          <w:sz w:val="32"/>
          <w:szCs w:val="32"/>
        </w:rPr>
      </w:pPr>
      <w:r>
        <w:rPr>
          <w:rFonts w:hint="eastAsia" w:ascii="黑体" w:hAnsi="黑体" w:eastAsia="黑体" w:cs="黑体"/>
          <w:bCs/>
          <w:color w:val="auto"/>
          <w:sz w:val="32"/>
          <w:szCs w:val="32"/>
        </w:rPr>
        <w:t>二、制定标准的必要性和意义</w:t>
      </w:r>
    </w:p>
    <w:p w14:paraId="2EFF5D7B">
      <w:pPr>
        <w:pStyle w:val="4"/>
        <w:keepNext w:val="0"/>
        <w:keepLines w:val="0"/>
        <w:pageBreakBefore w:val="0"/>
        <w:widowControl w:val="0"/>
        <w:kinsoku/>
        <w:wordWrap/>
        <w:overflowPunct/>
        <w:topLinePunct w:val="0"/>
        <w:autoSpaceDE/>
        <w:autoSpaceDN/>
        <w:bidi w:val="0"/>
        <w:spacing w:after="0" w:line="56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sz w:val="32"/>
          <w:szCs w:val="32"/>
          <w:lang w:val="en-US" w:eastAsia="zh-CN"/>
        </w:rPr>
        <w:t>党的十九大报告提出“要提供更多优质生态产品以满足人民日益增长的优美生态环境需要”，党的二十大报告提出“必须牢固树立和践行绿水青山就是金山银山的理念，站在人与自然和谐共生的高度谋划发展，加快发展方式绿色转型，提升生态系统多样性、稳定性、持续性”。近年来，随着中医药事业迅猛发展、大健康理念深入人心，第九届中药材基地共建共享交流大会于2021年10月初在南宁国际会展中心召开，中国工程院院士朱有勇在交流大会中指出：药材采挖自深山老林，药效高、药力足，随着需求暴涨，野生药材挖空殆尽，不得不人工栽培。人工栽培在药材资源收集、育种、栽培、病虫害防治等方面取得巨大成就，但也存在着高产低质、农残超标、连作障碍等主要问题，应注重生态环境特性与中药材生长发育特点相结合,让中草药回归自然，利用最适生态环境生产最优质的中药材产品。</w:t>
      </w:r>
    </w:p>
    <w:p w14:paraId="3E58CB6F">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广西作为全国林业大省，森林资源十分丰富，居全国第三位，林业产业总产值8487亿元，广西林下经济规模和产值自2011年以来连续11年位居全国前列，目前广西林下经济面积发展到6924万亩，2023年全区林下经济产值达 1348 亿元。桉树人工林是广西速丰林的重要品种，广西桉树人工林种植面积约303万hm</w:t>
      </w:r>
      <w:r>
        <w:rPr>
          <w:rFonts w:hint="eastAsia" w:ascii="仿宋_GB2312" w:hAnsi="仿宋_GB2312" w:eastAsia="仿宋_GB2312" w:cs="仿宋_GB2312"/>
          <w:b w:val="0"/>
          <w:bCs w:val="0"/>
          <w:sz w:val="32"/>
          <w:szCs w:val="32"/>
          <w:vertAlign w:val="superscript"/>
          <w:lang w:val="en-US" w:eastAsia="zh-CN"/>
        </w:rPr>
        <w:t>2</w:t>
      </w:r>
      <w:r>
        <w:rPr>
          <w:rFonts w:hint="eastAsia" w:ascii="仿宋_GB2312" w:hAnsi="仿宋_GB2312" w:eastAsia="仿宋_GB2312" w:cs="仿宋_GB2312"/>
          <w:b w:val="0"/>
          <w:bCs w:val="0"/>
          <w:sz w:val="32"/>
          <w:szCs w:val="32"/>
          <w:lang w:val="en-US" w:eastAsia="zh-CN"/>
        </w:rPr>
        <w:t>，蓄积量约1.86亿m</w:t>
      </w:r>
      <w:r>
        <w:rPr>
          <w:rFonts w:hint="eastAsia" w:ascii="仿宋_GB2312" w:hAnsi="仿宋_GB2312" w:eastAsia="仿宋_GB2312" w:cs="仿宋_GB2312"/>
          <w:b w:val="0"/>
          <w:bCs w:val="0"/>
          <w:sz w:val="32"/>
          <w:szCs w:val="32"/>
          <w:vertAlign w:val="superscript"/>
          <w:lang w:val="en-US" w:eastAsia="zh-CN"/>
        </w:rPr>
        <w:t>3</w:t>
      </w:r>
      <w:r>
        <w:rPr>
          <w:rFonts w:hint="eastAsia" w:ascii="仿宋_GB2312" w:hAnsi="仿宋_GB2312" w:eastAsia="仿宋_GB2312" w:cs="仿宋_GB2312"/>
          <w:b w:val="0"/>
          <w:bCs w:val="0"/>
          <w:sz w:val="32"/>
          <w:szCs w:val="32"/>
          <w:lang w:val="en-US" w:eastAsia="zh-CN"/>
        </w:rPr>
        <w:t>，在维护国家木材安全、促进国民经济发展、发挥生态防护作用等方面做出了重要贡献，是国家木材战略储备基地建设的主要内容。</w:t>
      </w:r>
    </w:p>
    <w:p w14:paraId="7ED75783">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val="0"/>
          <w:bCs w:val="0"/>
          <w:sz w:val="32"/>
          <w:szCs w:val="32"/>
          <w:lang w:val="en-US" w:eastAsia="zh-CN"/>
        </w:rPr>
        <w:t>利用丰富的桉树资源</w:t>
      </w:r>
      <w:r>
        <w:rPr>
          <w:rFonts w:hint="eastAsia" w:ascii="仿宋_GB2312" w:hAnsi="仿宋_GB2312" w:eastAsia="仿宋_GB2312" w:cs="仿宋_GB2312"/>
          <w:sz w:val="32"/>
          <w:szCs w:val="32"/>
          <w:lang w:val="en-US" w:eastAsia="zh-CN"/>
        </w:rPr>
        <w:t>林下种植砂仁是一种典型的良性循环经济和低碳经济模式，不仅能提高林地利用率，</w:t>
      </w:r>
      <w:r>
        <w:rPr>
          <w:rFonts w:hint="eastAsia" w:ascii="仿宋_GB2312" w:hAnsi="仿宋_GB2312" w:eastAsia="仿宋_GB2312" w:cs="仿宋_GB2312"/>
          <w:b w:val="0"/>
          <w:bCs w:val="0"/>
          <w:sz w:val="32"/>
          <w:szCs w:val="32"/>
          <w:lang w:val="en-US" w:eastAsia="zh-CN"/>
        </w:rPr>
        <w:t>充分利用林地空间，</w:t>
      </w:r>
      <w:r>
        <w:rPr>
          <w:rFonts w:hint="eastAsia" w:ascii="仿宋_GB2312" w:hAnsi="仿宋_GB2312" w:eastAsia="仿宋_GB2312" w:cs="仿宋_GB2312"/>
          <w:sz w:val="32"/>
          <w:szCs w:val="32"/>
          <w:lang w:val="en-US" w:eastAsia="zh-CN"/>
        </w:rPr>
        <w:t>有效增进土壤肥力,促进林木生长发育，还能有效提升桉树人工林生态系统多样性、稳定性和持续性，构建稳定的森林生态系统，优化林业产业结构，维护林业生态安全，推动林业产业化发展和林业可持续发展，同时助力中药材回归森林行动计划，</w:t>
      </w:r>
      <w:r>
        <w:rPr>
          <w:rFonts w:hint="eastAsia" w:ascii="仿宋_GB2312" w:hAnsi="仿宋_GB2312" w:eastAsia="仿宋_GB2312" w:cs="仿宋_GB2312"/>
          <w:b w:val="0"/>
          <w:bCs w:val="0"/>
          <w:sz w:val="32"/>
          <w:szCs w:val="32"/>
          <w:lang w:val="en-US" w:eastAsia="zh-CN"/>
        </w:rPr>
        <w:t>推动中药材产业向绿色化、生态化、有机化转型升级，实现生态、经济效益双提升，进而促进广西森林资源提质增效和可持续经营。</w:t>
      </w:r>
    </w:p>
    <w:p w14:paraId="7F9D26F4">
      <w:pPr>
        <w:pStyle w:val="4"/>
        <w:keepNext w:val="0"/>
        <w:keepLines w:val="0"/>
        <w:pageBreakBefore w:val="0"/>
        <w:widowControl w:val="0"/>
        <w:kinsoku/>
        <w:wordWrap/>
        <w:overflowPunct/>
        <w:topLinePunct w:val="0"/>
        <w:autoSpaceDE/>
        <w:autoSpaceDN/>
        <w:bidi w:val="0"/>
        <w:spacing w:after="0"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本标准的制定和颁布实施，从源头上把好桉树林下砂仁的质量关，夯实桉树林下砂仁产业发展基础，是推动桉树林下种植砂仁产业技术升级的重要举措，对促进桉树林下砂仁产业发展具有</w:t>
      </w:r>
      <w:r>
        <w:rPr>
          <w:rFonts w:hint="eastAsia" w:cs="仿宋_GB2312"/>
          <w:sz w:val="32"/>
          <w:szCs w:val="32"/>
          <w:lang w:val="en-US" w:eastAsia="zh-CN"/>
        </w:rPr>
        <w:t>重要意义</w:t>
      </w:r>
      <w:r>
        <w:rPr>
          <w:rFonts w:hint="eastAsia" w:ascii="仿宋_GB2312" w:hAnsi="仿宋_GB2312" w:eastAsia="仿宋_GB2312" w:cs="仿宋_GB2312"/>
          <w:sz w:val="32"/>
          <w:szCs w:val="32"/>
          <w:lang w:val="en-US" w:eastAsia="zh-CN"/>
        </w:rPr>
        <w:t>。</w:t>
      </w:r>
    </w:p>
    <w:p w14:paraId="6C3AFB08">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ascii="黑体" w:hAnsi="黑体" w:eastAsia="黑体" w:cs="黑体"/>
          <w:bCs/>
          <w:color w:val="auto"/>
          <w:sz w:val="32"/>
          <w:szCs w:val="32"/>
        </w:rPr>
      </w:pPr>
      <w:r>
        <w:rPr>
          <w:rFonts w:hint="eastAsia" w:ascii="黑体" w:hAnsi="黑体" w:eastAsia="黑体" w:cs="黑体"/>
          <w:bCs/>
          <w:color w:val="auto"/>
          <w:sz w:val="32"/>
          <w:szCs w:val="32"/>
        </w:rPr>
        <w:t>三、主要起草过程</w:t>
      </w:r>
    </w:p>
    <w:p w14:paraId="206E9FE5">
      <w:pPr>
        <w:keepNext w:val="0"/>
        <w:keepLines w:val="0"/>
        <w:pageBreakBefore w:val="0"/>
        <w:kinsoku/>
        <w:wordWrap/>
        <w:overflowPunct/>
        <w:topLinePunct w:val="0"/>
        <w:autoSpaceDE/>
        <w:autoSpaceDN/>
        <w:bidi w:val="0"/>
        <w:adjustRightInd/>
        <w:snapToGrid/>
        <w:spacing w:line="580" w:lineRule="exact"/>
        <w:ind w:firstLine="643" w:firstLineChars="200"/>
        <w:textAlignment w:val="auto"/>
        <w:rPr>
          <w:rFonts w:ascii="楷体" w:hAnsi="楷体" w:eastAsia="楷体"/>
          <w:b/>
          <w:color w:val="auto"/>
          <w:sz w:val="32"/>
          <w:szCs w:val="32"/>
          <w:lang w:val="zh-CN"/>
        </w:rPr>
      </w:pPr>
      <w:r>
        <w:rPr>
          <w:rFonts w:hint="eastAsia" w:ascii="楷体" w:hAnsi="楷体" w:eastAsia="楷体"/>
          <w:b/>
          <w:color w:val="auto"/>
          <w:sz w:val="32"/>
          <w:szCs w:val="32"/>
          <w:lang w:val="zh-CN"/>
        </w:rPr>
        <w:t>（一）成立标准编制工作组</w:t>
      </w:r>
    </w:p>
    <w:p w14:paraId="084AE40C">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ascii="仿宋_GB2312" w:hAnsi="宋体" w:eastAsia="仿宋_GB2312"/>
          <w:color w:val="auto"/>
          <w:sz w:val="32"/>
          <w:szCs w:val="28"/>
          <w:lang w:val="zh-CN"/>
        </w:rPr>
      </w:pPr>
      <w:r>
        <w:rPr>
          <w:rFonts w:hint="eastAsia" w:ascii="仿宋_GB2312" w:hAnsi="宋体" w:eastAsia="仿宋_GB2312"/>
          <w:color w:val="auto"/>
          <w:sz w:val="32"/>
          <w:szCs w:val="28"/>
          <w:lang w:val="zh-CN"/>
        </w:rPr>
        <w:t>团体标准《</w:t>
      </w:r>
      <w:r>
        <w:rPr>
          <w:rFonts w:hint="eastAsia" w:ascii="仿宋_GB2312" w:hAnsi="仿宋_GB2312" w:eastAsia="仿宋_GB2312" w:cs="仿宋_GB2312"/>
          <w:sz w:val="32"/>
          <w:szCs w:val="32"/>
          <w:lang w:val="en-US" w:eastAsia="zh-CN"/>
        </w:rPr>
        <w:t>桉树林下种植砂仁技术规程</w:t>
      </w:r>
      <w:r>
        <w:rPr>
          <w:rFonts w:hint="eastAsia" w:ascii="仿宋_GB2312" w:hAnsi="宋体" w:eastAsia="仿宋_GB2312"/>
          <w:color w:val="auto"/>
          <w:sz w:val="32"/>
          <w:szCs w:val="28"/>
          <w:lang w:val="zh-CN"/>
        </w:rPr>
        <w:t>》项目编制任务下达后，广西区直国有林场林下经济绿色产业联合会</w:t>
      </w:r>
      <w:r>
        <w:rPr>
          <w:rFonts w:hint="eastAsia" w:ascii="仿宋_GB2312" w:hAnsi="宋体" w:eastAsia="仿宋_GB2312"/>
          <w:color w:val="auto"/>
          <w:sz w:val="32"/>
          <w:szCs w:val="28"/>
          <w:lang w:val="en-US" w:eastAsia="zh-CN"/>
        </w:rPr>
        <w:t>于2024年2月</w:t>
      </w:r>
      <w:r>
        <w:rPr>
          <w:rFonts w:hint="eastAsia" w:ascii="仿宋_GB2312" w:hAnsi="宋体" w:eastAsia="仿宋_GB2312"/>
          <w:color w:val="auto"/>
          <w:sz w:val="32"/>
          <w:szCs w:val="28"/>
          <w:lang w:val="zh-CN"/>
        </w:rPr>
        <w:t>成立了该标准编制工作组，由</w:t>
      </w:r>
      <w:r>
        <w:rPr>
          <w:rFonts w:hint="eastAsia" w:ascii="仿宋_GB2312" w:hAnsi="宋体" w:eastAsia="仿宋_GB2312"/>
          <w:color w:val="auto"/>
          <w:sz w:val="32"/>
          <w:szCs w:val="28"/>
          <w:lang w:val="zh-CN" w:eastAsia="zh-CN"/>
        </w:rPr>
        <w:t>广西区直国有林场林下经济绿色产业联合会</w:t>
      </w:r>
      <w:r>
        <w:rPr>
          <w:rFonts w:hint="eastAsia" w:ascii="仿宋_GB2312" w:hAnsi="宋体" w:eastAsia="仿宋_GB2312"/>
          <w:color w:val="auto"/>
          <w:sz w:val="32"/>
          <w:szCs w:val="28"/>
          <w:lang w:val="en-US" w:eastAsia="zh-CN"/>
        </w:rPr>
        <w:t>办事处主任、高级工程师刘晓星主持标准编撰工作</w:t>
      </w:r>
      <w:r>
        <w:rPr>
          <w:rFonts w:hint="eastAsia" w:ascii="仿宋_GB2312" w:hAnsi="宋体" w:eastAsia="仿宋_GB2312"/>
          <w:color w:val="auto"/>
          <w:sz w:val="32"/>
          <w:szCs w:val="28"/>
          <w:lang w:val="zh-CN"/>
        </w:rPr>
        <w:t>，</w:t>
      </w:r>
      <w:r>
        <w:rPr>
          <w:rFonts w:hint="eastAsia" w:ascii="仿宋_GB2312" w:hAnsi="宋体" w:eastAsia="仿宋_GB2312"/>
          <w:color w:val="auto"/>
          <w:sz w:val="32"/>
          <w:szCs w:val="28"/>
          <w:lang w:val="zh-CN" w:eastAsia="zh-CN"/>
        </w:rPr>
        <w:t>唐璇、黄晓霞、龙洁琼、李本丽、梁东华、宁祥坤、陈代喜、胡荣辉、宋毅克、温中林、谢春俊、陈进宁、黄碧峰</w:t>
      </w:r>
      <w:r>
        <w:rPr>
          <w:rFonts w:hint="eastAsia" w:ascii="仿宋_GB2312" w:hAnsi="宋体" w:eastAsia="仿宋_GB2312"/>
          <w:color w:val="auto"/>
          <w:sz w:val="32"/>
          <w:szCs w:val="28"/>
          <w:lang w:val="zh-CN"/>
        </w:rPr>
        <w:t>等同志共同参与标准编制组织管理与起草</w:t>
      </w:r>
      <w:r>
        <w:rPr>
          <w:rFonts w:hint="eastAsia" w:ascii="仿宋_GB2312" w:hAnsi="宋体" w:eastAsia="仿宋_GB2312"/>
          <w:color w:val="auto"/>
          <w:sz w:val="32"/>
          <w:szCs w:val="28"/>
          <w:lang w:val="en-US" w:eastAsia="zh-CN"/>
        </w:rPr>
        <w:t>工作</w:t>
      </w:r>
      <w:r>
        <w:rPr>
          <w:rFonts w:hint="eastAsia" w:ascii="仿宋_GB2312" w:hAnsi="宋体" w:eastAsia="仿宋_GB2312"/>
          <w:color w:val="auto"/>
          <w:sz w:val="32"/>
          <w:szCs w:val="28"/>
          <w:lang w:val="zh-CN"/>
        </w:rPr>
        <w:t>，明确职责，落实任务，制定了标准编写方案，确定工作技术路线，对项目工作进度进行了具体安排，开展标准编制与完善工作。</w:t>
      </w:r>
    </w:p>
    <w:p w14:paraId="1F9DF0F7">
      <w:pPr>
        <w:keepNext w:val="0"/>
        <w:keepLines w:val="0"/>
        <w:pageBreakBefore w:val="0"/>
        <w:kinsoku/>
        <w:wordWrap/>
        <w:overflowPunct/>
        <w:topLinePunct w:val="0"/>
        <w:autoSpaceDE/>
        <w:autoSpaceDN/>
        <w:bidi w:val="0"/>
        <w:adjustRightInd/>
        <w:snapToGrid/>
        <w:spacing w:line="580" w:lineRule="exact"/>
        <w:ind w:firstLine="643" w:firstLineChars="200"/>
        <w:textAlignment w:val="auto"/>
        <w:rPr>
          <w:rFonts w:ascii="楷体" w:hAnsi="楷体" w:eastAsia="楷体"/>
          <w:b/>
          <w:color w:val="auto"/>
          <w:sz w:val="32"/>
          <w:szCs w:val="32"/>
          <w:lang w:val="zh-CN"/>
        </w:rPr>
      </w:pPr>
      <w:r>
        <w:rPr>
          <w:rFonts w:hint="eastAsia" w:ascii="楷体" w:hAnsi="楷体" w:eastAsia="楷体"/>
          <w:b/>
          <w:color w:val="auto"/>
          <w:sz w:val="32"/>
          <w:szCs w:val="32"/>
          <w:lang w:val="zh-CN"/>
        </w:rPr>
        <w:t>（二）收集整理资料</w:t>
      </w:r>
    </w:p>
    <w:p w14:paraId="5DACB424">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仿宋_GB2312" w:hAnsi="宋体" w:eastAsia="仿宋_GB2312"/>
          <w:color w:val="auto"/>
          <w:sz w:val="32"/>
          <w:szCs w:val="28"/>
          <w:highlight w:val="none"/>
          <w:lang w:val="zh-CN"/>
        </w:rPr>
      </w:pPr>
      <w:r>
        <w:rPr>
          <w:rFonts w:hint="eastAsia" w:ascii="仿宋_GB2312" w:hAnsi="宋体" w:eastAsia="仿宋_GB2312"/>
          <w:color w:val="auto"/>
          <w:sz w:val="32"/>
          <w:szCs w:val="28"/>
          <w:highlight w:val="none"/>
          <w:lang w:val="zh-CN"/>
        </w:rPr>
        <w:t>标准编制工作组调研收集了国内有关</w:t>
      </w:r>
      <w:r>
        <w:rPr>
          <w:rFonts w:hint="eastAsia" w:ascii="仿宋_GB2312" w:hAnsi="宋体" w:eastAsia="仿宋_GB2312"/>
          <w:color w:val="auto"/>
          <w:sz w:val="32"/>
          <w:szCs w:val="28"/>
          <w:highlight w:val="none"/>
          <w:lang w:val="en-US" w:eastAsia="zh-CN"/>
        </w:rPr>
        <w:t>桉树林下种植砂仁技术</w:t>
      </w:r>
      <w:r>
        <w:rPr>
          <w:rFonts w:hint="eastAsia" w:ascii="仿宋_GB2312" w:hAnsi="宋体" w:eastAsia="仿宋_GB2312"/>
          <w:color w:val="auto"/>
          <w:sz w:val="32"/>
          <w:szCs w:val="28"/>
          <w:highlight w:val="none"/>
          <w:lang w:val="zh-CN"/>
        </w:rPr>
        <w:t>相关资料。具体列出如下：</w:t>
      </w:r>
    </w:p>
    <w:p w14:paraId="503519C5">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宋体" w:eastAsia="仿宋_GB2312"/>
          <w:color w:val="auto"/>
          <w:sz w:val="32"/>
          <w:szCs w:val="28"/>
          <w:highlight w:val="none"/>
          <w:lang w:val="zh-CN"/>
        </w:rPr>
      </w:pPr>
      <w:r>
        <w:rPr>
          <w:rFonts w:hint="eastAsia" w:ascii="仿宋_GB2312" w:hAnsi="宋体" w:eastAsia="仿宋_GB2312"/>
          <w:color w:val="auto"/>
          <w:sz w:val="32"/>
          <w:szCs w:val="28"/>
          <w:highlight w:val="none"/>
          <w:lang w:val="zh-CN"/>
        </w:rPr>
        <w:t>《中华人民共和国森林法》（2019年修订）</w:t>
      </w:r>
    </w:p>
    <w:p w14:paraId="62FBD8AF">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宋体" w:eastAsia="仿宋_GB2312"/>
          <w:color w:val="auto"/>
          <w:sz w:val="32"/>
          <w:szCs w:val="28"/>
          <w:highlight w:val="none"/>
          <w:lang w:val="zh-CN"/>
        </w:rPr>
      </w:pPr>
      <w:r>
        <w:rPr>
          <w:rFonts w:hint="eastAsia" w:ascii="仿宋_GB2312" w:hAnsi="宋体" w:eastAsia="仿宋_GB2312"/>
          <w:color w:val="auto"/>
          <w:sz w:val="32"/>
          <w:szCs w:val="28"/>
          <w:highlight w:val="none"/>
          <w:lang w:val="zh-CN" w:eastAsia="zh-CN"/>
        </w:rPr>
        <w:t>国家标准</w:t>
      </w:r>
      <w:r>
        <w:rPr>
          <w:rFonts w:hint="eastAsia" w:ascii="仿宋_GB2312" w:hAnsi="宋体" w:eastAsia="仿宋_GB2312"/>
          <w:color w:val="auto"/>
          <w:sz w:val="32"/>
          <w:szCs w:val="28"/>
          <w:highlight w:val="none"/>
          <w:lang w:val="en-US" w:eastAsia="zh-CN"/>
        </w:rPr>
        <w:t xml:space="preserve"> </w:t>
      </w:r>
      <w:r>
        <w:rPr>
          <w:rFonts w:hint="eastAsia" w:ascii="仿宋_GB2312" w:hAnsi="宋体" w:eastAsia="仿宋_GB2312"/>
          <w:color w:val="auto"/>
          <w:sz w:val="32"/>
          <w:szCs w:val="28"/>
          <w:highlight w:val="none"/>
          <w:lang w:val="zh-CN" w:eastAsia="zh-CN"/>
        </w:rPr>
        <w:t>《中国药典》（2020年版）</w:t>
      </w:r>
      <w:r>
        <w:rPr>
          <w:rFonts w:hint="eastAsia" w:ascii="仿宋_GB2312" w:hAnsi="宋体" w:eastAsia="仿宋_GB2312"/>
          <w:color w:val="auto"/>
          <w:sz w:val="32"/>
          <w:szCs w:val="28"/>
          <w:highlight w:val="none"/>
          <w:lang w:val="zh-CN"/>
        </w:rPr>
        <w:t xml:space="preserve"> </w:t>
      </w:r>
    </w:p>
    <w:p w14:paraId="4DC21BE4">
      <w:pPr>
        <w:pStyle w:val="4"/>
        <w:keepNext w:val="0"/>
        <w:keepLines w:val="0"/>
        <w:pageBreakBefore w:val="0"/>
        <w:widowControl w:val="0"/>
        <w:kinsoku/>
        <w:wordWrap/>
        <w:overflowPunct/>
        <w:topLinePunct w:val="0"/>
        <w:autoSpaceDE/>
        <w:autoSpaceDN/>
        <w:bidi w:val="0"/>
        <w:adjustRightInd/>
        <w:snapToGrid/>
        <w:ind w:left="0" w:firstLine="640" w:firstLineChars="200"/>
        <w:textAlignment w:val="auto"/>
        <w:rPr>
          <w:rFonts w:hint="eastAsia" w:ascii="仿宋_GB2312" w:hAnsi="宋体" w:eastAsia="仿宋_GB2312" w:cs="Times New Roman"/>
          <w:color w:val="auto"/>
          <w:kern w:val="2"/>
          <w:sz w:val="32"/>
          <w:szCs w:val="28"/>
          <w:lang w:val="en-US" w:eastAsia="zh-CN" w:bidi="ar-SA"/>
        </w:rPr>
      </w:pPr>
      <w:r>
        <w:rPr>
          <w:rFonts w:hint="eastAsia" w:ascii="仿宋_GB2312" w:hAnsi="宋体" w:eastAsia="仿宋_GB2312" w:cs="Times New Roman"/>
          <w:color w:val="auto"/>
          <w:kern w:val="2"/>
          <w:sz w:val="32"/>
          <w:szCs w:val="28"/>
          <w:lang w:val="en-US" w:eastAsia="zh-CN" w:bidi="ar-SA"/>
        </w:rPr>
        <w:t xml:space="preserve">GB/T 18877-2020 有机无机复混肥料 </w:t>
      </w:r>
    </w:p>
    <w:p w14:paraId="02E81D63">
      <w:pPr>
        <w:pStyle w:val="4"/>
        <w:keepNext w:val="0"/>
        <w:keepLines w:val="0"/>
        <w:pageBreakBefore w:val="0"/>
        <w:widowControl w:val="0"/>
        <w:kinsoku/>
        <w:wordWrap/>
        <w:overflowPunct/>
        <w:topLinePunct w:val="0"/>
        <w:autoSpaceDE/>
        <w:autoSpaceDN/>
        <w:bidi w:val="0"/>
        <w:adjustRightInd/>
        <w:snapToGrid/>
        <w:ind w:left="0" w:firstLine="640" w:firstLineChars="200"/>
        <w:textAlignment w:val="auto"/>
        <w:rPr>
          <w:rFonts w:hint="default" w:ascii="仿宋_GB2312" w:hAnsi="宋体" w:eastAsia="仿宋_GB2312" w:cs="Times New Roman"/>
          <w:color w:val="auto"/>
          <w:kern w:val="2"/>
          <w:sz w:val="32"/>
          <w:szCs w:val="28"/>
          <w:lang w:val="zh-CN" w:eastAsia="zh-CN" w:bidi="ar-SA"/>
        </w:rPr>
      </w:pPr>
      <w:r>
        <w:rPr>
          <w:rFonts w:hint="default" w:ascii="仿宋_GB2312" w:hAnsi="宋体" w:eastAsia="仿宋_GB2312" w:cs="Times New Roman"/>
          <w:color w:val="auto"/>
          <w:kern w:val="2"/>
          <w:sz w:val="32"/>
          <w:szCs w:val="28"/>
          <w:lang w:val="zh-CN" w:eastAsia="zh-CN" w:bidi="ar-SA"/>
        </w:rPr>
        <w:t>GB/T 832</w:t>
      </w:r>
      <w:r>
        <w:rPr>
          <w:rFonts w:hint="eastAsia" w:hAnsi="宋体" w:cs="Times New Roman"/>
          <w:color w:val="auto"/>
          <w:kern w:val="2"/>
          <w:sz w:val="32"/>
          <w:szCs w:val="28"/>
          <w:lang w:val="en-US" w:eastAsia="zh-CN" w:bidi="ar-SA"/>
        </w:rPr>
        <w:t>1</w:t>
      </w:r>
      <w:r>
        <w:rPr>
          <w:rFonts w:hint="default" w:ascii="仿宋_GB2312" w:hAnsi="宋体" w:eastAsia="仿宋_GB2312" w:cs="Times New Roman"/>
          <w:color w:val="auto"/>
          <w:kern w:val="2"/>
          <w:sz w:val="32"/>
          <w:szCs w:val="28"/>
          <w:lang w:val="zh-CN" w:eastAsia="zh-CN" w:bidi="ar-SA"/>
        </w:rPr>
        <w:t>-2002</w:t>
      </w:r>
      <w:r>
        <w:rPr>
          <w:rFonts w:hint="eastAsia" w:hAnsi="宋体" w:cs="Times New Roman"/>
          <w:color w:val="auto"/>
          <w:kern w:val="2"/>
          <w:sz w:val="32"/>
          <w:szCs w:val="28"/>
          <w:lang w:val="en-US" w:eastAsia="zh-CN" w:bidi="ar-SA"/>
        </w:rPr>
        <w:t xml:space="preserve"> </w:t>
      </w:r>
      <w:r>
        <w:rPr>
          <w:rFonts w:hint="eastAsia" w:ascii="仿宋_GB2312" w:hAnsi="宋体" w:eastAsia="仿宋_GB2312" w:cs="Times New Roman"/>
          <w:color w:val="auto"/>
          <w:kern w:val="2"/>
          <w:sz w:val="32"/>
          <w:szCs w:val="28"/>
          <w:lang w:val="zh-CN" w:eastAsia="zh-CN" w:bidi="ar-SA"/>
        </w:rPr>
        <w:t>农药合理使用准则</w:t>
      </w:r>
      <w:r>
        <w:rPr>
          <w:rFonts w:hint="default" w:ascii="仿宋_GB2312" w:hAnsi="宋体" w:eastAsia="仿宋_GB2312" w:cs="Times New Roman"/>
          <w:color w:val="auto"/>
          <w:kern w:val="2"/>
          <w:sz w:val="32"/>
          <w:szCs w:val="28"/>
          <w:lang w:val="zh-CN" w:eastAsia="zh-CN" w:bidi="ar-SA"/>
        </w:rPr>
        <w:t>(</w:t>
      </w:r>
      <w:r>
        <w:rPr>
          <w:rFonts w:hint="eastAsia"/>
          <w:szCs w:val="21"/>
          <w:highlight w:val="none"/>
        </w:rPr>
        <w:t>所有部分</w:t>
      </w:r>
      <w:r>
        <w:rPr>
          <w:rFonts w:hint="default" w:ascii="仿宋_GB2312" w:hAnsi="宋体" w:eastAsia="仿宋_GB2312" w:cs="Times New Roman"/>
          <w:color w:val="auto"/>
          <w:kern w:val="2"/>
          <w:sz w:val="32"/>
          <w:szCs w:val="28"/>
          <w:lang w:val="zh-CN" w:eastAsia="zh-CN" w:bidi="ar-SA"/>
        </w:rPr>
        <w:t>)</w:t>
      </w:r>
      <w:r>
        <w:rPr>
          <w:rFonts w:hint="eastAsia" w:ascii="仿宋_GB2312" w:hAnsi="宋体" w:eastAsia="仿宋_GB2312" w:cs="Times New Roman"/>
          <w:color w:val="auto"/>
          <w:kern w:val="2"/>
          <w:sz w:val="32"/>
          <w:szCs w:val="28"/>
          <w:lang w:val="en-US" w:eastAsia="zh-CN" w:bidi="ar-SA"/>
        </w:rPr>
        <w:t xml:space="preserve"> </w:t>
      </w:r>
    </w:p>
    <w:p w14:paraId="07E7AF10">
      <w:pPr>
        <w:pStyle w:val="4"/>
        <w:keepNext w:val="0"/>
        <w:keepLines w:val="0"/>
        <w:pageBreakBefore w:val="0"/>
        <w:widowControl w:val="0"/>
        <w:kinsoku/>
        <w:wordWrap/>
        <w:overflowPunct/>
        <w:topLinePunct w:val="0"/>
        <w:autoSpaceDE/>
        <w:autoSpaceDN/>
        <w:bidi w:val="0"/>
        <w:adjustRightInd/>
        <w:snapToGrid/>
        <w:ind w:left="0" w:firstLine="640" w:firstLineChars="200"/>
        <w:textAlignment w:val="auto"/>
        <w:rPr>
          <w:rFonts w:hint="eastAsia" w:ascii="仿宋_GB2312" w:hAnsi="宋体" w:eastAsia="仿宋_GB2312" w:cs="Times New Roman"/>
          <w:color w:val="auto"/>
          <w:kern w:val="2"/>
          <w:sz w:val="32"/>
          <w:szCs w:val="28"/>
          <w:lang w:val="en-US" w:eastAsia="zh-CN" w:bidi="ar-SA"/>
        </w:rPr>
      </w:pPr>
      <w:r>
        <w:rPr>
          <w:rFonts w:hint="eastAsia" w:ascii="仿宋_GB2312" w:hAnsi="宋体" w:eastAsia="仿宋_GB2312" w:cs="Times New Roman"/>
          <w:color w:val="auto"/>
          <w:kern w:val="2"/>
          <w:sz w:val="32"/>
          <w:szCs w:val="28"/>
          <w:lang w:val="en-US" w:eastAsia="zh-CN" w:bidi="ar-SA"/>
        </w:rPr>
        <w:t>LY/T 1678</w:t>
      </w:r>
      <w:r>
        <w:rPr>
          <w:rFonts w:hint="eastAsia" w:hAnsi="宋体" w:cs="Times New Roman"/>
          <w:color w:val="auto"/>
          <w:kern w:val="2"/>
          <w:sz w:val="32"/>
          <w:szCs w:val="28"/>
          <w:lang w:val="en-US" w:eastAsia="zh-CN" w:bidi="ar-SA"/>
        </w:rPr>
        <w:t xml:space="preserve"> </w:t>
      </w:r>
      <w:r>
        <w:rPr>
          <w:rFonts w:hint="eastAsia" w:ascii="仿宋_GB2312" w:hAnsi="宋体" w:eastAsia="仿宋_GB2312" w:cs="Times New Roman"/>
          <w:color w:val="auto"/>
          <w:kern w:val="2"/>
          <w:sz w:val="32"/>
          <w:szCs w:val="28"/>
          <w:lang w:val="en-US" w:eastAsia="zh-CN" w:bidi="ar-SA"/>
        </w:rPr>
        <w:t>食用林产品产地环境通用要求</w:t>
      </w:r>
    </w:p>
    <w:p w14:paraId="06697F8D">
      <w:pPr>
        <w:pStyle w:val="4"/>
        <w:keepNext w:val="0"/>
        <w:keepLines w:val="0"/>
        <w:pageBreakBefore w:val="0"/>
        <w:widowControl w:val="0"/>
        <w:kinsoku/>
        <w:wordWrap/>
        <w:overflowPunct/>
        <w:topLinePunct w:val="0"/>
        <w:autoSpaceDE/>
        <w:autoSpaceDN/>
        <w:bidi w:val="0"/>
        <w:adjustRightInd/>
        <w:snapToGrid/>
        <w:ind w:left="0" w:firstLine="640" w:firstLineChars="200"/>
        <w:textAlignment w:val="auto"/>
        <w:rPr>
          <w:rFonts w:hint="default" w:ascii="仿宋_GB2312" w:hAnsi="宋体" w:eastAsia="仿宋_GB2312" w:cs="Times New Roman"/>
          <w:color w:val="auto"/>
          <w:kern w:val="2"/>
          <w:sz w:val="32"/>
          <w:szCs w:val="28"/>
          <w:lang w:val="zh-CN" w:eastAsia="zh-CN" w:bidi="ar-SA"/>
        </w:rPr>
      </w:pPr>
      <w:r>
        <w:rPr>
          <w:rFonts w:hint="eastAsia" w:ascii="仿宋_GB2312" w:hAnsi="宋体" w:eastAsia="仿宋_GB2312" w:cs="Times New Roman"/>
          <w:color w:val="auto"/>
          <w:kern w:val="2"/>
          <w:sz w:val="32"/>
          <w:szCs w:val="28"/>
          <w:lang w:val="zh-CN" w:eastAsia="zh-CN" w:bidi="ar-SA"/>
        </w:rPr>
        <w:t>NY</w:t>
      </w:r>
      <w:r>
        <w:rPr>
          <w:rFonts w:hint="eastAsia" w:hAnsi="宋体" w:cs="Times New Roman"/>
          <w:color w:val="auto"/>
          <w:kern w:val="2"/>
          <w:sz w:val="32"/>
          <w:szCs w:val="28"/>
          <w:lang w:val="en-US" w:eastAsia="zh-CN" w:bidi="ar-SA"/>
        </w:rPr>
        <w:t>/</w:t>
      </w:r>
      <w:r>
        <w:rPr>
          <w:rFonts w:hint="eastAsia" w:ascii="仿宋_GB2312" w:hAnsi="宋体" w:eastAsia="仿宋_GB2312" w:cs="Times New Roman"/>
          <w:color w:val="auto"/>
          <w:kern w:val="2"/>
          <w:sz w:val="32"/>
          <w:szCs w:val="28"/>
          <w:lang w:val="zh-CN" w:eastAsia="zh-CN" w:bidi="ar-SA"/>
        </w:rPr>
        <w:t>T</w:t>
      </w:r>
      <w:r>
        <w:rPr>
          <w:rFonts w:hint="eastAsia" w:hAnsi="宋体" w:cs="Times New Roman"/>
          <w:color w:val="auto"/>
          <w:kern w:val="2"/>
          <w:sz w:val="32"/>
          <w:szCs w:val="28"/>
          <w:lang w:val="en-US" w:eastAsia="zh-CN" w:bidi="ar-SA"/>
        </w:rPr>
        <w:t xml:space="preserve"> </w:t>
      </w:r>
      <w:r>
        <w:rPr>
          <w:rFonts w:hint="eastAsia" w:ascii="仿宋_GB2312" w:hAnsi="宋体" w:eastAsia="仿宋_GB2312" w:cs="Times New Roman"/>
          <w:color w:val="auto"/>
          <w:kern w:val="2"/>
          <w:sz w:val="32"/>
          <w:szCs w:val="28"/>
          <w:lang w:val="zh-CN" w:eastAsia="zh-CN" w:bidi="ar-SA"/>
        </w:rPr>
        <w:t>1276</w:t>
      </w:r>
      <w:r>
        <w:rPr>
          <w:rFonts w:hint="default" w:ascii="仿宋_GB2312" w:hAnsi="宋体" w:eastAsia="仿宋_GB2312" w:cs="Times New Roman"/>
          <w:color w:val="auto"/>
          <w:kern w:val="2"/>
          <w:sz w:val="32"/>
          <w:szCs w:val="28"/>
          <w:lang w:val="zh-CN" w:eastAsia="zh-CN" w:bidi="ar-SA"/>
        </w:rPr>
        <w:t>-2007</w:t>
      </w:r>
      <w:r>
        <w:rPr>
          <w:rFonts w:hint="eastAsia" w:hAnsi="宋体" w:cs="Times New Roman"/>
          <w:color w:val="auto"/>
          <w:kern w:val="2"/>
          <w:sz w:val="32"/>
          <w:szCs w:val="28"/>
          <w:lang w:val="en-US" w:eastAsia="zh-CN" w:bidi="ar-SA"/>
        </w:rPr>
        <w:t xml:space="preserve"> </w:t>
      </w:r>
      <w:r>
        <w:rPr>
          <w:rFonts w:hint="eastAsia" w:ascii="仿宋_GB2312" w:hAnsi="宋体" w:eastAsia="仿宋_GB2312" w:cs="Times New Roman"/>
          <w:color w:val="auto"/>
          <w:kern w:val="2"/>
          <w:sz w:val="32"/>
          <w:szCs w:val="28"/>
          <w:lang w:val="zh-CN" w:eastAsia="zh-CN" w:bidi="ar-SA"/>
        </w:rPr>
        <w:t>农药安全使用规范</w:t>
      </w:r>
    </w:p>
    <w:p w14:paraId="22896AB3">
      <w:pPr>
        <w:pStyle w:val="4"/>
        <w:keepNext w:val="0"/>
        <w:keepLines w:val="0"/>
        <w:pageBreakBefore w:val="0"/>
        <w:widowControl w:val="0"/>
        <w:kinsoku/>
        <w:wordWrap/>
        <w:overflowPunct/>
        <w:topLinePunct w:val="0"/>
        <w:autoSpaceDE/>
        <w:autoSpaceDN/>
        <w:bidi w:val="0"/>
        <w:adjustRightInd/>
        <w:snapToGrid/>
        <w:ind w:left="0" w:firstLine="640" w:firstLineChars="200"/>
        <w:textAlignment w:val="auto"/>
        <w:rPr>
          <w:rFonts w:hint="eastAsia" w:ascii="仿宋_GB2312" w:hAnsi="宋体" w:eastAsia="仿宋_GB2312" w:cs="Times New Roman"/>
          <w:color w:val="auto"/>
          <w:kern w:val="2"/>
          <w:sz w:val="32"/>
          <w:szCs w:val="28"/>
          <w:lang w:val="zh-CN" w:eastAsia="zh-CN" w:bidi="ar-SA"/>
        </w:rPr>
      </w:pPr>
      <w:r>
        <w:rPr>
          <w:rFonts w:hint="eastAsia" w:ascii="仿宋_GB2312" w:hAnsi="宋体" w:eastAsia="仿宋_GB2312" w:cs="Times New Roman"/>
          <w:color w:val="auto"/>
          <w:kern w:val="2"/>
          <w:sz w:val="32"/>
          <w:szCs w:val="28"/>
          <w:lang w:val="zh-CN" w:eastAsia="zh-CN" w:bidi="ar-SA"/>
        </w:rPr>
        <w:t>GB 15618-2018 土壤环境质量 农用地土壤污染风险管控标准（试行）</w:t>
      </w:r>
    </w:p>
    <w:p w14:paraId="73E552D9">
      <w:pPr>
        <w:pStyle w:val="4"/>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highlight w:val="none"/>
          <w:lang w:val="zh-CN"/>
        </w:rPr>
      </w:pPr>
      <w:r>
        <w:rPr>
          <w:rFonts w:hint="eastAsia"/>
          <w:highlight w:val="none"/>
          <w:lang w:val="zh-CN" w:eastAsia="zh-CN"/>
        </w:rPr>
        <w:t>DB45/T 442-2007 中药材砂仁生产技术规程</w:t>
      </w:r>
    </w:p>
    <w:p w14:paraId="5A1D8E6D">
      <w:pPr>
        <w:pStyle w:val="4"/>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highlight w:val="none"/>
          <w:lang w:val="zh-CN" w:eastAsia="zh-CN"/>
        </w:rPr>
      </w:pPr>
      <w:r>
        <w:rPr>
          <w:rFonts w:hint="eastAsia"/>
          <w:highlight w:val="none"/>
          <w:lang w:val="zh-CN" w:eastAsia="zh-CN"/>
        </w:rPr>
        <w:t>DB45/T 1181-2015</w:t>
      </w:r>
      <w:r>
        <w:rPr>
          <w:rFonts w:hint="eastAsia"/>
          <w:highlight w:val="none"/>
          <w:lang w:val="en-US" w:eastAsia="zh-CN"/>
        </w:rPr>
        <w:t xml:space="preserve"> </w:t>
      </w:r>
      <w:r>
        <w:rPr>
          <w:rFonts w:hint="eastAsia"/>
          <w:highlight w:val="none"/>
          <w:lang w:val="zh-CN" w:eastAsia="zh-CN"/>
        </w:rPr>
        <w:t>中药材阳春砂仁栽培技术规程</w:t>
      </w:r>
    </w:p>
    <w:p w14:paraId="5794FF25">
      <w:pPr>
        <w:pStyle w:val="4"/>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lang w:val="zh-CN" w:eastAsia="zh-CN"/>
        </w:rPr>
      </w:pPr>
      <w:r>
        <w:rPr>
          <w:rFonts w:hint="eastAsia"/>
          <w:highlight w:val="none"/>
          <w:lang w:val="zh-CN" w:eastAsia="zh-CN"/>
        </w:rPr>
        <w:t>DB53/T 957-2019</w:t>
      </w:r>
      <w:r>
        <w:rPr>
          <w:rFonts w:hint="eastAsia"/>
          <w:highlight w:val="none"/>
          <w:lang w:val="en-US" w:eastAsia="zh-CN"/>
        </w:rPr>
        <w:t xml:space="preserve"> </w:t>
      </w:r>
      <w:r>
        <w:rPr>
          <w:rFonts w:hint="eastAsia"/>
          <w:highlight w:val="none"/>
          <w:lang w:val="zh-CN" w:eastAsia="zh-CN"/>
        </w:rPr>
        <w:t>砂仁生产技术规程</w:t>
      </w:r>
    </w:p>
    <w:p w14:paraId="1C21F192">
      <w:pPr>
        <w:keepNext w:val="0"/>
        <w:keepLines w:val="0"/>
        <w:pageBreakBefore w:val="0"/>
        <w:numPr>
          <w:ilvl w:val="0"/>
          <w:numId w:val="7"/>
        </w:numPr>
        <w:kinsoku/>
        <w:wordWrap/>
        <w:overflowPunct/>
        <w:topLinePunct w:val="0"/>
        <w:autoSpaceDE/>
        <w:autoSpaceDN/>
        <w:bidi w:val="0"/>
        <w:adjustRightInd/>
        <w:snapToGrid/>
        <w:spacing w:line="580" w:lineRule="exact"/>
        <w:ind w:firstLine="643" w:firstLineChars="200"/>
        <w:textAlignment w:val="auto"/>
        <w:rPr>
          <w:rFonts w:hint="eastAsia" w:ascii="楷体" w:hAnsi="楷体" w:eastAsia="楷体"/>
          <w:b/>
          <w:color w:val="auto"/>
          <w:sz w:val="32"/>
          <w:szCs w:val="32"/>
          <w:lang w:val="zh-CN"/>
        </w:rPr>
      </w:pPr>
      <w:r>
        <w:rPr>
          <w:rFonts w:hint="eastAsia" w:ascii="楷体" w:hAnsi="楷体" w:eastAsia="楷体"/>
          <w:b/>
          <w:color w:val="auto"/>
          <w:sz w:val="32"/>
          <w:szCs w:val="32"/>
          <w:lang w:val="zh-CN"/>
        </w:rPr>
        <w:t>开展调研</w:t>
      </w:r>
    </w:p>
    <w:p w14:paraId="3E479C8D">
      <w:pPr>
        <w:keepNext w:val="0"/>
        <w:keepLines w:val="0"/>
        <w:pageBreakBefore w:val="0"/>
        <w:numPr>
          <w:ilvl w:val="0"/>
          <w:numId w:val="0"/>
        </w:numPr>
        <w:kinsoku/>
        <w:wordWrap/>
        <w:overflowPunct/>
        <w:topLinePunct w:val="0"/>
        <w:autoSpaceDE/>
        <w:autoSpaceDN/>
        <w:bidi w:val="0"/>
        <w:adjustRightInd/>
        <w:snapToGrid/>
        <w:spacing w:line="580" w:lineRule="exact"/>
        <w:ind w:firstLine="640"/>
        <w:textAlignment w:val="auto"/>
        <w:rPr>
          <w:rFonts w:hint="eastAsia" w:ascii="仿宋_GB2312" w:hAnsi="仿宋_GB2312" w:eastAsia="仿宋_GB2312" w:cs="仿宋_GB2312"/>
          <w:b w:val="0"/>
          <w:bCs/>
          <w:color w:val="auto"/>
          <w:sz w:val="32"/>
          <w:szCs w:val="32"/>
          <w:lang w:val="en-US" w:eastAsia="zh-CN"/>
        </w:rPr>
      </w:pPr>
      <w:r>
        <w:rPr>
          <w:rFonts w:hint="eastAsia" w:ascii="仿宋_GB2312" w:hAnsi="仿宋_GB2312" w:eastAsia="仿宋_GB2312" w:cs="仿宋_GB2312"/>
          <w:b w:val="0"/>
          <w:bCs/>
          <w:color w:val="auto"/>
          <w:sz w:val="32"/>
          <w:szCs w:val="32"/>
          <w:lang w:val="en-US" w:eastAsia="zh-CN"/>
        </w:rPr>
        <w:t>为掌握我区砂仁种植现状，标准编制工作组于2024年2月</w:t>
      </w:r>
      <w:r>
        <w:rPr>
          <w:rFonts w:hint="eastAsia" w:ascii="微软雅黑" w:hAnsi="微软雅黑" w:eastAsia="微软雅黑" w:cs="微软雅黑"/>
          <w:b w:val="0"/>
          <w:bCs/>
          <w:color w:val="auto"/>
          <w:sz w:val="32"/>
          <w:szCs w:val="32"/>
          <w:lang w:val="en-US" w:eastAsia="zh-CN"/>
        </w:rPr>
        <w:t>~</w:t>
      </w:r>
      <w:r>
        <w:rPr>
          <w:rFonts w:hint="eastAsia" w:ascii="仿宋_GB2312" w:hAnsi="仿宋_GB2312" w:eastAsia="仿宋_GB2312" w:cs="仿宋_GB2312"/>
          <w:b w:val="0"/>
          <w:bCs/>
          <w:color w:val="auto"/>
          <w:sz w:val="32"/>
          <w:szCs w:val="32"/>
          <w:lang w:val="en-US" w:eastAsia="zh-CN"/>
        </w:rPr>
        <w:t>4月分别到区内砂仁种植企业及林下种植中草药的区直林场进行了调研，重点调研掌握各企业单位的砂仁及中草药种植情况、种植技术要求、林下种植中草药的市场前景等方面内容，听取相关工作意见建议。并在前期工作的基础之上，系统总结，形成了基本架构，进行了部署和安排，并结合当前的需要，按照简化、统一等原则编制完成团体标准</w:t>
      </w:r>
      <w:r>
        <w:rPr>
          <w:rFonts w:hint="eastAsia" w:ascii="仿宋_GB2312" w:hAnsi="宋体" w:eastAsia="仿宋_GB2312"/>
          <w:color w:val="auto"/>
          <w:sz w:val="32"/>
          <w:szCs w:val="28"/>
          <w:lang w:val="zh-CN"/>
        </w:rPr>
        <w:t>《</w:t>
      </w:r>
      <w:r>
        <w:rPr>
          <w:rFonts w:hint="eastAsia" w:ascii="仿宋_GB2312" w:hAnsi="仿宋_GB2312" w:eastAsia="仿宋_GB2312" w:cs="仿宋_GB2312"/>
          <w:sz w:val="32"/>
          <w:szCs w:val="32"/>
          <w:lang w:val="en-US" w:eastAsia="zh-CN"/>
        </w:rPr>
        <w:t>桉树林下种植砂仁技术规程》。</w:t>
      </w:r>
    </w:p>
    <w:p w14:paraId="2FBC0B54">
      <w:pPr>
        <w:keepNext w:val="0"/>
        <w:keepLines w:val="0"/>
        <w:pageBreakBefore w:val="0"/>
        <w:numPr>
          <w:ilvl w:val="0"/>
          <w:numId w:val="7"/>
        </w:numPr>
        <w:kinsoku/>
        <w:wordWrap/>
        <w:overflowPunct/>
        <w:topLinePunct w:val="0"/>
        <w:autoSpaceDE/>
        <w:autoSpaceDN/>
        <w:bidi w:val="0"/>
        <w:adjustRightInd/>
        <w:snapToGrid/>
        <w:spacing w:line="580" w:lineRule="exact"/>
        <w:ind w:firstLine="643" w:firstLineChars="200"/>
        <w:textAlignment w:val="auto"/>
        <w:rPr>
          <w:rFonts w:ascii="楷体" w:hAnsi="楷体" w:eastAsia="楷体"/>
          <w:b/>
          <w:color w:val="auto"/>
          <w:sz w:val="32"/>
          <w:szCs w:val="32"/>
          <w:lang w:val="zh-CN"/>
        </w:rPr>
      </w:pPr>
      <w:r>
        <w:rPr>
          <w:rFonts w:hint="eastAsia" w:ascii="楷体" w:hAnsi="楷体" w:eastAsia="楷体"/>
          <w:b/>
          <w:color w:val="auto"/>
          <w:sz w:val="32"/>
          <w:szCs w:val="32"/>
          <w:lang w:val="zh-CN"/>
        </w:rPr>
        <w:t>研讨确定标准主体内容</w:t>
      </w:r>
    </w:p>
    <w:p w14:paraId="31D46C62">
      <w:pPr>
        <w:pStyle w:val="33"/>
        <w:keepNext w:val="0"/>
        <w:keepLines w:val="0"/>
        <w:pageBreakBefore w:val="0"/>
        <w:numPr>
          <w:ilvl w:val="-1"/>
          <w:numId w:val="0"/>
        </w:numPr>
        <w:kinsoku/>
        <w:wordWrap/>
        <w:overflowPunct/>
        <w:topLinePunct w:val="0"/>
        <w:autoSpaceDE/>
        <w:autoSpaceDN/>
        <w:bidi w:val="0"/>
        <w:adjustRightInd/>
        <w:snapToGrid/>
        <w:spacing w:beforeLines="0" w:afterLines="0" w:line="580" w:lineRule="exact"/>
        <w:ind w:left="0" w:firstLine="640" w:firstLineChars="200"/>
        <w:textAlignment w:val="auto"/>
        <w:rPr>
          <w:rFonts w:hint="eastAsia" w:ascii="Times New Roman" w:eastAsia="黑体"/>
          <w:color w:val="auto"/>
          <w:lang w:eastAsia="zh-CN"/>
        </w:rPr>
      </w:pPr>
      <w:r>
        <w:rPr>
          <w:rFonts w:hint="eastAsia" w:ascii="仿宋_GB2312" w:hAnsi="宋体" w:eastAsia="仿宋_GB2312"/>
          <w:color w:val="auto"/>
          <w:sz w:val="32"/>
          <w:szCs w:val="28"/>
          <w:lang w:val="zh-CN"/>
        </w:rPr>
        <w:t>标准编制工作组对收集资料和区内外调研情况进行整理研究，</w:t>
      </w:r>
      <w:r>
        <w:rPr>
          <w:rFonts w:hint="eastAsia" w:ascii="仿宋_GB2312" w:hAnsi="宋体" w:eastAsia="仿宋_GB2312"/>
          <w:color w:val="auto"/>
          <w:sz w:val="32"/>
          <w:szCs w:val="28"/>
          <w:lang w:val="en-US" w:eastAsia="zh-CN"/>
        </w:rPr>
        <w:t>2024年5月初</w:t>
      </w:r>
      <w:r>
        <w:rPr>
          <w:rFonts w:hint="eastAsia" w:ascii="仿宋_GB2312" w:hAnsi="宋体" w:eastAsia="仿宋_GB2312"/>
          <w:color w:val="auto"/>
          <w:sz w:val="32"/>
          <w:szCs w:val="28"/>
          <w:lang w:val="zh-CN"/>
        </w:rPr>
        <w:t>召开了标准编制工作组会议，对标准的整体框架进行了研究，并对标准的关键性问题进行了初步探讨。经过研究确定标准主体内容，</w:t>
      </w:r>
      <w:r>
        <w:rPr>
          <w:rFonts w:hint="eastAsia" w:ascii="仿宋_GB2312" w:hAnsi="宋体" w:eastAsia="仿宋_GB2312"/>
          <w:color w:val="auto"/>
          <w:sz w:val="32"/>
          <w:szCs w:val="28"/>
          <w:lang w:val="en-US" w:eastAsia="zh-CN"/>
        </w:rPr>
        <w:t>为种植地</w:t>
      </w:r>
      <w:r>
        <w:rPr>
          <w:rFonts w:hint="eastAsia" w:ascii="仿宋_GB2312" w:hAnsi="宋体" w:eastAsia="仿宋_GB2312"/>
          <w:color w:val="auto"/>
          <w:sz w:val="32"/>
          <w:szCs w:val="28"/>
          <w:lang w:val="zh-CN" w:eastAsia="zh-CN"/>
        </w:rPr>
        <w:t>选择、整地、苗木标准、种植模式、抚育管护、病虫害防治、采收等</w:t>
      </w:r>
      <w:r>
        <w:rPr>
          <w:rFonts w:hint="eastAsia" w:ascii="仿宋_GB2312" w:hAnsi="宋体" w:eastAsia="仿宋_GB2312"/>
          <w:color w:val="auto"/>
          <w:sz w:val="32"/>
          <w:szCs w:val="28"/>
          <w:lang w:val="zh-CN"/>
        </w:rPr>
        <w:t>系列</w:t>
      </w:r>
      <w:r>
        <w:rPr>
          <w:rFonts w:hint="eastAsia" w:ascii="仿宋_GB2312" w:hAnsi="宋体" w:eastAsia="仿宋_GB2312"/>
          <w:color w:val="auto"/>
          <w:sz w:val="32"/>
          <w:szCs w:val="28"/>
          <w:lang w:val="zh-CN" w:eastAsia="zh-CN"/>
        </w:rPr>
        <w:t>主要</w:t>
      </w:r>
      <w:r>
        <w:rPr>
          <w:rFonts w:hint="eastAsia" w:ascii="仿宋_GB2312" w:hAnsi="宋体" w:eastAsia="仿宋_GB2312"/>
          <w:color w:val="auto"/>
          <w:sz w:val="32"/>
          <w:szCs w:val="28"/>
          <w:lang w:val="zh-CN"/>
        </w:rPr>
        <w:t>技术措施</w:t>
      </w:r>
      <w:r>
        <w:rPr>
          <w:rFonts w:hint="eastAsia" w:ascii="仿宋_GB2312" w:hAnsi="宋体" w:eastAsia="仿宋_GB2312"/>
          <w:color w:val="auto"/>
          <w:sz w:val="32"/>
          <w:szCs w:val="28"/>
          <w:lang w:val="zh-CN" w:eastAsia="zh-CN"/>
        </w:rPr>
        <w:t>。</w:t>
      </w:r>
    </w:p>
    <w:p w14:paraId="059AC794">
      <w:pPr>
        <w:keepNext w:val="0"/>
        <w:keepLines w:val="0"/>
        <w:pageBreakBefore w:val="0"/>
        <w:kinsoku/>
        <w:wordWrap/>
        <w:overflowPunct/>
        <w:topLinePunct w:val="0"/>
        <w:autoSpaceDE/>
        <w:autoSpaceDN/>
        <w:bidi w:val="0"/>
        <w:adjustRightInd/>
        <w:snapToGrid/>
        <w:spacing w:line="580" w:lineRule="exact"/>
        <w:ind w:firstLine="643" w:firstLineChars="200"/>
        <w:textAlignment w:val="auto"/>
        <w:rPr>
          <w:rFonts w:ascii="楷体" w:hAnsi="楷体" w:eastAsia="楷体"/>
          <w:b/>
          <w:color w:val="auto"/>
          <w:sz w:val="32"/>
          <w:szCs w:val="32"/>
          <w:lang w:val="zh-CN"/>
        </w:rPr>
      </w:pPr>
      <w:r>
        <w:rPr>
          <w:rFonts w:hint="eastAsia" w:ascii="楷体" w:hAnsi="楷体" w:eastAsia="楷体"/>
          <w:b/>
          <w:color w:val="auto"/>
          <w:sz w:val="32"/>
          <w:szCs w:val="32"/>
          <w:lang w:val="zh-CN"/>
        </w:rPr>
        <w:t>（</w:t>
      </w:r>
      <w:r>
        <w:rPr>
          <w:rFonts w:hint="eastAsia" w:ascii="楷体" w:hAnsi="楷体" w:eastAsia="楷体"/>
          <w:b/>
          <w:color w:val="auto"/>
          <w:sz w:val="32"/>
          <w:szCs w:val="32"/>
          <w:lang w:val="en-US" w:eastAsia="zh-CN"/>
        </w:rPr>
        <w:t>五</w:t>
      </w:r>
      <w:r>
        <w:rPr>
          <w:rFonts w:hint="eastAsia" w:ascii="楷体" w:hAnsi="楷体" w:eastAsia="楷体"/>
          <w:b/>
          <w:color w:val="auto"/>
          <w:sz w:val="32"/>
          <w:szCs w:val="32"/>
          <w:lang w:val="zh-CN"/>
        </w:rPr>
        <w:t>）编写形成文本草案和征求意见稿</w:t>
      </w:r>
    </w:p>
    <w:p w14:paraId="3F258E4B">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default" w:hAnsi="宋体"/>
          <w:color w:val="auto"/>
          <w:sz w:val="32"/>
          <w:szCs w:val="28"/>
          <w:lang w:val="en-US" w:eastAsia="zh-CN"/>
        </w:rPr>
      </w:pPr>
      <w:r>
        <w:rPr>
          <w:rFonts w:hint="eastAsia" w:ascii="仿宋_GB2312" w:hAnsi="宋体" w:eastAsia="仿宋_GB2312"/>
          <w:color w:val="auto"/>
          <w:sz w:val="32"/>
          <w:szCs w:val="28"/>
          <w:lang w:val="zh-CN"/>
        </w:rPr>
        <w:t>材料收集整理和区内调研工作完成后，标准编制工作组于</w:t>
      </w:r>
      <w:r>
        <w:rPr>
          <w:rFonts w:hint="eastAsia" w:ascii="仿宋_GB2312" w:hAnsi="宋体" w:eastAsia="仿宋_GB2312"/>
          <w:color w:val="auto"/>
          <w:sz w:val="32"/>
          <w:szCs w:val="28"/>
          <w:lang w:val="en-US" w:eastAsia="zh-CN"/>
        </w:rPr>
        <w:t>2024年5月上旬召开会议认真研究，</w:t>
      </w:r>
      <w:r>
        <w:rPr>
          <w:rFonts w:hint="eastAsia" w:ascii="仿宋_GB2312" w:hAnsi="宋体" w:eastAsia="仿宋_GB2312"/>
          <w:color w:val="auto"/>
          <w:sz w:val="32"/>
          <w:szCs w:val="28"/>
          <w:lang w:val="zh-CN"/>
        </w:rPr>
        <w:t>经编制组人员反复讨论，形成了标准的基本构架，对主要内容进行了讨论形成统一意见。根据</w:t>
      </w:r>
      <w:r>
        <w:rPr>
          <w:rFonts w:hint="eastAsia" w:ascii="仿宋_GB2312" w:hAnsi="宋体" w:eastAsia="仿宋_GB2312"/>
          <w:color w:val="auto"/>
          <w:sz w:val="32"/>
          <w:szCs w:val="28"/>
          <w:lang w:val="en-US" w:eastAsia="zh-CN"/>
        </w:rPr>
        <w:t>调研情况</w:t>
      </w:r>
      <w:r>
        <w:rPr>
          <w:rFonts w:hint="eastAsia" w:ascii="仿宋_GB2312" w:hAnsi="宋体" w:eastAsia="仿宋_GB2312"/>
          <w:color w:val="auto"/>
          <w:sz w:val="32"/>
          <w:szCs w:val="28"/>
          <w:lang w:val="zh-CN"/>
        </w:rPr>
        <w:t>，结合</w:t>
      </w:r>
      <w:r>
        <w:rPr>
          <w:rFonts w:hint="eastAsia" w:ascii="仿宋_GB2312" w:hAnsi="宋体" w:eastAsia="仿宋_GB2312"/>
          <w:color w:val="auto"/>
          <w:sz w:val="32"/>
          <w:szCs w:val="28"/>
          <w:lang w:val="en-US" w:eastAsia="zh-CN"/>
        </w:rPr>
        <w:t>桉树林下种植砂仁的</w:t>
      </w:r>
      <w:r>
        <w:rPr>
          <w:rFonts w:hint="eastAsia" w:ascii="仿宋_GB2312" w:hAnsi="宋体" w:eastAsia="仿宋_GB2312"/>
          <w:color w:val="auto"/>
          <w:sz w:val="32"/>
          <w:szCs w:val="28"/>
          <w:lang w:val="zh-CN"/>
        </w:rPr>
        <w:t>实际情况，由主笔人撰写形成标准初稿，然后提交编制工作组成员修改补充完善形成标准草案</w:t>
      </w:r>
      <w:r>
        <w:rPr>
          <w:rFonts w:hint="eastAsia" w:ascii="仿宋_GB2312" w:hAnsi="宋体" w:eastAsia="仿宋_GB2312"/>
          <w:color w:val="auto"/>
          <w:sz w:val="32"/>
          <w:szCs w:val="28"/>
          <w:lang w:val="en-US" w:eastAsia="zh-CN"/>
        </w:rPr>
        <w:t>,经</w:t>
      </w:r>
      <w:r>
        <w:rPr>
          <w:rFonts w:hint="eastAsia" w:ascii="仿宋_GB2312" w:hAnsi="宋体" w:eastAsia="仿宋_GB2312"/>
          <w:color w:val="auto"/>
          <w:sz w:val="32"/>
          <w:szCs w:val="28"/>
          <w:lang w:val="zh-CN"/>
        </w:rPr>
        <w:t>标准编制工作组多次召开会议，对标准草案进行反复研究和修改补充，形成团体标准《</w:t>
      </w:r>
      <w:bookmarkStart w:id="0" w:name="StandardName"/>
      <w:r>
        <w:rPr>
          <w:rFonts w:hint="eastAsia" w:ascii="仿宋_GB2312" w:hAnsi="宋体" w:eastAsia="仿宋_GB2312"/>
          <w:color w:val="auto"/>
          <w:sz w:val="32"/>
          <w:szCs w:val="28"/>
          <w:lang w:val="zh-CN" w:eastAsia="zh-CN"/>
        </w:rPr>
        <w:t>桉树林下种植砂仁</w:t>
      </w:r>
      <w:r>
        <w:rPr>
          <w:rFonts w:hint="eastAsia" w:ascii="仿宋_GB2312" w:hAnsi="宋体" w:eastAsia="仿宋_GB2312"/>
          <w:color w:val="auto"/>
          <w:sz w:val="32"/>
          <w:szCs w:val="28"/>
          <w:lang w:val="zh-CN"/>
        </w:rPr>
        <w:t>技术规程</w:t>
      </w:r>
      <w:bookmarkEnd w:id="0"/>
      <w:r>
        <w:rPr>
          <w:rFonts w:hint="eastAsia" w:ascii="仿宋_GB2312" w:hAnsi="宋体" w:eastAsia="仿宋_GB2312"/>
          <w:color w:val="auto"/>
          <w:sz w:val="32"/>
          <w:szCs w:val="28"/>
          <w:lang w:val="zh-CN"/>
        </w:rPr>
        <w:t>》（征求意见稿）和（征求意见稿）编制说明。</w:t>
      </w:r>
    </w:p>
    <w:p w14:paraId="6A3FDE97">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ascii="黑体" w:hAnsi="黑体" w:eastAsia="黑体" w:cs="黑体"/>
          <w:bCs/>
          <w:color w:val="auto"/>
          <w:sz w:val="32"/>
          <w:szCs w:val="32"/>
        </w:rPr>
      </w:pPr>
      <w:r>
        <w:rPr>
          <w:rFonts w:hint="eastAsia" w:ascii="黑体" w:hAnsi="黑体" w:eastAsia="黑体" w:cs="黑体"/>
          <w:bCs/>
          <w:color w:val="auto"/>
          <w:sz w:val="32"/>
          <w:szCs w:val="32"/>
        </w:rPr>
        <w:t>四、制定标准的原则和依据，与现行法律、法规的关系，与有关国家标准、行业标准的协调情况</w:t>
      </w:r>
    </w:p>
    <w:p w14:paraId="28B70D13">
      <w:pPr>
        <w:keepNext w:val="0"/>
        <w:keepLines w:val="0"/>
        <w:pageBreakBefore w:val="0"/>
        <w:kinsoku/>
        <w:wordWrap/>
        <w:overflowPunct/>
        <w:topLinePunct w:val="0"/>
        <w:autoSpaceDE/>
        <w:autoSpaceDN/>
        <w:bidi w:val="0"/>
        <w:adjustRightInd/>
        <w:snapToGrid/>
        <w:spacing w:line="580" w:lineRule="exact"/>
        <w:ind w:firstLine="643" w:firstLineChars="200"/>
        <w:textAlignment w:val="auto"/>
        <w:rPr>
          <w:rFonts w:ascii="楷体" w:hAnsi="楷体" w:eastAsia="楷体"/>
          <w:b/>
          <w:color w:val="auto"/>
          <w:sz w:val="32"/>
          <w:szCs w:val="32"/>
          <w:lang w:val="zh-CN"/>
        </w:rPr>
      </w:pPr>
      <w:r>
        <w:rPr>
          <w:rFonts w:hint="eastAsia" w:ascii="楷体" w:hAnsi="楷体" w:eastAsia="楷体"/>
          <w:b/>
          <w:color w:val="auto"/>
          <w:sz w:val="32"/>
          <w:szCs w:val="32"/>
          <w:lang w:val="zh-CN"/>
        </w:rPr>
        <w:t>（一）制</w:t>
      </w:r>
      <w:r>
        <w:rPr>
          <w:rFonts w:hint="eastAsia" w:ascii="楷体" w:hAnsi="楷体" w:eastAsia="楷体"/>
          <w:b/>
          <w:color w:val="auto"/>
          <w:sz w:val="32"/>
          <w:szCs w:val="32"/>
          <w:lang w:val="en-US" w:eastAsia="zh-CN"/>
        </w:rPr>
        <w:t>定</w:t>
      </w:r>
      <w:r>
        <w:rPr>
          <w:rFonts w:hint="eastAsia" w:ascii="楷体" w:hAnsi="楷体" w:eastAsia="楷体"/>
          <w:b/>
          <w:color w:val="auto"/>
          <w:sz w:val="32"/>
          <w:szCs w:val="32"/>
          <w:lang w:val="zh-CN"/>
        </w:rPr>
        <w:t>标准的原则</w:t>
      </w:r>
    </w:p>
    <w:p w14:paraId="660AE177">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ascii="仿宋_GB2312" w:hAnsi="宋体" w:eastAsia="仿宋_GB2312"/>
          <w:color w:val="auto"/>
          <w:sz w:val="32"/>
          <w:szCs w:val="28"/>
          <w:lang w:val="zh-CN"/>
        </w:rPr>
      </w:pPr>
      <w:r>
        <w:rPr>
          <w:rFonts w:hint="eastAsia" w:ascii="仿宋_GB2312" w:hAnsi="宋体" w:eastAsia="仿宋_GB2312"/>
          <w:color w:val="auto"/>
          <w:sz w:val="32"/>
          <w:szCs w:val="28"/>
          <w:lang w:val="zh-CN"/>
        </w:rPr>
        <w:t>本文件是在充分收集相关资料和文献，广泛调研区内</w:t>
      </w:r>
      <w:r>
        <w:rPr>
          <w:rFonts w:hint="eastAsia" w:ascii="仿宋_GB2312" w:hAnsi="宋体" w:eastAsia="仿宋_GB2312"/>
          <w:color w:val="auto"/>
          <w:sz w:val="32"/>
          <w:szCs w:val="28"/>
          <w:lang w:val="en-US" w:eastAsia="zh-CN"/>
        </w:rPr>
        <w:t>砂仁种植</w:t>
      </w:r>
      <w:r>
        <w:rPr>
          <w:rFonts w:hint="eastAsia" w:ascii="仿宋_GB2312" w:hAnsi="宋体" w:eastAsia="仿宋_GB2312"/>
          <w:color w:val="auto"/>
          <w:sz w:val="32"/>
          <w:szCs w:val="28"/>
          <w:lang w:val="zh-CN"/>
        </w:rPr>
        <w:t>现状基础上，根据</w:t>
      </w:r>
      <w:r>
        <w:rPr>
          <w:rFonts w:hint="eastAsia" w:ascii="仿宋_GB2312" w:hAnsi="宋体" w:eastAsia="仿宋_GB2312"/>
          <w:color w:val="auto"/>
          <w:sz w:val="32"/>
          <w:szCs w:val="28"/>
          <w:lang w:val="en-US" w:eastAsia="zh-CN"/>
        </w:rPr>
        <w:t>现有技术标准和调研情况</w:t>
      </w:r>
      <w:r>
        <w:rPr>
          <w:rFonts w:hint="eastAsia" w:ascii="仿宋_GB2312" w:hAnsi="宋体" w:eastAsia="仿宋_GB2312"/>
          <w:color w:val="auto"/>
          <w:sz w:val="32"/>
          <w:szCs w:val="28"/>
          <w:lang w:val="zh-CN"/>
        </w:rPr>
        <w:t>，</w:t>
      </w:r>
      <w:r>
        <w:rPr>
          <w:rFonts w:hint="eastAsia" w:ascii="仿宋_GB2312" w:hAnsi="宋体" w:eastAsia="仿宋_GB2312"/>
          <w:color w:val="auto"/>
          <w:sz w:val="32"/>
          <w:szCs w:val="28"/>
          <w:lang w:val="en-US" w:eastAsia="zh-CN"/>
        </w:rPr>
        <w:t>结</w:t>
      </w:r>
      <w:r>
        <w:rPr>
          <w:rFonts w:hint="eastAsia" w:ascii="仿宋_GB2312" w:hAnsi="宋体" w:eastAsia="仿宋_GB2312"/>
          <w:color w:val="auto"/>
          <w:sz w:val="32"/>
          <w:szCs w:val="28"/>
          <w:lang w:val="zh-CN"/>
        </w:rPr>
        <w:t>合我区</w:t>
      </w:r>
      <w:r>
        <w:rPr>
          <w:rFonts w:hint="eastAsia" w:ascii="仿宋_GB2312" w:hAnsi="宋体" w:eastAsia="仿宋_GB2312"/>
          <w:color w:val="auto"/>
          <w:sz w:val="32"/>
          <w:szCs w:val="28"/>
          <w:lang w:val="en-US" w:eastAsia="zh-CN"/>
        </w:rPr>
        <w:t>桉树林场种植砂仁的</w:t>
      </w:r>
      <w:r>
        <w:rPr>
          <w:rFonts w:hint="eastAsia" w:ascii="仿宋_GB2312" w:hAnsi="宋体" w:eastAsia="仿宋_GB2312"/>
          <w:color w:val="auto"/>
          <w:sz w:val="32"/>
          <w:szCs w:val="28"/>
          <w:lang w:val="zh-CN"/>
        </w:rPr>
        <w:t>实际工作情况，规范</w:t>
      </w:r>
      <w:r>
        <w:rPr>
          <w:rFonts w:hint="eastAsia" w:ascii="仿宋_GB2312" w:hAnsi="宋体" w:eastAsia="仿宋_GB2312"/>
          <w:color w:val="auto"/>
          <w:sz w:val="32"/>
          <w:szCs w:val="28"/>
          <w:lang w:val="en-US" w:eastAsia="zh-CN"/>
        </w:rPr>
        <w:t>砂仁的种植地</w:t>
      </w:r>
      <w:r>
        <w:rPr>
          <w:rFonts w:hint="eastAsia" w:ascii="仿宋_GB2312" w:hAnsi="宋体" w:eastAsia="仿宋_GB2312"/>
          <w:color w:val="auto"/>
          <w:sz w:val="32"/>
          <w:szCs w:val="28"/>
          <w:lang w:val="zh-CN" w:eastAsia="zh-CN"/>
        </w:rPr>
        <w:t>选择、整地、苗木标准、种植模式、抚育管护、病虫害防治、采收等内容并形成团体标准，</w:t>
      </w:r>
      <w:r>
        <w:rPr>
          <w:rFonts w:hint="eastAsia" w:ascii="仿宋_GB2312" w:hAnsi="宋体" w:eastAsia="仿宋_GB2312"/>
          <w:color w:val="auto"/>
          <w:sz w:val="32"/>
          <w:szCs w:val="28"/>
          <w:lang w:val="zh-CN"/>
        </w:rPr>
        <w:t>符合当前</w:t>
      </w:r>
      <w:r>
        <w:rPr>
          <w:rFonts w:hint="eastAsia" w:ascii="仿宋_GB2312" w:hAnsi="宋体" w:eastAsia="仿宋_GB2312"/>
          <w:color w:val="auto"/>
          <w:sz w:val="32"/>
          <w:szCs w:val="28"/>
          <w:lang w:val="en-US" w:eastAsia="zh-CN"/>
        </w:rPr>
        <w:t>桉树林下种植砂仁</w:t>
      </w:r>
      <w:r>
        <w:rPr>
          <w:rFonts w:hint="eastAsia" w:ascii="仿宋_GB2312" w:hAnsi="宋体" w:eastAsia="仿宋_GB2312"/>
          <w:color w:val="auto"/>
          <w:sz w:val="32"/>
          <w:szCs w:val="28"/>
          <w:lang w:val="zh-CN"/>
        </w:rPr>
        <w:t>的长远发展，有利于</w:t>
      </w:r>
      <w:r>
        <w:rPr>
          <w:rFonts w:hint="eastAsia" w:ascii="仿宋_GB2312" w:hAnsi="宋体" w:eastAsia="仿宋_GB2312"/>
          <w:color w:val="auto"/>
          <w:sz w:val="32"/>
          <w:szCs w:val="28"/>
          <w:lang w:val="en-US" w:eastAsia="zh-CN"/>
        </w:rPr>
        <w:t>桉树林下种植砂仁</w:t>
      </w:r>
      <w:r>
        <w:rPr>
          <w:rFonts w:hint="eastAsia" w:ascii="仿宋_GB2312" w:hAnsi="宋体" w:eastAsia="仿宋_GB2312"/>
          <w:color w:val="auto"/>
          <w:sz w:val="32"/>
          <w:szCs w:val="28"/>
          <w:lang w:val="zh-CN"/>
        </w:rPr>
        <w:t>的行为，推动</w:t>
      </w:r>
      <w:r>
        <w:rPr>
          <w:rFonts w:hint="eastAsia" w:ascii="仿宋_GB2312" w:hAnsi="宋体" w:eastAsia="仿宋_GB2312"/>
          <w:color w:val="auto"/>
          <w:sz w:val="32"/>
          <w:szCs w:val="28"/>
          <w:lang w:val="en-US" w:eastAsia="zh-CN"/>
        </w:rPr>
        <w:t>桉树产业多元化和砂仁产业</w:t>
      </w:r>
      <w:r>
        <w:rPr>
          <w:rFonts w:hint="eastAsia" w:ascii="仿宋_GB2312" w:hAnsi="宋体" w:eastAsia="仿宋_GB2312"/>
          <w:color w:val="auto"/>
          <w:sz w:val="32"/>
          <w:szCs w:val="28"/>
          <w:lang w:val="zh-CN"/>
        </w:rPr>
        <w:t>持续健康发展，具有较强的实用性和可操作性原则。</w:t>
      </w:r>
    </w:p>
    <w:p w14:paraId="468FB69A">
      <w:pPr>
        <w:keepNext w:val="0"/>
        <w:keepLines w:val="0"/>
        <w:pageBreakBefore w:val="0"/>
        <w:numPr>
          <w:ilvl w:val="0"/>
          <w:numId w:val="8"/>
        </w:numPr>
        <w:kinsoku/>
        <w:wordWrap/>
        <w:overflowPunct/>
        <w:topLinePunct w:val="0"/>
        <w:autoSpaceDE/>
        <w:autoSpaceDN/>
        <w:bidi w:val="0"/>
        <w:adjustRightInd/>
        <w:snapToGrid/>
        <w:spacing w:line="580" w:lineRule="exact"/>
        <w:ind w:firstLine="643" w:firstLineChars="200"/>
        <w:textAlignment w:val="auto"/>
        <w:rPr>
          <w:rFonts w:hint="eastAsia" w:ascii="楷体" w:hAnsi="楷体" w:eastAsia="楷体"/>
          <w:b/>
          <w:color w:val="auto"/>
          <w:sz w:val="32"/>
          <w:szCs w:val="32"/>
          <w:lang w:val="zh-CN"/>
        </w:rPr>
      </w:pPr>
      <w:r>
        <w:rPr>
          <w:rFonts w:hint="eastAsia" w:ascii="楷体" w:hAnsi="楷体" w:eastAsia="楷体"/>
          <w:b/>
          <w:color w:val="auto"/>
          <w:sz w:val="32"/>
          <w:szCs w:val="32"/>
          <w:lang w:val="zh-CN"/>
        </w:rPr>
        <w:t>制</w:t>
      </w:r>
      <w:r>
        <w:rPr>
          <w:rFonts w:hint="eastAsia" w:ascii="楷体" w:hAnsi="楷体" w:eastAsia="楷体"/>
          <w:b/>
          <w:color w:val="auto"/>
          <w:sz w:val="32"/>
          <w:szCs w:val="32"/>
          <w:lang w:val="en-US" w:eastAsia="zh-CN"/>
        </w:rPr>
        <w:t>定</w:t>
      </w:r>
      <w:r>
        <w:rPr>
          <w:rFonts w:hint="eastAsia" w:ascii="楷体" w:hAnsi="楷体" w:eastAsia="楷体"/>
          <w:b/>
          <w:color w:val="auto"/>
          <w:sz w:val="32"/>
          <w:szCs w:val="32"/>
          <w:lang w:val="zh-CN"/>
        </w:rPr>
        <w:t>标准的依据</w:t>
      </w:r>
    </w:p>
    <w:p w14:paraId="4449ADBB">
      <w:pPr>
        <w:pStyle w:val="4"/>
        <w:numPr>
          <w:ilvl w:val="0"/>
          <w:numId w:val="0"/>
        </w:numPr>
        <w:ind w:firstLine="640" w:firstLineChars="200"/>
        <w:rPr>
          <w:rFonts w:hint="eastAsia"/>
          <w:color w:val="auto"/>
          <w:lang w:val="zh-CN"/>
        </w:rPr>
      </w:pPr>
      <w:r>
        <w:rPr>
          <w:rFonts w:hint="eastAsia"/>
          <w:color w:val="auto"/>
          <w:lang w:val="zh-CN"/>
        </w:rPr>
        <w:t>本文本严格</w:t>
      </w:r>
      <w:r>
        <w:rPr>
          <w:rFonts w:hint="eastAsia"/>
          <w:color w:val="auto"/>
          <w:lang w:val="en-US" w:eastAsia="zh-CN"/>
        </w:rPr>
        <w:t>参照</w:t>
      </w:r>
      <w:r>
        <w:rPr>
          <w:rFonts w:hint="eastAsia"/>
          <w:color w:val="auto"/>
          <w:lang w:val="zh-CN"/>
        </w:rPr>
        <w:t xml:space="preserve"> GB /T1</w:t>
      </w:r>
      <w:r>
        <w:rPr>
          <w:rFonts w:hint="eastAsia"/>
          <w:color w:val="auto"/>
          <w:lang w:val="en-US" w:eastAsia="zh-CN"/>
        </w:rPr>
        <w:t>.</w:t>
      </w:r>
      <w:r>
        <w:rPr>
          <w:rFonts w:hint="eastAsia"/>
          <w:color w:val="auto"/>
          <w:lang w:val="zh-CN"/>
        </w:rPr>
        <w:t>1</w:t>
      </w:r>
      <w:r>
        <w:rPr>
          <w:rFonts w:hint="eastAsia"/>
          <w:color w:val="auto"/>
          <w:lang w:val="en-US" w:eastAsia="zh-CN"/>
        </w:rPr>
        <w:t>-</w:t>
      </w:r>
      <w:r>
        <w:rPr>
          <w:rFonts w:hint="eastAsia"/>
          <w:color w:val="auto"/>
          <w:lang w:val="zh-CN"/>
        </w:rPr>
        <w:t>2020《标准化工作导则》（第1部分标准化文件的结构和起草规则）的要求和规定编写</w:t>
      </w:r>
      <w:r>
        <w:rPr>
          <w:rFonts w:hint="eastAsia"/>
          <w:color w:val="auto"/>
          <w:lang w:val="en-US" w:eastAsia="zh-CN"/>
        </w:rPr>
        <w:t>相关</w:t>
      </w:r>
      <w:r>
        <w:rPr>
          <w:rFonts w:hint="eastAsia"/>
          <w:color w:val="auto"/>
          <w:lang w:val="zh-CN"/>
        </w:rPr>
        <w:t>内容，保证标准的编写质量。主要依据</w:t>
      </w:r>
      <w:r>
        <w:rPr>
          <w:rFonts w:hint="eastAsia"/>
          <w:color w:val="auto"/>
          <w:lang w:val="en-US" w:eastAsia="zh-CN"/>
        </w:rPr>
        <w:t>林业和中草药种植</w:t>
      </w:r>
      <w:r>
        <w:rPr>
          <w:rFonts w:hint="eastAsia"/>
          <w:color w:val="auto"/>
          <w:lang w:val="zh-CN"/>
        </w:rPr>
        <w:t>相关法律法规、调研掌握的广西</w:t>
      </w:r>
      <w:r>
        <w:rPr>
          <w:rFonts w:hint="eastAsia"/>
          <w:color w:val="auto"/>
          <w:lang w:val="en-US" w:eastAsia="zh-CN"/>
        </w:rPr>
        <w:t>砂仁种植情况</w:t>
      </w:r>
      <w:r>
        <w:rPr>
          <w:rFonts w:hint="eastAsia" w:ascii="仿宋_GB2312" w:hAnsi="宋体" w:eastAsia="仿宋_GB2312"/>
          <w:color w:val="auto"/>
          <w:sz w:val="32"/>
          <w:szCs w:val="28"/>
          <w:lang w:val="zh-CN"/>
        </w:rPr>
        <w:t>，</w:t>
      </w:r>
      <w:r>
        <w:rPr>
          <w:rFonts w:hint="eastAsia" w:hAnsi="宋体"/>
          <w:color w:val="auto"/>
          <w:sz w:val="32"/>
          <w:szCs w:val="28"/>
          <w:lang w:val="zh-CN"/>
        </w:rPr>
        <w:t>并</w:t>
      </w:r>
      <w:r>
        <w:rPr>
          <w:rFonts w:hint="eastAsia" w:ascii="仿宋_GB2312" w:hAnsi="宋体" w:eastAsia="仿宋_GB2312"/>
          <w:color w:val="auto"/>
          <w:sz w:val="32"/>
          <w:szCs w:val="28"/>
          <w:lang w:val="zh-CN"/>
        </w:rPr>
        <w:t>结合</w:t>
      </w:r>
      <w:r>
        <w:rPr>
          <w:rFonts w:hint="eastAsia" w:hAnsi="宋体"/>
          <w:color w:val="auto"/>
          <w:sz w:val="32"/>
          <w:szCs w:val="28"/>
          <w:lang w:val="zh-CN"/>
        </w:rPr>
        <w:t>广西</w:t>
      </w:r>
      <w:r>
        <w:rPr>
          <w:rFonts w:hint="eastAsia" w:ascii="仿宋_GB2312" w:hAnsi="宋体" w:eastAsia="仿宋_GB2312"/>
          <w:color w:val="auto"/>
          <w:sz w:val="32"/>
          <w:szCs w:val="28"/>
          <w:lang w:val="en-US" w:eastAsia="zh-CN"/>
        </w:rPr>
        <w:t>桉树林场种植砂仁的</w:t>
      </w:r>
      <w:r>
        <w:rPr>
          <w:rFonts w:hint="eastAsia" w:ascii="仿宋_GB2312" w:hAnsi="宋体" w:eastAsia="仿宋_GB2312"/>
          <w:color w:val="auto"/>
          <w:sz w:val="32"/>
          <w:szCs w:val="28"/>
          <w:lang w:val="zh-CN"/>
        </w:rPr>
        <w:t>实际工作情况</w:t>
      </w:r>
      <w:r>
        <w:rPr>
          <w:rFonts w:hint="eastAsia" w:hAnsi="宋体"/>
          <w:color w:val="auto"/>
          <w:sz w:val="32"/>
          <w:szCs w:val="28"/>
          <w:lang w:val="zh-CN"/>
        </w:rPr>
        <w:t>进行标准编写</w:t>
      </w:r>
      <w:r>
        <w:rPr>
          <w:rFonts w:hint="eastAsia" w:ascii="仿宋_GB2312" w:hAnsi="宋体" w:eastAsia="仿宋_GB2312"/>
          <w:color w:val="auto"/>
          <w:sz w:val="32"/>
          <w:szCs w:val="28"/>
          <w:lang w:val="zh-CN"/>
        </w:rPr>
        <w:t>，</w:t>
      </w:r>
      <w:r>
        <w:rPr>
          <w:rFonts w:hint="eastAsia" w:hAnsi="宋体"/>
          <w:color w:val="auto"/>
          <w:sz w:val="32"/>
          <w:szCs w:val="28"/>
          <w:lang w:val="zh-CN"/>
        </w:rPr>
        <w:t>确保本标准在广西推广应用</w:t>
      </w:r>
      <w:r>
        <w:rPr>
          <w:rFonts w:hint="eastAsia"/>
          <w:color w:val="auto"/>
          <w:lang w:val="zh-CN"/>
        </w:rPr>
        <w:t>。</w:t>
      </w:r>
    </w:p>
    <w:p w14:paraId="2F173624">
      <w:pPr>
        <w:keepNext w:val="0"/>
        <w:keepLines w:val="0"/>
        <w:pageBreakBefore w:val="0"/>
        <w:kinsoku/>
        <w:wordWrap/>
        <w:overflowPunct/>
        <w:topLinePunct w:val="0"/>
        <w:autoSpaceDE/>
        <w:autoSpaceDN/>
        <w:bidi w:val="0"/>
        <w:adjustRightInd/>
        <w:snapToGrid/>
        <w:spacing w:line="580" w:lineRule="exact"/>
        <w:ind w:firstLine="643" w:firstLineChars="200"/>
        <w:textAlignment w:val="auto"/>
        <w:rPr>
          <w:rFonts w:ascii="楷体" w:hAnsi="楷体" w:eastAsia="楷体"/>
          <w:b/>
          <w:color w:val="auto"/>
          <w:sz w:val="32"/>
          <w:szCs w:val="32"/>
          <w:lang w:val="zh-CN"/>
        </w:rPr>
      </w:pPr>
      <w:r>
        <w:rPr>
          <w:rFonts w:hint="eastAsia" w:ascii="楷体" w:hAnsi="楷体" w:eastAsia="楷体"/>
          <w:b/>
          <w:color w:val="auto"/>
          <w:sz w:val="32"/>
          <w:szCs w:val="32"/>
          <w:lang w:val="zh-CN"/>
        </w:rPr>
        <w:t>（三）与现行法律法规关系及协调情况</w:t>
      </w:r>
    </w:p>
    <w:p w14:paraId="03776DCB">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宋体" w:eastAsia="宋体"/>
          <w:color w:val="auto"/>
          <w:sz w:val="32"/>
          <w:szCs w:val="28"/>
          <w:lang w:val="zh-CN" w:eastAsia="zh-CN"/>
        </w:rPr>
      </w:pPr>
      <w:r>
        <w:rPr>
          <w:rFonts w:hint="eastAsia" w:ascii="仿宋_GB2312" w:hAnsi="宋体" w:eastAsia="仿宋_GB2312"/>
          <w:color w:val="auto"/>
          <w:sz w:val="32"/>
          <w:szCs w:val="28"/>
          <w:lang w:val="zh-CN"/>
        </w:rPr>
        <w:t>本文件编写过程中认真参考了</w:t>
      </w:r>
      <w:r>
        <w:rPr>
          <w:rFonts w:hint="eastAsia" w:ascii="仿宋_GB2312" w:hAnsi="宋体" w:eastAsia="仿宋_GB2312"/>
          <w:color w:val="auto"/>
          <w:sz w:val="32"/>
          <w:szCs w:val="28"/>
          <w:lang w:val="en-US" w:eastAsia="zh-CN"/>
        </w:rPr>
        <w:t>林业的</w:t>
      </w:r>
      <w:r>
        <w:rPr>
          <w:rFonts w:hint="eastAsia" w:ascii="仿宋_GB2312" w:hAnsi="宋体" w:eastAsia="仿宋_GB2312"/>
          <w:color w:val="auto"/>
          <w:sz w:val="32"/>
          <w:szCs w:val="28"/>
          <w:lang w:val="zh-CN"/>
        </w:rPr>
        <w:t>相关法律法规及相关标准，在内容上与现行法律法规、标准协调一致，保证标准的编写质量和标准的实施。</w:t>
      </w:r>
      <w:r>
        <w:rPr>
          <w:rFonts w:hint="eastAsia" w:ascii="仿宋_GB2312" w:hAnsi="宋体" w:eastAsia="仿宋_GB2312"/>
          <w:color w:val="auto"/>
          <w:sz w:val="32"/>
          <w:szCs w:val="28"/>
          <w:lang w:val="en-US" w:eastAsia="zh-CN"/>
        </w:rPr>
        <w:t>目前</w:t>
      </w:r>
      <w:r>
        <w:rPr>
          <w:rFonts w:hint="eastAsia" w:ascii="仿宋_GB2312" w:hAnsi="宋体" w:eastAsia="仿宋_GB2312"/>
          <w:color w:val="auto"/>
          <w:sz w:val="32"/>
          <w:szCs w:val="28"/>
          <w:lang w:val="zh-CN" w:eastAsia="zh-CN"/>
        </w:rPr>
        <w:t>国外尚未建立这类规范，</w:t>
      </w:r>
      <w:r>
        <w:rPr>
          <w:rFonts w:hint="eastAsia" w:ascii="仿宋_GB2312" w:hAnsi="宋体" w:eastAsia="仿宋_GB2312"/>
          <w:color w:val="auto"/>
          <w:sz w:val="32"/>
          <w:szCs w:val="28"/>
          <w:lang w:val="en-US" w:eastAsia="zh-CN"/>
        </w:rPr>
        <w:t>国内</w:t>
      </w:r>
      <w:r>
        <w:rPr>
          <w:rFonts w:hint="eastAsia" w:ascii="仿宋_GB2312" w:hAnsi="宋体" w:eastAsia="仿宋_GB2312"/>
          <w:color w:val="auto"/>
          <w:sz w:val="32"/>
          <w:szCs w:val="28"/>
          <w:lang w:val="zh-CN" w:eastAsia="zh-CN"/>
        </w:rPr>
        <w:t>砂仁产业的技术标准包含国家标准、行业标准、地方标准和团体标准，但尚未见有适应广西区内的桉树林下种植砂仁相关标准发布，不存在与</w:t>
      </w:r>
      <w:r>
        <w:rPr>
          <w:rFonts w:hint="eastAsia" w:ascii="仿宋_GB2312" w:hAnsi="宋体" w:eastAsia="仿宋_GB2312"/>
          <w:color w:val="auto"/>
          <w:sz w:val="32"/>
          <w:szCs w:val="28"/>
          <w:lang w:val="en-US" w:eastAsia="zh-CN"/>
        </w:rPr>
        <w:t>现有标准相</w:t>
      </w:r>
      <w:r>
        <w:rPr>
          <w:rFonts w:hint="eastAsia" w:ascii="仿宋_GB2312" w:hAnsi="宋体" w:eastAsia="仿宋_GB2312"/>
          <w:color w:val="auto"/>
          <w:sz w:val="32"/>
          <w:szCs w:val="28"/>
          <w:lang w:val="zh-CN" w:eastAsia="zh-CN"/>
        </w:rPr>
        <w:t>冲突</w:t>
      </w:r>
      <w:r>
        <w:rPr>
          <w:rFonts w:hint="eastAsia" w:ascii="仿宋_GB2312" w:hAnsi="宋体" w:eastAsia="仿宋_GB2312"/>
          <w:color w:val="auto"/>
          <w:sz w:val="32"/>
          <w:szCs w:val="28"/>
          <w:lang w:val="en-US" w:eastAsia="zh-CN"/>
        </w:rPr>
        <w:t>的</w:t>
      </w:r>
      <w:r>
        <w:rPr>
          <w:rFonts w:hint="eastAsia" w:ascii="仿宋_GB2312" w:hAnsi="宋体" w:eastAsia="仿宋_GB2312"/>
          <w:color w:val="auto"/>
          <w:sz w:val="32"/>
          <w:szCs w:val="28"/>
          <w:lang w:val="zh-CN" w:eastAsia="zh-CN"/>
        </w:rPr>
        <w:t>问题。</w:t>
      </w:r>
    </w:p>
    <w:p w14:paraId="03562A8A">
      <w:pPr>
        <w:keepNext w:val="0"/>
        <w:keepLines w:val="0"/>
        <w:pageBreakBefore w:val="0"/>
        <w:kinsoku/>
        <w:wordWrap/>
        <w:overflowPunct/>
        <w:topLinePunct w:val="0"/>
        <w:autoSpaceDE/>
        <w:autoSpaceDN/>
        <w:bidi w:val="0"/>
        <w:adjustRightInd/>
        <w:snapToGrid/>
        <w:spacing w:line="580" w:lineRule="exact"/>
        <w:ind w:firstLine="643" w:firstLineChars="200"/>
        <w:textAlignment w:val="auto"/>
        <w:rPr>
          <w:rFonts w:ascii="楷体" w:hAnsi="楷体" w:eastAsia="楷体"/>
          <w:b/>
          <w:color w:val="auto"/>
          <w:sz w:val="32"/>
          <w:szCs w:val="32"/>
          <w:lang w:val="zh-CN"/>
        </w:rPr>
      </w:pPr>
      <w:r>
        <w:rPr>
          <w:rFonts w:hint="eastAsia" w:ascii="楷体" w:hAnsi="楷体" w:eastAsia="楷体"/>
          <w:b/>
          <w:color w:val="auto"/>
          <w:sz w:val="32"/>
          <w:szCs w:val="32"/>
          <w:lang w:val="zh-CN"/>
        </w:rPr>
        <w:t>（四）标准编制的前瞻性</w:t>
      </w:r>
    </w:p>
    <w:p w14:paraId="2CC204EF">
      <w:pPr>
        <w:pStyle w:val="4"/>
        <w:keepNext w:val="0"/>
        <w:keepLines w:val="0"/>
        <w:pageBreakBefore w:val="0"/>
        <w:widowControl w:val="0"/>
        <w:kinsoku/>
        <w:wordWrap/>
        <w:overflowPunct/>
        <w:topLinePunct w:val="0"/>
        <w:autoSpaceDE/>
        <w:autoSpaceDN/>
        <w:bidi w:val="0"/>
        <w:spacing w:after="0" w:line="560" w:lineRule="exact"/>
        <w:ind w:firstLine="640" w:firstLineChars="200"/>
        <w:textAlignment w:val="auto"/>
        <w:rPr>
          <w:rFonts w:hint="eastAsia" w:ascii="仿宋_GB2312" w:hAnsi="宋体" w:eastAsia="仿宋_GB2312"/>
          <w:color w:val="auto"/>
          <w:sz w:val="32"/>
          <w:szCs w:val="28"/>
          <w:lang w:val="zh-CN"/>
        </w:rPr>
      </w:pPr>
      <w:r>
        <w:rPr>
          <w:rFonts w:hint="eastAsia" w:ascii="仿宋_GB2312" w:hAnsi="宋体" w:eastAsia="仿宋_GB2312"/>
          <w:color w:val="auto"/>
          <w:sz w:val="32"/>
          <w:szCs w:val="28"/>
          <w:lang w:val="zh-CN"/>
        </w:rPr>
        <w:t>本文件在兼顾当前</w:t>
      </w:r>
      <w:r>
        <w:rPr>
          <w:rFonts w:hint="eastAsia" w:ascii="仿宋_GB2312" w:hAnsi="宋体" w:eastAsia="仿宋_GB2312"/>
          <w:color w:val="auto"/>
          <w:sz w:val="32"/>
          <w:szCs w:val="28"/>
          <w:lang w:val="en-US" w:eastAsia="zh-CN"/>
        </w:rPr>
        <w:t>广西</w:t>
      </w:r>
      <w:r>
        <w:rPr>
          <w:rFonts w:hint="eastAsia" w:ascii="仿宋_GB2312" w:hAnsi="宋体" w:eastAsia="仿宋_GB2312"/>
          <w:color w:val="auto"/>
          <w:sz w:val="32"/>
          <w:szCs w:val="28"/>
          <w:lang w:val="zh-CN"/>
        </w:rPr>
        <w:t>内</w:t>
      </w:r>
      <w:r>
        <w:rPr>
          <w:rFonts w:hint="eastAsia" w:ascii="仿宋_GB2312" w:hAnsi="宋体" w:eastAsia="仿宋_GB2312"/>
          <w:color w:val="auto"/>
          <w:sz w:val="32"/>
          <w:szCs w:val="28"/>
          <w:lang w:val="en-US" w:eastAsia="zh-CN"/>
        </w:rPr>
        <w:t>砂仁种植</w:t>
      </w:r>
      <w:r>
        <w:rPr>
          <w:rFonts w:hint="eastAsia" w:ascii="仿宋_GB2312" w:hAnsi="宋体" w:eastAsia="仿宋_GB2312"/>
          <w:color w:val="auto"/>
          <w:sz w:val="32"/>
          <w:szCs w:val="28"/>
          <w:lang w:val="zh-CN"/>
        </w:rPr>
        <w:t>现状的同时，调研和采纳了区</w:t>
      </w:r>
      <w:r>
        <w:rPr>
          <w:rFonts w:hint="eastAsia" w:ascii="仿宋_GB2312" w:hAnsi="宋体" w:eastAsia="仿宋_GB2312"/>
          <w:color w:val="auto"/>
          <w:sz w:val="32"/>
          <w:szCs w:val="28"/>
          <w:lang w:val="en-US" w:eastAsia="zh-CN"/>
        </w:rPr>
        <w:t>内</w:t>
      </w:r>
      <w:r>
        <w:rPr>
          <w:rFonts w:hint="eastAsia" w:ascii="仿宋_GB2312" w:hAnsi="宋体" w:eastAsia="仿宋_GB2312"/>
          <w:color w:val="auto"/>
          <w:sz w:val="32"/>
          <w:szCs w:val="28"/>
          <w:lang w:val="zh-CN"/>
        </w:rPr>
        <w:t>一些先进的</w:t>
      </w:r>
      <w:r>
        <w:rPr>
          <w:rFonts w:hint="eastAsia" w:ascii="仿宋_GB2312" w:hAnsi="宋体" w:eastAsia="仿宋_GB2312"/>
          <w:color w:val="auto"/>
          <w:sz w:val="32"/>
          <w:szCs w:val="28"/>
          <w:lang w:val="en-US" w:eastAsia="zh-CN"/>
        </w:rPr>
        <w:t>砂仁种植</w:t>
      </w:r>
      <w:r>
        <w:rPr>
          <w:rFonts w:hint="eastAsia" w:ascii="仿宋_GB2312" w:hAnsi="宋体" w:eastAsia="仿宋_GB2312"/>
          <w:color w:val="auto"/>
          <w:sz w:val="32"/>
          <w:szCs w:val="28"/>
          <w:lang w:val="zh-CN"/>
        </w:rPr>
        <w:t>管理经验，本标准的制定</w:t>
      </w:r>
      <w:r>
        <w:rPr>
          <w:rFonts w:hint="eastAsia" w:ascii="仿宋_GB2312" w:hAnsi="仿宋_GB2312" w:eastAsia="仿宋_GB2312" w:cs="仿宋_GB2312"/>
          <w:sz w:val="32"/>
          <w:szCs w:val="32"/>
          <w:lang w:val="en-US" w:eastAsia="zh-CN"/>
        </w:rPr>
        <w:t>从源头上把好桉树林下砂仁的质量关，</w:t>
      </w:r>
      <w:r>
        <w:rPr>
          <w:rFonts w:hint="eastAsia" w:ascii="仿宋_GB2312" w:hAnsi="宋体" w:eastAsia="仿宋_GB2312"/>
          <w:color w:val="auto"/>
          <w:sz w:val="32"/>
          <w:szCs w:val="28"/>
          <w:lang w:val="zh-CN"/>
        </w:rPr>
        <w:t>积极推广砂仁规范化、标准化种植,将发展</w:t>
      </w:r>
      <w:r>
        <w:rPr>
          <w:rFonts w:hint="eastAsia" w:hAnsi="宋体"/>
          <w:color w:val="auto"/>
          <w:sz w:val="32"/>
          <w:szCs w:val="28"/>
          <w:lang w:val="en-US" w:eastAsia="zh-CN"/>
        </w:rPr>
        <w:t>桉树林下种植</w:t>
      </w:r>
      <w:r>
        <w:rPr>
          <w:rFonts w:hint="eastAsia" w:ascii="仿宋_GB2312" w:hAnsi="宋体" w:eastAsia="仿宋_GB2312"/>
          <w:color w:val="auto"/>
          <w:sz w:val="32"/>
          <w:szCs w:val="28"/>
          <w:lang w:val="zh-CN"/>
        </w:rPr>
        <w:t>砂仁产业与</w:t>
      </w:r>
      <w:r>
        <w:rPr>
          <w:rFonts w:hint="eastAsia" w:hAnsi="宋体"/>
          <w:color w:val="auto"/>
          <w:sz w:val="32"/>
          <w:szCs w:val="28"/>
          <w:lang w:val="en-US" w:eastAsia="zh-CN"/>
        </w:rPr>
        <w:t>森林经营</w:t>
      </w:r>
      <w:r>
        <w:rPr>
          <w:rFonts w:hint="eastAsia" w:ascii="仿宋_GB2312" w:hAnsi="宋体" w:eastAsia="仿宋_GB2312"/>
          <w:color w:val="auto"/>
          <w:sz w:val="32"/>
          <w:szCs w:val="28"/>
          <w:lang w:val="zh-CN"/>
        </w:rPr>
        <w:t>结构调整有效联动起来,引导企业及农户按标准化、规范化生产,提高砂仁产量和质量,促进砂仁产业可持续发展</w:t>
      </w:r>
      <w:r>
        <w:rPr>
          <w:rFonts w:hint="eastAsia" w:hAnsi="宋体"/>
          <w:color w:val="auto"/>
          <w:sz w:val="32"/>
          <w:szCs w:val="28"/>
          <w:lang w:val="zh-CN"/>
        </w:rPr>
        <w:t>，</w:t>
      </w:r>
      <w:r>
        <w:rPr>
          <w:rFonts w:hint="eastAsia" w:ascii="仿宋_GB2312" w:hAnsi="仿宋_GB2312" w:eastAsia="仿宋_GB2312" w:cs="仿宋_GB2312"/>
          <w:sz w:val="32"/>
          <w:szCs w:val="32"/>
          <w:lang w:val="en-US" w:eastAsia="zh-CN"/>
        </w:rPr>
        <w:t>夯实桉树林下砂仁产业发展基础，是推动桉树林下种植砂仁产业技术升级的重要举措，</w:t>
      </w:r>
      <w:r>
        <w:rPr>
          <w:rFonts w:hint="eastAsia" w:ascii="仿宋_GB2312" w:hAnsi="宋体" w:eastAsia="仿宋_GB2312"/>
          <w:color w:val="auto"/>
          <w:sz w:val="32"/>
          <w:szCs w:val="28"/>
          <w:lang w:val="zh-CN"/>
        </w:rPr>
        <w:t>具有较好的前瞻性。</w:t>
      </w:r>
    </w:p>
    <w:p w14:paraId="42D8DFF9">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ascii="黑体" w:hAnsi="黑体" w:eastAsia="黑体" w:cs="黑体"/>
          <w:bCs/>
          <w:color w:val="auto"/>
          <w:sz w:val="32"/>
          <w:szCs w:val="32"/>
        </w:rPr>
      </w:pPr>
      <w:r>
        <w:rPr>
          <w:rFonts w:hint="eastAsia" w:ascii="黑体" w:hAnsi="黑体" w:eastAsia="黑体" w:cs="黑体"/>
          <w:bCs/>
          <w:color w:val="auto"/>
          <w:sz w:val="32"/>
          <w:szCs w:val="32"/>
        </w:rPr>
        <w:t>五、主要条款的说明，主要技术指标、参数的论述</w:t>
      </w:r>
    </w:p>
    <w:p w14:paraId="0F0BC8F1">
      <w:pPr>
        <w:pStyle w:val="33"/>
        <w:keepNext w:val="0"/>
        <w:keepLines w:val="0"/>
        <w:pageBreakBefore w:val="0"/>
        <w:numPr>
          <w:ilvl w:val="-1"/>
          <w:numId w:val="0"/>
        </w:numPr>
        <w:kinsoku/>
        <w:wordWrap/>
        <w:overflowPunct/>
        <w:topLinePunct w:val="0"/>
        <w:autoSpaceDE/>
        <w:autoSpaceDN/>
        <w:bidi w:val="0"/>
        <w:adjustRightInd/>
        <w:snapToGrid/>
        <w:spacing w:beforeLines="0" w:afterLines="0" w:line="580" w:lineRule="exact"/>
        <w:ind w:left="0" w:firstLine="640" w:firstLineChars="200"/>
        <w:textAlignment w:val="auto"/>
        <w:rPr>
          <w:rFonts w:hint="eastAsia" w:ascii="仿宋_GB2312" w:hAnsi="宋体" w:eastAsia="仿宋_GB2312"/>
          <w:color w:val="auto"/>
          <w:sz w:val="32"/>
          <w:szCs w:val="28"/>
          <w:lang w:val="zh-CN" w:eastAsia="zh-CN"/>
        </w:rPr>
      </w:pPr>
      <w:r>
        <w:rPr>
          <w:rFonts w:hint="eastAsia" w:ascii="仿宋_GB2312" w:hAnsi="宋体" w:eastAsia="仿宋_GB2312"/>
          <w:color w:val="auto"/>
          <w:sz w:val="32"/>
          <w:szCs w:val="28"/>
          <w:lang w:val="zh-CN"/>
        </w:rPr>
        <w:t>团体标准《桉树林下种植砂仁技术规程》主要内容包括界定了</w:t>
      </w:r>
      <w:r>
        <w:rPr>
          <w:rFonts w:hint="eastAsia" w:ascii="仿宋_GB2312" w:hAnsi="宋体" w:eastAsia="仿宋_GB2312"/>
          <w:color w:val="auto"/>
          <w:sz w:val="32"/>
          <w:szCs w:val="28"/>
          <w:lang w:val="en-US" w:eastAsia="zh-CN"/>
        </w:rPr>
        <w:t>桉树林下种植、分株繁殖</w:t>
      </w:r>
      <w:r>
        <w:rPr>
          <w:rFonts w:hint="eastAsia" w:ascii="仿宋_GB2312" w:hAnsi="宋体" w:eastAsia="仿宋_GB2312"/>
          <w:color w:val="auto"/>
          <w:sz w:val="32"/>
          <w:szCs w:val="28"/>
          <w:lang w:val="zh-CN"/>
        </w:rPr>
        <w:t>的术语和定义，</w:t>
      </w:r>
      <w:r>
        <w:rPr>
          <w:rFonts w:hint="eastAsia" w:ascii="仿宋_GB2312" w:hAnsi="宋体" w:eastAsia="仿宋_GB2312"/>
          <w:color w:val="auto"/>
          <w:sz w:val="32"/>
          <w:szCs w:val="28"/>
          <w:lang w:val="zh-CN" w:eastAsia="zh-CN"/>
        </w:rPr>
        <w:t>确定</w:t>
      </w:r>
      <w:r>
        <w:rPr>
          <w:rFonts w:hint="eastAsia" w:ascii="仿宋_GB2312" w:hAnsi="宋体" w:eastAsia="仿宋_GB2312"/>
          <w:color w:val="auto"/>
          <w:sz w:val="32"/>
          <w:szCs w:val="28"/>
          <w:lang w:val="en-US" w:eastAsia="zh-CN"/>
        </w:rPr>
        <w:t>桉树林下种植砂仁各项步骤包括种植地选择、整地、苗木标准、种植模式、抚育管护、病虫害防治、采收等主要技术环节和内容</w:t>
      </w:r>
      <w:r>
        <w:rPr>
          <w:rFonts w:hint="eastAsia" w:ascii="仿宋_GB2312" w:hAnsi="宋体" w:eastAsia="仿宋_GB2312"/>
          <w:color w:val="auto"/>
          <w:sz w:val="32"/>
          <w:szCs w:val="28"/>
          <w:lang w:val="zh-CN" w:eastAsia="zh-CN"/>
        </w:rPr>
        <w:t>等。</w:t>
      </w:r>
    </w:p>
    <w:p w14:paraId="72010560">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楷体_GB2312" w:hAnsi="楷体_GB2312" w:eastAsia="楷体_GB2312" w:cs="楷体_GB2312"/>
          <w:b w:val="0"/>
          <w:bCs/>
          <w:color w:val="auto"/>
          <w:sz w:val="32"/>
          <w:szCs w:val="32"/>
          <w:lang w:val="zh-CN"/>
        </w:rPr>
      </w:pPr>
      <w:r>
        <w:rPr>
          <w:rFonts w:hint="eastAsia" w:ascii="楷体_GB2312" w:hAnsi="楷体_GB2312" w:eastAsia="楷体_GB2312" w:cs="楷体_GB2312"/>
          <w:b w:val="0"/>
          <w:bCs/>
          <w:color w:val="auto"/>
          <w:sz w:val="32"/>
          <w:szCs w:val="32"/>
          <w:lang w:val="zh-CN"/>
        </w:rPr>
        <w:t>（一）术语和定义</w:t>
      </w:r>
    </w:p>
    <w:p w14:paraId="31CFF071">
      <w:pPr>
        <w:pStyle w:val="4"/>
        <w:ind w:firstLine="640" w:firstLineChars="200"/>
        <w:rPr>
          <w:rFonts w:hint="eastAsia" w:ascii="仿宋_GB2312" w:hAnsi="宋体" w:eastAsia="仿宋_GB2312"/>
          <w:color w:val="auto"/>
          <w:sz w:val="32"/>
          <w:szCs w:val="28"/>
          <w:lang w:val="zh-CN"/>
        </w:rPr>
      </w:pPr>
      <w:r>
        <w:rPr>
          <w:rFonts w:hint="eastAsia" w:hAnsi="宋体"/>
          <w:color w:val="auto"/>
          <w:sz w:val="32"/>
          <w:szCs w:val="28"/>
          <w:lang w:val="en-US" w:eastAsia="zh-CN"/>
        </w:rPr>
        <w:t>林下经济</w:t>
      </w:r>
      <w:r>
        <w:rPr>
          <w:rFonts w:hint="eastAsia" w:ascii="仿宋_GB2312" w:hAnsi="宋体" w:eastAsia="仿宋_GB2312"/>
          <w:color w:val="auto"/>
          <w:sz w:val="32"/>
          <w:szCs w:val="28"/>
          <w:lang w:val="zh-CN"/>
        </w:rPr>
        <w:t>的术语和定义</w:t>
      </w:r>
      <w:r>
        <w:rPr>
          <w:rFonts w:hint="eastAsia" w:hAnsi="宋体"/>
          <w:color w:val="auto"/>
          <w:sz w:val="32"/>
          <w:szCs w:val="28"/>
          <w:lang w:val="en-US" w:eastAsia="zh-CN"/>
        </w:rPr>
        <w:t>依据《林下经济术语》（T/CSF 001-2018）等林下经济相关论著、规定</w:t>
      </w:r>
      <w:r>
        <w:rPr>
          <w:rFonts w:hint="eastAsia" w:ascii="仿宋_GB2312" w:hAnsi="宋体" w:eastAsia="仿宋_GB2312"/>
          <w:color w:val="auto"/>
          <w:sz w:val="32"/>
          <w:szCs w:val="28"/>
          <w:lang w:val="zh-CN"/>
        </w:rPr>
        <w:t>的定义经讨论修改形成。</w:t>
      </w:r>
    </w:p>
    <w:p w14:paraId="56F160C7">
      <w:pPr>
        <w:pStyle w:val="4"/>
        <w:keepNext w:val="0"/>
        <w:keepLines w:val="0"/>
        <w:pageBreakBefore w:val="0"/>
        <w:widowControl w:val="0"/>
        <w:kinsoku/>
        <w:wordWrap/>
        <w:overflowPunct/>
        <w:topLinePunct w:val="0"/>
        <w:autoSpaceDE/>
        <w:autoSpaceDN/>
        <w:bidi w:val="0"/>
        <w:spacing w:after="0" w:line="560" w:lineRule="exact"/>
        <w:ind w:firstLine="640" w:firstLineChars="200"/>
        <w:textAlignment w:val="auto"/>
        <w:rPr>
          <w:rFonts w:hint="eastAsia" w:ascii="楷体_GB2312" w:hAnsi="楷体_GB2312" w:eastAsia="楷体_GB2312" w:cs="楷体_GB2312"/>
          <w:b w:val="0"/>
          <w:bCs/>
          <w:color w:val="auto"/>
          <w:kern w:val="2"/>
          <w:sz w:val="32"/>
          <w:szCs w:val="32"/>
          <w:lang w:val="zh-CN" w:eastAsia="zh-CN" w:bidi="ar-SA"/>
        </w:rPr>
      </w:pPr>
      <w:r>
        <w:rPr>
          <w:rFonts w:hint="eastAsia" w:ascii="楷体_GB2312" w:hAnsi="楷体_GB2312" w:eastAsia="楷体_GB2312" w:cs="楷体_GB2312"/>
          <w:b w:val="0"/>
          <w:bCs/>
          <w:color w:val="auto"/>
          <w:kern w:val="2"/>
          <w:sz w:val="32"/>
          <w:szCs w:val="32"/>
          <w:lang w:val="zh-CN" w:eastAsia="zh-CN" w:bidi="ar-SA"/>
        </w:rPr>
        <w:t>（二）产地要求</w:t>
      </w:r>
    </w:p>
    <w:p w14:paraId="009C7E2D">
      <w:pPr>
        <w:pStyle w:val="4"/>
        <w:ind w:firstLine="640" w:firstLineChars="200"/>
        <w:rPr>
          <w:rFonts w:hint="eastAsia" w:hAnsi="宋体"/>
          <w:color w:val="auto"/>
          <w:sz w:val="32"/>
          <w:szCs w:val="28"/>
          <w:lang w:val="zh-CN" w:eastAsia="zh-CN"/>
        </w:rPr>
      </w:pPr>
      <w:r>
        <w:rPr>
          <w:rFonts w:hint="eastAsia" w:hAnsi="宋体"/>
          <w:color w:val="auto"/>
          <w:sz w:val="32"/>
          <w:szCs w:val="28"/>
          <w:lang w:val="zh-CN" w:eastAsia="zh-CN"/>
        </w:rPr>
        <w:t>应选择生态环境条件良好、远离污染源的地区：林地的土壤、灌溉水、空气等环境质量指标符合LY/T 1678 的规定。</w:t>
      </w:r>
    </w:p>
    <w:p w14:paraId="761936F9">
      <w:pPr>
        <w:pStyle w:val="4"/>
        <w:keepNext w:val="0"/>
        <w:keepLines w:val="0"/>
        <w:pageBreakBefore w:val="0"/>
        <w:widowControl w:val="0"/>
        <w:kinsoku/>
        <w:wordWrap/>
        <w:overflowPunct/>
        <w:topLinePunct w:val="0"/>
        <w:autoSpaceDE/>
        <w:autoSpaceDN/>
        <w:bidi w:val="0"/>
        <w:spacing w:after="0" w:line="560" w:lineRule="exact"/>
        <w:ind w:firstLine="640" w:firstLineChars="200"/>
        <w:textAlignment w:val="auto"/>
        <w:rPr>
          <w:rFonts w:hint="eastAsia" w:ascii="楷体_GB2312" w:hAnsi="楷体_GB2312" w:eastAsia="楷体_GB2312" w:cs="楷体_GB2312"/>
          <w:b w:val="0"/>
          <w:bCs/>
          <w:color w:val="auto"/>
          <w:kern w:val="2"/>
          <w:sz w:val="32"/>
          <w:szCs w:val="32"/>
          <w:lang w:val="zh-CN" w:eastAsia="zh-CN" w:bidi="ar-SA"/>
        </w:rPr>
      </w:pPr>
      <w:r>
        <w:rPr>
          <w:rFonts w:hint="eastAsia" w:ascii="楷体_GB2312" w:hAnsi="楷体_GB2312" w:eastAsia="楷体_GB2312" w:cs="楷体_GB2312"/>
          <w:b w:val="0"/>
          <w:bCs/>
          <w:color w:val="auto"/>
          <w:kern w:val="2"/>
          <w:sz w:val="32"/>
          <w:szCs w:val="32"/>
          <w:lang w:val="zh-CN" w:eastAsia="zh-CN" w:bidi="ar-SA"/>
        </w:rPr>
        <w:t>（</w:t>
      </w:r>
      <w:r>
        <w:rPr>
          <w:rFonts w:hint="eastAsia" w:ascii="楷体_GB2312" w:hAnsi="楷体_GB2312" w:eastAsia="楷体_GB2312" w:cs="楷体_GB2312"/>
          <w:b w:val="0"/>
          <w:bCs/>
          <w:color w:val="auto"/>
          <w:kern w:val="2"/>
          <w:sz w:val="32"/>
          <w:szCs w:val="32"/>
          <w:lang w:val="en-US" w:eastAsia="zh-CN" w:bidi="ar-SA"/>
        </w:rPr>
        <w:t>三</w:t>
      </w:r>
      <w:r>
        <w:rPr>
          <w:rFonts w:hint="eastAsia" w:ascii="楷体_GB2312" w:hAnsi="楷体_GB2312" w:eastAsia="楷体_GB2312" w:cs="楷体_GB2312"/>
          <w:b w:val="0"/>
          <w:bCs/>
          <w:color w:val="auto"/>
          <w:kern w:val="2"/>
          <w:sz w:val="32"/>
          <w:szCs w:val="32"/>
          <w:lang w:val="zh-CN" w:eastAsia="zh-CN" w:bidi="ar-SA"/>
        </w:rPr>
        <w:t>）种植地选择</w:t>
      </w:r>
    </w:p>
    <w:p w14:paraId="0461518C">
      <w:pPr>
        <w:pStyle w:val="4"/>
        <w:keepNext w:val="0"/>
        <w:keepLines w:val="0"/>
        <w:pageBreakBefore w:val="0"/>
        <w:widowControl w:val="0"/>
        <w:kinsoku/>
        <w:wordWrap/>
        <w:overflowPunct/>
        <w:topLinePunct w:val="0"/>
        <w:autoSpaceDE/>
        <w:autoSpaceDN/>
        <w:bidi w:val="0"/>
        <w:spacing w:after="0" w:line="560" w:lineRule="exact"/>
        <w:ind w:firstLine="640" w:firstLineChars="200"/>
        <w:textAlignment w:val="auto"/>
        <w:rPr>
          <w:rFonts w:hint="eastAsia" w:ascii="仿宋_GB2312" w:hAnsi="仿宋_GB2312" w:eastAsia="仿宋_GB2312" w:cs="仿宋_GB2312"/>
          <w:b w:val="0"/>
          <w:bCs w:val="0"/>
          <w:color w:val="auto"/>
          <w:sz w:val="32"/>
          <w:szCs w:val="28"/>
          <w:lang w:val="zh-CN"/>
        </w:rPr>
      </w:pPr>
      <w:r>
        <w:rPr>
          <w:rFonts w:hint="eastAsia" w:cs="仿宋_GB2312"/>
          <w:b w:val="0"/>
          <w:bCs w:val="0"/>
          <w:color w:val="auto"/>
          <w:sz w:val="32"/>
          <w:szCs w:val="28"/>
          <w:lang w:val="en-US" w:eastAsia="zh-CN"/>
        </w:rPr>
        <w:t>通过对比试验及调研结果，砂仁</w:t>
      </w:r>
      <w:r>
        <w:rPr>
          <w:rFonts w:hint="eastAsia" w:ascii="仿宋_GB2312" w:hAnsi="仿宋_GB2312" w:eastAsia="仿宋_GB2312" w:cs="仿宋_GB2312"/>
          <w:b w:val="0"/>
          <w:bCs w:val="0"/>
          <w:color w:val="auto"/>
          <w:sz w:val="32"/>
          <w:szCs w:val="28"/>
          <w:lang w:val="zh-CN" w:eastAsia="zh-CN"/>
        </w:rPr>
        <w:t>宜选择海拔≦500米的桉树林地</w:t>
      </w:r>
      <w:r>
        <w:rPr>
          <w:rFonts w:hint="eastAsia" w:cs="仿宋_GB2312"/>
          <w:b w:val="0"/>
          <w:bCs w:val="0"/>
          <w:color w:val="auto"/>
          <w:sz w:val="32"/>
          <w:szCs w:val="28"/>
          <w:lang w:val="en-US" w:eastAsia="zh-CN"/>
        </w:rPr>
        <w:t>种植</w:t>
      </w:r>
      <w:r>
        <w:rPr>
          <w:rFonts w:hint="eastAsia" w:ascii="仿宋_GB2312" w:hAnsi="仿宋_GB2312" w:eastAsia="仿宋_GB2312" w:cs="仿宋_GB2312"/>
          <w:b w:val="0"/>
          <w:bCs w:val="0"/>
          <w:color w:val="auto"/>
          <w:sz w:val="32"/>
          <w:szCs w:val="28"/>
          <w:lang w:val="zh-CN" w:eastAsia="zh-CN"/>
        </w:rPr>
        <w:t>，</w:t>
      </w:r>
      <w:r>
        <w:rPr>
          <w:rFonts w:hint="eastAsia" w:cs="仿宋_GB2312"/>
          <w:b w:val="0"/>
          <w:bCs w:val="0"/>
          <w:color w:val="auto"/>
          <w:sz w:val="32"/>
          <w:szCs w:val="28"/>
          <w:lang w:val="en-US" w:eastAsia="zh-CN"/>
        </w:rPr>
        <w:t>本次试验选择的桉树种植密度为93株/亩，</w:t>
      </w:r>
      <w:r>
        <w:rPr>
          <w:rFonts w:ascii="仿宋_GB2312" w:hAnsi="仿宋_GB2312" w:eastAsia="仿宋_GB2312" w:cs="仿宋_GB2312"/>
          <w:sz w:val="32"/>
          <w:szCs w:val="32"/>
        </w:rPr>
        <w:t>株行距2.0m×3.6m</w:t>
      </w:r>
      <w:r>
        <w:rPr>
          <w:rFonts w:hint="eastAsia" w:cs="仿宋_GB2312"/>
          <w:sz w:val="32"/>
          <w:szCs w:val="32"/>
          <w:lang w:val="en-US" w:eastAsia="zh-CN"/>
        </w:rPr>
        <w:t>方便开展砂仁套种</w:t>
      </w:r>
      <w:r>
        <w:rPr>
          <w:rFonts w:hint="eastAsia" w:cs="仿宋_GB2312"/>
          <w:sz w:val="32"/>
          <w:szCs w:val="32"/>
          <w:lang w:eastAsia="zh-CN"/>
        </w:rPr>
        <w:t>，</w:t>
      </w:r>
      <w:r>
        <w:rPr>
          <w:rFonts w:hint="eastAsia" w:cs="仿宋_GB2312"/>
          <w:sz w:val="32"/>
          <w:szCs w:val="32"/>
          <w:lang w:val="en-US" w:eastAsia="zh-CN"/>
        </w:rPr>
        <w:t>通过对比试验发现砂仁生长过程需要</w:t>
      </w:r>
      <w:r>
        <w:rPr>
          <w:rFonts w:hint="eastAsia" w:cs="仿宋_GB2312"/>
          <w:sz w:val="32"/>
          <w:szCs w:val="32"/>
          <w:lang w:eastAsia="zh-CN"/>
        </w:rPr>
        <w:t>有较大荫蔽度，</w:t>
      </w:r>
      <w:r>
        <w:rPr>
          <w:rFonts w:hint="eastAsia" w:cs="仿宋_GB2312"/>
          <w:sz w:val="32"/>
          <w:szCs w:val="32"/>
          <w:lang w:val="en-US" w:eastAsia="zh-CN"/>
        </w:rPr>
        <w:t>光照太强不利于砂仁生长，</w:t>
      </w:r>
      <w:r>
        <w:rPr>
          <w:rFonts w:hint="eastAsia" w:ascii="仿宋_GB2312" w:hAnsi="仿宋_GB2312" w:eastAsia="仿宋_GB2312" w:cs="仿宋_GB2312"/>
          <w:b w:val="0"/>
          <w:bCs w:val="0"/>
          <w:color w:val="auto"/>
          <w:sz w:val="32"/>
          <w:szCs w:val="28"/>
          <w:lang w:val="zh-CN"/>
        </w:rPr>
        <w:t>林分郁闭度</w:t>
      </w:r>
      <w:r>
        <w:rPr>
          <w:rFonts w:hint="eastAsia" w:cs="仿宋_GB2312"/>
          <w:b w:val="0"/>
          <w:bCs w:val="0"/>
          <w:color w:val="auto"/>
          <w:sz w:val="32"/>
          <w:szCs w:val="28"/>
          <w:lang w:val="en-US" w:eastAsia="zh-CN"/>
        </w:rPr>
        <w:t>以</w:t>
      </w:r>
      <w:r>
        <w:rPr>
          <w:rFonts w:hint="eastAsia" w:ascii="仿宋_GB2312" w:hAnsi="仿宋_GB2312" w:eastAsia="仿宋_GB2312" w:cs="仿宋_GB2312"/>
          <w:b w:val="0"/>
          <w:bCs w:val="0"/>
          <w:color w:val="auto"/>
          <w:sz w:val="32"/>
          <w:szCs w:val="28"/>
          <w:lang w:val="zh-CN" w:eastAsia="zh-CN"/>
        </w:rPr>
        <w:t>0.6</w:t>
      </w:r>
      <w:r>
        <w:rPr>
          <w:rFonts w:hint="eastAsia" w:ascii="仿宋_GB2312" w:hAnsi="仿宋_GB2312" w:eastAsia="仿宋_GB2312" w:cs="仿宋_GB2312"/>
          <w:b w:val="0"/>
          <w:bCs w:val="0"/>
          <w:color w:val="auto"/>
          <w:sz w:val="32"/>
          <w:szCs w:val="28"/>
          <w:lang w:val="zh-CN"/>
        </w:rPr>
        <w:t>～</w:t>
      </w:r>
      <w:r>
        <w:rPr>
          <w:rFonts w:hint="eastAsia" w:ascii="仿宋_GB2312" w:hAnsi="仿宋_GB2312" w:eastAsia="仿宋_GB2312" w:cs="仿宋_GB2312"/>
          <w:b w:val="0"/>
          <w:bCs w:val="0"/>
          <w:color w:val="auto"/>
          <w:sz w:val="32"/>
          <w:szCs w:val="28"/>
          <w:lang w:val="zh-CN" w:eastAsia="zh-CN"/>
        </w:rPr>
        <w:t>0.8</w:t>
      </w:r>
      <w:r>
        <w:rPr>
          <w:rFonts w:hint="eastAsia" w:cs="仿宋_GB2312"/>
          <w:b w:val="0"/>
          <w:bCs w:val="0"/>
          <w:color w:val="auto"/>
          <w:sz w:val="32"/>
          <w:szCs w:val="28"/>
          <w:lang w:val="en-US" w:eastAsia="zh-CN"/>
        </w:rPr>
        <w:t>为佳</w:t>
      </w:r>
      <w:r>
        <w:rPr>
          <w:rFonts w:hint="eastAsia" w:ascii="仿宋_GB2312" w:hAnsi="仿宋_GB2312" w:eastAsia="仿宋_GB2312" w:cs="仿宋_GB2312"/>
          <w:b w:val="0"/>
          <w:bCs w:val="0"/>
          <w:color w:val="auto"/>
          <w:sz w:val="32"/>
          <w:szCs w:val="28"/>
          <w:lang w:val="zh-CN" w:eastAsia="zh-CN"/>
        </w:rPr>
        <w:t>，坡度</w:t>
      </w:r>
      <w:r>
        <w:rPr>
          <w:rFonts w:hint="eastAsia" w:cs="仿宋_GB2312"/>
          <w:b w:val="0"/>
          <w:bCs w:val="0"/>
          <w:color w:val="auto"/>
          <w:sz w:val="32"/>
          <w:szCs w:val="28"/>
          <w:lang w:val="en-US" w:eastAsia="zh-CN"/>
        </w:rPr>
        <w:t>最高</w:t>
      </w:r>
      <w:r>
        <w:rPr>
          <w:rFonts w:hint="eastAsia" w:ascii="仿宋_GB2312" w:hAnsi="仿宋_GB2312" w:eastAsia="仿宋_GB2312" w:cs="仿宋_GB2312"/>
          <w:b w:val="0"/>
          <w:bCs w:val="0"/>
          <w:color w:val="auto"/>
          <w:sz w:val="32"/>
          <w:szCs w:val="28"/>
          <w:lang w:val="zh-CN" w:eastAsia="zh-CN"/>
        </w:rPr>
        <w:t>不</w:t>
      </w:r>
      <w:r>
        <w:rPr>
          <w:rFonts w:hint="eastAsia" w:cs="仿宋_GB2312"/>
          <w:b w:val="0"/>
          <w:bCs w:val="0"/>
          <w:color w:val="auto"/>
          <w:sz w:val="32"/>
          <w:szCs w:val="28"/>
          <w:lang w:val="en-US" w:eastAsia="zh-CN"/>
        </w:rPr>
        <w:t>能</w:t>
      </w:r>
      <w:r>
        <w:rPr>
          <w:rFonts w:hint="eastAsia" w:ascii="仿宋_GB2312" w:hAnsi="仿宋_GB2312" w:eastAsia="仿宋_GB2312" w:cs="仿宋_GB2312"/>
          <w:b w:val="0"/>
          <w:bCs w:val="0"/>
          <w:color w:val="auto"/>
          <w:sz w:val="32"/>
          <w:szCs w:val="28"/>
          <w:lang w:val="zh-CN" w:eastAsia="zh-CN"/>
        </w:rPr>
        <w:t>超过30</w:t>
      </w:r>
      <w:r>
        <w:rPr>
          <w:rFonts w:hint="eastAsia" w:ascii="仿宋_GB2312" w:hAnsi="仿宋_GB2312" w:eastAsia="仿宋_GB2312" w:cs="仿宋_GB2312"/>
          <w:b w:val="0"/>
          <w:bCs w:val="0"/>
          <w:color w:val="auto"/>
          <w:sz w:val="32"/>
          <w:szCs w:val="28"/>
          <w:lang w:val="zh-CN"/>
        </w:rPr>
        <w:t>°</w:t>
      </w:r>
      <w:r>
        <w:rPr>
          <w:rFonts w:hint="eastAsia" w:ascii="仿宋_GB2312" w:hAnsi="仿宋_GB2312" w:eastAsia="仿宋_GB2312" w:cs="仿宋_GB2312"/>
          <w:b w:val="0"/>
          <w:bCs w:val="0"/>
          <w:color w:val="auto"/>
          <w:sz w:val="32"/>
          <w:szCs w:val="28"/>
          <w:lang w:val="zh-CN" w:eastAsia="zh-CN"/>
        </w:rPr>
        <w:t>，土壤肥沃疏松、排水良好、保肥力强的红壤土或赤红壤土，</w:t>
      </w:r>
      <w:r>
        <w:rPr>
          <w:rFonts w:hint="eastAsia" w:ascii="仿宋_GB2312" w:hAnsi="仿宋_GB2312" w:eastAsia="仿宋_GB2312" w:cs="仿宋_GB2312"/>
          <w:b w:val="0"/>
          <w:bCs w:val="0"/>
          <w:color w:val="auto"/>
          <w:sz w:val="32"/>
          <w:szCs w:val="28"/>
          <w:lang w:val="zh-CN"/>
        </w:rPr>
        <w:t>土层深厚肥沃。</w:t>
      </w:r>
    </w:p>
    <w:p w14:paraId="1E29A4E3">
      <w:pPr>
        <w:pStyle w:val="4"/>
        <w:keepNext w:val="0"/>
        <w:keepLines w:val="0"/>
        <w:pageBreakBefore w:val="0"/>
        <w:widowControl w:val="0"/>
        <w:kinsoku/>
        <w:wordWrap/>
        <w:overflowPunct/>
        <w:topLinePunct w:val="0"/>
        <w:autoSpaceDE/>
        <w:autoSpaceDN/>
        <w:bidi w:val="0"/>
        <w:spacing w:after="0" w:line="560" w:lineRule="exact"/>
        <w:ind w:firstLine="640" w:firstLineChars="200"/>
        <w:textAlignment w:val="auto"/>
        <w:rPr>
          <w:rFonts w:hint="eastAsia" w:ascii="仿宋_GB2312" w:hAnsi="仿宋_GB2312" w:eastAsia="仿宋_GB2312" w:cs="仿宋_GB2312"/>
          <w:b w:val="0"/>
          <w:bCs w:val="0"/>
          <w:color w:val="auto"/>
          <w:sz w:val="32"/>
          <w:szCs w:val="28"/>
          <w:lang w:val="zh-CN"/>
        </w:rPr>
      </w:pPr>
      <w:r>
        <w:rPr>
          <w:rFonts w:hint="eastAsia" w:ascii="仿宋_GB2312" w:hAnsi="仿宋_GB2312" w:eastAsia="仿宋_GB2312" w:cs="仿宋_GB2312"/>
          <w:b w:val="0"/>
          <w:bCs w:val="0"/>
          <w:color w:val="auto"/>
          <w:sz w:val="32"/>
          <w:szCs w:val="28"/>
          <w:lang w:val="zh-CN" w:eastAsia="zh-CN"/>
        </w:rPr>
        <w:t>土壤中镉、汞、砷、铅、铬、铜、镍、锌等，以及六六六、滴滴涕、苯并[a]芘等的风险筛选值按照</w:t>
      </w:r>
      <w:r>
        <w:rPr>
          <w:rFonts w:hint="eastAsia" w:ascii="仿宋_GB2312" w:hAnsi="仿宋_GB2312" w:eastAsia="仿宋_GB2312" w:cs="仿宋_GB2312"/>
          <w:b w:val="0"/>
          <w:bCs w:val="0"/>
          <w:color w:val="auto"/>
          <w:sz w:val="32"/>
          <w:szCs w:val="28"/>
          <w:lang w:val="zh-CN"/>
        </w:rPr>
        <w:t>GB 15618-2018</w:t>
      </w:r>
      <w:r>
        <w:rPr>
          <w:rFonts w:hint="eastAsia" w:ascii="仿宋_GB2312" w:hAnsi="仿宋_GB2312" w:eastAsia="仿宋_GB2312" w:cs="仿宋_GB2312"/>
          <w:b w:val="0"/>
          <w:bCs w:val="0"/>
          <w:color w:val="auto"/>
          <w:sz w:val="32"/>
          <w:szCs w:val="28"/>
          <w:lang w:val="zh-CN" w:eastAsia="zh-CN"/>
        </w:rPr>
        <w:t>执行。</w:t>
      </w:r>
    </w:p>
    <w:p w14:paraId="7387A7C0">
      <w:pPr>
        <w:pStyle w:val="4"/>
        <w:keepNext w:val="0"/>
        <w:keepLines w:val="0"/>
        <w:pageBreakBefore w:val="0"/>
        <w:widowControl w:val="0"/>
        <w:kinsoku/>
        <w:wordWrap/>
        <w:overflowPunct/>
        <w:topLinePunct w:val="0"/>
        <w:autoSpaceDE/>
        <w:autoSpaceDN/>
        <w:bidi w:val="0"/>
        <w:spacing w:after="0" w:line="560" w:lineRule="exact"/>
        <w:ind w:firstLine="640" w:firstLineChars="200"/>
        <w:textAlignment w:val="auto"/>
        <w:rPr>
          <w:rFonts w:hint="eastAsia" w:ascii="楷体_GB2312" w:hAnsi="楷体_GB2312" w:eastAsia="楷体_GB2312" w:cs="楷体_GB2312"/>
          <w:b w:val="0"/>
          <w:bCs/>
          <w:color w:val="auto"/>
          <w:kern w:val="2"/>
          <w:sz w:val="32"/>
          <w:szCs w:val="32"/>
          <w:lang w:val="zh-CN" w:eastAsia="zh-CN" w:bidi="ar-SA"/>
        </w:rPr>
      </w:pPr>
      <w:r>
        <w:rPr>
          <w:rFonts w:hint="eastAsia" w:ascii="楷体_GB2312" w:hAnsi="楷体_GB2312" w:eastAsia="楷体_GB2312" w:cs="楷体_GB2312"/>
          <w:b w:val="0"/>
          <w:bCs/>
          <w:color w:val="auto"/>
          <w:kern w:val="2"/>
          <w:sz w:val="32"/>
          <w:szCs w:val="32"/>
          <w:lang w:val="zh-CN" w:eastAsia="zh-CN" w:bidi="ar-SA"/>
        </w:rPr>
        <w:t>（</w:t>
      </w:r>
      <w:r>
        <w:rPr>
          <w:rFonts w:hint="eastAsia" w:ascii="楷体_GB2312" w:hAnsi="楷体_GB2312" w:eastAsia="楷体_GB2312" w:cs="楷体_GB2312"/>
          <w:b w:val="0"/>
          <w:bCs/>
          <w:color w:val="auto"/>
          <w:kern w:val="2"/>
          <w:sz w:val="32"/>
          <w:szCs w:val="32"/>
          <w:lang w:val="en-US" w:eastAsia="zh-CN" w:bidi="ar-SA"/>
        </w:rPr>
        <w:t>四</w:t>
      </w:r>
      <w:r>
        <w:rPr>
          <w:rFonts w:hint="eastAsia" w:ascii="楷体_GB2312" w:hAnsi="楷体_GB2312" w:eastAsia="楷体_GB2312" w:cs="楷体_GB2312"/>
          <w:b w:val="0"/>
          <w:bCs/>
          <w:color w:val="auto"/>
          <w:kern w:val="2"/>
          <w:sz w:val="32"/>
          <w:szCs w:val="32"/>
          <w:lang w:val="zh-CN" w:eastAsia="zh-CN" w:bidi="ar-SA"/>
        </w:rPr>
        <w:t>）整地</w:t>
      </w:r>
    </w:p>
    <w:p w14:paraId="45628126">
      <w:pPr>
        <w:pStyle w:val="4"/>
        <w:keepNext w:val="0"/>
        <w:keepLines w:val="0"/>
        <w:pageBreakBefore w:val="0"/>
        <w:widowControl w:val="0"/>
        <w:kinsoku/>
        <w:wordWrap/>
        <w:overflowPunct/>
        <w:topLinePunct w:val="0"/>
        <w:autoSpaceDE/>
        <w:autoSpaceDN/>
        <w:bidi w:val="0"/>
        <w:spacing w:after="0" w:line="560" w:lineRule="exact"/>
        <w:ind w:firstLine="640" w:firstLineChars="200"/>
        <w:textAlignment w:val="auto"/>
        <w:rPr>
          <w:rFonts w:hint="eastAsia" w:ascii="仿宋_GB2312" w:hAnsi="仿宋_GB2312" w:eastAsia="仿宋_GB2312" w:cs="仿宋_GB2312"/>
          <w:color w:val="auto"/>
          <w:sz w:val="32"/>
          <w:szCs w:val="28"/>
          <w:lang w:val="zh-CN" w:eastAsia="zh-CN"/>
        </w:rPr>
      </w:pPr>
      <w:r>
        <w:rPr>
          <w:rFonts w:hint="eastAsia" w:cs="仿宋_GB2312"/>
          <w:color w:val="auto"/>
          <w:sz w:val="32"/>
          <w:szCs w:val="28"/>
          <w:lang w:val="en-US" w:eastAsia="zh-CN"/>
        </w:rPr>
        <w:t>1.</w:t>
      </w:r>
      <w:r>
        <w:rPr>
          <w:rFonts w:hint="eastAsia" w:ascii="仿宋_GB2312" w:hAnsi="仿宋_GB2312" w:eastAsia="仿宋_GB2312" w:cs="仿宋_GB2312"/>
          <w:color w:val="auto"/>
          <w:sz w:val="32"/>
          <w:szCs w:val="28"/>
          <w:lang w:val="zh-CN" w:eastAsia="zh-CN"/>
        </w:rPr>
        <w:t>林地清理</w:t>
      </w:r>
    </w:p>
    <w:p w14:paraId="474F875A">
      <w:pPr>
        <w:pStyle w:val="4"/>
        <w:keepNext w:val="0"/>
        <w:keepLines w:val="0"/>
        <w:pageBreakBefore w:val="0"/>
        <w:widowControl w:val="0"/>
        <w:kinsoku/>
        <w:wordWrap/>
        <w:overflowPunct/>
        <w:topLinePunct w:val="0"/>
        <w:autoSpaceDE/>
        <w:autoSpaceDN/>
        <w:bidi w:val="0"/>
        <w:spacing w:after="0" w:line="560" w:lineRule="exact"/>
        <w:ind w:firstLine="640" w:firstLineChars="200"/>
        <w:textAlignment w:val="auto"/>
        <w:rPr>
          <w:rFonts w:hint="eastAsia" w:ascii="仿宋_GB2312" w:hAnsi="仿宋_GB2312" w:eastAsia="仿宋_GB2312" w:cs="仿宋_GB2312"/>
          <w:color w:val="auto"/>
          <w:sz w:val="32"/>
          <w:szCs w:val="28"/>
          <w:lang w:val="zh-CN"/>
        </w:rPr>
      </w:pPr>
      <w:r>
        <w:rPr>
          <w:rFonts w:hint="eastAsia" w:ascii="仿宋_GB2312" w:hAnsi="仿宋_GB2312" w:eastAsia="仿宋_GB2312" w:cs="仿宋_GB2312"/>
          <w:color w:val="auto"/>
          <w:sz w:val="32"/>
          <w:szCs w:val="28"/>
          <w:lang w:val="zh-CN" w:eastAsia="zh-CN"/>
        </w:rPr>
        <w:t>定植</w:t>
      </w:r>
      <w:r>
        <w:rPr>
          <w:rFonts w:hint="eastAsia" w:ascii="仿宋_GB2312" w:hAnsi="仿宋_GB2312" w:eastAsia="仿宋_GB2312" w:cs="仿宋_GB2312"/>
          <w:color w:val="auto"/>
          <w:sz w:val="32"/>
          <w:szCs w:val="28"/>
          <w:lang w:val="zh-CN"/>
        </w:rPr>
        <w:t>前，</w:t>
      </w:r>
      <w:r>
        <w:rPr>
          <w:rFonts w:hint="eastAsia" w:ascii="仿宋_GB2312" w:hAnsi="仿宋_GB2312" w:eastAsia="仿宋_GB2312" w:cs="仿宋_GB2312"/>
          <w:color w:val="auto"/>
          <w:sz w:val="32"/>
          <w:szCs w:val="28"/>
          <w:lang w:val="zh-CN" w:eastAsia="zh-CN"/>
        </w:rPr>
        <w:t>人工</w:t>
      </w:r>
      <w:r>
        <w:rPr>
          <w:rFonts w:hint="eastAsia" w:ascii="仿宋_GB2312" w:hAnsi="仿宋_GB2312" w:eastAsia="仿宋_GB2312" w:cs="仿宋_GB2312"/>
          <w:color w:val="auto"/>
          <w:sz w:val="32"/>
          <w:szCs w:val="28"/>
          <w:lang w:val="zh-CN"/>
        </w:rPr>
        <w:t>清理</w:t>
      </w:r>
      <w:r>
        <w:rPr>
          <w:rFonts w:hint="eastAsia" w:ascii="仿宋_GB2312" w:hAnsi="仿宋_GB2312" w:eastAsia="仿宋_GB2312" w:cs="仿宋_GB2312"/>
          <w:color w:val="auto"/>
          <w:sz w:val="32"/>
          <w:szCs w:val="28"/>
          <w:lang w:val="zh-CN" w:eastAsia="zh-CN"/>
        </w:rPr>
        <w:t>桉树林下</w:t>
      </w:r>
      <w:r>
        <w:rPr>
          <w:rFonts w:hint="eastAsia" w:ascii="仿宋_GB2312" w:hAnsi="仿宋_GB2312" w:eastAsia="仿宋_GB2312" w:cs="仿宋_GB2312"/>
          <w:color w:val="auto"/>
          <w:sz w:val="32"/>
          <w:szCs w:val="28"/>
          <w:lang w:val="zh-CN"/>
        </w:rPr>
        <w:t>会影响</w:t>
      </w:r>
      <w:r>
        <w:rPr>
          <w:rFonts w:hint="eastAsia" w:ascii="仿宋_GB2312" w:hAnsi="仿宋_GB2312" w:eastAsia="仿宋_GB2312" w:cs="仿宋_GB2312"/>
          <w:color w:val="auto"/>
          <w:sz w:val="32"/>
          <w:szCs w:val="28"/>
          <w:lang w:val="zh-CN" w:eastAsia="zh-CN"/>
        </w:rPr>
        <w:t>砂仁</w:t>
      </w:r>
      <w:r>
        <w:rPr>
          <w:rFonts w:hint="eastAsia" w:ascii="仿宋_GB2312" w:hAnsi="仿宋_GB2312" w:eastAsia="仿宋_GB2312" w:cs="仿宋_GB2312"/>
          <w:color w:val="auto"/>
          <w:sz w:val="32"/>
          <w:szCs w:val="28"/>
          <w:lang w:val="zh-CN"/>
        </w:rPr>
        <w:t>生长的杂草、杂灌及枯枝落叶。</w:t>
      </w:r>
    </w:p>
    <w:p w14:paraId="3CA3914E">
      <w:pPr>
        <w:pStyle w:val="4"/>
        <w:keepNext w:val="0"/>
        <w:keepLines w:val="0"/>
        <w:pageBreakBefore w:val="0"/>
        <w:widowControl w:val="0"/>
        <w:kinsoku/>
        <w:wordWrap/>
        <w:overflowPunct/>
        <w:topLinePunct w:val="0"/>
        <w:autoSpaceDE/>
        <w:autoSpaceDN/>
        <w:bidi w:val="0"/>
        <w:spacing w:after="0" w:line="560" w:lineRule="exact"/>
        <w:ind w:firstLine="640" w:firstLineChars="200"/>
        <w:textAlignment w:val="auto"/>
        <w:rPr>
          <w:rFonts w:hint="eastAsia" w:ascii="仿宋_GB2312" w:hAnsi="仿宋_GB2312" w:eastAsia="仿宋_GB2312" w:cs="仿宋_GB2312"/>
          <w:color w:val="auto"/>
          <w:sz w:val="32"/>
          <w:szCs w:val="28"/>
          <w:lang w:val="zh-CN" w:eastAsia="zh-CN"/>
        </w:rPr>
      </w:pPr>
      <w:r>
        <w:rPr>
          <w:rFonts w:hint="eastAsia" w:cs="仿宋_GB2312"/>
          <w:color w:val="auto"/>
          <w:sz w:val="32"/>
          <w:szCs w:val="28"/>
          <w:lang w:val="en-US" w:eastAsia="zh-CN"/>
        </w:rPr>
        <w:t>2.</w:t>
      </w:r>
      <w:r>
        <w:rPr>
          <w:rFonts w:hint="eastAsia" w:ascii="仿宋_GB2312" w:hAnsi="仿宋_GB2312" w:eastAsia="仿宋_GB2312" w:cs="仿宋_GB2312"/>
          <w:color w:val="auto"/>
          <w:sz w:val="32"/>
          <w:szCs w:val="28"/>
          <w:lang w:val="zh-CN" w:eastAsia="zh-CN"/>
        </w:rPr>
        <w:t>挖栽植穴</w:t>
      </w:r>
    </w:p>
    <w:p w14:paraId="352C1A30">
      <w:pPr>
        <w:pStyle w:val="4"/>
        <w:keepNext w:val="0"/>
        <w:keepLines w:val="0"/>
        <w:pageBreakBefore w:val="0"/>
        <w:widowControl w:val="0"/>
        <w:kinsoku/>
        <w:wordWrap/>
        <w:overflowPunct/>
        <w:topLinePunct w:val="0"/>
        <w:autoSpaceDE/>
        <w:autoSpaceDN/>
        <w:bidi w:val="0"/>
        <w:spacing w:after="0" w:line="560" w:lineRule="exact"/>
        <w:ind w:firstLine="640" w:firstLineChars="200"/>
        <w:textAlignment w:val="auto"/>
        <w:rPr>
          <w:rFonts w:hint="eastAsia" w:cs="仿宋_GB2312"/>
          <w:color w:val="auto"/>
          <w:sz w:val="32"/>
          <w:szCs w:val="28"/>
          <w:lang w:val="en-US" w:eastAsia="zh-CN"/>
        </w:rPr>
      </w:pPr>
      <w:r>
        <w:rPr>
          <w:rFonts w:hint="eastAsia" w:cs="仿宋_GB2312"/>
          <w:color w:val="auto"/>
          <w:sz w:val="32"/>
          <w:szCs w:val="28"/>
          <w:lang w:val="en-US" w:eastAsia="zh-CN"/>
        </w:rPr>
        <w:t>通过在高峰林场长客分场开展桉树林下种植砂仁试验，2022年4月开始种植，设置了3个不同的初植密度，分别是167株/亩、296株/亩、445株/亩，每个密度设置了4个重复，于2022年7月、2023年7月、2023年12月、2024年7月开展了四次生长性状调查，调查结果详见附表《桉树林下套种砂仁生长性状调查统计表》，通过对比发现3个密度的4个重复不存在显著性差异，密度对砂仁生长无显著性影响，故为减少投资成本，选择最低初植密度167株/亩，即株行距2m</w:t>
      </w:r>
      <w:r>
        <w:rPr>
          <w:rFonts w:hint="default" w:ascii="Arial" w:hAnsi="Arial" w:cs="Arial"/>
          <w:color w:val="auto"/>
          <w:sz w:val="32"/>
          <w:szCs w:val="28"/>
          <w:lang w:val="en-US" w:eastAsia="zh-CN"/>
        </w:rPr>
        <w:t>×</w:t>
      </w:r>
      <w:r>
        <w:rPr>
          <w:rFonts w:hint="eastAsia" w:cs="仿宋_GB2312"/>
          <w:color w:val="auto"/>
          <w:sz w:val="32"/>
          <w:szCs w:val="28"/>
          <w:lang w:val="en-US" w:eastAsia="zh-CN"/>
        </w:rPr>
        <w:t>2m即可达到需求。</w:t>
      </w:r>
    </w:p>
    <w:p w14:paraId="6C1FECF4">
      <w:pPr>
        <w:pStyle w:val="4"/>
        <w:keepNext w:val="0"/>
        <w:keepLines w:val="0"/>
        <w:pageBreakBefore w:val="0"/>
        <w:widowControl w:val="0"/>
        <w:kinsoku/>
        <w:wordWrap/>
        <w:overflowPunct/>
        <w:topLinePunct w:val="0"/>
        <w:autoSpaceDE/>
        <w:autoSpaceDN/>
        <w:bidi w:val="0"/>
        <w:spacing w:after="0" w:line="560" w:lineRule="exact"/>
        <w:ind w:firstLine="640" w:firstLineChars="200"/>
        <w:textAlignment w:val="auto"/>
        <w:rPr>
          <w:rFonts w:hint="eastAsia" w:ascii="仿宋_GB2312" w:hAnsi="仿宋_GB2312" w:eastAsia="仿宋_GB2312" w:cs="仿宋_GB2312"/>
          <w:color w:val="auto"/>
          <w:sz w:val="32"/>
          <w:szCs w:val="28"/>
          <w:lang w:val="zh-CN" w:eastAsia="zh-CN"/>
        </w:rPr>
      </w:pPr>
      <w:r>
        <w:rPr>
          <w:rFonts w:hint="eastAsia" w:cs="仿宋_GB2312"/>
          <w:color w:val="auto"/>
          <w:sz w:val="32"/>
          <w:szCs w:val="28"/>
          <w:lang w:val="en-US" w:eastAsia="zh-CN"/>
        </w:rPr>
        <w:t>砂仁为浅根系植物，挖穴规格以能覆盖根部为主，尽可能减少人工成本，通过试验及分析最终确定挖栽植穴技术规程为：</w:t>
      </w:r>
      <w:r>
        <w:rPr>
          <w:rFonts w:hint="eastAsia" w:ascii="仿宋_GB2312" w:hAnsi="仿宋_GB2312" w:eastAsia="仿宋_GB2312" w:cs="仿宋_GB2312"/>
          <w:color w:val="auto"/>
          <w:sz w:val="32"/>
          <w:szCs w:val="28"/>
          <w:lang w:val="zh-CN" w:eastAsia="zh-CN"/>
        </w:rPr>
        <w:t>距桉树树根0.3米以外的行间株间进行深耕翻土、</w:t>
      </w:r>
      <w:r>
        <w:rPr>
          <w:rFonts w:hint="eastAsia" w:cs="仿宋_GB2312"/>
          <w:color w:val="auto"/>
          <w:sz w:val="32"/>
          <w:szCs w:val="28"/>
          <w:lang w:val="en-US" w:eastAsia="zh-CN"/>
        </w:rPr>
        <w:t>按2m</w:t>
      </w:r>
      <w:r>
        <w:rPr>
          <w:rFonts w:hint="eastAsia" w:ascii="仿宋_GB2312" w:hAnsi="仿宋_GB2312" w:eastAsia="仿宋_GB2312" w:cs="仿宋_GB2312"/>
          <w:color w:val="auto"/>
          <w:sz w:val="32"/>
          <w:szCs w:val="28"/>
          <w:lang w:val="zh-CN"/>
        </w:rPr>
        <w:t>×</w:t>
      </w:r>
      <w:r>
        <w:rPr>
          <w:rFonts w:hint="eastAsia" w:ascii="仿宋_GB2312" w:hAnsi="仿宋_GB2312" w:eastAsia="仿宋_GB2312" w:cs="仿宋_GB2312"/>
          <w:color w:val="auto"/>
          <w:sz w:val="32"/>
          <w:szCs w:val="28"/>
          <w:lang w:val="zh-CN" w:eastAsia="zh-CN"/>
        </w:rPr>
        <w:t>2</w:t>
      </w:r>
      <w:r>
        <w:rPr>
          <w:rFonts w:hint="eastAsia" w:ascii="仿宋_GB2312" w:hAnsi="仿宋_GB2312" w:eastAsia="仿宋_GB2312" w:cs="仿宋_GB2312"/>
          <w:color w:val="auto"/>
          <w:sz w:val="32"/>
          <w:szCs w:val="28"/>
          <w:lang w:val="zh-CN"/>
        </w:rPr>
        <w:t>m</w:t>
      </w:r>
      <w:r>
        <w:rPr>
          <w:rFonts w:hint="eastAsia" w:cs="仿宋_GB2312"/>
          <w:color w:val="auto"/>
          <w:sz w:val="32"/>
          <w:szCs w:val="28"/>
          <w:lang w:val="en-US" w:eastAsia="zh-CN"/>
        </w:rPr>
        <w:t>的行间距</w:t>
      </w:r>
      <w:r>
        <w:rPr>
          <w:rFonts w:hint="eastAsia" w:ascii="仿宋_GB2312" w:hAnsi="仿宋_GB2312" w:eastAsia="仿宋_GB2312" w:cs="仿宋_GB2312"/>
          <w:color w:val="auto"/>
          <w:sz w:val="32"/>
          <w:szCs w:val="28"/>
          <w:lang w:val="zh-CN" w:eastAsia="zh-CN"/>
        </w:rPr>
        <w:t>挖</w:t>
      </w:r>
      <w:r>
        <w:rPr>
          <w:rFonts w:hint="eastAsia" w:cs="仿宋_GB2312"/>
          <w:color w:val="auto"/>
          <w:sz w:val="32"/>
          <w:szCs w:val="28"/>
          <w:lang w:val="en-US" w:eastAsia="zh-CN"/>
        </w:rPr>
        <w:t>砂仁</w:t>
      </w:r>
      <w:r>
        <w:rPr>
          <w:rFonts w:hint="eastAsia" w:ascii="仿宋_GB2312" w:hAnsi="仿宋_GB2312" w:eastAsia="仿宋_GB2312" w:cs="仿宋_GB2312"/>
          <w:color w:val="auto"/>
          <w:sz w:val="32"/>
          <w:szCs w:val="28"/>
          <w:lang w:val="zh-CN" w:eastAsia="zh-CN"/>
        </w:rPr>
        <w:t>栽植穴，</w:t>
      </w:r>
      <w:r>
        <w:rPr>
          <w:rFonts w:hint="eastAsia" w:ascii="仿宋_GB2312" w:hAnsi="仿宋_GB2312" w:eastAsia="仿宋_GB2312" w:cs="仿宋_GB2312"/>
          <w:color w:val="auto"/>
          <w:sz w:val="32"/>
          <w:szCs w:val="28"/>
          <w:lang w:val="zh-CN"/>
        </w:rPr>
        <w:t>挖穴规格</w:t>
      </w:r>
      <w:r>
        <w:rPr>
          <w:rFonts w:hint="eastAsia" w:ascii="仿宋_GB2312" w:hAnsi="仿宋_GB2312" w:eastAsia="仿宋_GB2312" w:cs="仿宋_GB2312"/>
          <w:color w:val="auto"/>
          <w:sz w:val="32"/>
          <w:szCs w:val="28"/>
          <w:lang w:val="zh-CN" w:eastAsia="zh-CN"/>
        </w:rPr>
        <w:t>20</w:t>
      </w:r>
      <w:r>
        <w:rPr>
          <w:rFonts w:hint="eastAsia" w:ascii="仿宋_GB2312" w:hAnsi="仿宋_GB2312" w:eastAsia="仿宋_GB2312" w:cs="仿宋_GB2312"/>
          <w:color w:val="auto"/>
          <w:sz w:val="32"/>
          <w:szCs w:val="28"/>
          <w:lang w:val="zh-CN"/>
        </w:rPr>
        <w:t>cm×</w:t>
      </w:r>
      <w:r>
        <w:rPr>
          <w:rFonts w:hint="eastAsia" w:ascii="仿宋_GB2312" w:hAnsi="仿宋_GB2312" w:eastAsia="仿宋_GB2312" w:cs="仿宋_GB2312"/>
          <w:color w:val="auto"/>
          <w:sz w:val="32"/>
          <w:szCs w:val="28"/>
          <w:lang w:val="zh-CN" w:eastAsia="zh-CN"/>
        </w:rPr>
        <w:t>20</w:t>
      </w:r>
      <w:r>
        <w:rPr>
          <w:rFonts w:hint="eastAsia" w:ascii="仿宋_GB2312" w:hAnsi="仿宋_GB2312" w:eastAsia="仿宋_GB2312" w:cs="仿宋_GB2312"/>
          <w:color w:val="auto"/>
          <w:sz w:val="32"/>
          <w:szCs w:val="28"/>
          <w:lang w:val="zh-CN"/>
        </w:rPr>
        <w:t>cm×</w:t>
      </w:r>
      <w:r>
        <w:rPr>
          <w:rFonts w:hint="eastAsia" w:ascii="仿宋_GB2312" w:hAnsi="仿宋_GB2312" w:eastAsia="仿宋_GB2312" w:cs="仿宋_GB2312"/>
          <w:color w:val="auto"/>
          <w:sz w:val="32"/>
          <w:szCs w:val="28"/>
          <w:lang w:val="zh-CN" w:eastAsia="zh-CN"/>
        </w:rPr>
        <w:t>15</w:t>
      </w:r>
      <w:r>
        <w:rPr>
          <w:rFonts w:hint="eastAsia" w:ascii="仿宋_GB2312" w:hAnsi="仿宋_GB2312" w:eastAsia="仿宋_GB2312" w:cs="仿宋_GB2312"/>
          <w:color w:val="auto"/>
          <w:sz w:val="32"/>
          <w:szCs w:val="28"/>
          <w:lang w:val="zh-CN"/>
        </w:rPr>
        <w:t>cm</w:t>
      </w:r>
      <w:r>
        <w:rPr>
          <w:rFonts w:hint="eastAsia" w:ascii="仿宋_GB2312" w:hAnsi="仿宋_GB2312" w:eastAsia="仿宋_GB2312" w:cs="仿宋_GB2312"/>
          <w:color w:val="auto"/>
          <w:sz w:val="32"/>
          <w:szCs w:val="28"/>
          <w:lang w:val="zh-CN" w:eastAsia="zh-CN"/>
        </w:rPr>
        <w:t>。</w:t>
      </w:r>
    </w:p>
    <w:p w14:paraId="7D999F5E">
      <w:pPr>
        <w:pStyle w:val="4"/>
        <w:keepNext w:val="0"/>
        <w:keepLines w:val="0"/>
        <w:pageBreakBefore w:val="0"/>
        <w:widowControl w:val="0"/>
        <w:kinsoku/>
        <w:wordWrap/>
        <w:overflowPunct/>
        <w:topLinePunct w:val="0"/>
        <w:autoSpaceDE/>
        <w:autoSpaceDN/>
        <w:bidi w:val="0"/>
        <w:spacing w:after="0" w:line="560" w:lineRule="exact"/>
        <w:ind w:firstLine="640" w:firstLineChars="200"/>
        <w:textAlignment w:val="auto"/>
        <w:rPr>
          <w:rFonts w:hint="eastAsia" w:ascii="楷体_GB2312" w:hAnsi="楷体_GB2312" w:eastAsia="楷体_GB2312" w:cs="楷体_GB2312"/>
          <w:color w:val="auto"/>
          <w:sz w:val="32"/>
          <w:szCs w:val="28"/>
          <w:lang w:val="zh-CN" w:eastAsia="zh-CN"/>
        </w:rPr>
      </w:pPr>
      <w:r>
        <w:rPr>
          <w:rFonts w:hint="eastAsia" w:ascii="楷体_GB2312" w:hAnsi="楷体_GB2312" w:eastAsia="楷体_GB2312" w:cs="楷体_GB2312"/>
          <w:color w:val="auto"/>
          <w:sz w:val="32"/>
          <w:szCs w:val="28"/>
          <w:lang w:val="zh-CN" w:eastAsia="zh-CN"/>
        </w:rPr>
        <w:t>（</w:t>
      </w:r>
      <w:r>
        <w:rPr>
          <w:rFonts w:hint="eastAsia" w:ascii="楷体_GB2312" w:hAnsi="楷体_GB2312" w:eastAsia="楷体_GB2312" w:cs="楷体_GB2312"/>
          <w:color w:val="auto"/>
          <w:sz w:val="32"/>
          <w:szCs w:val="28"/>
          <w:lang w:val="en-US" w:eastAsia="zh-CN"/>
        </w:rPr>
        <w:t>五</w:t>
      </w:r>
      <w:r>
        <w:rPr>
          <w:rFonts w:hint="eastAsia" w:ascii="楷体_GB2312" w:hAnsi="楷体_GB2312" w:eastAsia="楷体_GB2312" w:cs="楷体_GB2312"/>
          <w:color w:val="auto"/>
          <w:sz w:val="32"/>
          <w:szCs w:val="28"/>
          <w:lang w:val="zh-CN" w:eastAsia="zh-CN"/>
        </w:rPr>
        <w:t>）苗木标准</w:t>
      </w:r>
    </w:p>
    <w:p w14:paraId="299782EF">
      <w:pPr>
        <w:pStyle w:val="4"/>
        <w:keepNext w:val="0"/>
        <w:keepLines w:val="0"/>
        <w:pageBreakBefore w:val="0"/>
        <w:widowControl w:val="0"/>
        <w:kinsoku/>
        <w:wordWrap/>
        <w:overflowPunct/>
        <w:topLinePunct w:val="0"/>
        <w:autoSpaceDE/>
        <w:autoSpaceDN/>
        <w:bidi w:val="0"/>
        <w:spacing w:after="0" w:line="560" w:lineRule="exact"/>
        <w:ind w:firstLine="640" w:firstLineChars="200"/>
        <w:textAlignment w:val="auto"/>
        <w:rPr>
          <w:rFonts w:hint="eastAsia" w:ascii="仿宋_GB2312" w:hAnsi="仿宋_GB2312" w:eastAsia="仿宋_GB2312" w:cs="仿宋_GB2312"/>
          <w:color w:val="auto"/>
          <w:sz w:val="32"/>
          <w:szCs w:val="28"/>
          <w:lang w:val="zh-CN" w:eastAsia="zh-CN"/>
        </w:rPr>
      </w:pPr>
      <w:r>
        <w:rPr>
          <w:rFonts w:hint="eastAsia" w:cs="仿宋_GB2312"/>
          <w:color w:val="auto"/>
          <w:sz w:val="32"/>
          <w:szCs w:val="28"/>
          <w:lang w:val="en-US" w:eastAsia="zh-CN"/>
        </w:rPr>
        <w:t>砂仁苗木首选阳春砂仁，</w:t>
      </w:r>
      <w:r>
        <w:rPr>
          <w:rFonts w:hint="eastAsia" w:ascii="仿宋_GB2312" w:hAnsi="仿宋_GB2312" w:eastAsia="仿宋_GB2312" w:cs="仿宋_GB2312"/>
          <w:color w:val="auto"/>
          <w:sz w:val="32"/>
          <w:szCs w:val="28"/>
          <w:lang w:val="zh-CN" w:eastAsia="zh-CN"/>
        </w:rPr>
        <w:t>以分株繁殖方式为主，选择高度约20厘米、生长健壮、无病虫害的植株，分割成带有1</w:t>
      </w:r>
      <w:r>
        <w:rPr>
          <w:rFonts w:hint="eastAsia" w:ascii="微软雅黑" w:hAnsi="微软雅黑" w:eastAsia="微软雅黑" w:cs="微软雅黑"/>
          <w:color w:val="auto"/>
          <w:sz w:val="32"/>
          <w:szCs w:val="28"/>
          <w:lang w:val="zh-CN" w:eastAsia="zh-CN"/>
        </w:rPr>
        <w:t>~</w:t>
      </w:r>
      <w:r>
        <w:rPr>
          <w:rFonts w:hint="eastAsia" w:ascii="仿宋_GB2312" w:hAnsi="仿宋_GB2312" w:eastAsia="仿宋_GB2312" w:cs="仿宋_GB2312"/>
          <w:color w:val="auto"/>
          <w:sz w:val="32"/>
          <w:szCs w:val="28"/>
          <w:lang w:val="zh-CN" w:eastAsia="zh-CN"/>
        </w:rPr>
        <w:t>2个或2个以上幼嫩根状茎的小苗为砂仁种苗</w:t>
      </w:r>
      <w:r>
        <w:rPr>
          <w:rFonts w:hint="eastAsia" w:ascii="仿宋_GB2312" w:hAnsi="仿宋_GB2312" w:eastAsia="仿宋_GB2312" w:cs="仿宋_GB2312"/>
          <w:color w:val="auto"/>
          <w:sz w:val="32"/>
          <w:szCs w:val="28"/>
          <w:lang w:val="zh-CN"/>
        </w:rPr>
        <w:t>。</w:t>
      </w:r>
    </w:p>
    <w:p w14:paraId="04F57B0E">
      <w:pPr>
        <w:pStyle w:val="4"/>
        <w:keepNext w:val="0"/>
        <w:keepLines w:val="0"/>
        <w:pageBreakBefore w:val="0"/>
        <w:widowControl w:val="0"/>
        <w:kinsoku/>
        <w:wordWrap/>
        <w:overflowPunct/>
        <w:topLinePunct w:val="0"/>
        <w:autoSpaceDE/>
        <w:autoSpaceDN/>
        <w:bidi w:val="0"/>
        <w:spacing w:after="0" w:line="560" w:lineRule="exact"/>
        <w:ind w:firstLine="640" w:firstLineChars="200"/>
        <w:textAlignment w:val="auto"/>
        <w:rPr>
          <w:rFonts w:hint="eastAsia" w:ascii="楷体_GB2312" w:hAnsi="楷体_GB2312" w:eastAsia="楷体_GB2312" w:cs="楷体_GB2312"/>
          <w:color w:val="auto"/>
          <w:sz w:val="32"/>
          <w:szCs w:val="28"/>
          <w:lang w:val="zh-CN" w:eastAsia="zh-CN"/>
        </w:rPr>
      </w:pPr>
      <w:r>
        <w:rPr>
          <w:rFonts w:hint="eastAsia" w:ascii="楷体_GB2312" w:hAnsi="楷体_GB2312" w:eastAsia="楷体_GB2312" w:cs="楷体_GB2312"/>
          <w:color w:val="auto"/>
          <w:sz w:val="32"/>
          <w:szCs w:val="28"/>
          <w:lang w:val="zh-CN" w:eastAsia="zh-CN"/>
        </w:rPr>
        <w:t>（</w:t>
      </w:r>
      <w:r>
        <w:rPr>
          <w:rFonts w:hint="eastAsia" w:ascii="楷体_GB2312" w:hAnsi="楷体_GB2312" w:eastAsia="楷体_GB2312" w:cs="楷体_GB2312"/>
          <w:color w:val="auto"/>
          <w:sz w:val="32"/>
          <w:szCs w:val="28"/>
          <w:lang w:val="en-US" w:eastAsia="zh-CN"/>
        </w:rPr>
        <w:t>六</w:t>
      </w:r>
      <w:r>
        <w:rPr>
          <w:rFonts w:hint="eastAsia" w:ascii="楷体_GB2312" w:hAnsi="楷体_GB2312" w:eastAsia="楷体_GB2312" w:cs="楷体_GB2312"/>
          <w:color w:val="auto"/>
          <w:sz w:val="32"/>
          <w:szCs w:val="28"/>
          <w:lang w:val="zh-CN" w:eastAsia="zh-CN"/>
        </w:rPr>
        <w:t>）种植模式</w:t>
      </w:r>
    </w:p>
    <w:p w14:paraId="45B75377">
      <w:pPr>
        <w:pStyle w:val="4"/>
        <w:keepNext w:val="0"/>
        <w:keepLines w:val="0"/>
        <w:pageBreakBefore w:val="0"/>
        <w:widowControl w:val="0"/>
        <w:kinsoku/>
        <w:wordWrap/>
        <w:overflowPunct/>
        <w:topLinePunct w:val="0"/>
        <w:autoSpaceDE/>
        <w:autoSpaceDN/>
        <w:bidi w:val="0"/>
        <w:spacing w:after="0" w:line="560" w:lineRule="exact"/>
        <w:ind w:firstLine="640" w:firstLineChars="200"/>
        <w:textAlignment w:val="auto"/>
        <w:rPr>
          <w:rFonts w:hint="eastAsia" w:ascii="仿宋_GB2312" w:hAnsi="仿宋_GB2312" w:eastAsia="仿宋_GB2312" w:cs="仿宋_GB2312"/>
          <w:color w:val="auto"/>
          <w:sz w:val="32"/>
          <w:szCs w:val="28"/>
          <w:lang w:val="zh-CN" w:eastAsia="zh-CN"/>
        </w:rPr>
      </w:pPr>
      <w:r>
        <w:rPr>
          <w:rFonts w:hint="eastAsia" w:cs="仿宋_GB2312"/>
          <w:color w:val="auto"/>
          <w:sz w:val="32"/>
          <w:szCs w:val="28"/>
          <w:lang w:val="en-US" w:eastAsia="zh-CN"/>
        </w:rPr>
        <w:t>1.</w:t>
      </w:r>
      <w:r>
        <w:rPr>
          <w:rFonts w:hint="eastAsia" w:ascii="仿宋_GB2312" w:hAnsi="仿宋_GB2312" w:eastAsia="仿宋_GB2312" w:cs="仿宋_GB2312"/>
          <w:color w:val="auto"/>
          <w:sz w:val="32"/>
          <w:szCs w:val="28"/>
          <w:lang w:val="zh-CN" w:eastAsia="zh-CN"/>
        </w:rPr>
        <w:t>栽培时间</w:t>
      </w:r>
    </w:p>
    <w:p w14:paraId="6E48FEE1">
      <w:pPr>
        <w:pStyle w:val="4"/>
        <w:keepNext w:val="0"/>
        <w:keepLines w:val="0"/>
        <w:pageBreakBefore w:val="0"/>
        <w:widowControl w:val="0"/>
        <w:kinsoku/>
        <w:wordWrap/>
        <w:overflowPunct/>
        <w:topLinePunct w:val="0"/>
        <w:autoSpaceDE/>
        <w:autoSpaceDN/>
        <w:bidi w:val="0"/>
        <w:spacing w:after="0" w:line="560" w:lineRule="exact"/>
        <w:ind w:firstLine="640" w:firstLineChars="200"/>
        <w:textAlignment w:val="auto"/>
        <w:rPr>
          <w:rFonts w:hint="eastAsia" w:ascii="仿宋_GB2312" w:hAnsi="仿宋_GB2312" w:eastAsia="仿宋_GB2312" w:cs="仿宋_GB2312"/>
          <w:color w:val="auto"/>
          <w:sz w:val="32"/>
          <w:szCs w:val="28"/>
          <w:lang w:val="zh-CN"/>
        </w:rPr>
      </w:pPr>
      <w:r>
        <w:rPr>
          <w:rFonts w:hint="eastAsia" w:ascii="仿宋_GB2312" w:hAnsi="仿宋_GB2312" w:eastAsia="仿宋_GB2312" w:cs="仿宋_GB2312"/>
          <w:color w:val="auto"/>
          <w:sz w:val="32"/>
          <w:szCs w:val="28"/>
          <w:lang w:val="zh-CN" w:eastAsia="zh-CN"/>
        </w:rPr>
        <w:t>春季种植，</w:t>
      </w:r>
      <w:r>
        <w:rPr>
          <w:rFonts w:hint="eastAsia" w:ascii="仿宋_GB2312" w:hAnsi="仿宋_GB2312" w:eastAsia="仿宋_GB2312" w:cs="仿宋_GB2312"/>
          <w:color w:val="auto"/>
          <w:sz w:val="32"/>
          <w:szCs w:val="28"/>
          <w:lang w:val="zh-CN"/>
        </w:rPr>
        <w:t>一般在春节后，根据气温回暖情况</w:t>
      </w:r>
      <w:r>
        <w:rPr>
          <w:rFonts w:hint="eastAsia" w:ascii="仿宋_GB2312" w:hAnsi="仿宋_GB2312" w:eastAsia="仿宋_GB2312" w:cs="仿宋_GB2312"/>
          <w:color w:val="auto"/>
          <w:sz w:val="32"/>
          <w:szCs w:val="28"/>
          <w:lang w:val="zh-CN" w:eastAsia="zh-CN"/>
        </w:rPr>
        <w:t>在清明前进行</w:t>
      </w:r>
      <w:r>
        <w:rPr>
          <w:rFonts w:hint="eastAsia" w:ascii="仿宋_GB2312" w:hAnsi="仿宋_GB2312" w:eastAsia="仿宋_GB2312" w:cs="仿宋_GB2312"/>
          <w:color w:val="auto"/>
          <w:sz w:val="32"/>
          <w:szCs w:val="28"/>
          <w:lang w:val="zh-CN"/>
        </w:rPr>
        <w:t>种植。</w:t>
      </w:r>
    </w:p>
    <w:p w14:paraId="5EDD571F">
      <w:pPr>
        <w:pStyle w:val="4"/>
        <w:keepNext w:val="0"/>
        <w:keepLines w:val="0"/>
        <w:pageBreakBefore w:val="0"/>
        <w:widowControl w:val="0"/>
        <w:kinsoku/>
        <w:wordWrap/>
        <w:overflowPunct/>
        <w:topLinePunct w:val="0"/>
        <w:autoSpaceDE/>
        <w:autoSpaceDN/>
        <w:bidi w:val="0"/>
        <w:spacing w:after="0" w:line="560" w:lineRule="exact"/>
        <w:ind w:firstLine="640" w:firstLineChars="200"/>
        <w:textAlignment w:val="auto"/>
        <w:rPr>
          <w:rFonts w:hint="eastAsia" w:ascii="仿宋_GB2312" w:hAnsi="仿宋_GB2312" w:eastAsia="仿宋_GB2312" w:cs="仿宋_GB2312"/>
          <w:color w:val="auto"/>
          <w:sz w:val="32"/>
          <w:szCs w:val="28"/>
          <w:lang w:val="zh-CN" w:eastAsia="zh-CN"/>
        </w:rPr>
      </w:pPr>
      <w:r>
        <w:rPr>
          <w:rFonts w:hint="eastAsia" w:cs="仿宋_GB2312"/>
          <w:color w:val="auto"/>
          <w:sz w:val="32"/>
          <w:szCs w:val="28"/>
          <w:lang w:val="en-US" w:eastAsia="zh-CN"/>
        </w:rPr>
        <w:t>2.</w:t>
      </w:r>
      <w:r>
        <w:rPr>
          <w:rFonts w:hint="eastAsia" w:ascii="仿宋_GB2312" w:hAnsi="仿宋_GB2312" w:eastAsia="仿宋_GB2312" w:cs="仿宋_GB2312"/>
          <w:color w:val="auto"/>
          <w:sz w:val="32"/>
          <w:szCs w:val="28"/>
          <w:lang w:val="zh-CN" w:eastAsia="zh-CN"/>
        </w:rPr>
        <w:t>定植</w:t>
      </w:r>
    </w:p>
    <w:p w14:paraId="1EC4C440">
      <w:pPr>
        <w:pStyle w:val="4"/>
        <w:keepNext w:val="0"/>
        <w:keepLines w:val="0"/>
        <w:pageBreakBefore w:val="0"/>
        <w:widowControl w:val="0"/>
        <w:kinsoku/>
        <w:wordWrap/>
        <w:overflowPunct/>
        <w:topLinePunct w:val="0"/>
        <w:autoSpaceDE/>
        <w:autoSpaceDN/>
        <w:bidi w:val="0"/>
        <w:spacing w:after="0" w:line="560" w:lineRule="exact"/>
        <w:ind w:firstLine="640" w:firstLineChars="200"/>
        <w:textAlignment w:val="auto"/>
        <w:rPr>
          <w:rFonts w:hint="eastAsia" w:ascii="仿宋_GB2312" w:hAnsi="仿宋_GB2312" w:eastAsia="仿宋_GB2312" w:cs="仿宋_GB2312"/>
          <w:color w:val="auto"/>
          <w:sz w:val="32"/>
          <w:szCs w:val="28"/>
          <w:lang w:val="zh-CN" w:eastAsia="zh-CN"/>
        </w:rPr>
      </w:pPr>
      <w:r>
        <w:rPr>
          <w:rFonts w:hint="eastAsia" w:ascii="仿宋_GB2312" w:hAnsi="仿宋_GB2312" w:eastAsia="仿宋_GB2312" w:cs="仿宋_GB2312"/>
          <w:color w:val="auto"/>
          <w:sz w:val="32"/>
          <w:szCs w:val="28"/>
          <w:lang w:val="zh-CN" w:eastAsia="zh-CN"/>
        </w:rPr>
        <w:t>桉树</w:t>
      </w:r>
      <w:r>
        <w:rPr>
          <w:rFonts w:hint="eastAsia" w:ascii="仿宋_GB2312" w:hAnsi="仿宋_GB2312" w:eastAsia="仿宋_GB2312" w:cs="仿宋_GB2312"/>
          <w:color w:val="auto"/>
          <w:sz w:val="32"/>
          <w:szCs w:val="28"/>
          <w:lang w:val="zh-CN"/>
        </w:rPr>
        <w:t>林下行间、株间均可种植</w:t>
      </w:r>
      <w:r>
        <w:rPr>
          <w:rFonts w:hint="eastAsia" w:ascii="仿宋_GB2312" w:hAnsi="仿宋_GB2312" w:eastAsia="仿宋_GB2312" w:cs="仿宋_GB2312"/>
          <w:color w:val="auto"/>
          <w:sz w:val="32"/>
          <w:szCs w:val="28"/>
          <w:lang w:val="zh-CN" w:eastAsia="zh-CN"/>
        </w:rPr>
        <w:t>砂仁</w:t>
      </w:r>
      <w:r>
        <w:rPr>
          <w:rFonts w:hint="eastAsia" w:ascii="仿宋_GB2312" w:hAnsi="仿宋_GB2312" w:eastAsia="仿宋_GB2312" w:cs="仿宋_GB2312"/>
          <w:color w:val="auto"/>
          <w:sz w:val="32"/>
          <w:szCs w:val="28"/>
          <w:lang w:val="zh-CN"/>
        </w:rPr>
        <w:t>，</w:t>
      </w:r>
      <w:r>
        <w:rPr>
          <w:rFonts w:hint="eastAsia" w:ascii="仿宋_GB2312" w:hAnsi="仿宋_GB2312" w:eastAsia="仿宋_GB2312" w:cs="仿宋_GB2312"/>
          <w:color w:val="auto"/>
          <w:sz w:val="32"/>
          <w:szCs w:val="28"/>
          <w:lang w:val="zh-CN" w:eastAsia="zh-CN"/>
        </w:rPr>
        <w:t xml:space="preserve">将每株砂仁置于对应的栽植穴内部，扶正插苗，使其根系伸展直，之后逐层回土，层层踩紧踏实，埋土完成后浇足定植水。 </w:t>
      </w:r>
    </w:p>
    <w:p w14:paraId="4071391F">
      <w:pPr>
        <w:pStyle w:val="4"/>
        <w:keepNext w:val="0"/>
        <w:keepLines w:val="0"/>
        <w:pageBreakBefore w:val="0"/>
        <w:widowControl w:val="0"/>
        <w:kinsoku/>
        <w:wordWrap/>
        <w:overflowPunct/>
        <w:topLinePunct w:val="0"/>
        <w:autoSpaceDE/>
        <w:autoSpaceDN/>
        <w:bidi w:val="0"/>
        <w:spacing w:after="0" w:line="560" w:lineRule="exact"/>
        <w:ind w:firstLine="640" w:firstLineChars="200"/>
        <w:textAlignment w:val="auto"/>
        <w:rPr>
          <w:rFonts w:hint="eastAsia" w:ascii="仿宋_GB2312" w:hAnsi="仿宋_GB2312" w:eastAsia="仿宋_GB2312" w:cs="仿宋_GB2312"/>
          <w:color w:val="auto"/>
          <w:sz w:val="32"/>
          <w:szCs w:val="28"/>
          <w:lang w:val="zh-CN"/>
        </w:rPr>
      </w:pPr>
      <w:r>
        <w:rPr>
          <w:rFonts w:hint="eastAsia" w:cs="仿宋_GB2312"/>
          <w:color w:val="auto"/>
          <w:sz w:val="32"/>
          <w:szCs w:val="28"/>
          <w:lang w:val="en-US" w:eastAsia="zh-CN"/>
        </w:rPr>
        <w:t>3.</w:t>
      </w:r>
      <w:r>
        <w:rPr>
          <w:rFonts w:hint="eastAsia" w:ascii="仿宋_GB2312" w:hAnsi="仿宋_GB2312" w:eastAsia="仿宋_GB2312" w:cs="仿宋_GB2312"/>
          <w:color w:val="auto"/>
          <w:sz w:val="32"/>
          <w:szCs w:val="28"/>
          <w:lang w:val="zh-CN"/>
        </w:rPr>
        <w:t>补植</w:t>
      </w:r>
    </w:p>
    <w:p w14:paraId="7AF92D21">
      <w:pPr>
        <w:pStyle w:val="4"/>
        <w:keepNext w:val="0"/>
        <w:keepLines w:val="0"/>
        <w:pageBreakBefore w:val="0"/>
        <w:widowControl w:val="0"/>
        <w:kinsoku/>
        <w:wordWrap/>
        <w:overflowPunct/>
        <w:topLinePunct w:val="0"/>
        <w:autoSpaceDE/>
        <w:autoSpaceDN/>
        <w:bidi w:val="0"/>
        <w:spacing w:after="0" w:line="560" w:lineRule="exact"/>
        <w:ind w:firstLine="640" w:firstLineChars="200"/>
        <w:textAlignment w:val="auto"/>
        <w:rPr>
          <w:rFonts w:hint="eastAsia" w:ascii="仿宋_GB2312" w:hAnsi="仿宋_GB2312" w:eastAsia="仿宋_GB2312" w:cs="仿宋_GB2312"/>
          <w:color w:val="auto"/>
          <w:sz w:val="32"/>
          <w:szCs w:val="28"/>
          <w:lang w:val="zh-CN" w:eastAsia="zh-CN"/>
        </w:rPr>
      </w:pPr>
      <w:r>
        <w:rPr>
          <w:rFonts w:hint="eastAsia" w:ascii="仿宋_GB2312" w:hAnsi="仿宋_GB2312" w:eastAsia="仿宋_GB2312" w:cs="仿宋_GB2312"/>
          <w:color w:val="auto"/>
          <w:sz w:val="32"/>
          <w:szCs w:val="28"/>
          <w:lang w:val="zh-CN"/>
        </w:rPr>
        <w:t>定植后1个月内检查苗木成活情况，发现死苗、缺苗及时补植。翌年</w:t>
      </w:r>
      <w:r>
        <w:rPr>
          <w:rFonts w:hint="eastAsia" w:ascii="仿宋_GB2312" w:hAnsi="仿宋_GB2312" w:eastAsia="仿宋_GB2312" w:cs="仿宋_GB2312"/>
          <w:color w:val="auto"/>
          <w:sz w:val="32"/>
          <w:szCs w:val="28"/>
          <w:lang w:val="zh-CN" w:eastAsia="zh-CN"/>
        </w:rPr>
        <w:t>清明</w:t>
      </w:r>
      <w:r>
        <w:rPr>
          <w:rFonts w:hint="eastAsia" w:ascii="仿宋_GB2312" w:hAnsi="仿宋_GB2312" w:eastAsia="仿宋_GB2312" w:cs="仿宋_GB2312"/>
          <w:color w:val="auto"/>
          <w:sz w:val="32"/>
          <w:szCs w:val="28"/>
          <w:lang w:val="zh-CN"/>
        </w:rPr>
        <w:t>前对保存率不足85%的再安排一次补植。</w:t>
      </w:r>
    </w:p>
    <w:p w14:paraId="6CDF86FB">
      <w:pPr>
        <w:pStyle w:val="4"/>
        <w:keepNext w:val="0"/>
        <w:keepLines w:val="0"/>
        <w:pageBreakBefore w:val="0"/>
        <w:widowControl w:val="0"/>
        <w:kinsoku/>
        <w:wordWrap/>
        <w:overflowPunct/>
        <w:topLinePunct w:val="0"/>
        <w:autoSpaceDE/>
        <w:autoSpaceDN/>
        <w:bidi w:val="0"/>
        <w:spacing w:after="0" w:line="560" w:lineRule="exact"/>
        <w:ind w:firstLine="640" w:firstLineChars="200"/>
        <w:textAlignment w:val="auto"/>
        <w:rPr>
          <w:rFonts w:hint="eastAsia" w:ascii="楷体_GB2312" w:hAnsi="楷体_GB2312" w:eastAsia="楷体_GB2312" w:cs="楷体_GB2312"/>
          <w:color w:val="auto"/>
          <w:sz w:val="32"/>
          <w:szCs w:val="28"/>
          <w:lang w:val="zh-CN" w:eastAsia="zh-CN"/>
        </w:rPr>
      </w:pPr>
      <w:r>
        <w:rPr>
          <w:rFonts w:hint="eastAsia" w:ascii="楷体_GB2312" w:hAnsi="楷体_GB2312" w:eastAsia="楷体_GB2312" w:cs="楷体_GB2312"/>
          <w:color w:val="auto"/>
          <w:sz w:val="32"/>
          <w:szCs w:val="28"/>
          <w:lang w:val="zh-CN" w:eastAsia="zh-CN"/>
        </w:rPr>
        <w:t>（</w:t>
      </w:r>
      <w:r>
        <w:rPr>
          <w:rFonts w:hint="eastAsia" w:ascii="楷体_GB2312" w:hAnsi="楷体_GB2312" w:eastAsia="楷体_GB2312" w:cs="楷体_GB2312"/>
          <w:color w:val="auto"/>
          <w:sz w:val="32"/>
          <w:szCs w:val="28"/>
          <w:lang w:val="en-US" w:eastAsia="zh-CN"/>
        </w:rPr>
        <w:t>七</w:t>
      </w:r>
      <w:r>
        <w:rPr>
          <w:rFonts w:hint="eastAsia" w:ascii="楷体_GB2312" w:hAnsi="楷体_GB2312" w:eastAsia="楷体_GB2312" w:cs="楷体_GB2312"/>
          <w:color w:val="auto"/>
          <w:sz w:val="32"/>
          <w:szCs w:val="28"/>
          <w:lang w:val="zh-CN" w:eastAsia="zh-CN"/>
        </w:rPr>
        <w:t>）抚育管护</w:t>
      </w:r>
    </w:p>
    <w:p w14:paraId="6772C052">
      <w:pPr>
        <w:pStyle w:val="4"/>
        <w:keepNext w:val="0"/>
        <w:keepLines w:val="0"/>
        <w:pageBreakBefore w:val="0"/>
        <w:widowControl w:val="0"/>
        <w:kinsoku/>
        <w:wordWrap/>
        <w:overflowPunct/>
        <w:topLinePunct w:val="0"/>
        <w:autoSpaceDE/>
        <w:autoSpaceDN/>
        <w:bidi w:val="0"/>
        <w:spacing w:after="0" w:line="560" w:lineRule="exact"/>
        <w:ind w:firstLine="640" w:firstLineChars="200"/>
        <w:textAlignment w:val="auto"/>
        <w:rPr>
          <w:rFonts w:hint="eastAsia" w:ascii="仿宋_GB2312" w:hAnsi="仿宋_GB2312" w:eastAsia="仿宋_GB2312" w:cs="仿宋_GB2312"/>
          <w:color w:val="auto"/>
          <w:sz w:val="32"/>
          <w:szCs w:val="28"/>
          <w:lang w:val="zh-CN" w:eastAsia="zh-CN"/>
        </w:rPr>
      </w:pPr>
      <w:r>
        <w:rPr>
          <w:rFonts w:hint="eastAsia" w:cs="仿宋_GB2312"/>
          <w:color w:val="auto"/>
          <w:sz w:val="32"/>
          <w:szCs w:val="28"/>
          <w:lang w:val="en-US" w:eastAsia="zh-CN"/>
        </w:rPr>
        <w:t>1.</w:t>
      </w:r>
      <w:r>
        <w:rPr>
          <w:rFonts w:hint="eastAsia" w:ascii="仿宋_GB2312" w:hAnsi="仿宋_GB2312" w:eastAsia="仿宋_GB2312" w:cs="仿宋_GB2312"/>
          <w:color w:val="auto"/>
          <w:sz w:val="32"/>
          <w:szCs w:val="28"/>
          <w:lang w:val="zh-CN" w:eastAsia="zh-CN"/>
        </w:rPr>
        <w:t>人工除草</w:t>
      </w:r>
    </w:p>
    <w:p w14:paraId="6FB341BF">
      <w:pPr>
        <w:pStyle w:val="4"/>
        <w:keepNext w:val="0"/>
        <w:keepLines w:val="0"/>
        <w:pageBreakBefore w:val="0"/>
        <w:widowControl w:val="0"/>
        <w:kinsoku/>
        <w:wordWrap/>
        <w:overflowPunct/>
        <w:topLinePunct w:val="0"/>
        <w:autoSpaceDE/>
        <w:autoSpaceDN/>
        <w:bidi w:val="0"/>
        <w:spacing w:after="0" w:line="560" w:lineRule="exact"/>
        <w:ind w:firstLine="640" w:firstLineChars="200"/>
        <w:textAlignment w:val="auto"/>
        <w:rPr>
          <w:rFonts w:hint="eastAsia" w:ascii="仿宋_GB2312" w:hAnsi="仿宋_GB2312" w:eastAsia="仿宋_GB2312" w:cs="仿宋_GB2312"/>
          <w:color w:val="auto"/>
          <w:sz w:val="32"/>
          <w:szCs w:val="28"/>
          <w:lang w:val="zh-CN" w:eastAsia="zh-CN"/>
        </w:rPr>
      </w:pPr>
      <w:r>
        <w:rPr>
          <w:rFonts w:hint="eastAsia" w:ascii="仿宋_GB2312" w:hAnsi="仿宋_GB2312" w:eastAsia="仿宋_GB2312" w:cs="仿宋_GB2312"/>
          <w:color w:val="auto"/>
          <w:sz w:val="32"/>
          <w:szCs w:val="28"/>
          <w:lang w:val="zh-CN" w:eastAsia="zh-CN"/>
        </w:rPr>
        <w:t>定植后的第3年砂仁开始封行郁闭，前3年每年人工除草3次，分别在3</w:t>
      </w:r>
      <w:r>
        <w:rPr>
          <w:rFonts w:hint="eastAsia" w:ascii="仿宋_GB2312" w:hAnsi="仿宋_GB2312" w:eastAsia="仿宋_GB2312" w:cs="仿宋_GB2312"/>
          <w:color w:val="auto"/>
          <w:sz w:val="32"/>
          <w:szCs w:val="28"/>
          <w:lang w:val="zh-CN"/>
        </w:rPr>
        <w:t>～</w:t>
      </w:r>
      <w:r>
        <w:rPr>
          <w:rFonts w:hint="eastAsia" w:ascii="仿宋_GB2312" w:hAnsi="仿宋_GB2312" w:eastAsia="仿宋_GB2312" w:cs="仿宋_GB2312"/>
          <w:color w:val="auto"/>
          <w:sz w:val="32"/>
          <w:szCs w:val="28"/>
          <w:lang w:val="zh-CN" w:eastAsia="zh-CN"/>
        </w:rPr>
        <w:t>4月、6</w:t>
      </w:r>
      <w:r>
        <w:rPr>
          <w:rFonts w:hint="eastAsia" w:ascii="仿宋_GB2312" w:hAnsi="仿宋_GB2312" w:eastAsia="仿宋_GB2312" w:cs="仿宋_GB2312"/>
          <w:color w:val="auto"/>
          <w:sz w:val="32"/>
          <w:szCs w:val="28"/>
          <w:lang w:val="zh-CN"/>
        </w:rPr>
        <w:t>～</w:t>
      </w:r>
      <w:r>
        <w:rPr>
          <w:rFonts w:hint="eastAsia" w:ascii="仿宋_GB2312" w:hAnsi="仿宋_GB2312" w:eastAsia="仿宋_GB2312" w:cs="仿宋_GB2312"/>
          <w:color w:val="auto"/>
          <w:sz w:val="32"/>
          <w:szCs w:val="28"/>
          <w:lang w:val="zh-CN" w:eastAsia="zh-CN"/>
        </w:rPr>
        <w:t>7月、10</w:t>
      </w:r>
      <w:r>
        <w:rPr>
          <w:rFonts w:hint="eastAsia" w:ascii="仿宋_GB2312" w:hAnsi="仿宋_GB2312" w:eastAsia="仿宋_GB2312" w:cs="仿宋_GB2312"/>
          <w:color w:val="auto"/>
          <w:sz w:val="32"/>
          <w:szCs w:val="28"/>
          <w:lang w:val="zh-CN"/>
        </w:rPr>
        <w:t>～</w:t>
      </w:r>
      <w:r>
        <w:rPr>
          <w:rFonts w:hint="eastAsia" w:ascii="仿宋_GB2312" w:hAnsi="仿宋_GB2312" w:eastAsia="仿宋_GB2312" w:cs="仿宋_GB2312"/>
          <w:color w:val="auto"/>
          <w:sz w:val="32"/>
          <w:szCs w:val="28"/>
          <w:lang w:val="zh-CN" w:eastAsia="zh-CN"/>
        </w:rPr>
        <w:t>11月间进行，第4年</w:t>
      </w:r>
      <w:r>
        <w:rPr>
          <w:rFonts w:hint="eastAsia" w:cs="仿宋_GB2312"/>
          <w:color w:val="auto"/>
          <w:sz w:val="32"/>
          <w:szCs w:val="28"/>
          <w:lang w:val="en-US" w:eastAsia="zh-CN"/>
        </w:rPr>
        <w:t>砂仁郁闭之后杂草已无竞争优势，可不再除草</w:t>
      </w:r>
      <w:r>
        <w:rPr>
          <w:rFonts w:hint="eastAsia" w:ascii="仿宋_GB2312" w:hAnsi="仿宋_GB2312" w:eastAsia="仿宋_GB2312" w:cs="仿宋_GB2312"/>
          <w:color w:val="auto"/>
          <w:sz w:val="32"/>
          <w:szCs w:val="28"/>
          <w:lang w:val="zh-CN" w:eastAsia="zh-CN"/>
        </w:rPr>
        <w:t>。</w:t>
      </w:r>
    </w:p>
    <w:p w14:paraId="7ED094B5">
      <w:pPr>
        <w:pStyle w:val="4"/>
        <w:keepNext w:val="0"/>
        <w:keepLines w:val="0"/>
        <w:pageBreakBefore w:val="0"/>
        <w:widowControl w:val="0"/>
        <w:kinsoku/>
        <w:wordWrap/>
        <w:overflowPunct/>
        <w:topLinePunct w:val="0"/>
        <w:autoSpaceDE/>
        <w:autoSpaceDN/>
        <w:bidi w:val="0"/>
        <w:spacing w:after="0" w:line="560" w:lineRule="exact"/>
        <w:ind w:firstLine="640" w:firstLineChars="200"/>
        <w:textAlignment w:val="auto"/>
        <w:rPr>
          <w:rFonts w:hint="eastAsia" w:ascii="仿宋_GB2312" w:hAnsi="仿宋_GB2312" w:eastAsia="仿宋_GB2312" w:cs="仿宋_GB2312"/>
          <w:color w:val="auto"/>
          <w:sz w:val="32"/>
          <w:szCs w:val="28"/>
          <w:lang w:val="zh-CN" w:eastAsia="zh-CN"/>
        </w:rPr>
      </w:pPr>
      <w:r>
        <w:rPr>
          <w:rFonts w:hint="eastAsia" w:cs="仿宋_GB2312"/>
          <w:color w:val="auto"/>
          <w:sz w:val="32"/>
          <w:szCs w:val="28"/>
          <w:lang w:val="en-US" w:eastAsia="zh-CN"/>
        </w:rPr>
        <w:t>2.</w:t>
      </w:r>
      <w:r>
        <w:rPr>
          <w:rFonts w:hint="eastAsia" w:ascii="仿宋_GB2312" w:hAnsi="仿宋_GB2312" w:eastAsia="仿宋_GB2312" w:cs="仿宋_GB2312"/>
          <w:color w:val="auto"/>
          <w:sz w:val="32"/>
          <w:szCs w:val="28"/>
          <w:lang w:val="zh-CN" w:eastAsia="zh-CN"/>
        </w:rPr>
        <w:t>追肥</w:t>
      </w:r>
    </w:p>
    <w:p w14:paraId="143895AF">
      <w:pPr>
        <w:pStyle w:val="4"/>
        <w:keepNext w:val="0"/>
        <w:keepLines w:val="0"/>
        <w:pageBreakBefore w:val="0"/>
        <w:widowControl w:val="0"/>
        <w:kinsoku/>
        <w:wordWrap/>
        <w:overflowPunct/>
        <w:topLinePunct w:val="0"/>
        <w:autoSpaceDE/>
        <w:autoSpaceDN/>
        <w:bidi w:val="0"/>
        <w:spacing w:after="0" w:line="560" w:lineRule="exact"/>
        <w:ind w:firstLine="640" w:firstLineChars="200"/>
        <w:textAlignment w:val="auto"/>
        <w:rPr>
          <w:rFonts w:hint="eastAsia" w:ascii="仿宋_GB2312" w:hAnsi="仿宋_GB2312" w:eastAsia="仿宋_GB2312" w:cs="仿宋_GB2312"/>
          <w:color w:val="auto"/>
          <w:sz w:val="32"/>
          <w:szCs w:val="28"/>
          <w:lang w:val="zh-CN" w:eastAsia="zh-CN"/>
        </w:rPr>
      </w:pPr>
      <w:r>
        <w:rPr>
          <w:rFonts w:hint="eastAsia" w:cs="仿宋_GB2312"/>
          <w:color w:val="auto"/>
          <w:sz w:val="32"/>
          <w:szCs w:val="28"/>
          <w:lang w:val="en-US" w:eastAsia="zh-CN"/>
        </w:rPr>
        <w:t>本试验在开展桉树林下种植砂仁试验追肥选用的是</w:t>
      </w:r>
      <w:r>
        <w:rPr>
          <w:rFonts w:hint="eastAsia" w:ascii="仿宋_GB2312" w:hAnsi="仿宋_GB2312" w:eastAsia="仿宋_GB2312" w:cs="仿宋_GB2312"/>
          <w:color w:val="auto"/>
          <w:sz w:val="32"/>
          <w:szCs w:val="28"/>
          <w:lang w:val="zh-CN" w:eastAsia="zh-CN"/>
        </w:rPr>
        <w:t>广西华沃特集团股份有限公司</w:t>
      </w:r>
      <w:r>
        <w:rPr>
          <w:rFonts w:hint="eastAsia" w:cs="仿宋_GB2312"/>
          <w:color w:val="auto"/>
          <w:sz w:val="32"/>
          <w:szCs w:val="28"/>
          <w:lang w:val="en-US" w:eastAsia="zh-CN"/>
        </w:rPr>
        <w:t>8%的有机肥，氮磷钾总养分≥8%（3-3-2），有机质≥30%，其他指标符合NY/T525-2021标准</w:t>
      </w:r>
      <w:r>
        <w:rPr>
          <w:rFonts w:hint="eastAsia" w:ascii="仿宋_GB2312" w:hAnsi="仿宋_GB2312" w:eastAsia="仿宋_GB2312" w:cs="仿宋_GB2312"/>
          <w:color w:val="auto"/>
          <w:sz w:val="32"/>
          <w:szCs w:val="28"/>
          <w:lang w:val="zh-CN" w:eastAsia="zh-CN"/>
        </w:rPr>
        <w:t>。砂仁开花结果前，每年施肥3次，种植的前2年施肥可结合除草之后进行，分别在3</w:t>
      </w:r>
      <w:r>
        <w:rPr>
          <w:rFonts w:hint="eastAsia" w:ascii="仿宋_GB2312" w:hAnsi="仿宋_GB2312" w:eastAsia="仿宋_GB2312" w:cs="仿宋_GB2312"/>
          <w:color w:val="auto"/>
          <w:sz w:val="32"/>
          <w:szCs w:val="28"/>
          <w:lang w:val="zh-CN"/>
        </w:rPr>
        <w:t>～</w:t>
      </w:r>
      <w:r>
        <w:rPr>
          <w:rFonts w:hint="eastAsia" w:ascii="仿宋_GB2312" w:hAnsi="仿宋_GB2312" w:eastAsia="仿宋_GB2312" w:cs="仿宋_GB2312"/>
          <w:color w:val="auto"/>
          <w:sz w:val="32"/>
          <w:szCs w:val="28"/>
          <w:lang w:val="zh-CN" w:eastAsia="zh-CN"/>
        </w:rPr>
        <w:t>4月、6</w:t>
      </w:r>
      <w:r>
        <w:rPr>
          <w:rFonts w:hint="eastAsia" w:ascii="仿宋_GB2312" w:hAnsi="仿宋_GB2312" w:eastAsia="仿宋_GB2312" w:cs="仿宋_GB2312"/>
          <w:color w:val="auto"/>
          <w:sz w:val="32"/>
          <w:szCs w:val="28"/>
          <w:lang w:val="zh-CN"/>
        </w:rPr>
        <w:t>～</w:t>
      </w:r>
      <w:r>
        <w:rPr>
          <w:rFonts w:hint="eastAsia" w:ascii="仿宋_GB2312" w:hAnsi="仿宋_GB2312" w:eastAsia="仿宋_GB2312" w:cs="仿宋_GB2312"/>
          <w:color w:val="auto"/>
          <w:sz w:val="32"/>
          <w:szCs w:val="28"/>
          <w:lang w:val="zh-CN" w:eastAsia="zh-CN"/>
        </w:rPr>
        <w:t>7月、10</w:t>
      </w:r>
      <w:r>
        <w:rPr>
          <w:rFonts w:hint="eastAsia" w:ascii="仿宋_GB2312" w:hAnsi="仿宋_GB2312" w:eastAsia="仿宋_GB2312" w:cs="仿宋_GB2312"/>
          <w:color w:val="auto"/>
          <w:sz w:val="32"/>
          <w:szCs w:val="28"/>
          <w:lang w:val="zh-CN"/>
        </w:rPr>
        <w:t>～</w:t>
      </w:r>
      <w:r>
        <w:rPr>
          <w:rFonts w:hint="eastAsia" w:ascii="仿宋_GB2312" w:hAnsi="仿宋_GB2312" w:eastAsia="仿宋_GB2312" w:cs="仿宋_GB2312"/>
          <w:color w:val="auto"/>
          <w:sz w:val="32"/>
          <w:szCs w:val="28"/>
          <w:lang w:val="zh-CN" w:eastAsia="zh-CN"/>
        </w:rPr>
        <w:t>11月间追肥。砂仁开花结果后每年施肥2次，第一次是春季3</w:t>
      </w:r>
      <w:r>
        <w:rPr>
          <w:rFonts w:hint="eastAsia" w:ascii="仿宋_GB2312" w:hAnsi="仿宋_GB2312" w:eastAsia="仿宋_GB2312" w:cs="仿宋_GB2312"/>
          <w:color w:val="auto"/>
          <w:sz w:val="32"/>
          <w:szCs w:val="28"/>
          <w:lang w:val="zh-CN"/>
        </w:rPr>
        <w:t>～</w:t>
      </w:r>
      <w:r>
        <w:rPr>
          <w:rFonts w:hint="eastAsia" w:ascii="仿宋_GB2312" w:hAnsi="仿宋_GB2312" w:eastAsia="仿宋_GB2312" w:cs="仿宋_GB2312"/>
          <w:color w:val="auto"/>
          <w:sz w:val="32"/>
          <w:szCs w:val="28"/>
          <w:lang w:val="zh-CN" w:eastAsia="zh-CN"/>
        </w:rPr>
        <w:t>4月除草之后，第二次是9</w:t>
      </w:r>
      <w:r>
        <w:rPr>
          <w:rFonts w:hint="eastAsia" w:ascii="仿宋_GB2312" w:hAnsi="仿宋_GB2312" w:eastAsia="仿宋_GB2312" w:cs="仿宋_GB2312"/>
          <w:color w:val="auto"/>
          <w:sz w:val="32"/>
          <w:szCs w:val="28"/>
          <w:lang w:val="zh-CN"/>
        </w:rPr>
        <w:t>～</w:t>
      </w:r>
      <w:r>
        <w:rPr>
          <w:rFonts w:hint="eastAsia" w:ascii="仿宋_GB2312" w:hAnsi="仿宋_GB2312" w:eastAsia="仿宋_GB2312" w:cs="仿宋_GB2312"/>
          <w:color w:val="auto"/>
          <w:sz w:val="32"/>
          <w:szCs w:val="28"/>
          <w:lang w:val="zh-CN" w:eastAsia="zh-CN"/>
        </w:rPr>
        <w:t>10月收获之后。</w:t>
      </w:r>
    </w:p>
    <w:p w14:paraId="4075E776">
      <w:pPr>
        <w:pStyle w:val="4"/>
        <w:keepNext w:val="0"/>
        <w:keepLines w:val="0"/>
        <w:pageBreakBefore w:val="0"/>
        <w:widowControl w:val="0"/>
        <w:kinsoku/>
        <w:wordWrap/>
        <w:overflowPunct/>
        <w:topLinePunct w:val="0"/>
        <w:autoSpaceDE/>
        <w:autoSpaceDN/>
        <w:bidi w:val="0"/>
        <w:spacing w:after="0" w:line="560" w:lineRule="exact"/>
        <w:ind w:firstLine="640" w:firstLineChars="200"/>
        <w:textAlignment w:val="auto"/>
        <w:rPr>
          <w:rFonts w:hint="eastAsia" w:ascii="仿宋_GB2312" w:hAnsi="仿宋_GB2312" w:eastAsia="仿宋_GB2312" w:cs="仿宋_GB2312"/>
          <w:color w:val="auto"/>
          <w:sz w:val="32"/>
          <w:szCs w:val="28"/>
          <w:lang w:val="zh-CN" w:eastAsia="zh-CN"/>
        </w:rPr>
      </w:pPr>
      <w:r>
        <w:rPr>
          <w:rFonts w:hint="eastAsia" w:cs="仿宋_GB2312"/>
          <w:color w:val="auto"/>
          <w:sz w:val="32"/>
          <w:szCs w:val="28"/>
          <w:lang w:val="en-US" w:eastAsia="zh-CN"/>
        </w:rPr>
        <w:t>在开展桉树林下套种砂仁试验中设置了2种不同的施肥量，分别是0.5kg/丛和1.0kg/丛，通过对比试验发现施肥量对砂仁生长性状无显著性影响，调查结果详见附表《桉树林下套种砂仁生长性状调查统计表》，故施肥量0.5</w:t>
      </w:r>
      <w:r>
        <w:rPr>
          <w:rFonts w:hint="eastAsia" w:ascii="仿宋_GB2312" w:hAnsi="仿宋_GB2312" w:eastAsia="仿宋_GB2312" w:cs="仿宋_GB2312"/>
          <w:color w:val="auto"/>
          <w:sz w:val="32"/>
          <w:szCs w:val="28"/>
          <w:lang w:val="zh-CN" w:eastAsia="zh-CN"/>
        </w:rPr>
        <w:t>kg</w:t>
      </w:r>
      <w:r>
        <w:rPr>
          <w:rFonts w:hint="eastAsia" w:cs="仿宋_GB2312"/>
          <w:color w:val="auto"/>
          <w:sz w:val="32"/>
          <w:szCs w:val="28"/>
          <w:lang w:val="en-US" w:eastAsia="zh-CN"/>
        </w:rPr>
        <w:t>/丛已经能满足砂仁生长需求，建议砂仁施肥量选择0.5</w:t>
      </w:r>
      <w:r>
        <w:rPr>
          <w:rFonts w:hint="eastAsia" w:ascii="仿宋_GB2312" w:hAnsi="仿宋_GB2312" w:eastAsia="仿宋_GB2312" w:cs="仿宋_GB2312"/>
          <w:color w:val="auto"/>
          <w:sz w:val="32"/>
          <w:szCs w:val="28"/>
          <w:lang w:val="zh-CN" w:eastAsia="zh-CN"/>
        </w:rPr>
        <w:t>kg</w:t>
      </w:r>
      <w:r>
        <w:rPr>
          <w:rFonts w:hint="eastAsia" w:cs="仿宋_GB2312"/>
          <w:color w:val="auto"/>
          <w:sz w:val="32"/>
          <w:szCs w:val="28"/>
          <w:lang w:val="en-US" w:eastAsia="zh-CN"/>
        </w:rPr>
        <w:t>/丛</w:t>
      </w:r>
      <w:r>
        <w:rPr>
          <w:rFonts w:hint="eastAsia" w:cs="仿宋_GB2312"/>
          <w:color w:val="auto"/>
          <w:sz w:val="32"/>
          <w:szCs w:val="28"/>
          <w:lang w:val="zh-CN" w:eastAsia="zh-CN"/>
        </w:rPr>
        <w:t>，</w:t>
      </w:r>
      <w:r>
        <w:rPr>
          <w:rFonts w:hint="eastAsia" w:ascii="仿宋_GB2312" w:hAnsi="仿宋_GB2312" w:eastAsia="仿宋_GB2312" w:cs="仿宋_GB2312"/>
          <w:color w:val="auto"/>
          <w:sz w:val="32"/>
          <w:szCs w:val="28"/>
          <w:lang w:val="zh-CN" w:eastAsia="zh-CN"/>
        </w:rPr>
        <w:t>将肥料均匀撒于砂仁植株四周</w:t>
      </w:r>
      <w:r>
        <w:rPr>
          <w:rFonts w:hint="eastAsia" w:cs="仿宋_GB2312"/>
          <w:color w:val="auto"/>
          <w:sz w:val="32"/>
          <w:szCs w:val="28"/>
          <w:lang w:val="en-US" w:eastAsia="zh-CN"/>
        </w:rPr>
        <w:t>即可</w:t>
      </w:r>
      <w:r>
        <w:rPr>
          <w:rFonts w:hint="eastAsia" w:ascii="仿宋_GB2312" w:hAnsi="仿宋_GB2312" w:eastAsia="仿宋_GB2312" w:cs="仿宋_GB2312"/>
          <w:color w:val="auto"/>
          <w:sz w:val="32"/>
          <w:szCs w:val="28"/>
          <w:lang w:val="zh-CN" w:eastAsia="zh-CN"/>
        </w:rPr>
        <w:t>。</w:t>
      </w:r>
    </w:p>
    <w:p w14:paraId="2843D14B">
      <w:pPr>
        <w:pStyle w:val="4"/>
        <w:keepNext w:val="0"/>
        <w:keepLines w:val="0"/>
        <w:pageBreakBefore w:val="0"/>
        <w:widowControl w:val="0"/>
        <w:kinsoku/>
        <w:wordWrap/>
        <w:overflowPunct/>
        <w:topLinePunct w:val="0"/>
        <w:autoSpaceDE/>
        <w:autoSpaceDN/>
        <w:bidi w:val="0"/>
        <w:spacing w:after="0" w:line="560" w:lineRule="exact"/>
        <w:ind w:firstLine="640" w:firstLineChars="200"/>
        <w:textAlignment w:val="auto"/>
        <w:rPr>
          <w:rFonts w:hint="eastAsia" w:ascii="楷体_GB2312" w:hAnsi="楷体_GB2312" w:eastAsia="楷体_GB2312" w:cs="楷体_GB2312"/>
          <w:color w:val="auto"/>
          <w:sz w:val="32"/>
          <w:szCs w:val="28"/>
          <w:lang w:val="zh-CN" w:eastAsia="zh-CN"/>
        </w:rPr>
      </w:pPr>
      <w:r>
        <w:rPr>
          <w:rFonts w:hint="eastAsia" w:ascii="楷体_GB2312" w:hAnsi="楷体_GB2312" w:eastAsia="楷体_GB2312" w:cs="楷体_GB2312"/>
          <w:color w:val="auto"/>
          <w:sz w:val="32"/>
          <w:szCs w:val="28"/>
          <w:lang w:val="zh-CN" w:eastAsia="zh-CN"/>
        </w:rPr>
        <w:t>（</w:t>
      </w:r>
      <w:r>
        <w:rPr>
          <w:rFonts w:hint="eastAsia" w:ascii="楷体_GB2312" w:hAnsi="楷体_GB2312" w:eastAsia="楷体_GB2312" w:cs="楷体_GB2312"/>
          <w:color w:val="auto"/>
          <w:sz w:val="32"/>
          <w:szCs w:val="28"/>
          <w:lang w:val="en-US" w:eastAsia="zh-CN"/>
        </w:rPr>
        <w:t>八</w:t>
      </w:r>
      <w:r>
        <w:rPr>
          <w:rFonts w:hint="eastAsia" w:ascii="楷体_GB2312" w:hAnsi="楷体_GB2312" w:eastAsia="楷体_GB2312" w:cs="楷体_GB2312"/>
          <w:color w:val="auto"/>
          <w:sz w:val="32"/>
          <w:szCs w:val="28"/>
          <w:lang w:val="zh-CN" w:eastAsia="zh-CN"/>
        </w:rPr>
        <w:t>）病虫害防治</w:t>
      </w:r>
    </w:p>
    <w:p w14:paraId="0F5D2713">
      <w:pPr>
        <w:pStyle w:val="4"/>
        <w:keepNext w:val="0"/>
        <w:keepLines w:val="0"/>
        <w:pageBreakBefore w:val="0"/>
        <w:widowControl w:val="0"/>
        <w:kinsoku/>
        <w:wordWrap/>
        <w:overflowPunct/>
        <w:topLinePunct w:val="0"/>
        <w:autoSpaceDE/>
        <w:autoSpaceDN/>
        <w:bidi w:val="0"/>
        <w:spacing w:after="0" w:line="560" w:lineRule="exact"/>
        <w:ind w:firstLine="640" w:firstLineChars="200"/>
        <w:textAlignment w:val="auto"/>
        <w:rPr>
          <w:rFonts w:hint="eastAsia" w:ascii="仿宋_GB2312" w:hAnsi="仿宋_GB2312" w:eastAsia="仿宋_GB2312" w:cs="仿宋_GB2312"/>
          <w:color w:val="auto"/>
          <w:sz w:val="32"/>
          <w:szCs w:val="28"/>
          <w:lang w:val="zh-CN" w:eastAsia="zh-CN"/>
        </w:rPr>
      </w:pPr>
      <w:r>
        <w:rPr>
          <w:rFonts w:hint="eastAsia" w:cs="仿宋_GB2312"/>
          <w:color w:val="auto"/>
          <w:sz w:val="32"/>
          <w:szCs w:val="28"/>
          <w:lang w:val="en-US" w:eastAsia="zh-CN"/>
        </w:rPr>
        <w:t>1.常见</w:t>
      </w:r>
      <w:r>
        <w:rPr>
          <w:rFonts w:hint="eastAsia" w:ascii="仿宋_GB2312" w:hAnsi="仿宋_GB2312" w:eastAsia="仿宋_GB2312" w:cs="仿宋_GB2312"/>
          <w:color w:val="auto"/>
          <w:sz w:val="32"/>
          <w:szCs w:val="28"/>
          <w:lang w:val="zh-CN" w:eastAsia="zh-CN"/>
        </w:rPr>
        <w:t>病害</w:t>
      </w:r>
    </w:p>
    <w:p w14:paraId="3097BC2C">
      <w:pPr>
        <w:pStyle w:val="4"/>
        <w:keepNext w:val="0"/>
        <w:keepLines w:val="0"/>
        <w:pageBreakBefore w:val="0"/>
        <w:widowControl w:val="0"/>
        <w:kinsoku/>
        <w:wordWrap/>
        <w:overflowPunct/>
        <w:topLinePunct w:val="0"/>
        <w:autoSpaceDE/>
        <w:autoSpaceDN/>
        <w:bidi w:val="0"/>
        <w:spacing w:after="0" w:line="560" w:lineRule="exact"/>
        <w:ind w:firstLine="640" w:firstLineChars="200"/>
        <w:textAlignment w:val="auto"/>
        <w:rPr>
          <w:rFonts w:hint="eastAsia" w:ascii="仿宋_GB2312" w:hAnsi="仿宋_GB2312" w:eastAsia="仿宋_GB2312" w:cs="仿宋_GB2312"/>
          <w:color w:val="auto"/>
          <w:sz w:val="32"/>
          <w:szCs w:val="28"/>
          <w:lang w:val="zh-CN" w:eastAsia="zh-CN"/>
        </w:rPr>
      </w:pPr>
      <w:r>
        <w:rPr>
          <w:rFonts w:hint="eastAsia" w:cs="仿宋_GB2312"/>
          <w:color w:val="auto"/>
          <w:sz w:val="32"/>
          <w:szCs w:val="28"/>
          <w:lang w:val="en-US" w:eastAsia="zh-CN"/>
        </w:rPr>
        <w:t>主要有</w:t>
      </w:r>
      <w:r>
        <w:rPr>
          <w:rFonts w:hint="eastAsia" w:ascii="仿宋_GB2312" w:hAnsi="仿宋_GB2312" w:eastAsia="仿宋_GB2312" w:cs="仿宋_GB2312"/>
          <w:color w:val="auto"/>
          <w:sz w:val="32"/>
          <w:szCs w:val="28"/>
          <w:lang w:val="zh-CN" w:eastAsia="zh-CN"/>
        </w:rPr>
        <w:t>茎枯病</w:t>
      </w:r>
      <w:r>
        <w:rPr>
          <w:rFonts w:hint="eastAsia" w:cs="仿宋_GB2312"/>
          <w:color w:val="auto"/>
          <w:sz w:val="32"/>
          <w:szCs w:val="28"/>
          <w:lang w:val="en-US" w:eastAsia="zh-CN"/>
        </w:rPr>
        <w:t>和</w:t>
      </w:r>
      <w:r>
        <w:rPr>
          <w:rFonts w:hint="eastAsia" w:ascii="仿宋_GB2312" w:hAnsi="仿宋_GB2312" w:eastAsia="仿宋_GB2312" w:cs="仿宋_GB2312"/>
          <w:color w:val="auto"/>
          <w:sz w:val="32"/>
          <w:szCs w:val="28"/>
          <w:lang w:val="zh-CN" w:eastAsia="zh-CN"/>
        </w:rPr>
        <w:t>果疫病</w:t>
      </w:r>
      <w:r>
        <w:rPr>
          <w:rFonts w:hint="eastAsia" w:cs="仿宋_GB2312"/>
          <w:color w:val="auto"/>
          <w:sz w:val="32"/>
          <w:szCs w:val="28"/>
          <w:lang w:val="zh-CN" w:eastAsia="zh-CN"/>
        </w:rPr>
        <w:t>，</w:t>
      </w:r>
      <w:r>
        <w:rPr>
          <w:rFonts w:hint="eastAsia" w:ascii="仿宋_GB2312" w:hAnsi="仿宋_GB2312" w:eastAsia="仿宋_GB2312" w:cs="仿宋_GB2312"/>
          <w:color w:val="auto"/>
          <w:sz w:val="32"/>
          <w:szCs w:val="28"/>
          <w:lang w:val="zh-CN" w:eastAsia="zh-CN"/>
        </w:rPr>
        <w:t>茎枯病通常在7-8月雨季发生，幼苗受害后，茎秆干枯，倒伏死亡。可用1：1：140波尔多液喷洒进行防治。果疫病主要</w:t>
      </w:r>
      <w:r>
        <w:rPr>
          <w:rFonts w:hint="eastAsia" w:cs="仿宋_GB2312"/>
          <w:color w:val="auto"/>
          <w:sz w:val="32"/>
          <w:szCs w:val="28"/>
          <w:lang w:val="zh-CN" w:eastAsia="zh-CN"/>
        </w:rPr>
        <w:t>危</w:t>
      </w:r>
      <w:r>
        <w:rPr>
          <w:rFonts w:hint="eastAsia" w:ascii="仿宋_GB2312" w:hAnsi="仿宋_GB2312" w:eastAsia="仿宋_GB2312" w:cs="仿宋_GB2312"/>
          <w:color w:val="auto"/>
          <w:sz w:val="32"/>
          <w:szCs w:val="28"/>
          <w:lang w:val="zh-CN" w:eastAsia="zh-CN"/>
        </w:rPr>
        <w:t>害果实，多发生于8～9月，发病时，果实发黑，腐烂变质。以防为主，发现及时摘除病果，减少病原菌传播；春季增施草木灰、石灰，增强果实抗病力；发病初期用1</w:t>
      </w:r>
      <w:bookmarkStart w:id="1" w:name="_GoBack"/>
      <w:r>
        <w:rPr>
          <w:rFonts w:hint="eastAsia" w:ascii="仿宋_GB2312" w:hAnsi="仿宋_GB2312" w:eastAsia="仿宋_GB2312" w:cs="仿宋_GB2312"/>
          <w:color w:val="auto"/>
          <w:sz w:val="32"/>
          <w:szCs w:val="28"/>
          <w:lang w:val="zh-CN" w:eastAsia="zh-CN"/>
        </w:rPr>
        <w:t>：</w:t>
      </w:r>
      <w:bookmarkEnd w:id="1"/>
      <w:r>
        <w:rPr>
          <w:rFonts w:hint="eastAsia" w:ascii="仿宋_GB2312" w:hAnsi="仿宋_GB2312" w:eastAsia="仿宋_GB2312" w:cs="仿宋_GB2312"/>
          <w:color w:val="auto"/>
          <w:sz w:val="32"/>
          <w:szCs w:val="28"/>
          <w:lang w:val="zh-CN" w:eastAsia="zh-CN"/>
        </w:rPr>
        <w:t>1：150波尔多液喷洒，每10天喷1次，连续2～3次；收果前2周要停止喷药。</w:t>
      </w:r>
    </w:p>
    <w:p w14:paraId="620DF149">
      <w:pPr>
        <w:pStyle w:val="4"/>
        <w:keepNext w:val="0"/>
        <w:keepLines w:val="0"/>
        <w:pageBreakBefore w:val="0"/>
        <w:widowControl w:val="0"/>
        <w:kinsoku/>
        <w:wordWrap/>
        <w:overflowPunct/>
        <w:topLinePunct w:val="0"/>
        <w:autoSpaceDE/>
        <w:autoSpaceDN/>
        <w:bidi w:val="0"/>
        <w:spacing w:after="0" w:line="560" w:lineRule="exact"/>
        <w:ind w:firstLine="640" w:firstLineChars="200"/>
        <w:textAlignment w:val="auto"/>
        <w:rPr>
          <w:rFonts w:hint="eastAsia" w:ascii="仿宋_GB2312" w:hAnsi="仿宋_GB2312" w:eastAsia="仿宋_GB2312" w:cs="仿宋_GB2312"/>
          <w:color w:val="auto"/>
          <w:sz w:val="32"/>
          <w:szCs w:val="28"/>
          <w:lang w:val="zh-CN" w:eastAsia="zh-CN"/>
        </w:rPr>
      </w:pPr>
      <w:r>
        <w:rPr>
          <w:rFonts w:hint="eastAsia" w:cs="仿宋_GB2312"/>
          <w:color w:val="auto"/>
          <w:sz w:val="32"/>
          <w:szCs w:val="28"/>
          <w:lang w:val="en-US" w:eastAsia="zh-CN"/>
        </w:rPr>
        <w:t>2.</w:t>
      </w:r>
      <w:r>
        <w:rPr>
          <w:rFonts w:hint="eastAsia" w:ascii="仿宋_GB2312" w:hAnsi="仿宋_GB2312" w:eastAsia="仿宋_GB2312" w:cs="仿宋_GB2312"/>
          <w:color w:val="auto"/>
          <w:sz w:val="32"/>
          <w:szCs w:val="28"/>
          <w:lang w:val="zh-CN" w:eastAsia="zh-CN"/>
        </w:rPr>
        <w:t>虫害</w:t>
      </w:r>
    </w:p>
    <w:p w14:paraId="6B62327B">
      <w:pPr>
        <w:pStyle w:val="4"/>
        <w:keepNext w:val="0"/>
        <w:keepLines w:val="0"/>
        <w:pageBreakBefore w:val="0"/>
        <w:widowControl w:val="0"/>
        <w:kinsoku/>
        <w:wordWrap/>
        <w:overflowPunct/>
        <w:topLinePunct w:val="0"/>
        <w:autoSpaceDE/>
        <w:autoSpaceDN/>
        <w:bidi w:val="0"/>
        <w:spacing w:after="0" w:line="560" w:lineRule="exact"/>
        <w:ind w:firstLine="640" w:firstLineChars="200"/>
        <w:textAlignment w:val="auto"/>
        <w:rPr>
          <w:rFonts w:hint="eastAsia" w:ascii="仿宋_GB2312" w:hAnsi="仿宋_GB2312" w:eastAsia="仿宋_GB2312" w:cs="仿宋_GB2312"/>
          <w:color w:val="auto"/>
          <w:sz w:val="32"/>
          <w:szCs w:val="28"/>
          <w:lang w:val="zh-CN" w:eastAsia="zh-CN"/>
        </w:rPr>
      </w:pPr>
      <w:r>
        <w:rPr>
          <w:rFonts w:hint="eastAsia" w:ascii="仿宋_GB2312" w:hAnsi="仿宋_GB2312" w:eastAsia="仿宋_GB2312" w:cs="仿宋_GB2312"/>
          <w:color w:val="auto"/>
          <w:sz w:val="32"/>
          <w:szCs w:val="28"/>
          <w:lang w:val="zh-CN" w:eastAsia="zh-CN"/>
        </w:rPr>
        <w:t>主要有钻心虫。以防为主，按照NY/T 1276标准和GB/T 8321标准执行，宜选用高效低毒、低残留的农药。</w:t>
      </w:r>
    </w:p>
    <w:p w14:paraId="18885B62">
      <w:pPr>
        <w:pStyle w:val="4"/>
        <w:keepNext w:val="0"/>
        <w:keepLines w:val="0"/>
        <w:pageBreakBefore w:val="0"/>
        <w:widowControl w:val="0"/>
        <w:kinsoku/>
        <w:wordWrap/>
        <w:overflowPunct/>
        <w:topLinePunct w:val="0"/>
        <w:autoSpaceDE/>
        <w:autoSpaceDN/>
        <w:bidi w:val="0"/>
        <w:spacing w:after="0" w:line="560" w:lineRule="exact"/>
        <w:ind w:firstLine="640" w:firstLineChars="200"/>
        <w:textAlignment w:val="auto"/>
        <w:rPr>
          <w:rFonts w:hint="eastAsia" w:ascii="仿宋_GB2312" w:hAnsi="仿宋_GB2312" w:eastAsia="仿宋_GB2312" w:cs="仿宋_GB2312"/>
          <w:color w:val="auto"/>
          <w:sz w:val="32"/>
          <w:szCs w:val="28"/>
          <w:lang w:val="zh-CN" w:eastAsia="zh-CN"/>
        </w:rPr>
      </w:pPr>
      <w:r>
        <w:rPr>
          <w:rFonts w:hint="eastAsia" w:cs="仿宋_GB2312"/>
          <w:color w:val="auto"/>
          <w:sz w:val="32"/>
          <w:szCs w:val="28"/>
          <w:lang w:val="zh-CN" w:eastAsia="zh-CN"/>
        </w:rPr>
        <w:t>（</w:t>
      </w:r>
      <w:r>
        <w:rPr>
          <w:rFonts w:hint="eastAsia" w:cs="仿宋_GB2312"/>
          <w:color w:val="auto"/>
          <w:sz w:val="32"/>
          <w:szCs w:val="28"/>
          <w:lang w:val="en-US" w:eastAsia="zh-CN"/>
        </w:rPr>
        <w:t>九</w:t>
      </w:r>
      <w:r>
        <w:rPr>
          <w:rFonts w:hint="eastAsia" w:cs="仿宋_GB2312"/>
          <w:color w:val="auto"/>
          <w:sz w:val="32"/>
          <w:szCs w:val="28"/>
          <w:lang w:val="zh-CN" w:eastAsia="zh-CN"/>
        </w:rPr>
        <w:t>）</w:t>
      </w:r>
      <w:r>
        <w:rPr>
          <w:rFonts w:hint="eastAsia" w:ascii="仿宋_GB2312" w:hAnsi="仿宋_GB2312" w:eastAsia="仿宋_GB2312" w:cs="仿宋_GB2312"/>
          <w:color w:val="auto"/>
          <w:sz w:val="32"/>
          <w:szCs w:val="28"/>
          <w:lang w:val="zh-CN" w:eastAsia="zh-CN"/>
        </w:rPr>
        <w:t>采收</w:t>
      </w:r>
    </w:p>
    <w:p w14:paraId="0D3E0CE6">
      <w:pPr>
        <w:pStyle w:val="4"/>
        <w:keepNext w:val="0"/>
        <w:keepLines w:val="0"/>
        <w:pageBreakBefore w:val="0"/>
        <w:widowControl w:val="0"/>
        <w:kinsoku/>
        <w:wordWrap/>
        <w:overflowPunct/>
        <w:topLinePunct w:val="0"/>
        <w:autoSpaceDE/>
        <w:autoSpaceDN/>
        <w:bidi w:val="0"/>
        <w:spacing w:after="0" w:line="560" w:lineRule="exact"/>
        <w:ind w:firstLine="640" w:firstLineChars="200"/>
        <w:textAlignment w:val="auto"/>
        <w:rPr>
          <w:rFonts w:hint="eastAsia" w:ascii="仿宋_GB2312" w:hAnsi="仿宋_GB2312" w:eastAsia="仿宋_GB2312" w:cs="仿宋_GB2312"/>
          <w:color w:val="auto"/>
          <w:sz w:val="32"/>
          <w:szCs w:val="28"/>
          <w:lang w:val="zh-CN" w:eastAsia="zh-CN"/>
        </w:rPr>
      </w:pPr>
      <w:r>
        <w:rPr>
          <w:rFonts w:hint="eastAsia" w:cs="仿宋_GB2312"/>
          <w:color w:val="auto"/>
          <w:sz w:val="32"/>
          <w:szCs w:val="28"/>
          <w:lang w:val="en-US" w:eastAsia="zh-CN"/>
        </w:rPr>
        <w:t>当</w:t>
      </w:r>
      <w:r>
        <w:rPr>
          <w:rFonts w:hint="eastAsia" w:ascii="仿宋_GB2312" w:hAnsi="仿宋_GB2312" w:eastAsia="仿宋_GB2312" w:cs="仿宋_GB2312"/>
          <w:color w:val="auto"/>
          <w:sz w:val="32"/>
          <w:szCs w:val="28"/>
          <w:lang w:val="zh-CN" w:eastAsia="zh-CN"/>
        </w:rPr>
        <w:t>果实由鲜红色转为紫红色，种子呈黑褐色，破碎后有浓烈的辛辣味时即为成熟。</w:t>
      </w:r>
      <w:r>
        <w:rPr>
          <w:rFonts w:hint="eastAsia" w:cs="仿宋_GB2312"/>
          <w:color w:val="auto"/>
          <w:sz w:val="32"/>
          <w:szCs w:val="28"/>
          <w:lang w:val="en-US" w:eastAsia="zh-CN"/>
        </w:rPr>
        <w:t>一般</w:t>
      </w:r>
      <w:r>
        <w:rPr>
          <w:rFonts w:hint="eastAsia" w:ascii="仿宋_GB2312" w:hAnsi="仿宋_GB2312" w:eastAsia="仿宋_GB2312" w:cs="仿宋_GB2312"/>
          <w:color w:val="auto"/>
          <w:sz w:val="32"/>
          <w:szCs w:val="28"/>
          <w:lang w:val="zh-CN" w:eastAsia="zh-CN"/>
        </w:rPr>
        <w:t>砂仁种植后3年开花结果，采收期</w:t>
      </w:r>
      <w:r>
        <w:rPr>
          <w:rFonts w:hint="eastAsia" w:cs="仿宋_GB2312"/>
          <w:color w:val="auto"/>
          <w:sz w:val="32"/>
          <w:szCs w:val="28"/>
          <w:lang w:val="en-US" w:eastAsia="zh-CN"/>
        </w:rPr>
        <w:t>通常是</w:t>
      </w:r>
      <w:r>
        <w:rPr>
          <w:rFonts w:hint="eastAsia" w:ascii="仿宋_GB2312" w:hAnsi="仿宋_GB2312" w:eastAsia="仿宋_GB2312" w:cs="仿宋_GB2312"/>
          <w:color w:val="auto"/>
          <w:sz w:val="32"/>
          <w:szCs w:val="28"/>
          <w:lang w:val="zh-CN" w:eastAsia="zh-CN"/>
        </w:rPr>
        <w:t>7～9月</w:t>
      </w:r>
      <w:r>
        <w:rPr>
          <w:rFonts w:hint="eastAsia" w:cs="仿宋_GB2312"/>
          <w:color w:val="auto"/>
          <w:sz w:val="32"/>
          <w:szCs w:val="28"/>
          <w:lang w:val="zh-CN" w:eastAsia="zh-CN"/>
        </w:rPr>
        <w:t>，</w:t>
      </w:r>
      <w:r>
        <w:rPr>
          <w:rFonts w:hint="eastAsia" w:cs="仿宋_GB2312"/>
          <w:color w:val="auto"/>
          <w:sz w:val="32"/>
          <w:szCs w:val="28"/>
          <w:lang w:val="en-US" w:eastAsia="zh-CN"/>
        </w:rPr>
        <w:t>采用</w:t>
      </w:r>
      <w:r>
        <w:rPr>
          <w:rFonts w:hint="eastAsia" w:ascii="仿宋_GB2312" w:hAnsi="仿宋_GB2312" w:eastAsia="仿宋_GB2312" w:cs="仿宋_GB2312"/>
          <w:color w:val="auto"/>
          <w:sz w:val="32"/>
          <w:szCs w:val="28"/>
          <w:lang w:val="zh-CN" w:eastAsia="zh-CN"/>
        </w:rPr>
        <w:t>人工采收</w:t>
      </w:r>
      <w:r>
        <w:rPr>
          <w:rFonts w:hint="eastAsia" w:cs="仿宋_GB2312"/>
          <w:color w:val="auto"/>
          <w:sz w:val="32"/>
          <w:szCs w:val="28"/>
          <w:lang w:val="en-US" w:eastAsia="zh-CN"/>
        </w:rPr>
        <w:t>的方式</w:t>
      </w:r>
      <w:r>
        <w:rPr>
          <w:rFonts w:hint="eastAsia" w:ascii="仿宋_GB2312" w:hAnsi="仿宋_GB2312" w:eastAsia="仿宋_GB2312" w:cs="仿宋_GB2312"/>
          <w:color w:val="auto"/>
          <w:sz w:val="32"/>
          <w:szCs w:val="28"/>
          <w:lang w:val="zh-CN" w:eastAsia="zh-CN"/>
        </w:rPr>
        <w:t>，采收时注意勿踩伤根状茎和碰伤幼苗，用剪刀剪断果序即可。</w:t>
      </w:r>
    </w:p>
    <w:p w14:paraId="730553C1">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ascii="黑体" w:hAnsi="黑体" w:eastAsia="黑体" w:cs="黑体"/>
          <w:bCs/>
          <w:color w:val="auto"/>
          <w:sz w:val="32"/>
          <w:szCs w:val="32"/>
        </w:rPr>
      </w:pPr>
      <w:r>
        <w:rPr>
          <w:rFonts w:hint="eastAsia" w:ascii="黑体" w:hAnsi="黑体" w:eastAsia="黑体" w:cs="黑体"/>
          <w:bCs/>
          <w:color w:val="auto"/>
          <w:sz w:val="32"/>
          <w:szCs w:val="32"/>
          <w:lang w:val="en-US" w:eastAsia="zh-CN"/>
        </w:rPr>
        <w:t>六</w:t>
      </w:r>
      <w:r>
        <w:rPr>
          <w:rFonts w:hint="eastAsia" w:ascii="黑体" w:hAnsi="黑体" w:eastAsia="黑体" w:cs="黑体"/>
          <w:bCs/>
          <w:color w:val="auto"/>
          <w:sz w:val="32"/>
          <w:szCs w:val="32"/>
        </w:rPr>
        <w:t>、国内外标准制修订情况</w:t>
      </w:r>
    </w:p>
    <w:p w14:paraId="6BC6DB59">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宋体" w:eastAsia="仿宋_GB2312"/>
          <w:color w:val="auto"/>
          <w:sz w:val="32"/>
          <w:szCs w:val="28"/>
          <w:lang w:val="en-US" w:eastAsia="zh-CN"/>
        </w:rPr>
      </w:pPr>
      <w:r>
        <w:rPr>
          <w:rFonts w:hint="eastAsia" w:ascii="仿宋_GB2312" w:hAnsi="宋体" w:eastAsia="仿宋_GB2312"/>
          <w:color w:val="auto"/>
          <w:sz w:val="32"/>
          <w:szCs w:val="28"/>
          <w:lang w:val="en-US" w:eastAsia="zh-CN"/>
        </w:rPr>
        <w:t>目前,砂仁产业的技术标准包含国家标准、行业标准、地方标准和团体标准。我国最早的砂仁相关标准是1963年版中国药典中的砂仁药材标准，经过多次修订，现行为2020年版。随后，广东、广西、云南、河南、江西等省区发布的中药饮片炮制规范均含有砂仁的饮片标准；近几年，云南省、海南省、广东省等砂仁种植省份发布了多个砂仁种植相关标准，如：《海南砂仁分株繁殖技术规程》（DB46/T 470-2018）、《海南砂仁林下种植技术规程》（DB46/T 471-2018）、《中药材砂仁生产技术规程》（DB45/T 442-2007）、《中药材阳春砂仁栽培技术规程》（DB45/T 1181-2015）、《砂仁栽培技术规范》（T/GDSMM 0013-2021）、《砂仁育种技术规范》（T/GDSMM 0012-2021）、《广宁砂仁种植技术规程》（T/GDSMM 0024-2022）等，但尚未见有适应广西区内的桉树林下种植砂仁相关标准发布，我区在林下种植砂仁技术研究方面走在全国前列，本标准主要起草单位在桉树林下种植砂仁技术方面积累了丰富的生产经验，满足推广发展的技术要求。</w:t>
      </w:r>
    </w:p>
    <w:p w14:paraId="4DF91B2E">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黑体" w:hAnsi="黑体" w:eastAsia="黑体" w:cs="黑体"/>
          <w:bCs/>
          <w:color w:val="auto"/>
          <w:sz w:val="32"/>
          <w:szCs w:val="32"/>
        </w:rPr>
      </w:pPr>
      <w:r>
        <w:rPr>
          <w:rFonts w:hint="eastAsia" w:ascii="黑体" w:hAnsi="黑体" w:eastAsia="黑体" w:cs="黑体"/>
          <w:bCs/>
          <w:color w:val="auto"/>
          <w:sz w:val="32"/>
          <w:szCs w:val="32"/>
          <w:lang w:val="en-US" w:eastAsia="zh-CN"/>
        </w:rPr>
        <w:t>七</w:t>
      </w:r>
      <w:r>
        <w:rPr>
          <w:rFonts w:hint="eastAsia" w:ascii="黑体" w:hAnsi="黑体" w:eastAsia="黑体" w:cs="黑体"/>
          <w:bCs/>
          <w:color w:val="auto"/>
          <w:sz w:val="32"/>
          <w:szCs w:val="32"/>
        </w:rPr>
        <w:t>、重大分歧意见处理经过和依据</w:t>
      </w:r>
    </w:p>
    <w:p w14:paraId="34E46AC6">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ascii="仿宋_GB2312" w:hAnsi="宋体" w:eastAsia="仿宋_GB2312"/>
          <w:color w:val="auto"/>
          <w:sz w:val="32"/>
          <w:szCs w:val="28"/>
          <w:lang w:val="zh-CN"/>
        </w:rPr>
      </w:pPr>
      <w:r>
        <w:rPr>
          <w:rFonts w:hint="eastAsia" w:ascii="仿宋_GB2312" w:hAnsi="宋体" w:eastAsia="仿宋_GB2312"/>
          <w:color w:val="auto"/>
          <w:sz w:val="32"/>
          <w:szCs w:val="28"/>
          <w:lang w:val="zh-CN"/>
        </w:rPr>
        <w:t>本标准研制过程中无重大分歧意见。</w:t>
      </w:r>
    </w:p>
    <w:p w14:paraId="6D58AAB1">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ascii="黑体" w:hAnsi="黑体" w:eastAsia="黑体" w:cs="黑体"/>
          <w:bCs/>
          <w:color w:val="auto"/>
          <w:sz w:val="32"/>
          <w:szCs w:val="32"/>
        </w:rPr>
      </w:pPr>
      <w:r>
        <w:rPr>
          <w:rFonts w:hint="eastAsia" w:ascii="黑体" w:hAnsi="黑体" w:eastAsia="黑体" w:cs="黑体"/>
          <w:bCs/>
          <w:color w:val="auto"/>
          <w:sz w:val="32"/>
          <w:szCs w:val="32"/>
          <w:lang w:val="en-US" w:eastAsia="zh-CN"/>
        </w:rPr>
        <w:t>八</w:t>
      </w:r>
      <w:r>
        <w:rPr>
          <w:rFonts w:ascii="黑体" w:hAnsi="黑体" w:eastAsia="黑体" w:cs="黑体"/>
          <w:bCs/>
          <w:color w:val="auto"/>
          <w:sz w:val="32"/>
          <w:szCs w:val="32"/>
        </w:rPr>
        <w:t>、</w:t>
      </w:r>
      <w:r>
        <w:rPr>
          <w:rFonts w:hint="eastAsia" w:ascii="黑体" w:hAnsi="黑体" w:eastAsia="黑体" w:cs="黑体"/>
          <w:bCs/>
          <w:color w:val="auto"/>
          <w:sz w:val="32"/>
          <w:szCs w:val="32"/>
        </w:rPr>
        <w:t>实施标准的措施</w:t>
      </w:r>
    </w:p>
    <w:p w14:paraId="321C2802">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ascii="仿宋_GB2312" w:hAnsi="宋体" w:eastAsia="仿宋_GB2312"/>
          <w:color w:val="auto"/>
          <w:sz w:val="32"/>
          <w:szCs w:val="32"/>
        </w:rPr>
      </w:pPr>
      <w:r>
        <w:rPr>
          <w:rFonts w:hint="eastAsia" w:ascii="仿宋_GB2312" w:hAnsi="宋体" w:eastAsia="仿宋_GB2312"/>
          <w:color w:val="auto"/>
          <w:sz w:val="32"/>
          <w:szCs w:val="32"/>
        </w:rPr>
        <w:t>本标准发布后，建议由起草单位组织</w:t>
      </w:r>
      <w:r>
        <w:rPr>
          <w:rFonts w:hint="eastAsia" w:ascii="仿宋_GB2312" w:hAnsi="宋体" w:eastAsia="仿宋_GB2312"/>
          <w:color w:val="auto"/>
          <w:sz w:val="32"/>
          <w:szCs w:val="32"/>
          <w:lang w:eastAsia="zh-CN"/>
        </w:rPr>
        <w:t>宣传和</w:t>
      </w:r>
      <w:r>
        <w:rPr>
          <w:rFonts w:hint="eastAsia" w:ascii="仿宋_GB2312" w:hAnsi="宋体" w:eastAsia="仿宋_GB2312"/>
          <w:color w:val="auto"/>
          <w:sz w:val="32"/>
          <w:szCs w:val="32"/>
        </w:rPr>
        <w:t>实施，由提出单位实施监督。建议由标准提出单位和起草单位邀请标准相关单位、媒体等召开标准发布会，对标准进行宣传推广；建议由起草单位组织相关人员</w:t>
      </w:r>
      <w:r>
        <w:rPr>
          <w:rFonts w:hint="eastAsia" w:ascii="仿宋_GB2312" w:hAnsi="宋体" w:eastAsia="仿宋_GB2312"/>
          <w:color w:val="auto"/>
          <w:sz w:val="32"/>
          <w:szCs w:val="32"/>
          <w:lang w:eastAsia="zh-CN"/>
        </w:rPr>
        <w:t>对该</w:t>
      </w:r>
      <w:r>
        <w:rPr>
          <w:rFonts w:hint="eastAsia" w:ascii="仿宋_GB2312" w:hAnsi="宋体" w:eastAsia="仿宋_GB2312"/>
          <w:color w:val="auto"/>
          <w:sz w:val="32"/>
          <w:szCs w:val="32"/>
        </w:rPr>
        <w:t>标准进行宣</w:t>
      </w:r>
      <w:r>
        <w:rPr>
          <w:rFonts w:hint="eastAsia" w:ascii="仿宋_GB2312" w:hAnsi="宋体" w:eastAsia="仿宋_GB2312"/>
          <w:color w:val="auto"/>
          <w:sz w:val="32"/>
          <w:szCs w:val="32"/>
          <w:lang w:eastAsia="zh-CN"/>
        </w:rPr>
        <w:t>传</w:t>
      </w:r>
      <w:r>
        <w:rPr>
          <w:rFonts w:hint="eastAsia" w:ascii="仿宋_GB2312" w:hAnsi="宋体" w:eastAsia="仿宋_GB2312"/>
          <w:color w:val="auto"/>
          <w:sz w:val="32"/>
          <w:szCs w:val="32"/>
        </w:rPr>
        <w:t>培训，对标准</w:t>
      </w:r>
      <w:r>
        <w:rPr>
          <w:rFonts w:hint="eastAsia" w:ascii="仿宋_GB2312" w:hAnsi="宋体" w:eastAsia="仿宋_GB2312"/>
          <w:color w:val="auto"/>
          <w:sz w:val="32"/>
          <w:szCs w:val="32"/>
          <w:lang w:eastAsia="zh-CN"/>
        </w:rPr>
        <w:t>规范逐条</w:t>
      </w:r>
      <w:r>
        <w:rPr>
          <w:rFonts w:hint="eastAsia" w:ascii="仿宋_GB2312" w:hAnsi="宋体" w:eastAsia="仿宋_GB2312"/>
          <w:color w:val="auto"/>
          <w:sz w:val="32"/>
          <w:szCs w:val="32"/>
        </w:rPr>
        <w:t>进行详细解读，让</w:t>
      </w:r>
      <w:r>
        <w:rPr>
          <w:rFonts w:hint="eastAsia" w:ascii="仿宋_GB2312" w:hAnsi="宋体" w:eastAsia="仿宋_GB2312"/>
          <w:color w:val="auto"/>
          <w:sz w:val="32"/>
          <w:szCs w:val="32"/>
          <w:lang w:val="en-US" w:eastAsia="zh-CN"/>
        </w:rPr>
        <w:t>相关单位</w:t>
      </w:r>
      <w:r>
        <w:rPr>
          <w:rFonts w:hint="eastAsia" w:ascii="仿宋_GB2312" w:hAnsi="宋体" w:eastAsia="仿宋_GB2312"/>
          <w:color w:val="auto"/>
          <w:sz w:val="32"/>
          <w:szCs w:val="32"/>
          <w:lang w:eastAsia="zh-CN"/>
        </w:rPr>
        <w:t>全面了解</w:t>
      </w:r>
      <w:r>
        <w:rPr>
          <w:rFonts w:hint="eastAsia" w:ascii="仿宋_GB2312" w:hAnsi="宋体" w:eastAsia="仿宋_GB2312"/>
          <w:color w:val="auto"/>
          <w:sz w:val="32"/>
          <w:szCs w:val="32"/>
          <w:lang w:val="en-US" w:eastAsia="zh-CN"/>
        </w:rPr>
        <w:t>桉树林下种植砂仁的</w:t>
      </w:r>
      <w:r>
        <w:rPr>
          <w:rFonts w:hint="eastAsia" w:ascii="仿宋_GB2312" w:hAnsi="宋体" w:eastAsia="仿宋_GB2312"/>
          <w:color w:val="auto"/>
          <w:sz w:val="32"/>
          <w:szCs w:val="32"/>
        </w:rPr>
        <w:t>标准</w:t>
      </w:r>
      <w:r>
        <w:rPr>
          <w:rFonts w:hint="eastAsia" w:ascii="仿宋_GB2312" w:hAnsi="宋体" w:eastAsia="仿宋_GB2312"/>
          <w:color w:val="auto"/>
          <w:sz w:val="32"/>
          <w:szCs w:val="32"/>
          <w:lang w:eastAsia="zh-CN"/>
        </w:rPr>
        <w:t>规范，便于该</w:t>
      </w:r>
      <w:r>
        <w:rPr>
          <w:rFonts w:hint="eastAsia" w:ascii="仿宋_GB2312" w:hAnsi="宋体" w:eastAsia="仿宋_GB2312"/>
          <w:color w:val="auto"/>
          <w:sz w:val="32"/>
          <w:szCs w:val="32"/>
        </w:rPr>
        <w:t>标准</w:t>
      </w:r>
      <w:r>
        <w:rPr>
          <w:rFonts w:hint="eastAsia" w:ascii="仿宋_GB2312" w:hAnsi="宋体" w:eastAsia="仿宋_GB2312"/>
          <w:color w:val="auto"/>
          <w:sz w:val="32"/>
          <w:szCs w:val="32"/>
          <w:lang w:eastAsia="zh-CN"/>
        </w:rPr>
        <w:t>推广实施</w:t>
      </w:r>
      <w:r>
        <w:rPr>
          <w:rFonts w:hint="eastAsia" w:ascii="仿宋_GB2312" w:hAnsi="宋体" w:eastAsia="仿宋_GB2312"/>
          <w:color w:val="auto"/>
          <w:sz w:val="32"/>
          <w:szCs w:val="32"/>
        </w:rPr>
        <w:t>。</w:t>
      </w:r>
    </w:p>
    <w:p w14:paraId="202091D6">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ascii="黑体" w:hAnsi="黑体" w:eastAsia="黑体" w:cs="黑体"/>
          <w:bCs/>
          <w:color w:val="auto"/>
          <w:sz w:val="32"/>
          <w:szCs w:val="32"/>
        </w:rPr>
      </w:pPr>
      <w:r>
        <w:rPr>
          <w:rFonts w:hint="eastAsia" w:ascii="黑体" w:hAnsi="黑体" w:eastAsia="黑体" w:cs="黑体"/>
          <w:bCs/>
          <w:color w:val="auto"/>
          <w:sz w:val="32"/>
          <w:szCs w:val="32"/>
          <w:lang w:val="en-US" w:eastAsia="zh-CN"/>
        </w:rPr>
        <w:t>九</w:t>
      </w:r>
      <w:r>
        <w:rPr>
          <w:rFonts w:hint="eastAsia" w:ascii="黑体" w:hAnsi="黑体" w:eastAsia="黑体" w:cs="黑体"/>
          <w:bCs/>
          <w:color w:val="auto"/>
          <w:sz w:val="32"/>
          <w:szCs w:val="32"/>
        </w:rPr>
        <w:t>、自我承诺</w:t>
      </w:r>
    </w:p>
    <w:p w14:paraId="31779F5A">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宋体" w:eastAsia="仿宋_GB2312"/>
          <w:color w:val="auto"/>
          <w:sz w:val="32"/>
          <w:szCs w:val="28"/>
          <w:lang w:val="zh-CN"/>
        </w:rPr>
      </w:pPr>
      <w:r>
        <w:rPr>
          <w:rFonts w:hint="eastAsia" w:ascii="仿宋_GB2312" w:hAnsi="宋体" w:eastAsia="仿宋_GB2312"/>
          <w:color w:val="auto"/>
          <w:sz w:val="32"/>
          <w:szCs w:val="28"/>
          <w:lang w:val="zh-CN"/>
        </w:rPr>
        <w:t>本标准内容与各项指标不低于强制性标准要求。</w:t>
      </w:r>
    </w:p>
    <w:p w14:paraId="2C5E4516">
      <w:pPr>
        <w:keepNext w:val="0"/>
        <w:keepLines w:val="0"/>
        <w:pageBreakBefore w:val="0"/>
        <w:kinsoku/>
        <w:wordWrap/>
        <w:overflowPunct/>
        <w:topLinePunct w:val="0"/>
        <w:autoSpaceDE/>
        <w:autoSpaceDN/>
        <w:bidi w:val="0"/>
        <w:adjustRightInd/>
        <w:snapToGrid/>
        <w:spacing w:line="580" w:lineRule="exact"/>
        <w:ind w:firstLine="560" w:firstLineChars="200"/>
        <w:textAlignment w:val="auto"/>
        <w:rPr>
          <w:rFonts w:hint="eastAsia" w:ascii="仿宋_GB2312" w:hAnsi="宋体" w:eastAsia="仿宋_GB2312"/>
          <w:color w:val="auto"/>
          <w:sz w:val="28"/>
          <w:szCs w:val="32"/>
          <w:lang w:val="zh-CN"/>
        </w:rPr>
      </w:pPr>
      <w:r>
        <w:rPr>
          <w:rFonts w:hint="eastAsia" w:ascii="仿宋_GB2312" w:hAnsi="宋体" w:eastAsia="仿宋_GB2312"/>
          <w:color w:val="auto"/>
          <w:sz w:val="28"/>
          <w:szCs w:val="32"/>
          <w:lang w:val="zh-CN"/>
        </w:rPr>
        <w:t xml:space="preserve">     </w:t>
      </w:r>
    </w:p>
    <w:p w14:paraId="614CA70B">
      <w:pPr>
        <w:keepNext w:val="0"/>
        <w:keepLines w:val="0"/>
        <w:pageBreakBefore w:val="0"/>
        <w:kinsoku/>
        <w:wordWrap/>
        <w:overflowPunct/>
        <w:topLinePunct w:val="0"/>
        <w:autoSpaceDE/>
        <w:autoSpaceDN/>
        <w:bidi w:val="0"/>
        <w:adjustRightInd/>
        <w:snapToGrid/>
        <w:spacing w:line="580" w:lineRule="exact"/>
        <w:ind w:firstLine="560" w:firstLineChars="200"/>
        <w:textAlignment w:val="auto"/>
        <w:rPr>
          <w:rFonts w:hint="eastAsia" w:ascii="仿宋_GB2312" w:hAnsi="宋体" w:eastAsia="仿宋_GB2312"/>
          <w:color w:val="auto"/>
          <w:sz w:val="28"/>
          <w:szCs w:val="32"/>
          <w:lang w:val="zh-CN"/>
        </w:rPr>
      </w:pPr>
    </w:p>
    <w:p w14:paraId="56C68298">
      <w:pPr>
        <w:keepNext w:val="0"/>
        <w:keepLines w:val="0"/>
        <w:pageBreakBefore w:val="0"/>
        <w:kinsoku/>
        <w:wordWrap/>
        <w:overflowPunct/>
        <w:topLinePunct w:val="0"/>
        <w:autoSpaceDE/>
        <w:autoSpaceDN/>
        <w:bidi w:val="0"/>
        <w:adjustRightInd/>
        <w:snapToGrid/>
        <w:spacing w:line="580" w:lineRule="exact"/>
        <w:ind w:firstLine="1400" w:firstLineChars="500"/>
        <w:textAlignment w:val="auto"/>
        <w:rPr>
          <w:rFonts w:ascii="仿宋_GB2312" w:hAnsi="宋体" w:eastAsia="仿宋_GB2312"/>
          <w:color w:val="auto"/>
          <w:sz w:val="32"/>
          <w:szCs w:val="28"/>
          <w:lang w:val="zh-CN"/>
        </w:rPr>
      </w:pPr>
      <w:r>
        <w:rPr>
          <w:rFonts w:hint="eastAsia" w:ascii="仿宋_GB2312" w:hAnsi="宋体" w:eastAsia="仿宋_GB2312"/>
          <w:color w:val="auto"/>
          <w:sz w:val="28"/>
          <w:szCs w:val="32"/>
          <w:lang w:val="zh-CN"/>
        </w:rPr>
        <w:t xml:space="preserve">  </w:t>
      </w:r>
      <w:r>
        <w:rPr>
          <w:rFonts w:hint="eastAsia" w:ascii="仿宋_GB2312" w:hAnsi="宋体" w:eastAsia="仿宋_GB2312"/>
          <w:color w:val="auto"/>
          <w:sz w:val="28"/>
          <w:szCs w:val="32"/>
          <w:lang w:val="en-US" w:eastAsia="zh-CN"/>
        </w:rPr>
        <w:t xml:space="preserve">           </w:t>
      </w:r>
      <w:r>
        <w:rPr>
          <w:rFonts w:ascii="仿宋_GB2312" w:hAnsi="宋体" w:eastAsia="仿宋_GB2312"/>
          <w:color w:val="auto"/>
          <w:sz w:val="28"/>
          <w:szCs w:val="32"/>
          <w:lang w:val="zh-CN"/>
        </w:rPr>
        <w:t xml:space="preserve"> </w:t>
      </w:r>
      <w:r>
        <w:rPr>
          <w:rFonts w:hint="eastAsia" w:ascii="仿宋_GB2312" w:hAnsi="宋体" w:eastAsia="仿宋_GB2312"/>
          <w:color w:val="auto"/>
          <w:sz w:val="32"/>
          <w:szCs w:val="28"/>
          <w:lang w:val="zh-CN"/>
        </w:rPr>
        <w:t>团体标准《</w:t>
      </w:r>
      <w:r>
        <w:rPr>
          <w:rFonts w:hint="eastAsia" w:ascii="仿宋_GB2312" w:hAnsi="宋体" w:eastAsia="仿宋_GB2312"/>
          <w:color w:val="auto"/>
          <w:sz w:val="32"/>
          <w:szCs w:val="28"/>
          <w:lang w:val="en-US" w:eastAsia="zh-CN"/>
        </w:rPr>
        <w:t>桉树林下种植砂仁技术规程</w:t>
      </w:r>
      <w:r>
        <w:rPr>
          <w:rFonts w:hint="eastAsia" w:ascii="仿宋_GB2312" w:hAnsi="宋体" w:eastAsia="仿宋_GB2312"/>
          <w:color w:val="auto"/>
          <w:sz w:val="32"/>
          <w:szCs w:val="28"/>
          <w:lang w:val="zh-CN"/>
        </w:rPr>
        <w:t>》</w:t>
      </w:r>
    </w:p>
    <w:p w14:paraId="7381E515">
      <w:pPr>
        <w:keepNext w:val="0"/>
        <w:keepLines w:val="0"/>
        <w:pageBreakBefore w:val="0"/>
        <w:kinsoku/>
        <w:wordWrap/>
        <w:overflowPunct/>
        <w:topLinePunct w:val="0"/>
        <w:autoSpaceDE/>
        <w:autoSpaceDN/>
        <w:bidi w:val="0"/>
        <w:adjustRightInd/>
        <w:snapToGrid/>
        <w:spacing w:line="580" w:lineRule="exact"/>
        <w:ind w:firstLine="5440" w:firstLineChars="1700"/>
        <w:textAlignment w:val="auto"/>
        <w:rPr>
          <w:rFonts w:ascii="仿宋_GB2312" w:hAnsi="宋体" w:eastAsia="仿宋_GB2312"/>
          <w:color w:val="auto"/>
          <w:sz w:val="32"/>
          <w:szCs w:val="28"/>
          <w:lang w:val="zh-CN"/>
        </w:rPr>
      </w:pPr>
      <w:r>
        <w:rPr>
          <w:rFonts w:hint="eastAsia" w:ascii="仿宋_GB2312" w:hAnsi="宋体" w:eastAsia="仿宋_GB2312"/>
          <w:color w:val="auto"/>
          <w:sz w:val="32"/>
          <w:szCs w:val="28"/>
          <w:lang w:val="zh-CN"/>
        </w:rPr>
        <w:t>标准编制小组</w:t>
      </w:r>
    </w:p>
    <w:p w14:paraId="1B9491F4">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宋体" w:eastAsia="仿宋_GB2312"/>
          <w:color w:val="auto"/>
          <w:sz w:val="32"/>
          <w:szCs w:val="28"/>
          <w:lang w:val="zh-CN"/>
        </w:rPr>
      </w:pPr>
      <w:r>
        <w:rPr>
          <w:rFonts w:hint="eastAsia" w:ascii="仿宋_GB2312" w:hAnsi="宋体" w:eastAsia="仿宋_GB2312"/>
          <w:color w:val="auto"/>
          <w:sz w:val="32"/>
          <w:szCs w:val="28"/>
          <w:lang w:val="zh-CN"/>
        </w:rPr>
        <w:t xml:space="preserve">                         </w:t>
      </w:r>
      <w:r>
        <w:rPr>
          <w:rFonts w:ascii="仿宋_GB2312" w:hAnsi="宋体" w:eastAsia="仿宋_GB2312"/>
          <w:color w:val="auto"/>
          <w:sz w:val="32"/>
          <w:szCs w:val="28"/>
          <w:lang w:val="zh-CN"/>
        </w:rPr>
        <w:t xml:space="preserve">   </w:t>
      </w:r>
      <w:r>
        <w:rPr>
          <w:rFonts w:hint="eastAsia" w:ascii="仿宋_GB2312" w:hAnsi="宋体" w:eastAsia="仿宋_GB2312"/>
          <w:color w:val="auto"/>
          <w:sz w:val="32"/>
          <w:szCs w:val="28"/>
          <w:lang w:val="zh-CN"/>
        </w:rPr>
        <w:t>202</w:t>
      </w:r>
      <w:r>
        <w:rPr>
          <w:rFonts w:hint="eastAsia" w:ascii="仿宋_GB2312" w:hAnsi="宋体" w:eastAsia="仿宋_GB2312"/>
          <w:color w:val="auto"/>
          <w:sz w:val="32"/>
          <w:szCs w:val="28"/>
          <w:lang w:val="en-US" w:eastAsia="zh-CN"/>
        </w:rPr>
        <w:t>4</w:t>
      </w:r>
      <w:r>
        <w:rPr>
          <w:rFonts w:hint="eastAsia" w:ascii="仿宋_GB2312" w:hAnsi="宋体" w:eastAsia="仿宋_GB2312"/>
          <w:color w:val="auto"/>
          <w:sz w:val="32"/>
          <w:szCs w:val="28"/>
          <w:lang w:val="zh-CN"/>
        </w:rPr>
        <w:t>年</w:t>
      </w:r>
      <w:r>
        <w:rPr>
          <w:rFonts w:hint="eastAsia" w:ascii="仿宋_GB2312" w:hAnsi="宋体" w:eastAsia="仿宋_GB2312"/>
          <w:color w:val="auto"/>
          <w:sz w:val="32"/>
          <w:szCs w:val="28"/>
          <w:lang w:val="en-US" w:eastAsia="zh-CN"/>
        </w:rPr>
        <w:t>10</w:t>
      </w:r>
      <w:r>
        <w:rPr>
          <w:rFonts w:hint="eastAsia" w:ascii="仿宋_GB2312" w:hAnsi="宋体" w:eastAsia="仿宋_GB2312"/>
          <w:color w:val="auto"/>
          <w:sz w:val="32"/>
          <w:szCs w:val="28"/>
          <w:lang w:val="zh-CN"/>
        </w:rPr>
        <w:t>月</w:t>
      </w:r>
      <w:r>
        <w:rPr>
          <w:rFonts w:hint="eastAsia" w:ascii="仿宋_GB2312" w:hAnsi="宋体" w:eastAsia="仿宋_GB2312"/>
          <w:color w:val="auto"/>
          <w:sz w:val="32"/>
          <w:szCs w:val="28"/>
          <w:lang w:val="en-US" w:eastAsia="zh-CN"/>
        </w:rPr>
        <w:t>30</w:t>
      </w:r>
      <w:r>
        <w:rPr>
          <w:rFonts w:hint="eastAsia" w:ascii="仿宋_GB2312" w:hAnsi="宋体" w:eastAsia="仿宋_GB2312"/>
          <w:color w:val="auto"/>
          <w:sz w:val="32"/>
          <w:szCs w:val="28"/>
          <w:lang w:val="zh-CN"/>
        </w:rPr>
        <w:t>日</w:t>
      </w:r>
    </w:p>
    <w:p w14:paraId="11225962">
      <w:pPr>
        <w:rPr>
          <w:rFonts w:hint="eastAsia" w:ascii="仿宋_GB2312" w:hAnsi="宋体" w:eastAsia="仿宋_GB2312"/>
          <w:color w:val="auto"/>
          <w:sz w:val="32"/>
          <w:szCs w:val="28"/>
          <w:lang w:val="zh-CN"/>
        </w:rPr>
      </w:pPr>
      <w:r>
        <w:rPr>
          <w:rFonts w:hint="eastAsia" w:ascii="仿宋_GB2312" w:hAnsi="宋体" w:eastAsia="仿宋_GB2312"/>
          <w:color w:val="auto"/>
          <w:sz w:val="32"/>
          <w:szCs w:val="28"/>
          <w:lang w:val="zh-CN"/>
        </w:rPr>
        <w:br w:type="page"/>
      </w:r>
    </w:p>
    <w:p w14:paraId="779A118F">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宋体" w:eastAsia="仿宋_GB2312"/>
          <w:color w:val="auto"/>
          <w:sz w:val="32"/>
          <w:szCs w:val="28"/>
          <w:lang w:val="zh-CN"/>
        </w:rPr>
        <w:sectPr>
          <w:footerReference r:id="rId3" w:type="default"/>
          <w:pgSz w:w="11906" w:h="16838"/>
          <w:pgMar w:top="2098" w:right="1474" w:bottom="1984" w:left="1587" w:header="851" w:footer="992" w:gutter="0"/>
          <w:pgNumType w:fmt="numberInDash"/>
          <w:cols w:space="0" w:num="1"/>
          <w:rtlGutter w:val="0"/>
          <w:docGrid w:type="lines" w:linePitch="312" w:charSpace="0"/>
        </w:sectPr>
      </w:pPr>
    </w:p>
    <w:tbl>
      <w:tblPr>
        <w:tblStyle w:val="11"/>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88"/>
        <w:gridCol w:w="1146"/>
        <w:gridCol w:w="1057"/>
        <w:gridCol w:w="864"/>
        <w:gridCol w:w="857"/>
        <w:gridCol w:w="857"/>
        <w:gridCol w:w="857"/>
        <w:gridCol w:w="857"/>
        <w:gridCol w:w="857"/>
        <w:gridCol w:w="857"/>
        <w:gridCol w:w="857"/>
        <w:gridCol w:w="857"/>
        <w:gridCol w:w="857"/>
        <w:gridCol w:w="857"/>
        <w:gridCol w:w="857"/>
        <w:gridCol w:w="858"/>
      </w:tblGrid>
      <w:tr w14:paraId="263823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14040" w:type="dxa"/>
            <w:gridSpan w:val="16"/>
            <w:tcBorders>
              <w:bottom w:val="single" w:color="auto" w:sz="4" w:space="0"/>
            </w:tcBorders>
            <w:shd w:val="clear" w:color="auto" w:fill="auto"/>
            <w:vAlign w:val="center"/>
          </w:tcPr>
          <w:p w14:paraId="151D41F2">
            <w:pPr>
              <w:keepNext w:val="0"/>
              <w:keepLines w:val="0"/>
              <w:widowControl/>
              <w:suppressLineNumbers w:val="0"/>
              <w:spacing w:before="0" w:beforeAutospacing="0" w:after="0" w:afterAutospacing="0"/>
              <w:ind w:left="0" w:right="0"/>
              <w:jc w:val="center"/>
              <w:textAlignment w:val="center"/>
              <w:rPr>
                <w:rFonts w:hint="default" w:asciiTheme="minorEastAsia" w:hAnsiTheme="minorEastAsia" w:eastAsiaTheme="minorEastAsia" w:cstheme="minorEastAsia"/>
                <w:i w:val="0"/>
                <w:iCs w:val="0"/>
                <w:color w:val="000000"/>
                <w:kern w:val="0"/>
                <w:sz w:val="21"/>
                <w:szCs w:val="21"/>
                <w:u w:val="none"/>
                <w:lang w:val="en-US" w:eastAsia="zh-CN" w:bidi="ar"/>
              </w:rPr>
            </w:pPr>
            <w:r>
              <w:rPr>
                <w:rFonts w:hint="eastAsia" w:ascii="黑体" w:hAnsi="黑体" w:eastAsia="黑体" w:cs="黑体"/>
                <w:i w:val="0"/>
                <w:iCs w:val="0"/>
                <w:color w:val="000000"/>
                <w:kern w:val="0"/>
                <w:sz w:val="28"/>
                <w:szCs w:val="28"/>
                <w:u w:val="none"/>
                <w:lang w:val="en-US" w:eastAsia="zh-CN" w:bidi="ar"/>
              </w:rPr>
              <w:t>附表  桉树林下套种砂仁生长性状调查统计表</w:t>
            </w:r>
          </w:p>
        </w:tc>
      </w:tr>
      <w:tr w14:paraId="0C456C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8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22B54A1">
            <w:pPr>
              <w:keepNext w:val="0"/>
              <w:keepLines w:val="0"/>
              <w:widowControl/>
              <w:suppressLineNumbers w:val="0"/>
              <w:spacing w:before="0" w:beforeAutospacing="0" w:after="0" w:afterAutospacing="0"/>
              <w:ind w:left="0" w:right="0"/>
              <w:jc w:val="center"/>
              <w:textAlignment w:val="center"/>
              <w:rPr>
                <w:rFonts w:hint="eastAsia" w:ascii="黑体" w:hAnsi="黑体" w:eastAsia="黑体" w:cs="黑体"/>
                <w:i w:val="0"/>
                <w:iCs w:val="0"/>
                <w:color w:val="000000"/>
                <w:kern w:val="0"/>
                <w:sz w:val="21"/>
                <w:szCs w:val="21"/>
                <w:u w:val="none"/>
                <w:lang w:val="en-US" w:eastAsia="zh-CN" w:bidi="ar"/>
              </w:rPr>
            </w:pPr>
            <w:r>
              <w:rPr>
                <w:rFonts w:hint="eastAsia" w:ascii="黑体" w:hAnsi="黑体" w:eastAsia="黑体" w:cs="黑体"/>
                <w:i w:val="0"/>
                <w:iCs w:val="0"/>
                <w:color w:val="000000"/>
                <w:kern w:val="0"/>
                <w:sz w:val="21"/>
                <w:szCs w:val="21"/>
                <w:u w:val="none"/>
                <w:lang w:val="en-US" w:eastAsia="zh-CN" w:bidi="ar"/>
              </w:rPr>
              <w:t>标准地号</w:t>
            </w:r>
          </w:p>
        </w:tc>
        <w:tc>
          <w:tcPr>
            <w:tcW w:w="114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12A7114">
            <w:pPr>
              <w:keepNext w:val="0"/>
              <w:keepLines w:val="0"/>
              <w:widowControl/>
              <w:suppressLineNumbers w:val="0"/>
              <w:spacing w:before="0" w:beforeAutospacing="0" w:after="0" w:afterAutospacing="0"/>
              <w:ind w:left="0" w:right="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株行距</w:t>
            </w:r>
            <w:r>
              <w:rPr>
                <w:rFonts w:hint="eastAsia" w:ascii="黑体" w:hAnsi="黑体" w:eastAsia="黑体" w:cs="黑体"/>
                <w:i w:val="0"/>
                <w:iCs w:val="0"/>
                <w:color w:val="000000"/>
                <w:kern w:val="0"/>
                <w:sz w:val="21"/>
                <w:szCs w:val="21"/>
                <w:u w:val="none"/>
                <w:lang w:val="en-US" w:eastAsia="zh-CN" w:bidi="ar"/>
              </w:rPr>
              <w:br w:type="textWrapping"/>
            </w:r>
            <w:r>
              <w:rPr>
                <w:rFonts w:hint="eastAsia" w:ascii="黑体" w:hAnsi="黑体" w:eastAsia="黑体" w:cs="黑体"/>
                <w:i w:val="0"/>
                <w:iCs w:val="0"/>
                <w:color w:val="000000"/>
                <w:kern w:val="0"/>
                <w:sz w:val="21"/>
                <w:szCs w:val="21"/>
                <w:u w:val="none"/>
                <w:lang w:val="en-US" w:eastAsia="zh-CN" w:bidi="ar"/>
              </w:rPr>
              <w:t>（m</w:t>
            </w:r>
            <w:r>
              <w:rPr>
                <w:rStyle w:val="56"/>
                <w:rFonts w:hint="eastAsia" w:ascii="黑体" w:hAnsi="黑体" w:eastAsia="黑体" w:cs="黑体"/>
                <w:sz w:val="21"/>
                <w:szCs w:val="21"/>
                <w:lang w:val="en-US" w:eastAsia="zh-CN" w:bidi="ar"/>
              </w:rPr>
              <w:t>×</w:t>
            </w:r>
            <w:r>
              <w:rPr>
                <w:rStyle w:val="57"/>
                <w:rFonts w:hint="eastAsia" w:ascii="黑体" w:hAnsi="黑体" w:eastAsia="黑体" w:cs="黑体"/>
                <w:sz w:val="21"/>
                <w:szCs w:val="21"/>
                <w:lang w:val="en-US" w:eastAsia="zh-CN" w:bidi="ar"/>
              </w:rPr>
              <w:t>m）</w:t>
            </w:r>
          </w:p>
        </w:tc>
        <w:tc>
          <w:tcPr>
            <w:tcW w:w="1057"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2DC3250E">
            <w:pPr>
              <w:keepNext w:val="0"/>
              <w:keepLines w:val="0"/>
              <w:widowControl/>
              <w:suppressLineNumbers w:val="0"/>
              <w:spacing w:before="0" w:beforeAutospacing="0" w:after="0" w:afterAutospacing="0"/>
              <w:ind w:left="0" w:right="0"/>
              <w:jc w:val="center"/>
              <w:textAlignment w:val="center"/>
              <w:rPr>
                <w:rFonts w:hint="eastAsia" w:ascii="黑体" w:hAnsi="黑体" w:eastAsia="黑体" w:cs="黑体"/>
                <w:i w:val="0"/>
                <w:iCs w:val="0"/>
                <w:color w:val="000000"/>
                <w:kern w:val="0"/>
                <w:sz w:val="21"/>
                <w:szCs w:val="21"/>
                <w:u w:val="none"/>
                <w:lang w:val="en-US" w:eastAsia="zh-CN" w:bidi="ar"/>
              </w:rPr>
            </w:pPr>
            <w:r>
              <w:rPr>
                <w:rFonts w:hint="eastAsia" w:ascii="黑体" w:hAnsi="黑体" w:eastAsia="黑体" w:cs="黑体"/>
                <w:i w:val="0"/>
                <w:iCs w:val="0"/>
                <w:color w:val="000000"/>
                <w:kern w:val="0"/>
                <w:sz w:val="21"/>
                <w:szCs w:val="21"/>
                <w:u w:val="none"/>
                <w:lang w:val="en-US" w:eastAsia="zh-CN" w:bidi="ar"/>
              </w:rPr>
              <w:t>密度</w:t>
            </w:r>
          </w:p>
          <w:p w14:paraId="5E1B7ADD">
            <w:pPr>
              <w:keepNext w:val="0"/>
              <w:keepLines w:val="0"/>
              <w:widowControl/>
              <w:suppressLineNumbers w:val="0"/>
              <w:spacing w:before="0" w:beforeAutospacing="0" w:after="0" w:afterAutospacing="0"/>
              <w:ind w:left="0" w:right="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（株/亩）</w:t>
            </w:r>
          </w:p>
        </w:tc>
        <w:tc>
          <w:tcPr>
            <w:tcW w:w="864"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51BF3F8B">
            <w:pPr>
              <w:keepNext w:val="0"/>
              <w:keepLines w:val="0"/>
              <w:widowControl/>
              <w:suppressLineNumbers w:val="0"/>
              <w:spacing w:before="0" w:beforeAutospacing="0" w:after="0" w:afterAutospacing="0"/>
              <w:ind w:left="0" w:right="0"/>
              <w:jc w:val="center"/>
              <w:textAlignment w:val="center"/>
              <w:rPr>
                <w:rFonts w:hint="eastAsia" w:ascii="黑体" w:hAnsi="黑体" w:eastAsia="黑体" w:cs="黑体"/>
                <w:i w:val="0"/>
                <w:iCs w:val="0"/>
                <w:color w:val="000000"/>
                <w:kern w:val="0"/>
                <w:sz w:val="21"/>
                <w:szCs w:val="21"/>
                <w:u w:val="none"/>
                <w:lang w:val="en-US" w:eastAsia="zh-CN" w:bidi="ar"/>
              </w:rPr>
            </w:pPr>
            <w:r>
              <w:rPr>
                <w:rFonts w:hint="eastAsia" w:ascii="黑体" w:hAnsi="黑体" w:eastAsia="黑体" w:cs="黑体"/>
                <w:i w:val="0"/>
                <w:iCs w:val="0"/>
                <w:color w:val="000000"/>
                <w:kern w:val="0"/>
                <w:sz w:val="21"/>
                <w:szCs w:val="21"/>
                <w:u w:val="none"/>
                <w:lang w:val="en-US" w:eastAsia="zh-CN" w:bidi="ar"/>
              </w:rPr>
              <w:t>施肥量</w:t>
            </w:r>
          </w:p>
          <w:p w14:paraId="58107895">
            <w:pPr>
              <w:keepNext w:val="0"/>
              <w:keepLines w:val="0"/>
              <w:widowControl/>
              <w:suppressLineNumbers w:val="0"/>
              <w:spacing w:before="0" w:beforeAutospacing="0" w:after="0" w:afterAutospacing="0"/>
              <w:ind w:left="0" w:right="0"/>
              <w:jc w:val="center"/>
              <w:textAlignment w:val="center"/>
              <w:rPr>
                <w:rFonts w:hint="default" w:ascii="黑体" w:hAnsi="黑体" w:eastAsia="黑体" w:cs="黑体"/>
                <w:i w:val="0"/>
                <w:iCs w:val="0"/>
                <w:color w:val="000000"/>
                <w:kern w:val="0"/>
                <w:sz w:val="21"/>
                <w:szCs w:val="21"/>
                <w:u w:val="none"/>
                <w:lang w:val="en-US" w:eastAsia="zh-CN" w:bidi="ar"/>
              </w:rPr>
            </w:pPr>
            <w:r>
              <w:rPr>
                <w:rFonts w:hint="eastAsia" w:ascii="黑体" w:hAnsi="黑体" w:eastAsia="黑体" w:cs="黑体"/>
                <w:i w:val="0"/>
                <w:iCs w:val="0"/>
                <w:color w:val="000000"/>
                <w:kern w:val="0"/>
                <w:sz w:val="21"/>
                <w:szCs w:val="21"/>
                <w:u w:val="none"/>
                <w:lang w:val="en-US" w:eastAsia="zh-CN" w:bidi="ar"/>
              </w:rPr>
              <w:t>（kg）</w:t>
            </w:r>
          </w:p>
        </w:tc>
        <w:tc>
          <w:tcPr>
            <w:tcW w:w="257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2DD7A69C">
            <w:pPr>
              <w:keepNext w:val="0"/>
              <w:keepLines w:val="0"/>
              <w:widowControl/>
              <w:suppressLineNumbers w:val="0"/>
              <w:spacing w:before="0" w:beforeAutospacing="0" w:after="0" w:afterAutospacing="0"/>
              <w:ind w:left="0" w:right="0"/>
              <w:jc w:val="center"/>
              <w:textAlignment w:val="center"/>
              <w:rPr>
                <w:rFonts w:hint="eastAsia" w:ascii="黑体" w:hAnsi="黑体" w:eastAsia="黑体" w:cs="黑体"/>
                <w:i w:val="0"/>
                <w:iCs w:val="0"/>
                <w:color w:val="000000"/>
                <w:sz w:val="21"/>
                <w:szCs w:val="21"/>
                <w:u w:val="none"/>
                <w:lang w:val="en-US"/>
              </w:rPr>
            </w:pPr>
            <w:r>
              <w:rPr>
                <w:rFonts w:hint="eastAsia" w:ascii="黑体" w:hAnsi="黑体" w:eastAsia="黑体" w:cs="黑体"/>
                <w:i w:val="0"/>
                <w:iCs w:val="0"/>
                <w:color w:val="000000"/>
                <w:kern w:val="0"/>
                <w:sz w:val="21"/>
                <w:szCs w:val="21"/>
                <w:u w:val="none"/>
                <w:lang w:val="en-US" w:eastAsia="zh-CN" w:bidi="ar"/>
              </w:rPr>
              <w:t>第一次调查</w:t>
            </w:r>
          </w:p>
        </w:tc>
        <w:tc>
          <w:tcPr>
            <w:tcW w:w="257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7F7096FC">
            <w:pPr>
              <w:keepNext w:val="0"/>
              <w:keepLines w:val="0"/>
              <w:widowControl/>
              <w:suppressLineNumbers w:val="0"/>
              <w:spacing w:before="0" w:beforeAutospacing="0" w:after="0" w:afterAutospacing="0"/>
              <w:ind w:left="0" w:right="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第二次调查</w:t>
            </w:r>
          </w:p>
        </w:tc>
        <w:tc>
          <w:tcPr>
            <w:tcW w:w="257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6C166F23">
            <w:pPr>
              <w:keepNext w:val="0"/>
              <w:keepLines w:val="0"/>
              <w:widowControl/>
              <w:suppressLineNumbers w:val="0"/>
              <w:spacing w:before="0" w:beforeAutospacing="0" w:after="0" w:afterAutospacing="0"/>
              <w:ind w:left="0" w:right="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第三次调查</w:t>
            </w:r>
          </w:p>
        </w:tc>
        <w:tc>
          <w:tcPr>
            <w:tcW w:w="257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502CA1B3">
            <w:pPr>
              <w:keepNext w:val="0"/>
              <w:keepLines w:val="0"/>
              <w:widowControl/>
              <w:suppressLineNumbers w:val="0"/>
              <w:spacing w:before="0" w:beforeAutospacing="0" w:after="0" w:afterAutospacing="0"/>
              <w:ind w:left="0" w:right="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第四次调查</w:t>
            </w:r>
          </w:p>
        </w:tc>
      </w:tr>
      <w:tr w14:paraId="0AC322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 w:hRule="atLeast"/>
        </w:trPr>
        <w:tc>
          <w:tcPr>
            <w:tcW w:w="68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2A2D091">
            <w:pPr>
              <w:keepNext w:val="0"/>
              <w:keepLines w:val="0"/>
              <w:suppressLineNumbers w:val="0"/>
              <w:spacing w:before="0" w:beforeAutospacing="0" w:after="0" w:afterAutospacing="0"/>
              <w:ind w:left="0" w:right="0"/>
              <w:jc w:val="center"/>
              <w:rPr>
                <w:rFonts w:hint="eastAsia" w:ascii="黑体" w:hAnsi="黑体" w:eastAsia="黑体" w:cs="黑体"/>
                <w:i w:val="0"/>
                <w:iCs w:val="0"/>
                <w:color w:val="000000"/>
                <w:sz w:val="21"/>
                <w:szCs w:val="21"/>
                <w:u w:val="none"/>
              </w:rPr>
            </w:pPr>
          </w:p>
        </w:tc>
        <w:tc>
          <w:tcPr>
            <w:tcW w:w="114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454A5BD">
            <w:pPr>
              <w:keepNext w:val="0"/>
              <w:keepLines w:val="0"/>
              <w:suppressLineNumbers w:val="0"/>
              <w:spacing w:before="0" w:beforeAutospacing="0" w:after="0" w:afterAutospacing="0"/>
              <w:ind w:left="0" w:right="0"/>
              <w:jc w:val="center"/>
              <w:rPr>
                <w:rFonts w:hint="eastAsia" w:ascii="黑体" w:hAnsi="黑体" w:eastAsia="黑体" w:cs="黑体"/>
                <w:i w:val="0"/>
                <w:iCs w:val="0"/>
                <w:color w:val="000000"/>
                <w:sz w:val="21"/>
                <w:szCs w:val="21"/>
                <w:u w:val="none"/>
              </w:rPr>
            </w:pPr>
          </w:p>
        </w:tc>
        <w:tc>
          <w:tcPr>
            <w:tcW w:w="1057"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1411C074">
            <w:pPr>
              <w:keepNext w:val="0"/>
              <w:keepLines w:val="0"/>
              <w:suppressLineNumbers w:val="0"/>
              <w:spacing w:before="0" w:beforeAutospacing="0" w:after="0" w:afterAutospacing="0"/>
              <w:ind w:left="0" w:right="0"/>
              <w:jc w:val="center"/>
              <w:rPr>
                <w:rFonts w:hint="eastAsia" w:ascii="黑体" w:hAnsi="黑体" w:eastAsia="黑体" w:cs="黑体"/>
                <w:i w:val="0"/>
                <w:iCs w:val="0"/>
                <w:color w:val="000000"/>
                <w:sz w:val="21"/>
                <w:szCs w:val="21"/>
                <w:u w:val="none"/>
              </w:rPr>
            </w:pPr>
          </w:p>
        </w:tc>
        <w:tc>
          <w:tcPr>
            <w:tcW w:w="864"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5FDC4D1D">
            <w:pPr>
              <w:keepNext w:val="0"/>
              <w:keepLines w:val="0"/>
              <w:suppressLineNumbers w:val="0"/>
              <w:spacing w:before="0" w:beforeAutospacing="0" w:after="0" w:afterAutospacing="0"/>
              <w:ind w:left="0" w:right="0"/>
              <w:jc w:val="center"/>
              <w:rPr>
                <w:rFonts w:hint="eastAsia" w:ascii="黑体" w:hAnsi="黑体" w:eastAsia="黑体" w:cs="黑体"/>
                <w:i w:val="0"/>
                <w:iCs w:val="0"/>
                <w:color w:val="000000"/>
                <w:sz w:val="21"/>
                <w:szCs w:val="21"/>
                <w:u w:val="none"/>
              </w:rPr>
            </w:pPr>
          </w:p>
        </w:tc>
        <w:tc>
          <w:tcPr>
            <w:tcW w:w="8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E57AAEE">
            <w:pPr>
              <w:keepNext w:val="0"/>
              <w:keepLines w:val="0"/>
              <w:widowControl/>
              <w:suppressLineNumbers w:val="0"/>
              <w:spacing w:before="0" w:beforeAutospacing="0" w:after="0" w:afterAutospacing="0"/>
              <w:ind w:left="0" w:right="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苗高（cm）</w:t>
            </w:r>
          </w:p>
        </w:tc>
        <w:tc>
          <w:tcPr>
            <w:tcW w:w="8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46D777E">
            <w:pPr>
              <w:keepNext w:val="0"/>
              <w:keepLines w:val="0"/>
              <w:widowControl/>
              <w:suppressLineNumbers w:val="0"/>
              <w:spacing w:before="0" w:beforeAutospacing="0" w:after="0" w:afterAutospacing="0"/>
              <w:ind w:left="0" w:right="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地径（mm）</w:t>
            </w:r>
          </w:p>
        </w:tc>
        <w:tc>
          <w:tcPr>
            <w:tcW w:w="8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B6F8F44">
            <w:pPr>
              <w:keepNext w:val="0"/>
              <w:keepLines w:val="0"/>
              <w:widowControl/>
              <w:suppressLineNumbers w:val="0"/>
              <w:spacing w:before="0" w:beforeAutospacing="0" w:after="0" w:afterAutospacing="0"/>
              <w:ind w:left="0" w:right="0"/>
              <w:jc w:val="center"/>
              <w:textAlignment w:val="center"/>
              <w:rPr>
                <w:rFonts w:hint="eastAsia" w:ascii="黑体" w:hAnsi="黑体" w:eastAsia="黑体" w:cs="黑体"/>
                <w:i w:val="0"/>
                <w:iCs w:val="0"/>
                <w:color w:val="000000"/>
                <w:kern w:val="0"/>
                <w:sz w:val="21"/>
                <w:szCs w:val="21"/>
                <w:u w:val="none"/>
                <w:lang w:val="en-US" w:eastAsia="zh-CN" w:bidi="ar"/>
              </w:rPr>
            </w:pPr>
            <w:r>
              <w:rPr>
                <w:rFonts w:hint="eastAsia" w:ascii="黑体" w:hAnsi="黑体" w:eastAsia="黑体" w:cs="黑体"/>
                <w:i w:val="0"/>
                <w:iCs w:val="0"/>
                <w:color w:val="000000"/>
                <w:kern w:val="0"/>
                <w:sz w:val="21"/>
                <w:szCs w:val="21"/>
                <w:u w:val="none"/>
                <w:lang w:val="en-US" w:eastAsia="zh-CN" w:bidi="ar"/>
              </w:rPr>
              <w:t>萌芽</w:t>
            </w:r>
          </w:p>
          <w:p w14:paraId="187CE782">
            <w:pPr>
              <w:keepNext w:val="0"/>
              <w:keepLines w:val="0"/>
              <w:widowControl/>
              <w:suppressLineNumbers w:val="0"/>
              <w:spacing w:before="0" w:beforeAutospacing="0" w:after="0" w:afterAutospacing="0"/>
              <w:ind w:left="0" w:right="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株数</w:t>
            </w:r>
          </w:p>
        </w:tc>
        <w:tc>
          <w:tcPr>
            <w:tcW w:w="8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E076176">
            <w:pPr>
              <w:keepNext w:val="0"/>
              <w:keepLines w:val="0"/>
              <w:widowControl/>
              <w:suppressLineNumbers w:val="0"/>
              <w:spacing w:before="0" w:beforeAutospacing="0" w:after="0" w:afterAutospacing="0"/>
              <w:ind w:left="0" w:right="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苗高（cm）</w:t>
            </w:r>
          </w:p>
        </w:tc>
        <w:tc>
          <w:tcPr>
            <w:tcW w:w="8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D5CD16F">
            <w:pPr>
              <w:keepNext w:val="0"/>
              <w:keepLines w:val="0"/>
              <w:widowControl/>
              <w:suppressLineNumbers w:val="0"/>
              <w:spacing w:before="0" w:beforeAutospacing="0" w:after="0" w:afterAutospacing="0"/>
              <w:ind w:left="0" w:right="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地径（mm）</w:t>
            </w:r>
          </w:p>
        </w:tc>
        <w:tc>
          <w:tcPr>
            <w:tcW w:w="8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61D2F4B">
            <w:pPr>
              <w:keepNext w:val="0"/>
              <w:keepLines w:val="0"/>
              <w:widowControl/>
              <w:suppressLineNumbers w:val="0"/>
              <w:spacing w:before="0" w:beforeAutospacing="0" w:after="0" w:afterAutospacing="0"/>
              <w:ind w:left="0" w:right="0"/>
              <w:jc w:val="center"/>
              <w:textAlignment w:val="center"/>
              <w:rPr>
                <w:rFonts w:hint="eastAsia" w:ascii="黑体" w:hAnsi="黑体" w:eastAsia="黑体" w:cs="黑体"/>
                <w:i w:val="0"/>
                <w:iCs w:val="0"/>
                <w:color w:val="000000"/>
                <w:kern w:val="0"/>
                <w:sz w:val="21"/>
                <w:szCs w:val="21"/>
                <w:u w:val="none"/>
                <w:lang w:val="en-US" w:eastAsia="zh-CN" w:bidi="ar"/>
              </w:rPr>
            </w:pPr>
            <w:r>
              <w:rPr>
                <w:rFonts w:hint="eastAsia" w:ascii="黑体" w:hAnsi="黑体" w:eastAsia="黑体" w:cs="黑体"/>
                <w:i w:val="0"/>
                <w:iCs w:val="0"/>
                <w:color w:val="000000"/>
                <w:kern w:val="0"/>
                <w:sz w:val="21"/>
                <w:szCs w:val="21"/>
                <w:u w:val="none"/>
                <w:lang w:val="en-US" w:eastAsia="zh-CN" w:bidi="ar"/>
              </w:rPr>
              <w:t>萌芽</w:t>
            </w:r>
          </w:p>
          <w:p w14:paraId="73F92661">
            <w:pPr>
              <w:keepNext w:val="0"/>
              <w:keepLines w:val="0"/>
              <w:widowControl/>
              <w:suppressLineNumbers w:val="0"/>
              <w:spacing w:before="0" w:beforeAutospacing="0" w:after="0" w:afterAutospacing="0"/>
              <w:ind w:left="0" w:right="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株数</w:t>
            </w:r>
          </w:p>
        </w:tc>
        <w:tc>
          <w:tcPr>
            <w:tcW w:w="8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329DF57">
            <w:pPr>
              <w:keepNext w:val="0"/>
              <w:keepLines w:val="0"/>
              <w:widowControl/>
              <w:suppressLineNumbers w:val="0"/>
              <w:spacing w:before="0" w:beforeAutospacing="0" w:after="0" w:afterAutospacing="0"/>
              <w:ind w:left="0" w:right="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苗高（cm）</w:t>
            </w:r>
          </w:p>
        </w:tc>
        <w:tc>
          <w:tcPr>
            <w:tcW w:w="8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63AB8FE">
            <w:pPr>
              <w:keepNext w:val="0"/>
              <w:keepLines w:val="0"/>
              <w:widowControl/>
              <w:suppressLineNumbers w:val="0"/>
              <w:spacing w:before="0" w:beforeAutospacing="0" w:after="0" w:afterAutospacing="0"/>
              <w:ind w:left="0" w:right="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地径（mm）</w:t>
            </w:r>
          </w:p>
        </w:tc>
        <w:tc>
          <w:tcPr>
            <w:tcW w:w="8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AEA0A71">
            <w:pPr>
              <w:keepNext w:val="0"/>
              <w:keepLines w:val="0"/>
              <w:widowControl/>
              <w:suppressLineNumbers w:val="0"/>
              <w:spacing w:before="0" w:beforeAutospacing="0" w:after="0" w:afterAutospacing="0"/>
              <w:ind w:left="0" w:right="0"/>
              <w:jc w:val="center"/>
              <w:textAlignment w:val="center"/>
              <w:rPr>
                <w:rFonts w:hint="eastAsia" w:ascii="黑体" w:hAnsi="黑体" w:eastAsia="黑体" w:cs="黑体"/>
                <w:i w:val="0"/>
                <w:iCs w:val="0"/>
                <w:color w:val="000000"/>
                <w:kern w:val="0"/>
                <w:sz w:val="21"/>
                <w:szCs w:val="21"/>
                <w:u w:val="none"/>
                <w:lang w:val="en-US" w:eastAsia="zh-CN" w:bidi="ar"/>
              </w:rPr>
            </w:pPr>
            <w:r>
              <w:rPr>
                <w:rFonts w:hint="eastAsia" w:ascii="黑体" w:hAnsi="黑体" w:eastAsia="黑体" w:cs="黑体"/>
                <w:i w:val="0"/>
                <w:iCs w:val="0"/>
                <w:color w:val="000000"/>
                <w:kern w:val="0"/>
                <w:sz w:val="21"/>
                <w:szCs w:val="21"/>
                <w:u w:val="none"/>
                <w:lang w:val="en-US" w:eastAsia="zh-CN" w:bidi="ar"/>
              </w:rPr>
              <w:t>萌芽</w:t>
            </w:r>
          </w:p>
          <w:p w14:paraId="31793CA6">
            <w:pPr>
              <w:keepNext w:val="0"/>
              <w:keepLines w:val="0"/>
              <w:widowControl/>
              <w:suppressLineNumbers w:val="0"/>
              <w:spacing w:before="0" w:beforeAutospacing="0" w:after="0" w:afterAutospacing="0"/>
              <w:ind w:left="0" w:right="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株数</w:t>
            </w:r>
          </w:p>
        </w:tc>
        <w:tc>
          <w:tcPr>
            <w:tcW w:w="8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F1F4963">
            <w:pPr>
              <w:keepNext w:val="0"/>
              <w:keepLines w:val="0"/>
              <w:widowControl/>
              <w:suppressLineNumbers w:val="0"/>
              <w:spacing w:before="0" w:beforeAutospacing="0" w:after="0" w:afterAutospacing="0"/>
              <w:ind w:left="0" w:right="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苗高（cm）</w:t>
            </w:r>
          </w:p>
        </w:tc>
        <w:tc>
          <w:tcPr>
            <w:tcW w:w="8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AB85CA7">
            <w:pPr>
              <w:keepNext w:val="0"/>
              <w:keepLines w:val="0"/>
              <w:widowControl/>
              <w:suppressLineNumbers w:val="0"/>
              <w:spacing w:before="0" w:beforeAutospacing="0" w:after="0" w:afterAutospacing="0"/>
              <w:ind w:left="0" w:right="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地径（mm）</w:t>
            </w:r>
          </w:p>
        </w:tc>
        <w:tc>
          <w:tcPr>
            <w:tcW w:w="8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A08D5B3">
            <w:pPr>
              <w:keepNext w:val="0"/>
              <w:keepLines w:val="0"/>
              <w:widowControl/>
              <w:suppressLineNumbers w:val="0"/>
              <w:spacing w:before="0" w:beforeAutospacing="0" w:after="0" w:afterAutospacing="0"/>
              <w:ind w:left="0" w:right="0"/>
              <w:jc w:val="center"/>
              <w:textAlignment w:val="center"/>
              <w:rPr>
                <w:rFonts w:hint="eastAsia" w:ascii="黑体" w:hAnsi="黑体" w:eastAsia="黑体" w:cs="黑体"/>
                <w:i w:val="0"/>
                <w:iCs w:val="0"/>
                <w:color w:val="000000"/>
                <w:kern w:val="0"/>
                <w:sz w:val="21"/>
                <w:szCs w:val="21"/>
                <w:u w:val="none"/>
                <w:lang w:val="en-US" w:eastAsia="zh-CN" w:bidi="ar"/>
              </w:rPr>
            </w:pPr>
            <w:r>
              <w:rPr>
                <w:rFonts w:hint="eastAsia" w:ascii="黑体" w:hAnsi="黑体" w:eastAsia="黑体" w:cs="黑体"/>
                <w:i w:val="0"/>
                <w:iCs w:val="0"/>
                <w:color w:val="000000"/>
                <w:kern w:val="0"/>
                <w:sz w:val="21"/>
                <w:szCs w:val="21"/>
                <w:u w:val="none"/>
                <w:lang w:val="en-US" w:eastAsia="zh-CN" w:bidi="ar"/>
              </w:rPr>
              <w:t>萌芽</w:t>
            </w:r>
          </w:p>
          <w:p w14:paraId="190DEB2C">
            <w:pPr>
              <w:keepNext w:val="0"/>
              <w:keepLines w:val="0"/>
              <w:widowControl/>
              <w:suppressLineNumbers w:val="0"/>
              <w:spacing w:before="0" w:beforeAutospacing="0" w:after="0" w:afterAutospacing="0"/>
              <w:ind w:left="0" w:right="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lang w:val="en-US" w:eastAsia="zh-CN" w:bidi="ar"/>
              </w:rPr>
              <w:t>株数</w:t>
            </w:r>
          </w:p>
        </w:tc>
      </w:tr>
      <w:tr w14:paraId="268C76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88" w:type="dxa"/>
            <w:tcBorders>
              <w:top w:val="single" w:color="auto" w:sz="4" w:space="0"/>
              <w:left w:val="single" w:color="auto" w:sz="4" w:space="0"/>
              <w:bottom w:val="single" w:color="auto" w:sz="4" w:space="0"/>
              <w:right w:val="single" w:color="auto" w:sz="4" w:space="0"/>
            </w:tcBorders>
            <w:shd w:val="clear" w:color="auto" w:fill="auto"/>
            <w:vAlign w:val="center"/>
          </w:tcPr>
          <w:p w14:paraId="15E52CA2">
            <w:pPr>
              <w:keepNext w:val="0"/>
              <w:keepLines w:val="0"/>
              <w:widowControl/>
              <w:suppressLineNumbers w:val="0"/>
              <w:spacing w:before="0" w:beforeAutospacing="0" w:after="0" w:afterAutospacing="0"/>
              <w:ind w:left="0" w:right="0"/>
              <w:jc w:val="center"/>
              <w:textAlignment w:val="top"/>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1-1</w:t>
            </w:r>
          </w:p>
        </w:tc>
        <w:tc>
          <w:tcPr>
            <w:tcW w:w="1146" w:type="dxa"/>
            <w:tcBorders>
              <w:top w:val="single" w:color="auto" w:sz="4" w:space="0"/>
              <w:left w:val="single" w:color="auto" w:sz="4" w:space="0"/>
              <w:bottom w:val="single" w:color="auto" w:sz="4" w:space="0"/>
              <w:right w:val="single" w:color="auto" w:sz="4" w:space="0"/>
            </w:tcBorders>
            <w:shd w:val="clear" w:color="auto" w:fill="auto"/>
            <w:vAlign w:val="center"/>
          </w:tcPr>
          <w:p w14:paraId="70A36F17">
            <w:pPr>
              <w:keepNext w:val="0"/>
              <w:keepLines w:val="0"/>
              <w:widowControl/>
              <w:suppressLineNumbers w:val="0"/>
              <w:spacing w:before="0" w:beforeAutospacing="0" w:after="0" w:afterAutospacing="0"/>
              <w:ind w:left="0" w:right="0"/>
              <w:jc w:val="center"/>
              <w:textAlignment w:val="top"/>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2×2</w:t>
            </w:r>
          </w:p>
        </w:tc>
        <w:tc>
          <w:tcPr>
            <w:tcW w:w="1057" w:type="dxa"/>
            <w:tcBorders>
              <w:top w:val="single" w:color="auto" w:sz="4" w:space="0"/>
              <w:left w:val="single" w:color="auto" w:sz="4" w:space="0"/>
              <w:bottom w:val="single" w:color="auto" w:sz="4" w:space="0"/>
              <w:right w:val="single" w:color="auto" w:sz="4" w:space="0"/>
            </w:tcBorders>
            <w:shd w:val="clear" w:color="auto" w:fill="auto"/>
            <w:vAlign w:val="center"/>
          </w:tcPr>
          <w:p w14:paraId="15C2DD11">
            <w:pPr>
              <w:keepNext w:val="0"/>
              <w:keepLines w:val="0"/>
              <w:widowControl/>
              <w:suppressLineNumbers w:val="0"/>
              <w:spacing w:before="0" w:beforeAutospacing="0" w:after="0" w:afterAutospacing="0"/>
              <w:ind w:left="0" w:right="0"/>
              <w:jc w:val="center"/>
              <w:textAlignment w:val="top"/>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167</w:t>
            </w:r>
          </w:p>
        </w:tc>
        <w:tc>
          <w:tcPr>
            <w:tcW w:w="864" w:type="dxa"/>
            <w:tcBorders>
              <w:top w:val="single" w:color="auto" w:sz="4" w:space="0"/>
              <w:left w:val="single" w:color="auto" w:sz="4" w:space="0"/>
              <w:bottom w:val="single" w:color="auto" w:sz="4" w:space="0"/>
              <w:right w:val="single" w:color="auto" w:sz="4" w:space="0"/>
            </w:tcBorders>
            <w:shd w:val="clear" w:color="auto" w:fill="auto"/>
            <w:vAlign w:val="center"/>
          </w:tcPr>
          <w:p w14:paraId="2C1E2397">
            <w:pPr>
              <w:keepNext w:val="0"/>
              <w:keepLines w:val="0"/>
              <w:widowControl/>
              <w:suppressLineNumbers w:val="0"/>
              <w:spacing w:before="0" w:beforeAutospacing="0" w:after="0" w:afterAutospacing="0"/>
              <w:ind w:left="0" w:right="0"/>
              <w:jc w:val="center"/>
              <w:textAlignment w:val="top"/>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0.5</w:t>
            </w:r>
          </w:p>
        </w:tc>
        <w:tc>
          <w:tcPr>
            <w:tcW w:w="8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31A6E3C">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37.9</w:t>
            </w:r>
          </w:p>
        </w:tc>
        <w:tc>
          <w:tcPr>
            <w:tcW w:w="8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9DD8078">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6.2</w:t>
            </w:r>
          </w:p>
        </w:tc>
        <w:tc>
          <w:tcPr>
            <w:tcW w:w="8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D74E4F1">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3</w:t>
            </w:r>
          </w:p>
        </w:tc>
        <w:tc>
          <w:tcPr>
            <w:tcW w:w="8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E758A0F">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64.1</w:t>
            </w:r>
          </w:p>
        </w:tc>
        <w:tc>
          <w:tcPr>
            <w:tcW w:w="8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9E52012">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7.3</w:t>
            </w:r>
          </w:p>
        </w:tc>
        <w:tc>
          <w:tcPr>
            <w:tcW w:w="8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561C6D8">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14</w:t>
            </w:r>
          </w:p>
        </w:tc>
        <w:tc>
          <w:tcPr>
            <w:tcW w:w="8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E0E97CB">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121.4</w:t>
            </w:r>
          </w:p>
        </w:tc>
        <w:tc>
          <w:tcPr>
            <w:tcW w:w="8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9EC2117">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11.0</w:t>
            </w:r>
          </w:p>
        </w:tc>
        <w:tc>
          <w:tcPr>
            <w:tcW w:w="8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505526C">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35</w:t>
            </w:r>
          </w:p>
        </w:tc>
        <w:tc>
          <w:tcPr>
            <w:tcW w:w="8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D8FA396">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162.9</w:t>
            </w:r>
          </w:p>
        </w:tc>
        <w:tc>
          <w:tcPr>
            <w:tcW w:w="8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2977AEF">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8.1</w:t>
            </w:r>
          </w:p>
        </w:tc>
        <w:tc>
          <w:tcPr>
            <w:tcW w:w="8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1B82AD5">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42</w:t>
            </w:r>
          </w:p>
        </w:tc>
      </w:tr>
      <w:tr w14:paraId="6E1AF1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88" w:type="dxa"/>
            <w:tcBorders>
              <w:top w:val="single" w:color="auto" w:sz="4" w:space="0"/>
              <w:left w:val="single" w:color="auto" w:sz="4" w:space="0"/>
              <w:bottom w:val="single" w:color="auto" w:sz="4" w:space="0"/>
              <w:right w:val="single" w:color="auto" w:sz="4" w:space="0"/>
            </w:tcBorders>
            <w:shd w:val="clear" w:color="auto" w:fill="auto"/>
            <w:vAlign w:val="center"/>
          </w:tcPr>
          <w:p w14:paraId="4DAB5E99">
            <w:pPr>
              <w:keepNext w:val="0"/>
              <w:keepLines w:val="0"/>
              <w:widowControl/>
              <w:suppressLineNumbers w:val="0"/>
              <w:spacing w:before="0" w:beforeAutospacing="0" w:after="0" w:afterAutospacing="0"/>
              <w:ind w:left="0" w:right="0"/>
              <w:jc w:val="center"/>
              <w:textAlignment w:val="top"/>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1-2</w:t>
            </w:r>
          </w:p>
        </w:tc>
        <w:tc>
          <w:tcPr>
            <w:tcW w:w="1146" w:type="dxa"/>
            <w:tcBorders>
              <w:top w:val="single" w:color="auto" w:sz="4" w:space="0"/>
              <w:left w:val="single" w:color="auto" w:sz="4" w:space="0"/>
              <w:bottom w:val="single" w:color="auto" w:sz="4" w:space="0"/>
              <w:right w:val="single" w:color="auto" w:sz="4" w:space="0"/>
            </w:tcBorders>
            <w:shd w:val="clear" w:color="auto" w:fill="auto"/>
            <w:vAlign w:val="center"/>
          </w:tcPr>
          <w:p w14:paraId="2C8F03BC">
            <w:pPr>
              <w:keepNext w:val="0"/>
              <w:keepLines w:val="0"/>
              <w:widowControl/>
              <w:suppressLineNumbers w:val="0"/>
              <w:spacing w:before="0" w:beforeAutospacing="0" w:after="0" w:afterAutospacing="0"/>
              <w:ind w:left="0" w:right="0"/>
              <w:jc w:val="center"/>
              <w:textAlignment w:val="top"/>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2×2</w:t>
            </w:r>
          </w:p>
        </w:tc>
        <w:tc>
          <w:tcPr>
            <w:tcW w:w="1057" w:type="dxa"/>
            <w:tcBorders>
              <w:top w:val="single" w:color="auto" w:sz="4" w:space="0"/>
              <w:left w:val="single" w:color="auto" w:sz="4" w:space="0"/>
              <w:bottom w:val="single" w:color="auto" w:sz="4" w:space="0"/>
              <w:right w:val="single" w:color="auto" w:sz="4" w:space="0"/>
            </w:tcBorders>
            <w:shd w:val="clear" w:color="auto" w:fill="auto"/>
            <w:vAlign w:val="center"/>
          </w:tcPr>
          <w:p w14:paraId="0D366CB8">
            <w:pPr>
              <w:keepNext w:val="0"/>
              <w:keepLines w:val="0"/>
              <w:widowControl/>
              <w:suppressLineNumbers w:val="0"/>
              <w:spacing w:before="0" w:beforeAutospacing="0" w:after="0" w:afterAutospacing="0"/>
              <w:ind w:left="0" w:right="0"/>
              <w:jc w:val="center"/>
              <w:textAlignment w:val="top"/>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167</w:t>
            </w:r>
          </w:p>
        </w:tc>
        <w:tc>
          <w:tcPr>
            <w:tcW w:w="864" w:type="dxa"/>
            <w:tcBorders>
              <w:top w:val="single" w:color="auto" w:sz="4" w:space="0"/>
              <w:left w:val="single" w:color="auto" w:sz="4" w:space="0"/>
              <w:bottom w:val="single" w:color="auto" w:sz="4" w:space="0"/>
              <w:right w:val="single" w:color="auto" w:sz="4" w:space="0"/>
            </w:tcBorders>
            <w:shd w:val="clear" w:color="auto" w:fill="auto"/>
            <w:vAlign w:val="center"/>
          </w:tcPr>
          <w:p w14:paraId="0F3873DA">
            <w:pPr>
              <w:keepNext w:val="0"/>
              <w:keepLines w:val="0"/>
              <w:widowControl/>
              <w:suppressLineNumbers w:val="0"/>
              <w:spacing w:before="0" w:beforeAutospacing="0" w:after="0" w:afterAutospacing="0"/>
              <w:ind w:left="0" w:right="0"/>
              <w:jc w:val="center"/>
              <w:textAlignment w:val="top"/>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0.5</w:t>
            </w:r>
          </w:p>
        </w:tc>
        <w:tc>
          <w:tcPr>
            <w:tcW w:w="8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DC4D2CB">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37.7</w:t>
            </w:r>
          </w:p>
        </w:tc>
        <w:tc>
          <w:tcPr>
            <w:tcW w:w="8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32318A3">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7.6</w:t>
            </w:r>
          </w:p>
        </w:tc>
        <w:tc>
          <w:tcPr>
            <w:tcW w:w="8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450BA6D">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w:t>
            </w:r>
          </w:p>
        </w:tc>
        <w:tc>
          <w:tcPr>
            <w:tcW w:w="8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727CE0B">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58.4</w:t>
            </w:r>
          </w:p>
        </w:tc>
        <w:tc>
          <w:tcPr>
            <w:tcW w:w="8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2A66292">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6.6</w:t>
            </w:r>
          </w:p>
        </w:tc>
        <w:tc>
          <w:tcPr>
            <w:tcW w:w="8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59342BC">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9</w:t>
            </w:r>
          </w:p>
        </w:tc>
        <w:tc>
          <w:tcPr>
            <w:tcW w:w="8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78F4CDD">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105.5</w:t>
            </w:r>
          </w:p>
        </w:tc>
        <w:tc>
          <w:tcPr>
            <w:tcW w:w="8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BF6832A">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9.9</w:t>
            </w:r>
          </w:p>
        </w:tc>
        <w:tc>
          <w:tcPr>
            <w:tcW w:w="8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B6922E7">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25</w:t>
            </w:r>
          </w:p>
        </w:tc>
        <w:tc>
          <w:tcPr>
            <w:tcW w:w="8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46291EE">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169.7</w:t>
            </w:r>
          </w:p>
        </w:tc>
        <w:tc>
          <w:tcPr>
            <w:tcW w:w="8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6EE68A6">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10.1</w:t>
            </w:r>
          </w:p>
        </w:tc>
        <w:tc>
          <w:tcPr>
            <w:tcW w:w="8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4DE55BE">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33</w:t>
            </w:r>
          </w:p>
        </w:tc>
      </w:tr>
      <w:tr w14:paraId="378E3B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88" w:type="dxa"/>
            <w:tcBorders>
              <w:top w:val="single" w:color="auto" w:sz="4" w:space="0"/>
              <w:left w:val="single" w:color="auto" w:sz="4" w:space="0"/>
              <w:bottom w:val="single" w:color="auto" w:sz="4" w:space="0"/>
              <w:right w:val="single" w:color="auto" w:sz="4" w:space="0"/>
            </w:tcBorders>
            <w:shd w:val="clear" w:color="auto" w:fill="auto"/>
            <w:vAlign w:val="center"/>
          </w:tcPr>
          <w:p w14:paraId="152A892C">
            <w:pPr>
              <w:keepNext w:val="0"/>
              <w:keepLines w:val="0"/>
              <w:widowControl/>
              <w:suppressLineNumbers w:val="0"/>
              <w:spacing w:before="0" w:beforeAutospacing="0" w:after="0" w:afterAutospacing="0"/>
              <w:ind w:left="0" w:right="0"/>
              <w:jc w:val="center"/>
              <w:textAlignment w:val="top"/>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1-3</w:t>
            </w:r>
          </w:p>
        </w:tc>
        <w:tc>
          <w:tcPr>
            <w:tcW w:w="1146" w:type="dxa"/>
            <w:tcBorders>
              <w:top w:val="single" w:color="auto" w:sz="4" w:space="0"/>
              <w:left w:val="single" w:color="auto" w:sz="4" w:space="0"/>
              <w:bottom w:val="single" w:color="auto" w:sz="4" w:space="0"/>
              <w:right w:val="single" w:color="auto" w:sz="4" w:space="0"/>
            </w:tcBorders>
            <w:shd w:val="clear" w:color="auto" w:fill="auto"/>
            <w:vAlign w:val="center"/>
          </w:tcPr>
          <w:p w14:paraId="4B259F2D">
            <w:pPr>
              <w:keepNext w:val="0"/>
              <w:keepLines w:val="0"/>
              <w:widowControl/>
              <w:suppressLineNumbers w:val="0"/>
              <w:spacing w:before="0" w:beforeAutospacing="0" w:after="0" w:afterAutospacing="0"/>
              <w:ind w:left="0" w:right="0"/>
              <w:jc w:val="center"/>
              <w:textAlignment w:val="top"/>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2×2</w:t>
            </w:r>
          </w:p>
        </w:tc>
        <w:tc>
          <w:tcPr>
            <w:tcW w:w="1057" w:type="dxa"/>
            <w:tcBorders>
              <w:top w:val="single" w:color="auto" w:sz="4" w:space="0"/>
              <w:left w:val="single" w:color="auto" w:sz="4" w:space="0"/>
              <w:bottom w:val="single" w:color="auto" w:sz="4" w:space="0"/>
              <w:right w:val="single" w:color="auto" w:sz="4" w:space="0"/>
            </w:tcBorders>
            <w:shd w:val="clear" w:color="auto" w:fill="auto"/>
            <w:vAlign w:val="center"/>
          </w:tcPr>
          <w:p w14:paraId="01C3A65E">
            <w:pPr>
              <w:keepNext w:val="0"/>
              <w:keepLines w:val="0"/>
              <w:widowControl/>
              <w:suppressLineNumbers w:val="0"/>
              <w:spacing w:before="0" w:beforeAutospacing="0" w:after="0" w:afterAutospacing="0"/>
              <w:ind w:left="0" w:right="0"/>
              <w:jc w:val="center"/>
              <w:textAlignment w:val="top"/>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167</w:t>
            </w:r>
          </w:p>
        </w:tc>
        <w:tc>
          <w:tcPr>
            <w:tcW w:w="864" w:type="dxa"/>
            <w:tcBorders>
              <w:top w:val="single" w:color="auto" w:sz="4" w:space="0"/>
              <w:left w:val="single" w:color="auto" w:sz="4" w:space="0"/>
              <w:bottom w:val="single" w:color="auto" w:sz="4" w:space="0"/>
              <w:right w:val="single" w:color="auto" w:sz="4" w:space="0"/>
            </w:tcBorders>
            <w:shd w:val="clear" w:color="auto" w:fill="auto"/>
            <w:vAlign w:val="center"/>
          </w:tcPr>
          <w:p w14:paraId="60208DAC">
            <w:pPr>
              <w:keepNext w:val="0"/>
              <w:keepLines w:val="0"/>
              <w:widowControl/>
              <w:suppressLineNumbers w:val="0"/>
              <w:spacing w:before="0" w:beforeAutospacing="0" w:after="0" w:afterAutospacing="0"/>
              <w:ind w:left="0" w:right="0"/>
              <w:jc w:val="center"/>
              <w:textAlignment w:val="top"/>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8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43FE2E0">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35.7</w:t>
            </w:r>
          </w:p>
        </w:tc>
        <w:tc>
          <w:tcPr>
            <w:tcW w:w="8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490BEAD">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6.0</w:t>
            </w:r>
          </w:p>
        </w:tc>
        <w:tc>
          <w:tcPr>
            <w:tcW w:w="8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3E72C82">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w:t>
            </w:r>
          </w:p>
        </w:tc>
        <w:tc>
          <w:tcPr>
            <w:tcW w:w="8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D66C481">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56.5</w:t>
            </w:r>
          </w:p>
        </w:tc>
        <w:tc>
          <w:tcPr>
            <w:tcW w:w="8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B4D5BBC">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7.9</w:t>
            </w:r>
          </w:p>
        </w:tc>
        <w:tc>
          <w:tcPr>
            <w:tcW w:w="8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2C7C9EA">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15</w:t>
            </w:r>
          </w:p>
        </w:tc>
        <w:tc>
          <w:tcPr>
            <w:tcW w:w="8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62B44CF">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91.2</w:t>
            </w:r>
          </w:p>
        </w:tc>
        <w:tc>
          <w:tcPr>
            <w:tcW w:w="8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53D74DD">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9.4</w:t>
            </w:r>
          </w:p>
        </w:tc>
        <w:tc>
          <w:tcPr>
            <w:tcW w:w="8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927BA34">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30</w:t>
            </w:r>
          </w:p>
        </w:tc>
        <w:tc>
          <w:tcPr>
            <w:tcW w:w="8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6834BFD">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174.0</w:t>
            </w:r>
          </w:p>
        </w:tc>
        <w:tc>
          <w:tcPr>
            <w:tcW w:w="8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0B0181F">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11.1</w:t>
            </w:r>
          </w:p>
        </w:tc>
        <w:tc>
          <w:tcPr>
            <w:tcW w:w="8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AA437CC">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39</w:t>
            </w:r>
          </w:p>
        </w:tc>
      </w:tr>
      <w:tr w14:paraId="031B26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88" w:type="dxa"/>
            <w:tcBorders>
              <w:top w:val="single" w:color="auto" w:sz="4" w:space="0"/>
              <w:left w:val="single" w:color="auto" w:sz="4" w:space="0"/>
              <w:bottom w:val="single" w:color="auto" w:sz="4" w:space="0"/>
              <w:right w:val="single" w:color="auto" w:sz="4" w:space="0"/>
            </w:tcBorders>
            <w:shd w:val="clear" w:color="auto" w:fill="auto"/>
            <w:vAlign w:val="center"/>
          </w:tcPr>
          <w:p w14:paraId="2BCB2A1F">
            <w:pPr>
              <w:keepNext w:val="0"/>
              <w:keepLines w:val="0"/>
              <w:widowControl/>
              <w:suppressLineNumbers w:val="0"/>
              <w:spacing w:before="0" w:beforeAutospacing="0" w:after="0" w:afterAutospacing="0"/>
              <w:ind w:left="0" w:right="0"/>
              <w:jc w:val="center"/>
              <w:textAlignment w:val="top"/>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1-4</w:t>
            </w:r>
          </w:p>
        </w:tc>
        <w:tc>
          <w:tcPr>
            <w:tcW w:w="1146" w:type="dxa"/>
            <w:tcBorders>
              <w:top w:val="single" w:color="auto" w:sz="4" w:space="0"/>
              <w:left w:val="single" w:color="auto" w:sz="4" w:space="0"/>
              <w:bottom w:val="single" w:color="auto" w:sz="4" w:space="0"/>
              <w:right w:val="single" w:color="auto" w:sz="4" w:space="0"/>
            </w:tcBorders>
            <w:shd w:val="clear" w:color="auto" w:fill="auto"/>
            <w:vAlign w:val="center"/>
          </w:tcPr>
          <w:p w14:paraId="5683D464">
            <w:pPr>
              <w:keepNext w:val="0"/>
              <w:keepLines w:val="0"/>
              <w:widowControl/>
              <w:suppressLineNumbers w:val="0"/>
              <w:spacing w:before="0" w:beforeAutospacing="0" w:after="0" w:afterAutospacing="0"/>
              <w:ind w:left="0" w:right="0"/>
              <w:jc w:val="center"/>
              <w:textAlignment w:val="top"/>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2×2</w:t>
            </w:r>
          </w:p>
        </w:tc>
        <w:tc>
          <w:tcPr>
            <w:tcW w:w="1057" w:type="dxa"/>
            <w:tcBorders>
              <w:top w:val="single" w:color="auto" w:sz="4" w:space="0"/>
              <w:left w:val="single" w:color="auto" w:sz="4" w:space="0"/>
              <w:bottom w:val="single" w:color="auto" w:sz="4" w:space="0"/>
              <w:right w:val="single" w:color="auto" w:sz="4" w:space="0"/>
            </w:tcBorders>
            <w:shd w:val="clear" w:color="auto" w:fill="auto"/>
            <w:vAlign w:val="center"/>
          </w:tcPr>
          <w:p w14:paraId="64992820">
            <w:pPr>
              <w:keepNext w:val="0"/>
              <w:keepLines w:val="0"/>
              <w:widowControl/>
              <w:suppressLineNumbers w:val="0"/>
              <w:spacing w:before="0" w:beforeAutospacing="0" w:after="0" w:afterAutospacing="0"/>
              <w:ind w:left="0" w:right="0"/>
              <w:jc w:val="center"/>
              <w:textAlignment w:val="top"/>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167</w:t>
            </w:r>
          </w:p>
        </w:tc>
        <w:tc>
          <w:tcPr>
            <w:tcW w:w="864" w:type="dxa"/>
            <w:tcBorders>
              <w:top w:val="single" w:color="auto" w:sz="4" w:space="0"/>
              <w:left w:val="single" w:color="auto" w:sz="4" w:space="0"/>
              <w:bottom w:val="single" w:color="auto" w:sz="4" w:space="0"/>
              <w:right w:val="single" w:color="auto" w:sz="4" w:space="0"/>
            </w:tcBorders>
            <w:shd w:val="clear" w:color="auto" w:fill="auto"/>
            <w:vAlign w:val="center"/>
          </w:tcPr>
          <w:p w14:paraId="40E60169">
            <w:pPr>
              <w:keepNext w:val="0"/>
              <w:keepLines w:val="0"/>
              <w:widowControl/>
              <w:suppressLineNumbers w:val="0"/>
              <w:spacing w:before="0" w:beforeAutospacing="0" w:after="0" w:afterAutospacing="0"/>
              <w:ind w:left="0" w:right="0"/>
              <w:jc w:val="center"/>
              <w:textAlignment w:val="top"/>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8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B1AB3DF">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40.8</w:t>
            </w:r>
          </w:p>
        </w:tc>
        <w:tc>
          <w:tcPr>
            <w:tcW w:w="8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BB5D5C4">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7.3</w:t>
            </w:r>
          </w:p>
        </w:tc>
        <w:tc>
          <w:tcPr>
            <w:tcW w:w="8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4F504C6">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w:t>
            </w:r>
          </w:p>
        </w:tc>
        <w:tc>
          <w:tcPr>
            <w:tcW w:w="8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22D2738">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52.3</w:t>
            </w:r>
          </w:p>
        </w:tc>
        <w:tc>
          <w:tcPr>
            <w:tcW w:w="8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C43BCD5">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8.3</w:t>
            </w:r>
          </w:p>
        </w:tc>
        <w:tc>
          <w:tcPr>
            <w:tcW w:w="8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335ACAC">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7</w:t>
            </w:r>
          </w:p>
        </w:tc>
        <w:tc>
          <w:tcPr>
            <w:tcW w:w="8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B2EC24E">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90.2</w:t>
            </w:r>
          </w:p>
        </w:tc>
        <w:tc>
          <w:tcPr>
            <w:tcW w:w="8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1C5861F">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8.0</w:t>
            </w:r>
          </w:p>
        </w:tc>
        <w:tc>
          <w:tcPr>
            <w:tcW w:w="8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6BD5056">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14</w:t>
            </w:r>
          </w:p>
        </w:tc>
        <w:tc>
          <w:tcPr>
            <w:tcW w:w="8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866CE2F">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149.0</w:t>
            </w:r>
          </w:p>
        </w:tc>
        <w:tc>
          <w:tcPr>
            <w:tcW w:w="8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716BE22">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8.9</w:t>
            </w:r>
          </w:p>
        </w:tc>
        <w:tc>
          <w:tcPr>
            <w:tcW w:w="8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6328C12">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29</w:t>
            </w:r>
          </w:p>
        </w:tc>
      </w:tr>
      <w:tr w14:paraId="074D8F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88" w:type="dxa"/>
            <w:tcBorders>
              <w:top w:val="single" w:color="auto" w:sz="4" w:space="0"/>
              <w:left w:val="single" w:color="auto" w:sz="4" w:space="0"/>
              <w:bottom w:val="single" w:color="auto" w:sz="4" w:space="0"/>
              <w:right w:val="single" w:color="auto" w:sz="4" w:space="0"/>
            </w:tcBorders>
            <w:shd w:val="clear" w:color="auto" w:fill="auto"/>
            <w:vAlign w:val="center"/>
          </w:tcPr>
          <w:p w14:paraId="12E0B08E">
            <w:pPr>
              <w:keepNext w:val="0"/>
              <w:keepLines w:val="0"/>
              <w:widowControl/>
              <w:suppressLineNumbers w:val="0"/>
              <w:spacing w:before="0" w:beforeAutospacing="0" w:after="0" w:afterAutospacing="0"/>
              <w:ind w:left="0" w:right="0"/>
              <w:jc w:val="center"/>
              <w:textAlignment w:val="top"/>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2-1</w:t>
            </w:r>
          </w:p>
        </w:tc>
        <w:tc>
          <w:tcPr>
            <w:tcW w:w="1146" w:type="dxa"/>
            <w:tcBorders>
              <w:top w:val="single" w:color="auto" w:sz="4" w:space="0"/>
              <w:left w:val="single" w:color="auto" w:sz="4" w:space="0"/>
              <w:bottom w:val="single" w:color="auto" w:sz="4" w:space="0"/>
              <w:right w:val="single" w:color="auto" w:sz="4" w:space="0"/>
            </w:tcBorders>
            <w:shd w:val="clear" w:color="auto" w:fill="auto"/>
            <w:vAlign w:val="center"/>
          </w:tcPr>
          <w:p w14:paraId="5727D8D6">
            <w:pPr>
              <w:keepNext w:val="0"/>
              <w:keepLines w:val="0"/>
              <w:widowControl/>
              <w:suppressLineNumbers w:val="0"/>
              <w:spacing w:before="0" w:beforeAutospacing="0" w:after="0" w:afterAutospacing="0"/>
              <w:ind w:left="0" w:right="0"/>
              <w:jc w:val="center"/>
              <w:textAlignment w:val="top"/>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1.5×1.5</w:t>
            </w:r>
          </w:p>
        </w:tc>
        <w:tc>
          <w:tcPr>
            <w:tcW w:w="1057" w:type="dxa"/>
            <w:tcBorders>
              <w:top w:val="single" w:color="auto" w:sz="4" w:space="0"/>
              <w:left w:val="single" w:color="auto" w:sz="4" w:space="0"/>
              <w:bottom w:val="single" w:color="auto" w:sz="4" w:space="0"/>
              <w:right w:val="single" w:color="auto" w:sz="4" w:space="0"/>
            </w:tcBorders>
            <w:shd w:val="clear" w:color="auto" w:fill="auto"/>
            <w:vAlign w:val="center"/>
          </w:tcPr>
          <w:p w14:paraId="6639EE6F">
            <w:pPr>
              <w:keepNext w:val="0"/>
              <w:keepLines w:val="0"/>
              <w:widowControl/>
              <w:suppressLineNumbers w:val="0"/>
              <w:spacing w:before="0" w:beforeAutospacing="0" w:after="0" w:afterAutospacing="0"/>
              <w:ind w:left="0" w:right="0"/>
              <w:jc w:val="center"/>
              <w:textAlignment w:val="top"/>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296</w:t>
            </w:r>
          </w:p>
        </w:tc>
        <w:tc>
          <w:tcPr>
            <w:tcW w:w="864" w:type="dxa"/>
            <w:tcBorders>
              <w:top w:val="single" w:color="auto" w:sz="4" w:space="0"/>
              <w:left w:val="single" w:color="auto" w:sz="4" w:space="0"/>
              <w:bottom w:val="single" w:color="auto" w:sz="4" w:space="0"/>
              <w:right w:val="single" w:color="auto" w:sz="4" w:space="0"/>
            </w:tcBorders>
            <w:shd w:val="clear" w:color="auto" w:fill="auto"/>
            <w:vAlign w:val="center"/>
          </w:tcPr>
          <w:p w14:paraId="2A853A6C">
            <w:pPr>
              <w:keepNext w:val="0"/>
              <w:keepLines w:val="0"/>
              <w:widowControl/>
              <w:suppressLineNumbers w:val="0"/>
              <w:spacing w:before="0" w:beforeAutospacing="0" w:after="0" w:afterAutospacing="0"/>
              <w:ind w:left="0" w:right="0"/>
              <w:jc w:val="center"/>
              <w:textAlignment w:val="top"/>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0.5</w:t>
            </w:r>
          </w:p>
        </w:tc>
        <w:tc>
          <w:tcPr>
            <w:tcW w:w="8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6C797EE">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36.5</w:t>
            </w:r>
          </w:p>
        </w:tc>
        <w:tc>
          <w:tcPr>
            <w:tcW w:w="8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E28651D">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5.0</w:t>
            </w:r>
          </w:p>
        </w:tc>
        <w:tc>
          <w:tcPr>
            <w:tcW w:w="8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5F1F7AA">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w:t>
            </w:r>
          </w:p>
        </w:tc>
        <w:tc>
          <w:tcPr>
            <w:tcW w:w="8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4474487">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60.1</w:t>
            </w:r>
          </w:p>
        </w:tc>
        <w:tc>
          <w:tcPr>
            <w:tcW w:w="8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46FC4AE">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9.5</w:t>
            </w:r>
          </w:p>
        </w:tc>
        <w:tc>
          <w:tcPr>
            <w:tcW w:w="8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72E2552">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11</w:t>
            </w:r>
          </w:p>
        </w:tc>
        <w:tc>
          <w:tcPr>
            <w:tcW w:w="8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A65D744">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121.9</w:t>
            </w:r>
          </w:p>
        </w:tc>
        <w:tc>
          <w:tcPr>
            <w:tcW w:w="8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E56C8CA">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10.5</w:t>
            </w:r>
          </w:p>
        </w:tc>
        <w:tc>
          <w:tcPr>
            <w:tcW w:w="8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0BD440C">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32</w:t>
            </w:r>
          </w:p>
        </w:tc>
        <w:tc>
          <w:tcPr>
            <w:tcW w:w="8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76F6FA5">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178.5</w:t>
            </w:r>
          </w:p>
        </w:tc>
        <w:tc>
          <w:tcPr>
            <w:tcW w:w="8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89248EA">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11.7</w:t>
            </w:r>
          </w:p>
        </w:tc>
        <w:tc>
          <w:tcPr>
            <w:tcW w:w="8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A9CB0AB">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38</w:t>
            </w:r>
          </w:p>
        </w:tc>
      </w:tr>
      <w:tr w14:paraId="13BE55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88" w:type="dxa"/>
            <w:tcBorders>
              <w:top w:val="single" w:color="auto" w:sz="4" w:space="0"/>
              <w:left w:val="single" w:color="auto" w:sz="4" w:space="0"/>
              <w:bottom w:val="single" w:color="auto" w:sz="4" w:space="0"/>
              <w:right w:val="single" w:color="auto" w:sz="4" w:space="0"/>
            </w:tcBorders>
            <w:shd w:val="clear" w:color="auto" w:fill="auto"/>
            <w:vAlign w:val="center"/>
          </w:tcPr>
          <w:p w14:paraId="2E2804C5">
            <w:pPr>
              <w:keepNext w:val="0"/>
              <w:keepLines w:val="0"/>
              <w:widowControl/>
              <w:suppressLineNumbers w:val="0"/>
              <w:spacing w:before="0" w:beforeAutospacing="0" w:after="0" w:afterAutospacing="0"/>
              <w:ind w:left="0" w:right="0"/>
              <w:jc w:val="center"/>
              <w:textAlignment w:val="top"/>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2-2</w:t>
            </w:r>
          </w:p>
        </w:tc>
        <w:tc>
          <w:tcPr>
            <w:tcW w:w="1146" w:type="dxa"/>
            <w:tcBorders>
              <w:top w:val="single" w:color="auto" w:sz="4" w:space="0"/>
              <w:left w:val="single" w:color="auto" w:sz="4" w:space="0"/>
              <w:bottom w:val="single" w:color="auto" w:sz="4" w:space="0"/>
              <w:right w:val="single" w:color="auto" w:sz="4" w:space="0"/>
            </w:tcBorders>
            <w:shd w:val="clear" w:color="auto" w:fill="auto"/>
            <w:vAlign w:val="center"/>
          </w:tcPr>
          <w:p w14:paraId="1E772672">
            <w:pPr>
              <w:keepNext w:val="0"/>
              <w:keepLines w:val="0"/>
              <w:widowControl/>
              <w:suppressLineNumbers w:val="0"/>
              <w:spacing w:before="0" w:beforeAutospacing="0" w:after="0" w:afterAutospacing="0"/>
              <w:ind w:left="0" w:right="0"/>
              <w:jc w:val="center"/>
              <w:textAlignment w:val="top"/>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1.5×1.5</w:t>
            </w:r>
          </w:p>
        </w:tc>
        <w:tc>
          <w:tcPr>
            <w:tcW w:w="1057" w:type="dxa"/>
            <w:tcBorders>
              <w:top w:val="single" w:color="auto" w:sz="4" w:space="0"/>
              <w:left w:val="single" w:color="auto" w:sz="4" w:space="0"/>
              <w:bottom w:val="single" w:color="auto" w:sz="4" w:space="0"/>
              <w:right w:val="single" w:color="auto" w:sz="4" w:space="0"/>
            </w:tcBorders>
            <w:shd w:val="clear" w:color="auto" w:fill="auto"/>
            <w:vAlign w:val="center"/>
          </w:tcPr>
          <w:p w14:paraId="11705B3B">
            <w:pPr>
              <w:keepNext w:val="0"/>
              <w:keepLines w:val="0"/>
              <w:widowControl/>
              <w:suppressLineNumbers w:val="0"/>
              <w:spacing w:before="0" w:beforeAutospacing="0" w:after="0" w:afterAutospacing="0"/>
              <w:ind w:left="0" w:right="0"/>
              <w:jc w:val="center"/>
              <w:textAlignment w:val="top"/>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296</w:t>
            </w:r>
          </w:p>
        </w:tc>
        <w:tc>
          <w:tcPr>
            <w:tcW w:w="864" w:type="dxa"/>
            <w:tcBorders>
              <w:top w:val="single" w:color="auto" w:sz="4" w:space="0"/>
              <w:left w:val="single" w:color="auto" w:sz="4" w:space="0"/>
              <w:bottom w:val="single" w:color="auto" w:sz="4" w:space="0"/>
              <w:right w:val="single" w:color="auto" w:sz="4" w:space="0"/>
            </w:tcBorders>
            <w:shd w:val="clear" w:color="auto" w:fill="auto"/>
            <w:vAlign w:val="center"/>
          </w:tcPr>
          <w:p w14:paraId="548B8874">
            <w:pPr>
              <w:keepNext w:val="0"/>
              <w:keepLines w:val="0"/>
              <w:widowControl/>
              <w:suppressLineNumbers w:val="0"/>
              <w:spacing w:before="0" w:beforeAutospacing="0" w:after="0" w:afterAutospacing="0"/>
              <w:ind w:left="0" w:right="0"/>
              <w:jc w:val="center"/>
              <w:textAlignment w:val="top"/>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0.5</w:t>
            </w:r>
          </w:p>
        </w:tc>
        <w:tc>
          <w:tcPr>
            <w:tcW w:w="8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5ABF3EB">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40.1</w:t>
            </w:r>
          </w:p>
        </w:tc>
        <w:tc>
          <w:tcPr>
            <w:tcW w:w="8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3304E9B">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5.4</w:t>
            </w:r>
          </w:p>
        </w:tc>
        <w:tc>
          <w:tcPr>
            <w:tcW w:w="8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36826CE">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w:t>
            </w:r>
          </w:p>
        </w:tc>
        <w:tc>
          <w:tcPr>
            <w:tcW w:w="8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95D4E15">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60.5</w:t>
            </w:r>
          </w:p>
        </w:tc>
        <w:tc>
          <w:tcPr>
            <w:tcW w:w="8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CAC8988">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9.3</w:t>
            </w:r>
          </w:p>
        </w:tc>
        <w:tc>
          <w:tcPr>
            <w:tcW w:w="8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D8F48C2">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12</w:t>
            </w:r>
          </w:p>
        </w:tc>
        <w:tc>
          <w:tcPr>
            <w:tcW w:w="8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5FEBF0C">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79.0</w:t>
            </w:r>
          </w:p>
        </w:tc>
        <w:tc>
          <w:tcPr>
            <w:tcW w:w="8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3368EE4">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8.8</w:t>
            </w:r>
          </w:p>
        </w:tc>
        <w:tc>
          <w:tcPr>
            <w:tcW w:w="8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19567AF">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16</w:t>
            </w:r>
          </w:p>
        </w:tc>
        <w:tc>
          <w:tcPr>
            <w:tcW w:w="8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AC27A79">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155.5</w:t>
            </w:r>
          </w:p>
        </w:tc>
        <w:tc>
          <w:tcPr>
            <w:tcW w:w="8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46E02A1">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10.8</w:t>
            </w:r>
          </w:p>
        </w:tc>
        <w:tc>
          <w:tcPr>
            <w:tcW w:w="8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F29CBD7">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26</w:t>
            </w:r>
          </w:p>
        </w:tc>
      </w:tr>
      <w:tr w14:paraId="0E8B90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88" w:type="dxa"/>
            <w:tcBorders>
              <w:top w:val="single" w:color="auto" w:sz="4" w:space="0"/>
              <w:left w:val="single" w:color="auto" w:sz="4" w:space="0"/>
              <w:bottom w:val="single" w:color="auto" w:sz="4" w:space="0"/>
              <w:right w:val="single" w:color="auto" w:sz="4" w:space="0"/>
            </w:tcBorders>
            <w:shd w:val="clear" w:color="auto" w:fill="auto"/>
            <w:vAlign w:val="center"/>
          </w:tcPr>
          <w:p w14:paraId="32E3C0D3">
            <w:pPr>
              <w:keepNext w:val="0"/>
              <w:keepLines w:val="0"/>
              <w:widowControl/>
              <w:suppressLineNumbers w:val="0"/>
              <w:spacing w:before="0" w:beforeAutospacing="0" w:after="0" w:afterAutospacing="0"/>
              <w:ind w:left="0" w:right="0"/>
              <w:jc w:val="center"/>
              <w:textAlignment w:val="top"/>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2-3</w:t>
            </w:r>
          </w:p>
        </w:tc>
        <w:tc>
          <w:tcPr>
            <w:tcW w:w="1146" w:type="dxa"/>
            <w:tcBorders>
              <w:top w:val="single" w:color="auto" w:sz="4" w:space="0"/>
              <w:left w:val="single" w:color="auto" w:sz="4" w:space="0"/>
              <w:bottom w:val="single" w:color="auto" w:sz="4" w:space="0"/>
              <w:right w:val="single" w:color="auto" w:sz="4" w:space="0"/>
            </w:tcBorders>
            <w:shd w:val="clear" w:color="auto" w:fill="auto"/>
            <w:vAlign w:val="center"/>
          </w:tcPr>
          <w:p w14:paraId="4240526C">
            <w:pPr>
              <w:keepNext w:val="0"/>
              <w:keepLines w:val="0"/>
              <w:widowControl/>
              <w:suppressLineNumbers w:val="0"/>
              <w:spacing w:before="0" w:beforeAutospacing="0" w:after="0" w:afterAutospacing="0"/>
              <w:ind w:left="0" w:right="0"/>
              <w:jc w:val="center"/>
              <w:textAlignment w:val="top"/>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1.5×1.5</w:t>
            </w:r>
          </w:p>
        </w:tc>
        <w:tc>
          <w:tcPr>
            <w:tcW w:w="1057" w:type="dxa"/>
            <w:tcBorders>
              <w:top w:val="single" w:color="auto" w:sz="4" w:space="0"/>
              <w:left w:val="single" w:color="auto" w:sz="4" w:space="0"/>
              <w:bottom w:val="single" w:color="auto" w:sz="4" w:space="0"/>
              <w:right w:val="single" w:color="auto" w:sz="4" w:space="0"/>
            </w:tcBorders>
            <w:shd w:val="clear" w:color="auto" w:fill="auto"/>
            <w:vAlign w:val="center"/>
          </w:tcPr>
          <w:p w14:paraId="71084228">
            <w:pPr>
              <w:keepNext w:val="0"/>
              <w:keepLines w:val="0"/>
              <w:widowControl/>
              <w:suppressLineNumbers w:val="0"/>
              <w:spacing w:before="0" w:beforeAutospacing="0" w:after="0" w:afterAutospacing="0"/>
              <w:ind w:left="0" w:right="0"/>
              <w:jc w:val="center"/>
              <w:textAlignment w:val="top"/>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296</w:t>
            </w:r>
          </w:p>
        </w:tc>
        <w:tc>
          <w:tcPr>
            <w:tcW w:w="864" w:type="dxa"/>
            <w:tcBorders>
              <w:top w:val="single" w:color="auto" w:sz="4" w:space="0"/>
              <w:left w:val="single" w:color="auto" w:sz="4" w:space="0"/>
              <w:bottom w:val="single" w:color="auto" w:sz="4" w:space="0"/>
              <w:right w:val="single" w:color="auto" w:sz="4" w:space="0"/>
            </w:tcBorders>
            <w:shd w:val="clear" w:color="auto" w:fill="auto"/>
            <w:vAlign w:val="center"/>
          </w:tcPr>
          <w:p w14:paraId="04FF78A5">
            <w:pPr>
              <w:keepNext w:val="0"/>
              <w:keepLines w:val="0"/>
              <w:widowControl/>
              <w:suppressLineNumbers w:val="0"/>
              <w:spacing w:before="0" w:beforeAutospacing="0" w:after="0" w:afterAutospacing="0"/>
              <w:ind w:left="0" w:right="0"/>
              <w:jc w:val="center"/>
              <w:textAlignment w:val="top"/>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8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0663C70">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34.1</w:t>
            </w:r>
          </w:p>
        </w:tc>
        <w:tc>
          <w:tcPr>
            <w:tcW w:w="8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7B7101A">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6.1</w:t>
            </w:r>
          </w:p>
        </w:tc>
        <w:tc>
          <w:tcPr>
            <w:tcW w:w="8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ABFCC68">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3</w:t>
            </w:r>
          </w:p>
        </w:tc>
        <w:tc>
          <w:tcPr>
            <w:tcW w:w="8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498AAC4">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60.6</w:t>
            </w:r>
          </w:p>
        </w:tc>
        <w:tc>
          <w:tcPr>
            <w:tcW w:w="8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67A09BB">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7.0</w:t>
            </w:r>
          </w:p>
        </w:tc>
        <w:tc>
          <w:tcPr>
            <w:tcW w:w="8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1998771">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10</w:t>
            </w:r>
          </w:p>
        </w:tc>
        <w:tc>
          <w:tcPr>
            <w:tcW w:w="8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8EFBE9D">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92.6</w:t>
            </w:r>
          </w:p>
        </w:tc>
        <w:tc>
          <w:tcPr>
            <w:tcW w:w="8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A7F9B6C">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7.4</w:t>
            </w:r>
          </w:p>
        </w:tc>
        <w:tc>
          <w:tcPr>
            <w:tcW w:w="8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64B5F78">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17</w:t>
            </w:r>
          </w:p>
        </w:tc>
        <w:tc>
          <w:tcPr>
            <w:tcW w:w="8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889F5C2">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162.5</w:t>
            </w:r>
          </w:p>
        </w:tc>
        <w:tc>
          <w:tcPr>
            <w:tcW w:w="8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3DC170B">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11.1</w:t>
            </w:r>
          </w:p>
        </w:tc>
        <w:tc>
          <w:tcPr>
            <w:tcW w:w="8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C8165D6">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43</w:t>
            </w:r>
          </w:p>
        </w:tc>
      </w:tr>
      <w:tr w14:paraId="7D0CE4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88" w:type="dxa"/>
            <w:tcBorders>
              <w:top w:val="single" w:color="auto" w:sz="4" w:space="0"/>
              <w:left w:val="single" w:color="auto" w:sz="4" w:space="0"/>
              <w:bottom w:val="single" w:color="auto" w:sz="4" w:space="0"/>
              <w:right w:val="single" w:color="auto" w:sz="4" w:space="0"/>
            </w:tcBorders>
            <w:shd w:val="clear" w:color="auto" w:fill="auto"/>
            <w:vAlign w:val="center"/>
          </w:tcPr>
          <w:p w14:paraId="66F79B1A">
            <w:pPr>
              <w:keepNext w:val="0"/>
              <w:keepLines w:val="0"/>
              <w:widowControl/>
              <w:suppressLineNumbers w:val="0"/>
              <w:spacing w:before="0" w:beforeAutospacing="0" w:after="0" w:afterAutospacing="0"/>
              <w:ind w:left="0" w:right="0"/>
              <w:jc w:val="center"/>
              <w:textAlignment w:val="top"/>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2-4</w:t>
            </w:r>
          </w:p>
        </w:tc>
        <w:tc>
          <w:tcPr>
            <w:tcW w:w="1146" w:type="dxa"/>
            <w:tcBorders>
              <w:top w:val="single" w:color="auto" w:sz="4" w:space="0"/>
              <w:left w:val="single" w:color="auto" w:sz="4" w:space="0"/>
              <w:bottom w:val="single" w:color="auto" w:sz="4" w:space="0"/>
              <w:right w:val="single" w:color="auto" w:sz="4" w:space="0"/>
            </w:tcBorders>
            <w:shd w:val="clear" w:color="auto" w:fill="auto"/>
            <w:vAlign w:val="center"/>
          </w:tcPr>
          <w:p w14:paraId="1FE27899">
            <w:pPr>
              <w:keepNext w:val="0"/>
              <w:keepLines w:val="0"/>
              <w:widowControl/>
              <w:suppressLineNumbers w:val="0"/>
              <w:spacing w:before="0" w:beforeAutospacing="0" w:after="0" w:afterAutospacing="0"/>
              <w:ind w:left="0" w:right="0"/>
              <w:jc w:val="center"/>
              <w:textAlignment w:val="top"/>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1.5×1.5</w:t>
            </w:r>
          </w:p>
        </w:tc>
        <w:tc>
          <w:tcPr>
            <w:tcW w:w="1057" w:type="dxa"/>
            <w:tcBorders>
              <w:top w:val="single" w:color="auto" w:sz="4" w:space="0"/>
              <w:left w:val="single" w:color="auto" w:sz="4" w:space="0"/>
              <w:bottom w:val="single" w:color="auto" w:sz="4" w:space="0"/>
              <w:right w:val="single" w:color="auto" w:sz="4" w:space="0"/>
            </w:tcBorders>
            <w:shd w:val="clear" w:color="auto" w:fill="auto"/>
            <w:vAlign w:val="center"/>
          </w:tcPr>
          <w:p w14:paraId="10B28940">
            <w:pPr>
              <w:keepNext w:val="0"/>
              <w:keepLines w:val="0"/>
              <w:widowControl/>
              <w:suppressLineNumbers w:val="0"/>
              <w:spacing w:before="0" w:beforeAutospacing="0" w:after="0" w:afterAutospacing="0"/>
              <w:ind w:left="0" w:right="0"/>
              <w:jc w:val="center"/>
              <w:textAlignment w:val="top"/>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296</w:t>
            </w:r>
          </w:p>
        </w:tc>
        <w:tc>
          <w:tcPr>
            <w:tcW w:w="864" w:type="dxa"/>
            <w:tcBorders>
              <w:top w:val="single" w:color="auto" w:sz="4" w:space="0"/>
              <w:left w:val="single" w:color="auto" w:sz="4" w:space="0"/>
              <w:bottom w:val="single" w:color="auto" w:sz="4" w:space="0"/>
              <w:right w:val="single" w:color="auto" w:sz="4" w:space="0"/>
            </w:tcBorders>
            <w:shd w:val="clear" w:color="auto" w:fill="auto"/>
            <w:vAlign w:val="center"/>
          </w:tcPr>
          <w:p w14:paraId="5F4FD64B">
            <w:pPr>
              <w:keepNext w:val="0"/>
              <w:keepLines w:val="0"/>
              <w:widowControl/>
              <w:suppressLineNumbers w:val="0"/>
              <w:spacing w:before="0" w:beforeAutospacing="0" w:after="0" w:afterAutospacing="0"/>
              <w:ind w:left="0" w:right="0"/>
              <w:jc w:val="center"/>
              <w:textAlignment w:val="top"/>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8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06557FC">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28.5</w:t>
            </w:r>
          </w:p>
        </w:tc>
        <w:tc>
          <w:tcPr>
            <w:tcW w:w="8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293F01E">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6.0</w:t>
            </w:r>
          </w:p>
        </w:tc>
        <w:tc>
          <w:tcPr>
            <w:tcW w:w="8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3E84A37">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w:t>
            </w:r>
          </w:p>
        </w:tc>
        <w:tc>
          <w:tcPr>
            <w:tcW w:w="8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A6C974E">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58.2</w:t>
            </w:r>
          </w:p>
        </w:tc>
        <w:tc>
          <w:tcPr>
            <w:tcW w:w="8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E14A053">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6.9</w:t>
            </w:r>
          </w:p>
        </w:tc>
        <w:tc>
          <w:tcPr>
            <w:tcW w:w="8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E47E901">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12</w:t>
            </w:r>
          </w:p>
        </w:tc>
        <w:tc>
          <w:tcPr>
            <w:tcW w:w="8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19A26F2">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88.9</w:t>
            </w:r>
          </w:p>
        </w:tc>
        <w:tc>
          <w:tcPr>
            <w:tcW w:w="8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3197FF5">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7.7</w:t>
            </w:r>
          </w:p>
        </w:tc>
        <w:tc>
          <w:tcPr>
            <w:tcW w:w="8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E195E7E">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18</w:t>
            </w:r>
          </w:p>
        </w:tc>
        <w:tc>
          <w:tcPr>
            <w:tcW w:w="8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7327470">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122.0</w:t>
            </w:r>
          </w:p>
        </w:tc>
        <w:tc>
          <w:tcPr>
            <w:tcW w:w="8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0B72E1E">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12.1</w:t>
            </w:r>
          </w:p>
        </w:tc>
        <w:tc>
          <w:tcPr>
            <w:tcW w:w="8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9D418DA">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23</w:t>
            </w:r>
          </w:p>
        </w:tc>
      </w:tr>
      <w:tr w14:paraId="25998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88" w:type="dxa"/>
            <w:tcBorders>
              <w:top w:val="single" w:color="auto" w:sz="4" w:space="0"/>
              <w:left w:val="single" w:color="auto" w:sz="4" w:space="0"/>
              <w:bottom w:val="single" w:color="auto" w:sz="4" w:space="0"/>
              <w:right w:val="single" w:color="auto" w:sz="4" w:space="0"/>
            </w:tcBorders>
            <w:shd w:val="clear" w:color="auto" w:fill="auto"/>
            <w:vAlign w:val="center"/>
          </w:tcPr>
          <w:p w14:paraId="423C4B1E">
            <w:pPr>
              <w:keepNext w:val="0"/>
              <w:keepLines w:val="0"/>
              <w:widowControl/>
              <w:suppressLineNumbers w:val="0"/>
              <w:spacing w:before="0" w:beforeAutospacing="0" w:after="0" w:afterAutospacing="0"/>
              <w:ind w:left="0" w:right="0"/>
              <w:jc w:val="center"/>
              <w:textAlignment w:val="top"/>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3-1</w:t>
            </w:r>
          </w:p>
        </w:tc>
        <w:tc>
          <w:tcPr>
            <w:tcW w:w="1146" w:type="dxa"/>
            <w:tcBorders>
              <w:top w:val="single" w:color="auto" w:sz="4" w:space="0"/>
              <w:left w:val="single" w:color="auto" w:sz="4" w:space="0"/>
              <w:bottom w:val="single" w:color="auto" w:sz="4" w:space="0"/>
              <w:right w:val="single" w:color="auto" w:sz="4" w:space="0"/>
            </w:tcBorders>
            <w:shd w:val="clear" w:color="auto" w:fill="auto"/>
            <w:vAlign w:val="center"/>
          </w:tcPr>
          <w:p w14:paraId="3B3C9C6C">
            <w:pPr>
              <w:keepNext w:val="0"/>
              <w:keepLines w:val="0"/>
              <w:widowControl/>
              <w:suppressLineNumbers w:val="0"/>
              <w:spacing w:before="0" w:beforeAutospacing="0" w:after="0" w:afterAutospacing="0"/>
              <w:ind w:left="0" w:right="0"/>
              <w:jc w:val="center"/>
              <w:textAlignment w:val="top"/>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1.0×1.5</w:t>
            </w:r>
          </w:p>
        </w:tc>
        <w:tc>
          <w:tcPr>
            <w:tcW w:w="1057" w:type="dxa"/>
            <w:tcBorders>
              <w:top w:val="single" w:color="auto" w:sz="4" w:space="0"/>
              <w:left w:val="single" w:color="auto" w:sz="4" w:space="0"/>
              <w:bottom w:val="single" w:color="auto" w:sz="4" w:space="0"/>
              <w:right w:val="single" w:color="auto" w:sz="4" w:space="0"/>
            </w:tcBorders>
            <w:shd w:val="clear" w:color="auto" w:fill="auto"/>
            <w:vAlign w:val="center"/>
          </w:tcPr>
          <w:p w14:paraId="6E29EF5F">
            <w:pPr>
              <w:keepNext w:val="0"/>
              <w:keepLines w:val="0"/>
              <w:widowControl/>
              <w:suppressLineNumbers w:val="0"/>
              <w:spacing w:before="0" w:beforeAutospacing="0" w:after="0" w:afterAutospacing="0"/>
              <w:ind w:left="0" w:right="0"/>
              <w:jc w:val="center"/>
              <w:textAlignment w:val="top"/>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445</w:t>
            </w:r>
          </w:p>
        </w:tc>
        <w:tc>
          <w:tcPr>
            <w:tcW w:w="864" w:type="dxa"/>
            <w:tcBorders>
              <w:top w:val="single" w:color="auto" w:sz="4" w:space="0"/>
              <w:left w:val="single" w:color="auto" w:sz="4" w:space="0"/>
              <w:bottom w:val="single" w:color="auto" w:sz="4" w:space="0"/>
              <w:right w:val="single" w:color="auto" w:sz="4" w:space="0"/>
            </w:tcBorders>
            <w:shd w:val="clear" w:color="auto" w:fill="auto"/>
            <w:vAlign w:val="center"/>
          </w:tcPr>
          <w:p w14:paraId="7395E66D">
            <w:pPr>
              <w:keepNext w:val="0"/>
              <w:keepLines w:val="0"/>
              <w:widowControl/>
              <w:suppressLineNumbers w:val="0"/>
              <w:spacing w:before="0" w:beforeAutospacing="0" w:after="0" w:afterAutospacing="0"/>
              <w:ind w:left="0" w:right="0"/>
              <w:jc w:val="center"/>
              <w:textAlignment w:val="top"/>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0.5</w:t>
            </w:r>
          </w:p>
        </w:tc>
        <w:tc>
          <w:tcPr>
            <w:tcW w:w="8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B22A452">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38.7</w:t>
            </w:r>
          </w:p>
        </w:tc>
        <w:tc>
          <w:tcPr>
            <w:tcW w:w="8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2D9FAD2">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7.5</w:t>
            </w:r>
          </w:p>
        </w:tc>
        <w:tc>
          <w:tcPr>
            <w:tcW w:w="8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F1B8B0A">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w:t>
            </w:r>
          </w:p>
        </w:tc>
        <w:tc>
          <w:tcPr>
            <w:tcW w:w="8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52DFC90">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73.3</w:t>
            </w:r>
          </w:p>
        </w:tc>
        <w:tc>
          <w:tcPr>
            <w:tcW w:w="8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225AEFA">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8.6</w:t>
            </w:r>
          </w:p>
        </w:tc>
        <w:tc>
          <w:tcPr>
            <w:tcW w:w="8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DEDA4B2">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14</w:t>
            </w:r>
          </w:p>
        </w:tc>
        <w:tc>
          <w:tcPr>
            <w:tcW w:w="8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BCFAB21">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130.6</w:t>
            </w:r>
          </w:p>
        </w:tc>
        <w:tc>
          <w:tcPr>
            <w:tcW w:w="8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6355741">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8.4</w:t>
            </w:r>
          </w:p>
        </w:tc>
        <w:tc>
          <w:tcPr>
            <w:tcW w:w="8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2C4EBC2">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18</w:t>
            </w:r>
          </w:p>
        </w:tc>
        <w:tc>
          <w:tcPr>
            <w:tcW w:w="8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BF7941B">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181.0</w:t>
            </w:r>
          </w:p>
        </w:tc>
        <w:tc>
          <w:tcPr>
            <w:tcW w:w="8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05EA447">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11.2</w:t>
            </w:r>
          </w:p>
        </w:tc>
        <w:tc>
          <w:tcPr>
            <w:tcW w:w="8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F34DBFC">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32</w:t>
            </w:r>
          </w:p>
        </w:tc>
      </w:tr>
      <w:tr w14:paraId="23B5EC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88" w:type="dxa"/>
            <w:tcBorders>
              <w:top w:val="single" w:color="auto" w:sz="4" w:space="0"/>
              <w:left w:val="single" w:color="auto" w:sz="4" w:space="0"/>
              <w:bottom w:val="single" w:color="auto" w:sz="4" w:space="0"/>
              <w:right w:val="single" w:color="auto" w:sz="4" w:space="0"/>
            </w:tcBorders>
            <w:shd w:val="clear" w:color="auto" w:fill="auto"/>
            <w:vAlign w:val="center"/>
          </w:tcPr>
          <w:p w14:paraId="2187BBA4">
            <w:pPr>
              <w:keepNext w:val="0"/>
              <w:keepLines w:val="0"/>
              <w:widowControl/>
              <w:suppressLineNumbers w:val="0"/>
              <w:spacing w:before="0" w:beforeAutospacing="0" w:after="0" w:afterAutospacing="0"/>
              <w:ind w:left="0" w:right="0"/>
              <w:jc w:val="center"/>
              <w:textAlignment w:val="top"/>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3-2</w:t>
            </w:r>
          </w:p>
        </w:tc>
        <w:tc>
          <w:tcPr>
            <w:tcW w:w="1146" w:type="dxa"/>
            <w:tcBorders>
              <w:top w:val="single" w:color="auto" w:sz="4" w:space="0"/>
              <w:left w:val="single" w:color="auto" w:sz="4" w:space="0"/>
              <w:bottom w:val="single" w:color="auto" w:sz="4" w:space="0"/>
              <w:right w:val="single" w:color="auto" w:sz="4" w:space="0"/>
            </w:tcBorders>
            <w:shd w:val="clear" w:color="auto" w:fill="auto"/>
            <w:vAlign w:val="center"/>
          </w:tcPr>
          <w:p w14:paraId="2CF46764">
            <w:pPr>
              <w:keepNext w:val="0"/>
              <w:keepLines w:val="0"/>
              <w:widowControl/>
              <w:suppressLineNumbers w:val="0"/>
              <w:spacing w:before="0" w:beforeAutospacing="0" w:after="0" w:afterAutospacing="0"/>
              <w:ind w:left="0" w:right="0"/>
              <w:jc w:val="center"/>
              <w:textAlignment w:val="top"/>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1.0×1.5</w:t>
            </w:r>
          </w:p>
        </w:tc>
        <w:tc>
          <w:tcPr>
            <w:tcW w:w="1057" w:type="dxa"/>
            <w:tcBorders>
              <w:top w:val="single" w:color="auto" w:sz="4" w:space="0"/>
              <w:left w:val="single" w:color="auto" w:sz="4" w:space="0"/>
              <w:bottom w:val="single" w:color="auto" w:sz="4" w:space="0"/>
              <w:right w:val="single" w:color="auto" w:sz="4" w:space="0"/>
            </w:tcBorders>
            <w:shd w:val="clear" w:color="auto" w:fill="auto"/>
            <w:vAlign w:val="center"/>
          </w:tcPr>
          <w:p w14:paraId="3EA5FD28">
            <w:pPr>
              <w:keepNext w:val="0"/>
              <w:keepLines w:val="0"/>
              <w:widowControl/>
              <w:suppressLineNumbers w:val="0"/>
              <w:spacing w:before="0" w:beforeAutospacing="0" w:after="0" w:afterAutospacing="0"/>
              <w:ind w:left="0" w:right="0"/>
              <w:jc w:val="center"/>
              <w:textAlignment w:val="top"/>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445</w:t>
            </w:r>
          </w:p>
        </w:tc>
        <w:tc>
          <w:tcPr>
            <w:tcW w:w="864" w:type="dxa"/>
            <w:tcBorders>
              <w:top w:val="single" w:color="auto" w:sz="4" w:space="0"/>
              <w:left w:val="single" w:color="auto" w:sz="4" w:space="0"/>
              <w:bottom w:val="single" w:color="auto" w:sz="4" w:space="0"/>
              <w:right w:val="single" w:color="auto" w:sz="4" w:space="0"/>
            </w:tcBorders>
            <w:shd w:val="clear" w:color="auto" w:fill="auto"/>
            <w:vAlign w:val="center"/>
          </w:tcPr>
          <w:p w14:paraId="63B887C4">
            <w:pPr>
              <w:keepNext w:val="0"/>
              <w:keepLines w:val="0"/>
              <w:widowControl/>
              <w:suppressLineNumbers w:val="0"/>
              <w:spacing w:before="0" w:beforeAutospacing="0" w:after="0" w:afterAutospacing="0"/>
              <w:ind w:left="0" w:right="0"/>
              <w:jc w:val="center"/>
              <w:textAlignment w:val="top"/>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0.5</w:t>
            </w:r>
          </w:p>
        </w:tc>
        <w:tc>
          <w:tcPr>
            <w:tcW w:w="8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0A1C3F5">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34.3</w:t>
            </w:r>
          </w:p>
        </w:tc>
        <w:tc>
          <w:tcPr>
            <w:tcW w:w="8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EDDE4D2">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5.9</w:t>
            </w:r>
          </w:p>
        </w:tc>
        <w:tc>
          <w:tcPr>
            <w:tcW w:w="8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3408D45">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w:t>
            </w:r>
          </w:p>
        </w:tc>
        <w:tc>
          <w:tcPr>
            <w:tcW w:w="8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5463417">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68.7</w:t>
            </w:r>
          </w:p>
        </w:tc>
        <w:tc>
          <w:tcPr>
            <w:tcW w:w="8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7518519">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8.1</w:t>
            </w:r>
          </w:p>
        </w:tc>
        <w:tc>
          <w:tcPr>
            <w:tcW w:w="8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6999DC8">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11</w:t>
            </w:r>
          </w:p>
        </w:tc>
        <w:tc>
          <w:tcPr>
            <w:tcW w:w="8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2D0CDC9">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104.2</w:t>
            </w:r>
          </w:p>
        </w:tc>
        <w:tc>
          <w:tcPr>
            <w:tcW w:w="8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77458D8">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17.1</w:t>
            </w:r>
          </w:p>
        </w:tc>
        <w:tc>
          <w:tcPr>
            <w:tcW w:w="8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2082344">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18</w:t>
            </w:r>
          </w:p>
        </w:tc>
        <w:tc>
          <w:tcPr>
            <w:tcW w:w="8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F20D268">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152.9</w:t>
            </w:r>
          </w:p>
        </w:tc>
        <w:tc>
          <w:tcPr>
            <w:tcW w:w="8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331D175">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12.3</w:t>
            </w:r>
          </w:p>
        </w:tc>
        <w:tc>
          <w:tcPr>
            <w:tcW w:w="8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3F384DF">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43</w:t>
            </w:r>
          </w:p>
        </w:tc>
      </w:tr>
      <w:tr w14:paraId="55005E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88" w:type="dxa"/>
            <w:tcBorders>
              <w:top w:val="single" w:color="auto" w:sz="4" w:space="0"/>
              <w:left w:val="single" w:color="auto" w:sz="4" w:space="0"/>
              <w:bottom w:val="single" w:color="auto" w:sz="4" w:space="0"/>
              <w:right w:val="single" w:color="auto" w:sz="4" w:space="0"/>
            </w:tcBorders>
            <w:shd w:val="clear" w:color="auto" w:fill="auto"/>
            <w:vAlign w:val="center"/>
          </w:tcPr>
          <w:p w14:paraId="0B51E4E9">
            <w:pPr>
              <w:keepNext w:val="0"/>
              <w:keepLines w:val="0"/>
              <w:widowControl/>
              <w:suppressLineNumbers w:val="0"/>
              <w:spacing w:before="0" w:beforeAutospacing="0" w:after="0" w:afterAutospacing="0"/>
              <w:ind w:left="0" w:right="0"/>
              <w:jc w:val="center"/>
              <w:textAlignment w:val="top"/>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3-3</w:t>
            </w:r>
          </w:p>
        </w:tc>
        <w:tc>
          <w:tcPr>
            <w:tcW w:w="1146" w:type="dxa"/>
            <w:tcBorders>
              <w:top w:val="single" w:color="auto" w:sz="4" w:space="0"/>
              <w:left w:val="single" w:color="auto" w:sz="4" w:space="0"/>
              <w:bottom w:val="single" w:color="auto" w:sz="4" w:space="0"/>
              <w:right w:val="single" w:color="auto" w:sz="4" w:space="0"/>
            </w:tcBorders>
            <w:shd w:val="clear" w:color="auto" w:fill="auto"/>
            <w:vAlign w:val="center"/>
          </w:tcPr>
          <w:p w14:paraId="1683EBA4">
            <w:pPr>
              <w:keepNext w:val="0"/>
              <w:keepLines w:val="0"/>
              <w:widowControl/>
              <w:suppressLineNumbers w:val="0"/>
              <w:spacing w:before="0" w:beforeAutospacing="0" w:after="0" w:afterAutospacing="0"/>
              <w:ind w:left="0" w:right="0"/>
              <w:jc w:val="center"/>
              <w:textAlignment w:val="top"/>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1.0×1.5</w:t>
            </w:r>
          </w:p>
        </w:tc>
        <w:tc>
          <w:tcPr>
            <w:tcW w:w="1057" w:type="dxa"/>
            <w:tcBorders>
              <w:top w:val="single" w:color="auto" w:sz="4" w:space="0"/>
              <w:left w:val="single" w:color="auto" w:sz="4" w:space="0"/>
              <w:bottom w:val="single" w:color="auto" w:sz="4" w:space="0"/>
              <w:right w:val="single" w:color="auto" w:sz="4" w:space="0"/>
            </w:tcBorders>
            <w:shd w:val="clear" w:color="auto" w:fill="auto"/>
            <w:vAlign w:val="center"/>
          </w:tcPr>
          <w:p w14:paraId="51A970E2">
            <w:pPr>
              <w:keepNext w:val="0"/>
              <w:keepLines w:val="0"/>
              <w:widowControl/>
              <w:suppressLineNumbers w:val="0"/>
              <w:spacing w:before="0" w:beforeAutospacing="0" w:after="0" w:afterAutospacing="0"/>
              <w:ind w:left="0" w:right="0"/>
              <w:jc w:val="center"/>
              <w:textAlignment w:val="top"/>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445</w:t>
            </w:r>
          </w:p>
        </w:tc>
        <w:tc>
          <w:tcPr>
            <w:tcW w:w="864" w:type="dxa"/>
            <w:tcBorders>
              <w:top w:val="single" w:color="auto" w:sz="4" w:space="0"/>
              <w:left w:val="single" w:color="auto" w:sz="4" w:space="0"/>
              <w:bottom w:val="single" w:color="auto" w:sz="4" w:space="0"/>
              <w:right w:val="single" w:color="auto" w:sz="4" w:space="0"/>
            </w:tcBorders>
            <w:shd w:val="clear" w:color="auto" w:fill="auto"/>
            <w:vAlign w:val="center"/>
          </w:tcPr>
          <w:p w14:paraId="230BD2A1">
            <w:pPr>
              <w:keepNext w:val="0"/>
              <w:keepLines w:val="0"/>
              <w:widowControl/>
              <w:suppressLineNumbers w:val="0"/>
              <w:spacing w:before="0" w:beforeAutospacing="0" w:after="0" w:afterAutospacing="0"/>
              <w:ind w:left="0" w:right="0"/>
              <w:jc w:val="center"/>
              <w:textAlignment w:val="top"/>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8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0DF4B73">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39.0</w:t>
            </w:r>
          </w:p>
        </w:tc>
        <w:tc>
          <w:tcPr>
            <w:tcW w:w="8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618183E">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6.9</w:t>
            </w:r>
          </w:p>
        </w:tc>
        <w:tc>
          <w:tcPr>
            <w:tcW w:w="8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BC37640">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w:t>
            </w:r>
          </w:p>
        </w:tc>
        <w:tc>
          <w:tcPr>
            <w:tcW w:w="8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FB00792">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77.9</w:t>
            </w:r>
          </w:p>
        </w:tc>
        <w:tc>
          <w:tcPr>
            <w:tcW w:w="8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DD9AB36">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7.9</w:t>
            </w:r>
          </w:p>
        </w:tc>
        <w:tc>
          <w:tcPr>
            <w:tcW w:w="8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68B9A8C">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18</w:t>
            </w:r>
          </w:p>
        </w:tc>
        <w:tc>
          <w:tcPr>
            <w:tcW w:w="8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FAF8509">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131.3</w:t>
            </w:r>
          </w:p>
        </w:tc>
        <w:tc>
          <w:tcPr>
            <w:tcW w:w="8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447321A">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11.0</w:t>
            </w:r>
          </w:p>
        </w:tc>
        <w:tc>
          <w:tcPr>
            <w:tcW w:w="8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D4FD9A1">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55</w:t>
            </w:r>
          </w:p>
        </w:tc>
        <w:tc>
          <w:tcPr>
            <w:tcW w:w="8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03F71C2">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152.0</w:t>
            </w:r>
          </w:p>
        </w:tc>
        <w:tc>
          <w:tcPr>
            <w:tcW w:w="8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AB570F0">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10.3</w:t>
            </w:r>
          </w:p>
        </w:tc>
        <w:tc>
          <w:tcPr>
            <w:tcW w:w="8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C6FACCE">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26</w:t>
            </w:r>
          </w:p>
        </w:tc>
      </w:tr>
      <w:tr w14:paraId="7DD8E2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0" w:hRule="atLeast"/>
        </w:trPr>
        <w:tc>
          <w:tcPr>
            <w:tcW w:w="688" w:type="dxa"/>
            <w:tcBorders>
              <w:top w:val="single" w:color="auto" w:sz="4" w:space="0"/>
              <w:left w:val="single" w:color="auto" w:sz="4" w:space="0"/>
              <w:bottom w:val="single" w:color="auto" w:sz="4" w:space="0"/>
              <w:right w:val="single" w:color="auto" w:sz="4" w:space="0"/>
            </w:tcBorders>
            <w:shd w:val="clear" w:color="auto" w:fill="auto"/>
            <w:vAlign w:val="center"/>
          </w:tcPr>
          <w:p w14:paraId="608AA848">
            <w:pPr>
              <w:keepNext w:val="0"/>
              <w:keepLines w:val="0"/>
              <w:widowControl/>
              <w:suppressLineNumbers w:val="0"/>
              <w:spacing w:before="0" w:beforeAutospacing="0" w:after="0" w:afterAutospacing="0"/>
              <w:ind w:left="0" w:right="0"/>
              <w:jc w:val="center"/>
              <w:textAlignment w:val="top"/>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3-4</w:t>
            </w:r>
          </w:p>
        </w:tc>
        <w:tc>
          <w:tcPr>
            <w:tcW w:w="1146" w:type="dxa"/>
            <w:tcBorders>
              <w:top w:val="single" w:color="auto" w:sz="4" w:space="0"/>
              <w:left w:val="single" w:color="auto" w:sz="4" w:space="0"/>
              <w:bottom w:val="single" w:color="auto" w:sz="4" w:space="0"/>
              <w:right w:val="single" w:color="auto" w:sz="4" w:space="0"/>
            </w:tcBorders>
            <w:shd w:val="clear" w:color="auto" w:fill="auto"/>
            <w:vAlign w:val="center"/>
          </w:tcPr>
          <w:p w14:paraId="2ADD6A26">
            <w:pPr>
              <w:keepNext w:val="0"/>
              <w:keepLines w:val="0"/>
              <w:widowControl/>
              <w:suppressLineNumbers w:val="0"/>
              <w:spacing w:before="0" w:beforeAutospacing="0" w:after="0" w:afterAutospacing="0"/>
              <w:ind w:left="0" w:right="0"/>
              <w:jc w:val="center"/>
              <w:textAlignment w:val="top"/>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1.0×1.5</w:t>
            </w:r>
          </w:p>
        </w:tc>
        <w:tc>
          <w:tcPr>
            <w:tcW w:w="1057" w:type="dxa"/>
            <w:tcBorders>
              <w:top w:val="single" w:color="auto" w:sz="4" w:space="0"/>
              <w:left w:val="single" w:color="auto" w:sz="4" w:space="0"/>
              <w:bottom w:val="single" w:color="auto" w:sz="4" w:space="0"/>
              <w:right w:val="single" w:color="auto" w:sz="4" w:space="0"/>
            </w:tcBorders>
            <w:shd w:val="clear" w:color="auto" w:fill="auto"/>
            <w:vAlign w:val="center"/>
          </w:tcPr>
          <w:p w14:paraId="7CDB8C53">
            <w:pPr>
              <w:keepNext w:val="0"/>
              <w:keepLines w:val="0"/>
              <w:widowControl/>
              <w:suppressLineNumbers w:val="0"/>
              <w:spacing w:before="0" w:beforeAutospacing="0" w:after="0" w:afterAutospacing="0"/>
              <w:ind w:left="0" w:right="0"/>
              <w:jc w:val="center"/>
              <w:textAlignment w:val="top"/>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445</w:t>
            </w:r>
          </w:p>
        </w:tc>
        <w:tc>
          <w:tcPr>
            <w:tcW w:w="864" w:type="dxa"/>
            <w:tcBorders>
              <w:top w:val="single" w:color="auto" w:sz="4" w:space="0"/>
              <w:left w:val="single" w:color="auto" w:sz="4" w:space="0"/>
              <w:bottom w:val="single" w:color="auto" w:sz="4" w:space="0"/>
              <w:right w:val="single" w:color="auto" w:sz="4" w:space="0"/>
            </w:tcBorders>
            <w:shd w:val="clear" w:color="auto" w:fill="auto"/>
            <w:vAlign w:val="center"/>
          </w:tcPr>
          <w:p w14:paraId="4DA9D8FC">
            <w:pPr>
              <w:keepNext w:val="0"/>
              <w:keepLines w:val="0"/>
              <w:widowControl/>
              <w:suppressLineNumbers w:val="0"/>
              <w:spacing w:before="0" w:beforeAutospacing="0" w:after="0" w:afterAutospacing="0"/>
              <w:ind w:left="0" w:right="0"/>
              <w:jc w:val="center"/>
              <w:textAlignment w:val="top"/>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8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14B72F6">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34.9</w:t>
            </w:r>
          </w:p>
        </w:tc>
        <w:tc>
          <w:tcPr>
            <w:tcW w:w="8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7EA9CC1">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6.3</w:t>
            </w:r>
          </w:p>
        </w:tc>
        <w:tc>
          <w:tcPr>
            <w:tcW w:w="8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A8FF56B">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2</w:t>
            </w:r>
          </w:p>
        </w:tc>
        <w:tc>
          <w:tcPr>
            <w:tcW w:w="8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8363D0C">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74.2</w:t>
            </w:r>
          </w:p>
        </w:tc>
        <w:tc>
          <w:tcPr>
            <w:tcW w:w="8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2B2C0C6">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8.0</w:t>
            </w:r>
          </w:p>
        </w:tc>
        <w:tc>
          <w:tcPr>
            <w:tcW w:w="8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C6E12FD">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13</w:t>
            </w:r>
          </w:p>
        </w:tc>
        <w:tc>
          <w:tcPr>
            <w:tcW w:w="8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932A870">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121.7</w:t>
            </w:r>
          </w:p>
        </w:tc>
        <w:tc>
          <w:tcPr>
            <w:tcW w:w="8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C5791C4">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10.8</w:t>
            </w:r>
          </w:p>
        </w:tc>
        <w:tc>
          <w:tcPr>
            <w:tcW w:w="8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7C33399">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42</w:t>
            </w:r>
          </w:p>
        </w:tc>
        <w:tc>
          <w:tcPr>
            <w:tcW w:w="8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B85163C">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120.6</w:t>
            </w:r>
          </w:p>
        </w:tc>
        <w:tc>
          <w:tcPr>
            <w:tcW w:w="8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B4315C6">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9.4</w:t>
            </w:r>
          </w:p>
        </w:tc>
        <w:tc>
          <w:tcPr>
            <w:tcW w:w="8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1578789">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35</w:t>
            </w:r>
          </w:p>
        </w:tc>
      </w:tr>
    </w:tbl>
    <w:p w14:paraId="72FE5DA0">
      <w:pPr>
        <w:keepNext w:val="0"/>
        <w:keepLines w:val="0"/>
        <w:pageBreakBefore w:val="0"/>
        <w:kinsoku/>
        <w:wordWrap/>
        <w:overflowPunct/>
        <w:topLinePunct w:val="0"/>
        <w:autoSpaceDE/>
        <w:autoSpaceDN/>
        <w:bidi w:val="0"/>
        <w:adjustRightInd/>
        <w:snapToGrid/>
        <w:spacing w:line="580" w:lineRule="exact"/>
        <w:textAlignment w:val="auto"/>
        <w:rPr>
          <w:rFonts w:hint="eastAsia" w:ascii="仿宋_GB2312" w:hAnsi="宋体" w:eastAsia="仿宋_GB2312"/>
          <w:color w:val="auto"/>
          <w:sz w:val="32"/>
          <w:szCs w:val="28"/>
          <w:lang w:val="zh-CN"/>
        </w:rPr>
      </w:pPr>
    </w:p>
    <w:sectPr>
      <w:pgSz w:w="16838" w:h="11906" w:orient="landscape"/>
      <w:pgMar w:top="1587" w:right="1417" w:bottom="1474" w:left="1417" w:header="851" w:footer="992"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方正小标宋简体">
    <w:panose1 w:val="02010601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2738AD">
    <w:pPr>
      <w:pStyle w:val="7"/>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83332"/>
                          </w:sdtPr>
                          <w:sdtEndPr>
                            <w:rPr>
                              <w:rFonts w:hint="eastAsia" w:asciiTheme="minorEastAsia" w:hAnsiTheme="minorEastAsia" w:eastAsiaTheme="minorEastAsia" w:cstheme="minorEastAsia"/>
                              <w:sz w:val="24"/>
                              <w:szCs w:val="24"/>
                            </w:rPr>
                          </w:sdtEndPr>
                          <w:sdtContent>
                            <w:p w14:paraId="4FC73E70">
                              <w:pPr>
                                <w:pStyle w:val="7"/>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   \* MERGEFORMAT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lang w:val="zh-CN"/>
                                </w:rPr>
                                <w:t>17</w:t>
                              </w:r>
                              <w:r>
                                <w:rPr>
                                  <w:rFonts w:hint="eastAsia" w:asciiTheme="minorEastAsia" w:hAnsiTheme="minorEastAsia" w:eastAsiaTheme="minorEastAsia" w:cstheme="minorEastAsia"/>
                                  <w:sz w:val="24"/>
                                  <w:szCs w:val="24"/>
                                </w:rPr>
                                <w:fldChar w:fldCharType="end"/>
                              </w:r>
                            </w:p>
                          </w:sdtContent>
                        </w:sdt>
                        <w:p w14:paraId="6454A660"/>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sdt>
                    <w:sdtPr>
                      <w:id w:val="147483332"/>
                    </w:sdtPr>
                    <w:sdtEndPr>
                      <w:rPr>
                        <w:rFonts w:hint="eastAsia" w:asciiTheme="minorEastAsia" w:hAnsiTheme="minorEastAsia" w:eastAsiaTheme="minorEastAsia" w:cstheme="minorEastAsia"/>
                        <w:sz w:val="24"/>
                        <w:szCs w:val="24"/>
                      </w:rPr>
                    </w:sdtEndPr>
                    <w:sdtContent>
                      <w:p w14:paraId="4FC73E70">
                        <w:pPr>
                          <w:pStyle w:val="7"/>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   \* MERGEFORMAT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lang w:val="zh-CN"/>
                          </w:rPr>
                          <w:t>17</w:t>
                        </w:r>
                        <w:r>
                          <w:rPr>
                            <w:rFonts w:hint="eastAsia" w:asciiTheme="minorEastAsia" w:hAnsiTheme="minorEastAsia" w:eastAsiaTheme="minorEastAsia" w:cstheme="minorEastAsia"/>
                            <w:sz w:val="24"/>
                            <w:szCs w:val="24"/>
                          </w:rPr>
                          <w:fldChar w:fldCharType="end"/>
                        </w:r>
                      </w:p>
                    </w:sdtContent>
                  </w:sdt>
                  <w:p w14:paraId="6454A660"/>
                </w:txbxContent>
              </v:textbox>
            </v:shape>
          </w:pict>
        </mc:Fallback>
      </mc:AlternateContent>
    </w:r>
  </w:p>
  <w:p w14:paraId="0E4F58A3">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7EC27CF"/>
    <w:multiLevelType w:val="singleLevel"/>
    <w:tmpl w:val="F7EC27CF"/>
    <w:lvl w:ilvl="0" w:tentative="0">
      <w:start w:val="4"/>
      <w:numFmt w:val="chineseCounting"/>
      <w:suff w:val="nothing"/>
      <w:lvlText w:val="（%1）"/>
      <w:lvlJc w:val="left"/>
      <w:rPr>
        <w:rFonts w:hint="eastAsia"/>
      </w:rPr>
    </w:lvl>
  </w:abstractNum>
  <w:abstractNum w:abstractNumId="1">
    <w:nsid w:val="1FC91163"/>
    <w:multiLevelType w:val="multilevel"/>
    <w:tmpl w:val="1FC91163"/>
    <w:lvl w:ilvl="0" w:tentative="0">
      <w:start w:val="1"/>
      <w:numFmt w:val="decimal"/>
      <w:pStyle w:val="34"/>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33"/>
      <w:suff w:val="nothing"/>
      <w:lvlText w:val="%1.%2　"/>
      <w:lvlJc w:val="left"/>
      <w:pPr>
        <w:ind w:left="0"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tentative="0">
      <w:start w:val="1"/>
      <w:numFmt w:val="decimal"/>
      <w:pStyle w:val="35"/>
      <w:suff w:val="nothing"/>
      <w:lvlText w:val="%1.%2.%3　"/>
      <w:lvlJc w:val="left"/>
      <w:pPr>
        <w:ind w:left="4361" w:firstLine="0"/>
      </w:pPr>
      <w:rPr>
        <w:rFonts w:hint="eastAsia" w:ascii="黑体" w:hAnsi="Times New Roman" w:eastAsia="黑体"/>
        <w:b w:val="0"/>
        <w:i w:val="0"/>
        <w:sz w:val="21"/>
      </w:rPr>
    </w:lvl>
    <w:lvl w:ilvl="3" w:tentative="0">
      <w:start w:val="1"/>
      <w:numFmt w:val="decimal"/>
      <w:pStyle w:val="36"/>
      <w:suff w:val="nothing"/>
      <w:lvlText w:val="%1.%2.%3.%4　"/>
      <w:lvlJc w:val="left"/>
      <w:pPr>
        <w:ind w:left="0" w:firstLine="0"/>
      </w:pPr>
      <w:rPr>
        <w:rFonts w:hint="eastAsia" w:ascii="黑体" w:hAnsi="Times New Roman" w:eastAsia="黑体"/>
        <w:b w:val="0"/>
        <w:i w:val="0"/>
        <w:sz w:val="21"/>
      </w:rPr>
    </w:lvl>
    <w:lvl w:ilvl="4" w:tentative="0">
      <w:start w:val="1"/>
      <w:numFmt w:val="decimal"/>
      <w:pStyle w:val="37"/>
      <w:suff w:val="nothing"/>
      <w:lvlText w:val="%1.%2.%3.%4.%5　"/>
      <w:lvlJc w:val="left"/>
      <w:pPr>
        <w:ind w:left="840" w:firstLine="0"/>
      </w:pPr>
      <w:rPr>
        <w:rFonts w:hint="eastAsia" w:ascii="黑体" w:hAnsi="Times New Roman" w:eastAsia="黑体"/>
        <w:b w:val="0"/>
        <w:i w:val="0"/>
        <w:sz w:val="21"/>
      </w:rPr>
    </w:lvl>
    <w:lvl w:ilvl="5" w:tentative="0">
      <w:start w:val="1"/>
      <w:numFmt w:val="decimal"/>
      <w:pStyle w:val="38"/>
      <w:suff w:val="nothing"/>
      <w:lvlText w:val="%1.%2.%3.%4.%5.%6　"/>
      <w:lvlJc w:val="left"/>
      <w:pPr>
        <w:ind w:left="-420" w:firstLine="0"/>
      </w:pPr>
      <w:rPr>
        <w:rFonts w:hint="eastAsia" w:ascii="黑体" w:hAnsi="Times New Roman" w:eastAsia="黑体"/>
        <w:b w:val="0"/>
        <w:i w:val="0"/>
        <w:sz w:val="21"/>
      </w:rPr>
    </w:lvl>
    <w:lvl w:ilvl="6" w:tentative="0">
      <w:start w:val="1"/>
      <w:numFmt w:val="decimal"/>
      <w:suff w:val="nothing"/>
      <w:lvlText w:val="%1%2.%3.%4.%5.%6.%7　"/>
      <w:lvlJc w:val="left"/>
      <w:pPr>
        <w:ind w:left="-420" w:firstLine="0"/>
      </w:pPr>
      <w:rPr>
        <w:rFonts w:hint="eastAsia" w:ascii="黑体" w:hAnsi="Times New Roman" w:eastAsia="黑体"/>
        <w:b w:val="0"/>
        <w:i w:val="0"/>
        <w:sz w:val="21"/>
      </w:rPr>
    </w:lvl>
    <w:lvl w:ilvl="7" w:tentative="0">
      <w:start w:val="1"/>
      <w:numFmt w:val="decimal"/>
      <w:lvlText w:val="%1.%2.%3.%4.%5.%6.%7.%8"/>
      <w:lvlJc w:val="left"/>
      <w:pPr>
        <w:tabs>
          <w:tab w:val="left" w:pos="3931"/>
        </w:tabs>
        <w:ind w:left="3549" w:hanging="1418"/>
      </w:pPr>
      <w:rPr>
        <w:rFonts w:hint="eastAsia"/>
      </w:rPr>
    </w:lvl>
    <w:lvl w:ilvl="8" w:tentative="0">
      <w:start w:val="1"/>
      <w:numFmt w:val="decimal"/>
      <w:lvlText w:val="%1.%2.%3.%4.%5.%6.%7.%8.%9"/>
      <w:lvlJc w:val="left"/>
      <w:pPr>
        <w:tabs>
          <w:tab w:val="left" w:pos="4357"/>
        </w:tabs>
        <w:ind w:left="4257" w:hanging="1700"/>
      </w:pPr>
      <w:rPr>
        <w:rFonts w:hint="eastAsia"/>
      </w:rPr>
    </w:lvl>
  </w:abstractNum>
  <w:abstractNum w:abstractNumId="2">
    <w:nsid w:val="251538CD"/>
    <w:multiLevelType w:val="singleLevel"/>
    <w:tmpl w:val="251538CD"/>
    <w:lvl w:ilvl="0" w:tentative="0">
      <w:start w:val="3"/>
      <w:numFmt w:val="chineseCounting"/>
      <w:suff w:val="nothing"/>
      <w:lvlText w:val="（%1）"/>
      <w:lvlJc w:val="left"/>
      <w:rPr>
        <w:rFonts w:hint="eastAsia"/>
      </w:rPr>
    </w:lvl>
  </w:abstractNum>
  <w:abstractNum w:abstractNumId="3">
    <w:nsid w:val="3BD256AA"/>
    <w:multiLevelType w:val="singleLevel"/>
    <w:tmpl w:val="3BD256AA"/>
    <w:lvl w:ilvl="0" w:tentative="0">
      <w:start w:val="2"/>
      <w:numFmt w:val="chineseCounting"/>
      <w:suff w:val="nothing"/>
      <w:lvlText w:val="（%1）"/>
      <w:lvlJc w:val="left"/>
      <w:rPr>
        <w:rFonts w:hint="eastAsia"/>
      </w:rPr>
    </w:lvl>
  </w:abstractNum>
  <w:abstractNum w:abstractNumId="4">
    <w:nsid w:val="44C50F90"/>
    <w:multiLevelType w:val="multilevel"/>
    <w:tmpl w:val="44C50F90"/>
    <w:lvl w:ilvl="0" w:tentative="0">
      <w:start w:val="1"/>
      <w:numFmt w:val="lowerLetter"/>
      <w:pStyle w:val="50"/>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5">
    <w:nsid w:val="5603797C"/>
    <w:multiLevelType w:val="multilevel"/>
    <w:tmpl w:val="5603797C"/>
    <w:lvl w:ilvl="0" w:tentative="0">
      <w:start w:val="1"/>
      <w:numFmt w:val="upperLetter"/>
      <w:pStyle w:val="47"/>
      <w:suff w:val="space"/>
      <w:lvlText w:val="%1"/>
      <w:lvlJc w:val="left"/>
      <w:pPr>
        <w:ind w:left="425" w:hanging="425"/>
      </w:pPr>
      <w:rPr>
        <w:rFonts w:hint="eastAsia"/>
      </w:rPr>
    </w:lvl>
    <w:lvl w:ilvl="1" w:tentative="0">
      <w:start w:val="1"/>
      <w:numFmt w:val="decimal"/>
      <w:pStyle w:val="46"/>
      <w:suff w:val="space"/>
      <w:lvlText w:val="表%1.%2"/>
      <w:lvlJc w:val="center"/>
      <w:pPr>
        <w:ind w:left="0" w:firstLine="0"/>
      </w:pPr>
      <w:rPr>
        <w:rFonts w:hint="eastAsia" w:ascii="黑体" w:eastAsia="黑体"/>
        <w:sz w:val="21"/>
        <w:lang w:val="en-US"/>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6">
    <w:nsid w:val="646260FA"/>
    <w:multiLevelType w:val="multilevel"/>
    <w:tmpl w:val="646260FA"/>
    <w:lvl w:ilvl="0" w:tentative="0">
      <w:start w:val="1"/>
      <w:numFmt w:val="decimal"/>
      <w:pStyle w:val="4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7">
    <w:nsid w:val="6CEA2025"/>
    <w:multiLevelType w:val="multilevel"/>
    <w:tmpl w:val="6CEA2025"/>
    <w:lvl w:ilvl="0" w:tentative="0">
      <w:start w:val="1"/>
      <w:numFmt w:val="none"/>
      <w:pStyle w:val="29"/>
      <w:suff w:val="nothing"/>
      <w:lvlText w:val="%1"/>
      <w:lvlJc w:val="left"/>
      <w:pPr>
        <w:ind w:left="0" w:firstLine="0"/>
      </w:pPr>
      <w:rPr>
        <w:rFonts w:hint="eastAsia"/>
      </w:rPr>
    </w:lvl>
    <w:lvl w:ilvl="1" w:tentative="0">
      <w:start w:val="1"/>
      <w:numFmt w:val="decimal"/>
      <w:pStyle w:val="27"/>
      <w:suff w:val="nothing"/>
      <w:lvlText w:val="%1%2　"/>
      <w:lvlJc w:val="left"/>
      <w:pPr>
        <w:ind w:left="0" w:firstLine="0"/>
      </w:pPr>
      <w:rPr>
        <w:rFonts w:hint="eastAsia" w:ascii="黑体" w:eastAsia="黑体"/>
        <w:b w:val="0"/>
        <w:i w:val="0"/>
        <w:sz w:val="21"/>
      </w:rPr>
    </w:lvl>
    <w:lvl w:ilvl="2" w:tentative="0">
      <w:start w:val="1"/>
      <w:numFmt w:val="decimal"/>
      <w:pStyle w:val="28"/>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23"/>
      <w:suff w:val="nothing"/>
      <w:lvlText w:val="%1%2.%3.%4　"/>
      <w:lvlJc w:val="left"/>
      <w:pPr>
        <w:ind w:left="0" w:firstLine="0"/>
      </w:pPr>
      <w:rPr>
        <w:rFonts w:hint="eastAsia" w:ascii="黑体" w:eastAsia="黑体"/>
        <w:b w:val="0"/>
        <w:i w:val="0"/>
        <w:sz w:val="21"/>
      </w:rPr>
    </w:lvl>
    <w:lvl w:ilvl="4" w:tentative="0">
      <w:start w:val="1"/>
      <w:numFmt w:val="decimal"/>
      <w:pStyle w:val="24"/>
      <w:suff w:val="nothing"/>
      <w:lvlText w:val="%1%2.%3.%4.%5　"/>
      <w:lvlJc w:val="left"/>
      <w:pPr>
        <w:ind w:left="0" w:firstLine="0"/>
      </w:pPr>
      <w:rPr>
        <w:rFonts w:hint="eastAsia" w:ascii="黑体" w:eastAsia="黑体"/>
        <w:b w:val="0"/>
        <w:i w:val="0"/>
        <w:sz w:val="21"/>
      </w:rPr>
    </w:lvl>
    <w:lvl w:ilvl="5" w:tentative="0">
      <w:start w:val="1"/>
      <w:numFmt w:val="decimal"/>
      <w:pStyle w:val="25"/>
      <w:suff w:val="nothing"/>
      <w:lvlText w:val="%1%2.%3.%4.%5.%6　"/>
      <w:lvlJc w:val="left"/>
      <w:pPr>
        <w:ind w:left="0" w:firstLine="0"/>
      </w:pPr>
      <w:rPr>
        <w:rFonts w:hint="eastAsia" w:ascii="黑体" w:eastAsia="黑体"/>
        <w:b w:val="0"/>
        <w:i w:val="0"/>
        <w:sz w:val="21"/>
      </w:rPr>
    </w:lvl>
    <w:lvl w:ilvl="6" w:tentative="0">
      <w:start w:val="1"/>
      <w:numFmt w:val="decimal"/>
      <w:pStyle w:val="26"/>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7"/>
  </w:num>
  <w:num w:numId="2">
    <w:abstractNumId w:val="1"/>
  </w:num>
  <w:num w:numId="3">
    <w:abstractNumId w:val="0"/>
  </w:num>
  <w:num w:numId="4">
    <w:abstractNumId w:val="6"/>
  </w:num>
  <w:num w:numId="5">
    <w:abstractNumId w:val="5"/>
  </w:num>
  <w:num w:numId="6">
    <w:abstractNumId w:val="4"/>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JjNjBjNmMyMDE0ZTFjY2Q0NDU5YzY1NTQ5OGQzZmUifQ=="/>
  </w:docVars>
  <w:rsids>
    <w:rsidRoot w:val="52F40A7A"/>
    <w:rsid w:val="00002030"/>
    <w:rsid w:val="00004B01"/>
    <w:rsid w:val="00004C4A"/>
    <w:rsid w:val="000073E2"/>
    <w:rsid w:val="00010E6E"/>
    <w:rsid w:val="0001162D"/>
    <w:rsid w:val="0001346F"/>
    <w:rsid w:val="000172E1"/>
    <w:rsid w:val="00021C3C"/>
    <w:rsid w:val="00022A5F"/>
    <w:rsid w:val="000252AF"/>
    <w:rsid w:val="000255B1"/>
    <w:rsid w:val="00031C67"/>
    <w:rsid w:val="00045D6D"/>
    <w:rsid w:val="00050D8A"/>
    <w:rsid w:val="00052EF2"/>
    <w:rsid w:val="00057AD3"/>
    <w:rsid w:val="00070361"/>
    <w:rsid w:val="00072AE1"/>
    <w:rsid w:val="00074C76"/>
    <w:rsid w:val="00075056"/>
    <w:rsid w:val="0008582A"/>
    <w:rsid w:val="000877AB"/>
    <w:rsid w:val="00094586"/>
    <w:rsid w:val="00095094"/>
    <w:rsid w:val="000A029B"/>
    <w:rsid w:val="000A1420"/>
    <w:rsid w:val="000A63E7"/>
    <w:rsid w:val="000A7A8C"/>
    <w:rsid w:val="000A7D1E"/>
    <w:rsid w:val="000B14A3"/>
    <w:rsid w:val="000B15F9"/>
    <w:rsid w:val="000B25F0"/>
    <w:rsid w:val="000C1B17"/>
    <w:rsid w:val="000C5234"/>
    <w:rsid w:val="000C7B94"/>
    <w:rsid w:val="000D092D"/>
    <w:rsid w:val="000D0936"/>
    <w:rsid w:val="000D2085"/>
    <w:rsid w:val="000D2512"/>
    <w:rsid w:val="000D4AA2"/>
    <w:rsid w:val="000D5D37"/>
    <w:rsid w:val="000D7675"/>
    <w:rsid w:val="000E68F4"/>
    <w:rsid w:val="000E6DEA"/>
    <w:rsid w:val="000F124B"/>
    <w:rsid w:val="000F3C96"/>
    <w:rsid w:val="000F51A4"/>
    <w:rsid w:val="000F5CC1"/>
    <w:rsid w:val="000F6FC5"/>
    <w:rsid w:val="000F7431"/>
    <w:rsid w:val="000F77A5"/>
    <w:rsid w:val="0010044B"/>
    <w:rsid w:val="00106E48"/>
    <w:rsid w:val="001074C4"/>
    <w:rsid w:val="00113C15"/>
    <w:rsid w:val="00113EE6"/>
    <w:rsid w:val="0011771D"/>
    <w:rsid w:val="00122F32"/>
    <w:rsid w:val="00123812"/>
    <w:rsid w:val="001240E5"/>
    <w:rsid w:val="00127C38"/>
    <w:rsid w:val="00127DA2"/>
    <w:rsid w:val="0013283F"/>
    <w:rsid w:val="0014292D"/>
    <w:rsid w:val="00144CFD"/>
    <w:rsid w:val="00146E1F"/>
    <w:rsid w:val="00147F6F"/>
    <w:rsid w:val="00151C6D"/>
    <w:rsid w:val="00151FAB"/>
    <w:rsid w:val="00152E1B"/>
    <w:rsid w:val="00164EB5"/>
    <w:rsid w:val="001670A9"/>
    <w:rsid w:val="00171BE7"/>
    <w:rsid w:val="00172B0C"/>
    <w:rsid w:val="0017337C"/>
    <w:rsid w:val="0017654D"/>
    <w:rsid w:val="00176C27"/>
    <w:rsid w:val="001804FB"/>
    <w:rsid w:val="00184228"/>
    <w:rsid w:val="001901B7"/>
    <w:rsid w:val="00193030"/>
    <w:rsid w:val="00193D3F"/>
    <w:rsid w:val="001A129A"/>
    <w:rsid w:val="001A2C3B"/>
    <w:rsid w:val="001A44D7"/>
    <w:rsid w:val="001A4509"/>
    <w:rsid w:val="001A5698"/>
    <w:rsid w:val="001A60A2"/>
    <w:rsid w:val="001A7A69"/>
    <w:rsid w:val="001B03C8"/>
    <w:rsid w:val="001B08A5"/>
    <w:rsid w:val="001B08C8"/>
    <w:rsid w:val="001B28B9"/>
    <w:rsid w:val="001C067E"/>
    <w:rsid w:val="001C0ABF"/>
    <w:rsid w:val="001C2136"/>
    <w:rsid w:val="001C4BEF"/>
    <w:rsid w:val="001C600B"/>
    <w:rsid w:val="001C7C32"/>
    <w:rsid w:val="001D0A9B"/>
    <w:rsid w:val="001D6DFB"/>
    <w:rsid w:val="001E0A61"/>
    <w:rsid w:val="001E2028"/>
    <w:rsid w:val="001E35AB"/>
    <w:rsid w:val="001E5046"/>
    <w:rsid w:val="0020008A"/>
    <w:rsid w:val="002008BD"/>
    <w:rsid w:val="002052DF"/>
    <w:rsid w:val="00205A58"/>
    <w:rsid w:val="002118F0"/>
    <w:rsid w:val="002139BA"/>
    <w:rsid w:val="00214A8A"/>
    <w:rsid w:val="0021627C"/>
    <w:rsid w:val="002242A4"/>
    <w:rsid w:val="00224C22"/>
    <w:rsid w:val="0022611B"/>
    <w:rsid w:val="002324AB"/>
    <w:rsid w:val="002362C7"/>
    <w:rsid w:val="00240DD0"/>
    <w:rsid w:val="00244076"/>
    <w:rsid w:val="00246898"/>
    <w:rsid w:val="0025067D"/>
    <w:rsid w:val="00255B2D"/>
    <w:rsid w:val="0025708A"/>
    <w:rsid w:val="00263F21"/>
    <w:rsid w:val="00265259"/>
    <w:rsid w:val="002722E9"/>
    <w:rsid w:val="00274817"/>
    <w:rsid w:val="002770E7"/>
    <w:rsid w:val="0028089D"/>
    <w:rsid w:val="00286F69"/>
    <w:rsid w:val="00294913"/>
    <w:rsid w:val="00297CC4"/>
    <w:rsid w:val="002A1E5E"/>
    <w:rsid w:val="002A26BA"/>
    <w:rsid w:val="002A32D5"/>
    <w:rsid w:val="002A58A4"/>
    <w:rsid w:val="002A7EEE"/>
    <w:rsid w:val="002B656B"/>
    <w:rsid w:val="002C0A09"/>
    <w:rsid w:val="002C0A5C"/>
    <w:rsid w:val="002C18A8"/>
    <w:rsid w:val="002C322D"/>
    <w:rsid w:val="002C5836"/>
    <w:rsid w:val="002D4945"/>
    <w:rsid w:val="002D6E7D"/>
    <w:rsid w:val="002D7CF5"/>
    <w:rsid w:val="002E3C13"/>
    <w:rsid w:val="002E4CF8"/>
    <w:rsid w:val="002E6378"/>
    <w:rsid w:val="002F1363"/>
    <w:rsid w:val="002F247A"/>
    <w:rsid w:val="002F2C24"/>
    <w:rsid w:val="002F4F22"/>
    <w:rsid w:val="00305AE4"/>
    <w:rsid w:val="0030658C"/>
    <w:rsid w:val="00306B56"/>
    <w:rsid w:val="003070BD"/>
    <w:rsid w:val="00310580"/>
    <w:rsid w:val="00313604"/>
    <w:rsid w:val="00320404"/>
    <w:rsid w:val="003230C1"/>
    <w:rsid w:val="0032577A"/>
    <w:rsid w:val="00332A60"/>
    <w:rsid w:val="00332CD2"/>
    <w:rsid w:val="0033374E"/>
    <w:rsid w:val="0033381E"/>
    <w:rsid w:val="00333E2F"/>
    <w:rsid w:val="00340AA6"/>
    <w:rsid w:val="003438F5"/>
    <w:rsid w:val="0034456A"/>
    <w:rsid w:val="00350542"/>
    <w:rsid w:val="0035100C"/>
    <w:rsid w:val="00361165"/>
    <w:rsid w:val="00371733"/>
    <w:rsid w:val="00382CF3"/>
    <w:rsid w:val="00384E7B"/>
    <w:rsid w:val="003855F8"/>
    <w:rsid w:val="00386773"/>
    <w:rsid w:val="00387783"/>
    <w:rsid w:val="0039067E"/>
    <w:rsid w:val="003A0912"/>
    <w:rsid w:val="003A7270"/>
    <w:rsid w:val="003B2175"/>
    <w:rsid w:val="003B5E20"/>
    <w:rsid w:val="003B624C"/>
    <w:rsid w:val="003C0F86"/>
    <w:rsid w:val="003D35F5"/>
    <w:rsid w:val="003D593D"/>
    <w:rsid w:val="003E3F3F"/>
    <w:rsid w:val="003E3F52"/>
    <w:rsid w:val="003E42C1"/>
    <w:rsid w:val="003F206F"/>
    <w:rsid w:val="003F7245"/>
    <w:rsid w:val="003F76C4"/>
    <w:rsid w:val="004000B9"/>
    <w:rsid w:val="00403C1F"/>
    <w:rsid w:val="004057CB"/>
    <w:rsid w:val="004071AD"/>
    <w:rsid w:val="00414772"/>
    <w:rsid w:val="00416771"/>
    <w:rsid w:val="0042060E"/>
    <w:rsid w:val="00423B26"/>
    <w:rsid w:val="00423DBE"/>
    <w:rsid w:val="00427AB0"/>
    <w:rsid w:val="00427E5F"/>
    <w:rsid w:val="00430FDB"/>
    <w:rsid w:val="00431613"/>
    <w:rsid w:val="00431F05"/>
    <w:rsid w:val="004334C2"/>
    <w:rsid w:val="004364E4"/>
    <w:rsid w:val="004427FE"/>
    <w:rsid w:val="00443C8F"/>
    <w:rsid w:val="00444343"/>
    <w:rsid w:val="004456FA"/>
    <w:rsid w:val="004460F2"/>
    <w:rsid w:val="004464EA"/>
    <w:rsid w:val="00446864"/>
    <w:rsid w:val="004476EC"/>
    <w:rsid w:val="00455DDE"/>
    <w:rsid w:val="00457D76"/>
    <w:rsid w:val="00467F5A"/>
    <w:rsid w:val="004714EA"/>
    <w:rsid w:val="00472AF8"/>
    <w:rsid w:val="00483264"/>
    <w:rsid w:val="00487AD3"/>
    <w:rsid w:val="00487CD5"/>
    <w:rsid w:val="00490B58"/>
    <w:rsid w:val="00495B49"/>
    <w:rsid w:val="004A085B"/>
    <w:rsid w:val="004A558B"/>
    <w:rsid w:val="004A67D6"/>
    <w:rsid w:val="004A70D3"/>
    <w:rsid w:val="004B3E07"/>
    <w:rsid w:val="004B7836"/>
    <w:rsid w:val="004C0DEB"/>
    <w:rsid w:val="004C0F0C"/>
    <w:rsid w:val="004C13CE"/>
    <w:rsid w:val="004C3D65"/>
    <w:rsid w:val="004C4192"/>
    <w:rsid w:val="004C6640"/>
    <w:rsid w:val="004C6D83"/>
    <w:rsid w:val="004D0734"/>
    <w:rsid w:val="004D08F0"/>
    <w:rsid w:val="004D1A39"/>
    <w:rsid w:val="004E16F1"/>
    <w:rsid w:val="004E174F"/>
    <w:rsid w:val="004E2A80"/>
    <w:rsid w:val="004F35E4"/>
    <w:rsid w:val="004F632C"/>
    <w:rsid w:val="004F6563"/>
    <w:rsid w:val="004F6860"/>
    <w:rsid w:val="00503679"/>
    <w:rsid w:val="00505174"/>
    <w:rsid w:val="00506E71"/>
    <w:rsid w:val="00507F69"/>
    <w:rsid w:val="00531BFC"/>
    <w:rsid w:val="00531E86"/>
    <w:rsid w:val="00533090"/>
    <w:rsid w:val="005334DC"/>
    <w:rsid w:val="00534C7A"/>
    <w:rsid w:val="00534E76"/>
    <w:rsid w:val="0054263E"/>
    <w:rsid w:val="00543432"/>
    <w:rsid w:val="00543CD4"/>
    <w:rsid w:val="00546648"/>
    <w:rsid w:val="00550AA4"/>
    <w:rsid w:val="00552387"/>
    <w:rsid w:val="0055581B"/>
    <w:rsid w:val="00555B17"/>
    <w:rsid w:val="00556950"/>
    <w:rsid w:val="0055791F"/>
    <w:rsid w:val="00563A69"/>
    <w:rsid w:val="005742A0"/>
    <w:rsid w:val="00575CAC"/>
    <w:rsid w:val="0058057F"/>
    <w:rsid w:val="00584AE2"/>
    <w:rsid w:val="00584E25"/>
    <w:rsid w:val="00585D6E"/>
    <w:rsid w:val="00587573"/>
    <w:rsid w:val="00596018"/>
    <w:rsid w:val="005A03D0"/>
    <w:rsid w:val="005A22BD"/>
    <w:rsid w:val="005A47E5"/>
    <w:rsid w:val="005A4D84"/>
    <w:rsid w:val="005A56FC"/>
    <w:rsid w:val="005B08D7"/>
    <w:rsid w:val="005B1C23"/>
    <w:rsid w:val="005B2C83"/>
    <w:rsid w:val="005B4F6A"/>
    <w:rsid w:val="005C01D0"/>
    <w:rsid w:val="005C240D"/>
    <w:rsid w:val="005D0EE5"/>
    <w:rsid w:val="005D5823"/>
    <w:rsid w:val="005E18D3"/>
    <w:rsid w:val="005E2FE1"/>
    <w:rsid w:val="005E509C"/>
    <w:rsid w:val="005F02EE"/>
    <w:rsid w:val="00601416"/>
    <w:rsid w:val="00603C54"/>
    <w:rsid w:val="00604982"/>
    <w:rsid w:val="00605579"/>
    <w:rsid w:val="00606685"/>
    <w:rsid w:val="006117A9"/>
    <w:rsid w:val="006179DF"/>
    <w:rsid w:val="006251E7"/>
    <w:rsid w:val="006255F6"/>
    <w:rsid w:val="006255FF"/>
    <w:rsid w:val="0062579B"/>
    <w:rsid w:val="00625952"/>
    <w:rsid w:val="00630EE0"/>
    <w:rsid w:val="006322F0"/>
    <w:rsid w:val="0063304D"/>
    <w:rsid w:val="00634F18"/>
    <w:rsid w:val="0063510B"/>
    <w:rsid w:val="006374FE"/>
    <w:rsid w:val="00637EE1"/>
    <w:rsid w:val="00643931"/>
    <w:rsid w:val="00643DC2"/>
    <w:rsid w:val="00645B65"/>
    <w:rsid w:val="00647A52"/>
    <w:rsid w:val="00657118"/>
    <w:rsid w:val="00657EE4"/>
    <w:rsid w:val="00663A2D"/>
    <w:rsid w:val="006651FC"/>
    <w:rsid w:val="00676521"/>
    <w:rsid w:val="00676728"/>
    <w:rsid w:val="00676AA0"/>
    <w:rsid w:val="00683E8F"/>
    <w:rsid w:val="006867A4"/>
    <w:rsid w:val="006947E9"/>
    <w:rsid w:val="006A089E"/>
    <w:rsid w:val="006A4180"/>
    <w:rsid w:val="006A558C"/>
    <w:rsid w:val="006A5D51"/>
    <w:rsid w:val="006A6C12"/>
    <w:rsid w:val="006A6C6E"/>
    <w:rsid w:val="006B4686"/>
    <w:rsid w:val="006B5247"/>
    <w:rsid w:val="006B55BE"/>
    <w:rsid w:val="006C0B35"/>
    <w:rsid w:val="006C2D86"/>
    <w:rsid w:val="006C5D24"/>
    <w:rsid w:val="006C6978"/>
    <w:rsid w:val="006D0ABD"/>
    <w:rsid w:val="006D2529"/>
    <w:rsid w:val="006D4CAF"/>
    <w:rsid w:val="006D7035"/>
    <w:rsid w:val="006E0EAE"/>
    <w:rsid w:val="006E3F49"/>
    <w:rsid w:val="006E45F0"/>
    <w:rsid w:val="006E5D11"/>
    <w:rsid w:val="006E719E"/>
    <w:rsid w:val="006E72AA"/>
    <w:rsid w:val="006E7B72"/>
    <w:rsid w:val="006E7C98"/>
    <w:rsid w:val="006F33AE"/>
    <w:rsid w:val="006F36AF"/>
    <w:rsid w:val="006F579F"/>
    <w:rsid w:val="00705791"/>
    <w:rsid w:val="00707310"/>
    <w:rsid w:val="007211EB"/>
    <w:rsid w:val="00725661"/>
    <w:rsid w:val="0072647B"/>
    <w:rsid w:val="007317AF"/>
    <w:rsid w:val="00734925"/>
    <w:rsid w:val="0073717B"/>
    <w:rsid w:val="00743324"/>
    <w:rsid w:val="00743BE7"/>
    <w:rsid w:val="007464D8"/>
    <w:rsid w:val="007473CE"/>
    <w:rsid w:val="00750917"/>
    <w:rsid w:val="0075225E"/>
    <w:rsid w:val="0075538B"/>
    <w:rsid w:val="0075649E"/>
    <w:rsid w:val="00756B7A"/>
    <w:rsid w:val="007658D5"/>
    <w:rsid w:val="007723F1"/>
    <w:rsid w:val="0077269F"/>
    <w:rsid w:val="00773D4E"/>
    <w:rsid w:val="0077484C"/>
    <w:rsid w:val="00782FF7"/>
    <w:rsid w:val="00783975"/>
    <w:rsid w:val="00786E8E"/>
    <w:rsid w:val="007908FC"/>
    <w:rsid w:val="00795E8F"/>
    <w:rsid w:val="007A486B"/>
    <w:rsid w:val="007A5147"/>
    <w:rsid w:val="007B3222"/>
    <w:rsid w:val="007B7084"/>
    <w:rsid w:val="007B7D2B"/>
    <w:rsid w:val="007C05E2"/>
    <w:rsid w:val="007C06D1"/>
    <w:rsid w:val="007C14D0"/>
    <w:rsid w:val="007C4BD4"/>
    <w:rsid w:val="007D2E45"/>
    <w:rsid w:val="007D630D"/>
    <w:rsid w:val="007F37EE"/>
    <w:rsid w:val="007F5AD7"/>
    <w:rsid w:val="007F6F3A"/>
    <w:rsid w:val="007F7265"/>
    <w:rsid w:val="007F7C5A"/>
    <w:rsid w:val="0080432C"/>
    <w:rsid w:val="008064A0"/>
    <w:rsid w:val="00810133"/>
    <w:rsid w:val="00812F89"/>
    <w:rsid w:val="00815E3D"/>
    <w:rsid w:val="00816C6C"/>
    <w:rsid w:val="00817D5D"/>
    <w:rsid w:val="00817DA2"/>
    <w:rsid w:val="00817EEE"/>
    <w:rsid w:val="00823A17"/>
    <w:rsid w:val="008252D1"/>
    <w:rsid w:val="00827B75"/>
    <w:rsid w:val="00830741"/>
    <w:rsid w:val="008451F4"/>
    <w:rsid w:val="00846662"/>
    <w:rsid w:val="00846B43"/>
    <w:rsid w:val="00846C7D"/>
    <w:rsid w:val="00847950"/>
    <w:rsid w:val="008507CD"/>
    <w:rsid w:val="00853B04"/>
    <w:rsid w:val="008540BE"/>
    <w:rsid w:val="00854E95"/>
    <w:rsid w:val="00862A1E"/>
    <w:rsid w:val="0086324C"/>
    <w:rsid w:val="008668A8"/>
    <w:rsid w:val="00866934"/>
    <w:rsid w:val="0087147C"/>
    <w:rsid w:val="008762C2"/>
    <w:rsid w:val="00877AC9"/>
    <w:rsid w:val="008816F1"/>
    <w:rsid w:val="008907C2"/>
    <w:rsid w:val="00892C1C"/>
    <w:rsid w:val="00897050"/>
    <w:rsid w:val="008A137F"/>
    <w:rsid w:val="008A3597"/>
    <w:rsid w:val="008A5EFE"/>
    <w:rsid w:val="008B16C5"/>
    <w:rsid w:val="008B26B0"/>
    <w:rsid w:val="008B5643"/>
    <w:rsid w:val="008B680D"/>
    <w:rsid w:val="008B6C66"/>
    <w:rsid w:val="008B75DD"/>
    <w:rsid w:val="008C3A06"/>
    <w:rsid w:val="008C441E"/>
    <w:rsid w:val="008C65ED"/>
    <w:rsid w:val="008C682F"/>
    <w:rsid w:val="008C6AC7"/>
    <w:rsid w:val="008C6BD8"/>
    <w:rsid w:val="008D1373"/>
    <w:rsid w:val="008D4E14"/>
    <w:rsid w:val="008E00E7"/>
    <w:rsid w:val="008E168B"/>
    <w:rsid w:val="008E2021"/>
    <w:rsid w:val="008E3E24"/>
    <w:rsid w:val="008F2DF4"/>
    <w:rsid w:val="008F2F90"/>
    <w:rsid w:val="008F40B5"/>
    <w:rsid w:val="00904023"/>
    <w:rsid w:val="00905603"/>
    <w:rsid w:val="009111EA"/>
    <w:rsid w:val="009132BF"/>
    <w:rsid w:val="00923F57"/>
    <w:rsid w:val="009309AA"/>
    <w:rsid w:val="00946400"/>
    <w:rsid w:val="00965A51"/>
    <w:rsid w:val="009671CA"/>
    <w:rsid w:val="0097074C"/>
    <w:rsid w:val="00972962"/>
    <w:rsid w:val="00972FC5"/>
    <w:rsid w:val="00974279"/>
    <w:rsid w:val="00981956"/>
    <w:rsid w:val="00982BD5"/>
    <w:rsid w:val="00983918"/>
    <w:rsid w:val="009918CC"/>
    <w:rsid w:val="0099345D"/>
    <w:rsid w:val="00996984"/>
    <w:rsid w:val="00996C24"/>
    <w:rsid w:val="009A0290"/>
    <w:rsid w:val="009A770B"/>
    <w:rsid w:val="009A7AE8"/>
    <w:rsid w:val="009B05F8"/>
    <w:rsid w:val="009B0913"/>
    <w:rsid w:val="009B0F1C"/>
    <w:rsid w:val="009B3475"/>
    <w:rsid w:val="009B5DAD"/>
    <w:rsid w:val="009B62A8"/>
    <w:rsid w:val="009C01B4"/>
    <w:rsid w:val="009C266D"/>
    <w:rsid w:val="009C3228"/>
    <w:rsid w:val="009C4D74"/>
    <w:rsid w:val="009C725B"/>
    <w:rsid w:val="009D23FA"/>
    <w:rsid w:val="009D266B"/>
    <w:rsid w:val="009D61BA"/>
    <w:rsid w:val="009E02E5"/>
    <w:rsid w:val="009E21D2"/>
    <w:rsid w:val="009E36D8"/>
    <w:rsid w:val="009E4104"/>
    <w:rsid w:val="009E6753"/>
    <w:rsid w:val="009E6BEE"/>
    <w:rsid w:val="009E6E38"/>
    <w:rsid w:val="00A00ABF"/>
    <w:rsid w:val="00A01F1F"/>
    <w:rsid w:val="00A06C3F"/>
    <w:rsid w:val="00A07E0F"/>
    <w:rsid w:val="00A14D87"/>
    <w:rsid w:val="00A1543E"/>
    <w:rsid w:val="00A15EF5"/>
    <w:rsid w:val="00A173F3"/>
    <w:rsid w:val="00A17F31"/>
    <w:rsid w:val="00A24BF5"/>
    <w:rsid w:val="00A24FDF"/>
    <w:rsid w:val="00A32B67"/>
    <w:rsid w:val="00A33BC3"/>
    <w:rsid w:val="00A3695A"/>
    <w:rsid w:val="00A417A3"/>
    <w:rsid w:val="00A427B6"/>
    <w:rsid w:val="00A53EF2"/>
    <w:rsid w:val="00A56182"/>
    <w:rsid w:val="00A57903"/>
    <w:rsid w:val="00A60B45"/>
    <w:rsid w:val="00A614F7"/>
    <w:rsid w:val="00A72752"/>
    <w:rsid w:val="00A72BE0"/>
    <w:rsid w:val="00A72F2B"/>
    <w:rsid w:val="00A746B4"/>
    <w:rsid w:val="00A74EE5"/>
    <w:rsid w:val="00A761E4"/>
    <w:rsid w:val="00A775A4"/>
    <w:rsid w:val="00A819DE"/>
    <w:rsid w:val="00A905AF"/>
    <w:rsid w:val="00A912E4"/>
    <w:rsid w:val="00A92404"/>
    <w:rsid w:val="00A93605"/>
    <w:rsid w:val="00A96B83"/>
    <w:rsid w:val="00A9764A"/>
    <w:rsid w:val="00AA0C10"/>
    <w:rsid w:val="00AA376B"/>
    <w:rsid w:val="00AB06B2"/>
    <w:rsid w:val="00AB2DA5"/>
    <w:rsid w:val="00AB436B"/>
    <w:rsid w:val="00AB6D03"/>
    <w:rsid w:val="00AC62A5"/>
    <w:rsid w:val="00AD03AD"/>
    <w:rsid w:val="00AD6406"/>
    <w:rsid w:val="00AE0409"/>
    <w:rsid w:val="00AE0CC7"/>
    <w:rsid w:val="00AE2E1C"/>
    <w:rsid w:val="00AE6884"/>
    <w:rsid w:val="00AE6EDA"/>
    <w:rsid w:val="00AE7736"/>
    <w:rsid w:val="00AE7C04"/>
    <w:rsid w:val="00B001F4"/>
    <w:rsid w:val="00B0296E"/>
    <w:rsid w:val="00B03ACD"/>
    <w:rsid w:val="00B123DB"/>
    <w:rsid w:val="00B13EFE"/>
    <w:rsid w:val="00B160C4"/>
    <w:rsid w:val="00B16697"/>
    <w:rsid w:val="00B268CE"/>
    <w:rsid w:val="00B27F04"/>
    <w:rsid w:val="00B3000B"/>
    <w:rsid w:val="00B34676"/>
    <w:rsid w:val="00B35959"/>
    <w:rsid w:val="00B42781"/>
    <w:rsid w:val="00B43123"/>
    <w:rsid w:val="00B43B12"/>
    <w:rsid w:val="00B50F53"/>
    <w:rsid w:val="00B53FB2"/>
    <w:rsid w:val="00B540BC"/>
    <w:rsid w:val="00B54EC2"/>
    <w:rsid w:val="00B604A5"/>
    <w:rsid w:val="00B613A1"/>
    <w:rsid w:val="00B6365B"/>
    <w:rsid w:val="00B636A3"/>
    <w:rsid w:val="00B7141F"/>
    <w:rsid w:val="00B80E71"/>
    <w:rsid w:val="00B82DBE"/>
    <w:rsid w:val="00B90BCC"/>
    <w:rsid w:val="00B925F3"/>
    <w:rsid w:val="00B97929"/>
    <w:rsid w:val="00BB479C"/>
    <w:rsid w:val="00BB6FF5"/>
    <w:rsid w:val="00BC05FC"/>
    <w:rsid w:val="00BC171F"/>
    <w:rsid w:val="00BC2F6B"/>
    <w:rsid w:val="00BC4455"/>
    <w:rsid w:val="00BD0E64"/>
    <w:rsid w:val="00BD10BC"/>
    <w:rsid w:val="00BD2791"/>
    <w:rsid w:val="00BD2CBA"/>
    <w:rsid w:val="00BD4E78"/>
    <w:rsid w:val="00BD62CB"/>
    <w:rsid w:val="00BD7550"/>
    <w:rsid w:val="00BE5140"/>
    <w:rsid w:val="00BE7BC2"/>
    <w:rsid w:val="00BF0016"/>
    <w:rsid w:val="00BF5764"/>
    <w:rsid w:val="00C03202"/>
    <w:rsid w:val="00C13F3F"/>
    <w:rsid w:val="00C17CA3"/>
    <w:rsid w:val="00C2083A"/>
    <w:rsid w:val="00C2476C"/>
    <w:rsid w:val="00C31177"/>
    <w:rsid w:val="00C3291B"/>
    <w:rsid w:val="00C3316E"/>
    <w:rsid w:val="00C332A3"/>
    <w:rsid w:val="00C4029B"/>
    <w:rsid w:val="00C4082F"/>
    <w:rsid w:val="00C42251"/>
    <w:rsid w:val="00C468FA"/>
    <w:rsid w:val="00C46D76"/>
    <w:rsid w:val="00C512F4"/>
    <w:rsid w:val="00C53498"/>
    <w:rsid w:val="00C53C8B"/>
    <w:rsid w:val="00C552A1"/>
    <w:rsid w:val="00C576EA"/>
    <w:rsid w:val="00C62B66"/>
    <w:rsid w:val="00C71A2A"/>
    <w:rsid w:val="00C729D5"/>
    <w:rsid w:val="00C74827"/>
    <w:rsid w:val="00C751EC"/>
    <w:rsid w:val="00C77D35"/>
    <w:rsid w:val="00C86E93"/>
    <w:rsid w:val="00C93DB8"/>
    <w:rsid w:val="00CB013D"/>
    <w:rsid w:val="00CC2F39"/>
    <w:rsid w:val="00CC315E"/>
    <w:rsid w:val="00CC35A5"/>
    <w:rsid w:val="00CC6A91"/>
    <w:rsid w:val="00CD2054"/>
    <w:rsid w:val="00CD6DD2"/>
    <w:rsid w:val="00CE0644"/>
    <w:rsid w:val="00CE0EE1"/>
    <w:rsid w:val="00CE2C95"/>
    <w:rsid w:val="00CE4E86"/>
    <w:rsid w:val="00CF0C38"/>
    <w:rsid w:val="00CF3ECE"/>
    <w:rsid w:val="00CF45E1"/>
    <w:rsid w:val="00CF746A"/>
    <w:rsid w:val="00D007BE"/>
    <w:rsid w:val="00D0154F"/>
    <w:rsid w:val="00D0439E"/>
    <w:rsid w:val="00D04BBD"/>
    <w:rsid w:val="00D04C92"/>
    <w:rsid w:val="00D127DD"/>
    <w:rsid w:val="00D129C1"/>
    <w:rsid w:val="00D31E19"/>
    <w:rsid w:val="00D35563"/>
    <w:rsid w:val="00D4017B"/>
    <w:rsid w:val="00D41F6E"/>
    <w:rsid w:val="00D44366"/>
    <w:rsid w:val="00D45485"/>
    <w:rsid w:val="00D45A60"/>
    <w:rsid w:val="00D52670"/>
    <w:rsid w:val="00D52D3A"/>
    <w:rsid w:val="00D55E67"/>
    <w:rsid w:val="00D570E4"/>
    <w:rsid w:val="00D603FD"/>
    <w:rsid w:val="00D61555"/>
    <w:rsid w:val="00D64185"/>
    <w:rsid w:val="00D6448D"/>
    <w:rsid w:val="00D6621F"/>
    <w:rsid w:val="00D732B5"/>
    <w:rsid w:val="00D74029"/>
    <w:rsid w:val="00D77F0F"/>
    <w:rsid w:val="00D901D5"/>
    <w:rsid w:val="00D91693"/>
    <w:rsid w:val="00D94810"/>
    <w:rsid w:val="00DA0E02"/>
    <w:rsid w:val="00DA36F2"/>
    <w:rsid w:val="00DC0876"/>
    <w:rsid w:val="00DC3084"/>
    <w:rsid w:val="00DC325A"/>
    <w:rsid w:val="00DC5650"/>
    <w:rsid w:val="00DE3986"/>
    <w:rsid w:val="00DF3ABD"/>
    <w:rsid w:val="00DF5055"/>
    <w:rsid w:val="00DF5A2F"/>
    <w:rsid w:val="00DF6063"/>
    <w:rsid w:val="00DF671D"/>
    <w:rsid w:val="00E01EB8"/>
    <w:rsid w:val="00E0763C"/>
    <w:rsid w:val="00E077CA"/>
    <w:rsid w:val="00E10D4E"/>
    <w:rsid w:val="00E114CE"/>
    <w:rsid w:val="00E153B5"/>
    <w:rsid w:val="00E165A6"/>
    <w:rsid w:val="00E2048F"/>
    <w:rsid w:val="00E22B90"/>
    <w:rsid w:val="00E2587A"/>
    <w:rsid w:val="00E266E5"/>
    <w:rsid w:val="00E34012"/>
    <w:rsid w:val="00E34597"/>
    <w:rsid w:val="00E352F7"/>
    <w:rsid w:val="00E40928"/>
    <w:rsid w:val="00E44E39"/>
    <w:rsid w:val="00E50B46"/>
    <w:rsid w:val="00E54082"/>
    <w:rsid w:val="00E55B1A"/>
    <w:rsid w:val="00E57F20"/>
    <w:rsid w:val="00E75003"/>
    <w:rsid w:val="00E769C9"/>
    <w:rsid w:val="00E77A73"/>
    <w:rsid w:val="00E801DC"/>
    <w:rsid w:val="00E82889"/>
    <w:rsid w:val="00E857AA"/>
    <w:rsid w:val="00E85B5D"/>
    <w:rsid w:val="00E87031"/>
    <w:rsid w:val="00E93D18"/>
    <w:rsid w:val="00EA04C0"/>
    <w:rsid w:val="00EB013C"/>
    <w:rsid w:val="00EB341E"/>
    <w:rsid w:val="00EB360A"/>
    <w:rsid w:val="00EB5476"/>
    <w:rsid w:val="00EB7532"/>
    <w:rsid w:val="00EC06F7"/>
    <w:rsid w:val="00EC22A2"/>
    <w:rsid w:val="00EC5B56"/>
    <w:rsid w:val="00ED0847"/>
    <w:rsid w:val="00ED1D5B"/>
    <w:rsid w:val="00ED5650"/>
    <w:rsid w:val="00EE49F6"/>
    <w:rsid w:val="00EE4D8C"/>
    <w:rsid w:val="00EE745B"/>
    <w:rsid w:val="00EE78B6"/>
    <w:rsid w:val="00EE7D57"/>
    <w:rsid w:val="00F0301A"/>
    <w:rsid w:val="00F042E7"/>
    <w:rsid w:val="00F115C7"/>
    <w:rsid w:val="00F13400"/>
    <w:rsid w:val="00F24FBB"/>
    <w:rsid w:val="00F26D9C"/>
    <w:rsid w:val="00F313B7"/>
    <w:rsid w:val="00F3374D"/>
    <w:rsid w:val="00F33B63"/>
    <w:rsid w:val="00F43E2B"/>
    <w:rsid w:val="00F51980"/>
    <w:rsid w:val="00F67BB0"/>
    <w:rsid w:val="00F70FCD"/>
    <w:rsid w:val="00F718EB"/>
    <w:rsid w:val="00F732E3"/>
    <w:rsid w:val="00F73D6A"/>
    <w:rsid w:val="00F755BF"/>
    <w:rsid w:val="00F77801"/>
    <w:rsid w:val="00F77D16"/>
    <w:rsid w:val="00F804F9"/>
    <w:rsid w:val="00F8690F"/>
    <w:rsid w:val="00F8731F"/>
    <w:rsid w:val="00F900BE"/>
    <w:rsid w:val="00F9435B"/>
    <w:rsid w:val="00F972A0"/>
    <w:rsid w:val="00FA2720"/>
    <w:rsid w:val="00FA77B1"/>
    <w:rsid w:val="00FB047A"/>
    <w:rsid w:val="00FB0E82"/>
    <w:rsid w:val="00FC1F81"/>
    <w:rsid w:val="00FC599D"/>
    <w:rsid w:val="00FC68A8"/>
    <w:rsid w:val="00FD15E7"/>
    <w:rsid w:val="00FD16A7"/>
    <w:rsid w:val="00FD19C3"/>
    <w:rsid w:val="00FD3708"/>
    <w:rsid w:val="00FD482A"/>
    <w:rsid w:val="00FE19BD"/>
    <w:rsid w:val="00FE253C"/>
    <w:rsid w:val="00FE377D"/>
    <w:rsid w:val="00FF0EF1"/>
    <w:rsid w:val="00FF1C92"/>
    <w:rsid w:val="00FF3472"/>
    <w:rsid w:val="00FF455E"/>
    <w:rsid w:val="00FF6348"/>
    <w:rsid w:val="00FF683B"/>
    <w:rsid w:val="012073A2"/>
    <w:rsid w:val="01973053"/>
    <w:rsid w:val="027E74CA"/>
    <w:rsid w:val="033755DF"/>
    <w:rsid w:val="034B5463"/>
    <w:rsid w:val="03FC455C"/>
    <w:rsid w:val="04DB3C44"/>
    <w:rsid w:val="06D51014"/>
    <w:rsid w:val="074B3407"/>
    <w:rsid w:val="0CF43C8A"/>
    <w:rsid w:val="0D4967B3"/>
    <w:rsid w:val="0D56750A"/>
    <w:rsid w:val="0DA87EC0"/>
    <w:rsid w:val="0DC21F49"/>
    <w:rsid w:val="0EE553D4"/>
    <w:rsid w:val="0F447B05"/>
    <w:rsid w:val="0FB35FCE"/>
    <w:rsid w:val="0FEC3E14"/>
    <w:rsid w:val="1198193E"/>
    <w:rsid w:val="12647A72"/>
    <w:rsid w:val="12764066"/>
    <w:rsid w:val="12A367ED"/>
    <w:rsid w:val="12A53D1F"/>
    <w:rsid w:val="12C7072D"/>
    <w:rsid w:val="134C146A"/>
    <w:rsid w:val="14377FD0"/>
    <w:rsid w:val="1457055C"/>
    <w:rsid w:val="14856F74"/>
    <w:rsid w:val="14D00479"/>
    <w:rsid w:val="15C0748F"/>
    <w:rsid w:val="16174E54"/>
    <w:rsid w:val="16BE53A8"/>
    <w:rsid w:val="174E18CF"/>
    <w:rsid w:val="17A35DDF"/>
    <w:rsid w:val="17A776A1"/>
    <w:rsid w:val="18787EC5"/>
    <w:rsid w:val="19106884"/>
    <w:rsid w:val="19E84073"/>
    <w:rsid w:val="1A1F2BFD"/>
    <w:rsid w:val="1AD27C6F"/>
    <w:rsid w:val="1AEF3D03"/>
    <w:rsid w:val="1B7E0E69"/>
    <w:rsid w:val="1C136E65"/>
    <w:rsid w:val="1CC031EA"/>
    <w:rsid w:val="1D4F1A4B"/>
    <w:rsid w:val="1E1F4AC3"/>
    <w:rsid w:val="1EFA407E"/>
    <w:rsid w:val="1F126151"/>
    <w:rsid w:val="206C6470"/>
    <w:rsid w:val="208512E0"/>
    <w:rsid w:val="20EC512E"/>
    <w:rsid w:val="21604DF6"/>
    <w:rsid w:val="21B878C1"/>
    <w:rsid w:val="22723962"/>
    <w:rsid w:val="23405AD6"/>
    <w:rsid w:val="241C4DDC"/>
    <w:rsid w:val="24CD0EEF"/>
    <w:rsid w:val="24D067A5"/>
    <w:rsid w:val="25150C2F"/>
    <w:rsid w:val="25D24FC7"/>
    <w:rsid w:val="25DA20CE"/>
    <w:rsid w:val="262B2929"/>
    <w:rsid w:val="27160EE4"/>
    <w:rsid w:val="27640417"/>
    <w:rsid w:val="276F5ADD"/>
    <w:rsid w:val="286F17BB"/>
    <w:rsid w:val="29204D61"/>
    <w:rsid w:val="29F17F1B"/>
    <w:rsid w:val="29F563F0"/>
    <w:rsid w:val="29F714A0"/>
    <w:rsid w:val="2A2D4EC2"/>
    <w:rsid w:val="2A8E16D9"/>
    <w:rsid w:val="2B1F6EEB"/>
    <w:rsid w:val="2B2432F4"/>
    <w:rsid w:val="2B7B23A2"/>
    <w:rsid w:val="2B97780B"/>
    <w:rsid w:val="2CCB46E5"/>
    <w:rsid w:val="2D147227"/>
    <w:rsid w:val="2E2A5CB9"/>
    <w:rsid w:val="2E531BBE"/>
    <w:rsid w:val="2E6073FD"/>
    <w:rsid w:val="2F195A15"/>
    <w:rsid w:val="2F24002C"/>
    <w:rsid w:val="2F743656"/>
    <w:rsid w:val="30106346"/>
    <w:rsid w:val="30354AD0"/>
    <w:rsid w:val="3058422F"/>
    <w:rsid w:val="30817D16"/>
    <w:rsid w:val="31343FF3"/>
    <w:rsid w:val="313F54DB"/>
    <w:rsid w:val="31AE15C3"/>
    <w:rsid w:val="31D65E3F"/>
    <w:rsid w:val="31FF6CE2"/>
    <w:rsid w:val="3240775C"/>
    <w:rsid w:val="336E20A7"/>
    <w:rsid w:val="350E3920"/>
    <w:rsid w:val="35BB3EF4"/>
    <w:rsid w:val="363250FE"/>
    <w:rsid w:val="369C4E13"/>
    <w:rsid w:val="386B0FD9"/>
    <w:rsid w:val="38795247"/>
    <w:rsid w:val="38D30083"/>
    <w:rsid w:val="38DB609B"/>
    <w:rsid w:val="3933479C"/>
    <w:rsid w:val="393D0552"/>
    <w:rsid w:val="396D1326"/>
    <w:rsid w:val="3A706705"/>
    <w:rsid w:val="3A9643BE"/>
    <w:rsid w:val="3AB94550"/>
    <w:rsid w:val="3B697D24"/>
    <w:rsid w:val="3B97665A"/>
    <w:rsid w:val="3C1852A6"/>
    <w:rsid w:val="3CAC611A"/>
    <w:rsid w:val="3DCC6552"/>
    <w:rsid w:val="3E046715"/>
    <w:rsid w:val="3ED06679"/>
    <w:rsid w:val="3EE2552D"/>
    <w:rsid w:val="3F0C0D43"/>
    <w:rsid w:val="3F817984"/>
    <w:rsid w:val="40C517C6"/>
    <w:rsid w:val="414C7ECC"/>
    <w:rsid w:val="420F5B47"/>
    <w:rsid w:val="421B33FA"/>
    <w:rsid w:val="42E3216A"/>
    <w:rsid w:val="43655275"/>
    <w:rsid w:val="43814CB7"/>
    <w:rsid w:val="43D0120B"/>
    <w:rsid w:val="459335BD"/>
    <w:rsid w:val="46ED03C2"/>
    <w:rsid w:val="471F4837"/>
    <w:rsid w:val="47326AA5"/>
    <w:rsid w:val="47555600"/>
    <w:rsid w:val="47C37016"/>
    <w:rsid w:val="48333752"/>
    <w:rsid w:val="484F252F"/>
    <w:rsid w:val="488B5EDD"/>
    <w:rsid w:val="48E71F79"/>
    <w:rsid w:val="4A8A1CA2"/>
    <w:rsid w:val="4B011028"/>
    <w:rsid w:val="4BBA1ED6"/>
    <w:rsid w:val="4C661C38"/>
    <w:rsid w:val="4C9A5EA5"/>
    <w:rsid w:val="4DD3129F"/>
    <w:rsid w:val="4EE2079C"/>
    <w:rsid w:val="4EFD2805"/>
    <w:rsid w:val="4F4E509D"/>
    <w:rsid w:val="4F695EDB"/>
    <w:rsid w:val="50D543D0"/>
    <w:rsid w:val="516B71DE"/>
    <w:rsid w:val="517910AB"/>
    <w:rsid w:val="51885345"/>
    <w:rsid w:val="51F3407B"/>
    <w:rsid w:val="52F40A7A"/>
    <w:rsid w:val="53AB37CE"/>
    <w:rsid w:val="5402266C"/>
    <w:rsid w:val="555F515E"/>
    <w:rsid w:val="579529A0"/>
    <w:rsid w:val="57A943D4"/>
    <w:rsid w:val="57F10380"/>
    <w:rsid w:val="581638A7"/>
    <w:rsid w:val="59A73A9A"/>
    <w:rsid w:val="59AA5338"/>
    <w:rsid w:val="5AB10EDB"/>
    <w:rsid w:val="5AEE394A"/>
    <w:rsid w:val="5B20154B"/>
    <w:rsid w:val="5BB9351D"/>
    <w:rsid w:val="5CD62593"/>
    <w:rsid w:val="5CDA23D8"/>
    <w:rsid w:val="5DB11630"/>
    <w:rsid w:val="5EB85928"/>
    <w:rsid w:val="5F1C6CD8"/>
    <w:rsid w:val="5F7F05A5"/>
    <w:rsid w:val="60090E87"/>
    <w:rsid w:val="611A2DA3"/>
    <w:rsid w:val="616855EF"/>
    <w:rsid w:val="619D1C6C"/>
    <w:rsid w:val="62E269BE"/>
    <w:rsid w:val="63273FE2"/>
    <w:rsid w:val="633C4553"/>
    <w:rsid w:val="635E1DC8"/>
    <w:rsid w:val="637349EC"/>
    <w:rsid w:val="637C4E48"/>
    <w:rsid w:val="638D4F5B"/>
    <w:rsid w:val="63F8153B"/>
    <w:rsid w:val="64590086"/>
    <w:rsid w:val="64DB6CED"/>
    <w:rsid w:val="65446953"/>
    <w:rsid w:val="65474383"/>
    <w:rsid w:val="65DD6181"/>
    <w:rsid w:val="669022A4"/>
    <w:rsid w:val="66BF71C4"/>
    <w:rsid w:val="66C7577B"/>
    <w:rsid w:val="67C63C85"/>
    <w:rsid w:val="68A1291D"/>
    <w:rsid w:val="68B76BCA"/>
    <w:rsid w:val="68D12C7B"/>
    <w:rsid w:val="693646B5"/>
    <w:rsid w:val="69604790"/>
    <w:rsid w:val="6A557E75"/>
    <w:rsid w:val="6BD35AC9"/>
    <w:rsid w:val="6C256F57"/>
    <w:rsid w:val="6DE94229"/>
    <w:rsid w:val="6F100594"/>
    <w:rsid w:val="6FB05B67"/>
    <w:rsid w:val="70241AA7"/>
    <w:rsid w:val="7052319E"/>
    <w:rsid w:val="70A257A4"/>
    <w:rsid w:val="71235CA4"/>
    <w:rsid w:val="7221670E"/>
    <w:rsid w:val="72600832"/>
    <w:rsid w:val="728F2720"/>
    <w:rsid w:val="73222030"/>
    <w:rsid w:val="732469A5"/>
    <w:rsid w:val="74793E2D"/>
    <w:rsid w:val="74B64137"/>
    <w:rsid w:val="75DE488F"/>
    <w:rsid w:val="76552FDB"/>
    <w:rsid w:val="77A46809"/>
    <w:rsid w:val="77C05946"/>
    <w:rsid w:val="793E45B1"/>
    <w:rsid w:val="7A5B26E7"/>
    <w:rsid w:val="7A610B9B"/>
    <w:rsid w:val="7A983FB3"/>
    <w:rsid w:val="7AFA5663"/>
    <w:rsid w:val="7D1829FA"/>
    <w:rsid w:val="7DAB739D"/>
    <w:rsid w:val="7EB1033D"/>
    <w:rsid w:val="7EBB4B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0"/>
    <w:pPr>
      <w:spacing w:beforeAutospacing="1" w:afterAutospacing="1"/>
      <w:jc w:val="left"/>
      <w:outlineLvl w:val="2"/>
    </w:pPr>
    <w:rPr>
      <w:rFonts w:hint="eastAsia" w:ascii="宋体" w:hAnsi="宋体"/>
      <w:b/>
      <w:kern w:val="0"/>
      <w:sz w:val="27"/>
      <w:szCs w:val="27"/>
    </w:rPr>
  </w:style>
  <w:style w:type="character" w:default="1" w:styleId="13">
    <w:name w:val="Default Paragraph Font"/>
    <w:semiHidden/>
    <w:unhideWhenUsed/>
    <w:qFormat/>
    <w:uiPriority w:val="1"/>
  </w:style>
  <w:style w:type="table" w:default="1" w:styleId="11">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3">
    <w:name w:val="annotation text"/>
    <w:basedOn w:val="1"/>
    <w:link w:val="48"/>
    <w:semiHidden/>
    <w:unhideWhenUsed/>
    <w:qFormat/>
    <w:uiPriority w:val="0"/>
    <w:pPr>
      <w:jc w:val="left"/>
    </w:pPr>
  </w:style>
  <w:style w:type="paragraph" w:styleId="4">
    <w:name w:val="Body Text"/>
    <w:basedOn w:val="1"/>
    <w:link w:val="43"/>
    <w:unhideWhenUsed/>
    <w:qFormat/>
    <w:uiPriority w:val="99"/>
    <w:pPr>
      <w:ind w:left="109"/>
    </w:pPr>
    <w:rPr>
      <w:rFonts w:ascii="仿宋_GB2312" w:hAnsi="仿宋_GB2312" w:eastAsia="仿宋_GB2312" w:cs="Calibri"/>
      <w:sz w:val="32"/>
    </w:rPr>
  </w:style>
  <w:style w:type="paragraph" w:styleId="5">
    <w:name w:val="Plain Text"/>
    <w:basedOn w:val="1"/>
    <w:qFormat/>
    <w:uiPriority w:val="0"/>
    <w:rPr>
      <w:rFonts w:ascii="宋体" w:hAnsi="Courier New" w:cs="Courier New"/>
      <w:szCs w:val="21"/>
    </w:rPr>
  </w:style>
  <w:style w:type="paragraph" w:styleId="6">
    <w:name w:val="Balloon Text"/>
    <w:basedOn w:val="1"/>
    <w:link w:val="22"/>
    <w:qFormat/>
    <w:uiPriority w:val="0"/>
    <w:rPr>
      <w:sz w:val="18"/>
      <w:szCs w:val="18"/>
    </w:rPr>
  </w:style>
  <w:style w:type="paragraph" w:styleId="7">
    <w:name w:val="footer"/>
    <w:basedOn w:val="1"/>
    <w:link w:val="21"/>
    <w:qFormat/>
    <w:uiPriority w:val="99"/>
    <w:pPr>
      <w:tabs>
        <w:tab w:val="center" w:pos="4153"/>
        <w:tab w:val="right" w:pos="8306"/>
      </w:tabs>
      <w:snapToGrid w:val="0"/>
      <w:jc w:val="left"/>
    </w:pPr>
    <w:rPr>
      <w:sz w:val="18"/>
      <w:szCs w:val="18"/>
    </w:rPr>
  </w:style>
  <w:style w:type="paragraph" w:styleId="8">
    <w:name w:val="header"/>
    <w:basedOn w:val="1"/>
    <w:link w:val="20"/>
    <w:qFormat/>
    <w:uiPriority w:val="0"/>
    <w:pPr>
      <w:pBdr>
        <w:bottom w:val="single" w:color="auto" w:sz="6" w:space="1"/>
      </w:pBdr>
      <w:tabs>
        <w:tab w:val="center" w:pos="4153"/>
        <w:tab w:val="right" w:pos="8306"/>
      </w:tabs>
      <w:snapToGrid w:val="0"/>
      <w:jc w:val="center"/>
    </w:pPr>
    <w:rPr>
      <w:sz w:val="18"/>
      <w:szCs w:val="18"/>
    </w:rPr>
  </w:style>
  <w:style w:type="paragraph" w:styleId="9">
    <w:name w:val="HTML Preformatted"/>
    <w:basedOn w:val="1"/>
    <w:link w:val="41"/>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10">
    <w:name w:val="annotation subject"/>
    <w:basedOn w:val="3"/>
    <w:next w:val="3"/>
    <w:link w:val="49"/>
    <w:semiHidden/>
    <w:unhideWhenUsed/>
    <w:qFormat/>
    <w:uiPriority w:val="0"/>
    <w:rPr>
      <w:b/>
      <w:bCs/>
    </w:rPr>
  </w:style>
  <w:style w:type="table" w:styleId="12">
    <w:name w:val="Table Grid"/>
    <w:basedOn w:val="11"/>
    <w:qFormat/>
    <w:uiPriority w:val="39"/>
    <w:rPr>
      <w:rFonts w:asciiTheme="minorHAnsi" w:hAnsiTheme="minorHAnsi" w:eastAsiaTheme="minorEastAsia" w:cstheme="minorBid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0"/>
    <w:rPr>
      <w:b/>
    </w:rPr>
  </w:style>
  <w:style w:type="character" w:styleId="15">
    <w:name w:val="Hyperlink"/>
    <w:basedOn w:val="13"/>
    <w:unhideWhenUsed/>
    <w:qFormat/>
    <w:uiPriority w:val="99"/>
    <w:rPr>
      <w:color w:val="0000FF"/>
      <w:u w:val="single"/>
    </w:rPr>
  </w:style>
  <w:style w:type="character" w:styleId="16">
    <w:name w:val="annotation reference"/>
    <w:basedOn w:val="13"/>
    <w:semiHidden/>
    <w:unhideWhenUsed/>
    <w:qFormat/>
    <w:uiPriority w:val="0"/>
    <w:rPr>
      <w:sz w:val="21"/>
      <w:szCs w:val="21"/>
    </w:rPr>
  </w:style>
  <w:style w:type="paragraph" w:styleId="17">
    <w:name w:val="List Paragraph"/>
    <w:basedOn w:val="1"/>
    <w:qFormat/>
    <w:uiPriority w:val="0"/>
    <w:pPr>
      <w:ind w:firstLine="420" w:firstLineChars="200"/>
    </w:pPr>
    <w:rPr>
      <w:szCs w:val="22"/>
    </w:rPr>
  </w:style>
  <w:style w:type="paragraph" w:customStyle="1" w:styleId="18">
    <w:name w:val="标准文件_段"/>
    <w:link w:val="19"/>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19">
    <w:name w:val="标准文件_段 Char"/>
    <w:link w:val="18"/>
    <w:qFormat/>
    <w:uiPriority w:val="0"/>
    <w:rPr>
      <w:rFonts w:ascii="宋体"/>
      <w:sz w:val="21"/>
    </w:rPr>
  </w:style>
  <w:style w:type="character" w:customStyle="1" w:styleId="20">
    <w:name w:val="页眉 字符"/>
    <w:basedOn w:val="13"/>
    <w:link w:val="8"/>
    <w:qFormat/>
    <w:uiPriority w:val="0"/>
    <w:rPr>
      <w:rFonts w:ascii="Times New Roman" w:hAnsi="Times New Roman"/>
      <w:kern w:val="2"/>
      <w:sz w:val="18"/>
      <w:szCs w:val="18"/>
    </w:rPr>
  </w:style>
  <w:style w:type="character" w:customStyle="1" w:styleId="21">
    <w:name w:val="页脚 字符"/>
    <w:basedOn w:val="13"/>
    <w:link w:val="7"/>
    <w:qFormat/>
    <w:uiPriority w:val="99"/>
    <w:rPr>
      <w:rFonts w:ascii="Times New Roman" w:hAnsi="Times New Roman"/>
      <w:kern w:val="2"/>
      <w:sz w:val="18"/>
      <w:szCs w:val="18"/>
    </w:rPr>
  </w:style>
  <w:style w:type="character" w:customStyle="1" w:styleId="22">
    <w:name w:val="批注框文本 字符"/>
    <w:basedOn w:val="13"/>
    <w:link w:val="6"/>
    <w:qFormat/>
    <w:uiPriority w:val="0"/>
    <w:rPr>
      <w:rFonts w:ascii="Times New Roman" w:hAnsi="Times New Roman"/>
      <w:kern w:val="2"/>
      <w:sz w:val="18"/>
      <w:szCs w:val="18"/>
    </w:rPr>
  </w:style>
  <w:style w:type="paragraph" w:customStyle="1" w:styleId="23">
    <w:name w:val="标准文件_二级条标题"/>
    <w:next w:val="18"/>
    <w:qFormat/>
    <w:uiPriority w:val="0"/>
    <w:pPr>
      <w:widowControl w:val="0"/>
      <w:numPr>
        <w:ilvl w:val="3"/>
        <w:numId w:val="1"/>
      </w:numPr>
      <w:spacing w:beforeLines="50" w:afterLines="50"/>
      <w:jc w:val="both"/>
      <w:outlineLvl w:val="2"/>
    </w:pPr>
    <w:rPr>
      <w:rFonts w:ascii="黑体" w:hAnsi="Times New Roman" w:eastAsia="黑体" w:cs="Times New Roman"/>
      <w:sz w:val="21"/>
      <w:lang w:val="en-US" w:eastAsia="zh-CN" w:bidi="ar-SA"/>
    </w:rPr>
  </w:style>
  <w:style w:type="paragraph" w:customStyle="1" w:styleId="24">
    <w:name w:val="标准文件_三级条标题"/>
    <w:basedOn w:val="23"/>
    <w:next w:val="18"/>
    <w:qFormat/>
    <w:uiPriority w:val="0"/>
    <w:pPr>
      <w:widowControl/>
      <w:numPr>
        <w:ilvl w:val="4"/>
      </w:numPr>
      <w:outlineLvl w:val="3"/>
    </w:pPr>
  </w:style>
  <w:style w:type="paragraph" w:customStyle="1" w:styleId="25">
    <w:name w:val="标准文件_四级条标题"/>
    <w:next w:val="18"/>
    <w:qFormat/>
    <w:uiPriority w:val="0"/>
    <w:pPr>
      <w:widowControl w:val="0"/>
      <w:numPr>
        <w:ilvl w:val="5"/>
        <w:numId w:val="1"/>
      </w:numPr>
      <w:spacing w:beforeLines="50" w:afterLines="50"/>
      <w:jc w:val="both"/>
      <w:outlineLvl w:val="4"/>
    </w:pPr>
    <w:rPr>
      <w:rFonts w:ascii="黑体" w:hAnsi="Times New Roman" w:eastAsia="黑体" w:cs="Times New Roman"/>
      <w:sz w:val="21"/>
      <w:lang w:val="en-US" w:eastAsia="zh-CN" w:bidi="ar-SA"/>
    </w:rPr>
  </w:style>
  <w:style w:type="paragraph" w:customStyle="1" w:styleId="26">
    <w:name w:val="标准文件_五级条标题"/>
    <w:next w:val="18"/>
    <w:qFormat/>
    <w:uiPriority w:val="0"/>
    <w:pPr>
      <w:widowControl w:val="0"/>
      <w:numPr>
        <w:ilvl w:val="6"/>
        <w:numId w:val="1"/>
      </w:numPr>
      <w:spacing w:beforeLines="50" w:afterLines="50"/>
      <w:jc w:val="both"/>
      <w:outlineLvl w:val="5"/>
    </w:pPr>
    <w:rPr>
      <w:rFonts w:ascii="黑体" w:hAnsi="Times New Roman" w:eastAsia="黑体" w:cs="Times New Roman"/>
      <w:sz w:val="21"/>
      <w:lang w:val="en-US" w:eastAsia="zh-CN" w:bidi="ar-SA"/>
    </w:rPr>
  </w:style>
  <w:style w:type="paragraph" w:customStyle="1" w:styleId="27">
    <w:name w:val="标准文件_章标题"/>
    <w:next w:val="18"/>
    <w:qFormat/>
    <w:uiPriority w:val="0"/>
    <w:pPr>
      <w:numPr>
        <w:ilvl w:val="1"/>
        <w:numId w:val="1"/>
      </w:numPr>
      <w:spacing w:beforeLines="100" w:afterLines="100"/>
      <w:jc w:val="both"/>
      <w:outlineLvl w:val="0"/>
    </w:pPr>
    <w:rPr>
      <w:rFonts w:ascii="黑体" w:hAnsi="Times New Roman" w:eastAsia="黑体" w:cs="Times New Roman"/>
      <w:sz w:val="21"/>
      <w:lang w:val="en-US" w:eastAsia="zh-CN" w:bidi="ar-SA"/>
    </w:rPr>
  </w:style>
  <w:style w:type="paragraph" w:customStyle="1" w:styleId="28">
    <w:name w:val="标准文件_一级条标题"/>
    <w:basedOn w:val="27"/>
    <w:next w:val="18"/>
    <w:qFormat/>
    <w:uiPriority w:val="0"/>
    <w:pPr>
      <w:numPr>
        <w:ilvl w:val="2"/>
      </w:numPr>
      <w:spacing w:beforeLines="50" w:afterLines="50"/>
      <w:outlineLvl w:val="1"/>
    </w:pPr>
  </w:style>
  <w:style w:type="paragraph" w:customStyle="1" w:styleId="29">
    <w:name w:val="前言标题"/>
    <w:next w:val="1"/>
    <w:qFormat/>
    <w:uiPriority w:val="0"/>
    <w:pPr>
      <w:numPr>
        <w:ilvl w:val="0"/>
        <w:numId w:val="1"/>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30">
    <w:name w:val="标准文件_二级无标题"/>
    <w:basedOn w:val="23"/>
    <w:qFormat/>
    <w:uiPriority w:val="0"/>
    <w:pPr>
      <w:spacing w:beforeLines="0" w:afterLines="0"/>
      <w:outlineLvl w:val="9"/>
    </w:pPr>
    <w:rPr>
      <w:rFonts w:ascii="宋体" w:eastAsia="宋体"/>
    </w:rPr>
  </w:style>
  <w:style w:type="character" w:customStyle="1" w:styleId="31">
    <w:name w:val="段 Char"/>
    <w:link w:val="32"/>
    <w:qFormat/>
    <w:uiPriority w:val="0"/>
    <w:rPr>
      <w:rFonts w:ascii="宋体"/>
      <w:sz w:val="21"/>
    </w:rPr>
  </w:style>
  <w:style w:type="paragraph" w:customStyle="1" w:styleId="32">
    <w:name w:val="段"/>
    <w:link w:val="31"/>
    <w:qFormat/>
    <w:uiPriority w:val="0"/>
    <w:pPr>
      <w:autoSpaceDE w:val="0"/>
      <w:autoSpaceDN w:val="0"/>
      <w:ind w:firstLine="200" w:firstLineChars="200"/>
      <w:jc w:val="both"/>
    </w:pPr>
    <w:rPr>
      <w:rFonts w:ascii="宋体" w:hAnsi="Calibri" w:eastAsia="宋体" w:cs="Times New Roman"/>
      <w:sz w:val="21"/>
      <w:lang w:val="en-US" w:eastAsia="zh-CN" w:bidi="ar-SA"/>
    </w:rPr>
  </w:style>
  <w:style w:type="paragraph" w:customStyle="1" w:styleId="33">
    <w:name w:val="一级条标题"/>
    <w:next w:val="32"/>
    <w:qFormat/>
    <w:uiPriority w:val="0"/>
    <w:pPr>
      <w:numPr>
        <w:ilvl w:val="1"/>
        <w:numId w:val="2"/>
      </w:numPr>
      <w:spacing w:beforeLines="50" w:afterLines="50"/>
      <w:outlineLvl w:val="2"/>
    </w:pPr>
    <w:rPr>
      <w:rFonts w:ascii="黑体" w:hAnsi="Times New Roman" w:eastAsia="黑体" w:cs="Times New Roman"/>
      <w:sz w:val="21"/>
      <w:szCs w:val="21"/>
      <w:lang w:val="en-US" w:eastAsia="zh-CN" w:bidi="ar-SA"/>
    </w:rPr>
  </w:style>
  <w:style w:type="paragraph" w:customStyle="1" w:styleId="34">
    <w:name w:val="章标题"/>
    <w:next w:val="32"/>
    <w:qFormat/>
    <w:uiPriority w:val="0"/>
    <w:pPr>
      <w:numPr>
        <w:ilvl w:val="0"/>
        <w:numId w:val="2"/>
      </w:numPr>
      <w:spacing w:beforeLines="100" w:afterLines="100"/>
      <w:jc w:val="both"/>
      <w:outlineLvl w:val="1"/>
    </w:pPr>
    <w:rPr>
      <w:rFonts w:ascii="黑体" w:hAnsi="Times New Roman" w:eastAsia="黑体" w:cs="Times New Roman"/>
      <w:sz w:val="21"/>
      <w:lang w:val="en-US" w:eastAsia="zh-CN" w:bidi="ar-SA"/>
    </w:rPr>
  </w:style>
  <w:style w:type="paragraph" w:customStyle="1" w:styleId="35">
    <w:name w:val="二级条标题"/>
    <w:basedOn w:val="33"/>
    <w:next w:val="32"/>
    <w:qFormat/>
    <w:uiPriority w:val="0"/>
    <w:pPr>
      <w:numPr>
        <w:ilvl w:val="2"/>
      </w:numPr>
      <w:spacing w:before="50" w:after="50"/>
      <w:outlineLvl w:val="3"/>
    </w:pPr>
  </w:style>
  <w:style w:type="paragraph" w:customStyle="1" w:styleId="36">
    <w:name w:val="三级条标题"/>
    <w:basedOn w:val="35"/>
    <w:next w:val="32"/>
    <w:qFormat/>
    <w:uiPriority w:val="0"/>
    <w:pPr>
      <w:numPr>
        <w:ilvl w:val="3"/>
      </w:numPr>
      <w:outlineLvl w:val="4"/>
    </w:pPr>
  </w:style>
  <w:style w:type="paragraph" w:customStyle="1" w:styleId="37">
    <w:name w:val="四级条标题"/>
    <w:basedOn w:val="36"/>
    <w:next w:val="32"/>
    <w:qFormat/>
    <w:uiPriority w:val="0"/>
    <w:pPr>
      <w:numPr>
        <w:ilvl w:val="4"/>
      </w:numPr>
      <w:outlineLvl w:val="5"/>
    </w:pPr>
  </w:style>
  <w:style w:type="paragraph" w:customStyle="1" w:styleId="38">
    <w:name w:val="五级条标题"/>
    <w:basedOn w:val="37"/>
    <w:next w:val="32"/>
    <w:qFormat/>
    <w:uiPriority w:val="0"/>
    <w:pPr>
      <w:numPr>
        <w:ilvl w:val="5"/>
      </w:numPr>
      <w:outlineLvl w:val="6"/>
    </w:pPr>
  </w:style>
  <w:style w:type="paragraph" w:customStyle="1" w:styleId="39">
    <w:name w:val="标准文件_术语条一"/>
    <w:basedOn w:val="1"/>
    <w:next w:val="18"/>
    <w:qFormat/>
    <w:uiPriority w:val="0"/>
    <w:pPr>
      <w:widowControl/>
      <w:numPr>
        <w:ilvl w:val="2"/>
        <w:numId w:val="3"/>
      </w:numPr>
    </w:pPr>
    <w:rPr>
      <w:rFonts w:ascii="宋体"/>
      <w:kern w:val="0"/>
      <w:szCs w:val="20"/>
    </w:rPr>
  </w:style>
  <w:style w:type="paragraph" w:customStyle="1" w:styleId="40">
    <w:name w:val="正文1"/>
    <w:qFormat/>
    <w:uiPriority w:val="0"/>
    <w:pPr>
      <w:jc w:val="both"/>
    </w:pPr>
    <w:rPr>
      <w:rFonts w:ascii="Times New Roman" w:hAnsi="Times New Roman" w:eastAsia="宋体" w:cs="Times New Roman"/>
      <w:kern w:val="2"/>
      <w:sz w:val="21"/>
      <w:szCs w:val="21"/>
      <w:lang w:val="en-US" w:eastAsia="zh-CN" w:bidi="ar-SA"/>
    </w:rPr>
  </w:style>
  <w:style w:type="character" w:customStyle="1" w:styleId="41">
    <w:name w:val="HTML 预设格式 字符"/>
    <w:basedOn w:val="13"/>
    <w:link w:val="9"/>
    <w:qFormat/>
    <w:uiPriority w:val="99"/>
    <w:rPr>
      <w:rFonts w:ascii="宋体" w:hAnsi="宋体" w:cs="宋体"/>
      <w:sz w:val="24"/>
      <w:szCs w:val="24"/>
    </w:rPr>
  </w:style>
  <w:style w:type="paragraph" w:styleId="42">
    <w:name w:val="No Spacing"/>
    <w:qFormat/>
    <w:uiPriority w:val="1"/>
    <w:pPr>
      <w:adjustRightInd w:val="0"/>
      <w:snapToGrid w:val="0"/>
    </w:pPr>
    <w:rPr>
      <w:rFonts w:ascii="Tahoma" w:hAnsi="Tahoma" w:eastAsia="微软雅黑" w:cs="Times New Roman"/>
      <w:sz w:val="22"/>
      <w:szCs w:val="22"/>
      <w:lang w:val="en-US" w:eastAsia="zh-CN" w:bidi="ar-SA"/>
    </w:rPr>
  </w:style>
  <w:style w:type="character" w:customStyle="1" w:styleId="43">
    <w:name w:val="正文文本 字符"/>
    <w:basedOn w:val="13"/>
    <w:link w:val="4"/>
    <w:qFormat/>
    <w:uiPriority w:val="99"/>
    <w:rPr>
      <w:rFonts w:ascii="仿宋_GB2312" w:hAnsi="仿宋_GB2312" w:eastAsia="仿宋_GB2312" w:cs="Calibri"/>
      <w:kern w:val="2"/>
      <w:sz w:val="32"/>
      <w:szCs w:val="24"/>
    </w:rPr>
  </w:style>
  <w:style w:type="paragraph" w:customStyle="1" w:styleId="44">
    <w:name w:val="标准文件_正文表标题"/>
    <w:next w:val="18"/>
    <w:qFormat/>
    <w:uiPriority w:val="0"/>
    <w:pPr>
      <w:numPr>
        <w:ilvl w:val="0"/>
        <w:numId w:val="4"/>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45">
    <w:name w:val="标准文件_表格"/>
    <w:basedOn w:val="18"/>
    <w:qFormat/>
    <w:uiPriority w:val="0"/>
    <w:pPr>
      <w:ind w:firstLine="0" w:firstLineChars="0"/>
      <w:jc w:val="center"/>
    </w:pPr>
    <w:rPr>
      <w:sz w:val="18"/>
    </w:rPr>
  </w:style>
  <w:style w:type="paragraph" w:customStyle="1" w:styleId="46">
    <w:name w:val="标准文件_附录表标题"/>
    <w:next w:val="18"/>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47">
    <w:name w:val="标准文件_附录表标号"/>
    <w:basedOn w:val="18"/>
    <w:next w:val="18"/>
    <w:qFormat/>
    <w:uiPriority w:val="0"/>
    <w:pPr>
      <w:numPr>
        <w:ilvl w:val="0"/>
        <w:numId w:val="5"/>
      </w:numPr>
      <w:spacing w:line="14" w:lineRule="exact"/>
      <w:ind w:firstLine="0" w:firstLineChars="0"/>
      <w:jc w:val="center"/>
    </w:pPr>
    <w:rPr>
      <w:rFonts w:eastAsia="黑体"/>
      <w:vanish/>
      <w:sz w:val="2"/>
    </w:rPr>
  </w:style>
  <w:style w:type="character" w:customStyle="1" w:styleId="48">
    <w:name w:val="批注文字 字符"/>
    <w:basedOn w:val="13"/>
    <w:link w:val="3"/>
    <w:semiHidden/>
    <w:qFormat/>
    <w:uiPriority w:val="0"/>
    <w:rPr>
      <w:rFonts w:ascii="Times New Roman" w:hAnsi="Times New Roman"/>
      <w:kern w:val="2"/>
      <w:sz w:val="21"/>
      <w:szCs w:val="24"/>
    </w:rPr>
  </w:style>
  <w:style w:type="character" w:customStyle="1" w:styleId="49">
    <w:name w:val="批注主题 字符"/>
    <w:basedOn w:val="48"/>
    <w:link w:val="10"/>
    <w:semiHidden/>
    <w:qFormat/>
    <w:uiPriority w:val="0"/>
    <w:rPr>
      <w:rFonts w:ascii="Times New Roman" w:hAnsi="Times New Roman"/>
      <w:b/>
      <w:bCs/>
      <w:kern w:val="2"/>
      <w:sz w:val="21"/>
      <w:szCs w:val="24"/>
    </w:rPr>
  </w:style>
  <w:style w:type="paragraph" w:customStyle="1" w:styleId="50">
    <w:name w:val="字母编号列项（一级）"/>
    <w:qFormat/>
    <w:uiPriority w:val="0"/>
    <w:pPr>
      <w:numPr>
        <w:ilvl w:val="0"/>
        <w:numId w:val="6"/>
      </w:numPr>
      <w:jc w:val="both"/>
    </w:pPr>
    <w:rPr>
      <w:rFonts w:ascii="宋体" w:hAnsi="Times New Roman" w:eastAsia="宋体" w:cs="Times New Roman"/>
      <w:sz w:val="21"/>
      <w:lang w:val="en-US" w:eastAsia="zh-CN" w:bidi="ar-SA"/>
    </w:rPr>
  </w:style>
  <w:style w:type="paragraph" w:customStyle="1" w:styleId="51">
    <w:name w:val="列项——"/>
    <w:qFormat/>
    <w:uiPriority w:val="0"/>
    <w:pPr>
      <w:widowControl w:val="0"/>
      <w:tabs>
        <w:tab w:val="left" w:pos="854"/>
      </w:tabs>
      <w:ind w:left="840" w:leftChars="200" w:hanging="420" w:hangingChars="200"/>
      <w:jc w:val="both"/>
    </w:pPr>
    <w:rPr>
      <w:rFonts w:ascii="宋体" w:hAnsi="Times New Roman" w:eastAsia="宋体" w:cs="Times New Roman"/>
      <w:sz w:val="21"/>
      <w:lang w:val="en-US" w:eastAsia="zh-CN" w:bidi="ar-SA"/>
    </w:rPr>
  </w:style>
  <w:style w:type="paragraph" w:customStyle="1" w:styleId="52">
    <w:name w:val="二级无"/>
    <w:basedOn w:val="35"/>
    <w:qFormat/>
    <w:uiPriority w:val="0"/>
    <w:pPr>
      <w:spacing w:before="0" w:beforeLines="0" w:after="0" w:afterLines="0"/>
      <w:ind w:left="0" w:firstLine="0"/>
    </w:pPr>
    <w:rPr>
      <w:rFonts w:ascii="宋体" w:eastAsia="宋体"/>
    </w:rPr>
  </w:style>
  <w:style w:type="paragraph" w:customStyle="1" w:styleId="53">
    <w:name w:val="目次、标准名称标题"/>
    <w:basedOn w:val="1"/>
    <w:next w:val="32"/>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54">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55">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character" w:customStyle="1" w:styleId="56">
    <w:name w:val="font31"/>
    <w:basedOn w:val="13"/>
    <w:qFormat/>
    <w:uiPriority w:val="0"/>
    <w:rPr>
      <w:rFonts w:ascii="Arial" w:hAnsi="Arial" w:cs="Arial"/>
      <w:color w:val="000000"/>
      <w:sz w:val="24"/>
      <w:szCs w:val="24"/>
      <w:u w:val="none"/>
    </w:rPr>
  </w:style>
  <w:style w:type="character" w:customStyle="1" w:styleId="57">
    <w:name w:val="font11"/>
    <w:basedOn w:val="13"/>
    <w:qFormat/>
    <w:uiPriority w:val="0"/>
    <w:rPr>
      <w:rFonts w:hint="eastAsia" w:ascii="黑体" w:hAnsi="宋体" w:eastAsia="黑体" w:cs="黑体"/>
      <w:color w:val="000000"/>
      <w:sz w:val="24"/>
      <w:szCs w:val="24"/>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14</Pages>
  <Words>5566</Words>
  <Characters>6396</Characters>
  <Lines>1101</Lines>
  <Paragraphs>991</Paragraphs>
  <TotalTime>1</TotalTime>
  <ScaleCrop>false</ScaleCrop>
  <LinksUpToDate>false</LinksUpToDate>
  <CharactersWithSpaces>6484</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2020-12-08T06:37:00Z</dcterms:created>
  <dc:creator>Administrator</dc:creator>
  <cp:lastModifiedBy>弥撒夜</cp:lastModifiedBy>
  <dcterms:modified xsi:type="dcterms:W3CDTF">2024-11-11T08:09:24Z</dcterms:modified>
  <cp:revision>137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9F23A468568244AABC8A16BA66535C51_13</vt:lpwstr>
  </property>
</Properties>
</file>