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A64F61A">
      <w:pPr>
        <w:autoSpaceDE/>
        <w:autoSpaceDN/>
        <w:adjustRightInd/>
        <w:ind w:left="0"/>
        <w:jc w:val="center"/>
        <w:rPr>
          <w:rFonts w:ascii="Times New Roman" w:hAnsi="Times New Roman"/>
        </w:rPr>
      </w:pPr>
      <w:r>
        <w:rPr>
          <w:rFonts w:ascii="Times New Roman" w:hAnsi="Times New Roman" w:eastAsia="方正小标宋简体"/>
          <w:color w:val="000000"/>
          <w:sz w:val="36"/>
          <w:szCs w:val="36"/>
          <w:lang w:val="en-US" w:bidi="ar-SA"/>
        </w:rPr>
        <w:t>团体标准《</w:t>
      </w:r>
      <w:r>
        <w:rPr>
          <w:rFonts w:hint="eastAsia" w:ascii="Times New Roman" w:hAnsi="Times New Roman" w:eastAsia="方正小标宋简体"/>
          <w:color w:val="000000"/>
          <w:sz w:val="36"/>
          <w:szCs w:val="36"/>
          <w:lang w:val="en-US" w:eastAsia="zh-CN" w:bidi="ar-SA"/>
        </w:rPr>
        <w:t>东兴对虾</w:t>
      </w:r>
      <w:r>
        <w:rPr>
          <w:rFonts w:ascii="Times New Roman" w:hAnsi="Times New Roman" w:eastAsia="方正小标宋简体"/>
          <w:color w:val="000000"/>
          <w:sz w:val="36"/>
          <w:szCs w:val="36"/>
          <w:lang w:val="en-US" w:bidi="ar-SA"/>
        </w:rPr>
        <w:t>》</w:t>
      </w:r>
    </w:p>
    <w:p w14:paraId="43C00E0C">
      <w:pPr>
        <w:jc w:val="center"/>
        <w:rPr>
          <w:rFonts w:ascii="Times New Roman" w:hAnsi="Times New Roman" w:eastAsia="方正小标宋简体"/>
          <w:color w:val="000000"/>
          <w:sz w:val="36"/>
          <w:szCs w:val="36"/>
          <w:lang w:val="en-US" w:bidi="ar-SA"/>
        </w:rPr>
      </w:pPr>
      <w:r>
        <w:rPr>
          <w:rFonts w:ascii="Times New Roman" w:hAnsi="Times New Roman" w:eastAsia="方正小标宋简体"/>
          <w:color w:val="000000"/>
          <w:sz w:val="36"/>
          <w:szCs w:val="36"/>
          <w:lang w:val="en-US" w:bidi="ar-SA"/>
        </w:rPr>
        <w:t>（</w:t>
      </w:r>
      <w:r>
        <w:rPr>
          <w:rFonts w:hint="eastAsia" w:ascii="Times New Roman" w:hAnsi="Times New Roman" w:eastAsia="方正小标宋简体"/>
          <w:color w:val="000000"/>
          <w:sz w:val="36"/>
          <w:szCs w:val="36"/>
          <w:lang w:val="en-US" w:eastAsia="zh-CN" w:bidi="ar-SA"/>
        </w:rPr>
        <w:t>征求意见稿</w:t>
      </w:r>
      <w:r>
        <w:rPr>
          <w:rFonts w:ascii="Times New Roman" w:hAnsi="Times New Roman" w:eastAsia="方正小标宋简体"/>
          <w:color w:val="000000"/>
          <w:sz w:val="36"/>
          <w:szCs w:val="36"/>
          <w:lang w:val="en-US" w:bidi="ar-SA"/>
        </w:rPr>
        <w:t>）编制说明</w:t>
      </w:r>
    </w:p>
    <w:p w14:paraId="3AC84DF5">
      <w:pPr>
        <w:rPr>
          <w:rFonts w:ascii="Times New Roman" w:hAnsi="Times New Roman" w:eastAsia="黑体"/>
          <w:lang w:val="en-US" w:bidi="ar-SA"/>
        </w:rPr>
      </w:pPr>
      <w:r>
        <w:rPr>
          <w:rFonts w:ascii="Times New Roman" w:hAnsi="Times New Roman" w:eastAsia="黑体"/>
          <w:lang w:val="en-US" w:bidi="ar-SA"/>
        </w:rPr>
        <w:t>一、项目来源、起草单位、起草人</w:t>
      </w:r>
    </w:p>
    <w:p w14:paraId="15FA1EC8">
      <w:pPr>
        <w:ind w:left="0" w:firstLine="640" w:firstLineChars="200"/>
        <w:rPr>
          <w:rFonts w:ascii="Times New Roman" w:hAnsi="Times New Roman"/>
        </w:rPr>
      </w:pPr>
      <w:r>
        <w:rPr>
          <w:rFonts w:hint="eastAsia" w:ascii="Times New Roman" w:hAnsi="Times New Roman"/>
        </w:rPr>
        <w:t>根据《广西标准化协会关于下达2024年第二十三批团体标准制修订项目计划的通知》(桂标协〔2024〕172号)文件精神，由东兴市农业农村水利局提出，东兴市农业农村水利局、东兴市渔业技术推广站、广西中苗农业科技有限公司、广西仙棚农业有限公司、东兴市庆丰种养专业合作社等单位共同起草的团体标准《东兴对虾》(项目编号：2024-2310),已获立项</w:t>
      </w:r>
      <w:r>
        <w:rPr>
          <w:rFonts w:ascii="Times New Roman" w:hAnsi="Times New Roman"/>
        </w:rPr>
        <w:t>。</w:t>
      </w:r>
    </w:p>
    <w:p w14:paraId="4161724D">
      <w:pPr>
        <w:rPr>
          <w:rFonts w:ascii="Times New Roman" w:hAnsi="Times New Roman" w:eastAsia="黑体"/>
          <w:lang w:val="en-US" w:bidi="ar-SA"/>
        </w:rPr>
      </w:pPr>
      <w:r>
        <w:rPr>
          <w:rFonts w:hint="eastAsia" w:ascii="Times New Roman" w:hAnsi="Times New Roman" w:eastAsia="黑体"/>
          <w:lang w:val="en-US" w:eastAsia="zh-CN" w:bidi="ar-SA"/>
        </w:rPr>
        <w:drawing>
          <wp:anchor distT="0" distB="0" distL="114300" distR="114300" simplePos="0" relativeHeight="251659264" behindDoc="1" locked="0" layoutInCell="1" allowOverlap="1">
            <wp:simplePos x="0" y="0"/>
            <wp:positionH relativeFrom="column">
              <wp:posOffset>294640</wp:posOffset>
            </wp:positionH>
            <wp:positionV relativeFrom="paragraph">
              <wp:posOffset>74295</wp:posOffset>
            </wp:positionV>
            <wp:extent cx="5207000" cy="5166360"/>
            <wp:effectExtent l="0" t="0" r="6985" b="4445"/>
            <wp:wrapThrough wrapText="bothSides">
              <wp:wrapPolygon>
                <wp:start x="0" y="0"/>
                <wp:lineTo x="0" y="21393"/>
                <wp:lineTo x="21360" y="21393"/>
                <wp:lineTo x="21360" y="0"/>
                <wp:lineTo x="0" y="0"/>
              </wp:wrapPolygon>
            </wp:wrapThrough>
            <wp:docPr id="8" name="图片 8" descr="1731163946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31163946029"/>
                    <pic:cNvPicPr>
                      <a:picLocks noChangeAspect="1"/>
                    </pic:cNvPicPr>
                  </pic:nvPicPr>
                  <pic:blipFill>
                    <a:blip r:embed="rId6"/>
                    <a:stretch>
                      <a:fillRect/>
                    </a:stretch>
                  </pic:blipFill>
                  <pic:spPr>
                    <a:xfrm>
                      <a:off x="0" y="0"/>
                      <a:ext cx="5207000" cy="5166360"/>
                    </a:xfrm>
                    <a:prstGeom prst="rect">
                      <a:avLst/>
                    </a:prstGeom>
                  </pic:spPr>
                </pic:pic>
              </a:graphicData>
            </a:graphic>
          </wp:anchor>
        </w:drawing>
      </w:r>
    </w:p>
    <w:p w14:paraId="6479FE25">
      <w:pPr>
        <w:rPr>
          <w:rFonts w:hint="eastAsia" w:ascii="Times New Roman" w:hAnsi="Times New Roman" w:eastAsia="黑体"/>
          <w:lang w:val="en-US" w:eastAsia="zh-CN" w:bidi="ar-SA"/>
        </w:rPr>
      </w:pPr>
    </w:p>
    <w:p w14:paraId="5605A452">
      <w:pPr>
        <w:rPr>
          <w:rFonts w:ascii="Times New Roman" w:hAnsi="Times New Roman" w:eastAsia="黑体"/>
          <w:lang w:val="en-US" w:bidi="ar-SA"/>
        </w:rPr>
      </w:pPr>
    </w:p>
    <w:p w14:paraId="2BA1C3D2">
      <w:pPr>
        <w:rPr>
          <w:rFonts w:ascii="Times New Roman" w:hAnsi="Times New Roman" w:eastAsia="黑体"/>
          <w:lang w:val="en-US" w:bidi="ar-SA"/>
        </w:rPr>
      </w:pPr>
    </w:p>
    <w:p w14:paraId="0A92B061">
      <w:pPr>
        <w:rPr>
          <w:rFonts w:ascii="Times New Roman" w:hAnsi="Times New Roman" w:eastAsia="黑体"/>
          <w:lang w:val="en-US" w:bidi="ar-SA"/>
        </w:rPr>
      </w:pPr>
    </w:p>
    <w:p w14:paraId="6FF8D4AB">
      <w:pPr>
        <w:rPr>
          <w:rFonts w:ascii="Times New Roman" w:hAnsi="Times New Roman" w:eastAsia="黑体"/>
          <w:lang w:val="en-US" w:bidi="ar-SA"/>
        </w:rPr>
      </w:pPr>
    </w:p>
    <w:p w14:paraId="4DEFACA8">
      <w:pPr>
        <w:rPr>
          <w:rFonts w:ascii="Times New Roman" w:hAnsi="Times New Roman" w:eastAsia="黑体"/>
          <w:lang w:val="en-US" w:bidi="ar-SA"/>
        </w:rPr>
      </w:pPr>
    </w:p>
    <w:p w14:paraId="22F51F1A">
      <w:pPr>
        <w:rPr>
          <w:rFonts w:ascii="Times New Roman" w:hAnsi="Times New Roman" w:eastAsia="黑体"/>
          <w:lang w:val="en-US" w:bidi="ar-SA"/>
        </w:rPr>
      </w:pPr>
    </w:p>
    <w:p w14:paraId="25E4422D">
      <w:pPr>
        <w:rPr>
          <w:rFonts w:ascii="Times New Roman" w:hAnsi="Times New Roman" w:eastAsia="黑体"/>
          <w:lang w:val="en-US" w:bidi="ar-SA"/>
        </w:rPr>
      </w:pPr>
    </w:p>
    <w:p w14:paraId="6ACD6919">
      <w:pPr>
        <w:rPr>
          <w:rFonts w:ascii="Times New Roman" w:hAnsi="Times New Roman" w:eastAsia="黑体"/>
          <w:lang w:val="en-US" w:bidi="ar-SA"/>
        </w:rPr>
      </w:pPr>
    </w:p>
    <w:p w14:paraId="2C2C7B5D">
      <w:pPr>
        <w:rPr>
          <w:rFonts w:ascii="Times New Roman" w:hAnsi="Times New Roman" w:eastAsia="黑体"/>
          <w:lang w:val="en-US" w:bidi="ar-SA"/>
        </w:rPr>
      </w:pPr>
    </w:p>
    <w:p w14:paraId="2B1F6101">
      <w:pPr>
        <w:rPr>
          <w:rFonts w:ascii="Times New Roman" w:hAnsi="Times New Roman" w:eastAsia="黑体"/>
          <w:lang w:val="en-US" w:bidi="ar-SA"/>
        </w:rPr>
      </w:pPr>
    </w:p>
    <w:p w14:paraId="4A42152C">
      <w:pPr>
        <w:rPr>
          <w:rFonts w:ascii="Times New Roman" w:hAnsi="Times New Roman" w:eastAsia="黑体"/>
          <w:lang w:val="en-US" w:bidi="ar-SA"/>
        </w:rPr>
      </w:pPr>
    </w:p>
    <w:p w14:paraId="37BB2020">
      <w:pPr>
        <w:rPr>
          <w:rFonts w:ascii="Times New Roman" w:hAnsi="Times New Roman" w:eastAsia="黑体"/>
          <w:lang w:val="en-US" w:bidi="ar-SA"/>
        </w:rPr>
      </w:pPr>
    </w:p>
    <w:p w14:paraId="0D7D0D45">
      <w:pPr>
        <w:rPr>
          <w:rFonts w:ascii="Times New Roman" w:hAnsi="Times New Roman" w:eastAsia="黑体"/>
          <w:lang w:val="en-US" w:bidi="ar-SA"/>
        </w:rPr>
      </w:pPr>
      <w:r>
        <w:rPr>
          <w:rFonts w:ascii="Times New Roman" w:hAnsi="Times New Roman" w:eastAsia="黑体"/>
          <w:lang w:val="en-US" w:bidi="ar-SA"/>
        </w:rPr>
        <w:t>二、项目背景及目的意义</w:t>
      </w:r>
    </w:p>
    <w:p w14:paraId="374BB49A">
      <w:pPr>
        <w:ind w:left="0" w:firstLine="640" w:firstLineChars="200"/>
        <w:rPr>
          <w:rFonts w:ascii="Times New Roman" w:hAnsi="Times New Roman"/>
        </w:rPr>
      </w:pPr>
      <w:r>
        <w:rPr>
          <w:rFonts w:hint="eastAsia" w:ascii="Times New Roman" w:hAnsi="Times New Roman"/>
        </w:rPr>
        <w:t>为深入贯彻落实习近平总书记关于“三农”工作的重要论述，加快推进广西现代渔业高质量发展，根据《“十四五”全国渔业发展规划》《全国现代设施农业建设规划（2023—2030年）》等文件精神，广西印发了《广西推进现代渔业高质量发展实施方案（2023—2025年）》，培育推广对虾、贝、特色淡水鱼等优质、高效新品种，以巩固提升渔业综合生产能力。</w:t>
      </w:r>
      <w:r>
        <w:rPr>
          <w:rFonts w:ascii="Times New Roman" w:hAnsi="Times New Roman"/>
        </w:rPr>
        <w:t>。</w:t>
      </w:r>
    </w:p>
    <w:p w14:paraId="6EAC501B">
      <w:pPr>
        <w:ind w:left="0" w:firstLine="640" w:firstLineChars="200"/>
        <w:rPr>
          <w:rFonts w:ascii="Times New Roman" w:hAnsi="Times New Roman"/>
          <w:lang w:val="en-US"/>
        </w:rPr>
      </w:pPr>
      <w:r>
        <w:rPr>
          <w:rFonts w:hint="eastAsia" w:ascii="Times New Roman" w:hAnsi="Times New Roman"/>
          <w:lang w:val="en-US"/>
        </w:rPr>
        <w:t>近年来随着居民消费水平的提升和消费观念的转变，对于高品质海鲜产品的需求日益旺盛，虾类消费需求也在不断增长。对虾养殖业是广西北部湾渔业支柱产业，目前养殖面积32万多亩，其中精养半精养的面积、产量、产值居全国第二位，为广西水产业首位。97％集中北海、钦州、防城港市养虾优势产业带，养殖模式主要有传统池塘养殖、大棚小棚虾养殖、棚式圆桶和砖砌方形池养殖、工厂化循环水养殖等。凭借得天独厚的地理优势，已发展成为湘、云、贵、川、渝等西南活虾消费市场的核心供应产区，并为粤港澳虾加工出口直供合格鲜活虾货源产地。东兴市地处广西壮族自治区南部，拥有得天独厚的海洋资源，拥有丰富的水资源和养殖水域，为东兴对虾的养殖提供了充足的原料来源。同时，当地的气候条件适宜虾类生长，有利于提高养殖产量和品质，是养殖对虾的理想地区。东兴对虾作为当地的特色水产品，因其独特的口感和营养价值，在市场上享有较高的声誉。2023年东兴市水产品总产量15.63万吨，同比增加4.20％，渔业年产值突破26亿元，占东兴市农林牧渔业总产值的近75％，其中大虾总产值达12000多万元。</w:t>
      </w:r>
    </w:p>
    <w:p w14:paraId="0278E852">
      <w:pPr>
        <w:ind w:left="0" w:firstLine="640" w:firstLineChars="200"/>
        <w:rPr>
          <w:rFonts w:ascii="Times New Roman" w:hAnsi="Times New Roman"/>
        </w:rPr>
      </w:pPr>
      <w:r>
        <w:rPr>
          <w:rFonts w:hint="eastAsia" w:ascii="Times New Roman" w:hAnsi="Times New Roman"/>
        </w:rPr>
        <w:t>东兴对虾相比其他省份、地区养殖的虾，其具有丰富蛋白质、脂肪含量低、高出肉率的独特鲜美口感，吃起来劲弹、水分恰到好处，且在东兴市养殖的对虾具有生长优势明显、发病率低、养成规格大且均匀、经济效益好等优点，兼具极高的食用价值，而受到国内外消费者的极大青睐，市场需求旺盛且一直保持增长态势。</w:t>
      </w:r>
    </w:p>
    <w:p w14:paraId="54F43738">
      <w:pPr>
        <w:ind w:left="0" w:firstLine="640" w:firstLineChars="200"/>
        <w:rPr>
          <w:rFonts w:hint="eastAsia" w:ascii="Times New Roman" w:hAnsi="Times New Roman" w:eastAsia="仿宋_GB2312" w:cs="Times New Roman"/>
          <w:lang w:val="en-US" w:bidi="ar-SA"/>
        </w:rPr>
      </w:pPr>
      <w:r>
        <w:rPr>
          <w:rFonts w:hint="eastAsia" w:ascii="Times New Roman" w:hAnsi="Times New Roman" w:eastAsia="仿宋_GB2312"/>
          <w:lang w:val="en-US" w:bidi="ar-SA"/>
        </w:rPr>
        <w:t>东兴市拥有3.1万亩对虾养殖基地，近年来，源源不断地远销上海、北京、广州等地，急需标准去规范。因此，通过制定团体标准《东兴对虾》，以标准为抓手，规范</w:t>
      </w:r>
      <w:r>
        <w:rPr>
          <w:rFonts w:hint="eastAsia" w:ascii="Times New Roman" w:hAnsi="Times New Roman" w:cs="Times New Roman"/>
          <w:lang w:val="en-US" w:eastAsia="zh-CN" w:bidi="ar-SA"/>
        </w:rPr>
        <w:t>东兴对虾</w:t>
      </w:r>
      <w:r>
        <w:rPr>
          <w:rFonts w:hint="eastAsia" w:ascii="Times New Roman" w:hAnsi="Times New Roman" w:eastAsia="仿宋_GB2312"/>
          <w:lang w:val="en-US" w:bidi="ar-SA"/>
        </w:rPr>
        <w:t>产品质量</w:t>
      </w:r>
      <w:r>
        <w:rPr>
          <w:rFonts w:hint="eastAsia" w:ascii="Times New Roman" w:hAnsi="Times New Roman" w:cs="Times New Roman"/>
          <w:lang w:val="en-US" w:eastAsia="zh-CN" w:bidi="ar-SA"/>
        </w:rPr>
        <w:t>要求</w:t>
      </w:r>
      <w:r>
        <w:rPr>
          <w:rFonts w:hint="eastAsia" w:ascii="Times New Roman" w:hAnsi="Times New Roman" w:eastAsia="仿宋_GB2312"/>
          <w:lang w:val="en-US" w:bidi="ar-SA"/>
        </w:rPr>
        <w:t>，</w:t>
      </w:r>
      <w:r>
        <w:rPr>
          <w:rFonts w:hint="eastAsia" w:ascii="Times New Roman" w:hAnsi="Times New Roman" w:cs="Times New Roman"/>
          <w:lang w:val="en-US" w:eastAsia="zh-CN" w:bidi="ar-SA"/>
        </w:rPr>
        <w:t>保障东兴对虾产品质量，打造东兴对虾</w:t>
      </w:r>
      <w:r>
        <w:rPr>
          <w:rFonts w:hint="eastAsia" w:ascii="Times New Roman" w:hAnsi="Times New Roman" w:eastAsia="仿宋_GB2312"/>
          <w:lang w:val="en-US" w:bidi="ar-SA"/>
        </w:rPr>
        <w:t>产品知名度和竞争力，推动东兴对虾品牌建设和发展，具有重要意义。</w:t>
      </w:r>
    </w:p>
    <w:p w14:paraId="3FC9C7C8">
      <w:pPr>
        <w:ind w:left="0" w:firstLine="640" w:firstLineChars="200"/>
        <w:rPr>
          <w:rFonts w:ascii="Times New Roman" w:hAnsi="Times New Roman" w:eastAsia="黑体"/>
          <w:lang w:val="en-US" w:bidi="ar-SA"/>
        </w:rPr>
      </w:pPr>
      <w:r>
        <w:rPr>
          <w:rFonts w:ascii="Times New Roman" w:hAnsi="Times New Roman" w:eastAsia="黑体"/>
          <w:lang w:val="en-US" w:bidi="ar-SA"/>
        </w:rPr>
        <w:t>三、项目编制过程</w:t>
      </w:r>
    </w:p>
    <w:p w14:paraId="368EB7C4">
      <w:pPr>
        <w:rPr>
          <w:rFonts w:ascii="Times New Roman" w:hAnsi="Times New Roman"/>
          <w:b/>
        </w:rPr>
      </w:pPr>
      <w:r>
        <w:rPr>
          <w:rFonts w:ascii="Times New Roman" w:hAnsi="Times New Roman"/>
          <w:b/>
        </w:rPr>
        <w:t>（一）成立标准编制工作组</w:t>
      </w:r>
    </w:p>
    <w:p w14:paraId="4803C40A">
      <w:pPr>
        <w:ind w:left="0" w:firstLine="640" w:firstLineChars="200"/>
        <w:rPr>
          <w:rFonts w:ascii="Times New Roman" w:hAnsi="Times New Roman"/>
        </w:rPr>
      </w:pPr>
      <w:r>
        <w:rPr>
          <w:rFonts w:ascii="Times New Roman" w:hAnsi="Times New Roman"/>
        </w:rPr>
        <w:t>团体标准《</w:t>
      </w:r>
      <w:r>
        <w:rPr>
          <w:rFonts w:hint="eastAsia" w:ascii="Times New Roman" w:hAnsi="Times New Roman"/>
          <w:lang w:eastAsia="zh-CN"/>
        </w:rPr>
        <w:t>东兴对虾</w:t>
      </w:r>
      <w:r>
        <w:rPr>
          <w:rFonts w:ascii="Times New Roman" w:hAnsi="Times New Roman"/>
        </w:rPr>
        <w:t>》项目任务下达后，</w:t>
      </w:r>
      <w:r>
        <w:rPr>
          <w:rFonts w:hint="eastAsia" w:ascii="Times New Roman" w:hAnsi="Times New Roman"/>
          <w:lang w:eastAsia="zh-CN"/>
        </w:rPr>
        <w:t>东兴市农业农村水利局</w:t>
      </w:r>
      <w:r>
        <w:rPr>
          <w:rFonts w:ascii="Times New Roman" w:hAnsi="Times New Roman"/>
        </w:rPr>
        <w:t>成立了标准编制工作组，起草单位制定了起草编写方案与进度安排，明确任务职责，确定实践验证路线，开展标准研制工作。具体标准编制工作由</w:t>
      </w:r>
      <w:r>
        <w:rPr>
          <w:rFonts w:hint="eastAsia" w:ascii="Times New Roman" w:hAnsi="Times New Roman"/>
          <w:lang w:eastAsia="zh-CN"/>
        </w:rPr>
        <w:t>东东兴市农业农村水利局、东兴市渔业技术推广站、广西中苗农业科技有限公司、广西仙棚农业有限公司、东兴市庆丰种养专业合作社</w:t>
      </w:r>
      <w:r>
        <w:rPr>
          <w:rFonts w:ascii="Times New Roman" w:hAnsi="Times New Roman"/>
        </w:rPr>
        <w:t>等起草单位组成标准编制工作组，编制工作组下设三个组，分别是资料收集组、草案编写组、标准实施组。</w:t>
      </w:r>
    </w:p>
    <w:p w14:paraId="6752C92C">
      <w:pPr>
        <w:ind w:left="0" w:firstLine="640" w:firstLineChars="200"/>
        <w:rPr>
          <w:rFonts w:ascii="Times New Roman" w:hAnsi="Times New Roman"/>
        </w:rPr>
      </w:pPr>
      <w:r>
        <w:rPr>
          <w:rFonts w:ascii="Times New Roman" w:hAnsi="Times New Roman"/>
        </w:rPr>
        <w:t>资料收集组负责国内外有关</w:t>
      </w:r>
      <w:r>
        <w:rPr>
          <w:rFonts w:hint="eastAsia" w:ascii="Times New Roman" w:hAnsi="Times New Roman"/>
          <w:color w:val="000000" w:themeColor="text1"/>
          <w:lang w:eastAsia="zh-CN"/>
          <w14:textFill>
            <w14:solidFill>
              <w14:schemeClr w14:val="tx1"/>
            </w14:solidFill>
          </w14:textFill>
        </w:rPr>
        <w:t>东兴对虾</w:t>
      </w:r>
      <w:r>
        <w:rPr>
          <w:rFonts w:ascii="Times New Roman" w:hAnsi="Times New Roman"/>
        </w:rPr>
        <w:t>的文献资料的查询、收集和整理工作，查阅前人对</w:t>
      </w:r>
      <w:r>
        <w:rPr>
          <w:rFonts w:hint="eastAsia" w:ascii="Times New Roman" w:hAnsi="Times New Roman"/>
          <w:color w:val="000000" w:themeColor="text1"/>
          <w:lang w:val="en-US" w:eastAsia="zh-CN"/>
          <w14:textFill>
            <w14:solidFill>
              <w14:schemeClr w14:val="tx1"/>
            </w14:solidFill>
          </w14:textFill>
        </w:rPr>
        <w:t>东兴对虾</w:t>
      </w:r>
      <w:r>
        <w:rPr>
          <w:rFonts w:ascii="Times New Roman" w:hAnsi="Times New Roman"/>
        </w:rPr>
        <w:t>的研究</w:t>
      </w:r>
      <w:r>
        <w:rPr>
          <w:rFonts w:ascii="Times New Roman" w:hAnsi="Times New Roman"/>
          <w:color w:val="000000" w:themeColor="text1"/>
          <w14:textFill>
            <w14:solidFill>
              <w14:schemeClr w14:val="tx1"/>
            </w14:solidFill>
          </w14:textFill>
        </w:rPr>
        <w:t xml:space="preserve">情况和进展。 </w:t>
      </w:r>
    </w:p>
    <w:p w14:paraId="0196D27D">
      <w:pPr>
        <w:ind w:left="0" w:firstLine="640" w:firstLineChars="200"/>
        <w:rPr>
          <w:rFonts w:ascii="Times New Roman" w:hAnsi="Times New Roman"/>
        </w:rPr>
      </w:pPr>
      <w:r>
        <w:rPr>
          <w:rFonts w:ascii="Times New Roman" w:hAnsi="Times New Roman"/>
        </w:rPr>
        <w:t>草案编写组负责起草标准草案、征求意见稿和标准编制说明、送审稿及编制说明的编写工作，包括后期召开征求意见会、网上征求意见，以及标准的不断修改和完善。</w:t>
      </w:r>
    </w:p>
    <w:p w14:paraId="39BAEC79">
      <w:pPr>
        <w:ind w:left="0" w:firstLine="640" w:firstLineChars="200"/>
        <w:rPr>
          <w:rFonts w:ascii="Times New Roman" w:hAnsi="Times New Roman"/>
        </w:rPr>
      </w:pPr>
      <w:r>
        <w:rPr>
          <w:rFonts w:ascii="Times New Roman" w:hAnsi="Times New Roman"/>
        </w:rPr>
        <w:t>标准实施组负责《</w:t>
      </w:r>
      <w:r>
        <w:rPr>
          <w:rFonts w:hint="eastAsia" w:ascii="Times New Roman" w:hAnsi="Times New Roman"/>
          <w:lang w:eastAsia="zh-CN"/>
        </w:rPr>
        <w:t>东兴对虾</w:t>
      </w:r>
      <w:r>
        <w:rPr>
          <w:rFonts w:ascii="Times New Roman" w:hAnsi="Times New Roman"/>
        </w:rPr>
        <w:t>》团体标准发布后，组织科研院所、相关企业开展标准宣贯培训会，对标准进行详细解读，让相关人员了解标准，并根据标准对</w:t>
      </w:r>
      <w:r>
        <w:rPr>
          <w:rFonts w:hint="eastAsia" w:ascii="Times New Roman" w:hAnsi="Times New Roman"/>
          <w:lang w:eastAsia="zh-CN"/>
        </w:rPr>
        <w:t>东兴对虾</w:t>
      </w:r>
      <w:r>
        <w:rPr>
          <w:rFonts w:ascii="Times New Roman" w:hAnsi="Times New Roman"/>
        </w:rPr>
        <w:t>进行分析、控制和规范，保证方法的准确性，并对标准实施情况进行总结分析，不断对团体标准提出修正意见。</w:t>
      </w:r>
    </w:p>
    <w:p w14:paraId="5A11CE02">
      <w:pPr>
        <w:rPr>
          <w:rFonts w:ascii="Times New Roman" w:hAnsi="Times New Roman"/>
          <w:b/>
        </w:rPr>
      </w:pPr>
      <w:r>
        <w:rPr>
          <w:rFonts w:ascii="Times New Roman" w:hAnsi="Times New Roman"/>
          <w:b/>
        </w:rPr>
        <w:t>（二）查询标准及文献资料</w:t>
      </w:r>
    </w:p>
    <w:p w14:paraId="6574D974">
      <w:pPr>
        <w:ind w:left="0" w:firstLine="640" w:firstLineChars="200"/>
        <w:rPr>
          <w:rFonts w:ascii="Times New Roman" w:hAnsi="Times New Roman"/>
          <w:color w:val="FF0000"/>
        </w:rPr>
      </w:pPr>
      <w:r>
        <w:rPr>
          <w:rFonts w:ascii="Times New Roman" w:hAnsi="Times New Roman"/>
        </w:rPr>
        <w:t>标准编制工作组收集了国内有关“</w:t>
      </w:r>
      <w:r>
        <w:rPr>
          <w:rFonts w:hint="eastAsia" w:ascii="Times New Roman" w:hAnsi="Times New Roman"/>
          <w:color w:val="000000" w:themeColor="text1"/>
          <w:lang w:eastAsia="zh-CN"/>
          <w14:textFill>
            <w14:solidFill>
              <w14:schemeClr w14:val="tx1"/>
            </w14:solidFill>
          </w14:textFill>
        </w:rPr>
        <w:t>对虾</w:t>
      </w:r>
      <w:r>
        <w:rPr>
          <w:rFonts w:hint="eastAsia" w:ascii="Times New Roman" w:hAnsi="Times New Roman"/>
          <w:color w:val="000000" w:themeColor="text1"/>
          <w:lang w:val="en-US" w:eastAsia="zh-CN"/>
          <w14:textFill>
            <w14:solidFill>
              <w14:schemeClr w14:val="tx1"/>
            </w14:solidFill>
          </w14:textFill>
        </w:rPr>
        <w:t>产品类</w:t>
      </w:r>
      <w:r>
        <w:rPr>
          <w:rFonts w:ascii="Times New Roman" w:hAnsi="Times New Roman"/>
        </w:rPr>
        <w:t>”的相关资料，主要有：</w:t>
      </w:r>
      <w:r>
        <w:rPr>
          <w:rFonts w:ascii="Times New Roman" w:hAnsi="Times New Roman"/>
          <w:color w:val="FF0000"/>
        </w:rPr>
        <w:t xml:space="preserve"> </w:t>
      </w:r>
    </w:p>
    <w:p w14:paraId="0F864E18">
      <w:pPr>
        <w:ind w:left="0" w:firstLine="0" w:firstLineChars="0"/>
        <w:rPr>
          <w:rFonts w:hint="default" w:ascii="Times New Roman" w:hAnsi="Times New Roman"/>
          <w:lang w:val="en-US" w:eastAsia="zh-CN"/>
        </w:rPr>
      </w:pPr>
      <w:r>
        <w:rPr>
          <w:rFonts w:hint="eastAsia" w:hAnsi="宋体"/>
          <w:lang w:val="en-US" w:eastAsia="zh-CN"/>
        </w:rPr>
        <w:t>《GB/T 19782-2023  中国对虾》《GB/T 26619-2011  斑节对虾》《GB/T 26621-2011  日本对虾》《NY/T 840-2020绿色食品  虾》</w:t>
      </w:r>
      <w:r>
        <w:rPr>
          <w:rFonts w:hint="eastAsia" w:ascii="Times New Roman" w:hAnsi="Times New Roman"/>
          <w:lang w:eastAsia="zh-CN"/>
        </w:rPr>
        <w:t xml:space="preserve">《GB </w:t>
      </w:r>
      <w:r>
        <w:rPr>
          <w:rFonts w:hint="eastAsia" w:ascii="Times New Roman" w:hAnsi="Times New Roman"/>
          <w:lang w:val="en-US" w:eastAsia="zh-CN"/>
        </w:rPr>
        <w:t>/</w:t>
      </w:r>
      <w:r>
        <w:rPr>
          <w:rFonts w:hint="eastAsia" w:ascii="Times New Roman" w:hAnsi="Times New Roman"/>
          <w:lang w:eastAsia="zh-CN"/>
        </w:rPr>
        <w:t>T 15101.1-2008 中国对虾 亲虾</w:t>
      </w:r>
      <w:r>
        <w:rPr>
          <w:rFonts w:ascii="Times New Roman" w:hAnsi="Times New Roman"/>
        </w:rPr>
        <w:t xml:space="preserve"> </w:t>
      </w:r>
      <w:r>
        <w:rPr>
          <w:rFonts w:hint="eastAsia" w:ascii="Times New Roman" w:hAnsi="Times New Roman"/>
          <w:lang w:eastAsia="zh-CN"/>
        </w:rPr>
        <w:t>》《GB</w:t>
      </w:r>
      <w:r>
        <w:rPr>
          <w:rFonts w:hint="eastAsia" w:ascii="Times New Roman" w:hAnsi="Times New Roman"/>
          <w:lang w:val="en-US" w:eastAsia="zh-CN"/>
        </w:rPr>
        <w:t>/</w:t>
      </w:r>
      <w:r>
        <w:rPr>
          <w:rFonts w:hint="eastAsia" w:ascii="Times New Roman" w:hAnsi="Times New Roman"/>
          <w:lang w:eastAsia="zh-CN"/>
        </w:rPr>
        <w:t xml:space="preserve"> T 20555-2006 日本沼虾》《GB </w:t>
      </w:r>
      <w:r>
        <w:rPr>
          <w:rFonts w:hint="eastAsia" w:ascii="Times New Roman" w:hAnsi="Times New Roman"/>
          <w:lang w:val="en-US" w:eastAsia="zh-CN"/>
        </w:rPr>
        <w:t>/</w:t>
      </w:r>
      <w:r>
        <w:rPr>
          <w:rFonts w:hint="eastAsia" w:ascii="Times New Roman" w:hAnsi="Times New Roman"/>
          <w:lang w:eastAsia="zh-CN"/>
        </w:rPr>
        <w:t>T 26619-2011 斑节对虾》《SC</w:t>
      </w:r>
      <w:r>
        <w:rPr>
          <w:rFonts w:hint="eastAsia" w:ascii="Times New Roman" w:hAnsi="Times New Roman"/>
          <w:lang w:val="en-US" w:eastAsia="zh-CN"/>
        </w:rPr>
        <w:t>/</w:t>
      </w:r>
      <w:r>
        <w:rPr>
          <w:rFonts w:hint="eastAsia" w:ascii="Times New Roman" w:hAnsi="Times New Roman"/>
          <w:lang w:eastAsia="zh-CN"/>
        </w:rPr>
        <w:t>T 3120-2012 冻熟对虾》</w:t>
      </w:r>
    </w:p>
    <w:p w14:paraId="29645F29">
      <w:pPr>
        <w:ind w:left="0" w:firstLine="643" w:firstLineChars="200"/>
        <w:rPr>
          <w:rFonts w:ascii="Times New Roman" w:hAnsi="Times New Roman"/>
          <w:b/>
        </w:rPr>
      </w:pPr>
      <w:r>
        <w:rPr>
          <w:rFonts w:ascii="Times New Roman" w:hAnsi="Times New Roman"/>
          <w:b/>
        </w:rPr>
        <w:t>（三）研讨确定标准主体内容</w:t>
      </w:r>
    </w:p>
    <w:p w14:paraId="06297E34">
      <w:pPr>
        <w:ind w:left="0" w:firstLine="640" w:firstLineChars="200"/>
        <w:rPr>
          <w:rFonts w:ascii="Times New Roman" w:hAnsi="Times New Roman"/>
          <w:color w:val="000000" w:themeColor="text1"/>
          <w14:textFill>
            <w14:solidFill>
              <w14:schemeClr w14:val="tx1"/>
            </w14:solidFill>
          </w14:textFill>
        </w:rPr>
      </w:pPr>
      <w:r>
        <w:rPr>
          <w:rFonts w:ascii="Times New Roman" w:hAnsi="Times New Roman"/>
        </w:rPr>
        <w:t>标准编制工作组在对收集的资料进行整理研究之后，标准编制工作组召开了标准编制会议，对标准的整体框架结构进行了研究，并对标准的关键性内容进行了初步探讨。经过研究，</w:t>
      </w:r>
      <w:r>
        <w:rPr>
          <w:rFonts w:ascii="Times New Roman" w:hAnsi="Times New Roman"/>
          <w:color w:val="000000" w:themeColor="text1"/>
          <w14:textFill>
            <w14:solidFill>
              <w14:schemeClr w14:val="tx1"/>
            </w14:solidFill>
          </w14:textFill>
        </w:rPr>
        <w:t>标准的主体内容确定为术语和定义、分级要求、检</w:t>
      </w:r>
      <w:r>
        <w:rPr>
          <w:rFonts w:hint="eastAsia" w:ascii="Times New Roman" w:hAnsi="Times New Roman"/>
          <w:color w:val="000000" w:themeColor="text1"/>
          <w:lang w:val="en-US" w:eastAsia="zh-CN"/>
          <w14:textFill>
            <w14:solidFill>
              <w14:schemeClr w14:val="tx1"/>
            </w14:solidFill>
          </w14:textFill>
        </w:rPr>
        <w:t>测</w:t>
      </w:r>
      <w:r>
        <w:rPr>
          <w:rFonts w:ascii="Times New Roman" w:hAnsi="Times New Roman"/>
          <w:color w:val="000000" w:themeColor="text1"/>
          <w14:textFill>
            <w14:solidFill>
              <w14:schemeClr w14:val="tx1"/>
            </w14:solidFill>
          </w14:textFill>
        </w:rPr>
        <w:t>方法、检验规则</w:t>
      </w:r>
      <w:r>
        <w:rPr>
          <w:rFonts w:hint="eastAsia" w:ascii="Times New Roman" w:hAnsi="Times New Roman"/>
          <w:color w:val="000000" w:themeColor="text1"/>
          <w:lang w:eastAsia="zh-CN"/>
          <w14:textFill>
            <w14:solidFill>
              <w14:schemeClr w14:val="tx1"/>
            </w14:solidFill>
          </w14:textFill>
        </w:rPr>
        <w:t>、</w:t>
      </w:r>
      <w:r>
        <w:rPr>
          <w:rFonts w:hint="eastAsia" w:ascii="Times New Roman" w:hAnsi="Times New Roman"/>
          <w:color w:val="000000" w:themeColor="text1"/>
          <w:lang w:val="en-US" w:eastAsia="zh-CN"/>
          <w14:textFill>
            <w14:solidFill>
              <w14:schemeClr w14:val="tx1"/>
            </w14:solidFill>
          </w14:textFill>
        </w:rPr>
        <w:t>级别判定规则</w:t>
      </w:r>
      <w:r>
        <w:rPr>
          <w:rFonts w:ascii="Times New Roman" w:hAnsi="Times New Roman"/>
          <w:color w:val="000000" w:themeColor="text1"/>
          <w14:textFill>
            <w14:solidFill>
              <w14:schemeClr w14:val="tx1"/>
            </w14:solidFill>
          </w14:textFill>
        </w:rPr>
        <w:t>和</w:t>
      </w:r>
      <w:r>
        <w:rPr>
          <w:rFonts w:hint="eastAsia" w:ascii="Times New Roman" w:hAnsi="Times New Roman"/>
          <w:color w:val="000000" w:themeColor="text1"/>
          <w:lang w:val="en-US" w:eastAsia="zh-CN"/>
          <w14:textFill>
            <w14:solidFill>
              <w14:schemeClr w14:val="tx1"/>
            </w14:solidFill>
          </w14:textFill>
        </w:rPr>
        <w:t>包装、标识和运输</w:t>
      </w:r>
      <w:r>
        <w:rPr>
          <w:rFonts w:ascii="Times New Roman" w:hAnsi="Times New Roman"/>
          <w:color w:val="000000" w:themeColor="text1"/>
          <w14:textFill>
            <w14:solidFill>
              <w14:schemeClr w14:val="tx1"/>
            </w14:solidFill>
          </w14:textFill>
        </w:rPr>
        <w:t>。</w:t>
      </w:r>
    </w:p>
    <w:p w14:paraId="04257B12">
      <w:pPr>
        <w:rPr>
          <w:rFonts w:hint="default" w:ascii="Times New Roman" w:hAnsi="Times New Roman" w:eastAsia="仿宋_GB2312"/>
          <w:b/>
          <w:lang w:val="en-US" w:eastAsia="zh-CN"/>
        </w:rPr>
      </w:pPr>
      <w:r>
        <w:rPr>
          <w:rFonts w:ascii="Times New Roman" w:hAnsi="Times New Roman"/>
          <w:b/>
        </w:rPr>
        <w:t>（四）调研、形成文本草案、征求意见稿</w:t>
      </w:r>
    </w:p>
    <w:p w14:paraId="24683B95">
      <w:pPr>
        <w:ind w:left="0" w:firstLine="640" w:firstLineChars="200"/>
        <w:rPr>
          <w:rFonts w:ascii="Times New Roman" w:hAnsi="Times New Roman"/>
        </w:rPr>
      </w:pPr>
      <w:bookmarkStart w:id="0" w:name="_Toc526940083"/>
      <w:r>
        <w:rPr>
          <w:rFonts w:ascii="Times New Roman" w:hAnsi="Times New Roman"/>
        </w:rPr>
        <w:t>202</w:t>
      </w:r>
      <w:r>
        <w:rPr>
          <w:rFonts w:ascii="Times New Roman" w:hAnsi="Times New Roman"/>
          <w:lang w:val="en-US"/>
        </w:rPr>
        <w:t>4</w:t>
      </w:r>
      <w:r>
        <w:rPr>
          <w:rFonts w:ascii="Times New Roman" w:hAnsi="Times New Roman"/>
        </w:rPr>
        <w:t>年</w:t>
      </w:r>
      <w:r>
        <w:rPr>
          <w:rFonts w:ascii="Times New Roman" w:hAnsi="Times New Roman"/>
          <w:lang w:val="en-US"/>
        </w:rPr>
        <w:t>1</w:t>
      </w:r>
      <w:r>
        <w:rPr>
          <w:rFonts w:ascii="Times New Roman" w:hAnsi="Times New Roman"/>
        </w:rPr>
        <w:t>月～</w:t>
      </w:r>
      <w:r>
        <w:rPr>
          <w:rFonts w:hint="eastAsia" w:ascii="Times New Roman" w:hAnsi="Times New Roman"/>
          <w:lang w:val="en-US" w:eastAsia="zh-CN"/>
        </w:rPr>
        <w:t>8</w:t>
      </w:r>
      <w:r>
        <w:rPr>
          <w:rFonts w:ascii="Times New Roman" w:hAnsi="Times New Roman"/>
        </w:rPr>
        <w:t>月，标准起草工作小组进行了广泛实地调研工作，查阅了大量的国内外文献资料，经编制组反复讨论，形成了标准的基本构架，对主要内容进行了讨论并对项目的工作进行了部署和安排。在前期工作的基础之上，通过理清逻辑脉络，整合已有的参考资料中有关</w:t>
      </w:r>
      <w:r>
        <w:rPr>
          <w:rFonts w:hint="eastAsia" w:ascii="Times New Roman" w:hAnsi="Times New Roman"/>
          <w:lang w:eastAsia="zh-CN"/>
        </w:rPr>
        <w:t>东兴对虾</w:t>
      </w:r>
      <w:r>
        <w:rPr>
          <w:rFonts w:ascii="Times New Roman" w:hAnsi="Times New Roman"/>
        </w:rPr>
        <w:t>的内容指标，并结合实地调研及收集到的最新技术资料的基础上，按照简化、统一等原则编制完成了团体标准《</w:t>
      </w:r>
      <w:r>
        <w:rPr>
          <w:rFonts w:hint="eastAsia" w:ascii="Times New Roman" w:hAnsi="Times New Roman"/>
          <w:lang w:eastAsia="zh-CN"/>
        </w:rPr>
        <w:t>东兴对虾</w:t>
      </w:r>
      <w:r>
        <w:rPr>
          <w:rFonts w:ascii="Times New Roman" w:hAnsi="Times New Roman"/>
        </w:rPr>
        <w:t>》（草案）。</w:t>
      </w:r>
    </w:p>
    <w:p w14:paraId="7A1C5904">
      <w:pPr>
        <w:ind w:left="0" w:firstLine="640" w:firstLineChars="200"/>
        <w:rPr>
          <w:rFonts w:ascii="Times New Roman" w:hAnsi="Times New Roman"/>
        </w:rPr>
      </w:pPr>
      <w:r>
        <w:rPr>
          <w:rFonts w:ascii="Times New Roman" w:hAnsi="Times New Roman"/>
        </w:rPr>
        <w:t>202</w:t>
      </w:r>
      <w:r>
        <w:rPr>
          <w:rFonts w:ascii="Times New Roman" w:hAnsi="Times New Roman"/>
          <w:lang w:val="en-US"/>
        </w:rPr>
        <w:t>4</w:t>
      </w:r>
      <w:r>
        <w:rPr>
          <w:rFonts w:ascii="Times New Roman" w:hAnsi="Times New Roman"/>
        </w:rPr>
        <w:t>年</w:t>
      </w:r>
      <w:r>
        <w:rPr>
          <w:rFonts w:hint="eastAsia" w:ascii="Times New Roman" w:hAnsi="Times New Roman"/>
          <w:lang w:val="en-US" w:eastAsia="zh-CN"/>
        </w:rPr>
        <w:t>9</w:t>
      </w:r>
      <w:r>
        <w:rPr>
          <w:rFonts w:ascii="Times New Roman" w:hAnsi="Times New Roman"/>
        </w:rPr>
        <w:t>月～</w:t>
      </w:r>
      <w:r>
        <w:rPr>
          <w:rFonts w:hint="eastAsia" w:ascii="Times New Roman" w:hAnsi="Times New Roman"/>
          <w:lang w:val="en-US" w:eastAsia="zh-CN"/>
        </w:rPr>
        <w:t>10</w:t>
      </w:r>
      <w:r>
        <w:rPr>
          <w:rFonts w:ascii="Times New Roman" w:hAnsi="Times New Roman"/>
        </w:rPr>
        <w:t>月，标准起草工作组深入到相关行政主管部门及</w:t>
      </w:r>
      <w:r>
        <w:rPr>
          <w:rFonts w:hint="eastAsia" w:ascii="Times New Roman" w:hAnsi="Times New Roman"/>
          <w:lang w:val="en-US" w:eastAsia="zh-CN"/>
        </w:rPr>
        <w:t>东兴对虾养殖基地</w:t>
      </w:r>
      <w:r>
        <w:rPr>
          <w:rFonts w:ascii="Times New Roman" w:hAnsi="Times New Roman"/>
        </w:rPr>
        <w:t>开展实地调研，并实际</w:t>
      </w:r>
      <w:r>
        <w:rPr>
          <w:rFonts w:hint="eastAsia" w:ascii="Times New Roman" w:hAnsi="Times New Roman"/>
        </w:rPr>
        <w:t>征求</w:t>
      </w:r>
      <w:r>
        <w:rPr>
          <w:rFonts w:ascii="Times New Roman" w:hAnsi="Times New Roman"/>
        </w:rPr>
        <w:t>多家相关单位的内部意见</w:t>
      </w:r>
      <w:r>
        <w:rPr>
          <w:rFonts w:hint="eastAsia" w:ascii="Times New Roman" w:hAnsi="Times New Roman"/>
        </w:rPr>
        <w:t>。</w:t>
      </w:r>
      <w:r>
        <w:rPr>
          <w:rFonts w:hint="eastAsia" w:ascii="Times New Roman" w:hAnsi="Times New Roman"/>
          <w:lang w:val="en-US" w:eastAsia="zh-CN"/>
        </w:rPr>
        <w:t>2024年11月，起草单位送检了15个批次东兴对虾进行相关指标的检测，</w:t>
      </w:r>
      <w:r>
        <w:rPr>
          <w:rFonts w:hint="eastAsia"/>
          <w:lang w:val="en-US"/>
        </w:rPr>
        <w:t>同时起草组也</w:t>
      </w:r>
      <w:r>
        <w:rPr>
          <w:rFonts w:ascii="Times New Roman" w:hAnsi="Times New Roman"/>
        </w:rPr>
        <w:t>通过收集大量意见，多次召开标准编制工作组会议，对标准草案进行了反复修改和研究讨论。最终形成了团体标准《</w:t>
      </w:r>
      <w:r>
        <w:rPr>
          <w:rFonts w:hint="eastAsia" w:ascii="Times New Roman" w:hAnsi="Times New Roman"/>
          <w:lang w:eastAsia="zh-CN"/>
        </w:rPr>
        <w:t>东兴对虾</w:t>
      </w:r>
      <w:r>
        <w:rPr>
          <w:rFonts w:ascii="Times New Roman" w:hAnsi="Times New Roman"/>
        </w:rPr>
        <w:t>》（征求意见稿）和（征求意见稿）编制说明。</w:t>
      </w:r>
    </w:p>
    <w:bookmarkEnd w:id="0"/>
    <w:p w14:paraId="71B2845A">
      <w:pPr>
        <w:ind w:left="0" w:firstLine="640" w:firstLineChars="200"/>
        <w:rPr>
          <w:rFonts w:ascii="Times New Roman" w:hAnsi="Times New Roman" w:eastAsia="黑体"/>
          <w:lang w:val="en-US" w:bidi="ar-SA"/>
        </w:rPr>
      </w:pPr>
      <w:r>
        <w:rPr>
          <w:rFonts w:ascii="Times New Roman" w:hAnsi="Times New Roman" w:eastAsia="黑体"/>
          <w:lang w:val="en-US" w:bidi="ar-SA"/>
        </w:rPr>
        <w:t>四、制定标准的原则和依据，与现行法律、法规的关系，与有关国家标准、行业标准的协调情况</w:t>
      </w:r>
    </w:p>
    <w:p w14:paraId="30B41E13">
      <w:pPr>
        <w:rPr>
          <w:rFonts w:ascii="Times New Roman" w:hAnsi="Times New Roman"/>
          <w:b/>
        </w:rPr>
      </w:pPr>
      <w:r>
        <w:rPr>
          <w:rFonts w:ascii="Times New Roman" w:hAnsi="Times New Roman"/>
          <w:b/>
        </w:rPr>
        <w:t>（一）编制原则</w:t>
      </w:r>
    </w:p>
    <w:p w14:paraId="3123BE96">
      <w:pPr>
        <w:rPr>
          <w:rFonts w:ascii="Times New Roman" w:hAnsi="Times New Roman"/>
          <w:b/>
        </w:rPr>
      </w:pPr>
      <w:r>
        <w:rPr>
          <w:rFonts w:ascii="Times New Roman" w:hAnsi="Times New Roman"/>
          <w:b/>
        </w:rPr>
        <w:t>1、实用性原则</w:t>
      </w:r>
    </w:p>
    <w:p w14:paraId="652064ED">
      <w:pPr>
        <w:ind w:left="0" w:firstLine="640" w:firstLineChars="200"/>
        <w:rPr>
          <w:rFonts w:ascii="Times New Roman" w:hAnsi="Times New Roman"/>
        </w:rPr>
      </w:pPr>
      <w:r>
        <w:rPr>
          <w:rFonts w:ascii="Times New Roman" w:hAnsi="Times New Roman"/>
        </w:rPr>
        <w:t>本文件是在充分收集相关资料和文献，分析</w:t>
      </w:r>
      <w:r>
        <w:rPr>
          <w:rFonts w:ascii="Times New Roman" w:hAnsi="Times New Roman"/>
          <w:color w:val="000000"/>
        </w:rPr>
        <w:t>结合</w:t>
      </w:r>
      <w:r>
        <w:rPr>
          <w:rFonts w:hint="eastAsia" w:ascii="Times New Roman" w:hAnsi="Times New Roman"/>
          <w:lang w:val="en-US" w:eastAsia="zh-CN"/>
        </w:rPr>
        <w:t>东兴对虾</w:t>
      </w:r>
      <w:r>
        <w:rPr>
          <w:rFonts w:ascii="Times New Roman" w:hAnsi="Times New Roman"/>
          <w:lang w:val="en-US"/>
        </w:rPr>
        <w:t>质量</w:t>
      </w:r>
      <w:r>
        <w:rPr>
          <w:rFonts w:ascii="Times New Roman" w:hAnsi="Times New Roman"/>
        </w:rPr>
        <w:t>现状，调研</w:t>
      </w:r>
      <w:r>
        <w:rPr>
          <w:rFonts w:ascii="Times New Roman" w:hAnsi="Times New Roman"/>
          <w:color w:val="000000"/>
        </w:rPr>
        <w:t>相关行政主管部门及区内相关机构的</w:t>
      </w:r>
      <w:r>
        <w:rPr>
          <w:rFonts w:hint="eastAsia" w:ascii="Times New Roman" w:hAnsi="Times New Roman"/>
          <w:lang w:eastAsia="zh-CN"/>
        </w:rPr>
        <w:t>东兴对虾</w:t>
      </w:r>
      <w:r>
        <w:rPr>
          <w:rFonts w:ascii="Times New Roman" w:hAnsi="Times New Roman"/>
          <w:color w:val="000000"/>
        </w:rPr>
        <w:t>的情况</w:t>
      </w:r>
      <w:r>
        <w:rPr>
          <w:rFonts w:ascii="Times New Roman" w:hAnsi="Times New Roman"/>
        </w:rPr>
        <w:t>，在现有国家、行业标准相关</w:t>
      </w:r>
      <w:r>
        <w:rPr>
          <w:rFonts w:hint="eastAsia" w:ascii="Times New Roman" w:hAnsi="Times New Roman"/>
          <w:lang w:eastAsia="zh-CN"/>
        </w:rPr>
        <w:t>东兴对虾</w:t>
      </w:r>
      <w:r>
        <w:rPr>
          <w:rFonts w:ascii="Times New Roman" w:hAnsi="Times New Roman"/>
          <w:color w:val="000000"/>
        </w:rPr>
        <w:t>的</w:t>
      </w:r>
      <w:r>
        <w:rPr>
          <w:rFonts w:ascii="Times New Roman" w:hAnsi="Times New Roman"/>
        </w:rPr>
        <w:t>基础上，结合实地调研而总结起草的。规范</w:t>
      </w:r>
      <w:r>
        <w:rPr>
          <w:rFonts w:hint="eastAsia" w:ascii="Times New Roman" w:hAnsi="Times New Roman"/>
          <w:lang w:eastAsia="zh-CN"/>
        </w:rPr>
        <w:t>东兴对虾</w:t>
      </w:r>
      <w:r>
        <w:rPr>
          <w:rFonts w:hint="eastAsia" w:ascii="Times New Roman" w:hAnsi="Times New Roman"/>
          <w:lang w:val="en-US" w:eastAsia="zh-CN"/>
        </w:rPr>
        <w:t>质量</w:t>
      </w:r>
      <w:r>
        <w:rPr>
          <w:rFonts w:ascii="Times New Roman" w:hAnsi="Times New Roman"/>
        </w:rPr>
        <w:t>要求，</w:t>
      </w:r>
      <w:r>
        <w:rPr>
          <w:rFonts w:hint="eastAsia" w:ascii="Times New Roman" w:hAnsi="Times New Roman"/>
          <w:lang w:val="en-US" w:eastAsia="zh-CN"/>
        </w:rPr>
        <w:t>保障东兴对虾产品质量</w:t>
      </w:r>
      <w:r>
        <w:rPr>
          <w:rFonts w:ascii="Times New Roman" w:hAnsi="Times New Roman"/>
        </w:rPr>
        <w:t>，</w:t>
      </w:r>
      <w:r>
        <w:rPr>
          <w:rFonts w:hint="eastAsia" w:ascii="Times New Roman" w:hAnsi="Times New Roman"/>
          <w:lang w:val="en-US" w:eastAsia="zh-CN"/>
        </w:rPr>
        <w:t>打造东兴对虾品牌，推动东兴对虾高质量发展</w:t>
      </w:r>
      <w:r>
        <w:rPr>
          <w:rFonts w:ascii="Times New Roman" w:hAnsi="Times New Roman"/>
        </w:rPr>
        <w:t>具有重要意义。</w:t>
      </w:r>
    </w:p>
    <w:p w14:paraId="297A7E58">
      <w:pPr>
        <w:rPr>
          <w:rFonts w:ascii="Times New Roman" w:hAnsi="Times New Roman"/>
          <w:b/>
        </w:rPr>
      </w:pPr>
      <w:r>
        <w:rPr>
          <w:rFonts w:ascii="Times New Roman" w:hAnsi="Times New Roman"/>
          <w:b/>
        </w:rPr>
        <w:t>2、协调性原则</w:t>
      </w:r>
    </w:p>
    <w:p w14:paraId="6B946C12">
      <w:pPr>
        <w:ind w:left="0" w:firstLine="640" w:firstLineChars="200"/>
        <w:rPr>
          <w:rFonts w:ascii="Times New Roman" w:hAnsi="Times New Roman"/>
        </w:rPr>
      </w:pPr>
      <w:r>
        <w:rPr>
          <w:rFonts w:ascii="Times New Roman" w:hAnsi="Times New Roman"/>
        </w:rPr>
        <w:t>本文件编写过程中注意了与</w:t>
      </w:r>
      <w:r>
        <w:rPr>
          <w:rFonts w:hint="eastAsia" w:ascii="Times New Roman" w:hAnsi="Times New Roman"/>
          <w:color w:val="000000"/>
          <w:lang w:eastAsia="zh-CN"/>
        </w:rPr>
        <w:t>东兴对虾</w:t>
      </w:r>
      <w:r>
        <w:rPr>
          <w:rFonts w:ascii="Times New Roman" w:hAnsi="Times New Roman"/>
        </w:rPr>
        <w:t>相关法律法规的协调问题，在内容上与现行法律法规、标准协调一致。</w:t>
      </w:r>
    </w:p>
    <w:p w14:paraId="5E34CBC2">
      <w:pPr>
        <w:rPr>
          <w:rFonts w:ascii="Times New Roman" w:hAnsi="Times New Roman"/>
          <w:b/>
        </w:rPr>
      </w:pPr>
      <w:r>
        <w:rPr>
          <w:rFonts w:ascii="Times New Roman" w:hAnsi="Times New Roman"/>
          <w:b/>
        </w:rPr>
        <w:t>3、规范性原则</w:t>
      </w:r>
    </w:p>
    <w:p w14:paraId="70F8C9B0">
      <w:pPr>
        <w:ind w:left="0" w:firstLine="640" w:firstLineChars="200"/>
        <w:rPr>
          <w:rFonts w:ascii="Times New Roman" w:hAnsi="Times New Roman"/>
        </w:rPr>
      </w:pPr>
      <w:r>
        <w:rPr>
          <w:rFonts w:ascii="Times New Roman" w:hAnsi="Times New Roman"/>
        </w:rPr>
        <w:t>本文件严格按照GB/T 1.1—2020《标准化工作导则  第1部分：标准化文件的结构和起草规则》的要求和规定编写本标准的内容，保证标准的编写质量。</w:t>
      </w:r>
    </w:p>
    <w:p w14:paraId="7B2B5CC6">
      <w:pPr>
        <w:rPr>
          <w:rFonts w:ascii="Times New Roman" w:hAnsi="Times New Roman"/>
          <w:b/>
        </w:rPr>
      </w:pPr>
      <w:r>
        <w:rPr>
          <w:rFonts w:ascii="Times New Roman" w:hAnsi="Times New Roman"/>
          <w:b/>
        </w:rPr>
        <w:t>4、前瞻性原则</w:t>
      </w:r>
    </w:p>
    <w:p w14:paraId="45BA80A9">
      <w:pPr>
        <w:ind w:left="0" w:firstLine="640" w:firstLineChars="200"/>
        <w:rPr>
          <w:rFonts w:ascii="Times New Roman" w:hAnsi="Times New Roman"/>
        </w:rPr>
      </w:pPr>
      <w:r>
        <w:rPr>
          <w:rFonts w:ascii="Times New Roman" w:hAnsi="Times New Roman"/>
        </w:rPr>
        <w:t>本文件在兼顾当前</w:t>
      </w:r>
      <w:r>
        <w:rPr>
          <w:rFonts w:hint="eastAsia" w:ascii="Times New Roman" w:hAnsi="Times New Roman"/>
          <w:lang w:eastAsia="zh-CN"/>
        </w:rPr>
        <w:t>东兴对虾</w:t>
      </w:r>
      <w:r>
        <w:rPr>
          <w:rFonts w:ascii="Times New Roman" w:hAnsi="Times New Roman"/>
        </w:rPr>
        <w:t>现实情况的同时，还考虑到了</w:t>
      </w:r>
      <w:r>
        <w:rPr>
          <w:rFonts w:hint="eastAsia" w:ascii="Times New Roman" w:hAnsi="Times New Roman"/>
          <w:color w:val="000000"/>
          <w:lang w:eastAsia="zh-CN"/>
        </w:rPr>
        <w:t>东兴对虾</w:t>
      </w:r>
      <w:r>
        <w:rPr>
          <w:rFonts w:ascii="Times New Roman" w:hAnsi="Times New Roman"/>
        </w:rPr>
        <w:t>快速发展的趋势和需要，在标准中体现了个别特色性、前瞻性和先进性条款，作为</w:t>
      </w:r>
      <w:r>
        <w:rPr>
          <w:rFonts w:hint="eastAsia" w:ascii="Times New Roman" w:hAnsi="Times New Roman"/>
          <w:color w:val="000000"/>
          <w:lang w:eastAsia="zh-CN"/>
        </w:rPr>
        <w:t>东兴对虾</w:t>
      </w:r>
      <w:r>
        <w:rPr>
          <w:rFonts w:ascii="Times New Roman" w:hAnsi="Times New Roman"/>
        </w:rPr>
        <w:t>的指导。</w:t>
      </w:r>
    </w:p>
    <w:p w14:paraId="19C0B630">
      <w:pPr>
        <w:rPr>
          <w:rFonts w:ascii="Times New Roman" w:hAnsi="Times New Roman"/>
          <w:b/>
        </w:rPr>
      </w:pPr>
      <w:r>
        <w:rPr>
          <w:rFonts w:ascii="Times New Roman" w:hAnsi="Times New Roman"/>
          <w:b/>
        </w:rPr>
        <w:t>（二）编制依据</w:t>
      </w:r>
    </w:p>
    <w:p w14:paraId="0F400532">
      <w:pPr>
        <w:ind w:left="0" w:firstLine="640" w:firstLineChars="200"/>
        <w:rPr>
          <w:rFonts w:ascii="Times New Roman" w:hAnsi="Times New Roman"/>
        </w:rPr>
      </w:pPr>
      <w:r>
        <w:rPr>
          <w:rFonts w:ascii="Times New Roman" w:hAnsi="Times New Roman"/>
        </w:rPr>
        <w:t>本标准严格按照GB/T 1.1—2020《标准化工作导则  第1部分：标准化文件的结构和起草规则》的规则起草，标准主要内容依据起草单位在</w:t>
      </w:r>
      <w:r>
        <w:rPr>
          <w:rFonts w:hint="eastAsia" w:ascii="Times New Roman" w:hAnsi="Times New Roman"/>
          <w:lang w:eastAsia="zh-CN"/>
        </w:rPr>
        <w:t>东兴对虾</w:t>
      </w:r>
      <w:r>
        <w:rPr>
          <w:rFonts w:ascii="Times New Roman" w:hAnsi="Times New Roman"/>
        </w:rPr>
        <w:t>的实践经验确定。</w:t>
      </w:r>
    </w:p>
    <w:p w14:paraId="40448396">
      <w:pPr>
        <w:ind w:left="0" w:firstLine="630" w:firstLineChars="196"/>
        <w:rPr>
          <w:rFonts w:ascii="Times New Roman" w:hAnsi="Times New Roman"/>
          <w:b/>
        </w:rPr>
      </w:pPr>
      <w:r>
        <w:rPr>
          <w:rFonts w:ascii="Times New Roman" w:hAnsi="Times New Roman"/>
          <w:b/>
        </w:rPr>
        <w:t>（三）与现行法律、法规的关系，与有关国家标准、行业标准的协调情况</w:t>
      </w:r>
    </w:p>
    <w:p w14:paraId="7A87E6EC">
      <w:pPr>
        <w:ind w:left="0" w:firstLine="640" w:firstLineChars="200"/>
        <w:rPr>
          <w:rFonts w:ascii="Times New Roman" w:hAnsi="Times New Roman"/>
        </w:rPr>
      </w:pPr>
      <w:r>
        <w:rPr>
          <w:rFonts w:ascii="Times New Roman" w:hAnsi="Times New Roman"/>
        </w:rPr>
        <w:t>本标准与相关法律法规、强制性标准协调一致，无冲突。</w:t>
      </w:r>
    </w:p>
    <w:p w14:paraId="6811320F">
      <w:pPr>
        <w:ind w:left="0" w:firstLine="640" w:firstLineChars="200"/>
        <w:rPr>
          <w:rFonts w:hint="eastAsia" w:ascii="Times New Roman" w:hAnsi="Times New Roman"/>
        </w:rPr>
      </w:pPr>
      <w:r>
        <w:rPr>
          <w:rFonts w:ascii="Times New Roman" w:hAnsi="Times New Roman"/>
        </w:rPr>
        <w:t>经查阅，</w:t>
      </w:r>
      <w:r>
        <w:rPr>
          <w:rFonts w:hint="eastAsia" w:ascii="Times New Roman" w:hAnsi="Times New Roman"/>
        </w:rPr>
        <w:t>经查阅，涉及“对虾”产品相关的标准如下。</w:t>
      </w:r>
    </w:p>
    <w:p w14:paraId="01D77C07">
      <w:pPr>
        <w:ind w:left="0" w:firstLine="640" w:firstLineChars="200"/>
        <w:rPr>
          <w:rFonts w:hint="eastAsia" w:ascii="Times New Roman" w:hAnsi="Times New Roman"/>
        </w:rPr>
      </w:pPr>
      <w:r>
        <w:rPr>
          <w:rFonts w:hint="eastAsia" w:ascii="Times New Roman" w:hAnsi="Times New Roman"/>
        </w:rPr>
        <w:t>与对虾产品类相关的标准主要有《GB/T 19782-2023  中国对虾》《GB/T 26619-2011  斑节对虾》《GB/T 26621-2011  日本对虾》主要规定了虾的形态结构特征、生长与繁殖特性、细胞遗传学特性与分子遗传学特性，适用于对虾的种质鉴定和检测。《NY/T 840-2020绿色食品  虾》适用绿色食品对虾科、长额虾科、褐虾科，长臂虾科和螯虾科的活虾、鲜虾、速冻生虾、速冻熟虾等，涉及虾的范围广，规定了绿色食品虾的加工、感官理化指标污染物限量和渔药残留量等要求，描述了检验规则、标签、包装、运输与储存等方法。</w:t>
      </w:r>
    </w:p>
    <w:p w14:paraId="5A34BA41">
      <w:pPr>
        <w:ind w:left="0" w:firstLine="640" w:firstLineChars="200"/>
        <w:rPr>
          <w:rFonts w:ascii="Times New Roman" w:hAnsi="Times New Roman"/>
        </w:rPr>
      </w:pPr>
      <w:r>
        <w:rPr>
          <w:rFonts w:hint="eastAsia" w:ascii="Times New Roman" w:hAnsi="Times New Roman"/>
        </w:rPr>
        <w:t>上述标准内容适用于涉及对虾种质要求、鲜虾的通用要求，并没有对虾的质量分级要求，更多的是感官上的要求，不适用于东兴市所处地理位置和水域范围内，以及先进高效养殖的模式出笼的东兴对虾，不能有效指导东兴对虾各等级质量要求、检验方法和判定规则。</w:t>
      </w:r>
    </w:p>
    <w:p w14:paraId="2425500E">
      <w:pPr>
        <w:rPr>
          <w:rFonts w:ascii="Times New Roman" w:hAnsi="Times New Roman" w:eastAsia="黑体"/>
          <w:lang w:val="en-US" w:bidi="ar-SA"/>
        </w:rPr>
      </w:pPr>
      <w:r>
        <w:rPr>
          <w:rFonts w:ascii="Times New Roman" w:hAnsi="Times New Roman" w:eastAsia="黑体"/>
          <w:lang w:val="en-US" w:bidi="ar-SA"/>
        </w:rPr>
        <w:t>五、主要条款的说明</w:t>
      </w:r>
    </w:p>
    <w:p w14:paraId="04EA0107">
      <w:pPr>
        <w:ind w:left="0" w:firstLine="640" w:firstLineChars="200"/>
        <w:rPr>
          <w:rFonts w:ascii="Times New Roman" w:hAnsi="Times New Roman"/>
        </w:rPr>
      </w:pPr>
      <w:r>
        <w:rPr>
          <w:rFonts w:ascii="Times New Roman" w:hAnsi="Times New Roman"/>
        </w:rPr>
        <w:t>团体标准《</w:t>
      </w:r>
      <w:r>
        <w:rPr>
          <w:rFonts w:hint="eastAsia" w:ascii="Times New Roman" w:hAnsi="Times New Roman"/>
          <w:lang w:eastAsia="zh-CN"/>
        </w:rPr>
        <w:t>东兴对虾</w:t>
      </w:r>
      <w:r>
        <w:rPr>
          <w:rFonts w:ascii="Times New Roman" w:hAnsi="Times New Roman"/>
        </w:rPr>
        <w:t>》的创新点为：</w:t>
      </w:r>
      <w:r>
        <w:rPr>
          <w:rFonts w:hint="eastAsia" w:ascii="Times New Roman" w:hAnsi="Times New Roman"/>
          <w:lang w:val="en-US" w:eastAsia="zh-CN"/>
        </w:rPr>
        <w:t>从东兴对虾感官要求分为一级、二级和三级三个等级，以及以每500 g东兴对虾所含尾数分为3个等级，通过对虾品质的分级，更好地定位不同价格区间的产品，满足不同消费者的需求，从而提高市场竞争力</w:t>
      </w:r>
      <w:r>
        <w:rPr>
          <w:rFonts w:ascii="Times New Roman" w:hAnsi="Times New Roman"/>
        </w:rPr>
        <w:t>，</w:t>
      </w:r>
      <w:r>
        <w:rPr>
          <w:rFonts w:hint="eastAsia" w:ascii="Times New Roman" w:hAnsi="Times New Roman"/>
        </w:rPr>
        <w:t>分级有助于消费者根据自身经济状况和需求选择合适的产品，同时也有利于生产者根据市场需求调整生产计划，实现价格优化。</w:t>
      </w:r>
      <w:r>
        <w:rPr>
          <w:rFonts w:hint="eastAsia" w:ascii="Times New Roman" w:hAnsi="Times New Roman"/>
          <w:lang w:val="en-US" w:eastAsia="zh-CN"/>
        </w:rPr>
        <w:t>文件中还规定了东兴对虾蛋白质、氨基酸和脂肪，以及水分和出肉率等理化指标，从而提升东兴对虾品牌质量。</w:t>
      </w:r>
      <w:r>
        <w:rPr>
          <w:rFonts w:ascii="Times New Roman" w:hAnsi="Times New Roman"/>
        </w:rPr>
        <w:t>本文件主要依据来源说明如下：</w:t>
      </w:r>
    </w:p>
    <w:p w14:paraId="03E22AEB">
      <w:pPr>
        <w:pStyle w:val="44"/>
        <w:numPr>
          <w:ilvl w:val="0"/>
          <w:numId w:val="0"/>
        </w:numPr>
        <w:ind w:firstLine="640" w:firstLineChars="200"/>
        <w:rPr>
          <w:rFonts w:hint="eastAsia" w:ascii="Times New Roman" w:hAnsi="Times New Roman" w:eastAsia="仿宋_GB2312"/>
          <w:b w:val="0"/>
          <w:sz w:val="32"/>
          <w:lang w:val="en-US" w:eastAsia="zh-CN"/>
        </w:rPr>
      </w:pPr>
      <w:r>
        <w:rPr>
          <w:rFonts w:hint="eastAsia" w:eastAsia="仿宋_GB2312"/>
          <w:b w:val="0"/>
          <w:sz w:val="32"/>
          <w:lang w:val="en-US" w:eastAsia="zh-CN"/>
        </w:rPr>
        <w:t>（一）分级要求</w:t>
      </w:r>
    </w:p>
    <w:p w14:paraId="09B9677E">
      <w:pPr>
        <w:pStyle w:val="44"/>
        <w:numPr>
          <w:ilvl w:val="0"/>
          <w:numId w:val="0"/>
        </w:numPr>
        <w:ind w:firstLine="640" w:firstLineChars="200"/>
        <w:rPr>
          <w:rFonts w:hint="default" w:ascii="Times New Roman" w:hAnsi="Times New Roman" w:eastAsia="仿宋_GB2312"/>
          <w:b w:val="0"/>
          <w:sz w:val="32"/>
          <w:lang w:val="en-US" w:eastAsia="zh-CN"/>
        </w:rPr>
      </w:pPr>
      <w:r>
        <w:rPr>
          <w:rFonts w:hint="eastAsia" w:eastAsia="仿宋_GB2312"/>
          <w:b w:val="0"/>
          <w:sz w:val="32"/>
          <w:lang w:val="en-US" w:eastAsia="zh-CN"/>
        </w:rPr>
        <w:t>感官要求主要参考了SB/T 10524 鲜活对虾购销规范对虾等级，结合东兴对虾工厂化养殖、小棚养殖和陆基圆桶养殖模式成品虾的特点，从色泽、形态、滋味和气味、组织，经起草单位一致讨论确定三个等级的分级情况。</w:t>
      </w:r>
    </w:p>
    <w:p w14:paraId="7B9F6F13">
      <w:pPr>
        <w:pStyle w:val="44"/>
        <w:numPr>
          <w:ilvl w:val="0"/>
          <w:numId w:val="0"/>
        </w:numPr>
        <w:ind w:firstLine="560" w:firstLineChars="200"/>
        <w:jc w:val="center"/>
        <w:rPr>
          <w:rFonts w:hint="eastAsia" w:eastAsia="仿宋_GB2312"/>
          <w:b w:val="0"/>
          <w:sz w:val="32"/>
          <w:lang w:val="en-US" w:eastAsia="zh-CN"/>
        </w:rPr>
      </w:pPr>
      <w:r>
        <w:rPr>
          <w:rFonts w:hint="eastAsia" w:eastAsia="仿宋_GB2312"/>
          <w:b w:val="0"/>
          <w:sz w:val="28"/>
          <w:szCs w:val="28"/>
          <w:lang w:val="en-US" w:eastAsia="zh-CN"/>
        </w:rPr>
        <w:t>SB/T 10524</w:t>
      </w:r>
      <w:r>
        <w:rPr>
          <w:rFonts w:hint="default" w:ascii="Times New Roman" w:hAnsi="Times New Roman" w:eastAsia="仿宋_GB2312"/>
          <w:b w:val="0"/>
          <w:sz w:val="32"/>
          <w:lang w:val="en-US" w:eastAsia="zh-CN"/>
        </w:rPr>
        <w:drawing>
          <wp:anchor distT="0" distB="0" distL="114300" distR="114300" simplePos="0" relativeHeight="251661312" behindDoc="1" locked="0" layoutInCell="1" allowOverlap="1">
            <wp:simplePos x="0" y="0"/>
            <wp:positionH relativeFrom="column">
              <wp:posOffset>-86995</wp:posOffset>
            </wp:positionH>
            <wp:positionV relativeFrom="paragraph">
              <wp:posOffset>1270</wp:posOffset>
            </wp:positionV>
            <wp:extent cx="5756275" cy="1772920"/>
            <wp:effectExtent l="0" t="0" r="15875" b="17780"/>
            <wp:wrapThrough wrapText="bothSides">
              <wp:wrapPolygon>
                <wp:start x="0" y="0"/>
                <wp:lineTo x="0" y="21352"/>
                <wp:lineTo x="21517" y="21352"/>
                <wp:lineTo x="21517" y="0"/>
                <wp:lineTo x="0" y="0"/>
              </wp:wrapPolygon>
            </wp:wrapThrough>
            <wp:docPr id="1" name="图片 1" descr="1734357495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34357495065"/>
                    <pic:cNvPicPr>
                      <a:picLocks noChangeAspect="1"/>
                    </pic:cNvPicPr>
                  </pic:nvPicPr>
                  <pic:blipFill>
                    <a:blip r:embed="rId7"/>
                    <a:stretch>
                      <a:fillRect/>
                    </a:stretch>
                  </pic:blipFill>
                  <pic:spPr>
                    <a:xfrm>
                      <a:off x="0" y="0"/>
                      <a:ext cx="5756275" cy="1772920"/>
                    </a:xfrm>
                    <a:prstGeom prst="rect">
                      <a:avLst/>
                    </a:prstGeom>
                  </pic:spPr>
                </pic:pic>
              </a:graphicData>
            </a:graphic>
          </wp:anchor>
        </w:drawing>
      </w:r>
    </w:p>
    <w:p w14:paraId="1C874C06">
      <w:pPr>
        <w:pStyle w:val="44"/>
        <w:numPr>
          <w:ilvl w:val="0"/>
          <w:numId w:val="0"/>
        </w:numPr>
        <w:ind w:firstLine="640" w:firstLineChars="200"/>
        <w:rPr>
          <w:rFonts w:hint="default" w:eastAsia="仿宋_GB2312"/>
          <w:b w:val="0"/>
          <w:sz w:val="32"/>
          <w:lang w:val="en-US" w:eastAsia="zh-CN"/>
        </w:rPr>
      </w:pPr>
      <w:r>
        <w:rPr>
          <w:rFonts w:hint="eastAsia" w:eastAsia="仿宋_GB2312"/>
          <w:b w:val="0"/>
          <w:sz w:val="32"/>
          <w:lang w:val="en-US" w:eastAsia="zh-CN"/>
        </w:rPr>
        <w:t>东兴对虾实际划分情况如下：</w:t>
      </w:r>
    </w:p>
    <w:tbl>
      <w:tblPr>
        <w:tblStyle w:val="3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Layout w:type="autofit"/>
        <w:tblCellMar>
          <w:top w:w="0" w:type="dxa"/>
          <w:left w:w="0" w:type="dxa"/>
          <w:bottom w:w="0" w:type="dxa"/>
          <w:right w:w="0" w:type="dxa"/>
        </w:tblCellMar>
      </w:tblPr>
      <w:tblGrid>
        <w:gridCol w:w="855"/>
        <w:gridCol w:w="2553"/>
        <w:gridCol w:w="2839"/>
        <w:gridCol w:w="2837"/>
      </w:tblGrid>
      <w:tr w14:paraId="1E2418F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CellMar>
            <w:top w:w="0" w:type="dxa"/>
            <w:left w:w="0" w:type="dxa"/>
            <w:bottom w:w="0" w:type="dxa"/>
            <w:right w:w="0" w:type="dxa"/>
          </w:tblCellMar>
        </w:tblPrEx>
        <w:trPr>
          <w:tblHeader/>
          <w:jc w:val="center"/>
        </w:trPr>
        <w:tc>
          <w:tcPr>
            <w:tcW w:w="855" w:type="dxa"/>
            <w:tcBorders>
              <w:top w:val="single" w:color="auto" w:sz="8" w:space="0"/>
              <w:left w:val="single" w:color="auto" w:sz="8" w:space="0"/>
              <w:bottom w:val="nil"/>
              <w:right w:val="single" w:color="auto" w:sz="8" w:space="0"/>
            </w:tcBorders>
            <w:shd w:val="clear" w:color="auto" w:fill="auto"/>
            <w:vAlign w:val="center"/>
          </w:tcPr>
          <w:p w14:paraId="5A7FC6F9">
            <w:pPr>
              <w:pStyle w:val="181"/>
              <w:widowControl/>
              <w:rPr>
                <w:lang w:val="en-US"/>
              </w:rPr>
            </w:pPr>
            <w:r>
              <w:t>项目</w:t>
            </w:r>
          </w:p>
        </w:tc>
        <w:tc>
          <w:tcPr>
            <w:tcW w:w="2553" w:type="dxa"/>
            <w:tcBorders>
              <w:top w:val="single" w:color="auto" w:sz="8" w:space="0"/>
              <w:left w:val="single" w:color="auto" w:sz="4" w:space="0"/>
              <w:bottom w:val="single" w:color="auto" w:sz="8" w:space="0"/>
              <w:right w:val="single" w:color="auto" w:sz="8" w:space="0"/>
            </w:tcBorders>
            <w:shd w:val="clear" w:color="auto" w:fill="auto"/>
            <w:vAlign w:val="top"/>
          </w:tcPr>
          <w:p w14:paraId="757F1E2B">
            <w:pPr>
              <w:pStyle w:val="181"/>
              <w:widowControl/>
              <w:rPr>
                <w:lang w:val="en-US"/>
              </w:rPr>
            </w:pPr>
            <w:r>
              <w:t>一级</w:t>
            </w:r>
          </w:p>
        </w:tc>
        <w:tc>
          <w:tcPr>
            <w:tcW w:w="2839" w:type="dxa"/>
            <w:tcBorders>
              <w:top w:val="single" w:color="auto" w:sz="8" w:space="0"/>
              <w:left w:val="single" w:color="auto" w:sz="4" w:space="0"/>
              <w:bottom w:val="single" w:color="auto" w:sz="8" w:space="0"/>
              <w:right w:val="single" w:color="auto" w:sz="8" w:space="0"/>
            </w:tcBorders>
            <w:shd w:val="clear" w:color="auto" w:fill="auto"/>
            <w:vAlign w:val="top"/>
          </w:tcPr>
          <w:p w14:paraId="77196E9C">
            <w:pPr>
              <w:pStyle w:val="181"/>
              <w:widowControl/>
              <w:rPr>
                <w:lang w:val="en-US"/>
              </w:rPr>
            </w:pPr>
            <w:r>
              <w:t>二级</w:t>
            </w:r>
          </w:p>
        </w:tc>
        <w:tc>
          <w:tcPr>
            <w:tcW w:w="2837" w:type="dxa"/>
            <w:tcBorders>
              <w:top w:val="single" w:color="auto" w:sz="8" w:space="0"/>
              <w:left w:val="single" w:color="auto" w:sz="8" w:space="0"/>
              <w:bottom w:val="single" w:color="auto" w:sz="8" w:space="0"/>
              <w:right w:val="single" w:color="auto" w:sz="8" w:space="0"/>
            </w:tcBorders>
            <w:shd w:val="clear" w:color="auto" w:fill="auto"/>
            <w:vAlign w:val="center"/>
          </w:tcPr>
          <w:p w14:paraId="6113B6DD">
            <w:pPr>
              <w:pStyle w:val="181"/>
              <w:widowControl/>
              <w:rPr>
                <w:lang w:val="en-US"/>
              </w:rPr>
            </w:pPr>
            <w:r>
              <w:t>三级</w:t>
            </w:r>
          </w:p>
        </w:tc>
      </w:tr>
      <w:tr w14:paraId="3962DCB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16" w:hRule="atLeast"/>
          <w:jc w:val="center"/>
        </w:trPr>
        <w:tc>
          <w:tcPr>
            <w:tcW w:w="855" w:type="dxa"/>
            <w:tcBorders>
              <w:top w:val="single" w:color="auto" w:sz="8" w:space="0"/>
              <w:left w:val="single" w:color="auto" w:sz="8" w:space="0"/>
              <w:bottom w:val="single" w:color="auto" w:sz="4" w:space="0"/>
              <w:right w:val="single" w:color="auto" w:sz="4" w:space="0"/>
            </w:tcBorders>
            <w:shd w:val="clear" w:color="auto" w:fill="auto"/>
            <w:vAlign w:val="center"/>
          </w:tcPr>
          <w:p w14:paraId="3F86BD0A">
            <w:pPr>
              <w:pStyle w:val="181"/>
              <w:widowControl/>
              <w:rPr>
                <w:lang w:val="en-US"/>
              </w:rPr>
            </w:pPr>
            <w:r>
              <w:t>色泽</w:t>
            </w:r>
          </w:p>
        </w:tc>
        <w:tc>
          <w:tcPr>
            <w:tcW w:w="2553" w:type="dxa"/>
            <w:tcBorders>
              <w:top w:val="single" w:color="auto" w:sz="8" w:space="0"/>
              <w:left w:val="single" w:color="auto" w:sz="4" w:space="0"/>
              <w:bottom w:val="single" w:color="auto" w:sz="4" w:space="0"/>
              <w:right w:val="single" w:color="auto" w:sz="4" w:space="0"/>
            </w:tcBorders>
            <w:shd w:val="clear" w:color="auto" w:fill="auto"/>
            <w:vAlign w:val="top"/>
          </w:tcPr>
          <w:p w14:paraId="425E30E2">
            <w:pPr>
              <w:pStyle w:val="181"/>
              <w:widowControl/>
              <w:ind w:left="0" w:firstLine="180" w:firstLineChars="100"/>
              <w:jc w:val="both"/>
              <w:rPr>
                <w:lang w:val="en-US"/>
              </w:rPr>
            </w:pPr>
            <w:r>
              <w:t>虾壳光泽鲜亮，色泽浅青灰色偏白，无变色、无斑点</w:t>
            </w:r>
          </w:p>
        </w:tc>
        <w:tc>
          <w:tcPr>
            <w:tcW w:w="2839" w:type="dxa"/>
            <w:tcBorders>
              <w:top w:val="single" w:color="auto" w:sz="8" w:space="0"/>
              <w:left w:val="single" w:color="auto" w:sz="4" w:space="0"/>
              <w:bottom w:val="single" w:color="auto" w:sz="4" w:space="0"/>
              <w:right w:val="single" w:color="auto" w:sz="4" w:space="0"/>
            </w:tcBorders>
            <w:shd w:val="clear" w:color="auto" w:fill="auto"/>
            <w:vAlign w:val="top"/>
          </w:tcPr>
          <w:p w14:paraId="72EB44A2">
            <w:pPr>
              <w:pStyle w:val="181"/>
              <w:widowControl/>
              <w:ind w:left="0" w:firstLine="180" w:firstLineChars="100"/>
              <w:jc w:val="both"/>
              <w:rPr>
                <w:lang w:val="en-US"/>
              </w:rPr>
            </w:pPr>
            <w:r>
              <w:t>色泽正常，颜色较均匀，允许有黑箍一处，黑裙、黑斑共不超过两处</w:t>
            </w:r>
          </w:p>
        </w:tc>
        <w:tc>
          <w:tcPr>
            <w:tcW w:w="2837" w:type="dxa"/>
            <w:tcBorders>
              <w:top w:val="single" w:color="auto" w:sz="8" w:space="0"/>
              <w:left w:val="single" w:color="auto" w:sz="4" w:space="0"/>
              <w:bottom w:val="single" w:color="auto" w:sz="4" w:space="0"/>
              <w:right w:val="single" w:color="auto" w:sz="8" w:space="0"/>
            </w:tcBorders>
            <w:shd w:val="clear" w:color="auto" w:fill="auto"/>
            <w:vAlign w:val="center"/>
          </w:tcPr>
          <w:p w14:paraId="14DC0DE2">
            <w:pPr>
              <w:pStyle w:val="181"/>
              <w:widowControl/>
              <w:ind w:left="0" w:firstLine="180" w:firstLineChars="100"/>
              <w:jc w:val="both"/>
              <w:rPr>
                <w:lang w:val="en-US"/>
              </w:rPr>
            </w:pPr>
            <w:r>
              <w:t>表皮稍有褪色，无油性，允许有少量黑箍、黑裙、黑斑</w:t>
            </w:r>
          </w:p>
        </w:tc>
      </w:tr>
      <w:tr w14:paraId="4131B9B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04" w:hRule="atLeast"/>
          <w:jc w:val="center"/>
        </w:trPr>
        <w:tc>
          <w:tcPr>
            <w:tcW w:w="855" w:type="dxa"/>
            <w:tcBorders>
              <w:top w:val="single" w:color="auto" w:sz="4" w:space="0"/>
              <w:left w:val="single" w:color="auto" w:sz="8" w:space="0"/>
              <w:bottom w:val="single" w:color="auto" w:sz="4" w:space="0"/>
              <w:right w:val="single" w:color="auto" w:sz="4" w:space="0"/>
            </w:tcBorders>
            <w:shd w:val="clear" w:color="auto" w:fill="auto"/>
            <w:vAlign w:val="center"/>
          </w:tcPr>
          <w:p w14:paraId="5B2EDE38">
            <w:pPr>
              <w:pStyle w:val="181"/>
              <w:widowControl/>
              <w:rPr>
                <w:lang w:val="en-US"/>
              </w:rPr>
            </w:pPr>
            <w:r>
              <w:t>形态</w:t>
            </w:r>
          </w:p>
        </w:tc>
        <w:tc>
          <w:tcPr>
            <w:tcW w:w="2553" w:type="dxa"/>
            <w:tcBorders>
              <w:top w:val="single" w:color="auto" w:sz="4" w:space="0"/>
              <w:left w:val="single" w:color="auto" w:sz="4" w:space="0"/>
              <w:bottom w:val="single" w:color="auto" w:sz="4" w:space="0"/>
              <w:right w:val="single" w:color="auto" w:sz="4" w:space="0"/>
            </w:tcBorders>
            <w:shd w:val="clear" w:color="auto" w:fill="auto"/>
            <w:vAlign w:val="top"/>
          </w:tcPr>
          <w:p w14:paraId="0C78A5D1">
            <w:pPr>
              <w:pStyle w:val="181"/>
              <w:widowControl/>
              <w:ind w:left="0" w:firstLine="180" w:firstLineChars="100"/>
              <w:jc w:val="both"/>
              <w:rPr>
                <w:lang w:val="en-US"/>
              </w:rPr>
            </w:pPr>
            <w:r>
              <w:t>体形完整、正常，附肢齐全，后腹部朝下有一定的弯曲度，虾身较挺、虾眼突出、甲壳发硬</w:t>
            </w:r>
          </w:p>
        </w:tc>
        <w:tc>
          <w:tcPr>
            <w:tcW w:w="2839" w:type="dxa"/>
            <w:tcBorders>
              <w:top w:val="single" w:color="auto" w:sz="4" w:space="0"/>
              <w:left w:val="single" w:color="auto" w:sz="4" w:space="0"/>
              <w:bottom w:val="single" w:color="auto" w:sz="4" w:space="0"/>
              <w:right w:val="single" w:color="auto" w:sz="4" w:space="0"/>
            </w:tcBorders>
            <w:shd w:val="clear" w:color="auto" w:fill="auto"/>
            <w:vAlign w:val="top"/>
          </w:tcPr>
          <w:p w14:paraId="058B8C2A">
            <w:pPr>
              <w:pStyle w:val="181"/>
              <w:widowControl/>
              <w:ind w:left="0" w:firstLine="180" w:firstLineChars="100"/>
              <w:jc w:val="both"/>
              <w:rPr>
                <w:lang w:val="en-US"/>
              </w:rPr>
            </w:pPr>
            <w:r>
              <w:t>体形完整、正常，附肢齐全，后腹部朝下有一定的弯曲度</w:t>
            </w:r>
          </w:p>
        </w:tc>
        <w:tc>
          <w:tcPr>
            <w:tcW w:w="2837" w:type="dxa"/>
            <w:tcBorders>
              <w:top w:val="single" w:color="auto" w:sz="4" w:space="0"/>
              <w:left w:val="single" w:color="auto" w:sz="4" w:space="0"/>
              <w:bottom w:val="single" w:color="auto" w:sz="4" w:space="0"/>
              <w:right w:val="single" w:color="auto" w:sz="8" w:space="0"/>
            </w:tcBorders>
            <w:shd w:val="clear" w:color="auto" w:fill="auto"/>
            <w:vAlign w:val="center"/>
          </w:tcPr>
          <w:p w14:paraId="687E6057">
            <w:pPr>
              <w:pStyle w:val="181"/>
              <w:widowControl/>
              <w:ind w:left="0" w:firstLine="180" w:firstLineChars="100"/>
              <w:jc w:val="both"/>
              <w:rPr>
                <w:lang w:val="en-US"/>
              </w:rPr>
            </w:pPr>
            <w:r>
              <w:t>虾体基本完整</w:t>
            </w:r>
          </w:p>
        </w:tc>
      </w:tr>
      <w:tr w14:paraId="177D1EB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116" w:hRule="atLeast"/>
          <w:jc w:val="center"/>
        </w:trPr>
        <w:tc>
          <w:tcPr>
            <w:tcW w:w="855" w:type="dxa"/>
            <w:tcBorders>
              <w:top w:val="single" w:color="auto" w:sz="4" w:space="0"/>
              <w:left w:val="single" w:color="auto" w:sz="8" w:space="0"/>
              <w:bottom w:val="single" w:color="auto" w:sz="4" w:space="0"/>
              <w:right w:val="single" w:color="auto" w:sz="4" w:space="0"/>
            </w:tcBorders>
            <w:shd w:val="clear" w:color="auto" w:fill="auto"/>
            <w:vAlign w:val="center"/>
          </w:tcPr>
          <w:p w14:paraId="6E522B55">
            <w:pPr>
              <w:pStyle w:val="181"/>
              <w:widowControl/>
              <w:rPr>
                <w:lang w:val="en-US"/>
              </w:rPr>
            </w:pPr>
            <w:r>
              <w:t>滋味、气味</w:t>
            </w:r>
          </w:p>
        </w:tc>
        <w:tc>
          <w:tcPr>
            <w:tcW w:w="2553" w:type="dxa"/>
            <w:tcBorders>
              <w:top w:val="single" w:color="auto" w:sz="4" w:space="0"/>
              <w:left w:val="single" w:color="auto" w:sz="4" w:space="0"/>
              <w:bottom w:val="single" w:color="auto" w:sz="4" w:space="0"/>
              <w:right w:val="single" w:color="auto" w:sz="4" w:space="0"/>
            </w:tcBorders>
            <w:shd w:val="clear" w:color="auto" w:fill="auto"/>
            <w:vAlign w:val="top"/>
          </w:tcPr>
          <w:p w14:paraId="59A19CA4">
            <w:pPr>
              <w:pStyle w:val="181"/>
              <w:widowControl/>
              <w:ind w:left="0" w:firstLine="180" w:firstLineChars="100"/>
              <w:jc w:val="both"/>
              <w:rPr>
                <w:lang w:val="en-US"/>
              </w:rPr>
            </w:pPr>
            <w:r>
              <w:t>气味正常，无异味，具固有的鲜甜味</w:t>
            </w:r>
          </w:p>
        </w:tc>
        <w:tc>
          <w:tcPr>
            <w:tcW w:w="2839" w:type="dxa"/>
            <w:tcBorders>
              <w:top w:val="single" w:color="auto" w:sz="4" w:space="0"/>
              <w:left w:val="single" w:color="auto" w:sz="4" w:space="0"/>
              <w:bottom w:val="single" w:color="auto" w:sz="4" w:space="0"/>
              <w:right w:val="single" w:color="auto" w:sz="4" w:space="0"/>
            </w:tcBorders>
            <w:shd w:val="clear" w:color="auto" w:fill="auto"/>
            <w:vAlign w:val="top"/>
          </w:tcPr>
          <w:p w14:paraId="34FBA015">
            <w:pPr>
              <w:pStyle w:val="181"/>
              <w:widowControl/>
              <w:ind w:left="0" w:firstLine="180" w:firstLineChars="100"/>
              <w:jc w:val="both"/>
              <w:rPr>
                <w:lang w:val="en-US"/>
              </w:rPr>
            </w:pPr>
            <w:r>
              <w:t>气味正常，无异味</w:t>
            </w:r>
          </w:p>
        </w:tc>
        <w:tc>
          <w:tcPr>
            <w:tcW w:w="2837" w:type="dxa"/>
            <w:tcBorders>
              <w:top w:val="single" w:color="auto" w:sz="4" w:space="0"/>
              <w:left w:val="single" w:color="auto" w:sz="4" w:space="0"/>
              <w:bottom w:val="single" w:color="auto" w:sz="4" w:space="0"/>
              <w:right w:val="single" w:color="auto" w:sz="8" w:space="0"/>
            </w:tcBorders>
            <w:shd w:val="clear" w:color="auto" w:fill="auto"/>
            <w:vAlign w:val="center"/>
          </w:tcPr>
          <w:p w14:paraId="1640F8FA">
            <w:pPr>
              <w:pStyle w:val="181"/>
              <w:widowControl/>
              <w:ind w:left="0" w:firstLine="180" w:firstLineChars="100"/>
              <w:jc w:val="both"/>
              <w:rPr>
                <w:lang w:val="en-US"/>
              </w:rPr>
            </w:pPr>
            <w:r>
              <w:t>气味正常，无异味</w:t>
            </w:r>
          </w:p>
        </w:tc>
      </w:tr>
      <w:tr w14:paraId="053DC16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CellMar>
            <w:top w:w="0" w:type="dxa"/>
            <w:left w:w="0" w:type="dxa"/>
            <w:bottom w:w="0" w:type="dxa"/>
            <w:right w:w="0" w:type="dxa"/>
          </w:tblCellMar>
        </w:tblPrEx>
        <w:trPr>
          <w:trHeight w:val="56" w:hRule="atLeast"/>
          <w:jc w:val="center"/>
        </w:trPr>
        <w:tc>
          <w:tcPr>
            <w:tcW w:w="855" w:type="dxa"/>
            <w:tcBorders>
              <w:top w:val="single" w:color="auto" w:sz="4" w:space="0"/>
              <w:left w:val="single" w:color="auto" w:sz="8" w:space="0"/>
              <w:bottom w:val="single" w:color="auto" w:sz="8" w:space="0"/>
              <w:right w:val="single" w:color="auto" w:sz="4" w:space="0"/>
            </w:tcBorders>
            <w:shd w:val="clear" w:color="auto" w:fill="auto"/>
            <w:vAlign w:val="center"/>
          </w:tcPr>
          <w:p w14:paraId="57837E64">
            <w:pPr>
              <w:pStyle w:val="181"/>
              <w:widowControl/>
              <w:rPr>
                <w:lang w:val="en-US"/>
              </w:rPr>
            </w:pPr>
            <w:r>
              <w:t>组织</w:t>
            </w:r>
          </w:p>
        </w:tc>
        <w:tc>
          <w:tcPr>
            <w:tcW w:w="2553" w:type="dxa"/>
            <w:tcBorders>
              <w:top w:val="single" w:color="auto" w:sz="4" w:space="0"/>
              <w:left w:val="single" w:color="auto" w:sz="4" w:space="0"/>
              <w:bottom w:val="single" w:color="auto" w:sz="8" w:space="0"/>
              <w:right w:val="single" w:color="auto" w:sz="4" w:space="0"/>
            </w:tcBorders>
            <w:shd w:val="clear" w:color="auto" w:fill="auto"/>
            <w:vAlign w:val="top"/>
          </w:tcPr>
          <w:p w14:paraId="7AB162A8">
            <w:pPr>
              <w:pStyle w:val="181"/>
              <w:widowControl/>
              <w:ind w:left="0" w:firstLine="180" w:firstLineChars="100"/>
              <w:jc w:val="both"/>
              <w:rPr>
                <w:lang w:val="en-US"/>
              </w:rPr>
            </w:pPr>
            <w:r>
              <w:t>肉质紧实、细嫩有弹性</w:t>
            </w:r>
          </w:p>
        </w:tc>
        <w:tc>
          <w:tcPr>
            <w:tcW w:w="2839" w:type="dxa"/>
            <w:tcBorders>
              <w:top w:val="single" w:color="auto" w:sz="4" w:space="0"/>
              <w:left w:val="single" w:color="auto" w:sz="4" w:space="0"/>
              <w:bottom w:val="single" w:color="auto" w:sz="8" w:space="0"/>
              <w:right w:val="single" w:color="auto" w:sz="4" w:space="0"/>
            </w:tcBorders>
            <w:shd w:val="clear" w:color="auto" w:fill="auto"/>
            <w:vAlign w:val="top"/>
          </w:tcPr>
          <w:p w14:paraId="3B8B7DA2">
            <w:pPr>
              <w:pStyle w:val="181"/>
              <w:widowControl/>
              <w:ind w:left="0" w:firstLine="180" w:firstLineChars="100"/>
              <w:jc w:val="both"/>
              <w:rPr>
                <w:lang w:val="en-US"/>
              </w:rPr>
            </w:pPr>
            <w:r>
              <w:t>肉质坚实、节间有松弛</w:t>
            </w:r>
          </w:p>
        </w:tc>
        <w:tc>
          <w:tcPr>
            <w:tcW w:w="2837" w:type="dxa"/>
            <w:tcBorders>
              <w:top w:val="single" w:color="auto" w:sz="4" w:space="0"/>
              <w:left w:val="single" w:color="auto" w:sz="4" w:space="0"/>
              <w:bottom w:val="single" w:color="auto" w:sz="8" w:space="0"/>
              <w:right w:val="single" w:color="auto" w:sz="8" w:space="0"/>
            </w:tcBorders>
            <w:shd w:val="clear" w:color="auto" w:fill="auto"/>
            <w:vAlign w:val="center"/>
          </w:tcPr>
          <w:p w14:paraId="7008D01E">
            <w:pPr>
              <w:pStyle w:val="181"/>
              <w:widowControl/>
              <w:jc w:val="both"/>
              <w:rPr>
                <w:lang w:val="en-US"/>
              </w:rPr>
            </w:pPr>
            <w:r>
              <w:rPr>
                <w:lang w:val="en-US"/>
              </w:rPr>
              <w:t xml:space="preserve">  </w:t>
            </w:r>
            <w:r>
              <w:t>稍有弹性</w:t>
            </w:r>
          </w:p>
        </w:tc>
      </w:tr>
    </w:tbl>
    <w:p w14:paraId="33A190F2">
      <w:pPr>
        <w:pStyle w:val="44"/>
        <w:numPr>
          <w:ilvl w:val="0"/>
          <w:numId w:val="0"/>
        </w:numPr>
        <w:ind w:firstLine="640" w:firstLineChars="200"/>
        <w:rPr>
          <w:rFonts w:ascii="Times New Roman" w:hAnsi="Times New Roman"/>
          <w:b/>
        </w:rPr>
      </w:pPr>
      <w:r>
        <w:rPr>
          <w:rFonts w:hint="eastAsia" w:eastAsia="仿宋_GB2312"/>
          <w:b w:val="0"/>
          <w:sz w:val="32"/>
          <w:lang w:val="en-US" w:eastAsia="zh-CN"/>
        </w:rPr>
        <w:t>规格划分参考了T/GDNB 活体高要罗氏沼虾分级标准和SB/T 10524 鲜活对虾购销规范对虾规格，结合东兴对虾养殖企业上市售卖时，每500 g东兴对虾所含尾数分为3个等级分级情况，并根据送检检测结果，每一家企业上市时有一定的差异性，所以给出的区间值。</w:t>
      </w:r>
    </w:p>
    <w:p w14:paraId="3FF7E892">
      <w:pPr>
        <w:pStyle w:val="44"/>
        <w:numPr>
          <w:ilvl w:val="0"/>
          <w:numId w:val="0"/>
        </w:numPr>
        <w:rPr>
          <w:rFonts w:ascii="Times New Roman" w:hAnsi="Times New Roman"/>
          <w:b/>
        </w:rPr>
      </w:pPr>
    </w:p>
    <w:p w14:paraId="64CFDC9E">
      <w:pPr>
        <w:pStyle w:val="44"/>
        <w:numPr>
          <w:ilvl w:val="0"/>
          <w:numId w:val="0"/>
        </w:numPr>
        <w:rPr>
          <w:rFonts w:ascii="Times New Roman" w:hAnsi="Times New Roman"/>
          <w:b/>
        </w:rPr>
      </w:pPr>
      <w:r>
        <w:rPr>
          <w:rFonts w:hint="eastAsia" w:ascii="Times New Roman" w:hAnsi="Times New Roman" w:eastAsia="宋体"/>
          <w:b/>
          <w:lang w:eastAsia="zh-CN"/>
        </w:rPr>
        <w:drawing>
          <wp:anchor distT="0" distB="0" distL="114300" distR="114300" simplePos="0" relativeHeight="251660288" behindDoc="1" locked="0" layoutInCell="1" allowOverlap="1">
            <wp:simplePos x="0" y="0"/>
            <wp:positionH relativeFrom="column">
              <wp:posOffset>1384935</wp:posOffset>
            </wp:positionH>
            <wp:positionV relativeFrom="paragraph">
              <wp:posOffset>89535</wp:posOffset>
            </wp:positionV>
            <wp:extent cx="3195320" cy="1480185"/>
            <wp:effectExtent l="0" t="0" r="5080" b="5715"/>
            <wp:wrapThrough wrapText="bothSides">
              <wp:wrapPolygon>
                <wp:start x="0" y="0"/>
                <wp:lineTo x="0" y="21405"/>
                <wp:lineTo x="21506" y="21405"/>
                <wp:lineTo x="21506" y="0"/>
                <wp:lineTo x="0" y="0"/>
              </wp:wrapPolygon>
            </wp:wrapThrough>
            <wp:docPr id="2" name="图片 2" descr="1734358012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34358012545"/>
                    <pic:cNvPicPr>
                      <a:picLocks noChangeAspect="1"/>
                    </pic:cNvPicPr>
                  </pic:nvPicPr>
                  <pic:blipFill>
                    <a:blip r:embed="rId8"/>
                    <a:stretch>
                      <a:fillRect/>
                    </a:stretch>
                  </pic:blipFill>
                  <pic:spPr>
                    <a:xfrm>
                      <a:off x="0" y="0"/>
                      <a:ext cx="3195320" cy="1480185"/>
                    </a:xfrm>
                    <a:prstGeom prst="rect">
                      <a:avLst/>
                    </a:prstGeom>
                  </pic:spPr>
                </pic:pic>
              </a:graphicData>
            </a:graphic>
          </wp:anchor>
        </w:drawing>
      </w:r>
    </w:p>
    <w:p w14:paraId="5617CB01">
      <w:pPr>
        <w:pStyle w:val="44"/>
        <w:numPr>
          <w:ilvl w:val="0"/>
          <w:numId w:val="0"/>
        </w:numPr>
        <w:rPr>
          <w:rFonts w:ascii="Times New Roman" w:hAnsi="Times New Roman"/>
          <w:b/>
        </w:rPr>
      </w:pPr>
    </w:p>
    <w:p w14:paraId="2060A095">
      <w:pPr>
        <w:pStyle w:val="44"/>
        <w:numPr>
          <w:ilvl w:val="0"/>
          <w:numId w:val="0"/>
        </w:numPr>
        <w:rPr>
          <w:rFonts w:ascii="Times New Roman" w:hAnsi="Times New Roman"/>
          <w:b/>
        </w:rPr>
      </w:pPr>
    </w:p>
    <w:p w14:paraId="7575CCCB">
      <w:pPr>
        <w:pStyle w:val="44"/>
        <w:numPr>
          <w:ilvl w:val="0"/>
          <w:numId w:val="0"/>
        </w:numPr>
        <w:rPr>
          <w:rFonts w:ascii="Times New Roman" w:hAnsi="Times New Roman"/>
          <w:b/>
        </w:rPr>
      </w:pPr>
    </w:p>
    <w:p w14:paraId="4C5492C1">
      <w:pPr>
        <w:pStyle w:val="44"/>
        <w:numPr>
          <w:ilvl w:val="0"/>
          <w:numId w:val="0"/>
        </w:numPr>
        <w:rPr>
          <w:rFonts w:hint="eastAsia" w:ascii="Times New Roman" w:hAnsi="Times New Roman" w:eastAsia="宋体"/>
          <w:b/>
          <w:lang w:eastAsia="zh-CN"/>
        </w:rPr>
      </w:pPr>
    </w:p>
    <w:p w14:paraId="2AB8D771">
      <w:pPr>
        <w:pStyle w:val="44"/>
        <w:numPr>
          <w:ilvl w:val="0"/>
          <w:numId w:val="0"/>
        </w:numPr>
        <w:rPr>
          <w:rFonts w:ascii="Times New Roman" w:hAnsi="Times New Roman"/>
          <w:b/>
        </w:rPr>
      </w:pPr>
    </w:p>
    <w:p w14:paraId="67C99548">
      <w:pPr>
        <w:pStyle w:val="44"/>
        <w:numPr>
          <w:ilvl w:val="0"/>
          <w:numId w:val="0"/>
        </w:numPr>
        <w:rPr>
          <w:rFonts w:ascii="Times New Roman" w:hAnsi="Times New Roman"/>
          <w:b/>
        </w:rPr>
      </w:pPr>
    </w:p>
    <w:p w14:paraId="522340D6">
      <w:pPr>
        <w:pStyle w:val="44"/>
        <w:numPr>
          <w:ilvl w:val="0"/>
          <w:numId w:val="0"/>
        </w:numPr>
        <w:rPr>
          <w:rFonts w:ascii="Times New Roman" w:hAnsi="Times New Roman"/>
          <w:b/>
        </w:rPr>
      </w:pPr>
    </w:p>
    <w:p w14:paraId="589ECAAF">
      <w:pPr>
        <w:pStyle w:val="44"/>
        <w:numPr>
          <w:ilvl w:val="0"/>
          <w:numId w:val="0"/>
        </w:numPr>
        <w:rPr>
          <w:rFonts w:ascii="Times New Roman" w:hAnsi="Times New Roman"/>
          <w:b/>
        </w:rPr>
      </w:pPr>
    </w:p>
    <w:p w14:paraId="5D7DFA57">
      <w:pPr>
        <w:pStyle w:val="44"/>
        <w:numPr>
          <w:ilvl w:val="0"/>
          <w:numId w:val="0"/>
        </w:numPr>
        <w:rPr>
          <w:rFonts w:ascii="Times New Roman" w:hAnsi="Times New Roman"/>
          <w:b/>
        </w:rPr>
      </w:pPr>
    </w:p>
    <w:p w14:paraId="354C8045">
      <w:pPr>
        <w:pStyle w:val="182"/>
        <w:widowControl/>
        <w:numPr>
          <w:ilvl w:val="-1"/>
          <w:numId w:val="0"/>
        </w:numPr>
        <w:tabs>
          <w:tab w:val="clear" w:pos="0"/>
        </w:tabs>
        <w:spacing w:before="120" w:beforeLines="50" w:beforeAutospacing="0" w:after="120" w:afterLines="50" w:afterAutospacing="0"/>
        <w:ind w:left="0" w:right="0" w:firstLine="0"/>
        <w:jc w:val="center"/>
        <w:rPr>
          <w:lang w:val="en-US"/>
        </w:rPr>
      </w:pPr>
      <w:r>
        <w:rPr>
          <w:rFonts w:hint="eastAsia"/>
          <w:lang w:val="en-US" w:eastAsia="zh-CN"/>
        </w:rPr>
        <w:t>东兴对虾</w:t>
      </w:r>
      <w:r>
        <w:rPr>
          <w:lang w:eastAsia="zh-CN"/>
        </w:rPr>
        <w:t>规格划分</w:t>
      </w:r>
    </w:p>
    <w:tbl>
      <w:tblPr>
        <w:tblStyle w:val="3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Layout w:type="autofit"/>
        <w:tblCellMar>
          <w:top w:w="0" w:type="dxa"/>
          <w:left w:w="0" w:type="dxa"/>
          <w:bottom w:w="0" w:type="dxa"/>
          <w:right w:w="0" w:type="dxa"/>
        </w:tblCellMar>
      </w:tblPr>
      <w:tblGrid>
        <w:gridCol w:w="1882"/>
        <w:gridCol w:w="1871"/>
        <w:gridCol w:w="1875"/>
        <w:gridCol w:w="1871"/>
      </w:tblGrid>
      <w:tr w14:paraId="3367F87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blHeader/>
          <w:jc w:val="center"/>
        </w:trPr>
        <w:tc>
          <w:tcPr>
            <w:tcW w:w="1882" w:type="dxa"/>
            <w:tcBorders>
              <w:top w:val="single" w:color="auto" w:sz="8" w:space="0"/>
              <w:left w:val="single" w:color="auto" w:sz="8" w:space="0"/>
              <w:bottom w:val="single" w:color="auto" w:sz="8" w:space="0"/>
              <w:right w:val="single" w:color="auto" w:sz="4" w:space="0"/>
            </w:tcBorders>
            <w:shd w:val="clear" w:color="auto" w:fill="auto"/>
            <w:vAlign w:val="center"/>
          </w:tcPr>
          <w:p w14:paraId="759D95DE">
            <w:pPr>
              <w:pStyle w:val="33"/>
              <w:keepNext w:val="0"/>
              <w:keepLines w:val="0"/>
              <w:widowControl/>
              <w:suppressLineNumbers w:val="0"/>
              <w:autoSpaceDE w:val="0"/>
              <w:autoSpaceDN w:val="0"/>
              <w:adjustRightInd/>
              <w:spacing w:before="0" w:beforeAutospacing="0" w:after="0" w:afterAutospacing="0" w:line="240" w:lineRule="auto"/>
              <w:ind w:left="0" w:right="0"/>
              <w:jc w:val="center"/>
              <w:rPr>
                <w:rFonts w:hint="default"/>
                <w:lang w:val="en-US"/>
              </w:rPr>
            </w:pPr>
            <w:r>
              <w:rPr>
                <w:rFonts w:hint="eastAsia" w:ascii="宋体" w:hAnsi="Times New Roman" w:eastAsia="宋体" w:cs="Times New Roman"/>
                <w:kern w:val="0"/>
                <w:sz w:val="18"/>
                <w:szCs w:val="20"/>
                <w:lang w:val="en-US" w:eastAsia="zh-CN" w:bidi="ar"/>
              </w:rPr>
              <w:t>项目</w:t>
            </w:r>
          </w:p>
        </w:tc>
        <w:tc>
          <w:tcPr>
            <w:tcW w:w="1871" w:type="dxa"/>
            <w:tcBorders>
              <w:top w:val="single" w:color="auto" w:sz="8" w:space="0"/>
              <w:left w:val="single" w:color="auto" w:sz="4" w:space="0"/>
              <w:bottom w:val="single" w:color="auto" w:sz="8" w:space="0"/>
              <w:right w:val="single" w:color="auto" w:sz="4" w:space="0"/>
            </w:tcBorders>
            <w:shd w:val="clear" w:color="auto" w:fill="auto"/>
            <w:vAlign w:val="center"/>
          </w:tcPr>
          <w:p w14:paraId="0B68C757">
            <w:pPr>
              <w:pStyle w:val="33"/>
              <w:keepNext w:val="0"/>
              <w:keepLines w:val="0"/>
              <w:widowControl/>
              <w:suppressLineNumbers w:val="0"/>
              <w:autoSpaceDE w:val="0"/>
              <w:autoSpaceDN w:val="0"/>
              <w:adjustRightInd/>
              <w:spacing w:before="0" w:beforeAutospacing="0" w:after="0" w:afterAutospacing="0" w:line="240" w:lineRule="auto"/>
              <w:ind w:left="0" w:right="0"/>
              <w:jc w:val="center"/>
              <w:rPr>
                <w:rFonts w:hint="default"/>
                <w:lang w:val="en-US"/>
              </w:rPr>
            </w:pPr>
            <w:r>
              <w:rPr>
                <w:rFonts w:hint="eastAsia" w:ascii="宋体" w:hAnsi="Times New Roman" w:eastAsia="宋体" w:cs="Times New Roman"/>
                <w:kern w:val="0"/>
                <w:sz w:val="18"/>
                <w:szCs w:val="20"/>
                <w:lang w:val="en-US" w:eastAsia="zh-CN" w:bidi="ar"/>
              </w:rPr>
              <w:t>大</w:t>
            </w:r>
          </w:p>
        </w:tc>
        <w:tc>
          <w:tcPr>
            <w:tcW w:w="1875" w:type="dxa"/>
            <w:tcBorders>
              <w:top w:val="single" w:color="auto" w:sz="8" w:space="0"/>
              <w:left w:val="single" w:color="auto" w:sz="4" w:space="0"/>
              <w:bottom w:val="single" w:color="auto" w:sz="8" w:space="0"/>
              <w:right w:val="single" w:color="auto" w:sz="4" w:space="0"/>
            </w:tcBorders>
            <w:shd w:val="clear" w:color="auto" w:fill="auto"/>
            <w:vAlign w:val="center"/>
          </w:tcPr>
          <w:p w14:paraId="4D4575C3">
            <w:pPr>
              <w:pStyle w:val="33"/>
              <w:keepNext w:val="0"/>
              <w:keepLines w:val="0"/>
              <w:widowControl/>
              <w:suppressLineNumbers w:val="0"/>
              <w:autoSpaceDE w:val="0"/>
              <w:autoSpaceDN w:val="0"/>
              <w:adjustRightInd/>
              <w:spacing w:before="0" w:beforeAutospacing="0" w:after="0" w:afterAutospacing="0" w:line="240" w:lineRule="auto"/>
              <w:ind w:left="0" w:right="0"/>
              <w:jc w:val="center"/>
              <w:rPr>
                <w:rFonts w:hint="default"/>
                <w:lang w:val="en-US"/>
              </w:rPr>
            </w:pPr>
            <w:r>
              <w:rPr>
                <w:rFonts w:hint="eastAsia" w:ascii="宋体" w:hAnsi="Times New Roman" w:eastAsia="宋体" w:cs="Times New Roman"/>
                <w:kern w:val="0"/>
                <w:sz w:val="18"/>
                <w:szCs w:val="20"/>
                <w:lang w:val="en-US" w:eastAsia="zh-CN" w:bidi="ar"/>
              </w:rPr>
              <w:t>中</w:t>
            </w:r>
          </w:p>
        </w:tc>
        <w:tc>
          <w:tcPr>
            <w:tcW w:w="1871" w:type="dxa"/>
            <w:tcBorders>
              <w:top w:val="single" w:color="auto" w:sz="8" w:space="0"/>
              <w:left w:val="single" w:color="auto" w:sz="4" w:space="0"/>
              <w:bottom w:val="single" w:color="auto" w:sz="8" w:space="0"/>
              <w:right w:val="single" w:color="auto" w:sz="8" w:space="0"/>
            </w:tcBorders>
            <w:shd w:val="clear" w:color="auto" w:fill="auto"/>
            <w:vAlign w:val="center"/>
          </w:tcPr>
          <w:p w14:paraId="0F6269EA">
            <w:pPr>
              <w:pStyle w:val="33"/>
              <w:keepNext w:val="0"/>
              <w:keepLines w:val="0"/>
              <w:widowControl/>
              <w:suppressLineNumbers w:val="0"/>
              <w:autoSpaceDE w:val="0"/>
              <w:autoSpaceDN w:val="0"/>
              <w:adjustRightInd/>
              <w:spacing w:before="0" w:beforeAutospacing="0" w:after="0" w:afterAutospacing="0" w:line="240" w:lineRule="auto"/>
              <w:ind w:left="0" w:right="0"/>
              <w:jc w:val="center"/>
              <w:rPr>
                <w:rFonts w:hint="default"/>
                <w:lang w:val="en-US"/>
              </w:rPr>
            </w:pPr>
            <w:r>
              <w:rPr>
                <w:rFonts w:hint="eastAsia" w:ascii="宋体" w:hAnsi="Times New Roman" w:eastAsia="宋体" w:cs="Times New Roman"/>
                <w:kern w:val="0"/>
                <w:sz w:val="18"/>
                <w:szCs w:val="20"/>
                <w:lang w:val="en-US" w:eastAsia="zh-CN" w:bidi="ar"/>
              </w:rPr>
              <w:t>小</w:t>
            </w:r>
          </w:p>
        </w:tc>
      </w:tr>
      <w:tr w14:paraId="23F947D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CellMar>
            <w:top w:w="0" w:type="dxa"/>
            <w:left w:w="0" w:type="dxa"/>
            <w:bottom w:w="0" w:type="dxa"/>
            <w:right w:w="0" w:type="dxa"/>
          </w:tblCellMar>
        </w:tblPrEx>
        <w:trPr>
          <w:jc w:val="center"/>
        </w:trPr>
        <w:tc>
          <w:tcPr>
            <w:tcW w:w="1882" w:type="dxa"/>
            <w:tcBorders>
              <w:top w:val="single" w:color="auto" w:sz="8" w:space="0"/>
              <w:left w:val="single" w:color="auto" w:sz="8" w:space="0"/>
              <w:bottom w:val="single" w:color="auto" w:sz="8" w:space="0"/>
              <w:right w:val="single" w:color="auto" w:sz="4" w:space="0"/>
            </w:tcBorders>
            <w:shd w:val="clear" w:color="auto" w:fill="auto"/>
            <w:vAlign w:val="center"/>
          </w:tcPr>
          <w:p w14:paraId="46D73785">
            <w:pPr>
              <w:pStyle w:val="33"/>
              <w:keepNext w:val="0"/>
              <w:keepLines w:val="0"/>
              <w:widowControl/>
              <w:suppressLineNumbers w:val="0"/>
              <w:autoSpaceDE w:val="0"/>
              <w:autoSpaceDN w:val="0"/>
              <w:adjustRightInd/>
              <w:spacing w:before="0" w:beforeAutospacing="0" w:after="0" w:afterAutospacing="0" w:line="240" w:lineRule="auto"/>
              <w:ind w:left="0" w:right="0"/>
              <w:jc w:val="center"/>
              <w:rPr>
                <w:rFonts w:hint="default"/>
                <w:lang w:val="en-US"/>
              </w:rPr>
            </w:pPr>
            <w:r>
              <w:rPr>
                <w:rFonts w:hint="eastAsia" w:ascii="宋体" w:hAnsi="Times New Roman" w:eastAsia="宋体" w:cs="Times New Roman"/>
                <w:kern w:val="0"/>
                <w:sz w:val="18"/>
                <w:szCs w:val="20"/>
                <w:lang w:val="en-US" w:eastAsia="zh-CN" w:bidi="ar"/>
              </w:rPr>
              <w:t>数量/（尾/500g）</w:t>
            </w:r>
          </w:p>
        </w:tc>
        <w:tc>
          <w:tcPr>
            <w:tcW w:w="1871" w:type="dxa"/>
            <w:tcBorders>
              <w:top w:val="single" w:color="auto" w:sz="8" w:space="0"/>
              <w:left w:val="single" w:color="auto" w:sz="4" w:space="0"/>
              <w:bottom w:val="single" w:color="auto" w:sz="8" w:space="0"/>
              <w:right w:val="single" w:color="auto" w:sz="4" w:space="0"/>
            </w:tcBorders>
            <w:shd w:val="clear" w:color="auto" w:fill="auto"/>
            <w:vAlign w:val="center"/>
          </w:tcPr>
          <w:p w14:paraId="6E40470F">
            <w:pPr>
              <w:pStyle w:val="33"/>
              <w:keepNext w:val="0"/>
              <w:keepLines w:val="0"/>
              <w:widowControl/>
              <w:suppressLineNumbers w:val="0"/>
              <w:autoSpaceDE w:val="0"/>
              <w:autoSpaceDN w:val="0"/>
              <w:adjustRightInd/>
              <w:spacing w:before="0" w:beforeAutospacing="0" w:after="0" w:afterAutospacing="0" w:line="240" w:lineRule="auto"/>
              <w:ind w:left="0" w:right="0"/>
              <w:jc w:val="center"/>
              <w:rPr>
                <w:rFonts w:hint="default"/>
                <w:lang w:val="en-US"/>
              </w:rPr>
            </w:pPr>
            <w:r>
              <w:rPr>
                <w:rFonts w:hint="eastAsia" w:ascii="宋体" w:hAnsi="Times New Roman" w:eastAsia="宋体" w:cs="Times New Roman"/>
                <w:kern w:val="0"/>
                <w:sz w:val="18"/>
                <w:szCs w:val="20"/>
                <w:lang w:val="en-US" w:eastAsia="zh-CN" w:bidi="ar"/>
              </w:rPr>
              <w:t>≤20</w:t>
            </w:r>
          </w:p>
        </w:tc>
        <w:tc>
          <w:tcPr>
            <w:tcW w:w="1875" w:type="dxa"/>
            <w:tcBorders>
              <w:top w:val="single" w:color="auto" w:sz="8" w:space="0"/>
              <w:left w:val="single" w:color="auto" w:sz="4" w:space="0"/>
              <w:bottom w:val="single" w:color="auto" w:sz="8" w:space="0"/>
              <w:right w:val="single" w:color="auto" w:sz="4" w:space="0"/>
            </w:tcBorders>
            <w:shd w:val="clear" w:color="auto" w:fill="auto"/>
            <w:vAlign w:val="center"/>
          </w:tcPr>
          <w:p w14:paraId="72DB0CA3">
            <w:pPr>
              <w:pStyle w:val="33"/>
              <w:keepNext w:val="0"/>
              <w:keepLines w:val="0"/>
              <w:widowControl/>
              <w:suppressLineNumbers w:val="0"/>
              <w:autoSpaceDE w:val="0"/>
              <w:autoSpaceDN w:val="0"/>
              <w:adjustRightInd/>
              <w:spacing w:before="0" w:beforeAutospacing="0" w:after="0" w:afterAutospacing="0" w:line="240" w:lineRule="auto"/>
              <w:ind w:left="0" w:right="0"/>
              <w:jc w:val="center"/>
              <w:rPr>
                <w:rFonts w:hint="default"/>
                <w:lang w:val="en-US"/>
              </w:rPr>
            </w:pPr>
            <w:r>
              <w:rPr>
                <w:rFonts w:hint="eastAsia" w:ascii="宋体" w:hAnsi="Times New Roman" w:eastAsia="宋体" w:cs="Times New Roman"/>
                <w:kern w:val="0"/>
                <w:sz w:val="18"/>
                <w:szCs w:val="20"/>
                <w:lang w:val="en-US" w:eastAsia="zh-CN" w:bidi="ar"/>
              </w:rPr>
              <w:t>21～30</w:t>
            </w:r>
          </w:p>
        </w:tc>
        <w:tc>
          <w:tcPr>
            <w:tcW w:w="1871" w:type="dxa"/>
            <w:tcBorders>
              <w:top w:val="single" w:color="auto" w:sz="8" w:space="0"/>
              <w:left w:val="single" w:color="auto" w:sz="4" w:space="0"/>
              <w:bottom w:val="single" w:color="auto" w:sz="8" w:space="0"/>
              <w:right w:val="single" w:color="auto" w:sz="8" w:space="0"/>
            </w:tcBorders>
            <w:shd w:val="clear" w:color="auto" w:fill="auto"/>
            <w:vAlign w:val="center"/>
          </w:tcPr>
          <w:p w14:paraId="46C13226">
            <w:pPr>
              <w:pStyle w:val="33"/>
              <w:keepNext w:val="0"/>
              <w:keepLines w:val="0"/>
              <w:widowControl/>
              <w:suppressLineNumbers w:val="0"/>
              <w:autoSpaceDE w:val="0"/>
              <w:autoSpaceDN w:val="0"/>
              <w:adjustRightInd/>
              <w:spacing w:before="0" w:beforeAutospacing="0" w:after="0" w:afterAutospacing="0" w:line="240" w:lineRule="auto"/>
              <w:ind w:left="0" w:right="0"/>
              <w:jc w:val="center"/>
              <w:rPr>
                <w:rFonts w:hint="default"/>
                <w:lang w:val="en-US"/>
              </w:rPr>
            </w:pPr>
            <w:r>
              <w:rPr>
                <w:rFonts w:hint="eastAsia" w:ascii="宋体" w:hAnsi="Times New Roman" w:eastAsia="宋体" w:cs="Times New Roman"/>
                <w:kern w:val="0"/>
                <w:sz w:val="18"/>
                <w:szCs w:val="20"/>
                <w:lang w:val="en-US" w:eastAsia="zh-CN" w:bidi="ar"/>
              </w:rPr>
              <w:t>＞31</w:t>
            </w:r>
          </w:p>
        </w:tc>
      </w:tr>
    </w:tbl>
    <w:p w14:paraId="6B960643">
      <w:pPr>
        <w:pStyle w:val="44"/>
        <w:numPr>
          <w:ilvl w:val="0"/>
          <w:numId w:val="0"/>
        </w:numPr>
        <w:rPr>
          <w:rFonts w:ascii="Times New Roman" w:hAnsi="Times New Roman"/>
          <w:b/>
        </w:rPr>
      </w:pPr>
    </w:p>
    <w:p w14:paraId="0D0A83F4">
      <w:pPr>
        <w:pStyle w:val="44"/>
        <w:numPr>
          <w:ilvl w:val="0"/>
          <w:numId w:val="0"/>
        </w:numPr>
        <w:ind w:firstLine="640"/>
        <w:rPr>
          <w:rFonts w:hint="default" w:ascii="Times New Roman" w:hAnsi="Times New Roman" w:eastAsia="仿宋_GB2312"/>
          <w:sz w:val="32"/>
          <w:lang w:val="en-US" w:eastAsia="zh-CN"/>
        </w:rPr>
      </w:pPr>
      <w:r>
        <w:rPr>
          <w:rFonts w:hint="eastAsia" w:eastAsia="仿宋_GB2312"/>
          <w:sz w:val="32"/>
          <w:lang w:val="en-US" w:eastAsia="zh-CN"/>
        </w:rPr>
        <w:t>（二）理化指标</w:t>
      </w:r>
    </w:p>
    <w:p w14:paraId="148ABF92">
      <w:pPr>
        <w:pStyle w:val="44"/>
        <w:numPr>
          <w:ilvl w:val="0"/>
          <w:numId w:val="0"/>
        </w:numPr>
        <w:ind w:firstLine="640"/>
        <w:rPr>
          <w:rFonts w:hint="default" w:ascii="Times New Roman" w:hAnsi="Times New Roman" w:eastAsia="仿宋_GB2312"/>
          <w:b w:val="0"/>
          <w:sz w:val="32"/>
          <w:lang w:val="en-US"/>
        </w:rPr>
      </w:pPr>
      <w:r>
        <w:rPr>
          <w:rFonts w:hint="eastAsia" w:ascii="Times New Roman" w:hAnsi="Times New Roman" w:eastAsia="仿宋_GB2312"/>
          <w:sz w:val="32"/>
          <w:lang w:val="en-US"/>
        </w:rPr>
        <w:t>东兴市地处广西壮族自治区南部，拥有得天独厚的海洋资源，拥有丰富的水资源和养殖水域，为东兴对虾的养殖提供了充足的原料来源。同时，当地的气候条件适宜虾类生长，有利于提高养殖产量和品质，是养殖对虾的理想地区。</w:t>
      </w:r>
      <w:r>
        <w:rPr>
          <w:rFonts w:hint="eastAsia" w:eastAsia="仿宋_GB2312"/>
          <w:sz w:val="32"/>
          <w:lang w:val="en-US" w:eastAsia="zh-CN"/>
        </w:rPr>
        <w:t>本标准主要为了突出东兴对虾部分指标特点，进行了送样检测，并结合送样检测的结果对数据进行了综合分析和对比。</w:t>
      </w:r>
    </w:p>
    <w:p w14:paraId="44CD2D2E">
      <w:pPr>
        <w:pStyle w:val="44"/>
        <w:numPr>
          <w:ilvl w:val="0"/>
          <w:numId w:val="0"/>
        </w:numPr>
        <w:rPr>
          <w:rFonts w:ascii="Times New Roman" w:hAnsi="Times New Roman"/>
          <w:b/>
        </w:rPr>
      </w:pPr>
    </w:p>
    <w:p w14:paraId="2FC804D1">
      <w:pPr>
        <w:pStyle w:val="44"/>
        <w:numPr>
          <w:ilvl w:val="0"/>
          <w:numId w:val="0"/>
        </w:numPr>
        <w:rPr>
          <w:rFonts w:ascii="Times New Roman" w:hAnsi="Times New Roman"/>
          <w:b/>
        </w:rPr>
      </w:pPr>
    </w:p>
    <w:p w14:paraId="0BE70DF8">
      <w:pPr>
        <w:pStyle w:val="44"/>
        <w:numPr>
          <w:ilvl w:val="0"/>
          <w:numId w:val="0"/>
        </w:numPr>
        <w:rPr>
          <w:rFonts w:ascii="Times New Roman" w:hAnsi="Times New Roman"/>
          <w:b/>
        </w:rPr>
      </w:pPr>
    </w:p>
    <w:p w14:paraId="6C461536">
      <w:pPr>
        <w:pStyle w:val="44"/>
        <w:numPr>
          <w:ilvl w:val="0"/>
          <w:numId w:val="0"/>
        </w:numPr>
        <w:rPr>
          <w:rFonts w:ascii="Times New Roman" w:hAnsi="Times New Roman"/>
          <w:b/>
        </w:rPr>
      </w:pPr>
    </w:p>
    <w:p w14:paraId="652809F7">
      <w:pPr>
        <w:pStyle w:val="44"/>
        <w:numPr>
          <w:ilvl w:val="0"/>
          <w:numId w:val="0"/>
        </w:numPr>
        <w:rPr>
          <w:rFonts w:ascii="Times New Roman" w:hAnsi="Times New Roman"/>
          <w:b/>
        </w:rPr>
      </w:pPr>
    </w:p>
    <w:p w14:paraId="1DBEB96C">
      <w:pPr>
        <w:pStyle w:val="44"/>
        <w:numPr>
          <w:ilvl w:val="0"/>
          <w:numId w:val="0"/>
        </w:numPr>
        <w:rPr>
          <w:rFonts w:ascii="Times New Roman" w:hAnsi="Times New Roman"/>
          <w:b/>
        </w:rPr>
      </w:pPr>
    </w:p>
    <w:p w14:paraId="3689E9E9">
      <w:pPr>
        <w:pStyle w:val="44"/>
        <w:numPr>
          <w:ilvl w:val="0"/>
          <w:numId w:val="0"/>
        </w:numPr>
        <w:rPr>
          <w:rFonts w:ascii="Times New Roman" w:hAnsi="Times New Roman"/>
          <w:b/>
        </w:rPr>
      </w:pPr>
    </w:p>
    <w:tbl>
      <w:tblPr>
        <w:tblStyle w:val="36"/>
        <w:tblW w:w="0" w:type="auto"/>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015"/>
        <w:gridCol w:w="1034"/>
        <w:gridCol w:w="1034"/>
        <w:gridCol w:w="909"/>
        <w:gridCol w:w="989"/>
        <w:gridCol w:w="1017"/>
        <w:gridCol w:w="917"/>
        <w:gridCol w:w="1282"/>
        <w:gridCol w:w="998"/>
      </w:tblGrid>
      <w:tr w14:paraId="7C716A7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0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F54333">
            <w:pPr>
              <w:keepNext w:val="0"/>
              <w:keepLines w:val="0"/>
              <w:widowControl/>
              <w:suppressLineNumbers w:val="0"/>
              <w:ind w:lef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序号</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4CC110">
            <w:pPr>
              <w:keepNext w:val="0"/>
              <w:keepLines w:val="0"/>
              <w:widowControl/>
              <w:suppressLineNumbers w:val="0"/>
              <w:ind w:left="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蛋白质（g/100g)</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8765E3">
            <w:pPr>
              <w:keepNext w:val="0"/>
              <w:keepLines w:val="0"/>
              <w:widowControl/>
              <w:suppressLineNumbers w:val="0"/>
              <w:ind w:left="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脂肪（g/100g)</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5BDC19">
            <w:pPr>
              <w:keepNext w:val="0"/>
              <w:keepLines w:val="0"/>
              <w:widowControl/>
              <w:suppressLineNumbers w:val="0"/>
              <w:ind w:left="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氨基酸（g/100g)</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18933F">
            <w:pPr>
              <w:keepNext w:val="0"/>
              <w:keepLines w:val="0"/>
              <w:widowControl/>
              <w:suppressLineNumbers w:val="0"/>
              <w:ind w:left="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水分（g/kg)</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D68C7A">
            <w:pPr>
              <w:keepNext w:val="0"/>
              <w:keepLines w:val="0"/>
              <w:widowControl/>
              <w:suppressLineNumbers w:val="0"/>
              <w:ind w:left="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体重(g)</w:t>
            </w:r>
          </w:p>
        </w:tc>
        <w:tc>
          <w:tcPr>
            <w:tcW w:w="9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043F06">
            <w:pPr>
              <w:keepNext w:val="0"/>
              <w:keepLines w:val="0"/>
              <w:widowControl/>
              <w:suppressLineNumbers w:val="0"/>
              <w:ind w:left="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体长（cm）</w:t>
            </w:r>
          </w:p>
        </w:tc>
        <w:tc>
          <w:tcPr>
            <w:tcW w:w="12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9C81DD">
            <w:pPr>
              <w:keepNext w:val="0"/>
              <w:keepLines w:val="0"/>
              <w:widowControl/>
              <w:suppressLineNumbers w:val="0"/>
              <w:ind w:left="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出肉率</w:t>
            </w:r>
          </w:p>
        </w:tc>
        <w:tc>
          <w:tcPr>
            <w:tcW w:w="998" w:type="dxa"/>
            <w:tcBorders>
              <w:top w:val="single" w:color="000000" w:sz="4" w:space="0"/>
              <w:left w:val="single" w:color="000000" w:sz="4" w:space="0"/>
              <w:right w:val="single" w:color="000000" w:sz="4" w:space="0"/>
            </w:tcBorders>
            <w:shd w:val="clear" w:color="auto" w:fill="auto"/>
            <w:vAlign w:val="bottom"/>
          </w:tcPr>
          <w:p w14:paraId="0F17B0D5">
            <w:pPr>
              <w:jc w:val="center"/>
              <w:rPr>
                <w:rFonts w:hint="eastAsia" w:ascii="宋体" w:hAnsi="宋体" w:eastAsia="宋体" w:cs="宋体"/>
                <w:i w:val="0"/>
                <w:iCs w:val="0"/>
                <w:color w:val="000000"/>
                <w:sz w:val="22"/>
                <w:szCs w:val="22"/>
                <w:u w:val="none"/>
              </w:rPr>
            </w:pPr>
          </w:p>
        </w:tc>
      </w:tr>
      <w:tr w14:paraId="1C4CE8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628401">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样品1</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852C7B">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22.1</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722EF2">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0.6</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50F784">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17.7</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634296">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75.5</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45EAF0">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13.54</w:t>
            </w:r>
          </w:p>
        </w:tc>
        <w:tc>
          <w:tcPr>
            <w:tcW w:w="9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0FA5A7">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10.25</w:t>
            </w:r>
          </w:p>
        </w:tc>
        <w:tc>
          <w:tcPr>
            <w:tcW w:w="12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230302">
            <w:pPr>
              <w:jc w:val="center"/>
              <w:rPr>
                <w:rFonts w:hint="eastAsia" w:ascii="宋体" w:hAnsi="宋体" w:eastAsia="宋体" w:cs="宋体"/>
                <w:i w:val="0"/>
                <w:iCs w:val="0"/>
                <w:color w:val="000000"/>
                <w:sz w:val="22"/>
                <w:szCs w:val="22"/>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34B5A169">
            <w:pPr>
              <w:rPr>
                <w:rFonts w:hint="eastAsia" w:ascii="宋体" w:hAnsi="宋体" w:eastAsia="宋体" w:cs="宋体"/>
                <w:i w:val="0"/>
                <w:iCs w:val="0"/>
                <w:color w:val="000000"/>
                <w:sz w:val="22"/>
                <w:szCs w:val="22"/>
                <w:u w:val="none"/>
              </w:rPr>
            </w:pPr>
          </w:p>
        </w:tc>
      </w:tr>
      <w:tr w14:paraId="4A3F49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92A9FF">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样品2</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A9815A">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22.1</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D06C6B">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0.8</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264E40">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18.7</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5B7EBC">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75.6</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4CAD03">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13.82</w:t>
            </w:r>
          </w:p>
        </w:tc>
        <w:tc>
          <w:tcPr>
            <w:tcW w:w="9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C39703">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10.22</w:t>
            </w:r>
          </w:p>
        </w:tc>
        <w:tc>
          <w:tcPr>
            <w:tcW w:w="12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691C80">
            <w:pPr>
              <w:jc w:val="center"/>
              <w:rPr>
                <w:rFonts w:hint="eastAsia" w:ascii="宋体" w:hAnsi="宋体" w:eastAsia="宋体" w:cs="宋体"/>
                <w:i w:val="0"/>
                <w:iCs w:val="0"/>
                <w:color w:val="000000"/>
                <w:sz w:val="22"/>
                <w:szCs w:val="22"/>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0D8786B7">
            <w:pPr>
              <w:rPr>
                <w:rFonts w:hint="eastAsia" w:ascii="宋体" w:hAnsi="宋体" w:eastAsia="宋体" w:cs="宋体"/>
                <w:i w:val="0"/>
                <w:iCs w:val="0"/>
                <w:color w:val="000000"/>
                <w:sz w:val="22"/>
                <w:szCs w:val="22"/>
                <w:u w:val="none"/>
              </w:rPr>
            </w:pPr>
          </w:p>
        </w:tc>
      </w:tr>
      <w:tr w14:paraId="0D29DE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FCAB90">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样品3</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20F878">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22</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264F8D">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0.7</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276F4F">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18.5</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E13687">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76.0</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B00BA4">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15.9</w:t>
            </w:r>
          </w:p>
        </w:tc>
        <w:tc>
          <w:tcPr>
            <w:tcW w:w="9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EA597A">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10.61</w:t>
            </w:r>
          </w:p>
        </w:tc>
        <w:tc>
          <w:tcPr>
            <w:tcW w:w="12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C668D7">
            <w:pPr>
              <w:jc w:val="center"/>
              <w:rPr>
                <w:rFonts w:hint="eastAsia" w:ascii="宋体" w:hAnsi="宋体" w:eastAsia="宋体" w:cs="宋体"/>
                <w:i w:val="0"/>
                <w:iCs w:val="0"/>
                <w:color w:val="000000"/>
                <w:sz w:val="22"/>
                <w:szCs w:val="22"/>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76F76E1C">
            <w:pPr>
              <w:rPr>
                <w:rFonts w:hint="eastAsia" w:ascii="宋体" w:hAnsi="宋体" w:eastAsia="宋体" w:cs="宋体"/>
                <w:i w:val="0"/>
                <w:iCs w:val="0"/>
                <w:color w:val="000000"/>
                <w:sz w:val="22"/>
                <w:szCs w:val="22"/>
                <w:u w:val="none"/>
              </w:rPr>
            </w:pPr>
          </w:p>
        </w:tc>
      </w:tr>
      <w:tr w14:paraId="4E9E5F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30A11E">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样品4</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A92159">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22.8</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A92996">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0.6</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D17174">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18.6</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99ADDA">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75.0</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2D3857">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13.25</w:t>
            </w:r>
          </w:p>
        </w:tc>
        <w:tc>
          <w:tcPr>
            <w:tcW w:w="9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FEE8E9">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10.08</w:t>
            </w:r>
          </w:p>
        </w:tc>
        <w:tc>
          <w:tcPr>
            <w:tcW w:w="12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338157">
            <w:pPr>
              <w:jc w:val="center"/>
              <w:rPr>
                <w:rFonts w:hint="eastAsia" w:ascii="宋体" w:hAnsi="宋体" w:eastAsia="宋体" w:cs="宋体"/>
                <w:i w:val="0"/>
                <w:iCs w:val="0"/>
                <w:color w:val="000000"/>
                <w:sz w:val="22"/>
                <w:szCs w:val="22"/>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60BCE2DE">
            <w:pPr>
              <w:rPr>
                <w:rFonts w:hint="eastAsia" w:ascii="宋体" w:hAnsi="宋体" w:eastAsia="宋体" w:cs="宋体"/>
                <w:i w:val="0"/>
                <w:iCs w:val="0"/>
                <w:color w:val="000000"/>
                <w:sz w:val="22"/>
                <w:szCs w:val="22"/>
                <w:u w:val="none"/>
              </w:rPr>
            </w:pPr>
          </w:p>
        </w:tc>
      </w:tr>
      <w:tr w14:paraId="3B82BC7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DEF69A">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样品5</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45C335">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21.7</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E66417">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0.6</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104AD3">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19.0</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A118B8">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75.5</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6C92A2">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19.22</w:t>
            </w:r>
          </w:p>
        </w:tc>
        <w:tc>
          <w:tcPr>
            <w:tcW w:w="9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8DABD3">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11.27</w:t>
            </w:r>
          </w:p>
        </w:tc>
        <w:tc>
          <w:tcPr>
            <w:tcW w:w="12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997710">
            <w:pPr>
              <w:jc w:val="center"/>
              <w:rPr>
                <w:rFonts w:hint="eastAsia" w:ascii="宋体" w:hAnsi="宋体" w:eastAsia="宋体" w:cs="宋体"/>
                <w:i w:val="0"/>
                <w:iCs w:val="0"/>
                <w:color w:val="000000"/>
                <w:sz w:val="22"/>
                <w:szCs w:val="22"/>
                <w:u w:val="none"/>
              </w:rPr>
            </w:pPr>
          </w:p>
        </w:tc>
        <w:tc>
          <w:tcPr>
            <w:tcW w:w="998" w:type="dxa"/>
            <w:vMerge w:val="restart"/>
            <w:tcBorders>
              <w:top w:val="single" w:color="000000" w:sz="4" w:space="0"/>
              <w:left w:val="single" w:color="000000" w:sz="4" w:space="0"/>
              <w:bottom w:val="single" w:color="000000" w:sz="4" w:space="0"/>
              <w:right w:val="single" w:color="000000" w:sz="4" w:space="0"/>
            </w:tcBorders>
            <w:shd w:val="clear" w:color="auto" w:fill="auto"/>
            <w:vAlign w:val="bottom"/>
          </w:tcPr>
          <w:p w14:paraId="34FB4F65">
            <w:pPr>
              <w:jc w:val="center"/>
              <w:rPr>
                <w:rFonts w:hint="eastAsia" w:ascii="宋体" w:hAnsi="宋体" w:eastAsia="宋体" w:cs="宋体"/>
                <w:i w:val="0"/>
                <w:iCs w:val="0"/>
                <w:color w:val="000000"/>
                <w:sz w:val="22"/>
                <w:szCs w:val="22"/>
                <w:u w:val="none"/>
              </w:rPr>
            </w:pPr>
          </w:p>
        </w:tc>
      </w:tr>
      <w:tr w14:paraId="025FDA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46D20A">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样品6</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F899C8">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21.8</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F90076">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0.6</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4A5CCB">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18.9</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D6B383">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76.2</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58736A">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16.10</w:t>
            </w:r>
          </w:p>
        </w:tc>
        <w:tc>
          <w:tcPr>
            <w:tcW w:w="9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150D85">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10.82</w:t>
            </w:r>
          </w:p>
        </w:tc>
        <w:tc>
          <w:tcPr>
            <w:tcW w:w="12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8EB932">
            <w:pPr>
              <w:jc w:val="center"/>
              <w:rPr>
                <w:rFonts w:hint="eastAsia" w:ascii="宋体" w:hAnsi="宋体" w:eastAsia="宋体" w:cs="宋体"/>
                <w:i w:val="0"/>
                <w:iCs w:val="0"/>
                <w:color w:val="000000"/>
                <w:sz w:val="22"/>
                <w:szCs w:val="22"/>
                <w:u w:val="none"/>
              </w:rPr>
            </w:pPr>
          </w:p>
        </w:tc>
        <w:tc>
          <w:tcPr>
            <w:tcW w:w="998" w:type="dxa"/>
            <w:vMerge w:val="continue"/>
            <w:tcBorders>
              <w:top w:val="single" w:color="000000" w:sz="4" w:space="0"/>
              <w:left w:val="single" w:color="000000" w:sz="4" w:space="0"/>
              <w:bottom w:val="single" w:color="000000" w:sz="4" w:space="0"/>
              <w:right w:val="single" w:color="000000" w:sz="4" w:space="0"/>
            </w:tcBorders>
            <w:shd w:val="clear" w:color="auto" w:fill="auto"/>
            <w:vAlign w:val="bottom"/>
          </w:tcPr>
          <w:p w14:paraId="601B5194">
            <w:pPr>
              <w:jc w:val="center"/>
              <w:rPr>
                <w:rFonts w:hint="eastAsia" w:ascii="宋体" w:hAnsi="宋体" w:eastAsia="宋体" w:cs="宋体"/>
                <w:i w:val="0"/>
                <w:iCs w:val="0"/>
                <w:color w:val="000000"/>
                <w:sz w:val="22"/>
                <w:szCs w:val="22"/>
                <w:u w:val="none"/>
              </w:rPr>
            </w:pPr>
          </w:p>
        </w:tc>
      </w:tr>
      <w:tr w14:paraId="3B2600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15780B">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样品7</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5DB0C8">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22.2</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3305E5">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0.7</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7871A8">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19.1</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F6B5B2">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75.8</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D99667">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17.04</w:t>
            </w:r>
          </w:p>
        </w:tc>
        <w:tc>
          <w:tcPr>
            <w:tcW w:w="9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1C8F85">
            <w:pPr>
              <w:keepNext w:val="0"/>
              <w:keepLines w:val="0"/>
              <w:widowControl/>
              <w:suppressLineNumbers w:val="0"/>
              <w:ind w:left="0"/>
              <w:jc w:val="both"/>
              <w:textAlignment w:val="center"/>
              <w:rPr>
                <w:rFonts w:hint="eastAsia" w:ascii="宋体" w:hAnsi="宋体" w:eastAsia="宋体" w:cs="宋体"/>
                <w:i w:val="0"/>
                <w:iCs w:val="0"/>
                <w:color w:val="00B050"/>
                <w:sz w:val="22"/>
                <w:szCs w:val="22"/>
                <w:u w:val="none"/>
              </w:rPr>
            </w:pPr>
            <w:r>
              <w:rPr>
                <w:rFonts w:hint="eastAsia" w:ascii="宋体" w:hAnsi="宋体" w:eastAsia="宋体" w:cs="宋体"/>
                <w:i w:val="0"/>
                <w:iCs w:val="0"/>
                <w:color w:val="00B050"/>
                <w:kern w:val="0"/>
                <w:sz w:val="22"/>
                <w:szCs w:val="22"/>
                <w:u w:val="none"/>
                <w:lang w:val="en-US" w:eastAsia="zh-CN" w:bidi="ar"/>
              </w:rPr>
              <w:t>11.16</w:t>
            </w:r>
          </w:p>
        </w:tc>
        <w:tc>
          <w:tcPr>
            <w:tcW w:w="12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FADA7A">
            <w:pPr>
              <w:jc w:val="center"/>
              <w:rPr>
                <w:rFonts w:hint="eastAsia" w:ascii="宋体" w:hAnsi="宋体" w:eastAsia="宋体" w:cs="宋体"/>
                <w:i w:val="0"/>
                <w:iCs w:val="0"/>
                <w:color w:val="000000"/>
                <w:sz w:val="22"/>
                <w:szCs w:val="22"/>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11725626">
            <w:pPr>
              <w:rPr>
                <w:rFonts w:hint="eastAsia" w:ascii="宋体" w:hAnsi="宋体" w:eastAsia="宋体" w:cs="宋体"/>
                <w:i w:val="0"/>
                <w:iCs w:val="0"/>
                <w:color w:val="000000"/>
                <w:sz w:val="22"/>
                <w:szCs w:val="22"/>
                <w:u w:val="none"/>
              </w:rPr>
            </w:pPr>
          </w:p>
        </w:tc>
      </w:tr>
      <w:tr w14:paraId="4F54BCA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6DA519">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样品8</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64492A">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20.1</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9F2885">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0.7</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D51B7D">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16.4</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2AC6C2">
            <w:pPr>
              <w:keepNext w:val="0"/>
              <w:keepLines w:val="0"/>
              <w:widowControl/>
              <w:suppressLineNumbers w:val="0"/>
              <w:ind w:left="0"/>
              <w:jc w:val="both"/>
              <w:textAlignment w:val="center"/>
              <w:rPr>
                <w:rFonts w:hint="eastAsia" w:ascii="宋体" w:hAnsi="宋体" w:eastAsia="宋体" w:cs="宋体"/>
                <w:i w:val="0"/>
                <w:iCs w:val="0"/>
                <w:color w:val="FF0000"/>
                <w:sz w:val="22"/>
                <w:szCs w:val="22"/>
                <w:u w:val="none"/>
              </w:rPr>
            </w:pPr>
            <w:r>
              <w:rPr>
                <w:rFonts w:hint="eastAsia" w:ascii="宋体" w:hAnsi="宋体" w:eastAsia="宋体" w:cs="宋体"/>
                <w:i w:val="0"/>
                <w:iCs w:val="0"/>
                <w:color w:val="FF0000"/>
                <w:kern w:val="0"/>
                <w:sz w:val="22"/>
                <w:szCs w:val="22"/>
                <w:u w:val="none"/>
                <w:lang w:val="en-US" w:eastAsia="zh-CN" w:bidi="ar"/>
              </w:rPr>
              <w:t>79.2</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9F2550">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13.15</w:t>
            </w:r>
          </w:p>
        </w:tc>
        <w:tc>
          <w:tcPr>
            <w:tcW w:w="9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6122A1">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10.41</w:t>
            </w:r>
          </w:p>
        </w:tc>
        <w:tc>
          <w:tcPr>
            <w:tcW w:w="12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18F242">
            <w:pPr>
              <w:jc w:val="center"/>
              <w:rPr>
                <w:rFonts w:hint="eastAsia" w:ascii="宋体" w:hAnsi="宋体" w:eastAsia="宋体" w:cs="宋体"/>
                <w:i w:val="0"/>
                <w:iCs w:val="0"/>
                <w:color w:val="000000"/>
                <w:sz w:val="22"/>
                <w:szCs w:val="22"/>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113DBDA4">
            <w:pPr>
              <w:rPr>
                <w:rFonts w:hint="eastAsia" w:ascii="宋体" w:hAnsi="宋体" w:eastAsia="宋体" w:cs="宋体"/>
                <w:i w:val="0"/>
                <w:iCs w:val="0"/>
                <w:color w:val="000000"/>
                <w:sz w:val="22"/>
                <w:szCs w:val="22"/>
                <w:u w:val="none"/>
              </w:rPr>
            </w:pPr>
          </w:p>
        </w:tc>
      </w:tr>
      <w:tr w14:paraId="124E0F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1D917A">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样品9</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F97936">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21.1</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765708">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0.6</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85BF2D">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17.2</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75E6FB">
            <w:pPr>
              <w:keepNext w:val="0"/>
              <w:keepLines w:val="0"/>
              <w:widowControl/>
              <w:suppressLineNumbers w:val="0"/>
              <w:ind w:left="0"/>
              <w:jc w:val="both"/>
              <w:textAlignment w:val="center"/>
              <w:rPr>
                <w:rFonts w:hint="eastAsia" w:ascii="宋体" w:hAnsi="宋体" w:eastAsia="宋体" w:cs="宋体"/>
                <w:i w:val="0"/>
                <w:iCs w:val="0"/>
                <w:color w:val="FF0000"/>
                <w:sz w:val="22"/>
                <w:szCs w:val="22"/>
                <w:u w:val="none"/>
              </w:rPr>
            </w:pPr>
            <w:r>
              <w:rPr>
                <w:rFonts w:hint="eastAsia" w:ascii="宋体" w:hAnsi="宋体" w:eastAsia="宋体" w:cs="宋体"/>
                <w:i w:val="0"/>
                <w:iCs w:val="0"/>
                <w:color w:val="FF0000"/>
                <w:kern w:val="0"/>
                <w:sz w:val="22"/>
                <w:szCs w:val="22"/>
                <w:u w:val="none"/>
                <w:lang w:val="en-US" w:eastAsia="zh-CN" w:bidi="ar"/>
              </w:rPr>
              <w:t>77.8</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E69F8E">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12.74</w:t>
            </w:r>
          </w:p>
        </w:tc>
        <w:tc>
          <w:tcPr>
            <w:tcW w:w="9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7CA290">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10.05</w:t>
            </w:r>
          </w:p>
        </w:tc>
        <w:tc>
          <w:tcPr>
            <w:tcW w:w="12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6CE88C">
            <w:pPr>
              <w:jc w:val="center"/>
              <w:rPr>
                <w:rFonts w:hint="eastAsia" w:ascii="宋体" w:hAnsi="宋体" w:eastAsia="宋体" w:cs="宋体"/>
                <w:i w:val="0"/>
                <w:iCs w:val="0"/>
                <w:color w:val="000000"/>
                <w:sz w:val="22"/>
                <w:szCs w:val="22"/>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0D3CC13D">
            <w:pPr>
              <w:rPr>
                <w:rFonts w:hint="eastAsia" w:ascii="宋体" w:hAnsi="宋体" w:eastAsia="宋体" w:cs="宋体"/>
                <w:i w:val="0"/>
                <w:iCs w:val="0"/>
                <w:color w:val="000000"/>
                <w:sz w:val="22"/>
                <w:szCs w:val="22"/>
                <w:u w:val="none"/>
              </w:rPr>
            </w:pPr>
          </w:p>
        </w:tc>
      </w:tr>
      <w:tr w14:paraId="7EFD1E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C62C8E">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样品10</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D69C5F">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21.2</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21874D">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0.6</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C312E6">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17.4</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D43CE1">
            <w:pPr>
              <w:keepNext w:val="0"/>
              <w:keepLines w:val="0"/>
              <w:widowControl/>
              <w:suppressLineNumbers w:val="0"/>
              <w:ind w:left="0"/>
              <w:jc w:val="both"/>
              <w:textAlignment w:val="center"/>
              <w:rPr>
                <w:rFonts w:hint="eastAsia" w:ascii="宋体" w:hAnsi="宋体" w:eastAsia="宋体" w:cs="宋体"/>
                <w:i w:val="0"/>
                <w:iCs w:val="0"/>
                <w:color w:val="FF0000"/>
                <w:sz w:val="22"/>
                <w:szCs w:val="22"/>
                <w:u w:val="none"/>
              </w:rPr>
            </w:pPr>
            <w:r>
              <w:rPr>
                <w:rFonts w:hint="eastAsia" w:ascii="宋体" w:hAnsi="宋体" w:eastAsia="宋体" w:cs="宋体"/>
                <w:i w:val="0"/>
                <w:iCs w:val="0"/>
                <w:color w:val="FF0000"/>
                <w:kern w:val="0"/>
                <w:sz w:val="22"/>
                <w:szCs w:val="22"/>
                <w:u w:val="none"/>
                <w:lang w:val="en-US" w:eastAsia="zh-CN" w:bidi="ar"/>
              </w:rPr>
              <w:t>78.5</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EA717E">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13.56</w:t>
            </w:r>
          </w:p>
        </w:tc>
        <w:tc>
          <w:tcPr>
            <w:tcW w:w="9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3B360F">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10.12</w:t>
            </w:r>
          </w:p>
        </w:tc>
        <w:tc>
          <w:tcPr>
            <w:tcW w:w="12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741702">
            <w:pPr>
              <w:jc w:val="center"/>
              <w:rPr>
                <w:rFonts w:hint="eastAsia" w:ascii="宋体" w:hAnsi="宋体" w:eastAsia="宋体" w:cs="宋体"/>
                <w:i w:val="0"/>
                <w:iCs w:val="0"/>
                <w:color w:val="000000"/>
                <w:sz w:val="22"/>
                <w:szCs w:val="22"/>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6D32DF2A">
            <w:pPr>
              <w:rPr>
                <w:rFonts w:hint="eastAsia" w:ascii="宋体" w:hAnsi="宋体" w:eastAsia="宋体" w:cs="宋体"/>
                <w:i w:val="0"/>
                <w:iCs w:val="0"/>
                <w:color w:val="000000"/>
                <w:sz w:val="22"/>
                <w:szCs w:val="22"/>
                <w:u w:val="none"/>
              </w:rPr>
            </w:pPr>
          </w:p>
        </w:tc>
      </w:tr>
      <w:tr w14:paraId="2E8A3A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7531EF">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样品11</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1508F9">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22.0</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6FB2E6">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0.50</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FD7314">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17.3</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8780A5">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75.6</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9A7C8F">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10.00</w:t>
            </w:r>
          </w:p>
        </w:tc>
        <w:tc>
          <w:tcPr>
            <w:tcW w:w="9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EDB4ED">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9.42</w:t>
            </w:r>
          </w:p>
        </w:tc>
        <w:tc>
          <w:tcPr>
            <w:tcW w:w="12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A5A51D">
            <w:pPr>
              <w:jc w:val="center"/>
              <w:rPr>
                <w:rFonts w:hint="eastAsia" w:ascii="宋体" w:hAnsi="宋体" w:eastAsia="宋体" w:cs="宋体"/>
                <w:i w:val="0"/>
                <w:iCs w:val="0"/>
                <w:color w:val="000000"/>
                <w:sz w:val="22"/>
                <w:szCs w:val="22"/>
                <w:u w:val="none"/>
              </w:rPr>
            </w:pPr>
          </w:p>
        </w:tc>
        <w:tc>
          <w:tcPr>
            <w:tcW w:w="998" w:type="dxa"/>
            <w:vMerge w:val="restart"/>
            <w:tcBorders>
              <w:top w:val="single" w:color="000000" w:sz="4" w:space="0"/>
              <w:left w:val="single" w:color="000000" w:sz="4" w:space="0"/>
              <w:bottom w:val="single" w:color="000000" w:sz="4" w:space="0"/>
              <w:right w:val="single" w:color="000000" w:sz="4" w:space="0"/>
            </w:tcBorders>
            <w:shd w:val="clear" w:color="auto" w:fill="auto"/>
            <w:vAlign w:val="bottom"/>
          </w:tcPr>
          <w:p w14:paraId="347735BB">
            <w:pPr>
              <w:jc w:val="center"/>
              <w:rPr>
                <w:rFonts w:hint="eastAsia" w:ascii="宋体" w:hAnsi="宋体" w:eastAsia="宋体" w:cs="宋体"/>
                <w:i w:val="0"/>
                <w:iCs w:val="0"/>
                <w:color w:val="000000"/>
                <w:sz w:val="22"/>
                <w:szCs w:val="22"/>
                <w:u w:val="none"/>
              </w:rPr>
            </w:pPr>
          </w:p>
        </w:tc>
      </w:tr>
      <w:tr w14:paraId="6633117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9F16EE">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样品12</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EBFC0F">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21.4</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90DDCB">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0.60</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9253A6">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17.4</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259AED">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77.2</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DEA886">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9.35</w:t>
            </w:r>
          </w:p>
        </w:tc>
        <w:tc>
          <w:tcPr>
            <w:tcW w:w="9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7E70AE">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9.04</w:t>
            </w:r>
          </w:p>
        </w:tc>
        <w:tc>
          <w:tcPr>
            <w:tcW w:w="12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396586">
            <w:pPr>
              <w:jc w:val="center"/>
              <w:rPr>
                <w:rFonts w:hint="eastAsia" w:ascii="宋体" w:hAnsi="宋体" w:eastAsia="宋体" w:cs="宋体"/>
                <w:i w:val="0"/>
                <w:iCs w:val="0"/>
                <w:color w:val="000000"/>
                <w:sz w:val="22"/>
                <w:szCs w:val="22"/>
                <w:u w:val="none"/>
              </w:rPr>
            </w:pPr>
          </w:p>
        </w:tc>
        <w:tc>
          <w:tcPr>
            <w:tcW w:w="998" w:type="dxa"/>
            <w:vMerge w:val="continue"/>
            <w:tcBorders>
              <w:top w:val="single" w:color="000000" w:sz="4" w:space="0"/>
              <w:left w:val="single" w:color="000000" w:sz="4" w:space="0"/>
              <w:bottom w:val="single" w:color="000000" w:sz="4" w:space="0"/>
              <w:right w:val="single" w:color="000000" w:sz="4" w:space="0"/>
            </w:tcBorders>
            <w:shd w:val="clear" w:color="auto" w:fill="auto"/>
            <w:vAlign w:val="bottom"/>
          </w:tcPr>
          <w:p w14:paraId="0DF28A9E">
            <w:pPr>
              <w:jc w:val="center"/>
              <w:rPr>
                <w:rFonts w:hint="eastAsia" w:ascii="宋体" w:hAnsi="宋体" w:eastAsia="宋体" w:cs="宋体"/>
                <w:i w:val="0"/>
                <w:iCs w:val="0"/>
                <w:color w:val="000000"/>
                <w:sz w:val="22"/>
                <w:szCs w:val="22"/>
                <w:u w:val="none"/>
              </w:rPr>
            </w:pPr>
          </w:p>
        </w:tc>
      </w:tr>
      <w:tr w14:paraId="210D4BF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24ABC4">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样品13</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77E861">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21.8</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954599">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0.80</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C40645">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17.8</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4C8764">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76.8</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CB1391">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20.56</w:t>
            </w:r>
          </w:p>
        </w:tc>
        <w:tc>
          <w:tcPr>
            <w:tcW w:w="9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7194D9">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11.87</w:t>
            </w:r>
          </w:p>
        </w:tc>
        <w:tc>
          <w:tcPr>
            <w:tcW w:w="12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EA41B1">
            <w:pPr>
              <w:jc w:val="center"/>
              <w:rPr>
                <w:rFonts w:hint="eastAsia" w:ascii="宋体" w:hAnsi="宋体" w:eastAsia="宋体" w:cs="宋体"/>
                <w:i w:val="0"/>
                <w:iCs w:val="0"/>
                <w:color w:val="000000"/>
                <w:sz w:val="22"/>
                <w:szCs w:val="22"/>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24FA0298">
            <w:pPr>
              <w:rPr>
                <w:rFonts w:hint="eastAsia" w:ascii="宋体" w:hAnsi="宋体" w:eastAsia="宋体" w:cs="宋体"/>
                <w:i w:val="0"/>
                <w:iCs w:val="0"/>
                <w:color w:val="000000"/>
                <w:sz w:val="22"/>
                <w:szCs w:val="22"/>
                <w:u w:val="none"/>
              </w:rPr>
            </w:pPr>
          </w:p>
        </w:tc>
      </w:tr>
      <w:tr w14:paraId="45AFFC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7A5E79">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样品14</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3E84EF">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21.4</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797114">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0.60</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C2CAAC">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17.9</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751553">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77.1</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706090">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17.59</w:t>
            </w:r>
          </w:p>
        </w:tc>
        <w:tc>
          <w:tcPr>
            <w:tcW w:w="9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63B4D6">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11.378</w:t>
            </w:r>
          </w:p>
        </w:tc>
        <w:tc>
          <w:tcPr>
            <w:tcW w:w="12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D7085D">
            <w:pPr>
              <w:jc w:val="center"/>
              <w:rPr>
                <w:rFonts w:hint="eastAsia" w:ascii="宋体" w:hAnsi="宋体" w:eastAsia="宋体" w:cs="宋体"/>
                <w:i w:val="0"/>
                <w:iCs w:val="0"/>
                <w:color w:val="000000"/>
                <w:sz w:val="22"/>
                <w:szCs w:val="22"/>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45587158">
            <w:pPr>
              <w:rPr>
                <w:rFonts w:hint="eastAsia" w:ascii="宋体" w:hAnsi="宋体" w:eastAsia="宋体" w:cs="宋体"/>
                <w:i w:val="0"/>
                <w:iCs w:val="0"/>
                <w:color w:val="000000"/>
                <w:sz w:val="22"/>
                <w:szCs w:val="22"/>
                <w:u w:val="none"/>
              </w:rPr>
            </w:pPr>
          </w:p>
        </w:tc>
      </w:tr>
      <w:tr w14:paraId="782B3A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9BC98C">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样品15</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462638">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21.8</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E8BC59">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0.70</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3540C5">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19.4</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A49518">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75.5</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CC57B2">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17.84</w:t>
            </w:r>
          </w:p>
        </w:tc>
        <w:tc>
          <w:tcPr>
            <w:tcW w:w="9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8A2050">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11.36</w:t>
            </w:r>
          </w:p>
        </w:tc>
        <w:tc>
          <w:tcPr>
            <w:tcW w:w="12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D85184">
            <w:pPr>
              <w:jc w:val="center"/>
              <w:rPr>
                <w:rFonts w:hint="eastAsia" w:ascii="宋体" w:hAnsi="宋体" w:eastAsia="宋体" w:cs="宋体"/>
                <w:i w:val="0"/>
                <w:iCs w:val="0"/>
                <w:color w:val="000000"/>
                <w:sz w:val="22"/>
                <w:szCs w:val="22"/>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32D8D845">
            <w:pPr>
              <w:rPr>
                <w:rFonts w:hint="eastAsia" w:ascii="宋体" w:hAnsi="宋体" w:eastAsia="宋体" w:cs="宋体"/>
                <w:i w:val="0"/>
                <w:iCs w:val="0"/>
                <w:color w:val="000000"/>
                <w:sz w:val="22"/>
                <w:szCs w:val="22"/>
                <w:u w:val="none"/>
              </w:rPr>
            </w:pPr>
          </w:p>
        </w:tc>
      </w:tr>
      <w:tr w14:paraId="34BA57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4DB199A4">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最大值</w:t>
            </w:r>
          </w:p>
        </w:tc>
        <w:tc>
          <w:tcPr>
            <w:tcW w:w="1034"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6A0A8B09">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22.8</w:t>
            </w:r>
          </w:p>
        </w:tc>
        <w:tc>
          <w:tcPr>
            <w:tcW w:w="1034"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69764CC2">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0.80</w:t>
            </w:r>
          </w:p>
        </w:tc>
        <w:tc>
          <w:tcPr>
            <w:tcW w:w="909"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6950409A">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19.4</w:t>
            </w:r>
          </w:p>
        </w:tc>
        <w:tc>
          <w:tcPr>
            <w:tcW w:w="989"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6A665EAD">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79.2</w:t>
            </w:r>
          </w:p>
        </w:tc>
        <w:tc>
          <w:tcPr>
            <w:tcW w:w="1017"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09392406">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20.56</w:t>
            </w:r>
          </w:p>
        </w:tc>
        <w:tc>
          <w:tcPr>
            <w:tcW w:w="917"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0EE24573">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11.87</w:t>
            </w:r>
          </w:p>
        </w:tc>
        <w:tc>
          <w:tcPr>
            <w:tcW w:w="1282"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6591F5C3">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6AF57A15">
            <w:pPr>
              <w:rPr>
                <w:rFonts w:hint="eastAsia" w:ascii="宋体" w:hAnsi="宋体" w:eastAsia="宋体" w:cs="宋体"/>
                <w:i w:val="0"/>
                <w:iCs w:val="0"/>
                <w:color w:val="000000"/>
                <w:sz w:val="22"/>
                <w:szCs w:val="22"/>
                <w:u w:val="none"/>
              </w:rPr>
            </w:pPr>
          </w:p>
        </w:tc>
      </w:tr>
      <w:tr w14:paraId="44A436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198853F2">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最小值</w:t>
            </w:r>
          </w:p>
        </w:tc>
        <w:tc>
          <w:tcPr>
            <w:tcW w:w="1034"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01041AC6">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20.1</w:t>
            </w:r>
          </w:p>
        </w:tc>
        <w:tc>
          <w:tcPr>
            <w:tcW w:w="1034"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299B0AD5">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0.50</w:t>
            </w:r>
          </w:p>
        </w:tc>
        <w:tc>
          <w:tcPr>
            <w:tcW w:w="909"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04E6C972">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16.4</w:t>
            </w:r>
          </w:p>
        </w:tc>
        <w:tc>
          <w:tcPr>
            <w:tcW w:w="989"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4D42473A">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75</w:t>
            </w:r>
          </w:p>
        </w:tc>
        <w:tc>
          <w:tcPr>
            <w:tcW w:w="1017"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6E22A852">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9.35</w:t>
            </w:r>
          </w:p>
        </w:tc>
        <w:tc>
          <w:tcPr>
            <w:tcW w:w="917"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7590A5FD">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9.04</w:t>
            </w:r>
          </w:p>
        </w:tc>
        <w:tc>
          <w:tcPr>
            <w:tcW w:w="1282"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4BF909F0">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52F6D3A3">
            <w:pPr>
              <w:rPr>
                <w:rFonts w:hint="eastAsia" w:ascii="宋体" w:hAnsi="宋体" w:eastAsia="宋体" w:cs="宋体"/>
                <w:i w:val="0"/>
                <w:iCs w:val="0"/>
                <w:color w:val="000000"/>
                <w:sz w:val="22"/>
                <w:szCs w:val="22"/>
                <w:u w:val="none"/>
              </w:rPr>
            </w:pPr>
          </w:p>
        </w:tc>
      </w:tr>
      <w:tr w14:paraId="3786EE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52D2FA5C">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平均值</w:t>
            </w:r>
          </w:p>
        </w:tc>
        <w:tc>
          <w:tcPr>
            <w:tcW w:w="1034"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7A86FD06">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21.70</w:t>
            </w:r>
          </w:p>
        </w:tc>
        <w:tc>
          <w:tcPr>
            <w:tcW w:w="1034"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529BD97F">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0.65</w:t>
            </w:r>
          </w:p>
        </w:tc>
        <w:tc>
          <w:tcPr>
            <w:tcW w:w="909"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2FC06188">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18.09</w:t>
            </w:r>
          </w:p>
        </w:tc>
        <w:tc>
          <w:tcPr>
            <w:tcW w:w="989"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1B5F0CC4">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76.49</w:t>
            </w:r>
          </w:p>
        </w:tc>
        <w:tc>
          <w:tcPr>
            <w:tcW w:w="1017"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69A2EEC3">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14.91</w:t>
            </w:r>
          </w:p>
        </w:tc>
        <w:tc>
          <w:tcPr>
            <w:tcW w:w="917"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3599E81A">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10.54</w:t>
            </w:r>
          </w:p>
        </w:tc>
        <w:tc>
          <w:tcPr>
            <w:tcW w:w="1282" w:type="dxa"/>
            <w:tcBorders>
              <w:top w:val="single" w:color="000000" w:sz="4" w:space="0"/>
              <w:left w:val="single" w:color="000000" w:sz="4" w:space="0"/>
              <w:bottom w:val="single" w:color="000000" w:sz="4" w:space="0"/>
              <w:right w:val="single" w:color="000000" w:sz="4" w:space="0"/>
            </w:tcBorders>
            <w:shd w:val="clear" w:color="auto" w:fill="FFFF00"/>
            <w:noWrap/>
            <w:vAlign w:val="bottom"/>
          </w:tcPr>
          <w:p w14:paraId="25A12A03">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65B3C779">
            <w:pPr>
              <w:rPr>
                <w:rFonts w:hint="eastAsia" w:ascii="宋体" w:hAnsi="宋体" w:eastAsia="宋体" w:cs="宋体"/>
                <w:i w:val="0"/>
                <w:iCs w:val="0"/>
                <w:color w:val="000000"/>
                <w:sz w:val="22"/>
                <w:szCs w:val="22"/>
                <w:u w:val="none"/>
              </w:rPr>
            </w:pPr>
          </w:p>
        </w:tc>
      </w:tr>
      <w:tr w14:paraId="1B2EA6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5"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A351AF">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初定指标</w:t>
            </w:r>
          </w:p>
        </w:tc>
        <w:tc>
          <w:tcPr>
            <w:tcW w:w="10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6C4645">
            <w:pPr>
              <w:jc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20.0</w:t>
            </w:r>
          </w:p>
        </w:tc>
        <w:tc>
          <w:tcPr>
            <w:tcW w:w="10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2346D6">
            <w:pPr>
              <w:jc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0.8</w:t>
            </w:r>
          </w:p>
        </w:tc>
        <w:tc>
          <w:tcPr>
            <w:tcW w:w="90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1C4B41">
            <w:pPr>
              <w:jc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16.0</w:t>
            </w:r>
          </w:p>
        </w:tc>
        <w:tc>
          <w:tcPr>
            <w:tcW w:w="98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14CEA7">
            <w:pPr>
              <w:jc w:val="center"/>
              <w:rPr>
                <w:rFonts w:hint="eastAsia" w:ascii="宋体" w:hAnsi="宋体" w:eastAsia="宋体" w:cs="宋体"/>
                <w:i w:val="0"/>
                <w:iCs w:val="0"/>
                <w:color w:val="000000"/>
                <w:sz w:val="22"/>
                <w:szCs w:val="22"/>
                <w:u w:val="none"/>
              </w:rPr>
            </w:pPr>
          </w:p>
        </w:tc>
        <w:tc>
          <w:tcPr>
            <w:tcW w:w="10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F2F02F">
            <w:pPr>
              <w:jc w:val="center"/>
              <w:rPr>
                <w:rFonts w:hint="eastAsia" w:ascii="宋体" w:hAnsi="宋体" w:eastAsia="宋体" w:cs="宋体"/>
                <w:i w:val="0"/>
                <w:iCs w:val="0"/>
                <w:color w:val="000000"/>
                <w:sz w:val="22"/>
                <w:szCs w:val="22"/>
                <w:u w:val="none"/>
              </w:rPr>
            </w:pPr>
          </w:p>
        </w:tc>
        <w:tc>
          <w:tcPr>
            <w:tcW w:w="9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13590C">
            <w:pPr>
              <w:jc w:val="center"/>
              <w:rPr>
                <w:rFonts w:hint="eastAsia" w:ascii="宋体" w:hAnsi="宋体" w:eastAsia="宋体" w:cs="宋体"/>
                <w:i w:val="0"/>
                <w:iCs w:val="0"/>
                <w:color w:val="000000"/>
                <w:sz w:val="22"/>
                <w:szCs w:val="22"/>
                <w:u w:val="none"/>
              </w:rPr>
            </w:pPr>
          </w:p>
        </w:tc>
        <w:tc>
          <w:tcPr>
            <w:tcW w:w="12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424C8B">
            <w:pPr>
              <w:jc w:val="center"/>
              <w:rPr>
                <w:rFonts w:hint="eastAsia" w:ascii="宋体" w:hAnsi="宋体" w:eastAsia="宋体" w:cs="宋体"/>
                <w:i w:val="0"/>
                <w:iCs w:val="0"/>
                <w:color w:val="000000"/>
                <w:sz w:val="22"/>
                <w:szCs w:val="22"/>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607DA53F">
            <w:pPr>
              <w:rPr>
                <w:rFonts w:hint="eastAsia" w:ascii="宋体" w:hAnsi="宋体" w:eastAsia="宋体" w:cs="宋体"/>
                <w:i w:val="0"/>
                <w:iCs w:val="0"/>
                <w:color w:val="000000"/>
                <w:sz w:val="22"/>
                <w:szCs w:val="22"/>
                <w:u w:val="none"/>
              </w:rPr>
            </w:pPr>
          </w:p>
        </w:tc>
      </w:tr>
      <w:tr w14:paraId="041EF7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79" w:hRule="atLeast"/>
        </w:trPr>
        <w:tc>
          <w:tcPr>
            <w:tcW w:w="8197" w:type="dxa"/>
            <w:gridSpan w:val="8"/>
            <w:tcBorders>
              <w:top w:val="single" w:color="000000" w:sz="4" w:space="0"/>
              <w:left w:val="single" w:color="000000" w:sz="4" w:space="0"/>
              <w:bottom w:val="single" w:color="000000" w:sz="4" w:space="0"/>
              <w:right w:val="single" w:color="000000" w:sz="4" w:space="0"/>
            </w:tcBorders>
            <w:shd w:val="clear" w:color="auto" w:fill="FFFF00"/>
            <w:noWrap/>
            <w:vAlign w:val="top"/>
          </w:tcPr>
          <w:p w14:paraId="6D2271D7">
            <w:pPr>
              <w:jc w:val="center"/>
              <w:rPr>
                <w:rFonts w:hint="eastAsia" w:ascii="宋体" w:hAnsi="宋体" w:eastAsia="宋体" w:cs="宋体"/>
                <w:i w:val="0"/>
                <w:iCs w:val="0"/>
                <w:color w:val="000000"/>
                <w:sz w:val="22"/>
                <w:szCs w:val="22"/>
                <w:u w:val="none"/>
              </w:rPr>
            </w:pPr>
          </w:p>
        </w:tc>
        <w:tc>
          <w:tcPr>
            <w:tcW w:w="998" w:type="dxa"/>
            <w:tcBorders>
              <w:top w:val="single" w:color="000000" w:sz="4" w:space="0"/>
              <w:left w:val="single" w:color="000000" w:sz="4" w:space="0"/>
              <w:bottom w:val="nil"/>
              <w:right w:val="single" w:color="000000" w:sz="4" w:space="0"/>
            </w:tcBorders>
            <w:shd w:val="clear" w:color="auto" w:fill="auto"/>
            <w:vAlign w:val="bottom"/>
          </w:tcPr>
          <w:p w14:paraId="1ED45E3A">
            <w:pPr>
              <w:jc w:val="center"/>
              <w:rPr>
                <w:rFonts w:hint="eastAsia" w:ascii="宋体" w:hAnsi="宋体" w:eastAsia="宋体" w:cs="宋体"/>
                <w:i w:val="0"/>
                <w:iCs w:val="0"/>
                <w:color w:val="000000"/>
                <w:sz w:val="22"/>
                <w:szCs w:val="22"/>
                <w:u w:val="none"/>
              </w:rPr>
            </w:pPr>
          </w:p>
        </w:tc>
      </w:tr>
      <w:tr w14:paraId="2DD60BD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15" w:type="dxa"/>
            <w:tcBorders>
              <w:top w:val="nil"/>
              <w:left w:val="nil"/>
              <w:bottom w:val="nil"/>
              <w:right w:val="nil"/>
            </w:tcBorders>
            <w:shd w:val="clear" w:color="auto" w:fill="auto"/>
            <w:noWrap/>
            <w:vAlign w:val="bottom"/>
          </w:tcPr>
          <w:p w14:paraId="76A19AFE">
            <w:pPr>
              <w:jc w:val="center"/>
              <w:rPr>
                <w:rFonts w:hint="eastAsia" w:ascii="宋体" w:hAnsi="宋体" w:eastAsia="宋体" w:cs="宋体"/>
                <w:i w:val="0"/>
                <w:iCs w:val="0"/>
                <w:color w:val="000000"/>
                <w:sz w:val="22"/>
                <w:szCs w:val="22"/>
                <w:u w:val="none"/>
              </w:rPr>
            </w:pPr>
          </w:p>
        </w:tc>
        <w:tc>
          <w:tcPr>
            <w:tcW w:w="1034" w:type="dxa"/>
            <w:tcBorders>
              <w:top w:val="nil"/>
              <w:left w:val="nil"/>
              <w:bottom w:val="nil"/>
              <w:right w:val="nil"/>
            </w:tcBorders>
            <w:shd w:val="clear" w:color="auto" w:fill="auto"/>
            <w:noWrap/>
            <w:vAlign w:val="bottom"/>
          </w:tcPr>
          <w:p w14:paraId="64C09BDD">
            <w:pPr>
              <w:jc w:val="center"/>
              <w:rPr>
                <w:rFonts w:hint="eastAsia" w:ascii="宋体" w:hAnsi="宋体" w:eastAsia="宋体" w:cs="宋体"/>
                <w:i w:val="0"/>
                <w:iCs w:val="0"/>
                <w:color w:val="000000"/>
                <w:sz w:val="22"/>
                <w:szCs w:val="22"/>
                <w:u w:val="none"/>
              </w:rPr>
            </w:pPr>
          </w:p>
        </w:tc>
        <w:tc>
          <w:tcPr>
            <w:tcW w:w="1034" w:type="dxa"/>
            <w:tcBorders>
              <w:top w:val="nil"/>
              <w:left w:val="nil"/>
              <w:bottom w:val="nil"/>
              <w:right w:val="nil"/>
            </w:tcBorders>
            <w:shd w:val="clear" w:color="auto" w:fill="auto"/>
            <w:noWrap/>
            <w:vAlign w:val="bottom"/>
          </w:tcPr>
          <w:p w14:paraId="5CD2E299">
            <w:pPr>
              <w:jc w:val="center"/>
              <w:rPr>
                <w:rFonts w:hint="eastAsia" w:ascii="宋体" w:hAnsi="宋体" w:eastAsia="宋体" w:cs="宋体"/>
                <w:i w:val="0"/>
                <w:iCs w:val="0"/>
                <w:color w:val="000000"/>
                <w:sz w:val="22"/>
                <w:szCs w:val="22"/>
                <w:u w:val="none"/>
              </w:rPr>
            </w:pPr>
          </w:p>
        </w:tc>
        <w:tc>
          <w:tcPr>
            <w:tcW w:w="909" w:type="dxa"/>
            <w:tcBorders>
              <w:top w:val="nil"/>
              <w:left w:val="nil"/>
              <w:bottom w:val="nil"/>
              <w:right w:val="nil"/>
            </w:tcBorders>
            <w:shd w:val="clear" w:color="auto" w:fill="auto"/>
            <w:noWrap/>
            <w:vAlign w:val="bottom"/>
          </w:tcPr>
          <w:p w14:paraId="4247AD62">
            <w:pPr>
              <w:jc w:val="center"/>
              <w:rPr>
                <w:rFonts w:hint="eastAsia" w:ascii="宋体" w:hAnsi="宋体" w:eastAsia="宋体" w:cs="宋体"/>
                <w:i w:val="0"/>
                <w:iCs w:val="0"/>
                <w:color w:val="000000"/>
                <w:sz w:val="22"/>
                <w:szCs w:val="22"/>
                <w:u w:val="none"/>
              </w:rPr>
            </w:pPr>
          </w:p>
        </w:tc>
        <w:tc>
          <w:tcPr>
            <w:tcW w:w="989" w:type="dxa"/>
            <w:tcBorders>
              <w:top w:val="nil"/>
              <w:left w:val="nil"/>
              <w:bottom w:val="nil"/>
              <w:right w:val="nil"/>
            </w:tcBorders>
            <w:shd w:val="clear" w:color="auto" w:fill="auto"/>
            <w:noWrap/>
            <w:vAlign w:val="bottom"/>
          </w:tcPr>
          <w:p w14:paraId="5D2414A5">
            <w:pPr>
              <w:jc w:val="center"/>
              <w:rPr>
                <w:rFonts w:hint="eastAsia" w:ascii="宋体" w:hAnsi="宋体" w:eastAsia="宋体" w:cs="宋体"/>
                <w:i w:val="0"/>
                <w:iCs w:val="0"/>
                <w:color w:val="000000"/>
                <w:sz w:val="22"/>
                <w:szCs w:val="22"/>
                <w:u w:val="none"/>
              </w:rPr>
            </w:pPr>
          </w:p>
        </w:tc>
        <w:tc>
          <w:tcPr>
            <w:tcW w:w="1017" w:type="dxa"/>
            <w:tcBorders>
              <w:top w:val="nil"/>
              <w:left w:val="nil"/>
              <w:bottom w:val="nil"/>
              <w:right w:val="nil"/>
            </w:tcBorders>
            <w:shd w:val="clear" w:color="auto" w:fill="auto"/>
            <w:noWrap/>
            <w:vAlign w:val="bottom"/>
          </w:tcPr>
          <w:p w14:paraId="2B67A469">
            <w:pPr>
              <w:jc w:val="center"/>
              <w:rPr>
                <w:rFonts w:hint="eastAsia" w:ascii="宋体" w:hAnsi="宋体" w:eastAsia="宋体" w:cs="宋体"/>
                <w:i w:val="0"/>
                <w:iCs w:val="0"/>
                <w:color w:val="000000"/>
                <w:sz w:val="22"/>
                <w:szCs w:val="22"/>
                <w:u w:val="none"/>
              </w:rPr>
            </w:pPr>
          </w:p>
        </w:tc>
        <w:tc>
          <w:tcPr>
            <w:tcW w:w="917" w:type="dxa"/>
            <w:tcBorders>
              <w:top w:val="nil"/>
              <w:left w:val="nil"/>
              <w:bottom w:val="nil"/>
              <w:right w:val="nil"/>
            </w:tcBorders>
            <w:shd w:val="clear" w:color="auto" w:fill="auto"/>
            <w:noWrap/>
            <w:vAlign w:val="bottom"/>
          </w:tcPr>
          <w:p w14:paraId="4BC9CCF3">
            <w:pPr>
              <w:jc w:val="center"/>
              <w:rPr>
                <w:rFonts w:hint="eastAsia" w:ascii="宋体" w:hAnsi="宋体" w:eastAsia="宋体" w:cs="宋体"/>
                <w:i w:val="0"/>
                <w:iCs w:val="0"/>
                <w:color w:val="000000"/>
                <w:sz w:val="22"/>
                <w:szCs w:val="22"/>
                <w:u w:val="none"/>
              </w:rPr>
            </w:pPr>
          </w:p>
        </w:tc>
        <w:tc>
          <w:tcPr>
            <w:tcW w:w="1282" w:type="dxa"/>
            <w:tcBorders>
              <w:top w:val="nil"/>
              <w:left w:val="nil"/>
              <w:bottom w:val="nil"/>
              <w:right w:val="nil"/>
            </w:tcBorders>
            <w:shd w:val="clear" w:color="auto" w:fill="auto"/>
            <w:noWrap/>
            <w:vAlign w:val="bottom"/>
          </w:tcPr>
          <w:p w14:paraId="7D6778B8">
            <w:pPr>
              <w:jc w:val="center"/>
              <w:rPr>
                <w:rFonts w:hint="eastAsia" w:ascii="宋体" w:hAnsi="宋体" w:eastAsia="宋体" w:cs="宋体"/>
                <w:i w:val="0"/>
                <w:iCs w:val="0"/>
                <w:color w:val="000000"/>
                <w:sz w:val="22"/>
                <w:szCs w:val="22"/>
                <w:u w:val="none"/>
              </w:rPr>
            </w:pPr>
          </w:p>
        </w:tc>
        <w:tc>
          <w:tcPr>
            <w:tcW w:w="998" w:type="dxa"/>
            <w:tcBorders>
              <w:top w:val="nil"/>
              <w:left w:val="nil"/>
              <w:bottom w:val="nil"/>
              <w:right w:val="nil"/>
            </w:tcBorders>
            <w:shd w:val="clear" w:color="auto" w:fill="auto"/>
            <w:noWrap/>
            <w:vAlign w:val="bottom"/>
          </w:tcPr>
          <w:p w14:paraId="41CE3C48">
            <w:pPr>
              <w:rPr>
                <w:rFonts w:hint="eastAsia" w:ascii="宋体" w:hAnsi="宋体" w:eastAsia="宋体" w:cs="宋体"/>
                <w:i w:val="0"/>
                <w:iCs w:val="0"/>
                <w:color w:val="000000"/>
                <w:sz w:val="22"/>
                <w:szCs w:val="22"/>
                <w:u w:val="none"/>
              </w:rPr>
            </w:pPr>
          </w:p>
        </w:tc>
      </w:tr>
      <w:tr w14:paraId="0C53EC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15" w:type="dxa"/>
            <w:tcBorders>
              <w:top w:val="nil"/>
              <w:left w:val="nil"/>
              <w:bottom w:val="nil"/>
              <w:right w:val="nil"/>
            </w:tcBorders>
            <w:shd w:val="clear" w:color="auto" w:fill="auto"/>
            <w:noWrap/>
            <w:vAlign w:val="bottom"/>
          </w:tcPr>
          <w:p w14:paraId="5AAC7321">
            <w:pPr>
              <w:jc w:val="center"/>
              <w:rPr>
                <w:rFonts w:hint="eastAsia" w:ascii="宋体" w:hAnsi="宋体" w:eastAsia="宋体" w:cs="宋体"/>
                <w:i w:val="0"/>
                <w:iCs w:val="0"/>
                <w:color w:val="000000"/>
                <w:sz w:val="22"/>
                <w:szCs w:val="22"/>
                <w:u w:val="none"/>
              </w:rPr>
            </w:pPr>
          </w:p>
        </w:tc>
        <w:tc>
          <w:tcPr>
            <w:tcW w:w="1034" w:type="dxa"/>
            <w:tcBorders>
              <w:top w:val="nil"/>
              <w:left w:val="nil"/>
              <w:bottom w:val="nil"/>
              <w:right w:val="nil"/>
            </w:tcBorders>
            <w:shd w:val="clear" w:color="auto" w:fill="auto"/>
            <w:noWrap/>
            <w:vAlign w:val="bottom"/>
          </w:tcPr>
          <w:p w14:paraId="56C47DEC">
            <w:pPr>
              <w:jc w:val="center"/>
              <w:rPr>
                <w:rFonts w:hint="eastAsia" w:ascii="宋体" w:hAnsi="宋体" w:eastAsia="宋体" w:cs="宋体"/>
                <w:i w:val="0"/>
                <w:iCs w:val="0"/>
                <w:color w:val="000000"/>
                <w:sz w:val="22"/>
                <w:szCs w:val="22"/>
                <w:u w:val="none"/>
              </w:rPr>
            </w:pPr>
          </w:p>
        </w:tc>
        <w:tc>
          <w:tcPr>
            <w:tcW w:w="1034" w:type="dxa"/>
            <w:tcBorders>
              <w:top w:val="nil"/>
              <w:left w:val="nil"/>
              <w:bottom w:val="nil"/>
              <w:right w:val="nil"/>
            </w:tcBorders>
            <w:shd w:val="clear" w:color="auto" w:fill="auto"/>
            <w:noWrap/>
            <w:vAlign w:val="bottom"/>
          </w:tcPr>
          <w:p w14:paraId="5D36FD19">
            <w:pPr>
              <w:jc w:val="center"/>
              <w:rPr>
                <w:rFonts w:hint="eastAsia" w:ascii="宋体" w:hAnsi="宋体" w:eastAsia="宋体" w:cs="宋体"/>
                <w:i w:val="0"/>
                <w:iCs w:val="0"/>
                <w:color w:val="000000"/>
                <w:sz w:val="22"/>
                <w:szCs w:val="22"/>
                <w:u w:val="none"/>
              </w:rPr>
            </w:pPr>
          </w:p>
        </w:tc>
        <w:tc>
          <w:tcPr>
            <w:tcW w:w="909" w:type="dxa"/>
            <w:tcBorders>
              <w:top w:val="nil"/>
              <w:left w:val="nil"/>
              <w:bottom w:val="nil"/>
              <w:right w:val="nil"/>
            </w:tcBorders>
            <w:shd w:val="clear" w:color="auto" w:fill="auto"/>
            <w:noWrap/>
            <w:vAlign w:val="bottom"/>
          </w:tcPr>
          <w:p w14:paraId="491AD7F9">
            <w:pPr>
              <w:jc w:val="center"/>
              <w:rPr>
                <w:rFonts w:hint="eastAsia" w:ascii="宋体" w:hAnsi="宋体" w:eastAsia="宋体" w:cs="宋体"/>
                <w:i w:val="0"/>
                <w:iCs w:val="0"/>
                <w:color w:val="000000"/>
                <w:sz w:val="22"/>
                <w:szCs w:val="22"/>
                <w:u w:val="none"/>
              </w:rPr>
            </w:pPr>
          </w:p>
        </w:tc>
        <w:tc>
          <w:tcPr>
            <w:tcW w:w="989" w:type="dxa"/>
            <w:tcBorders>
              <w:top w:val="nil"/>
              <w:left w:val="nil"/>
              <w:bottom w:val="nil"/>
              <w:right w:val="nil"/>
            </w:tcBorders>
            <w:shd w:val="clear" w:color="auto" w:fill="auto"/>
            <w:noWrap/>
            <w:vAlign w:val="bottom"/>
          </w:tcPr>
          <w:p w14:paraId="22FFA207">
            <w:pPr>
              <w:jc w:val="center"/>
              <w:rPr>
                <w:rFonts w:hint="eastAsia" w:ascii="宋体" w:hAnsi="宋体" w:eastAsia="宋体" w:cs="宋体"/>
                <w:i w:val="0"/>
                <w:iCs w:val="0"/>
                <w:color w:val="000000"/>
                <w:sz w:val="22"/>
                <w:szCs w:val="22"/>
                <w:u w:val="none"/>
              </w:rPr>
            </w:pPr>
          </w:p>
        </w:tc>
        <w:tc>
          <w:tcPr>
            <w:tcW w:w="1017" w:type="dxa"/>
            <w:tcBorders>
              <w:top w:val="nil"/>
              <w:left w:val="nil"/>
              <w:bottom w:val="nil"/>
              <w:right w:val="nil"/>
            </w:tcBorders>
            <w:shd w:val="clear" w:color="auto" w:fill="auto"/>
            <w:noWrap/>
            <w:vAlign w:val="bottom"/>
          </w:tcPr>
          <w:p w14:paraId="46C1D7B4">
            <w:pPr>
              <w:jc w:val="center"/>
              <w:rPr>
                <w:rFonts w:hint="eastAsia" w:ascii="宋体" w:hAnsi="宋体" w:eastAsia="宋体" w:cs="宋体"/>
                <w:i w:val="0"/>
                <w:iCs w:val="0"/>
                <w:color w:val="000000"/>
                <w:sz w:val="22"/>
                <w:szCs w:val="22"/>
                <w:u w:val="none"/>
              </w:rPr>
            </w:pPr>
          </w:p>
        </w:tc>
        <w:tc>
          <w:tcPr>
            <w:tcW w:w="917" w:type="dxa"/>
            <w:tcBorders>
              <w:top w:val="nil"/>
              <w:left w:val="nil"/>
              <w:bottom w:val="nil"/>
              <w:right w:val="nil"/>
            </w:tcBorders>
            <w:shd w:val="clear" w:color="auto" w:fill="auto"/>
            <w:noWrap/>
            <w:vAlign w:val="bottom"/>
          </w:tcPr>
          <w:p w14:paraId="201AE0B9">
            <w:pPr>
              <w:jc w:val="center"/>
              <w:rPr>
                <w:rFonts w:hint="eastAsia" w:ascii="宋体" w:hAnsi="宋体" w:eastAsia="宋体" w:cs="宋体"/>
                <w:i w:val="0"/>
                <w:iCs w:val="0"/>
                <w:color w:val="000000"/>
                <w:sz w:val="22"/>
                <w:szCs w:val="22"/>
                <w:u w:val="none"/>
              </w:rPr>
            </w:pPr>
          </w:p>
        </w:tc>
        <w:tc>
          <w:tcPr>
            <w:tcW w:w="1282" w:type="dxa"/>
            <w:tcBorders>
              <w:top w:val="nil"/>
              <w:left w:val="nil"/>
              <w:bottom w:val="nil"/>
              <w:right w:val="nil"/>
            </w:tcBorders>
            <w:shd w:val="clear" w:color="auto" w:fill="auto"/>
            <w:noWrap/>
            <w:vAlign w:val="bottom"/>
          </w:tcPr>
          <w:p w14:paraId="5A262160">
            <w:pPr>
              <w:jc w:val="center"/>
              <w:rPr>
                <w:rFonts w:hint="eastAsia" w:ascii="宋体" w:hAnsi="宋体" w:eastAsia="宋体" w:cs="宋体"/>
                <w:i w:val="0"/>
                <w:iCs w:val="0"/>
                <w:color w:val="000000"/>
                <w:sz w:val="22"/>
                <w:szCs w:val="22"/>
                <w:u w:val="none"/>
              </w:rPr>
            </w:pPr>
          </w:p>
        </w:tc>
        <w:tc>
          <w:tcPr>
            <w:tcW w:w="998" w:type="dxa"/>
            <w:tcBorders>
              <w:top w:val="nil"/>
              <w:left w:val="nil"/>
              <w:bottom w:val="nil"/>
              <w:right w:val="nil"/>
            </w:tcBorders>
            <w:shd w:val="clear" w:color="auto" w:fill="auto"/>
            <w:noWrap/>
            <w:vAlign w:val="bottom"/>
          </w:tcPr>
          <w:p w14:paraId="226A0A85">
            <w:pPr>
              <w:rPr>
                <w:rFonts w:hint="eastAsia" w:ascii="宋体" w:hAnsi="宋体" w:eastAsia="宋体" w:cs="宋体"/>
                <w:i w:val="0"/>
                <w:iCs w:val="0"/>
                <w:color w:val="000000"/>
                <w:sz w:val="22"/>
                <w:szCs w:val="22"/>
                <w:u w:val="none"/>
              </w:rPr>
            </w:pPr>
          </w:p>
        </w:tc>
      </w:tr>
      <w:tr w14:paraId="41906D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15" w:type="dxa"/>
            <w:tcBorders>
              <w:top w:val="nil"/>
              <w:left w:val="nil"/>
              <w:bottom w:val="nil"/>
              <w:right w:val="nil"/>
            </w:tcBorders>
            <w:shd w:val="clear" w:color="auto" w:fill="auto"/>
            <w:noWrap/>
            <w:vAlign w:val="bottom"/>
          </w:tcPr>
          <w:p w14:paraId="114D79F7">
            <w:pPr>
              <w:jc w:val="center"/>
              <w:rPr>
                <w:rFonts w:hint="eastAsia" w:ascii="宋体" w:hAnsi="宋体" w:eastAsia="宋体" w:cs="宋体"/>
                <w:i w:val="0"/>
                <w:iCs w:val="0"/>
                <w:color w:val="000000"/>
                <w:sz w:val="22"/>
                <w:szCs w:val="22"/>
                <w:u w:val="none"/>
              </w:rPr>
            </w:pPr>
          </w:p>
        </w:tc>
        <w:tc>
          <w:tcPr>
            <w:tcW w:w="1034" w:type="dxa"/>
            <w:tcBorders>
              <w:top w:val="nil"/>
              <w:left w:val="nil"/>
              <w:bottom w:val="nil"/>
              <w:right w:val="nil"/>
            </w:tcBorders>
            <w:shd w:val="clear" w:color="auto" w:fill="auto"/>
            <w:noWrap/>
            <w:vAlign w:val="bottom"/>
          </w:tcPr>
          <w:p w14:paraId="33E3AA0C">
            <w:pPr>
              <w:jc w:val="center"/>
              <w:rPr>
                <w:rFonts w:hint="eastAsia" w:ascii="宋体" w:hAnsi="宋体" w:eastAsia="宋体" w:cs="宋体"/>
                <w:i w:val="0"/>
                <w:iCs w:val="0"/>
                <w:color w:val="000000"/>
                <w:sz w:val="22"/>
                <w:szCs w:val="22"/>
                <w:u w:val="none"/>
              </w:rPr>
            </w:pPr>
          </w:p>
        </w:tc>
        <w:tc>
          <w:tcPr>
            <w:tcW w:w="1034" w:type="dxa"/>
            <w:tcBorders>
              <w:top w:val="nil"/>
              <w:left w:val="nil"/>
              <w:bottom w:val="nil"/>
              <w:right w:val="nil"/>
            </w:tcBorders>
            <w:shd w:val="clear" w:color="auto" w:fill="auto"/>
            <w:noWrap/>
            <w:vAlign w:val="bottom"/>
          </w:tcPr>
          <w:p w14:paraId="3DE56597">
            <w:pPr>
              <w:jc w:val="center"/>
              <w:rPr>
                <w:rFonts w:hint="eastAsia" w:ascii="宋体" w:hAnsi="宋体" w:eastAsia="宋体" w:cs="宋体"/>
                <w:i w:val="0"/>
                <w:iCs w:val="0"/>
                <w:color w:val="000000"/>
                <w:sz w:val="22"/>
                <w:szCs w:val="22"/>
                <w:u w:val="none"/>
              </w:rPr>
            </w:pPr>
          </w:p>
        </w:tc>
        <w:tc>
          <w:tcPr>
            <w:tcW w:w="909" w:type="dxa"/>
            <w:tcBorders>
              <w:top w:val="nil"/>
              <w:left w:val="nil"/>
              <w:bottom w:val="nil"/>
              <w:right w:val="nil"/>
            </w:tcBorders>
            <w:shd w:val="clear" w:color="auto" w:fill="auto"/>
            <w:noWrap/>
            <w:vAlign w:val="bottom"/>
          </w:tcPr>
          <w:p w14:paraId="349B5FC5">
            <w:pPr>
              <w:jc w:val="center"/>
              <w:rPr>
                <w:rFonts w:hint="eastAsia" w:ascii="宋体" w:hAnsi="宋体" w:eastAsia="宋体" w:cs="宋体"/>
                <w:i w:val="0"/>
                <w:iCs w:val="0"/>
                <w:color w:val="000000"/>
                <w:sz w:val="22"/>
                <w:szCs w:val="22"/>
                <w:u w:val="none"/>
              </w:rPr>
            </w:pPr>
          </w:p>
        </w:tc>
        <w:tc>
          <w:tcPr>
            <w:tcW w:w="989" w:type="dxa"/>
            <w:tcBorders>
              <w:top w:val="nil"/>
              <w:left w:val="nil"/>
              <w:bottom w:val="nil"/>
              <w:right w:val="nil"/>
            </w:tcBorders>
            <w:shd w:val="clear" w:color="auto" w:fill="auto"/>
            <w:noWrap/>
            <w:vAlign w:val="bottom"/>
          </w:tcPr>
          <w:p w14:paraId="144AD9D5">
            <w:pPr>
              <w:jc w:val="center"/>
              <w:rPr>
                <w:rFonts w:hint="eastAsia" w:ascii="宋体" w:hAnsi="宋体" w:eastAsia="宋体" w:cs="宋体"/>
                <w:i w:val="0"/>
                <w:iCs w:val="0"/>
                <w:color w:val="000000"/>
                <w:sz w:val="22"/>
                <w:szCs w:val="22"/>
                <w:u w:val="none"/>
              </w:rPr>
            </w:pPr>
          </w:p>
        </w:tc>
        <w:tc>
          <w:tcPr>
            <w:tcW w:w="1017" w:type="dxa"/>
            <w:tcBorders>
              <w:top w:val="nil"/>
              <w:left w:val="nil"/>
              <w:bottom w:val="nil"/>
              <w:right w:val="nil"/>
            </w:tcBorders>
            <w:shd w:val="clear" w:color="auto" w:fill="auto"/>
            <w:noWrap/>
            <w:vAlign w:val="bottom"/>
          </w:tcPr>
          <w:p w14:paraId="3AE412D4">
            <w:pPr>
              <w:jc w:val="center"/>
              <w:rPr>
                <w:rFonts w:hint="eastAsia" w:ascii="宋体" w:hAnsi="宋体" w:eastAsia="宋体" w:cs="宋体"/>
                <w:i w:val="0"/>
                <w:iCs w:val="0"/>
                <w:color w:val="000000"/>
                <w:sz w:val="22"/>
                <w:szCs w:val="22"/>
                <w:u w:val="none"/>
              </w:rPr>
            </w:pPr>
          </w:p>
        </w:tc>
        <w:tc>
          <w:tcPr>
            <w:tcW w:w="917" w:type="dxa"/>
            <w:tcBorders>
              <w:top w:val="nil"/>
              <w:left w:val="nil"/>
              <w:bottom w:val="nil"/>
              <w:right w:val="nil"/>
            </w:tcBorders>
            <w:shd w:val="clear" w:color="auto" w:fill="auto"/>
            <w:noWrap/>
            <w:vAlign w:val="bottom"/>
          </w:tcPr>
          <w:p w14:paraId="3E0912FE">
            <w:pPr>
              <w:jc w:val="center"/>
              <w:rPr>
                <w:rFonts w:hint="eastAsia" w:ascii="宋体" w:hAnsi="宋体" w:eastAsia="宋体" w:cs="宋体"/>
                <w:i w:val="0"/>
                <w:iCs w:val="0"/>
                <w:color w:val="000000"/>
                <w:sz w:val="22"/>
                <w:szCs w:val="22"/>
                <w:u w:val="none"/>
              </w:rPr>
            </w:pPr>
          </w:p>
        </w:tc>
        <w:tc>
          <w:tcPr>
            <w:tcW w:w="1282" w:type="dxa"/>
            <w:tcBorders>
              <w:top w:val="nil"/>
              <w:left w:val="nil"/>
              <w:bottom w:val="nil"/>
              <w:right w:val="nil"/>
            </w:tcBorders>
            <w:shd w:val="clear" w:color="auto" w:fill="auto"/>
            <w:noWrap/>
            <w:vAlign w:val="bottom"/>
          </w:tcPr>
          <w:p w14:paraId="301A9DD6">
            <w:pPr>
              <w:jc w:val="center"/>
              <w:rPr>
                <w:rFonts w:hint="eastAsia" w:ascii="宋体" w:hAnsi="宋体" w:eastAsia="宋体" w:cs="宋体"/>
                <w:i w:val="0"/>
                <w:iCs w:val="0"/>
                <w:color w:val="000000"/>
                <w:sz w:val="22"/>
                <w:szCs w:val="22"/>
                <w:u w:val="none"/>
              </w:rPr>
            </w:pPr>
          </w:p>
        </w:tc>
        <w:tc>
          <w:tcPr>
            <w:tcW w:w="998" w:type="dxa"/>
            <w:tcBorders>
              <w:top w:val="nil"/>
              <w:left w:val="nil"/>
              <w:bottom w:val="nil"/>
              <w:right w:val="nil"/>
            </w:tcBorders>
            <w:shd w:val="clear" w:color="auto" w:fill="auto"/>
            <w:noWrap/>
            <w:vAlign w:val="bottom"/>
          </w:tcPr>
          <w:p w14:paraId="7D7E607D">
            <w:pPr>
              <w:rPr>
                <w:rFonts w:hint="eastAsia" w:ascii="宋体" w:hAnsi="宋体" w:eastAsia="宋体" w:cs="宋体"/>
                <w:i w:val="0"/>
                <w:iCs w:val="0"/>
                <w:color w:val="000000"/>
                <w:sz w:val="22"/>
                <w:szCs w:val="22"/>
                <w:u w:val="none"/>
              </w:rPr>
            </w:pPr>
          </w:p>
        </w:tc>
      </w:tr>
      <w:tr w14:paraId="549C822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75" w:hRule="atLeast"/>
        </w:trPr>
        <w:tc>
          <w:tcPr>
            <w:tcW w:w="8197" w:type="dxa"/>
            <w:gridSpan w:val="8"/>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1990C6">
            <w:pPr>
              <w:keepNext w:val="0"/>
              <w:keepLines w:val="0"/>
              <w:widowControl/>
              <w:suppressLineNumbers w:val="0"/>
              <w:jc w:val="center"/>
              <w:textAlignment w:val="bottom"/>
              <w:rPr>
                <w:rFonts w:hint="eastAsia" w:ascii="宋体" w:hAnsi="宋体" w:eastAsia="宋体" w:cs="宋体"/>
                <w:b/>
                <w:bCs/>
                <w:i w:val="0"/>
                <w:iCs w:val="0"/>
                <w:color w:val="000000"/>
                <w:sz w:val="28"/>
                <w:szCs w:val="28"/>
                <w:u w:val="none"/>
              </w:rPr>
            </w:pPr>
            <w:r>
              <w:rPr>
                <w:rFonts w:hint="eastAsia" w:ascii="宋体" w:hAnsi="宋体" w:eastAsia="宋体" w:cs="宋体"/>
                <w:b/>
                <w:bCs/>
                <w:i w:val="0"/>
                <w:iCs w:val="0"/>
                <w:color w:val="000000"/>
                <w:kern w:val="0"/>
                <w:sz w:val="28"/>
                <w:szCs w:val="28"/>
                <w:u w:val="none"/>
                <w:lang w:val="en-US" w:eastAsia="zh-CN" w:bidi="ar"/>
              </w:rPr>
              <w:t>其他标准对虾指标对比</w:t>
            </w:r>
          </w:p>
        </w:tc>
        <w:tc>
          <w:tcPr>
            <w:tcW w:w="998" w:type="dxa"/>
            <w:vMerge w:val="restart"/>
            <w:tcBorders>
              <w:top w:val="single" w:color="000000" w:sz="4" w:space="0"/>
              <w:left w:val="single" w:color="000000" w:sz="4" w:space="0"/>
              <w:bottom w:val="single" w:color="000000" w:sz="4" w:space="0"/>
              <w:right w:val="single" w:color="000000" w:sz="4" w:space="0"/>
            </w:tcBorders>
            <w:shd w:val="clear" w:color="auto" w:fill="auto"/>
            <w:vAlign w:val="bottom"/>
          </w:tcPr>
          <w:p w14:paraId="7C31DCBE">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备注</w:t>
            </w:r>
          </w:p>
        </w:tc>
      </w:tr>
      <w:tr w14:paraId="63DA75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vAlign w:val="bottom"/>
          </w:tcPr>
          <w:p w14:paraId="3B0EADC3">
            <w:pPr>
              <w:keepNext w:val="0"/>
              <w:keepLines w:val="0"/>
              <w:widowControl/>
              <w:suppressLineNumbers w:val="0"/>
              <w:ind w:left="0"/>
              <w:jc w:val="both"/>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其他标准对虾指标对比</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2D873E">
            <w:pPr>
              <w:keepNext w:val="0"/>
              <w:keepLines w:val="0"/>
              <w:widowControl/>
              <w:suppressLineNumbers w:val="0"/>
              <w:ind w:left="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蛋白质</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4AA07F">
            <w:pPr>
              <w:keepNext w:val="0"/>
              <w:keepLines w:val="0"/>
              <w:widowControl/>
              <w:suppressLineNumbers w:val="0"/>
              <w:ind w:left="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脂肪</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9FDEC4">
            <w:pPr>
              <w:keepNext w:val="0"/>
              <w:keepLines w:val="0"/>
              <w:widowControl/>
              <w:suppressLineNumbers w:val="0"/>
              <w:ind w:left="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氨基酸</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C98382">
            <w:pPr>
              <w:keepNext w:val="0"/>
              <w:keepLines w:val="0"/>
              <w:widowControl/>
              <w:suppressLineNumbers w:val="0"/>
              <w:ind w:left="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水分</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0F3AA9">
            <w:pPr>
              <w:keepNext w:val="0"/>
              <w:keepLines w:val="0"/>
              <w:widowControl/>
              <w:suppressLineNumbers w:val="0"/>
              <w:ind w:left="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体重</w:t>
            </w:r>
          </w:p>
        </w:tc>
        <w:tc>
          <w:tcPr>
            <w:tcW w:w="9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98D838">
            <w:pPr>
              <w:keepNext w:val="0"/>
              <w:keepLines w:val="0"/>
              <w:widowControl/>
              <w:suppressLineNumbers w:val="0"/>
              <w:ind w:left="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体长（cm）/数量尾/kg</w:t>
            </w:r>
          </w:p>
        </w:tc>
        <w:tc>
          <w:tcPr>
            <w:tcW w:w="12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6164AB">
            <w:pPr>
              <w:keepNext w:val="0"/>
              <w:keepLines w:val="0"/>
              <w:widowControl/>
              <w:suppressLineNumbers w:val="0"/>
              <w:ind w:left="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出肉率</w:t>
            </w:r>
          </w:p>
        </w:tc>
        <w:tc>
          <w:tcPr>
            <w:tcW w:w="998" w:type="dxa"/>
            <w:vMerge w:val="continue"/>
            <w:tcBorders>
              <w:top w:val="single" w:color="000000" w:sz="4" w:space="0"/>
              <w:left w:val="single" w:color="000000" w:sz="4" w:space="0"/>
              <w:bottom w:val="single" w:color="000000" w:sz="4" w:space="0"/>
              <w:right w:val="single" w:color="000000" w:sz="4" w:space="0"/>
            </w:tcBorders>
            <w:shd w:val="clear" w:color="auto" w:fill="auto"/>
            <w:vAlign w:val="bottom"/>
          </w:tcPr>
          <w:p w14:paraId="2BDFC700">
            <w:pPr>
              <w:jc w:val="center"/>
              <w:rPr>
                <w:rFonts w:hint="eastAsia" w:ascii="宋体" w:hAnsi="宋体" w:eastAsia="宋体" w:cs="宋体"/>
                <w:i w:val="0"/>
                <w:iCs w:val="0"/>
                <w:color w:val="000000"/>
                <w:sz w:val="22"/>
                <w:szCs w:val="22"/>
                <w:u w:val="none"/>
              </w:rPr>
            </w:pPr>
          </w:p>
        </w:tc>
      </w:tr>
      <w:tr w14:paraId="7A6198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92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24ABCD">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T/gdnb活体高要罗氏沼虾分级标准</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930725">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F438B3">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53A417">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1D1ADC">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优级≤75，一级75-77，二级77-79，三级＞79</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8A6CAE">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特大≥50；大40-49；中30-39；小20-29，特小＜20</w:t>
            </w:r>
          </w:p>
        </w:tc>
        <w:tc>
          <w:tcPr>
            <w:tcW w:w="9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3ADB98">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特大≤20；大20-25；中25-30；小30-50，特小＞50</w:t>
            </w:r>
          </w:p>
        </w:tc>
        <w:tc>
          <w:tcPr>
            <w:tcW w:w="12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FA6460">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优级≥55；一级50-55；二级45-50；三级＜45</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603F84F2">
            <w:pPr>
              <w:rPr>
                <w:rFonts w:hint="eastAsia" w:ascii="宋体" w:hAnsi="宋体" w:eastAsia="宋体" w:cs="宋体"/>
                <w:i w:val="0"/>
                <w:iCs w:val="0"/>
                <w:color w:val="000000"/>
                <w:sz w:val="22"/>
                <w:szCs w:val="22"/>
                <w:u w:val="none"/>
              </w:rPr>
            </w:pPr>
          </w:p>
        </w:tc>
      </w:tr>
      <w:tr w14:paraId="48E94DD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4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6DEBDE">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DB3707/t 122地理标志产品 昌邑大对虾</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A4ED5D">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≥17.5</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BD3222">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≤0.7</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7329A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E49D64">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≤81</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7A9A6E">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特大≥80；大65-80；中50-65，小40-50</w:t>
            </w:r>
          </w:p>
        </w:tc>
        <w:tc>
          <w:tcPr>
            <w:tcW w:w="9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BED28A">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w:t>
            </w:r>
          </w:p>
        </w:tc>
        <w:tc>
          <w:tcPr>
            <w:tcW w:w="12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20F015">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5F9D6996">
            <w:pPr>
              <w:keepNext w:val="0"/>
              <w:keepLines w:val="0"/>
              <w:widowControl/>
              <w:suppressLineNumbers w:val="0"/>
              <w:ind w:lef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钙≥1300；锌≥13；铁≤2.5</w:t>
            </w:r>
          </w:p>
        </w:tc>
      </w:tr>
      <w:tr w14:paraId="4D2980E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1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DCC0CF">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T/JMBX江门优品 南美白对虾</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1018C0">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≥18</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A70455">
            <w:pPr>
              <w:jc w:val="both"/>
              <w:rPr>
                <w:rFonts w:hint="eastAsia" w:ascii="宋体" w:hAnsi="宋体" w:eastAsia="宋体" w:cs="宋体"/>
                <w:i w:val="0"/>
                <w:iCs w:val="0"/>
                <w:color w:val="000000"/>
                <w:sz w:val="22"/>
                <w:szCs w:val="22"/>
                <w:u w:val="none"/>
              </w:rPr>
            </w:pP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A012BC">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挥发性盐基氮，冻虾，≤30</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05DFF4">
            <w:pPr>
              <w:jc w:val="center"/>
              <w:rPr>
                <w:rFonts w:hint="eastAsia" w:ascii="宋体" w:hAnsi="宋体" w:eastAsia="宋体" w:cs="宋体"/>
                <w:i w:val="0"/>
                <w:iCs w:val="0"/>
                <w:color w:val="000000"/>
                <w:sz w:val="22"/>
                <w:szCs w:val="22"/>
                <w:u w:val="none"/>
              </w:rPr>
            </w:pP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DEC6F0">
            <w:pPr>
              <w:jc w:val="center"/>
              <w:rPr>
                <w:rFonts w:hint="eastAsia" w:ascii="宋体" w:hAnsi="宋体" w:eastAsia="宋体" w:cs="宋体"/>
                <w:i w:val="0"/>
                <w:iCs w:val="0"/>
                <w:color w:val="000000"/>
                <w:sz w:val="22"/>
                <w:szCs w:val="22"/>
                <w:u w:val="none"/>
              </w:rPr>
            </w:pPr>
          </w:p>
        </w:tc>
        <w:tc>
          <w:tcPr>
            <w:tcW w:w="9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33EDC4">
            <w:pPr>
              <w:jc w:val="center"/>
              <w:rPr>
                <w:rFonts w:hint="eastAsia" w:ascii="宋体" w:hAnsi="宋体" w:eastAsia="宋体" w:cs="宋体"/>
                <w:i w:val="0"/>
                <w:iCs w:val="0"/>
                <w:color w:val="000000"/>
                <w:sz w:val="22"/>
                <w:szCs w:val="22"/>
                <w:u w:val="none"/>
              </w:rPr>
            </w:pPr>
          </w:p>
        </w:tc>
        <w:tc>
          <w:tcPr>
            <w:tcW w:w="12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DA0608">
            <w:pPr>
              <w:keepNext w:val="0"/>
              <w:keepLines w:val="0"/>
              <w:widowControl/>
              <w:suppressLineNumbers w:val="0"/>
              <w:ind w:left="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4F141F07">
            <w:pPr>
              <w:rPr>
                <w:rFonts w:hint="eastAsia" w:ascii="宋体" w:hAnsi="宋体" w:eastAsia="宋体" w:cs="宋体"/>
                <w:i w:val="0"/>
                <w:iCs w:val="0"/>
                <w:color w:val="000000"/>
                <w:sz w:val="22"/>
                <w:szCs w:val="22"/>
                <w:u w:val="none"/>
              </w:rPr>
            </w:pPr>
          </w:p>
        </w:tc>
      </w:tr>
      <w:tr w14:paraId="415A0AA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4BEB16">
            <w:pPr>
              <w:jc w:val="center"/>
              <w:rPr>
                <w:rFonts w:hint="eastAsia" w:ascii="宋体" w:hAnsi="宋体" w:eastAsia="宋体" w:cs="宋体"/>
                <w:i w:val="0"/>
                <w:iCs w:val="0"/>
                <w:color w:val="000000"/>
                <w:sz w:val="22"/>
                <w:szCs w:val="22"/>
                <w:u w:val="none"/>
              </w:rPr>
            </w:pP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DF332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FAC8C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61273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8AE85C">
            <w:pPr>
              <w:jc w:val="center"/>
              <w:rPr>
                <w:rFonts w:hint="eastAsia" w:ascii="宋体" w:hAnsi="宋体" w:eastAsia="宋体" w:cs="宋体"/>
                <w:i w:val="0"/>
                <w:iCs w:val="0"/>
                <w:color w:val="000000"/>
                <w:sz w:val="22"/>
                <w:szCs w:val="22"/>
                <w:u w:val="none"/>
              </w:rPr>
            </w:pP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7882CE">
            <w:pPr>
              <w:jc w:val="center"/>
              <w:rPr>
                <w:rFonts w:hint="eastAsia" w:ascii="宋体" w:hAnsi="宋体" w:eastAsia="宋体" w:cs="宋体"/>
                <w:i w:val="0"/>
                <w:iCs w:val="0"/>
                <w:color w:val="000000"/>
                <w:sz w:val="22"/>
                <w:szCs w:val="22"/>
                <w:u w:val="none"/>
              </w:rPr>
            </w:pPr>
          </w:p>
        </w:tc>
        <w:tc>
          <w:tcPr>
            <w:tcW w:w="9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B4A807">
            <w:pPr>
              <w:jc w:val="center"/>
              <w:rPr>
                <w:rFonts w:hint="eastAsia" w:ascii="宋体" w:hAnsi="宋体" w:eastAsia="宋体" w:cs="宋体"/>
                <w:i w:val="0"/>
                <w:iCs w:val="0"/>
                <w:color w:val="000000"/>
                <w:sz w:val="22"/>
                <w:szCs w:val="22"/>
                <w:u w:val="none"/>
              </w:rPr>
            </w:pPr>
          </w:p>
        </w:tc>
        <w:tc>
          <w:tcPr>
            <w:tcW w:w="12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63CB8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bottom"/>
          </w:tcPr>
          <w:p w14:paraId="00D7BB43">
            <w:pPr>
              <w:rPr>
                <w:rFonts w:hint="eastAsia" w:ascii="宋体" w:hAnsi="宋体" w:eastAsia="宋体" w:cs="宋体"/>
                <w:i w:val="0"/>
                <w:iCs w:val="0"/>
                <w:color w:val="000000"/>
                <w:sz w:val="22"/>
                <w:szCs w:val="22"/>
                <w:u w:val="none"/>
              </w:rPr>
            </w:pPr>
          </w:p>
        </w:tc>
      </w:tr>
    </w:tbl>
    <w:p w14:paraId="685E12ED">
      <w:pPr>
        <w:pStyle w:val="44"/>
        <w:numPr>
          <w:ilvl w:val="0"/>
          <w:numId w:val="0"/>
        </w:numPr>
        <w:rPr>
          <w:rFonts w:ascii="Times New Roman" w:hAnsi="Times New Roman"/>
          <w:b/>
        </w:rPr>
      </w:pPr>
    </w:p>
    <w:p w14:paraId="7DE5C5F9">
      <w:pPr>
        <w:numPr>
          <w:ilvl w:val="255"/>
          <w:numId w:val="0"/>
        </w:numPr>
        <w:spacing w:line="560" w:lineRule="exact"/>
        <w:ind w:firstLine="648" w:firstLineChars="200"/>
        <w:rPr>
          <w:rFonts w:hint="eastAsia"/>
          <w:sz w:val="32"/>
          <w:szCs w:val="32"/>
          <w:highlight w:val="none"/>
          <w:lang w:eastAsia="zh-CN"/>
        </w:rPr>
      </w:pPr>
      <w:r>
        <w:rPr>
          <w:rFonts w:hint="eastAsia" w:ascii="仿宋_GB2312" w:hAnsi="仿宋_GB2312" w:eastAsia="仿宋_GB2312"/>
          <w:spacing w:val="2"/>
          <w:sz w:val="32"/>
        </w:rPr>
        <w:t>为保证所定各项指标范围的合理性，起草单位结合了</w:t>
      </w:r>
      <w:r>
        <w:rPr>
          <w:rFonts w:hint="eastAsia" w:hAnsi="仿宋_GB2312"/>
          <w:spacing w:val="2"/>
          <w:sz w:val="32"/>
          <w:lang w:val="en-US" w:eastAsia="zh-CN"/>
        </w:rPr>
        <w:t>东兴对虾养殖企业</w:t>
      </w:r>
      <w:r>
        <w:rPr>
          <w:rFonts w:hint="eastAsia" w:ascii="仿宋_GB2312" w:hAnsi="仿宋_GB2312" w:eastAsia="仿宋_GB2312"/>
          <w:spacing w:val="2"/>
          <w:sz w:val="32"/>
        </w:rPr>
        <w:t>送检的检验报告进行检测验证，检测数据见</w:t>
      </w:r>
      <w:r>
        <w:rPr>
          <w:rFonts w:hint="eastAsia" w:ascii="仿宋_GB2312" w:hAnsi="仿宋_GB2312" w:eastAsia="仿宋_GB2312"/>
          <w:spacing w:val="2"/>
          <w:sz w:val="32"/>
          <w:lang w:val="en-US" w:eastAsia="zh-CN"/>
        </w:rPr>
        <w:t>上表</w:t>
      </w:r>
      <w:r>
        <w:rPr>
          <w:rFonts w:hint="eastAsia" w:ascii="仿宋_GB2312" w:hAnsi="仿宋_GB2312" w:eastAsia="仿宋_GB2312"/>
          <w:spacing w:val="2"/>
          <w:sz w:val="32"/>
        </w:rPr>
        <w:t>（检测指标确定</w:t>
      </w:r>
      <w:r>
        <w:rPr>
          <w:rFonts w:hint="eastAsia" w:ascii="仿宋_GB2312" w:hAnsi="仿宋_GB2312" w:eastAsia="仿宋_GB2312"/>
          <w:spacing w:val="2"/>
          <w:sz w:val="32"/>
          <w:highlight w:val="none"/>
        </w:rPr>
        <w:t>）</w:t>
      </w:r>
      <w:r>
        <w:rPr>
          <w:rFonts w:hint="eastAsia"/>
          <w:sz w:val="32"/>
          <w:szCs w:val="32"/>
          <w:highlight w:val="none"/>
          <w:lang w:eastAsia="zh-CN"/>
        </w:rPr>
        <w:t>。</w:t>
      </w:r>
    </w:p>
    <w:p w14:paraId="36B3E259">
      <w:pPr>
        <w:numPr>
          <w:ilvl w:val="255"/>
          <w:numId w:val="0"/>
        </w:numPr>
        <w:spacing w:line="560" w:lineRule="exact"/>
        <w:ind w:firstLine="640" w:firstLineChars="200"/>
        <w:rPr>
          <w:rFonts w:ascii="仿宋_GB2312" w:eastAsia="仿宋_GB2312"/>
          <w:sz w:val="32"/>
          <w:szCs w:val="32"/>
        </w:rPr>
      </w:pPr>
      <w:r>
        <w:rPr>
          <w:rFonts w:hint="eastAsia"/>
          <w:sz w:val="32"/>
          <w:szCs w:val="32"/>
          <w:lang w:val="en-US" w:eastAsia="zh-CN"/>
        </w:rPr>
        <w:t>1</w:t>
      </w:r>
      <w:r>
        <w:rPr>
          <w:rFonts w:hint="eastAsia" w:ascii="仿宋_GB2312" w:eastAsia="仿宋_GB2312"/>
          <w:sz w:val="32"/>
          <w:szCs w:val="32"/>
        </w:rPr>
        <w:t>.蛋白质</w:t>
      </w:r>
    </w:p>
    <w:p w14:paraId="78487890">
      <w:pPr>
        <w:spacing w:line="560" w:lineRule="exact"/>
        <w:ind w:left="320" w:leftChars="100" w:firstLine="640" w:firstLineChars="200"/>
        <w:rPr>
          <w:rFonts w:ascii="仿宋_GB2312" w:hAnsi="宋体" w:eastAsia="仿宋_GB2312"/>
          <w:bCs/>
          <w:sz w:val="32"/>
          <w:szCs w:val="32"/>
        </w:rPr>
      </w:pPr>
      <w:r>
        <w:rPr>
          <w:rFonts w:hint="eastAsia" w:ascii="仿宋_GB2312" w:hAnsi="宋体" w:eastAsia="仿宋_GB2312"/>
          <w:bCs/>
          <w:sz w:val="32"/>
          <w:szCs w:val="32"/>
        </w:rPr>
        <w:t>对虾是一种高蛋白食物，蛋白质含量较高，适量的食用对于人体来说具有一定的营养价值。蛋白质在身体中扮演着重要的角色，它是细胞组织的重要组成部分，对于维持健康的肌肉、骨骼和器官功能至关重要。此外，蛋白质还参与体内的代谢过程和免疫系统的正常运作。通过检测数据可知，在抽检的</w:t>
      </w:r>
      <w:r>
        <w:rPr>
          <w:rFonts w:hint="eastAsia"/>
          <w:sz w:val="32"/>
          <w:szCs w:val="32"/>
          <w:highlight w:val="none"/>
          <w:lang w:val="en-US" w:eastAsia="zh-CN"/>
        </w:rPr>
        <w:t>15</w:t>
      </w:r>
      <w:r>
        <w:rPr>
          <w:rFonts w:hint="eastAsia" w:ascii="仿宋_GB2312" w:eastAsia="仿宋_GB2312"/>
          <w:sz w:val="32"/>
          <w:szCs w:val="32"/>
          <w:highlight w:val="none"/>
        </w:rPr>
        <w:t>个批次样品</w:t>
      </w:r>
      <w:r>
        <w:rPr>
          <w:rFonts w:hint="eastAsia" w:ascii="仿宋_GB2312" w:hAnsi="宋体" w:eastAsia="仿宋_GB2312"/>
          <w:bCs/>
          <w:sz w:val="32"/>
          <w:szCs w:val="32"/>
        </w:rPr>
        <w:t>检测数据中，最小值为</w:t>
      </w:r>
      <w:r>
        <w:rPr>
          <w:rFonts w:hint="eastAsia" w:hAnsi="宋体"/>
          <w:bCs/>
          <w:sz w:val="32"/>
          <w:szCs w:val="32"/>
          <w:lang w:val="en-US" w:eastAsia="zh-CN"/>
        </w:rPr>
        <w:t>20.1</w:t>
      </w:r>
      <w:r>
        <w:rPr>
          <w:rFonts w:hint="eastAsia" w:ascii="仿宋_GB2312" w:hAnsi="宋体" w:eastAsia="仿宋_GB2312"/>
          <w:bCs/>
          <w:sz w:val="32"/>
          <w:szCs w:val="32"/>
        </w:rPr>
        <w:t>，最大值为</w:t>
      </w:r>
      <w:r>
        <w:rPr>
          <w:rFonts w:hint="eastAsia" w:hAnsi="宋体"/>
          <w:bCs/>
          <w:sz w:val="32"/>
          <w:szCs w:val="32"/>
          <w:lang w:val="en-US" w:eastAsia="zh-CN"/>
        </w:rPr>
        <w:t>22.8</w:t>
      </w:r>
      <w:r>
        <w:rPr>
          <w:rFonts w:hint="eastAsia" w:ascii="仿宋_GB2312" w:hAnsi="宋体" w:eastAsia="仿宋_GB2312"/>
          <w:bCs/>
          <w:sz w:val="32"/>
          <w:szCs w:val="32"/>
        </w:rPr>
        <w:t>，具体分析如下：</w:t>
      </w:r>
    </w:p>
    <w:p w14:paraId="15380EE2">
      <w:pPr>
        <w:spacing w:line="560" w:lineRule="exact"/>
        <w:ind w:left="320" w:leftChars="100" w:firstLine="640" w:firstLineChars="200"/>
        <w:rPr>
          <w:rFonts w:ascii="仿宋_GB2312" w:hAnsi="宋体" w:eastAsia="仿宋_GB2312"/>
          <w:bCs/>
          <w:sz w:val="32"/>
          <w:szCs w:val="32"/>
        </w:rPr>
      </w:pPr>
      <w:r>
        <w:rPr>
          <w:rFonts w:hint="eastAsia" w:ascii="仿宋_GB2312" w:hAnsi="宋体" w:eastAsia="仿宋_GB2312"/>
          <w:bCs/>
          <w:sz w:val="32"/>
          <w:szCs w:val="32"/>
        </w:rPr>
        <w:t>——≥</w:t>
      </w:r>
      <w:r>
        <w:rPr>
          <w:rFonts w:hint="eastAsia" w:hAnsi="宋体"/>
          <w:bCs/>
          <w:sz w:val="32"/>
          <w:szCs w:val="32"/>
          <w:lang w:val="en-US" w:eastAsia="zh-CN"/>
        </w:rPr>
        <w:t>20.5</w:t>
      </w:r>
      <w:r>
        <w:rPr>
          <w:rFonts w:hint="eastAsia" w:ascii="仿宋_GB2312" w:hAnsi="宋体" w:eastAsia="仿宋_GB2312"/>
          <w:bCs/>
          <w:sz w:val="32"/>
          <w:szCs w:val="32"/>
        </w:rPr>
        <w:t>的抽检结果占比达</w:t>
      </w:r>
      <w:r>
        <w:rPr>
          <w:rFonts w:hint="eastAsia" w:ascii="仿宋_GB2312" w:hAnsi="宋体" w:eastAsia="仿宋_GB2312"/>
          <w:bCs/>
          <w:sz w:val="32"/>
          <w:szCs w:val="32"/>
          <w:lang w:val="en-US" w:eastAsia="zh-CN"/>
        </w:rPr>
        <w:t>9</w:t>
      </w:r>
      <w:r>
        <w:rPr>
          <w:rFonts w:hint="eastAsia" w:hAnsi="宋体"/>
          <w:bCs/>
          <w:sz w:val="32"/>
          <w:szCs w:val="32"/>
          <w:lang w:val="en-US" w:eastAsia="zh-CN"/>
        </w:rPr>
        <w:t>3</w:t>
      </w:r>
      <w:r>
        <w:rPr>
          <w:rFonts w:hint="eastAsia" w:ascii="仿宋_GB2312" w:hAnsi="宋体" w:eastAsia="仿宋_GB2312"/>
          <w:bCs/>
          <w:sz w:val="32"/>
          <w:szCs w:val="32"/>
        </w:rPr>
        <w:t>%；</w:t>
      </w:r>
    </w:p>
    <w:p w14:paraId="3723901E">
      <w:pPr>
        <w:spacing w:line="560" w:lineRule="exact"/>
        <w:ind w:left="320" w:leftChars="100" w:firstLine="640" w:firstLineChars="200"/>
        <w:rPr>
          <w:rFonts w:ascii="仿宋_GB2312" w:hAnsi="宋体" w:eastAsia="仿宋_GB2312"/>
          <w:bCs/>
          <w:sz w:val="32"/>
          <w:szCs w:val="32"/>
        </w:rPr>
      </w:pPr>
      <w:r>
        <w:rPr>
          <w:rFonts w:hint="eastAsia" w:ascii="仿宋_GB2312" w:hAnsi="宋体" w:eastAsia="仿宋_GB2312"/>
          <w:bCs/>
          <w:sz w:val="32"/>
          <w:szCs w:val="32"/>
        </w:rPr>
        <w:t>——≥</w:t>
      </w:r>
      <w:r>
        <w:rPr>
          <w:rFonts w:hint="eastAsia" w:hAnsi="宋体"/>
          <w:bCs/>
          <w:sz w:val="32"/>
          <w:szCs w:val="32"/>
          <w:lang w:val="en-US" w:eastAsia="zh-CN"/>
        </w:rPr>
        <w:t>21.5</w:t>
      </w:r>
      <w:r>
        <w:rPr>
          <w:rFonts w:hint="eastAsia" w:ascii="仿宋_GB2312" w:hAnsi="宋体" w:eastAsia="仿宋_GB2312"/>
          <w:bCs/>
          <w:sz w:val="32"/>
          <w:szCs w:val="32"/>
        </w:rPr>
        <w:t>的抽检结果占比达</w:t>
      </w:r>
      <w:r>
        <w:rPr>
          <w:rFonts w:hint="eastAsia" w:hAnsi="宋体"/>
          <w:bCs/>
          <w:sz w:val="32"/>
          <w:szCs w:val="32"/>
          <w:lang w:val="en-US" w:eastAsia="zh-CN"/>
        </w:rPr>
        <w:t>66.66</w:t>
      </w:r>
      <w:r>
        <w:rPr>
          <w:rFonts w:hint="eastAsia" w:ascii="仿宋_GB2312" w:hAnsi="宋体" w:eastAsia="仿宋_GB2312"/>
          <w:bCs/>
          <w:sz w:val="32"/>
          <w:szCs w:val="32"/>
        </w:rPr>
        <w:t>%；</w:t>
      </w:r>
    </w:p>
    <w:p w14:paraId="33AC83B8">
      <w:pPr>
        <w:spacing w:line="560" w:lineRule="exact"/>
        <w:ind w:left="320" w:leftChars="100" w:firstLine="640" w:firstLineChars="200"/>
        <w:rPr>
          <w:rFonts w:ascii="仿宋_GB2312" w:hAnsi="宋体" w:eastAsia="仿宋_GB2312"/>
          <w:bCs/>
          <w:sz w:val="32"/>
          <w:szCs w:val="32"/>
        </w:rPr>
      </w:pPr>
      <w:r>
        <w:rPr>
          <w:rFonts w:hint="eastAsia" w:ascii="仿宋_GB2312" w:hAnsi="宋体" w:eastAsia="仿宋_GB2312"/>
          <w:bCs/>
          <w:sz w:val="32"/>
          <w:szCs w:val="32"/>
        </w:rPr>
        <w:t>——≥</w:t>
      </w:r>
      <w:r>
        <w:rPr>
          <w:rFonts w:hint="eastAsia" w:hAnsi="宋体"/>
          <w:bCs/>
          <w:sz w:val="32"/>
          <w:szCs w:val="32"/>
          <w:lang w:val="en-US" w:eastAsia="zh-CN"/>
        </w:rPr>
        <w:t>22</w:t>
      </w:r>
      <w:r>
        <w:rPr>
          <w:rFonts w:hint="eastAsia" w:ascii="仿宋_GB2312" w:hAnsi="宋体" w:eastAsia="仿宋_GB2312"/>
          <w:bCs/>
          <w:sz w:val="32"/>
          <w:szCs w:val="32"/>
        </w:rPr>
        <w:t>的抽检结果占比达</w:t>
      </w:r>
      <w:r>
        <w:rPr>
          <w:rFonts w:hint="eastAsia" w:hAnsi="宋体"/>
          <w:bCs/>
          <w:sz w:val="32"/>
          <w:szCs w:val="32"/>
          <w:lang w:val="en-US" w:eastAsia="zh-CN"/>
        </w:rPr>
        <w:t>40</w:t>
      </w:r>
      <w:r>
        <w:rPr>
          <w:rFonts w:hint="eastAsia" w:ascii="仿宋_GB2312" w:hAnsi="宋体" w:eastAsia="仿宋_GB2312"/>
          <w:bCs/>
          <w:sz w:val="32"/>
          <w:szCs w:val="32"/>
        </w:rPr>
        <w:t>%；</w:t>
      </w:r>
    </w:p>
    <w:p w14:paraId="4D65C9AF">
      <w:pPr>
        <w:spacing w:line="560" w:lineRule="exact"/>
        <w:ind w:left="320" w:leftChars="100" w:firstLine="640" w:firstLineChars="200"/>
        <w:rPr>
          <w:rFonts w:ascii="仿宋_GB2312" w:hAnsi="宋体" w:eastAsia="仿宋_GB2312"/>
          <w:bCs/>
          <w:sz w:val="32"/>
          <w:szCs w:val="32"/>
        </w:rPr>
      </w:pPr>
      <w:r>
        <w:rPr>
          <w:rFonts w:hint="eastAsia" w:ascii="仿宋_GB2312" w:hAnsi="宋体" w:eastAsia="仿宋_GB2312"/>
          <w:bCs/>
          <w:sz w:val="32"/>
          <w:szCs w:val="32"/>
        </w:rPr>
        <w:t>——≥</w:t>
      </w:r>
      <w:r>
        <w:rPr>
          <w:rFonts w:hint="eastAsia" w:hAnsi="宋体"/>
          <w:bCs/>
          <w:sz w:val="32"/>
          <w:szCs w:val="32"/>
          <w:lang w:val="en-US" w:eastAsia="zh-CN"/>
        </w:rPr>
        <w:t>22.5</w:t>
      </w:r>
      <w:r>
        <w:rPr>
          <w:rFonts w:hint="eastAsia" w:ascii="仿宋_GB2312" w:hAnsi="宋体" w:eastAsia="仿宋_GB2312"/>
          <w:bCs/>
          <w:sz w:val="32"/>
          <w:szCs w:val="32"/>
        </w:rPr>
        <w:t>的抽检结果占比达</w:t>
      </w:r>
      <w:r>
        <w:rPr>
          <w:rFonts w:hint="eastAsia" w:hAnsi="宋体"/>
          <w:bCs/>
          <w:sz w:val="32"/>
          <w:szCs w:val="32"/>
          <w:lang w:val="en-US" w:eastAsia="zh-CN"/>
        </w:rPr>
        <w:t>6</w:t>
      </w:r>
      <w:r>
        <w:rPr>
          <w:rFonts w:hint="eastAsia" w:ascii="仿宋_GB2312" w:hAnsi="宋体" w:eastAsia="仿宋_GB2312"/>
          <w:bCs/>
          <w:sz w:val="32"/>
          <w:szCs w:val="32"/>
        </w:rPr>
        <w:t>%。</w:t>
      </w:r>
    </w:p>
    <w:p w14:paraId="34985132">
      <w:pPr>
        <w:spacing w:line="560" w:lineRule="exact"/>
        <w:ind w:left="320" w:leftChars="100" w:firstLine="640" w:firstLineChars="200"/>
        <w:rPr>
          <w:rFonts w:ascii="仿宋_GB2312" w:hAnsi="宋体" w:eastAsia="仿宋_GB2312"/>
          <w:bCs/>
          <w:sz w:val="32"/>
          <w:szCs w:val="32"/>
        </w:rPr>
      </w:pPr>
      <w:r>
        <w:rPr>
          <w:rFonts w:hint="eastAsia" w:ascii="仿宋_GB2312" w:hAnsi="宋体" w:eastAsia="仿宋_GB2312"/>
          <w:bCs/>
          <w:sz w:val="32"/>
          <w:szCs w:val="32"/>
        </w:rPr>
        <w:t>根据样品检测结果，经与</w:t>
      </w:r>
      <w:r>
        <w:rPr>
          <w:rFonts w:hint="eastAsia" w:hAnsi="宋体"/>
          <w:bCs/>
          <w:sz w:val="32"/>
          <w:szCs w:val="32"/>
          <w:lang w:val="en-US" w:eastAsia="zh-CN"/>
        </w:rPr>
        <w:t>东兴对虾养殖</w:t>
      </w:r>
      <w:r>
        <w:rPr>
          <w:rFonts w:hint="eastAsia" w:ascii="仿宋_GB2312" w:hAnsi="宋体" w:eastAsia="仿宋_GB2312"/>
          <w:bCs/>
          <w:sz w:val="32"/>
          <w:szCs w:val="32"/>
        </w:rPr>
        <w:t>相关企业讨论确定蛋白质指标为≥</w:t>
      </w:r>
      <w:r>
        <w:rPr>
          <w:rFonts w:hint="eastAsia" w:hAnsi="宋体"/>
          <w:bCs/>
          <w:sz w:val="32"/>
          <w:szCs w:val="32"/>
          <w:lang w:val="en-US" w:eastAsia="zh-CN"/>
        </w:rPr>
        <w:t>20</w:t>
      </w:r>
      <w:r>
        <w:rPr>
          <w:rFonts w:hint="eastAsia" w:ascii="仿宋_GB2312" w:hAnsi="宋体" w:eastAsia="仿宋_GB2312"/>
          <w:bCs/>
          <w:sz w:val="32"/>
          <w:szCs w:val="32"/>
        </w:rPr>
        <w:t>g/100g</w:t>
      </w:r>
      <w:r>
        <w:rPr>
          <w:rFonts w:hint="eastAsia" w:ascii="仿宋_GB2312" w:hAnsi="宋体" w:eastAsia="仿宋_GB2312"/>
          <w:bCs/>
          <w:sz w:val="32"/>
          <w:szCs w:val="32"/>
          <w:lang w:eastAsia="zh-CN"/>
        </w:rPr>
        <w:t>，</w:t>
      </w:r>
      <w:r>
        <w:rPr>
          <w:rFonts w:hint="eastAsia" w:ascii="仿宋_GB2312" w:hAnsi="宋体" w:eastAsia="仿宋_GB2312"/>
          <w:bCs/>
          <w:sz w:val="32"/>
          <w:szCs w:val="32"/>
          <w:lang w:val="en-US" w:eastAsia="zh-CN"/>
        </w:rPr>
        <w:t>根据抽样结果占比可达到</w:t>
      </w:r>
      <w:r>
        <w:rPr>
          <w:rFonts w:hint="eastAsia" w:hAnsi="宋体"/>
          <w:bCs/>
          <w:sz w:val="32"/>
          <w:szCs w:val="32"/>
          <w:lang w:val="en-US" w:eastAsia="zh-CN"/>
        </w:rPr>
        <w:t>100</w:t>
      </w:r>
      <w:r>
        <w:rPr>
          <w:rFonts w:hint="eastAsia" w:ascii="仿宋_GB2312" w:hAnsi="宋体" w:eastAsia="仿宋_GB2312"/>
          <w:bCs/>
          <w:sz w:val="32"/>
          <w:szCs w:val="32"/>
          <w:lang w:val="en-US" w:eastAsia="zh-CN"/>
        </w:rPr>
        <w:t>%，相比其他标准</w:t>
      </w:r>
      <w:r>
        <w:rPr>
          <w:rFonts w:hint="eastAsia" w:hAnsi="宋体"/>
          <w:bCs/>
          <w:sz w:val="32"/>
          <w:szCs w:val="32"/>
          <w:lang w:val="en-US" w:eastAsia="zh-CN"/>
        </w:rPr>
        <w:t>对虾</w:t>
      </w:r>
      <w:r>
        <w:rPr>
          <w:rFonts w:hint="eastAsia" w:ascii="仿宋_GB2312" w:hAnsi="宋体" w:eastAsia="仿宋_GB2312"/>
          <w:bCs/>
          <w:sz w:val="32"/>
          <w:szCs w:val="32"/>
          <w:lang w:val="en-US" w:eastAsia="zh-CN"/>
        </w:rPr>
        <w:t>的指标要求更严格</w:t>
      </w:r>
      <w:r>
        <w:rPr>
          <w:rFonts w:hint="eastAsia" w:hAnsi="宋体"/>
          <w:bCs/>
          <w:sz w:val="32"/>
          <w:szCs w:val="32"/>
          <w:lang w:val="en-US" w:eastAsia="zh-CN"/>
        </w:rPr>
        <w:t>，</w:t>
      </w:r>
      <w:r>
        <w:rPr>
          <w:rFonts w:hint="eastAsia" w:hAnsi="宋体"/>
          <w:bCs/>
          <w:color w:val="0000FF"/>
          <w:sz w:val="32"/>
          <w:szCs w:val="32"/>
          <w:lang w:val="en-US" w:eastAsia="zh-CN"/>
        </w:rPr>
        <w:t>相比昌邑大对虾高出14%</w:t>
      </w:r>
      <w:r>
        <w:rPr>
          <w:rFonts w:hint="eastAsia" w:hAnsi="宋体"/>
          <w:bCs/>
          <w:color w:val="0000FF"/>
          <w:sz w:val="32"/>
          <w:szCs w:val="32"/>
          <w:lang w:val="en-US" w:eastAsia="zh-CN"/>
        </w:rPr>
        <w:t>，相比江门优品南美白对虾高出11%</w:t>
      </w:r>
      <w:r>
        <w:rPr>
          <w:rFonts w:hint="eastAsia" w:ascii="仿宋_GB2312" w:hAnsi="宋体" w:eastAsia="仿宋_GB2312"/>
          <w:bCs/>
          <w:sz w:val="32"/>
          <w:szCs w:val="32"/>
        </w:rPr>
        <w:t>。</w:t>
      </w:r>
    </w:p>
    <w:p w14:paraId="120F16BF">
      <w:pPr>
        <w:spacing w:line="560" w:lineRule="exact"/>
        <w:ind w:left="320" w:leftChars="100" w:firstLine="640" w:firstLineChars="200"/>
        <w:rPr>
          <w:rFonts w:hint="eastAsia" w:ascii="仿宋_GB2312" w:hAnsi="宋体" w:eastAsia="仿宋_GB2312"/>
          <w:bCs/>
          <w:sz w:val="32"/>
          <w:szCs w:val="32"/>
          <w:lang w:eastAsia="zh-CN"/>
        </w:rPr>
      </w:pPr>
      <w:r>
        <w:rPr>
          <w:rFonts w:hint="eastAsia" w:hAnsi="宋体"/>
          <w:bCs/>
          <w:sz w:val="32"/>
          <w:szCs w:val="32"/>
          <w:lang w:val="en-US" w:eastAsia="zh-CN"/>
        </w:rPr>
        <w:t>2</w:t>
      </w:r>
      <w:r>
        <w:rPr>
          <w:rFonts w:hint="eastAsia" w:ascii="仿宋_GB2312" w:hAnsi="宋体" w:eastAsia="仿宋_GB2312"/>
          <w:bCs/>
          <w:sz w:val="32"/>
          <w:szCs w:val="32"/>
        </w:rPr>
        <w:t>.</w:t>
      </w:r>
      <w:r>
        <w:rPr>
          <w:rFonts w:hint="eastAsia" w:hAnsi="宋体"/>
          <w:bCs/>
          <w:sz w:val="32"/>
          <w:szCs w:val="32"/>
          <w:lang w:val="en-US" w:eastAsia="zh-CN"/>
        </w:rPr>
        <w:t>脂肪</w:t>
      </w:r>
      <w:bookmarkStart w:id="1" w:name="_GoBack"/>
      <w:bookmarkEnd w:id="1"/>
    </w:p>
    <w:p w14:paraId="0D8A89CB">
      <w:pPr>
        <w:spacing w:line="560" w:lineRule="exact"/>
        <w:ind w:left="320" w:leftChars="100" w:firstLine="640" w:firstLineChars="200"/>
        <w:rPr>
          <w:rFonts w:ascii="仿宋_GB2312" w:hAnsi="宋体" w:eastAsia="仿宋_GB2312"/>
          <w:bCs/>
          <w:sz w:val="32"/>
          <w:szCs w:val="32"/>
        </w:rPr>
      </w:pPr>
      <w:r>
        <w:rPr>
          <w:rFonts w:hint="eastAsia" w:ascii="仿宋_GB2312" w:hAnsi="宋体" w:eastAsia="仿宋_GB2312"/>
          <w:bCs/>
          <w:sz w:val="32"/>
          <w:szCs w:val="32"/>
          <w:lang w:val="en-US" w:eastAsia="zh-CN"/>
        </w:rPr>
        <w:t>随着健康意识的提高，消费者越来越倾向于选择低脂肪、高蛋白的食物。东兴对虾的低脂肪指标也是其受到市场欢迎的原因之一，满足了消费者对健康食品的需求。</w:t>
      </w:r>
      <w:r>
        <w:rPr>
          <w:rFonts w:hint="eastAsia" w:ascii="仿宋_GB2312" w:hAnsi="宋体" w:eastAsia="仿宋_GB2312"/>
          <w:bCs/>
          <w:sz w:val="32"/>
          <w:szCs w:val="32"/>
        </w:rPr>
        <w:t>通过检测数据可知，在抽检的</w:t>
      </w:r>
      <w:r>
        <w:rPr>
          <w:rFonts w:hint="eastAsia"/>
          <w:sz w:val="32"/>
          <w:szCs w:val="32"/>
          <w:highlight w:val="none"/>
          <w:lang w:val="en-US" w:eastAsia="zh-CN"/>
        </w:rPr>
        <w:t>15</w:t>
      </w:r>
      <w:r>
        <w:rPr>
          <w:rFonts w:hint="eastAsia" w:ascii="仿宋_GB2312" w:eastAsia="仿宋_GB2312"/>
          <w:sz w:val="32"/>
          <w:szCs w:val="32"/>
          <w:highlight w:val="none"/>
        </w:rPr>
        <w:t>个批次样品</w:t>
      </w:r>
      <w:r>
        <w:rPr>
          <w:rFonts w:hint="eastAsia" w:ascii="仿宋_GB2312" w:hAnsi="宋体" w:eastAsia="仿宋_GB2312"/>
          <w:bCs/>
          <w:sz w:val="32"/>
          <w:szCs w:val="32"/>
        </w:rPr>
        <w:t>检测数据中，最小值为</w:t>
      </w:r>
      <w:r>
        <w:rPr>
          <w:rFonts w:hint="eastAsia" w:ascii="仿宋_GB2312" w:hAnsi="宋体" w:eastAsia="仿宋_GB2312"/>
          <w:bCs/>
          <w:sz w:val="32"/>
          <w:szCs w:val="32"/>
          <w:lang w:val="en-US" w:eastAsia="zh-CN"/>
        </w:rPr>
        <w:t>0.</w:t>
      </w:r>
      <w:r>
        <w:rPr>
          <w:rFonts w:hint="eastAsia" w:hAnsi="宋体"/>
          <w:bCs/>
          <w:sz w:val="32"/>
          <w:szCs w:val="32"/>
          <w:lang w:val="en-US" w:eastAsia="zh-CN"/>
        </w:rPr>
        <w:t>50</w:t>
      </w:r>
      <w:r>
        <w:rPr>
          <w:rFonts w:hint="eastAsia" w:ascii="仿宋_GB2312" w:hAnsi="宋体" w:eastAsia="仿宋_GB2312"/>
          <w:bCs/>
          <w:sz w:val="32"/>
          <w:szCs w:val="32"/>
        </w:rPr>
        <w:t>，最大值为</w:t>
      </w:r>
      <w:r>
        <w:rPr>
          <w:rFonts w:hint="eastAsia" w:hAnsi="宋体"/>
          <w:bCs/>
          <w:sz w:val="32"/>
          <w:szCs w:val="32"/>
          <w:lang w:val="en-US" w:eastAsia="zh-CN"/>
        </w:rPr>
        <w:t>0.80</w:t>
      </w:r>
      <w:r>
        <w:rPr>
          <w:rFonts w:hint="eastAsia" w:ascii="仿宋_GB2312" w:hAnsi="宋体" w:eastAsia="仿宋_GB2312"/>
          <w:bCs/>
          <w:sz w:val="32"/>
          <w:szCs w:val="32"/>
        </w:rPr>
        <w:t>，具体分析如下：</w:t>
      </w:r>
    </w:p>
    <w:p w14:paraId="7663720B">
      <w:pPr>
        <w:spacing w:line="560" w:lineRule="exact"/>
        <w:ind w:left="320" w:leftChars="100" w:firstLine="640" w:firstLineChars="200"/>
        <w:rPr>
          <w:rFonts w:ascii="仿宋_GB2312" w:hAnsi="宋体" w:eastAsia="仿宋_GB2312"/>
          <w:bCs/>
          <w:sz w:val="32"/>
          <w:szCs w:val="32"/>
        </w:rPr>
      </w:pPr>
      <w:r>
        <w:rPr>
          <w:rFonts w:hint="eastAsia" w:ascii="仿宋_GB2312" w:hAnsi="宋体" w:eastAsia="仿宋_GB2312"/>
          <w:bCs/>
          <w:sz w:val="32"/>
          <w:szCs w:val="32"/>
        </w:rPr>
        <w:t>——</w:t>
      </w:r>
      <w:r>
        <w:rPr>
          <w:rFonts w:hint="eastAsia" w:hAnsi="宋体"/>
          <w:bCs/>
          <w:sz w:val="32"/>
          <w:szCs w:val="32"/>
          <w:lang w:val="en-US" w:eastAsia="zh-CN"/>
        </w:rPr>
        <w:t>≤0.8</w:t>
      </w:r>
      <w:r>
        <w:rPr>
          <w:rFonts w:hint="eastAsia" w:ascii="仿宋_GB2312" w:hAnsi="宋体" w:eastAsia="仿宋_GB2312"/>
          <w:bCs/>
          <w:sz w:val="32"/>
          <w:szCs w:val="32"/>
        </w:rPr>
        <w:t>的抽检结果占比达</w:t>
      </w:r>
      <w:r>
        <w:rPr>
          <w:rFonts w:hint="eastAsia" w:hAnsi="宋体"/>
          <w:bCs/>
          <w:sz w:val="32"/>
          <w:szCs w:val="32"/>
          <w:lang w:val="en-US" w:eastAsia="zh-CN"/>
        </w:rPr>
        <w:t>100</w:t>
      </w:r>
      <w:r>
        <w:rPr>
          <w:rFonts w:hint="eastAsia" w:ascii="仿宋_GB2312" w:hAnsi="宋体" w:eastAsia="仿宋_GB2312"/>
          <w:bCs/>
          <w:sz w:val="32"/>
          <w:szCs w:val="32"/>
        </w:rPr>
        <w:t>%；</w:t>
      </w:r>
    </w:p>
    <w:p w14:paraId="02C10996">
      <w:pPr>
        <w:spacing w:line="560" w:lineRule="exact"/>
        <w:ind w:left="320" w:leftChars="100" w:firstLine="640" w:firstLineChars="200"/>
        <w:rPr>
          <w:rFonts w:hint="eastAsia" w:hAnsi="宋体"/>
          <w:bCs/>
          <w:sz w:val="32"/>
          <w:szCs w:val="32"/>
          <w:lang w:eastAsia="zh-CN"/>
        </w:rPr>
      </w:pPr>
      <w:r>
        <w:rPr>
          <w:rFonts w:hint="eastAsia" w:ascii="仿宋_GB2312" w:hAnsi="宋体" w:eastAsia="仿宋_GB2312"/>
          <w:bCs/>
          <w:sz w:val="32"/>
          <w:szCs w:val="32"/>
        </w:rPr>
        <w:t>——</w:t>
      </w:r>
      <w:r>
        <w:rPr>
          <w:rFonts w:hint="eastAsia" w:hAnsi="宋体"/>
          <w:bCs/>
          <w:sz w:val="32"/>
          <w:szCs w:val="32"/>
          <w:lang w:val="en-US" w:eastAsia="zh-CN"/>
        </w:rPr>
        <w:t>≤0.7</w:t>
      </w:r>
      <w:r>
        <w:rPr>
          <w:rFonts w:hint="eastAsia" w:ascii="仿宋_GB2312" w:hAnsi="宋体" w:eastAsia="仿宋_GB2312"/>
          <w:bCs/>
          <w:sz w:val="32"/>
          <w:szCs w:val="32"/>
        </w:rPr>
        <w:t>的抽检结果占比达</w:t>
      </w:r>
      <w:r>
        <w:rPr>
          <w:rFonts w:hint="eastAsia" w:hAnsi="宋体"/>
          <w:bCs/>
          <w:sz w:val="32"/>
          <w:szCs w:val="32"/>
          <w:lang w:val="en-US" w:eastAsia="zh-CN"/>
        </w:rPr>
        <w:t>86.66</w:t>
      </w:r>
      <w:r>
        <w:rPr>
          <w:rFonts w:hint="eastAsia" w:ascii="仿宋_GB2312" w:hAnsi="宋体" w:eastAsia="仿宋_GB2312"/>
          <w:bCs/>
          <w:sz w:val="32"/>
          <w:szCs w:val="32"/>
        </w:rPr>
        <w:t>%</w:t>
      </w:r>
      <w:r>
        <w:rPr>
          <w:rFonts w:hint="eastAsia" w:hAnsi="宋体"/>
          <w:bCs/>
          <w:sz w:val="32"/>
          <w:szCs w:val="32"/>
          <w:lang w:eastAsia="zh-CN"/>
        </w:rPr>
        <w:t>；</w:t>
      </w:r>
    </w:p>
    <w:p w14:paraId="03A943FA">
      <w:pPr>
        <w:spacing w:line="560" w:lineRule="exact"/>
        <w:ind w:left="320" w:leftChars="100" w:firstLine="640" w:firstLineChars="200"/>
        <w:rPr>
          <w:rFonts w:hint="eastAsia" w:ascii="仿宋_GB2312" w:hAnsi="宋体" w:eastAsia="仿宋_GB2312"/>
          <w:bCs/>
          <w:sz w:val="32"/>
          <w:szCs w:val="32"/>
          <w:lang w:eastAsia="zh-CN"/>
        </w:rPr>
      </w:pPr>
      <w:r>
        <w:rPr>
          <w:rFonts w:hint="eastAsia" w:ascii="仿宋_GB2312" w:hAnsi="宋体" w:eastAsia="仿宋_GB2312"/>
          <w:bCs/>
          <w:sz w:val="32"/>
          <w:szCs w:val="32"/>
        </w:rPr>
        <w:t>——</w:t>
      </w:r>
      <w:r>
        <w:rPr>
          <w:rFonts w:hint="eastAsia" w:hAnsi="宋体"/>
          <w:bCs/>
          <w:sz w:val="32"/>
          <w:szCs w:val="32"/>
          <w:lang w:val="en-US" w:eastAsia="zh-CN"/>
        </w:rPr>
        <w:t>≤0.6</w:t>
      </w:r>
      <w:r>
        <w:rPr>
          <w:rFonts w:hint="eastAsia" w:ascii="仿宋_GB2312" w:hAnsi="宋体" w:eastAsia="仿宋_GB2312"/>
          <w:bCs/>
          <w:sz w:val="32"/>
          <w:szCs w:val="32"/>
        </w:rPr>
        <w:t>的抽检结果占比达</w:t>
      </w:r>
      <w:r>
        <w:rPr>
          <w:rFonts w:hint="eastAsia" w:hAnsi="宋体"/>
          <w:bCs/>
          <w:sz w:val="32"/>
          <w:szCs w:val="32"/>
          <w:lang w:val="en-US" w:eastAsia="zh-CN"/>
        </w:rPr>
        <w:t>60</w:t>
      </w:r>
      <w:r>
        <w:rPr>
          <w:rFonts w:hint="eastAsia" w:ascii="仿宋_GB2312" w:hAnsi="宋体" w:eastAsia="仿宋_GB2312"/>
          <w:bCs/>
          <w:sz w:val="32"/>
          <w:szCs w:val="32"/>
        </w:rPr>
        <w:t>%</w:t>
      </w:r>
      <w:r>
        <w:rPr>
          <w:rFonts w:hint="eastAsia" w:hAnsi="宋体"/>
          <w:bCs/>
          <w:sz w:val="32"/>
          <w:szCs w:val="32"/>
          <w:lang w:eastAsia="zh-CN"/>
        </w:rPr>
        <w:t>。</w:t>
      </w:r>
    </w:p>
    <w:p w14:paraId="3FD2B192">
      <w:pPr>
        <w:spacing w:line="560" w:lineRule="exact"/>
        <w:ind w:left="320" w:leftChars="100" w:firstLine="640" w:firstLineChars="200"/>
        <w:rPr>
          <w:rFonts w:ascii="仿宋_GB2312" w:hAnsi="宋体" w:eastAsia="仿宋_GB2312"/>
          <w:bCs/>
          <w:sz w:val="32"/>
          <w:szCs w:val="32"/>
        </w:rPr>
      </w:pPr>
      <w:r>
        <w:rPr>
          <w:rFonts w:hint="eastAsia" w:ascii="仿宋_GB2312" w:hAnsi="宋体" w:eastAsia="仿宋_GB2312"/>
          <w:bCs/>
          <w:sz w:val="32"/>
          <w:szCs w:val="32"/>
        </w:rPr>
        <w:t>根据样品检测结果，</w:t>
      </w:r>
      <w:r>
        <w:rPr>
          <w:rFonts w:hint="eastAsia" w:hAnsi="宋体"/>
          <w:bCs/>
          <w:sz w:val="32"/>
          <w:szCs w:val="32"/>
          <w:lang w:eastAsia="zh-CN"/>
        </w:rPr>
        <w:t>经与东兴对虾养殖相关企业讨论确定</w:t>
      </w:r>
      <w:r>
        <w:rPr>
          <w:rFonts w:hint="eastAsia" w:hAnsi="宋体"/>
          <w:bCs/>
          <w:sz w:val="32"/>
          <w:szCs w:val="32"/>
          <w:lang w:val="en-US" w:eastAsia="zh-CN"/>
        </w:rPr>
        <w:t>脂肪</w:t>
      </w:r>
      <w:r>
        <w:rPr>
          <w:rFonts w:hint="eastAsia" w:hAnsi="宋体"/>
          <w:bCs/>
          <w:sz w:val="32"/>
          <w:szCs w:val="32"/>
          <w:lang w:eastAsia="zh-CN"/>
        </w:rPr>
        <w:t>指标为</w:t>
      </w:r>
      <w:r>
        <w:rPr>
          <w:rFonts w:hint="eastAsia" w:hAnsi="宋体"/>
          <w:bCs/>
          <w:sz w:val="32"/>
          <w:szCs w:val="32"/>
          <w:lang w:val="en-US" w:eastAsia="zh-CN"/>
        </w:rPr>
        <w:t>≤</w:t>
      </w:r>
      <w:r>
        <w:rPr>
          <w:rFonts w:hint="eastAsia" w:ascii="仿宋_GB2312" w:hAnsi="宋体" w:eastAsia="仿宋_GB2312"/>
          <w:bCs/>
          <w:sz w:val="32"/>
          <w:szCs w:val="32"/>
          <w:lang w:val="en-US" w:eastAsia="zh-CN"/>
        </w:rPr>
        <w:t>0.</w:t>
      </w:r>
      <w:r>
        <w:rPr>
          <w:rFonts w:hint="eastAsia" w:hAnsi="宋体"/>
          <w:bCs/>
          <w:sz w:val="32"/>
          <w:szCs w:val="32"/>
          <w:lang w:val="en-US" w:eastAsia="zh-CN"/>
        </w:rPr>
        <w:t>7</w:t>
      </w:r>
      <w:r>
        <w:rPr>
          <w:rFonts w:hint="eastAsia" w:ascii="仿宋_GB2312" w:hAnsi="宋体" w:eastAsia="仿宋_GB2312"/>
          <w:bCs/>
          <w:sz w:val="32"/>
          <w:szCs w:val="32"/>
        </w:rPr>
        <w:t>g/100g</w:t>
      </w:r>
      <w:r>
        <w:rPr>
          <w:rFonts w:hint="eastAsia" w:hAnsi="宋体"/>
          <w:bCs/>
          <w:sz w:val="32"/>
          <w:szCs w:val="32"/>
          <w:lang w:eastAsia="zh-CN"/>
        </w:rPr>
        <w:t>，</w:t>
      </w:r>
      <w:r>
        <w:rPr>
          <w:rFonts w:hint="eastAsia" w:hAnsi="宋体"/>
          <w:bCs/>
          <w:sz w:val="32"/>
          <w:szCs w:val="32"/>
          <w:lang w:val="en-US" w:eastAsia="zh-CN"/>
        </w:rPr>
        <w:t>抽检结果占比86.66</w:t>
      </w:r>
      <w:r>
        <w:rPr>
          <w:rFonts w:hint="eastAsia" w:ascii="仿宋_GB2312" w:hAnsi="宋体" w:eastAsia="仿宋_GB2312"/>
          <w:bCs/>
          <w:sz w:val="32"/>
          <w:szCs w:val="32"/>
        </w:rPr>
        <w:t>%</w:t>
      </w:r>
      <w:r>
        <w:rPr>
          <w:rFonts w:hint="eastAsia" w:hAnsi="宋体"/>
          <w:bCs/>
          <w:sz w:val="32"/>
          <w:szCs w:val="32"/>
          <w:lang w:eastAsia="zh-CN"/>
        </w:rPr>
        <w:t>，</w:t>
      </w:r>
      <w:r>
        <w:rPr>
          <w:rFonts w:hint="eastAsia" w:hAnsi="宋体"/>
          <w:bCs/>
          <w:sz w:val="32"/>
          <w:szCs w:val="32"/>
          <w:lang w:val="en-US" w:eastAsia="zh-CN"/>
        </w:rPr>
        <w:t>满足消费者低脂肪、高蛋白的要求</w:t>
      </w:r>
      <w:r>
        <w:rPr>
          <w:rFonts w:hint="eastAsia" w:ascii="仿宋_GB2312" w:hAnsi="宋体" w:eastAsia="仿宋_GB2312"/>
          <w:bCs/>
          <w:sz w:val="32"/>
          <w:szCs w:val="32"/>
        </w:rPr>
        <w:t>。</w:t>
      </w:r>
    </w:p>
    <w:p w14:paraId="1806911B">
      <w:pPr>
        <w:numPr>
          <w:ilvl w:val="255"/>
          <w:numId w:val="0"/>
        </w:numPr>
        <w:spacing w:line="560" w:lineRule="exact"/>
        <w:ind w:firstLine="960" w:firstLineChars="300"/>
        <w:rPr>
          <w:rFonts w:ascii="仿宋_GB2312" w:eastAsia="仿宋_GB2312"/>
          <w:sz w:val="32"/>
          <w:szCs w:val="32"/>
        </w:rPr>
      </w:pPr>
      <w:r>
        <w:rPr>
          <w:rFonts w:hint="eastAsia"/>
          <w:sz w:val="32"/>
          <w:szCs w:val="32"/>
          <w:lang w:val="en-US" w:eastAsia="zh-CN"/>
        </w:rPr>
        <w:t>3.氨基酸</w:t>
      </w:r>
    </w:p>
    <w:p w14:paraId="27A431E3">
      <w:pPr>
        <w:spacing w:line="560" w:lineRule="exact"/>
        <w:ind w:left="320" w:leftChars="100" w:firstLine="640" w:firstLineChars="200"/>
        <w:rPr>
          <w:rFonts w:ascii="仿宋_GB2312" w:hAnsi="宋体" w:eastAsia="仿宋_GB2312"/>
          <w:bCs/>
          <w:sz w:val="32"/>
          <w:szCs w:val="32"/>
        </w:rPr>
      </w:pPr>
      <w:r>
        <w:rPr>
          <w:rFonts w:hint="eastAsia" w:ascii="仿宋_GB2312" w:eastAsia="仿宋_GB2312"/>
          <w:sz w:val="32"/>
          <w:szCs w:val="32"/>
        </w:rPr>
        <w:t>对虾肌肉组织富含人体必需的多种氨基酸，如赖氨酸、色氨酸、缬氨酸等，这些氨基酸在人体内不能自行合成，必须从食物中摄取。氨基酸指标是评价对虾营养价值的重要标准之一。必需氨基酸的含量直接影响到对虾的营养价值和食用安全性。氨基酸的含量是对虾保持鲜美口感的重要指标，目前现有标准中，还没有进行统一规定。</w:t>
      </w:r>
      <w:r>
        <w:rPr>
          <w:rFonts w:hint="eastAsia" w:ascii="仿宋_GB2312" w:hAnsi="宋体" w:eastAsia="仿宋_GB2312"/>
          <w:bCs/>
          <w:sz w:val="32"/>
          <w:szCs w:val="32"/>
        </w:rPr>
        <w:t>通过检测数据可知，在抽检的</w:t>
      </w:r>
      <w:r>
        <w:rPr>
          <w:rFonts w:hint="eastAsia"/>
          <w:sz w:val="32"/>
          <w:szCs w:val="32"/>
          <w:highlight w:val="none"/>
          <w:lang w:val="en-US" w:eastAsia="zh-CN"/>
        </w:rPr>
        <w:t>15</w:t>
      </w:r>
      <w:r>
        <w:rPr>
          <w:rFonts w:hint="eastAsia" w:ascii="仿宋_GB2312" w:eastAsia="仿宋_GB2312"/>
          <w:sz w:val="32"/>
          <w:szCs w:val="32"/>
          <w:highlight w:val="none"/>
        </w:rPr>
        <w:t>个批次样品</w:t>
      </w:r>
      <w:r>
        <w:rPr>
          <w:rFonts w:hint="eastAsia" w:ascii="仿宋_GB2312" w:hAnsi="宋体" w:eastAsia="仿宋_GB2312"/>
          <w:bCs/>
          <w:sz w:val="32"/>
          <w:szCs w:val="32"/>
        </w:rPr>
        <w:t>检测数据中，最小值为</w:t>
      </w:r>
      <w:r>
        <w:rPr>
          <w:rFonts w:hint="eastAsia" w:hAnsi="宋体"/>
          <w:bCs/>
          <w:sz w:val="32"/>
          <w:szCs w:val="32"/>
          <w:lang w:val="en-US" w:eastAsia="zh-CN"/>
        </w:rPr>
        <w:t>16.4</w:t>
      </w:r>
      <w:r>
        <w:rPr>
          <w:rFonts w:hint="eastAsia" w:ascii="仿宋_GB2312" w:hAnsi="宋体" w:eastAsia="仿宋_GB2312"/>
          <w:bCs/>
          <w:sz w:val="32"/>
          <w:szCs w:val="32"/>
        </w:rPr>
        <w:t>，最大值为</w:t>
      </w:r>
      <w:r>
        <w:rPr>
          <w:rFonts w:hint="eastAsia" w:hAnsi="宋体"/>
          <w:bCs/>
          <w:sz w:val="32"/>
          <w:szCs w:val="32"/>
          <w:lang w:val="en-US" w:eastAsia="zh-CN"/>
        </w:rPr>
        <w:t>19.4</w:t>
      </w:r>
      <w:r>
        <w:rPr>
          <w:rFonts w:hint="eastAsia" w:ascii="仿宋_GB2312" w:hAnsi="宋体" w:eastAsia="仿宋_GB2312"/>
          <w:bCs/>
          <w:sz w:val="32"/>
          <w:szCs w:val="32"/>
        </w:rPr>
        <w:t>，具体分析如下：</w:t>
      </w:r>
    </w:p>
    <w:p w14:paraId="3954DF7D">
      <w:pPr>
        <w:spacing w:line="560" w:lineRule="exact"/>
        <w:ind w:left="320" w:leftChars="100" w:firstLine="640" w:firstLineChars="200"/>
        <w:rPr>
          <w:rFonts w:ascii="仿宋_GB2312" w:hAnsi="宋体" w:eastAsia="仿宋_GB2312"/>
          <w:bCs/>
          <w:sz w:val="32"/>
          <w:szCs w:val="32"/>
        </w:rPr>
      </w:pPr>
      <w:r>
        <w:rPr>
          <w:rFonts w:hint="eastAsia" w:ascii="仿宋_GB2312" w:hAnsi="宋体" w:eastAsia="仿宋_GB2312"/>
          <w:bCs/>
          <w:sz w:val="32"/>
          <w:szCs w:val="32"/>
        </w:rPr>
        <w:t>——≥</w:t>
      </w:r>
      <w:r>
        <w:rPr>
          <w:rFonts w:hint="eastAsia" w:hAnsi="宋体"/>
          <w:bCs/>
          <w:sz w:val="32"/>
          <w:szCs w:val="32"/>
          <w:lang w:val="en-US" w:eastAsia="zh-CN"/>
        </w:rPr>
        <w:t>16.5</w:t>
      </w:r>
      <w:r>
        <w:rPr>
          <w:rFonts w:hint="eastAsia" w:ascii="仿宋_GB2312" w:hAnsi="宋体" w:eastAsia="仿宋_GB2312"/>
          <w:bCs/>
          <w:sz w:val="32"/>
          <w:szCs w:val="32"/>
        </w:rPr>
        <w:t>的抽检结果占比达</w:t>
      </w:r>
      <w:r>
        <w:rPr>
          <w:rFonts w:hint="eastAsia" w:hAnsi="宋体"/>
          <w:bCs/>
          <w:sz w:val="32"/>
          <w:szCs w:val="32"/>
          <w:lang w:val="en-US" w:eastAsia="zh-CN"/>
        </w:rPr>
        <w:t>93</w:t>
      </w:r>
      <w:r>
        <w:rPr>
          <w:rFonts w:hint="eastAsia" w:ascii="仿宋_GB2312" w:hAnsi="宋体" w:eastAsia="仿宋_GB2312"/>
          <w:bCs/>
          <w:sz w:val="32"/>
          <w:szCs w:val="32"/>
        </w:rPr>
        <w:t>%；</w:t>
      </w:r>
    </w:p>
    <w:p w14:paraId="51A2D895">
      <w:pPr>
        <w:spacing w:line="560" w:lineRule="exact"/>
        <w:ind w:left="320" w:leftChars="100" w:firstLine="640" w:firstLineChars="200"/>
        <w:rPr>
          <w:rFonts w:ascii="仿宋_GB2312" w:hAnsi="宋体" w:eastAsia="仿宋_GB2312"/>
          <w:bCs/>
          <w:sz w:val="32"/>
          <w:szCs w:val="32"/>
        </w:rPr>
      </w:pPr>
      <w:r>
        <w:rPr>
          <w:rFonts w:hint="eastAsia" w:ascii="仿宋_GB2312" w:hAnsi="宋体" w:eastAsia="仿宋_GB2312"/>
          <w:bCs/>
          <w:sz w:val="32"/>
          <w:szCs w:val="32"/>
        </w:rPr>
        <w:t>——≥</w:t>
      </w:r>
      <w:r>
        <w:rPr>
          <w:rFonts w:hint="eastAsia" w:hAnsi="宋体"/>
          <w:bCs/>
          <w:sz w:val="32"/>
          <w:szCs w:val="32"/>
          <w:lang w:val="en-US" w:eastAsia="zh-CN"/>
        </w:rPr>
        <w:t>17.5</w:t>
      </w:r>
      <w:r>
        <w:rPr>
          <w:rFonts w:hint="eastAsia" w:ascii="仿宋_GB2312" w:hAnsi="宋体" w:eastAsia="仿宋_GB2312"/>
          <w:bCs/>
          <w:sz w:val="32"/>
          <w:szCs w:val="32"/>
        </w:rPr>
        <w:t>的抽检结果占比达</w:t>
      </w:r>
      <w:r>
        <w:rPr>
          <w:rFonts w:hint="eastAsia" w:hAnsi="宋体"/>
          <w:bCs/>
          <w:sz w:val="32"/>
          <w:szCs w:val="32"/>
          <w:lang w:val="en-US" w:eastAsia="zh-CN"/>
        </w:rPr>
        <w:t>66.66</w:t>
      </w:r>
      <w:r>
        <w:rPr>
          <w:rFonts w:hint="eastAsia" w:ascii="仿宋_GB2312" w:hAnsi="宋体" w:eastAsia="仿宋_GB2312"/>
          <w:bCs/>
          <w:sz w:val="32"/>
          <w:szCs w:val="32"/>
        </w:rPr>
        <w:t>%；</w:t>
      </w:r>
    </w:p>
    <w:p w14:paraId="5F00FDC8">
      <w:pPr>
        <w:spacing w:line="560" w:lineRule="exact"/>
        <w:ind w:left="320" w:leftChars="100" w:firstLine="640" w:firstLineChars="200"/>
        <w:rPr>
          <w:rFonts w:ascii="仿宋_GB2312" w:hAnsi="宋体" w:eastAsia="仿宋_GB2312"/>
          <w:bCs/>
          <w:sz w:val="32"/>
          <w:szCs w:val="32"/>
        </w:rPr>
      </w:pPr>
      <w:r>
        <w:rPr>
          <w:rFonts w:hint="eastAsia" w:ascii="仿宋_GB2312" w:hAnsi="宋体" w:eastAsia="仿宋_GB2312"/>
          <w:bCs/>
          <w:sz w:val="32"/>
          <w:szCs w:val="32"/>
        </w:rPr>
        <w:t>——≥</w:t>
      </w:r>
      <w:r>
        <w:rPr>
          <w:rFonts w:hint="eastAsia" w:hAnsi="宋体"/>
          <w:bCs/>
          <w:sz w:val="32"/>
          <w:szCs w:val="32"/>
          <w:lang w:val="en-US" w:eastAsia="zh-CN"/>
        </w:rPr>
        <w:t>18.5</w:t>
      </w:r>
      <w:r>
        <w:rPr>
          <w:rFonts w:hint="eastAsia" w:ascii="仿宋_GB2312" w:hAnsi="宋体" w:eastAsia="仿宋_GB2312"/>
          <w:bCs/>
          <w:sz w:val="32"/>
          <w:szCs w:val="32"/>
        </w:rPr>
        <w:t>的抽检结果占比达</w:t>
      </w:r>
      <w:r>
        <w:rPr>
          <w:rFonts w:hint="eastAsia" w:hAnsi="宋体"/>
          <w:bCs/>
          <w:sz w:val="32"/>
          <w:szCs w:val="32"/>
          <w:lang w:val="en-US" w:eastAsia="zh-CN"/>
        </w:rPr>
        <w:t>46.66</w:t>
      </w:r>
      <w:r>
        <w:rPr>
          <w:rFonts w:hint="eastAsia" w:ascii="仿宋_GB2312" w:hAnsi="宋体" w:eastAsia="仿宋_GB2312"/>
          <w:bCs/>
          <w:sz w:val="32"/>
          <w:szCs w:val="32"/>
        </w:rPr>
        <w:t>%；</w:t>
      </w:r>
    </w:p>
    <w:p w14:paraId="22C42AD8">
      <w:pPr>
        <w:spacing w:line="560" w:lineRule="exact"/>
        <w:ind w:left="320" w:leftChars="100" w:firstLine="640" w:firstLineChars="200"/>
        <w:rPr>
          <w:rFonts w:ascii="仿宋_GB2312" w:hAnsi="宋体" w:eastAsia="仿宋_GB2312"/>
          <w:bCs/>
          <w:sz w:val="32"/>
          <w:szCs w:val="32"/>
        </w:rPr>
      </w:pPr>
      <w:r>
        <w:rPr>
          <w:rFonts w:hint="eastAsia" w:ascii="仿宋_GB2312" w:hAnsi="宋体" w:eastAsia="仿宋_GB2312"/>
          <w:bCs/>
          <w:sz w:val="32"/>
          <w:szCs w:val="32"/>
        </w:rPr>
        <w:t>——≥</w:t>
      </w:r>
      <w:r>
        <w:rPr>
          <w:rFonts w:hint="eastAsia" w:hAnsi="宋体"/>
          <w:bCs/>
          <w:sz w:val="32"/>
          <w:szCs w:val="32"/>
          <w:lang w:val="en-US" w:eastAsia="zh-CN"/>
        </w:rPr>
        <w:t>19.0</w:t>
      </w:r>
      <w:r>
        <w:rPr>
          <w:rFonts w:hint="eastAsia" w:ascii="仿宋_GB2312" w:hAnsi="宋体" w:eastAsia="仿宋_GB2312"/>
          <w:bCs/>
          <w:sz w:val="32"/>
          <w:szCs w:val="32"/>
        </w:rPr>
        <w:t>的抽检结果占比达</w:t>
      </w:r>
      <w:r>
        <w:rPr>
          <w:rFonts w:hint="eastAsia" w:hAnsi="宋体"/>
          <w:bCs/>
          <w:sz w:val="32"/>
          <w:szCs w:val="32"/>
          <w:lang w:val="en-US" w:eastAsia="zh-CN"/>
        </w:rPr>
        <w:t>20</w:t>
      </w:r>
      <w:r>
        <w:rPr>
          <w:rFonts w:hint="eastAsia" w:ascii="仿宋_GB2312" w:hAnsi="宋体" w:eastAsia="仿宋_GB2312"/>
          <w:bCs/>
          <w:sz w:val="32"/>
          <w:szCs w:val="32"/>
        </w:rPr>
        <w:t>%。</w:t>
      </w:r>
    </w:p>
    <w:p w14:paraId="010C8D16">
      <w:pPr>
        <w:spacing w:line="560" w:lineRule="exact"/>
        <w:ind w:left="320" w:leftChars="100" w:firstLine="640" w:firstLineChars="200"/>
        <w:rPr>
          <w:rFonts w:hint="eastAsia" w:ascii="仿宋_GB2312" w:hAnsi="宋体" w:eastAsia="仿宋_GB2312"/>
          <w:bCs/>
          <w:sz w:val="32"/>
          <w:szCs w:val="32"/>
        </w:rPr>
      </w:pPr>
      <w:r>
        <w:rPr>
          <w:rFonts w:hint="eastAsia" w:ascii="仿宋_GB2312" w:hAnsi="宋体" w:eastAsia="仿宋_GB2312"/>
          <w:bCs/>
          <w:sz w:val="32"/>
          <w:szCs w:val="32"/>
        </w:rPr>
        <w:t>根据样品检测结果，</w:t>
      </w:r>
      <w:r>
        <w:rPr>
          <w:rFonts w:hint="eastAsia" w:hAnsi="宋体"/>
          <w:bCs/>
          <w:sz w:val="32"/>
          <w:szCs w:val="32"/>
          <w:lang w:eastAsia="zh-CN"/>
        </w:rPr>
        <w:t>经与东兴对虾养殖相关企业讨论确定</w:t>
      </w:r>
      <w:r>
        <w:rPr>
          <w:rFonts w:hint="eastAsia"/>
          <w:sz w:val="32"/>
          <w:szCs w:val="32"/>
          <w:lang w:val="en-US" w:eastAsia="zh-CN"/>
        </w:rPr>
        <w:t>氨基酸</w:t>
      </w:r>
      <w:r>
        <w:rPr>
          <w:rFonts w:hint="eastAsia" w:hAnsi="宋体"/>
          <w:bCs/>
          <w:sz w:val="32"/>
          <w:szCs w:val="32"/>
          <w:lang w:eastAsia="zh-CN"/>
        </w:rPr>
        <w:t>指标为</w:t>
      </w:r>
      <w:r>
        <w:rPr>
          <w:rFonts w:hint="eastAsia" w:hAnsi="宋体"/>
          <w:bCs/>
          <w:sz w:val="32"/>
          <w:szCs w:val="32"/>
          <w:lang w:val="en-US" w:eastAsia="zh-CN"/>
        </w:rPr>
        <w:t>≥16.0</w:t>
      </w:r>
      <w:r>
        <w:rPr>
          <w:rFonts w:hint="eastAsia" w:ascii="仿宋_GB2312" w:hAnsi="宋体" w:eastAsia="仿宋_GB2312"/>
          <w:bCs/>
          <w:sz w:val="32"/>
          <w:szCs w:val="32"/>
        </w:rPr>
        <w:t>g/100g</w:t>
      </w:r>
      <w:r>
        <w:rPr>
          <w:rFonts w:hint="eastAsia" w:ascii="仿宋_GB2312" w:hAnsi="宋体" w:eastAsia="仿宋_GB2312"/>
          <w:bCs/>
          <w:sz w:val="32"/>
          <w:szCs w:val="32"/>
          <w:lang w:eastAsia="zh-CN"/>
        </w:rPr>
        <w:t>，</w:t>
      </w:r>
      <w:r>
        <w:rPr>
          <w:rFonts w:hint="eastAsia" w:hAnsi="宋体"/>
          <w:bCs/>
          <w:color w:val="0000FF"/>
          <w:sz w:val="32"/>
          <w:szCs w:val="32"/>
          <w:lang w:val="en-US" w:eastAsia="zh-CN"/>
        </w:rPr>
        <w:t>弥补对虾氨基酸指标空白要求</w:t>
      </w:r>
      <w:r>
        <w:rPr>
          <w:rFonts w:hint="eastAsia" w:ascii="仿宋_GB2312" w:hAnsi="宋体" w:eastAsia="仿宋_GB2312"/>
          <w:bCs/>
          <w:sz w:val="32"/>
          <w:szCs w:val="32"/>
        </w:rPr>
        <w:t>。</w:t>
      </w:r>
    </w:p>
    <w:p w14:paraId="58786DDC">
      <w:pPr>
        <w:pStyle w:val="2"/>
        <w:jc w:val="both"/>
        <w:rPr>
          <w:rFonts w:hint="eastAsia"/>
          <w:sz w:val="32"/>
          <w:szCs w:val="32"/>
          <w:lang w:val="en-US" w:eastAsia="zh-CN"/>
        </w:rPr>
      </w:pPr>
      <w:r>
        <w:rPr>
          <w:rFonts w:hint="eastAsia"/>
          <w:lang w:val="en-US" w:eastAsia="zh-CN"/>
        </w:rPr>
        <w:t xml:space="preserve">    4.</w:t>
      </w:r>
      <w:r>
        <w:rPr>
          <w:rFonts w:hint="eastAsia"/>
          <w:sz w:val="32"/>
          <w:szCs w:val="32"/>
          <w:lang w:val="en-US" w:eastAsia="zh-CN"/>
        </w:rPr>
        <w:t>出肉率</w:t>
      </w:r>
    </w:p>
    <w:p w14:paraId="1311165A">
      <w:pPr>
        <w:pStyle w:val="2"/>
        <w:ind w:firstLine="640" w:firstLineChars="200"/>
        <w:jc w:val="both"/>
        <w:rPr>
          <w:rFonts w:hint="default"/>
          <w:sz w:val="32"/>
          <w:szCs w:val="32"/>
          <w:lang w:val="en-US" w:eastAsia="zh-CN"/>
        </w:rPr>
      </w:pPr>
      <w:r>
        <w:rPr>
          <w:rFonts w:hint="default"/>
          <w:sz w:val="32"/>
          <w:szCs w:val="32"/>
          <w:lang w:val="en-US" w:eastAsia="zh-CN"/>
        </w:rPr>
        <w:t>东兴市在对虾养殖方面采用了包括工厂化养殖和陆基圆桶养殖等先进养殖模式，这些模式有助于提升对虾的养殖效率和品质。特别是工厂化养殖模式，通过控制养殖环境，提高了对虾的出肉率和整体品质。对虾的出肉率是指从整个虾体中能够得到的虾仁重量占比，是衡量对虾品质的重要指标之一。高出肉率意味着在相同的重量下，能够获得更多的虾仁，这不仅提高了对虾的利用效率，也直接影响了产品的市场价值和消费者的购买决策。</w:t>
      </w:r>
    </w:p>
    <w:p w14:paraId="67AA6C44">
      <w:pPr>
        <w:pStyle w:val="2"/>
        <w:ind w:firstLine="640" w:firstLineChars="200"/>
        <w:jc w:val="both"/>
        <w:rPr>
          <w:rFonts w:hint="default"/>
          <w:sz w:val="32"/>
          <w:szCs w:val="32"/>
          <w:lang w:val="en-US" w:eastAsia="zh-CN"/>
        </w:rPr>
      </w:pPr>
      <w:r>
        <w:rPr>
          <w:rFonts w:hint="default"/>
          <w:sz w:val="32"/>
          <w:szCs w:val="32"/>
          <w:lang w:val="en-US" w:eastAsia="zh-CN"/>
        </w:rPr>
        <w:t>对虾</w:t>
      </w:r>
      <w:r>
        <w:rPr>
          <w:rFonts w:hint="eastAsia"/>
          <w:sz w:val="32"/>
          <w:szCs w:val="32"/>
          <w:lang w:val="en-US" w:eastAsia="zh-CN"/>
        </w:rPr>
        <w:t>出肉率的分级</w:t>
      </w:r>
      <w:r>
        <w:rPr>
          <w:rFonts w:hint="default"/>
          <w:sz w:val="32"/>
          <w:szCs w:val="32"/>
          <w:lang w:val="en-US" w:eastAsia="zh-CN"/>
        </w:rPr>
        <w:t>有助于消费者根据自身需求选择合适的产品。对于追求高品质生活的消费者来说，高出肉率的对虾意味着更高的营养价值和更好的食用体验。同时，分级标准也有助于对虾产品的标准化和规范化，提升整个产业链的竞争力。</w:t>
      </w:r>
    </w:p>
    <w:p w14:paraId="1D8412BC">
      <w:pPr>
        <w:spacing w:line="560" w:lineRule="exact"/>
        <w:ind w:firstLine="640" w:firstLineChars="200"/>
        <w:rPr>
          <w:rFonts w:ascii="仿宋_GB2312" w:eastAsia="仿宋_GB2312"/>
          <w:sz w:val="32"/>
          <w:szCs w:val="32"/>
          <w:highlight w:val="none"/>
        </w:rPr>
      </w:pPr>
      <w:r>
        <w:rPr>
          <w:rFonts w:hint="eastAsia" w:ascii="仿宋_GB2312" w:eastAsia="仿宋_GB2312"/>
          <w:sz w:val="32"/>
          <w:szCs w:val="32"/>
          <w:highlight w:val="none"/>
        </w:rPr>
        <w:t>（3）净含量</w:t>
      </w:r>
    </w:p>
    <w:p w14:paraId="43531E80">
      <w:pPr>
        <w:autoSpaceDE w:val="0"/>
        <w:autoSpaceDN w:val="0"/>
        <w:adjustRightInd w:val="0"/>
        <w:spacing w:before="156" w:beforeLines="50" w:after="156" w:afterLines="50" w:line="560" w:lineRule="exact"/>
        <w:ind w:firstLine="640" w:firstLineChars="200"/>
        <w:jc w:val="left"/>
        <w:rPr>
          <w:rFonts w:ascii="仿宋_GB2312" w:hAnsi="黑体" w:eastAsia="仿宋_GB2312" w:cs="仿宋_GB2312"/>
          <w:sz w:val="32"/>
          <w:szCs w:val="32"/>
        </w:rPr>
      </w:pPr>
      <w:r>
        <w:rPr>
          <w:rFonts w:hint="eastAsia" w:ascii="仿宋_GB2312" w:hAnsi="黑体" w:eastAsia="仿宋_GB2312" w:cs="仿宋_GB2312"/>
          <w:sz w:val="32"/>
          <w:szCs w:val="32"/>
        </w:rPr>
        <w:t xml:space="preserve">应符合《定量包装商品计量监督管理办法》的规定。      </w:t>
      </w:r>
    </w:p>
    <w:p w14:paraId="422D1671">
      <w:pPr>
        <w:spacing w:line="600" w:lineRule="exact"/>
        <w:ind w:firstLine="643" w:firstLineChars="200"/>
        <w:outlineLvl w:val="0"/>
        <w:rPr>
          <w:rFonts w:ascii="仿宋_GB2312" w:hAnsi="黑体" w:eastAsia="仿宋_GB2312" w:cs="仿宋_GB2312"/>
          <w:b/>
          <w:sz w:val="32"/>
          <w:szCs w:val="32"/>
        </w:rPr>
      </w:pPr>
      <w:r>
        <w:rPr>
          <w:rFonts w:hint="eastAsia" w:ascii="仿宋_GB2312" w:hAnsi="黑体" w:eastAsia="仿宋_GB2312" w:cs="仿宋_GB2312"/>
          <w:b/>
          <w:sz w:val="32"/>
          <w:szCs w:val="32"/>
        </w:rPr>
        <w:t>（</w:t>
      </w:r>
      <w:r>
        <w:rPr>
          <w:rFonts w:hint="eastAsia" w:hAnsi="黑体" w:cs="仿宋_GB2312"/>
          <w:b/>
          <w:sz w:val="32"/>
          <w:szCs w:val="32"/>
          <w:lang w:val="en-US" w:eastAsia="zh-CN"/>
        </w:rPr>
        <w:t>三</w:t>
      </w:r>
      <w:r>
        <w:rPr>
          <w:rFonts w:hint="eastAsia" w:ascii="仿宋_GB2312" w:hAnsi="黑体" w:eastAsia="仿宋_GB2312" w:cs="仿宋_GB2312"/>
          <w:b/>
          <w:sz w:val="32"/>
          <w:szCs w:val="32"/>
        </w:rPr>
        <w:t>）检验方法</w:t>
      </w:r>
    </w:p>
    <w:p w14:paraId="79F57707">
      <w:pPr>
        <w:spacing w:line="600" w:lineRule="exact"/>
        <w:ind w:firstLine="648" w:firstLineChars="200"/>
        <w:outlineLvl w:val="0"/>
        <w:rPr>
          <w:rFonts w:ascii="仿宋_GB2312" w:hAnsi="仿宋_GB2312" w:eastAsia="仿宋_GB2312"/>
          <w:spacing w:val="2"/>
          <w:sz w:val="32"/>
        </w:rPr>
      </w:pPr>
      <w:r>
        <w:rPr>
          <w:rFonts w:hint="eastAsia" w:ascii="仿宋_GB2312" w:hAnsi="仿宋_GB2312" w:eastAsia="仿宋_GB2312"/>
          <w:spacing w:val="2"/>
          <w:sz w:val="32"/>
        </w:rPr>
        <w:t>检验方法主要根据</w:t>
      </w:r>
      <w:r>
        <w:rPr>
          <w:rFonts w:hint="eastAsia" w:hAnsi="仿宋_GB2312"/>
          <w:spacing w:val="2"/>
          <w:sz w:val="32"/>
          <w:lang w:val="en-US" w:eastAsia="zh-CN"/>
        </w:rPr>
        <w:t>东兴对虾</w:t>
      </w:r>
      <w:r>
        <w:rPr>
          <w:rFonts w:hint="eastAsia" w:ascii="仿宋_GB2312" w:hAnsi="仿宋_GB2312" w:eastAsia="仿宋_GB2312"/>
          <w:spacing w:val="2"/>
          <w:sz w:val="32"/>
        </w:rPr>
        <w:t>的感官要求、理化指标、净含量的要求，分别列出。并依据相应检验方法及相关检验标准执行。</w:t>
      </w:r>
    </w:p>
    <w:p w14:paraId="313B10E2">
      <w:pPr>
        <w:spacing w:line="600" w:lineRule="exact"/>
        <w:ind w:firstLine="643" w:firstLineChars="200"/>
        <w:outlineLvl w:val="0"/>
        <w:rPr>
          <w:rFonts w:ascii="仿宋_GB2312" w:hAnsi="黑体" w:eastAsia="仿宋_GB2312" w:cs="仿宋_GB2312"/>
          <w:b/>
          <w:sz w:val="32"/>
          <w:szCs w:val="32"/>
        </w:rPr>
      </w:pPr>
      <w:r>
        <w:rPr>
          <w:rFonts w:hint="eastAsia" w:ascii="仿宋_GB2312" w:hAnsi="黑体" w:eastAsia="仿宋_GB2312" w:cs="仿宋_GB2312"/>
          <w:b/>
          <w:sz w:val="32"/>
          <w:szCs w:val="32"/>
        </w:rPr>
        <w:t>（</w:t>
      </w:r>
      <w:r>
        <w:rPr>
          <w:rFonts w:hint="eastAsia" w:hAnsi="黑体" w:cs="仿宋_GB2312"/>
          <w:b/>
          <w:sz w:val="32"/>
          <w:szCs w:val="32"/>
          <w:lang w:val="en-US" w:eastAsia="zh-CN"/>
        </w:rPr>
        <w:t>四</w:t>
      </w:r>
      <w:r>
        <w:rPr>
          <w:rFonts w:hint="eastAsia" w:ascii="仿宋_GB2312" w:hAnsi="黑体" w:eastAsia="仿宋_GB2312" w:cs="仿宋_GB2312"/>
          <w:b/>
          <w:sz w:val="32"/>
          <w:szCs w:val="32"/>
        </w:rPr>
        <w:t>）检验规则</w:t>
      </w:r>
    </w:p>
    <w:p w14:paraId="59B6DED2">
      <w:pPr>
        <w:pStyle w:val="17"/>
        <w:kinsoku w:val="0"/>
        <w:overflowPunct w:val="0"/>
        <w:snapToGrid w:val="0"/>
        <w:spacing w:line="560" w:lineRule="exact"/>
        <w:ind w:firstLine="648" w:firstLineChars="200"/>
        <w:rPr>
          <w:rFonts w:ascii="仿宋_GB2312" w:hAnsi="仿宋_GB2312" w:eastAsia="仿宋_GB2312"/>
          <w:spacing w:val="2"/>
          <w:sz w:val="32"/>
        </w:rPr>
      </w:pPr>
      <w:r>
        <w:rPr>
          <w:rFonts w:hint="eastAsia" w:ascii="仿宋_GB2312" w:hAnsi="仿宋_GB2312" w:eastAsia="仿宋_GB2312"/>
          <w:spacing w:val="2"/>
          <w:sz w:val="32"/>
        </w:rPr>
        <w:t>检验规则依据</w:t>
      </w:r>
      <w:r>
        <w:rPr>
          <w:rFonts w:hint="eastAsia" w:hAnsi="仿宋_GB2312"/>
          <w:spacing w:val="2"/>
          <w:sz w:val="32"/>
          <w:lang w:val="en-US" w:eastAsia="zh-CN"/>
        </w:rPr>
        <w:t>东兴对虾养殖企业</w:t>
      </w:r>
      <w:r>
        <w:rPr>
          <w:rFonts w:hint="eastAsia" w:ascii="仿宋_GB2312" w:hAnsi="仿宋_GB2312" w:eastAsia="仿宋_GB2312"/>
          <w:spacing w:val="2"/>
          <w:sz w:val="32"/>
        </w:rPr>
        <w:t>生产实际确定，包括组批、抽样、出厂检验、型式检验、判定规则。其中出厂检验主要从感官要求、</w:t>
      </w:r>
      <w:r>
        <w:rPr>
          <w:rFonts w:hint="eastAsia" w:hAnsi="仿宋_GB2312"/>
          <w:spacing w:val="2"/>
          <w:sz w:val="32"/>
          <w:lang w:val="en-US" w:eastAsia="zh-CN"/>
        </w:rPr>
        <w:t>规格、</w:t>
      </w:r>
      <w:r>
        <w:rPr>
          <w:rFonts w:hint="eastAsia" w:ascii="仿宋_GB2312" w:hAnsi="仿宋_GB2312" w:eastAsia="仿宋_GB2312"/>
          <w:spacing w:val="2"/>
          <w:sz w:val="32"/>
        </w:rPr>
        <w:t>水分、</w:t>
      </w:r>
      <w:r>
        <w:rPr>
          <w:rFonts w:hint="eastAsia" w:hAnsi="仿宋_GB2312"/>
          <w:spacing w:val="2"/>
          <w:sz w:val="32"/>
          <w:lang w:val="en-US" w:eastAsia="zh-CN"/>
        </w:rPr>
        <w:t>出肉率</w:t>
      </w:r>
      <w:r>
        <w:rPr>
          <w:rFonts w:hint="eastAsia" w:ascii="仿宋_GB2312" w:hAnsi="仿宋_GB2312" w:eastAsia="仿宋_GB2312"/>
          <w:spacing w:val="2"/>
          <w:sz w:val="32"/>
        </w:rPr>
        <w:t>。</w:t>
      </w:r>
    </w:p>
    <w:p w14:paraId="79640726">
      <w:pPr>
        <w:autoSpaceDE w:val="0"/>
        <w:autoSpaceDN w:val="0"/>
        <w:adjustRightInd w:val="0"/>
        <w:spacing w:before="156" w:beforeLines="50" w:after="156" w:afterLines="50" w:line="560" w:lineRule="exact"/>
        <w:ind w:firstLine="643" w:firstLineChars="200"/>
        <w:jc w:val="left"/>
        <w:rPr>
          <w:rFonts w:hint="eastAsia" w:ascii="仿宋_GB2312" w:hAnsi="黑体" w:eastAsia="仿宋_GB2312" w:cs="仿宋_GB2312"/>
          <w:b/>
          <w:sz w:val="32"/>
          <w:szCs w:val="32"/>
        </w:rPr>
      </w:pPr>
      <w:r>
        <w:rPr>
          <w:rFonts w:hint="eastAsia" w:ascii="仿宋_GB2312" w:hAnsi="黑体" w:eastAsia="仿宋_GB2312" w:cs="仿宋_GB2312"/>
          <w:b/>
          <w:sz w:val="32"/>
          <w:szCs w:val="32"/>
        </w:rPr>
        <w:t>（</w:t>
      </w:r>
      <w:r>
        <w:rPr>
          <w:rFonts w:hint="eastAsia" w:hAnsi="黑体" w:cs="仿宋_GB2312"/>
          <w:b/>
          <w:sz w:val="32"/>
          <w:szCs w:val="32"/>
          <w:lang w:val="en-US" w:eastAsia="zh-CN"/>
        </w:rPr>
        <w:t>五</w:t>
      </w:r>
      <w:r>
        <w:rPr>
          <w:rFonts w:hint="eastAsia" w:ascii="仿宋_GB2312" w:hAnsi="黑体" w:eastAsia="仿宋_GB2312" w:cs="仿宋_GB2312"/>
          <w:b/>
          <w:sz w:val="32"/>
          <w:szCs w:val="32"/>
        </w:rPr>
        <w:t>）包装、标识、运输</w:t>
      </w:r>
    </w:p>
    <w:p w14:paraId="002A6108">
      <w:pPr>
        <w:autoSpaceDE w:val="0"/>
        <w:autoSpaceDN w:val="0"/>
        <w:adjustRightInd w:val="0"/>
        <w:spacing w:before="156" w:beforeLines="50" w:after="156" w:afterLines="50" w:line="560" w:lineRule="exact"/>
        <w:ind w:firstLine="640" w:firstLineChars="200"/>
        <w:jc w:val="left"/>
        <w:rPr>
          <w:rFonts w:hint="eastAsia" w:ascii="仿宋_GB2312" w:hAnsi="黑体" w:eastAsia="仿宋_GB2312" w:cs="仿宋_GB2312"/>
          <w:sz w:val="32"/>
          <w:szCs w:val="32"/>
        </w:rPr>
      </w:pPr>
      <w:r>
        <w:rPr>
          <w:rFonts w:hint="eastAsia" w:hAnsi="黑体" w:cs="仿宋_GB2312"/>
          <w:sz w:val="32"/>
          <w:szCs w:val="32"/>
          <w:lang w:val="en-US" w:eastAsia="zh-CN"/>
        </w:rPr>
        <w:t>包装标识</w:t>
      </w:r>
      <w:r>
        <w:rPr>
          <w:rFonts w:hint="eastAsia" w:ascii="仿宋_GB2312" w:hAnsi="黑体" w:eastAsia="仿宋_GB2312" w:cs="仿宋_GB2312"/>
          <w:sz w:val="32"/>
          <w:szCs w:val="32"/>
        </w:rPr>
        <w:t>符合SC/T 3035的规定，在标签上应包括产品名称、等级、生产单位及详细地址、产地、净含量、捕捞日期等相关信息。标注内容应字迹清晰、规范、完整、准确。</w:t>
      </w:r>
    </w:p>
    <w:p w14:paraId="5FA4DB26">
      <w:pPr>
        <w:pStyle w:val="2"/>
        <w:ind w:firstLine="640" w:firstLineChars="200"/>
        <w:jc w:val="both"/>
        <w:rPr>
          <w:rFonts w:hint="eastAsia" w:eastAsia="仿宋_GB2312"/>
          <w:lang w:val="en-US" w:eastAsia="zh-CN"/>
        </w:rPr>
      </w:pPr>
      <w:r>
        <w:rPr>
          <w:rFonts w:hint="eastAsia" w:hAnsi="黑体" w:cs="仿宋_GB2312"/>
          <w:sz w:val="32"/>
          <w:szCs w:val="32"/>
          <w:lang w:val="en-US" w:eastAsia="zh-CN"/>
        </w:rPr>
        <w:t>运输按GB/T 36192规定的水产运输执行。</w:t>
      </w:r>
    </w:p>
    <w:p w14:paraId="0F489245">
      <w:pPr>
        <w:rPr>
          <w:rFonts w:ascii="Times New Roman" w:hAnsi="Times New Roman" w:eastAsia="黑体"/>
          <w:lang w:val="en-US" w:bidi="ar-SA"/>
        </w:rPr>
      </w:pPr>
      <w:r>
        <w:rPr>
          <w:rFonts w:ascii="Times New Roman" w:hAnsi="Times New Roman" w:eastAsia="黑体"/>
          <w:lang w:val="en-US" w:bidi="ar-SA"/>
        </w:rPr>
        <w:t>六、重大分歧意见的处理经过和依据</w:t>
      </w:r>
    </w:p>
    <w:p w14:paraId="7F19B751">
      <w:pPr>
        <w:pStyle w:val="49"/>
        <w:ind w:firstLine="640"/>
        <w:rPr>
          <w:rFonts w:ascii="Times New Roman" w:eastAsia="仿宋_GB2312"/>
          <w:kern w:val="2"/>
          <w:sz w:val="32"/>
          <w:szCs w:val="32"/>
          <w:lang w:val="zh-CN" w:bidi="en-US"/>
        </w:rPr>
      </w:pPr>
      <w:r>
        <w:rPr>
          <w:rFonts w:ascii="Times New Roman" w:eastAsia="仿宋_GB2312"/>
          <w:kern w:val="2"/>
          <w:sz w:val="32"/>
          <w:szCs w:val="32"/>
          <w:lang w:val="zh-CN" w:bidi="en-US"/>
        </w:rPr>
        <w:t>本标准研制过程中无重大分歧意见。</w:t>
      </w:r>
    </w:p>
    <w:p w14:paraId="7ED4F40F">
      <w:pPr>
        <w:rPr>
          <w:rFonts w:ascii="Times New Roman" w:hAnsi="Times New Roman" w:eastAsia="黑体"/>
          <w:lang w:val="en-US" w:bidi="ar-SA"/>
        </w:rPr>
      </w:pPr>
      <w:r>
        <w:rPr>
          <w:rFonts w:ascii="Times New Roman" w:hAnsi="Times New Roman" w:eastAsia="黑体"/>
          <w:lang w:val="en-US" w:bidi="ar-SA"/>
        </w:rPr>
        <w:t>七、实施标准的措施</w:t>
      </w:r>
    </w:p>
    <w:p w14:paraId="2EE9129B">
      <w:pPr>
        <w:pStyle w:val="49"/>
        <w:ind w:firstLine="643"/>
        <w:rPr>
          <w:rFonts w:ascii="Times New Roman" w:eastAsia="仿宋"/>
          <w:b/>
          <w:kern w:val="2"/>
          <w:sz w:val="32"/>
          <w:szCs w:val="32"/>
          <w:lang w:val="zh-CN" w:bidi="en-US"/>
        </w:rPr>
      </w:pPr>
      <w:r>
        <w:rPr>
          <w:rFonts w:ascii="Times New Roman" w:eastAsia="仿宋"/>
          <w:b/>
          <w:kern w:val="2"/>
          <w:sz w:val="32"/>
          <w:szCs w:val="32"/>
          <w:lang w:val="zh-CN" w:bidi="en-US"/>
        </w:rPr>
        <w:t>（一）标准报批发布后，成立标准宣贯工作组</w:t>
      </w:r>
    </w:p>
    <w:p w14:paraId="79A53FCA">
      <w:pPr>
        <w:pStyle w:val="49"/>
        <w:ind w:firstLine="640"/>
        <w:rPr>
          <w:rFonts w:ascii="Times New Roman" w:eastAsia="仿宋_GB2312"/>
          <w:kern w:val="2"/>
          <w:sz w:val="32"/>
          <w:szCs w:val="32"/>
          <w:lang w:val="zh-CN" w:bidi="en-US"/>
        </w:rPr>
      </w:pPr>
      <w:r>
        <w:rPr>
          <w:rFonts w:ascii="Times New Roman" w:eastAsia="仿宋_GB2312"/>
          <w:kern w:val="2"/>
          <w:sz w:val="32"/>
          <w:szCs w:val="32"/>
          <w:lang w:val="zh-CN" w:bidi="en-US"/>
        </w:rPr>
        <w:t>本标准发布后，成立以</w:t>
      </w:r>
      <w:r>
        <w:rPr>
          <w:rFonts w:hint="eastAsia" w:ascii="Times New Roman" w:eastAsia="仿宋_GB2312"/>
          <w:kern w:val="2"/>
          <w:sz w:val="32"/>
          <w:szCs w:val="32"/>
          <w:lang w:val="en-US" w:eastAsia="zh-CN" w:bidi="en-US"/>
        </w:rPr>
        <w:t>东兴市农业农村水利局为牵头单位的</w:t>
      </w:r>
      <w:r>
        <w:rPr>
          <w:rFonts w:ascii="Times New Roman" w:eastAsia="仿宋_GB2312"/>
          <w:kern w:val="2"/>
          <w:sz w:val="32"/>
          <w:szCs w:val="32"/>
          <w:lang w:val="zh-CN" w:bidi="en-US"/>
        </w:rPr>
        <w:t>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1D6478F7">
      <w:pPr>
        <w:pStyle w:val="49"/>
        <w:ind w:firstLine="643"/>
        <w:rPr>
          <w:rFonts w:ascii="Times New Roman" w:eastAsia="仿宋"/>
          <w:b/>
          <w:kern w:val="2"/>
          <w:sz w:val="32"/>
          <w:szCs w:val="32"/>
          <w:lang w:val="zh-CN" w:bidi="en-US"/>
        </w:rPr>
      </w:pPr>
      <w:r>
        <w:rPr>
          <w:rFonts w:ascii="Times New Roman" w:eastAsia="仿宋"/>
          <w:b/>
          <w:kern w:val="2"/>
          <w:sz w:val="32"/>
          <w:szCs w:val="32"/>
          <w:lang w:val="zh-CN" w:bidi="en-US"/>
        </w:rPr>
        <w:t>（二）组织开展标准宣贯培训</w:t>
      </w:r>
    </w:p>
    <w:p w14:paraId="538F6B7C">
      <w:pPr>
        <w:pStyle w:val="49"/>
        <w:ind w:firstLine="640"/>
        <w:rPr>
          <w:rFonts w:ascii="Times New Roman" w:eastAsia="仿宋_GB2312"/>
          <w:kern w:val="2"/>
          <w:sz w:val="32"/>
          <w:szCs w:val="32"/>
          <w:lang w:val="zh-CN" w:bidi="en-US"/>
        </w:rPr>
      </w:pPr>
      <w:r>
        <w:rPr>
          <w:rFonts w:ascii="Times New Roman" w:eastAsia="仿宋_GB2312"/>
          <w:kern w:val="2"/>
          <w:sz w:val="32"/>
          <w:szCs w:val="32"/>
          <w:lang w:val="zh-CN" w:bidi="en-US"/>
        </w:rPr>
        <w:t>标准发布实施后，标准宣贯工作小组制作标准解读宣贯培训PPT课件和标准核心技术明白书，并按标准宣贯培训计划深入各市县，对相关技术人员开展标准宣贯培训，对标准进行逐条解读，让技术人员掌握标准核心技术内容，助力标准实施落地，推动广西</w:t>
      </w:r>
      <w:r>
        <w:rPr>
          <w:rFonts w:hint="eastAsia" w:ascii="Times New Roman" w:eastAsia="仿宋_GB2312"/>
          <w:kern w:val="2"/>
          <w:sz w:val="32"/>
          <w:szCs w:val="32"/>
          <w:lang w:val="en-US" w:eastAsia="zh-CN" w:bidi="en-US"/>
        </w:rPr>
        <w:t>马尾松乃至林业</w:t>
      </w:r>
      <w:r>
        <w:rPr>
          <w:rFonts w:ascii="Times New Roman" w:eastAsia="仿宋_GB2312"/>
          <w:kern w:val="2"/>
          <w:sz w:val="32"/>
          <w:szCs w:val="32"/>
          <w:lang w:val="zh-CN" w:bidi="en-US"/>
        </w:rPr>
        <w:t>产业高质量发展。</w:t>
      </w:r>
    </w:p>
    <w:p w14:paraId="26FF45A6">
      <w:pPr>
        <w:pStyle w:val="49"/>
        <w:ind w:firstLine="643"/>
        <w:rPr>
          <w:rFonts w:ascii="Times New Roman" w:eastAsia="仿宋"/>
          <w:b/>
          <w:kern w:val="2"/>
          <w:sz w:val="32"/>
          <w:szCs w:val="32"/>
          <w:lang w:val="zh-CN" w:bidi="en-US"/>
        </w:rPr>
      </w:pPr>
      <w:r>
        <w:rPr>
          <w:rFonts w:ascii="Times New Roman" w:eastAsia="仿宋"/>
          <w:b/>
          <w:kern w:val="2"/>
          <w:sz w:val="32"/>
          <w:szCs w:val="32"/>
          <w:lang w:val="zh-CN" w:bidi="en-US"/>
        </w:rPr>
        <w:t>（三）开展标准实施交流会，收集标准实施反馈信息</w:t>
      </w:r>
    </w:p>
    <w:p w14:paraId="1333BABC">
      <w:pPr>
        <w:pStyle w:val="49"/>
        <w:ind w:firstLine="640"/>
        <w:rPr>
          <w:rFonts w:ascii="Times New Roman" w:eastAsia="仿宋"/>
          <w:kern w:val="2"/>
          <w:sz w:val="32"/>
          <w:szCs w:val="32"/>
          <w:lang w:val="zh-CN" w:bidi="en-US"/>
        </w:rPr>
      </w:pPr>
      <w:r>
        <w:rPr>
          <w:rFonts w:ascii="Times New Roman" w:eastAsia="仿宋_GB2312"/>
          <w:kern w:val="2"/>
          <w:sz w:val="32"/>
          <w:szCs w:val="32"/>
          <w:lang w:val="zh-CN" w:bidi="en-US"/>
        </w:rPr>
        <w:t>标准起草小组深入各市县</w:t>
      </w:r>
      <w:r>
        <w:rPr>
          <w:rFonts w:hint="eastAsia" w:ascii="Times New Roman" w:eastAsia="仿宋_GB2312"/>
          <w:kern w:val="2"/>
          <w:sz w:val="32"/>
          <w:szCs w:val="32"/>
          <w:lang w:val="en-US" w:eastAsia="zh-CN" w:bidi="en-US"/>
        </w:rPr>
        <w:t>东兴对虾生产和使用单位</w:t>
      </w:r>
      <w:r>
        <w:rPr>
          <w:rFonts w:ascii="Times New Roman" w:eastAsia="仿宋_GB2312"/>
          <w:kern w:val="2"/>
          <w:sz w:val="32"/>
          <w:szCs w:val="32"/>
          <w:lang w:val="zh-CN" w:bidi="en-US"/>
        </w:rPr>
        <w:t>召开标准实施交流会，听取标准实施过程中存在的问题并做好记录和解答，对存在的问题组织专家团队进行研讨，为标准的复审修订做准备。</w:t>
      </w:r>
    </w:p>
    <w:p w14:paraId="25752760">
      <w:pPr>
        <w:pStyle w:val="49"/>
        <w:ind w:firstLine="643"/>
        <w:rPr>
          <w:rFonts w:ascii="Times New Roman" w:eastAsia="仿宋"/>
          <w:b/>
          <w:kern w:val="2"/>
          <w:sz w:val="32"/>
          <w:szCs w:val="32"/>
          <w:lang w:val="zh-CN" w:bidi="en-US"/>
        </w:rPr>
      </w:pPr>
      <w:r>
        <w:rPr>
          <w:rFonts w:ascii="Times New Roman" w:eastAsia="仿宋"/>
          <w:b/>
          <w:kern w:val="2"/>
          <w:sz w:val="32"/>
          <w:szCs w:val="32"/>
          <w:lang w:val="zh-CN" w:bidi="en-US"/>
        </w:rPr>
        <w:t>（四）开展标准实施效果评估</w:t>
      </w:r>
    </w:p>
    <w:p w14:paraId="07FB5053">
      <w:pPr>
        <w:pStyle w:val="49"/>
        <w:ind w:firstLine="640"/>
        <w:rPr>
          <w:rFonts w:ascii="Times New Roman" w:eastAsia="仿宋_GB2312"/>
          <w:kern w:val="2"/>
          <w:sz w:val="32"/>
          <w:szCs w:val="32"/>
          <w:lang w:val="zh-CN" w:bidi="en-US"/>
        </w:rPr>
      </w:pPr>
      <w:r>
        <w:rPr>
          <w:rFonts w:ascii="Times New Roman" w:eastAsia="仿宋_GB2312"/>
          <w:kern w:val="2"/>
          <w:sz w:val="32"/>
          <w:szCs w:val="32"/>
          <w:lang w:val="zh-CN" w:bidi="en-US"/>
        </w:rPr>
        <w:t>标准实施满2年，每年标准宣贯工作组采取网络调查、问卷调查、实地调研、召开座谈会或论证会、专家咨询等方式开展标准实施效果评估，并形成标准实施效果评估报告，为标准的复审修订做准备。</w:t>
      </w:r>
    </w:p>
    <w:p w14:paraId="472B65B7">
      <w:pPr>
        <w:rPr>
          <w:rFonts w:ascii="Times New Roman" w:hAnsi="Times New Roman" w:eastAsia="黑体"/>
          <w:lang w:val="en-US" w:bidi="ar-SA"/>
        </w:rPr>
      </w:pPr>
      <w:r>
        <w:rPr>
          <w:rFonts w:ascii="Times New Roman" w:hAnsi="Times New Roman" w:eastAsia="黑体"/>
          <w:lang w:val="en-US" w:bidi="ar-SA"/>
        </w:rPr>
        <w:t>八、其他应当说明的事项</w:t>
      </w:r>
    </w:p>
    <w:p w14:paraId="2F936D87">
      <w:pPr>
        <w:pStyle w:val="49"/>
        <w:ind w:firstLine="640"/>
        <w:rPr>
          <w:rFonts w:ascii="Times New Roman" w:eastAsia="仿宋_GB2312"/>
          <w:kern w:val="2"/>
          <w:sz w:val="32"/>
          <w:szCs w:val="32"/>
          <w:lang w:val="zh-CN" w:bidi="en-US"/>
        </w:rPr>
      </w:pPr>
      <w:r>
        <w:rPr>
          <w:rFonts w:ascii="Times New Roman" w:eastAsia="仿宋_GB2312"/>
          <w:kern w:val="2"/>
          <w:sz w:val="32"/>
          <w:szCs w:val="32"/>
          <w:lang w:val="zh-CN" w:bidi="en-US"/>
        </w:rPr>
        <w:t>无。</w:t>
      </w:r>
    </w:p>
    <w:p w14:paraId="1B043749">
      <w:pPr>
        <w:rPr>
          <w:rFonts w:ascii="Times New Roman" w:hAnsi="Times New Roman" w:eastAsia="黑体"/>
          <w:lang w:val="en-US" w:bidi="ar-SA"/>
        </w:rPr>
      </w:pPr>
      <w:r>
        <w:rPr>
          <w:rFonts w:ascii="Times New Roman" w:hAnsi="Times New Roman" w:eastAsia="黑体"/>
          <w:lang w:val="en-US" w:bidi="ar-SA"/>
        </w:rPr>
        <w:t>九、自我承诺</w:t>
      </w:r>
    </w:p>
    <w:p w14:paraId="2A1461FD">
      <w:pPr>
        <w:pStyle w:val="49"/>
        <w:ind w:firstLine="640"/>
        <w:rPr>
          <w:rFonts w:ascii="Times New Roman" w:eastAsia="仿宋_GB2312"/>
          <w:kern w:val="2"/>
          <w:sz w:val="32"/>
          <w:szCs w:val="32"/>
          <w:lang w:val="zh-CN" w:bidi="en-US"/>
        </w:rPr>
      </w:pPr>
      <w:r>
        <w:rPr>
          <w:rFonts w:ascii="Times New Roman" w:eastAsia="仿宋_GB2312"/>
          <w:kern w:val="2"/>
          <w:sz w:val="32"/>
          <w:szCs w:val="32"/>
          <w:lang w:val="zh-CN" w:bidi="en-US"/>
        </w:rPr>
        <w:t>本标准内容与各项指标不低于强制性标准要求。</w:t>
      </w:r>
    </w:p>
    <w:p w14:paraId="03925754">
      <w:pPr>
        <w:pStyle w:val="49"/>
        <w:ind w:firstLine="640"/>
        <w:rPr>
          <w:rFonts w:ascii="Times New Roman" w:eastAsia="仿宋_GB2312"/>
          <w:kern w:val="2"/>
          <w:sz w:val="32"/>
          <w:szCs w:val="32"/>
          <w:lang w:val="zh-CN" w:bidi="en-US"/>
        </w:rPr>
      </w:pPr>
    </w:p>
    <w:p w14:paraId="76764134">
      <w:pPr>
        <w:pStyle w:val="49"/>
        <w:ind w:firstLine="640"/>
        <w:rPr>
          <w:rFonts w:ascii="Times New Roman" w:eastAsia="仿宋"/>
          <w:sz w:val="32"/>
          <w:szCs w:val="32"/>
          <w:lang w:bidi="en-US"/>
        </w:rPr>
      </w:pPr>
    </w:p>
    <w:tbl>
      <w:tblPr>
        <w:tblStyle w:val="3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062"/>
      </w:tblGrid>
      <w:tr w14:paraId="07A1DE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62" w:type="dxa"/>
          </w:tcPr>
          <w:p w14:paraId="0F8D630E">
            <w:pPr>
              <w:pStyle w:val="49"/>
              <w:keepNext w:val="0"/>
              <w:keepLines w:val="0"/>
              <w:widowControl/>
              <w:suppressLineNumbers w:val="0"/>
              <w:spacing w:before="0" w:beforeAutospacing="0" w:after="0" w:afterAutospacing="0"/>
              <w:ind w:left="0" w:right="0" w:firstLine="0" w:firstLineChars="0"/>
              <w:jc w:val="right"/>
              <w:rPr>
                <w:rFonts w:hint="default" w:ascii="Times New Roman" w:eastAsia="仿宋"/>
                <w:kern w:val="2"/>
                <w:sz w:val="32"/>
                <w:szCs w:val="18"/>
                <w:lang w:val="zh-CN" w:bidi="en-US"/>
              </w:rPr>
            </w:pPr>
            <w:r>
              <w:rPr>
                <w:rFonts w:hint="default" w:ascii="Times New Roman" w:eastAsia="仿宋"/>
                <w:kern w:val="2"/>
                <w:sz w:val="32"/>
                <w:szCs w:val="32"/>
                <w:lang w:val="zh-CN" w:bidi="en-US"/>
              </w:rPr>
              <w:t>团体标准《</w:t>
            </w:r>
            <w:r>
              <w:rPr>
                <w:rFonts w:hint="eastAsia" w:ascii="Times New Roman" w:eastAsia="仿宋"/>
                <w:kern w:val="2"/>
                <w:sz w:val="32"/>
                <w:szCs w:val="32"/>
                <w:lang w:val="zh-CN" w:bidi="en-US"/>
              </w:rPr>
              <w:t>东兴对虾</w:t>
            </w:r>
            <w:r>
              <w:rPr>
                <w:rFonts w:hint="default" w:ascii="Times New Roman" w:eastAsia="仿宋"/>
                <w:kern w:val="2"/>
                <w:sz w:val="32"/>
                <w:szCs w:val="32"/>
                <w:lang w:val="zh-CN" w:bidi="en-US"/>
              </w:rPr>
              <w:t>》</w:t>
            </w:r>
          </w:p>
        </w:tc>
      </w:tr>
      <w:tr w14:paraId="1E0955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62" w:type="dxa"/>
          </w:tcPr>
          <w:p w14:paraId="65DF4BED">
            <w:pPr>
              <w:pStyle w:val="49"/>
              <w:keepNext w:val="0"/>
              <w:keepLines w:val="0"/>
              <w:widowControl/>
              <w:suppressLineNumbers w:val="0"/>
              <w:spacing w:before="0" w:beforeAutospacing="0" w:after="0" w:afterAutospacing="0"/>
              <w:ind w:left="0" w:right="560" w:firstLine="5760" w:firstLineChars="1800"/>
              <w:rPr>
                <w:rFonts w:hint="default" w:ascii="Times New Roman" w:eastAsia="仿宋"/>
                <w:kern w:val="2"/>
                <w:sz w:val="32"/>
                <w:szCs w:val="18"/>
                <w:lang w:val="zh-CN" w:bidi="en-US"/>
              </w:rPr>
            </w:pPr>
            <w:r>
              <w:rPr>
                <w:rFonts w:hint="default" w:ascii="Times New Roman" w:eastAsia="仿宋"/>
                <w:kern w:val="2"/>
                <w:sz w:val="32"/>
                <w:szCs w:val="32"/>
                <w:lang w:val="zh-CN" w:bidi="en-US"/>
              </w:rPr>
              <w:t>标准编制小组</w:t>
            </w:r>
          </w:p>
        </w:tc>
      </w:tr>
      <w:tr w14:paraId="40679D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62" w:type="dxa"/>
          </w:tcPr>
          <w:p w14:paraId="5CEC1AD0">
            <w:pPr>
              <w:pStyle w:val="49"/>
              <w:keepNext w:val="0"/>
              <w:keepLines w:val="0"/>
              <w:widowControl/>
              <w:suppressLineNumbers w:val="0"/>
              <w:spacing w:before="0" w:beforeAutospacing="0" w:after="0" w:afterAutospacing="0"/>
              <w:ind w:left="0" w:right="560" w:firstLine="5760" w:firstLineChars="1800"/>
              <w:rPr>
                <w:rFonts w:hint="default" w:ascii="Times New Roman" w:eastAsia="仿宋"/>
                <w:kern w:val="2"/>
                <w:sz w:val="32"/>
                <w:szCs w:val="18"/>
                <w:lang w:val="zh-CN" w:bidi="en-US"/>
              </w:rPr>
            </w:pPr>
            <w:r>
              <w:rPr>
                <w:rFonts w:hint="default" w:ascii="Times New Roman" w:eastAsia="仿宋"/>
                <w:kern w:val="2"/>
                <w:sz w:val="32"/>
                <w:szCs w:val="32"/>
                <w:lang w:val="zh-CN" w:bidi="en-US"/>
              </w:rPr>
              <w:t>2024年</w:t>
            </w:r>
            <w:r>
              <w:rPr>
                <w:rFonts w:hint="eastAsia" w:ascii="Times New Roman" w:eastAsia="仿宋"/>
                <w:kern w:val="2"/>
                <w:sz w:val="32"/>
                <w:szCs w:val="32"/>
                <w:lang w:val="en-US" w:eastAsia="zh-CN" w:bidi="en-US"/>
              </w:rPr>
              <w:t>12</w:t>
            </w:r>
            <w:r>
              <w:rPr>
                <w:rFonts w:hint="default" w:ascii="Times New Roman" w:eastAsia="仿宋"/>
                <w:kern w:val="2"/>
                <w:sz w:val="32"/>
                <w:szCs w:val="32"/>
                <w:lang w:val="zh-CN" w:bidi="en-US"/>
              </w:rPr>
              <w:t>月</w:t>
            </w:r>
            <w:r>
              <w:rPr>
                <w:rFonts w:hint="eastAsia" w:ascii="Times New Roman" w:eastAsia="仿宋"/>
                <w:kern w:val="2"/>
                <w:sz w:val="32"/>
                <w:szCs w:val="32"/>
                <w:lang w:val="en-US" w:eastAsia="zh-CN" w:bidi="en-US"/>
              </w:rPr>
              <w:t>10</w:t>
            </w:r>
            <w:r>
              <w:rPr>
                <w:rFonts w:hint="default" w:ascii="Times New Roman" w:eastAsia="仿宋"/>
                <w:kern w:val="2"/>
                <w:sz w:val="32"/>
                <w:szCs w:val="32"/>
                <w:lang w:val="zh-CN" w:bidi="en-US"/>
              </w:rPr>
              <w:t>日</w:t>
            </w:r>
          </w:p>
        </w:tc>
      </w:tr>
    </w:tbl>
    <w:p w14:paraId="7B58F2B2">
      <w:pPr>
        <w:pStyle w:val="49"/>
        <w:rPr>
          <w:rFonts w:ascii="Times New Roman"/>
          <w:lang w:bidi="en-US"/>
        </w:rPr>
      </w:pPr>
    </w:p>
    <w:sectPr>
      <w:headerReference r:id="rId3" w:type="default"/>
      <w:footerReference r:id="rId4" w:type="default"/>
      <w:pgSz w:w="11906" w:h="16838"/>
      <w:pgMar w:top="1474" w:right="1417" w:bottom="1474" w:left="1417"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F30079C0-026A-4835-94E5-5A0537877855}"/>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0B8135E4-9A5D-4BEC-AC97-A98C79EAD412}"/>
  </w:font>
  <w:font w:name="仿宋_GB2312">
    <w:panose1 w:val="02010609030101010101"/>
    <w:charset w:val="86"/>
    <w:family w:val="modern"/>
    <w:pitch w:val="default"/>
    <w:sig w:usb0="00000001" w:usb1="080E0000" w:usb2="00000000" w:usb3="00000000" w:csb0="00040000" w:csb1="00000000"/>
    <w:embedRegular r:id="rId3" w:fontKey="{9802A8A8-7FF0-4ED8-BDD9-21EB677ABFBB}"/>
  </w:font>
  <w:font w:name="仿宋">
    <w:panose1 w:val="02010609060101010101"/>
    <w:charset w:val="86"/>
    <w:family w:val="modern"/>
    <w:pitch w:val="default"/>
    <w:sig w:usb0="800002BF" w:usb1="38CF7CFA" w:usb2="00000016" w:usb3="00000000" w:csb0="00040001" w:csb1="00000000"/>
    <w:embedRegular r:id="rId4" w:fontKey="{5071C783-4326-4674-BD57-EF4BDA50EC46}"/>
  </w:font>
  <w:font w:name="Cambria">
    <w:panose1 w:val="02040503050406030204"/>
    <w:charset w:val="00"/>
    <w:family w:val="roman"/>
    <w:pitch w:val="default"/>
    <w:sig w:usb0="E00006FF" w:usb1="420024FF" w:usb2="02000000" w:usb3="00000000" w:csb0="2000019F" w:csb1="00000000"/>
  </w:font>
  <w:font w:name="Verdana">
    <w:panose1 w:val="020B0604030504040204"/>
    <w:charset w:val="00"/>
    <w:family w:val="swiss"/>
    <w:pitch w:val="default"/>
    <w:sig w:usb0="A00006FF" w:usb1="4000205B" w:usb2="00000010" w:usb3="00000000" w:csb0="2000019F" w:csb1="00000000"/>
  </w:font>
  <w:font w:name="新宋体">
    <w:panose1 w:val="02010609030101010101"/>
    <w:charset w:val="86"/>
    <w:family w:val="modern"/>
    <w:pitch w:val="default"/>
    <w:sig w:usb0="00000203" w:usb1="288F0000" w:usb2="00000006" w:usb3="00000000" w:csb0="00040001" w:csb1="00000000"/>
  </w:font>
  <w:font w:name="方正仿宋_GBK">
    <w:altName w:val="微软雅黑"/>
    <w:panose1 w:val="00000000000000000000"/>
    <w:charset w:val="86"/>
    <w:family w:val="script"/>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Arial Unicode MS">
    <w:panose1 w:val="020B0604020202020204"/>
    <w:charset w:val="86"/>
    <w:family w:val="swiss"/>
    <w:pitch w:val="default"/>
    <w:sig w:usb0="FFFFFFFF" w:usb1="E9FFFFFF" w:usb2="0000003F" w:usb3="00000000" w:csb0="603F01FF" w:csb1="FFFF0000"/>
  </w:font>
  <w:font w:name="E-BZ+ZMDH1D-1">
    <w:altName w:val="宋体"/>
    <w:panose1 w:val="00000000000000000000"/>
    <w:charset w:val="86"/>
    <w:family w:val="auto"/>
    <w:pitch w:val="default"/>
    <w:sig w:usb0="00000000" w:usb1="00000000" w:usb2="00000010" w:usb3="00000000" w:csb0="00040000" w:csb1="00000000"/>
  </w:font>
  <w:font w:name="FZSSK--GBK1-00+ZMDH1D-3">
    <w:altName w:val="Segoe Print"/>
    <w:panose1 w:val="00000000000000000000"/>
    <w:charset w:val="00"/>
    <w:family w:val="roman"/>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等线">
    <w:panose1 w:val="02010600030101010101"/>
    <w:charset w:val="86"/>
    <w:family w:val="auto"/>
    <w:pitch w:val="default"/>
    <w:sig w:usb0="A00002BF" w:usb1="38CF7CFA" w:usb2="00000016" w:usb3="00000000" w:csb0="0004000F" w:csb1="00000000"/>
  </w:font>
  <w:font w:name="方正小标宋简体">
    <w:panose1 w:val="02000000000000000000"/>
    <w:charset w:val="86"/>
    <w:family w:val="script"/>
    <w:pitch w:val="default"/>
    <w:sig w:usb0="00000001" w:usb1="080E0000" w:usb2="00000000" w:usb3="00000000" w:csb0="00040000" w:csb1="00000000"/>
    <w:embedRegular r:id="rId5" w:fontKey="{A8E6F81C-0D37-400A-856F-9C0BBC8A8ED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157028772"/>
    </w:sdtPr>
    <w:sdtContent>
      <w:p w14:paraId="580FCD29">
        <w:pPr>
          <w:pStyle w:val="25"/>
        </w:pPr>
        <w:r>
          <w:fldChar w:fldCharType="begin"/>
        </w:r>
        <w:r>
          <w:instrText xml:space="preserve">PAGE   \* MERGEFORMAT</w:instrText>
        </w:r>
        <w:r>
          <w:fldChar w:fldCharType="separate"/>
        </w:r>
        <w:r>
          <w:t>21</w:t>
        </w:r>
        <w:r>
          <w:fldChar w:fldCharType="end"/>
        </w:r>
      </w:p>
    </w:sdtContent>
  </w:sdt>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58AAAD">
    <w:pPr>
      <w:ind w:left="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2B26AA3"/>
    <w:multiLevelType w:val="multilevel"/>
    <w:tmpl w:val="E2B26AA3"/>
    <w:lvl w:ilvl="0" w:tentative="0">
      <w:start w:val="1"/>
      <w:numFmt w:val="none"/>
      <w:suff w:val="nothing"/>
      <w:lvlText w:val="%1"/>
      <w:lvlJc w:val="left"/>
      <w:pPr>
        <w:ind w:left="0" w:firstLine="0"/>
      </w:pPr>
    </w:lvl>
    <w:lvl w:ilvl="1" w:tentative="0">
      <w:start w:val="1"/>
      <w:numFmt w:val="decimal"/>
      <w:pStyle w:val="183"/>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1">
    <w:nsid w:val="079102AD"/>
    <w:multiLevelType w:val="multilevel"/>
    <w:tmpl w:val="079102AD"/>
    <w:lvl w:ilvl="0" w:tentative="0">
      <w:start w:val="1"/>
      <w:numFmt w:val="decimal"/>
      <w:pStyle w:val="65"/>
      <w:suff w:val="nothing"/>
      <w:lvlText w:val="注%1："/>
      <w:lvlJc w:val="left"/>
      <w:pPr>
        <w:ind w:left="811" w:hanging="448"/>
      </w:pPr>
      <w:rPr>
        <w:rFonts w:hint="eastAsia" w:ascii="黑体" w:eastAsia="黑体"/>
        <w:b w:val="0"/>
        <w:i w:val="0"/>
        <w:sz w:val="18"/>
        <w:lang w:val="en-US"/>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2">
    <w:nsid w:val="0BDC1670"/>
    <w:multiLevelType w:val="multilevel"/>
    <w:tmpl w:val="0BDC1670"/>
    <w:lvl w:ilvl="0" w:tentative="0">
      <w:start w:val="1"/>
      <w:numFmt w:val="decimal"/>
      <w:pStyle w:val="171"/>
      <w:lvlText w:val="[%1]"/>
      <w:lvlJc w:val="left"/>
      <w:pPr>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0DDE2B46"/>
    <w:multiLevelType w:val="multilevel"/>
    <w:tmpl w:val="0DDE2B46"/>
    <w:lvl w:ilvl="0" w:tentative="0">
      <w:start w:val="1"/>
      <w:numFmt w:val="lowerLetter"/>
      <w:pStyle w:val="61"/>
      <w:suff w:val="nothing"/>
      <w:lvlText w:val="%1   "/>
      <w:lvlJc w:val="left"/>
      <w:pPr>
        <w:ind w:left="544" w:hanging="181"/>
      </w:pPr>
      <w:rPr>
        <w:rFonts w:hint="eastAsia" w:ascii="宋体" w:hAnsi="宋体" w:eastAsia="宋体"/>
        <w:b w:val="0"/>
        <w:i w:val="0"/>
        <w:sz w:val="18"/>
        <w:vertAlign w:val="superscript"/>
      </w:rPr>
    </w:lvl>
    <w:lvl w:ilvl="1" w:tentative="0">
      <w:start w:val="1"/>
      <w:numFmt w:val="lowerLetter"/>
      <w:lvlText w:val="%2"/>
      <w:lvlJc w:val="left"/>
      <w:pPr>
        <w:tabs>
          <w:tab w:val="left" w:pos="57"/>
        </w:tabs>
        <w:ind w:left="363" w:hanging="363"/>
      </w:pPr>
      <w:rPr>
        <w:rFonts w:hint="eastAsia"/>
      </w:rPr>
    </w:lvl>
    <w:lvl w:ilvl="2" w:tentative="0">
      <w:start w:val="1"/>
      <w:numFmt w:val="lowerRoman"/>
      <w:lvlText w:val="%3."/>
      <w:lvlJc w:val="right"/>
      <w:pPr>
        <w:tabs>
          <w:tab w:val="left" w:pos="57"/>
        </w:tabs>
        <w:ind w:left="363" w:hanging="363"/>
      </w:pPr>
      <w:rPr>
        <w:rFonts w:hint="eastAsia"/>
      </w:rPr>
    </w:lvl>
    <w:lvl w:ilvl="3" w:tentative="0">
      <w:start w:val="1"/>
      <w:numFmt w:val="decimal"/>
      <w:lvlText w:val="%4."/>
      <w:lvlJc w:val="left"/>
      <w:pPr>
        <w:tabs>
          <w:tab w:val="left" w:pos="57"/>
        </w:tabs>
        <w:ind w:left="363" w:hanging="363"/>
      </w:pPr>
      <w:rPr>
        <w:rFonts w:hint="eastAsia"/>
      </w:rPr>
    </w:lvl>
    <w:lvl w:ilvl="4" w:tentative="0">
      <w:start w:val="1"/>
      <w:numFmt w:val="lowerLetter"/>
      <w:lvlText w:val="%5)"/>
      <w:lvlJc w:val="left"/>
      <w:pPr>
        <w:tabs>
          <w:tab w:val="left" w:pos="57"/>
        </w:tabs>
        <w:ind w:left="363" w:hanging="363"/>
      </w:pPr>
      <w:rPr>
        <w:rFonts w:hint="eastAsia"/>
      </w:rPr>
    </w:lvl>
    <w:lvl w:ilvl="5" w:tentative="0">
      <w:start w:val="1"/>
      <w:numFmt w:val="lowerRoman"/>
      <w:lvlText w:val="%6."/>
      <w:lvlJc w:val="right"/>
      <w:pPr>
        <w:tabs>
          <w:tab w:val="left" w:pos="57"/>
        </w:tabs>
        <w:ind w:left="363" w:hanging="363"/>
      </w:pPr>
      <w:rPr>
        <w:rFonts w:hint="eastAsia"/>
      </w:rPr>
    </w:lvl>
    <w:lvl w:ilvl="6" w:tentative="0">
      <w:start w:val="1"/>
      <w:numFmt w:val="decimal"/>
      <w:lvlText w:val="%7."/>
      <w:lvlJc w:val="left"/>
      <w:pPr>
        <w:tabs>
          <w:tab w:val="left" w:pos="57"/>
        </w:tabs>
        <w:ind w:left="363" w:hanging="363"/>
      </w:pPr>
      <w:rPr>
        <w:rFonts w:hint="eastAsia"/>
      </w:rPr>
    </w:lvl>
    <w:lvl w:ilvl="7" w:tentative="0">
      <w:start w:val="1"/>
      <w:numFmt w:val="lowerLetter"/>
      <w:lvlText w:val="%8)"/>
      <w:lvlJc w:val="left"/>
      <w:pPr>
        <w:tabs>
          <w:tab w:val="left" w:pos="57"/>
        </w:tabs>
        <w:ind w:left="363" w:hanging="363"/>
      </w:pPr>
      <w:rPr>
        <w:rFonts w:hint="eastAsia"/>
      </w:rPr>
    </w:lvl>
    <w:lvl w:ilvl="8" w:tentative="0">
      <w:start w:val="1"/>
      <w:numFmt w:val="lowerRoman"/>
      <w:lvlText w:val="%9."/>
      <w:lvlJc w:val="right"/>
      <w:pPr>
        <w:tabs>
          <w:tab w:val="left" w:pos="57"/>
        </w:tabs>
        <w:ind w:left="363" w:hanging="363"/>
      </w:pPr>
      <w:rPr>
        <w:rFonts w:hint="eastAsia"/>
      </w:rPr>
    </w:lvl>
  </w:abstractNum>
  <w:abstractNum w:abstractNumId="4">
    <w:nsid w:val="185FEF02"/>
    <w:multiLevelType w:val="multilevel"/>
    <w:tmpl w:val="185FEF02"/>
    <w:lvl w:ilvl="0" w:tentative="0">
      <w:start w:val="1"/>
      <w:numFmt w:val="decimal"/>
      <w:pStyle w:val="182"/>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5"/>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5">
    <w:nsid w:val="1DBF583A"/>
    <w:multiLevelType w:val="multilevel"/>
    <w:tmpl w:val="1DBF583A"/>
    <w:lvl w:ilvl="0" w:tentative="0">
      <w:start w:val="1"/>
      <w:numFmt w:val="decimal"/>
      <w:pStyle w:val="50"/>
      <w:suff w:val="nothing"/>
      <w:lvlText w:val="注%1："/>
      <w:lvlJc w:val="left"/>
      <w:pPr>
        <w:ind w:left="811" w:hanging="448"/>
      </w:pPr>
      <w:rPr>
        <w:rFonts w:hint="eastAsia" w:ascii="黑体" w:eastAsia="黑体"/>
        <w:b w:val="0"/>
        <w:i w:val="0"/>
        <w:sz w:val="18"/>
        <w:szCs w:val="18"/>
        <w:vertAlign w:val="baseline"/>
      </w:rPr>
    </w:lvl>
    <w:lvl w:ilvl="1" w:tentative="0">
      <w:start w:val="1"/>
      <w:numFmt w:val="lowerLetter"/>
      <w:lvlText w:val="%2)"/>
      <w:lvlJc w:val="left"/>
      <w:pPr>
        <w:tabs>
          <w:tab w:val="left" w:pos="180"/>
        </w:tabs>
        <w:ind w:left="1172" w:hanging="629"/>
      </w:pPr>
      <w:rPr>
        <w:rFonts w:hint="eastAsia"/>
        <w:vertAlign w:val="baseline"/>
      </w:rPr>
    </w:lvl>
    <w:lvl w:ilvl="2" w:tentative="0">
      <w:start w:val="1"/>
      <w:numFmt w:val="lowerRoman"/>
      <w:pStyle w:val="66"/>
      <w:lvlText w:val="%3."/>
      <w:lvlJc w:val="right"/>
      <w:pPr>
        <w:tabs>
          <w:tab w:val="left" w:pos="180"/>
        </w:tabs>
        <w:ind w:left="1172" w:hanging="629"/>
      </w:pPr>
      <w:rPr>
        <w:rFonts w:hint="eastAsia"/>
        <w:vertAlign w:val="baseline"/>
      </w:rPr>
    </w:lvl>
    <w:lvl w:ilvl="3" w:tentative="0">
      <w:start w:val="1"/>
      <w:numFmt w:val="decimal"/>
      <w:pStyle w:val="64"/>
      <w:lvlText w:val="%4."/>
      <w:lvlJc w:val="left"/>
      <w:pPr>
        <w:tabs>
          <w:tab w:val="left" w:pos="180"/>
        </w:tabs>
        <w:ind w:left="1172" w:hanging="629"/>
      </w:pPr>
      <w:rPr>
        <w:rFonts w:hint="eastAsia"/>
        <w:vertAlign w:val="baseline"/>
      </w:rPr>
    </w:lvl>
    <w:lvl w:ilvl="4" w:tentative="0">
      <w:start w:val="1"/>
      <w:numFmt w:val="lowerLetter"/>
      <w:pStyle w:val="58"/>
      <w:lvlText w:val="%5)"/>
      <w:lvlJc w:val="left"/>
      <w:pPr>
        <w:tabs>
          <w:tab w:val="left" w:pos="180"/>
        </w:tabs>
        <w:ind w:left="1172" w:hanging="629"/>
      </w:pPr>
      <w:rPr>
        <w:rFonts w:hint="eastAsia"/>
        <w:vertAlign w:val="baseline"/>
      </w:rPr>
    </w:lvl>
    <w:lvl w:ilvl="5" w:tentative="0">
      <w:start w:val="1"/>
      <w:numFmt w:val="lowerRoman"/>
      <w:lvlText w:val="%6."/>
      <w:lvlJc w:val="right"/>
      <w:pPr>
        <w:tabs>
          <w:tab w:val="left" w:pos="180"/>
        </w:tabs>
        <w:ind w:left="1172" w:hanging="629"/>
      </w:pPr>
      <w:rPr>
        <w:rFonts w:hint="eastAsia"/>
        <w:vertAlign w:val="baseline"/>
      </w:rPr>
    </w:lvl>
    <w:lvl w:ilvl="6" w:tentative="0">
      <w:start w:val="1"/>
      <w:numFmt w:val="decimal"/>
      <w:lvlText w:val="%7."/>
      <w:lvlJc w:val="left"/>
      <w:pPr>
        <w:tabs>
          <w:tab w:val="left" w:pos="180"/>
        </w:tabs>
        <w:ind w:left="1172" w:hanging="629"/>
      </w:pPr>
      <w:rPr>
        <w:rFonts w:hint="eastAsia"/>
        <w:vertAlign w:val="baseline"/>
      </w:rPr>
    </w:lvl>
    <w:lvl w:ilvl="7" w:tentative="0">
      <w:start w:val="1"/>
      <w:numFmt w:val="lowerLetter"/>
      <w:lvlText w:val="%8)"/>
      <w:lvlJc w:val="left"/>
      <w:pPr>
        <w:tabs>
          <w:tab w:val="left" w:pos="180"/>
        </w:tabs>
        <w:ind w:left="1172" w:hanging="629"/>
      </w:pPr>
      <w:rPr>
        <w:rFonts w:hint="eastAsia"/>
        <w:vertAlign w:val="baseline"/>
      </w:rPr>
    </w:lvl>
    <w:lvl w:ilvl="8" w:tentative="0">
      <w:start w:val="1"/>
      <w:numFmt w:val="lowerRoman"/>
      <w:lvlText w:val="%9."/>
      <w:lvlJc w:val="right"/>
      <w:pPr>
        <w:tabs>
          <w:tab w:val="left" w:pos="180"/>
        </w:tabs>
        <w:ind w:left="1172" w:hanging="629"/>
      </w:pPr>
      <w:rPr>
        <w:rFonts w:hint="eastAsia"/>
        <w:vertAlign w:val="baseline"/>
      </w:rPr>
    </w:lvl>
  </w:abstractNum>
  <w:abstractNum w:abstractNumId="6">
    <w:nsid w:val="1FC91163"/>
    <w:multiLevelType w:val="multilevel"/>
    <w:tmpl w:val="1FC91163"/>
    <w:lvl w:ilvl="0" w:tentative="0">
      <w:start w:val="1"/>
      <w:numFmt w:val="decimal"/>
      <w:pStyle w:val="62"/>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55"/>
      <w:suff w:val="nothing"/>
      <w:lvlText w:val="%1.%2　"/>
      <w:lvlJc w:val="left"/>
      <w:pPr>
        <w:ind w:left="525" w:firstLine="0"/>
      </w:pPr>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rPr>
    </w:lvl>
    <w:lvl w:ilvl="2" w:tentative="0">
      <w:start w:val="1"/>
      <w:numFmt w:val="decimal"/>
      <w:pStyle w:val="54"/>
      <w:suff w:val="nothing"/>
      <w:lvlText w:val="%1.%2.%3　"/>
      <w:lvlJc w:val="left"/>
      <w:pPr>
        <w:ind w:left="720" w:firstLine="0"/>
      </w:pPr>
      <w:rPr>
        <w:rFonts w:hint="eastAsia" w:ascii="黑体" w:hAnsi="Times New Roman" w:eastAsia="黑体"/>
        <w:b w:val="0"/>
        <w:i w:val="0"/>
        <w:sz w:val="21"/>
      </w:rPr>
    </w:lvl>
    <w:lvl w:ilvl="3" w:tentative="0">
      <w:start w:val="1"/>
      <w:numFmt w:val="decimal"/>
      <w:pStyle w:val="53"/>
      <w:suff w:val="nothing"/>
      <w:lvlText w:val="%1.%2.%3.%4　"/>
      <w:lvlJc w:val="left"/>
      <w:pPr>
        <w:ind w:left="142" w:firstLine="0"/>
      </w:pPr>
      <w:rPr>
        <w:rFonts w:hint="eastAsia" w:ascii="黑体" w:hAnsi="Times New Roman" w:eastAsia="黑体"/>
        <w:b w:val="0"/>
        <w:i w:val="0"/>
        <w:sz w:val="21"/>
      </w:rPr>
    </w:lvl>
    <w:lvl w:ilvl="4" w:tentative="0">
      <w:start w:val="1"/>
      <w:numFmt w:val="decimal"/>
      <w:pStyle w:val="57"/>
      <w:suff w:val="nothing"/>
      <w:lvlText w:val="%1.%2.%3.%4.%5　"/>
      <w:lvlJc w:val="left"/>
      <w:pPr>
        <w:ind w:left="0" w:firstLine="0"/>
      </w:pPr>
      <w:rPr>
        <w:rFonts w:hint="eastAsia" w:ascii="黑体" w:hAnsi="Times New Roman" w:eastAsia="黑体"/>
        <w:b w:val="0"/>
        <w:i w:val="0"/>
        <w:sz w:val="21"/>
      </w:rPr>
    </w:lvl>
    <w:lvl w:ilvl="5" w:tentative="0">
      <w:start w:val="1"/>
      <w:numFmt w:val="decimal"/>
      <w:pStyle w:val="56"/>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7">
    <w:nsid w:val="2A8F7113"/>
    <w:multiLevelType w:val="multilevel"/>
    <w:tmpl w:val="2A8F7113"/>
    <w:lvl w:ilvl="0" w:tentative="0">
      <w:start w:val="1"/>
      <w:numFmt w:val="upperLetter"/>
      <w:pStyle w:val="63"/>
      <w:suff w:val="space"/>
      <w:lvlText w:val="%1"/>
      <w:lvlJc w:val="left"/>
      <w:pPr>
        <w:ind w:left="623" w:hanging="425"/>
      </w:pPr>
      <w:rPr>
        <w:rFonts w:hint="eastAsia"/>
      </w:rPr>
    </w:lvl>
    <w:lvl w:ilvl="1" w:tentative="0">
      <w:start w:val="1"/>
      <w:numFmt w:val="decimal"/>
      <w:pStyle w:val="67"/>
      <w:suff w:val="nothing"/>
      <w:lvlText w:val="图%1.%2　"/>
      <w:lvlJc w:val="left"/>
      <w:pPr>
        <w:ind w:left="1190" w:hanging="567"/>
      </w:pPr>
      <w:rPr>
        <w:rFonts w:hint="eastAsia"/>
      </w:rPr>
    </w:lvl>
    <w:lvl w:ilvl="2" w:tentative="0">
      <w:start w:val="1"/>
      <w:numFmt w:val="decimal"/>
      <w:lvlText w:val="%1.%2.%3"/>
      <w:lvlJc w:val="left"/>
      <w:pPr>
        <w:tabs>
          <w:tab w:val="left" w:pos="1616"/>
        </w:tabs>
        <w:ind w:left="1616" w:hanging="567"/>
      </w:pPr>
      <w:rPr>
        <w:rFonts w:hint="eastAsia"/>
      </w:rPr>
    </w:lvl>
    <w:lvl w:ilvl="3" w:tentative="0">
      <w:start w:val="1"/>
      <w:numFmt w:val="decimal"/>
      <w:lvlText w:val="%1.%2.%3.%4"/>
      <w:lvlJc w:val="left"/>
      <w:pPr>
        <w:tabs>
          <w:tab w:val="left" w:pos="2914"/>
        </w:tabs>
        <w:ind w:left="2182" w:hanging="708"/>
      </w:pPr>
      <w:rPr>
        <w:rFonts w:hint="eastAsia"/>
      </w:rPr>
    </w:lvl>
    <w:lvl w:ilvl="4" w:tentative="0">
      <w:start w:val="1"/>
      <w:numFmt w:val="decimal"/>
      <w:lvlText w:val="%1.%2.%3.%4.%5"/>
      <w:lvlJc w:val="left"/>
      <w:pPr>
        <w:tabs>
          <w:tab w:val="left" w:pos="3699"/>
        </w:tabs>
        <w:ind w:left="2749" w:hanging="850"/>
      </w:pPr>
      <w:rPr>
        <w:rFonts w:hint="eastAsia"/>
      </w:rPr>
    </w:lvl>
    <w:lvl w:ilvl="5" w:tentative="0">
      <w:start w:val="1"/>
      <w:numFmt w:val="decimal"/>
      <w:lvlText w:val="%1.%2.%3.%4.%5.%6"/>
      <w:lvlJc w:val="left"/>
      <w:pPr>
        <w:tabs>
          <w:tab w:val="left" w:pos="4484"/>
        </w:tabs>
        <w:ind w:left="3458" w:hanging="1134"/>
      </w:pPr>
      <w:rPr>
        <w:rFonts w:hint="eastAsia"/>
      </w:rPr>
    </w:lvl>
    <w:lvl w:ilvl="6" w:tentative="0">
      <w:start w:val="1"/>
      <w:numFmt w:val="decimal"/>
      <w:lvlText w:val="%1.%2.%3.%4.%5.%6.%7"/>
      <w:lvlJc w:val="left"/>
      <w:pPr>
        <w:tabs>
          <w:tab w:val="left" w:pos="5269"/>
        </w:tabs>
        <w:ind w:left="4025" w:hanging="1276"/>
      </w:pPr>
      <w:rPr>
        <w:rFonts w:hint="eastAsia"/>
      </w:rPr>
    </w:lvl>
    <w:lvl w:ilvl="7" w:tentative="0">
      <w:start w:val="1"/>
      <w:numFmt w:val="decimal"/>
      <w:lvlText w:val="%1.%2.%3.%4.%5.%6.%7.%8"/>
      <w:lvlJc w:val="left"/>
      <w:pPr>
        <w:tabs>
          <w:tab w:val="left" w:pos="6054"/>
        </w:tabs>
        <w:ind w:left="4592" w:hanging="1418"/>
      </w:pPr>
      <w:rPr>
        <w:rFonts w:hint="eastAsia"/>
      </w:rPr>
    </w:lvl>
    <w:lvl w:ilvl="8" w:tentative="0">
      <w:start w:val="1"/>
      <w:numFmt w:val="decimal"/>
      <w:lvlText w:val="%1.%2.%3.%4.%5.%6.%7.%8.%9"/>
      <w:lvlJc w:val="left"/>
      <w:pPr>
        <w:tabs>
          <w:tab w:val="left" w:pos="6840"/>
        </w:tabs>
        <w:ind w:left="5300" w:hanging="1700"/>
      </w:pPr>
      <w:rPr>
        <w:rFonts w:hint="eastAsia"/>
      </w:rPr>
    </w:lvl>
  </w:abstractNum>
  <w:abstractNum w:abstractNumId="8">
    <w:nsid w:val="2E71AB4B"/>
    <w:multiLevelType w:val="multilevel"/>
    <w:tmpl w:val="2E71AB4B"/>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pStyle w:val="178"/>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9">
    <w:nsid w:val="3101A5A5"/>
    <w:multiLevelType w:val="multilevel"/>
    <w:tmpl w:val="3101A5A5"/>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pStyle w:val="179"/>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10">
    <w:nsid w:val="557C2AF5"/>
    <w:multiLevelType w:val="multilevel"/>
    <w:tmpl w:val="557C2AF5"/>
    <w:lvl w:ilvl="0" w:tentative="0">
      <w:start w:val="1"/>
      <w:numFmt w:val="decimal"/>
      <w:pStyle w:val="68"/>
      <w:suff w:val="nothing"/>
      <w:lvlText w:val="图%1　"/>
      <w:lvlJc w:val="left"/>
      <w:pPr>
        <w:ind w:left="0" w:firstLine="0"/>
      </w:pPr>
      <w:rPr>
        <w:rFonts w:hint="eastAsia" w:ascii="黑体" w:hAnsi="Times New Roman" w:eastAsia="黑体"/>
        <w:b w:val="0"/>
        <w:i w:val="0"/>
        <w:sz w:val="21"/>
      </w:rPr>
    </w:lvl>
    <w:lvl w:ilvl="1" w:tentative="0">
      <w:start w:val="1"/>
      <w:numFmt w:val="decimal"/>
      <w:suff w:val="nothing"/>
      <w:lvlText w:val="%1%2　"/>
      <w:lvlJc w:val="left"/>
      <w:pPr>
        <w:ind w:left="0" w:firstLine="0"/>
      </w:pPr>
      <w:rPr>
        <w:rFonts w:hint="default" w:ascii="Times New Roman" w:hAnsi="Times New Roman" w:eastAsia="黑体"/>
        <w:b w:val="0"/>
        <w:i w:val="0"/>
        <w:sz w:val="21"/>
      </w:rPr>
    </w:lvl>
    <w:lvl w:ilvl="2" w:tentative="0">
      <w:start w:val="1"/>
      <w:numFmt w:val="decimal"/>
      <w:suff w:val="nothing"/>
      <w:lvlText w:val="%1%2.%3　"/>
      <w:lvlJc w:val="left"/>
      <w:pPr>
        <w:ind w:left="0" w:firstLine="0"/>
      </w:pPr>
      <w:rPr>
        <w:rFonts w:hint="default" w:ascii="Times New Roman" w:hAnsi="Times New Roman" w:eastAsia="黑体"/>
        <w:b w:val="0"/>
        <w:i w:val="0"/>
        <w:sz w:val="21"/>
      </w:rPr>
    </w:lvl>
    <w:lvl w:ilvl="3" w:tentative="0">
      <w:start w:val="1"/>
      <w:numFmt w:val="decimal"/>
      <w:suff w:val="nothing"/>
      <w:lvlText w:val="%1%2.%3.%4　"/>
      <w:lvlJc w:val="left"/>
      <w:pPr>
        <w:ind w:left="0" w:firstLine="0"/>
      </w:pPr>
      <w:rPr>
        <w:rFonts w:hint="default" w:ascii="Times New Roman" w:hAnsi="Times New Roman" w:eastAsia="黑体"/>
        <w:b w:val="0"/>
        <w:i w:val="0"/>
        <w:sz w:val="21"/>
      </w:rPr>
    </w:lvl>
    <w:lvl w:ilvl="4" w:tentative="0">
      <w:start w:val="1"/>
      <w:numFmt w:val="decimal"/>
      <w:suff w:val="nothing"/>
      <w:lvlText w:val="%1%2.%3.%4.%5　"/>
      <w:lvlJc w:val="left"/>
      <w:pPr>
        <w:ind w:left="0" w:firstLine="0"/>
      </w:pPr>
      <w:rPr>
        <w:rFonts w:hint="default" w:ascii="Times New Roman" w:hAnsi="Times New Roman" w:eastAsia="黑体"/>
        <w:b w:val="0"/>
        <w:i w:val="0"/>
        <w:sz w:val="21"/>
      </w:rPr>
    </w:lvl>
    <w:lvl w:ilvl="5" w:tentative="0">
      <w:start w:val="1"/>
      <w:numFmt w:val="decimal"/>
      <w:suff w:val="nothing"/>
      <w:lvlText w:val="%1%2.%3.%4.%5.%6　"/>
      <w:lvlJc w:val="left"/>
      <w:pPr>
        <w:ind w:left="0" w:firstLine="0"/>
      </w:pPr>
      <w:rPr>
        <w:rFonts w:hint="default" w:ascii="Times New Roman" w:hAnsi="Times New Roman" w:eastAsia="黑体"/>
        <w:b w:val="0"/>
        <w:i w:val="0"/>
        <w:sz w:val="21"/>
      </w:rPr>
    </w:lvl>
    <w:lvl w:ilvl="6" w:tentative="0">
      <w:start w:val="1"/>
      <w:numFmt w:val="decimal"/>
      <w:suff w:val="nothing"/>
      <w:lvlText w:val="%1%2.%3.%4.%5.%6.%7　"/>
      <w:lvlJc w:val="left"/>
      <w:pPr>
        <w:ind w:left="0" w:firstLine="0"/>
      </w:pPr>
      <w:rPr>
        <w:rFonts w:hint="default" w:ascii="Times New Roman"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1">
    <w:nsid w:val="646260FA"/>
    <w:multiLevelType w:val="multilevel"/>
    <w:tmpl w:val="646260FA"/>
    <w:lvl w:ilvl="0" w:tentative="0">
      <w:start w:val="1"/>
      <w:numFmt w:val="decimal"/>
      <w:pStyle w:val="51"/>
      <w:suff w:val="nothing"/>
      <w:lvlText w:val="表%1　"/>
      <w:lvlJc w:val="left"/>
      <w:pPr>
        <w:ind w:left="0" w:firstLine="0"/>
      </w:pPr>
      <w:rPr>
        <w:rFonts w:hint="eastAsia" w:ascii="黑体" w:hAnsi="Times New Roman" w:eastAsia="黑体"/>
        <w:b w:val="0"/>
        <w:i w:val="0"/>
        <w:sz w:val="21"/>
      </w:rPr>
    </w:lvl>
    <w:lvl w:ilvl="1" w:tentative="0">
      <w:start w:val="1"/>
      <w:numFmt w:val="decimal"/>
      <w:lvlText w:val="%1.%2"/>
      <w:lvlJc w:val="left"/>
      <w:pPr>
        <w:tabs>
          <w:tab w:val="left" w:pos="992"/>
        </w:tabs>
        <w:ind w:left="992" w:hanging="567"/>
      </w:pPr>
      <w:rPr>
        <w:rFonts w:hint="eastAsia"/>
      </w:rPr>
    </w:lvl>
    <w:lvl w:ilvl="2" w:tentative="0">
      <w:start w:val="1"/>
      <w:numFmt w:val="decimal"/>
      <w:lvlText w:val="%1.%2.%3"/>
      <w:lvlJc w:val="left"/>
      <w:pPr>
        <w:tabs>
          <w:tab w:val="left" w:pos="1418"/>
        </w:tabs>
        <w:ind w:left="1418" w:hanging="567"/>
      </w:pPr>
      <w:rPr>
        <w:rFonts w:hint="eastAsia"/>
      </w:rPr>
    </w:lvl>
    <w:lvl w:ilvl="3" w:tentative="0">
      <w:start w:val="1"/>
      <w:numFmt w:val="decimal"/>
      <w:lvlText w:val="%1.%2.%3.%4"/>
      <w:lvlJc w:val="left"/>
      <w:pPr>
        <w:tabs>
          <w:tab w:val="left" w:pos="1984"/>
        </w:tabs>
        <w:ind w:left="1984" w:hanging="708"/>
      </w:pPr>
      <w:rPr>
        <w:rFonts w:hint="eastAsia"/>
      </w:rPr>
    </w:lvl>
    <w:lvl w:ilvl="4" w:tentative="0">
      <w:start w:val="1"/>
      <w:numFmt w:val="decimal"/>
      <w:lvlText w:val="%1.%2.%3.%4.%5"/>
      <w:lvlJc w:val="left"/>
      <w:pPr>
        <w:tabs>
          <w:tab w:val="left" w:pos="2551"/>
        </w:tabs>
        <w:ind w:left="2551" w:hanging="850"/>
      </w:pPr>
      <w:rPr>
        <w:rFonts w:hint="eastAsia"/>
      </w:rPr>
    </w:lvl>
    <w:lvl w:ilvl="5" w:tentative="0">
      <w:start w:val="1"/>
      <w:numFmt w:val="decimal"/>
      <w:lvlText w:val="%1.%2.%3.%4.%5.%6"/>
      <w:lvlJc w:val="left"/>
      <w:pPr>
        <w:tabs>
          <w:tab w:val="left" w:pos="3260"/>
        </w:tabs>
        <w:ind w:left="3260" w:hanging="1134"/>
      </w:pPr>
      <w:rPr>
        <w:rFonts w:hint="eastAsia"/>
      </w:rPr>
    </w:lvl>
    <w:lvl w:ilvl="6" w:tentative="0">
      <w:start w:val="1"/>
      <w:numFmt w:val="decimal"/>
      <w:lvlText w:val="%1.%2.%3.%4.%5.%6.%7"/>
      <w:lvlJc w:val="left"/>
      <w:pPr>
        <w:tabs>
          <w:tab w:val="left" w:pos="3827"/>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num w:numId="1">
    <w:abstractNumId w:val="5"/>
  </w:num>
  <w:num w:numId="2">
    <w:abstractNumId w:val="11"/>
  </w:num>
  <w:num w:numId="3">
    <w:abstractNumId w:val="6"/>
  </w:num>
  <w:num w:numId="4">
    <w:abstractNumId w:val="3"/>
  </w:num>
  <w:num w:numId="5">
    <w:abstractNumId w:val="7"/>
  </w:num>
  <w:num w:numId="6">
    <w:abstractNumId w:val="1"/>
  </w:num>
  <w:num w:numId="7">
    <w:abstractNumId w:val="10"/>
  </w:num>
  <w:num w:numId="8">
    <w:abstractNumId w:val="2"/>
  </w:num>
  <w:num w:numId="9">
    <w:abstractNumId w:val="8"/>
  </w:num>
  <w:num w:numId="10">
    <w:abstractNumId w:val="9"/>
  </w:num>
  <w:num w:numId="11">
    <w:abstractNumId w:val="4"/>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WQ2M2M3NjMwOWFmYTljMzU3NzA1NWI2MjAwNmRhMmMifQ=="/>
  </w:docVars>
  <w:rsids>
    <w:rsidRoot w:val="0042062E"/>
    <w:rsid w:val="00001249"/>
    <w:rsid w:val="00011226"/>
    <w:rsid w:val="0001367C"/>
    <w:rsid w:val="0001548C"/>
    <w:rsid w:val="00016837"/>
    <w:rsid w:val="00020509"/>
    <w:rsid w:val="00021331"/>
    <w:rsid w:val="00024212"/>
    <w:rsid w:val="00024664"/>
    <w:rsid w:val="000260BA"/>
    <w:rsid w:val="00027600"/>
    <w:rsid w:val="00030608"/>
    <w:rsid w:val="00032EFD"/>
    <w:rsid w:val="00033784"/>
    <w:rsid w:val="00034233"/>
    <w:rsid w:val="00034BDB"/>
    <w:rsid w:val="000359AB"/>
    <w:rsid w:val="00036B6B"/>
    <w:rsid w:val="000420E1"/>
    <w:rsid w:val="00042617"/>
    <w:rsid w:val="00043234"/>
    <w:rsid w:val="00057758"/>
    <w:rsid w:val="00061BE5"/>
    <w:rsid w:val="0007330D"/>
    <w:rsid w:val="00073BBD"/>
    <w:rsid w:val="00073E5A"/>
    <w:rsid w:val="00076EB6"/>
    <w:rsid w:val="00080A72"/>
    <w:rsid w:val="00080F2F"/>
    <w:rsid w:val="00081085"/>
    <w:rsid w:val="0008451B"/>
    <w:rsid w:val="00084CD1"/>
    <w:rsid w:val="00085B5D"/>
    <w:rsid w:val="0008777A"/>
    <w:rsid w:val="00090FC2"/>
    <w:rsid w:val="0009177A"/>
    <w:rsid w:val="00091A5B"/>
    <w:rsid w:val="00091C08"/>
    <w:rsid w:val="00093E74"/>
    <w:rsid w:val="0009465E"/>
    <w:rsid w:val="00095240"/>
    <w:rsid w:val="00096206"/>
    <w:rsid w:val="000962F6"/>
    <w:rsid w:val="000A0201"/>
    <w:rsid w:val="000A281C"/>
    <w:rsid w:val="000A4601"/>
    <w:rsid w:val="000A6E52"/>
    <w:rsid w:val="000A77CD"/>
    <w:rsid w:val="000B0D8E"/>
    <w:rsid w:val="000B1209"/>
    <w:rsid w:val="000B1B90"/>
    <w:rsid w:val="000B314D"/>
    <w:rsid w:val="000B64FC"/>
    <w:rsid w:val="000C0FFF"/>
    <w:rsid w:val="000C25EE"/>
    <w:rsid w:val="000C3937"/>
    <w:rsid w:val="000C4E94"/>
    <w:rsid w:val="000C5321"/>
    <w:rsid w:val="000C5C96"/>
    <w:rsid w:val="000C7910"/>
    <w:rsid w:val="000D15BE"/>
    <w:rsid w:val="000D1D9A"/>
    <w:rsid w:val="000D24C0"/>
    <w:rsid w:val="000D44BF"/>
    <w:rsid w:val="000D6612"/>
    <w:rsid w:val="000E376B"/>
    <w:rsid w:val="000E5A3F"/>
    <w:rsid w:val="000F22CB"/>
    <w:rsid w:val="000F3365"/>
    <w:rsid w:val="000F3888"/>
    <w:rsid w:val="000F517A"/>
    <w:rsid w:val="00101D2E"/>
    <w:rsid w:val="0010242E"/>
    <w:rsid w:val="00102AA8"/>
    <w:rsid w:val="00106661"/>
    <w:rsid w:val="00110869"/>
    <w:rsid w:val="00113902"/>
    <w:rsid w:val="00114946"/>
    <w:rsid w:val="0012534B"/>
    <w:rsid w:val="00126CA6"/>
    <w:rsid w:val="00127EB0"/>
    <w:rsid w:val="00131B03"/>
    <w:rsid w:val="00131E13"/>
    <w:rsid w:val="00133786"/>
    <w:rsid w:val="00134DD4"/>
    <w:rsid w:val="00145776"/>
    <w:rsid w:val="00147CB9"/>
    <w:rsid w:val="00154109"/>
    <w:rsid w:val="0015652F"/>
    <w:rsid w:val="00156663"/>
    <w:rsid w:val="00156DCE"/>
    <w:rsid w:val="001577BC"/>
    <w:rsid w:val="001611BB"/>
    <w:rsid w:val="00162F08"/>
    <w:rsid w:val="001632FC"/>
    <w:rsid w:val="00167732"/>
    <w:rsid w:val="00170EA7"/>
    <w:rsid w:val="001712A8"/>
    <w:rsid w:val="00176608"/>
    <w:rsid w:val="00190A64"/>
    <w:rsid w:val="00191A12"/>
    <w:rsid w:val="001923CF"/>
    <w:rsid w:val="001933C2"/>
    <w:rsid w:val="00194FE3"/>
    <w:rsid w:val="00196054"/>
    <w:rsid w:val="001A3402"/>
    <w:rsid w:val="001A3552"/>
    <w:rsid w:val="001B0691"/>
    <w:rsid w:val="001B3B17"/>
    <w:rsid w:val="001B7105"/>
    <w:rsid w:val="001C47F7"/>
    <w:rsid w:val="001C4F7F"/>
    <w:rsid w:val="001C57C0"/>
    <w:rsid w:val="001C5F01"/>
    <w:rsid w:val="001C793C"/>
    <w:rsid w:val="001D22F0"/>
    <w:rsid w:val="001D23DA"/>
    <w:rsid w:val="001D7816"/>
    <w:rsid w:val="001E0664"/>
    <w:rsid w:val="001E1E6B"/>
    <w:rsid w:val="001E7C10"/>
    <w:rsid w:val="001E7DF2"/>
    <w:rsid w:val="001F2221"/>
    <w:rsid w:val="001F241E"/>
    <w:rsid w:val="001F5A4B"/>
    <w:rsid w:val="001F660A"/>
    <w:rsid w:val="00204260"/>
    <w:rsid w:val="00205603"/>
    <w:rsid w:val="002058CC"/>
    <w:rsid w:val="002116FB"/>
    <w:rsid w:val="002122CF"/>
    <w:rsid w:val="00214221"/>
    <w:rsid w:val="002156B1"/>
    <w:rsid w:val="00215DD2"/>
    <w:rsid w:val="0021765D"/>
    <w:rsid w:val="002200EE"/>
    <w:rsid w:val="002208C3"/>
    <w:rsid w:val="002223DD"/>
    <w:rsid w:val="002231E8"/>
    <w:rsid w:val="00223EB7"/>
    <w:rsid w:val="00224463"/>
    <w:rsid w:val="00230CEF"/>
    <w:rsid w:val="00231E62"/>
    <w:rsid w:val="00232769"/>
    <w:rsid w:val="00237205"/>
    <w:rsid w:val="00242A27"/>
    <w:rsid w:val="00244ADA"/>
    <w:rsid w:val="002451DD"/>
    <w:rsid w:val="00245295"/>
    <w:rsid w:val="002465C7"/>
    <w:rsid w:val="00250314"/>
    <w:rsid w:val="00251CC2"/>
    <w:rsid w:val="00252D21"/>
    <w:rsid w:val="002550EB"/>
    <w:rsid w:val="00256FE0"/>
    <w:rsid w:val="002621E1"/>
    <w:rsid w:val="00262753"/>
    <w:rsid w:val="00262771"/>
    <w:rsid w:val="00264A7D"/>
    <w:rsid w:val="00264CE4"/>
    <w:rsid w:val="002702A1"/>
    <w:rsid w:val="00273402"/>
    <w:rsid w:val="00274CD4"/>
    <w:rsid w:val="002756E9"/>
    <w:rsid w:val="002776F4"/>
    <w:rsid w:val="00280AA3"/>
    <w:rsid w:val="00283085"/>
    <w:rsid w:val="002855D2"/>
    <w:rsid w:val="002864D2"/>
    <w:rsid w:val="0029070A"/>
    <w:rsid w:val="0029084D"/>
    <w:rsid w:val="00290E68"/>
    <w:rsid w:val="00291AF8"/>
    <w:rsid w:val="00294352"/>
    <w:rsid w:val="00297CB9"/>
    <w:rsid w:val="002A02D9"/>
    <w:rsid w:val="002A3998"/>
    <w:rsid w:val="002A4D06"/>
    <w:rsid w:val="002A4ECA"/>
    <w:rsid w:val="002B07E3"/>
    <w:rsid w:val="002B14BD"/>
    <w:rsid w:val="002B512F"/>
    <w:rsid w:val="002C1F48"/>
    <w:rsid w:val="002C34EA"/>
    <w:rsid w:val="002C4FFB"/>
    <w:rsid w:val="002C5534"/>
    <w:rsid w:val="002C611B"/>
    <w:rsid w:val="002C73B6"/>
    <w:rsid w:val="002D0E1A"/>
    <w:rsid w:val="002D4E64"/>
    <w:rsid w:val="002D65DE"/>
    <w:rsid w:val="002D6D1E"/>
    <w:rsid w:val="002D78A4"/>
    <w:rsid w:val="002E073F"/>
    <w:rsid w:val="002E3630"/>
    <w:rsid w:val="002E79C4"/>
    <w:rsid w:val="002E7A35"/>
    <w:rsid w:val="002F0CC8"/>
    <w:rsid w:val="002F1F4C"/>
    <w:rsid w:val="002F34AA"/>
    <w:rsid w:val="002F4D7B"/>
    <w:rsid w:val="002F513F"/>
    <w:rsid w:val="002F5C3B"/>
    <w:rsid w:val="002F6E59"/>
    <w:rsid w:val="003002F9"/>
    <w:rsid w:val="003008AB"/>
    <w:rsid w:val="00301DA7"/>
    <w:rsid w:val="0030254D"/>
    <w:rsid w:val="003025DF"/>
    <w:rsid w:val="00302BD7"/>
    <w:rsid w:val="00302EB0"/>
    <w:rsid w:val="00303E23"/>
    <w:rsid w:val="00306925"/>
    <w:rsid w:val="003100AF"/>
    <w:rsid w:val="00311AD3"/>
    <w:rsid w:val="00312500"/>
    <w:rsid w:val="003144B8"/>
    <w:rsid w:val="00314689"/>
    <w:rsid w:val="00315EAC"/>
    <w:rsid w:val="003174F4"/>
    <w:rsid w:val="0032010E"/>
    <w:rsid w:val="003201F0"/>
    <w:rsid w:val="00323B36"/>
    <w:rsid w:val="00324178"/>
    <w:rsid w:val="00324BA0"/>
    <w:rsid w:val="003307EB"/>
    <w:rsid w:val="00331185"/>
    <w:rsid w:val="003326CF"/>
    <w:rsid w:val="00343C24"/>
    <w:rsid w:val="00345556"/>
    <w:rsid w:val="00345BCC"/>
    <w:rsid w:val="00351D21"/>
    <w:rsid w:val="00353735"/>
    <w:rsid w:val="00356F76"/>
    <w:rsid w:val="00357A1D"/>
    <w:rsid w:val="00357E18"/>
    <w:rsid w:val="0036001E"/>
    <w:rsid w:val="00360826"/>
    <w:rsid w:val="0036089B"/>
    <w:rsid w:val="0036285A"/>
    <w:rsid w:val="00362D09"/>
    <w:rsid w:val="00362F10"/>
    <w:rsid w:val="003635CB"/>
    <w:rsid w:val="00367486"/>
    <w:rsid w:val="00370CC3"/>
    <w:rsid w:val="00374064"/>
    <w:rsid w:val="00382AB2"/>
    <w:rsid w:val="00384C9D"/>
    <w:rsid w:val="00392E22"/>
    <w:rsid w:val="003A2936"/>
    <w:rsid w:val="003B119F"/>
    <w:rsid w:val="003B35B9"/>
    <w:rsid w:val="003B5050"/>
    <w:rsid w:val="003C0F17"/>
    <w:rsid w:val="003C33D0"/>
    <w:rsid w:val="003C483D"/>
    <w:rsid w:val="003C65D6"/>
    <w:rsid w:val="003D2002"/>
    <w:rsid w:val="003D2687"/>
    <w:rsid w:val="003D5CB5"/>
    <w:rsid w:val="003E330B"/>
    <w:rsid w:val="003E38A3"/>
    <w:rsid w:val="003E4A86"/>
    <w:rsid w:val="003E6E40"/>
    <w:rsid w:val="003F0123"/>
    <w:rsid w:val="003F284D"/>
    <w:rsid w:val="003F28D0"/>
    <w:rsid w:val="003F3119"/>
    <w:rsid w:val="003F51FA"/>
    <w:rsid w:val="003F5A69"/>
    <w:rsid w:val="003F727B"/>
    <w:rsid w:val="0040035D"/>
    <w:rsid w:val="0040122C"/>
    <w:rsid w:val="00401A1A"/>
    <w:rsid w:val="00402134"/>
    <w:rsid w:val="00403B65"/>
    <w:rsid w:val="00404BD1"/>
    <w:rsid w:val="00404F3C"/>
    <w:rsid w:val="00406A80"/>
    <w:rsid w:val="00410D85"/>
    <w:rsid w:val="00413564"/>
    <w:rsid w:val="00414F5F"/>
    <w:rsid w:val="0042062E"/>
    <w:rsid w:val="004224AB"/>
    <w:rsid w:val="00423992"/>
    <w:rsid w:val="00424FCB"/>
    <w:rsid w:val="00425860"/>
    <w:rsid w:val="00425F1E"/>
    <w:rsid w:val="00432EF7"/>
    <w:rsid w:val="00434E46"/>
    <w:rsid w:val="0044118D"/>
    <w:rsid w:val="00443322"/>
    <w:rsid w:val="004434D3"/>
    <w:rsid w:val="0044419A"/>
    <w:rsid w:val="00445598"/>
    <w:rsid w:val="004458B4"/>
    <w:rsid w:val="00445D15"/>
    <w:rsid w:val="004503F4"/>
    <w:rsid w:val="00454623"/>
    <w:rsid w:val="0045492B"/>
    <w:rsid w:val="00455661"/>
    <w:rsid w:val="0046025A"/>
    <w:rsid w:val="004605D8"/>
    <w:rsid w:val="004626AF"/>
    <w:rsid w:val="00464470"/>
    <w:rsid w:val="00465230"/>
    <w:rsid w:val="004676B8"/>
    <w:rsid w:val="00467D5D"/>
    <w:rsid w:val="004805D0"/>
    <w:rsid w:val="00480BA1"/>
    <w:rsid w:val="00483335"/>
    <w:rsid w:val="0048357F"/>
    <w:rsid w:val="00484EF3"/>
    <w:rsid w:val="00485CE4"/>
    <w:rsid w:val="004865C9"/>
    <w:rsid w:val="0049011A"/>
    <w:rsid w:val="00490312"/>
    <w:rsid w:val="0049390C"/>
    <w:rsid w:val="00493994"/>
    <w:rsid w:val="004A25C4"/>
    <w:rsid w:val="004A49E5"/>
    <w:rsid w:val="004A5F1E"/>
    <w:rsid w:val="004A614E"/>
    <w:rsid w:val="004A76AB"/>
    <w:rsid w:val="004B140A"/>
    <w:rsid w:val="004B2567"/>
    <w:rsid w:val="004B25B7"/>
    <w:rsid w:val="004B2E49"/>
    <w:rsid w:val="004B2E7F"/>
    <w:rsid w:val="004B7526"/>
    <w:rsid w:val="004C4136"/>
    <w:rsid w:val="004C48D7"/>
    <w:rsid w:val="004C68B7"/>
    <w:rsid w:val="004D1801"/>
    <w:rsid w:val="004D1B9E"/>
    <w:rsid w:val="004D27CD"/>
    <w:rsid w:val="004D5F24"/>
    <w:rsid w:val="004D7654"/>
    <w:rsid w:val="004E1090"/>
    <w:rsid w:val="004F0593"/>
    <w:rsid w:val="004F48C2"/>
    <w:rsid w:val="004F6362"/>
    <w:rsid w:val="00500F96"/>
    <w:rsid w:val="00502832"/>
    <w:rsid w:val="00505158"/>
    <w:rsid w:val="005056B7"/>
    <w:rsid w:val="00506C23"/>
    <w:rsid w:val="0051148B"/>
    <w:rsid w:val="0051295A"/>
    <w:rsid w:val="005139E6"/>
    <w:rsid w:val="0051452B"/>
    <w:rsid w:val="005157E4"/>
    <w:rsid w:val="005159F5"/>
    <w:rsid w:val="00517915"/>
    <w:rsid w:val="005238C6"/>
    <w:rsid w:val="00523A6E"/>
    <w:rsid w:val="00523F17"/>
    <w:rsid w:val="005255ED"/>
    <w:rsid w:val="00526200"/>
    <w:rsid w:val="005269CF"/>
    <w:rsid w:val="00535AC6"/>
    <w:rsid w:val="00537550"/>
    <w:rsid w:val="005442BD"/>
    <w:rsid w:val="005464AC"/>
    <w:rsid w:val="00557BD1"/>
    <w:rsid w:val="005639F8"/>
    <w:rsid w:val="00563D98"/>
    <w:rsid w:val="00570BAC"/>
    <w:rsid w:val="00573D79"/>
    <w:rsid w:val="005742DB"/>
    <w:rsid w:val="00577391"/>
    <w:rsid w:val="00577B1B"/>
    <w:rsid w:val="005802BD"/>
    <w:rsid w:val="0058151C"/>
    <w:rsid w:val="005834F3"/>
    <w:rsid w:val="00586C4B"/>
    <w:rsid w:val="005870E5"/>
    <w:rsid w:val="005873E3"/>
    <w:rsid w:val="00590C72"/>
    <w:rsid w:val="0059129D"/>
    <w:rsid w:val="00596702"/>
    <w:rsid w:val="005A1954"/>
    <w:rsid w:val="005A2D23"/>
    <w:rsid w:val="005A3010"/>
    <w:rsid w:val="005A4523"/>
    <w:rsid w:val="005A54AC"/>
    <w:rsid w:val="005A6904"/>
    <w:rsid w:val="005A76EB"/>
    <w:rsid w:val="005B0CDC"/>
    <w:rsid w:val="005B4C16"/>
    <w:rsid w:val="005B7B7E"/>
    <w:rsid w:val="005C78B9"/>
    <w:rsid w:val="005D06D6"/>
    <w:rsid w:val="005D1EE1"/>
    <w:rsid w:val="005D2AEE"/>
    <w:rsid w:val="005D2C1B"/>
    <w:rsid w:val="005D3F96"/>
    <w:rsid w:val="005D5DDF"/>
    <w:rsid w:val="005D6A5C"/>
    <w:rsid w:val="005E05D4"/>
    <w:rsid w:val="005E1E16"/>
    <w:rsid w:val="005E1E90"/>
    <w:rsid w:val="005E207A"/>
    <w:rsid w:val="005E2143"/>
    <w:rsid w:val="005E39EF"/>
    <w:rsid w:val="005E3CA3"/>
    <w:rsid w:val="005E7D75"/>
    <w:rsid w:val="005E7FBF"/>
    <w:rsid w:val="005F060F"/>
    <w:rsid w:val="005F0FE4"/>
    <w:rsid w:val="005F1E35"/>
    <w:rsid w:val="005F31C4"/>
    <w:rsid w:val="005F36D9"/>
    <w:rsid w:val="005F45AA"/>
    <w:rsid w:val="00602549"/>
    <w:rsid w:val="0060656D"/>
    <w:rsid w:val="006066AB"/>
    <w:rsid w:val="00606B5A"/>
    <w:rsid w:val="00610884"/>
    <w:rsid w:val="0061193D"/>
    <w:rsid w:val="00614106"/>
    <w:rsid w:val="006146B8"/>
    <w:rsid w:val="00614984"/>
    <w:rsid w:val="00616BD3"/>
    <w:rsid w:val="00622CC1"/>
    <w:rsid w:val="006241BB"/>
    <w:rsid w:val="00624F29"/>
    <w:rsid w:val="0062568F"/>
    <w:rsid w:val="0062584E"/>
    <w:rsid w:val="0062615F"/>
    <w:rsid w:val="0062702A"/>
    <w:rsid w:val="006276F8"/>
    <w:rsid w:val="00634592"/>
    <w:rsid w:val="006404F1"/>
    <w:rsid w:val="00642DC0"/>
    <w:rsid w:val="006467C4"/>
    <w:rsid w:val="00651C9C"/>
    <w:rsid w:val="00654A63"/>
    <w:rsid w:val="00654D8C"/>
    <w:rsid w:val="006555D8"/>
    <w:rsid w:val="006610FC"/>
    <w:rsid w:val="0066455E"/>
    <w:rsid w:val="006670DB"/>
    <w:rsid w:val="0066710C"/>
    <w:rsid w:val="00667800"/>
    <w:rsid w:val="00667C57"/>
    <w:rsid w:val="00670F24"/>
    <w:rsid w:val="006734C7"/>
    <w:rsid w:val="0068055F"/>
    <w:rsid w:val="006811BF"/>
    <w:rsid w:val="00682D7C"/>
    <w:rsid w:val="00682FAD"/>
    <w:rsid w:val="0068392F"/>
    <w:rsid w:val="0068494D"/>
    <w:rsid w:val="00690D72"/>
    <w:rsid w:val="00692790"/>
    <w:rsid w:val="00692CBF"/>
    <w:rsid w:val="006935E2"/>
    <w:rsid w:val="00696D1C"/>
    <w:rsid w:val="0069717B"/>
    <w:rsid w:val="006A0CE3"/>
    <w:rsid w:val="006A1BD7"/>
    <w:rsid w:val="006A4FC7"/>
    <w:rsid w:val="006A70F9"/>
    <w:rsid w:val="006B05AC"/>
    <w:rsid w:val="006B1849"/>
    <w:rsid w:val="006B6198"/>
    <w:rsid w:val="006C0CC1"/>
    <w:rsid w:val="006C0E9A"/>
    <w:rsid w:val="006C377A"/>
    <w:rsid w:val="006C4FAA"/>
    <w:rsid w:val="006C6B87"/>
    <w:rsid w:val="006C70ED"/>
    <w:rsid w:val="006D0B66"/>
    <w:rsid w:val="006D30A9"/>
    <w:rsid w:val="006D5109"/>
    <w:rsid w:val="006D590D"/>
    <w:rsid w:val="006D5D5F"/>
    <w:rsid w:val="006D69CA"/>
    <w:rsid w:val="006E0BC5"/>
    <w:rsid w:val="006E155C"/>
    <w:rsid w:val="006E26DF"/>
    <w:rsid w:val="006F0E25"/>
    <w:rsid w:val="006F6085"/>
    <w:rsid w:val="006F7234"/>
    <w:rsid w:val="006F77F7"/>
    <w:rsid w:val="00700D32"/>
    <w:rsid w:val="0070138D"/>
    <w:rsid w:val="00705F55"/>
    <w:rsid w:val="0070730B"/>
    <w:rsid w:val="00710684"/>
    <w:rsid w:val="00712BC5"/>
    <w:rsid w:val="00714852"/>
    <w:rsid w:val="00716EAC"/>
    <w:rsid w:val="00720395"/>
    <w:rsid w:val="00722763"/>
    <w:rsid w:val="0072448B"/>
    <w:rsid w:val="00726016"/>
    <w:rsid w:val="0072770D"/>
    <w:rsid w:val="00730025"/>
    <w:rsid w:val="007344C1"/>
    <w:rsid w:val="007344D0"/>
    <w:rsid w:val="00734B95"/>
    <w:rsid w:val="007412AA"/>
    <w:rsid w:val="00742A4C"/>
    <w:rsid w:val="00745628"/>
    <w:rsid w:val="00752AF7"/>
    <w:rsid w:val="00753C74"/>
    <w:rsid w:val="0075401E"/>
    <w:rsid w:val="007544D8"/>
    <w:rsid w:val="00754A74"/>
    <w:rsid w:val="007556A8"/>
    <w:rsid w:val="00756FE1"/>
    <w:rsid w:val="00760DDA"/>
    <w:rsid w:val="00764095"/>
    <w:rsid w:val="00764D89"/>
    <w:rsid w:val="00767558"/>
    <w:rsid w:val="007676E3"/>
    <w:rsid w:val="00767F45"/>
    <w:rsid w:val="0077188B"/>
    <w:rsid w:val="0077304C"/>
    <w:rsid w:val="0077577B"/>
    <w:rsid w:val="00777AA1"/>
    <w:rsid w:val="007812EA"/>
    <w:rsid w:val="00781352"/>
    <w:rsid w:val="00781E83"/>
    <w:rsid w:val="00781F1A"/>
    <w:rsid w:val="00782C84"/>
    <w:rsid w:val="00787F6E"/>
    <w:rsid w:val="007912E9"/>
    <w:rsid w:val="007915AF"/>
    <w:rsid w:val="0079198F"/>
    <w:rsid w:val="00791F89"/>
    <w:rsid w:val="0079217A"/>
    <w:rsid w:val="00793820"/>
    <w:rsid w:val="007940E9"/>
    <w:rsid w:val="00794F46"/>
    <w:rsid w:val="00795079"/>
    <w:rsid w:val="00797654"/>
    <w:rsid w:val="007A022B"/>
    <w:rsid w:val="007A36E9"/>
    <w:rsid w:val="007A478A"/>
    <w:rsid w:val="007A5B26"/>
    <w:rsid w:val="007A6FE4"/>
    <w:rsid w:val="007A710B"/>
    <w:rsid w:val="007A7CED"/>
    <w:rsid w:val="007B3C18"/>
    <w:rsid w:val="007B4614"/>
    <w:rsid w:val="007B7812"/>
    <w:rsid w:val="007C0DF0"/>
    <w:rsid w:val="007C11D7"/>
    <w:rsid w:val="007C2244"/>
    <w:rsid w:val="007C37FE"/>
    <w:rsid w:val="007C469E"/>
    <w:rsid w:val="007C4C1F"/>
    <w:rsid w:val="007C5AFE"/>
    <w:rsid w:val="007C5F17"/>
    <w:rsid w:val="007C63C3"/>
    <w:rsid w:val="007D01C6"/>
    <w:rsid w:val="007D0945"/>
    <w:rsid w:val="007D2F7B"/>
    <w:rsid w:val="007D646F"/>
    <w:rsid w:val="007E0035"/>
    <w:rsid w:val="007E1BC2"/>
    <w:rsid w:val="007E54A9"/>
    <w:rsid w:val="007E7CCB"/>
    <w:rsid w:val="007F0119"/>
    <w:rsid w:val="007F05BA"/>
    <w:rsid w:val="007F17C2"/>
    <w:rsid w:val="007F17E9"/>
    <w:rsid w:val="007F3051"/>
    <w:rsid w:val="007F445F"/>
    <w:rsid w:val="007F69C4"/>
    <w:rsid w:val="008022CB"/>
    <w:rsid w:val="00802E48"/>
    <w:rsid w:val="00805FC1"/>
    <w:rsid w:val="00812666"/>
    <w:rsid w:val="008159E2"/>
    <w:rsid w:val="00817D1E"/>
    <w:rsid w:val="00820573"/>
    <w:rsid w:val="00824185"/>
    <w:rsid w:val="00825BEF"/>
    <w:rsid w:val="008275DE"/>
    <w:rsid w:val="0083025F"/>
    <w:rsid w:val="008316AA"/>
    <w:rsid w:val="008317F0"/>
    <w:rsid w:val="00834E83"/>
    <w:rsid w:val="00834F29"/>
    <w:rsid w:val="00843099"/>
    <w:rsid w:val="00844DAE"/>
    <w:rsid w:val="008509B4"/>
    <w:rsid w:val="0085555C"/>
    <w:rsid w:val="00860076"/>
    <w:rsid w:val="00860161"/>
    <w:rsid w:val="00861DAB"/>
    <w:rsid w:val="00864525"/>
    <w:rsid w:val="00864EDC"/>
    <w:rsid w:val="0086616D"/>
    <w:rsid w:val="008731B7"/>
    <w:rsid w:val="008740C1"/>
    <w:rsid w:val="00874620"/>
    <w:rsid w:val="00877C2A"/>
    <w:rsid w:val="0088023F"/>
    <w:rsid w:val="00882AAF"/>
    <w:rsid w:val="008853E8"/>
    <w:rsid w:val="008865C0"/>
    <w:rsid w:val="00890B67"/>
    <w:rsid w:val="00891452"/>
    <w:rsid w:val="00893CE3"/>
    <w:rsid w:val="008969D8"/>
    <w:rsid w:val="008A15DC"/>
    <w:rsid w:val="008A3C9A"/>
    <w:rsid w:val="008A54D0"/>
    <w:rsid w:val="008A5709"/>
    <w:rsid w:val="008A6ECF"/>
    <w:rsid w:val="008B1A6F"/>
    <w:rsid w:val="008B2277"/>
    <w:rsid w:val="008B3F33"/>
    <w:rsid w:val="008B5F29"/>
    <w:rsid w:val="008B7C56"/>
    <w:rsid w:val="008C3EC0"/>
    <w:rsid w:val="008C421C"/>
    <w:rsid w:val="008C54DD"/>
    <w:rsid w:val="008C5A62"/>
    <w:rsid w:val="008C67C1"/>
    <w:rsid w:val="008C6E88"/>
    <w:rsid w:val="008D0FFC"/>
    <w:rsid w:val="008D1502"/>
    <w:rsid w:val="008D2E6B"/>
    <w:rsid w:val="008D3059"/>
    <w:rsid w:val="008D44E2"/>
    <w:rsid w:val="008D5C1F"/>
    <w:rsid w:val="008D66E5"/>
    <w:rsid w:val="008E4D85"/>
    <w:rsid w:val="008E61B3"/>
    <w:rsid w:val="008E7D82"/>
    <w:rsid w:val="008F001F"/>
    <w:rsid w:val="008F0ABE"/>
    <w:rsid w:val="008F2E1A"/>
    <w:rsid w:val="008F3AB9"/>
    <w:rsid w:val="008F744A"/>
    <w:rsid w:val="008F79C5"/>
    <w:rsid w:val="00900215"/>
    <w:rsid w:val="009004ED"/>
    <w:rsid w:val="00900B1D"/>
    <w:rsid w:val="00910D7C"/>
    <w:rsid w:val="00911CE5"/>
    <w:rsid w:val="0091703A"/>
    <w:rsid w:val="009204B6"/>
    <w:rsid w:val="009204DB"/>
    <w:rsid w:val="0092128F"/>
    <w:rsid w:val="009220D3"/>
    <w:rsid w:val="009226F2"/>
    <w:rsid w:val="009242DB"/>
    <w:rsid w:val="0092577A"/>
    <w:rsid w:val="009264C9"/>
    <w:rsid w:val="00927B3B"/>
    <w:rsid w:val="00930317"/>
    <w:rsid w:val="00932BBC"/>
    <w:rsid w:val="00933333"/>
    <w:rsid w:val="00936A0A"/>
    <w:rsid w:val="00940D57"/>
    <w:rsid w:val="00942599"/>
    <w:rsid w:val="00942B84"/>
    <w:rsid w:val="009446FC"/>
    <w:rsid w:val="0094724D"/>
    <w:rsid w:val="009477CE"/>
    <w:rsid w:val="00951AD3"/>
    <w:rsid w:val="00952074"/>
    <w:rsid w:val="009528C9"/>
    <w:rsid w:val="00953EF5"/>
    <w:rsid w:val="00954477"/>
    <w:rsid w:val="00954E13"/>
    <w:rsid w:val="009560A5"/>
    <w:rsid w:val="0095789C"/>
    <w:rsid w:val="00957D1A"/>
    <w:rsid w:val="009628FB"/>
    <w:rsid w:val="0096452B"/>
    <w:rsid w:val="00966B45"/>
    <w:rsid w:val="009722C6"/>
    <w:rsid w:val="00975377"/>
    <w:rsid w:val="00975717"/>
    <w:rsid w:val="00977D08"/>
    <w:rsid w:val="00981308"/>
    <w:rsid w:val="00982454"/>
    <w:rsid w:val="00983CDC"/>
    <w:rsid w:val="00984369"/>
    <w:rsid w:val="00987A4E"/>
    <w:rsid w:val="009943D5"/>
    <w:rsid w:val="0099515B"/>
    <w:rsid w:val="0099533C"/>
    <w:rsid w:val="0099762B"/>
    <w:rsid w:val="00997A44"/>
    <w:rsid w:val="009A17FD"/>
    <w:rsid w:val="009A7254"/>
    <w:rsid w:val="009B2BF4"/>
    <w:rsid w:val="009B37FC"/>
    <w:rsid w:val="009B41C0"/>
    <w:rsid w:val="009B47BE"/>
    <w:rsid w:val="009B52A3"/>
    <w:rsid w:val="009B53BA"/>
    <w:rsid w:val="009B609B"/>
    <w:rsid w:val="009B6F4E"/>
    <w:rsid w:val="009B74CD"/>
    <w:rsid w:val="009C251D"/>
    <w:rsid w:val="009C3080"/>
    <w:rsid w:val="009C6CF8"/>
    <w:rsid w:val="009D38DB"/>
    <w:rsid w:val="009D3D0A"/>
    <w:rsid w:val="009D4D86"/>
    <w:rsid w:val="009D54D1"/>
    <w:rsid w:val="009D621D"/>
    <w:rsid w:val="009D66C1"/>
    <w:rsid w:val="009E1F06"/>
    <w:rsid w:val="009E424D"/>
    <w:rsid w:val="009E6CDB"/>
    <w:rsid w:val="009E7114"/>
    <w:rsid w:val="009E7450"/>
    <w:rsid w:val="009E78F9"/>
    <w:rsid w:val="009F2EB0"/>
    <w:rsid w:val="009F4C1B"/>
    <w:rsid w:val="009F585A"/>
    <w:rsid w:val="009F7B62"/>
    <w:rsid w:val="009F7FC0"/>
    <w:rsid w:val="00A04A75"/>
    <w:rsid w:val="00A04DB1"/>
    <w:rsid w:val="00A04E49"/>
    <w:rsid w:val="00A05D77"/>
    <w:rsid w:val="00A06C7F"/>
    <w:rsid w:val="00A07F89"/>
    <w:rsid w:val="00A10B7E"/>
    <w:rsid w:val="00A112B4"/>
    <w:rsid w:val="00A11D84"/>
    <w:rsid w:val="00A11E9D"/>
    <w:rsid w:val="00A136A6"/>
    <w:rsid w:val="00A1502C"/>
    <w:rsid w:val="00A151F4"/>
    <w:rsid w:val="00A1658F"/>
    <w:rsid w:val="00A21A86"/>
    <w:rsid w:val="00A233D2"/>
    <w:rsid w:val="00A25268"/>
    <w:rsid w:val="00A26823"/>
    <w:rsid w:val="00A301C6"/>
    <w:rsid w:val="00A31DC3"/>
    <w:rsid w:val="00A34924"/>
    <w:rsid w:val="00A34B44"/>
    <w:rsid w:val="00A35F3F"/>
    <w:rsid w:val="00A36A02"/>
    <w:rsid w:val="00A37D1E"/>
    <w:rsid w:val="00A4392F"/>
    <w:rsid w:val="00A4496C"/>
    <w:rsid w:val="00A506BD"/>
    <w:rsid w:val="00A547EA"/>
    <w:rsid w:val="00A54EE3"/>
    <w:rsid w:val="00A57910"/>
    <w:rsid w:val="00A60040"/>
    <w:rsid w:val="00A64033"/>
    <w:rsid w:val="00A66230"/>
    <w:rsid w:val="00A66B33"/>
    <w:rsid w:val="00A70A50"/>
    <w:rsid w:val="00A7226B"/>
    <w:rsid w:val="00A732E1"/>
    <w:rsid w:val="00A76F7E"/>
    <w:rsid w:val="00A80DEC"/>
    <w:rsid w:val="00A80E57"/>
    <w:rsid w:val="00A834A6"/>
    <w:rsid w:val="00A8526B"/>
    <w:rsid w:val="00A87CAF"/>
    <w:rsid w:val="00A9017A"/>
    <w:rsid w:val="00A928C5"/>
    <w:rsid w:val="00A955A3"/>
    <w:rsid w:val="00A95862"/>
    <w:rsid w:val="00AA2F3E"/>
    <w:rsid w:val="00AA429A"/>
    <w:rsid w:val="00AA42B1"/>
    <w:rsid w:val="00AA6572"/>
    <w:rsid w:val="00AA72E0"/>
    <w:rsid w:val="00AB02FC"/>
    <w:rsid w:val="00AB0EDD"/>
    <w:rsid w:val="00AB2E17"/>
    <w:rsid w:val="00AB704B"/>
    <w:rsid w:val="00AC1A4E"/>
    <w:rsid w:val="00AC212E"/>
    <w:rsid w:val="00AC2578"/>
    <w:rsid w:val="00AC5DC1"/>
    <w:rsid w:val="00AD0763"/>
    <w:rsid w:val="00AD0E16"/>
    <w:rsid w:val="00AD1275"/>
    <w:rsid w:val="00AD30C1"/>
    <w:rsid w:val="00AD56BA"/>
    <w:rsid w:val="00AE0EF4"/>
    <w:rsid w:val="00AE2581"/>
    <w:rsid w:val="00AE54FA"/>
    <w:rsid w:val="00AE703E"/>
    <w:rsid w:val="00AF00B0"/>
    <w:rsid w:val="00AF0106"/>
    <w:rsid w:val="00AF0B6E"/>
    <w:rsid w:val="00AF0C1B"/>
    <w:rsid w:val="00AF1152"/>
    <w:rsid w:val="00AF18C1"/>
    <w:rsid w:val="00AF20DE"/>
    <w:rsid w:val="00AF2C7E"/>
    <w:rsid w:val="00AF365B"/>
    <w:rsid w:val="00AF530A"/>
    <w:rsid w:val="00AF6ADE"/>
    <w:rsid w:val="00AF7A63"/>
    <w:rsid w:val="00B0012C"/>
    <w:rsid w:val="00B0152E"/>
    <w:rsid w:val="00B06F77"/>
    <w:rsid w:val="00B0758B"/>
    <w:rsid w:val="00B123B7"/>
    <w:rsid w:val="00B1255B"/>
    <w:rsid w:val="00B1350D"/>
    <w:rsid w:val="00B17EA4"/>
    <w:rsid w:val="00B22FD8"/>
    <w:rsid w:val="00B27F1E"/>
    <w:rsid w:val="00B328D8"/>
    <w:rsid w:val="00B35A2B"/>
    <w:rsid w:val="00B3687A"/>
    <w:rsid w:val="00B4118A"/>
    <w:rsid w:val="00B419D1"/>
    <w:rsid w:val="00B42C58"/>
    <w:rsid w:val="00B5298A"/>
    <w:rsid w:val="00B52BC2"/>
    <w:rsid w:val="00B54E13"/>
    <w:rsid w:val="00B602C0"/>
    <w:rsid w:val="00B60719"/>
    <w:rsid w:val="00B629A0"/>
    <w:rsid w:val="00B65AA6"/>
    <w:rsid w:val="00B65AF7"/>
    <w:rsid w:val="00B70E37"/>
    <w:rsid w:val="00B736AC"/>
    <w:rsid w:val="00B753D4"/>
    <w:rsid w:val="00B76BDC"/>
    <w:rsid w:val="00B7735B"/>
    <w:rsid w:val="00B8244A"/>
    <w:rsid w:val="00B8638F"/>
    <w:rsid w:val="00B86900"/>
    <w:rsid w:val="00B86AE1"/>
    <w:rsid w:val="00B8796F"/>
    <w:rsid w:val="00B91C42"/>
    <w:rsid w:val="00B926F3"/>
    <w:rsid w:val="00B976A7"/>
    <w:rsid w:val="00BA4F55"/>
    <w:rsid w:val="00BA5960"/>
    <w:rsid w:val="00BA78FB"/>
    <w:rsid w:val="00BB0ED6"/>
    <w:rsid w:val="00BB1C0A"/>
    <w:rsid w:val="00BB25DB"/>
    <w:rsid w:val="00BB4B74"/>
    <w:rsid w:val="00BB5276"/>
    <w:rsid w:val="00BB67A2"/>
    <w:rsid w:val="00BB6FED"/>
    <w:rsid w:val="00BC1DDB"/>
    <w:rsid w:val="00BC41B2"/>
    <w:rsid w:val="00BC45B6"/>
    <w:rsid w:val="00BC4AB6"/>
    <w:rsid w:val="00BC4F9E"/>
    <w:rsid w:val="00BC5C9A"/>
    <w:rsid w:val="00BD4E99"/>
    <w:rsid w:val="00BD56AF"/>
    <w:rsid w:val="00BD599C"/>
    <w:rsid w:val="00BE38C7"/>
    <w:rsid w:val="00BF3BC3"/>
    <w:rsid w:val="00C05435"/>
    <w:rsid w:val="00C070A2"/>
    <w:rsid w:val="00C10D37"/>
    <w:rsid w:val="00C136EC"/>
    <w:rsid w:val="00C13792"/>
    <w:rsid w:val="00C17E66"/>
    <w:rsid w:val="00C267EE"/>
    <w:rsid w:val="00C31C6D"/>
    <w:rsid w:val="00C31FF2"/>
    <w:rsid w:val="00C328C9"/>
    <w:rsid w:val="00C35DDD"/>
    <w:rsid w:val="00C378C0"/>
    <w:rsid w:val="00C43F38"/>
    <w:rsid w:val="00C44645"/>
    <w:rsid w:val="00C44FC9"/>
    <w:rsid w:val="00C46E32"/>
    <w:rsid w:val="00C50A3F"/>
    <w:rsid w:val="00C54C57"/>
    <w:rsid w:val="00C6137D"/>
    <w:rsid w:val="00C61540"/>
    <w:rsid w:val="00C61B0C"/>
    <w:rsid w:val="00C62362"/>
    <w:rsid w:val="00C626F6"/>
    <w:rsid w:val="00C64BEE"/>
    <w:rsid w:val="00C65FDA"/>
    <w:rsid w:val="00C66B9D"/>
    <w:rsid w:val="00C67D4C"/>
    <w:rsid w:val="00C700BA"/>
    <w:rsid w:val="00C706FA"/>
    <w:rsid w:val="00C71752"/>
    <w:rsid w:val="00C71B38"/>
    <w:rsid w:val="00C7722D"/>
    <w:rsid w:val="00C77ED1"/>
    <w:rsid w:val="00C81038"/>
    <w:rsid w:val="00C81CE0"/>
    <w:rsid w:val="00C81D18"/>
    <w:rsid w:val="00C82744"/>
    <w:rsid w:val="00C836D9"/>
    <w:rsid w:val="00C84A1E"/>
    <w:rsid w:val="00C85F66"/>
    <w:rsid w:val="00C86070"/>
    <w:rsid w:val="00C87E15"/>
    <w:rsid w:val="00C91FC7"/>
    <w:rsid w:val="00C92E8B"/>
    <w:rsid w:val="00C95866"/>
    <w:rsid w:val="00CA0937"/>
    <w:rsid w:val="00CA0CFD"/>
    <w:rsid w:val="00CA37C8"/>
    <w:rsid w:val="00CA4EAB"/>
    <w:rsid w:val="00CA64F9"/>
    <w:rsid w:val="00CB5E7D"/>
    <w:rsid w:val="00CB62D1"/>
    <w:rsid w:val="00CC4EE7"/>
    <w:rsid w:val="00CC5403"/>
    <w:rsid w:val="00CC664A"/>
    <w:rsid w:val="00CC76F2"/>
    <w:rsid w:val="00CD4F94"/>
    <w:rsid w:val="00CD5C22"/>
    <w:rsid w:val="00CD7EC8"/>
    <w:rsid w:val="00CE363E"/>
    <w:rsid w:val="00CE3ABE"/>
    <w:rsid w:val="00CE7386"/>
    <w:rsid w:val="00CE771D"/>
    <w:rsid w:val="00CF1AE4"/>
    <w:rsid w:val="00CF3B93"/>
    <w:rsid w:val="00CF5868"/>
    <w:rsid w:val="00D00979"/>
    <w:rsid w:val="00D01E3B"/>
    <w:rsid w:val="00D0256A"/>
    <w:rsid w:val="00D06EEA"/>
    <w:rsid w:val="00D075FD"/>
    <w:rsid w:val="00D11946"/>
    <w:rsid w:val="00D14F71"/>
    <w:rsid w:val="00D1557D"/>
    <w:rsid w:val="00D15612"/>
    <w:rsid w:val="00D15CA0"/>
    <w:rsid w:val="00D17A89"/>
    <w:rsid w:val="00D201CF"/>
    <w:rsid w:val="00D21619"/>
    <w:rsid w:val="00D220B5"/>
    <w:rsid w:val="00D23B83"/>
    <w:rsid w:val="00D2493E"/>
    <w:rsid w:val="00D31701"/>
    <w:rsid w:val="00D32832"/>
    <w:rsid w:val="00D33C76"/>
    <w:rsid w:val="00D34827"/>
    <w:rsid w:val="00D34AC4"/>
    <w:rsid w:val="00D378B6"/>
    <w:rsid w:val="00D406C3"/>
    <w:rsid w:val="00D40E0A"/>
    <w:rsid w:val="00D451AB"/>
    <w:rsid w:val="00D50991"/>
    <w:rsid w:val="00D547D0"/>
    <w:rsid w:val="00D54F7E"/>
    <w:rsid w:val="00D578AF"/>
    <w:rsid w:val="00D60FEC"/>
    <w:rsid w:val="00D63888"/>
    <w:rsid w:val="00D64956"/>
    <w:rsid w:val="00D655B2"/>
    <w:rsid w:val="00D65D7A"/>
    <w:rsid w:val="00D6769A"/>
    <w:rsid w:val="00D6793A"/>
    <w:rsid w:val="00D70060"/>
    <w:rsid w:val="00D70648"/>
    <w:rsid w:val="00D718CC"/>
    <w:rsid w:val="00D7347C"/>
    <w:rsid w:val="00D75A7F"/>
    <w:rsid w:val="00D80DCF"/>
    <w:rsid w:val="00D82F12"/>
    <w:rsid w:val="00D84048"/>
    <w:rsid w:val="00D86262"/>
    <w:rsid w:val="00D8729A"/>
    <w:rsid w:val="00D92912"/>
    <w:rsid w:val="00D9342C"/>
    <w:rsid w:val="00D94210"/>
    <w:rsid w:val="00D944CB"/>
    <w:rsid w:val="00DA59FA"/>
    <w:rsid w:val="00DB295F"/>
    <w:rsid w:val="00DB3428"/>
    <w:rsid w:val="00DB3826"/>
    <w:rsid w:val="00DB47DC"/>
    <w:rsid w:val="00DB6029"/>
    <w:rsid w:val="00DC16AB"/>
    <w:rsid w:val="00DC33CD"/>
    <w:rsid w:val="00DC5687"/>
    <w:rsid w:val="00DD182E"/>
    <w:rsid w:val="00DD6102"/>
    <w:rsid w:val="00DD71F1"/>
    <w:rsid w:val="00DE00C5"/>
    <w:rsid w:val="00DE173A"/>
    <w:rsid w:val="00DE3765"/>
    <w:rsid w:val="00DE3FB5"/>
    <w:rsid w:val="00DF27C6"/>
    <w:rsid w:val="00E00D0A"/>
    <w:rsid w:val="00E01AD5"/>
    <w:rsid w:val="00E05ADB"/>
    <w:rsid w:val="00E07B93"/>
    <w:rsid w:val="00E07E15"/>
    <w:rsid w:val="00E1214E"/>
    <w:rsid w:val="00E1547E"/>
    <w:rsid w:val="00E1609A"/>
    <w:rsid w:val="00E23342"/>
    <w:rsid w:val="00E23FFB"/>
    <w:rsid w:val="00E30F5D"/>
    <w:rsid w:val="00E34B88"/>
    <w:rsid w:val="00E40596"/>
    <w:rsid w:val="00E43A02"/>
    <w:rsid w:val="00E44159"/>
    <w:rsid w:val="00E45EC3"/>
    <w:rsid w:val="00E464D6"/>
    <w:rsid w:val="00E47C4F"/>
    <w:rsid w:val="00E541A3"/>
    <w:rsid w:val="00E563F4"/>
    <w:rsid w:val="00E608A2"/>
    <w:rsid w:val="00E62E2A"/>
    <w:rsid w:val="00E637BB"/>
    <w:rsid w:val="00E638C8"/>
    <w:rsid w:val="00E65251"/>
    <w:rsid w:val="00E658DD"/>
    <w:rsid w:val="00E65D7E"/>
    <w:rsid w:val="00E66178"/>
    <w:rsid w:val="00E677F4"/>
    <w:rsid w:val="00E715E7"/>
    <w:rsid w:val="00E7768C"/>
    <w:rsid w:val="00E80910"/>
    <w:rsid w:val="00E82204"/>
    <w:rsid w:val="00E824B5"/>
    <w:rsid w:val="00E8377B"/>
    <w:rsid w:val="00E83A77"/>
    <w:rsid w:val="00E84233"/>
    <w:rsid w:val="00E848CE"/>
    <w:rsid w:val="00E869D0"/>
    <w:rsid w:val="00E92D80"/>
    <w:rsid w:val="00E938B3"/>
    <w:rsid w:val="00E94A44"/>
    <w:rsid w:val="00E96877"/>
    <w:rsid w:val="00EA1188"/>
    <w:rsid w:val="00EA1486"/>
    <w:rsid w:val="00EA298A"/>
    <w:rsid w:val="00EA3571"/>
    <w:rsid w:val="00EA6E75"/>
    <w:rsid w:val="00EB0752"/>
    <w:rsid w:val="00EB347C"/>
    <w:rsid w:val="00EB4F05"/>
    <w:rsid w:val="00EB6F4E"/>
    <w:rsid w:val="00EB703D"/>
    <w:rsid w:val="00EC0997"/>
    <w:rsid w:val="00EC0BA4"/>
    <w:rsid w:val="00EC20DB"/>
    <w:rsid w:val="00EC2A3B"/>
    <w:rsid w:val="00EC521A"/>
    <w:rsid w:val="00EC6391"/>
    <w:rsid w:val="00ED1C89"/>
    <w:rsid w:val="00ED3071"/>
    <w:rsid w:val="00ED30F4"/>
    <w:rsid w:val="00EE1FC2"/>
    <w:rsid w:val="00EE705A"/>
    <w:rsid w:val="00EF0296"/>
    <w:rsid w:val="00EF2648"/>
    <w:rsid w:val="00EF670C"/>
    <w:rsid w:val="00F00688"/>
    <w:rsid w:val="00F00D6B"/>
    <w:rsid w:val="00F01A18"/>
    <w:rsid w:val="00F03228"/>
    <w:rsid w:val="00F0407D"/>
    <w:rsid w:val="00F05019"/>
    <w:rsid w:val="00F063BC"/>
    <w:rsid w:val="00F12A2A"/>
    <w:rsid w:val="00F16686"/>
    <w:rsid w:val="00F171BE"/>
    <w:rsid w:val="00F20680"/>
    <w:rsid w:val="00F210FD"/>
    <w:rsid w:val="00F235F5"/>
    <w:rsid w:val="00F25D2C"/>
    <w:rsid w:val="00F350B2"/>
    <w:rsid w:val="00F37470"/>
    <w:rsid w:val="00F37E4D"/>
    <w:rsid w:val="00F415F3"/>
    <w:rsid w:val="00F43750"/>
    <w:rsid w:val="00F45387"/>
    <w:rsid w:val="00F45BA7"/>
    <w:rsid w:val="00F45BE9"/>
    <w:rsid w:val="00F46394"/>
    <w:rsid w:val="00F46F4A"/>
    <w:rsid w:val="00F531F2"/>
    <w:rsid w:val="00F60788"/>
    <w:rsid w:val="00F60D41"/>
    <w:rsid w:val="00F60E89"/>
    <w:rsid w:val="00F64267"/>
    <w:rsid w:val="00F655FE"/>
    <w:rsid w:val="00F710CB"/>
    <w:rsid w:val="00F734AD"/>
    <w:rsid w:val="00F73E11"/>
    <w:rsid w:val="00F76618"/>
    <w:rsid w:val="00F76E42"/>
    <w:rsid w:val="00F80A98"/>
    <w:rsid w:val="00F85E04"/>
    <w:rsid w:val="00F94D0C"/>
    <w:rsid w:val="00F94D6D"/>
    <w:rsid w:val="00F96C89"/>
    <w:rsid w:val="00F977E9"/>
    <w:rsid w:val="00F97F7D"/>
    <w:rsid w:val="00FA0333"/>
    <w:rsid w:val="00FA19D5"/>
    <w:rsid w:val="00FA3EE8"/>
    <w:rsid w:val="00FB08B5"/>
    <w:rsid w:val="00FB161C"/>
    <w:rsid w:val="00FB3604"/>
    <w:rsid w:val="00FB3E2C"/>
    <w:rsid w:val="00FC0B80"/>
    <w:rsid w:val="00FC19B9"/>
    <w:rsid w:val="00FC6B0B"/>
    <w:rsid w:val="00FC71B5"/>
    <w:rsid w:val="00FD00A5"/>
    <w:rsid w:val="00FD4B0F"/>
    <w:rsid w:val="00FD6C0E"/>
    <w:rsid w:val="00FE111A"/>
    <w:rsid w:val="00FE2B00"/>
    <w:rsid w:val="00FE397C"/>
    <w:rsid w:val="00FF0C09"/>
    <w:rsid w:val="00FF24FD"/>
    <w:rsid w:val="012670EA"/>
    <w:rsid w:val="01910A08"/>
    <w:rsid w:val="01F10B54"/>
    <w:rsid w:val="023769F0"/>
    <w:rsid w:val="025565CE"/>
    <w:rsid w:val="02FA25DD"/>
    <w:rsid w:val="038A31DA"/>
    <w:rsid w:val="052E5770"/>
    <w:rsid w:val="054D2E98"/>
    <w:rsid w:val="06EB6AC2"/>
    <w:rsid w:val="074420AA"/>
    <w:rsid w:val="08ED14A7"/>
    <w:rsid w:val="09615B6C"/>
    <w:rsid w:val="0A6C5960"/>
    <w:rsid w:val="0A6D241B"/>
    <w:rsid w:val="0AB80DB3"/>
    <w:rsid w:val="0C3703FE"/>
    <w:rsid w:val="0C4E2350"/>
    <w:rsid w:val="0D0C188A"/>
    <w:rsid w:val="0DB13732"/>
    <w:rsid w:val="10284C2D"/>
    <w:rsid w:val="10446F77"/>
    <w:rsid w:val="11185991"/>
    <w:rsid w:val="11924EB2"/>
    <w:rsid w:val="1361772B"/>
    <w:rsid w:val="13C133CE"/>
    <w:rsid w:val="13C82EBE"/>
    <w:rsid w:val="13F37300"/>
    <w:rsid w:val="14A55E3B"/>
    <w:rsid w:val="14BC1DE8"/>
    <w:rsid w:val="14CD12C6"/>
    <w:rsid w:val="154020D1"/>
    <w:rsid w:val="1559199D"/>
    <w:rsid w:val="15757B30"/>
    <w:rsid w:val="165815CE"/>
    <w:rsid w:val="16C07B0A"/>
    <w:rsid w:val="178A3AD7"/>
    <w:rsid w:val="180331D7"/>
    <w:rsid w:val="18AF483D"/>
    <w:rsid w:val="18E35B95"/>
    <w:rsid w:val="18FA2EDF"/>
    <w:rsid w:val="199E1ABC"/>
    <w:rsid w:val="19B56BE1"/>
    <w:rsid w:val="19E51499"/>
    <w:rsid w:val="1A380552"/>
    <w:rsid w:val="1A621A3A"/>
    <w:rsid w:val="1A6751A7"/>
    <w:rsid w:val="1A6C1BBA"/>
    <w:rsid w:val="1ABB1F40"/>
    <w:rsid w:val="1C6012AB"/>
    <w:rsid w:val="1CC27A52"/>
    <w:rsid w:val="1D862F93"/>
    <w:rsid w:val="1F3031B6"/>
    <w:rsid w:val="1F7237CF"/>
    <w:rsid w:val="20545333"/>
    <w:rsid w:val="21025026"/>
    <w:rsid w:val="2144119B"/>
    <w:rsid w:val="21696E53"/>
    <w:rsid w:val="22AE139F"/>
    <w:rsid w:val="25465A59"/>
    <w:rsid w:val="258A1DEF"/>
    <w:rsid w:val="27932534"/>
    <w:rsid w:val="29B47CA2"/>
    <w:rsid w:val="29EB2400"/>
    <w:rsid w:val="2A585CB7"/>
    <w:rsid w:val="2AB71696"/>
    <w:rsid w:val="2AB96756"/>
    <w:rsid w:val="2B011EAB"/>
    <w:rsid w:val="2B190E9E"/>
    <w:rsid w:val="2BD61589"/>
    <w:rsid w:val="2C8B3FEE"/>
    <w:rsid w:val="2D067C4C"/>
    <w:rsid w:val="2DCE55D1"/>
    <w:rsid w:val="2E214490"/>
    <w:rsid w:val="2E262354"/>
    <w:rsid w:val="2F8D29E4"/>
    <w:rsid w:val="2FDC60BB"/>
    <w:rsid w:val="302F713F"/>
    <w:rsid w:val="311F09D1"/>
    <w:rsid w:val="31AA388D"/>
    <w:rsid w:val="32586A76"/>
    <w:rsid w:val="33154745"/>
    <w:rsid w:val="33811DDB"/>
    <w:rsid w:val="342B2949"/>
    <w:rsid w:val="349B6E1C"/>
    <w:rsid w:val="34EC7728"/>
    <w:rsid w:val="35B33080"/>
    <w:rsid w:val="35C33D77"/>
    <w:rsid w:val="36E27A33"/>
    <w:rsid w:val="37227431"/>
    <w:rsid w:val="376C68FE"/>
    <w:rsid w:val="378850C5"/>
    <w:rsid w:val="379300EC"/>
    <w:rsid w:val="37CB5D1A"/>
    <w:rsid w:val="37FE646B"/>
    <w:rsid w:val="381D1FA2"/>
    <w:rsid w:val="38325D99"/>
    <w:rsid w:val="387E4B3B"/>
    <w:rsid w:val="38A65E3F"/>
    <w:rsid w:val="395C2631"/>
    <w:rsid w:val="399D07E0"/>
    <w:rsid w:val="39B92D83"/>
    <w:rsid w:val="3A053765"/>
    <w:rsid w:val="3B9D177C"/>
    <w:rsid w:val="3BD902FC"/>
    <w:rsid w:val="3C21415B"/>
    <w:rsid w:val="3CB60D47"/>
    <w:rsid w:val="3CED04E1"/>
    <w:rsid w:val="3DB50FFF"/>
    <w:rsid w:val="3EAA51AB"/>
    <w:rsid w:val="3F757C2F"/>
    <w:rsid w:val="3F7E18C4"/>
    <w:rsid w:val="3FBE7F13"/>
    <w:rsid w:val="40F938F8"/>
    <w:rsid w:val="41390199"/>
    <w:rsid w:val="42132798"/>
    <w:rsid w:val="42A72EE0"/>
    <w:rsid w:val="435E5C94"/>
    <w:rsid w:val="43EE526A"/>
    <w:rsid w:val="44A462B1"/>
    <w:rsid w:val="44AB315B"/>
    <w:rsid w:val="45435142"/>
    <w:rsid w:val="454D10C6"/>
    <w:rsid w:val="4577303D"/>
    <w:rsid w:val="468974CC"/>
    <w:rsid w:val="46A21030"/>
    <w:rsid w:val="46E97F6B"/>
    <w:rsid w:val="47503B46"/>
    <w:rsid w:val="47D32185"/>
    <w:rsid w:val="47ED017B"/>
    <w:rsid w:val="48384D06"/>
    <w:rsid w:val="48486C53"/>
    <w:rsid w:val="48DD58AD"/>
    <w:rsid w:val="49716D0F"/>
    <w:rsid w:val="49CF3448"/>
    <w:rsid w:val="4A860B03"/>
    <w:rsid w:val="4AAB35F3"/>
    <w:rsid w:val="4ADE278F"/>
    <w:rsid w:val="4B991F60"/>
    <w:rsid w:val="4BDE7171"/>
    <w:rsid w:val="4C3015FA"/>
    <w:rsid w:val="4C556BD9"/>
    <w:rsid w:val="4C8D3147"/>
    <w:rsid w:val="4E1A5764"/>
    <w:rsid w:val="4E4A0DAB"/>
    <w:rsid w:val="4E5B0AF6"/>
    <w:rsid w:val="4E9D6DDC"/>
    <w:rsid w:val="4E9F71CD"/>
    <w:rsid w:val="4FB95520"/>
    <w:rsid w:val="507C1E50"/>
    <w:rsid w:val="507C3DA7"/>
    <w:rsid w:val="5093516B"/>
    <w:rsid w:val="50E721B3"/>
    <w:rsid w:val="514069D9"/>
    <w:rsid w:val="52291B63"/>
    <w:rsid w:val="527821A3"/>
    <w:rsid w:val="52EF55E0"/>
    <w:rsid w:val="532821C7"/>
    <w:rsid w:val="536A5F90"/>
    <w:rsid w:val="53BD2563"/>
    <w:rsid w:val="53C65DEB"/>
    <w:rsid w:val="53D31D87"/>
    <w:rsid w:val="5404249E"/>
    <w:rsid w:val="540B7773"/>
    <w:rsid w:val="54975600"/>
    <w:rsid w:val="54B90F7D"/>
    <w:rsid w:val="55F57B4C"/>
    <w:rsid w:val="56DB64B6"/>
    <w:rsid w:val="57DF52EA"/>
    <w:rsid w:val="58845DEB"/>
    <w:rsid w:val="58855E5A"/>
    <w:rsid w:val="588D2851"/>
    <w:rsid w:val="589E2625"/>
    <w:rsid w:val="590A10E7"/>
    <w:rsid w:val="59853B23"/>
    <w:rsid w:val="5A2054AE"/>
    <w:rsid w:val="5ADA37AF"/>
    <w:rsid w:val="5B801D76"/>
    <w:rsid w:val="5C286CED"/>
    <w:rsid w:val="5CB169DD"/>
    <w:rsid w:val="5D1E22F1"/>
    <w:rsid w:val="5DED0BAB"/>
    <w:rsid w:val="5DF43025"/>
    <w:rsid w:val="5E79177D"/>
    <w:rsid w:val="5F4B136B"/>
    <w:rsid w:val="6007229E"/>
    <w:rsid w:val="61C93AF1"/>
    <w:rsid w:val="62EF4FAF"/>
    <w:rsid w:val="64601415"/>
    <w:rsid w:val="650C4517"/>
    <w:rsid w:val="662621EA"/>
    <w:rsid w:val="664D59C9"/>
    <w:rsid w:val="66521231"/>
    <w:rsid w:val="66FA6A5A"/>
    <w:rsid w:val="67DA7730"/>
    <w:rsid w:val="68B95597"/>
    <w:rsid w:val="68FA07EA"/>
    <w:rsid w:val="69C52D24"/>
    <w:rsid w:val="6A1952CF"/>
    <w:rsid w:val="6A570BC4"/>
    <w:rsid w:val="6A5A06B4"/>
    <w:rsid w:val="6AA05BFC"/>
    <w:rsid w:val="6B23319C"/>
    <w:rsid w:val="6B572D36"/>
    <w:rsid w:val="6B8C12EE"/>
    <w:rsid w:val="6C3513D9"/>
    <w:rsid w:val="6CFE17CB"/>
    <w:rsid w:val="6D0843F7"/>
    <w:rsid w:val="6D763A57"/>
    <w:rsid w:val="6D855A48"/>
    <w:rsid w:val="6E08157C"/>
    <w:rsid w:val="6E441CB5"/>
    <w:rsid w:val="6E645FA5"/>
    <w:rsid w:val="6EB05738"/>
    <w:rsid w:val="6F35349E"/>
    <w:rsid w:val="6F385C1A"/>
    <w:rsid w:val="6F6E3D26"/>
    <w:rsid w:val="716F0EE9"/>
    <w:rsid w:val="71BA1214"/>
    <w:rsid w:val="71E13469"/>
    <w:rsid w:val="728B2BC2"/>
    <w:rsid w:val="72E74AAF"/>
    <w:rsid w:val="75866801"/>
    <w:rsid w:val="77FC090F"/>
    <w:rsid w:val="78416892"/>
    <w:rsid w:val="786D5A56"/>
    <w:rsid w:val="7904642E"/>
    <w:rsid w:val="79A908B1"/>
    <w:rsid w:val="7A232871"/>
    <w:rsid w:val="7A2F7467"/>
    <w:rsid w:val="7AF366E7"/>
    <w:rsid w:val="7B37683D"/>
    <w:rsid w:val="7B5F7B10"/>
    <w:rsid w:val="7C127041"/>
    <w:rsid w:val="7C507D79"/>
    <w:rsid w:val="7CE81B50"/>
    <w:rsid w:val="7D034BDB"/>
    <w:rsid w:val="7D2E5A40"/>
    <w:rsid w:val="7D74724C"/>
    <w:rsid w:val="7D8E0949"/>
    <w:rsid w:val="7F4C0ABC"/>
    <w:rsid w:val="7F80076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Calibr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autoSpaceDE w:val="0"/>
      <w:autoSpaceDN w:val="0"/>
      <w:adjustRightInd w:val="0"/>
      <w:ind w:left="640"/>
      <w:jc w:val="both"/>
    </w:pPr>
    <w:rPr>
      <w:rFonts w:ascii="仿宋_GB2312" w:hAnsi="仿宋" w:eastAsia="仿宋_GB2312" w:cs="Times New Roman"/>
      <w:kern w:val="2"/>
      <w:sz w:val="32"/>
      <w:szCs w:val="32"/>
      <w:lang w:val="zh-CN" w:eastAsia="zh-CN" w:bidi="en-US"/>
    </w:rPr>
  </w:style>
  <w:style w:type="paragraph" w:styleId="3">
    <w:name w:val="heading 1"/>
    <w:basedOn w:val="1"/>
    <w:next w:val="1"/>
    <w:link w:val="71"/>
    <w:qFormat/>
    <w:uiPriority w:val="0"/>
    <w:pPr>
      <w:keepNext/>
      <w:keepLines/>
      <w:spacing w:before="340" w:after="330" w:line="576" w:lineRule="auto"/>
      <w:outlineLvl w:val="0"/>
    </w:pPr>
    <w:rPr>
      <w:b/>
      <w:kern w:val="44"/>
      <w:sz w:val="44"/>
      <w:szCs w:val="20"/>
    </w:rPr>
  </w:style>
  <w:style w:type="paragraph" w:styleId="4">
    <w:name w:val="heading 2"/>
    <w:basedOn w:val="1"/>
    <w:next w:val="1"/>
    <w:link w:val="72"/>
    <w:qFormat/>
    <w:uiPriority w:val="0"/>
    <w:pPr>
      <w:keepNext/>
      <w:keepLines/>
      <w:tabs>
        <w:tab w:val="left" w:pos="567"/>
      </w:tabs>
      <w:spacing w:before="260" w:after="260" w:line="413" w:lineRule="auto"/>
      <w:ind w:left="567" w:hanging="567"/>
      <w:outlineLvl w:val="1"/>
    </w:pPr>
    <w:rPr>
      <w:rFonts w:ascii="Arial" w:hAnsi="Arial" w:eastAsia="黑体"/>
      <w:b/>
      <w:szCs w:val="20"/>
    </w:rPr>
  </w:style>
  <w:style w:type="paragraph" w:styleId="5">
    <w:name w:val="heading 3"/>
    <w:basedOn w:val="1"/>
    <w:next w:val="1"/>
    <w:link w:val="73"/>
    <w:qFormat/>
    <w:uiPriority w:val="0"/>
    <w:pPr>
      <w:keepNext/>
      <w:keepLines/>
      <w:spacing w:before="260" w:after="260" w:line="416" w:lineRule="auto"/>
      <w:outlineLvl w:val="2"/>
    </w:pPr>
    <w:rPr>
      <w:b/>
      <w:bCs/>
    </w:rPr>
  </w:style>
  <w:style w:type="paragraph" w:styleId="6">
    <w:name w:val="heading 4"/>
    <w:basedOn w:val="1"/>
    <w:next w:val="1"/>
    <w:link w:val="74"/>
    <w:qFormat/>
    <w:uiPriority w:val="0"/>
    <w:pPr>
      <w:keepNext/>
      <w:keepLines/>
      <w:tabs>
        <w:tab w:val="left" w:pos="0"/>
      </w:tabs>
      <w:spacing w:before="280" w:after="290" w:line="374" w:lineRule="auto"/>
      <w:ind w:left="851" w:hanging="851"/>
      <w:outlineLvl w:val="3"/>
    </w:pPr>
    <w:rPr>
      <w:rFonts w:ascii="Arial" w:hAnsi="Arial" w:eastAsia="黑体"/>
      <w:b/>
      <w:sz w:val="28"/>
      <w:szCs w:val="20"/>
    </w:rPr>
  </w:style>
  <w:style w:type="paragraph" w:styleId="7">
    <w:name w:val="heading 5"/>
    <w:basedOn w:val="1"/>
    <w:next w:val="1"/>
    <w:link w:val="75"/>
    <w:qFormat/>
    <w:uiPriority w:val="0"/>
    <w:pPr>
      <w:keepNext/>
      <w:keepLines/>
      <w:spacing w:before="280" w:after="290" w:line="376" w:lineRule="auto"/>
      <w:outlineLvl w:val="4"/>
    </w:pPr>
    <w:rPr>
      <w:b/>
      <w:bCs/>
      <w:sz w:val="28"/>
      <w:szCs w:val="28"/>
    </w:rPr>
  </w:style>
  <w:style w:type="paragraph" w:styleId="8">
    <w:name w:val="heading 6"/>
    <w:basedOn w:val="1"/>
    <w:next w:val="1"/>
    <w:link w:val="76"/>
    <w:qFormat/>
    <w:uiPriority w:val="0"/>
    <w:pPr>
      <w:keepNext/>
      <w:keepLines/>
      <w:spacing w:before="240" w:after="64" w:line="320" w:lineRule="auto"/>
      <w:outlineLvl w:val="5"/>
    </w:pPr>
    <w:rPr>
      <w:rFonts w:ascii="Arial" w:hAnsi="Arial" w:eastAsia="黑体"/>
      <w:b/>
      <w:bCs/>
      <w:sz w:val="24"/>
    </w:rPr>
  </w:style>
  <w:style w:type="paragraph" w:styleId="9">
    <w:name w:val="heading 7"/>
    <w:basedOn w:val="1"/>
    <w:next w:val="1"/>
    <w:link w:val="77"/>
    <w:qFormat/>
    <w:uiPriority w:val="0"/>
    <w:pPr>
      <w:keepNext/>
      <w:keepLines/>
      <w:spacing w:before="240" w:after="64" w:line="320" w:lineRule="auto"/>
      <w:outlineLvl w:val="6"/>
    </w:pPr>
    <w:rPr>
      <w:b/>
      <w:bCs/>
      <w:sz w:val="24"/>
    </w:rPr>
  </w:style>
  <w:style w:type="paragraph" w:styleId="10">
    <w:name w:val="heading 8"/>
    <w:basedOn w:val="1"/>
    <w:next w:val="1"/>
    <w:link w:val="78"/>
    <w:qFormat/>
    <w:uiPriority w:val="0"/>
    <w:pPr>
      <w:keepNext/>
      <w:keepLines/>
      <w:spacing w:before="240" w:after="64" w:line="320" w:lineRule="auto"/>
      <w:outlineLvl w:val="7"/>
    </w:pPr>
    <w:rPr>
      <w:rFonts w:ascii="Arial" w:hAnsi="Arial" w:eastAsia="黑体"/>
      <w:sz w:val="24"/>
    </w:rPr>
  </w:style>
  <w:style w:type="paragraph" w:styleId="11">
    <w:name w:val="heading 9"/>
    <w:basedOn w:val="1"/>
    <w:next w:val="1"/>
    <w:link w:val="79"/>
    <w:qFormat/>
    <w:uiPriority w:val="0"/>
    <w:pPr>
      <w:keepNext/>
      <w:keepLines/>
      <w:spacing w:before="240" w:after="64" w:line="320" w:lineRule="auto"/>
      <w:outlineLvl w:val="8"/>
    </w:pPr>
    <w:rPr>
      <w:rFonts w:ascii="Arial" w:hAnsi="Arial" w:eastAsia="黑体"/>
      <w:szCs w:val="21"/>
    </w:rPr>
  </w:style>
  <w:style w:type="character" w:default="1" w:styleId="38">
    <w:name w:val="Default Paragraph Font"/>
    <w:semiHidden/>
    <w:unhideWhenUsed/>
    <w:qFormat/>
    <w:uiPriority w:val="1"/>
  </w:style>
  <w:style w:type="table" w:default="1" w:styleId="36">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Calibri" w:hAnsi="Calibri" w:cs="Times New Roman"/>
      <w:sz w:val="20"/>
      <w:szCs w:val="20"/>
    </w:rPr>
    <w:tblPr>
      <w:tblCellMar>
        <w:top w:w="0" w:type="dxa"/>
        <w:left w:w="108" w:type="dxa"/>
        <w:bottom w:w="0" w:type="dxa"/>
        <w:right w:w="108" w:type="dxa"/>
      </w:tblCellMar>
    </w:tblPr>
  </w:style>
  <w:style w:type="paragraph" w:customStyle="1" w:styleId="2">
    <w:name w:val="BodyText2"/>
    <w:basedOn w:val="1"/>
    <w:autoRedefine/>
    <w:qFormat/>
    <w:uiPriority w:val="0"/>
    <w:pPr>
      <w:spacing w:after="120" w:line="480" w:lineRule="auto"/>
      <w:jc w:val="center"/>
      <w:textAlignment w:val="baseline"/>
    </w:pPr>
    <w:rPr>
      <w:sz w:val="32"/>
      <w:szCs w:val="32"/>
    </w:rPr>
  </w:style>
  <w:style w:type="paragraph" w:styleId="12">
    <w:name w:val="toc 7"/>
    <w:basedOn w:val="1"/>
    <w:next w:val="1"/>
    <w:qFormat/>
    <w:uiPriority w:val="0"/>
    <w:pPr>
      <w:ind w:left="1260"/>
      <w:jc w:val="left"/>
    </w:pPr>
    <w:rPr>
      <w:rFonts w:ascii="Calibri" w:hAnsi="Calibri"/>
      <w:sz w:val="18"/>
      <w:szCs w:val="20"/>
    </w:rPr>
  </w:style>
  <w:style w:type="paragraph" w:styleId="13">
    <w:name w:val="Normal Indent"/>
    <w:basedOn w:val="1"/>
    <w:qFormat/>
    <w:uiPriority w:val="0"/>
    <w:pPr>
      <w:spacing w:line="360" w:lineRule="auto"/>
      <w:ind w:firstLine="200"/>
    </w:pPr>
    <w:rPr>
      <w:szCs w:val="20"/>
    </w:rPr>
  </w:style>
  <w:style w:type="paragraph" w:styleId="14">
    <w:name w:val="caption"/>
    <w:basedOn w:val="1"/>
    <w:next w:val="1"/>
    <w:qFormat/>
    <w:uiPriority w:val="0"/>
    <w:rPr>
      <w:rFonts w:ascii="Cambria" w:hAnsi="Cambria" w:eastAsia="黑体"/>
      <w:sz w:val="20"/>
      <w:szCs w:val="20"/>
    </w:rPr>
  </w:style>
  <w:style w:type="paragraph" w:styleId="15">
    <w:name w:val="Document Map"/>
    <w:basedOn w:val="1"/>
    <w:link w:val="111"/>
    <w:qFormat/>
    <w:uiPriority w:val="0"/>
    <w:rPr>
      <w:rFonts w:ascii="宋体"/>
      <w:sz w:val="18"/>
      <w:szCs w:val="20"/>
    </w:rPr>
  </w:style>
  <w:style w:type="paragraph" w:styleId="16">
    <w:name w:val="annotation text"/>
    <w:basedOn w:val="1"/>
    <w:link w:val="89"/>
    <w:qFormat/>
    <w:uiPriority w:val="0"/>
    <w:pPr>
      <w:jc w:val="left"/>
    </w:pPr>
    <w:rPr>
      <w:szCs w:val="20"/>
    </w:rPr>
  </w:style>
  <w:style w:type="paragraph" w:styleId="17">
    <w:name w:val="Body Text"/>
    <w:basedOn w:val="1"/>
    <w:link w:val="69"/>
    <w:qFormat/>
    <w:uiPriority w:val="0"/>
    <w:pPr>
      <w:spacing w:after="120"/>
    </w:pPr>
  </w:style>
  <w:style w:type="paragraph" w:styleId="18">
    <w:name w:val="Body Text Indent"/>
    <w:basedOn w:val="1"/>
    <w:link w:val="129"/>
    <w:qFormat/>
    <w:uiPriority w:val="0"/>
    <w:pPr>
      <w:spacing w:line="360" w:lineRule="auto"/>
      <w:ind w:left="515"/>
    </w:pPr>
    <w:rPr>
      <w:sz w:val="24"/>
      <w:szCs w:val="20"/>
    </w:rPr>
  </w:style>
  <w:style w:type="paragraph" w:styleId="19">
    <w:name w:val="toc 5"/>
    <w:basedOn w:val="1"/>
    <w:next w:val="1"/>
    <w:qFormat/>
    <w:uiPriority w:val="0"/>
    <w:pPr>
      <w:ind w:left="840"/>
      <w:jc w:val="left"/>
    </w:pPr>
    <w:rPr>
      <w:rFonts w:ascii="Calibri" w:hAnsi="Calibri"/>
      <w:sz w:val="18"/>
      <w:szCs w:val="20"/>
    </w:rPr>
  </w:style>
  <w:style w:type="paragraph" w:styleId="20">
    <w:name w:val="toc 3"/>
    <w:basedOn w:val="1"/>
    <w:next w:val="1"/>
    <w:qFormat/>
    <w:uiPriority w:val="39"/>
    <w:pPr>
      <w:ind w:left="420"/>
      <w:jc w:val="left"/>
    </w:pPr>
    <w:rPr>
      <w:rFonts w:ascii="Calibri" w:hAnsi="Calibri"/>
      <w:i/>
      <w:sz w:val="20"/>
      <w:szCs w:val="20"/>
    </w:rPr>
  </w:style>
  <w:style w:type="paragraph" w:styleId="21">
    <w:name w:val="Plain Text"/>
    <w:basedOn w:val="1"/>
    <w:link w:val="163"/>
    <w:qFormat/>
    <w:uiPriority w:val="0"/>
    <w:rPr>
      <w:rFonts w:ascii="宋体" w:hAnsi="Courier New"/>
      <w:szCs w:val="21"/>
    </w:rPr>
  </w:style>
  <w:style w:type="paragraph" w:styleId="22">
    <w:name w:val="toc 8"/>
    <w:basedOn w:val="1"/>
    <w:next w:val="1"/>
    <w:qFormat/>
    <w:uiPriority w:val="0"/>
    <w:pPr>
      <w:ind w:left="1470"/>
      <w:jc w:val="left"/>
    </w:pPr>
    <w:rPr>
      <w:rFonts w:ascii="Calibri" w:hAnsi="Calibri"/>
      <w:sz w:val="18"/>
      <w:szCs w:val="20"/>
    </w:rPr>
  </w:style>
  <w:style w:type="paragraph" w:styleId="23">
    <w:name w:val="Date"/>
    <w:basedOn w:val="1"/>
    <w:next w:val="1"/>
    <w:link w:val="118"/>
    <w:qFormat/>
    <w:uiPriority w:val="0"/>
    <w:pPr>
      <w:ind w:left="2500" w:leftChars="2500"/>
    </w:pPr>
    <w:rPr>
      <w:szCs w:val="20"/>
    </w:rPr>
  </w:style>
  <w:style w:type="paragraph" w:styleId="24">
    <w:name w:val="Balloon Text"/>
    <w:basedOn w:val="1"/>
    <w:link w:val="116"/>
    <w:qFormat/>
    <w:uiPriority w:val="0"/>
    <w:rPr>
      <w:sz w:val="18"/>
      <w:szCs w:val="20"/>
    </w:rPr>
  </w:style>
  <w:style w:type="paragraph" w:styleId="25">
    <w:name w:val="footer"/>
    <w:basedOn w:val="1"/>
    <w:link w:val="45"/>
    <w:qFormat/>
    <w:uiPriority w:val="99"/>
    <w:pPr>
      <w:tabs>
        <w:tab w:val="center" w:pos="4153"/>
        <w:tab w:val="right" w:pos="8306"/>
      </w:tabs>
      <w:snapToGrid w:val="0"/>
      <w:jc w:val="center"/>
    </w:pPr>
    <w:rPr>
      <w:sz w:val="18"/>
      <w:szCs w:val="18"/>
    </w:rPr>
  </w:style>
  <w:style w:type="paragraph" w:styleId="26">
    <w:name w:val="header"/>
    <w:basedOn w:val="1"/>
    <w:link w:val="46"/>
    <w:qFormat/>
    <w:uiPriority w:val="0"/>
    <w:pPr>
      <w:pBdr>
        <w:bottom w:val="single" w:color="auto" w:sz="6" w:space="1"/>
      </w:pBdr>
      <w:tabs>
        <w:tab w:val="center" w:pos="4153"/>
        <w:tab w:val="right" w:pos="8306"/>
      </w:tabs>
      <w:snapToGrid w:val="0"/>
      <w:jc w:val="center"/>
    </w:pPr>
    <w:rPr>
      <w:sz w:val="18"/>
      <w:szCs w:val="18"/>
    </w:rPr>
  </w:style>
  <w:style w:type="paragraph" w:styleId="27">
    <w:name w:val="toc 1"/>
    <w:basedOn w:val="1"/>
    <w:next w:val="1"/>
    <w:qFormat/>
    <w:uiPriority w:val="39"/>
    <w:pPr>
      <w:tabs>
        <w:tab w:val="right" w:leader="dot" w:pos="8296"/>
      </w:tabs>
      <w:spacing w:line="420" w:lineRule="auto"/>
    </w:pPr>
    <w:rPr>
      <w:szCs w:val="20"/>
    </w:rPr>
  </w:style>
  <w:style w:type="paragraph" w:styleId="28">
    <w:name w:val="toc 4"/>
    <w:basedOn w:val="1"/>
    <w:next w:val="1"/>
    <w:qFormat/>
    <w:uiPriority w:val="0"/>
    <w:pPr>
      <w:ind w:left="630"/>
      <w:jc w:val="left"/>
    </w:pPr>
    <w:rPr>
      <w:rFonts w:ascii="Calibri" w:hAnsi="Calibri"/>
      <w:sz w:val="18"/>
      <w:szCs w:val="20"/>
    </w:rPr>
  </w:style>
  <w:style w:type="paragraph" w:styleId="29">
    <w:name w:val="toc 6"/>
    <w:basedOn w:val="1"/>
    <w:next w:val="1"/>
    <w:qFormat/>
    <w:uiPriority w:val="0"/>
    <w:pPr>
      <w:ind w:left="1050"/>
      <w:jc w:val="left"/>
    </w:pPr>
    <w:rPr>
      <w:rFonts w:ascii="Calibri" w:hAnsi="Calibri"/>
      <w:sz w:val="18"/>
      <w:szCs w:val="20"/>
    </w:rPr>
  </w:style>
  <w:style w:type="paragraph" w:styleId="30">
    <w:name w:val="toc 2"/>
    <w:basedOn w:val="1"/>
    <w:next w:val="1"/>
    <w:qFormat/>
    <w:uiPriority w:val="39"/>
    <w:pPr>
      <w:ind w:left="200" w:leftChars="200"/>
    </w:pPr>
    <w:rPr>
      <w:szCs w:val="20"/>
    </w:rPr>
  </w:style>
  <w:style w:type="paragraph" w:styleId="31">
    <w:name w:val="toc 9"/>
    <w:basedOn w:val="1"/>
    <w:next w:val="1"/>
    <w:qFormat/>
    <w:uiPriority w:val="0"/>
    <w:pPr>
      <w:ind w:left="1680"/>
      <w:jc w:val="left"/>
    </w:pPr>
    <w:rPr>
      <w:rFonts w:ascii="Calibri" w:hAnsi="Calibri"/>
      <w:sz w:val="18"/>
      <w:szCs w:val="20"/>
    </w:rPr>
  </w:style>
  <w:style w:type="paragraph" w:styleId="32">
    <w:name w:val="HTML Preformatted"/>
    <w:basedOn w:val="1"/>
    <w:link w:val="132"/>
    <w:qFormat/>
    <w:uiPriority w:val="0"/>
    <w:rPr>
      <w:rFonts w:ascii="Courier New" w:hAnsi="Courier New"/>
      <w:sz w:val="20"/>
      <w:szCs w:val="20"/>
    </w:rPr>
  </w:style>
  <w:style w:type="paragraph" w:styleId="33">
    <w:name w:val="Normal (Web)"/>
    <w:basedOn w:val="1"/>
    <w:qFormat/>
    <w:uiPriority w:val="0"/>
    <w:pPr>
      <w:spacing w:before="100" w:beforeAutospacing="1" w:after="100" w:afterAutospacing="1"/>
      <w:jc w:val="left"/>
    </w:pPr>
    <w:rPr>
      <w:kern w:val="0"/>
      <w:sz w:val="24"/>
    </w:rPr>
  </w:style>
  <w:style w:type="paragraph" w:styleId="34">
    <w:name w:val="Title"/>
    <w:basedOn w:val="1"/>
    <w:link w:val="130"/>
    <w:qFormat/>
    <w:uiPriority w:val="0"/>
    <w:pPr>
      <w:spacing w:before="240" w:after="60"/>
      <w:jc w:val="center"/>
      <w:outlineLvl w:val="0"/>
    </w:pPr>
    <w:rPr>
      <w:rFonts w:ascii="Arial" w:hAnsi="Arial"/>
      <w:b/>
      <w:szCs w:val="20"/>
    </w:rPr>
  </w:style>
  <w:style w:type="paragraph" w:styleId="35">
    <w:name w:val="annotation subject"/>
    <w:basedOn w:val="16"/>
    <w:next w:val="16"/>
    <w:link w:val="98"/>
    <w:qFormat/>
    <w:uiPriority w:val="0"/>
    <w:rPr>
      <w:b/>
    </w:rPr>
  </w:style>
  <w:style w:type="table" w:styleId="37">
    <w:name w:val="Table Grid"/>
    <w:basedOn w:val="36"/>
    <w:qFormat/>
    <w:uiPriority w:val="0"/>
    <w:rPr>
      <w:rFonts w:ascii="宋体"/>
      <w:sz w:val="18"/>
      <w:szCs w:val="18"/>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9">
    <w:name w:val="Strong"/>
    <w:basedOn w:val="38"/>
    <w:qFormat/>
    <w:uiPriority w:val="0"/>
    <w:rPr>
      <w:b/>
    </w:rPr>
  </w:style>
  <w:style w:type="character" w:styleId="40">
    <w:name w:val="page number"/>
    <w:basedOn w:val="38"/>
    <w:qFormat/>
    <w:uiPriority w:val="0"/>
  </w:style>
  <w:style w:type="character" w:styleId="41">
    <w:name w:val="FollowedHyperlink"/>
    <w:qFormat/>
    <w:uiPriority w:val="0"/>
    <w:rPr>
      <w:color w:val="800080"/>
      <w:u w:val="single"/>
    </w:rPr>
  </w:style>
  <w:style w:type="character" w:styleId="42">
    <w:name w:val="Hyperlink"/>
    <w:unhideWhenUsed/>
    <w:qFormat/>
    <w:uiPriority w:val="99"/>
    <w:rPr>
      <w:color w:val="0000FF"/>
      <w:u w:val="single"/>
    </w:rPr>
  </w:style>
  <w:style w:type="character" w:styleId="43">
    <w:name w:val="annotation reference"/>
    <w:qFormat/>
    <w:uiPriority w:val="0"/>
    <w:rPr>
      <w:sz w:val="21"/>
    </w:rPr>
  </w:style>
  <w:style w:type="paragraph" w:customStyle="1" w:styleId="44">
    <w:name w:val="正文-公1"/>
    <w:basedOn w:val="1"/>
    <w:qFormat/>
    <w:uiPriority w:val="0"/>
    <w:pPr>
      <w:ind w:firstLine="200" w:firstLineChars="200"/>
      <w:jc w:val="left"/>
    </w:pPr>
    <w:rPr>
      <w:rFonts w:ascii="Times New Roman" w:hAnsi="Times New Roman" w:eastAsia="宋体"/>
      <w:sz w:val="21"/>
    </w:rPr>
  </w:style>
  <w:style w:type="character" w:customStyle="1" w:styleId="45">
    <w:name w:val="页脚 Char"/>
    <w:link w:val="25"/>
    <w:qFormat/>
    <w:uiPriority w:val="99"/>
    <w:rPr>
      <w:rFonts w:ascii="仿宋_GB2312" w:hAnsi="仿宋" w:eastAsia="仿宋_GB2312"/>
      <w:kern w:val="2"/>
      <w:sz w:val="18"/>
      <w:szCs w:val="18"/>
      <w:lang w:val="zh-CN" w:bidi="en-US"/>
    </w:rPr>
  </w:style>
  <w:style w:type="character" w:customStyle="1" w:styleId="46">
    <w:name w:val="页眉 Char"/>
    <w:link w:val="26"/>
    <w:qFormat/>
    <w:uiPriority w:val="0"/>
    <w:rPr>
      <w:kern w:val="2"/>
      <w:sz w:val="18"/>
      <w:szCs w:val="18"/>
    </w:rPr>
  </w:style>
  <w:style w:type="character" w:customStyle="1" w:styleId="47">
    <w:name w:val="font01"/>
    <w:basedOn w:val="38"/>
    <w:qFormat/>
    <w:uiPriority w:val="0"/>
    <w:rPr>
      <w:rFonts w:hint="eastAsia" w:ascii="宋体" w:hAnsi="宋体" w:eastAsia="宋体" w:cs="宋体"/>
      <w:color w:val="000000"/>
      <w:sz w:val="24"/>
      <w:szCs w:val="24"/>
      <w:u w:val="none"/>
    </w:rPr>
  </w:style>
  <w:style w:type="character" w:customStyle="1" w:styleId="48">
    <w:name w:val="段 Char"/>
    <w:link w:val="49"/>
    <w:qFormat/>
    <w:uiPriority w:val="0"/>
    <w:rPr>
      <w:rFonts w:ascii="宋体"/>
      <w:sz w:val="21"/>
      <w:lang w:val="en-US" w:eastAsia="zh-CN" w:bidi="ar-SA"/>
    </w:rPr>
  </w:style>
  <w:style w:type="paragraph" w:customStyle="1" w:styleId="49">
    <w:name w:val="段"/>
    <w:link w:val="48"/>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paragraph" w:customStyle="1" w:styleId="50">
    <w:name w:val="注×：（正文）"/>
    <w:qFormat/>
    <w:uiPriority w:val="0"/>
    <w:pPr>
      <w:numPr>
        <w:ilvl w:val="0"/>
        <w:numId w:val="1"/>
      </w:numPr>
      <w:jc w:val="both"/>
    </w:pPr>
    <w:rPr>
      <w:rFonts w:ascii="宋体" w:hAnsi="Times New Roman" w:eastAsia="宋体" w:cs="Times New Roman"/>
      <w:sz w:val="18"/>
      <w:szCs w:val="18"/>
      <w:lang w:val="en-US" w:eastAsia="zh-CN" w:bidi="ar-SA"/>
    </w:rPr>
  </w:style>
  <w:style w:type="paragraph" w:customStyle="1" w:styleId="51">
    <w:name w:val="正文图标题"/>
    <w:next w:val="49"/>
    <w:qFormat/>
    <w:uiPriority w:val="0"/>
    <w:pPr>
      <w:numPr>
        <w:ilvl w:val="0"/>
        <w:numId w:val="2"/>
      </w:numPr>
      <w:tabs>
        <w:tab w:val="left" w:pos="360"/>
      </w:tabs>
      <w:spacing w:before="156" w:beforeLines="50" w:after="156" w:afterLines="50"/>
      <w:jc w:val="center"/>
    </w:pPr>
    <w:rPr>
      <w:rFonts w:ascii="黑体" w:hAnsi="Times New Roman" w:eastAsia="黑体" w:cs="Times New Roman"/>
      <w:sz w:val="21"/>
      <w:lang w:val="en-US" w:eastAsia="zh-CN" w:bidi="ar-SA"/>
    </w:rPr>
  </w:style>
  <w:style w:type="paragraph" w:customStyle="1" w:styleId="52">
    <w:name w:val="正文表标题"/>
    <w:next w:val="49"/>
    <w:qFormat/>
    <w:uiPriority w:val="0"/>
    <w:pPr>
      <w:spacing w:before="156" w:beforeLines="50" w:after="156" w:afterLines="50"/>
      <w:jc w:val="center"/>
    </w:pPr>
    <w:rPr>
      <w:rFonts w:ascii="黑体" w:hAnsi="Times New Roman" w:eastAsia="黑体" w:cs="Times New Roman"/>
      <w:sz w:val="21"/>
      <w:lang w:val="en-US" w:eastAsia="zh-CN" w:bidi="ar-SA"/>
    </w:rPr>
  </w:style>
  <w:style w:type="paragraph" w:customStyle="1" w:styleId="53">
    <w:name w:val="三级条标题"/>
    <w:basedOn w:val="54"/>
    <w:next w:val="49"/>
    <w:qFormat/>
    <w:uiPriority w:val="0"/>
    <w:pPr>
      <w:numPr>
        <w:ilvl w:val="3"/>
      </w:numPr>
      <w:outlineLvl w:val="4"/>
    </w:pPr>
  </w:style>
  <w:style w:type="paragraph" w:customStyle="1" w:styleId="54">
    <w:name w:val="二级条标题"/>
    <w:basedOn w:val="55"/>
    <w:next w:val="49"/>
    <w:qFormat/>
    <w:uiPriority w:val="0"/>
    <w:pPr>
      <w:numPr>
        <w:ilvl w:val="2"/>
      </w:numPr>
      <w:spacing w:before="50" w:after="50"/>
      <w:outlineLvl w:val="3"/>
    </w:pPr>
  </w:style>
  <w:style w:type="paragraph" w:customStyle="1" w:styleId="55">
    <w:name w:val="一级条标题"/>
    <w:next w:val="49"/>
    <w:qFormat/>
    <w:uiPriority w:val="0"/>
    <w:pPr>
      <w:numPr>
        <w:ilvl w:val="1"/>
        <w:numId w:val="3"/>
      </w:numPr>
      <w:spacing w:before="156" w:beforeLines="50" w:after="156" w:afterLines="50"/>
      <w:outlineLvl w:val="2"/>
    </w:pPr>
    <w:rPr>
      <w:rFonts w:ascii="黑体" w:hAnsi="Times New Roman" w:eastAsia="黑体" w:cs="Times New Roman"/>
      <w:sz w:val="21"/>
      <w:szCs w:val="21"/>
      <w:lang w:val="en-US" w:eastAsia="zh-CN" w:bidi="ar-SA"/>
    </w:rPr>
  </w:style>
  <w:style w:type="paragraph" w:customStyle="1" w:styleId="56">
    <w:name w:val="五级条标题"/>
    <w:basedOn w:val="57"/>
    <w:next w:val="49"/>
    <w:qFormat/>
    <w:uiPriority w:val="0"/>
    <w:pPr>
      <w:numPr>
        <w:ilvl w:val="5"/>
      </w:numPr>
      <w:outlineLvl w:val="6"/>
    </w:pPr>
  </w:style>
  <w:style w:type="paragraph" w:customStyle="1" w:styleId="57">
    <w:name w:val="四级条标题"/>
    <w:basedOn w:val="53"/>
    <w:next w:val="49"/>
    <w:qFormat/>
    <w:uiPriority w:val="0"/>
    <w:pPr>
      <w:numPr>
        <w:ilvl w:val="4"/>
      </w:numPr>
      <w:outlineLvl w:val="5"/>
    </w:pPr>
  </w:style>
  <w:style w:type="paragraph" w:customStyle="1" w:styleId="58">
    <w:name w:val="四级无"/>
    <w:basedOn w:val="57"/>
    <w:qFormat/>
    <w:uiPriority w:val="0"/>
    <w:pPr>
      <w:numPr>
        <w:numId w:val="1"/>
      </w:numPr>
      <w:tabs>
        <w:tab w:val="left" w:pos="180"/>
      </w:tabs>
      <w:spacing w:before="0" w:beforeLines="0" w:after="0" w:afterLines="0"/>
    </w:pPr>
    <w:rPr>
      <w:rFonts w:ascii="宋体" w:hAnsi="Calibri" w:eastAsia="宋体"/>
    </w:rPr>
  </w:style>
  <w:style w:type="paragraph" w:customStyle="1" w:styleId="59">
    <w:name w:val="正文公式编号制表符"/>
    <w:basedOn w:val="49"/>
    <w:next w:val="49"/>
    <w:qFormat/>
    <w:uiPriority w:val="0"/>
    <w:pPr>
      <w:ind w:firstLine="0" w:firstLineChars="0"/>
    </w:pPr>
    <w:rPr>
      <w:rFonts w:hAnsi="Calibri"/>
    </w:rPr>
  </w:style>
  <w:style w:type="paragraph" w:customStyle="1" w:styleId="60">
    <w:name w:val="一级无"/>
    <w:basedOn w:val="55"/>
    <w:qFormat/>
    <w:uiPriority w:val="0"/>
    <w:pPr>
      <w:spacing w:before="0" w:beforeLines="0" w:after="0" w:afterLines="0"/>
    </w:pPr>
    <w:rPr>
      <w:rFonts w:ascii="宋体" w:eastAsia="宋体"/>
    </w:rPr>
  </w:style>
  <w:style w:type="paragraph" w:customStyle="1" w:styleId="61">
    <w:name w:val="图表脚注说明"/>
    <w:basedOn w:val="1"/>
    <w:qFormat/>
    <w:uiPriority w:val="0"/>
    <w:pPr>
      <w:numPr>
        <w:ilvl w:val="0"/>
        <w:numId w:val="4"/>
      </w:numPr>
    </w:pPr>
    <w:rPr>
      <w:rFonts w:ascii="宋体"/>
      <w:sz w:val="18"/>
      <w:szCs w:val="18"/>
    </w:rPr>
  </w:style>
  <w:style w:type="paragraph" w:customStyle="1" w:styleId="62">
    <w:name w:val="章标题"/>
    <w:next w:val="49"/>
    <w:qFormat/>
    <w:uiPriority w:val="0"/>
    <w:pPr>
      <w:numPr>
        <w:ilvl w:val="0"/>
        <w:numId w:val="3"/>
      </w:numPr>
      <w:spacing w:before="312" w:beforeLines="100" w:after="312" w:afterLines="100"/>
      <w:jc w:val="both"/>
      <w:outlineLvl w:val="1"/>
    </w:pPr>
    <w:rPr>
      <w:rFonts w:ascii="黑体" w:hAnsi="Times New Roman" w:eastAsia="黑体" w:cs="Times New Roman"/>
      <w:sz w:val="21"/>
      <w:lang w:val="en-US" w:eastAsia="zh-CN" w:bidi="ar-SA"/>
    </w:rPr>
  </w:style>
  <w:style w:type="paragraph" w:customStyle="1" w:styleId="63">
    <w:name w:val="附录图标号"/>
    <w:basedOn w:val="1"/>
    <w:qFormat/>
    <w:uiPriority w:val="0"/>
    <w:pPr>
      <w:keepNext/>
      <w:pageBreakBefore/>
      <w:widowControl/>
      <w:numPr>
        <w:ilvl w:val="0"/>
        <w:numId w:val="5"/>
      </w:numPr>
      <w:spacing w:line="14" w:lineRule="exact"/>
      <w:ind w:left="0" w:firstLine="363"/>
      <w:jc w:val="center"/>
      <w:outlineLvl w:val="0"/>
    </w:pPr>
    <w:rPr>
      <w:color w:val="FFFFFF"/>
    </w:rPr>
  </w:style>
  <w:style w:type="paragraph" w:customStyle="1" w:styleId="64">
    <w:name w:val="三级无"/>
    <w:basedOn w:val="53"/>
    <w:qFormat/>
    <w:uiPriority w:val="0"/>
    <w:pPr>
      <w:numPr>
        <w:numId w:val="1"/>
      </w:numPr>
      <w:tabs>
        <w:tab w:val="left" w:pos="180"/>
      </w:tabs>
      <w:spacing w:before="0" w:beforeLines="0" w:after="0" w:afterLines="0"/>
    </w:pPr>
    <w:rPr>
      <w:rFonts w:ascii="宋体" w:hAnsi="Calibri" w:eastAsia="宋体"/>
    </w:rPr>
  </w:style>
  <w:style w:type="paragraph" w:customStyle="1" w:styleId="65">
    <w:name w:val="注："/>
    <w:next w:val="49"/>
    <w:qFormat/>
    <w:uiPriority w:val="0"/>
    <w:pPr>
      <w:widowControl w:val="0"/>
      <w:numPr>
        <w:ilvl w:val="0"/>
        <w:numId w:val="6"/>
      </w:numPr>
      <w:autoSpaceDE w:val="0"/>
      <w:autoSpaceDN w:val="0"/>
      <w:ind w:left="726" w:hanging="363"/>
      <w:jc w:val="both"/>
    </w:pPr>
    <w:rPr>
      <w:rFonts w:ascii="宋体" w:hAnsi="Times New Roman" w:eastAsia="宋体" w:cs="Times New Roman"/>
      <w:sz w:val="18"/>
      <w:szCs w:val="18"/>
      <w:lang w:val="en-US" w:eastAsia="zh-CN" w:bidi="ar-SA"/>
    </w:rPr>
  </w:style>
  <w:style w:type="paragraph" w:customStyle="1" w:styleId="66">
    <w:name w:val="二级无"/>
    <w:basedOn w:val="54"/>
    <w:qFormat/>
    <w:uiPriority w:val="0"/>
    <w:pPr>
      <w:numPr>
        <w:numId w:val="1"/>
      </w:numPr>
      <w:tabs>
        <w:tab w:val="left" w:pos="180"/>
      </w:tabs>
      <w:spacing w:before="0" w:beforeLines="0" w:after="0" w:afterLines="0"/>
      <w:ind w:left="0"/>
    </w:pPr>
    <w:rPr>
      <w:rFonts w:ascii="宋体" w:hAnsi="Calibri" w:eastAsia="宋体"/>
    </w:rPr>
  </w:style>
  <w:style w:type="paragraph" w:customStyle="1" w:styleId="67">
    <w:name w:val="附录图标题"/>
    <w:basedOn w:val="1"/>
    <w:next w:val="49"/>
    <w:qFormat/>
    <w:uiPriority w:val="0"/>
    <w:pPr>
      <w:numPr>
        <w:ilvl w:val="1"/>
        <w:numId w:val="5"/>
      </w:numPr>
      <w:tabs>
        <w:tab w:val="left" w:pos="363"/>
      </w:tabs>
      <w:spacing w:before="50" w:beforeLines="50" w:after="50" w:afterLines="50"/>
      <w:ind w:left="0" w:firstLine="0"/>
      <w:jc w:val="center"/>
    </w:pPr>
    <w:rPr>
      <w:rFonts w:ascii="黑体" w:eastAsia="黑体"/>
      <w:szCs w:val="21"/>
    </w:rPr>
  </w:style>
  <w:style w:type="paragraph" w:customStyle="1" w:styleId="68">
    <w:name w:val="其他发布日期"/>
    <w:basedOn w:val="1"/>
    <w:qFormat/>
    <w:uiPriority w:val="0"/>
    <w:pPr>
      <w:framePr w:w="3997" w:h="471" w:hRule="exact" w:vSpace="181" w:wrap="around" w:vAnchor="page" w:hAnchor="page" w:x="1419" w:y="14097" w:anchorLock="1"/>
      <w:widowControl/>
      <w:numPr>
        <w:ilvl w:val="0"/>
        <w:numId w:val="7"/>
      </w:numPr>
      <w:jc w:val="left"/>
    </w:pPr>
    <w:rPr>
      <w:rFonts w:eastAsia="黑体"/>
      <w:kern w:val="0"/>
      <w:sz w:val="28"/>
      <w:szCs w:val="20"/>
    </w:rPr>
  </w:style>
  <w:style w:type="character" w:customStyle="1" w:styleId="69">
    <w:name w:val="正文文本 Char"/>
    <w:link w:val="17"/>
    <w:qFormat/>
    <w:uiPriority w:val="0"/>
    <w:rPr>
      <w:kern w:val="2"/>
      <w:sz w:val="21"/>
      <w:szCs w:val="24"/>
    </w:rPr>
  </w:style>
  <w:style w:type="paragraph" w:styleId="70">
    <w:name w:val="List Paragraph"/>
    <w:basedOn w:val="1"/>
    <w:qFormat/>
    <w:uiPriority w:val="0"/>
    <w:pPr>
      <w:ind w:firstLine="420"/>
    </w:pPr>
  </w:style>
  <w:style w:type="character" w:customStyle="1" w:styleId="71">
    <w:name w:val="标题 1 Char"/>
    <w:basedOn w:val="38"/>
    <w:link w:val="3"/>
    <w:qFormat/>
    <w:uiPriority w:val="0"/>
    <w:rPr>
      <w:b/>
      <w:kern w:val="44"/>
      <w:sz w:val="44"/>
    </w:rPr>
  </w:style>
  <w:style w:type="character" w:customStyle="1" w:styleId="72">
    <w:name w:val="标题 2 Char"/>
    <w:basedOn w:val="38"/>
    <w:link w:val="4"/>
    <w:qFormat/>
    <w:uiPriority w:val="0"/>
    <w:rPr>
      <w:rFonts w:ascii="Arial" w:hAnsi="Arial" w:eastAsia="黑体"/>
      <w:b/>
      <w:kern w:val="2"/>
      <w:sz w:val="32"/>
    </w:rPr>
  </w:style>
  <w:style w:type="character" w:customStyle="1" w:styleId="73">
    <w:name w:val="标题 3 Char"/>
    <w:basedOn w:val="38"/>
    <w:link w:val="5"/>
    <w:qFormat/>
    <w:uiPriority w:val="0"/>
    <w:rPr>
      <w:b/>
      <w:bCs/>
      <w:kern w:val="2"/>
      <w:sz w:val="32"/>
      <w:szCs w:val="32"/>
      <w:lang w:val="zh-CN" w:eastAsia="zh-CN"/>
    </w:rPr>
  </w:style>
  <w:style w:type="character" w:customStyle="1" w:styleId="74">
    <w:name w:val="标题 4 Char"/>
    <w:basedOn w:val="38"/>
    <w:link w:val="6"/>
    <w:qFormat/>
    <w:uiPriority w:val="0"/>
    <w:rPr>
      <w:rFonts w:ascii="Arial" w:hAnsi="Arial" w:eastAsia="黑体"/>
      <w:b/>
      <w:kern w:val="2"/>
      <w:sz w:val="28"/>
    </w:rPr>
  </w:style>
  <w:style w:type="character" w:customStyle="1" w:styleId="75">
    <w:name w:val="标题 5 Char"/>
    <w:basedOn w:val="38"/>
    <w:link w:val="7"/>
    <w:qFormat/>
    <w:uiPriority w:val="0"/>
    <w:rPr>
      <w:b/>
      <w:bCs/>
      <w:kern w:val="2"/>
      <w:sz w:val="28"/>
      <w:szCs w:val="28"/>
      <w:lang w:val="zh-CN" w:eastAsia="zh-CN"/>
    </w:rPr>
  </w:style>
  <w:style w:type="character" w:customStyle="1" w:styleId="76">
    <w:name w:val="标题 6 Char"/>
    <w:basedOn w:val="38"/>
    <w:link w:val="8"/>
    <w:qFormat/>
    <w:uiPriority w:val="0"/>
    <w:rPr>
      <w:rFonts w:ascii="Arial" w:hAnsi="Arial" w:eastAsia="黑体"/>
      <w:b/>
      <w:bCs/>
      <w:kern w:val="2"/>
      <w:sz w:val="24"/>
      <w:szCs w:val="24"/>
      <w:lang w:val="zh-CN" w:eastAsia="zh-CN"/>
    </w:rPr>
  </w:style>
  <w:style w:type="character" w:customStyle="1" w:styleId="77">
    <w:name w:val="标题 7 Char"/>
    <w:basedOn w:val="38"/>
    <w:link w:val="9"/>
    <w:qFormat/>
    <w:uiPriority w:val="0"/>
    <w:rPr>
      <w:b/>
      <w:bCs/>
      <w:kern w:val="2"/>
      <w:sz w:val="24"/>
      <w:szCs w:val="24"/>
      <w:lang w:val="zh-CN" w:eastAsia="zh-CN"/>
    </w:rPr>
  </w:style>
  <w:style w:type="character" w:customStyle="1" w:styleId="78">
    <w:name w:val="标题 8 Char"/>
    <w:basedOn w:val="38"/>
    <w:link w:val="10"/>
    <w:qFormat/>
    <w:uiPriority w:val="0"/>
    <w:rPr>
      <w:rFonts w:ascii="Arial" w:hAnsi="Arial" w:eastAsia="黑体"/>
      <w:kern w:val="2"/>
      <w:sz w:val="24"/>
      <w:szCs w:val="24"/>
      <w:lang w:val="zh-CN" w:eastAsia="zh-CN"/>
    </w:rPr>
  </w:style>
  <w:style w:type="character" w:customStyle="1" w:styleId="79">
    <w:name w:val="标题 9 Char"/>
    <w:basedOn w:val="38"/>
    <w:link w:val="11"/>
    <w:qFormat/>
    <w:uiPriority w:val="0"/>
    <w:rPr>
      <w:rFonts w:ascii="Arial" w:hAnsi="Arial" w:eastAsia="黑体"/>
      <w:kern w:val="2"/>
      <w:sz w:val="21"/>
      <w:szCs w:val="21"/>
      <w:lang w:val="zh-CN" w:eastAsia="zh-CN"/>
    </w:rPr>
  </w:style>
  <w:style w:type="character" w:customStyle="1" w:styleId="80">
    <w:name w:val="font51"/>
    <w:basedOn w:val="38"/>
    <w:qFormat/>
    <w:uiPriority w:val="0"/>
    <w:rPr>
      <w:rFonts w:ascii="Times New Roman" w:hAnsi="Times New Roman"/>
      <w:color w:val="000000"/>
      <w:sz w:val="18"/>
      <w:u w:val="none"/>
    </w:rPr>
  </w:style>
  <w:style w:type="character" w:customStyle="1" w:styleId="81">
    <w:name w:val="样式 宋体 三号 下划线"/>
    <w:qFormat/>
    <w:uiPriority w:val="0"/>
    <w:rPr>
      <w:rFonts w:ascii="Times New Roman" w:hAnsi="Times New Roman" w:eastAsia="宋体"/>
      <w:sz w:val="32"/>
      <w:u w:val="single"/>
    </w:rPr>
  </w:style>
  <w:style w:type="character" w:customStyle="1" w:styleId="82">
    <w:name w:val="font11"/>
    <w:basedOn w:val="38"/>
    <w:qFormat/>
    <w:uiPriority w:val="0"/>
    <w:rPr>
      <w:rFonts w:ascii="宋体" w:eastAsia="宋体"/>
      <w:color w:val="008080"/>
      <w:sz w:val="18"/>
      <w:u w:val="none"/>
    </w:rPr>
  </w:style>
  <w:style w:type="character" w:customStyle="1" w:styleId="83">
    <w:name w:val="font41"/>
    <w:basedOn w:val="38"/>
    <w:qFormat/>
    <w:uiPriority w:val="0"/>
    <w:rPr>
      <w:rFonts w:ascii="宋体" w:eastAsia="宋体"/>
      <w:color w:val="000000"/>
      <w:sz w:val="18"/>
      <w:u w:val="none"/>
    </w:rPr>
  </w:style>
  <w:style w:type="character" w:customStyle="1" w:styleId="84">
    <w:name w:val="font31"/>
    <w:basedOn w:val="38"/>
    <w:qFormat/>
    <w:uiPriority w:val="0"/>
    <w:rPr>
      <w:rFonts w:ascii="宋体" w:eastAsia="宋体"/>
      <w:color w:val="000000"/>
      <w:sz w:val="18"/>
      <w:u w:val="none"/>
    </w:rPr>
  </w:style>
  <w:style w:type="character" w:customStyle="1" w:styleId="85">
    <w:name w:val="font21"/>
    <w:basedOn w:val="38"/>
    <w:qFormat/>
    <w:uiPriority w:val="0"/>
    <w:rPr>
      <w:rFonts w:ascii="Times New Roman" w:hAnsi="Times New Roman"/>
      <w:color w:val="008080"/>
      <w:sz w:val="18"/>
      <w:u w:val="none"/>
    </w:rPr>
  </w:style>
  <w:style w:type="character" w:customStyle="1" w:styleId="86">
    <w:name w:val="font61"/>
    <w:basedOn w:val="38"/>
    <w:qFormat/>
    <w:uiPriority w:val="0"/>
    <w:rPr>
      <w:rFonts w:ascii="Times New Roman" w:hAnsi="Times New Roman"/>
      <w:color w:val="000000"/>
      <w:sz w:val="18"/>
      <w:u w:val="none"/>
    </w:rPr>
  </w:style>
  <w:style w:type="paragraph" w:customStyle="1" w:styleId="87">
    <w:name w:val="xl83"/>
    <w:basedOn w:val="1"/>
    <w:qFormat/>
    <w:uiPriority w:val="0"/>
    <w:pPr>
      <w:widowControl/>
      <w:pBdr>
        <w:bottom w:val="single" w:color="000000" w:sz="8" w:space="0"/>
        <w:right w:val="single" w:color="000000" w:sz="8" w:space="0"/>
      </w:pBdr>
      <w:spacing w:before="100" w:beforeAutospacing="1" w:after="100" w:afterAutospacing="1"/>
      <w:jc w:val="center"/>
    </w:pPr>
    <w:rPr>
      <w:kern w:val="0"/>
      <w:sz w:val="22"/>
      <w:szCs w:val="20"/>
    </w:rPr>
  </w:style>
  <w:style w:type="paragraph" w:customStyle="1" w:styleId="88">
    <w:name w:val="Char1"/>
    <w:basedOn w:val="1"/>
    <w:qFormat/>
    <w:uiPriority w:val="0"/>
    <w:pPr>
      <w:tabs>
        <w:tab w:val="left" w:pos="789"/>
      </w:tabs>
      <w:ind w:left="789" w:hanging="480"/>
    </w:pPr>
    <w:rPr>
      <w:sz w:val="24"/>
      <w:szCs w:val="20"/>
    </w:rPr>
  </w:style>
  <w:style w:type="character" w:customStyle="1" w:styleId="89">
    <w:name w:val="批注文字 Char"/>
    <w:basedOn w:val="38"/>
    <w:link w:val="16"/>
    <w:qFormat/>
    <w:uiPriority w:val="0"/>
    <w:rPr>
      <w:kern w:val="2"/>
      <w:sz w:val="21"/>
      <w:lang w:val="zh-CN" w:eastAsia="zh-CN"/>
    </w:rPr>
  </w:style>
  <w:style w:type="paragraph" w:customStyle="1" w:styleId="90">
    <w:name w:val="xl82"/>
    <w:basedOn w:val="1"/>
    <w:qFormat/>
    <w:uiPriority w:val="0"/>
    <w:pPr>
      <w:widowControl/>
      <w:pBdr>
        <w:bottom w:val="single" w:color="000000" w:sz="8" w:space="0"/>
        <w:right w:val="single" w:color="000000" w:sz="8" w:space="0"/>
      </w:pBdr>
      <w:spacing w:before="100" w:beforeAutospacing="1" w:after="100" w:afterAutospacing="1"/>
      <w:jc w:val="center"/>
    </w:pPr>
    <w:rPr>
      <w:color w:val="000000"/>
      <w:kern w:val="0"/>
      <w:sz w:val="22"/>
      <w:szCs w:val="20"/>
    </w:rPr>
  </w:style>
  <w:style w:type="paragraph" w:customStyle="1" w:styleId="91">
    <w:name w:val="编号正文缩进"/>
    <w:basedOn w:val="1"/>
    <w:qFormat/>
    <w:uiPriority w:val="0"/>
    <w:pPr>
      <w:tabs>
        <w:tab w:val="left" w:pos="198"/>
      </w:tabs>
      <w:ind w:firstLine="454"/>
    </w:pPr>
    <w:rPr>
      <w:szCs w:val="20"/>
    </w:rPr>
  </w:style>
  <w:style w:type="paragraph" w:customStyle="1" w:styleId="92">
    <w:name w:val="标准称谓"/>
    <w:next w:val="1"/>
    <w:qFormat/>
    <w:uiPriority w:val="0"/>
    <w:pPr>
      <w:widowControl w:val="0"/>
      <w:kinsoku w:val="0"/>
      <w:overflowPunct w:val="0"/>
      <w:autoSpaceDE w:val="0"/>
      <w:autoSpaceDN w:val="0"/>
      <w:spacing w:line="0" w:lineRule="atLeast"/>
      <w:jc w:val="distribute"/>
    </w:pPr>
    <w:rPr>
      <w:rFonts w:ascii="宋体" w:hAnsi="Times New Roman" w:eastAsia="宋体" w:cs="Times New Roman"/>
      <w:b/>
      <w:spacing w:val="20"/>
      <w:w w:val="148"/>
      <w:sz w:val="52"/>
      <w:lang w:val="en-US" w:eastAsia="zh-CN" w:bidi="ar-SA"/>
    </w:rPr>
  </w:style>
  <w:style w:type="paragraph" w:customStyle="1" w:styleId="93">
    <w:name w:val="font6"/>
    <w:basedOn w:val="1"/>
    <w:qFormat/>
    <w:uiPriority w:val="0"/>
    <w:pPr>
      <w:widowControl/>
      <w:spacing w:before="100" w:beforeAutospacing="1" w:after="100" w:afterAutospacing="1"/>
      <w:jc w:val="left"/>
    </w:pPr>
    <w:rPr>
      <w:color w:val="000000"/>
      <w:kern w:val="0"/>
      <w:sz w:val="18"/>
      <w:szCs w:val="20"/>
    </w:rPr>
  </w:style>
  <w:style w:type="paragraph" w:customStyle="1" w:styleId="94">
    <w:name w:val="xl70"/>
    <w:basedOn w:val="1"/>
    <w:qFormat/>
    <w:uiPriority w:val="0"/>
    <w:pPr>
      <w:widowControl/>
      <w:pBdr>
        <w:bottom w:val="single" w:color="000000" w:sz="8" w:space="0"/>
        <w:right w:val="single" w:color="000000" w:sz="8" w:space="0"/>
      </w:pBdr>
      <w:spacing w:before="100" w:beforeAutospacing="1" w:after="100" w:afterAutospacing="1"/>
      <w:jc w:val="center"/>
    </w:pPr>
    <w:rPr>
      <w:color w:val="000000"/>
      <w:kern w:val="0"/>
      <w:sz w:val="22"/>
      <w:szCs w:val="20"/>
    </w:rPr>
  </w:style>
  <w:style w:type="paragraph" w:customStyle="1" w:styleId="95">
    <w:name w:val="Char1 Char Char Char"/>
    <w:basedOn w:val="1"/>
    <w:qFormat/>
    <w:uiPriority w:val="0"/>
    <w:pPr>
      <w:tabs>
        <w:tab w:val="left" w:pos="789"/>
      </w:tabs>
      <w:ind w:left="789" w:hanging="480"/>
    </w:pPr>
    <w:rPr>
      <w:sz w:val="24"/>
      <w:szCs w:val="20"/>
    </w:rPr>
  </w:style>
  <w:style w:type="paragraph" w:customStyle="1" w:styleId="96">
    <w:name w:val="Char Char Char Char Char Char Char"/>
    <w:basedOn w:val="1"/>
    <w:qFormat/>
    <w:uiPriority w:val="0"/>
    <w:pPr>
      <w:widowControl/>
      <w:spacing w:after="160" w:line="240" w:lineRule="exact"/>
      <w:jc w:val="left"/>
    </w:pPr>
    <w:rPr>
      <w:rFonts w:ascii="Arial" w:hAnsi="Arial" w:eastAsia="Times New Roman"/>
      <w:b/>
      <w:kern w:val="0"/>
      <w:sz w:val="24"/>
      <w:szCs w:val="20"/>
      <w:lang w:eastAsia="en-US"/>
    </w:rPr>
  </w:style>
  <w:style w:type="paragraph" w:customStyle="1" w:styleId="97">
    <w:name w:val="xl81"/>
    <w:basedOn w:val="1"/>
    <w:qFormat/>
    <w:uiPriority w:val="0"/>
    <w:pPr>
      <w:widowControl/>
      <w:pBdr>
        <w:bottom w:val="single" w:color="000000" w:sz="8" w:space="0"/>
        <w:right w:val="single" w:color="000000" w:sz="8" w:space="0"/>
      </w:pBdr>
      <w:spacing w:before="100" w:beforeAutospacing="1" w:after="100" w:afterAutospacing="1"/>
      <w:jc w:val="center"/>
    </w:pPr>
    <w:rPr>
      <w:color w:val="000000"/>
      <w:kern w:val="0"/>
      <w:sz w:val="22"/>
      <w:szCs w:val="20"/>
    </w:rPr>
  </w:style>
  <w:style w:type="character" w:customStyle="1" w:styleId="98">
    <w:name w:val="批注主题 Char"/>
    <w:basedOn w:val="89"/>
    <w:link w:val="35"/>
    <w:qFormat/>
    <w:uiPriority w:val="0"/>
    <w:rPr>
      <w:b/>
      <w:kern w:val="2"/>
      <w:sz w:val="21"/>
      <w:lang w:val="zh-CN" w:eastAsia="zh-CN"/>
    </w:rPr>
  </w:style>
  <w:style w:type="paragraph" w:customStyle="1" w:styleId="99">
    <w:name w:val="font5"/>
    <w:basedOn w:val="1"/>
    <w:qFormat/>
    <w:uiPriority w:val="0"/>
    <w:pPr>
      <w:widowControl/>
      <w:spacing w:before="100" w:beforeAutospacing="1" w:after="100" w:afterAutospacing="1"/>
      <w:jc w:val="left"/>
    </w:pPr>
    <w:rPr>
      <w:rFonts w:ascii="宋体"/>
      <w:color w:val="000000"/>
      <w:kern w:val="0"/>
      <w:sz w:val="18"/>
      <w:szCs w:val="20"/>
    </w:rPr>
  </w:style>
  <w:style w:type="paragraph" w:customStyle="1" w:styleId="100">
    <w:name w:val="xl69"/>
    <w:basedOn w:val="1"/>
    <w:qFormat/>
    <w:uiPriority w:val="0"/>
    <w:pPr>
      <w:widowControl/>
      <w:pBdr>
        <w:bottom w:val="single" w:color="000000" w:sz="8" w:space="0"/>
        <w:right w:val="single" w:color="000000" w:sz="8" w:space="0"/>
      </w:pBdr>
      <w:spacing w:before="100" w:beforeAutospacing="1" w:after="100" w:afterAutospacing="1"/>
      <w:jc w:val="left"/>
    </w:pPr>
    <w:rPr>
      <w:kern w:val="0"/>
      <w:sz w:val="22"/>
      <w:szCs w:val="20"/>
    </w:rPr>
  </w:style>
  <w:style w:type="paragraph" w:customStyle="1" w:styleId="101">
    <w:name w:val="xl80"/>
    <w:basedOn w:val="1"/>
    <w:qFormat/>
    <w:uiPriority w:val="0"/>
    <w:pPr>
      <w:widowControl/>
      <w:pBdr>
        <w:bottom w:val="single" w:color="000000" w:sz="8" w:space="0"/>
        <w:right w:val="single" w:color="000000" w:sz="8" w:space="0"/>
      </w:pBdr>
      <w:spacing w:before="100" w:beforeAutospacing="1" w:after="100" w:afterAutospacing="1"/>
      <w:jc w:val="center"/>
    </w:pPr>
    <w:rPr>
      <w:color w:val="000000"/>
      <w:kern w:val="0"/>
      <w:sz w:val="22"/>
      <w:szCs w:val="20"/>
    </w:rPr>
  </w:style>
  <w:style w:type="paragraph" w:customStyle="1" w:styleId="102">
    <w:name w:val="修订1"/>
    <w:qFormat/>
    <w:uiPriority w:val="0"/>
    <w:rPr>
      <w:rFonts w:ascii="Times New Roman" w:hAnsi="Times New Roman" w:eastAsia="宋体" w:cs="Times New Roman"/>
      <w:kern w:val="2"/>
      <w:sz w:val="21"/>
      <w:lang w:val="en-US" w:eastAsia="zh-CN" w:bidi="ar-SA"/>
    </w:rPr>
  </w:style>
  <w:style w:type="paragraph" w:customStyle="1" w:styleId="103">
    <w:name w:val="Char Char Char Char"/>
    <w:basedOn w:val="1"/>
    <w:qFormat/>
    <w:uiPriority w:val="0"/>
    <w:rPr>
      <w:sz w:val="24"/>
      <w:szCs w:val="20"/>
    </w:rPr>
  </w:style>
  <w:style w:type="paragraph" w:customStyle="1" w:styleId="104">
    <w:name w:val="xl72"/>
    <w:basedOn w:val="1"/>
    <w:qFormat/>
    <w:uiPriority w:val="0"/>
    <w:pPr>
      <w:widowControl/>
      <w:pBdr>
        <w:top w:val="single" w:color="000000" w:sz="8" w:space="0"/>
        <w:left w:val="single" w:color="000000" w:sz="8" w:space="0"/>
        <w:bottom w:val="single" w:color="000000" w:sz="8" w:space="0"/>
        <w:right w:val="single" w:color="000000" w:sz="8" w:space="0"/>
      </w:pBdr>
      <w:spacing w:before="100" w:beforeAutospacing="1" w:after="100" w:afterAutospacing="1"/>
      <w:jc w:val="center"/>
    </w:pPr>
    <w:rPr>
      <w:rFonts w:ascii="宋体"/>
      <w:color w:val="000000"/>
      <w:kern w:val="0"/>
      <w:sz w:val="20"/>
      <w:szCs w:val="20"/>
    </w:rPr>
  </w:style>
  <w:style w:type="paragraph" w:customStyle="1" w:styleId="105">
    <w:name w:val="xl66"/>
    <w:basedOn w:val="1"/>
    <w:qFormat/>
    <w:uiPriority w:val="0"/>
    <w:pPr>
      <w:widowControl/>
      <w:pBdr>
        <w:bottom w:val="single" w:color="000000" w:sz="8" w:space="0"/>
        <w:right w:val="single" w:color="000000" w:sz="8" w:space="0"/>
      </w:pBdr>
      <w:spacing w:before="100" w:beforeAutospacing="1" w:after="100" w:afterAutospacing="1"/>
      <w:jc w:val="center"/>
    </w:pPr>
    <w:rPr>
      <w:rFonts w:ascii="宋体"/>
      <w:color w:val="000000"/>
      <w:kern w:val="0"/>
      <w:sz w:val="18"/>
      <w:szCs w:val="20"/>
    </w:rPr>
  </w:style>
  <w:style w:type="paragraph" w:customStyle="1" w:styleId="106">
    <w:name w:val="xl68"/>
    <w:basedOn w:val="1"/>
    <w:qFormat/>
    <w:uiPriority w:val="0"/>
    <w:pPr>
      <w:widowControl/>
      <w:pBdr>
        <w:bottom w:val="single" w:color="000000" w:sz="8" w:space="0"/>
        <w:right w:val="single" w:color="000000" w:sz="8" w:space="0"/>
      </w:pBdr>
      <w:spacing w:before="100" w:beforeAutospacing="1" w:after="100" w:afterAutospacing="1"/>
      <w:jc w:val="center"/>
    </w:pPr>
    <w:rPr>
      <w:kern w:val="0"/>
      <w:sz w:val="22"/>
      <w:szCs w:val="20"/>
    </w:rPr>
  </w:style>
  <w:style w:type="paragraph" w:customStyle="1" w:styleId="107">
    <w:name w:val="Char Char1 Char Char"/>
    <w:basedOn w:val="1"/>
    <w:qFormat/>
    <w:uiPriority w:val="0"/>
    <w:rPr>
      <w:rFonts w:ascii="黑体" w:eastAsia="黑体"/>
      <w:kern w:val="0"/>
      <w:szCs w:val="20"/>
    </w:rPr>
  </w:style>
  <w:style w:type="paragraph" w:customStyle="1" w:styleId="108">
    <w:name w:val="xl79"/>
    <w:basedOn w:val="1"/>
    <w:qFormat/>
    <w:uiPriority w:val="0"/>
    <w:pPr>
      <w:widowControl/>
      <w:pBdr>
        <w:bottom w:val="single" w:color="000000" w:sz="8" w:space="0"/>
        <w:right w:val="single" w:color="000000" w:sz="8" w:space="0"/>
      </w:pBdr>
      <w:spacing w:before="100" w:beforeAutospacing="1" w:after="100" w:afterAutospacing="1"/>
      <w:jc w:val="center"/>
    </w:pPr>
    <w:rPr>
      <w:color w:val="000000"/>
      <w:kern w:val="0"/>
      <w:sz w:val="22"/>
      <w:szCs w:val="20"/>
    </w:rPr>
  </w:style>
  <w:style w:type="paragraph" w:customStyle="1" w:styleId="109">
    <w:name w:val="xl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kern w:val="0"/>
      <w:sz w:val="18"/>
      <w:szCs w:val="20"/>
    </w:rPr>
  </w:style>
  <w:style w:type="paragraph" w:customStyle="1" w:styleId="110">
    <w:name w:val="xl7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kern w:val="0"/>
      <w:sz w:val="18"/>
      <w:szCs w:val="20"/>
    </w:rPr>
  </w:style>
  <w:style w:type="character" w:customStyle="1" w:styleId="111">
    <w:name w:val="文档结构图 Char"/>
    <w:basedOn w:val="38"/>
    <w:link w:val="15"/>
    <w:qFormat/>
    <w:uiPriority w:val="0"/>
    <w:rPr>
      <w:rFonts w:ascii="宋体"/>
      <w:kern w:val="2"/>
      <w:sz w:val="18"/>
      <w:lang w:val="zh-CN" w:eastAsia="zh-CN"/>
    </w:rPr>
  </w:style>
  <w:style w:type="paragraph" w:customStyle="1" w:styleId="112">
    <w:name w:val="1"/>
    <w:basedOn w:val="1"/>
    <w:qFormat/>
    <w:uiPriority w:val="0"/>
    <w:rPr>
      <w:rFonts w:ascii="黑体" w:eastAsia="黑体"/>
      <w:kern w:val="0"/>
      <w:szCs w:val="20"/>
    </w:rPr>
  </w:style>
  <w:style w:type="paragraph" w:customStyle="1" w:styleId="113">
    <w:name w:val="GB-1.1.1.1"/>
    <w:basedOn w:val="114"/>
    <w:qFormat/>
    <w:uiPriority w:val="0"/>
    <w:pPr>
      <w:tabs>
        <w:tab w:val="left" w:pos="840"/>
        <w:tab w:val="left" w:pos="1260"/>
      </w:tabs>
      <w:adjustRightInd/>
      <w:outlineLvl w:val="3"/>
    </w:pPr>
  </w:style>
  <w:style w:type="paragraph" w:customStyle="1" w:styleId="114">
    <w:name w:val="GB-1.1.1"/>
    <w:basedOn w:val="115"/>
    <w:qFormat/>
    <w:uiPriority w:val="0"/>
    <w:pPr>
      <w:tabs>
        <w:tab w:val="left" w:pos="840"/>
        <w:tab w:val="left" w:pos="1260"/>
      </w:tabs>
      <w:adjustRightInd w:val="0"/>
      <w:ind w:left="1260"/>
      <w:outlineLvl w:val="2"/>
    </w:pPr>
    <w:rPr>
      <w:rFonts w:ascii="宋体" w:eastAsia="宋体"/>
    </w:rPr>
  </w:style>
  <w:style w:type="paragraph" w:customStyle="1" w:styleId="115">
    <w:name w:val="GB-1.1"/>
    <w:qFormat/>
    <w:uiPriority w:val="0"/>
    <w:pPr>
      <w:tabs>
        <w:tab w:val="left" w:pos="840"/>
      </w:tabs>
      <w:ind w:left="840" w:hanging="420"/>
      <w:outlineLvl w:val="1"/>
    </w:pPr>
    <w:rPr>
      <w:rFonts w:ascii="黑体" w:hAnsi="Times New Roman" w:eastAsia="黑体" w:cs="Times New Roman"/>
      <w:sz w:val="21"/>
      <w:lang w:val="en-US" w:eastAsia="zh-CN" w:bidi="ar-SA"/>
    </w:rPr>
  </w:style>
  <w:style w:type="character" w:customStyle="1" w:styleId="116">
    <w:name w:val="批注框文本 Char"/>
    <w:basedOn w:val="38"/>
    <w:link w:val="24"/>
    <w:qFormat/>
    <w:uiPriority w:val="0"/>
    <w:rPr>
      <w:kern w:val="2"/>
      <w:sz w:val="18"/>
      <w:lang w:val="zh-CN" w:eastAsia="zh-CN"/>
    </w:rPr>
  </w:style>
  <w:style w:type="paragraph" w:customStyle="1" w:styleId="117">
    <w:name w:val="xl77"/>
    <w:basedOn w:val="1"/>
    <w:qFormat/>
    <w:uiPriority w:val="0"/>
    <w:pPr>
      <w:widowControl/>
      <w:pBdr>
        <w:top w:val="single" w:color="000000" w:sz="8" w:space="0"/>
        <w:bottom w:val="single" w:color="000000" w:sz="8" w:space="0"/>
        <w:right w:val="single" w:color="000000" w:sz="8" w:space="0"/>
      </w:pBdr>
      <w:spacing w:before="100" w:beforeAutospacing="1" w:after="100" w:afterAutospacing="1"/>
      <w:jc w:val="left"/>
    </w:pPr>
    <w:rPr>
      <w:rFonts w:ascii="宋体"/>
      <w:kern w:val="0"/>
      <w:sz w:val="24"/>
      <w:szCs w:val="20"/>
    </w:rPr>
  </w:style>
  <w:style w:type="character" w:customStyle="1" w:styleId="118">
    <w:name w:val="日期 Char"/>
    <w:basedOn w:val="38"/>
    <w:link w:val="23"/>
    <w:qFormat/>
    <w:uiPriority w:val="0"/>
    <w:rPr>
      <w:kern w:val="2"/>
      <w:sz w:val="21"/>
    </w:rPr>
  </w:style>
  <w:style w:type="paragraph" w:customStyle="1" w:styleId="119">
    <w:name w:val="xl76"/>
    <w:basedOn w:val="1"/>
    <w:qFormat/>
    <w:uiPriority w:val="0"/>
    <w:pPr>
      <w:widowControl/>
      <w:pBdr>
        <w:top w:val="single" w:color="000000" w:sz="8" w:space="0"/>
        <w:bottom w:val="single" w:color="000000" w:sz="8" w:space="0"/>
      </w:pBdr>
      <w:spacing w:before="100" w:beforeAutospacing="1" w:after="100" w:afterAutospacing="1"/>
      <w:jc w:val="left"/>
    </w:pPr>
    <w:rPr>
      <w:rFonts w:ascii="宋体"/>
      <w:kern w:val="0"/>
      <w:sz w:val="24"/>
      <w:szCs w:val="20"/>
    </w:rPr>
  </w:style>
  <w:style w:type="paragraph" w:customStyle="1" w:styleId="120">
    <w:name w:val="TOC 标题1"/>
    <w:basedOn w:val="3"/>
    <w:next w:val="1"/>
    <w:qFormat/>
    <w:uiPriority w:val="0"/>
    <w:pPr>
      <w:widowControl/>
      <w:spacing w:before="480" w:after="0" w:line="276" w:lineRule="auto"/>
      <w:jc w:val="left"/>
      <w:outlineLvl w:val="9"/>
    </w:pPr>
    <w:rPr>
      <w:rFonts w:ascii="Cambria" w:hAnsi="Cambria"/>
      <w:color w:val="365F91"/>
      <w:kern w:val="0"/>
      <w:sz w:val="28"/>
    </w:rPr>
  </w:style>
  <w:style w:type="paragraph" w:customStyle="1" w:styleId="121">
    <w:name w:val="封面标准名称"/>
    <w:qFormat/>
    <w:uiPriority w:val="0"/>
    <w:pPr>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122">
    <w:name w:val="xl85"/>
    <w:basedOn w:val="1"/>
    <w:qFormat/>
    <w:uiPriority w:val="0"/>
    <w:pPr>
      <w:widowControl/>
      <w:pBdr>
        <w:bottom w:val="single" w:color="000000" w:sz="4" w:space="0"/>
        <w:right w:val="single" w:color="000000" w:sz="4" w:space="0"/>
      </w:pBdr>
      <w:spacing w:before="100" w:beforeAutospacing="1" w:after="100" w:afterAutospacing="1"/>
      <w:jc w:val="center"/>
    </w:pPr>
    <w:rPr>
      <w:rFonts w:ascii="宋体"/>
      <w:color w:val="000000"/>
      <w:kern w:val="0"/>
      <w:sz w:val="22"/>
      <w:szCs w:val="20"/>
    </w:rPr>
  </w:style>
  <w:style w:type="paragraph" w:customStyle="1" w:styleId="123">
    <w:name w:val="GB-1.1.1.1.1"/>
    <w:basedOn w:val="113"/>
    <w:qFormat/>
    <w:uiPriority w:val="0"/>
    <w:pPr>
      <w:outlineLvl w:val="4"/>
    </w:pPr>
  </w:style>
  <w:style w:type="paragraph" w:customStyle="1" w:styleId="124">
    <w:name w:val="xl67"/>
    <w:basedOn w:val="1"/>
    <w:qFormat/>
    <w:uiPriority w:val="0"/>
    <w:pPr>
      <w:widowControl/>
      <w:pBdr>
        <w:bottom w:val="single" w:color="000000" w:sz="8" w:space="0"/>
        <w:right w:val="single" w:color="000000" w:sz="8" w:space="0"/>
      </w:pBdr>
      <w:spacing w:before="100" w:beforeAutospacing="1" w:after="100" w:afterAutospacing="1"/>
      <w:jc w:val="center"/>
    </w:pPr>
    <w:rPr>
      <w:color w:val="000000"/>
      <w:kern w:val="0"/>
      <w:sz w:val="22"/>
      <w:szCs w:val="20"/>
    </w:rPr>
  </w:style>
  <w:style w:type="paragraph" w:customStyle="1" w:styleId="125">
    <w:name w:val="xl65"/>
    <w:basedOn w:val="1"/>
    <w:qFormat/>
    <w:uiPriority w:val="0"/>
    <w:pPr>
      <w:widowControl/>
      <w:pBdr>
        <w:top w:val="single" w:color="000000" w:sz="8" w:space="0"/>
        <w:bottom w:val="single" w:color="000000" w:sz="8" w:space="0"/>
        <w:right w:val="single" w:color="000000" w:sz="8" w:space="0"/>
      </w:pBdr>
      <w:spacing w:before="100" w:beforeAutospacing="1" w:after="100" w:afterAutospacing="1"/>
      <w:jc w:val="center"/>
    </w:pPr>
    <w:rPr>
      <w:rFonts w:ascii="宋体"/>
      <w:color w:val="000000"/>
      <w:kern w:val="0"/>
      <w:sz w:val="18"/>
      <w:szCs w:val="20"/>
    </w:rPr>
  </w:style>
  <w:style w:type="paragraph" w:customStyle="1" w:styleId="126">
    <w:name w:val="Char"/>
    <w:basedOn w:val="1"/>
    <w:next w:val="6"/>
    <w:qFormat/>
    <w:uiPriority w:val="0"/>
    <w:pPr>
      <w:widowControl/>
      <w:spacing w:after="160" w:line="240" w:lineRule="exact"/>
      <w:jc w:val="left"/>
    </w:pPr>
    <w:rPr>
      <w:rFonts w:ascii="Verdana" w:hAnsi="Verdana"/>
      <w:b/>
      <w:kern w:val="0"/>
      <w:sz w:val="28"/>
      <w:szCs w:val="20"/>
      <w:lang w:eastAsia="en-US"/>
    </w:rPr>
  </w:style>
  <w:style w:type="paragraph" w:customStyle="1" w:styleId="127">
    <w:name w:val="前言、引言标题"/>
    <w:next w:val="1"/>
    <w:qFormat/>
    <w:uiPriority w:val="0"/>
    <w:pPr>
      <w:shd w:val="clear" w:color="FFFFFF" w:fill="FFFFFF"/>
      <w:tabs>
        <w:tab w:val="left" w:pos="2472"/>
      </w:tabs>
      <w:spacing w:before="640" w:after="560"/>
      <w:ind w:left="2472" w:hanging="132"/>
      <w:jc w:val="center"/>
      <w:outlineLvl w:val="0"/>
    </w:pPr>
    <w:rPr>
      <w:rFonts w:ascii="黑体" w:hAnsi="Times New Roman" w:eastAsia="黑体" w:cs="Times New Roman"/>
      <w:sz w:val="32"/>
      <w:lang w:val="en-US" w:eastAsia="zh-CN" w:bidi="ar-SA"/>
    </w:rPr>
  </w:style>
  <w:style w:type="paragraph" w:customStyle="1" w:styleId="128">
    <w:name w:val="xl75"/>
    <w:basedOn w:val="1"/>
    <w:qFormat/>
    <w:uiPriority w:val="0"/>
    <w:pPr>
      <w:widowControl/>
      <w:pBdr>
        <w:left w:val="single" w:color="000000" w:sz="8" w:space="0"/>
        <w:bottom w:val="single" w:color="000000" w:sz="8" w:space="0"/>
        <w:right w:val="single" w:color="000000" w:sz="8" w:space="0"/>
      </w:pBdr>
      <w:spacing w:before="100" w:beforeAutospacing="1" w:after="100" w:afterAutospacing="1"/>
      <w:jc w:val="center"/>
    </w:pPr>
    <w:rPr>
      <w:color w:val="000000"/>
      <w:kern w:val="0"/>
      <w:szCs w:val="20"/>
    </w:rPr>
  </w:style>
  <w:style w:type="character" w:customStyle="1" w:styleId="129">
    <w:name w:val="正文文本缩进 Char"/>
    <w:basedOn w:val="38"/>
    <w:link w:val="18"/>
    <w:qFormat/>
    <w:uiPriority w:val="0"/>
    <w:rPr>
      <w:kern w:val="2"/>
      <w:sz w:val="24"/>
      <w:lang w:val="zh-CN" w:eastAsia="zh-CN"/>
    </w:rPr>
  </w:style>
  <w:style w:type="character" w:customStyle="1" w:styleId="130">
    <w:name w:val="标题 Char"/>
    <w:basedOn w:val="38"/>
    <w:link w:val="34"/>
    <w:qFormat/>
    <w:uiPriority w:val="0"/>
    <w:rPr>
      <w:rFonts w:ascii="Arial" w:hAnsi="Arial"/>
      <w:b/>
      <w:kern w:val="2"/>
      <w:sz w:val="32"/>
    </w:rPr>
  </w:style>
  <w:style w:type="paragraph" w:customStyle="1" w:styleId="131">
    <w:name w:val="xl74"/>
    <w:basedOn w:val="1"/>
    <w:qFormat/>
    <w:uiPriority w:val="0"/>
    <w:pPr>
      <w:widowControl/>
      <w:pBdr>
        <w:left w:val="single" w:color="000000" w:sz="8" w:space="0"/>
        <w:bottom w:val="single" w:color="000000" w:sz="8" w:space="0"/>
        <w:right w:val="single" w:color="000000" w:sz="8" w:space="0"/>
      </w:pBdr>
      <w:spacing w:before="100" w:beforeAutospacing="1" w:after="100" w:afterAutospacing="1"/>
      <w:jc w:val="center"/>
    </w:pPr>
    <w:rPr>
      <w:color w:val="000000"/>
      <w:kern w:val="0"/>
      <w:sz w:val="18"/>
      <w:szCs w:val="20"/>
    </w:rPr>
  </w:style>
  <w:style w:type="character" w:customStyle="1" w:styleId="132">
    <w:name w:val="HTML 预设格式 Char"/>
    <w:basedOn w:val="38"/>
    <w:link w:val="32"/>
    <w:qFormat/>
    <w:uiPriority w:val="0"/>
    <w:rPr>
      <w:rFonts w:ascii="Courier New" w:hAnsi="Courier New"/>
      <w:kern w:val="2"/>
      <w:lang w:val="zh-CN" w:eastAsia="zh-CN"/>
    </w:rPr>
  </w:style>
  <w:style w:type="paragraph" w:customStyle="1" w:styleId="133">
    <w:name w:val="Default"/>
    <w:qFormat/>
    <w:uiPriority w:val="0"/>
    <w:pPr>
      <w:widowControl w:val="0"/>
      <w:autoSpaceDE w:val="0"/>
      <w:autoSpaceDN w:val="0"/>
      <w:adjustRightInd w:val="0"/>
    </w:pPr>
    <w:rPr>
      <w:rFonts w:ascii="新宋体" w:hAnsi="Times New Roman" w:eastAsia="新宋体" w:cs="Times New Roman"/>
      <w:color w:val="000000"/>
      <w:sz w:val="24"/>
      <w:lang w:val="en-US" w:eastAsia="zh-CN" w:bidi="ar-SA"/>
    </w:rPr>
  </w:style>
  <w:style w:type="paragraph" w:customStyle="1" w:styleId="134">
    <w:name w:val="xl73"/>
    <w:basedOn w:val="1"/>
    <w:qFormat/>
    <w:uiPriority w:val="0"/>
    <w:pPr>
      <w:widowControl/>
      <w:pBdr>
        <w:bottom w:val="single" w:color="000000" w:sz="8" w:space="0"/>
        <w:right w:val="single" w:color="000000" w:sz="8" w:space="0"/>
      </w:pBdr>
      <w:spacing w:before="100" w:beforeAutospacing="1" w:after="100" w:afterAutospacing="1"/>
      <w:jc w:val="center"/>
    </w:pPr>
    <w:rPr>
      <w:color w:val="000000"/>
      <w:kern w:val="0"/>
      <w:sz w:val="18"/>
      <w:szCs w:val="20"/>
    </w:rPr>
  </w:style>
  <w:style w:type="paragraph" w:customStyle="1" w:styleId="135">
    <w:name w:val="xl84"/>
    <w:basedOn w:val="1"/>
    <w:qFormat/>
    <w:uiPriority w:val="0"/>
    <w:pPr>
      <w:widowControl/>
      <w:pBdr>
        <w:bottom w:val="single" w:color="000000" w:sz="4" w:space="0"/>
        <w:right w:val="single" w:color="000000" w:sz="4" w:space="0"/>
      </w:pBdr>
      <w:spacing w:before="100" w:beforeAutospacing="1" w:after="100" w:afterAutospacing="1"/>
      <w:jc w:val="center"/>
    </w:pPr>
    <w:rPr>
      <w:rFonts w:ascii="宋体"/>
      <w:color w:val="000000"/>
      <w:kern w:val="0"/>
      <w:sz w:val="22"/>
      <w:szCs w:val="20"/>
    </w:rPr>
  </w:style>
  <w:style w:type="paragraph" w:customStyle="1" w:styleId="136">
    <w:name w:val="F-1级标题"/>
    <w:basedOn w:val="3"/>
    <w:next w:val="1"/>
    <w:qFormat/>
    <w:uiPriority w:val="0"/>
    <w:pPr>
      <w:spacing w:before="400" w:after="400" w:line="240" w:lineRule="auto"/>
    </w:pPr>
    <w:rPr>
      <w:rFonts w:eastAsia="黑体"/>
      <w:b w:val="0"/>
      <w:bCs/>
      <w:sz w:val="36"/>
      <w:szCs w:val="44"/>
    </w:rPr>
  </w:style>
  <w:style w:type="paragraph" w:customStyle="1" w:styleId="137">
    <w:name w:val="F-1级目录"/>
    <w:basedOn w:val="27"/>
    <w:next w:val="1"/>
    <w:semiHidden/>
    <w:qFormat/>
    <w:uiPriority w:val="0"/>
    <w:pPr>
      <w:tabs>
        <w:tab w:val="right" w:leader="dot" w:pos="8302"/>
        <w:tab w:val="clear" w:pos="8296"/>
      </w:tabs>
      <w:spacing w:line="360" w:lineRule="exact"/>
    </w:pPr>
    <w:rPr>
      <w:rFonts w:ascii="方正仿宋_GBK" w:eastAsia="方正仿宋_GBK"/>
      <w:b/>
      <w:sz w:val="24"/>
      <w:szCs w:val="24"/>
    </w:rPr>
  </w:style>
  <w:style w:type="paragraph" w:customStyle="1" w:styleId="138">
    <w:name w:val="F-2级标题"/>
    <w:basedOn w:val="4"/>
    <w:next w:val="1"/>
    <w:qFormat/>
    <w:uiPriority w:val="0"/>
    <w:pPr>
      <w:tabs>
        <w:tab w:val="clear" w:pos="567"/>
      </w:tabs>
      <w:spacing w:before="100" w:after="100" w:line="240" w:lineRule="auto"/>
      <w:ind w:left="0" w:firstLine="0"/>
    </w:pPr>
    <w:rPr>
      <w:b w:val="0"/>
      <w:bCs/>
      <w:szCs w:val="32"/>
    </w:rPr>
  </w:style>
  <w:style w:type="paragraph" w:customStyle="1" w:styleId="139">
    <w:name w:val="F-2级目录"/>
    <w:basedOn w:val="30"/>
    <w:semiHidden/>
    <w:qFormat/>
    <w:uiPriority w:val="0"/>
    <w:pPr>
      <w:spacing w:line="300" w:lineRule="exact"/>
      <w:ind w:left="100" w:leftChars="100"/>
    </w:pPr>
    <w:rPr>
      <w:rFonts w:eastAsia="黑体"/>
      <w:sz w:val="28"/>
      <w:szCs w:val="28"/>
    </w:rPr>
  </w:style>
  <w:style w:type="paragraph" w:customStyle="1" w:styleId="140">
    <w:name w:val="F-3级标题"/>
    <w:basedOn w:val="5"/>
    <w:next w:val="1"/>
    <w:qFormat/>
    <w:uiPriority w:val="0"/>
    <w:pPr>
      <w:spacing w:before="60" w:after="60" w:line="240" w:lineRule="auto"/>
    </w:pPr>
    <w:rPr>
      <w:rFonts w:eastAsia="黑体"/>
      <w:b w:val="0"/>
      <w:sz w:val="30"/>
    </w:rPr>
  </w:style>
  <w:style w:type="paragraph" w:customStyle="1" w:styleId="141">
    <w:name w:val="F-3级目录"/>
    <w:basedOn w:val="20"/>
    <w:semiHidden/>
    <w:qFormat/>
    <w:uiPriority w:val="0"/>
    <w:pPr>
      <w:ind w:left="200" w:leftChars="200"/>
      <w:jc w:val="both"/>
    </w:pPr>
    <w:rPr>
      <w:rFonts w:ascii="Times New Roman" w:hAnsi="Times New Roman"/>
      <w:i w:val="0"/>
      <w:sz w:val="24"/>
      <w:szCs w:val="24"/>
    </w:rPr>
  </w:style>
  <w:style w:type="paragraph" w:customStyle="1" w:styleId="142">
    <w:name w:val="F-4级标题"/>
    <w:basedOn w:val="6"/>
    <w:next w:val="1"/>
    <w:qFormat/>
    <w:uiPriority w:val="0"/>
    <w:pPr>
      <w:tabs>
        <w:tab w:val="clear" w:pos="0"/>
      </w:tabs>
      <w:spacing w:before="20" w:after="20" w:line="240" w:lineRule="auto"/>
      <w:ind w:left="0" w:firstLine="0"/>
    </w:pPr>
    <w:rPr>
      <w:b w:val="0"/>
      <w:bCs/>
      <w:sz w:val="24"/>
      <w:szCs w:val="28"/>
    </w:rPr>
  </w:style>
  <w:style w:type="paragraph" w:customStyle="1" w:styleId="143">
    <w:name w:val="F-4级目录"/>
    <w:basedOn w:val="28"/>
    <w:semiHidden/>
    <w:qFormat/>
    <w:uiPriority w:val="0"/>
    <w:pPr>
      <w:ind w:left="300" w:leftChars="300"/>
      <w:jc w:val="both"/>
    </w:pPr>
    <w:rPr>
      <w:rFonts w:ascii="Times New Roman" w:hAnsi="Times New Roman"/>
      <w:sz w:val="24"/>
      <w:szCs w:val="24"/>
    </w:rPr>
  </w:style>
  <w:style w:type="paragraph" w:customStyle="1" w:styleId="144">
    <w:name w:val="F-表格-5号字"/>
    <w:basedOn w:val="1"/>
    <w:next w:val="1"/>
    <w:qFormat/>
    <w:uiPriority w:val="0"/>
    <w:pPr>
      <w:spacing w:line="240" w:lineRule="exact"/>
    </w:pPr>
  </w:style>
  <w:style w:type="paragraph" w:customStyle="1" w:styleId="145">
    <w:name w:val="F-表格-小5号字"/>
    <w:basedOn w:val="1"/>
    <w:next w:val="1"/>
    <w:qFormat/>
    <w:uiPriority w:val="0"/>
    <w:pPr>
      <w:spacing w:line="200" w:lineRule="exact"/>
    </w:pPr>
    <w:rPr>
      <w:sz w:val="18"/>
    </w:rPr>
  </w:style>
  <w:style w:type="paragraph" w:customStyle="1" w:styleId="146">
    <w:name w:val="F正文"/>
    <w:basedOn w:val="1"/>
    <w:qFormat/>
    <w:uiPriority w:val="0"/>
    <w:pPr>
      <w:spacing w:line="360" w:lineRule="auto"/>
      <w:ind w:firstLine="200"/>
    </w:pPr>
    <w:rPr>
      <w:sz w:val="24"/>
    </w:rPr>
  </w:style>
  <w:style w:type="paragraph" w:customStyle="1" w:styleId="147">
    <w:name w:val="font7"/>
    <w:basedOn w:val="1"/>
    <w:semiHidden/>
    <w:qFormat/>
    <w:uiPriority w:val="0"/>
    <w:pPr>
      <w:widowControl/>
      <w:spacing w:before="100" w:beforeAutospacing="1" w:after="100" w:afterAutospacing="1"/>
      <w:jc w:val="left"/>
    </w:pPr>
    <w:rPr>
      <w:color w:val="000000"/>
      <w:kern w:val="0"/>
      <w:sz w:val="20"/>
      <w:szCs w:val="20"/>
    </w:rPr>
  </w:style>
  <w:style w:type="paragraph" w:customStyle="1" w:styleId="148">
    <w:name w:val="xl22"/>
    <w:basedOn w:val="1"/>
    <w:semiHidden/>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149">
    <w:name w:val="xl23"/>
    <w:basedOn w:val="1"/>
    <w:semiHidden/>
    <w:qFormat/>
    <w:uiPriority w:val="0"/>
    <w:pPr>
      <w:widowControl/>
      <w:spacing w:before="100" w:beforeAutospacing="1" w:after="100" w:afterAutospacing="1"/>
      <w:jc w:val="center"/>
    </w:pPr>
    <w:rPr>
      <w:rFonts w:ascii="宋体" w:hAnsi="宋体" w:cs="宋体"/>
      <w:kern w:val="0"/>
      <w:sz w:val="24"/>
    </w:rPr>
  </w:style>
  <w:style w:type="paragraph" w:customStyle="1" w:styleId="150">
    <w:name w:val="xl24"/>
    <w:basedOn w:val="1"/>
    <w:semiHidden/>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151">
    <w:name w:val="xl25"/>
    <w:basedOn w:val="1"/>
    <w:semiHidden/>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color w:val="000000"/>
      <w:kern w:val="0"/>
      <w:sz w:val="20"/>
      <w:szCs w:val="20"/>
    </w:rPr>
  </w:style>
  <w:style w:type="paragraph" w:customStyle="1" w:styleId="152">
    <w:name w:val="xl26"/>
    <w:basedOn w:val="1"/>
    <w:semiHidden/>
    <w:qFormat/>
    <w:uiPriority w:val="0"/>
    <w:pPr>
      <w:widowControl/>
      <w:spacing w:before="100" w:beforeAutospacing="1" w:after="100" w:afterAutospacing="1"/>
      <w:jc w:val="center"/>
    </w:pPr>
    <w:rPr>
      <w:rFonts w:ascii="宋体" w:hAnsi="宋体" w:cs="宋体"/>
      <w:color w:val="FF0000"/>
      <w:kern w:val="0"/>
      <w:sz w:val="24"/>
    </w:rPr>
  </w:style>
  <w:style w:type="paragraph" w:customStyle="1" w:styleId="153">
    <w:name w:val="xl27"/>
    <w:basedOn w:val="1"/>
    <w:semiHidden/>
    <w:qFormat/>
    <w:uiPriority w:val="0"/>
    <w:pPr>
      <w:widowControl/>
      <w:pBdr>
        <w:top w:val="single" w:color="auto" w:sz="4" w:space="0"/>
        <w:left w:val="single" w:color="auto" w:sz="4" w:space="0"/>
        <w:bottom w:val="single" w:color="auto" w:sz="4" w:space="0"/>
        <w:right w:val="single" w:color="auto" w:sz="4" w:space="0"/>
      </w:pBdr>
      <w:shd w:val="clear" w:color="auto" w:fill="3366FF"/>
      <w:spacing w:before="100" w:beforeAutospacing="1" w:after="100" w:afterAutospacing="1"/>
      <w:jc w:val="center"/>
      <w:textAlignment w:val="center"/>
    </w:pPr>
    <w:rPr>
      <w:rFonts w:ascii="宋体" w:hAnsi="宋体" w:cs="宋体"/>
      <w:color w:val="000000"/>
      <w:kern w:val="0"/>
      <w:sz w:val="20"/>
      <w:szCs w:val="20"/>
    </w:rPr>
  </w:style>
  <w:style w:type="paragraph" w:customStyle="1" w:styleId="154">
    <w:name w:val="xl28"/>
    <w:basedOn w:val="1"/>
    <w:semiHidden/>
    <w:qFormat/>
    <w:uiPriority w:val="0"/>
    <w:pPr>
      <w:widowControl/>
      <w:shd w:val="clear" w:color="auto" w:fill="3366FF"/>
      <w:spacing w:before="100" w:beforeAutospacing="1" w:after="100" w:afterAutospacing="1"/>
      <w:jc w:val="center"/>
    </w:pPr>
    <w:rPr>
      <w:rFonts w:ascii="宋体" w:hAnsi="宋体" w:cs="宋体"/>
      <w:kern w:val="0"/>
      <w:sz w:val="24"/>
    </w:rPr>
  </w:style>
  <w:style w:type="paragraph" w:customStyle="1" w:styleId="155">
    <w:name w:val="xl29"/>
    <w:basedOn w:val="1"/>
    <w:semiHidden/>
    <w:qFormat/>
    <w:uiPriority w:val="0"/>
    <w:pPr>
      <w:widowControl/>
      <w:spacing w:before="100" w:beforeAutospacing="1" w:after="100" w:afterAutospacing="1"/>
      <w:jc w:val="center"/>
      <w:textAlignment w:val="center"/>
    </w:pPr>
    <w:rPr>
      <w:rFonts w:ascii="宋体" w:hAnsi="宋体" w:cs="宋体"/>
      <w:color w:val="000000"/>
      <w:kern w:val="0"/>
      <w:sz w:val="20"/>
      <w:szCs w:val="20"/>
    </w:rPr>
  </w:style>
  <w:style w:type="paragraph" w:customStyle="1" w:styleId="156">
    <w:name w:val="xl30"/>
    <w:basedOn w:val="1"/>
    <w:semiHidden/>
    <w:qFormat/>
    <w:uiPriority w:val="0"/>
    <w:pPr>
      <w:widowControl/>
      <w:pBdr>
        <w:bottom w:val="single" w:color="auto" w:sz="4" w:space="0"/>
      </w:pBdr>
      <w:spacing w:before="100" w:beforeAutospacing="1" w:after="100" w:afterAutospacing="1"/>
      <w:jc w:val="left"/>
    </w:pPr>
    <w:rPr>
      <w:rFonts w:ascii="宋体" w:hAnsi="宋体" w:cs="宋体"/>
      <w:kern w:val="0"/>
      <w:sz w:val="24"/>
    </w:rPr>
  </w:style>
  <w:style w:type="paragraph" w:customStyle="1" w:styleId="157">
    <w:name w:val="xl31"/>
    <w:basedOn w:val="1"/>
    <w:semiHidden/>
    <w:qFormat/>
    <w:uiPriority w:val="0"/>
    <w:pPr>
      <w:widowControl/>
      <w:pBdr>
        <w:bottom w:val="single" w:color="auto" w:sz="4" w:space="0"/>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158">
    <w:name w:val="xl32"/>
    <w:basedOn w:val="1"/>
    <w:semiHidden/>
    <w:qFormat/>
    <w:uiPriority w:val="0"/>
    <w:pPr>
      <w:widowControl/>
      <w:spacing w:before="100" w:beforeAutospacing="1" w:after="100" w:afterAutospacing="1"/>
      <w:jc w:val="center"/>
      <w:textAlignment w:val="center"/>
    </w:pPr>
    <w:rPr>
      <w:rFonts w:ascii="宋体" w:hAnsi="宋体" w:cs="宋体"/>
      <w:kern w:val="0"/>
      <w:sz w:val="20"/>
      <w:szCs w:val="20"/>
    </w:rPr>
  </w:style>
  <w:style w:type="paragraph" w:customStyle="1" w:styleId="159">
    <w:name w:val="xl33"/>
    <w:basedOn w:val="1"/>
    <w:semiHidden/>
    <w:qFormat/>
    <w:uiPriority w:val="0"/>
    <w:pPr>
      <w:widowControl/>
      <w:pBdr>
        <w:bottom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160">
    <w:name w:val="xl34"/>
    <w:basedOn w:val="1"/>
    <w:semiHidden/>
    <w:qFormat/>
    <w:uiPriority w:val="0"/>
    <w:pPr>
      <w:widowControl/>
      <w:spacing w:before="100" w:beforeAutospacing="1" w:after="100" w:afterAutospacing="1"/>
      <w:jc w:val="center"/>
      <w:textAlignment w:val="center"/>
    </w:pPr>
    <w:rPr>
      <w:rFonts w:ascii="宋体" w:hAnsi="宋体" w:cs="宋体"/>
      <w:kern w:val="0"/>
      <w:sz w:val="20"/>
      <w:szCs w:val="20"/>
    </w:rPr>
  </w:style>
  <w:style w:type="paragraph" w:customStyle="1" w:styleId="161">
    <w:name w:val="xl55"/>
    <w:basedOn w:val="1"/>
    <w:semiHidden/>
    <w:qFormat/>
    <w:uiPriority w:val="0"/>
    <w:pPr>
      <w:widowControl/>
      <w:pBdr>
        <w:left w:val="single" w:color="auto" w:sz="4" w:space="0"/>
        <w:bottom w:val="single" w:color="auto" w:sz="4" w:space="0"/>
        <w:right w:val="double" w:color="auto" w:sz="6" w:space="0"/>
      </w:pBdr>
      <w:spacing w:before="100" w:beforeAutospacing="1" w:after="100" w:afterAutospacing="1"/>
      <w:jc w:val="center"/>
      <w:textAlignment w:val="center"/>
    </w:pPr>
    <w:rPr>
      <w:rFonts w:ascii="Arial Unicode MS" w:hAnsi="Arial Unicode MS" w:eastAsia="Arial Unicode MS" w:cs="Arial Unicode MS"/>
      <w:b/>
      <w:bCs/>
      <w:kern w:val="0"/>
      <w:sz w:val="24"/>
    </w:rPr>
  </w:style>
  <w:style w:type="table" w:customStyle="1" w:styleId="162">
    <w:name w:val="网格型1"/>
    <w:basedOn w:val="3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63">
    <w:name w:val="纯文本 Char"/>
    <w:basedOn w:val="38"/>
    <w:link w:val="21"/>
    <w:qFormat/>
    <w:uiPriority w:val="0"/>
    <w:rPr>
      <w:rFonts w:ascii="宋体" w:hAnsi="Courier New"/>
      <w:kern w:val="2"/>
      <w:sz w:val="21"/>
      <w:szCs w:val="21"/>
      <w:lang w:val="zh-CN" w:eastAsia="zh-CN"/>
    </w:rPr>
  </w:style>
  <w:style w:type="paragraph" w:customStyle="1" w:styleId="164">
    <w:name w:val="封面标准英文名称"/>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character" w:customStyle="1" w:styleId="165">
    <w:name w:val="fb1"/>
    <w:qFormat/>
    <w:uiPriority w:val="0"/>
    <w:rPr>
      <w:color w:val="062989"/>
    </w:rPr>
  </w:style>
  <w:style w:type="character" w:customStyle="1" w:styleId="166">
    <w:name w:val="fontstyle01"/>
    <w:qFormat/>
    <w:uiPriority w:val="0"/>
    <w:rPr>
      <w:rFonts w:hint="eastAsia" w:ascii="E-BZ+ZMDH1D-1" w:eastAsia="E-BZ+ZMDH1D-1"/>
      <w:color w:val="000000"/>
      <w:sz w:val="22"/>
      <w:szCs w:val="22"/>
    </w:rPr>
  </w:style>
  <w:style w:type="character" w:customStyle="1" w:styleId="167">
    <w:name w:val="fontstyle21"/>
    <w:qFormat/>
    <w:uiPriority w:val="0"/>
    <w:rPr>
      <w:rFonts w:hint="eastAsia" w:ascii="宋体" w:hAnsi="宋体" w:eastAsia="宋体"/>
      <w:color w:val="000000"/>
      <w:sz w:val="22"/>
      <w:szCs w:val="22"/>
    </w:rPr>
  </w:style>
  <w:style w:type="character" w:customStyle="1" w:styleId="168">
    <w:name w:val="fontstyle31"/>
    <w:qFormat/>
    <w:uiPriority w:val="0"/>
    <w:rPr>
      <w:rFonts w:hint="default" w:ascii="FZSSK--GBK1-00+ZMDH1D-3" w:hAnsi="FZSSK--GBK1-00+ZMDH1D-3"/>
      <w:color w:val="000000"/>
      <w:sz w:val="22"/>
      <w:szCs w:val="22"/>
    </w:rPr>
  </w:style>
  <w:style w:type="paragraph" w:customStyle="1" w:styleId="169">
    <w:name w:val="表格内容"/>
    <w:basedOn w:val="1"/>
    <w:link w:val="170"/>
    <w:qFormat/>
    <w:uiPriority w:val="0"/>
    <w:pPr>
      <w:jc w:val="center"/>
    </w:pPr>
    <w:rPr>
      <w:sz w:val="18"/>
      <w:szCs w:val="21"/>
    </w:rPr>
  </w:style>
  <w:style w:type="character" w:customStyle="1" w:styleId="170">
    <w:name w:val="表格内容 Char"/>
    <w:link w:val="169"/>
    <w:qFormat/>
    <w:uiPriority w:val="0"/>
    <w:rPr>
      <w:kern w:val="2"/>
      <w:sz w:val="18"/>
      <w:szCs w:val="21"/>
      <w:lang w:val="zh-CN" w:eastAsia="zh-CN"/>
    </w:rPr>
  </w:style>
  <w:style w:type="paragraph" w:customStyle="1" w:styleId="171">
    <w:name w:val="标准文件_方框数字列项"/>
    <w:basedOn w:val="1"/>
    <w:qFormat/>
    <w:uiPriority w:val="0"/>
    <w:pPr>
      <w:widowControl/>
      <w:numPr>
        <w:ilvl w:val="0"/>
        <w:numId w:val="8"/>
      </w:numPr>
      <w:ind w:firstLine="0"/>
    </w:pPr>
    <w:rPr>
      <w:rFonts w:ascii="宋体"/>
      <w:kern w:val="0"/>
      <w:szCs w:val="20"/>
    </w:rPr>
  </w:style>
  <w:style w:type="character" w:customStyle="1" w:styleId="172">
    <w:name w:val="Body text|1_"/>
    <w:basedOn w:val="38"/>
    <w:link w:val="173"/>
    <w:qFormat/>
    <w:uiPriority w:val="0"/>
    <w:rPr>
      <w:rFonts w:ascii="宋体" w:hAnsi="宋体" w:cs="宋体"/>
      <w:sz w:val="28"/>
      <w:szCs w:val="28"/>
      <w:lang w:val="zh-TW" w:eastAsia="zh-TW" w:bidi="zh-TW"/>
    </w:rPr>
  </w:style>
  <w:style w:type="paragraph" w:customStyle="1" w:styleId="173">
    <w:name w:val="Body text|1"/>
    <w:basedOn w:val="1"/>
    <w:link w:val="172"/>
    <w:qFormat/>
    <w:uiPriority w:val="0"/>
    <w:pPr>
      <w:spacing w:line="353" w:lineRule="auto"/>
      <w:ind w:firstLine="400"/>
      <w:jc w:val="left"/>
    </w:pPr>
    <w:rPr>
      <w:rFonts w:ascii="宋体" w:hAnsi="宋体" w:cs="宋体"/>
      <w:kern w:val="0"/>
      <w:sz w:val="28"/>
      <w:szCs w:val="28"/>
      <w:lang w:val="zh-TW" w:eastAsia="zh-TW" w:bidi="zh-TW"/>
    </w:rPr>
  </w:style>
  <w:style w:type="character" w:styleId="174">
    <w:name w:val="Placeholder Text"/>
    <w:basedOn w:val="38"/>
    <w:semiHidden/>
    <w:qFormat/>
    <w:uiPriority w:val="99"/>
    <w:rPr>
      <w:color w:val="808080"/>
    </w:rPr>
  </w:style>
  <w:style w:type="table" w:customStyle="1" w:styleId="175">
    <w:name w:val="三线表"/>
    <w:basedOn w:val="36"/>
    <w:qFormat/>
    <w:uiPriority w:val="99"/>
    <w:rPr>
      <w:rFonts w:asciiTheme="minorHAnsi" w:hAnsiTheme="minorHAnsi" w:eastAsiaTheme="minorEastAsia" w:cstheme="minorBidi"/>
    </w:rPr>
    <w:tblPr>
      <w:tblBorders>
        <w:top w:val="single" w:color="auto" w:sz="4" w:space="0"/>
        <w:bottom w:val="single" w:color="auto" w:sz="4" w:space="0"/>
      </w:tblBorders>
      <w:tblCellMar>
        <w:top w:w="0" w:type="dxa"/>
        <w:left w:w="108" w:type="dxa"/>
        <w:bottom w:w="0" w:type="dxa"/>
        <w:right w:w="108" w:type="dxa"/>
      </w:tblCellMar>
    </w:tblPr>
    <w:tblStylePr w:type="firstRow">
      <w:tcPr>
        <w:tcBorders>
          <w:bottom w:val="single" w:color="auto" w:sz="4" w:space="0"/>
        </w:tcBorders>
      </w:tcPr>
    </w:tblStylePr>
  </w:style>
  <w:style w:type="paragraph" w:customStyle="1" w:styleId="176">
    <w:name w:val="标准文件_段"/>
    <w:basedOn w:val="1"/>
    <w:link w:val="177"/>
    <w:qFormat/>
    <w:uiPriority w:val="0"/>
    <w:pPr>
      <w:widowControl/>
      <w:adjustRightInd/>
      <w:ind w:left="0" w:firstLine="200" w:firstLineChars="200"/>
    </w:pPr>
    <w:rPr>
      <w:rFonts w:hint="eastAsia" w:ascii="宋体" w:hAnsi="Times New Roman" w:eastAsia="宋体"/>
      <w:kern w:val="0"/>
      <w:sz w:val="21"/>
      <w:szCs w:val="20"/>
      <w:lang w:val="en-US" w:bidi="ar-SA"/>
    </w:rPr>
  </w:style>
  <w:style w:type="character" w:customStyle="1" w:styleId="177">
    <w:name w:val="标准文件_段 Char"/>
    <w:basedOn w:val="38"/>
    <w:link w:val="176"/>
    <w:qFormat/>
    <w:uiPriority w:val="0"/>
    <w:rPr>
      <w:rFonts w:hint="eastAsia" w:ascii="宋体" w:hAnsi="Times New Roman" w:eastAsia="宋体" w:cs="宋体"/>
      <w:sz w:val="21"/>
    </w:rPr>
  </w:style>
  <w:style w:type="paragraph" w:customStyle="1" w:styleId="178">
    <w:name w:val="标准文件_二级条标题"/>
    <w:basedOn w:val="1"/>
    <w:next w:val="1"/>
    <w:qFormat/>
    <w:uiPriority w:val="0"/>
    <w:pPr>
      <w:numPr>
        <w:ilvl w:val="3"/>
        <w:numId w:val="9"/>
      </w:numPr>
      <w:adjustRightInd/>
      <w:spacing w:before="50" w:beforeLines="50" w:after="50" w:afterLines="50"/>
      <w:outlineLvl w:val="2"/>
    </w:pPr>
    <w:rPr>
      <w:rFonts w:hint="eastAsia" w:ascii="黑体" w:hAnsi="Times New Roman" w:eastAsia="黑体"/>
      <w:kern w:val="0"/>
      <w:sz w:val="21"/>
      <w:szCs w:val="20"/>
      <w:lang w:val="en-US" w:bidi="ar-SA"/>
    </w:rPr>
  </w:style>
  <w:style w:type="paragraph" w:customStyle="1" w:styleId="179">
    <w:name w:val="标准文件_一级条标题"/>
    <w:next w:val="1"/>
    <w:qFormat/>
    <w:uiPriority w:val="0"/>
    <w:pPr>
      <w:numPr>
        <w:ilvl w:val="2"/>
        <w:numId w:val="10"/>
      </w:numPr>
      <w:spacing w:before="50" w:beforeLines="50" w:after="50" w:afterLines="50"/>
      <w:jc w:val="both"/>
      <w:outlineLvl w:val="1"/>
    </w:pPr>
    <w:rPr>
      <w:rFonts w:hint="eastAsia" w:ascii="黑体" w:hAnsi="Times New Roman" w:eastAsia="黑体" w:cs="Times New Roman"/>
      <w:sz w:val="21"/>
      <w:lang w:val="en-US" w:eastAsia="zh-CN" w:bidi="ar-SA"/>
    </w:rPr>
  </w:style>
  <w:style w:type="character" w:customStyle="1" w:styleId="180">
    <w:name w:val="font81"/>
    <w:basedOn w:val="38"/>
    <w:qFormat/>
    <w:uiPriority w:val="0"/>
    <w:rPr>
      <w:rFonts w:ascii="Calibri" w:hAnsi="Calibri" w:cs="Calibri"/>
      <w:color w:val="0000FF"/>
      <w:sz w:val="21"/>
      <w:szCs w:val="21"/>
      <w:u w:val="none"/>
    </w:rPr>
  </w:style>
  <w:style w:type="paragraph" w:customStyle="1" w:styleId="181">
    <w:name w:val="标准文件_表格"/>
    <w:basedOn w:val="1"/>
    <w:uiPriority w:val="0"/>
    <w:pPr>
      <w:keepNext w:val="0"/>
      <w:keepLines w:val="0"/>
      <w:widowControl/>
      <w:suppressLineNumbers w:val="0"/>
      <w:autoSpaceDE w:val="0"/>
      <w:autoSpaceDN w:val="0"/>
      <w:adjustRightInd/>
      <w:spacing w:before="0" w:beforeAutospacing="0" w:after="0" w:afterAutospacing="0" w:line="240" w:lineRule="auto"/>
      <w:ind w:left="0" w:right="0"/>
      <w:jc w:val="center"/>
    </w:pPr>
    <w:rPr>
      <w:rFonts w:hint="eastAsia" w:ascii="宋体" w:hAnsi="Times New Roman" w:eastAsia="宋体" w:cs="Times New Roman"/>
      <w:kern w:val="0"/>
      <w:sz w:val="18"/>
      <w:szCs w:val="20"/>
      <w:lang w:val="en-US" w:eastAsia="zh-CN" w:bidi="ar"/>
    </w:rPr>
  </w:style>
  <w:style w:type="paragraph" w:customStyle="1" w:styleId="182">
    <w:name w:val="标准文件_正文表标题"/>
    <w:basedOn w:val="1"/>
    <w:next w:val="1"/>
    <w:uiPriority w:val="0"/>
    <w:pPr>
      <w:keepNext w:val="0"/>
      <w:keepLines w:val="0"/>
      <w:widowControl/>
      <w:numPr>
        <w:ilvl w:val="0"/>
        <w:numId w:val="11"/>
      </w:numPr>
      <w:suppressLineNumbers w:val="0"/>
      <w:tabs>
        <w:tab w:val="left" w:pos="0"/>
      </w:tabs>
      <w:adjustRightInd/>
      <w:spacing w:before="50" w:beforeLines="50" w:beforeAutospacing="0" w:after="50" w:afterLines="50" w:afterAutospacing="0" w:line="240" w:lineRule="auto"/>
      <w:ind w:left="0" w:right="0" w:firstLine="0"/>
      <w:jc w:val="center"/>
    </w:pPr>
    <w:rPr>
      <w:rFonts w:hint="eastAsia" w:ascii="黑体" w:hAnsi="Times New Roman" w:eastAsia="黑体" w:cs="Times New Roman"/>
      <w:kern w:val="0"/>
      <w:sz w:val="21"/>
      <w:szCs w:val="20"/>
      <w:lang w:val="en-US" w:eastAsia="zh-CN" w:bidi="ar"/>
    </w:rPr>
  </w:style>
  <w:style w:type="paragraph" w:customStyle="1" w:styleId="183">
    <w:name w:val="标准文件_章标题"/>
    <w:basedOn w:val="1"/>
    <w:next w:val="1"/>
    <w:qFormat/>
    <w:uiPriority w:val="0"/>
    <w:pPr>
      <w:keepNext w:val="0"/>
      <w:keepLines w:val="0"/>
      <w:widowControl/>
      <w:numPr>
        <w:ilvl w:val="1"/>
        <w:numId w:val="12"/>
      </w:numPr>
      <w:suppressLineNumbers w:val="0"/>
      <w:adjustRightInd/>
      <w:spacing w:before="100" w:beforeLines="100" w:beforeAutospacing="0" w:after="100" w:afterLines="100" w:afterAutospacing="0" w:line="240" w:lineRule="auto"/>
      <w:ind w:left="0" w:right="0" w:firstLine="0"/>
      <w:jc w:val="both"/>
      <w:outlineLvl w:val="0"/>
    </w:pPr>
    <w:rPr>
      <w:rFonts w:hint="eastAsia" w:ascii="黑体" w:hAnsi="Times New Roman" w:eastAsia="黑体" w:cs="Times New Roman"/>
      <w:kern w:val="0"/>
      <w:sz w:val="21"/>
      <w:szCs w:val="20"/>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WWW.YlmF.CoM</Company>
  <Pages>16</Pages>
  <Words>3751</Words>
  <Characters>4009</Characters>
  <Lines>94</Lines>
  <Paragraphs>26</Paragraphs>
  <TotalTime>14</TotalTime>
  <ScaleCrop>false</ScaleCrop>
  <LinksUpToDate>false</LinksUpToDate>
  <CharactersWithSpaces>4064</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2022-07-05T09:59:00Z</dcterms:created>
  <dc:creator>Microsoft</dc:creator>
  <cp:lastModifiedBy>树年强</cp:lastModifiedBy>
  <cp:lastPrinted>2024-05-24T09:00:00Z</cp:lastPrinted>
  <dcterms:modified xsi:type="dcterms:W3CDTF">2024-12-17T11:34:54Z</dcterms:modified>
  <dc:title>广西地方标准《脱氢枞酸》（征求意见稿）</dc:title>
  <cp:revision>367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KSOSaveFontToCloudKey">
    <vt:lpwstr>617413157_btnclosed</vt:lpwstr>
  </property>
  <property fmtid="{D5CDD505-2E9C-101B-9397-08002B2CF9AE}" pid="4" name="ICV">
    <vt:lpwstr>7E1EEC7CDC794000AC73DF74B53401AB_13</vt:lpwstr>
  </property>
</Properties>
</file>