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79F8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852502F">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E8C942E">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04072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6DB5D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78D172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8B4867B">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0EAEEDAD">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05</w:t>
            </w:r>
            <w:r>
              <w:rPr>
                <w:rFonts w:ascii="黑体" w:hAnsi="黑体" w:eastAsia="黑体"/>
                <w:sz w:val="21"/>
                <w:szCs w:val="21"/>
              </w:rPr>
              <w:fldChar w:fldCharType="end"/>
            </w:r>
            <w:bookmarkEnd w:id="2"/>
          </w:p>
        </w:tc>
      </w:tr>
    </w:tbl>
    <w:p w14:paraId="78008984">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C143639">
      <w:pPr>
        <w:pStyle w:val="197"/>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1B6EBDDD">
      <w:pPr>
        <w:pStyle w:val="198"/>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B6D88FA">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2A6B91A">
      <w:pPr>
        <w:pStyle w:val="52"/>
        <w:framePr w:w="9639" w:h="6976" w:hRule="exact" w:hSpace="0" w:vSpace="0" w:wrap="around" w:hAnchor="page" w:y="6408"/>
        <w:jc w:val="center"/>
        <w:rPr>
          <w:rFonts w:ascii="黑体" w:hAnsi="黑体" w:eastAsia="黑体"/>
          <w:b w:val="0"/>
          <w:bCs w:val="0"/>
          <w:w w:val="100"/>
        </w:rPr>
      </w:pPr>
    </w:p>
    <w:p w14:paraId="18B13B7F">
      <w:pPr>
        <w:pStyle w:val="199"/>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中低位直肠癌手术预防性肠造口</w:t>
      </w:r>
    </w:p>
    <w:p w14:paraId="0C1FF082">
      <w:pPr>
        <w:pStyle w:val="199"/>
        <w:framePr w:h="6974" w:hRule="exact" w:wrap="around" w:x="1419" w:anchorLock="1"/>
      </w:pPr>
      <w:r>
        <w:rPr>
          <w:rFonts w:hint="eastAsia"/>
        </w:rPr>
        <w:t>护理技术规范</w:t>
      </w:r>
      <w:r>
        <w:fldChar w:fldCharType="end"/>
      </w:r>
      <w:bookmarkEnd w:id="8"/>
    </w:p>
    <w:p w14:paraId="4AC2EBBE">
      <w:pPr>
        <w:framePr w:w="9639" w:h="6974" w:hRule="exact" w:wrap="around" w:vAnchor="page" w:hAnchor="page" w:x="1419" w:y="6408" w:anchorLock="1"/>
        <w:ind w:left="-1418"/>
      </w:pPr>
    </w:p>
    <w:p w14:paraId="601D0D89">
      <w:pPr>
        <w:pStyle w:val="127"/>
        <w:framePr w:w="9639" w:h="6974" w:hRule="exact" w:wrap="around" w:vAnchor="page" w:hAnchor="page" w:x="1419" w:y="6408" w:anchorLock="1"/>
        <w:textAlignment w:val="bottom"/>
        <w:rPr>
          <w:rFonts w:ascii="黑体" w:hAnsi="黑体"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ascii="黑体" w:hAnsi="黑体" w:eastAsia="黑体"/>
          <w:szCs w:val="28"/>
        </w:rPr>
        <w:t xml:space="preserve">Nursing technical specification for perventive enterrostomy for minddle and low rectal cancer surgery </w:t>
      </w:r>
      <w:r>
        <w:rPr>
          <w:rFonts w:ascii="黑体" w:hAnsi="黑体" w:eastAsia="黑体"/>
          <w:szCs w:val="28"/>
        </w:rPr>
        <w:fldChar w:fldCharType="end"/>
      </w:r>
      <w:bookmarkEnd w:id="9"/>
    </w:p>
    <w:p w14:paraId="6AE7E57E">
      <w:pPr>
        <w:framePr w:w="9639" w:h="6974" w:hRule="exact" w:wrap="around" w:vAnchor="page" w:hAnchor="page" w:x="1419" w:y="6408" w:anchorLock="1"/>
        <w:spacing w:line="760" w:lineRule="exact"/>
        <w:ind w:left="-1418"/>
      </w:pPr>
    </w:p>
    <w:p w14:paraId="5786257D">
      <w:pPr>
        <w:pStyle w:val="127"/>
        <w:framePr w:w="9639" w:h="6974" w:hRule="exact" w:wrap="around" w:vAnchor="page" w:hAnchor="page" w:x="1419" w:y="6408" w:anchorLock="1"/>
        <w:textAlignment w:val="bottom"/>
        <w:rPr>
          <w:rFonts w:eastAsia="黑体"/>
          <w:szCs w:val="28"/>
        </w:rPr>
      </w:pPr>
    </w:p>
    <w:p w14:paraId="1879D041">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6D5C13E6">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C12B6B2">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04288527">
      <w:pPr>
        <w:pStyle w:val="195"/>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480C8A40">
      <w:pPr>
        <w:pStyle w:val="196"/>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047A3CA2">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339E7B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A29105A">
      <w:pPr>
        <w:pStyle w:val="91"/>
        <w:spacing w:before="560" w:after="360"/>
      </w:pPr>
      <w:bookmarkStart w:id="20" w:name="BookMark2"/>
      <w:r>
        <w:rPr>
          <w:spacing w:val="320"/>
        </w:rPr>
        <w:t>前</w:t>
      </w:r>
      <w:r>
        <w:t>言</w:t>
      </w:r>
    </w:p>
    <w:p w14:paraId="1F4D8905">
      <w:pPr>
        <w:pStyle w:val="58"/>
        <w:ind w:firstLine="420"/>
      </w:pPr>
      <w:r>
        <w:rPr>
          <w:rFonts w:hint="eastAsia"/>
        </w:rPr>
        <w:t>本文件参照GB/T 1.1—2020《标准化工作导则  第1部分：标准化文件的结构和起草规则》的规定起草。</w:t>
      </w:r>
    </w:p>
    <w:p w14:paraId="1693C706">
      <w:pPr>
        <w:pStyle w:val="58"/>
        <w:ind w:firstLine="420"/>
      </w:pPr>
      <w:r>
        <w:rPr>
          <w:rFonts w:hint="eastAsia"/>
        </w:rPr>
        <w:t>请注意本文件的某些内容可能涉及专利。本文件的发布机构不承担识别专利的责任。</w:t>
      </w:r>
    </w:p>
    <w:p w14:paraId="5C838E1F">
      <w:pPr>
        <w:pStyle w:val="58"/>
        <w:ind w:firstLine="420"/>
      </w:pPr>
      <w:r>
        <w:rPr>
          <w:rFonts w:hint="eastAsia"/>
        </w:rPr>
        <w:t>本文件由南宁市第二人民医院(广西医科大学第三附属医院)提出、归口并宣贯。</w:t>
      </w:r>
    </w:p>
    <w:p w14:paraId="74593C47">
      <w:pPr>
        <w:pStyle w:val="58"/>
        <w:ind w:firstLine="420"/>
        <w:rPr>
          <w:rFonts w:hint="eastAsia" w:hAnsi="Times New Roman" w:cs="Times New Roman"/>
        </w:rPr>
      </w:pPr>
      <w:r>
        <w:rPr>
          <w:rFonts w:hint="eastAsia" w:hAnsi="Times New Roman" w:cs="Times New Roman"/>
        </w:rPr>
        <w:t>本文件起草单位：南宁市第二人民医院/广西医科大学附属第三医院、广西医科大学、北京大学人民医院</w:t>
      </w:r>
      <w:r>
        <w:rPr>
          <w:rFonts w:hint="eastAsia" w:hAnsi="Times New Roman" w:cs="Times New Roman"/>
          <w:lang w:eastAsia="zh-CN"/>
        </w:rPr>
        <w:t>、</w:t>
      </w:r>
      <w:r>
        <w:rPr>
          <w:rFonts w:hint="eastAsia" w:hAnsi="Times New Roman" w:cs="Times New Roman"/>
        </w:rPr>
        <w:t>广东省护理学会</w:t>
      </w:r>
      <w:r>
        <w:rPr>
          <w:rFonts w:hint="eastAsia" w:hAnsi="Times New Roman" w:cs="Times New Roman"/>
          <w:lang w:eastAsia="zh-CN"/>
        </w:rPr>
        <w:t>、</w:t>
      </w:r>
      <w:r>
        <w:rPr>
          <w:rFonts w:hint="eastAsia" w:hAnsi="Times New Roman" w:cs="Times New Roman"/>
        </w:rPr>
        <w:t>广西医科大学附属肿瘤医院</w:t>
      </w:r>
      <w:r>
        <w:rPr>
          <w:rFonts w:hint="eastAsia" w:hAnsi="Times New Roman" w:cs="Times New Roman"/>
          <w:lang w:eastAsia="zh-CN"/>
        </w:rPr>
        <w:t>、</w:t>
      </w:r>
      <w:r>
        <w:rPr>
          <w:rFonts w:hint="eastAsia" w:hAnsi="Times New Roman" w:cs="Times New Roman"/>
        </w:rPr>
        <w:t>中山大学附属第一医院</w:t>
      </w:r>
      <w:r>
        <w:rPr>
          <w:rFonts w:hint="eastAsia" w:hAnsi="Times New Roman" w:cs="Times New Roman"/>
          <w:lang w:val="en-US" w:eastAsia="zh-CN"/>
        </w:rPr>
        <w:t>广西医院、</w:t>
      </w:r>
      <w:r>
        <w:rPr>
          <w:rFonts w:hint="eastAsia" w:hAnsi="Times New Roman" w:cs="Times New Roman"/>
        </w:rPr>
        <w:t>北京医院</w:t>
      </w:r>
      <w:r>
        <w:rPr>
          <w:rFonts w:hint="eastAsia" w:hAnsi="Times New Roman" w:cs="Times New Roman"/>
          <w:lang w:eastAsia="zh-CN"/>
        </w:rPr>
        <w:t>、</w:t>
      </w:r>
      <w:r>
        <w:rPr>
          <w:rFonts w:hint="eastAsia" w:hAnsi="Times New Roman" w:cs="Times New Roman"/>
        </w:rPr>
        <w:t>中国医科大学护理学院</w:t>
      </w:r>
      <w:r>
        <w:rPr>
          <w:rFonts w:hint="eastAsia" w:hAnsi="Times New Roman" w:cs="Times New Roman"/>
          <w:lang w:eastAsia="zh-CN"/>
        </w:rPr>
        <w:t>、</w:t>
      </w:r>
      <w:r>
        <w:rPr>
          <w:rFonts w:hint="eastAsia" w:hAnsi="Times New Roman" w:cs="Times New Roman"/>
        </w:rPr>
        <w:t>山西省临汾市中心医院</w:t>
      </w:r>
      <w:r>
        <w:rPr>
          <w:rFonts w:hint="eastAsia" w:hAnsi="Times New Roman" w:cs="Times New Roman"/>
          <w:lang w:eastAsia="zh-CN"/>
        </w:rPr>
        <w:t>、</w:t>
      </w:r>
      <w:r>
        <w:rPr>
          <w:rFonts w:hint="eastAsia" w:hAnsi="Times New Roman" w:cs="Times New Roman"/>
        </w:rPr>
        <w:t>郑州大学第一附属医院</w:t>
      </w:r>
      <w:r>
        <w:rPr>
          <w:rFonts w:hint="eastAsia" w:hAnsi="Times New Roman" w:cs="Times New Roman"/>
          <w:lang w:eastAsia="zh-CN"/>
        </w:rPr>
        <w:t>、</w:t>
      </w:r>
      <w:r>
        <w:rPr>
          <w:rFonts w:hint="eastAsia" w:hAnsi="Times New Roman" w:cs="Times New Roman"/>
          <w:lang w:val="en-US" w:eastAsia="zh-CN"/>
        </w:rPr>
        <w:t>广西壮族自治区南溪山医院</w:t>
      </w:r>
      <w:r>
        <w:rPr>
          <w:rFonts w:hint="eastAsia" w:hAnsi="Times New Roman" w:cs="Times New Roman"/>
          <w:lang w:eastAsia="zh-CN"/>
        </w:rPr>
        <w:t>、</w:t>
      </w:r>
      <w:r>
        <w:rPr>
          <w:rFonts w:hint="eastAsia" w:hAnsi="Times New Roman" w:cs="Times New Roman"/>
          <w:lang w:val="en-US" w:eastAsia="zh-CN"/>
        </w:rPr>
        <w:t>柳州市人民医院、</w:t>
      </w:r>
      <w:r>
        <w:rPr>
          <w:rFonts w:hint="eastAsia" w:hAnsi="Times New Roman" w:cs="Times New Roman"/>
        </w:rPr>
        <w:t>广西医科大学第二附属医院。</w:t>
      </w:r>
    </w:p>
    <w:p w14:paraId="4D35528B">
      <w:pPr>
        <w:pStyle w:val="58"/>
        <w:ind w:firstLine="420"/>
      </w:pPr>
      <w:r>
        <w:rPr>
          <w:rFonts w:hint="eastAsia"/>
        </w:rPr>
        <w:t>本文件主要起草人：李建民、梁艺、汪莉、王富博、张素、成守珍、朱茂灵、黄思光、游雪梅、邱小芩、苏锦绣、韦皓堂、刘剑伟、罗倩、宁瑞玲、齐小玖、刘宇、张智霞、黄宇霞、罗海燕、李龙嫚、黄峥、左红群、高洁、方金菊、欧阳明月、常鑫、卢小倩、庞舒娴、陈露林、王滔。</w:t>
      </w:r>
    </w:p>
    <w:p w14:paraId="755FE791">
      <w:pPr>
        <w:pStyle w:val="58"/>
        <w:ind w:firstLine="420"/>
      </w:pPr>
    </w:p>
    <w:p w14:paraId="2B88D13C">
      <w:pPr>
        <w:pStyle w:val="58"/>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bookmarkEnd w:id="20"/>
    <w:p w14:paraId="2988B8F0">
      <w:pPr>
        <w:spacing w:line="20" w:lineRule="exact"/>
        <w:jc w:val="center"/>
        <w:rPr>
          <w:rFonts w:ascii="黑体" w:hAnsi="黑体" w:eastAsia="黑体"/>
          <w:sz w:val="32"/>
          <w:szCs w:val="32"/>
        </w:rPr>
      </w:pPr>
      <w:bookmarkStart w:id="21" w:name="BookMark4"/>
    </w:p>
    <w:p w14:paraId="138F23FF">
      <w:pPr>
        <w:spacing w:line="20" w:lineRule="exact"/>
        <w:jc w:val="center"/>
        <w:rPr>
          <w:rFonts w:ascii="黑体" w:hAnsi="黑体" w:eastAsia="黑体"/>
          <w:sz w:val="32"/>
          <w:szCs w:val="32"/>
        </w:rPr>
      </w:pPr>
    </w:p>
    <w:sdt>
      <w:sdtPr>
        <w:tag w:val="NEW_STAND_NAME"/>
        <w:id w:val="595910757"/>
        <w:lock w:val="sdtLocked"/>
        <w:placeholder>
          <w:docPart w:val="A13162938ED748AAA4B01C707CC56AA1"/>
        </w:placeholder>
      </w:sdtPr>
      <w:sdtContent>
        <w:p w14:paraId="744A5094">
          <w:pPr>
            <w:pStyle w:val="179"/>
            <w:spacing w:before="240" w:beforeLines="100" w:after="2" w:afterLines="1"/>
          </w:pPr>
          <w:bookmarkStart w:id="22" w:name="NEW_STAND_NAME"/>
          <w:r>
            <w:rPr>
              <w:rFonts w:hint="eastAsia"/>
            </w:rPr>
            <w:t>中低位直肠癌手术预防性肠造口</w:t>
          </w:r>
        </w:p>
        <w:p w14:paraId="3184A109">
          <w:pPr>
            <w:pStyle w:val="179"/>
            <w:spacing w:before="2" w:beforeLines="1" w:after="680"/>
          </w:pPr>
          <w:r>
            <w:rPr>
              <w:rFonts w:hint="eastAsia"/>
            </w:rPr>
            <w:t>护理技术规范</w:t>
          </w:r>
        </w:p>
      </w:sdtContent>
    </w:sdt>
    <w:bookmarkEnd w:id="22"/>
    <w:p w14:paraId="5CB1A62A">
      <w:pPr>
        <w:pStyle w:val="106"/>
        <w:spacing w:before="240" w:after="240"/>
      </w:pPr>
      <w:bookmarkStart w:id="23" w:name="_Toc17233325"/>
      <w:bookmarkStart w:id="24" w:name="_Toc24884218"/>
      <w:bookmarkStart w:id="25" w:name="_Toc26718930"/>
      <w:bookmarkStart w:id="26" w:name="_Toc26986771"/>
      <w:bookmarkStart w:id="27" w:name="_Toc17233333"/>
      <w:bookmarkStart w:id="28" w:name="_Toc26986530"/>
      <w:bookmarkStart w:id="29" w:name="_Toc26648465"/>
      <w:bookmarkStart w:id="30" w:name="_Toc24884211"/>
      <w:bookmarkStart w:id="31" w:name="_Toc160726062"/>
      <w:bookmarkStart w:id="32" w:name="_Toc160725672"/>
      <w:r>
        <w:rPr>
          <w:rFonts w:hint="eastAsia"/>
        </w:rPr>
        <w:t>范围</w:t>
      </w:r>
      <w:bookmarkEnd w:id="23"/>
      <w:bookmarkEnd w:id="24"/>
      <w:bookmarkEnd w:id="25"/>
      <w:bookmarkEnd w:id="26"/>
      <w:bookmarkEnd w:id="27"/>
      <w:bookmarkEnd w:id="28"/>
      <w:bookmarkEnd w:id="29"/>
      <w:bookmarkEnd w:id="30"/>
      <w:bookmarkEnd w:id="31"/>
      <w:bookmarkEnd w:id="32"/>
      <w:bookmarkStart w:id="33" w:name="_Toc24884219"/>
      <w:bookmarkStart w:id="34" w:name="_Toc17233326"/>
      <w:bookmarkStart w:id="35" w:name="_Toc17233334"/>
      <w:bookmarkStart w:id="36" w:name="_Toc26648466"/>
      <w:bookmarkStart w:id="37" w:name="_Toc24884212"/>
    </w:p>
    <w:p w14:paraId="727FC5DF">
      <w:pPr>
        <w:pStyle w:val="58"/>
        <w:ind w:firstLine="420"/>
      </w:pPr>
      <w:r>
        <w:rPr>
          <w:rFonts w:hint="eastAsia"/>
        </w:rPr>
        <w:t>本文件界定了中低位直肠癌手术预防性肠造口护理涉及的术语和定义，规定了基本要求、预防性肠造口围手术期护理、预防性肠造口还纳围手术期护理的要求。</w:t>
      </w:r>
    </w:p>
    <w:p w14:paraId="4E0346DF">
      <w:pPr>
        <w:pStyle w:val="58"/>
        <w:ind w:firstLine="420"/>
        <w:rPr>
          <w:szCs w:val="21"/>
        </w:rPr>
      </w:pPr>
      <w:r>
        <w:rPr>
          <w:rFonts w:hint="eastAsia"/>
          <w:szCs w:val="21"/>
        </w:rPr>
        <w:t>本文件适用于各级各类医疗机构</w:t>
      </w:r>
      <w:r>
        <w:rPr>
          <w:rFonts w:hint="eastAsia"/>
        </w:rPr>
        <w:t>中低位直肠癌手术预防性肠造口的</w:t>
      </w:r>
      <w:r>
        <w:t>护理</w:t>
      </w:r>
      <w:r>
        <w:rPr>
          <w:rFonts w:hint="eastAsia"/>
          <w:szCs w:val="21"/>
        </w:rPr>
        <w:t>。</w:t>
      </w:r>
    </w:p>
    <w:p w14:paraId="65444D42">
      <w:pPr>
        <w:pStyle w:val="106"/>
        <w:spacing w:before="240" w:after="240"/>
      </w:pPr>
      <w:bookmarkStart w:id="38" w:name="_Toc26986531"/>
      <w:bookmarkStart w:id="39" w:name="_Toc160726063"/>
      <w:bookmarkStart w:id="40" w:name="_Toc160725673"/>
      <w:bookmarkStart w:id="41" w:name="_Toc26718931"/>
      <w:bookmarkStart w:id="42" w:name="_Toc26986772"/>
      <w:r>
        <w:rPr>
          <w:rFonts w:hint="eastAsia"/>
        </w:rPr>
        <w:t>规范性引用文件</w:t>
      </w:r>
      <w:bookmarkEnd w:id="33"/>
      <w:bookmarkEnd w:id="34"/>
      <w:bookmarkEnd w:id="35"/>
      <w:bookmarkEnd w:id="36"/>
      <w:bookmarkEnd w:id="37"/>
      <w:bookmarkEnd w:id="38"/>
      <w:bookmarkEnd w:id="39"/>
      <w:bookmarkEnd w:id="40"/>
      <w:bookmarkEnd w:id="41"/>
      <w:bookmarkEnd w:id="42"/>
    </w:p>
    <w:p w14:paraId="1C58B1E8">
      <w:pPr>
        <w:pStyle w:val="58"/>
        <w:ind w:firstLine="420"/>
      </w:pPr>
      <w:r>
        <w:rPr>
          <w:rFonts w:hint="eastAsia"/>
        </w:rPr>
        <w:t>本文件没有规范性引用文件。</w:t>
      </w:r>
    </w:p>
    <w:p w14:paraId="3B684D3F">
      <w:pPr>
        <w:pStyle w:val="106"/>
        <w:spacing w:before="240" w:after="240"/>
      </w:pPr>
      <w:bookmarkStart w:id="43" w:name="_Toc160725674"/>
      <w:bookmarkStart w:id="44" w:name="_Toc160726064"/>
      <w:r>
        <w:rPr>
          <w:rFonts w:hint="eastAsia"/>
          <w:szCs w:val="21"/>
        </w:rPr>
        <w:t>术语和定义</w:t>
      </w:r>
      <w:bookmarkEnd w:id="43"/>
      <w:bookmarkEnd w:id="44"/>
    </w:p>
    <w:p w14:paraId="48F52975">
      <w:pPr>
        <w:pStyle w:val="58"/>
        <w:ind w:firstLine="420"/>
      </w:pPr>
      <w:bookmarkStart w:id="45" w:name="_Toc26986532"/>
      <w:bookmarkEnd w:id="45"/>
      <w:r>
        <w:t>下列术语和定义适用于本文件。</w:t>
      </w:r>
    </w:p>
    <w:p w14:paraId="5D78E38E">
      <w:pPr>
        <w:pStyle w:val="225"/>
        <w:ind w:left="420" w:hanging="420" w:hangingChars="200"/>
        <w:rPr>
          <w:rFonts w:ascii="黑体" w:hAnsi="黑体" w:eastAsia="黑体"/>
        </w:rPr>
      </w:pPr>
      <w:bookmarkStart w:id="46" w:name="_Hlk93468409"/>
      <w:r>
        <w:rPr>
          <w:rFonts w:ascii="黑体" w:hAnsi="黑体" w:eastAsia="黑体"/>
        </w:rPr>
        <w:br w:type="textWrapping"/>
      </w:r>
      <w:r>
        <w:rPr>
          <w:rFonts w:hint="eastAsia" w:ascii="黑体" w:hAnsi="黑体" w:eastAsia="黑体"/>
        </w:rPr>
        <w:t>预防性肠造口 protective</w:t>
      </w:r>
      <w:r>
        <w:rPr>
          <w:rFonts w:ascii="黑体" w:hAnsi="黑体" w:eastAsia="黑体"/>
        </w:rPr>
        <w:t xml:space="preserve"> stoma</w:t>
      </w:r>
    </w:p>
    <w:p w14:paraId="43A3E112">
      <w:pPr>
        <w:pStyle w:val="58"/>
        <w:ind w:firstLine="420"/>
      </w:pPr>
      <w:r>
        <w:rPr>
          <w:rFonts w:hint="eastAsia"/>
        </w:rPr>
        <w:t>在低位前切除术后为达到粪便转流的目的，进行临时性的末端回肠造口或横结肠造口，也称保护性造口或转流性造口。</w:t>
      </w:r>
    </w:p>
    <w:p w14:paraId="04FC5898">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rPr>
        <w:t>造口还纳术 stoma return surgery</w:t>
      </w:r>
    </w:p>
    <w:p w14:paraId="7FCD0758">
      <w:pPr>
        <w:pStyle w:val="58"/>
        <w:ind w:firstLine="420"/>
      </w:pPr>
      <w:bookmarkStart w:id="47" w:name="_Hlk186012270"/>
      <w:r>
        <w:rPr>
          <w:rFonts w:hint="eastAsia"/>
        </w:rPr>
        <w:t>在预防性肠造口术后3～6个月后，将提至腹壁的肠管还纳入腹腔的手术。</w:t>
      </w:r>
      <w:bookmarkEnd w:id="47"/>
    </w:p>
    <w:p w14:paraId="3FCD7991">
      <w:pPr>
        <w:pStyle w:val="106"/>
        <w:spacing w:before="240" w:after="240"/>
      </w:pPr>
      <w:bookmarkStart w:id="48" w:name="_Toc160726065"/>
      <w:bookmarkStart w:id="49" w:name="_Toc160725675"/>
      <w:r>
        <w:rPr>
          <w:rFonts w:hint="eastAsia"/>
        </w:rPr>
        <w:t>基本要求</w:t>
      </w:r>
      <w:bookmarkEnd w:id="48"/>
      <w:bookmarkEnd w:id="49"/>
    </w:p>
    <w:p w14:paraId="0ABC291F">
      <w:pPr>
        <w:pStyle w:val="164"/>
      </w:pPr>
      <w:r>
        <w:rPr>
          <w:rFonts w:hint="eastAsia"/>
        </w:rPr>
        <w:t>手术前后应对患者进行心理状态评估及支持，应重视患者的情绪及心理创伤程度，并有针对性地向患者提供心理疏导及支持，必要时向患者提供同伴支持教育。</w:t>
      </w:r>
    </w:p>
    <w:p w14:paraId="0C148962">
      <w:pPr>
        <w:pStyle w:val="164"/>
      </w:pPr>
      <w:bookmarkStart w:id="50" w:name="_Hlk186013144"/>
      <w:r>
        <w:rPr>
          <w:rFonts w:hint="eastAsia"/>
        </w:rPr>
        <w:t>预防性造口期间应指导患者及照顾者掌握造口护理并根据造口情况指导其选择合适的造口护理用品。</w:t>
      </w:r>
      <w:bookmarkEnd w:id="50"/>
    </w:p>
    <w:p w14:paraId="5A58A809">
      <w:pPr>
        <w:pStyle w:val="164"/>
      </w:pPr>
      <w:r>
        <w:t>宜在术前</w:t>
      </w:r>
      <w:r>
        <w:rPr>
          <w:rFonts w:hint="eastAsia"/>
        </w:rPr>
        <w:t>1</w:t>
      </w:r>
      <w:r>
        <w:rPr>
          <w:vertAlign w:val="superscript"/>
        </w:rPr>
        <w:t xml:space="preserve"> </w:t>
      </w:r>
      <w:r>
        <w:t>d</w:t>
      </w:r>
      <w:r>
        <w:rPr>
          <w:rFonts w:hint="eastAsia"/>
        </w:rPr>
        <w:t>～</w:t>
      </w:r>
      <w:r>
        <w:t>2</w:t>
      </w:r>
      <w:r>
        <w:rPr>
          <w:vertAlign w:val="superscript"/>
        </w:rPr>
        <w:t xml:space="preserve"> </w:t>
      </w:r>
      <w:r>
        <w:rPr>
          <w:rFonts w:hint="eastAsia"/>
        </w:rPr>
        <w:t>d</w:t>
      </w:r>
      <w:r>
        <w:t>为患者进行造口定位</w:t>
      </w:r>
      <w:r>
        <w:rPr>
          <w:rFonts w:hint="eastAsia"/>
        </w:rPr>
        <w:t>，造口定位应符合5</w:t>
      </w:r>
      <w:r>
        <w:t>.1.3</w:t>
      </w:r>
      <w:r>
        <w:rPr>
          <w:rFonts w:hint="eastAsia"/>
        </w:rPr>
        <w:t>的要求。</w:t>
      </w:r>
    </w:p>
    <w:p w14:paraId="4C7D6863">
      <w:pPr>
        <w:pStyle w:val="164"/>
      </w:pPr>
      <w:r>
        <w:t>宜建立由手术医师、</w:t>
      </w:r>
      <w:r>
        <w:rPr>
          <w:rFonts w:hint="eastAsia"/>
        </w:rPr>
        <w:t>专科</w:t>
      </w:r>
      <w:r>
        <w:t>护士、营养师、心理/精神科医师等组成的多学科团队共同管理患者。</w:t>
      </w:r>
    </w:p>
    <w:bookmarkEnd w:id="46"/>
    <w:p w14:paraId="0F2EAC9D">
      <w:pPr>
        <w:pStyle w:val="106"/>
        <w:spacing w:before="240" w:after="240"/>
      </w:pPr>
      <w:bookmarkStart w:id="51" w:name="_Toc160726066"/>
      <w:bookmarkStart w:id="52" w:name="_Toc160725676"/>
      <w:bookmarkStart w:id="53" w:name="_Toc160825913"/>
      <w:r>
        <w:rPr>
          <w:rFonts w:hint="eastAsia"/>
        </w:rPr>
        <w:t>预防性肠造口围手术期护理</w:t>
      </w:r>
      <w:bookmarkEnd w:id="51"/>
      <w:bookmarkEnd w:id="52"/>
      <w:bookmarkEnd w:id="53"/>
    </w:p>
    <w:p w14:paraId="45F3300D">
      <w:pPr>
        <w:pStyle w:val="107"/>
        <w:spacing w:before="120" w:after="120"/>
      </w:pPr>
      <w:bookmarkStart w:id="54" w:name="_Toc160825914"/>
      <w:bookmarkStart w:id="55" w:name="_Toc160726067"/>
      <w:bookmarkStart w:id="56" w:name="_Toc160725677"/>
      <w:r>
        <w:rPr>
          <w:rFonts w:hint="eastAsia"/>
        </w:rPr>
        <w:t>术前护理</w:t>
      </w:r>
      <w:bookmarkEnd w:id="54"/>
      <w:bookmarkEnd w:id="55"/>
      <w:bookmarkEnd w:id="56"/>
    </w:p>
    <w:p w14:paraId="244131FE">
      <w:pPr>
        <w:pStyle w:val="67"/>
        <w:spacing w:before="120" w:after="120"/>
      </w:pPr>
      <w:r>
        <w:rPr>
          <w:rFonts w:hint="eastAsia"/>
        </w:rPr>
        <w:t>术前评估</w:t>
      </w:r>
    </w:p>
    <w:p w14:paraId="3335F05D">
      <w:pPr>
        <w:pStyle w:val="58"/>
        <w:ind w:firstLine="420"/>
      </w:pPr>
      <w:bookmarkStart w:id="57" w:name="_Hlk186014357"/>
      <w:r>
        <w:rPr>
          <w:rFonts w:hint="eastAsia"/>
        </w:rPr>
        <w:t>造口术前应对患者的基本情况、心理状态、教育文化背景、职业特点和家庭经济状况等进行全面的评估。</w:t>
      </w:r>
      <w:bookmarkEnd w:id="57"/>
    </w:p>
    <w:p w14:paraId="29082520">
      <w:pPr>
        <w:pStyle w:val="67"/>
        <w:spacing w:before="120" w:after="120"/>
        <w:rPr>
          <w:rFonts w:ascii="宋体" w:eastAsia="宋体"/>
        </w:rPr>
      </w:pPr>
      <w:r>
        <w:rPr>
          <w:rFonts w:hint="eastAsia"/>
        </w:rPr>
        <w:t>术前造口定位</w:t>
      </w:r>
    </w:p>
    <w:p w14:paraId="562036CF">
      <w:pPr>
        <w:pStyle w:val="166"/>
      </w:pPr>
      <w:r>
        <w:rPr>
          <w:rFonts w:hint="eastAsia"/>
        </w:rPr>
        <w:t>预防性造口定位要求：</w:t>
      </w:r>
    </w:p>
    <w:p w14:paraId="6999970E">
      <w:pPr>
        <w:pStyle w:val="134"/>
      </w:pPr>
      <w:r>
        <w:rPr>
          <w:rFonts w:hint="eastAsia"/>
        </w:rPr>
        <w:t>造口定位于腹直肌肌内；</w:t>
      </w:r>
    </w:p>
    <w:p w14:paraId="77A75334">
      <w:pPr>
        <w:pStyle w:val="134"/>
      </w:pPr>
      <w:r>
        <w:rPr>
          <w:rFonts w:hint="eastAsia"/>
        </w:rPr>
        <w:t>BMI≥30</w:t>
      </w:r>
      <w:r>
        <w:rPr>
          <w:rFonts w:hint="eastAsia"/>
          <w:vertAlign w:val="superscript"/>
        </w:rPr>
        <w:t xml:space="preserve"> </w:t>
      </w:r>
      <w:r>
        <w:rPr>
          <w:rFonts w:hint="eastAsia"/>
        </w:rPr>
        <w:t>kg/m</w:t>
      </w:r>
      <w:r>
        <w:rPr>
          <w:rFonts w:hint="eastAsia"/>
          <w:vertAlign w:val="superscript"/>
        </w:rPr>
        <w:t>2</w:t>
      </w:r>
      <w:r>
        <w:rPr>
          <w:rFonts w:hint="eastAsia"/>
        </w:rPr>
        <w:t>者，造口位置宜定在腹部隆起的最高处；</w:t>
      </w:r>
    </w:p>
    <w:p w14:paraId="56554AC7">
      <w:pPr>
        <w:pStyle w:val="134"/>
      </w:pPr>
      <w:r>
        <w:rPr>
          <w:rFonts w:hint="eastAsia"/>
        </w:rPr>
        <w:t>回肠造口宜定位于右下腹以脐与髂前上棘连线中上1/3处，或脐、髂前上棘、耻骨联合三点形成的三角形的三条中线相交点；</w:t>
      </w:r>
    </w:p>
    <w:p w14:paraId="306ABF95">
      <w:pPr>
        <w:pStyle w:val="134"/>
      </w:pPr>
      <w:r>
        <w:rPr>
          <w:rFonts w:hint="eastAsia"/>
        </w:rPr>
        <w:t>横结肠造口宜定位于上腹部以脐和肋缘分别做水平线的两线之间，且旁开腹中线5</w:t>
      </w:r>
      <w:r>
        <w:rPr>
          <w:rFonts w:hint="eastAsia"/>
          <w:vertAlign w:val="superscript"/>
        </w:rPr>
        <w:t xml:space="preserve"> </w:t>
      </w:r>
      <w:r>
        <w:rPr>
          <w:rFonts w:hint="eastAsia"/>
        </w:rPr>
        <w:t>cm～7</w:t>
      </w:r>
      <w:r>
        <w:rPr>
          <w:rFonts w:hint="eastAsia"/>
          <w:vertAlign w:val="superscript"/>
        </w:rPr>
        <w:t xml:space="preserve"> </w:t>
      </w:r>
      <w:r>
        <w:rPr>
          <w:rFonts w:hint="eastAsia"/>
        </w:rPr>
        <w:t>cm。术前定位至少2个</w:t>
      </w:r>
      <w:r>
        <w:rPr>
          <w:rFonts w:hint="eastAsia"/>
          <w:lang w:val="en-US" w:eastAsia="zh-CN"/>
        </w:rPr>
        <w:t>及</w:t>
      </w:r>
      <w:r>
        <w:rPr>
          <w:rFonts w:hint="eastAsia"/>
        </w:rPr>
        <w:t>以上；</w:t>
      </w:r>
    </w:p>
    <w:p w14:paraId="2D470FB6">
      <w:pPr>
        <w:pStyle w:val="134"/>
      </w:pPr>
      <w:r>
        <w:rPr>
          <w:rFonts w:hint="eastAsia"/>
        </w:rPr>
        <w:t>造口定位以患者取半坐卧位、坐位、弯腰、站立等不同体位时能看到造口为宜。</w:t>
      </w:r>
    </w:p>
    <w:p w14:paraId="5F584F6D">
      <w:pPr>
        <w:pStyle w:val="167"/>
      </w:pPr>
      <w:bookmarkStart w:id="58" w:name="_Hlk186014590"/>
      <w:r>
        <w:rPr>
          <w:rFonts w:hint="eastAsia"/>
        </w:rPr>
        <w:t>应用油性笔或甲紫在定位处画一个直径</w:t>
      </w:r>
      <w:r>
        <w:t>1.5</w:t>
      </w:r>
      <w:r>
        <w:rPr>
          <w:vertAlign w:val="superscript"/>
        </w:rPr>
        <w:t xml:space="preserve"> </w:t>
      </w:r>
      <w:r>
        <w:t>cm</w:t>
      </w:r>
      <w:r>
        <w:rPr>
          <w:rFonts w:hint="eastAsia"/>
        </w:rPr>
        <w:t>～</w:t>
      </w:r>
      <w:r>
        <w:t>2.5</w:t>
      </w:r>
      <w:r>
        <w:rPr>
          <w:vertAlign w:val="superscript"/>
        </w:rPr>
        <w:t xml:space="preserve"> </w:t>
      </w:r>
      <w:r>
        <w:t>cm</w:t>
      </w:r>
      <w:r>
        <w:rPr>
          <w:rFonts w:hint="eastAsia"/>
        </w:rPr>
        <w:t>的实心圆，待干后，用透明薄膜覆盖</w:t>
      </w:r>
      <w:bookmarkEnd w:id="58"/>
      <w:r>
        <w:rPr>
          <w:rFonts w:hint="eastAsia"/>
        </w:rPr>
        <w:t>。</w:t>
      </w:r>
    </w:p>
    <w:p w14:paraId="27033408">
      <w:pPr>
        <w:pStyle w:val="107"/>
        <w:spacing w:before="120" w:after="120"/>
      </w:pPr>
      <w:bookmarkStart w:id="59" w:name="_Toc160726068"/>
      <w:bookmarkStart w:id="60" w:name="_Toc160825915"/>
      <w:bookmarkStart w:id="61" w:name="_Toc160725678"/>
      <w:r>
        <w:rPr>
          <w:rFonts w:hint="eastAsia"/>
        </w:rPr>
        <w:t>术后护理</w:t>
      </w:r>
      <w:bookmarkEnd w:id="59"/>
      <w:bookmarkEnd w:id="60"/>
      <w:bookmarkEnd w:id="61"/>
    </w:p>
    <w:p w14:paraId="215051A0">
      <w:pPr>
        <w:pStyle w:val="67"/>
        <w:spacing w:before="120" w:after="120"/>
      </w:pPr>
      <w:r>
        <w:rPr>
          <w:rFonts w:hint="eastAsia"/>
        </w:rPr>
        <w:t>造口评估</w:t>
      </w:r>
    </w:p>
    <w:p w14:paraId="6CEEC3DC">
      <w:pPr>
        <w:pStyle w:val="58"/>
        <w:ind w:firstLine="420"/>
        <w:rPr>
          <w:szCs w:val="22"/>
        </w:rPr>
      </w:pPr>
      <w:r>
        <w:rPr>
          <w:rFonts w:hint="eastAsia"/>
          <w:szCs w:val="22"/>
        </w:rPr>
        <w:t>术后应按附录A的要求每日进行造口评估。</w:t>
      </w:r>
    </w:p>
    <w:p w14:paraId="20D7980B">
      <w:pPr>
        <w:pStyle w:val="67"/>
        <w:spacing w:before="120" w:after="120"/>
      </w:pPr>
      <w:r>
        <w:rPr>
          <w:rFonts w:hint="eastAsia"/>
        </w:rPr>
        <w:t>造口护理用品选择与使用</w:t>
      </w:r>
    </w:p>
    <w:p w14:paraId="281A2904">
      <w:pPr>
        <w:pStyle w:val="166"/>
      </w:pPr>
      <w:r>
        <w:rPr>
          <w:rFonts w:hint="eastAsia"/>
        </w:rPr>
        <w:t>应按附录B的要求进行造口周围身体形态评估，</w:t>
      </w:r>
      <w:bookmarkStart w:id="62" w:name="_Hlk186017138"/>
      <w:r>
        <w:rPr>
          <w:rFonts w:hint="eastAsia"/>
        </w:rPr>
        <w:t>根据造口的造口周围皮肤高度、造口周围组织形态、造口位置、造口高度</w:t>
      </w:r>
      <w:bookmarkEnd w:id="62"/>
      <w:r>
        <w:rPr>
          <w:rFonts w:hint="eastAsia"/>
        </w:rPr>
        <w:t>选择合适的造口护理用品。</w:t>
      </w:r>
    </w:p>
    <w:p w14:paraId="556CA916">
      <w:pPr>
        <w:pStyle w:val="166"/>
      </w:pPr>
      <w:r>
        <w:rPr>
          <w:rFonts w:hint="eastAsia"/>
        </w:rPr>
        <w:t>应3</w:t>
      </w:r>
      <w:r>
        <w:rPr>
          <w:vertAlign w:val="superscript"/>
        </w:rPr>
        <w:t xml:space="preserve"> </w:t>
      </w:r>
      <w:r>
        <w:rPr>
          <w:rFonts w:hint="eastAsia"/>
        </w:rPr>
        <w:t>d～4</w:t>
      </w:r>
      <w:r>
        <w:rPr>
          <w:vertAlign w:val="superscript"/>
        </w:rPr>
        <w:t xml:space="preserve"> </w:t>
      </w:r>
      <w:r>
        <w:rPr>
          <w:rFonts w:hint="eastAsia"/>
        </w:rPr>
        <w:t>d更换造口用品</w:t>
      </w:r>
      <w:bookmarkStart w:id="90" w:name="_GoBack"/>
      <w:bookmarkEnd w:id="90"/>
      <w:r>
        <w:rPr>
          <w:rFonts w:hint="eastAsia"/>
        </w:rPr>
        <w:t>，出现造口底盘发白、渗漏或卷边及时更换。</w:t>
      </w:r>
    </w:p>
    <w:p w14:paraId="693FC677">
      <w:pPr>
        <w:pStyle w:val="166"/>
      </w:pPr>
      <w:bookmarkStart w:id="63" w:name="_Hlk186019381"/>
      <w:r>
        <w:rPr>
          <w:rFonts w:hint="eastAsia"/>
        </w:rPr>
        <w:t>造口袋胀气或排泄物满1/3～1/2时，应及时排空造口袋</w:t>
      </w:r>
      <w:bookmarkEnd w:id="63"/>
      <w:r>
        <w:rPr>
          <w:rFonts w:hint="eastAsia"/>
        </w:rPr>
        <w:t>。</w:t>
      </w:r>
    </w:p>
    <w:p w14:paraId="64139E12">
      <w:pPr>
        <w:pStyle w:val="67"/>
        <w:spacing w:before="120" w:after="120"/>
        <w:rPr>
          <w:rFonts w:ascii="宋体" w:eastAsia="宋体"/>
        </w:rPr>
      </w:pPr>
      <w:r>
        <w:rPr>
          <w:rFonts w:hint="eastAsia"/>
        </w:rPr>
        <w:t>高排量造口护理</w:t>
      </w:r>
    </w:p>
    <w:p w14:paraId="5D59D182">
      <w:pPr>
        <w:pStyle w:val="58"/>
        <w:ind w:firstLine="420"/>
      </w:pPr>
      <w:r>
        <w:rPr>
          <w:rFonts w:hint="eastAsia"/>
        </w:rPr>
        <w:t>应记录每日造口排量，</w:t>
      </w:r>
      <w:bookmarkStart w:id="64" w:name="_Hlk186020043"/>
      <w:r>
        <w:rPr>
          <w:rFonts w:hint="eastAsia"/>
          <w:szCs w:val="22"/>
        </w:rPr>
        <w:t>持续3</w:t>
      </w:r>
      <w:r>
        <w:rPr>
          <w:szCs w:val="22"/>
          <w:vertAlign w:val="superscript"/>
        </w:rPr>
        <w:t xml:space="preserve"> </w:t>
      </w:r>
      <w:r>
        <w:rPr>
          <w:rFonts w:hint="eastAsia"/>
          <w:szCs w:val="22"/>
        </w:rPr>
        <w:t>d造口排量大于1500</w:t>
      </w:r>
      <w:r>
        <w:rPr>
          <w:szCs w:val="22"/>
          <w:vertAlign w:val="superscript"/>
        </w:rPr>
        <w:t xml:space="preserve"> </w:t>
      </w:r>
      <w:r>
        <w:rPr>
          <w:rFonts w:hint="eastAsia"/>
          <w:szCs w:val="22"/>
        </w:rPr>
        <w:t>ml/24</w:t>
      </w:r>
      <w:r>
        <w:rPr>
          <w:szCs w:val="22"/>
          <w:vertAlign w:val="superscript"/>
        </w:rPr>
        <w:t xml:space="preserve"> </w:t>
      </w:r>
      <w:r>
        <w:rPr>
          <w:rFonts w:hint="eastAsia"/>
          <w:szCs w:val="22"/>
        </w:rPr>
        <w:t>h的高排量造口</w:t>
      </w:r>
      <w:bookmarkEnd w:id="64"/>
      <w:r>
        <w:rPr>
          <w:rFonts w:hAnsi="宋体" w:cs="宋体"/>
          <w:sz w:val="24"/>
          <w:szCs w:val="24"/>
        </w:rPr>
        <w:t>，</w:t>
      </w:r>
      <w:r>
        <w:rPr>
          <w:rFonts w:hint="eastAsia"/>
        </w:rPr>
        <w:t>选择二件式造口护理用品并加腰带，防止渗漏，给予营养评估及监测。</w:t>
      </w:r>
    </w:p>
    <w:p w14:paraId="53B44642">
      <w:pPr>
        <w:pStyle w:val="67"/>
        <w:spacing w:before="120" w:after="120"/>
        <w:rPr>
          <w:rFonts w:ascii="宋体" w:eastAsia="宋体"/>
        </w:rPr>
      </w:pPr>
      <w:r>
        <w:rPr>
          <w:rFonts w:hint="eastAsia"/>
        </w:rPr>
        <w:t>带支撑棒造口护理</w:t>
      </w:r>
    </w:p>
    <w:p w14:paraId="6843AF55">
      <w:pPr>
        <w:pStyle w:val="58"/>
        <w:ind w:firstLine="420"/>
      </w:pPr>
      <w:r>
        <w:rPr>
          <w:rFonts w:hint="eastAsia"/>
        </w:rPr>
        <w:t>袢式造口使用支撑棒时，应评估其材质的软硬度。使用硬的支撑棒时，应在底盘中心孔“一”字形剪开1～2处。硬的支撑棒移位时，不宜复位，应评估肠管张力大小，并及时报告医生处理。造口支撑棒的放置时间通常为术后1</w:t>
      </w:r>
      <w:r>
        <w:t>4</w:t>
      </w:r>
      <w:r>
        <w:rPr>
          <w:vertAlign w:val="superscript"/>
        </w:rPr>
        <w:t xml:space="preserve"> </w:t>
      </w:r>
      <w:r>
        <w:rPr>
          <w:rFonts w:hint="eastAsia"/>
        </w:rPr>
        <w:t>d。</w:t>
      </w:r>
    </w:p>
    <w:p w14:paraId="105E8FA8">
      <w:pPr>
        <w:pStyle w:val="107"/>
        <w:spacing w:before="120" w:after="120"/>
      </w:pPr>
      <w:r>
        <w:rPr>
          <w:rFonts w:hint="eastAsia"/>
        </w:rPr>
        <w:t>造口及周围常见并发症处理</w:t>
      </w:r>
    </w:p>
    <w:p w14:paraId="21EE340E">
      <w:pPr>
        <w:pStyle w:val="67"/>
        <w:spacing w:before="120" w:after="120"/>
      </w:pPr>
      <w:r>
        <w:rPr>
          <w:rFonts w:hint="eastAsia"/>
        </w:rPr>
        <w:t>造口肠管或系膜出血</w:t>
      </w:r>
    </w:p>
    <w:p w14:paraId="233922EC">
      <w:pPr>
        <w:pStyle w:val="166"/>
      </w:pPr>
      <w:r>
        <w:rPr>
          <w:rFonts w:hint="eastAsia"/>
        </w:rPr>
        <w:t>开放造口后应评估出血部位、量。</w:t>
      </w:r>
    </w:p>
    <w:p w14:paraId="3A4627A7">
      <w:pPr>
        <w:pStyle w:val="166"/>
      </w:pPr>
      <w:r>
        <w:rPr>
          <w:rFonts w:hint="eastAsia"/>
        </w:rPr>
        <w:t>造口处黏膜浅表出血宜用压迫法止血。</w:t>
      </w:r>
    </w:p>
    <w:p w14:paraId="0DDB251D">
      <w:pPr>
        <w:pStyle w:val="166"/>
      </w:pPr>
      <w:r>
        <w:rPr>
          <w:rFonts w:hint="eastAsia"/>
        </w:rPr>
        <w:t>血管损伤或缝合系膜血管出血通知医生宜采用电凝或结扎血管处理。</w:t>
      </w:r>
    </w:p>
    <w:p w14:paraId="49550A41">
      <w:pPr>
        <w:pStyle w:val="67"/>
        <w:spacing w:before="120" w:after="120"/>
      </w:pPr>
      <w:r>
        <w:rPr>
          <w:rFonts w:hint="eastAsia"/>
        </w:rPr>
        <w:t>皮肤黏膜分离</w:t>
      </w:r>
    </w:p>
    <w:p w14:paraId="7CDFD3ED">
      <w:pPr>
        <w:pStyle w:val="166"/>
      </w:pPr>
      <w:r>
        <w:rPr>
          <w:rFonts w:hint="eastAsia"/>
        </w:rPr>
        <w:t>应评估分离的范围、大小、深度、渗液量、基底组织情况及有无潜行。</w:t>
      </w:r>
    </w:p>
    <w:p w14:paraId="63DCD115">
      <w:pPr>
        <w:pStyle w:val="166"/>
      </w:pPr>
      <w:bookmarkStart w:id="65" w:name="_Hlk186125347"/>
      <w:r>
        <w:rPr>
          <w:rFonts w:hint="eastAsia"/>
        </w:rPr>
        <w:t>浅层分离</w:t>
      </w:r>
      <w:bookmarkEnd w:id="65"/>
      <w:r>
        <w:rPr>
          <w:rFonts w:hint="eastAsia"/>
        </w:rPr>
        <w:t>，宜用造口护肤粉喷洒局部；深层分离，宜去除黄色腐肉和坏死组织，可用藻酸盐敷料充填伤口；合并感染时，宜使用抗菌敷料。</w:t>
      </w:r>
    </w:p>
    <w:p w14:paraId="7D4F789E">
      <w:pPr>
        <w:pStyle w:val="166"/>
      </w:pPr>
      <w:r>
        <w:rPr>
          <w:rFonts w:hint="eastAsia"/>
        </w:rPr>
        <w:t>完成5</w:t>
      </w:r>
      <w:r>
        <w:t>.3.2.2</w:t>
      </w:r>
      <w:r>
        <w:rPr>
          <w:rFonts w:hint="eastAsia"/>
        </w:rPr>
        <w:t>步骤后宜涂抹防漏膏/条、防漏贴环或应用水胶体敷料隔离。</w:t>
      </w:r>
    </w:p>
    <w:p w14:paraId="3BC3973E">
      <w:pPr>
        <w:pStyle w:val="166"/>
      </w:pPr>
      <w:r>
        <w:rPr>
          <w:rFonts w:hint="eastAsia"/>
        </w:rPr>
        <w:t>深层分离渗液较多患者宜行伤口引流。</w:t>
      </w:r>
    </w:p>
    <w:p w14:paraId="46FF21C4">
      <w:pPr>
        <w:pStyle w:val="67"/>
        <w:spacing w:before="120" w:after="120"/>
      </w:pPr>
      <w:r>
        <w:rPr>
          <w:rFonts w:hint="eastAsia"/>
        </w:rPr>
        <w:t xml:space="preserve">造口回缩 </w:t>
      </w:r>
    </w:p>
    <w:p w14:paraId="7A047AC3">
      <w:pPr>
        <w:pStyle w:val="166"/>
      </w:pPr>
      <w:r>
        <w:rPr>
          <w:rFonts w:hint="eastAsia"/>
        </w:rPr>
        <w:t>应评估回缩的程度、造口底盘和周围皮肤的浸渍情况。</w:t>
      </w:r>
    </w:p>
    <w:p w14:paraId="2F01F61E">
      <w:pPr>
        <w:pStyle w:val="166"/>
      </w:pPr>
      <w:r>
        <w:rPr>
          <w:rFonts w:hint="eastAsia"/>
        </w:rPr>
        <w:t>宜使用凸面底盘并佩戴造口腰带或造口腹带固定。</w:t>
      </w:r>
    </w:p>
    <w:p w14:paraId="7827242B">
      <w:pPr>
        <w:pStyle w:val="67"/>
        <w:spacing w:before="120" w:after="120"/>
      </w:pPr>
      <w:r>
        <w:rPr>
          <w:rFonts w:hint="eastAsia"/>
        </w:rPr>
        <w:t>造口早期狭窄</w:t>
      </w:r>
    </w:p>
    <w:p w14:paraId="31EA6CF7">
      <w:pPr>
        <w:pStyle w:val="166"/>
      </w:pPr>
      <w:r>
        <w:rPr>
          <w:rFonts w:hint="eastAsia"/>
        </w:rPr>
        <w:t>应评估狭窄的位置及临床表现。</w:t>
      </w:r>
    </w:p>
    <w:p w14:paraId="50D8D532">
      <w:pPr>
        <w:pStyle w:val="166"/>
      </w:pPr>
      <w:r>
        <w:rPr>
          <w:rFonts w:hint="eastAsia"/>
        </w:rPr>
        <w:t>宜采用手指引导，必要时在肠管近端开口处置入软质支撑管（如导尿管）等。</w:t>
      </w:r>
    </w:p>
    <w:p w14:paraId="0228305F">
      <w:pPr>
        <w:pStyle w:val="67"/>
        <w:spacing w:before="120" w:after="120"/>
      </w:pPr>
      <w:r>
        <w:rPr>
          <w:rFonts w:hint="eastAsia"/>
        </w:rPr>
        <w:t>造口潮湿相关性皮炎</w:t>
      </w:r>
    </w:p>
    <w:p w14:paraId="395B79D3">
      <w:pPr>
        <w:pStyle w:val="166"/>
      </w:pPr>
      <w:r>
        <w:rPr>
          <w:rFonts w:hint="eastAsia"/>
        </w:rPr>
        <w:t>应评估造口周围皮肤损伤的部位、颜色、程度、范围、渗液情况等，判断损伤类型。</w:t>
      </w:r>
    </w:p>
    <w:p w14:paraId="6F660BE9">
      <w:pPr>
        <w:pStyle w:val="166"/>
      </w:pPr>
      <w:r>
        <w:rPr>
          <w:rFonts w:hint="eastAsia"/>
        </w:rPr>
        <w:t>宜使用无刺激皮肤保护膜、造口护肤粉或水胶体敷料，必要时涂抹防漏膏/条或防漏贴环等。</w:t>
      </w:r>
    </w:p>
    <w:p w14:paraId="712D4984">
      <w:pPr>
        <w:pStyle w:val="166"/>
      </w:pPr>
      <w:r>
        <w:rPr>
          <w:rFonts w:hint="eastAsia"/>
        </w:rPr>
        <w:t>宜使用两件式造口护理用品并佩戴造口腰带固定。</w:t>
      </w:r>
    </w:p>
    <w:p w14:paraId="2A8DA028">
      <w:pPr>
        <w:pStyle w:val="107"/>
        <w:spacing w:before="120" w:after="120"/>
      </w:pPr>
      <w:r>
        <w:rPr>
          <w:rFonts w:hint="eastAsia"/>
        </w:rPr>
        <w:t>患者出院健康教育及随访</w:t>
      </w:r>
    </w:p>
    <w:p w14:paraId="31FDB520">
      <w:pPr>
        <w:pStyle w:val="67"/>
        <w:spacing w:before="120" w:after="120"/>
      </w:pPr>
      <w:r>
        <w:rPr>
          <w:rFonts w:hint="eastAsia"/>
        </w:rPr>
        <w:t>健康教育</w:t>
      </w:r>
    </w:p>
    <w:p w14:paraId="7FC32532">
      <w:pPr>
        <w:pStyle w:val="166"/>
      </w:pPr>
      <w:bookmarkStart w:id="66" w:name="_Hlk186128834"/>
      <w:r>
        <w:rPr>
          <w:rFonts w:hint="eastAsia"/>
        </w:rPr>
        <w:t>应指导患者避免进食木耳、菌菇、芹菜等难消化及纤维过长易成团食物，适当控制易产气、异味、辛辣、生冷等食物。</w:t>
      </w:r>
      <w:bookmarkEnd w:id="66"/>
    </w:p>
    <w:p w14:paraId="4CD93386">
      <w:pPr>
        <w:pStyle w:val="166"/>
      </w:pPr>
      <w:r>
        <w:rPr>
          <w:rFonts w:hint="eastAsia"/>
        </w:rPr>
        <w:t>应指导患者</w:t>
      </w:r>
      <w:bookmarkStart w:id="67" w:name="_Hlk186128967"/>
      <w:r>
        <w:rPr>
          <w:rFonts w:hint="eastAsia"/>
        </w:rPr>
        <w:t>着稍宽松衣服</w:t>
      </w:r>
      <w:bookmarkEnd w:id="67"/>
      <w:r>
        <w:rPr>
          <w:rFonts w:hint="eastAsia"/>
        </w:rPr>
        <w:t>，系腰带时避开造口的位置。</w:t>
      </w:r>
    </w:p>
    <w:p w14:paraId="5721BA70">
      <w:pPr>
        <w:pStyle w:val="166"/>
      </w:pPr>
      <w:r>
        <w:rPr>
          <w:rFonts w:hint="eastAsia"/>
        </w:rPr>
        <w:t>应告知患者手术切口愈合、体力恢复后，再进行沐浴、游泳、回归工作、社交等。沐浴时宜佩戴造口袋；游泳前造口袋周围应粘贴防水胶布或弹力胶贴或佩戴防水造口袋。</w:t>
      </w:r>
    </w:p>
    <w:p w14:paraId="5FF0FBED">
      <w:pPr>
        <w:pStyle w:val="166"/>
      </w:pPr>
      <w:r>
        <w:rPr>
          <w:rFonts w:hint="eastAsia"/>
        </w:rPr>
        <w:t>应告知患者避免重体力劳动。</w:t>
      </w:r>
    </w:p>
    <w:p w14:paraId="1062745F">
      <w:pPr>
        <w:pStyle w:val="166"/>
      </w:pPr>
      <w:bookmarkStart w:id="68" w:name="_Hlk186129078"/>
      <w:r>
        <w:rPr>
          <w:rFonts w:hint="eastAsia"/>
        </w:rPr>
        <w:t>应指导患者下床活动及外出工作时使用造口腰带或运动贴环固定</w:t>
      </w:r>
      <w:bookmarkEnd w:id="68"/>
      <w:r>
        <w:rPr>
          <w:rFonts w:hint="eastAsia"/>
        </w:rPr>
        <w:t>。</w:t>
      </w:r>
    </w:p>
    <w:p w14:paraId="505E6C01">
      <w:pPr>
        <w:pStyle w:val="166"/>
      </w:pPr>
      <w:bookmarkStart w:id="69" w:name="_Hlk186129223"/>
      <w:r>
        <w:rPr>
          <w:rFonts w:hint="eastAsia"/>
        </w:rPr>
        <w:t>应告知患者外出前备足造口护理用品并随身携带。</w:t>
      </w:r>
      <w:bookmarkEnd w:id="69"/>
    </w:p>
    <w:p w14:paraId="283BF49D">
      <w:pPr>
        <w:pStyle w:val="166"/>
        <w:rPr>
          <w:rFonts w:ascii="黑体" w:eastAsia="黑体"/>
        </w:rPr>
      </w:pPr>
      <w:r>
        <w:rPr>
          <w:rFonts w:hint="eastAsia"/>
        </w:rPr>
        <w:t>应告知患者在体力恢复后尝试恢复性生活，应在性生活前排空造口袋或更换新的造口袋，并检查造口袋的密闭性。</w:t>
      </w:r>
    </w:p>
    <w:p w14:paraId="5201F7C0">
      <w:pPr>
        <w:pStyle w:val="166"/>
        <w:rPr>
          <w:rFonts w:hAnsi="宋体" w:cs="宋体"/>
        </w:rPr>
      </w:pPr>
      <w:r>
        <w:rPr>
          <w:rFonts w:hint="eastAsia" w:hAnsi="宋体" w:cs="宋体"/>
        </w:rPr>
        <w:t>应指导患者进行提肛训练：指导患者采取胸膝位或者侧卧位，指导患者在呼气时进行肛门上提收缩的动作，持续3</w:t>
      </w:r>
      <w:r>
        <w:rPr>
          <w:rFonts w:hAnsi="宋体" w:cs="宋体"/>
          <w:vertAlign w:val="superscript"/>
        </w:rPr>
        <w:t xml:space="preserve"> </w:t>
      </w:r>
      <w:r>
        <w:rPr>
          <w:rFonts w:hint="eastAsia" w:hAnsi="宋体" w:cs="宋体"/>
        </w:rPr>
        <w:t>s后放松肛门，同时全身放松,有节律进行肛门的收缩与放松动作，在每日的早、中、晚分别进行,每次至少进行20 min，并且可根据患者意愿进行延长肛门运动。</w:t>
      </w:r>
    </w:p>
    <w:p w14:paraId="536F54D4">
      <w:pPr>
        <w:pStyle w:val="67"/>
        <w:spacing w:before="120" w:after="120"/>
      </w:pPr>
      <w:r>
        <w:rPr>
          <w:rFonts w:hint="eastAsia"/>
        </w:rPr>
        <w:t>出院随访</w:t>
      </w:r>
    </w:p>
    <w:p w14:paraId="4D41C915">
      <w:pPr>
        <w:pStyle w:val="58"/>
        <w:ind w:firstLine="420"/>
      </w:pPr>
      <w:r>
        <w:rPr>
          <w:rFonts w:hint="eastAsia"/>
        </w:rPr>
        <w:t>应在患者出院后一周内开始进行随访，随访可采用线上、线下相结合的形式。每次随访应对造口及造口身体周围形态进行评估，调整及指导选择适合的造口护理用品。提供上门居家护理服务人员应为经过培训的造口治疗师。</w:t>
      </w:r>
    </w:p>
    <w:p w14:paraId="0FA655EF">
      <w:pPr>
        <w:pStyle w:val="106"/>
        <w:spacing w:before="240" w:after="240"/>
      </w:pPr>
      <w:bookmarkStart w:id="70" w:name="_Toc160825916"/>
      <w:bookmarkStart w:id="71" w:name="_Toc160726069"/>
      <w:bookmarkStart w:id="72" w:name="_Toc160725679"/>
      <w:r>
        <w:rPr>
          <w:rFonts w:hint="eastAsia"/>
        </w:rPr>
        <w:t>预防性肠造口还纳围手术期护理</w:t>
      </w:r>
      <w:bookmarkEnd w:id="70"/>
      <w:bookmarkEnd w:id="71"/>
      <w:bookmarkEnd w:id="72"/>
    </w:p>
    <w:p w14:paraId="65E169A6">
      <w:pPr>
        <w:pStyle w:val="107"/>
        <w:spacing w:before="120" w:after="120"/>
      </w:pPr>
      <w:bookmarkStart w:id="73" w:name="_Toc160725680"/>
      <w:bookmarkStart w:id="74" w:name="_Toc160825917"/>
      <w:bookmarkStart w:id="75" w:name="_Toc160726070"/>
      <w:r>
        <w:rPr>
          <w:rFonts w:hint="eastAsia"/>
        </w:rPr>
        <w:t>术前护理</w:t>
      </w:r>
      <w:bookmarkEnd w:id="73"/>
      <w:bookmarkEnd w:id="74"/>
      <w:bookmarkEnd w:id="75"/>
    </w:p>
    <w:p w14:paraId="4E52F865">
      <w:pPr>
        <w:pStyle w:val="67"/>
        <w:spacing w:before="120" w:after="120"/>
      </w:pPr>
      <w:r>
        <w:rPr>
          <w:rFonts w:hint="eastAsia"/>
        </w:rPr>
        <w:t>营养评估及支持</w:t>
      </w:r>
    </w:p>
    <w:p w14:paraId="496C60A0">
      <w:pPr>
        <w:pStyle w:val="58"/>
        <w:ind w:firstLine="420"/>
      </w:pPr>
      <w:r>
        <w:rPr>
          <w:rFonts w:hint="eastAsia"/>
        </w:rPr>
        <w:t>应按附录C的要求给予患</w:t>
      </w:r>
      <w:r>
        <w:rPr>
          <w:rFonts w:hint="eastAsia"/>
          <w:lang w:eastAsia="zh-CN"/>
        </w:rPr>
        <w:t>者进</w:t>
      </w:r>
      <w:r>
        <w:rPr>
          <w:rFonts w:hint="eastAsia"/>
        </w:rPr>
        <w:t>行营养风险筛查评估，对于营养风险筛查评估≥3分的患者给予术前营养支持。</w:t>
      </w:r>
    </w:p>
    <w:p w14:paraId="70992389">
      <w:pPr>
        <w:pStyle w:val="67"/>
        <w:spacing w:before="120" w:after="120"/>
      </w:pPr>
      <w:r>
        <w:rPr>
          <w:rFonts w:hint="eastAsia"/>
        </w:rPr>
        <w:t xml:space="preserve">造口及周围皮肤准备 </w:t>
      </w:r>
    </w:p>
    <w:p w14:paraId="4186AB17">
      <w:pPr>
        <w:pStyle w:val="58"/>
        <w:ind w:firstLine="420"/>
        <w:rPr>
          <w:szCs w:val="22"/>
        </w:rPr>
      </w:pPr>
      <w:r>
        <w:rPr>
          <w:rFonts w:hint="eastAsia"/>
        </w:rPr>
        <w:t>入院当天应按附录A、附录D的要求分别对造口及周围皮肤进行评估，及时处理并发症。</w:t>
      </w:r>
    </w:p>
    <w:p w14:paraId="5CF1E00D">
      <w:pPr>
        <w:pStyle w:val="67"/>
        <w:spacing w:before="120" w:after="120"/>
      </w:pPr>
      <w:r>
        <w:t>肠道准备</w:t>
      </w:r>
    </w:p>
    <w:p w14:paraId="701402A0">
      <w:pPr>
        <w:pStyle w:val="58"/>
        <w:ind w:firstLine="420"/>
      </w:pPr>
      <w:r>
        <w:t>术前</w:t>
      </w:r>
      <w:r>
        <w:rPr>
          <w:rFonts w:hint="eastAsia"/>
        </w:rPr>
        <w:t>应行远端造口及肛门</w:t>
      </w:r>
      <w:r>
        <w:t>灌肠排出残留大便。术前1</w:t>
      </w:r>
      <w:r>
        <w:rPr>
          <w:vertAlign w:val="superscript"/>
        </w:rPr>
        <w:t xml:space="preserve"> </w:t>
      </w:r>
      <w:r>
        <w:rPr>
          <w:rFonts w:hint="eastAsia"/>
        </w:rPr>
        <w:t>d服用肠道清洁剂清洁</w:t>
      </w:r>
      <w:r>
        <w:t>造口近端肠道</w:t>
      </w:r>
      <w:r>
        <w:rPr>
          <w:rFonts w:hint="eastAsia"/>
        </w:rPr>
        <w:t>。</w:t>
      </w:r>
    </w:p>
    <w:p w14:paraId="0D0B1475">
      <w:pPr>
        <w:pStyle w:val="107"/>
        <w:spacing w:before="120" w:after="120"/>
      </w:pPr>
      <w:bookmarkStart w:id="76" w:name="_Toc160726071"/>
      <w:bookmarkStart w:id="77" w:name="_Toc160725681"/>
      <w:bookmarkStart w:id="78" w:name="_Toc160825918"/>
      <w:r>
        <w:rPr>
          <w:rFonts w:hint="eastAsia"/>
        </w:rPr>
        <w:t>术后护理</w:t>
      </w:r>
      <w:bookmarkEnd w:id="76"/>
      <w:bookmarkEnd w:id="77"/>
      <w:bookmarkEnd w:id="78"/>
    </w:p>
    <w:p w14:paraId="349F91B8">
      <w:pPr>
        <w:pStyle w:val="67"/>
        <w:spacing w:before="120" w:after="120"/>
      </w:pPr>
      <w:r>
        <w:rPr>
          <w:rFonts w:hint="eastAsia"/>
        </w:rPr>
        <w:t>饮食护理</w:t>
      </w:r>
    </w:p>
    <w:p w14:paraId="44F0C605">
      <w:pPr>
        <w:pStyle w:val="58"/>
        <w:ind w:firstLine="420"/>
      </w:pPr>
      <w:r>
        <w:rPr>
          <w:rFonts w:hint="eastAsia"/>
        </w:rPr>
        <w:t>术后禁食期间应给予胃肠外营养，协助患者做好口腔护理，指导患者咀嚼口香糖，促进肠蠕动。恢复饮食后指导患者少量饮水，逐渐过渡到清流质、流质和半流质。进食宜少量多餐，选择高热量、高蛋白、低脂易消化的食物。</w:t>
      </w:r>
    </w:p>
    <w:p w14:paraId="173FF525">
      <w:pPr>
        <w:pStyle w:val="67"/>
        <w:spacing w:before="120" w:after="120"/>
        <w:rPr>
          <w:szCs w:val="22"/>
        </w:rPr>
      </w:pPr>
      <w:r>
        <w:rPr>
          <w:rFonts w:hint="eastAsia"/>
          <w:szCs w:val="22"/>
        </w:rPr>
        <w:t>康复指导</w:t>
      </w:r>
    </w:p>
    <w:p w14:paraId="5E90DFA2">
      <w:pPr>
        <w:pStyle w:val="166"/>
      </w:pPr>
      <w:r>
        <w:rPr>
          <w:rFonts w:hint="eastAsia"/>
        </w:rPr>
        <w:t>应指导患者术后清醒且血压平稳后取半卧位并适量床上活动。</w:t>
      </w:r>
    </w:p>
    <w:p w14:paraId="4C3C7EF3">
      <w:pPr>
        <w:pStyle w:val="166"/>
      </w:pPr>
      <w:r>
        <w:rPr>
          <w:rFonts w:hint="eastAsia"/>
        </w:rPr>
        <w:t>应指导患者行呼吸功能锻炼：由鼻部吸气，屏气2</w:t>
      </w:r>
      <w:r>
        <w:rPr>
          <w:vertAlign w:val="superscript"/>
        </w:rPr>
        <w:t xml:space="preserve"> </w:t>
      </w:r>
      <w:r>
        <w:t>s</w:t>
      </w:r>
      <w:r>
        <w:rPr>
          <w:rFonts w:hint="eastAsia"/>
        </w:rPr>
        <w:t>～5</w:t>
      </w:r>
      <w:r>
        <w:rPr>
          <w:vertAlign w:val="superscript"/>
        </w:rPr>
        <w:t xml:space="preserve"> </w:t>
      </w:r>
      <w:r>
        <w:rPr>
          <w:rFonts w:hint="eastAsia"/>
        </w:rPr>
        <w:t>s，缩唇缓慢呼气。每小时3组，每组10次。</w:t>
      </w:r>
    </w:p>
    <w:p w14:paraId="6B438FC6">
      <w:pPr>
        <w:pStyle w:val="166"/>
      </w:pPr>
      <w:r>
        <w:rPr>
          <w:rFonts w:hint="eastAsia"/>
        </w:rPr>
        <w:t>应指导患者翻身活动，回肠造口患者翻身时宜选择右侧卧位。</w:t>
      </w:r>
    </w:p>
    <w:p w14:paraId="560FCB05">
      <w:pPr>
        <w:pStyle w:val="166"/>
      </w:pPr>
      <w:bookmarkStart w:id="79" w:name="_Hlk186206017"/>
      <w:r>
        <w:rPr>
          <w:rFonts w:hint="eastAsia"/>
        </w:rPr>
        <w:t>应指导患者行踝泵运动。</w:t>
      </w:r>
      <w:bookmarkEnd w:id="79"/>
    </w:p>
    <w:p w14:paraId="4123FDD3">
      <w:pPr>
        <w:pStyle w:val="166"/>
      </w:pPr>
      <w:r>
        <w:rPr>
          <w:rFonts w:hint="eastAsia"/>
        </w:rPr>
        <w:t>应指导患者按</w:t>
      </w:r>
      <w:r>
        <w:t>5.4.1.8</w:t>
      </w:r>
      <w:r>
        <w:rPr>
          <w:rFonts w:hint="eastAsia"/>
        </w:rPr>
        <w:t>进行提肛训练。</w:t>
      </w:r>
    </w:p>
    <w:p w14:paraId="5A9E5510">
      <w:pPr>
        <w:pStyle w:val="166"/>
      </w:pPr>
      <w:r>
        <w:rPr>
          <w:rFonts w:hint="eastAsia"/>
        </w:rPr>
        <w:t>应指导患者术后第1</w:t>
      </w:r>
      <w:r>
        <w:rPr>
          <w:vertAlign w:val="superscript"/>
        </w:rPr>
        <w:t xml:space="preserve"> </w:t>
      </w:r>
      <w:r>
        <w:rPr>
          <w:rFonts w:hint="eastAsia"/>
        </w:rPr>
        <w:t>d开始下床活动，建立每日活动目标，逐日增加活动量。</w:t>
      </w:r>
    </w:p>
    <w:p w14:paraId="5E434D21">
      <w:pPr>
        <w:pStyle w:val="107"/>
        <w:spacing w:before="120" w:after="120"/>
      </w:pPr>
      <w:r>
        <w:rPr>
          <w:rFonts w:hint="eastAsia"/>
        </w:rPr>
        <w:t>术后常见并发症处理</w:t>
      </w:r>
    </w:p>
    <w:p w14:paraId="682A5361">
      <w:pPr>
        <w:pStyle w:val="67"/>
        <w:spacing w:before="120" w:after="120"/>
      </w:pPr>
      <w:r>
        <w:rPr>
          <w:rFonts w:hint="eastAsia"/>
        </w:rPr>
        <w:t>吻合口瘘</w:t>
      </w:r>
    </w:p>
    <w:p w14:paraId="0DE339D7">
      <w:pPr>
        <w:pStyle w:val="166"/>
      </w:pPr>
      <w:r>
        <w:rPr>
          <w:rFonts w:hint="eastAsia"/>
        </w:rPr>
        <w:t>应予禁食、肠外静脉营养支持，保持引流管通畅。</w:t>
      </w:r>
    </w:p>
    <w:p w14:paraId="441D127A">
      <w:pPr>
        <w:pStyle w:val="166"/>
      </w:pPr>
      <w:bookmarkStart w:id="80" w:name="_Hlk186207911"/>
      <w:r>
        <w:rPr>
          <w:rFonts w:hint="eastAsia"/>
        </w:rPr>
        <w:t>应指导患者取半卧位</w:t>
      </w:r>
      <w:bookmarkEnd w:id="80"/>
      <w:r>
        <w:rPr>
          <w:rFonts w:hint="eastAsia"/>
        </w:rPr>
        <w:t>。</w:t>
      </w:r>
    </w:p>
    <w:p w14:paraId="4B85427A">
      <w:pPr>
        <w:pStyle w:val="166"/>
      </w:pPr>
      <w:bookmarkStart w:id="81" w:name="_Hlk186207978"/>
      <w:r>
        <w:rPr>
          <w:rFonts w:hint="eastAsia"/>
        </w:rPr>
        <w:t>应遵医嘱使用抗生素</w:t>
      </w:r>
      <w:bookmarkEnd w:id="81"/>
      <w:r>
        <w:rPr>
          <w:rFonts w:hint="eastAsia"/>
        </w:rPr>
        <w:t>，观察有无不良反应。</w:t>
      </w:r>
    </w:p>
    <w:p w14:paraId="4B7AE22F">
      <w:pPr>
        <w:pStyle w:val="166"/>
      </w:pPr>
      <w:r>
        <w:rPr>
          <w:rFonts w:hint="eastAsia"/>
        </w:rPr>
        <w:t>必要时做好急诊手术术前准备。</w:t>
      </w:r>
    </w:p>
    <w:p w14:paraId="4B0BC405">
      <w:pPr>
        <w:pStyle w:val="67"/>
        <w:spacing w:before="120" w:after="120"/>
      </w:pPr>
      <w:r>
        <w:rPr>
          <w:rFonts w:hint="eastAsia"/>
        </w:rPr>
        <w:t>切口感染</w:t>
      </w:r>
    </w:p>
    <w:p w14:paraId="0266E2B6">
      <w:pPr>
        <w:pStyle w:val="58"/>
        <w:ind w:firstLine="420"/>
      </w:pPr>
      <w:r>
        <w:rPr>
          <w:rFonts w:hint="eastAsia"/>
        </w:rPr>
        <w:t>应加强换药，充分引流，协助医生彻底清创，</w:t>
      </w:r>
      <w:bookmarkStart w:id="82" w:name="_Hlk186208357"/>
      <w:r>
        <w:rPr>
          <w:rFonts w:hint="eastAsia"/>
        </w:rPr>
        <w:t>必要时使用功能性敷料</w:t>
      </w:r>
      <w:bookmarkEnd w:id="82"/>
      <w:r>
        <w:rPr>
          <w:rFonts w:hint="eastAsia"/>
        </w:rPr>
        <w:t>。</w:t>
      </w:r>
    </w:p>
    <w:p w14:paraId="4A7948E1">
      <w:pPr>
        <w:pStyle w:val="67"/>
        <w:spacing w:before="120" w:after="120"/>
      </w:pPr>
      <w:r>
        <w:rPr>
          <w:rFonts w:hint="eastAsia"/>
        </w:rPr>
        <w:t>肠梗阻</w:t>
      </w:r>
    </w:p>
    <w:p w14:paraId="3362552B">
      <w:pPr>
        <w:pStyle w:val="58"/>
        <w:ind w:firstLine="420"/>
      </w:pPr>
      <w:bookmarkStart w:id="83" w:name="_Hlk186208844"/>
      <w:r>
        <w:rPr>
          <w:rFonts w:hint="eastAsia"/>
        </w:rPr>
        <w:t>应禁食禁饮、胃肠减压，</w:t>
      </w:r>
      <w:bookmarkEnd w:id="83"/>
      <w:bookmarkStart w:id="84" w:name="_Hlk186208915"/>
      <w:r>
        <w:rPr>
          <w:rFonts w:hint="eastAsia"/>
        </w:rPr>
        <w:t>观察患者有无</w:t>
      </w:r>
      <w:r>
        <w:rPr>
          <w:rFonts w:hint="eastAsia" w:hAnsi="宋体" w:cs="宋体"/>
        </w:rPr>
        <w:t>腹胀、腹痛、恶心呕吐、肛门有无排便排气</w:t>
      </w:r>
      <w:r>
        <w:rPr>
          <w:rFonts w:hint="eastAsia"/>
        </w:rPr>
        <w:t>，给予肠外营养支持</w:t>
      </w:r>
      <w:bookmarkEnd w:id="84"/>
      <w:r>
        <w:rPr>
          <w:rFonts w:hint="eastAsia"/>
        </w:rPr>
        <w:t>，必要时做好急诊手术术前准备。</w:t>
      </w:r>
    </w:p>
    <w:p w14:paraId="2C47A52E">
      <w:pPr>
        <w:pStyle w:val="67"/>
        <w:spacing w:before="120" w:after="120"/>
      </w:pPr>
      <w:r>
        <w:rPr>
          <w:rFonts w:hint="eastAsia"/>
        </w:rPr>
        <w:t>失禁性皮炎预防及护理</w:t>
      </w:r>
    </w:p>
    <w:p w14:paraId="1E797754">
      <w:pPr>
        <w:pStyle w:val="58"/>
        <w:ind w:firstLine="420"/>
      </w:pPr>
      <w:r>
        <w:rPr>
          <w:rFonts w:hint="eastAsia"/>
        </w:rPr>
        <w:t>应指导大便次数多的患者做好肛周皮肤护理，</w:t>
      </w:r>
      <w:bookmarkStart w:id="85" w:name="_Hlk186209697"/>
      <w:r>
        <w:rPr>
          <w:rFonts w:hint="eastAsia"/>
        </w:rPr>
        <w:t>指导失禁性皮炎患者采用结构化皮肤护理方案促进伤口愈合。</w:t>
      </w:r>
      <w:bookmarkEnd w:id="85"/>
    </w:p>
    <w:p w14:paraId="13962F54">
      <w:pPr>
        <w:pStyle w:val="107"/>
        <w:spacing w:before="120" w:after="120"/>
      </w:pPr>
      <w:r>
        <w:rPr>
          <w:rFonts w:hint="eastAsia"/>
        </w:rPr>
        <w:t>患者出院健康教育及随访</w:t>
      </w:r>
    </w:p>
    <w:p w14:paraId="2FDB765C">
      <w:pPr>
        <w:pStyle w:val="67"/>
        <w:spacing w:before="120" w:after="120"/>
      </w:pPr>
      <w:r>
        <w:rPr>
          <w:rFonts w:hint="eastAsia"/>
        </w:rPr>
        <w:t>健康教育</w:t>
      </w:r>
    </w:p>
    <w:p w14:paraId="544BF1E9">
      <w:pPr>
        <w:pStyle w:val="166"/>
      </w:pPr>
      <w:r>
        <w:rPr>
          <w:rFonts w:hint="eastAsia"/>
        </w:rPr>
        <w:t>应指导患者进食含高蛋白、高维生素、易消化且含适量纤维素的食物。</w:t>
      </w:r>
    </w:p>
    <w:p w14:paraId="2A4DE3A1">
      <w:pPr>
        <w:pStyle w:val="166"/>
      </w:pPr>
      <w:r>
        <w:rPr>
          <w:rFonts w:hint="eastAsia"/>
        </w:rPr>
        <w:t>应指导患者注意饮食卫生。</w:t>
      </w:r>
    </w:p>
    <w:p w14:paraId="07E275FA">
      <w:pPr>
        <w:pStyle w:val="166"/>
      </w:pPr>
      <w:r>
        <w:rPr>
          <w:rFonts w:hint="eastAsia"/>
        </w:rPr>
        <w:t>应指导患者定期进行复查。</w:t>
      </w:r>
    </w:p>
    <w:p w14:paraId="382D256F">
      <w:pPr>
        <w:pStyle w:val="67"/>
        <w:spacing w:before="120" w:after="120"/>
      </w:pPr>
      <w:r>
        <w:rPr>
          <w:rFonts w:hint="eastAsia"/>
        </w:rPr>
        <w:t>出院随访</w:t>
      </w:r>
    </w:p>
    <w:p w14:paraId="2A891C8C">
      <w:pPr>
        <w:pStyle w:val="58"/>
        <w:ind w:firstLine="420"/>
      </w:pPr>
      <w:r>
        <w:rPr>
          <w:rFonts w:hint="eastAsia"/>
        </w:rPr>
        <w:t>应在患者出院后一周内进行随访，每3个月1次。随访可采用线上、线下相结合的形式。</w:t>
      </w:r>
    </w:p>
    <w:p w14:paraId="3EFB5217">
      <w:pPr>
        <w:pStyle w:val="58"/>
        <w:ind w:firstLine="420"/>
      </w:pPr>
    </w:p>
    <w:p w14:paraId="4D4AF2D7">
      <w:pPr>
        <w:pStyle w:val="58"/>
        <w:ind w:firstLine="420"/>
      </w:pPr>
    </w:p>
    <w:p w14:paraId="7E1279BF">
      <w:pPr>
        <w:pStyle w:val="58"/>
        <w:ind w:firstLine="420"/>
      </w:pPr>
    </w:p>
    <w:p w14:paraId="75E18AC2">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p>
    <w:bookmarkEnd w:id="21"/>
    <w:p w14:paraId="14A11F21">
      <w:pPr>
        <w:pStyle w:val="200"/>
        <w:rPr>
          <w:vanish w:val="0"/>
        </w:rPr>
      </w:pPr>
      <w:bookmarkStart w:id="86" w:name="BookMark5"/>
    </w:p>
    <w:p w14:paraId="5C884544">
      <w:pPr>
        <w:pStyle w:val="201"/>
        <w:rPr>
          <w:vanish w:val="0"/>
        </w:rPr>
      </w:pPr>
    </w:p>
    <w:p w14:paraId="3E1F47EC">
      <w:pPr>
        <w:pStyle w:val="78"/>
        <w:spacing w:after="120"/>
      </w:pPr>
      <w:r>
        <w:br w:type="textWrapping"/>
      </w:r>
      <w:r>
        <w:rPr>
          <w:rFonts w:hint="eastAsia"/>
        </w:rPr>
        <w:t>（规范性）</w:t>
      </w:r>
      <w:r>
        <w:br w:type="textWrapping"/>
      </w:r>
      <w:r>
        <w:rPr>
          <w:rFonts w:hint="eastAsia"/>
        </w:rPr>
        <w:t>造口评估项目及内容</w:t>
      </w:r>
    </w:p>
    <w:p w14:paraId="3F5D0111">
      <w:pPr>
        <w:pStyle w:val="58"/>
        <w:ind w:firstLine="420"/>
      </w:pPr>
      <w:r>
        <w:rPr>
          <w:rFonts w:hint="eastAsia"/>
        </w:rPr>
        <w:t>造口评估项目及内容见表A</w:t>
      </w:r>
      <w:r>
        <w:t>.1</w:t>
      </w:r>
      <w:r>
        <w:rPr>
          <w:rFonts w:hint="eastAsia"/>
        </w:rPr>
        <w:t>。</w:t>
      </w:r>
    </w:p>
    <w:p w14:paraId="3740EBB9">
      <w:pPr>
        <w:pStyle w:val="79"/>
        <w:spacing w:before="120" w:after="120"/>
        <w:ind w:firstLine="420"/>
      </w:pPr>
      <w:r>
        <w:rPr>
          <w:rFonts w:hint="eastAsia"/>
        </w:rPr>
        <w:t>造口评估项目及内容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11"/>
        <w:gridCol w:w="7663"/>
      </w:tblGrid>
      <w:tr w14:paraId="3B412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11" w:type="dxa"/>
            <w:tcBorders>
              <w:top w:val="single" w:color="auto" w:sz="8" w:space="0"/>
              <w:bottom w:val="single" w:color="auto" w:sz="8" w:space="0"/>
            </w:tcBorders>
            <w:shd w:val="clear" w:color="auto" w:fill="auto"/>
            <w:vAlign w:val="center"/>
          </w:tcPr>
          <w:p w14:paraId="6A1917BD">
            <w:pPr>
              <w:pStyle w:val="180"/>
            </w:pPr>
            <w:r>
              <w:rPr>
                <w:rFonts w:hint="eastAsia"/>
              </w:rPr>
              <w:t>评估项目</w:t>
            </w:r>
          </w:p>
        </w:tc>
        <w:tc>
          <w:tcPr>
            <w:tcW w:w="7663" w:type="dxa"/>
            <w:tcBorders>
              <w:top w:val="single" w:color="auto" w:sz="8" w:space="0"/>
              <w:bottom w:val="single" w:color="auto" w:sz="8" w:space="0"/>
            </w:tcBorders>
            <w:shd w:val="clear" w:color="auto" w:fill="auto"/>
            <w:vAlign w:val="center"/>
          </w:tcPr>
          <w:p w14:paraId="10B50BB1">
            <w:pPr>
              <w:pStyle w:val="180"/>
            </w:pPr>
            <w:r>
              <w:rPr>
                <w:rFonts w:hint="eastAsia"/>
              </w:rPr>
              <w:t>评估内容</w:t>
            </w:r>
          </w:p>
        </w:tc>
      </w:tr>
      <w:tr w14:paraId="209045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tcBorders>
              <w:top w:val="single" w:color="auto" w:sz="8" w:space="0"/>
            </w:tcBorders>
            <w:shd w:val="clear" w:color="auto" w:fill="auto"/>
            <w:vAlign w:val="center"/>
          </w:tcPr>
          <w:p w14:paraId="36A107A5">
            <w:pPr>
              <w:pStyle w:val="180"/>
            </w:pPr>
            <w:r>
              <w:rPr>
                <w:rFonts w:hint="eastAsia"/>
              </w:rPr>
              <w:t>位置</w:t>
            </w:r>
          </w:p>
        </w:tc>
        <w:tc>
          <w:tcPr>
            <w:tcW w:w="7663" w:type="dxa"/>
            <w:tcBorders>
              <w:top w:val="single" w:color="auto" w:sz="8" w:space="0"/>
            </w:tcBorders>
            <w:shd w:val="clear" w:color="auto" w:fill="auto"/>
            <w:vAlign w:val="center"/>
          </w:tcPr>
          <w:p w14:paraId="49430097">
            <w:pPr>
              <w:pStyle w:val="180"/>
            </w:pPr>
            <w:r>
              <w:rPr>
                <w:rFonts w:hint="eastAsia"/>
              </w:rPr>
              <w:t>右上腹、右下腹、左上腹、左下腹、上腹部、切口正中、脐部</w:t>
            </w:r>
          </w:p>
        </w:tc>
      </w:tr>
      <w:tr w14:paraId="427282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398231B6">
            <w:pPr>
              <w:pStyle w:val="180"/>
            </w:pPr>
            <w:r>
              <w:rPr>
                <w:rFonts w:hint="eastAsia"/>
              </w:rPr>
              <w:t>类型</w:t>
            </w:r>
          </w:p>
        </w:tc>
        <w:tc>
          <w:tcPr>
            <w:tcW w:w="7663" w:type="dxa"/>
            <w:shd w:val="clear" w:color="auto" w:fill="auto"/>
            <w:vAlign w:val="center"/>
          </w:tcPr>
          <w:p w14:paraId="7C53554D">
            <w:pPr>
              <w:pStyle w:val="180"/>
            </w:pPr>
            <w:r>
              <w:rPr>
                <w:rFonts w:hint="eastAsia"/>
              </w:rPr>
              <w:t>按时间可分为永久性造口和临时造口，按开口可分为单腔造口、双腔造口和袢式造口</w:t>
            </w:r>
          </w:p>
        </w:tc>
      </w:tr>
      <w:tr w14:paraId="5D41AE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1A04E80D">
            <w:pPr>
              <w:pStyle w:val="180"/>
            </w:pPr>
            <w:r>
              <w:rPr>
                <w:rFonts w:hint="eastAsia"/>
              </w:rPr>
              <w:t>颜色</w:t>
            </w:r>
          </w:p>
        </w:tc>
        <w:tc>
          <w:tcPr>
            <w:tcW w:w="7663" w:type="dxa"/>
            <w:shd w:val="clear" w:color="auto" w:fill="auto"/>
            <w:vAlign w:val="center"/>
          </w:tcPr>
          <w:p w14:paraId="2B3B829C">
            <w:pPr>
              <w:pStyle w:val="180"/>
            </w:pPr>
            <w:r>
              <w:rPr>
                <w:rFonts w:hint="eastAsia"/>
              </w:rPr>
              <w:t>正常造口为鲜红色，有光泽且湿润。颜色苍白提示贫血；暗红色或淡紫色提示缺血；黑褐色或黑色提示坏死</w:t>
            </w:r>
          </w:p>
        </w:tc>
      </w:tr>
      <w:tr w14:paraId="6DDD62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6160593F">
            <w:pPr>
              <w:pStyle w:val="180"/>
            </w:pPr>
            <w:r>
              <w:rPr>
                <w:rFonts w:hint="eastAsia"/>
              </w:rPr>
              <w:t>高度</w:t>
            </w:r>
          </w:p>
        </w:tc>
        <w:tc>
          <w:tcPr>
            <w:tcW w:w="7663" w:type="dxa"/>
            <w:shd w:val="clear" w:color="auto" w:fill="auto"/>
            <w:vAlign w:val="center"/>
          </w:tcPr>
          <w:p w14:paraId="1ACFDF7E">
            <w:pPr>
              <w:pStyle w:val="180"/>
            </w:pPr>
            <w:r>
              <w:rPr>
                <w:rFonts w:hint="eastAsia"/>
              </w:rPr>
              <w:t>造口理想高度为1</w:t>
            </w:r>
            <w:r>
              <w:rPr>
                <w:rFonts w:hint="eastAsia"/>
                <w:vertAlign w:val="superscript"/>
              </w:rPr>
              <w:t xml:space="preserve"> </w:t>
            </w:r>
            <w:r>
              <w:rPr>
                <w:rFonts w:hint="eastAsia"/>
              </w:rPr>
              <w:t>cm～2</w:t>
            </w:r>
            <w:r>
              <w:rPr>
                <w:vertAlign w:val="superscript"/>
              </w:rPr>
              <w:t xml:space="preserve"> </w:t>
            </w:r>
            <w:r>
              <w:rPr>
                <w:rFonts w:hint="eastAsia"/>
              </w:rPr>
              <w:t>cm。若造口高度过于平坦或回缩，易引起潮湿相关性皮肤损伤；若突出或脱垂，会造成佩戴困难或造口黏膜出血等并发症</w:t>
            </w:r>
          </w:p>
        </w:tc>
      </w:tr>
      <w:tr w14:paraId="5181B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29D26928">
            <w:pPr>
              <w:pStyle w:val="180"/>
            </w:pPr>
            <w:r>
              <w:rPr>
                <w:rFonts w:hint="eastAsia"/>
              </w:rPr>
              <w:t>形状</w:t>
            </w:r>
          </w:p>
        </w:tc>
        <w:tc>
          <w:tcPr>
            <w:tcW w:w="7663" w:type="dxa"/>
            <w:shd w:val="clear" w:color="auto" w:fill="auto"/>
            <w:vAlign w:val="center"/>
          </w:tcPr>
          <w:p w14:paraId="2C094CAE">
            <w:pPr>
              <w:pStyle w:val="180"/>
            </w:pPr>
            <w:r>
              <w:rPr>
                <w:rFonts w:hint="eastAsia"/>
              </w:rPr>
              <w:t>可为圆形、椭圆形或不规则形</w:t>
            </w:r>
          </w:p>
        </w:tc>
      </w:tr>
      <w:tr w14:paraId="5E63EF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703DA6E1">
            <w:pPr>
              <w:pStyle w:val="180"/>
            </w:pPr>
            <w:r>
              <w:rPr>
                <w:rFonts w:hint="eastAsia"/>
              </w:rPr>
              <w:t>大小</w:t>
            </w:r>
          </w:p>
        </w:tc>
        <w:tc>
          <w:tcPr>
            <w:tcW w:w="7663" w:type="dxa"/>
            <w:shd w:val="clear" w:color="auto" w:fill="auto"/>
            <w:vAlign w:val="center"/>
          </w:tcPr>
          <w:p w14:paraId="38C5035A">
            <w:pPr>
              <w:pStyle w:val="180"/>
            </w:pPr>
            <w:r>
              <w:rPr>
                <w:rFonts w:hint="eastAsia"/>
              </w:rPr>
              <w:t>可用量尺测量造口基底部的宽度。若造口为圆形应测量直径，椭圆形宜测量最宽处和最窄处，不规则的可用图形来表示</w:t>
            </w:r>
          </w:p>
        </w:tc>
      </w:tr>
      <w:tr w14:paraId="340575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4EC22F33">
            <w:pPr>
              <w:pStyle w:val="180"/>
            </w:pPr>
            <w:r>
              <w:rPr>
                <w:rFonts w:hint="eastAsia"/>
              </w:rPr>
              <w:t>造口周围皮肤</w:t>
            </w:r>
          </w:p>
        </w:tc>
        <w:tc>
          <w:tcPr>
            <w:tcW w:w="7663" w:type="dxa"/>
            <w:shd w:val="clear" w:color="auto" w:fill="auto"/>
            <w:vAlign w:val="center"/>
          </w:tcPr>
          <w:p w14:paraId="5F6AA8D8">
            <w:pPr>
              <w:pStyle w:val="180"/>
            </w:pPr>
            <w:r>
              <w:rPr>
                <w:rFonts w:hint="eastAsia"/>
              </w:rPr>
              <w:t>正常造口周围皮肤颜色正常、完整的。若出现皮肤红、肿、破溃、水疱、皮疹等情况，应判断出现造口周围皮肤并发症的类型</w:t>
            </w:r>
          </w:p>
        </w:tc>
      </w:tr>
      <w:tr w14:paraId="4F82E9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11" w:type="dxa"/>
            <w:shd w:val="clear" w:color="auto" w:fill="auto"/>
            <w:vAlign w:val="center"/>
          </w:tcPr>
          <w:p w14:paraId="575BF269">
            <w:pPr>
              <w:pStyle w:val="180"/>
            </w:pPr>
            <w:r>
              <w:rPr>
                <w:rFonts w:hint="eastAsia"/>
              </w:rPr>
              <w:t>造口黏膜与皮肤缝合处</w:t>
            </w:r>
          </w:p>
        </w:tc>
        <w:tc>
          <w:tcPr>
            <w:tcW w:w="7663" w:type="dxa"/>
            <w:shd w:val="clear" w:color="auto" w:fill="auto"/>
            <w:vAlign w:val="center"/>
          </w:tcPr>
          <w:p w14:paraId="4298E1EC">
            <w:pPr>
              <w:pStyle w:val="180"/>
            </w:pPr>
            <w:r>
              <w:rPr>
                <w:rFonts w:hint="eastAsia"/>
              </w:rPr>
              <w:t>观察造口黏膜与皮肤缝合处的缝线有否松脱而导致出血或分离</w:t>
            </w:r>
          </w:p>
        </w:tc>
      </w:tr>
    </w:tbl>
    <w:p w14:paraId="069AC2F5">
      <w:pPr>
        <w:pStyle w:val="58"/>
        <w:ind w:firstLine="420"/>
      </w:pPr>
    </w:p>
    <w:p w14:paraId="4A9043BA">
      <w:pPr>
        <w:pStyle w:val="58"/>
        <w:ind w:firstLine="420"/>
      </w:pPr>
    </w:p>
    <w:p w14:paraId="0E647909">
      <w:pPr>
        <w:pStyle w:val="58"/>
        <w:ind w:firstLine="420"/>
      </w:pPr>
    </w:p>
    <w:p w14:paraId="07D21186">
      <w:pPr>
        <w:pStyle w:val="58"/>
        <w:ind w:firstLine="420"/>
      </w:pPr>
    </w:p>
    <w:p w14:paraId="68B5EBB7">
      <w:pPr>
        <w:pStyle w:val="58"/>
        <w:ind w:firstLine="420"/>
      </w:pPr>
    </w:p>
    <w:p w14:paraId="1F68914C">
      <w:pPr>
        <w:pStyle w:val="58"/>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linePitch="312" w:charSpace="0"/>
        </w:sectPr>
      </w:pPr>
    </w:p>
    <w:p w14:paraId="01BA02E8">
      <w:pPr>
        <w:pStyle w:val="200"/>
        <w:rPr>
          <w:vanish w:val="0"/>
        </w:rPr>
      </w:pPr>
    </w:p>
    <w:p w14:paraId="497C6F43">
      <w:pPr>
        <w:pStyle w:val="201"/>
        <w:rPr>
          <w:vanish w:val="0"/>
        </w:rPr>
      </w:pPr>
    </w:p>
    <w:p w14:paraId="59791782">
      <w:pPr>
        <w:pStyle w:val="78"/>
        <w:spacing w:after="120"/>
      </w:pPr>
      <w:r>
        <w:br w:type="textWrapping"/>
      </w:r>
      <w:r>
        <w:rPr>
          <w:rFonts w:hint="eastAsia"/>
        </w:rPr>
        <w:t>（规范性）</w:t>
      </w:r>
      <w:r>
        <w:br w:type="textWrapping"/>
      </w:r>
      <w:r>
        <w:rPr>
          <w:rFonts w:hint="eastAsia"/>
        </w:rPr>
        <w:t>造口周围身体形态评估工具</w:t>
      </w:r>
    </w:p>
    <w:p w14:paraId="49E23EAF">
      <w:pPr>
        <w:pStyle w:val="58"/>
        <w:ind w:firstLine="420"/>
      </w:pPr>
      <w:r>
        <w:rPr>
          <w:rFonts w:hint="eastAsia"/>
        </w:rPr>
        <w:t>造口周围身体形态评估工具见表</w:t>
      </w:r>
      <w:r>
        <w:t>B.1</w:t>
      </w:r>
      <w:r>
        <w:rPr>
          <w:rFonts w:hint="eastAsia"/>
        </w:rPr>
        <w:t>。</w:t>
      </w:r>
    </w:p>
    <w:p w14:paraId="2BD2B4F8">
      <w:pPr>
        <w:pStyle w:val="79"/>
        <w:spacing w:before="120" w:after="120"/>
        <w:ind w:firstLine="420"/>
      </w:pPr>
      <w:r>
        <w:rPr>
          <w:rFonts w:hint="eastAsia"/>
        </w:rPr>
        <w:t>造口周围身体形态评估工具</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977"/>
        <w:gridCol w:w="4642"/>
      </w:tblGrid>
      <w:tr w14:paraId="6A647E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8" w:space="0"/>
              <w:bottom w:val="single" w:color="auto" w:sz="8" w:space="0"/>
            </w:tcBorders>
            <w:shd w:val="clear" w:color="auto" w:fill="auto"/>
            <w:vAlign w:val="center"/>
          </w:tcPr>
          <w:p w14:paraId="24D28DEB">
            <w:pPr>
              <w:pStyle w:val="58"/>
              <w:ind w:firstLine="0" w:firstLineChars="0"/>
              <w:jc w:val="center"/>
              <w:rPr>
                <w:sz w:val="18"/>
                <w:szCs w:val="18"/>
              </w:rPr>
            </w:pPr>
            <w:bookmarkStart w:id="87" w:name="_Hlk186017199"/>
            <w:r>
              <w:rPr>
                <w:rFonts w:hint="eastAsia"/>
                <w:sz w:val="18"/>
                <w:szCs w:val="18"/>
              </w:rPr>
              <w:t>造口周围身体形态</w:t>
            </w:r>
          </w:p>
        </w:tc>
        <w:tc>
          <w:tcPr>
            <w:tcW w:w="2977" w:type="dxa"/>
            <w:tcBorders>
              <w:top w:val="single" w:color="auto" w:sz="8" w:space="0"/>
              <w:bottom w:val="single" w:color="auto" w:sz="8" w:space="0"/>
            </w:tcBorders>
            <w:shd w:val="clear" w:color="auto" w:fill="auto"/>
            <w:vAlign w:val="center"/>
          </w:tcPr>
          <w:p w14:paraId="238EBEEA">
            <w:pPr>
              <w:pStyle w:val="58"/>
              <w:ind w:firstLine="0" w:firstLineChars="0"/>
              <w:jc w:val="center"/>
              <w:rPr>
                <w:sz w:val="18"/>
                <w:szCs w:val="18"/>
              </w:rPr>
            </w:pPr>
            <w:r>
              <w:rPr>
                <w:rFonts w:hint="eastAsia"/>
                <w:sz w:val="18"/>
                <w:szCs w:val="18"/>
              </w:rPr>
              <w:t>分类</w:t>
            </w:r>
          </w:p>
        </w:tc>
        <w:tc>
          <w:tcPr>
            <w:tcW w:w="4642" w:type="dxa"/>
            <w:tcBorders>
              <w:top w:val="single" w:color="auto" w:sz="8" w:space="0"/>
              <w:bottom w:val="single" w:color="auto" w:sz="8" w:space="0"/>
            </w:tcBorders>
            <w:shd w:val="clear" w:color="auto" w:fill="auto"/>
            <w:vAlign w:val="center"/>
          </w:tcPr>
          <w:p w14:paraId="1A117848">
            <w:pPr>
              <w:pStyle w:val="58"/>
              <w:ind w:firstLine="0" w:firstLineChars="0"/>
              <w:jc w:val="center"/>
              <w:rPr>
                <w:sz w:val="18"/>
                <w:szCs w:val="18"/>
              </w:rPr>
            </w:pPr>
            <w:r>
              <w:rPr>
                <w:rFonts w:hint="eastAsia"/>
                <w:sz w:val="18"/>
                <w:szCs w:val="18"/>
              </w:rPr>
              <w:t>指导意见</w:t>
            </w:r>
          </w:p>
        </w:tc>
      </w:tr>
      <w:tr w14:paraId="21C287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951" w:type="dxa"/>
            <w:vMerge w:val="restart"/>
            <w:tcBorders>
              <w:top w:val="single" w:color="auto" w:sz="8" w:space="0"/>
            </w:tcBorders>
            <w:shd w:val="clear" w:color="auto" w:fill="auto"/>
            <w:vAlign w:val="center"/>
          </w:tcPr>
          <w:p w14:paraId="00D5E431">
            <w:pPr>
              <w:pStyle w:val="58"/>
              <w:ind w:firstLine="0" w:firstLineChars="0"/>
              <w:jc w:val="center"/>
              <w:rPr>
                <w:sz w:val="18"/>
                <w:szCs w:val="18"/>
              </w:rPr>
            </w:pPr>
            <w:r>
              <w:rPr>
                <w:rFonts w:hint="eastAsia"/>
                <w:sz w:val="18"/>
                <w:szCs w:val="18"/>
              </w:rPr>
              <w:t>造口周围皮肤高度</w:t>
            </w:r>
          </w:p>
        </w:tc>
        <w:tc>
          <w:tcPr>
            <w:tcW w:w="2977" w:type="dxa"/>
            <w:tcBorders>
              <w:top w:val="single" w:color="auto" w:sz="8" w:space="0"/>
            </w:tcBorders>
            <w:shd w:val="clear" w:color="auto" w:fill="auto"/>
            <w:vAlign w:val="center"/>
          </w:tcPr>
          <w:p w14:paraId="67BEF541">
            <w:pPr>
              <w:pStyle w:val="58"/>
              <w:ind w:firstLine="0" w:firstLineChars="0"/>
              <w:rPr>
                <w:sz w:val="18"/>
                <w:szCs w:val="18"/>
              </w:rPr>
            </w:pPr>
            <w:r>
              <w:rPr>
                <w:rFonts w:hint="eastAsia"/>
                <w:sz w:val="18"/>
                <w:szCs w:val="18"/>
              </w:rPr>
              <w:t>平坦:造口周围组织与腹部其他部位相平</w:t>
            </w:r>
          </w:p>
        </w:tc>
        <w:tc>
          <w:tcPr>
            <w:tcW w:w="4642" w:type="dxa"/>
            <w:tcBorders>
              <w:top w:val="single" w:color="auto" w:sz="8" w:space="0"/>
            </w:tcBorders>
            <w:shd w:val="clear" w:color="auto" w:fill="auto"/>
            <w:vAlign w:val="center"/>
          </w:tcPr>
          <w:p w14:paraId="7113C9DC">
            <w:pPr>
              <w:pStyle w:val="58"/>
              <w:ind w:firstLine="0" w:firstLineChars="0"/>
              <w:rPr>
                <w:sz w:val="18"/>
                <w:szCs w:val="18"/>
              </w:rPr>
            </w:pPr>
            <w:r>
              <w:rPr>
                <w:rFonts w:hint="eastAsia"/>
                <w:sz w:val="18"/>
                <w:szCs w:val="18"/>
              </w:rPr>
              <w:t>可选用任何造口底盘</w:t>
            </w:r>
          </w:p>
        </w:tc>
      </w:tr>
      <w:tr w14:paraId="41F554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951" w:type="dxa"/>
            <w:vMerge w:val="continue"/>
            <w:shd w:val="clear" w:color="auto" w:fill="auto"/>
            <w:vAlign w:val="center"/>
          </w:tcPr>
          <w:p w14:paraId="1F2514D0">
            <w:pPr>
              <w:pStyle w:val="58"/>
              <w:ind w:firstLine="0" w:firstLineChars="0"/>
              <w:jc w:val="center"/>
              <w:rPr>
                <w:sz w:val="18"/>
                <w:szCs w:val="18"/>
              </w:rPr>
            </w:pPr>
          </w:p>
        </w:tc>
        <w:tc>
          <w:tcPr>
            <w:tcW w:w="2977" w:type="dxa"/>
            <w:shd w:val="clear" w:color="auto" w:fill="auto"/>
            <w:vAlign w:val="center"/>
          </w:tcPr>
          <w:p w14:paraId="425B11E7">
            <w:pPr>
              <w:pStyle w:val="58"/>
              <w:ind w:firstLine="0" w:firstLineChars="0"/>
              <w:rPr>
                <w:sz w:val="18"/>
                <w:szCs w:val="18"/>
              </w:rPr>
            </w:pPr>
            <w:r>
              <w:rPr>
                <w:rFonts w:hint="eastAsia"/>
                <w:sz w:val="18"/>
                <w:szCs w:val="18"/>
              </w:rPr>
              <w:t>隆起:造口周围组织高于腹部其他部位</w:t>
            </w:r>
          </w:p>
        </w:tc>
        <w:tc>
          <w:tcPr>
            <w:tcW w:w="4642" w:type="dxa"/>
            <w:shd w:val="clear" w:color="auto" w:fill="auto"/>
            <w:vAlign w:val="center"/>
          </w:tcPr>
          <w:p w14:paraId="1A75FF02">
            <w:pPr>
              <w:pStyle w:val="58"/>
              <w:ind w:firstLine="0" w:firstLineChars="0"/>
              <w:rPr>
                <w:sz w:val="18"/>
                <w:szCs w:val="18"/>
              </w:rPr>
            </w:pPr>
            <w:r>
              <w:rPr>
                <w:rFonts w:hint="eastAsia"/>
                <w:sz w:val="18"/>
                <w:szCs w:val="18"/>
              </w:rPr>
              <w:t>选用底盘柔软、顺应性好的一件式造口袋</w:t>
            </w:r>
          </w:p>
        </w:tc>
      </w:tr>
      <w:tr w14:paraId="1CB6CB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951" w:type="dxa"/>
            <w:vMerge w:val="continue"/>
            <w:shd w:val="clear" w:color="auto" w:fill="auto"/>
            <w:vAlign w:val="center"/>
          </w:tcPr>
          <w:p w14:paraId="1AF93BDF">
            <w:pPr>
              <w:pStyle w:val="58"/>
              <w:ind w:firstLine="0" w:firstLineChars="0"/>
              <w:jc w:val="center"/>
              <w:rPr>
                <w:sz w:val="18"/>
                <w:szCs w:val="18"/>
              </w:rPr>
            </w:pPr>
          </w:p>
        </w:tc>
        <w:tc>
          <w:tcPr>
            <w:tcW w:w="2977" w:type="dxa"/>
            <w:shd w:val="clear" w:color="auto" w:fill="auto"/>
            <w:vAlign w:val="center"/>
          </w:tcPr>
          <w:p w14:paraId="64385AD3">
            <w:pPr>
              <w:pStyle w:val="58"/>
              <w:ind w:firstLine="0" w:firstLineChars="0"/>
              <w:rPr>
                <w:sz w:val="18"/>
                <w:szCs w:val="18"/>
              </w:rPr>
            </w:pPr>
            <w:r>
              <w:rPr>
                <w:rFonts w:hint="eastAsia"/>
                <w:sz w:val="18"/>
                <w:szCs w:val="18"/>
              </w:rPr>
              <w:t>凹陷:造口周围组织低于腹部其他部位</w:t>
            </w:r>
          </w:p>
        </w:tc>
        <w:tc>
          <w:tcPr>
            <w:tcW w:w="4642" w:type="dxa"/>
            <w:shd w:val="clear" w:color="auto" w:fill="auto"/>
            <w:vAlign w:val="center"/>
          </w:tcPr>
          <w:p w14:paraId="28ED4054">
            <w:pPr>
              <w:pStyle w:val="58"/>
              <w:ind w:firstLine="0" w:firstLineChars="0"/>
              <w:rPr>
                <w:sz w:val="18"/>
                <w:szCs w:val="18"/>
              </w:rPr>
            </w:pPr>
            <w:r>
              <w:rPr>
                <w:rFonts w:hint="eastAsia"/>
                <w:sz w:val="18"/>
                <w:szCs w:val="18"/>
              </w:rPr>
              <w:t>选用二件式凸面底盘+造口腰带固定，凹陷处使用防漏膏或防漏条</w:t>
            </w:r>
          </w:p>
        </w:tc>
      </w:tr>
      <w:tr w14:paraId="056A0D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51" w:type="dxa"/>
            <w:vMerge w:val="restart"/>
            <w:shd w:val="clear" w:color="auto" w:fill="auto"/>
            <w:vAlign w:val="center"/>
          </w:tcPr>
          <w:p w14:paraId="77E9A224">
            <w:pPr>
              <w:pStyle w:val="58"/>
              <w:ind w:firstLine="0" w:firstLineChars="0"/>
              <w:jc w:val="center"/>
              <w:rPr>
                <w:sz w:val="18"/>
                <w:szCs w:val="18"/>
              </w:rPr>
            </w:pPr>
            <w:r>
              <w:rPr>
                <w:rFonts w:hint="eastAsia"/>
                <w:sz w:val="18"/>
                <w:szCs w:val="18"/>
              </w:rPr>
              <w:t>造口周围组织形态</w:t>
            </w:r>
          </w:p>
        </w:tc>
        <w:tc>
          <w:tcPr>
            <w:tcW w:w="2977" w:type="dxa"/>
            <w:shd w:val="clear" w:color="auto" w:fill="auto"/>
            <w:vAlign w:val="center"/>
          </w:tcPr>
          <w:p w14:paraId="2AC57548">
            <w:pPr>
              <w:pStyle w:val="58"/>
              <w:ind w:firstLine="0" w:firstLineChars="0"/>
              <w:rPr>
                <w:sz w:val="18"/>
                <w:szCs w:val="18"/>
              </w:rPr>
            </w:pPr>
            <w:r>
              <w:rPr>
                <w:rFonts w:hint="eastAsia"/>
                <w:sz w:val="18"/>
                <w:szCs w:val="18"/>
              </w:rPr>
              <w:t>规则:造口周围组织形态规则</w:t>
            </w:r>
          </w:p>
        </w:tc>
        <w:tc>
          <w:tcPr>
            <w:tcW w:w="4642" w:type="dxa"/>
            <w:shd w:val="clear" w:color="auto" w:fill="auto"/>
            <w:vAlign w:val="center"/>
          </w:tcPr>
          <w:p w14:paraId="784FBFEF">
            <w:pPr>
              <w:pStyle w:val="58"/>
              <w:ind w:firstLine="0" w:firstLineChars="0"/>
              <w:rPr>
                <w:sz w:val="18"/>
                <w:szCs w:val="18"/>
              </w:rPr>
            </w:pPr>
            <w:r>
              <w:rPr>
                <w:rFonts w:hint="eastAsia"/>
                <w:sz w:val="18"/>
                <w:szCs w:val="18"/>
              </w:rPr>
              <w:t>可选用任何造口底盘</w:t>
            </w:r>
          </w:p>
        </w:tc>
      </w:tr>
      <w:tr w14:paraId="13B453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1000" w:hRule="atLeast"/>
        </w:trPr>
        <w:tc>
          <w:tcPr>
            <w:tcW w:w="1951" w:type="dxa"/>
            <w:vMerge w:val="continue"/>
            <w:shd w:val="clear" w:color="auto" w:fill="auto"/>
            <w:vAlign w:val="center"/>
          </w:tcPr>
          <w:p w14:paraId="383F4314">
            <w:pPr>
              <w:pStyle w:val="58"/>
              <w:ind w:firstLine="0" w:firstLineChars="0"/>
              <w:jc w:val="center"/>
              <w:rPr>
                <w:sz w:val="18"/>
                <w:szCs w:val="18"/>
              </w:rPr>
            </w:pPr>
          </w:p>
        </w:tc>
        <w:tc>
          <w:tcPr>
            <w:tcW w:w="2977" w:type="dxa"/>
            <w:shd w:val="clear" w:color="auto" w:fill="auto"/>
            <w:vAlign w:val="center"/>
          </w:tcPr>
          <w:p w14:paraId="44149BB7">
            <w:pPr>
              <w:pStyle w:val="58"/>
              <w:ind w:firstLine="0" w:firstLineChars="0"/>
              <w:rPr>
                <w:sz w:val="18"/>
                <w:szCs w:val="18"/>
              </w:rPr>
            </w:pPr>
            <w:r>
              <w:rPr>
                <w:rFonts w:hint="eastAsia"/>
                <w:sz w:val="18"/>
                <w:szCs w:val="18"/>
              </w:rPr>
              <w:t>不规则:造口周围皮肤存在瘢痕、皱褶、松弛下垂、表皮破损、过敏、丘疹、红肿增生、浸渍和疼痛等1种或1种以上情况</w:t>
            </w:r>
          </w:p>
        </w:tc>
        <w:tc>
          <w:tcPr>
            <w:tcW w:w="4642" w:type="dxa"/>
            <w:shd w:val="clear" w:color="auto" w:fill="auto"/>
            <w:vAlign w:val="center"/>
          </w:tcPr>
          <w:p w14:paraId="140C75EA">
            <w:pPr>
              <w:pStyle w:val="58"/>
              <w:ind w:firstLine="0" w:firstLineChars="0"/>
              <w:rPr>
                <w:sz w:val="18"/>
                <w:szCs w:val="18"/>
              </w:rPr>
            </w:pPr>
            <w:r>
              <w:rPr>
                <w:rFonts w:hint="eastAsia"/>
                <w:sz w:val="18"/>
                <w:szCs w:val="18"/>
              </w:rPr>
              <w:t>避免使用导致过敏的造口用品或附件;选择微凸或凸面底盘造口袋,根据造口周围皮肤不规则情况选择使用造口护肤粉、防漏膏、皮肤保护膜、水胶体敷料等保护皮肤后再粘贴造口底盘</w:t>
            </w:r>
          </w:p>
        </w:tc>
      </w:tr>
      <w:tr w14:paraId="189C7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51" w:type="dxa"/>
            <w:vMerge w:val="restart"/>
            <w:shd w:val="clear" w:color="auto" w:fill="auto"/>
            <w:vAlign w:val="center"/>
          </w:tcPr>
          <w:p w14:paraId="389004C7">
            <w:pPr>
              <w:pStyle w:val="58"/>
              <w:ind w:firstLine="0" w:firstLineChars="0"/>
              <w:jc w:val="center"/>
              <w:rPr>
                <w:sz w:val="18"/>
                <w:szCs w:val="18"/>
              </w:rPr>
            </w:pPr>
            <w:r>
              <w:rPr>
                <w:rFonts w:hint="eastAsia"/>
                <w:sz w:val="18"/>
                <w:szCs w:val="18"/>
              </w:rPr>
              <w:t>造口位置</w:t>
            </w:r>
          </w:p>
        </w:tc>
        <w:tc>
          <w:tcPr>
            <w:tcW w:w="2977" w:type="dxa"/>
            <w:shd w:val="clear" w:color="auto" w:fill="auto"/>
            <w:vAlign w:val="center"/>
          </w:tcPr>
          <w:p w14:paraId="7C15E8BE">
            <w:pPr>
              <w:pStyle w:val="58"/>
              <w:ind w:firstLine="0" w:firstLineChars="0"/>
              <w:rPr>
                <w:sz w:val="18"/>
                <w:szCs w:val="18"/>
              </w:rPr>
            </w:pPr>
            <w:r>
              <w:rPr>
                <w:rFonts w:hint="eastAsia"/>
                <w:sz w:val="18"/>
                <w:szCs w:val="18"/>
              </w:rPr>
              <w:t>在腰线以上</w:t>
            </w:r>
          </w:p>
        </w:tc>
        <w:tc>
          <w:tcPr>
            <w:tcW w:w="4642" w:type="dxa"/>
            <w:shd w:val="clear" w:color="auto" w:fill="auto"/>
            <w:vAlign w:val="center"/>
          </w:tcPr>
          <w:p w14:paraId="40372C93">
            <w:pPr>
              <w:pStyle w:val="58"/>
              <w:ind w:firstLine="0" w:firstLineChars="0"/>
              <w:rPr>
                <w:sz w:val="18"/>
                <w:szCs w:val="18"/>
              </w:rPr>
            </w:pPr>
            <w:r>
              <w:rPr>
                <w:rFonts w:hint="eastAsia"/>
                <w:sz w:val="18"/>
                <w:szCs w:val="18"/>
              </w:rPr>
              <w:t>选择底盘柔软、顺应性好的一件式或二件式造口袋,对底盘四周间断剪口,增加造口底盘对皮肤的顺应性</w:t>
            </w:r>
          </w:p>
        </w:tc>
      </w:tr>
      <w:tr w14:paraId="08B3F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1951" w:type="dxa"/>
            <w:vMerge w:val="continue"/>
            <w:shd w:val="clear" w:color="auto" w:fill="auto"/>
            <w:vAlign w:val="center"/>
          </w:tcPr>
          <w:p w14:paraId="0E3665F0">
            <w:pPr>
              <w:pStyle w:val="58"/>
              <w:ind w:firstLine="0" w:firstLineChars="0"/>
              <w:jc w:val="center"/>
              <w:rPr>
                <w:sz w:val="18"/>
                <w:szCs w:val="18"/>
              </w:rPr>
            </w:pPr>
          </w:p>
        </w:tc>
        <w:tc>
          <w:tcPr>
            <w:tcW w:w="2977" w:type="dxa"/>
            <w:shd w:val="clear" w:color="auto" w:fill="auto"/>
            <w:vAlign w:val="center"/>
          </w:tcPr>
          <w:p w14:paraId="6D2DB47C">
            <w:pPr>
              <w:pStyle w:val="58"/>
              <w:ind w:firstLine="0" w:firstLineChars="0"/>
              <w:rPr>
                <w:sz w:val="18"/>
                <w:szCs w:val="18"/>
              </w:rPr>
            </w:pPr>
            <w:r>
              <w:rPr>
                <w:rFonts w:hint="eastAsia"/>
                <w:sz w:val="18"/>
                <w:szCs w:val="18"/>
              </w:rPr>
              <w:t>在腰线处</w:t>
            </w:r>
          </w:p>
        </w:tc>
        <w:tc>
          <w:tcPr>
            <w:tcW w:w="4642" w:type="dxa"/>
            <w:shd w:val="clear" w:color="auto" w:fill="auto"/>
            <w:vAlign w:val="center"/>
          </w:tcPr>
          <w:p w14:paraId="55712321">
            <w:pPr>
              <w:pStyle w:val="58"/>
              <w:ind w:firstLine="0" w:firstLineChars="0"/>
              <w:rPr>
                <w:sz w:val="18"/>
                <w:szCs w:val="18"/>
              </w:rPr>
            </w:pPr>
            <w:r>
              <w:rPr>
                <w:rFonts w:hint="eastAsia"/>
                <w:sz w:val="18"/>
                <w:szCs w:val="18"/>
              </w:rPr>
              <w:t>选择底盘柔软、顺应性好的一件式或二件式造口袋,对底盘四周间断剪口,增加造口底盘对皮肤的顺应性</w:t>
            </w:r>
          </w:p>
        </w:tc>
      </w:tr>
      <w:tr w14:paraId="59E0BC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51" w:type="dxa"/>
            <w:vMerge w:val="continue"/>
            <w:shd w:val="clear" w:color="auto" w:fill="auto"/>
            <w:vAlign w:val="center"/>
          </w:tcPr>
          <w:p w14:paraId="169B0FBA">
            <w:pPr>
              <w:pStyle w:val="58"/>
              <w:ind w:firstLine="0" w:firstLineChars="0"/>
              <w:jc w:val="center"/>
              <w:rPr>
                <w:sz w:val="18"/>
                <w:szCs w:val="18"/>
              </w:rPr>
            </w:pPr>
          </w:p>
        </w:tc>
        <w:tc>
          <w:tcPr>
            <w:tcW w:w="2977" w:type="dxa"/>
            <w:shd w:val="clear" w:color="auto" w:fill="auto"/>
            <w:vAlign w:val="center"/>
          </w:tcPr>
          <w:p w14:paraId="4893A3A6">
            <w:pPr>
              <w:pStyle w:val="58"/>
              <w:ind w:firstLine="0" w:firstLineChars="0"/>
              <w:rPr>
                <w:sz w:val="18"/>
                <w:szCs w:val="18"/>
              </w:rPr>
            </w:pPr>
            <w:r>
              <w:rPr>
                <w:rFonts w:hint="eastAsia"/>
                <w:sz w:val="18"/>
                <w:szCs w:val="18"/>
              </w:rPr>
              <w:t>在腰线以下</w:t>
            </w:r>
          </w:p>
        </w:tc>
        <w:tc>
          <w:tcPr>
            <w:tcW w:w="4642" w:type="dxa"/>
            <w:shd w:val="clear" w:color="auto" w:fill="auto"/>
            <w:vAlign w:val="center"/>
          </w:tcPr>
          <w:p w14:paraId="3BC41704">
            <w:pPr>
              <w:pStyle w:val="58"/>
              <w:ind w:firstLine="0" w:firstLineChars="0"/>
              <w:rPr>
                <w:sz w:val="18"/>
                <w:szCs w:val="18"/>
              </w:rPr>
            </w:pPr>
            <w:r>
              <w:rPr>
                <w:rFonts w:hint="eastAsia"/>
                <w:sz w:val="18"/>
                <w:szCs w:val="18"/>
              </w:rPr>
              <w:t>可选用任何底盘</w:t>
            </w:r>
          </w:p>
        </w:tc>
      </w:tr>
      <w:tr w14:paraId="654F34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 w:hRule="atLeast"/>
        </w:trPr>
        <w:tc>
          <w:tcPr>
            <w:tcW w:w="1951" w:type="dxa"/>
            <w:vMerge w:val="restart"/>
            <w:shd w:val="clear" w:color="auto" w:fill="auto"/>
            <w:vAlign w:val="center"/>
          </w:tcPr>
          <w:p w14:paraId="4ED2E152">
            <w:pPr>
              <w:pStyle w:val="58"/>
              <w:ind w:firstLine="0" w:firstLineChars="0"/>
              <w:jc w:val="center"/>
              <w:rPr>
                <w:sz w:val="18"/>
                <w:szCs w:val="18"/>
              </w:rPr>
            </w:pPr>
            <w:r>
              <w:rPr>
                <w:rFonts w:hint="eastAsia"/>
                <w:sz w:val="18"/>
                <w:szCs w:val="18"/>
              </w:rPr>
              <w:t>造口高度</w:t>
            </w:r>
          </w:p>
        </w:tc>
        <w:tc>
          <w:tcPr>
            <w:tcW w:w="2977" w:type="dxa"/>
            <w:shd w:val="clear" w:color="auto" w:fill="auto"/>
            <w:vAlign w:val="center"/>
          </w:tcPr>
          <w:p w14:paraId="334179CD">
            <w:pPr>
              <w:pStyle w:val="58"/>
              <w:ind w:firstLine="0" w:firstLineChars="0"/>
              <w:rPr>
                <w:sz w:val="18"/>
                <w:szCs w:val="18"/>
              </w:rPr>
            </w:pPr>
            <w:r>
              <w:rPr>
                <w:rFonts w:hint="eastAsia"/>
                <w:sz w:val="18"/>
                <w:szCs w:val="18"/>
              </w:rPr>
              <w:t>造口高于周围皮肤表面</w:t>
            </w:r>
          </w:p>
        </w:tc>
        <w:tc>
          <w:tcPr>
            <w:tcW w:w="4642" w:type="dxa"/>
            <w:shd w:val="clear" w:color="auto" w:fill="auto"/>
            <w:vAlign w:val="center"/>
          </w:tcPr>
          <w:p w14:paraId="4512FFB4">
            <w:pPr>
              <w:pStyle w:val="58"/>
              <w:ind w:firstLine="0" w:firstLineChars="0"/>
              <w:rPr>
                <w:sz w:val="18"/>
                <w:szCs w:val="18"/>
              </w:rPr>
            </w:pPr>
            <w:r>
              <w:rPr>
                <w:rFonts w:hint="eastAsia"/>
                <w:sz w:val="18"/>
                <w:szCs w:val="18"/>
              </w:rPr>
              <w:t>可选用任何底盘</w:t>
            </w:r>
          </w:p>
        </w:tc>
      </w:tr>
      <w:tr w14:paraId="1B8754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951" w:type="dxa"/>
            <w:vMerge w:val="continue"/>
            <w:shd w:val="clear" w:color="auto" w:fill="auto"/>
          </w:tcPr>
          <w:p w14:paraId="3237D3D1">
            <w:pPr>
              <w:pStyle w:val="58"/>
              <w:ind w:firstLine="0" w:firstLineChars="0"/>
              <w:rPr>
                <w:sz w:val="18"/>
                <w:szCs w:val="18"/>
              </w:rPr>
            </w:pPr>
          </w:p>
        </w:tc>
        <w:tc>
          <w:tcPr>
            <w:tcW w:w="2977" w:type="dxa"/>
            <w:shd w:val="clear" w:color="auto" w:fill="auto"/>
            <w:vAlign w:val="center"/>
          </w:tcPr>
          <w:p w14:paraId="19BA4DCF">
            <w:pPr>
              <w:pStyle w:val="58"/>
              <w:ind w:firstLine="0" w:firstLineChars="0"/>
              <w:rPr>
                <w:sz w:val="18"/>
                <w:szCs w:val="18"/>
              </w:rPr>
            </w:pPr>
            <w:r>
              <w:rPr>
                <w:rFonts w:hint="eastAsia"/>
                <w:sz w:val="18"/>
                <w:szCs w:val="18"/>
              </w:rPr>
              <w:t>造口与周围皮肤表面平齐</w:t>
            </w:r>
          </w:p>
        </w:tc>
        <w:tc>
          <w:tcPr>
            <w:tcW w:w="4642" w:type="dxa"/>
            <w:shd w:val="clear" w:color="auto" w:fill="auto"/>
            <w:vAlign w:val="center"/>
          </w:tcPr>
          <w:p w14:paraId="196A7123">
            <w:pPr>
              <w:pStyle w:val="58"/>
              <w:ind w:firstLine="0" w:firstLineChars="0"/>
              <w:rPr>
                <w:sz w:val="18"/>
                <w:szCs w:val="18"/>
              </w:rPr>
            </w:pPr>
            <w:r>
              <w:rPr>
                <w:rFonts w:hint="eastAsia"/>
                <w:sz w:val="18"/>
                <w:szCs w:val="18"/>
              </w:rPr>
              <w:t>选择二件式微凸底盘加腰带,同时使用造口护肤粉、皮肤保护膜、防漏膏等造口护理用品</w:t>
            </w:r>
          </w:p>
        </w:tc>
      </w:tr>
      <w:tr w14:paraId="260B52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951" w:type="dxa"/>
            <w:vMerge w:val="continue"/>
            <w:shd w:val="clear" w:color="auto" w:fill="auto"/>
          </w:tcPr>
          <w:p w14:paraId="425A3B14">
            <w:pPr>
              <w:pStyle w:val="58"/>
              <w:ind w:firstLine="0" w:firstLineChars="0"/>
              <w:rPr>
                <w:sz w:val="18"/>
                <w:szCs w:val="18"/>
              </w:rPr>
            </w:pPr>
          </w:p>
        </w:tc>
        <w:tc>
          <w:tcPr>
            <w:tcW w:w="2977" w:type="dxa"/>
            <w:shd w:val="clear" w:color="auto" w:fill="auto"/>
            <w:vAlign w:val="center"/>
          </w:tcPr>
          <w:p w14:paraId="0D38CFF3">
            <w:pPr>
              <w:pStyle w:val="58"/>
              <w:ind w:firstLine="0" w:firstLineChars="0"/>
              <w:rPr>
                <w:sz w:val="18"/>
                <w:szCs w:val="18"/>
              </w:rPr>
            </w:pPr>
            <w:r>
              <w:rPr>
                <w:rFonts w:hint="eastAsia"/>
                <w:sz w:val="18"/>
                <w:szCs w:val="18"/>
              </w:rPr>
              <w:t>造口回缩于周围皮肤表面之下</w:t>
            </w:r>
          </w:p>
        </w:tc>
        <w:tc>
          <w:tcPr>
            <w:tcW w:w="4642" w:type="dxa"/>
            <w:shd w:val="clear" w:color="auto" w:fill="auto"/>
            <w:vAlign w:val="center"/>
          </w:tcPr>
          <w:p w14:paraId="3C930AFD">
            <w:pPr>
              <w:pStyle w:val="58"/>
              <w:ind w:firstLine="0" w:firstLineChars="0"/>
              <w:rPr>
                <w:sz w:val="18"/>
                <w:szCs w:val="18"/>
              </w:rPr>
            </w:pPr>
            <w:r>
              <w:rPr>
                <w:rFonts w:hint="eastAsia"/>
                <w:sz w:val="18"/>
                <w:szCs w:val="18"/>
              </w:rPr>
              <w:t>选择二件式凸面底盘造口腰带固定,同时使用造口护肤粉、皮肤保护膜、防漏膏等造口护理用品</w:t>
            </w:r>
          </w:p>
        </w:tc>
      </w:tr>
      <w:bookmarkEnd w:id="87"/>
    </w:tbl>
    <w:p w14:paraId="76E2FF82">
      <w:pPr>
        <w:pStyle w:val="58"/>
        <w:ind w:firstLine="420"/>
      </w:pPr>
    </w:p>
    <w:p w14:paraId="74A47E70">
      <w:pPr>
        <w:pStyle w:val="58"/>
        <w:ind w:firstLine="420"/>
      </w:pPr>
    </w:p>
    <w:p w14:paraId="067C2D9D">
      <w:pPr>
        <w:pStyle w:val="58"/>
        <w:ind w:firstLine="420"/>
      </w:pPr>
    </w:p>
    <w:p w14:paraId="565CB9F9">
      <w:pPr>
        <w:pStyle w:val="58"/>
        <w:ind w:firstLine="420"/>
      </w:pPr>
    </w:p>
    <w:p w14:paraId="25F3E506">
      <w:pPr>
        <w:pStyle w:val="58"/>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linePitch="312" w:charSpace="0"/>
        </w:sectPr>
      </w:pPr>
    </w:p>
    <w:p w14:paraId="67994651">
      <w:pPr>
        <w:pStyle w:val="200"/>
        <w:rPr>
          <w:vanish w:val="0"/>
        </w:rPr>
      </w:pPr>
    </w:p>
    <w:p w14:paraId="4E19D2DE">
      <w:pPr>
        <w:pStyle w:val="201"/>
        <w:rPr>
          <w:vanish w:val="0"/>
        </w:rPr>
      </w:pPr>
    </w:p>
    <w:p w14:paraId="1B78305A">
      <w:pPr>
        <w:pStyle w:val="78"/>
        <w:spacing w:after="120"/>
      </w:pPr>
      <w:r>
        <w:br w:type="textWrapping"/>
      </w:r>
      <w:r>
        <w:rPr>
          <w:rFonts w:hint="eastAsia"/>
        </w:rPr>
        <w:t>（规范性）</w:t>
      </w:r>
      <w:r>
        <w:br w:type="textWrapping"/>
      </w:r>
      <w:r>
        <w:rPr>
          <w:rFonts w:hint="eastAsia"/>
        </w:rPr>
        <w:t>营养风险筛查评估表</w:t>
      </w:r>
    </w:p>
    <w:p w14:paraId="5E9218BD">
      <w:pPr>
        <w:pStyle w:val="58"/>
        <w:ind w:firstLine="420"/>
      </w:pPr>
      <w:r>
        <w:rPr>
          <w:rFonts w:hint="eastAsia"/>
        </w:rPr>
        <w:t>营养风险筛查评估表（NRS</w:t>
      </w:r>
      <w:r>
        <w:t>-2002</w:t>
      </w:r>
      <w:r>
        <w:rPr>
          <w:rFonts w:hint="eastAsia"/>
        </w:rPr>
        <w:t>）见表C</w:t>
      </w:r>
      <w:r>
        <w:t>.1</w:t>
      </w:r>
      <w:r>
        <w:rPr>
          <w:rFonts w:hint="eastAsia"/>
        </w:rPr>
        <w:t>。</w:t>
      </w:r>
    </w:p>
    <w:p w14:paraId="2B06EA24">
      <w:pPr>
        <w:pStyle w:val="79"/>
        <w:spacing w:before="120" w:after="120"/>
        <w:ind w:firstLine="420"/>
      </w:pPr>
      <w:r>
        <w:rPr>
          <w:rFonts w:hint="eastAsia"/>
        </w:rPr>
        <w:t>营养风险筛查评估表（NRS</w:t>
      </w:r>
      <w:r>
        <w:t>-2002</w:t>
      </w:r>
      <w:r>
        <w:rPr>
          <w:rFonts w:hint="eastAsia"/>
        </w:rPr>
        <w:t>）</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5"/>
        <w:gridCol w:w="2341"/>
        <w:gridCol w:w="2346"/>
        <w:gridCol w:w="2342"/>
      </w:tblGrid>
      <w:tr w14:paraId="0D4969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74" w:type="dxa"/>
            <w:gridSpan w:val="4"/>
            <w:tcBorders>
              <w:top w:val="single" w:color="auto" w:sz="8" w:space="0"/>
              <w:bottom w:val="single" w:color="auto" w:sz="8" w:space="0"/>
            </w:tcBorders>
            <w:shd w:val="clear" w:color="auto" w:fill="auto"/>
            <w:vAlign w:val="center"/>
          </w:tcPr>
          <w:p w14:paraId="6073ED3E">
            <w:pPr>
              <w:pStyle w:val="180"/>
            </w:pPr>
            <w:r>
              <w:rPr>
                <w:rFonts w:hint="eastAsia"/>
              </w:rPr>
              <w:t>一、患者资料</w:t>
            </w:r>
          </w:p>
        </w:tc>
      </w:tr>
      <w:tr w14:paraId="6BE68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5" w:type="dxa"/>
            <w:tcBorders>
              <w:top w:val="single" w:color="auto" w:sz="8" w:space="0"/>
            </w:tcBorders>
            <w:shd w:val="clear" w:color="auto" w:fill="auto"/>
            <w:vAlign w:val="center"/>
          </w:tcPr>
          <w:p w14:paraId="49F713FC">
            <w:pPr>
              <w:pStyle w:val="180"/>
            </w:pPr>
            <w:r>
              <w:rPr>
                <w:rFonts w:hint="eastAsia"/>
              </w:rPr>
              <w:t>姓名</w:t>
            </w:r>
          </w:p>
        </w:tc>
        <w:tc>
          <w:tcPr>
            <w:tcW w:w="2341" w:type="dxa"/>
            <w:tcBorders>
              <w:top w:val="single" w:color="auto" w:sz="8" w:space="0"/>
            </w:tcBorders>
            <w:shd w:val="clear" w:color="auto" w:fill="auto"/>
            <w:vAlign w:val="center"/>
          </w:tcPr>
          <w:p w14:paraId="66960425">
            <w:pPr>
              <w:pStyle w:val="180"/>
            </w:pPr>
          </w:p>
        </w:tc>
        <w:tc>
          <w:tcPr>
            <w:tcW w:w="2346" w:type="dxa"/>
            <w:tcBorders>
              <w:top w:val="single" w:color="auto" w:sz="8" w:space="0"/>
            </w:tcBorders>
            <w:shd w:val="clear" w:color="auto" w:fill="auto"/>
            <w:vAlign w:val="center"/>
          </w:tcPr>
          <w:p w14:paraId="354067E9">
            <w:pPr>
              <w:pStyle w:val="180"/>
            </w:pPr>
            <w:r>
              <w:rPr>
                <w:rFonts w:hint="eastAsia"/>
              </w:rPr>
              <w:t>住院号</w:t>
            </w:r>
          </w:p>
        </w:tc>
        <w:tc>
          <w:tcPr>
            <w:tcW w:w="2342" w:type="dxa"/>
            <w:tcBorders>
              <w:top w:val="single" w:color="auto" w:sz="8" w:space="0"/>
            </w:tcBorders>
            <w:shd w:val="clear" w:color="auto" w:fill="auto"/>
            <w:vAlign w:val="center"/>
          </w:tcPr>
          <w:p w14:paraId="625BCC6E">
            <w:pPr>
              <w:pStyle w:val="180"/>
            </w:pPr>
          </w:p>
        </w:tc>
      </w:tr>
      <w:tr w14:paraId="68DF6E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5" w:type="dxa"/>
            <w:shd w:val="clear" w:color="auto" w:fill="auto"/>
            <w:vAlign w:val="center"/>
          </w:tcPr>
          <w:p w14:paraId="5D96316D">
            <w:pPr>
              <w:pStyle w:val="180"/>
            </w:pPr>
            <w:r>
              <w:rPr>
                <w:rFonts w:hint="eastAsia"/>
              </w:rPr>
              <w:t>性别</w:t>
            </w:r>
          </w:p>
        </w:tc>
        <w:tc>
          <w:tcPr>
            <w:tcW w:w="2341" w:type="dxa"/>
            <w:shd w:val="clear" w:color="auto" w:fill="auto"/>
            <w:vAlign w:val="center"/>
          </w:tcPr>
          <w:p w14:paraId="344828D5">
            <w:pPr>
              <w:pStyle w:val="180"/>
            </w:pPr>
          </w:p>
        </w:tc>
        <w:tc>
          <w:tcPr>
            <w:tcW w:w="2346" w:type="dxa"/>
            <w:shd w:val="clear" w:color="auto" w:fill="auto"/>
            <w:vAlign w:val="center"/>
          </w:tcPr>
          <w:p w14:paraId="73BB1598">
            <w:pPr>
              <w:pStyle w:val="180"/>
            </w:pPr>
            <w:r>
              <w:rPr>
                <w:rFonts w:hint="eastAsia"/>
              </w:rPr>
              <w:t>病区</w:t>
            </w:r>
          </w:p>
        </w:tc>
        <w:tc>
          <w:tcPr>
            <w:tcW w:w="2342" w:type="dxa"/>
            <w:shd w:val="clear" w:color="auto" w:fill="auto"/>
            <w:vAlign w:val="center"/>
          </w:tcPr>
          <w:p w14:paraId="6749D3FD">
            <w:pPr>
              <w:pStyle w:val="180"/>
            </w:pPr>
          </w:p>
        </w:tc>
      </w:tr>
      <w:tr w14:paraId="3D66A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5" w:type="dxa"/>
            <w:shd w:val="clear" w:color="auto" w:fill="auto"/>
            <w:vAlign w:val="center"/>
          </w:tcPr>
          <w:p w14:paraId="358415B1">
            <w:pPr>
              <w:pStyle w:val="180"/>
            </w:pPr>
            <w:r>
              <w:rPr>
                <w:rFonts w:hint="eastAsia"/>
              </w:rPr>
              <w:t>年龄</w:t>
            </w:r>
          </w:p>
        </w:tc>
        <w:tc>
          <w:tcPr>
            <w:tcW w:w="2341" w:type="dxa"/>
            <w:shd w:val="clear" w:color="auto" w:fill="auto"/>
            <w:vAlign w:val="center"/>
          </w:tcPr>
          <w:p w14:paraId="422F3A31">
            <w:pPr>
              <w:pStyle w:val="180"/>
            </w:pPr>
          </w:p>
        </w:tc>
        <w:tc>
          <w:tcPr>
            <w:tcW w:w="2346" w:type="dxa"/>
            <w:shd w:val="clear" w:color="auto" w:fill="auto"/>
            <w:vAlign w:val="center"/>
          </w:tcPr>
          <w:p w14:paraId="0B0D38F7">
            <w:pPr>
              <w:pStyle w:val="180"/>
            </w:pPr>
            <w:r>
              <w:rPr>
                <w:rFonts w:hint="eastAsia"/>
              </w:rPr>
              <w:t>床号</w:t>
            </w:r>
          </w:p>
        </w:tc>
        <w:tc>
          <w:tcPr>
            <w:tcW w:w="2342" w:type="dxa"/>
            <w:shd w:val="clear" w:color="auto" w:fill="auto"/>
            <w:vAlign w:val="center"/>
          </w:tcPr>
          <w:p w14:paraId="30C40E13">
            <w:pPr>
              <w:pStyle w:val="180"/>
            </w:pPr>
          </w:p>
        </w:tc>
      </w:tr>
      <w:tr w14:paraId="3F520F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5" w:type="dxa"/>
            <w:shd w:val="clear" w:color="auto" w:fill="auto"/>
            <w:vAlign w:val="center"/>
          </w:tcPr>
          <w:p w14:paraId="459E9B6B">
            <w:pPr>
              <w:pStyle w:val="180"/>
            </w:pPr>
            <w:r>
              <w:rPr>
                <w:rFonts w:hint="eastAsia"/>
              </w:rPr>
              <w:t>身高</w:t>
            </w:r>
          </w:p>
        </w:tc>
        <w:tc>
          <w:tcPr>
            <w:tcW w:w="2341" w:type="dxa"/>
            <w:shd w:val="clear" w:color="auto" w:fill="auto"/>
            <w:vAlign w:val="center"/>
          </w:tcPr>
          <w:p w14:paraId="2ADDFBBE">
            <w:pPr>
              <w:pStyle w:val="180"/>
            </w:pPr>
          </w:p>
        </w:tc>
        <w:tc>
          <w:tcPr>
            <w:tcW w:w="2346" w:type="dxa"/>
            <w:shd w:val="clear" w:color="auto" w:fill="auto"/>
            <w:vAlign w:val="center"/>
          </w:tcPr>
          <w:p w14:paraId="39FA6FD6">
            <w:pPr>
              <w:pStyle w:val="180"/>
            </w:pPr>
            <w:r>
              <w:rPr>
                <w:rFonts w:hint="eastAsia"/>
              </w:rPr>
              <w:t>体重</w:t>
            </w:r>
          </w:p>
        </w:tc>
        <w:tc>
          <w:tcPr>
            <w:tcW w:w="2342" w:type="dxa"/>
            <w:shd w:val="clear" w:color="auto" w:fill="auto"/>
            <w:vAlign w:val="center"/>
          </w:tcPr>
          <w:p w14:paraId="44B5C3AE">
            <w:pPr>
              <w:pStyle w:val="180"/>
            </w:pPr>
          </w:p>
        </w:tc>
      </w:tr>
      <w:tr w14:paraId="2DAC4B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2345" w:type="dxa"/>
            <w:shd w:val="clear" w:color="auto" w:fill="auto"/>
            <w:vAlign w:val="center"/>
          </w:tcPr>
          <w:p w14:paraId="29CAF443">
            <w:pPr>
              <w:pStyle w:val="180"/>
            </w:pPr>
            <w:r>
              <w:rPr>
                <w:rFonts w:hint="eastAsia"/>
              </w:rPr>
              <w:t>体重指数</w:t>
            </w:r>
          </w:p>
        </w:tc>
        <w:tc>
          <w:tcPr>
            <w:tcW w:w="2341" w:type="dxa"/>
            <w:shd w:val="clear" w:color="auto" w:fill="auto"/>
            <w:vAlign w:val="center"/>
          </w:tcPr>
          <w:p w14:paraId="335110F5">
            <w:pPr>
              <w:pStyle w:val="180"/>
            </w:pPr>
          </w:p>
        </w:tc>
        <w:tc>
          <w:tcPr>
            <w:tcW w:w="2346" w:type="dxa"/>
            <w:shd w:val="clear" w:color="auto" w:fill="auto"/>
            <w:vAlign w:val="center"/>
          </w:tcPr>
          <w:p w14:paraId="3C263ECB">
            <w:pPr>
              <w:pStyle w:val="180"/>
            </w:pPr>
            <w:r>
              <w:rPr>
                <w:rFonts w:hint="eastAsia"/>
              </w:rPr>
              <w:t>蛋白质</w:t>
            </w:r>
          </w:p>
        </w:tc>
        <w:tc>
          <w:tcPr>
            <w:tcW w:w="2342" w:type="dxa"/>
            <w:shd w:val="clear" w:color="auto" w:fill="auto"/>
            <w:vAlign w:val="center"/>
          </w:tcPr>
          <w:p w14:paraId="12C50D1B">
            <w:pPr>
              <w:pStyle w:val="180"/>
            </w:pPr>
          </w:p>
        </w:tc>
      </w:tr>
      <w:tr w14:paraId="425EDD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5" w:type="dxa"/>
            <w:shd w:val="clear" w:color="auto" w:fill="auto"/>
            <w:vAlign w:val="center"/>
          </w:tcPr>
          <w:p w14:paraId="470A6921">
            <w:pPr>
              <w:pStyle w:val="180"/>
            </w:pPr>
            <w:r>
              <w:rPr>
                <w:rFonts w:hint="eastAsia"/>
              </w:rPr>
              <w:t>临床诊断</w:t>
            </w:r>
          </w:p>
        </w:tc>
        <w:tc>
          <w:tcPr>
            <w:tcW w:w="7029" w:type="dxa"/>
            <w:gridSpan w:val="3"/>
            <w:shd w:val="clear" w:color="auto" w:fill="auto"/>
            <w:vAlign w:val="center"/>
          </w:tcPr>
          <w:p w14:paraId="512B26A0">
            <w:pPr>
              <w:pStyle w:val="180"/>
            </w:pPr>
          </w:p>
        </w:tc>
      </w:tr>
      <w:tr w14:paraId="2F1402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3014D37D">
            <w:pPr>
              <w:pStyle w:val="180"/>
            </w:pPr>
            <w:r>
              <w:rPr>
                <w:rFonts w:hint="eastAsia"/>
              </w:rPr>
              <w:t>二、疾病状态</w:t>
            </w:r>
          </w:p>
        </w:tc>
      </w:tr>
      <w:tr w14:paraId="5CDD4B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10B44A49">
            <w:pPr>
              <w:pStyle w:val="180"/>
            </w:pPr>
            <w:r>
              <w:rPr>
                <w:rFonts w:hint="eastAsia"/>
              </w:rPr>
              <w:t>疾病状态</w:t>
            </w:r>
          </w:p>
        </w:tc>
        <w:tc>
          <w:tcPr>
            <w:tcW w:w="2346" w:type="dxa"/>
            <w:shd w:val="clear" w:color="auto" w:fill="auto"/>
            <w:vAlign w:val="center"/>
          </w:tcPr>
          <w:p w14:paraId="11C99AFB">
            <w:pPr>
              <w:pStyle w:val="180"/>
            </w:pPr>
            <w:r>
              <w:rPr>
                <w:rFonts w:hint="eastAsia"/>
              </w:rPr>
              <w:t>分数</w:t>
            </w:r>
          </w:p>
        </w:tc>
        <w:tc>
          <w:tcPr>
            <w:tcW w:w="2342" w:type="dxa"/>
            <w:shd w:val="clear" w:color="auto" w:fill="auto"/>
            <w:vAlign w:val="center"/>
          </w:tcPr>
          <w:p w14:paraId="63C190C9">
            <w:pPr>
              <w:pStyle w:val="180"/>
            </w:pPr>
            <w:r>
              <w:rPr>
                <w:rFonts w:hint="eastAsia"/>
              </w:rPr>
              <w:t>若“是”请打钩</w:t>
            </w:r>
          </w:p>
        </w:tc>
      </w:tr>
      <w:tr w14:paraId="3F17A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3F9F3EC8">
            <w:pPr>
              <w:pStyle w:val="180"/>
              <w:jc w:val="both"/>
            </w:pPr>
            <w:r>
              <w:rPr>
                <w:rFonts w:hint="eastAsia"/>
              </w:rPr>
              <w:t>骨盆骨折或者慢性病患者合并有以下疾病：肝硬化、慢性阻塞性疾病、长期血液透析、糖尿病、肿瘤</w:t>
            </w:r>
          </w:p>
        </w:tc>
        <w:tc>
          <w:tcPr>
            <w:tcW w:w="2346" w:type="dxa"/>
            <w:shd w:val="clear" w:color="auto" w:fill="auto"/>
            <w:vAlign w:val="center"/>
          </w:tcPr>
          <w:p w14:paraId="33F52DFB">
            <w:pPr>
              <w:pStyle w:val="180"/>
            </w:pPr>
            <w:r>
              <w:rPr>
                <w:rFonts w:hint="eastAsia"/>
              </w:rPr>
              <w:t>1</w:t>
            </w:r>
          </w:p>
        </w:tc>
        <w:tc>
          <w:tcPr>
            <w:tcW w:w="2342" w:type="dxa"/>
            <w:shd w:val="clear" w:color="auto" w:fill="auto"/>
            <w:vAlign w:val="center"/>
          </w:tcPr>
          <w:p w14:paraId="49658E25">
            <w:pPr>
              <w:pStyle w:val="180"/>
            </w:pPr>
          </w:p>
        </w:tc>
      </w:tr>
      <w:tr w14:paraId="0E540A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02C85593">
            <w:pPr>
              <w:pStyle w:val="180"/>
              <w:jc w:val="both"/>
            </w:pPr>
            <w:r>
              <w:rPr>
                <w:rFonts w:hint="eastAsia"/>
              </w:rPr>
              <w:t>腹部重大手术、中风、重症肺炎、血液系统肿瘤</w:t>
            </w:r>
          </w:p>
        </w:tc>
        <w:tc>
          <w:tcPr>
            <w:tcW w:w="2346" w:type="dxa"/>
            <w:shd w:val="clear" w:color="auto" w:fill="auto"/>
            <w:vAlign w:val="center"/>
          </w:tcPr>
          <w:p w14:paraId="06A4E685">
            <w:pPr>
              <w:pStyle w:val="180"/>
            </w:pPr>
            <w:r>
              <w:rPr>
                <w:rFonts w:hint="eastAsia"/>
              </w:rPr>
              <w:t>2</w:t>
            </w:r>
          </w:p>
        </w:tc>
        <w:tc>
          <w:tcPr>
            <w:tcW w:w="2342" w:type="dxa"/>
            <w:shd w:val="clear" w:color="auto" w:fill="auto"/>
            <w:vAlign w:val="center"/>
          </w:tcPr>
          <w:p w14:paraId="670F47B7">
            <w:pPr>
              <w:pStyle w:val="180"/>
            </w:pPr>
          </w:p>
        </w:tc>
      </w:tr>
      <w:tr w14:paraId="582F9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86" w:type="dxa"/>
            <w:gridSpan w:val="2"/>
            <w:shd w:val="clear" w:color="auto" w:fill="auto"/>
            <w:vAlign w:val="center"/>
          </w:tcPr>
          <w:p w14:paraId="5AB844CF">
            <w:pPr>
              <w:pStyle w:val="180"/>
              <w:jc w:val="both"/>
            </w:pPr>
            <w:r>
              <w:rPr>
                <w:rFonts w:hint="eastAsia"/>
              </w:rPr>
              <w:t>颅脑损伤、骨髓抑制、加护病患（APACHE＞1</w:t>
            </w:r>
            <w:r>
              <w:t>0</w:t>
            </w:r>
            <w:r>
              <w:rPr>
                <w:rFonts w:hint="eastAsia"/>
              </w:rPr>
              <w:t>分）</w:t>
            </w:r>
          </w:p>
        </w:tc>
        <w:tc>
          <w:tcPr>
            <w:tcW w:w="2346" w:type="dxa"/>
            <w:shd w:val="clear" w:color="auto" w:fill="auto"/>
            <w:vAlign w:val="center"/>
          </w:tcPr>
          <w:p w14:paraId="1721879C">
            <w:pPr>
              <w:pStyle w:val="180"/>
            </w:pPr>
            <w:r>
              <w:rPr>
                <w:rFonts w:hint="eastAsia"/>
              </w:rPr>
              <w:t>3</w:t>
            </w:r>
          </w:p>
        </w:tc>
        <w:tc>
          <w:tcPr>
            <w:tcW w:w="2342" w:type="dxa"/>
            <w:shd w:val="clear" w:color="auto" w:fill="auto"/>
            <w:vAlign w:val="center"/>
          </w:tcPr>
          <w:p w14:paraId="1ADF9125">
            <w:pPr>
              <w:pStyle w:val="180"/>
            </w:pPr>
          </w:p>
        </w:tc>
      </w:tr>
      <w:tr w14:paraId="018F8E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728CA4F0">
            <w:pPr>
              <w:pStyle w:val="180"/>
            </w:pPr>
            <w:r>
              <w:rPr>
                <w:rFonts w:hint="eastAsia"/>
              </w:rPr>
              <w:t>合计</w:t>
            </w:r>
          </w:p>
        </w:tc>
        <w:tc>
          <w:tcPr>
            <w:tcW w:w="2346" w:type="dxa"/>
            <w:shd w:val="clear" w:color="auto" w:fill="auto"/>
            <w:vAlign w:val="center"/>
          </w:tcPr>
          <w:p w14:paraId="6794D397">
            <w:pPr>
              <w:pStyle w:val="180"/>
            </w:pPr>
          </w:p>
        </w:tc>
        <w:tc>
          <w:tcPr>
            <w:tcW w:w="2342" w:type="dxa"/>
            <w:shd w:val="clear" w:color="auto" w:fill="auto"/>
            <w:vAlign w:val="center"/>
          </w:tcPr>
          <w:p w14:paraId="080312AF">
            <w:pPr>
              <w:pStyle w:val="180"/>
            </w:pPr>
          </w:p>
        </w:tc>
      </w:tr>
      <w:tr w14:paraId="45D3C4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2685E897">
            <w:pPr>
              <w:pStyle w:val="180"/>
            </w:pPr>
            <w:r>
              <w:rPr>
                <w:rFonts w:hint="eastAsia"/>
              </w:rPr>
              <w:t>三、营养状态</w:t>
            </w:r>
          </w:p>
        </w:tc>
      </w:tr>
      <w:tr w14:paraId="21D2A7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73DBEEBA">
            <w:pPr>
              <w:pStyle w:val="180"/>
            </w:pPr>
            <w:r>
              <w:rPr>
                <w:rFonts w:hint="eastAsia"/>
              </w:rPr>
              <w:t>营养状况指标（单选）</w:t>
            </w:r>
          </w:p>
        </w:tc>
        <w:tc>
          <w:tcPr>
            <w:tcW w:w="2346" w:type="dxa"/>
            <w:shd w:val="clear" w:color="auto" w:fill="auto"/>
            <w:vAlign w:val="center"/>
          </w:tcPr>
          <w:p w14:paraId="251DBAC1">
            <w:pPr>
              <w:pStyle w:val="180"/>
            </w:pPr>
            <w:r>
              <w:rPr>
                <w:rFonts w:hint="eastAsia"/>
              </w:rPr>
              <w:t>分数</w:t>
            </w:r>
          </w:p>
        </w:tc>
        <w:tc>
          <w:tcPr>
            <w:tcW w:w="2342" w:type="dxa"/>
            <w:shd w:val="clear" w:color="auto" w:fill="auto"/>
            <w:vAlign w:val="center"/>
          </w:tcPr>
          <w:p w14:paraId="3ACC3936">
            <w:pPr>
              <w:pStyle w:val="180"/>
            </w:pPr>
            <w:r>
              <w:rPr>
                <w:rFonts w:hint="eastAsia"/>
              </w:rPr>
              <w:t>若“是”请打钩</w:t>
            </w:r>
          </w:p>
        </w:tc>
      </w:tr>
      <w:tr w14:paraId="72DCD6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7D100593">
            <w:pPr>
              <w:pStyle w:val="180"/>
            </w:pPr>
            <w:r>
              <w:rPr>
                <w:rFonts w:hint="eastAsia"/>
              </w:rPr>
              <w:t>正常营养状态</w:t>
            </w:r>
          </w:p>
        </w:tc>
        <w:tc>
          <w:tcPr>
            <w:tcW w:w="2346" w:type="dxa"/>
            <w:shd w:val="clear" w:color="auto" w:fill="auto"/>
            <w:vAlign w:val="center"/>
          </w:tcPr>
          <w:p w14:paraId="5A8A7CC2">
            <w:pPr>
              <w:pStyle w:val="180"/>
            </w:pPr>
            <w:r>
              <w:rPr>
                <w:rFonts w:hint="eastAsia"/>
              </w:rPr>
              <w:t>0</w:t>
            </w:r>
          </w:p>
        </w:tc>
        <w:tc>
          <w:tcPr>
            <w:tcW w:w="2342" w:type="dxa"/>
            <w:shd w:val="clear" w:color="auto" w:fill="auto"/>
            <w:vAlign w:val="center"/>
          </w:tcPr>
          <w:p w14:paraId="4E7625E6">
            <w:pPr>
              <w:pStyle w:val="180"/>
            </w:pPr>
          </w:p>
        </w:tc>
      </w:tr>
      <w:tr w14:paraId="04BFB2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86" w:type="dxa"/>
            <w:gridSpan w:val="2"/>
            <w:shd w:val="clear" w:color="auto" w:fill="auto"/>
            <w:vAlign w:val="center"/>
          </w:tcPr>
          <w:p w14:paraId="06A57B88">
            <w:pPr>
              <w:pStyle w:val="180"/>
              <w:jc w:val="both"/>
            </w:pPr>
            <w:r>
              <w:rPr>
                <w:rFonts w:hint="eastAsia"/>
              </w:rPr>
              <w:t>3个月内体重减轻＞5</w:t>
            </w:r>
            <w:r>
              <w:t>%</w:t>
            </w:r>
            <w:r>
              <w:rPr>
                <w:rFonts w:hint="eastAsia"/>
              </w:rPr>
              <w:t>或最近1个星期进食量（与需要量相比）减少2</w:t>
            </w:r>
            <w:r>
              <w:t>0%</w:t>
            </w:r>
            <w:r>
              <w:rPr>
                <w:rFonts w:hint="eastAsia"/>
              </w:rPr>
              <w:t>～</w:t>
            </w:r>
            <w:r>
              <w:t>50%</w:t>
            </w:r>
          </w:p>
        </w:tc>
        <w:tc>
          <w:tcPr>
            <w:tcW w:w="2346" w:type="dxa"/>
            <w:shd w:val="clear" w:color="auto" w:fill="auto"/>
            <w:vAlign w:val="center"/>
          </w:tcPr>
          <w:p w14:paraId="16746B70">
            <w:pPr>
              <w:pStyle w:val="180"/>
            </w:pPr>
            <w:r>
              <w:rPr>
                <w:rFonts w:hint="eastAsia"/>
              </w:rPr>
              <w:t>1</w:t>
            </w:r>
          </w:p>
        </w:tc>
        <w:tc>
          <w:tcPr>
            <w:tcW w:w="2342" w:type="dxa"/>
            <w:shd w:val="clear" w:color="auto" w:fill="auto"/>
            <w:vAlign w:val="center"/>
          </w:tcPr>
          <w:p w14:paraId="6EDC40C7">
            <w:pPr>
              <w:pStyle w:val="180"/>
            </w:pPr>
          </w:p>
        </w:tc>
      </w:tr>
      <w:tr w14:paraId="118A68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4686" w:type="dxa"/>
            <w:gridSpan w:val="2"/>
            <w:shd w:val="clear" w:color="auto" w:fill="auto"/>
            <w:vAlign w:val="center"/>
          </w:tcPr>
          <w:p w14:paraId="381745C2">
            <w:pPr>
              <w:pStyle w:val="180"/>
              <w:jc w:val="both"/>
            </w:pPr>
            <w:r>
              <w:rPr>
                <w:rFonts w:hint="eastAsia"/>
              </w:rPr>
              <w:t>2个月内体重减轻＞5</w:t>
            </w:r>
            <w:r>
              <w:t>%</w:t>
            </w:r>
            <w:r>
              <w:rPr>
                <w:rFonts w:hint="eastAsia"/>
              </w:rPr>
              <w:t>或BMI</w:t>
            </w:r>
            <w:r>
              <w:t>18.5</w:t>
            </w:r>
            <w:r>
              <w:rPr>
                <w:rFonts w:hint="eastAsia"/>
              </w:rPr>
              <w:t>～2</w:t>
            </w:r>
            <w:r>
              <w:t>0.5</w:t>
            </w:r>
            <w:r>
              <w:rPr>
                <w:rFonts w:hint="eastAsia"/>
              </w:rPr>
              <w:t>或最近1个星期进食量（与需要量相比）减少5</w:t>
            </w:r>
            <w:r>
              <w:t>0%</w:t>
            </w:r>
            <w:r>
              <w:rPr>
                <w:rFonts w:hint="eastAsia"/>
              </w:rPr>
              <w:t>～7</w:t>
            </w:r>
            <w:r>
              <w:t>5%</w:t>
            </w:r>
          </w:p>
        </w:tc>
        <w:tc>
          <w:tcPr>
            <w:tcW w:w="2346" w:type="dxa"/>
            <w:shd w:val="clear" w:color="auto" w:fill="auto"/>
            <w:vAlign w:val="center"/>
          </w:tcPr>
          <w:p w14:paraId="71EFD902">
            <w:pPr>
              <w:pStyle w:val="180"/>
            </w:pPr>
            <w:r>
              <w:rPr>
                <w:rFonts w:hint="eastAsia"/>
              </w:rPr>
              <w:t>2</w:t>
            </w:r>
          </w:p>
        </w:tc>
        <w:tc>
          <w:tcPr>
            <w:tcW w:w="2342" w:type="dxa"/>
            <w:shd w:val="clear" w:color="auto" w:fill="auto"/>
            <w:vAlign w:val="center"/>
          </w:tcPr>
          <w:p w14:paraId="481A7CFE">
            <w:pPr>
              <w:pStyle w:val="180"/>
            </w:pPr>
          </w:p>
        </w:tc>
      </w:tr>
      <w:tr w14:paraId="277E0F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381169A5">
            <w:pPr>
              <w:pStyle w:val="180"/>
              <w:jc w:val="both"/>
            </w:pPr>
            <w:r>
              <w:rPr>
                <w:rFonts w:hint="eastAsia"/>
              </w:rPr>
              <w:t>1个月内体重减轻＞5</w:t>
            </w:r>
            <w:r>
              <w:t>%</w:t>
            </w:r>
            <w:r>
              <w:rPr>
                <w:rFonts w:hint="eastAsia"/>
              </w:rPr>
              <w:t>（3个月内体重减轻＞15</w:t>
            </w:r>
            <w:r>
              <w:t>%</w:t>
            </w:r>
            <w:r>
              <w:rPr>
                <w:rFonts w:hint="eastAsia"/>
              </w:rPr>
              <w:t>）或BMI＜</w:t>
            </w:r>
            <w:r>
              <w:t>18.5</w:t>
            </w:r>
            <w:r>
              <w:rPr>
                <w:rFonts w:hint="eastAsia"/>
              </w:rPr>
              <w:t>（或血清蛋白＜3</w:t>
            </w:r>
            <w:r>
              <w:t>5</w:t>
            </w:r>
            <w:r>
              <w:rPr>
                <w:rFonts w:hint="eastAsia"/>
              </w:rPr>
              <w:t>g/L）或最近1个星期进食量（与需要量相比）减少7</w:t>
            </w:r>
            <w:r>
              <w:t>0%</w:t>
            </w:r>
            <w:r>
              <w:rPr>
                <w:rFonts w:hint="eastAsia"/>
              </w:rPr>
              <w:t>～1</w:t>
            </w:r>
            <w:r>
              <w:t>00%</w:t>
            </w:r>
          </w:p>
        </w:tc>
        <w:tc>
          <w:tcPr>
            <w:tcW w:w="2346" w:type="dxa"/>
            <w:shd w:val="clear" w:color="auto" w:fill="auto"/>
            <w:vAlign w:val="center"/>
          </w:tcPr>
          <w:p w14:paraId="5A6C88A1">
            <w:pPr>
              <w:pStyle w:val="180"/>
            </w:pPr>
            <w:r>
              <w:rPr>
                <w:rFonts w:hint="eastAsia"/>
              </w:rPr>
              <w:t>3</w:t>
            </w:r>
          </w:p>
        </w:tc>
        <w:tc>
          <w:tcPr>
            <w:tcW w:w="2342" w:type="dxa"/>
            <w:shd w:val="clear" w:color="auto" w:fill="auto"/>
            <w:vAlign w:val="center"/>
          </w:tcPr>
          <w:p w14:paraId="7B2F81E7">
            <w:pPr>
              <w:pStyle w:val="180"/>
            </w:pPr>
          </w:p>
        </w:tc>
      </w:tr>
      <w:tr w14:paraId="0DF81D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3F296D37">
            <w:pPr>
              <w:pStyle w:val="180"/>
            </w:pPr>
            <w:r>
              <w:rPr>
                <w:rFonts w:hint="eastAsia"/>
              </w:rPr>
              <w:t>合计</w:t>
            </w:r>
          </w:p>
        </w:tc>
        <w:tc>
          <w:tcPr>
            <w:tcW w:w="2346" w:type="dxa"/>
            <w:shd w:val="clear" w:color="auto" w:fill="auto"/>
            <w:vAlign w:val="center"/>
          </w:tcPr>
          <w:p w14:paraId="0DCDB551">
            <w:pPr>
              <w:pStyle w:val="180"/>
            </w:pPr>
          </w:p>
        </w:tc>
        <w:tc>
          <w:tcPr>
            <w:tcW w:w="2342" w:type="dxa"/>
            <w:shd w:val="clear" w:color="auto" w:fill="auto"/>
            <w:vAlign w:val="center"/>
          </w:tcPr>
          <w:p w14:paraId="6F58EE8A">
            <w:pPr>
              <w:pStyle w:val="180"/>
            </w:pPr>
          </w:p>
        </w:tc>
      </w:tr>
      <w:tr w14:paraId="41B2AC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134B38BF">
            <w:pPr>
              <w:pStyle w:val="180"/>
            </w:pPr>
            <w:r>
              <w:rPr>
                <w:rFonts w:hint="eastAsia"/>
              </w:rPr>
              <w:t>四、年龄</w:t>
            </w:r>
          </w:p>
        </w:tc>
      </w:tr>
      <w:tr w14:paraId="14CFEC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86" w:type="dxa"/>
            <w:gridSpan w:val="2"/>
            <w:shd w:val="clear" w:color="auto" w:fill="auto"/>
            <w:vAlign w:val="center"/>
          </w:tcPr>
          <w:p w14:paraId="51BF9183">
            <w:pPr>
              <w:pStyle w:val="180"/>
            </w:pPr>
            <w:r>
              <w:rPr>
                <w:rFonts w:hint="eastAsia"/>
              </w:rPr>
              <w:t>年龄≥</w:t>
            </w:r>
            <w:r>
              <w:t>70</w:t>
            </w:r>
            <w:r>
              <w:rPr>
                <w:rFonts w:hint="eastAsia"/>
              </w:rPr>
              <w:t>岁加算1分</w:t>
            </w:r>
          </w:p>
        </w:tc>
        <w:tc>
          <w:tcPr>
            <w:tcW w:w="2346" w:type="dxa"/>
            <w:shd w:val="clear" w:color="auto" w:fill="auto"/>
            <w:vAlign w:val="center"/>
          </w:tcPr>
          <w:p w14:paraId="5B380C64">
            <w:pPr>
              <w:pStyle w:val="180"/>
            </w:pPr>
            <w:r>
              <w:rPr>
                <w:rFonts w:hint="eastAsia"/>
              </w:rPr>
              <w:t>1</w:t>
            </w:r>
          </w:p>
        </w:tc>
        <w:tc>
          <w:tcPr>
            <w:tcW w:w="2342" w:type="dxa"/>
            <w:shd w:val="clear" w:color="auto" w:fill="auto"/>
            <w:vAlign w:val="center"/>
          </w:tcPr>
          <w:p w14:paraId="4C2175E6">
            <w:pPr>
              <w:pStyle w:val="180"/>
            </w:pPr>
          </w:p>
        </w:tc>
      </w:tr>
      <w:tr w14:paraId="0E6DC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20AD385E">
            <w:pPr>
              <w:pStyle w:val="180"/>
            </w:pPr>
            <w:r>
              <w:rPr>
                <w:rFonts w:hint="eastAsia"/>
              </w:rPr>
              <w:t>五、营养风险筛查评估结果</w:t>
            </w:r>
          </w:p>
        </w:tc>
      </w:tr>
      <w:tr w14:paraId="7ADCCE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7032" w:type="dxa"/>
            <w:gridSpan w:val="3"/>
            <w:shd w:val="clear" w:color="auto" w:fill="auto"/>
            <w:vAlign w:val="center"/>
          </w:tcPr>
          <w:p w14:paraId="4ECD5BA9">
            <w:pPr>
              <w:pStyle w:val="180"/>
            </w:pPr>
            <w:r>
              <w:rPr>
                <w:rFonts w:hint="eastAsia"/>
              </w:rPr>
              <w:t>营养风险筛查总分</w:t>
            </w:r>
          </w:p>
        </w:tc>
        <w:tc>
          <w:tcPr>
            <w:tcW w:w="2342" w:type="dxa"/>
            <w:shd w:val="clear" w:color="auto" w:fill="auto"/>
            <w:vAlign w:val="center"/>
          </w:tcPr>
          <w:p w14:paraId="1CAC37FC">
            <w:pPr>
              <w:pStyle w:val="180"/>
            </w:pPr>
          </w:p>
        </w:tc>
      </w:tr>
      <w:tr w14:paraId="18E876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9374" w:type="dxa"/>
            <w:gridSpan w:val="4"/>
            <w:shd w:val="clear" w:color="auto" w:fill="auto"/>
            <w:vAlign w:val="center"/>
          </w:tcPr>
          <w:p w14:paraId="59ED30E2">
            <w:pPr>
              <w:pStyle w:val="180"/>
            </w:pPr>
            <w:r>
              <w:rPr>
                <w:rFonts w:hint="eastAsia"/>
              </w:rPr>
              <w:t>处理</w:t>
            </w:r>
          </w:p>
        </w:tc>
      </w:tr>
      <w:tr w14:paraId="001E00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0F560182">
            <w:pPr>
              <w:pStyle w:val="180"/>
              <w:jc w:val="both"/>
            </w:pPr>
            <w:r>
              <w:rPr>
                <w:rFonts w:hint="eastAsia"/>
              </w:rPr>
              <w:t>总分≥3</w:t>
            </w:r>
            <w:r>
              <w:t>.0</w:t>
            </w:r>
            <w:r>
              <w:rPr>
                <w:rFonts w:hint="eastAsia"/>
              </w:rPr>
              <w:t>：患者有营养不良的风险，需要营养支持治疗</w:t>
            </w:r>
          </w:p>
        </w:tc>
      </w:tr>
      <w:tr w14:paraId="4FD2E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20E61A0A">
            <w:pPr>
              <w:pStyle w:val="180"/>
              <w:jc w:val="both"/>
            </w:pPr>
            <w:r>
              <w:rPr>
                <w:rFonts w:hint="eastAsia"/>
              </w:rPr>
              <w:t>总分＜3</w:t>
            </w:r>
            <w:r>
              <w:t>.0</w:t>
            </w:r>
            <w:r>
              <w:rPr>
                <w:rFonts w:hint="eastAsia"/>
              </w:rPr>
              <w:t>：若患者将接受重大手术，则每周重新评估其营养状况</w:t>
            </w:r>
          </w:p>
        </w:tc>
      </w:tr>
      <w:tr w14:paraId="3F971F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74" w:type="dxa"/>
            <w:gridSpan w:val="4"/>
            <w:shd w:val="clear" w:color="auto" w:fill="auto"/>
            <w:vAlign w:val="center"/>
          </w:tcPr>
          <w:p w14:paraId="1804A61D">
            <w:pPr>
              <w:pStyle w:val="180"/>
              <w:jc w:val="both"/>
            </w:pPr>
            <w:r>
              <w:rPr>
                <w:rFonts w:hint="eastAsia"/>
              </w:rPr>
              <w:t xml:space="preserve">执行者： </w:t>
            </w:r>
            <w:r>
              <w:t xml:space="preserve">                                                                 </w:t>
            </w:r>
            <w:r>
              <w:rPr>
                <w:rFonts w:hint="eastAsia"/>
              </w:rPr>
              <w:t>时间：</w:t>
            </w:r>
          </w:p>
        </w:tc>
      </w:tr>
    </w:tbl>
    <w:p w14:paraId="4C9A9994">
      <w:pPr>
        <w:pStyle w:val="58"/>
        <w:ind w:firstLine="420"/>
      </w:pPr>
    </w:p>
    <w:p w14:paraId="6913DFAB">
      <w:pPr>
        <w:pStyle w:val="58"/>
        <w:ind w:firstLine="420"/>
      </w:pPr>
    </w:p>
    <w:p w14:paraId="59477F30">
      <w:pPr>
        <w:pStyle w:val="58"/>
        <w:ind w:firstLine="420"/>
      </w:pPr>
    </w:p>
    <w:p w14:paraId="4E7D6613">
      <w:pPr>
        <w:pStyle w:val="58"/>
        <w:ind w:firstLine="420"/>
      </w:pPr>
    </w:p>
    <w:p w14:paraId="1CF50881">
      <w:pPr>
        <w:pStyle w:val="58"/>
        <w:ind w:firstLine="420"/>
      </w:pPr>
    </w:p>
    <w:p w14:paraId="36807359">
      <w:pPr>
        <w:pStyle w:val="58"/>
        <w:ind w:firstLine="420"/>
        <w:sectPr>
          <w:headerReference r:id="rId27" w:type="default"/>
          <w:footerReference r:id="rId29" w:type="default"/>
          <w:headerReference r:id="rId28" w:type="even"/>
          <w:footerReference r:id="rId30" w:type="even"/>
          <w:pgSz w:w="11906" w:h="16838"/>
          <w:pgMar w:top="1928" w:right="1134" w:bottom="1134" w:left="1134" w:header="1418" w:footer="1134" w:gutter="284"/>
          <w:cols w:space="425" w:num="1"/>
          <w:formProt w:val="0"/>
          <w:docGrid w:linePitch="312" w:charSpace="0"/>
        </w:sectPr>
      </w:pPr>
    </w:p>
    <w:p w14:paraId="3A53CAD6">
      <w:pPr>
        <w:pStyle w:val="200"/>
        <w:rPr>
          <w:vanish w:val="0"/>
        </w:rPr>
      </w:pPr>
    </w:p>
    <w:p w14:paraId="01CA79C7">
      <w:pPr>
        <w:pStyle w:val="201"/>
        <w:rPr>
          <w:vanish w:val="0"/>
        </w:rPr>
      </w:pPr>
    </w:p>
    <w:p w14:paraId="055D3890">
      <w:pPr>
        <w:pStyle w:val="78"/>
        <w:spacing w:after="120"/>
      </w:pPr>
      <w:r>
        <w:br w:type="textWrapping"/>
      </w:r>
      <w:r>
        <w:rPr>
          <w:rFonts w:hint="eastAsia"/>
        </w:rPr>
        <w:t>（规范性）</w:t>
      </w:r>
      <w:r>
        <w:br w:type="textWrapping"/>
      </w:r>
      <w:r>
        <w:rPr>
          <w:rFonts w:hint="eastAsia"/>
        </w:rPr>
        <w:t>造口周围皮肤评估工具DET评估表</w:t>
      </w:r>
    </w:p>
    <w:p w14:paraId="73FAB284">
      <w:pPr>
        <w:pStyle w:val="58"/>
        <w:ind w:firstLine="420"/>
      </w:pPr>
      <w:r>
        <w:rPr>
          <w:rFonts w:hint="eastAsia"/>
        </w:rPr>
        <w:t>造口周围皮肤评估工具DET评估表见表D.</w:t>
      </w:r>
      <w:r>
        <w:t>1</w:t>
      </w:r>
      <w:r>
        <w:rPr>
          <w:rFonts w:hint="eastAsia"/>
        </w:rPr>
        <w:t>。</w:t>
      </w:r>
    </w:p>
    <w:p w14:paraId="5E704079">
      <w:pPr>
        <w:pStyle w:val="79"/>
        <w:spacing w:before="120" w:after="120"/>
        <w:ind w:firstLine="420"/>
      </w:pPr>
      <w:r>
        <w:rPr>
          <w:rFonts w:hint="eastAsia"/>
        </w:rPr>
        <w:t>造口周围皮肤评估工具DET评估表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9"/>
        <w:gridCol w:w="1286"/>
        <w:gridCol w:w="1418"/>
        <w:gridCol w:w="1701"/>
        <w:gridCol w:w="1701"/>
        <w:gridCol w:w="1709"/>
      </w:tblGrid>
      <w:tr w14:paraId="57958D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tcBorders>
              <w:top w:val="single" w:color="auto" w:sz="8" w:space="0"/>
              <w:bottom w:val="single" w:color="auto" w:sz="8" w:space="0"/>
            </w:tcBorders>
            <w:shd w:val="clear" w:color="auto" w:fill="auto"/>
          </w:tcPr>
          <w:p w14:paraId="472B4E6B">
            <w:pPr>
              <w:pStyle w:val="180"/>
            </w:pPr>
            <w:r>
              <w:rPr>
                <w:rFonts w:hint="eastAsia"/>
              </w:rPr>
              <w:t>症状</w:t>
            </w:r>
          </w:p>
        </w:tc>
        <w:tc>
          <w:tcPr>
            <w:tcW w:w="7815" w:type="dxa"/>
            <w:gridSpan w:val="5"/>
            <w:tcBorders>
              <w:top w:val="single" w:color="auto" w:sz="8" w:space="0"/>
              <w:bottom w:val="single" w:color="auto" w:sz="8" w:space="0"/>
            </w:tcBorders>
            <w:shd w:val="clear" w:color="auto" w:fill="auto"/>
            <w:vAlign w:val="center"/>
          </w:tcPr>
          <w:p w14:paraId="44165D4D">
            <w:pPr>
              <w:pStyle w:val="180"/>
            </w:pPr>
            <w:r>
              <w:rPr>
                <w:rFonts w:hint="eastAsia"/>
              </w:rPr>
              <w:t>内容及评分</w:t>
            </w:r>
          </w:p>
        </w:tc>
      </w:tr>
      <w:tr w14:paraId="144B98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vMerge w:val="restart"/>
            <w:tcBorders>
              <w:top w:val="single" w:color="auto" w:sz="8" w:space="0"/>
            </w:tcBorders>
            <w:shd w:val="clear" w:color="auto" w:fill="auto"/>
            <w:vAlign w:val="center"/>
          </w:tcPr>
          <w:p w14:paraId="6DF10961">
            <w:pPr>
              <w:pStyle w:val="180"/>
            </w:pPr>
            <w:r>
              <w:rPr>
                <w:rFonts w:hint="eastAsia"/>
              </w:rPr>
              <w:t>症状1：D</w:t>
            </w:r>
            <w:r>
              <w:t>-</w:t>
            </w:r>
            <w:r>
              <w:rPr>
                <w:rFonts w:hint="eastAsia"/>
              </w:rPr>
              <w:t>变色</w:t>
            </w:r>
          </w:p>
        </w:tc>
        <w:tc>
          <w:tcPr>
            <w:tcW w:w="1286" w:type="dxa"/>
            <w:tcBorders>
              <w:top w:val="single" w:color="auto" w:sz="8" w:space="0"/>
            </w:tcBorders>
            <w:shd w:val="clear" w:color="auto" w:fill="auto"/>
            <w:vAlign w:val="center"/>
          </w:tcPr>
          <w:p w14:paraId="3AA45C0A">
            <w:pPr>
              <w:pStyle w:val="180"/>
            </w:pPr>
            <w:r>
              <w:rPr>
                <w:rFonts w:hint="eastAsia"/>
              </w:rPr>
              <w:t>皮肤变色的面积</w:t>
            </w:r>
          </w:p>
          <w:p w14:paraId="0D2F1EE8">
            <w:pPr>
              <w:pStyle w:val="180"/>
            </w:pPr>
            <w:r>
              <w:rPr>
                <w:rFonts w:hint="eastAsia"/>
              </w:rPr>
              <w:t>（包括受侵蚀组织增生部分）</w:t>
            </w:r>
          </w:p>
        </w:tc>
        <w:tc>
          <w:tcPr>
            <w:tcW w:w="1418" w:type="dxa"/>
            <w:tcBorders>
              <w:top w:val="single" w:color="auto" w:sz="8" w:space="0"/>
            </w:tcBorders>
            <w:shd w:val="clear" w:color="auto" w:fill="auto"/>
            <w:vAlign w:val="center"/>
          </w:tcPr>
          <w:p w14:paraId="53273903">
            <w:pPr>
              <w:pStyle w:val="180"/>
            </w:pPr>
            <w:r>
              <w:rPr>
                <w:rFonts w:hint="eastAsia"/>
              </w:rPr>
              <w:t>0分</w:t>
            </w:r>
          </w:p>
          <w:p w14:paraId="4E7AB517">
            <w:pPr>
              <w:pStyle w:val="180"/>
            </w:pPr>
            <w:r>
              <w:rPr>
                <w:rFonts w:hint="eastAsia"/>
              </w:rPr>
              <w:t>造口周围皮肤正常（凭肉眼观察，没有发现任何表皮上的改变或损伤）</w:t>
            </w:r>
          </w:p>
          <w:p w14:paraId="1DA3B76B">
            <w:pPr>
              <w:pStyle w:val="180"/>
            </w:pPr>
            <w:r>
              <w:rPr>
                <w:rFonts w:hint="eastAsia"/>
              </w:rPr>
              <w:t>如变色面积得分为0分，症状1得分肯定是0</w:t>
            </w:r>
            <w:r>
              <w:t>+0</w:t>
            </w:r>
            <w:r>
              <w:rPr>
                <w:rFonts w:hint="eastAsia"/>
              </w:rPr>
              <w:t>，由于这一限制，DET等分不可能为1分。</w:t>
            </w:r>
          </w:p>
        </w:tc>
        <w:tc>
          <w:tcPr>
            <w:tcW w:w="1701" w:type="dxa"/>
            <w:tcBorders>
              <w:top w:val="single" w:color="auto" w:sz="8" w:space="0"/>
            </w:tcBorders>
            <w:shd w:val="clear" w:color="auto" w:fill="auto"/>
            <w:vAlign w:val="center"/>
          </w:tcPr>
          <w:p w14:paraId="5273A13F">
            <w:pPr>
              <w:pStyle w:val="180"/>
            </w:pPr>
            <w:r>
              <w:rPr>
                <w:rFonts w:hint="eastAsia"/>
              </w:rPr>
              <w:t>1分</w:t>
            </w:r>
          </w:p>
          <w:p w14:paraId="4C6E2820">
            <w:pPr>
              <w:pStyle w:val="180"/>
            </w:pPr>
            <w:r>
              <w:rPr>
                <w:rFonts w:hint="eastAsia"/>
              </w:rPr>
              <w:t>底盘覆盖下的造口周围皮肤变色的面积＜2</w:t>
            </w:r>
            <w:r>
              <w:t>5</w:t>
            </w:r>
            <w:r>
              <w:rPr>
                <w:rFonts w:hint="eastAsia"/>
              </w:rPr>
              <w:t>％</w:t>
            </w:r>
          </w:p>
          <w:p w14:paraId="22FC798C">
            <w:pPr>
              <w:pStyle w:val="180"/>
            </w:pPr>
          </w:p>
          <w:p w14:paraId="38CB4344">
            <w:pPr>
              <w:pStyle w:val="180"/>
            </w:pPr>
            <w:r>
              <w:rPr>
                <w:rFonts w:hint="eastAsia"/>
              </w:rPr>
              <w:t>请再评估其严重程度</w:t>
            </w:r>
          </w:p>
        </w:tc>
        <w:tc>
          <w:tcPr>
            <w:tcW w:w="1701" w:type="dxa"/>
            <w:tcBorders>
              <w:top w:val="single" w:color="auto" w:sz="8" w:space="0"/>
            </w:tcBorders>
            <w:shd w:val="clear" w:color="auto" w:fill="auto"/>
            <w:vAlign w:val="center"/>
          </w:tcPr>
          <w:p w14:paraId="562E2317">
            <w:pPr>
              <w:pStyle w:val="180"/>
            </w:pPr>
            <w:r>
              <w:rPr>
                <w:rFonts w:hint="eastAsia"/>
              </w:rPr>
              <w:t>2分</w:t>
            </w:r>
          </w:p>
          <w:p w14:paraId="1978800E">
            <w:pPr>
              <w:pStyle w:val="180"/>
            </w:pPr>
            <w:r>
              <w:rPr>
                <w:rFonts w:hint="eastAsia"/>
              </w:rPr>
              <w:t>底盘覆盖下的造口周围皮肤变色的面积2</w:t>
            </w:r>
            <w:r>
              <w:t>5</w:t>
            </w:r>
            <w:r>
              <w:rPr>
                <w:rFonts w:hint="eastAsia"/>
              </w:rPr>
              <w:t>％～5</w:t>
            </w:r>
            <w:r>
              <w:t>0</w:t>
            </w:r>
            <w:r>
              <w:rPr>
                <w:rFonts w:hint="eastAsia"/>
              </w:rPr>
              <w:t>％</w:t>
            </w:r>
          </w:p>
          <w:p w14:paraId="54732E10">
            <w:pPr>
              <w:pStyle w:val="180"/>
            </w:pPr>
          </w:p>
          <w:p w14:paraId="11B38B7B">
            <w:pPr>
              <w:pStyle w:val="180"/>
            </w:pPr>
            <w:r>
              <w:rPr>
                <w:rFonts w:hint="eastAsia"/>
              </w:rPr>
              <w:t>请再评估其严重程度</w:t>
            </w:r>
          </w:p>
        </w:tc>
        <w:tc>
          <w:tcPr>
            <w:tcW w:w="1709" w:type="dxa"/>
            <w:tcBorders>
              <w:top w:val="single" w:color="auto" w:sz="8" w:space="0"/>
            </w:tcBorders>
            <w:shd w:val="clear" w:color="auto" w:fill="auto"/>
            <w:vAlign w:val="center"/>
          </w:tcPr>
          <w:p w14:paraId="484ECC79">
            <w:pPr>
              <w:pStyle w:val="180"/>
            </w:pPr>
            <w:r>
              <w:rPr>
                <w:rFonts w:hint="eastAsia"/>
              </w:rPr>
              <w:t>3分</w:t>
            </w:r>
          </w:p>
          <w:p w14:paraId="01C7DAFD">
            <w:pPr>
              <w:pStyle w:val="180"/>
            </w:pPr>
            <w:r>
              <w:rPr>
                <w:rFonts w:hint="eastAsia"/>
              </w:rPr>
              <w:t>底盘覆盖下的造口周围皮肤变色的面积＞5</w:t>
            </w:r>
            <w:r>
              <w:t>0</w:t>
            </w:r>
            <w:r>
              <w:rPr>
                <w:rFonts w:hint="eastAsia"/>
              </w:rPr>
              <w:t>％</w:t>
            </w:r>
          </w:p>
          <w:p w14:paraId="6E84DD36">
            <w:pPr>
              <w:pStyle w:val="180"/>
            </w:pPr>
          </w:p>
          <w:p w14:paraId="05CFD7A3">
            <w:pPr>
              <w:pStyle w:val="180"/>
            </w:pPr>
            <w:r>
              <w:rPr>
                <w:rFonts w:hint="eastAsia"/>
              </w:rPr>
              <w:t>请再评估其严重程度</w:t>
            </w:r>
          </w:p>
        </w:tc>
      </w:tr>
      <w:tr w14:paraId="02ED41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vMerge w:val="continue"/>
            <w:shd w:val="clear" w:color="auto" w:fill="auto"/>
            <w:vAlign w:val="center"/>
          </w:tcPr>
          <w:p w14:paraId="75EDBDED">
            <w:pPr>
              <w:pStyle w:val="180"/>
            </w:pPr>
          </w:p>
        </w:tc>
        <w:tc>
          <w:tcPr>
            <w:tcW w:w="2704" w:type="dxa"/>
            <w:gridSpan w:val="2"/>
            <w:shd w:val="clear" w:color="auto" w:fill="auto"/>
            <w:vAlign w:val="center"/>
          </w:tcPr>
          <w:p w14:paraId="1A57141F">
            <w:pPr>
              <w:pStyle w:val="180"/>
            </w:pPr>
            <w:r>
              <w:rPr>
                <w:rFonts w:hint="eastAsia"/>
              </w:rPr>
              <w:t>皮肤变色的严重程度</w:t>
            </w:r>
          </w:p>
        </w:tc>
        <w:tc>
          <w:tcPr>
            <w:tcW w:w="1701" w:type="dxa"/>
            <w:shd w:val="clear" w:color="auto" w:fill="auto"/>
            <w:vAlign w:val="center"/>
          </w:tcPr>
          <w:p w14:paraId="0C9737A1">
            <w:pPr>
              <w:pStyle w:val="180"/>
            </w:pPr>
            <w:r>
              <w:rPr>
                <w:rFonts w:hint="eastAsia"/>
              </w:rPr>
              <w:t>1分</w:t>
            </w:r>
          </w:p>
          <w:p w14:paraId="4274450C">
            <w:pPr>
              <w:pStyle w:val="180"/>
            </w:pPr>
            <w:r>
              <w:rPr>
                <w:rFonts w:hint="eastAsia"/>
              </w:rPr>
              <w:t>造口周围皮肤有颜色改变</w:t>
            </w:r>
          </w:p>
        </w:tc>
        <w:tc>
          <w:tcPr>
            <w:tcW w:w="3410" w:type="dxa"/>
            <w:gridSpan w:val="2"/>
            <w:shd w:val="clear" w:color="auto" w:fill="auto"/>
            <w:vAlign w:val="center"/>
          </w:tcPr>
          <w:p w14:paraId="266A4F3D">
            <w:pPr>
              <w:pStyle w:val="180"/>
            </w:pPr>
            <w:r>
              <w:rPr>
                <w:rFonts w:hint="eastAsia"/>
              </w:rPr>
              <w:t>2分</w:t>
            </w:r>
          </w:p>
          <w:p w14:paraId="5F7A4A22">
            <w:pPr>
              <w:pStyle w:val="180"/>
            </w:pPr>
            <w:r>
              <w:rPr>
                <w:rFonts w:hint="eastAsia"/>
              </w:rPr>
              <w:t>造口周围皮肤颜色改变并伴有并发症如疼痛、发光、硬结感发热、发痒或烧灼感等。</w:t>
            </w:r>
          </w:p>
        </w:tc>
      </w:tr>
      <w:tr w14:paraId="1043E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shd w:val="clear" w:color="auto" w:fill="auto"/>
            <w:vAlign w:val="center"/>
          </w:tcPr>
          <w:p w14:paraId="5559CA90">
            <w:pPr>
              <w:pStyle w:val="180"/>
            </w:pPr>
            <w:r>
              <w:rPr>
                <w:rFonts w:hint="eastAsia"/>
              </w:rPr>
              <w:t>症状2：E</w:t>
            </w:r>
            <w:r>
              <w:t>-</w:t>
            </w:r>
            <w:r>
              <w:rPr>
                <w:rFonts w:hint="eastAsia"/>
              </w:rPr>
              <w:t>侵蚀</w:t>
            </w:r>
          </w:p>
        </w:tc>
        <w:tc>
          <w:tcPr>
            <w:tcW w:w="2704" w:type="dxa"/>
            <w:gridSpan w:val="2"/>
            <w:shd w:val="clear" w:color="auto" w:fill="auto"/>
            <w:vAlign w:val="center"/>
          </w:tcPr>
          <w:p w14:paraId="3ACEFDE1">
            <w:pPr>
              <w:pStyle w:val="180"/>
            </w:pPr>
            <w:r>
              <w:rPr>
                <w:rFonts w:hint="eastAsia"/>
              </w:rPr>
              <w:t>寝室/溃疡的严重程度</w:t>
            </w:r>
          </w:p>
        </w:tc>
        <w:tc>
          <w:tcPr>
            <w:tcW w:w="1701" w:type="dxa"/>
            <w:shd w:val="clear" w:color="auto" w:fill="auto"/>
            <w:vAlign w:val="center"/>
          </w:tcPr>
          <w:p w14:paraId="0CFC08CF">
            <w:pPr>
              <w:pStyle w:val="180"/>
            </w:pPr>
            <w:r>
              <w:rPr>
                <w:rFonts w:hint="eastAsia"/>
              </w:rPr>
              <w:t>1分</w:t>
            </w:r>
          </w:p>
          <w:p w14:paraId="39B7C2F2">
            <w:pPr>
              <w:pStyle w:val="180"/>
            </w:pPr>
            <w:r>
              <w:rPr>
                <w:rFonts w:hint="eastAsia"/>
              </w:rPr>
              <w:t>损伤累及表皮</w:t>
            </w:r>
          </w:p>
        </w:tc>
        <w:tc>
          <w:tcPr>
            <w:tcW w:w="3410" w:type="dxa"/>
            <w:gridSpan w:val="2"/>
            <w:shd w:val="clear" w:color="auto" w:fill="auto"/>
            <w:vAlign w:val="center"/>
          </w:tcPr>
          <w:p w14:paraId="61E12786">
            <w:pPr>
              <w:pStyle w:val="180"/>
            </w:pPr>
            <w:r>
              <w:rPr>
                <w:rFonts w:hint="eastAsia"/>
              </w:rPr>
              <w:t>2分</w:t>
            </w:r>
          </w:p>
          <w:p w14:paraId="18046A38">
            <w:pPr>
              <w:pStyle w:val="180"/>
            </w:pPr>
            <w:r>
              <w:rPr>
                <w:rFonts w:hint="eastAsia"/>
              </w:rPr>
              <w:t>损伤累及真皮层并伴有并发症(潮湿，渗血或溃疡)</w:t>
            </w:r>
          </w:p>
        </w:tc>
      </w:tr>
      <w:tr w14:paraId="02BC19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9" w:type="dxa"/>
            <w:shd w:val="clear" w:color="auto" w:fill="auto"/>
            <w:vAlign w:val="center"/>
          </w:tcPr>
          <w:p w14:paraId="75DA18CB">
            <w:pPr>
              <w:pStyle w:val="180"/>
            </w:pPr>
            <w:r>
              <w:rPr>
                <w:rFonts w:hint="eastAsia"/>
              </w:rPr>
              <w:t>症状3：T</w:t>
            </w:r>
            <w:r>
              <w:t>-</w:t>
            </w:r>
            <w:r>
              <w:rPr>
                <w:rFonts w:hint="eastAsia"/>
              </w:rPr>
              <w:t>组织增生</w:t>
            </w:r>
          </w:p>
        </w:tc>
        <w:tc>
          <w:tcPr>
            <w:tcW w:w="1286" w:type="dxa"/>
            <w:shd w:val="clear" w:color="auto" w:fill="auto"/>
            <w:vAlign w:val="center"/>
          </w:tcPr>
          <w:p w14:paraId="0E641D9A">
            <w:pPr>
              <w:pStyle w:val="180"/>
            </w:pPr>
            <w:r>
              <w:rPr>
                <w:rFonts w:hint="eastAsia"/>
              </w:rPr>
              <w:t>组织增生的面积</w:t>
            </w:r>
          </w:p>
        </w:tc>
        <w:tc>
          <w:tcPr>
            <w:tcW w:w="1418" w:type="dxa"/>
            <w:shd w:val="clear" w:color="auto" w:fill="auto"/>
            <w:vAlign w:val="center"/>
          </w:tcPr>
          <w:p w14:paraId="422A3BB8">
            <w:pPr>
              <w:pStyle w:val="180"/>
            </w:pPr>
            <w:r>
              <w:rPr>
                <w:rFonts w:hint="eastAsia"/>
              </w:rPr>
              <w:t>0分</w:t>
            </w:r>
          </w:p>
          <w:p w14:paraId="7C850A7F">
            <w:pPr>
              <w:pStyle w:val="180"/>
            </w:pPr>
            <w:r>
              <w:rPr>
                <w:rFonts w:hint="eastAsia"/>
              </w:rPr>
              <w:t>没有组织增生</w:t>
            </w:r>
          </w:p>
          <w:p w14:paraId="4BBD1262">
            <w:pPr>
              <w:pStyle w:val="180"/>
            </w:pPr>
            <w:r>
              <w:rPr>
                <w:rFonts w:hint="eastAsia"/>
              </w:rPr>
              <w:t>如组织增生的面积得分是0分，则症状3的总分一定是0+0</w:t>
            </w:r>
          </w:p>
        </w:tc>
        <w:tc>
          <w:tcPr>
            <w:tcW w:w="1701" w:type="dxa"/>
            <w:shd w:val="clear" w:color="auto" w:fill="auto"/>
            <w:vAlign w:val="center"/>
          </w:tcPr>
          <w:p w14:paraId="1999018C">
            <w:pPr>
              <w:pStyle w:val="180"/>
            </w:pPr>
            <w:r>
              <w:rPr>
                <w:rFonts w:hint="eastAsia"/>
              </w:rPr>
              <w:t>1分</w:t>
            </w:r>
          </w:p>
          <w:p w14:paraId="45C51EBE">
            <w:pPr>
              <w:pStyle w:val="180"/>
            </w:pPr>
            <w:r>
              <w:rPr>
                <w:rFonts w:hint="eastAsia"/>
              </w:rPr>
              <w:t>底盘覆盖下的造口周围皮肤组织增生的面积&lt;25%</w:t>
            </w:r>
          </w:p>
          <w:p w14:paraId="65A2E2A7">
            <w:pPr>
              <w:pStyle w:val="180"/>
            </w:pPr>
          </w:p>
          <w:p w14:paraId="235D2F99">
            <w:pPr>
              <w:pStyle w:val="180"/>
            </w:pPr>
            <w:r>
              <w:rPr>
                <w:rFonts w:hint="eastAsia"/>
              </w:rPr>
              <w:t>请再评估其严重程度</w:t>
            </w:r>
          </w:p>
        </w:tc>
        <w:tc>
          <w:tcPr>
            <w:tcW w:w="1701" w:type="dxa"/>
            <w:shd w:val="clear" w:color="auto" w:fill="auto"/>
            <w:vAlign w:val="center"/>
          </w:tcPr>
          <w:p w14:paraId="00EE1EF5">
            <w:pPr>
              <w:pStyle w:val="180"/>
            </w:pPr>
            <w:r>
              <w:rPr>
                <w:rFonts w:hint="eastAsia"/>
              </w:rPr>
              <w:t>2分</w:t>
            </w:r>
          </w:p>
          <w:p w14:paraId="698C371B">
            <w:pPr>
              <w:pStyle w:val="180"/>
            </w:pPr>
            <w:r>
              <w:rPr>
                <w:rFonts w:hint="eastAsia"/>
              </w:rPr>
              <w:t>底盘覆盖下的造口周围皮肤组织增生的面积在25%～50%间</w:t>
            </w:r>
          </w:p>
          <w:p w14:paraId="7551D1C5">
            <w:pPr>
              <w:pStyle w:val="180"/>
            </w:pPr>
          </w:p>
          <w:p w14:paraId="14D66B41">
            <w:pPr>
              <w:pStyle w:val="180"/>
            </w:pPr>
            <w:r>
              <w:rPr>
                <w:rFonts w:hint="eastAsia"/>
              </w:rPr>
              <w:t>请再评估其严重程度</w:t>
            </w:r>
          </w:p>
        </w:tc>
        <w:tc>
          <w:tcPr>
            <w:tcW w:w="1709" w:type="dxa"/>
            <w:shd w:val="clear" w:color="auto" w:fill="auto"/>
            <w:vAlign w:val="center"/>
          </w:tcPr>
          <w:p w14:paraId="74FF8807">
            <w:pPr>
              <w:pStyle w:val="180"/>
            </w:pPr>
            <w:r>
              <w:rPr>
                <w:rFonts w:hint="eastAsia"/>
              </w:rPr>
              <w:t>3分</w:t>
            </w:r>
          </w:p>
          <w:p w14:paraId="66601394">
            <w:pPr>
              <w:pStyle w:val="180"/>
            </w:pPr>
            <w:r>
              <w:rPr>
                <w:rFonts w:hint="eastAsia"/>
              </w:rPr>
              <w:t>底盘覆盖下的造口周围皮肤组织增生的面积&gt;50%</w:t>
            </w:r>
          </w:p>
          <w:p w14:paraId="0338C81B">
            <w:pPr>
              <w:pStyle w:val="180"/>
            </w:pPr>
          </w:p>
          <w:p w14:paraId="2F71696E">
            <w:pPr>
              <w:pStyle w:val="180"/>
            </w:pPr>
            <w:r>
              <w:rPr>
                <w:rFonts w:hint="eastAsia"/>
              </w:rPr>
              <w:t>请再评估其严重程度</w:t>
            </w:r>
          </w:p>
        </w:tc>
      </w:tr>
      <w:bookmarkEnd w:id="86"/>
    </w:tbl>
    <w:p w14:paraId="7BCC48EE">
      <w:pPr>
        <w:pStyle w:val="58"/>
        <w:ind w:firstLine="420"/>
        <w:sectPr>
          <w:headerReference r:id="rId31" w:type="default"/>
          <w:footerReference r:id="rId33" w:type="default"/>
          <w:headerReference r:id="rId32" w:type="even"/>
          <w:footerReference r:id="rId34" w:type="even"/>
          <w:pgSz w:w="11906" w:h="16838"/>
          <w:pgMar w:top="1928" w:right="1134" w:bottom="1134" w:left="1134" w:header="1418" w:footer="1134" w:gutter="284"/>
          <w:cols w:space="425" w:num="1"/>
          <w:formProt w:val="0"/>
          <w:docGrid w:linePitch="312" w:charSpace="0"/>
        </w:sectPr>
      </w:pPr>
      <w:bookmarkStart w:id="88" w:name="BookMark6"/>
    </w:p>
    <w:p w14:paraId="6CFB789F">
      <w:pPr>
        <w:pStyle w:val="65"/>
        <w:spacing w:after="120"/>
      </w:pPr>
      <w:r>
        <w:rPr>
          <w:rFonts w:hint="eastAsia"/>
          <w:spacing w:val="105"/>
        </w:rPr>
        <w:t>参考文</w:t>
      </w:r>
      <w:r>
        <w:rPr>
          <w:rFonts w:hint="eastAsia"/>
        </w:rPr>
        <w:t>献</w:t>
      </w:r>
    </w:p>
    <w:p w14:paraId="708432E7">
      <w:pPr>
        <w:pStyle w:val="58"/>
        <w:ind w:firstLine="420"/>
      </w:pPr>
      <w:r>
        <w:rPr>
          <w:rFonts w:hint="eastAsia"/>
        </w:rPr>
        <w:t xml:space="preserve">[1] </w:t>
      </w:r>
      <w:r>
        <w:t xml:space="preserve"> </w:t>
      </w:r>
      <w:r>
        <w:rPr>
          <w:rFonts w:hint="eastAsia"/>
        </w:rPr>
        <w:t>中国医师协会肛肠医师分会造口专业委员会，中国医师协会肛肠医师分会，中华医学会外科学分会结直肠外科学组，等.中低位直肠癌手术预防性肠造口中国专家共识(2022版)[J].中华胃肠外科杂志，2022,25(6):471-478.D0I:10.3760/cma.j.cn441530-20220421-00169.</w:t>
      </w:r>
    </w:p>
    <w:bookmarkEnd w:id="88"/>
    <w:p w14:paraId="43705786">
      <w:pPr>
        <w:pStyle w:val="58"/>
        <w:ind w:firstLine="0" w:firstLineChars="0"/>
        <w:jc w:val="center"/>
      </w:pPr>
      <w:bookmarkStart w:id="89" w:name="BookMark8"/>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4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9"/>
    </w:p>
    <w:sectPr>
      <w:headerReference r:id="rId35" w:type="default"/>
      <w:footerReference r:id="rId37" w:type="default"/>
      <w:headerReference r:id="rId36" w:type="even"/>
      <w:footerReference r:id="rId38"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871EF">
    <w:pPr>
      <w:pStyle w:val="18"/>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44B66">
    <w:pPr>
      <w:pStyle w:val="54"/>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4CED4C">
    <w:pPr>
      <w:pStyle w:val="53"/>
    </w:pPr>
    <w:r>
      <w:fldChar w:fldCharType="begin"/>
    </w:r>
    <w:r>
      <w:instrText xml:space="preserve"> PAGE   \* MERGEFORMAT \* MERGEFORMAT </w:instrText>
    </w:r>
    <w:r>
      <w:fldChar w:fldCharType="separate"/>
    </w:r>
    <w: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63A0F">
    <w:pPr>
      <w:pStyle w:val="54"/>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0AA7A">
    <w:pPr>
      <w:pStyle w:val="53"/>
    </w:pPr>
    <w:r>
      <w:fldChar w:fldCharType="begin"/>
    </w:r>
    <w:r>
      <w:instrText xml:space="preserve"> PAGE   \* MERGEFORMAT \* MERGEFORMAT </w:instrText>
    </w:r>
    <w:r>
      <w:fldChar w:fldCharType="separate"/>
    </w:r>
    <w: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407E4">
    <w:pPr>
      <w:pStyle w:val="54"/>
    </w:pPr>
    <w:r>
      <w:fldChar w:fldCharType="begin"/>
    </w:r>
    <w:r>
      <w:instrText xml:space="preserve">PAGE   \* MERGEFORMAT</w:instrText>
    </w:r>
    <w:r>
      <w:fldChar w:fldCharType="separate"/>
    </w:r>
    <w:r>
      <w:rPr>
        <w:lang w:val="zh-CN"/>
      </w:rPr>
      <w:t>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14651">
    <w:pPr>
      <w:pStyle w:val="53"/>
    </w:pPr>
    <w:r>
      <w:fldChar w:fldCharType="begin"/>
    </w:r>
    <w:r>
      <w:instrText xml:space="preserve"> PAGE   \* MERGEFORMAT \* MERGEFORMAT </w:instrText>
    </w:r>
    <w:r>
      <w:fldChar w:fldCharType="separate"/>
    </w:r>
    <w: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EA533">
    <w:pPr>
      <w:pStyle w:val="54"/>
    </w:pPr>
    <w:r>
      <w:fldChar w:fldCharType="begin"/>
    </w:r>
    <w:r>
      <w:instrText xml:space="preserve">PAGE   \* MERGEFORMAT</w:instrText>
    </w:r>
    <w:r>
      <w:fldChar w:fldCharType="separate"/>
    </w:r>
    <w:r>
      <w:rPr>
        <w:lang w:val="zh-CN"/>
      </w:rPr>
      <w:t>9</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A2A">
    <w:pPr>
      <w:pStyle w:val="53"/>
    </w:pPr>
    <w:r>
      <w:fldChar w:fldCharType="begin"/>
    </w:r>
    <w:r>
      <w:instrText xml:space="preserve"> PAGE   \* MERGEFORMAT \* MERGEFORMAT </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BC85E">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955B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0722F">
    <w:pPr>
      <w:pStyle w:val="54"/>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55B44">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8A4AC">
    <w:pPr>
      <w:pStyle w:val="54"/>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FA330">
    <w:pPr>
      <w:pStyle w:val="53"/>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8D95F">
    <w:pPr>
      <w:pStyle w:val="54"/>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DE613">
    <w:pPr>
      <w:pStyle w:val="53"/>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CB1EF">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10401">
    <w:pPr>
      <w:pStyle w:val="63"/>
    </w:pPr>
    <w:r>
      <w:fldChar w:fldCharType="begin"/>
    </w:r>
    <w:r>
      <w:instrText xml:space="preserve"> STYLEREF  标准文件_文件编号  \* MERGEFORMAT </w:instrText>
    </w:r>
    <w:r>
      <w:fldChar w:fldCharType="separate"/>
    </w:r>
    <w:r>
      <w:t>T/GXAS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3DA4A">
    <w:pPr>
      <w:pStyle w:val="64"/>
    </w:pPr>
    <w:r>
      <w:fldChar w:fldCharType="begin"/>
    </w:r>
    <w:r>
      <w:instrText xml:space="preserve"> STYLEREF  标准文件_文件编号 \* MERGEFORMAT </w:instrText>
    </w:r>
    <w:r>
      <w:fldChar w:fldCharType="separate"/>
    </w:r>
    <w:r>
      <w:t>T/GXAS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CE52B">
    <w:pPr>
      <w:pStyle w:val="63"/>
    </w:pPr>
    <w:r>
      <w:fldChar w:fldCharType="begin"/>
    </w:r>
    <w:r>
      <w:instrText xml:space="preserve"> STYLEREF  标准文件_文件编号  \* MERGEFORMAT </w:instrText>
    </w:r>
    <w:r>
      <w:fldChar w:fldCharType="separate"/>
    </w:r>
    <w:r>
      <w:t>T/GXAS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66821">
    <w:pPr>
      <w:pStyle w:val="64"/>
    </w:pPr>
    <w:r>
      <w:fldChar w:fldCharType="begin"/>
    </w:r>
    <w:r>
      <w:instrText xml:space="preserve"> STYLEREF  标准文件_文件编号 \* MERGEFORMAT </w:instrText>
    </w:r>
    <w:r>
      <w:fldChar w:fldCharType="separate"/>
    </w:r>
    <w:r>
      <w:t>T/GXAS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76459">
    <w:pPr>
      <w:pStyle w:val="63"/>
    </w:pPr>
    <w:r>
      <w:fldChar w:fldCharType="begin"/>
    </w:r>
    <w:r>
      <w:instrText xml:space="preserve"> STYLEREF  标准文件_文件编号  \* MERGEFORMAT </w:instrText>
    </w:r>
    <w:r>
      <w:fldChar w:fldCharType="separate"/>
    </w:r>
    <w:r>
      <w:t>T/GXAS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500F">
    <w:pPr>
      <w:pStyle w:val="64"/>
    </w:pPr>
    <w:r>
      <w:fldChar w:fldCharType="begin"/>
    </w:r>
    <w:r>
      <w:instrText xml:space="preserve"> STYLEREF  标准文件_文件编号 \* MERGEFORMAT </w:instrText>
    </w:r>
    <w:r>
      <w:fldChar w:fldCharType="separate"/>
    </w:r>
    <w:r>
      <w:t>T/GXAS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BD2BB">
    <w:pPr>
      <w:pStyle w:val="63"/>
    </w:pPr>
    <w:r>
      <w:fldChar w:fldCharType="begin"/>
    </w:r>
    <w:r>
      <w:instrText xml:space="preserve"> STYLEREF  标准文件_文件编号  \* MERGEFORMAT </w:instrText>
    </w:r>
    <w:r>
      <w:fldChar w:fldCharType="separate"/>
    </w:r>
    <w:r>
      <w:t>T/GXAS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06FC0">
    <w:pPr>
      <w:pStyle w:val="64"/>
    </w:pPr>
    <w:r>
      <w:fldChar w:fldCharType="begin"/>
    </w:r>
    <w:r>
      <w:instrText xml:space="preserve"> STYLEREF  标准文件_文件编号 \* MERGEFORMAT </w:instrText>
    </w:r>
    <w:r>
      <w:fldChar w:fldCharType="separate"/>
    </w:r>
    <w:r>
      <w:t>T/GXAS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271B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1A74">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3EF08">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C856A">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8C012">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5EB94">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76636">
    <w:pPr>
      <w:pStyle w:val="63"/>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65E6B">
    <w:pPr>
      <w:pStyle w:val="64"/>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kngLONr5DJDhGYIrW3VAwaeRQtfLI9+QUIxLAlTG4jDpTtXCk6y/WGcua0fdVlrT0VgZCn2YFMwnSSFUonwVdQ==" w:salt="mFEZAWmbxQi1i2DkEA+9iA=="/>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B4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749"/>
    <w:rsid w:val="00124E4F"/>
    <w:rsid w:val="001260B7"/>
    <w:rsid w:val="001265CB"/>
    <w:rsid w:val="001321C6"/>
    <w:rsid w:val="001325C4"/>
    <w:rsid w:val="00133010"/>
    <w:rsid w:val="001338EE"/>
    <w:rsid w:val="00133AAE"/>
    <w:rsid w:val="00135323"/>
    <w:rsid w:val="001356C4"/>
    <w:rsid w:val="001360C6"/>
    <w:rsid w:val="00137565"/>
    <w:rsid w:val="00141114"/>
    <w:rsid w:val="00141A13"/>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B24"/>
    <w:rsid w:val="00172C0F"/>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B7612"/>
    <w:rsid w:val="001C04A8"/>
    <w:rsid w:val="001C25C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581"/>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35A7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06C6"/>
    <w:rsid w:val="002E4D5A"/>
    <w:rsid w:val="002E6326"/>
    <w:rsid w:val="002F30E0"/>
    <w:rsid w:val="002F35E4"/>
    <w:rsid w:val="002F3730"/>
    <w:rsid w:val="002F38E1"/>
    <w:rsid w:val="002F7AF6"/>
    <w:rsid w:val="00300E63"/>
    <w:rsid w:val="00302F5F"/>
    <w:rsid w:val="0030441D"/>
    <w:rsid w:val="00306063"/>
    <w:rsid w:val="00313B85"/>
    <w:rsid w:val="00317988"/>
    <w:rsid w:val="0032183A"/>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4CC"/>
    <w:rsid w:val="00384FFC"/>
    <w:rsid w:val="003872FC"/>
    <w:rsid w:val="00387ADC"/>
    <w:rsid w:val="00390020"/>
    <w:rsid w:val="003903D6"/>
    <w:rsid w:val="00390EE6"/>
    <w:rsid w:val="0039118F"/>
    <w:rsid w:val="00392AD7"/>
    <w:rsid w:val="003938D9"/>
    <w:rsid w:val="00394376"/>
    <w:rsid w:val="003943FF"/>
    <w:rsid w:val="00394A1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509"/>
    <w:rsid w:val="0041477A"/>
    <w:rsid w:val="004167A3"/>
    <w:rsid w:val="0043180B"/>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6684"/>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60C"/>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64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95B"/>
    <w:rsid w:val="006E3AD4"/>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3B6"/>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0F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6B98"/>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2CB"/>
    <w:rsid w:val="008373D3"/>
    <w:rsid w:val="00840617"/>
    <w:rsid w:val="00840F84"/>
    <w:rsid w:val="00842A47"/>
    <w:rsid w:val="00843C13"/>
    <w:rsid w:val="00843DEF"/>
    <w:rsid w:val="008454F8"/>
    <w:rsid w:val="008514BF"/>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1D59"/>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5E9"/>
    <w:rsid w:val="00C24C8D"/>
    <w:rsid w:val="00C25FE2"/>
    <w:rsid w:val="00C26B53"/>
    <w:rsid w:val="00C279B2"/>
    <w:rsid w:val="00C3183C"/>
    <w:rsid w:val="00C31D0D"/>
    <w:rsid w:val="00C33E50"/>
    <w:rsid w:val="00C34C20"/>
    <w:rsid w:val="00C35A3E"/>
    <w:rsid w:val="00C42130"/>
    <w:rsid w:val="00C423A4"/>
    <w:rsid w:val="00C423E3"/>
    <w:rsid w:val="00C44BF5"/>
    <w:rsid w:val="00C5105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3265"/>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E0D"/>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B40"/>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0F2"/>
    <w:rsid w:val="00DC3067"/>
    <w:rsid w:val="00DC370B"/>
    <w:rsid w:val="00DC5B90"/>
    <w:rsid w:val="00DC6334"/>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163"/>
    <w:rsid w:val="00E502C1"/>
    <w:rsid w:val="00E502DD"/>
    <w:rsid w:val="00E50D3A"/>
    <w:rsid w:val="00E51387"/>
    <w:rsid w:val="00E51E68"/>
    <w:rsid w:val="00E52EFD"/>
    <w:rsid w:val="00E5408A"/>
    <w:rsid w:val="00E556B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5E7C"/>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0B3C"/>
    <w:rsid w:val="00F06D37"/>
    <w:rsid w:val="00F07284"/>
    <w:rsid w:val="00F07B9D"/>
    <w:rsid w:val="00F11586"/>
    <w:rsid w:val="00F1183B"/>
    <w:rsid w:val="00F11C9F"/>
    <w:rsid w:val="00F12263"/>
    <w:rsid w:val="00F1409D"/>
    <w:rsid w:val="00F14214"/>
    <w:rsid w:val="00F157A9"/>
    <w:rsid w:val="00F16F00"/>
    <w:rsid w:val="00F25BB6"/>
    <w:rsid w:val="00F26B7E"/>
    <w:rsid w:val="00F27A3B"/>
    <w:rsid w:val="00F32780"/>
    <w:rsid w:val="00F33335"/>
    <w:rsid w:val="00F33817"/>
    <w:rsid w:val="00F420D5"/>
    <w:rsid w:val="00F4485C"/>
    <w:rsid w:val="00F451EA"/>
    <w:rsid w:val="00F45447"/>
    <w:rsid w:val="00F456C6"/>
    <w:rsid w:val="00F4577B"/>
    <w:rsid w:val="00F46496"/>
    <w:rsid w:val="00F468E1"/>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93A"/>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31E"/>
    <w:rsid w:val="00FD55D7"/>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1537F8D"/>
    <w:rsid w:val="220B7F0B"/>
    <w:rsid w:val="359A53D6"/>
    <w:rsid w:val="65F56472"/>
    <w:rsid w:val="765C7073"/>
    <w:rsid w:val="772B4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3"/>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annotation reference"/>
    <w:semiHidden/>
    <w:unhideWhenUsed/>
    <w:uiPriority w:val="99"/>
    <w:rPr>
      <w:sz w:val="21"/>
      <w:szCs w:val="21"/>
    </w:rPr>
  </w:style>
  <w:style w:type="character" w:styleId="35">
    <w:name w:val="footnote reference"/>
    <w:semiHidden/>
    <w:uiPriority w:val="0"/>
    <w:rPr>
      <w:rFonts w:ascii="宋体" w:hAnsi="宋体" w:eastAsia="宋体" w:cs="Times New Roman"/>
      <w:spacing w:val="0"/>
      <w:sz w:val="18"/>
      <w:vertAlign w:val="superscript"/>
    </w:rPr>
  </w:style>
  <w:style w:type="character" w:customStyle="1" w:styleId="36">
    <w:name w:val="标题 1 字符"/>
    <w:link w:val="2"/>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uiPriority w:val="0"/>
    <w:rPr>
      <w:rFonts w:ascii="Arial" w:hAnsi="Arial" w:eastAsia="黑体"/>
      <w:kern w:val="2"/>
      <w:sz w:val="24"/>
      <w:szCs w:val="24"/>
    </w:rPr>
  </w:style>
  <w:style w:type="character" w:customStyle="1" w:styleId="44">
    <w:name w:val="标题 9 字符"/>
    <w:link w:val="10"/>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uiPriority w:val="99"/>
    <w:rPr>
      <w:rFonts w:ascii="宋体"/>
      <w:kern w:val="2"/>
      <w:sz w:val="18"/>
      <w:szCs w:val="18"/>
    </w:rPr>
  </w:style>
  <w:style w:type="character" w:customStyle="1" w:styleId="47">
    <w:name w:val="批注框文本 字符"/>
    <w:link w:val="17"/>
    <w:semiHidden/>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uiPriority w:val="0"/>
    <w:pPr>
      <w:jc w:val="both"/>
    </w:pPr>
    <w:rPr>
      <w:rFonts w:ascii="Times New Roman" w:hAnsi="Times New Roman" w:eastAsia="宋体" w:cs="Times New Roman"/>
      <w:lang w:val="en-US" w:eastAsia="zh-CN" w:bidi="ar-SA"/>
    </w:rPr>
  </w:style>
  <w:style w:type="paragraph" w:customStyle="1" w:styleId="56">
    <w:name w:val="标准文件_ICS"/>
    <w:basedOn w:val="1"/>
    <w:uiPriority w:val="0"/>
    <w:pPr>
      <w:spacing w:line="0" w:lineRule="atLeast"/>
    </w:pPr>
    <w:rPr>
      <w:rFonts w:ascii="黑体" w:hAnsi="宋体" w:eastAsia="黑体"/>
    </w:rPr>
  </w:style>
  <w:style w:type="paragraph" w:customStyle="1" w:styleId="57">
    <w:name w:val="标准文件_标准正文"/>
    <w:basedOn w:val="1"/>
    <w:next w:val="58"/>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uiPriority w:val="0"/>
    <w:pPr>
      <w:adjustRightInd/>
      <w:snapToGrid/>
      <w:ind w:firstLine="0" w:firstLineChars="0"/>
    </w:pPr>
    <w:rPr>
      <w:rFonts w:ascii="宋体" w:hAnsi="宋体"/>
      <w:kern w:val="2"/>
    </w:rPr>
  </w:style>
  <w:style w:type="paragraph" w:customStyle="1" w:styleId="60">
    <w:name w:val="标准文件_标准部门"/>
    <w:basedOn w:val="1"/>
    <w:uiPriority w:val="0"/>
    <w:pPr>
      <w:jc w:val="center"/>
    </w:pPr>
    <w:rPr>
      <w:rFonts w:ascii="黑体" w:eastAsia="黑体"/>
      <w:kern w:val="0"/>
      <w:sz w:val="44"/>
    </w:rPr>
  </w:style>
  <w:style w:type="paragraph" w:customStyle="1" w:styleId="61">
    <w:name w:val="标准文件_标准代替"/>
    <w:basedOn w:val="1"/>
    <w:next w:val="1"/>
    <w:uiPriority w:val="0"/>
    <w:pPr>
      <w:spacing w:line="310" w:lineRule="exact"/>
      <w:jc w:val="right"/>
    </w:pPr>
    <w:rPr>
      <w:rFonts w:ascii="宋体" w:hAnsi="宋体"/>
      <w:kern w:val="0"/>
    </w:rPr>
  </w:style>
  <w:style w:type="paragraph" w:customStyle="1" w:styleId="62">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uiPriority w:val="0"/>
    <w:rPr>
      <w:rFonts w:ascii="黑体" w:eastAsia="黑体"/>
      <w:spacing w:val="0"/>
      <w:w w:val="100"/>
      <w:position w:val="3"/>
      <w:sz w:val="28"/>
    </w:rPr>
  </w:style>
  <w:style w:type="paragraph" w:customStyle="1" w:styleId="69">
    <w:name w:val="标准文件_方框数字列项"/>
    <w:basedOn w:val="58"/>
    <w:uiPriority w:val="0"/>
    <w:pPr>
      <w:numPr>
        <w:ilvl w:val="0"/>
        <w:numId w:val="3"/>
      </w:numPr>
      <w:ind w:firstLine="0" w:firstLineChars="0"/>
    </w:pPr>
  </w:style>
  <w:style w:type="paragraph" w:customStyle="1" w:styleId="70">
    <w:name w:val="标准文件_封面标准编号"/>
    <w:basedOn w:val="1"/>
    <w:next w:val="61"/>
    <w:uiPriority w:val="0"/>
    <w:pPr>
      <w:spacing w:line="310" w:lineRule="exact"/>
      <w:jc w:val="right"/>
    </w:pPr>
    <w:rPr>
      <w:rFonts w:ascii="黑体" w:eastAsia="黑体"/>
      <w:kern w:val="0"/>
      <w:sz w:val="28"/>
    </w:rPr>
  </w:style>
  <w:style w:type="paragraph" w:customStyle="1" w:styleId="71">
    <w:name w:val="标准文件_封面标准分类号"/>
    <w:basedOn w:val="1"/>
    <w:uiPriority w:val="0"/>
    <w:rPr>
      <w:rFonts w:ascii="黑体" w:eastAsia="黑体"/>
      <w:b/>
      <w:kern w:val="0"/>
      <w:sz w:val="28"/>
    </w:rPr>
  </w:style>
  <w:style w:type="paragraph" w:customStyle="1" w:styleId="72">
    <w:name w:val="标准文件_封面标准名称"/>
    <w:basedOn w:val="1"/>
    <w:uiPriority w:val="0"/>
    <w:pPr>
      <w:spacing w:line="240" w:lineRule="auto"/>
      <w:jc w:val="center"/>
    </w:pPr>
    <w:rPr>
      <w:rFonts w:ascii="黑体" w:eastAsia="黑体"/>
      <w:kern w:val="0"/>
      <w:sz w:val="52"/>
    </w:rPr>
  </w:style>
  <w:style w:type="paragraph" w:customStyle="1" w:styleId="73">
    <w:name w:val="标准文件_封面标准英文名称"/>
    <w:basedOn w:val="1"/>
    <w:uiPriority w:val="0"/>
    <w:pPr>
      <w:spacing w:line="240" w:lineRule="auto"/>
      <w:jc w:val="center"/>
    </w:pPr>
    <w:rPr>
      <w:rFonts w:ascii="黑体" w:eastAsia="黑体"/>
      <w:b/>
      <w:sz w:val="28"/>
    </w:rPr>
  </w:style>
  <w:style w:type="paragraph" w:customStyle="1" w:styleId="74">
    <w:name w:val="标准文件_封面发布日期"/>
    <w:basedOn w:val="1"/>
    <w:uiPriority w:val="0"/>
    <w:pPr>
      <w:spacing w:line="310" w:lineRule="exact"/>
    </w:pPr>
    <w:rPr>
      <w:rFonts w:ascii="黑体" w:eastAsia="黑体"/>
      <w:kern w:val="0"/>
      <w:sz w:val="28"/>
    </w:rPr>
  </w:style>
  <w:style w:type="paragraph" w:customStyle="1" w:styleId="75">
    <w:name w:val="标准文件_封面密级"/>
    <w:basedOn w:val="1"/>
    <w:uiPriority w:val="0"/>
    <w:rPr>
      <w:rFonts w:eastAsia="黑体"/>
      <w:sz w:val="32"/>
    </w:rPr>
  </w:style>
  <w:style w:type="paragraph" w:customStyle="1" w:styleId="76">
    <w:name w:val="标准文件_封面实施日期"/>
    <w:basedOn w:val="1"/>
    <w:uiPriority w:val="0"/>
    <w:pPr>
      <w:spacing w:line="310" w:lineRule="exact"/>
      <w:jc w:val="right"/>
    </w:pPr>
    <w:rPr>
      <w:rFonts w:ascii="黑体" w:eastAsia="黑体"/>
      <w:sz w:val="28"/>
    </w:rPr>
  </w:style>
  <w:style w:type="paragraph" w:customStyle="1" w:styleId="77">
    <w:name w:val="标准文件_封面抬头"/>
    <w:basedOn w:val="58"/>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uiPriority w:val="0"/>
    <w:rPr>
      <w:kern w:val="2"/>
      <w:sz w:val="21"/>
      <w:szCs w:val="21"/>
    </w:rPr>
  </w:style>
  <w:style w:type="paragraph" w:customStyle="1" w:styleId="89">
    <w:name w:val="标准文件_附录章标题"/>
    <w:next w:val="58"/>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uiPriority w:val="0"/>
    <w:pPr>
      <w:ind w:left="488" w:leftChars="200" w:hanging="289" w:hangingChars="290"/>
    </w:pPr>
  </w:style>
  <w:style w:type="paragraph" w:customStyle="1" w:styleId="91">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uiPriority w:val="0"/>
    <w:pPr>
      <w:spacing w:line="460" w:lineRule="exact"/>
      <w:ind w:left="0" w:firstLine="0"/>
    </w:pPr>
  </w:style>
  <w:style w:type="paragraph" w:customStyle="1" w:styleId="93">
    <w:name w:val="标准文件_目录标题"/>
    <w:basedOn w:val="1"/>
    <w:uiPriority w:val="0"/>
    <w:pPr>
      <w:spacing w:before="480" w:after="150" w:afterLines="150" w:line="240" w:lineRule="auto"/>
      <w:jc w:val="center"/>
    </w:pPr>
    <w:rPr>
      <w:rFonts w:ascii="黑体" w:eastAsia="黑体"/>
      <w:sz w:val="32"/>
    </w:rPr>
  </w:style>
  <w:style w:type="paragraph" w:customStyle="1" w:styleId="94">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uiPriority w:val="0"/>
    <w:pPr>
      <w:adjustRightInd/>
      <w:spacing w:line="240" w:lineRule="auto"/>
      <w:ind w:firstLine="200" w:firstLineChars="200"/>
    </w:pPr>
    <w:rPr>
      <w:sz w:val="18"/>
      <w:szCs w:val="24"/>
    </w:rPr>
  </w:style>
  <w:style w:type="paragraph" w:customStyle="1" w:styleId="99">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uiPriority w:val="0"/>
    <w:rPr>
      <w:rFonts w:ascii="宋体"/>
      <w:kern w:val="2"/>
      <w:sz w:val="18"/>
      <w:szCs w:val="18"/>
    </w:rPr>
  </w:style>
  <w:style w:type="paragraph" w:customStyle="1" w:styleId="102">
    <w:name w:val="标准文件_条文脚注"/>
    <w:basedOn w:val="22"/>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uiPriority w:val="0"/>
    <w:pPr>
      <w:numPr>
        <w:ilvl w:val="0"/>
        <w:numId w:val="12"/>
      </w:numPr>
      <w:spacing w:line="240" w:lineRule="auto"/>
      <w:jc w:val="left"/>
    </w:pPr>
    <w:rPr>
      <w:rFonts w:ascii="宋体" w:hAnsi="宋体"/>
      <w:sz w:val="18"/>
    </w:rPr>
  </w:style>
  <w:style w:type="character" w:customStyle="1" w:styleId="104">
    <w:name w:val="标准文件_图表脚注内容"/>
    <w:uiPriority w:val="0"/>
    <w:rPr>
      <w:rFonts w:ascii="宋体" w:hAnsi="宋体" w:eastAsia="宋体" w:cs="Times New Roman"/>
      <w:spacing w:val="0"/>
      <w:sz w:val="18"/>
      <w:vertAlign w:val="superscript"/>
    </w:rPr>
  </w:style>
  <w:style w:type="paragraph" w:customStyle="1" w:styleId="105">
    <w:name w:val="标准文件_五级条标题"/>
    <w:next w:val="58"/>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uiPriority w:val="0"/>
    <w:pPr>
      <w:numPr>
        <w:ilvl w:val="3"/>
        <w:numId w:val="20"/>
      </w:numPr>
      <w:adjustRightInd/>
      <w:spacing w:line="240" w:lineRule="auto"/>
    </w:pPr>
    <w:rPr>
      <w:rFonts w:ascii="宋体" w:hAnsi="宋体"/>
      <w:szCs w:val="24"/>
    </w:rPr>
  </w:style>
  <w:style w:type="paragraph" w:customStyle="1" w:styleId="121">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uiPriority w:val="0"/>
    <w:pPr>
      <w:outlineLvl w:val="4"/>
    </w:pPr>
  </w:style>
  <w:style w:type="paragraph" w:customStyle="1" w:styleId="132">
    <w:name w:val="附录四级无标题条"/>
    <w:basedOn w:val="131"/>
    <w:next w:val="58"/>
    <w:uiPriority w:val="0"/>
    <w:pPr>
      <w:outlineLvl w:val="5"/>
    </w:pPr>
  </w:style>
  <w:style w:type="paragraph" w:customStyle="1" w:styleId="133">
    <w:name w:val="附录图"/>
    <w:next w:val="58"/>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uiPriority w:val="0"/>
    <w:pPr>
      <w:outlineLvl w:val="6"/>
    </w:pPr>
  </w:style>
  <w:style w:type="paragraph" w:customStyle="1" w:styleId="136">
    <w:name w:val="附录性质"/>
    <w:basedOn w:val="1"/>
    <w:uiPriority w:val="0"/>
    <w:pPr>
      <w:widowControl/>
      <w:adjustRightInd/>
      <w:jc w:val="center"/>
    </w:pPr>
    <w:rPr>
      <w:rFonts w:ascii="黑体" w:eastAsia="黑体"/>
    </w:rPr>
  </w:style>
  <w:style w:type="paragraph" w:customStyle="1" w:styleId="137">
    <w:name w:val="附录一级无标题条"/>
    <w:basedOn w:val="89"/>
    <w:next w:val="58"/>
    <w:uiPriority w:val="0"/>
    <w:pPr>
      <w:autoSpaceDN w:val="0"/>
      <w:outlineLvl w:val="2"/>
    </w:pPr>
    <w:rPr>
      <w:rFonts w:ascii="宋体" w:hAnsi="宋体" w:eastAsia="宋体"/>
    </w:rPr>
  </w:style>
  <w:style w:type="character" w:customStyle="1" w:styleId="138">
    <w:name w:val="个人答复风格"/>
    <w:uiPriority w:val="0"/>
    <w:rPr>
      <w:rFonts w:ascii="Arial" w:hAnsi="Arial" w:eastAsia="宋体" w:cs="Arial"/>
      <w:color w:val="auto"/>
      <w:spacing w:val="0"/>
      <w:sz w:val="20"/>
    </w:rPr>
  </w:style>
  <w:style w:type="character" w:customStyle="1" w:styleId="139">
    <w:name w:val="个人撰写风格"/>
    <w:uiPriority w:val="0"/>
    <w:rPr>
      <w:rFonts w:ascii="Arial" w:hAnsi="Arial" w:eastAsia="宋体" w:cs="Arial"/>
      <w:color w:val="auto"/>
      <w:spacing w:val="0"/>
      <w:sz w:val="20"/>
    </w:rPr>
  </w:style>
  <w:style w:type="paragraph" w:customStyle="1" w:styleId="140">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uiPriority w:val="0"/>
    <w:pPr>
      <w:tabs>
        <w:tab w:val="left" w:pos="840"/>
      </w:tabs>
    </w:pPr>
  </w:style>
  <w:style w:type="paragraph" w:customStyle="1" w:styleId="143">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uiPriority w:val="0"/>
    <w:pPr>
      <w:adjustRightInd/>
      <w:spacing w:line="240" w:lineRule="auto"/>
      <w:jc w:val="left"/>
    </w:pPr>
    <w:rPr>
      <w:bCs/>
      <w:iCs/>
    </w:rPr>
  </w:style>
  <w:style w:type="paragraph" w:customStyle="1" w:styleId="145">
    <w:name w:val="目录 31"/>
    <w:basedOn w:val="1"/>
    <w:next w:val="1"/>
    <w:semiHidden/>
    <w:uiPriority w:val="0"/>
    <w:pPr>
      <w:spacing w:line="240" w:lineRule="auto"/>
    </w:pPr>
    <w:rPr>
      <w:rFonts w:ascii="宋体" w:hAnsi="宋体"/>
      <w:iCs/>
    </w:rPr>
  </w:style>
  <w:style w:type="paragraph" w:customStyle="1" w:styleId="146">
    <w:name w:val="目录 41"/>
    <w:basedOn w:val="1"/>
    <w:next w:val="1"/>
    <w:semiHidden/>
    <w:uiPriority w:val="0"/>
    <w:pPr>
      <w:adjustRightInd/>
      <w:spacing w:line="240" w:lineRule="auto"/>
      <w:jc w:val="left"/>
    </w:pPr>
  </w:style>
  <w:style w:type="paragraph" w:customStyle="1" w:styleId="147">
    <w:name w:val="目录 51"/>
    <w:basedOn w:val="1"/>
    <w:next w:val="1"/>
    <w:semiHidden/>
    <w:uiPriority w:val="0"/>
    <w:pPr>
      <w:spacing w:line="240" w:lineRule="auto"/>
    </w:pPr>
    <w:rPr>
      <w:rFonts w:ascii="宋体" w:hAnsi="宋体"/>
    </w:rPr>
  </w:style>
  <w:style w:type="paragraph" w:customStyle="1" w:styleId="148">
    <w:name w:val="目录 61"/>
    <w:basedOn w:val="1"/>
    <w:next w:val="1"/>
    <w:semiHidden/>
    <w:uiPriority w:val="0"/>
    <w:pPr>
      <w:adjustRightInd/>
      <w:spacing w:line="240" w:lineRule="auto"/>
      <w:jc w:val="left"/>
    </w:pPr>
  </w:style>
  <w:style w:type="paragraph" w:customStyle="1" w:styleId="149">
    <w:name w:val="目录 71"/>
    <w:basedOn w:val="148"/>
    <w:semiHidden/>
    <w:uiPriority w:val="0"/>
    <w:pPr>
      <w:ind w:left="1260"/>
    </w:pPr>
  </w:style>
  <w:style w:type="paragraph" w:customStyle="1" w:styleId="150">
    <w:name w:val="目录 81"/>
    <w:basedOn w:val="149"/>
    <w:semiHidden/>
    <w:uiPriority w:val="0"/>
    <w:pPr>
      <w:ind w:left="1470"/>
    </w:pPr>
  </w:style>
  <w:style w:type="paragraph" w:customStyle="1" w:styleId="151">
    <w:name w:val="目录 91"/>
    <w:basedOn w:val="150"/>
    <w:semiHidden/>
    <w:uiPriority w:val="0"/>
    <w:pPr>
      <w:ind w:left="1680"/>
    </w:pPr>
  </w:style>
  <w:style w:type="paragraph" w:customStyle="1" w:styleId="152">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uiPriority w:val="0"/>
    <w:pPr>
      <w:numPr>
        <w:ilvl w:val="4"/>
        <w:numId w:val="20"/>
      </w:numPr>
      <w:adjustRightInd/>
      <w:spacing w:line="240" w:lineRule="auto"/>
    </w:pPr>
    <w:rPr>
      <w:rFonts w:ascii="宋体" w:hAnsi="宋体"/>
      <w:szCs w:val="24"/>
    </w:rPr>
  </w:style>
  <w:style w:type="paragraph" w:customStyle="1" w:styleId="156">
    <w:name w:val="实施日期"/>
    <w:basedOn w:val="122"/>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uiPriority w:val="0"/>
    <w:rPr>
      <w:rFonts w:ascii="宋体" w:hAnsi="Times New Roman" w:eastAsia="宋体" w:cs="Times New Roman"/>
      <w:sz w:val="21"/>
      <w:lang w:val="en-US" w:eastAsia="zh-CN" w:bidi="ar-SA"/>
    </w:rPr>
  </w:style>
  <w:style w:type="paragraph" w:customStyle="1" w:styleId="174">
    <w:name w:val="标准文件_三级项"/>
    <w:basedOn w:val="1"/>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uiPriority w:val="0"/>
    <w:pPr>
      <w:framePr w:w="3997" w:h="471" w:hRule="exact" w:hSpace="0" w:vSpace="181" w:wrap="around" w:vAnchor="page" w:hAnchor="page" w:x="1419" w:y="14097"/>
    </w:pPr>
  </w:style>
  <w:style w:type="paragraph" w:customStyle="1" w:styleId="196">
    <w:name w:val="其他实施日期"/>
    <w:basedOn w:val="156"/>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wrap="around"/>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uiPriority w:val="0"/>
    <w:rPr>
      <w:rFonts w:ascii="黑体" w:eastAsia="黑体"/>
      <w:spacing w:val="85"/>
      <w:w w:val="100"/>
      <w:position w:val="3"/>
      <w:sz w:val="28"/>
      <w:szCs w:val="28"/>
    </w:rPr>
  </w:style>
  <w:style w:type="character" w:customStyle="1" w:styleId="232">
    <w:name w:val="批注文字 字符"/>
    <w:basedOn w:val="29"/>
    <w:semiHidden/>
    <w:uiPriority w:val="99"/>
    <w:rPr>
      <w:kern w:val="2"/>
      <w:sz w:val="21"/>
      <w:szCs w:val="21"/>
    </w:rPr>
  </w:style>
  <w:style w:type="character" w:customStyle="1" w:styleId="233">
    <w:name w:val="批注文字 字符1"/>
    <w:link w:val="13"/>
    <w:semiHidden/>
    <w:uiPriority w:val="99"/>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7" Type="http://schemas.openxmlformats.org/officeDocument/2006/relationships/glossaryDocument" Target="glossary/document.xml"/><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3.jpeg"/><Relationship Id="rId41" Type="http://schemas.openxmlformats.org/officeDocument/2006/relationships/image" Target="media/image2.png"/><Relationship Id="rId40" Type="http://schemas.openxmlformats.org/officeDocument/2006/relationships/image" Target="media/image1.png"/><Relationship Id="rId4" Type="http://schemas.openxmlformats.org/officeDocument/2006/relationships/endnotes" Target="endnotes.xml"/><Relationship Id="rId39" Type="http://schemas.openxmlformats.org/officeDocument/2006/relationships/theme" Target="theme/theme1.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13162938ED748AAA4B01C707CC56AA1"/>
        <w:style w:val=""/>
        <w:category>
          <w:name w:val="常规"/>
          <w:gallery w:val="placeholder"/>
        </w:category>
        <w:types>
          <w:type w:val="bbPlcHdr"/>
        </w:types>
        <w:behaviors>
          <w:behavior w:val="content"/>
        </w:behaviors>
        <w:description w:val=""/>
        <w:guid w:val="{BB25BE7A-6C64-4FF9-AA1D-1EA21542F56A}"/>
      </w:docPartPr>
      <w:docPartBody>
        <w:p w14:paraId="6A704622">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F5E"/>
    <w:rsid w:val="0016631A"/>
    <w:rsid w:val="00445F5E"/>
    <w:rsid w:val="006670D2"/>
    <w:rsid w:val="006E303A"/>
    <w:rsid w:val="00AF1567"/>
    <w:rsid w:val="00B556DB"/>
    <w:rsid w:val="00DA5FAE"/>
    <w:rsid w:val="00F82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13162938ED748AAA4B01C707CC56A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691150DC0514C52B4445845683796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D1DA52F93FC46EF9200EF8B148DC43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0F0721-16A7-4445-9818-365BD6A4A62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13</Pages>
  <Words>4295</Words>
  <Characters>4521</Characters>
  <Lines>46</Lines>
  <Paragraphs>12</Paragraphs>
  <TotalTime>1</TotalTime>
  <ScaleCrop>false</ScaleCrop>
  <LinksUpToDate>false</LinksUpToDate>
  <CharactersWithSpaces>4580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2024-12-17T02:58:00Z</dcterms:created>
  <dc:creator>Administrator</dc:creator>
  <dc:description>&lt;config cover="true" show_menu="true" version="1.0.0" doctype="SDKXY"&gt;_x000d_
&lt;/config&gt;</dc:description>
  <cp:lastModifiedBy>小娴微醺</cp:lastModifiedBy>
  <cp:lastPrinted>2021-02-02T08:22:00Z</cp:lastPrinted>
  <dcterms:modified xsi:type="dcterms:W3CDTF">2024-12-30T07:12:21Z</dcterms:modified>
  <dc:title>团体标准</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2052-12.1.0.19302</vt:lpwstr>
  </property>
  <property fmtid="{D5CDD505-2E9C-101B-9397-08002B2CF9AE}" pid="16" name="KSOTemplateDocerSaveRecord">
    <vt:lpwstr>eyJoZGlkIjoiMjlhNmU2ZDdjY2Y3Nzg4YjdmNjA4MWRkODhkZjZiZDUiLCJ1c2VySWQiOiIyMjY5OTc4MTAifQ==</vt:lpwstr>
  </property>
  <property fmtid="{D5CDD505-2E9C-101B-9397-08002B2CF9AE}" pid="17" name="ICV">
    <vt:lpwstr>65574477083C40D8AB1375FE6A596E06_12</vt:lpwstr>
  </property>
</Properties>
</file>