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6FFE6561">
      <w:pPr>
        <w:spacing w:line="600" w:lineRule="exact"/>
        <w:ind w:firstLine="880" w:firstLineChars="200"/>
        <w:jc w:val="center"/>
        <w:outlineLvl w:val="0"/>
        <w:rPr>
          <w:rFonts w:ascii="方正小标宋简体" w:hAnsi="黑体" w:eastAsia="方正小标宋简体" w:cs="黑体"/>
          <w:color w:val="000000"/>
          <w:sz w:val="44"/>
          <w:szCs w:val="44"/>
        </w:rPr>
      </w:pPr>
      <w:r>
        <w:rPr>
          <w:rFonts w:hint="eastAsia" w:ascii="方正小标宋简体" w:hAnsi="黑体" w:eastAsia="方正小标宋简体" w:cs="黑体"/>
          <w:color w:val="000000"/>
          <w:sz w:val="44"/>
          <w:szCs w:val="44"/>
        </w:rPr>
        <w:t>团体标准</w:t>
      </w:r>
    </w:p>
    <w:p w14:paraId="0D842E4E">
      <w:pPr>
        <w:spacing w:line="600" w:lineRule="exact"/>
        <w:jc w:val="center"/>
        <w:outlineLvl w:val="0"/>
        <w:rPr>
          <w:rFonts w:ascii="方正小标宋简体" w:hAnsi="黑体" w:eastAsia="方正小标宋简体" w:cs="黑体"/>
          <w:color w:val="000000"/>
          <w:sz w:val="44"/>
          <w:szCs w:val="44"/>
        </w:rPr>
      </w:pPr>
      <w:r>
        <w:rPr>
          <w:rFonts w:hint="eastAsia" w:ascii="方正小标宋简体" w:hAnsi="黑体" w:eastAsia="方正小标宋简体" w:cs="黑体"/>
          <w:color w:val="000000"/>
          <w:sz w:val="44"/>
          <w:szCs w:val="44"/>
        </w:rPr>
        <w:t>《中低位直肠癌手术预防性肠造口护理技术规范》（征求意见稿）编制说明</w:t>
      </w:r>
    </w:p>
    <w:p w14:paraId="22F127C0">
      <w:pPr>
        <w:autoSpaceDE w:val="0"/>
        <w:autoSpaceDN w:val="0"/>
        <w:adjustRightInd w:val="0"/>
        <w:spacing w:before="156" w:beforeLines="50" w:after="156" w:afterLines="50" w:line="560" w:lineRule="exact"/>
        <w:ind w:firstLine="640" w:firstLineChars="200"/>
        <w:jc w:val="left"/>
        <w:outlineLvl w:val="0"/>
        <w:rPr>
          <w:rFonts w:ascii="黑体" w:hAnsi="黑体" w:eastAsia="黑体" w:cs="仿宋_GB2312"/>
          <w:sz w:val="32"/>
          <w:szCs w:val="32"/>
        </w:rPr>
      </w:pPr>
      <w:r>
        <w:rPr>
          <w:rFonts w:hint="eastAsia" w:ascii="黑体" w:hAnsi="黑体" w:eastAsia="黑体" w:cs="仿宋_GB2312"/>
          <w:sz w:val="32"/>
          <w:szCs w:val="32"/>
        </w:rPr>
        <w:t>一、项目来源</w:t>
      </w:r>
    </w:p>
    <w:p w14:paraId="188EBA2F">
      <w:pPr>
        <w:spacing w:line="560" w:lineRule="exact"/>
        <w:ind w:firstLine="640" w:firstLineChars="200"/>
        <w:rPr>
          <w:rFonts w:ascii="仿宋_GB2312" w:hAnsi="仿宋" w:eastAsia="仿宋_GB2312"/>
          <w:sz w:val="32"/>
          <w:szCs w:val="32"/>
        </w:rPr>
      </w:pPr>
      <w:r>
        <w:rPr>
          <w:rFonts w:hint="eastAsia" w:ascii="仿宋_GB2312" w:hAnsi="仿宋" w:eastAsia="仿宋_GB2312"/>
          <w:sz w:val="32"/>
          <w:szCs w:val="32"/>
        </w:rPr>
        <w:t>根据《广西标准化协会关于下达202</w:t>
      </w:r>
      <w:r>
        <w:rPr>
          <w:rFonts w:ascii="仿宋_GB2312" w:hAnsi="仿宋" w:eastAsia="仿宋_GB2312"/>
          <w:sz w:val="32"/>
          <w:szCs w:val="32"/>
        </w:rPr>
        <w:t>4</w:t>
      </w:r>
      <w:r>
        <w:rPr>
          <w:rFonts w:hint="eastAsia" w:ascii="仿宋_GB2312" w:hAnsi="仿宋" w:eastAsia="仿宋_GB2312"/>
          <w:sz w:val="32"/>
          <w:szCs w:val="32"/>
        </w:rPr>
        <w:t>年第四十七批团体标准制修订项目计划的通知》（桂标协〔202</w:t>
      </w:r>
      <w:r>
        <w:rPr>
          <w:rFonts w:ascii="仿宋_GB2312" w:hAnsi="仿宋" w:eastAsia="仿宋_GB2312"/>
          <w:sz w:val="32"/>
          <w:szCs w:val="32"/>
        </w:rPr>
        <w:t>4</w:t>
      </w:r>
      <w:r>
        <w:rPr>
          <w:rFonts w:hint="eastAsia" w:ascii="仿宋_GB2312" w:hAnsi="仿宋" w:eastAsia="仿宋_GB2312"/>
          <w:sz w:val="32"/>
          <w:szCs w:val="32"/>
        </w:rPr>
        <w:t>〕</w:t>
      </w:r>
      <w:r>
        <w:rPr>
          <w:rFonts w:ascii="仿宋_GB2312" w:hAnsi="仿宋" w:eastAsia="仿宋_GB2312"/>
          <w:sz w:val="32"/>
          <w:szCs w:val="32"/>
        </w:rPr>
        <w:t>308</w:t>
      </w:r>
      <w:r>
        <w:rPr>
          <w:rFonts w:hint="eastAsia" w:ascii="仿宋_GB2312" w:hAnsi="仿宋" w:eastAsia="仿宋_GB2312"/>
          <w:sz w:val="32"/>
          <w:szCs w:val="32"/>
        </w:rPr>
        <w:t>号）文件精神，</w:t>
      </w:r>
      <w:bookmarkStart w:id="0" w:name="_Hlk154153138"/>
      <w:r>
        <w:rPr>
          <w:rFonts w:hint="eastAsia" w:ascii="仿宋_GB2312" w:hAnsi="仿宋" w:eastAsia="仿宋_GB2312"/>
          <w:sz w:val="32"/>
          <w:szCs w:val="32"/>
        </w:rPr>
        <w:t>由南宁市第二人民医院（广西医科大学第三附属医院）提出，</w:t>
      </w:r>
      <w:bookmarkStart w:id="1" w:name="_Hlk186188598"/>
      <w:r>
        <w:rPr>
          <w:rFonts w:hint="eastAsia" w:ascii="仿宋_GB2312" w:hAnsi="仿宋" w:eastAsia="仿宋_GB2312"/>
          <w:sz w:val="32"/>
          <w:szCs w:val="32"/>
        </w:rPr>
        <w:t>南宁市第二人民医院（广西医科大学第三附属医院）、广西医科大学、北京大学人民医院、广东省护理学会、广西医科大学附属肿瘤医院、中山大学附属第一医院广西医院、北京医院、中国医科大学护理学院、山西省临汾市中心医院、郑州大学第一附属医院、广西壮族自治区南溪山医院、柳州市人民医院、广西医科大学第二附属医院</w:t>
      </w:r>
      <w:bookmarkEnd w:id="1"/>
      <w:r>
        <w:rPr>
          <w:rFonts w:hint="eastAsia" w:ascii="仿宋_GB2312" w:hAnsi="仿宋" w:eastAsia="仿宋_GB2312"/>
          <w:sz w:val="32"/>
          <w:szCs w:val="32"/>
        </w:rPr>
        <w:t>共同起草的团体标准</w:t>
      </w:r>
      <w:bookmarkEnd w:id="0"/>
      <w:r>
        <w:rPr>
          <w:rFonts w:hint="eastAsia" w:ascii="仿宋_GB2312" w:hAnsi="仿宋" w:eastAsia="仿宋_GB2312"/>
          <w:sz w:val="32"/>
          <w:szCs w:val="32"/>
        </w:rPr>
        <w:t>《中低位直肠癌手术预防性肠造口护理技术规范》已获立项。</w:t>
      </w:r>
    </w:p>
    <w:p w14:paraId="368950DA">
      <w:pPr>
        <w:autoSpaceDE w:val="0"/>
        <w:autoSpaceDN w:val="0"/>
        <w:adjustRightInd w:val="0"/>
        <w:spacing w:before="156" w:beforeLines="50" w:after="156" w:afterLines="50" w:line="560" w:lineRule="exact"/>
        <w:ind w:firstLine="640" w:firstLineChars="200"/>
        <w:jc w:val="left"/>
        <w:outlineLvl w:val="0"/>
        <w:rPr>
          <w:rFonts w:ascii="黑体" w:hAnsi="黑体" w:eastAsia="黑体" w:cs="仿宋_GB2312"/>
          <w:color w:val="FF0000"/>
          <w:sz w:val="32"/>
          <w:szCs w:val="32"/>
        </w:rPr>
      </w:pPr>
      <w:r>
        <w:rPr>
          <w:rFonts w:hint="eastAsia" w:ascii="黑体" w:hAnsi="黑体" w:eastAsia="黑体" w:cs="仿宋_GB2312"/>
          <w:sz w:val="32"/>
          <w:szCs w:val="32"/>
        </w:rPr>
        <w:t>二、项目背景及目的意义</w:t>
      </w:r>
    </w:p>
    <w:p w14:paraId="10F13504">
      <w:pPr>
        <w:suppressAutoHyphens/>
        <w:spacing w:line="560" w:lineRule="exact"/>
        <w:ind w:firstLine="640" w:firstLineChars="200"/>
        <w:rPr>
          <w:rFonts w:ascii="仿宋_GB2312" w:hAnsi="仿宋_GB2312" w:eastAsia="仿宋_GB2312" w:cs="仿宋_GB2312"/>
          <w:color w:val="000000" w:themeColor="text1"/>
          <w:sz w:val="32"/>
          <w:szCs w:val="32"/>
          <w14:textFill>
            <w14:solidFill>
              <w14:schemeClr w14:val="tx1"/>
            </w14:solidFill>
          </w14:textFill>
        </w:rPr>
      </w:pPr>
      <w:r>
        <w:rPr>
          <w:rFonts w:hint="eastAsia" w:ascii="仿宋_GB2312" w:hAnsi="仿宋_GB2312" w:eastAsia="仿宋_GB2312" w:cs="仿宋_GB2312"/>
          <w:color w:val="000000" w:themeColor="text1"/>
          <w:sz w:val="32"/>
          <w:szCs w:val="32"/>
          <w14:textFill>
            <w14:solidFill>
              <w14:schemeClr w14:val="tx1"/>
            </w14:solidFill>
          </w14:textFill>
        </w:rPr>
        <w:t>中低位直肠癌是指肿瘤远端距离肛缘3～10 cm以内的直肠癌，是直肠癌中最常见的发病部位，外科手术是中低位直肠癌最有效的治疗手段，全直肠系膜切除（total mesorectal excision，TME）已成为中低位直肠癌手术的“金标准”，基于COLORⅡ、COREAN等临床研究结果，腹腔镜TME手术已经成为临床指南的推荐术式。近年来，器械的改进、新辅助治疗的实施及对远端切缘认识的不断更新，为中低位直肠癌提供了更多的保肛治疗选择，如括约肌间切除术（intersphincteric resection，ISR）、经肛全直肠系膜切除（transanal total mesorectal excision，taTME）等，中低位直肠癌手术的保肛率逐渐提高。而吻合口漏(anastomotic leakage,AL)是直肠癌保肛手术后常见的严重并发症，其发生率占3%-24%，相关病死率可达6%-26%。这不仅会导致患者造口无法还纳、肛门功能不良等生活质量问题,甚至会影响肿瘤学预后。因此,如何降低吻合口漏发生率以及减轻吻合口漏发生后的危害程度,一直是结直肠外科的热点和难点。为减少术后吻合口的发生,临床常行临时性回肠造口,在术后3个月进行还纳手术。随着治疗模式的改变,预防性造口的比例逐渐上升。</w:t>
      </w:r>
    </w:p>
    <w:p w14:paraId="108B9C65">
      <w:pPr>
        <w:suppressAutoHyphens/>
        <w:spacing w:line="560" w:lineRule="exact"/>
        <w:ind w:firstLine="640" w:firstLineChars="200"/>
        <w:rPr>
          <w:rFonts w:ascii="仿宋_GB2312" w:hAnsi="仿宋_GB2312" w:eastAsia="仿宋_GB2312" w:cs="仿宋_GB2312"/>
          <w:color w:val="000000" w:themeColor="text1"/>
          <w:sz w:val="32"/>
          <w:szCs w:val="32"/>
          <w14:textFill>
            <w14:solidFill>
              <w14:schemeClr w14:val="tx1"/>
            </w14:solidFill>
          </w14:textFill>
        </w:rPr>
      </w:pPr>
      <w:r>
        <w:rPr>
          <w:rFonts w:hint="eastAsia" w:ascii="仿宋_GB2312" w:hAnsi="仿宋_GB2312" w:eastAsia="仿宋_GB2312" w:cs="仿宋_GB2312"/>
          <w:color w:val="000000" w:themeColor="text1"/>
          <w:sz w:val="32"/>
          <w:szCs w:val="32"/>
          <w14:textFill>
            <w14:solidFill>
              <w14:schemeClr w14:val="tx1"/>
            </w14:solidFill>
          </w14:textFill>
        </w:rPr>
        <w:t>预防性肠造口(又称暂时性肠造口或保护性肠造口)是指为缓解肠道压力，避免吻合口瘘的发生，避免肠内容物污染吻合口或口，将肠管提至腹壁，临时作为排泄物的出口。待吻合口愈合或瘘口关闭，肠功能恢复，最终将提至腹壁的肠管还纳入腹腔，造口关闭后患者完全可以像正常人一样生活。一般为造口术后3-6个月关闭造口。除离肛门括约肌太近的直肠癌外，经腹直肠前切并行预防性肠造口术是目前治疗直肠癌的首选术式。</w:t>
      </w:r>
    </w:p>
    <w:p w14:paraId="5E7381AB">
      <w:pPr>
        <w:suppressAutoHyphens/>
        <w:spacing w:line="560" w:lineRule="exact"/>
        <w:ind w:firstLine="640" w:firstLineChars="200"/>
        <w:rPr>
          <w:rFonts w:ascii="仿宋_GB2312" w:hAnsi="仿宋_GB2312" w:eastAsia="仿宋_GB2312" w:cs="仿宋_GB2312"/>
          <w:color w:val="000000" w:themeColor="text1"/>
          <w:sz w:val="32"/>
          <w:szCs w:val="32"/>
          <w14:textFill>
            <w14:solidFill>
              <w14:schemeClr w14:val="tx1"/>
            </w14:solidFill>
          </w14:textFill>
        </w:rPr>
      </w:pPr>
      <w:r>
        <w:rPr>
          <w:rFonts w:hint="eastAsia" w:ascii="仿宋_GB2312" w:hAnsi="仿宋_GB2312" w:eastAsia="仿宋_GB2312" w:cs="仿宋_GB2312"/>
          <w:color w:val="000000" w:themeColor="text1"/>
          <w:sz w:val="32"/>
          <w:szCs w:val="32"/>
          <w14:textFill>
            <w14:solidFill>
              <w14:schemeClr w14:val="tx1"/>
            </w14:solidFill>
          </w14:textFill>
        </w:rPr>
        <w:t>肠造口不仅使病人的体形、自尊受损，给社会、家庭带来压力同时也使病人承担了沉重的经济负担。肠造口病人是一个特殊的人群，因此，对肠造口病人的护理尤为重要。如何让患者早日康复、回归社会、恢复社会职能是护理工作的新目标。专家共识和团体标准对医务人员的临床实践具有重要的指导意义。但在国内临床实践中,从预防性造口的统一命名到适应证的把握、具体操作步骤及操作流程、造口部位的选择术后并发症的防治及术前术后的护理等，均存在较大的不规范性及地域差异性,使得许多患者承受了不必要的痛苦。回肠造口排泄物为小肠液,特点为量多、稀薄、对皮肤刺激性大、造口周围皮炎发生率高,而且造口回缩发生率也较高，中低位直肠癌手术预防性肠造口护理是通过对患者开展术前评估教育、造口定位、术前心理问题与护理干预等术前护理以及术后造口评估、造口护理用品的选择与使用、造口周围并发症的护理等方面予以指导，减少并发症的发生，提高造口医疗及护理的规范与质量,从而改善患者带造口生存体验，尽快适应造口状态,提高生活质量,促进身心尽早康复。</w:t>
      </w:r>
    </w:p>
    <w:p w14:paraId="60121F2A">
      <w:pPr>
        <w:suppressAutoHyphens/>
        <w:spacing w:line="560" w:lineRule="exact"/>
        <w:ind w:firstLine="640" w:firstLineChars="200"/>
        <w:rPr>
          <w:rFonts w:ascii="仿宋_GB2312" w:hAnsi="仿宋_GB2312" w:eastAsia="仿宋_GB2312" w:cs="仿宋_GB2312"/>
          <w:color w:val="000000" w:themeColor="text1"/>
          <w:sz w:val="32"/>
          <w:szCs w:val="32"/>
          <w14:textFill>
            <w14:solidFill>
              <w14:schemeClr w14:val="tx1"/>
            </w14:solidFill>
          </w14:textFill>
        </w:rPr>
      </w:pPr>
      <w:r>
        <w:rPr>
          <w:rFonts w:hint="eastAsia" w:ascii="仿宋_GB2312" w:hAnsi="仿宋_GB2312" w:eastAsia="仿宋_GB2312" w:cs="仿宋_GB2312"/>
          <w:color w:val="000000" w:themeColor="text1"/>
          <w:sz w:val="32"/>
          <w:szCs w:val="32"/>
          <w14:textFill>
            <w14:solidFill>
              <w14:schemeClr w14:val="tx1"/>
            </w14:solidFill>
          </w14:textFill>
        </w:rPr>
        <w:t>因此，规范中低位直肠癌手术预防性肠造口护理操作，全区推广科学的、符合实际的护理操作方法，提供科学、统一的指导，提高中低位直肠癌手术预防性肠造口护理水平，制定团体标准《中低位直肠癌手术预防性肠造口护理技术规范》十分必要，这也将对中低位直肠癌手术预防性肠造口护理工作高质量发展具有重要意义。</w:t>
      </w:r>
    </w:p>
    <w:p w14:paraId="324276A2">
      <w:pPr>
        <w:autoSpaceDE w:val="0"/>
        <w:autoSpaceDN w:val="0"/>
        <w:adjustRightInd w:val="0"/>
        <w:spacing w:before="156" w:beforeLines="50" w:after="156" w:afterLines="50" w:line="560" w:lineRule="exact"/>
        <w:ind w:firstLine="640" w:firstLineChars="200"/>
        <w:jc w:val="left"/>
        <w:outlineLvl w:val="0"/>
        <w:rPr>
          <w:rFonts w:ascii="黑体" w:hAnsi="黑体" w:eastAsia="黑体" w:cs="仿宋_GB2312"/>
          <w:sz w:val="32"/>
          <w:szCs w:val="32"/>
        </w:rPr>
      </w:pPr>
      <w:r>
        <w:rPr>
          <w:rFonts w:hint="eastAsia" w:ascii="黑体" w:hAnsi="黑体" w:eastAsia="黑体" w:cs="仿宋_GB2312"/>
          <w:sz w:val="32"/>
          <w:szCs w:val="32"/>
        </w:rPr>
        <w:t>三、项目编制过程</w:t>
      </w:r>
    </w:p>
    <w:p w14:paraId="3ACDFFAA">
      <w:pPr>
        <w:spacing w:before="156" w:beforeLines="50" w:after="156" w:afterLines="50" w:line="560" w:lineRule="exact"/>
        <w:ind w:firstLine="643" w:firstLineChars="200"/>
        <w:outlineLvl w:val="1"/>
        <w:rPr>
          <w:rFonts w:ascii="楷体" w:hAnsi="楷体" w:eastAsia="楷体" w:cs="仿宋_GB2312"/>
          <w:b/>
          <w:sz w:val="32"/>
          <w:szCs w:val="32"/>
        </w:rPr>
      </w:pPr>
      <w:r>
        <w:rPr>
          <w:rFonts w:hint="eastAsia" w:ascii="楷体" w:hAnsi="楷体" w:eastAsia="楷体" w:cs="仿宋_GB2312"/>
          <w:b/>
          <w:sz w:val="32"/>
          <w:szCs w:val="32"/>
        </w:rPr>
        <w:t>（一）成立标准编制工作组</w:t>
      </w:r>
    </w:p>
    <w:p w14:paraId="0BD5FC4B">
      <w:pPr>
        <w:spacing w:line="560" w:lineRule="exact"/>
        <w:ind w:firstLine="640" w:firstLineChars="200"/>
        <w:rPr>
          <w:rFonts w:ascii="仿宋_GB2312" w:hAnsi="宋体" w:eastAsia="仿宋_GB2312"/>
          <w:sz w:val="32"/>
          <w:szCs w:val="32"/>
        </w:rPr>
      </w:pPr>
      <w:r>
        <w:rPr>
          <w:rFonts w:hint="eastAsia" w:ascii="仿宋_GB2312" w:hAnsi="宋体" w:eastAsia="仿宋_GB2312"/>
          <w:sz w:val="32"/>
          <w:szCs w:val="32"/>
        </w:rPr>
        <w:t>团体标准</w:t>
      </w:r>
      <w:r>
        <w:rPr>
          <w:rFonts w:hint="eastAsia" w:ascii="仿宋_GB2312" w:hAnsi="仿宋_GB2312" w:eastAsia="仿宋_GB2312" w:cs="仿宋_GB2312"/>
          <w:color w:val="000000" w:themeColor="text1"/>
          <w:sz w:val="32"/>
          <w:szCs w:val="32"/>
          <w14:textFill>
            <w14:solidFill>
              <w14:schemeClr w14:val="tx1"/>
            </w14:solidFill>
          </w14:textFill>
        </w:rPr>
        <w:t>《中低位直肠癌手术预防性肠造口护理技术规范》</w:t>
      </w:r>
      <w:r>
        <w:rPr>
          <w:rFonts w:hint="eastAsia" w:ascii="仿宋_GB2312" w:hAnsi="宋体" w:eastAsia="仿宋_GB2312"/>
          <w:sz w:val="32"/>
          <w:szCs w:val="32"/>
        </w:rPr>
        <w:t>项目任务下达后，由</w:t>
      </w:r>
      <w:r>
        <w:rPr>
          <w:rFonts w:hint="eastAsia" w:ascii="仿宋_GB2312" w:hAnsi="仿宋" w:eastAsia="仿宋_GB2312"/>
          <w:sz w:val="32"/>
          <w:szCs w:val="32"/>
        </w:rPr>
        <w:t>南宁市第二人民医院</w:t>
      </w:r>
      <w:r>
        <w:rPr>
          <w:rFonts w:hint="eastAsia" w:ascii="仿宋_GB2312" w:hAnsi="宋体" w:eastAsia="仿宋_GB2312"/>
          <w:sz w:val="32"/>
          <w:szCs w:val="32"/>
        </w:rPr>
        <w:t>牵头组织成立了标准编制工作组，制定了标准编写方案，明确任务职责，确定工作技术路线，开展标准研制工作。具体编制工作由</w:t>
      </w:r>
      <w:r>
        <w:rPr>
          <w:rFonts w:hint="eastAsia" w:ascii="仿宋_GB2312" w:hAnsi="仿宋" w:eastAsia="仿宋_GB2312"/>
          <w:sz w:val="32"/>
          <w:szCs w:val="32"/>
        </w:rPr>
        <w:t>南宁市第二人民医院</w:t>
      </w:r>
      <w:r>
        <w:rPr>
          <w:rFonts w:hint="eastAsia" w:ascii="仿宋_GB2312" w:hAnsi="宋体" w:eastAsia="仿宋_GB2312"/>
          <w:sz w:val="32"/>
          <w:szCs w:val="32"/>
        </w:rPr>
        <w:t>组成的标准编制工作组负责。编制工作组下设三个小组，分别是资料收集组、草案编写组、标准实施组。</w:t>
      </w:r>
    </w:p>
    <w:p w14:paraId="2B3C936D">
      <w:pPr>
        <w:spacing w:line="560" w:lineRule="exact"/>
        <w:ind w:firstLine="640" w:firstLineChars="200"/>
        <w:rPr>
          <w:rFonts w:ascii="仿宋_GB2312" w:hAnsi="宋体" w:eastAsia="仿宋_GB2312"/>
          <w:sz w:val="32"/>
          <w:szCs w:val="32"/>
        </w:rPr>
      </w:pPr>
      <w:r>
        <w:rPr>
          <w:rFonts w:hint="eastAsia" w:ascii="仿宋_GB2312" w:hAnsi="宋体" w:eastAsia="仿宋_GB2312"/>
          <w:sz w:val="32"/>
          <w:szCs w:val="32"/>
        </w:rPr>
        <w:t>资料收集组：负责国内关于</w:t>
      </w:r>
      <w:r>
        <w:rPr>
          <w:rFonts w:hint="eastAsia" w:ascii="仿宋_GB2312" w:hAnsi="仿宋_GB2312" w:eastAsia="仿宋_GB2312" w:cs="仿宋_GB2312"/>
          <w:color w:val="000000" w:themeColor="text1"/>
          <w:sz w:val="32"/>
          <w:szCs w:val="32"/>
          <w14:textFill>
            <w14:solidFill>
              <w14:schemeClr w14:val="tx1"/>
            </w14:solidFill>
          </w14:textFill>
        </w:rPr>
        <w:t>中低位直肠癌手术预防性肠造口护理的</w:t>
      </w:r>
      <w:r>
        <w:rPr>
          <w:rFonts w:hint="eastAsia" w:ascii="仿宋_GB2312" w:hAnsi="宋体" w:eastAsia="仿宋_GB2312"/>
          <w:sz w:val="32"/>
          <w:szCs w:val="32"/>
        </w:rPr>
        <w:t>文献资料的查询、收集和整理工作，查阅现存关于</w:t>
      </w:r>
      <w:r>
        <w:rPr>
          <w:rFonts w:hint="eastAsia" w:ascii="仿宋_GB2312" w:hAnsi="仿宋_GB2312" w:eastAsia="仿宋_GB2312" w:cs="仿宋_GB2312"/>
          <w:color w:val="000000" w:themeColor="text1"/>
          <w:sz w:val="32"/>
          <w:szCs w:val="32"/>
          <w14:textFill>
            <w14:solidFill>
              <w14:schemeClr w14:val="tx1"/>
            </w14:solidFill>
          </w14:textFill>
        </w:rPr>
        <w:t>中低位直肠癌手术预防性肠造口护理</w:t>
      </w:r>
      <w:r>
        <w:rPr>
          <w:rFonts w:hint="eastAsia" w:ascii="仿宋_GB2312" w:hAnsi="宋体" w:eastAsia="仿宋_GB2312"/>
          <w:sz w:val="32"/>
          <w:szCs w:val="32"/>
        </w:rPr>
        <w:t>的研究以及国内相关标准的制定。</w:t>
      </w:r>
    </w:p>
    <w:p w14:paraId="4DF08FB1">
      <w:pPr>
        <w:spacing w:line="560" w:lineRule="exact"/>
        <w:ind w:firstLine="640" w:firstLineChars="200"/>
        <w:rPr>
          <w:rFonts w:ascii="仿宋_GB2312" w:hAnsi="宋体" w:eastAsia="仿宋_GB2312"/>
          <w:sz w:val="32"/>
          <w:szCs w:val="32"/>
        </w:rPr>
      </w:pPr>
      <w:r>
        <w:rPr>
          <w:rFonts w:hint="eastAsia" w:ascii="仿宋_GB2312" w:hAnsi="宋体" w:eastAsia="仿宋_GB2312"/>
          <w:sz w:val="32"/>
          <w:szCs w:val="32"/>
        </w:rPr>
        <w:t>草案编写组：负责标准立项、征求意见、审定、报批等阶段的标准文本及编制说明的起草工作，包括标准制定过程各阶段标准文本及相关材料的修改和完善。</w:t>
      </w:r>
    </w:p>
    <w:p w14:paraId="20C56400">
      <w:pPr>
        <w:spacing w:line="560" w:lineRule="exact"/>
        <w:ind w:firstLine="640" w:firstLineChars="200"/>
        <w:rPr>
          <w:rFonts w:ascii="仿宋_GB2312" w:hAnsi="宋体" w:eastAsia="仿宋_GB2312"/>
          <w:sz w:val="32"/>
          <w:szCs w:val="32"/>
        </w:rPr>
      </w:pPr>
      <w:r>
        <w:rPr>
          <w:rFonts w:hint="eastAsia" w:ascii="仿宋_GB2312" w:hAnsi="宋体" w:eastAsia="仿宋_GB2312"/>
          <w:sz w:val="32"/>
          <w:szCs w:val="32"/>
        </w:rPr>
        <w:t>标准实施组：负责团体标准《</w:t>
      </w:r>
      <w:r>
        <w:rPr>
          <w:rFonts w:hint="eastAsia" w:ascii="仿宋_GB2312" w:hAnsi="仿宋_GB2312" w:eastAsia="仿宋_GB2312" w:cs="仿宋_GB2312"/>
          <w:color w:val="000000" w:themeColor="text1"/>
          <w:sz w:val="32"/>
          <w:szCs w:val="32"/>
          <w14:textFill>
            <w14:solidFill>
              <w14:schemeClr w14:val="tx1"/>
            </w14:solidFill>
          </w14:textFill>
        </w:rPr>
        <w:t>中低位直肠癌手术预防性肠造口护理技术规范</w:t>
      </w:r>
      <w:r>
        <w:rPr>
          <w:rFonts w:hint="eastAsia" w:ascii="仿宋_GB2312" w:hAnsi="宋体" w:eastAsia="仿宋_GB2312"/>
          <w:sz w:val="32"/>
          <w:szCs w:val="32"/>
        </w:rPr>
        <w:t>》标准发布后，组织相关部门、医疗机构等，开展标准宣贯培训会，对标准进行研讨和详细解读，使相关人员了解标准，熟悉标准，并能熟练运用标准；为确保标准的实施效果和综合运用率，对标准实施情况进行总结分析，对标准提出持续改进意见。</w:t>
      </w:r>
    </w:p>
    <w:p w14:paraId="4F9A20A7">
      <w:pPr>
        <w:numPr>
          <w:ilvl w:val="0"/>
          <w:numId w:val="1"/>
        </w:numPr>
        <w:spacing w:before="156" w:beforeLines="50" w:after="156" w:afterLines="50" w:line="560" w:lineRule="exact"/>
        <w:ind w:firstLine="643" w:firstLineChars="200"/>
        <w:outlineLvl w:val="1"/>
        <w:rPr>
          <w:rFonts w:ascii="楷体" w:hAnsi="楷体" w:eastAsia="楷体" w:cs="仿宋_GB2312"/>
          <w:b/>
          <w:sz w:val="32"/>
          <w:szCs w:val="32"/>
        </w:rPr>
      </w:pPr>
      <w:r>
        <w:rPr>
          <w:rFonts w:hint="eastAsia" w:ascii="楷体" w:hAnsi="楷体" w:eastAsia="楷体" w:cs="仿宋_GB2312"/>
          <w:b/>
          <w:sz w:val="32"/>
          <w:szCs w:val="32"/>
        </w:rPr>
        <w:t>收集整理文献资料</w:t>
      </w:r>
    </w:p>
    <w:p w14:paraId="66E37989">
      <w:pPr>
        <w:pStyle w:val="16"/>
        <w:spacing w:after="0" w:line="560" w:lineRule="exact"/>
        <w:ind w:firstLine="640" w:firstLineChars="200"/>
        <w:rPr>
          <w:rFonts w:ascii="仿宋_GB2312" w:hAnsi="仿宋_GB2312" w:eastAsia="仿宋_GB2312" w:cs="仿宋_GB2312"/>
        </w:rPr>
      </w:pPr>
      <w:r>
        <w:rPr>
          <w:rFonts w:hint="eastAsia" w:ascii="仿宋_GB2312" w:hAnsi="仿宋_GB2312" w:eastAsia="仿宋_GB2312" w:cs="仿宋_GB2312"/>
        </w:rPr>
        <w:t>通过资料收集组对文献资料的收集和整理，草案编写组主要参考了以下国内相关的期刊书籍。</w:t>
      </w:r>
    </w:p>
    <w:p w14:paraId="1C767CF9">
      <w:pPr>
        <w:pStyle w:val="16"/>
        <w:spacing w:after="0" w:line="560" w:lineRule="exact"/>
        <w:ind w:firstLine="640" w:firstLineChars="200"/>
        <w:rPr>
          <w:rFonts w:ascii="仿宋_GB2312" w:hAnsi="仿宋_GB2312" w:eastAsia="仿宋_GB2312" w:cs="仿宋_GB2312"/>
        </w:rPr>
      </w:pPr>
      <w:r>
        <w:rPr>
          <w:rFonts w:hint="eastAsia" w:ascii="仿宋_GB2312" w:hAnsi="仿宋_GB2312" w:eastAsia="仿宋_GB2312" w:cs="仿宋_GB2312"/>
        </w:rPr>
        <w:t>（1）韦皓棠，陈利生。粪便miRNA检测在结直肠癌诊断中的价值[J].结直肠肛门外科，2017,5(23):565-569.</w:t>
      </w:r>
    </w:p>
    <w:p w14:paraId="08A52E5B">
      <w:pPr>
        <w:pStyle w:val="16"/>
        <w:spacing w:after="0" w:line="560" w:lineRule="exact"/>
        <w:ind w:firstLine="640" w:firstLineChars="200"/>
        <w:rPr>
          <w:rFonts w:ascii="仿宋_GB2312" w:hAnsi="仿宋_GB2312" w:eastAsia="仿宋_GB2312" w:cs="仿宋_GB2312"/>
        </w:rPr>
      </w:pPr>
      <w:r>
        <w:rPr>
          <w:rFonts w:hint="eastAsia" w:ascii="仿宋_GB2312" w:hAnsi="仿宋_GB2312" w:eastAsia="仿宋_GB2312" w:cs="仿宋_GB2312"/>
        </w:rPr>
        <w:t>（2）王佳雷，李霖.结直肠癌周围淋巴结CK20 蛋白检测的临床应用研究[J].川北医学院学报，2017，1(32):82-85.</w:t>
      </w:r>
    </w:p>
    <w:p w14:paraId="43F020FD">
      <w:pPr>
        <w:pStyle w:val="16"/>
        <w:spacing w:after="0" w:line="560" w:lineRule="exact"/>
        <w:ind w:firstLine="640" w:firstLineChars="200"/>
        <w:rPr>
          <w:rFonts w:ascii="仿宋_GB2312" w:hAnsi="仿宋_GB2312" w:eastAsia="仿宋_GB2312" w:cs="仿宋_GB2312"/>
        </w:rPr>
      </w:pPr>
      <w:r>
        <w:rPr>
          <w:rFonts w:hint="eastAsia" w:ascii="仿宋_GB2312" w:hAnsi="仿宋_GB2312" w:eastAsia="仿宋_GB2312" w:cs="仿宋_GB2312"/>
        </w:rPr>
        <w:t>（3）谢桂生，董保国，梁驰.中西医结合快速康复流程在结直肠癌手术中的应用[J].医学信息，2017，2(30)，164-165.</w:t>
      </w:r>
    </w:p>
    <w:p w14:paraId="6E2E7222">
      <w:pPr>
        <w:pStyle w:val="16"/>
        <w:spacing w:after="0" w:line="560" w:lineRule="exact"/>
        <w:ind w:firstLine="640" w:firstLineChars="200"/>
        <w:rPr>
          <w:rFonts w:ascii="仿宋_GB2312" w:hAnsi="仿宋_GB2312" w:eastAsia="仿宋_GB2312" w:cs="仿宋_GB2312"/>
        </w:rPr>
      </w:pPr>
      <w:r>
        <w:rPr>
          <w:rFonts w:hint="eastAsia" w:ascii="仿宋_GB2312" w:hAnsi="仿宋_GB2312" w:eastAsia="仿宋_GB2312" w:cs="仿宋_GB2312"/>
        </w:rPr>
        <w:t>（4）韦凤，农桂旋，李丽红.关注新型医护一体化，关注护理安全[J].实用临床护理学杂志，2017.2.(44)，192-192.</w:t>
      </w:r>
    </w:p>
    <w:p w14:paraId="40CCBD51">
      <w:pPr>
        <w:pStyle w:val="16"/>
        <w:spacing w:after="0" w:line="560" w:lineRule="exact"/>
        <w:ind w:firstLine="640" w:firstLineChars="200"/>
        <w:rPr>
          <w:rFonts w:ascii="仿宋_GB2312" w:hAnsi="仿宋_GB2312" w:eastAsia="仿宋_GB2312" w:cs="仿宋_GB2312"/>
        </w:rPr>
      </w:pPr>
      <w:r>
        <w:rPr>
          <w:rFonts w:hint="eastAsia" w:ascii="仿宋_GB2312" w:hAnsi="仿宋_GB2312" w:eastAsia="仿宋_GB2312" w:cs="仿宋_GB2312"/>
        </w:rPr>
        <w:t>（5）谢桂生(综述)，董保国(审校)，腹腔镜低位直肠癌根治术的研究进展[J],中国临床新医学，2018，8(11)，837-841.</w:t>
      </w:r>
    </w:p>
    <w:p w14:paraId="40F1C617">
      <w:pPr>
        <w:pStyle w:val="16"/>
        <w:spacing w:after="0" w:line="560" w:lineRule="exact"/>
        <w:ind w:firstLine="640" w:firstLineChars="200"/>
        <w:rPr>
          <w:rFonts w:ascii="仿宋_GB2312" w:hAnsi="仿宋_GB2312" w:eastAsia="仿宋_GB2312" w:cs="仿宋_GB2312"/>
        </w:rPr>
      </w:pPr>
      <w:r>
        <w:rPr>
          <w:rFonts w:hint="eastAsia" w:ascii="仿宋_GB2312" w:hAnsi="仿宋_GB2312" w:eastAsia="仿宋_GB2312" w:cs="仿宋_GB2312"/>
        </w:rPr>
        <w:t>（6）DB22/T 3253-2021《成人肠造口护理操作规范》</w:t>
      </w:r>
    </w:p>
    <w:p w14:paraId="164925E4">
      <w:pPr>
        <w:pStyle w:val="16"/>
        <w:spacing w:after="0" w:line="560" w:lineRule="exact"/>
        <w:ind w:firstLine="640" w:firstLineChars="200"/>
        <w:rPr>
          <w:rFonts w:ascii="仿宋_GB2312" w:hAnsi="仿宋_GB2312" w:eastAsia="仿宋_GB2312" w:cs="仿宋_GB2312"/>
        </w:rPr>
      </w:pPr>
      <w:r>
        <w:rPr>
          <w:rFonts w:hint="eastAsia" w:ascii="仿宋_GB2312" w:hAnsi="仿宋_GB2312" w:eastAsia="仿宋_GB2312" w:cs="仿宋_GB2312"/>
        </w:rPr>
        <w:t>（7）T/HHPA 005-2022《婴幼儿肠造口护理技术标准》</w:t>
      </w:r>
    </w:p>
    <w:p w14:paraId="25F6BD60">
      <w:pPr>
        <w:pStyle w:val="16"/>
        <w:spacing w:after="0" w:line="560" w:lineRule="exact"/>
        <w:ind w:firstLine="640" w:firstLineChars="200"/>
        <w:rPr>
          <w:rFonts w:ascii="仿宋_GB2312" w:hAnsi="仿宋_GB2312" w:eastAsia="仿宋_GB2312" w:cs="仿宋_GB2312"/>
        </w:rPr>
      </w:pPr>
      <w:r>
        <w:rPr>
          <w:rFonts w:hint="eastAsia" w:ascii="仿宋_GB2312" w:hAnsi="仿宋_GB2312" w:eastAsia="仿宋_GB2312" w:cs="仿宋_GB2312"/>
        </w:rPr>
        <w:t>（8）T/CNAS 07-2019《成人肠造口护理》</w:t>
      </w:r>
    </w:p>
    <w:p w14:paraId="3D91F6EE">
      <w:pPr>
        <w:spacing w:before="156" w:beforeLines="50" w:after="156" w:afterLines="50" w:line="560" w:lineRule="exact"/>
        <w:ind w:firstLine="643" w:firstLineChars="200"/>
        <w:outlineLvl w:val="1"/>
        <w:rPr>
          <w:rFonts w:ascii="楷体" w:hAnsi="楷体" w:eastAsia="楷体" w:cs="仿宋_GB2312"/>
          <w:b/>
          <w:sz w:val="32"/>
          <w:szCs w:val="32"/>
        </w:rPr>
      </w:pPr>
      <w:r>
        <w:rPr>
          <w:rFonts w:hint="eastAsia" w:ascii="楷体" w:hAnsi="楷体" w:eastAsia="楷体" w:cs="仿宋_GB2312"/>
          <w:b/>
          <w:sz w:val="32"/>
          <w:szCs w:val="32"/>
        </w:rPr>
        <w:t>（三）研讨确定标准主体内容，形成草案</w:t>
      </w:r>
    </w:p>
    <w:p w14:paraId="23BAD078">
      <w:pPr>
        <w:spacing w:line="560" w:lineRule="exact"/>
        <w:ind w:firstLine="640" w:firstLineChars="200"/>
        <w:rPr>
          <w:rFonts w:ascii="仿宋_GB2312" w:hAnsi="宋体" w:eastAsia="仿宋_GB2312"/>
          <w:sz w:val="32"/>
          <w:szCs w:val="32"/>
        </w:rPr>
      </w:pPr>
      <w:r>
        <w:rPr>
          <w:rFonts w:hint="eastAsia" w:ascii="仿宋_GB2312" w:hAnsi="宋体" w:eastAsia="仿宋_GB2312"/>
          <w:sz w:val="32"/>
          <w:szCs w:val="32"/>
        </w:rPr>
        <w:t>标准编制工作组在对收集的资料进行整理研究之后，标准编制工作组召开了标准编制会议，对标准的整体框架结构进行了研究，并对标准的关键性内容进行了初步探讨。经过研究，标准的主体内容确定为</w:t>
      </w:r>
      <w:r>
        <w:rPr>
          <w:rFonts w:hint="eastAsia" w:ascii="仿宋_GB2312" w:hAnsi="仿宋_GB2312" w:eastAsia="仿宋_GB2312" w:cs="仿宋_GB2312"/>
          <w:color w:val="000000" w:themeColor="text1"/>
          <w:sz w:val="32"/>
          <w:szCs w:val="32"/>
          <w14:textFill>
            <w14:solidFill>
              <w14:schemeClr w14:val="tx1"/>
            </w14:solidFill>
          </w14:textFill>
        </w:rPr>
        <w:t>中低位直肠癌手术预防性肠造口护理</w:t>
      </w:r>
      <w:r>
        <w:rPr>
          <w:rFonts w:hint="eastAsia" w:ascii="仿宋_GB2312" w:hAnsi="宋体" w:eastAsia="仿宋_GB2312"/>
          <w:sz w:val="32"/>
          <w:szCs w:val="32"/>
        </w:rPr>
        <w:t>的</w:t>
      </w:r>
      <w:r>
        <w:rPr>
          <w:rFonts w:hint="eastAsia" w:ascii="仿宋_GB2312" w:hAnsi="仿宋_GB2312" w:eastAsia="仿宋_GB2312" w:cs="仿宋_GB2312"/>
          <w:sz w:val="32"/>
          <w:szCs w:val="32"/>
        </w:rPr>
        <w:t>术语和定义、</w:t>
      </w:r>
      <w:r>
        <w:rPr>
          <w:rFonts w:hint="eastAsia" w:ascii="仿宋_GB2312" w:hAnsi="宋体" w:eastAsia="仿宋_GB2312"/>
          <w:sz w:val="32"/>
          <w:szCs w:val="32"/>
        </w:rPr>
        <w:t>规定了基本要求、预防性肠造口围手术期护理、预防性肠造口还纳围手术期护理的要求。</w:t>
      </w:r>
    </w:p>
    <w:p w14:paraId="50DC546C">
      <w:pPr>
        <w:numPr>
          <w:ilvl w:val="0"/>
          <w:numId w:val="2"/>
        </w:numPr>
        <w:spacing w:before="156" w:beforeLines="50" w:after="156" w:afterLines="50" w:line="520" w:lineRule="exact"/>
        <w:ind w:firstLine="643" w:firstLineChars="200"/>
        <w:outlineLvl w:val="1"/>
        <w:rPr>
          <w:rFonts w:ascii="楷体" w:hAnsi="楷体" w:eastAsia="楷体" w:cs="仿宋_GB2312"/>
          <w:b/>
          <w:sz w:val="32"/>
          <w:szCs w:val="32"/>
        </w:rPr>
      </w:pPr>
      <w:r>
        <w:rPr>
          <w:rFonts w:hint="eastAsia" w:ascii="楷体" w:hAnsi="楷体" w:eastAsia="楷体" w:cs="仿宋_GB2312"/>
          <w:b/>
          <w:sz w:val="32"/>
          <w:szCs w:val="32"/>
        </w:rPr>
        <w:t>调研，形成草案、征求意见稿</w:t>
      </w:r>
    </w:p>
    <w:p w14:paraId="7B8BD0BD">
      <w:pPr>
        <w:spacing w:line="560" w:lineRule="exact"/>
        <w:ind w:firstLine="640" w:firstLineChars="200"/>
        <w:rPr>
          <w:rFonts w:ascii="仿宋_GB2312" w:hAnsi="宋体" w:eastAsia="仿宋_GB2312"/>
          <w:color w:val="000000" w:themeColor="text1"/>
          <w:sz w:val="32"/>
          <w:szCs w:val="32"/>
          <w14:textFill>
            <w14:solidFill>
              <w14:schemeClr w14:val="tx1"/>
            </w14:solidFill>
          </w14:textFill>
        </w:rPr>
      </w:pPr>
      <w:r>
        <w:rPr>
          <w:rFonts w:hint="eastAsia" w:ascii="仿宋_GB2312" w:hAnsi="宋体" w:eastAsia="仿宋_GB2312"/>
          <w:color w:val="000000" w:themeColor="text1"/>
          <w:sz w:val="32"/>
          <w:szCs w:val="32"/>
          <w14:textFill>
            <w14:solidFill>
              <w14:schemeClr w14:val="tx1"/>
            </w14:solidFill>
          </w14:textFill>
        </w:rPr>
        <w:t>202</w:t>
      </w:r>
      <w:r>
        <w:rPr>
          <w:rFonts w:ascii="仿宋_GB2312" w:hAnsi="宋体" w:eastAsia="仿宋_GB2312"/>
          <w:color w:val="000000" w:themeColor="text1"/>
          <w:sz w:val="32"/>
          <w:szCs w:val="32"/>
          <w14:textFill>
            <w14:solidFill>
              <w14:schemeClr w14:val="tx1"/>
            </w14:solidFill>
          </w14:textFill>
        </w:rPr>
        <w:t>4</w:t>
      </w:r>
      <w:r>
        <w:rPr>
          <w:rFonts w:hint="eastAsia" w:ascii="仿宋_GB2312" w:hAnsi="宋体" w:eastAsia="仿宋_GB2312"/>
          <w:color w:val="000000" w:themeColor="text1"/>
          <w:sz w:val="32"/>
          <w:szCs w:val="32"/>
          <w14:textFill>
            <w14:solidFill>
              <w14:schemeClr w14:val="tx1"/>
            </w14:solidFill>
          </w14:textFill>
        </w:rPr>
        <w:t>年1</w:t>
      </w:r>
      <w:r>
        <w:rPr>
          <w:rFonts w:ascii="仿宋_GB2312" w:hAnsi="宋体" w:eastAsia="仿宋_GB2312"/>
          <w:color w:val="000000" w:themeColor="text1"/>
          <w:sz w:val="32"/>
          <w:szCs w:val="32"/>
          <w14:textFill>
            <w14:solidFill>
              <w14:schemeClr w14:val="tx1"/>
            </w14:solidFill>
          </w14:textFill>
        </w:rPr>
        <w:t>1-</w:t>
      </w:r>
      <w:r>
        <w:rPr>
          <w:rFonts w:hint="eastAsia" w:ascii="仿宋_GB2312" w:hAnsi="宋体" w:eastAsia="仿宋_GB2312"/>
          <w:color w:val="000000" w:themeColor="text1"/>
          <w:sz w:val="32"/>
          <w:szCs w:val="32"/>
          <w14:textFill>
            <w14:solidFill>
              <w14:schemeClr w14:val="tx1"/>
            </w14:solidFill>
          </w14:textFill>
        </w:rPr>
        <w:t>1</w:t>
      </w:r>
      <w:r>
        <w:rPr>
          <w:rFonts w:ascii="仿宋_GB2312" w:hAnsi="宋体" w:eastAsia="仿宋_GB2312"/>
          <w:color w:val="000000" w:themeColor="text1"/>
          <w:sz w:val="32"/>
          <w:szCs w:val="32"/>
          <w14:textFill>
            <w14:solidFill>
              <w14:schemeClr w14:val="tx1"/>
            </w14:solidFill>
          </w14:textFill>
        </w:rPr>
        <w:t>2</w:t>
      </w:r>
      <w:r>
        <w:rPr>
          <w:rFonts w:hint="eastAsia" w:ascii="仿宋_GB2312" w:hAnsi="仿宋_GB2312" w:eastAsia="仿宋_GB2312" w:cs="仿宋_GB2312"/>
          <w:sz w:val="32"/>
          <w:szCs w:val="32"/>
        </w:rPr>
        <w:t>月</w:t>
      </w:r>
      <w:r>
        <w:rPr>
          <w:rFonts w:hint="eastAsia" w:ascii="仿宋_GB2312" w:hAnsi="宋体" w:eastAsia="仿宋_GB2312"/>
          <w:color w:val="000000" w:themeColor="text1"/>
          <w:sz w:val="32"/>
          <w:szCs w:val="32"/>
          <w14:textFill>
            <w14:solidFill>
              <w14:schemeClr w14:val="tx1"/>
            </w14:solidFill>
          </w14:textFill>
        </w:rPr>
        <w:t>，标准编制工作组在前期工作的基础之上，通过理清逻辑脉络，整合已有参考资料中有关</w:t>
      </w:r>
      <w:r>
        <w:rPr>
          <w:rFonts w:hint="eastAsia" w:ascii="仿宋_GB2312" w:hAnsi="仿宋_GB2312" w:eastAsia="仿宋_GB2312" w:cs="仿宋_GB2312"/>
          <w:color w:val="000000" w:themeColor="text1"/>
          <w:sz w:val="32"/>
          <w:szCs w:val="32"/>
          <w14:textFill>
            <w14:solidFill>
              <w14:schemeClr w14:val="tx1"/>
            </w14:solidFill>
          </w14:textFill>
        </w:rPr>
        <w:t>中低位直肠癌手术预防性肠造口护理的资料</w:t>
      </w:r>
      <w:r>
        <w:rPr>
          <w:rFonts w:hint="eastAsia" w:ascii="仿宋_GB2312" w:hAnsi="宋体" w:eastAsia="仿宋_GB2312"/>
          <w:color w:val="000000" w:themeColor="text1"/>
          <w:sz w:val="32"/>
          <w:szCs w:val="32"/>
          <w14:textFill>
            <w14:solidFill>
              <w14:schemeClr w14:val="tx1"/>
            </w14:solidFill>
          </w14:textFill>
        </w:rPr>
        <w:t>，并结合</w:t>
      </w:r>
      <w:r>
        <w:rPr>
          <w:rFonts w:hint="eastAsia" w:ascii="仿宋_GB2312" w:hAnsi="仿宋_GB2312" w:eastAsia="仿宋_GB2312" w:cs="仿宋_GB2312"/>
          <w:color w:val="000000" w:themeColor="text1"/>
          <w:sz w:val="32"/>
          <w:szCs w:val="32"/>
          <w14:textFill>
            <w14:solidFill>
              <w14:schemeClr w14:val="tx1"/>
            </w14:solidFill>
          </w14:textFill>
        </w:rPr>
        <w:t>中低位直肠癌手术预防性肠造口护理</w:t>
      </w:r>
      <w:r>
        <w:rPr>
          <w:rFonts w:hint="eastAsia" w:ascii="仿宋_GB2312" w:hAnsi="宋体" w:eastAsia="仿宋_GB2312"/>
          <w:color w:val="000000" w:themeColor="text1"/>
          <w:sz w:val="32"/>
          <w:szCs w:val="32"/>
          <w14:textFill>
            <w14:solidFill>
              <w14:schemeClr w14:val="tx1"/>
            </w14:solidFill>
          </w14:textFill>
        </w:rPr>
        <w:t>实际操作的基础上，按照简化、统一等原则编制完成团体标准《中低位直肠癌手术预防性肠造口护理技术规范》（草案）。</w:t>
      </w:r>
    </w:p>
    <w:p w14:paraId="1F76D5EA">
      <w:pPr>
        <w:spacing w:line="560" w:lineRule="exact"/>
        <w:ind w:firstLine="640" w:firstLineChars="200"/>
        <w:rPr>
          <w:rFonts w:ascii="仿宋_GB2312" w:hAnsi="宋体" w:eastAsia="仿宋_GB2312"/>
          <w:sz w:val="32"/>
          <w:szCs w:val="32"/>
        </w:rPr>
      </w:pPr>
      <w:r>
        <w:rPr>
          <w:rFonts w:hint="eastAsia" w:ascii="仿宋_GB2312" w:hAnsi="宋体" w:eastAsia="仿宋_GB2312"/>
          <w:color w:val="000000" w:themeColor="text1"/>
          <w:sz w:val="32"/>
          <w:szCs w:val="32"/>
          <w14:textFill>
            <w14:solidFill>
              <w14:schemeClr w14:val="tx1"/>
            </w14:solidFill>
          </w14:textFill>
        </w:rPr>
        <w:t>2</w:t>
      </w:r>
      <w:r>
        <w:rPr>
          <w:rFonts w:ascii="仿宋_GB2312" w:hAnsi="宋体" w:eastAsia="仿宋_GB2312"/>
          <w:color w:val="000000" w:themeColor="text1"/>
          <w:sz w:val="32"/>
          <w:szCs w:val="32"/>
          <w14:textFill>
            <w14:solidFill>
              <w14:schemeClr w14:val="tx1"/>
            </w14:solidFill>
          </w14:textFill>
        </w:rPr>
        <w:t>024</w:t>
      </w:r>
      <w:r>
        <w:rPr>
          <w:rFonts w:hint="eastAsia" w:ascii="仿宋_GB2312" w:hAnsi="宋体" w:eastAsia="仿宋_GB2312"/>
          <w:color w:val="000000" w:themeColor="text1"/>
          <w:sz w:val="32"/>
          <w:szCs w:val="32"/>
          <w14:textFill>
            <w14:solidFill>
              <w14:schemeClr w14:val="tx1"/>
            </w14:solidFill>
          </w14:textFill>
        </w:rPr>
        <w:t>年</w:t>
      </w:r>
      <w:r>
        <w:rPr>
          <w:rFonts w:ascii="仿宋_GB2312" w:hAnsi="宋体" w:eastAsia="仿宋_GB2312"/>
          <w:color w:val="000000" w:themeColor="text1"/>
          <w:sz w:val="32"/>
          <w:szCs w:val="32"/>
          <w14:textFill>
            <w14:solidFill>
              <w14:schemeClr w14:val="tx1"/>
            </w14:solidFill>
          </w14:textFill>
        </w:rPr>
        <w:t>12</w:t>
      </w:r>
      <w:r>
        <w:rPr>
          <w:rFonts w:hint="eastAsia" w:ascii="仿宋_GB2312" w:hAnsi="仿宋_GB2312" w:eastAsia="仿宋_GB2312" w:cs="仿宋_GB2312"/>
          <w:sz w:val="32"/>
          <w:szCs w:val="32"/>
        </w:rPr>
        <w:t>月，</w:t>
      </w:r>
      <w:r>
        <w:rPr>
          <w:rFonts w:hint="eastAsia" w:ascii="仿宋_GB2312" w:hAnsi="宋体" w:eastAsia="仿宋_GB2312"/>
          <w:sz w:val="32"/>
          <w:szCs w:val="32"/>
        </w:rPr>
        <w:t>标准编制工作组深入起草单位针对</w:t>
      </w:r>
      <w:r>
        <w:rPr>
          <w:rFonts w:hint="eastAsia" w:ascii="仿宋_GB2312" w:hAnsi="仿宋_GB2312" w:eastAsia="仿宋_GB2312" w:cs="仿宋_GB2312"/>
          <w:color w:val="000000" w:themeColor="text1"/>
          <w:sz w:val="32"/>
          <w:szCs w:val="32"/>
          <w14:textFill>
            <w14:solidFill>
              <w14:schemeClr w14:val="tx1"/>
            </w14:solidFill>
          </w14:textFill>
        </w:rPr>
        <w:t>中低位直肠癌手术预防性肠造口护理</w:t>
      </w:r>
      <w:r>
        <w:rPr>
          <w:rFonts w:hint="eastAsia" w:ascii="仿宋_GB2312" w:hAnsi="宋体" w:eastAsia="仿宋_GB2312"/>
          <w:sz w:val="32"/>
          <w:szCs w:val="32"/>
        </w:rPr>
        <w:t>工作进行实地调研学习。通过实地调研，掌握了关于</w:t>
      </w:r>
      <w:r>
        <w:rPr>
          <w:rFonts w:hint="eastAsia" w:ascii="仿宋_GB2312" w:hAnsi="仿宋_GB2312" w:eastAsia="仿宋_GB2312" w:cs="仿宋_GB2312"/>
          <w:color w:val="000000" w:themeColor="text1"/>
          <w:sz w:val="32"/>
          <w:szCs w:val="32"/>
          <w14:textFill>
            <w14:solidFill>
              <w14:schemeClr w14:val="tx1"/>
            </w14:solidFill>
          </w14:textFill>
        </w:rPr>
        <w:t>中低位直肠癌手术预防性肠造口护理</w:t>
      </w:r>
      <w:r>
        <w:rPr>
          <w:rFonts w:hint="eastAsia" w:ascii="仿宋_GB2312" w:hAnsi="宋体" w:eastAsia="仿宋_GB2312"/>
          <w:sz w:val="32"/>
          <w:szCs w:val="32"/>
        </w:rPr>
        <w:t>的具体要求。在开展实地调研的基础上，标准编制工作组多次组织召开座谈会，就标准文本主要技术内容进行讨论，收集标准修改意见，会后根据座谈讨论情况对标准草案进行反复修改完善，最终形成团体标准《</w:t>
      </w:r>
      <w:r>
        <w:rPr>
          <w:rFonts w:hint="eastAsia" w:ascii="仿宋_GB2312" w:hAnsi="宋体" w:eastAsia="仿宋_GB2312"/>
          <w:color w:val="000000" w:themeColor="text1"/>
          <w:sz w:val="32"/>
          <w:szCs w:val="32"/>
          <w14:textFill>
            <w14:solidFill>
              <w14:schemeClr w14:val="tx1"/>
            </w14:solidFill>
          </w14:textFill>
        </w:rPr>
        <w:t>中低位直肠癌手术预防性肠造口护理技术规范</w:t>
      </w:r>
      <w:r>
        <w:rPr>
          <w:rFonts w:hint="eastAsia" w:ascii="仿宋_GB2312" w:hAnsi="宋体" w:eastAsia="仿宋_GB2312"/>
          <w:sz w:val="32"/>
          <w:szCs w:val="32"/>
        </w:rPr>
        <w:t>》（征求意见稿）及其编制说明。</w:t>
      </w:r>
    </w:p>
    <w:p w14:paraId="01A80D02">
      <w:pPr>
        <w:spacing w:before="156" w:beforeLines="50" w:after="156" w:afterLines="50" w:line="560" w:lineRule="exact"/>
        <w:ind w:firstLine="640" w:firstLineChars="200"/>
        <w:outlineLvl w:val="0"/>
        <w:rPr>
          <w:rFonts w:ascii="黑体" w:hAnsi="黑体" w:eastAsia="黑体" w:cs="仿宋_GB2312"/>
          <w:sz w:val="32"/>
          <w:szCs w:val="32"/>
        </w:rPr>
      </w:pPr>
      <w:bookmarkStart w:id="2" w:name="_Toc526940083"/>
      <w:r>
        <w:rPr>
          <w:rFonts w:hint="eastAsia" w:ascii="黑体" w:hAnsi="黑体" w:eastAsia="黑体" w:cs="仿宋_GB2312"/>
          <w:sz w:val="32"/>
          <w:szCs w:val="32"/>
        </w:rPr>
        <w:t>四、标准制定原则</w:t>
      </w:r>
      <w:bookmarkEnd w:id="2"/>
    </w:p>
    <w:p w14:paraId="2707BD07">
      <w:pPr>
        <w:spacing w:before="156" w:beforeLines="50" w:after="156" w:afterLines="50" w:line="560" w:lineRule="exact"/>
        <w:ind w:firstLine="643" w:firstLineChars="200"/>
        <w:outlineLvl w:val="1"/>
        <w:rPr>
          <w:rFonts w:ascii="楷体_GB2312" w:hAnsi="宋体" w:eastAsia="楷体_GB2312"/>
          <w:b/>
          <w:bCs/>
          <w:sz w:val="32"/>
          <w:szCs w:val="32"/>
        </w:rPr>
      </w:pPr>
      <w:r>
        <w:rPr>
          <w:rFonts w:hint="eastAsia" w:ascii="楷体_GB2312" w:hAnsi="宋体" w:eastAsia="楷体_GB2312"/>
          <w:b/>
          <w:bCs/>
          <w:sz w:val="32"/>
          <w:szCs w:val="32"/>
        </w:rPr>
        <w:t>（一）实用性原则</w:t>
      </w:r>
    </w:p>
    <w:p w14:paraId="6EEB6AF7">
      <w:pPr>
        <w:spacing w:line="560" w:lineRule="exact"/>
        <w:ind w:firstLine="640" w:firstLineChars="200"/>
        <w:rPr>
          <w:rFonts w:ascii="仿宋_GB2312" w:hAnsi="宋体" w:eastAsia="仿宋_GB2312"/>
          <w:sz w:val="32"/>
          <w:szCs w:val="32"/>
        </w:rPr>
      </w:pPr>
      <w:r>
        <w:rPr>
          <w:rFonts w:hint="eastAsia" w:ascii="仿宋_GB2312" w:hAnsi="宋体" w:eastAsia="仿宋_GB2312"/>
          <w:sz w:val="32"/>
          <w:szCs w:val="32"/>
        </w:rPr>
        <w:t>本文件是在充分收集相关资料，分析当前现状、调研的实际情况，在现有文献中参考与</w:t>
      </w:r>
      <w:r>
        <w:rPr>
          <w:rFonts w:hint="eastAsia" w:ascii="仿宋_GB2312" w:hAnsi="仿宋_GB2312" w:eastAsia="仿宋_GB2312" w:cs="仿宋_GB2312"/>
          <w:color w:val="000000" w:themeColor="text1"/>
          <w:sz w:val="32"/>
          <w:szCs w:val="32"/>
          <w14:textFill>
            <w14:solidFill>
              <w14:schemeClr w14:val="tx1"/>
            </w14:solidFill>
          </w14:textFill>
        </w:rPr>
        <w:t>中低位直肠癌手术预防性肠造口护理</w:t>
      </w:r>
      <w:r>
        <w:rPr>
          <w:rFonts w:hint="eastAsia" w:ascii="仿宋_GB2312" w:hAnsi="宋体" w:eastAsia="仿宋_GB2312"/>
          <w:sz w:val="32"/>
          <w:szCs w:val="32"/>
        </w:rPr>
        <w:t>相关内容的基础上，结合多年经验而总结起草的。符合当前</w:t>
      </w:r>
      <w:r>
        <w:rPr>
          <w:rFonts w:hint="eastAsia" w:ascii="仿宋_GB2312" w:hAnsi="仿宋_GB2312" w:eastAsia="仿宋_GB2312" w:cs="仿宋_GB2312"/>
          <w:color w:val="000000" w:themeColor="text1"/>
          <w:sz w:val="32"/>
          <w:szCs w:val="32"/>
          <w14:textFill>
            <w14:solidFill>
              <w14:schemeClr w14:val="tx1"/>
            </w14:solidFill>
          </w14:textFill>
        </w:rPr>
        <w:t>中低位直肠癌手术预防性肠造口护理</w:t>
      </w:r>
      <w:r>
        <w:rPr>
          <w:rFonts w:hint="eastAsia" w:ascii="仿宋_GB2312" w:hAnsi="宋体" w:eastAsia="仿宋_GB2312"/>
          <w:sz w:val="32"/>
          <w:szCs w:val="32"/>
        </w:rPr>
        <w:t>的需要，有利于行业的长远发展，具有较强的实用性和可操作性。</w:t>
      </w:r>
    </w:p>
    <w:p w14:paraId="58737EA0">
      <w:pPr>
        <w:spacing w:before="156" w:beforeLines="50" w:after="156" w:afterLines="50" w:line="560" w:lineRule="exact"/>
        <w:ind w:firstLine="643" w:firstLineChars="200"/>
        <w:outlineLvl w:val="1"/>
        <w:rPr>
          <w:rFonts w:ascii="楷体_GB2312" w:hAnsi="宋体" w:eastAsia="楷体_GB2312"/>
          <w:b/>
          <w:bCs/>
          <w:sz w:val="32"/>
          <w:szCs w:val="32"/>
        </w:rPr>
      </w:pPr>
      <w:r>
        <w:rPr>
          <w:rFonts w:hint="eastAsia" w:ascii="楷体_GB2312" w:hAnsi="宋体" w:eastAsia="楷体_GB2312"/>
          <w:b/>
          <w:bCs/>
          <w:sz w:val="32"/>
          <w:szCs w:val="32"/>
        </w:rPr>
        <w:t>（二）协调性原则</w:t>
      </w:r>
    </w:p>
    <w:p w14:paraId="61CDB024">
      <w:pPr>
        <w:spacing w:line="560" w:lineRule="exact"/>
        <w:ind w:firstLine="640" w:firstLineChars="200"/>
        <w:rPr>
          <w:rFonts w:ascii="仿宋_GB2312" w:hAnsi="宋体" w:eastAsia="仿宋_GB2312"/>
          <w:sz w:val="32"/>
          <w:szCs w:val="32"/>
        </w:rPr>
      </w:pPr>
      <w:r>
        <w:rPr>
          <w:rFonts w:hint="eastAsia" w:ascii="仿宋_GB2312" w:hAnsi="宋体" w:eastAsia="仿宋_GB2312"/>
          <w:sz w:val="32"/>
          <w:szCs w:val="32"/>
        </w:rPr>
        <w:t>本文件编写过程中注意了与</w:t>
      </w:r>
      <w:r>
        <w:rPr>
          <w:rFonts w:hint="eastAsia" w:ascii="仿宋_GB2312" w:hAnsi="仿宋_GB2312" w:eastAsia="仿宋_GB2312" w:cs="仿宋_GB2312"/>
          <w:color w:val="000000" w:themeColor="text1"/>
          <w:sz w:val="32"/>
          <w:szCs w:val="32"/>
          <w14:textFill>
            <w14:solidFill>
              <w14:schemeClr w14:val="tx1"/>
            </w14:solidFill>
          </w14:textFill>
        </w:rPr>
        <w:t>中低位直肠癌手术预防性肠造口护理</w:t>
      </w:r>
      <w:r>
        <w:rPr>
          <w:rFonts w:hint="eastAsia" w:ascii="仿宋_GB2312" w:hAnsi="宋体" w:eastAsia="仿宋_GB2312"/>
          <w:sz w:val="32"/>
          <w:szCs w:val="32"/>
        </w:rPr>
        <w:t>相关法律法规的协调问题，在内容上与现行法律法规、标准协调一致。</w:t>
      </w:r>
    </w:p>
    <w:p w14:paraId="2AEB4420">
      <w:pPr>
        <w:spacing w:before="156" w:beforeLines="50" w:after="156" w:afterLines="50" w:line="560" w:lineRule="exact"/>
        <w:ind w:firstLine="643" w:firstLineChars="200"/>
        <w:outlineLvl w:val="1"/>
        <w:rPr>
          <w:rFonts w:ascii="楷体_GB2312" w:hAnsi="宋体" w:eastAsia="楷体_GB2312"/>
          <w:b/>
          <w:bCs/>
          <w:sz w:val="32"/>
          <w:szCs w:val="32"/>
        </w:rPr>
      </w:pPr>
      <w:r>
        <w:rPr>
          <w:rFonts w:hint="eastAsia" w:ascii="楷体_GB2312" w:hAnsi="宋体" w:eastAsia="楷体_GB2312"/>
          <w:b/>
          <w:bCs/>
          <w:sz w:val="32"/>
          <w:szCs w:val="32"/>
        </w:rPr>
        <w:t>（三）规范性原则</w:t>
      </w:r>
    </w:p>
    <w:p w14:paraId="1EA13A72">
      <w:pPr>
        <w:spacing w:line="560" w:lineRule="exact"/>
        <w:ind w:firstLine="640" w:firstLineChars="200"/>
        <w:rPr>
          <w:rFonts w:ascii="仿宋_GB2312" w:hAnsi="宋体" w:eastAsia="仿宋_GB2312"/>
          <w:sz w:val="32"/>
          <w:szCs w:val="32"/>
        </w:rPr>
      </w:pPr>
      <w:r>
        <w:rPr>
          <w:rFonts w:hint="eastAsia" w:ascii="仿宋_GB2312" w:hAnsi="宋体" w:eastAsia="仿宋_GB2312"/>
          <w:sz w:val="32"/>
          <w:szCs w:val="32"/>
        </w:rPr>
        <w:t>本文件严格按照</w:t>
      </w:r>
      <w:r>
        <w:rPr>
          <w:rFonts w:eastAsia="仿宋_GB2312"/>
          <w:sz w:val="32"/>
          <w:szCs w:val="32"/>
        </w:rPr>
        <w:t>GB/T 1.1—2020</w:t>
      </w:r>
      <w:r>
        <w:rPr>
          <w:rFonts w:hint="eastAsia" w:ascii="仿宋_GB2312" w:hAnsi="宋体" w:eastAsia="仿宋_GB2312"/>
          <w:sz w:val="32"/>
          <w:szCs w:val="32"/>
        </w:rPr>
        <w:t>《标准化工作导则 第1部分：标准化文件的结构和起草规则》的要求和规定编写本标准的内容，保证标准的编写质量。</w:t>
      </w:r>
    </w:p>
    <w:p w14:paraId="2A4BF172">
      <w:pPr>
        <w:spacing w:before="156" w:beforeLines="50" w:after="156" w:afterLines="50" w:line="560" w:lineRule="exact"/>
        <w:ind w:firstLine="643" w:firstLineChars="200"/>
        <w:outlineLvl w:val="1"/>
        <w:rPr>
          <w:rFonts w:ascii="楷体_GB2312" w:hAnsi="宋体" w:eastAsia="楷体_GB2312"/>
          <w:b/>
          <w:bCs/>
          <w:sz w:val="32"/>
          <w:szCs w:val="32"/>
        </w:rPr>
      </w:pPr>
      <w:r>
        <w:rPr>
          <w:rFonts w:hint="eastAsia" w:ascii="楷体_GB2312" w:hAnsi="宋体" w:eastAsia="楷体_GB2312"/>
          <w:b/>
          <w:bCs/>
          <w:sz w:val="32"/>
          <w:szCs w:val="32"/>
        </w:rPr>
        <w:t>（四）前瞻性原则</w:t>
      </w:r>
    </w:p>
    <w:p w14:paraId="3E7A6793">
      <w:pPr>
        <w:spacing w:line="560" w:lineRule="exact"/>
        <w:ind w:firstLine="640" w:firstLineChars="200"/>
      </w:pPr>
      <w:r>
        <w:rPr>
          <w:rFonts w:hint="eastAsia" w:ascii="仿宋_GB2312" w:hAnsi="宋体" w:eastAsia="仿宋_GB2312"/>
          <w:sz w:val="32"/>
          <w:szCs w:val="32"/>
        </w:rPr>
        <w:t>本文件在兼顾当前区内</w:t>
      </w:r>
      <w:r>
        <w:rPr>
          <w:rFonts w:hint="eastAsia" w:ascii="仿宋_GB2312" w:hAnsi="仿宋_GB2312" w:eastAsia="仿宋_GB2312" w:cs="仿宋_GB2312"/>
          <w:color w:val="000000" w:themeColor="text1"/>
          <w:sz w:val="32"/>
          <w:szCs w:val="32"/>
          <w14:textFill>
            <w14:solidFill>
              <w14:schemeClr w14:val="tx1"/>
            </w14:solidFill>
          </w14:textFill>
        </w:rPr>
        <w:t>中低位直肠癌手术预防性肠造口护理</w:t>
      </w:r>
      <w:r>
        <w:rPr>
          <w:rFonts w:hint="eastAsia" w:ascii="仿宋_GB2312" w:hAnsi="宋体" w:eastAsia="仿宋_GB2312"/>
          <w:sz w:val="32"/>
          <w:szCs w:val="32"/>
        </w:rPr>
        <w:t>现实情况的同时，还考虑到了</w:t>
      </w:r>
      <w:r>
        <w:rPr>
          <w:rFonts w:hint="eastAsia" w:ascii="仿宋_GB2312" w:hAnsi="仿宋_GB2312" w:eastAsia="仿宋_GB2312" w:cs="仿宋_GB2312"/>
          <w:color w:val="000000" w:themeColor="text1"/>
          <w:sz w:val="32"/>
          <w:szCs w:val="32"/>
          <w14:textFill>
            <w14:solidFill>
              <w14:schemeClr w14:val="tx1"/>
            </w14:solidFill>
          </w14:textFill>
        </w:rPr>
        <w:t>中低位直肠癌手术预防性肠造口护理</w:t>
      </w:r>
      <w:r>
        <w:rPr>
          <w:rFonts w:hint="eastAsia" w:ascii="仿宋_GB2312" w:hAnsi="宋体" w:eastAsia="仿宋_GB2312"/>
          <w:sz w:val="32"/>
          <w:szCs w:val="32"/>
        </w:rPr>
        <w:t>快速发展的趋势和需要，在标准中体现了个别特色性、前瞻性和先进性条款，作为基层</w:t>
      </w:r>
      <w:r>
        <w:rPr>
          <w:rFonts w:ascii="仿宋_GB2312" w:hAnsi="宋体" w:eastAsia="仿宋_GB2312"/>
          <w:sz w:val="32"/>
          <w:szCs w:val="32"/>
        </w:rPr>
        <w:t>卫生健康部门工作人员以及</w:t>
      </w:r>
      <w:r>
        <w:rPr>
          <w:rFonts w:hint="eastAsia" w:ascii="仿宋_GB2312" w:hAnsi="宋体" w:eastAsia="仿宋_GB2312"/>
          <w:sz w:val="32"/>
          <w:szCs w:val="32"/>
        </w:rPr>
        <w:t>医务人员开展</w:t>
      </w:r>
      <w:r>
        <w:rPr>
          <w:rFonts w:hint="eastAsia" w:ascii="仿宋_GB2312" w:hAnsi="仿宋_GB2312" w:eastAsia="仿宋_GB2312" w:cs="仿宋_GB2312"/>
          <w:color w:val="000000" w:themeColor="text1"/>
          <w:sz w:val="32"/>
          <w:szCs w:val="32"/>
          <w14:textFill>
            <w14:solidFill>
              <w14:schemeClr w14:val="tx1"/>
            </w14:solidFill>
          </w14:textFill>
        </w:rPr>
        <w:t>中低位直肠癌手术预防性肠造口护理</w:t>
      </w:r>
      <w:r>
        <w:rPr>
          <w:rFonts w:hint="eastAsia" w:ascii="仿宋_GB2312" w:hAnsi="宋体" w:eastAsia="仿宋_GB2312"/>
          <w:sz w:val="32"/>
          <w:szCs w:val="32"/>
        </w:rPr>
        <w:t>的指导。</w:t>
      </w:r>
    </w:p>
    <w:p w14:paraId="78E43EFA">
      <w:pPr>
        <w:numPr>
          <w:ilvl w:val="0"/>
          <w:numId w:val="3"/>
        </w:numPr>
        <w:autoSpaceDE w:val="0"/>
        <w:autoSpaceDN w:val="0"/>
        <w:adjustRightInd w:val="0"/>
        <w:spacing w:before="156" w:beforeLines="50" w:after="156" w:afterLines="50" w:line="560" w:lineRule="atLeast"/>
        <w:ind w:firstLine="640" w:firstLineChars="200"/>
        <w:jc w:val="left"/>
        <w:outlineLvl w:val="0"/>
        <w:rPr>
          <w:rFonts w:ascii="黑体" w:hAnsi="黑体" w:eastAsia="黑体" w:cs="仿宋_GB2312"/>
          <w:sz w:val="32"/>
          <w:szCs w:val="32"/>
        </w:rPr>
      </w:pPr>
      <w:r>
        <w:rPr>
          <w:rFonts w:hint="eastAsia" w:ascii="黑体" w:hAnsi="黑体" w:eastAsia="黑体" w:cs="仿宋_GB2312"/>
          <w:sz w:val="32"/>
          <w:szCs w:val="32"/>
        </w:rPr>
        <w:t>标准的主要指标及依据来源</w:t>
      </w:r>
    </w:p>
    <w:p w14:paraId="5540AEF6">
      <w:pPr>
        <w:ind w:firstLine="640" w:firstLineChars="200"/>
        <w:rPr>
          <w:rFonts w:ascii="仿宋_GB2312" w:hAnsi="仿宋_GB2312" w:eastAsia="仿宋_GB2312" w:cs="仿宋_GB2312"/>
          <w:sz w:val="32"/>
          <w:szCs w:val="32"/>
        </w:rPr>
      </w:pPr>
      <w:r>
        <w:rPr>
          <w:rFonts w:hint="eastAsia" w:ascii="仿宋_GB2312" w:hAnsi="仿宋_GB2312" w:eastAsia="仿宋_GB2312" w:cs="仿宋_GB2312"/>
          <w:sz w:val="32"/>
          <w:szCs w:val="32"/>
        </w:rPr>
        <w:t>南宁市第二人民医院胃肠外科作为医院创伤中心的主要组成科室之一，对腹部外伤的救治水平在全区处于先进水平。主要诊疗的疾病包括胃肠道良恶性肿瘤、急腹症、疝、腹腔感染、痔瘘等疾病。尤其擅长腹腔镜微创手术，1997</w:t>
      </w:r>
      <w:r>
        <w:rPr>
          <w:rFonts w:hint="eastAsia" w:ascii="仿宋_GB2312" w:hAnsi="仿宋_GB2312" w:eastAsia="仿宋_GB2312" w:cs="仿宋_GB2312"/>
          <w:sz w:val="32"/>
          <w:szCs w:val="32"/>
          <w:lang w:eastAsia="zh-CN"/>
        </w:rPr>
        <w:t>年开</w:t>
      </w:r>
      <w:r>
        <w:rPr>
          <w:rFonts w:hint="eastAsia" w:ascii="仿宋_GB2312" w:hAnsi="仿宋_GB2312" w:eastAsia="仿宋_GB2312" w:cs="仿宋_GB2312"/>
          <w:sz w:val="32"/>
          <w:szCs w:val="32"/>
        </w:rPr>
        <w:t>始开展腹腔镜微创手术，是广西最早开展此类技术的医院之一，手术创伤小、恢复快，疗效好。专科诊疗水平区内先进，特别是低位直肠癌保肛术、腹膜癌腹腔热灌注化疗、疝及痔瘘的微创治疗。对肠漏、重症腹腔感染的治疗经验丰富。共有床位80张（包括西院区），年收治病人超3600余人，手术2500台。预防性造口手术100例/年。</w:t>
      </w:r>
    </w:p>
    <w:p w14:paraId="6750EF15">
      <w:pPr>
        <w:ind w:firstLine="640" w:firstLineChars="200"/>
        <w:rPr>
          <w:rFonts w:ascii="仿宋_GB2312" w:hAnsi="仿宋_GB2312" w:eastAsia="仿宋_GB2312" w:cs="仿宋_GB2312"/>
          <w:sz w:val="32"/>
          <w:szCs w:val="32"/>
        </w:rPr>
      </w:pPr>
      <w:r>
        <w:rPr>
          <w:rFonts w:hint="eastAsia" w:ascii="仿宋_GB2312" w:hAnsi="仿宋_GB2312" w:eastAsia="仿宋_GB2312" w:cs="仿宋_GB2312"/>
          <w:sz w:val="32"/>
          <w:szCs w:val="32"/>
        </w:rPr>
        <w:t>本标准主要指标包括：术语和定义、</w:t>
      </w:r>
      <w:r>
        <w:rPr>
          <w:rFonts w:hint="eastAsia" w:ascii="仿宋_GB2312" w:hAnsi="宋体" w:eastAsia="仿宋_GB2312"/>
          <w:sz w:val="32"/>
          <w:szCs w:val="32"/>
        </w:rPr>
        <w:t>基本要求、预防性肠造口围手术期护理、预防性肠造口还纳围手术期护理的要求</w:t>
      </w:r>
      <w:r>
        <w:rPr>
          <w:rFonts w:hint="eastAsia" w:ascii="仿宋_GB2312" w:hAnsi="仿宋_GB2312" w:eastAsia="仿宋_GB2312" w:cs="仿宋_GB2312"/>
          <w:sz w:val="32"/>
          <w:szCs w:val="32"/>
        </w:rPr>
        <w:t>。标准主要指标及依据来源说明如下：</w:t>
      </w:r>
    </w:p>
    <w:p w14:paraId="26F0F8FC">
      <w:pPr>
        <w:spacing w:before="156" w:beforeLines="50" w:after="156" w:afterLines="50" w:line="560" w:lineRule="exact"/>
        <w:ind w:firstLine="643" w:firstLineChars="200"/>
        <w:outlineLvl w:val="1"/>
        <w:rPr>
          <w:rFonts w:ascii="楷体_GB2312" w:hAnsi="宋体" w:eastAsia="楷体_GB2312"/>
          <w:b/>
          <w:bCs/>
          <w:sz w:val="32"/>
          <w:szCs w:val="32"/>
        </w:rPr>
      </w:pPr>
      <w:r>
        <w:rPr>
          <w:rFonts w:hint="eastAsia" w:ascii="楷体_GB2312" w:hAnsi="宋体" w:eastAsia="楷体_GB2312"/>
          <w:b/>
          <w:bCs/>
          <w:sz w:val="32"/>
          <w:szCs w:val="32"/>
        </w:rPr>
        <w:t>（一）术语和定义</w:t>
      </w:r>
    </w:p>
    <w:p w14:paraId="058C94CC">
      <w:pPr>
        <w:ind w:firstLine="643" w:firstLineChars="200"/>
        <w:rPr>
          <w:rFonts w:ascii="仿宋_GB2312" w:eastAsia="仿宋_GB2312"/>
          <w:b/>
          <w:bCs/>
          <w:sz w:val="32"/>
          <w:szCs w:val="32"/>
        </w:rPr>
      </w:pPr>
      <w:r>
        <w:rPr>
          <w:rFonts w:hint="eastAsia" w:ascii="仿宋_GB2312" w:eastAsia="仿宋_GB2312"/>
          <w:b/>
          <w:bCs/>
          <w:sz w:val="32"/>
          <w:szCs w:val="32"/>
        </w:rPr>
        <w:t>1、预防性肠造口</w:t>
      </w:r>
    </w:p>
    <w:p w14:paraId="7D3500E4">
      <w:pPr>
        <w:ind w:firstLine="640" w:firstLineChars="200"/>
        <w:rPr>
          <w:rFonts w:ascii="仿宋_GB2312" w:eastAsia="仿宋_GB2312"/>
          <w:sz w:val="32"/>
          <w:szCs w:val="32"/>
        </w:rPr>
      </w:pPr>
      <w:r>
        <w:rPr>
          <w:rFonts w:hint="eastAsia" w:ascii="仿宋_GB2312" w:hAnsi="宋体" w:eastAsia="仿宋_GB2312"/>
          <w:sz w:val="32"/>
          <w:szCs w:val="32"/>
        </w:rPr>
        <w:t>主要依据</w:t>
      </w:r>
      <w:bookmarkStart w:id="3" w:name="_Hlk175838561"/>
      <w:r>
        <w:rPr>
          <w:rFonts w:ascii="仿宋_GB2312" w:hAnsi="宋体" w:eastAsia="仿宋_GB2312"/>
          <w:sz w:val="32"/>
          <w:szCs w:val="32"/>
        </w:rPr>
        <w:t>《</w:t>
      </w:r>
      <w:r>
        <w:rPr>
          <w:rFonts w:hint="eastAsia" w:ascii="仿宋_GB2312" w:hAnsi="宋体" w:eastAsia="仿宋_GB2312"/>
          <w:sz w:val="32"/>
          <w:szCs w:val="32"/>
        </w:rPr>
        <w:t>中低位直肠癌手术预防性肠造口中国专家共识(2022版)</w:t>
      </w:r>
      <w:r>
        <w:rPr>
          <w:rFonts w:ascii="仿宋_GB2312" w:hAnsi="宋体" w:eastAsia="仿宋_GB2312"/>
          <w:sz w:val="32"/>
          <w:szCs w:val="32"/>
        </w:rPr>
        <w:t>》</w:t>
      </w:r>
      <w:bookmarkEnd w:id="3"/>
      <w:r>
        <w:rPr>
          <w:rFonts w:hint="eastAsia" w:ascii="仿宋_GB2312" w:hAnsi="宋体" w:eastAsia="仿宋_GB2312"/>
          <w:sz w:val="32"/>
          <w:szCs w:val="32"/>
        </w:rPr>
        <w:t>的要求来界定</w:t>
      </w:r>
      <w:r>
        <w:rPr>
          <w:rFonts w:hint="eastAsia" w:ascii="仿宋_GB2312" w:eastAsia="仿宋_GB2312"/>
          <w:sz w:val="32"/>
          <w:szCs w:val="32"/>
        </w:rPr>
        <w:t>。</w:t>
      </w:r>
    </w:p>
    <w:p w14:paraId="7DEE00D1">
      <w:pPr>
        <w:jc w:val="center"/>
        <w:rPr>
          <w:rFonts w:ascii="仿宋_GB2312" w:eastAsia="仿宋_GB2312"/>
          <w:sz w:val="32"/>
          <w:szCs w:val="32"/>
        </w:rPr>
      </w:pPr>
      <w:r>
        <w:drawing>
          <wp:inline distT="0" distB="0" distL="0" distR="0">
            <wp:extent cx="4419600" cy="790575"/>
            <wp:effectExtent l="19050" t="19050" r="19050" b="2857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4"/>
                    <a:stretch>
                      <a:fillRect/>
                    </a:stretch>
                  </pic:blipFill>
                  <pic:spPr>
                    <a:xfrm>
                      <a:off x="0" y="0"/>
                      <a:ext cx="4419600" cy="790575"/>
                    </a:xfrm>
                    <a:prstGeom prst="rect">
                      <a:avLst/>
                    </a:prstGeom>
                    <a:ln>
                      <a:solidFill>
                        <a:schemeClr val="tx1"/>
                      </a:solidFill>
                    </a:ln>
                  </pic:spPr>
                </pic:pic>
              </a:graphicData>
            </a:graphic>
          </wp:inline>
        </w:drawing>
      </w:r>
    </w:p>
    <w:p w14:paraId="6F091D09">
      <w:pPr>
        <w:autoSpaceDE w:val="0"/>
        <w:autoSpaceDN w:val="0"/>
        <w:adjustRightInd w:val="0"/>
        <w:jc w:val="center"/>
        <w:rPr>
          <w:rFonts w:ascii="仿宋_GB2312" w:hAnsi="宋体" w:eastAsia="仿宋_GB2312"/>
          <w:b/>
          <w:bCs/>
          <w:color w:val="000000"/>
          <w:szCs w:val="21"/>
        </w:rPr>
      </w:pPr>
      <w:r>
        <w:rPr>
          <w:rFonts w:hint="eastAsia" w:ascii="仿宋_GB2312" w:hAnsi="宋体" w:eastAsia="仿宋_GB2312"/>
          <w:b/>
          <w:bCs/>
          <w:color w:val="000000"/>
          <w:szCs w:val="21"/>
        </w:rPr>
        <w:t>来源：</w:t>
      </w:r>
      <w:bookmarkStart w:id="4" w:name="_Hlk185350785"/>
      <w:r>
        <w:rPr>
          <w:rFonts w:hint="eastAsia" w:ascii="仿宋_GB2312" w:hAnsi="宋体" w:eastAsia="仿宋_GB2312"/>
          <w:b/>
          <w:bCs/>
          <w:color w:val="000000"/>
          <w:szCs w:val="21"/>
        </w:rPr>
        <w:t>中低位直肠癌手术预防性肠造口中国专家共识(2022版)</w:t>
      </w:r>
      <w:bookmarkEnd w:id="4"/>
    </w:p>
    <w:p w14:paraId="6BD565BD">
      <w:pPr>
        <w:ind w:firstLine="643" w:firstLineChars="200"/>
        <w:rPr>
          <w:rFonts w:ascii="仿宋_GB2312" w:eastAsia="仿宋_GB2312"/>
          <w:b/>
          <w:bCs/>
          <w:sz w:val="32"/>
          <w:szCs w:val="32"/>
        </w:rPr>
      </w:pPr>
      <w:r>
        <w:rPr>
          <w:rFonts w:hint="eastAsia" w:ascii="仿宋_GB2312" w:eastAsia="仿宋_GB2312"/>
          <w:b/>
          <w:bCs/>
          <w:sz w:val="32"/>
          <w:szCs w:val="32"/>
        </w:rPr>
        <w:t>2、造口还纳术</w:t>
      </w:r>
    </w:p>
    <w:p w14:paraId="63BD5151">
      <w:pPr>
        <w:autoSpaceDE w:val="0"/>
        <w:autoSpaceDN w:val="0"/>
        <w:adjustRightInd w:val="0"/>
        <w:spacing w:line="560" w:lineRule="exact"/>
        <w:ind w:firstLine="640" w:firstLineChars="200"/>
        <w:jc w:val="left"/>
        <w:rPr>
          <w:rFonts w:ascii="仿宋_GB2312" w:hAnsi="宋体" w:eastAsia="仿宋_GB2312"/>
          <w:sz w:val="32"/>
          <w:szCs w:val="32"/>
        </w:rPr>
      </w:pPr>
      <w:r>
        <w:rPr>
          <w:rFonts w:hint="eastAsia" w:ascii="仿宋_GB2312" w:hAnsi="宋体" w:eastAsia="仿宋_GB2312"/>
          <w:sz w:val="32"/>
          <w:szCs w:val="32"/>
        </w:rPr>
        <w:t>主要参考</w:t>
      </w:r>
      <w:r>
        <w:rPr>
          <w:rFonts w:ascii="仿宋_GB2312" w:hAnsi="宋体" w:eastAsia="仿宋_GB2312"/>
          <w:sz w:val="32"/>
          <w:szCs w:val="32"/>
        </w:rPr>
        <w:t>《</w:t>
      </w:r>
      <w:r>
        <w:rPr>
          <w:rFonts w:hint="eastAsia" w:ascii="仿宋_GB2312" w:hAnsi="宋体" w:eastAsia="仿宋_GB2312"/>
          <w:sz w:val="32"/>
          <w:szCs w:val="32"/>
        </w:rPr>
        <w:t>中低位直肠癌手术预防性肠造口中国专家共识(2022版)</w:t>
      </w:r>
      <w:r>
        <w:rPr>
          <w:rFonts w:ascii="仿宋_GB2312" w:hAnsi="宋体" w:eastAsia="仿宋_GB2312"/>
          <w:sz w:val="32"/>
          <w:szCs w:val="32"/>
        </w:rPr>
        <w:t>》</w:t>
      </w:r>
      <w:r>
        <w:rPr>
          <w:rFonts w:hint="eastAsia" w:ascii="仿宋_GB2312" w:hAnsi="宋体" w:eastAsia="仿宋_GB2312"/>
          <w:sz w:val="32"/>
          <w:szCs w:val="32"/>
        </w:rPr>
        <w:t>的要求来界定，术后1个月还纳,患者的并发症发生率明显高于术后3个月还纳患者，与3个月以上还纳相比,3个月内进行造口还纳,能够给患者带来更好的生活质量。而6个月以上进行还纳,会导致远端结肠肌肉及黏膜萎缩,导致肛门功能障碍，因此提出了造口还纳术的定义：在预防性肠造口术后3～6个月后，将提至腹壁的肠管还纳入腹腔的手术。</w:t>
      </w:r>
    </w:p>
    <w:p w14:paraId="3F0169E8">
      <w:pPr>
        <w:autoSpaceDE w:val="0"/>
        <w:autoSpaceDN w:val="0"/>
        <w:adjustRightInd w:val="0"/>
        <w:jc w:val="center"/>
        <w:rPr>
          <w:rFonts w:ascii="仿宋_GB2312" w:hAnsi="宋体" w:eastAsia="仿宋_GB2312"/>
          <w:b/>
          <w:bCs/>
          <w:color w:val="000000"/>
          <w:szCs w:val="21"/>
        </w:rPr>
      </w:pPr>
      <w:r>
        <w:drawing>
          <wp:inline distT="0" distB="0" distL="0" distR="0">
            <wp:extent cx="3652520" cy="1403350"/>
            <wp:effectExtent l="19050" t="19050" r="24130" b="2540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5"/>
                    <a:stretch>
                      <a:fillRect/>
                    </a:stretch>
                  </pic:blipFill>
                  <pic:spPr>
                    <a:xfrm>
                      <a:off x="0" y="0"/>
                      <a:ext cx="3722497" cy="1430109"/>
                    </a:xfrm>
                    <a:prstGeom prst="rect">
                      <a:avLst/>
                    </a:prstGeom>
                    <a:ln>
                      <a:solidFill>
                        <a:schemeClr val="tx1"/>
                      </a:solidFill>
                    </a:ln>
                  </pic:spPr>
                </pic:pic>
              </a:graphicData>
            </a:graphic>
          </wp:inline>
        </w:drawing>
      </w:r>
    </w:p>
    <w:p w14:paraId="6071F097">
      <w:pPr>
        <w:autoSpaceDE w:val="0"/>
        <w:autoSpaceDN w:val="0"/>
        <w:adjustRightInd w:val="0"/>
        <w:jc w:val="center"/>
        <w:rPr>
          <w:rFonts w:ascii="仿宋_GB2312" w:hAnsi="宋体" w:eastAsia="仿宋_GB2312"/>
          <w:b/>
          <w:bCs/>
          <w:color w:val="000000"/>
          <w:szCs w:val="21"/>
        </w:rPr>
      </w:pPr>
      <w:r>
        <w:rPr>
          <w:rFonts w:hint="eastAsia" w:ascii="仿宋_GB2312" w:hAnsi="宋体" w:eastAsia="仿宋_GB2312"/>
          <w:b/>
          <w:bCs/>
          <w:color w:val="000000"/>
          <w:szCs w:val="21"/>
        </w:rPr>
        <w:t>来源：中低位直肠癌手术预防性肠造口中国专家共识(2022版)</w:t>
      </w:r>
    </w:p>
    <w:p w14:paraId="629242D0">
      <w:pPr>
        <w:spacing w:before="156" w:beforeLines="50" w:after="156" w:afterLines="50" w:line="560" w:lineRule="exact"/>
        <w:ind w:firstLine="643" w:firstLineChars="200"/>
        <w:outlineLvl w:val="1"/>
        <w:rPr>
          <w:rFonts w:ascii="楷体_GB2312" w:hAnsi="宋体" w:eastAsia="楷体_GB2312"/>
          <w:b/>
          <w:bCs/>
          <w:sz w:val="32"/>
          <w:szCs w:val="32"/>
        </w:rPr>
      </w:pPr>
      <w:r>
        <w:rPr>
          <w:rFonts w:hint="eastAsia" w:ascii="楷体_GB2312" w:hAnsi="宋体" w:eastAsia="楷体_GB2312"/>
          <w:b/>
          <w:bCs/>
          <w:sz w:val="32"/>
          <w:szCs w:val="32"/>
        </w:rPr>
        <w:t>（二）基本要求</w:t>
      </w:r>
    </w:p>
    <w:p w14:paraId="713C9DF9">
      <w:pPr>
        <w:spacing w:before="156" w:beforeLines="50" w:after="156" w:afterLines="50" w:line="560" w:lineRule="exact"/>
        <w:ind w:firstLine="640" w:firstLineChars="200"/>
        <w:outlineLvl w:val="1"/>
        <w:rPr>
          <w:rFonts w:ascii="仿宋_GB2312" w:hAnsi="宋体" w:eastAsia="仿宋_GB2312"/>
          <w:sz w:val="32"/>
          <w:szCs w:val="32"/>
        </w:rPr>
      </w:pPr>
      <w:r>
        <w:rPr>
          <w:rFonts w:hint="eastAsia" w:ascii="仿宋_GB2312" w:hAnsi="宋体" w:eastAsia="仿宋_GB2312"/>
          <w:sz w:val="32"/>
          <w:szCs w:val="32"/>
        </w:rPr>
        <w:t>主要参考</w:t>
      </w:r>
      <w:r>
        <w:rPr>
          <w:rFonts w:ascii="仿宋_GB2312" w:hAnsi="宋体" w:eastAsia="仿宋_GB2312"/>
          <w:sz w:val="32"/>
          <w:szCs w:val="32"/>
        </w:rPr>
        <w:t>《</w:t>
      </w:r>
      <w:r>
        <w:rPr>
          <w:rFonts w:hint="eastAsia" w:ascii="仿宋_GB2312" w:hAnsi="宋体" w:eastAsia="仿宋_GB2312"/>
          <w:sz w:val="32"/>
          <w:szCs w:val="32"/>
        </w:rPr>
        <w:t>中低位直肠癌手术预防性肠造口中国专家共识(2022版)</w:t>
      </w:r>
      <w:r>
        <w:rPr>
          <w:rFonts w:ascii="仿宋_GB2312" w:hAnsi="宋体" w:eastAsia="仿宋_GB2312"/>
          <w:sz w:val="32"/>
          <w:szCs w:val="32"/>
        </w:rPr>
        <w:t>》</w:t>
      </w:r>
      <w:r>
        <w:rPr>
          <w:rFonts w:hint="eastAsia" w:ascii="仿宋_GB2312" w:hAnsi="宋体" w:eastAsia="仿宋_GB2312"/>
          <w:sz w:val="32"/>
          <w:szCs w:val="32"/>
        </w:rPr>
        <w:t>的要求来界定，患者拟行造口术前,即可出现中等水平的认知行为改变及焦虑、抑郁状况,这种心理和情绪异常在手术前后都会存在，因此，术前应重视患者的情绪需要及心理创伤程度，并针对性地向患者提供心理疏导及支持，必要时向患者提供同伴支持教育。选择合适的造口用品，能够有效预防造口相关并发症，提高患者的生活质量，因此在预防性造口期间应指导患者及照顾者掌握造口护理并根据造口情况指导其选择合适的造口护理用品。术前造口定位是指根据患者的病情、手术方式及腹部皮肤情况，在手术前与患者共同选择一个合适的造口位置，并为手术医生术中选择造口位置提供依据</w:t>
      </w:r>
      <w:r>
        <w:rPr>
          <w:rFonts w:hint="eastAsia" w:ascii="MS Mincho" w:hAnsi="MS Mincho" w:eastAsia="MS Mincho" w:cs="MS Mincho"/>
          <w:sz w:val="32"/>
          <w:szCs w:val="32"/>
        </w:rPr>
        <w:t>‌</w:t>
      </w:r>
      <w:r>
        <w:rPr>
          <w:rFonts w:hint="eastAsia" w:ascii="MS Mincho" w:hAnsi="MS Mincho" w:cs="MS Mincho" w:eastAsiaTheme="minorEastAsia"/>
          <w:sz w:val="32"/>
          <w:szCs w:val="32"/>
        </w:rPr>
        <w:t>。</w:t>
      </w:r>
      <w:r>
        <w:rPr>
          <w:rFonts w:hint="eastAsia" w:ascii="仿宋_GB2312" w:hAnsi="宋体" w:eastAsia="仿宋_GB2312"/>
          <w:sz w:val="32"/>
          <w:szCs w:val="32"/>
        </w:rPr>
        <w:t>一般在术前</w:t>
      </w:r>
      <w:r>
        <w:rPr>
          <w:rFonts w:hint="eastAsia" w:ascii="仿宋_GB2312" w:hAnsi="宋体" w:eastAsia="仿宋_GB2312"/>
          <w:sz w:val="32"/>
          <w:szCs w:val="32"/>
          <w:lang w:eastAsia="zh-CN"/>
        </w:rPr>
        <w:t>1～2天</w:t>
      </w:r>
      <w:r>
        <w:rPr>
          <w:rFonts w:hint="eastAsia" w:ascii="仿宋_GB2312" w:hAnsi="宋体" w:eastAsia="仿宋_GB2312"/>
          <w:sz w:val="32"/>
          <w:szCs w:val="32"/>
        </w:rPr>
        <w:t>内进行造口定位，过早定位可能因沐浴、穿衣等影响定位标识的清晰度，定位时间过晚，如术</w:t>
      </w:r>
      <w:r>
        <w:rPr>
          <w:rFonts w:hint="eastAsia" w:ascii="仿宋_GB2312" w:hAnsi="宋体" w:eastAsia="仿宋_GB2312"/>
          <w:sz w:val="32"/>
          <w:szCs w:val="32"/>
          <w:lang w:eastAsia="zh-CN"/>
        </w:rPr>
        <w:t>前定</w:t>
      </w:r>
      <w:r>
        <w:rPr>
          <w:rFonts w:hint="eastAsia" w:ascii="仿宋_GB2312" w:hAnsi="宋体" w:eastAsia="仿宋_GB2312"/>
          <w:sz w:val="32"/>
          <w:szCs w:val="32"/>
        </w:rPr>
        <w:t>位时间紧迫，不利于对患者进行评估指导。</w:t>
      </w:r>
    </w:p>
    <w:p w14:paraId="6E1D2F7E">
      <w:pPr>
        <w:spacing w:before="156" w:beforeLines="50" w:after="156" w:afterLines="50"/>
        <w:jc w:val="center"/>
        <w:outlineLvl w:val="1"/>
        <w:rPr>
          <w:rFonts w:ascii="仿宋_GB2312" w:hAnsi="宋体" w:eastAsia="仿宋_GB2312"/>
          <w:sz w:val="32"/>
          <w:szCs w:val="32"/>
        </w:rPr>
      </w:pPr>
      <w:r>
        <w:drawing>
          <wp:inline distT="0" distB="0" distL="0" distR="0">
            <wp:extent cx="5274310" cy="2066290"/>
            <wp:effectExtent l="19050" t="19050" r="21590" b="1016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6"/>
                    <a:stretch>
                      <a:fillRect/>
                    </a:stretch>
                  </pic:blipFill>
                  <pic:spPr>
                    <a:xfrm>
                      <a:off x="0" y="0"/>
                      <a:ext cx="5274310" cy="2066290"/>
                    </a:xfrm>
                    <a:prstGeom prst="rect">
                      <a:avLst/>
                    </a:prstGeom>
                    <a:ln>
                      <a:solidFill>
                        <a:schemeClr val="tx1"/>
                      </a:solidFill>
                    </a:ln>
                  </pic:spPr>
                </pic:pic>
              </a:graphicData>
            </a:graphic>
          </wp:inline>
        </w:drawing>
      </w:r>
    </w:p>
    <w:p w14:paraId="728C652E">
      <w:pPr>
        <w:spacing w:before="156" w:beforeLines="50" w:after="156" w:afterLines="50"/>
        <w:jc w:val="center"/>
        <w:outlineLvl w:val="1"/>
        <w:rPr>
          <w:rFonts w:ascii="仿宋_GB2312" w:hAnsi="宋体" w:eastAsia="仿宋_GB2312"/>
          <w:b/>
          <w:bCs/>
          <w:color w:val="000000"/>
          <w:szCs w:val="21"/>
        </w:rPr>
      </w:pPr>
      <w:r>
        <w:rPr>
          <w:rFonts w:hint="eastAsia" w:ascii="仿宋_GB2312" w:hAnsi="宋体" w:eastAsia="仿宋_GB2312"/>
          <w:b/>
          <w:bCs/>
          <w:color w:val="000000"/>
          <w:szCs w:val="21"/>
        </w:rPr>
        <w:t>来源：中低位直肠癌手术预防性肠造口中国专家共识(2022版)</w:t>
      </w:r>
    </w:p>
    <w:p w14:paraId="725BA709">
      <w:pPr>
        <w:spacing w:before="156" w:beforeLines="50" w:after="156" w:afterLines="50" w:line="560" w:lineRule="exact"/>
        <w:ind w:firstLine="643" w:firstLineChars="200"/>
        <w:outlineLvl w:val="1"/>
        <w:rPr>
          <w:rFonts w:ascii="楷体_GB2312" w:hAnsi="宋体" w:eastAsia="楷体_GB2312"/>
          <w:b/>
          <w:bCs/>
          <w:sz w:val="32"/>
          <w:szCs w:val="32"/>
        </w:rPr>
      </w:pPr>
      <w:r>
        <w:rPr>
          <w:rFonts w:hint="eastAsia" w:ascii="楷体_GB2312" w:hAnsi="宋体" w:eastAsia="楷体_GB2312"/>
          <w:b/>
          <w:bCs/>
          <w:sz w:val="32"/>
          <w:szCs w:val="32"/>
        </w:rPr>
        <w:t>（三</w:t>
      </w:r>
      <w:r>
        <w:rPr>
          <w:rFonts w:ascii="楷体_GB2312" w:hAnsi="宋体" w:eastAsia="楷体_GB2312"/>
          <w:b/>
          <w:bCs/>
          <w:sz w:val="32"/>
          <w:szCs w:val="32"/>
        </w:rPr>
        <w:t>）</w:t>
      </w:r>
      <w:r>
        <w:rPr>
          <w:rFonts w:hint="eastAsia" w:ascii="楷体_GB2312" w:hAnsi="宋体" w:eastAsia="楷体_GB2312"/>
          <w:b/>
          <w:bCs/>
          <w:sz w:val="32"/>
          <w:szCs w:val="32"/>
        </w:rPr>
        <w:t>预防性肠造口围手术期护理</w:t>
      </w:r>
    </w:p>
    <w:p w14:paraId="4123F5A3">
      <w:pPr>
        <w:spacing w:line="560" w:lineRule="exact"/>
        <w:ind w:firstLine="643" w:firstLineChars="200"/>
        <w:outlineLvl w:val="1"/>
        <w:rPr>
          <w:rFonts w:ascii="仿宋_GB2312" w:hAnsi="宋体" w:eastAsia="仿宋_GB2312"/>
          <w:b/>
          <w:bCs/>
          <w:sz w:val="32"/>
          <w:szCs w:val="32"/>
        </w:rPr>
      </w:pPr>
      <w:r>
        <w:rPr>
          <w:rFonts w:ascii="仿宋_GB2312" w:hAnsi="宋体" w:eastAsia="仿宋_GB2312"/>
          <w:b/>
          <w:bCs/>
          <w:sz w:val="32"/>
          <w:szCs w:val="32"/>
        </w:rPr>
        <w:t>1.</w:t>
      </w:r>
      <w:r>
        <w:rPr>
          <w:rFonts w:hint="eastAsia" w:ascii="仿宋_GB2312" w:hAnsi="宋体" w:eastAsia="仿宋_GB2312"/>
          <w:b/>
          <w:bCs/>
          <w:sz w:val="32"/>
          <w:szCs w:val="32"/>
        </w:rPr>
        <w:t>术前护理</w:t>
      </w:r>
    </w:p>
    <w:p w14:paraId="6B5EAC86">
      <w:pPr>
        <w:spacing w:line="560" w:lineRule="exact"/>
        <w:ind w:firstLine="643" w:firstLineChars="200"/>
        <w:outlineLvl w:val="1"/>
        <w:rPr>
          <w:rFonts w:ascii="仿宋_GB2312" w:hAnsi="宋体" w:eastAsia="仿宋_GB2312"/>
          <w:b/>
          <w:bCs/>
          <w:sz w:val="32"/>
          <w:szCs w:val="32"/>
        </w:rPr>
      </w:pPr>
      <w:r>
        <w:rPr>
          <w:rFonts w:hint="eastAsia" w:ascii="仿宋_GB2312" w:hAnsi="宋体" w:eastAsia="仿宋_GB2312"/>
          <w:b/>
          <w:bCs/>
          <w:sz w:val="32"/>
          <w:szCs w:val="32"/>
        </w:rPr>
        <w:t>（1）术前评估</w:t>
      </w:r>
    </w:p>
    <w:p w14:paraId="5B5FFBD4">
      <w:pPr>
        <w:spacing w:line="560" w:lineRule="exact"/>
        <w:ind w:firstLine="640" w:firstLineChars="200"/>
        <w:outlineLvl w:val="1"/>
        <w:rPr>
          <w:rFonts w:ascii="仿宋_GB2312" w:hAnsi="宋体" w:eastAsia="仿宋_GB2312"/>
          <w:b/>
          <w:bCs/>
          <w:sz w:val="32"/>
          <w:szCs w:val="32"/>
        </w:rPr>
      </w:pPr>
      <w:r>
        <w:rPr>
          <w:rFonts w:hint="eastAsia" w:ascii="仿宋_GB2312" w:hAnsi="宋体" w:eastAsia="仿宋_GB2312"/>
          <w:sz w:val="32"/>
          <w:szCs w:val="32"/>
        </w:rPr>
        <w:t>主要参考</w:t>
      </w:r>
      <w:r>
        <w:rPr>
          <w:rFonts w:ascii="仿宋_GB2312" w:hAnsi="宋体" w:eastAsia="仿宋_GB2312"/>
          <w:sz w:val="32"/>
          <w:szCs w:val="32"/>
        </w:rPr>
        <w:t>《</w:t>
      </w:r>
      <w:r>
        <w:rPr>
          <w:rFonts w:hint="eastAsia" w:ascii="仿宋_GB2312" w:hAnsi="宋体" w:eastAsia="仿宋_GB2312"/>
          <w:sz w:val="32"/>
          <w:szCs w:val="32"/>
        </w:rPr>
        <w:t>中低位直肠癌手术预防性肠造口中国专家共识(2022版)</w:t>
      </w:r>
      <w:r>
        <w:rPr>
          <w:rFonts w:ascii="仿宋_GB2312" w:hAnsi="宋体" w:eastAsia="仿宋_GB2312"/>
          <w:sz w:val="32"/>
          <w:szCs w:val="32"/>
        </w:rPr>
        <w:t>》</w:t>
      </w:r>
      <w:r>
        <w:rPr>
          <w:rFonts w:hint="eastAsia" w:ascii="仿宋_GB2312" w:hAnsi="宋体" w:eastAsia="仿宋_GB2312"/>
          <w:sz w:val="32"/>
          <w:szCs w:val="32"/>
        </w:rPr>
        <w:t>的要求来界定，为降低患者造口相关并发症的发生，提高患者造口术后生活质量，造口术前应对患者的基本情况、心理状态、教育文化背景、职业特点和家庭经济状况等进行全面的评估。</w:t>
      </w:r>
    </w:p>
    <w:p w14:paraId="0834DF1C">
      <w:pPr>
        <w:ind w:firstLine="420" w:firstLineChars="200"/>
        <w:outlineLvl w:val="1"/>
        <w:rPr>
          <w:rFonts w:ascii="仿宋_GB2312" w:hAnsi="宋体" w:eastAsia="仿宋_GB2312"/>
          <w:sz w:val="32"/>
          <w:szCs w:val="32"/>
        </w:rPr>
      </w:pPr>
      <w:r>
        <w:drawing>
          <wp:inline distT="0" distB="0" distL="0" distR="0">
            <wp:extent cx="4715510" cy="1763395"/>
            <wp:effectExtent l="19050" t="19050" r="8890" b="27305"/>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a:blip r:embed="rId7"/>
                    <a:stretch>
                      <a:fillRect/>
                    </a:stretch>
                  </pic:blipFill>
                  <pic:spPr>
                    <a:xfrm>
                      <a:off x="0" y="0"/>
                      <a:ext cx="4728683" cy="1768674"/>
                    </a:xfrm>
                    <a:prstGeom prst="rect">
                      <a:avLst/>
                    </a:prstGeom>
                    <a:ln>
                      <a:solidFill>
                        <a:schemeClr val="tx1"/>
                      </a:solidFill>
                    </a:ln>
                  </pic:spPr>
                </pic:pic>
              </a:graphicData>
            </a:graphic>
          </wp:inline>
        </w:drawing>
      </w:r>
    </w:p>
    <w:p w14:paraId="512A9A06">
      <w:pPr>
        <w:ind w:firstLine="422" w:firstLineChars="200"/>
        <w:jc w:val="center"/>
        <w:outlineLvl w:val="1"/>
        <w:rPr>
          <w:rFonts w:ascii="仿宋_GB2312" w:hAnsi="宋体" w:eastAsia="仿宋_GB2312"/>
          <w:sz w:val="32"/>
          <w:szCs w:val="32"/>
        </w:rPr>
      </w:pPr>
      <w:r>
        <w:rPr>
          <w:rFonts w:hint="eastAsia" w:ascii="仿宋_GB2312" w:hAnsi="宋体" w:eastAsia="仿宋_GB2312"/>
          <w:b/>
          <w:bCs/>
          <w:color w:val="000000"/>
          <w:szCs w:val="21"/>
        </w:rPr>
        <w:t>来源：中低位直肠癌手术预防性肠造口中国专家共识(2022版)</w:t>
      </w:r>
    </w:p>
    <w:p w14:paraId="43CBA992">
      <w:pPr>
        <w:spacing w:line="560" w:lineRule="exact"/>
        <w:ind w:firstLine="643" w:firstLineChars="200"/>
        <w:outlineLvl w:val="1"/>
        <w:rPr>
          <w:rFonts w:ascii="仿宋_GB2312" w:hAnsi="宋体" w:eastAsia="仿宋_GB2312"/>
          <w:b/>
          <w:bCs/>
          <w:sz w:val="32"/>
          <w:szCs w:val="32"/>
        </w:rPr>
      </w:pPr>
      <w:r>
        <w:rPr>
          <w:rFonts w:hint="eastAsia" w:ascii="仿宋_GB2312" w:hAnsi="宋体" w:eastAsia="仿宋_GB2312"/>
          <w:b/>
          <w:bCs/>
          <w:sz w:val="32"/>
          <w:szCs w:val="32"/>
        </w:rPr>
        <w:t>（2）术前造口定位</w:t>
      </w:r>
    </w:p>
    <w:p w14:paraId="3D0FA095">
      <w:pPr>
        <w:spacing w:line="560" w:lineRule="exact"/>
        <w:ind w:firstLine="640" w:firstLineChars="200"/>
        <w:outlineLvl w:val="1"/>
        <w:rPr>
          <w:rFonts w:ascii="仿宋_GB2312" w:hAnsi="宋体" w:eastAsia="仿宋_GB2312"/>
          <w:sz w:val="32"/>
          <w:szCs w:val="32"/>
        </w:rPr>
      </w:pPr>
      <w:r>
        <w:rPr>
          <w:rFonts w:hint="eastAsia" w:ascii="仿宋_GB2312" w:hAnsi="宋体" w:eastAsia="仿宋_GB2312"/>
          <w:sz w:val="32"/>
          <w:szCs w:val="32"/>
        </w:rPr>
        <w:t>术前造口定位是指根据患者的病情、手术方式及腹部皮肤情况，在手术前与患者共同选择一个合适的造口位置，并为手术医生术中选择造口位置提供依据</w:t>
      </w:r>
      <w:r>
        <w:rPr>
          <w:rFonts w:hint="eastAsia" w:ascii="MS Mincho" w:hAnsi="MS Mincho" w:eastAsia="MS Mincho" w:cs="MS Mincho"/>
          <w:sz w:val="32"/>
          <w:szCs w:val="32"/>
        </w:rPr>
        <w:t>‌</w:t>
      </w:r>
      <w:r>
        <w:rPr>
          <w:rFonts w:hint="eastAsia" w:ascii="仿宋_GB2312" w:hAnsi="宋体" w:eastAsia="仿宋_GB2312"/>
          <w:sz w:val="32"/>
          <w:szCs w:val="32"/>
        </w:rPr>
        <w:t>，应用油性笔或甲紫在定位处画一个直径</w:t>
      </w:r>
      <w:r>
        <w:rPr>
          <w:rFonts w:ascii="仿宋_GB2312" w:hAnsi="宋体" w:eastAsia="仿宋_GB2312"/>
          <w:sz w:val="32"/>
          <w:szCs w:val="32"/>
        </w:rPr>
        <w:t>1.5</w:t>
      </w:r>
      <w:r>
        <w:rPr>
          <w:rFonts w:hint="eastAsia" w:ascii="仿宋_GB2312" w:hAnsi="宋体" w:eastAsia="仿宋_GB2312"/>
          <w:sz w:val="32"/>
          <w:szCs w:val="32"/>
        </w:rPr>
        <w:t>cm～</w:t>
      </w:r>
      <w:r>
        <w:rPr>
          <w:rFonts w:ascii="仿宋_GB2312" w:hAnsi="宋体" w:eastAsia="仿宋_GB2312"/>
          <w:sz w:val="32"/>
          <w:szCs w:val="32"/>
        </w:rPr>
        <w:t>2.5</w:t>
      </w:r>
      <w:r>
        <w:rPr>
          <w:rFonts w:hint="eastAsia" w:ascii="仿宋_GB2312" w:hAnsi="宋体" w:eastAsia="仿宋_GB2312"/>
          <w:sz w:val="32"/>
          <w:szCs w:val="32"/>
        </w:rPr>
        <w:t>cm的实心圆，待干后，用透明薄膜覆盖，以防止患者沐浴时将记号洗掉，因此主要参考</w:t>
      </w:r>
      <w:r>
        <w:rPr>
          <w:rFonts w:ascii="仿宋_GB2312" w:hAnsi="宋体" w:eastAsia="仿宋_GB2312"/>
          <w:sz w:val="32"/>
          <w:szCs w:val="32"/>
        </w:rPr>
        <w:t>《</w:t>
      </w:r>
      <w:r>
        <w:rPr>
          <w:rFonts w:hint="eastAsia" w:ascii="仿宋_GB2312" w:hAnsi="宋体" w:eastAsia="仿宋_GB2312"/>
          <w:sz w:val="32"/>
          <w:szCs w:val="32"/>
        </w:rPr>
        <w:t>中低位直肠癌手术预防性肠造口中国专家共识(2022版)</w:t>
      </w:r>
      <w:r>
        <w:rPr>
          <w:rFonts w:ascii="仿宋_GB2312" w:hAnsi="宋体" w:eastAsia="仿宋_GB2312"/>
          <w:sz w:val="32"/>
          <w:szCs w:val="32"/>
        </w:rPr>
        <w:t>》</w:t>
      </w:r>
      <w:r>
        <w:rPr>
          <w:rFonts w:hint="eastAsia" w:ascii="仿宋_GB2312" w:hAnsi="宋体" w:eastAsia="仿宋_GB2312"/>
          <w:sz w:val="32"/>
          <w:szCs w:val="32"/>
        </w:rPr>
        <w:t>的要求提出了术前造口定位的要求。</w:t>
      </w:r>
    </w:p>
    <w:p w14:paraId="4E00564B">
      <w:pPr>
        <w:jc w:val="center"/>
        <w:outlineLvl w:val="1"/>
        <w:rPr>
          <w:rFonts w:ascii="仿宋_GB2312" w:hAnsi="宋体" w:eastAsia="仿宋_GB2312"/>
          <w:sz w:val="32"/>
          <w:szCs w:val="32"/>
        </w:rPr>
      </w:pPr>
      <w:r>
        <w:drawing>
          <wp:inline distT="0" distB="0" distL="0" distR="0">
            <wp:extent cx="4838700" cy="3943350"/>
            <wp:effectExtent l="19050" t="19050" r="19050" b="1905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8"/>
                    <a:stretch>
                      <a:fillRect/>
                    </a:stretch>
                  </pic:blipFill>
                  <pic:spPr>
                    <a:xfrm>
                      <a:off x="0" y="0"/>
                      <a:ext cx="4838700" cy="3943350"/>
                    </a:xfrm>
                    <a:prstGeom prst="rect">
                      <a:avLst/>
                    </a:prstGeom>
                    <a:ln>
                      <a:solidFill>
                        <a:schemeClr val="tx1"/>
                      </a:solidFill>
                    </a:ln>
                  </pic:spPr>
                </pic:pic>
              </a:graphicData>
            </a:graphic>
          </wp:inline>
        </w:drawing>
      </w:r>
    </w:p>
    <w:p w14:paraId="3FEB1AB1">
      <w:pPr>
        <w:jc w:val="center"/>
        <w:outlineLvl w:val="1"/>
        <w:rPr>
          <w:rFonts w:ascii="仿宋_GB2312" w:hAnsi="宋体" w:eastAsia="仿宋_GB2312"/>
          <w:sz w:val="32"/>
          <w:szCs w:val="32"/>
        </w:rPr>
      </w:pPr>
      <w:r>
        <w:rPr>
          <w:rFonts w:hint="eastAsia" w:ascii="仿宋_GB2312" w:hAnsi="宋体" w:eastAsia="仿宋_GB2312"/>
          <w:b/>
          <w:bCs/>
          <w:color w:val="000000"/>
          <w:szCs w:val="21"/>
        </w:rPr>
        <w:t>来源：中低位直肠癌手术预防性肠造口中国专家共识(2022版)</w:t>
      </w:r>
    </w:p>
    <w:p w14:paraId="65F79A5C">
      <w:pPr>
        <w:spacing w:line="560" w:lineRule="exact"/>
        <w:ind w:firstLine="643" w:firstLineChars="200"/>
        <w:outlineLvl w:val="1"/>
        <w:rPr>
          <w:rFonts w:ascii="仿宋_GB2312" w:hAnsi="宋体" w:eastAsia="仿宋_GB2312"/>
          <w:b/>
          <w:bCs/>
          <w:sz w:val="32"/>
          <w:szCs w:val="32"/>
        </w:rPr>
      </w:pPr>
      <w:r>
        <w:rPr>
          <w:rFonts w:hint="eastAsia" w:ascii="仿宋_GB2312" w:hAnsi="宋体" w:eastAsia="仿宋_GB2312"/>
          <w:b/>
          <w:bCs/>
          <w:sz w:val="32"/>
          <w:szCs w:val="32"/>
        </w:rPr>
        <w:t>2</w:t>
      </w:r>
      <w:r>
        <w:rPr>
          <w:rFonts w:ascii="仿宋_GB2312" w:hAnsi="宋体" w:eastAsia="仿宋_GB2312"/>
          <w:b/>
          <w:bCs/>
          <w:sz w:val="32"/>
          <w:szCs w:val="32"/>
        </w:rPr>
        <w:t>.</w:t>
      </w:r>
      <w:r>
        <w:rPr>
          <w:rFonts w:hint="eastAsia" w:ascii="仿宋_GB2312" w:hAnsi="宋体" w:eastAsia="仿宋_GB2312"/>
          <w:b/>
          <w:bCs/>
          <w:sz w:val="32"/>
          <w:szCs w:val="32"/>
        </w:rPr>
        <w:t>术后护理</w:t>
      </w:r>
    </w:p>
    <w:p w14:paraId="2E45EC84">
      <w:pPr>
        <w:spacing w:line="560" w:lineRule="exact"/>
        <w:ind w:firstLine="640" w:firstLineChars="200"/>
        <w:outlineLvl w:val="1"/>
        <w:rPr>
          <w:rFonts w:ascii="仿宋_GB2312" w:hAnsi="宋体" w:eastAsia="仿宋_GB2312"/>
          <w:sz w:val="32"/>
          <w:szCs w:val="32"/>
        </w:rPr>
      </w:pPr>
      <w:r>
        <w:rPr>
          <w:rFonts w:hint="eastAsia" w:ascii="仿宋_GB2312" w:hAnsi="宋体" w:eastAsia="仿宋_GB2312"/>
          <w:sz w:val="32"/>
          <w:szCs w:val="32"/>
        </w:rPr>
        <w:t>（1）造口评估</w:t>
      </w:r>
    </w:p>
    <w:p w14:paraId="309F6711">
      <w:pPr>
        <w:spacing w:line="560" w:lineRule="exact"/>
        <w:ind w:firstLine="640" w:firstLineChars="200"/>
        <w:outlineLvl w:val="1"/>
        <w:rPr>
          <w:rFonts w:ascii="仿宋_GB2312" w:hAnsi="宋体" w:eastAsia="仿宋_GB2312"/>
          <w:sz w:val="32"/>
          <w:szCs w:val="32"/>
        </w:rPr>
      </w:pPr>
      <w:r>
        <w:rPr>
          <w:rFonts w:hint="eastAsia" w:ascii="仿宋_GB2312" w:hAnsi="宋体" w:eastAsia="仿宋_GB2312"/>
          <w:sz w:val="32"/>
          <w:szCs w:val="32"/>
        </w:rPr>
        <w:t>造口评估是对肠造口患者进行全面检查的过程，旨在确保造口的功能正常、预防并发症，并提升患者的生活质量</w:t>
      </w:r>
      <w:r>
        <w:rPr>
          <w:rFonts w:hint="eastAsia" w:ascii="MS Mincho" w:hAnsi="MS Mincho" w:eastAsia="MS Mincho" w:cs="MS Mincho"/>
          <w:sz w:val="32"/>
          <w:szCs w:val="32"/>
        </w:rPr>
        <w:t>‌。</w:t>
      </w:r>
      <w:r>
        <w:rPr>
          <w:rFonts w:hint="eastAsia" w:ascii="仿宋_GB2312" w:hAnsi="宋体" w:eastAsia="仿宋_GB2312"/>
          <w:sz w:val="32"/>
          <w:szCs w:val="32"/>
        </w:rPr>
        <w:t>主要参考</w:t>
      </w:r>
      <w:bookmarkStart w:id="5" w:name="_Hlk186016654"/>
      <w:r>
        <w:rPr>
          <w:rFonts w:hint="eastAsia" w:ascii="仿宋_GB2312" w:hAnsi="宋体" w:eastAsia="仿宋_GB2312"/>
          <w:sz w:val="32"/>
          <w:szCs w:val="32"/>
        </w:rPr>
        <w:t>《造口护理学》（全国造口治疗师规范化教材，人民卫生出版社）</w:t>
      </w:r>
      <w:bookmarkEnd w:id="5"/>
      <w:r>
        <w:rPr>
          <w:rFonts w:hint="eastAsia" w:ascii="仿宋_GB2312" w:hAnsi="宋体" w:eastAsia="仿宋_GB2312"/>
          <w:sz w:val="32"/>
          <w:szCs w:val="32"/>
        </w:rPr>
        <w:t>的要求给出了造口评估的内容，造口评估的内容包括位置、类型、颜色、高度、形状、大小、造口周围皮肤、造口黏膜与皮肤缝合处。</w:t>
      </w:r>
    </w:p>
    <w:p w14:paraId="49744BE7">
      <w:pPr>
        <w:jc w:val="center"/>
        <w:outlineLvl w:val="1"/>
        <w:rPr>
          <w:rFonts w:ascii="仿宋_GB2312" w:hAnsi="宋体" w:eastAsiaTheme="minorEastAsia"/>
          <w:sz w:val="32"/>
          <w:szCs w:val="32"/>
        </w:rPr>
      </w:pPr>
      <w:r>
        <w:drawing>
          <wp:inline distT="0" distB="0" distL="0" distR="0">
            <wp:extent cx="5274310" cy="5565140"/>
            <wp:effectExtent l="19050" t="19050" r="21590" b="1651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pic:cNvPicPr>
                  </pic:nvPicPr>
                  <pic:blipFill>
                    <a:blip r:embed="rId9"/>
                    <a:stretch>
                      <a:fillRect/>
                    </a:stretch>
                  </pic:blipFill>
                  <pic:spPr>
                    <a:xfrm>
                      <a:off x="0" y="0"/>
                      <a:ext cx="5274310" cy="5565140"/>
                    </a:xfrm>
                    <a:prstGeom prst="rect">
                      <a:avLst/>
                    </a:prstGeom>
                    <a:ln>
                      <a:solidFill>
                        <a:schemeClr val="tx1"/>
                      </a:solidFill>
                    </a:ln>
                  </pic:spPr>
                </pic:pic>
              </a:graphicData>
            </a:graphic>
          </wp:inline>
        </w:drawing>
      </w:r>
    </w:p>
    <w:p w14:paraId="14A8077E">
      <w:pPr>
        <w:jc w:val="center"/>
        <w:outlineLvl w:val="1"/>
        <w:rPr>
          <w:rFonts w:ascii="仿宋_GB2312" w:hAnsi="宋体" w:eastAsia="仿宋_GB2312"/>
          <w:b/>
          <w:bCs/>
          <w:color w:val="000000"/>
          <w:szCs w:val="21"/>
        </w:rPr>
      </w:pPr>
      <w:r>
        <w:rPr>
          <w:rFonts w:hint="eastAsia" w:ascii="仿宋_GB2312" w:hAnsi="宋体" w:eastAsia="仿宋_GB2312"/>
          <w:b/>
          <w:bCs/>
          <w:color w:val="000000"/>
          <w:szCs w:val="21"/>
        </w:rPr>
        <w:t>来源：《造口护理学》（全国造口治疗师规范化教材，人民卫生出版社）</w:t>
      </w:r>
    </w:p>
    <w:p w14:paraId="1F25ECF5">
      <w:pPr>
        <w:spacing w:line="560" w:lineRule="exact"/>
        <w:ind w:firstLine="640" w:firstLineChars="200"/>
        <w:outlineLvl w:val="1"/>
        <w:rPr>
          <w:rFonts w:ascii="仿宋_GB2312" w:hAnsi="宋体" w:eastAsia="仿宋_GB2312"/>
          <w:sz w:val="32"/>
          <w:szCs w:val="32"/>
        </w:rPr>
      </w:pPr>
      <w:r>
        <w:rPr>
          <w:rFonts w:hint="eastAsia" w:ascii="仿宋_GB2312" w:hAnsi="宋体" w:eastAsia="仿宋_GB2312"/>
          <w:sz w:val="32"/>
          <w:szCs w:val="32"/>
        </w:rPr>
        <w:t>（2）造口护理用品选择与使用</w:t>
      </w:r>
    </w:p>
    <w:p w14:paraId="0CF2EE8E">
      <w:pPr>
        <w:spacing w:line="560" w:lineRule="exact"/>
        <w:ind w:firstLine="640" w:firstLineChars="200"/>
        <w:outlineLvl w:val="1"/>
        <w:rPr>
          <w:rFonts w:ascii="仿宋_GB2312" w:hAnsi="宋体" w:eastAsia="仿宋_GB2312"/>
          <w:sz w:val="32"/>
          <w:szCs w:val="32"/>
        </w:rPr>
      </w:pPr>
      <w:r>
        <w:rPr>
          <w:rFonts w:hint="eastAsia" w:ascii="仿宋_GB2312" w:hAnsi="宋体" w:eastAsia="仿宋_GB2312"/>
          <w:sz w:val="32"/>
          <w:szCs w:val="32"/>
        </w:rPr>
        <w:t>造口护理用品选择与使用是造口患者日常护理的重要环节，正确的选择和使用能够确保造口的功能正常，预防并发症，并提升患者的生活质量，起草单位根据实际经验给出了造口周围身体形态评估的内容（见表1），根据造口的造口周围皮肤高度、造口周围组织形态、造口位置、造口高度给出了造口护理用品选择的指导意见。</w:t>
      </w:r>
    </w:p>
    <w:p w14:paraId="6B01D9A6">
      <w:pPr>
        <w:spacing w:line="560" w:lineRule="exact"/>
        <w:ind w:firstLine="640" w:firstLineChars="200"/>
        <w:outlineLvl w:val="1"/>
        <w:rPr>
          <w:rFonts w:ascii="仿宋_GB2312" w:hAnsi="宋体" w:eastAsia="仿宋_GB2312"/>
          <w:sz w:val="32"/>
          <w:szCs w:val="32"/>
        </w:rPr>
      </w:pPr>
      <w:r>
        <w:rPr>
          <w:rFonts w:hint="eastAsia" w:ascii="仿宋_GB2312" w:hAnsi="宋体" w:eastAsia="仿宋_GB2312"/>
          <w:sz w:val="32"/>
          <w:szCs w:val="32"/>
        </w:rPr>
        <w:t>造口用品的更换频率因人而异，为避免时间过长受到细菌感染增加患上泌尿系疾病的可能性，普遍建议每3～</w:t>
      </w:r>
      <w:r>
        <w:rPr>
          <w:rFonts w:ascii="仿宋_GB2312" w:hAnsi="宋体" w:eastAsia="仿宋_GB2312"/>
          <w:sz w:val="32"/>
          <w:szCs w:val="32"/>
        </w:rPr>
        <w:t>4</w:t>
      </w:r>
      <w:r>
        <w:rPr>
          <w:rFonts w:hint="eastAsia" w:ascii="仿宋_GB2312" w:hAnsi="宋体" w:eastAsia="仿宋_GB2312"/>
          <w:sz w:val="32"/>
          <w:szCs w:val="32"/>
        </w:rPr>
        <w:t>天更换一次，但如果底盘中心孔边缘开始发白或起泡，这表明底盘已经吸收了汗液或肠液，中心孔部位的黏胶开始融化。继续使用可能会导致黏胶进一步变白、溶解或融化，存在渗漏风险或已经发生渗漏。底盘卷边也可能导致排泄物渗漏，从而刺激造口周围皮肤，因此出现底盘发白、渗漏或者卷边时应及时更换造口用品。</w:t>
      </w:r>
    </w:p>
    <w:p w14:paraId="18642141">
      <w:pPr>
        <w:spacing w:line="560" w:lineRule="exact"/>
        <w:ind w:firstLine="640" w:firstLineChars="200"/>
        <w:outlineLvl w:val="1"/>
        <w:rPr>
          <w:rFonts w:ascii="仿宋_GB2312" w:hAnsi="宋体" w:eastAsia="仿宋_GB2312"/>
          <w:sz w:val="32"/>
          <w:szCs w:val="32"/>
        </w:rPr>
      </w:pPr>
      <w:r>
        <w:rPr>
          <w:rFonts w:hint="eastAsia" w:ascii="仿宋_GB2312" w:hAnsi="宋体" w:eastAsia="仿宋_GB2312"/>
          <w:sz w:val="32"/>
          <w:szCs w:val="32"/>
        </w:rPr>
        <w:t>造口袋胀气可能导致造口袋脱落或给患者带来不适</w:t>
      </w:r>
      <w:r>
        <w:rPr>
          <w:rFonts w:hint="eastAsia" w:ascii="MS Mincho" w:hAnsi="MS Mincho" w:eastAsia="MS Mincho" w:cs="MS Mincho"/>
          <w:sz w:val="32"/>
          <w:szCs w:val="32"/>
        </w:rPr>
        <w:t>‌</w:t>
      </w:r>
      <w:r>
        <w:rPr>
          <w:rFonts w:hint="eastAsia" w:ascii="仿宋_GB2312" w:hAnsi="宋体" w:eastAsia="仿宋_GB2312"/>
          <w:sz w:val="32"/>
          <w:szCs w:val="32"/>
        </w:rPr>
        <w:t>，排泄物在造口袋接近1/3，最多不超过1/2满时，应及时排空造口袋，如果排泄物过多，使得造口袋胀满，不仅会增加造口袋脱落的风险，还会对造口周围的皮肤产生较大压力，容易引起皮肤问题</w:t>
      </w:r>
      <w:r>
        <w:rPr>
          <w:rFonts w:hint="eastAsia" w:ascii="MS Mincho" w:hAnsi="MS Mincho" w:eastAsia="MS Mincho" w:cs="MS Mincho"/>
          <w:sz w:val="32"/>
          <w:szCs w:val="32"/>
        </w:rPr>
        <w:t>‌</w:t>
      </w:r>
      <w:r>
        <w:rPr>
          <w:rFonts w:hint="eastAsia" w:ascii="仿宋_GB2312" w:hAnsi="宋体" w:eastAsia="仿宋_GB2312"/>
          <w:sz w:val="32"/>
          <w:szCs w:val="32"/>
        </w:rPr>
        <w:t>，同时，及时排空造口袋可以保持造口周围皮肤的清洁和干燥，减少粪水性皮炎等并发症的发生</w:t>
      </w:r>
      <w:r>
        <w:rPr>
          <w:rFonts w:hint="eastAsia" w:ascii="MS Mincho" w:hAnsi="MS Mincho" w:eastAsia="MS Mincho" w:cs="MS Mincho"/>
          <w:sz w:val="32"/>
          <w:szCs w:val="32"/>
        </w:rPr>
        <w:t>‌</w:t>
      </w:r>
      <w:r>
        <w:rPr>
          <w:rFonts w:hint="eastAsia" w:ascii="仿宋_GB2312" w:hAnsi="宋体" w:eastAsia="仿宋_GB2312"/>
          <w:sz w:val="32"/>
          <w:szCs w:val="32"/>
        </w:rPr>
        <w:t>。回肠造口排泄物稀薄、量多,尤其术后初期最高可达2000ml,排泄物不成形,次数较多，因此，当造口袋胀气或排泄物满1/3～1/2时，应及时排空造口袋。</w:t>
      </w:r>
    </w:p>
    <w:p w14:paraId="2B0211DB">
      <w:pPr>
        <w:spacing w:line="560" w:lineRule="exact"/>
        <w:jc w:val="center"/>
        <w:outlineLvl w:val="1"/>
        <w:rPr>
          <w:rFonts w:ascii="仿宋_GB2312" w:hAnsi="宋体" w:eastAsia="仿宋_GB2312"/>
          <w:sz w:val="32"/>
          <w:szCs w:val="32"/>
        </w:rPr>
      </w:pPr>
      <w:r>
        <w:rPr>
          <w:rFonts w:hint="eastAsia" w:ascii="仿宋_GB2312" w:hAnsi="宋体" w:eastAsia="仿宋_GB2312"/>
          <w:sz w:val="32"/>
          <w:szCs w:val="32"/>
        </w:rPr>
        <w:t>表1</w:t>
      </w:r>
      <w:r>
        <w:rPr>
          <w:rFonts w:ascii="仿宋_GB2312" w:hAnsi="宋体" w:eastAsia="仿宋_GB2312"/>
          <w:sz w:val="32"/>
          <w:szCs w:val="32"/>
        </w:rPr>
        <w:t xml:space="preserve"> </w:t>
      </w:r>
      <w:r>
        <w:rPr>
          <w:rFonts w:hint="eastAsia" w:ascii="仿宋_GB2312" w:hAnsi="宋体" w:eastAsia="仿宋_GB2312"/>
          <w:sz w:val="32"/>
          <w:szCs w:val="32"/>
        </w:rPr>
        <w:t>造口周围身体形态评估工具</w:t>
      </w:r>
    </w:p>
    <w:tbl>
      <w:tblPr>
        <w:tblStyle w:val="8"/>
        <w:tblW w:w="0" w:type="auto"/>
        <w:tblInd w:w="0" w:type="dxa"/>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autofit"/>
        <w:tblCellMar>
          <w:top w:w="0" w:type="dxa"/>
          <w:left w:w="108" w:type="dxa"/>
          <w:bottom w:w="0" w:type="dxa"/>
          <w:right w:w="108" w:type="dxa"/>
        </w:tblCellMar>
      </w:tblPr>
      <w:tblGrid>
        <w:gridCol w:w="1702"/>
        <w:gridCol w:w="2593"/>
        <w:gridCol w:w="3991"/>
      </w:tblGrid>
      <w:tr w14:paraId="4FDB3C27">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c>
          <w:tcPr>
            <w:tcW w:w="1702" w:type="dxa"/>
            <w:tcBorders>
              <w:top w:val="single" w:color="auto" w:sz="8" w:space="0"/>
              <w:bottom w:val="single" w:color="auto" w:sz="8" w:space="0"/>
            </w:tcBorders>
            <w:shd w:val="clear" w:color="auto" w:fill="auto"/>
            <w:vAlign w:val="center"/>
          </w:tcPr>
          <w:p w14:paraId="5549484A">
            <w:pPr>
              <w:pStyle w:val="22"/>
              <w:ind w:firstLine="0" w:firstLineChars="0"/>
              <w:jc w:val="center"/>
              <w:rPr>
                <w:sz w:val="18"/>
                <w:szCs w:val="18"/>
              </w:rPr>
            </w:pPr>
            <w:r>
              <w:rPr>
                <w:rFonts w:hint="eastAsia"/>
                <w:sz w:val="18"/>
                <w:szCs w:val="18"/>
              </w:rPr>
              <w:t>造口周围身体形态</w:t>
            </w:r>
          </w:p>
        </w:tc>
        <w:tc>
          <w:tcPr>
            <w:tcW w:w="2593" w:type="dxa"/>
            <w:tcBorders>
              <w:top w:val="single" w:color="auto" w:sz="8" w:space="0"/>
              <w:bottom w:val="single" w:color="auto" w:sz="8" w:space="0"/>
            </w:tcBorders>
            <w:shd w:val="clear" w:color="auto" w:fill="auto"/>
            <w:vAlign w:val="center"/>
          </w:tcPr>
          <w:p w14:paraId="7767181F">
            <w:pPr>
              <w:pStyle w:val="22"/>
              <w:ind w:firstLine="0" w:firstLineChars="0"/>
              <w:jc w:val="center"/>
              <w:rPr>
                <w:sz w:val="18"/>
                <w:szCs w:val="18"/>
              </w:rPr>
            </w:pPr>
            <w:r>
              <w:rPr>
                <w:rFonts w:hint="eastAsia"/>
                <w:sz w:val="18"/>
                <w:szCs w:val="18"/>
              </w:rPr>
              <w:t>分类</w:t>
            </w:r>
          </w:p>
        </w:tc>
        <w:tc>
          <w:tcPr>
            <w:tcW w:w="3991" w:type="dxa"/>
            <w:tcBorders>
              <w:top w:val="single" w:color="auto" w:sz="8" w:space="0"/>
              <w:bottom w:val="single" w:color="auto" w:sz="8" w:space="0"/>
            </w:tcBorders>
            <w:shd w:val="clear" w:color="auto" w:fill="auto"/>
            <w:vAlign w:val="center"/>
          </w:tcPr>
          <w:p w14:paraId="491543EA">
            <w:pPr>
              <w:pStyle w:val="22"/>
              <w:ind w:firstLine="0" w:firstLineChars="0"/>
              <w:jc w:val="center"/>
              <w:rPr>
                <w:sz w:val="18"/>
                <w:szCs w:val="18"/>
              </w:rPr>
            </w:pPr>
            <w:r>
              <w:rPr>
                <w:rFonts w:hint="eastAsia"/>
                <w:sz w:val="18"/>
                <w:szCs w:val="18"/>
              </w:rPr>
              <w:t>指导意见</w:t>
            </w:r>
          </w:p>
        </w:tc>
      </w:tr>
      <w:tr w14:paraId="11B36FD1">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573" w:hRule="atLeast"/>
        </w:trPr>
        <w:tc>
          <w:tcPr>
            <w:tcW w:w="1702" w:type="dxa"/>
            <w:vMerge w:val="restart"/>
            <w:tcBorders>
              <w:top w:val="single" w:color="auto" w:sz="8" w:space="0"/>
            </w:tcBorders>
            <w:shd w:val="clear" w:color="auto" w:fill="auto"/>
            <w:vAlign w:val="center"/>
          </w:tcPr>
          <w:p w14:paraId="289F7D56">
            <w:pPr>
              <w:pStyle w:val="22"/>
              <w:ind w:firstLine="0" w:firstLineChars="0"/>
              <w:jc w:val="center"/>
              <w:rPr>
                <w:sz w:val="18"/>
                <w:szCs w:val="18"/>
              </w:rPr>
            </w:pPr>
            <w:r>
              <w:rPr>
                <w:rFonts w:hint="eastAsia"/>
                <w:sz w:val="18"/>
                <w:szCs w:val="18"/>
              </w:rPr>
              <w:t>造口周围皮肤高度</w:t>
            </w:r>
          </w:p>
        </w:tc>
        <w:tc>
          <w:tcPr>
            <w:tcW w:w="2593" w:type="dxa"/>
            <w:tcBorders>
              <w:top w:val="single" w:color="auto" w:sz="8" w:space="0"/>
            </w:tcBorders>
            <w:shd w:val="clear" w:color="auto" w:fill="auto"/>
            <w:vAlign w:val="center"/>
          </w:tcPr>
          <w:p w14:paraId="09980591">
            <w:pPr>
              <w:pStyle w:val="22"/>
              <w:ind w:firstLine="0" w:firstLineChars="0"/>
              <w:rPr>
                <w:sz w:val="18"/>
                <w:szCs w:val="18"/>
              </w:rPr>
            </w:pPr>
            <w:r>
              <w:rPr>
                <w:rFonts w:hint="eastAsia"/>
                <w:sz w:val="18"/>
                <w:szCs w:val="18"/>
              </w:rPr>
              <w:t>平坦:造口周围组织与腹部其他部位相平</w:t>
            </w:r>
          </w:p>
        </w:tc>
        <w:tc>
          <w:tcPr>
            <w:tcW w:w="3991" w:type="dxa"/>
            <w:tcBorders>
              <w:top w:val="single" w:color="auto" w:sz="8" w:space="0"/>
            </w:tcBorders>
            <w:shd w:val="clear" w:color="auto" w:fill="auto"/>
            <w:vAlign w:val="center"/>
          </w:tcPr>
          <w:p w14:paraId="281A3D6E">
            <w:pPr>
              <w:pStyle w:val="22"/>
              <w:ind w:firstLine="0" w:firstLineChars="0"/>
              <w:rPr>
                <w:sz w:val="18"/>
                <w:szCs w:val="18"/>
              </w:rPr>
            </w:pPr>
            <w:r>
              <w:rPr>
                <w:rFonts w:hint="eastAsia"/>
                <w:sz w:val="18"/>
                <w:szCs w:val="18"/>
              </w:rPr>
              <w:t>可选用任何造口底盘</w:t>
            </w:r>
          </w:p>
        </w:tc>
      </w:tr>
      <w:tr w14:paraId="165B0D44">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571" w:hRule="atLeast"/>
        </w:trPr>
        <w:tc>
          <w:tcPr>
            <w:tcW w:w="1702" w:type="dxa"/>
            <w:vMerge w:val="continue"/>
            <w:shd w:val="clear" w:color="auto" w:fill="auto"/>
            <w:vAlign w:val="center"/>
          </w:tcPr>
          <w:p w14:paraId="2BD56A03">
            <w:pPr>
              <w:pStyle w:val="22"/>
              <w:ind w:firstLine="0" w:firstLineChars="0"/>
              <w:jc w:val="center"/>
              <w:rPr>
                <w:sz w:val="18"/>
                <w:szCs w:val="18"/>
              </w:rPr>
            </w:pPr>
          </w:p>
        </w:tc>
        <w:tc>
          <w:tcPr>
            <w:tcW w:w="2593" w:type="dxa"/>
            <w:shd w:val="clear" w:color="auto" w:fill="auto"/>
            <w:vAlign w:val="center"/>
          </w:tcPr>
          <w:p w14:paraId="3550BAB3">
            <w:pPr>
              <w:pStyle w:val="22"/>
              <w:ind w:firstLine="0" w:firstLineChars="0"/>
              <w:rPr>
                <w:sz w:val="18"/>
                <w:szCs w:val="18"/>
              </w:rPr>
            </w:pPr>
            <w:r>
              <w:rPr>
                <w:rFonts w:hint="eastAsia"/>
                <w:sz w:val="18"/>
                <w:szCs w:val="18"/>
              </w:rPr>
              <w:t>隆起:造口周围组织高于腹部其他部位</w:t>
            </w:r>
          </w:p>
        </w:tc>
        <w:tc>
          <w:tcPr>
            <w:tcW w:w="3991" w:type="dxa"/>
            <w:shd w:val="clear" w:color="auto" w:fill="auto"/>
            <w:vAlign w:val="center"/>
          </w:tcPr>
          <w:p w14:paraId="7517350C">
            <w:pPr>
              <w:pStyle w:val="22"/>
              <w:ind w:firstLine="0" w:firstLineChars="0"/>
              <w:rPr>
                <w:sz w:val="18"/>
                <w:szCs w:val="18"/>
              </w:rPr>
            </w:pPr>
            <w:r>
              <w:rPr>
                <w:rFonts w:hint="eastAsia"/>
                <w:sz w:val="18"/>
                <w:szCs w:val="18"/>
              </w:rPr>
              <w:t>选用底盘柔软、顺应性好的一件式造口袋</w:t>
            </w:r>
          </w:p>
        </w:tc>
      </w:tr>
      <w:tr w14:paraId="65E843FC">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571" w:hRule="atLeast"/>
        </w:trPr>
        <w:tc>
          <w:tcPr>
            <w:tcW w:w="1702" w:type="dxa"/>
            <w:vMerge w:val="continue"/>
            <w:shd w:val="clear" w:color="auto" w:fill="auto"/>
            <w:vAlign w:val="center"/>
          </w:tcPr>
          <w:p w14:paraId="3E189F94">
            <w:pPr>
              <w:pStyle w:val="22"/>
              <w:ind w:firstLine="0" w:firstLineChars="0"/>
              <w:jc w:val="center"/>
              <w:rPr>
                <w:sz w:val="18"/>
                <w:szCs w:val="18"/>
              </w:rPr>
            </w:pPr>
          </w:p>
        </w:tc>
        <w:tc>
          <w:tcPr>
            <w:tcW w:w="2593" w:type="dxa"/>
            <w:shd w:val="clear" w:color="auto" w:fill="auto"/>
            <w:vAlign w:val="center"/>
          </w:tcPr>
          <w:p w14:paraId="51AEBB3E">
            <w:pPr>
              <w:pStyle w:val="22"/>
              <w:ind w:firstLine="0" w:firstLineChars="0"/>
              <w:rPr>
                <w:sz w:val="18"/>
                <w:szCs w:val="18"/>
              </w:rPr>
            </w:pPr>
            <w:r>
              <w:rPr>
                <w:rFonts w:hint="eastAsia"/>
                <w:sz w:val="18"/>
                <w:szCs w:val="18"/>
              </w:rPr>
              <w:t>凹陷:造口周围组织低于腹部其他部位</w:t>
            </w:r>
          </w:p>
        </w:tc>
        <w:tc>
          <w:tcPr>
            <w:tcW w:w="3991" w:type="dxa"/>
            <w:shd w:val="clear" w:color="auto" w:fill="auto"/>
            <w:vAlign w:val="center"/>
          </w:tcPr>
          <w:p w14:paraId="3752287E">
            <w:pPr>
              <w:pStyle w:val="22"/>
              <w:ind w:firstLine="0" w:firstLineChars="0"/>
              <w:rPr>
                <w:sz w:val="18"/>
                <w:szCs w:val="18"/>
              </w:rPr>
            </w:pPr>
            <w:r>
              <w:rPr>
                <w:rFonts w:hint="eastAsia"/>
                <w:sz w:val="18"/>
                <w:szCs w:val="18"/>
              </w:rPr>
              <w:t>选用二件式凸面底盘+造口腰带固定，凹陷处使用防漏膏或防漏条</w:t>
            </w:r>
          </w:p>
        </w:tc>
      </w:tr>
      <w:tr w14:paraId="616BE1CB">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54" w:hRule="atLeast"/>
        </w:trPr>
        <w:tc>
          <w:tcPr>
            <w:tcW w:w="1702" w:type="dxa"/>
            <w:vMerge w:val="restart"/>
            <w:shd w:val="clear" w:color="auto" w:fill="auto"/>
            <w:vAlign w:val="center"/>
          </w:tcPr>
          <w:p w14:paraId="1A850F10">
            <w:pPr>
              <w:pStyle w:val="22"/>
              <w:ind w:firstLine="0" w:firstLineChars="0"/>
              <w:jc w:val="center"/>
              <w:rPr>
                <w:sz w:val="18"/>
                <w:szCs w:val="18"/>
              </w:rPr>
            </w:pPr>
            <w:r>
              <w:rPr>
                <w:rFonts w:hint="eastAsia"/>
                <w:sz w:val="18"/>
                <w:szCs w:val="18"/>
              </w:rPr>
              <w:t>造口周围组织形态</w:t>
            </w:r>
          </w:p>
        </w:tc>
        <w:tc>
          <w:tcPr>
            <w:tcW w:w="2593" w:type="dxa"/>
            <w:shd w:val="clear" w:color="auto" w:fill="auto"/>
            <w:vAlign w:val="center"/>
          </w:tcPr>
          <w:p w14:paraId="7D9F9D98">
            <w:pPr>
              <w:pStyle w:val="22"/>
              <w:ind w:firstLine="0" w:firstLineChars="0"/>
              <w:rPr>
                <w:sz w:val="18"/>
                <w:szCs w:val="18"/>
              </w:rPr>
            </w:pPr>
            <w:r>
              <w:rPr>
                <w:rFonts w:hint="eastAsia"/>
                <w:sz w:val="18"/>
                <w:szCs w:val="18"/>
              </w:rPr>
              <w:t>规则:造口周围组织形态规则</w:t>
            </w:r>
          </w:p>
        </w:tc>
        <w:tc>
          <w:tcPr>
            <w:tcW w:w="3991" w:type="dxa"/>
            <w:shd w:val="clear" w:color="auto" w:fill="auto"/>
            <w:vAlign w:val="center"/>
          </w:tcPr>
          <w:p w14:paraId="6F6DC6AE">
            <w:pPr>
              <w:pStyle w:val="22"/>
              <w:ind w:firstLine="0" w:firstLineChars="0"/>
              <w:rPr>
                <w:sz w:val="18"/>
                <w:szCs w:val="18"/>
              </w:rPr>
            </w:pPr>
            <w:r>
              <w:rPr>
                <w:rFonts w:hint="eastAsia"/>
                <w:sz w:val="18"/>
                <w:szCs w:val="18"/>
              </w:rPr>
              <w:t>可选用任何造口底盘</w:t>
            </w:r>
          </w:p>
        </w:tc>
      </w:tr>
      <w:tr w14:paraId="067C7DBB">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1000" w:hRule="atLeast"/>
        </w:trPr>
        <w:tc>
          <w:tcPr>
            <w:tcW w:w="1702" w:type="dxa"/>
            <w:vMerge w:val="continue"/>
            <w:shd w:val="clear" w:color="auto" w:fill="auto"/>
            <w:vAlign w:val="center"/>
          </w:tcPr>
          <w:p w14:paraId="02C207D6">
            <w:pPr>
              <w:pStyle w:val="22"/>
              <w:ind w:firstLine="0" w:firstLineChars="0"/>
              <w:jc w:val="center"/>
              <w:rPr>
                <w:sz w:val="18"/>
                <w:szCs w:val="18"/>
              </w:rPr>
            </w:pPr>
          </w:p>
        </w:tc>
        <w:tc>
          <w:tcPr>
            <w:tcW w:w="2593" w:type="dxa"/>
            <w:shd w:val="clear" w:color="auto" w:fill="auto"/>
            <w:vAlign w:val="center"/>
          </w:tcPr>
          <w:p w14:paraId="68B33D1C">
            <w:pPr>
              <w:pStyle w:val="22"/>
              <w:ind w:firstLine="0" w:firstLineChars="0"/>
              <w:rPr>
                <w:sz w:val="18"/>
                <w:szCs w:val="18"/>
              </w:rPr>
            </w:pPr>
            <w:r>
              <w:rPr>
                <w:rFonts w:hint="eastAsia"/>
                <w:sz w:val="18"/>
                <w:szCs w:val="18"/>
              </w:rPr>
              <w:t>不规则:造口周围皮肤存在瘢痕、皱褶、松弛下垂、表皮破损、过敏、丘疹、红肿增生、浸渍和疼痛等1种或1种以上情况</w:t>
            </w:r>
          </w:p>
        </w:tc>
        <w:tc>
          <w:tcPr>
            <w:tcW w:w="3991" w:type="dxa"/>
            <w:shd w:val="clear" w:color="auto" w:fill="auto"/>
            <w:vAlign w:val="center"/>
          </w:tcPr>
          <w:p w14:paraId="3F3C46FF">
            <w:pPr>
              <w:pStyle w:val="22"/>
              <w:ind w:firstLine="0" w:firstLineChars="0"/>
              <w:rPr>
                <w:sz w:val="18"/>
                <w:szCs w:val="18"/>
              </w:rPr>
            </w:pPr>
            <w:r>
              <w:rPr>
                <w:rFonts w:hint="eastAsia"/>
                <w:sz w:val="18"/>
                <w:szCs w:val="18"/>
              </w:rPr>
              <w:t>避免使用导致过敏的造口用品或附件;选择微凸或凸面底盘造口袋,根据造口周围皮肤不规则情况选择使用造口护肤粉、防漏膏、皮肤保护膜、水胶体敷料等保护皮肤后再粘贴造口底盘</w:t>
            </w:r>
          </w:p>
        </w:tc>
      </w:tr>
      <w:tr w14:paraId="3CD51C7B">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858" w:hRule="atLeast"/>
        </w:trPr>
        <w:tc>
          <w:tcPr>
            <w:tcW w:w="1702" w:type="dxa"/>
            <w:vMerge w:val="restart"/>
            <w:shd w:val="clear" w:color="auto" w:fill="auto"/>
            <w:vAlign w:val="center"/>
          </w:tcPr>
          <w:p w14:paraId="70F02148">
            <w:pPr>
              <w:pStyle w:val="22"/>
              <w:ind w:firstLine="0" w:firstLineChars="0"/>
              <w:jc w:val="center"/>
              <w:rPr>
                <w:sz w:val="18"/>
                <w:szCs w:val="18"/>
              </w:rPr>
            </w:pPr>
            <w:r>
              <w:rPr>
                <w:rFonts w:hint="eastAsia"/>
                <w:sz w:val="18"/>
                <w:szCs w:val="18"/>
              </w:rPr>
              <w:t>造口位置</w:t>
            </w:r>
          </w:p>
        </w:tc>
        <w:tc>
          <w:tcPr>
            <w:tcW w:w="2593" w:type="dxa"/>
            <w:shd w:val="clear" w:color="auto" w:fill="auto"/>
            <w:vAlign w:val="center"/>
          </w:tcPr>
          <w:p w14:paraId="4739C9C2">
            <w:pPr>
              <w:pStyle w:val="22"/>
              <w:ind w:firstLine="0" w:firstLineChars="0"/>
              <w:rPr>
                <w:sz w:val="18"/>
                <w:szCs w:val="18"/>
              </w:rPr>
            </w:pPr>
            <w:r>
              <w:rPr>
                <w:rFonts w:hint="eastAsia"/>
                <w:sz w:val="18"/>
                <w:szCs w:val="18"/>
              </w:rPr>
              <w:t>在腰线以上</w:t>
            </w:r>
          </w:p>
        </w:tc>
        <w:tc>
          <w:tcPr>
            <w:tcW w:w="3991" w:type="dxa"/>
            <w:shd w:val="clear" w:color="auto" w:fill="auto"/>
            <w:vAlign w:val="center"/>
          </w:tcPr>
          <w:p w14:paraId="0EFDE209">
            <w:pPr>
              <w:pStyle w:val="22"/>
              <w:ind w:firstLine="0" w:firstLineChars="0"/>
              <w:rPr>
                <w:sz w:val="18"/>
                <w:szCs w:val="18"/>
              </w:rPr>
            </w:pPr>
            <w:r>
              <w:rPr>
                <w:rFonts w:hint="eastAsia"/>
                <w:sz w:val="18"/>
                <w:szCs w:val="18"/>
              </w:rPr>
              <w:t>选择底盘柔软、顺应性好的一件式或二件式造口袋,对底盘四周间断剪口,增加造口底盘对皮肤的顺应性</w:t>
            </w:r>
          </w:p>
        </w:tc>
      </w:tr>
      <w:tr w14:paraId="203C8815">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857" w:hRule="atLeast"/>
        </w:trPr>
        <w:tc>
          <w:tcPr>
            <w:tcW w:w="1702" w:type="dxa"/>
            <w:vMerge w:val="continue"/>
            <w:shd w:val="clear" w:color="auto" w:fill="auto"/>
            <w:vAlign w:val="center"/>
          </w:tcPr>
          <w:p w14:paraId="56B270C6">
            <w:pPr>
              <w:pStyle w:val="22"/>
              <w:ind w:firstLine="0" w:firstLineChars="0"/>
              <w:jc w:val="center"/>
              <w:rPr>
                <w:sz w:val="18"/>
                <w:szCs w:val="18"/>
              </w:rPr>
            </w:pPr>
          </w:p>
        </w:tc>
        <w:tc>
          <w:tcPr>
            <w:tcW w:w="2593" w:type="dxa"/>
            <w:shd w:val="clear" w:color="auto" w:fill="auto"/>
            <w:vAlign w:val="center"/>
          </w:tcPr>
          <w:p w14:paraId="169D50D2">
            <w:pPr>
              <w:pStyle w:val="22"/>
              <w:ind w:firstLine="0" w:firstLineChars="0"/>
              <w:rPr>
                <w:sz w:val="18"/>
                <w:szCs w:val="18"/>
              </w:rPr>
            </w:pPr>
            <w:r>
              <w:rPr>
                <w:rFonts w:hint="eastAsia"/>
                <w:sz w:val="18"/>
                <w:szCs w:val="18"/>
              </w:rPr>
              <w:t>在腰线处</w:t>
            </w:r>
          </w:p>
        </w:tc>
        <w:tc>
          <w:tcPr>
            <w:tcW w:w="3991" w:type="dxa"/>
            <w:shd w:val="clear" w:color="auto" w:fill="auto"/>
            <w:vAlign w:val="center"/>
          </w:tcPr>
          <w:p w14:paraId="2C32498E">
            <w:pPr>
              <w:pStyle w:val="22"/>
              <w:ind w:firstLine="0" w:firstLineChars="0"/>
              <w:rPr>
                <w:sz w:val="18"/>
                <w:szCs w:val="18"/>
              </w:rPr>
            </w:pPr>
            <w:r>
              <w:rPr>
                <w:rFonts w:hint="eastAsia"/>
                <w:sz w:val="18"/>
                <w:szCs w:val="18"/>
              </w:rPr>
              <w:t>选择底盘柔软、顺应性好的一件式或二件式造口袋,对底盘四周间断剪口,增加造口底盘对皮肤的顺应性</w:t>
            </w:r>
          </w:p>
        </w:tc>
      </w:tr>
      <w:tr w14:paraId="1879503F">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54" w:hRule="atLeast"/>
        </w:trPr>
        <w:tc>
          <w:tcPr>
            <w:tcW w:w="1702" w:type="dxa"/>
            <w:vMerge w:val="continue"/>
            <w:shd w:val="clear" w:color="auto" w:fill="auto"/>
            <w:vAlign w:val="center"/>
          </w:tcPr>
          <w:p w14:paraId="4D3D49A5">
            <w:pPr>
              <w:pStyle w:val="22"/>
              <w:ind w:firstLine="0" w:firstLineChars="0"/>
              <w:jc w:val="center"/>
              <w:rPr>
                <w:sz w:val="18"/>
                <w:szCs w:val="18"/>
              </w:rPr>
            </w:pPr>
          </w:p>
        </w:tc>
        <w:tc>
          <w:tcPr>
            <w:tcW w:w="2593" w:type="dxa"/>
            <w:shd w:val="clear" w:color="auto" w:fill="auto"/>
            <w:vAlign w:val="center"/>
          </w:tcPr>
          <w:p w14:paraId="433F2BBD">
            <w:pPr>
              <w:pStyle w:val="22"/>
              <w:ind w:firstLine="0" w:firstLineChars="0"/>
              <w:rPr>
                <w:sz w:val="18"/>
                <w:szCs w:val="18"/>
              </w:rPr>
            </w:pPr>
            <w:r>
              <w:rPr>
                <w:rFonts w:hint="eastAsia"/>
                <w:sz w:val="18"/>
                <w:szCs w:val="18"/>
              </w:rPr>
              <w:t>在腰线以下</w:t>
            </w:r>
          </w:p>
        </w:tc>
        <w:tc>
          <w:tcPr>
            <w:tcW w:w="3991" w:type="dxa"/>
            <w:shd w:val="clear" w:color="auto" w:fill="auto"/>
            <w:vAlign w:val="center"/>
          </w:tcPr>
          <w:p w14:paraId="697DC19B">
            <w:pPr>
              <w:pStyle w:val="22"/>
              <w:ind w:firstLine="0" w:firstLineChars="0"/>
              <w:rPr>
                <w:sz w:val="18"/>
                <w:szCs w:val="18"/>
              </w:rPr>
            </w:pPr>
            <w:r>
              <w:rPr>
                <w:rFonts w:hint="eastAsia"/>
                <w:sz w:val="18"/>
                <w:szCs w:val="18"/>
              </w:rPr>
              <w:t>可选用任何底盘</w:t>
            </w:r>
          </w:p>
        </w:tc>
      </w:tr>
      <w:tr w14:paraId="6488E65B">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54" w:hRule="atLeast"/>
        </w:trPr>
        <w:tc>
          <w:tcPr>
            <w:tcW w:w="1702" w:type="dxa"/>
            <w:vMerge w:val="restart"/>
            <w:shd w:val="clear" w:color="auto" w:fill="auto"/>
            <w:vAlign w:val="center"/>
          </w:tcPr>
          <w:p w14:paraId="01083ACF">
            <w:pPr>
              <w:pStyle w:val="22"/>
              <w:ind w:firstLine="0" w:firstLineChars="0"/>
              <w:jc w:val="center"/>
              <w:rPr>
                <w:sz w:val="18"/>
                <w:szCs w:val="18"/>
              </w:rPr>
            </w:pPr>
            <w:r>
              <w:rPr>
                <w:rFonts w:hint="eastAsia"/>
                <w:sz w:val="18"/>
                <w:szCs w:val="18"/>
              </w:rPr>
              <w:t>造口高度</w:t>
            </w:r>
          </w:p>
        </w:tc>
        <w:tc>
          <w:tcPr>
            <w:tcW w:w="2593" w:type="dxa"/>
            <w:shd w:val="clear" w:color="auto" w:fill="auto"/>
            <w:vAlign w:val="center"/>
          </w:tcPr>
          <w:p w14:paraId="33C4DA56">
            <w:pPr>
              <w:pStyle w:val="22"/>
              <w:ind w:firstLine="0" w:firstLineChars="0"/>
              <w:rPr>
                <w:sz w:val="18"/>
                <w:szCs w:val="18"/>
              </w:rPr>
            </w:pPr>
            <w:r>
              <w:rPr>
                <w:rFonts w:hint="eastAsia"/>
                <w:sz w:val="18"/>
                <w:szCs w:val="18"/>
              </w:rPr>
              <w:t>造口高于周围皮肤表面</w:t>
            </w:r>
          </w:p>
        </w:tc>
        <w:tc>
          <w:tcPr>
            <w:tcW w:w="3991" w:type="dxa"/>
            <w:shd w:val="clear" w:color="auto" w:fill="auto"/>
            <w:vAlign w:val="center"/>
          </w:tcPr>
          <w:p w14:paraId="21F8E57E">
            <w:pPr>
              <w:pStyle w:val="22"/>
              <w:ind w:firstLine="0" w:firstLineChars="0"/>
              <w:rPr>
                <w:sz w:val="18"/>
                <w:szCs w:val="18"/>
              </w:rPr>
            </w:pPr>
            <w:r>
              <w:rPr>
                <w:rFonts w:hint="eastAsia"/>
                <w:sz w:val="18"/>
                <w:szCs w:val="18"/>
              </w:rPr>
              <w:t>可选用任何底盘</w:t>
            </w:r>
          </w:p>
        </w:tc>
      </w:tr>
      <w:tr w14:paraId="73235B52">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95" w:hRule="atLeast"/>
        </w:trPr>
        <w:tc>
          <w:tcPr>
            <w:tcW w:w="1702" w:type="dxa"/>
            <w:vMerge w:val="continue"/>
            <w:shd w:val="clear" w:color="auto" w:fill="auto"/>
          </w:tcPr>
          <w:p w14:paraId="72FA0F81">
            <w:pPr>
              <w:pStyle w:val="22"/>
              <w:ind w:firstLine="0" w:firstLineChars="0"/>
              <w:rPr>
                <w:sz w:val="18"/>
                <w:szCs w:val="18"/>
              </w:rPr>
            </w:pPr>
          </w:p>
        </w:tc>
        <w:tc>
          <w:tcPr>
            <w:tcW w:w="2593" w:type="dxa"/>
            <w:shd w:val="clear" w:color="auto" w:fill="auto"/>
            <w:vAlign w:val="center"/>
          </w:tcPr>
          <w:p w14:paraId="7E31B34F">
            <w:pPr>
              <w:pStyle w:val="22"/>
              <w:ind w:firstLine="0" w:firstLineChars="0"/>
              <w:rPr>
                <w:sz w:val="18"/>
                <w:szCs w:val="18"/>
              </w:rPr>
            </w:pPr>
            <w:r>
              <w:rPr>
                <w:rFonts w:hint="eastAsia"/>
                <w:sz w:val="18"/>
                <w:szCs w:val="18"/>
              </w:rPr>
              <w:t>造口与周围皮肤表面平齐</w:t>
            </w:r>
          </w:p>
        </w:tc>
        <w:tc>
          <w:tcPr>
            <w:tcW w:w="3991" w:type="dxa"/>
            <w:shd w:val="clear" w:color="auto" w:fill="auto"/>
            <w:vAlign w:val="center"/>
          </w:tcPr>
          <w:p w14:paraId="53B8C9D2">
            <w:pPr>
              <w:pStyle w:val="22"/>
              <w:ind w:firstLine="0" w:firstLineChars="0"/>
              <w:rPr>
                <w:sz w:val="18"/>
                <w:szCs w:val="18"/>
              </w:rPr>
            </w:pPr>
            <w:r>
              <w:rPr>
                <w:rFonts w:hint="eastAsia"/>
                <w:sz w:val="18"/>
                <w:szCs w:val="18"/>
              </w:rPr>
              <w:t>选择二件式微凸底盘加腰带,同时使用造口护肤粉、皮肤保护膜、防漏膏等造口护理用品</w:t>
            </w:r>
          </w:p>
        </w:tc>
      </w:tr>
      <w:tr w14:paraId="3498A816">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762" w:hRule="atLeast"/>
        </w:trPr>
        <w:tc>
          <w:tcPr>
            <w:tcW w:w="1702" w:type="dxa"/>
            <w:vMerge w:val="continue"/>
            <w:shd w:val="clear" w:color="auto" w:fill="auto"/>
          </w:tcPr>
          <w:p w14:paraId="2E73576B">
            <w:pPr>
              <w:pStyle w:val="22"/>
              <w:ind w:firstLine="0" w:firstLineChars="0"/>
              <w:rPr>
                <w:sz w:val="18"/>
                <w:szCs w:val="18"/>
              </w:rPr>
            </w:pPr>
          </w:p>
        </w:tc>
        <w:tc>
          <w:tcPr>
            <w:tcW w:w="2593" w:type="dxa"/>
            <w:shd w:val="clear" w:color="auto" w:fill="auto"/>
            <w:vAlign w:val="center"/>
          </w:tcPr>
          <w:p w14:paraId="19ED7CD0">
            <w:pPr>
              <w:pStyle w:val="22"/>
              <w:ind w:firstLine="0" w:firstLineChars="0"/>
              <w:rPr>
                <w:sz w:val="18"/>
                <w:szCs w:val="18"/>
              </w:rPr>
            </w:pPr>
            <w:r>
              <w:rPr>
                <w:rFonts w:hint="eastAsia"/>
                <w:sz w:val="18"/>
                <w:szCs w:val="18"/>
              </w:rPr>
              <w:t>造口回缩于周围皮肤表面之下</w:t>
            </w:r>
          </w:p>
        </w:tc>
        <w:tc>
          <w:tcPr>
            <w:tcW w:w="3991" w:type="dxa"/>
            <w:shd w:val="clear" w:color="auto" w:fill="auto"/>
            <w:vAlign w:val="center"/>
          </w:tcPr>
          <w:p w14:paraId="46DA0257">
            <w:pPr>
              <w:pStyle w:val="22"/>
              <w:ind w:firstLine="0" w:firstLineChars="0"/>
              <w:rPr>
                <w:sz w:val="18"/>
                <w:szCs w:val="18"/>
              </w:rPr>
            </w:pPr>
            <w:r>
              <w:rPr>
                <w:rFonts w:hint="eastAsia"/>
                <w:sz w:val="18"/>
                <w:szCs w:val="18"/>
              </w:rPr>
              <w:t>选择二件式凸面底盘造口腰带固定,同时使用造口护肤粉、皮肤保护膜、防漏膏等造口护理用品</w:t>
            </w:r>
          </w:p>
        </w:tc>
      </w:tr>
    </w:tbl>
    <w:p w14:paraId="6CC1BE85">
      <w:pPr>
        <w:spacing w:line="560" w:lineRule="exact"/>
        <w:ind w:firstLine="640" w:firstLineChars="200"/>
        <w:outlineLvl w:val="1"/>
        <w:rPr>
          <w:rFonts w:ascii="仿宋_GB2312" w:hAnsi="宋体" w:eastAsia="仿宋_GB2312"/>
          <w:sz w:val="32"/>
          <w:szCs w:val="32"/>
        </w:rPr>
      </w:pPr>
      <w:r>
        <w:rPr>
          <w:rFonts w:hint="eastAsia" w:ascii="仿宋_GB2312" w:hAnsi="宋体" w:eastAsia="仿宋_GB2312"/>
          <w:sz w:val="32"/>
          <w:szCs w:val="32"/>
        </w:rPr>
        <w:t>（3）高排量造口护理</w:t>
      </w:r>
    </w:p>
    <w:p w14:paraId="5FB6EDB3">
      <w:pPr>
        <w:spacing w:line="560" w:lineRule="exact"/>
        <w:ind w:firstLine="640" w:firstLineChars="200"/>
        <w:outlineLvl w:val="1"/>
        <w:rPr>
          <w:rFonts w:ascii="仿宋_GB2312" w:hAnsi="宋体" w:eastAsia="仿宋_GB2312"/>
          <w:sz w:val="32"/>
          <w:szCs w:val="32"/>
        </w:rPr>
      </w:pPr>
      <w:r>
        <w:rPr>
          <w:rFonts w:hint="eastAsia" w:ascii="仿宋_GB2312" w:hAnsi="宋体" w:eastAsia="仿宋_GB2312"/>
          <w:sz w:val="32"/>
          <w:szCs w:val="32"/>
        </w:rPr>
        <w:t>对于持续3d造口排量大于1500ml/24h的高排量造口，在常规造口护理指导的基础上，加强造口并发症处理的指导，指导患者使用凸面底板两件式造口袋配合腰带，可以增加造口的高度同时使造口袋底盘和周围皮肤紧密贴合，两件式方便造口清洗和排放。</w:t>
      </w:r>
    </w:p>
    <w:p w14:paraId="07C9CFC3">
      <w:pPr>
        <w:spacing w:line="560" w:lineRule="exact"/>
        <w:ind w:firstLine="640" w:firstLineChars="200"/>
        <w:outlineLvl w:val="1"/>
        <w:rPr>
          <w:rFonts w:ascii="仿宋_GB2312" w:hAnsi="宋体" w:eastAsia="仿宋_GB2312"/>
          <w:sz w:val="32"/>
          <w:szCs w:val="32"/>
        </w:rPr>
      </w:pPr>
      <w:r>
        <w:rPr>
          <w:rFonts w:hint="eastAsia" w:ascii="仿宋_GB2312" w:hAnsi="宋体" w:eastAsia="仿宋_GB2312"/>
          <w:sz w:val="32"/>
          <w:szCs w:val="32"/>
        </w:rPr>
        <w:t>（4）带支撑棒造口护理</w:t>
      </w:r>
    </w:p>
    <w:p w14:paraId="6434163F">
      <w:pPr>
        <w:spacing w:line="560" w:lineRule="exact"/>
        <w:ind w:firstLine="640" w:firstLineChars="200"/>
        <w:outlineLvl w:val="1"/>
        <w:rPr>
          <w:rFonts w:ascii="仿宋_GB2312" w:hAnsi="宋体" w:eastAsia="仿宋_GB2312"/>
          <w:sz w:val="32"/>
          <w:szCs w:val="32"/>
        </w:rPr>
      </w:pPr>
      <w:r>
        <w:rPr>
          <w:rFonts w:hint="eastAsia" w:ascii="仿宋_GB2312" w:hAnsi="宋体" w:eastAsia="仿宋_GB2312"/>
          <w:sz w:val="32"/>
          <w:szCs w:val="32"/>
        </w:rPr>
        <w:t>主要参考</w:t>
      </w:r>
      <w:r>
        <w:rPr>
          <w:rFonts w:ascii="仿宋_GB2312" w:hAnsi="宋体" w:eastAsia="仿宋_GB2312"/>
          <w:sz w:val="32"/>
          <w:szCs w:val="32"/>
        </w:rPr>
        <w:t>《</w:t>
      </w:r>
      <w:r>
        <w:rPr>
          <w:rFonts w:hint="eastAsia" w:ascii="仿宋_GB2312" w:hAnsi="宋体" w:eastAsia="仿宋_GB2312"/>
          <w:sz w:val="32"/>
          <w:szCs w:val="32"/>
        </w:rPr>
        <w:t>中低位直肠癌手术预防性肠造口中国专家共识(2022版)</w:t>
      </w:r>
      <w:r>
        <w:rPr>
          <w:rFonts w:ascii="仿宋_GB2312" w:hAnsi="宋体" w:eastAsia="仿宋_GB2312"/>
          <w:sz w:val="32"/>
          <w:szCs w:val="32"/>
        </w:rPr>
        <w:t>》</w:t>
      </w:r>
      <w:r>
        <w:rPr>
          <w:rFonts w:hint="eastAsia" w:ascii="仿宋_GB2312" w:hAnsi="宋体" w:eastAsia="仿宋_GB2312"/>
          <w:sz w:val="32"/>
          <w:szCs w:val="32"/>
        </w:rPr>
        <w:t>的要求提出了带支撑棒造口的护理要求。</w:t>
      </w:r>
    </w:p>
    <w:p w14:paraId="3D4667BF">
      <w:pPr>
        <w:ind w:firstLine="420" w:firstLineChars="200"/>
        <w:outlineLvl w:val="1"/>
        <w:rPr>
          <w:rFonts w:ascii="仿宋_GB2312" w:hAnsi="宋体" w:eastAsia="仿宋_GB2312"/>
          <w:sz w:val="32"/>
          <w:szCs w:val="32"/>
        </w:rPr>
      </w:pPr>
      <w:r>
        <w:drawing>
          <wp:inline distT="0" distB="0" distL="0" distR="0">
            <wp:extent cx="4743450" cy="1590675"/>
            <wp:effectExtent l="19050" t="19050" r="19050" b="2857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pic:cNvPicPr>
                  </pic:nvPicPr>
                  <pic:blipFill>
                    <a:blip r:embed="rId10"/>
                    <a:stretch>
                      <a:fillRect/>
                    </a:stretch>
                  </pic:blipFill>
                  <pic:spPr>
                    <a:xfrm>
                      <a:off x="0" y="0"/>
                      <a:ext cx="4743450" cy="1590675"/>
                    </a:xfrm>
                    <a:prstGeom prst="rect">
                      <a:avLst/>
                    </a:prstGeom>
                    <a:ln>
                      <a:solidFill>
                        <a:schemeClr val="tx1"/>
                      </a:solidFill>
                    </a:ln>
                  </pic:spPr>
                </pic:pic>
              </a:graphicData>
            </a:graphic>
          </wp:inline>
        </w:drawing>
      </w:r>
    </w:p>
    <w:p w14:paraId="5450ACE8">
      <w:pPr>
        <w:ind w:firstLine="422" w:firstLineChars="200"/>
        <w:jc w:val="center"/>
        <w:outlineLvl w:val="1"/>
        <w:rPr>
          <w:rFonts w:ascii="仿宋_GB2312" w:hAnsi="宋体" w:eastAsia="仿宋_GB2312"/>
          <w:sz w:val="32"/>
          <w:szCs w:val="32"/>
        </w:rPr>
      </w:pPr>
      <w:r>
        <w:rPr>
          <w:rFonts w:hint="eastAsia" w:ascii="仿宋_GB2312" w:hAnsi="宋体" w:eastAsia="仿宋_GB2312"/>
          <w:b/>
          <w:bCs/>
          <w:color w:val="000000"/>
          <w:szCs w:val="21"/>
        </w:rPr>
        <w:t>来源：</w:t>
      </w:r>
      <w:bookmarkStart w:id="6" w:name="_Hlk186029975"/>
      <w:r>
        <w:rPr>
          <w:rFonts w:hint="eastAsia" w:ascii="仿宋_GB2312" w:hAnsi="宋体" w:eastAsia="仿宋_GB2312"/>
          <w:b/>
          <w:bCs/>
          <w:color w:val="000000"/>
          <w:szCs w:val="21"/>
        </w:rPr>
        <w:t>中低位直肠癌手术预防性肠造口中国专家共识(2022版)</w:t>
      </w:r>
      <w:bookmarkEnd w:id="6"/>
    </w:p>
    <w:p w14:paraId="485B9DF8">
      <w:pPr>
        <w:spacing w:line="560" w:lineRule="exact"/>
        <w:ind w:firstLine="640" w:firstLineChars="200"/>
        <w:outlineLvl w:val="1"/>
        <w:rPr>
          <w:rFonts w:ascii="仿宋_GB2312" w:hAnsi="宋体" w:eastAsia="仿宋_GB2312"/>
          <w:sz w:val="32"/>
          <w:szCs w:val="32"/>
        </w:rPr>
      </w:pPr>
      <w:r>
        <w:rPr>
          <w:rFonts w:hint="eastAsia" w:ascii="仿宋_GB2312" w:hAnsi="宋体" w:eastAsia="仿宋_GB2312"/>
          <w:sz w:val="32"/>
          <w:szCs w:val="32"/>
        </w:rPr>
        <w:t>3、造口及周围常见并发症护理</w:t>
      </w:r>
    </w:p>
    <w:p w14:paraId="2AFB7672">
      <w:pPr>
        <w:spacing w:line="560" w:lineRule="exact"/>
        <w:ind w:firstLine="640" w:firstLineChars="200"/>
        <w:outlineLvl w:val="1"/>
        <w:rPr>
          <w:rFonts w:ascii="仿宋_GB2312" w:hAnsi="宋体" w:eastAsia="仿宋_GB2312"/>
          <w:sz w:val="32"/>
          <w:szCs w:val="32"/>
        </w:rPr>
      </w:pPr>
      <w:r>
        <w:rPr>
          <w:rFonts w:hint="eastAsia" w:ascii="仿宋_GB2312" w:hAnsi="宋体" w:eastAsia="仿宋_GB2312"/>
          <w:sz w:val="32"/>
          <w:szCs w:val="32"/>
        </w:rPr>
        <w:t>造口及周围常见并发症主要有造口肠管或系膜出血、皮肤黏膜分离、造口回缩、造口早期狭窄、造口潮湿相关性皮炎等，标准编制工作组依据《中低位直肠癌手术预防性肠造口中国专家共识(2022版)》、《造口护理学》（全国造口治疗师规范化教材，人民卫生出版社）以及起草单位的经验给出了以上造口及周围常见并发症的护理措施。</w:t>
      </w:r>
    </w:p>
    <w:p w14:paraId="11942223">
      <w:pPr>
        <w:spacing w:line="560" w:lineRule="exact"/>
        <w:ind w:firstLine="640" w:firstLineChars="200"/>
        <w:outlineLvl w:val="1"/>
        <w:rPr>
          <w:rFonts w:ascii="仿宋_GB2312" w:hAnsi="宋体" w:eastAsia="仿宋_GB2312"/>
          <w:sz w:val="32"/>
          <w:szCs w:val="32"/>
        </w:rPr>
      </w:pPr>
      <w:r>
        <w:rPr>
          <w:rFonts w:hint="eastAsia" w:ascii="仿宋_GB2312" w:hAnsi="宋体" w:eastAsia="仿宋_GB2312"/>
          <w:sz w:val="32"/>
          <w:szCs w:val="32"/>
        </w:rPr>
        <w:t>皮肤黏膜分离</w:t>
      </w:r>
      <w:r>
        <w:rPr>
          <w:rFonts w:hint="eastAsia" w:ascii="仿宋_GB2312" w:hAnsi="宋体" w:eastAsia="仿宋_GB2312"/>
          <w:sz w:val="32"/>
          <w:szCs w:val="32"/>
          <w:lang w:eastAsia="zh-CN"/>
        </w:rPr>
        <w:t>主要是由</w:t>
      </w:r>
      <w:r>
        <w:rPr>
          <w:rFonts w:hint="eastAsia" w:ascii="仿宋_GB2312" w:hAnsi="宋体" w:eastAsia="仿宋_GB2312"/>
          <w:sz w:val="32"/>
          <w:szCs w:val="32"/>
        </w:rPr>
        <w:t>肠造口缺血坏死造成，可能会导致一系列问题的发生，如造口袋粘贴困难、排泄物易渗漏;患者常伴有不安情绪，心理负担重；也可能导致造口回缩，因此，皮肤黏膜分离的治疗及护理是否及时、恰当、有效,对减轻患者痛苦、预防感染、促进其身心健康的恢复十分重要。标准编制工作组依据经验给出了皮肤黏膜分离的评估内容，包括分离的范围、大小、深度、渗液量、基底组织情况及有无潜行。对于造口皮肤黏膜的浅层分离，造口护肤粉可以帮助保护皮肤，促进分离处的愈合</w:t>
      </w:r>
      <w:r>
        <w:rPr>
          <w:rFonts w:hint="eastAsia" w:ascii="MS Mincho" w:hAnsi="MS Mincho" w:eastAsia="MS Mincho" w:cs="MS Mincho"/>
          <w:sz w:val="32"/>
          <w:szCs w:val="32"/>
        </w:rPr>
        <w:t>‌</w:t>
      </w:r>
      <w:r>
        <w:rPr>
          <w:rFonts w:hint="eastAsia" w:ascii="仿宋_GB2312" w:hAnsi="宋体" w:eastAsia="仿宋_GB2312"/>
          <w:sz w:val="32"/>
          <w:szCs w:val="32"/>
        </w:rPr>
        <w:t>；对于造口皮肤黏膜的深层分离，首先需要进行的是清创，即去除伤口中的黄色腐肉和坏死组织，完成清创后，为了促进伤口的愈合和防止感染，可以使用藻酸盐敷料来充填伤口</w:t>
      </w:r>
      <w:r>
        <w:rPr>
          <w:rFonts w:hint="eastAsia" w:ascii="MS Mincho" w:hAnsi="MS Mincho" w:eastAsia="MS Mincho" w:cs="MS Mincho"/>
          <w:sz w:val="32"/>
          <w:szCs w:val="32"/>
        </w:rPr>
        <w:t>‌</w:t>
      </w:r>
      <w:r>
        <w:rPr>
          <w:rFonts w:hint="eastAsia" w:ascii="仿宋_GB2312" w:hAnsi="宋体" w:eastAsia="仿宋_GB2312"/>
          <w:sz w:val="32"/>
          <w:szCs w:val="32"/>
        </w:rPr>
        <w:t>，藻酸盐敷料具有良好的吸收能力，可以吸收伤口中的渗液，同时保持伤口的湿润环境，有利于伤口的愈合</w:t>
      </w:r>
      <w:r>
        <w:rPr>
          <w:rFonts w:hint="eastAsia" w:ascii="MS Mincho" w:hAnsi="MS Mincho" w:eastAsia="MS Mincho" w:cs="MS Mincho"/>
          <w:sz w:val="32"/>
          <w:szCs w:val="32"/>
        </w:rPr>
        <w:t>‌</w:t>
      </w:r>
      <w:r>
        <w:rPr>
          <w:rFonts w:hint="eastAsia" w:ascii="仿宋_GB2312" w:hAnsi="宋体" w:eastAsia="仿宋_GB2312"/>
          <w:sz w:val="32"/>
          <w:szCs w:val="32"/>
        </w:rPr>
        <w:t>；</w:t>
      </w:r>
      <w:r>
        <w:rPr>
          <w:rFonts w:ascii="仿宋_GB2312" w:hAnsi="宋体" w:eastAsia="仿宋_GB2312"/>
          <w:sz w:val="32"/>
          <w:szCs w:val="32"/>
        </w:rPr>
        <w:t>合并感染时，</w:t>
      </w:r>
      <w:r>
        <w:rPr>
          <w:rFonts w:hint="eastAsia" w:ascii="仿宋_GB2312" w:hAnsi="宋体" w:eastAsia="仿宋_GB2312"/>
          <w:sz w:val="32"/>
          <w:szCs w:val="32"/>
        </w:rPr>
        <w:t>为避免感染风险或</w:t>
      </w:r>
      <w:r>
        <w:rPr>
          <w:rFonts w:ascii="仿宋_GB2312" w:hAnsi="宋体" w:eastAsia="仿宋_GB2312"/>
          <w:sz w:val="32"/>
          <w:szCs w:val="32"/>
        </w:rPr>
        <w:t>减少感染的发生和发展</w:t>
      </w:r>
      <w:r>
        <w:rPr>
          <w:rFonts w:hint="eastAsia" w:ascii="仿宋_GB2312" w:hAnsi="宋体" w:eastAsia="仿宋_GB2312"/>
          <w:sz w:val="32"/>
          <w:szCs w:val="32"/>
        </w:rPr>
        <w:t>，</w:t>
      </w:r>
      <w:r>
        <w:rPr>
          <w:rFonts w:ascii="仿宋_GB2312" w:hAnsi="宋体" w:eastAsia="仿宋_GB2312"/>
          <w:sz w:val="32"/>
          <w:szCs w:val="32"/>
        </w:rPr>
        <w:t>宜使用抗菌敷料</w:t>
      </w:r>
      <w:r>
        <w:rPr>
          <w:rFonts w:hint="eastAsia" w:ascii="仿宋_GB2312" w:hAnsi="宋体" w:eastAsia="仿宋_GB2312"/>
          <w:sz w:val="32"/>
          <w:szCs w:val="32"/>
        </w:rPr>
        <w:t>，抗菌敷料能够直接作用于伤口表面，杀灭或抑制细菌的生长，从而减少感染的发生和发展。同时，抗菌敷料还可以吸收伤口中的渗液，保持伤口的清洁和干燥，有利于伤口的愈合</w:t>
      </w:r>
      <w:r>
        <w:rPr>
          <w:rFonts w:hint="eastAsia" w:ascii="MS Mincho" w:hAnsi="MS Mincho" w:eastAsia="MS Mincho" w:cs="MS Mincho"/>
          <w:sz w:val="32"/>
          <w:szCs w:val="32"/>
        </w:rPr>
        <w:t>‌</w:t>
      </w:r>
      <w:r>
        <w:rPr>
          <w:rFonts w:hint="eastAsia" w:ascii="仿宋_GB2312" w:hAnsi="宋体" w:eastAsia="仿宋_GB2312"/>
          <w:sz w:val="32"/>
          <w:szCs w:val="32"/>
        </w:rPr>
        <w:t>。</w:t>
      </w:r>
    </w:p>
    <w:p w14:paraId="5DDB0743">
      <w:pPr>
        <w:spacing w:line="560" w:lineRule="exact"/>
        <w:ind w:firstLine="640" w:firstLineChars="200"/>
        <w:outlineLvl w:val="1"/>
        <w:rPr>
          <w:rFonts w:ascii="仿宋_GB2312" w:hAnsi="宋体" w:eastAsia="仿宋_GB2312"/>
          <w:sz w:val="32"/>
          <w:szCs w:val="32"/>
        </w:rPr>
      </w:pPr>
      <w:r>
        <w:rPr>
          <w:rFonts w:hint="eastAsia" w:ascii="仿宋_GB2312" w:hAnsi="宋体" w:eastAsia="仿宋_GB2312"/>
          <w:sz w:val="32"/>
          <w:szCs w:val="32"/>
        </w:rPr>
        <w:t>造口回缩指造口低于皮肤表面，可能导致排泄物积聚在周围皮肤，进而引发皮肤炎症和感染，评估回缩的程度对于及时采取护理措施、预防并发症至关重要</w:t>
      </w:r>
      <w:r>
        <w:rPr>
          <w:rFonts w:hint="eastAsia" w:ascii="MS Mincho" w:hAnsi="MS Mincho" w:eastAsia="MS Mincho" w:cs="MS Mincho"/>
          <w:sz w:val="32"/>
          <w:szCs w:val="32"/>
        </w:rPr>
        <w:t>‌</w:t>
      </w:r>
      <w:r>
        <w:rPr>
          <w:rFonts w:hint="eastAsia" w:ascii="仿宋_GB2312" w:hAnsi="宋体" w:eastAsia="仿宋_GB2312"/>
          <w:sz w:val="32"/>
          <w:szCs w:val="32"/>
        </w:rPr>
        <w:t>；造口底盘起到固定造口、防止排泄物渗漏的作用，在评估时，需要检查底盘的黏胶是否已经被侵蚀，以及底盘是否牢固、有无松动或损坏，造口周围皮肤的浸渍是由于排泄物长时间接触皮肤而导致的皮肤潮湿、破损或炎症。评估时，应观察皮肤是否存在破裂、渗漏、渗液、溃疡、红斑或出血等情况，这些都可能是浸渍的表现，因此提出应评估回缩的程度、造口底盘和周围皮肤的浸渍情况，也有助于及时发现并处理潜在的问题，预防并发症的发生。</w:t>
      </w:r>
    </w:p>
    <w:p w14:paraId="4A0A7B22">
      <w:pPr>
        <w:spacing w:line="560" w:lineRule="exact"/>
        <w:ind w:firstLine="640" w:firstLineChars="200"/>
        <w:outlineLvl w:val="1"/>
        <w:rPr>
          <w:rFonts w:ascii="仿宋_GB2312" w:hAnsi="宋体" w:eastAsia="仿宋_GB2312"/>
          <w:sz w:val="32"/>
          <w:szCs w:val="32"/>
        </w:rPr>
      </w:pPr>
      <w:r>
        <w:rPr>
          <w:rFonts w:hint="eastAsia" w:ascii="仿宋_GB2312" w:hAnsi="宋体" w:eastAsia="仿宋_GB2312"/>
          <w:sz w:val="32"/>
          <w:szCs w:val="32"/>
        </w:rPr>
        <w:t>造口回缩导致造口低于皮肤表面，凸面底盘可以帮助将造口抬起，使排泄物更容易落入造口袋中，减少皮肤浸渍和渗漏的风险</w:t>
      </w:r>
      <w:r>
        <w:rPr>
          <w:rFonts w:hint="eastAsia" w:ascii="MS Mincho" w:hAnsi="MS Mincho" w:eastAsia="MS Mincho" w:cs="MS Mincho"/>
          <w:sz w:val="32"/>
          <w:szCs w:val="32"/>
        </w:rPr>
        <w:t>‌</w:t>
      </w:r>
      <w:r>
        <w:rPr>
          <w:rFonts w:hint="eastAsia" w:ascii="仿宋_GB2312" w:hAnsi="宋体" w:eastAsia="仿宋_GB2312"/>
          <w:sz w:val="32"/>
          <w:szCs w:val="32"/>
        </w:rPr>
        <w:t>，在使用凸面底盘时，需要确保底盘与造口周围皮肤紧密粘贴，因此宜选择佩戴造口腰带或造口腹带，增加造口底盘与皮肤的粘合力，以防止排泄物渗漏。</w:t>
      </w:r>
    </w:p>
    <w:p w14:paraId="45E684FB">
      <w:pPr>
        <w:spacing w:before="156" w:beforeLines="50" w:after="156" w:afterLines="50"/>
        <w:outlineLvl w:val="1"/>
        <w:rPr>
          <w:rFonts w:ascii="仿宋_GB2312" w:hAnsi="宋体" w:eastAsia="仿宋_GB2312"/>
          <w:sz w:val="32"/>
          <w:szCs w:val="32"/>
        </w:rPr>
      </w:pPr>
      <w:r>
        <w:drawing>
          <wp:inline distT="0" distB="0" distL="0" distR="0">
            <wp:extent cx="5274310" cy="3420110"/>
            <wp:effectExtent l="19050" t="19050" r="21590" b="2794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11"/>
                    <a:stretch>
                      <a:fillRect/>
                    </a:stretch>
                  </pic:blipFill>
                  <pic:spPr>
                    <a:xfrm>
                      <a:off x="0" y="0"/>
                      <a:ext cx="5274310" cy="3420110"/>
                    </a:xfrm>
                    <a:prstGeom prst="rect">
                      <a:avLst/>
                    </a:prstGeom>
                    <a:ln>
                      <a:solidFill>
                        <a:schemeClr val="tx1"/>
                      </a:solidFill>
                    </a:ln>
                  </pic:spPr>
                </pic:pic>
              </a:graphicData>
            </a:graphic>
          </wp:inline>
        </w:drawing>
      </w:r>
    </w:p>
    <w:p w14:paraId="3205928B">
      <w:pPr>
        <w:spacing w:before="156" w:beforeLines="50" w:after="156" w:afterLines="50"/>
        <w:outlineLvl w:val="1"/>
        <w:rPr>
          <w:rFonts w:ascii="仿宋_GB2312" w:hAnsi="宋体" w:eastAsia="仿宋_GB2312"/>
          <w:sz w:val="32"/>
          <w:szCs w:val="32"/>
        </w:rPr>
      </w:pPr>
      <w:r>
        <w:drawing>
          <wp:inline distT="0" distB="0" distL="0" distR="0">
            <wp:extent cx="5274310" cy="1557655"/>
            <wp:effectExtent l="19050" t="19050" r="21590" b="23495"/>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pic:cNvPicPr>
                  </pic:nvPicPr>
                  <pic:blipFill>
                    <a:blip r:embed="rId12"/>
                    <a:stretch>
                      <a:fillRect/>
                    </a:stretch>
                  </pic:blipFill>
                  <pic:spPr>
                    <a:xfrm>
                      <a:off x="0" y="0"/>
                      <a:ext cx="5274310" cy="1557655"/>
                    </a:xfrm>
                    <a:prstGeom prst="rect">
                      <a:avLst/>
                    </a:prstGeom>
                    <a:ln>
                      <a:solidFill>
                        <a:schemeClr val="tx1"/>
                      </a:solidFill>
                    </a:ln>
                  </pic:spPr>
                </pic:pic>
              </a:graphicData>
            </a:graphic>
          </wp:inline>
        </w:drawing>
      </w:r>
    </w:p>
    <w:p w14:paraId="692186A3">
      <w:pPr>
        <w:spacing w:before="156" w:beforeLines="50" w:after="156" w:afterLines="50"/>
        <w:jc w:val="center"/>
        <w:outlineLvl w:val="1"/>
        <w:rPr>
          <w:rFonts w:ascii="仿宋_GB2312" w:hAnsi="宋体" w:eastAsia="仿宋_GB2312"/>
          <w:sz w:val="32"/>
          <w:szCs w:val="32"/>
        </w:rPr>
      </w:pPr>
      <w:r>
        <w:rPr>
          <w:rFonts w:hint="eastAsia" w:ascii="仿宋_GB2312" w:hAnsi="宋体" w:eastAsia="仿宋_GB2312"/>
          <w:b/>
          <w:bCs/>
          <w:color w:val="000000"/>
          <w:szCs w:val="21"/>
        </w:rPr>
        <w:t>来源：中低位直肠癌手术预防性肠造口中国专家共识(2022版)</w:t>
      </w:r>
    </w:p>
    <w:p w14:paraId="4EFAE23A">
      <w:pPr>
        <w:spacing w:line="560" w:lineRule="exact"/>
        <w:ind w:firstLine="640" w:firstLineChars="200"/>
        <w:outlineLvl w:val="1"/>
        <w:rPr>
          <w:rFonts w:ascii="仿宋_GB2312" w:hAnsi="宋体" w:eastAsia="仿宋_GB2312"/>
          <w:sz w:val="32"/>
          <w:szCs w:val="32"/>
        </w:rPr>
      </w:pPr>
      <w:r>
        <w:rPr>
          <w:rFonts w:hint="eastAsia" w:ascii="仿宋_GB2312" w:hAnsi="宋体" w:eastAsia="仿宋_GB2312"/>
          <w:sz w:val="32"/>
          <w:szCs w:val="32"/>
        </w:rPr>
        <w:t>4、患者出院健康教育及随访</w:t>
      </w:r>
    </w:p>
    <w:p w14:paraId="597AEABB">
      <w:pPr>
        <w:spacing w:line="560" w:lineRule="exact"/>
        <w:ind w:firstLine="640" w:firstLineChars="200"/>
        <w:outlineLvl w:val="1"/>
        <w:rPr>
          <w:rFonts w:ascii="仿宋_GB2312" w:hAnsi="宋体" w:eastAsia="仿宋_GB2312"/>
          <w:sz w:val="32"/>
          <w:szCs w:val="32"/>
        </w:rPr>
      </w:pPr>
      <w:r>
        <w:rPr>
          <w:rFonts w:hint="eastAsia" w:ascii="仿宋_GB2312" w:hAnsi="宋体" w:eastAsia="仿宋_GB2312"/>
          <w:sz w:val="32"/>
          <w:szCs w:val="32"/>
        </w:rPr>
        <w:t>（1）健康教育</w:t>
      </w:r>
    </w:p>
    <w:p w14:paraId="6B724E84">
      <w:pPr>
        <w:spacing w:line="560" w:lineRule="exact"/>
        <w:ind w:firstLine="640" w:firstLineChars="200"/>
        <w:outlineLvl w:val="1"/>
        <w:rPr>
          <w:rFonts w:ascii="仿宋_GB2312" w:hAnsi="宋体" w:eastAsia="仿宋_GB2312"/>
          <w:sz w:val="32"/>
          <w:szCs w:val="32"/>
        </w:rPr>
      </w:pPr>
      <w:r>
        <w:rPr>
          <w:rFonts w:hint="eastAsia" w:ascii="仿宋_GB2312" w:hAnsi="宋体" w:eastAsia="仿宋_GB2312"/>
          <w:sz w:val="32"/>
          <w:szCs w:val="32"/>
        </w:rPr>
        <w:t xml:space="preserve">患者出院后健康教育及随访至关重要，关乎着患者的康复和生活质量，标准编制工作组以及起草单位的经验给出了健康教育的内容，包括饮食、生活、康复、造口护理等。患者常常因造口排气、产生异味、便秘等问题而受困扰，气体从腹部排出不受控制且会造成造口袋胀起，同时为避免排泄物偏硬造成造口袋堵塞，应指导患者避免进食木耳、菌菇、芹菜等难消化及纤维过长易成团食物，适当控制易产气、异味、辛辣、生冷等食物。 </w:t>
      </w:r>
    </w:p>
    <w:p w14:paraId="5AC4D29B">
      <w:pPr>
        <w:spacing w:line="560" w:lineRule="exact"/>
        <w:ind w:firstLine="640" w:firstLineChars="200"/>
        <w:outlineLvl w:val="1"/>
        <w:rPr>
          <w:rFonts w:ascii="仿宋_GB2312" w:hAnsi="宋体" w:eastAsia="仿宋_GB2312"/>
          <w:sz w:val="32"/>
          <w:szCs w:val="32"/>
        </w:rPr>
      </w:pPr>
      <w:r>
        <w:rPr>
          <w:rFonts w:hint="eastAsia" w:ascii="仿宋_GB2312" w:hAnsi="宋体" w:eastAsia="仿宋_GB2312"/>
          <w:sz w:val="32"/>
          <w:szCs w:val="32"/>
        </w:rPr>
        <w:t>为减少衣物对造口的直接压迫，降低因摩擦而产生的不适感，应指导患者着稍宽松衣服，同时，系腰带时避开造口位置，也能有效避免腰带对造口的挤压，确保造口周围的血液循环畅通无阻</w:t>
      </w:r>
      <w:r>
        <w:rPr>
          <w:rFonts w:hint="eastAsia" w:ascii="MS Mincho" w:hAnsi="MS Mincho" w:eastAsia="MS Mincho" w:cs="MS Mincho"/>
          <w:sz w:val="32"/>
          <w:szCs w:val="32"/>
        </w:rPr>
        <w:t>‌</w:t>
      </w:r>
      <w:r>
        <w:rPr>
          <w:rFonts w:hint="eastAsia" w:ascii="仿宋_GB2312" w:hAnsi="宋体" w:eastAsia="仿宋_GB2312"/>
          <w:sz w:val="32"/>
          <w:szCs w:val="32"/>
        </w:rPr>
        <w:t>，这样不仅有助于患者的舒适度，还能促进造口的愈合和恢复。</w:t>
      </w:r>
    </w:p>
    <w:p w14:paraId="4028FFEF">
      <w:pPr>
        <w:spacing w:line="560" w:lineRule="exact"/>
        <w:ind w:firstLine="640" w:firstLineChars="200"/>
        <w:outlineLvl w:val="1"/>
        <w:rPr>
          <w:rFonts w:ascii="仿宋_GB2312" w:hAnsi="宋体" w:eastAsia="仿宋_GB2312"/>
          <w:sz w:val="32"/>
          <w:szCs w:val="32"/>
        </w:rPr>
      </w:pPr>
      <w:r>
        <w:rPr>
          <w:rFonts w:hint="eastAsia" w:ascii="仿宋_GB2312" w:hAnsi="宋体" w:eastAsia="仿宋_GB2312"/>
          <w:sz w:val="32"/>
          <w:szCs w:val="32"/>
        </w:rPr>
        <w:t>为确保造口的安全和稳定</w:t>
      </w:r>
      <w:r>
        <w:rPr>
          <w:rFonts w:hint="eastAsia" w:ascii="MS Mincho" w:hAnsi="MS Mincho" w:eastAsia="MS Mincho" w:cs="MS Mincho"/>
          <w:sz w:val="32"/>
          <w:szCs w:val="32"/>
        </w:rPr>
        <w:t>‌</w:t>
      </w:r>
      <w:r>
        <w:rPr>
          <w:rFonts w:hint="eastAsia" w:ascii="MS Mincho" w:hAnsi="MS Mincho" w:cs="MS Mincho" w:eastAsiaTheme="minorEastAsia"/>
          <w:sz w:val="32"/>
          <w:szCs w:val="32"/>
        </w:rPr>
        <w:t>，</w:t>
      </w:r>
      <w:r>
        <w:rPr>
          <w:rFonts w:hint="eastAsia" w:ascii="仿宋_GB2312" w:hAnsi="宋体" w:eastAsia="仿宋_GB2312"/>
          <w:sz w:val="32"/>
          <w:szCs w:val="32"/>
        </w:rPr>
        <w:t>同时减少因造口袋移位或脱落而带来的不便和困扰</w:t>
      </w:r>
      <w:r>
        <w:rPr>
          <w:rFonts w:hint="eastAsia" w:ascii="MS Mincho" w:hAnsi="MS Mincho" w:eastAsia="MS Mincho" w:cs="MS Mincho"/>
          <w:sz w:val="32"/>
          <w:szCs w:val="32"/>
        </w:rPr>
        <w:t>‌</w:t>
      </w:r>
      <w:r>
        <w:rPr>
          <w:rFonts w:hint="eastAsia" w:ascii="仿宋_GB2312" w:hAnsi="宋体" w:eastAsia="仿宋_GB2312"/>
          <w:sz w:val="32"/>
          <w:szCs w:val="32"/>
        </w:rPr>
        <w:t>，应指导患者下床活动及外出工作时使用造口腰带或运动贴环固定，这样不仅能够确保造口袋的紧密贴合，还能减少因活动而产生的摩擦和不适感。</w:t>
      </w:r>
    </w:p>
    <w:p w14:paraId="78D6D447">
      <w:pPr>
        <w:spacing w:line="560" w:lineRule="exact"/>
        <w:ind w:firstLine="640" w:firstLineChars="200"/>
        <w:outlineLvl w:val="1"/>
        <w:rPr>
          <w:rFonts w:ascii="仿宋_GB2312" w:hAnsi="宋体" w:eastAsia="仿宋_GB2312"/>
          <w:sz w:val="32"/>
          <w:szCs w:val="32"/>
        </w:rPr>
      </w:pPr>
      <w:r>
        <w:rPr>
          <w:rFonts w:hint="eastAsia" w:ascii="仿宋_GB2312" w:hAnsi="宋体" w:eastAsia="仿宋_GB2312"/>
          <w:sz w:val="32"/>
          <w:szCs w:val="32"/>
        </w:rPr>
        <w:t>为了确保在外出过程中能够随时进行造口的护理和更换，避免因缺乏必要的用品而导致不便，应告知患者外出前备足造口护理用品并随身携带。</w:t>
      </w:r>
    </w:p>
    <w:p w14:paraId="2201CC3E">
      <w:pPr>
        <w:spacing w:line="560" w:lineRule="exact"/>
        <w:ind w:firstLine="640" w:firstLineChars="200"/>
        <w:outlineLvl w:val="1"/>
        <w:rPr>
          <w:rFonts w:ascii="仿宋_GB2312" w:hAnsi="宋体" w:eastAsia="仿宋_GB2312"/>
          <w:sz w:val="32"/>
          <w:szCs w:val="32"/>
        </w:rPr>
      </w:pPr>
      <w:r>
        <w:rPr>
          <w:rFonts w:hint="eastAsia" w:ascii="仿宋_GB2312" w:hAnsi="宋体" w:eastAsia="仿宋_GB2312"/>
          <w:sz w:val="32"/>
          <w:szCs w:val="32"/>
        </w:rPr>
        <w:t>造口患者进行提肛训练对于改善肛门功能、预防肛肠疾病及并发症以及提升患者生活质量都具有重要意义，标准编制工作组依据实际经验给出了提肛训练的要求。</w:t>
      </w:r>
    </w:p>
    <w:p w14:paraId="31994F3D">
      <w:pPr>
        <w:spacing w:line="560" w:lineRule="exact"/>
        <w:ind w:firstLine="640" w:firstLineChars="200"/>
        <w:outlineLvl w:val="1"/>
        <w:rPr>
          <w:rFonts w:ascii="仿宋_GB2312" w:hAnsi="宋体" w:eastAsia="仿宋_GB2312"/>
          <w:sz w:val="32"/>
          <w:szCs w:val="32"/>
        </w:rPr>
      </w:pPr>
      <w:r>
        <w:rPr>
          <w:rFonts w:hint="eastAsia" w:ascii="仿宋_GB2312" w:hAnsi="宋体" w:eastAsia="仿宋_GB2312"/>
          <w:sz w:val="32"/>
          <w:szCs w:val="32"/>
        </w:rPr>
        <w:t>（2）出院随访</w:t>
      </w:r>
    </w:p>
    <w:p w14:paraId="2F98D4DB">
      <w:pPr>
        <w:spacing w:line="560" w:lineRule="exact"/>
        <w:ind w:firstLine="640" w:firstLineChars="200"/>
        <w:outlineLvl w:val="1"/>
        <w:rPr>
          <w:rFonts w:ascii="仿宋_GB2312" w:hAnsi="宋体" w:eastAsia="仿宋_GB2312"/>
          <w:sz w:val="32"/>
          <w:szCs w:val="32"/>
        </w:rPr>
      </w:pPr>
      <w:r>
        <w:rPr>
          <w:rFonts w:hint="eastAsia" w:ascii="仿宋_GB2312" w:hAnsi="宋体" w:eastAsia="仿宋_GB2312"/>
          <w:sz w:val="32"/>
          <w:szCs w:val="32"/>
        </w:rPr>
        <w:t>为了解患者的康复情况、造口护理情况以及是否存在任何问题或困扰，避免术后造口相关并发症的发生，标准编制工作组依据实际经验给出了出院随访的要求，随访可采用线上、线下相结合的形式。每次随访应对造口及造口身体周围形态进行评估，调整及指导选择适合的造口护理用品。受过专业教育培训的造口治疗师，可以帮助造口者提高生活质量和自我护理能力，帮助造口手术的患者及其家人理解造口类型及其对生活方式的影响，对造口患者的心理干预，也对提高患者生活质量有着积极意义，因此提出提供上门居家护理服务人员应为经过培训的造口治疗师。</w:t>
      </w:r>
    </w:p>
    <w:p w14:paraId="4ACD772A">
      <w:pPr>
        <w:spacing w:before="156" w:beforeLines="50" w:after="156" w:afterLines="50" w:line="560" w:lineRule="exact"/>
        <w:ind w:firstLine="643" w:firstLineChars="200"/>
        <w:outlineLvl w:val="1"/>
        <w:rPr>
          <w:rFonts w:ascii="楷体_GB2312" w:hAnsi="宋体" w:eastAsia="楷体_GB2312"/>
          <w:b/>
          <w:bCs/>
          <w:sz w:val="32"/>
          <w:szCs w:val="32"/>
        </w:rPr>
      </w:pPr>
      <w:r>
        <w:rPr>
          <w:rFonts w:hint="eastAsia" w:ascii="楷体_GB2312" w:hAnsi="宋体" w:eastAsia="楷体_GB2312"/>
          <w:b/>
          <w:bCs/>
          <w:sz w:val="32"/>
          <w:szCs w:val="32"/>
        </w:rPr>
        <w:t>（四</w:t>
      </w:r>
      <w:r>
        <w:rPr>
          <w:rFonts w:ascii="楷体_GB2312" w:hAnsi="宋体" w:eastAsia="楷体_GB2312"/>
          <w:b/>
          <w:bCs/>
          <w:sz w:val="32"/>
          <w:szCs w:val="32"/>
        </w:rPr>
        <w:t>）</w:t>
      </w:r>
      <w:bookmarkStart w:id="7" w:name="_Hlk186189386"/>
      <w:r>
        <w:rPr>
          <w:rFonts w:hint="eastAsia" w:ascii="楷体_GB2312" w:hAnsi="宋体" w:eastAsia="楷体_GB2312"/>
          <w:b/>
          <w:bCs/>
          <w:sz w:val="32"/>
          <w:szCs w:val="32"/>
        </w:rPr>
        <w:t>预防性肠造口还纳</w:t>
      </w:r>
      <w:bookmarkEnd w:id="7"/>
      <w:r>
        <w:rPr>
          <w:rFonts w:hint="eastAsia" w:ascii="楷体_GB2312" w:hAnsi="宋体" w:eastAsia="楷体_GB2312"/>
          <w:b/>
          <w:bCs/>
          <w:sz w:val="32"/>
          <w:szCs w:val="32"/>
        </w:rPr>
        <w:t>围手术期护理</w:t>
      </w:r>
    </w:p>
    <w:p w14:paraId="2D80974D">
      <w:pPr>
        <w:spacing w:line="560" w:lineRule="exact"/>
        <w:ind w:firstLine="643" w:firstLineChars="200"/>
        <w:outlineLvl w:val="1"/>
        <w:rPr>
          <w:rFonts w:ascii="仿宋_GB2312" w:hAnsi="宋体" w:eastAsia="仿宋_GB2312"/>
          <w:b/>
          <w:bCs/>
          <w:sz w:val="32"/>
          <w:szCs w:val="32"/>
        </w:rPr>
      </w:pPr>
      <w:r>
        <w:rPr>
          <w:rFonts w:ascii="仿宋_GB2312" w:hAnsi="宋体" w:eastAsia="仿宋_GB2312"/>
          <w:b/>
          <w:bCs/>
          <w:sz w:val="32"/>
          <w:szCs w:val="32"/>
        </w:rPr>
        <w:t>1.</w:t>
      </w:r>
      <w:r>
        <w:rPr>
          <w:rFonts w:hint="eastAsia" w:ascii="仿宋_GB2312" w:hAnsi="宋体" w:eastAsia="仿宋_GB2312"/>
          <w:b/>
          <w:bCs/>
          <w:sz w:val="32"/>
          <w:szCs w:val="32"/>
        </w:rPr>
        <w:t>术前护理</w:t>
      </w:r>
    </w:p>
    <w:p w14:paraId="39392064">
      <w:pPr>
        <w:spacing w:line="560" w:lineRule="exact"/>
        <w:ind w:firstLine="640" w:firstLineChars="200"/>
        <w:outlineLvl w:val="1"/>
        <w:rPr>
          <w:rFonts w:ascii="仿宋_GB2312" w:hAnsi="宋体" w:eastAsia="仿宋_GB2312"/>
          <w:sz w:val="32"/>
          <w:szCs w:val="32"/>
        </w:rPr>
      </w:pPr>
      <w:r>
        <w:rPr>
          <w:rFonts w:hint="eastAsia" w:ascii="仿宋_GB2312" w:hAnsi="宋体" w:eastAsia="仿宋_GB2312"/>
          <w:sz w:val="32"/>
          <w:szCs w:val="32"/>
        </w:rPr>
        <w:t>（1）营养评估与支持</w:t>
      </w:r>
    </w:p>
    <w:p w14:paraId="5978ED41">
      <w:pPr>
        <w:spacing w:line="560" w:lineRule="exact"/>
        <w:ind w:firstLine="640" w:firstLineChars="200"/>
        <w:outlineLvl w:val="1"/>
        <w:rPr>
          <w:rFonts w:hint="eastAsia" w:ascii="仿宋_GB2312" w:hAnsi="宋体" w:eastAsia="仿宋_GB2312"/>
          <w:sz w:val="32"/>
          <w:szCs w:val="32"/>
        </w:rPr>
      </w:pPr>
      <w:r>
        <w:rPr>
          <w:rFonts w:hint="eastAsia" w:ascii="仿宋_GB2312" w:hAnsi="宋体" w:eastAsia="仿宋_GB2312"/>
          <w:sz w:val="32"/>
          <w:szCs w:val="32"/>
        </w:rPr>
        <w:t>主要依据起草单位的实际经验来确定，在预防性肠造口还纳前进行营养评估是手术成功和术后恢复的重要环节，通过对患者的全面营养评估，以确定患者的营养状况，检查患者是否存在贫血、低蛋白血症、营养不良等问题</w:t>
      </w:r>
      <w:r>
        <w:rPr>
          <w:rFonts w:hint="eastAsia" w:ascii="MS Mincho" w:hAnsi="MS Mincho" w:eastAsia="MS Mincho" w:cs="MS Mincho"/>
          <w:sz w:val="32"/>
          <w:szCs w:val="32"/>
        </w:rPr>
        <w:t>‌</w:t>
      </w:r>
      <w:r>
        <w:rPr>
          <w:rFonts w:hint="eastAsia" w:ascii="仿宋_GB2312" w:hAnsi="宋体" w:eastAsia="仿宋_GB2312"/>
          <w:sz w:val="32"/>
          <w:szCs w:val="32"/>
        </w:rPr>
        <w:t>，这些问题可能会影响患者的手术耐受性和术后恢复，若发现营养问题，应采取针对性措施，如纠正贫血、低蛋白血症，以及给予营养支持治疗，以增加患者的抵抗力</w:t>
      </w:r>
      <w:r>
        <w:rPr>
          <w:rFonts w:hint="eastAsia" w:ascii="MS Mincho" w:hAnsi="MS Mincho" w:eastAsia="MS Mincho" w:cs="MS Mincho"/>
          <w:sz w:val="32"/>
          <w:szCs w:val="32"/>
        </w:rPr>
        <w:t>‌</w:t>
      </w:r>
      <w:r>
        <w:rPr>
          <w:rFonts w:hint="eastAsia" w:ascii="仿宋_GB2312" w:hAnsi="宋体" w:eastAsia="仿宋_GB2312"/>
          <w:sz w:val="32"/>
          <w:szCs w:val="32"/>
        </w:rPr>
        <w:t>。营养评估是采用营养风险筛查评估表（NRS</w:t>
      </w:r>
      <w:r>
        <w:rPr>
          <w:rFonts w:ascii="仿宋_GB2312" w:hAnsi="宋体" w:eastAsia="仿宋_GB2312"/>
          <w:sz w:val="32"/>
          <w:szCs w:val="32"/>
        </w:rPr>
        <w:t>-2002</w:t>
      </w:r>
      <w:r>
        <w:rPr>
          <w:rFonts w:hint="eastAsia" w:ascii="仿宋_GB2312" w:hAnsi="宋体" w:eastAsia="仿宋_GB2312"/>
          <w:sz w:val="32"/>
          <w:szCs w:val="32"/>
        </w:rPr>
        <w:t>）进行评估，当营养风险筛查评估≥3分时，术前给予患者营养支持。</w:t>
      </w:r>
    </w:p>
    <w:p w14:paraId="7D4BAFAE">
      <w:pPr>
        <w:spacing w:line="560" w:lineRule="exact"/>
        <w:ind w:firstLine="640" w:firstLineChars="200"/>
        <w:outlineLvl w:val="1"/>
        <w:rPr>
          <w:rFonts w:ascii="仿宋_GB2312" w:hAnsi="宋体" w:eastAsia="仿宋_GB2312"/>
          <w:sz w:val="32"/>
          <w:szCs w:val="32"/>
        </w:rPr>
      </w:pPr>
      <w:r>
        <w:rPr>
          <w:rFonts w:hint="eastAsia" w:ascii="仿宋_GB2312" w:hAnsi="宋体" w:eastAsia="仿宋_GB2312"/>
          <w:sz w:val="32"/>
          <w:szCs w:val="32"/>
        </w:rPr>
        <w:t>（</w:t>
      </w:r>
      <w:r>
        <w:rPr>
          <w:rFonts w:ascii="仿宋_GB2312" w:hAnsi="宋体" w:eastAsia="仿宋_GB2312"/>
          <w:sz w:val="32"/>
          <w:szCs w:val="32"/>
        </w:rPr>
        <w:t>2</w:t>
      </w:r>
      <w:r>
        <w:rPr>
          <w:rFonts w:hint="eastAsia" w:ascii="仿宋_GB2312" w:hAnsi="宋体" w:eastAsia="仿宋_GB2312"/>
          <w:sz w:val="32"/>
          <w:szCs w:val="32"/>
        </w:rPr>
        <w:t>）造口及周围皮肤准备</w:t>
      </w:r>
    </w:p>
    <w:p w14:paraId="3E5641B8">
      <w:pPr>
        <w:spacing w:line="560" w:lineRule="exact"/>
        <w:ind w:firstLine="640" w:firstLineChars="200"/>
        <w:outlineLvl w:val="1"/>
        <w:rPr>
          <w:rFonts w:hint="eastAsia" w:ascii="仿宋_GB2312" w:hAnsi="宋体" w:eastAsia="仿宋_GB2312"/>
          <w:sz w:val="32"/>
          <w:szCs w:val="32"/>
        </w:rPr>
      </w:pPr>
      <w:r>
        <w:rPr>
          <w:rFonts w:hint="eastAsia" w:ascii="仿宋_GB2312" w:hAnsi="宋体" w:eastAsia="仿宋_GB2312"/>
          <w:sz w:val="32"/>
          <w:szCs w:val="32"/>
        </w:rPr>
        <w:t>主要依据起草单位的实际经验来确定，造口及周围皮肤准备对于确保手术的顺利进行和术后恢复至关重要，因此，在还纳前需对造口进行评估，包括造口的大小、形状、颜色以及是否有异常分泌物等，以确保造口处于良好的状态，适合进行回纳手术</w:t>
      </w:r>
      <w:r>
        <w:rPr>
          <w:rFonts w:hint="eastAsia" w:ascii="MS Mincho" w:hAnsi="MS Mincho" w:eastAsia="MS Mincho" w:cs="MS Mincho"/>
          <w:sz w:val="32"/>
          <w:szCs w:val="32"/>
        </w:rPr>
        <w:t>‌</w:t>
      </w:r>
      <w:r>
        <w:rPr>
          <w:rFonts w:hint="eastAsia" w:ascii="仿宋_GB2312" w:hAnsi="宋体" w:eastAsia="仿宋_GB2312"/>
          <w:sz w:val="32"/>
          <w:szCs w:val="32"/>
        </w:rPr>
        <w:t>，同时要对造口周围皮肤完整性进行检查，仔细检查造口周围皮肤有无破损、红肿、炎症等异常情况，确保皮肤完整性，以避免术后感染或并发症的发生</w:t>
      </w:r>
      <w:r>
        <w:rPr>
          <w:rFonts w:hint="eastAsia" w:ascii="MS Mincho" w:hAnsi="MS Mincho" w:eastAsia="MS Mincho" w:cs="MS Mincho"/>
          <w:sz w:val="32"/>
          <w:szCs w:val="32"/>
        </w:rPr>
        <w:t>‌</w:t>
      </w:r>
      <w:r>
        <w:rPr>
          <w:rFonts w:hint="eastAsia" w:ascii="仿宋_GB2312" w:hAnsi="宋体" w:eastAsia="仿宋_GB2312"/>
          <w:sz w:val="32"/>
          <w:szCs w:val="32"/>
        </w:rPr>
        <w:t>。若有相关并发症应及时处理。本文件采用造口周围皮肤评估工具DET表进行评估。</w:t>
      </w:r>
    </w:p>
    <w:p w14:paraId="6F97633E">
      <w:pPr>
        <w:spacing w:line="560" w:lineRule="exact"/>
        <w:ind w:firstLine="640" w:firstLineChars="200"/>
        <w:outlineLvl w:val="1"/>
        <w:rPr>
          <w:rFonts w:ascii="仿宋_GB2312" w:hAnsi="宋体" w:eastAsia="仿宋_GB2312"/>
          <w:sz w:val="32"/>
          <w:szCs w:val="32"/>
        </w:rPr>
      </w:pPr>
      <w:r>
        <w:rPr>
          <w:rFonts w:hint="eastAsia" w:ascii="仿宋_GB2312" w:hAnsi="宋体" w:eastAsia="仿宋_GB2312"/>
          <w:sz w:val="32"/>
          <w:szCs w:val="32"/>
        </w:rPr>
        <w:t>（3）肠道准备</w:t>
      </w:r>
    </w:p>
    <w:p w14:paraId="2AC9F439">
      <w:pPr>
        <w:spacing w:line="560" w:lineRule="exact"/>
        <w:ind w:firstLine="640" w:firstLineChars="200"/>
        <w:outlineLvl w:val="1"/>
        <w:rPr>
          <w:rFonts w:ascii="仿宋_GB2312" w:hAnsi="宋体" w:eastAsia="仿宋_GB2312"/>
          <w:sz w:val="32"/>
          <w:szCs w:val="32"/>
        </w:rPr>
      </w:pPr>
      <w:r>
        <w:rPr>
          <w:rFonts w:hint="eastAsia" w:ascii="仿宋_GB2312" w:hAnsi="宋体" w:eastAsia="仿宋_GB2312"/>
          <w:sz w:val="32"/>
          <w:szCs w:val="32"/>
        </w:rPr>
        <w:t>主要依据起草单位的实际经验来确定，术前需要对肠道进行彻底的清洁，以减少手术过程中的感染风险</w:t>
      </w:r>
      <w:r>
        <w:rPr>
          <w:rFonts w:hint="eastAsia" w:ascii="MS Mincho" w:hAnsi="MS Mincho" w:eastAsia="MS Mincho" w:cs="MS Mincho"/>
          <w:sz w:val="32"/>
          <w:szCs w:val="32"/>
        </w:rPr>
        <w:t>‌</w:t>
      </w:r>
      <w:r>
        <w:rPr>
          <w:rFonts w:hint="eastAsia" w:ascii="仿宋_GB2312" w:hAnsi="宋体" w:eastAsia="仿宋_GB2312"/>
          <w:sz w:val="32"/>
          <w:szCs w:val="32"/>
        </w:rPr>
        <w:t>，通常采用服用泻药等肠道清洁剂的方式，将肠道内的粪便和残留物排出，确保肠道处于排空状态</w:t>
      </w:r>
      <w:r>
        <w:rPr>
          <w:rFonts w:hint="eastAsia" w:ascii="MS Mincho" w:hAnsi="MS Mincho" w:eastAsia="MS Mincho" w:cs="MS Mincho"/>
          <w:sz w:val="32"/>
          <w:szCs w:val="32"/>
        </w:rPr>
        <w:t>‌</w:t>
      </w:r>
      <w:r>
        <w:rPr>
          <w:rFonts w:hint="eastAsia" w:ascii="仿宋_GB2312" w:hAnsi="宋体" w:eastAsia="仿宋_GB2312"/>
          <w:sz w:val="32"/>
          <w:szCs w:val="32"/>
        </w:rPr>
        <w:t>，以减少手术过程中的感染风险</w:t>
      </w:r>
      <w:r>
        <w:rPr>
          <w:rFonts w:hint="eastAsia" w:ascii="MS Mincho" w:hAnsi="MS Mincho" w:eastAsia="MS Mincho" w:cs="MS Mincho"/>
          <w:sz w:val="32"/>
          <w:szCs w:val="32"/>
        </w:rPr>
        <w:t>‌</w:t>
      </w:r>
      <w:r>
        <w:rPr>
          <w:rFonts w:hint="eastAsia" w:ascii="仿宋_GB2312" w:hAnsi="宋体" w:eastAsia="仿宋_GB2312"/>
          <w:sz w:val="32"/>
          <w:szCs w:val="32"/>
        </w:rPr>
        <w:t>，并提升手术的成功几率</w:t>
      </w:r>
      <w:r>
        <w:rPr>
          <w:rFonts w:hint="eastAsia" w:ascii="MS Mincho" w:hAnsi="MS Mincho" w:eastAsia="MS Mincho" w:cs="MS Mincho"/>
          <w:sz w:val="32"/>
          <w:szCs w:val="32"/>
        </w:rPr>
        <w:t>‌</w:t>
      </w:r>
      <w:r>
        <w:rPr>
          <w:rFonts w:hint="eastAsia" w:ascii="仿宋_GB2312" w:hAnsi="宋体" w:eastAsia="仿宋_GB2312"/>
          <w:sz w:val="32"/>
          <w:szCs w:val="32"/>
        </w:rPr>
        <w:t>。</w:t>
      </w:r>
    </w:p>
    <w:p w14:paraId="5F9C77BD">
      <w:pPr>
        <w:spacing w:line="560" w:lineRule="exact"/>
        <w:ind w:firstLine="643" w:firstLineChars="200"/>
        <w:outlineLvl w:val="1"/>
        <w:rPr>
          <w:rFonts w:ascii="仿宋_GB2312" w:hAnsi="宋体" w:eastAsia="仿宋_GB2312"/>
          <w:b/>
          <w:bCs/>
          <w:sz w:val="32"/>
          <w:szCs w:val="32"/>
        </w:rPr>
      </w:pPr>
      <w:r>
        <w:rPr>
          <w:rFonts w:hint="eastAsia" w:ascii="仿宋_GB2312" w:hAnsi="宋体" w:eastAsia="仿宋_GB2312"/>
          <w:b/>
          <w:bCs/>
          <w:sz w:val="32"/>
          <w:szCs w:val="32"/>
        </w:rPr>
        <w:t>2</w:t>
      </w:r>
      <w:r>
        <w:rPr>
          <w:rFonts w:ascii="仿宋_GB2312" w:hAnsi="宋体" w:eastAsia="仿宋_GB2312"/>
          <w:b/>
          <w:bCs/>
          <w:sz w:val="32"/>
          <w:szCs w:val="32"/>
        </w:rPr>
        <w:t>.</w:t>
      </w:r>
      <w:r>
        <w:rPr>
          <w:rFonts w:hint="eastAsia" w:ascii="仿宋_GB2312" w:hAnsi="宋体" w:eastAsia="仿宋_GB2312"/>
          <w:b/>
          <w:bCs/>
          <w:sz w:val="32"/>
          <w:szCs w:val="32"/>
        </w:rPr>
        <w:t>术后护理</w:t>
      </w:r>
    </w:p>
    <w:p w14:paraId="706B6B24">
      <w:pPr>
        <w:autoSpaceDE w:val="0"/>
        <w:autoSpaceDN w:val="0"/>
        <w:adjustRightInd w:val="0"/>
        <w:ind w:firstLine="640" w:firstLineChars="200"/>
        <w:rPr>
          <w:rFonts w:ascii="仿宋_GB2312" w:hAnsi="宋体" w:eastAsia="仿宋_GB2312"/>
          <w:color w:val="000000"/>
          <w:sz w:val="32"/>
          <w:szCs w:val="32"/>
        </w:rPr>
      </w:pPr>
      <w:r>
        <w:rPr>
          <w:rFonts w:hint="eastAsia" w:ascii="仿宋_GB2312" w:hAnsi="宋体" w:eastAsia="仿宋_GB2312"/>
          <w:color w:val="000000"/>
          <w:sz w:val="32"/>
          <w:szCs w:val="32"/>
        </w:rPr>
        <w:t>（1）饮食护理</w:t>
      </w:r>
    </w:p>
    <w:p w14:paraId="1CBF756D">
      <w:pPr>
        <w:autoSpaceDE w:val="0"/>
        <w:autoSpaceDN w:val="0"/>
        <w:adjustRightInd w:val="0"/>
        <w:ind w:firstLine="640" w:firstLineChars="200"/>
        <w:rPr>
          <w:rFonts w:ascii="仿宋_GB2312" w:hAnsi="宋体" w:eastAsia="仿宋_GB2312"/>
          <w:color w:val="000000"/>
          <w:sz w:val="32"/>
          <w:szCs w:val="32"/>
        </w:rPr>
      </w:pPr>
      <w:r>
        <w:rPr>
          <w:rFonts w:hint="eastAsia" w:ascii="仿宋_GB2312" w:hAnsi="宋体" w:eastAsia="仿宋_GB2312"/>
          <w:color w:val="000000"/>
          <w:sz w:val="32"/>
          <w:szCs w:val="32"/>
        </w:rPr>
        <w:t>主要依据起草单位的实际经验来确定，在手术后的初期，通常需要禁止饮食</w:t>
      </w:r>
      <w:r>
        <w:rPr>
          <w:rFonts w:ascii="仿宋_GB2312" w:hAnsi="宋体" w:eastAsia="仿宋_GB2312"/>
          <w:color w:val="000000"/>
          <w:sz w:val="32"/>
          <w:szCs w:val="32"/>
        </w:rPr>
        <w:t>5-7</w:t>
      </w:r>
      <w:r>
        <w:rPr>
          <w:rFonts w:hint="eastAsia" w:ascii="仿宋_GB2312" w:hAnsi="宋体" w:eastAsia="仿宋_GB2312"/>
          <w:color w:val="000000"/>
          <w:sz w:val="32"/>
          <w:szCs w:val="32"/>
        </w:rPr>
        <w:t>天，因此营养通过静脉输注来补充，以确保肠道有足够的时间进行恢复</w:t>
      </w:r>
      <w:r>
        <w:rPr>
          <w:rFonts w:hint="eastAsia" w:ascii="MS Mincho" w:hAnsi="MS Mincho" w:eastAsia="MS Mincho" w:cs="MS Mincho"/>
          <w:color w:val="000000"/>
          <w:sz w:val="32"/>
          <w:szCs w:val="32"/>
        </w:rPr>
        <w:t>‌</w:t>
      </w:r>
      <w:r>
        <w:rPr>
          <w:rFonts w:hint="eastAsia" w:ascii="仿宋_GB2312" w:hAnsi="宋体" w:eastAsia="仿宋_GB2312"/>
          <w:color w:val="000000"/>
          <w:sz w:val="32"/>
          <w:szCs w:val="32"/>
        </w:rPr>
        <w:t>，当肠道功能开始恢复，排气功能出现时，可以逐渐开始进食。初期建议以流质食物为主，如白开水、豆浆、藕粉、稀饭、鸡蛋汤等，这些食物易于消化，不会给肠道带来过大的负担</w:t>
      </w:r>
      <w:r>
        <w:rPr>
          <w:rFonts w:hint="eastAsia" w:ascii="MS Mincho" w:hAnsi="MS Mincho" w:eastAsia="MS Mincho" w:cs="MS Mincho"/>
          <w:color w:val="000000"/>
          <w:sz w:val="32"/>
          <w:szCs w:val="32"/>
        </w:rPr>
        <w:t>‌</w:t>
      </w:r>
      <w:r>
        <w:rPr>
          <w:rFonts w:hint="eastAsia" w:ascii="仿宋_GB2312" w:hAnsi="宋体" w:eastAsia="仿宋_GB2312"/>
          <w:color w:val="000000"/>
          <w:sz w:val="32"/>
          <w:szCs w:val="32"/>
        </w:rPr>
        <w:t>，随着肠道功能的进一步恢复，可以逐渐过渡到半流质食物，如米粥、面条、混沌、蒸鸡蛋等。这些食物既能满足机体的营养需求，又不会对肠道造成过大的刺激</w:t>
      </w:r>
      <w:r>
        <w:rPr>
          <w:rFonts w:hint="eastAsia" w:ascii="MS Mincho" w:hAnsi="MS Mincho" w:eastAsia="MS Mincho" w:cs="MS Mincho"/>
          <w:color w:val="000000"/>
          <w:sz w:val="32"/>
          <w:szCs w:val="32"/>
        </w:rPr>
        <w:t>‌</w:t>
      </w:r>
      <w:r>
        <w:rPr>
          <w:rFonts w:hint="eastAsia" w:ascii="仿宋_GB2312" w:hAnsi="宋体" w:eastAsia="仿宋_GB2312"/>
          <w:color w:val="000000"/>
          <w:sz w:val="32"/>
          <w:szCs w:val="32"/>
        </w:rPr>
        <w:t>，在肠道完全恢复后，可以逐渐恢复到正常的饮食习惯。此时，可以摄入馒头、包子、面包等食物，并增加鸡蛋、牛奶、各种蔬菜和水果等营养丰富的食物，以确保身体得到全面的营养支持</w:t>
      </w:r>
      <w:r>
        <w:rPr>
          <w:rFonts w:hint="eastAsia" w:ascii="MS Mincho" w:hAnsi="MS Mincho" w:eastAsia="MS Mincho" w:cs="MS Mincho"/>
          <w:color w:val="000000"/>
          <w:sz w:val="32"/>
          <w:szCs w:val="32"/>
        </w:rPr>
        <w:t>‌</w:t>
      </w:r>
      <w:r>
        <w:rPr>
          <w:rFonts w:hint="eastAsia" w:ascii="仿宋_GB2312" w:hAnsi="宋体" w:eastAsia="仿宋_GB2312"/>
          <w:color w:val="000000"/>
          <w:sz w:val="32"/>
          <w:szCs w:val="32"/>
        </w:rPr>
        <w:t>，在整个恢复过程中，饮食应以清淡为主，避免进食辛辣刺激性的食物，如麻辣火锅、烧烤等，以免影响手术效果和肠道的恢复</w:t>
      </w:r>
      <w:r>
        <w:rPr>
          <w:rFonts w:hint="eastAsia" w:ascii="MS Mincho" w:hAnsi="MS Mincho" w:eastAsia="MS Mincho" w:cs="MS Mincho"/>
          <w:color w:val="000000"/>
          <w:sz w:val="32"/>
          <w:szCs w:val="32"/>
        </w:rPr>
        <w:t>‌</w:t>
      </w:r>
      <w:r>
        <w:rPr>
          <w:rFonts w:hint="eastAsia" w:ascii="仿宋_GB2312" w:hAnsi="宋体" w:eastAsia="仿宋_GB2312"/>
          <w:color w:val="000000"/>
          <w:sz w:val="32"/>
          <w:szCs w:val="32"/>
        </w:rPr>
        <w:t>，标准编制工作组综合以上因素提出了饮食护理的要求。</w:t>
      </w:r>
    </w:p>
    <w:p w14:paraId="2B6F3F99">
      <w:pPr>
        <w:autoSpaceDE w:val="0"/>
        <w:autoSpaceDN w:val="0"/>
        <w:adjustRightInd w:val="0"/>
        <w:ind w:firstLine="640" w:firstLineChars="200"/>
        <w:rPr>
          <w:rFonts w:ascii="仿宋_GB2312" w:hAnsi="宋体" w:eastAsia="仿宋_GB2312"/>
          <w:color w:val="000000"/>
          <w:sz w:val="32"/>
          <w:szCs w:val="32"/>
        </w:rPr>
      </w:pPr>
      <w:r>
        <w:rPr>
          <w:rFonts w:hint="eastAsia" w:ascii="仿宋_GB2312" w:hAnsi="宋体" w:eastAsia="仿宋_GB2312"/>
          <w:color w:val="000000"/>
          <w:sz w:val="32"/>
          <w:szCs w:val="32"/>
        </w:rPr>
        <w:t>（2）康复指导</w:t>
      </w:r>
    </w:p>
    <w:p w14:paraId="516F5C5F">
      <w:pPr>
        <w:autoSpaceDE w:val="0"/>
        <w:autoSpaceDN w:val="0"/>
        <w:adjustRightInd w:val="0"/>
        <w:ind w:firstLine="640" w:firstLineChars="200"/>
        <w:rPr>
          <w:rFonts w:ascii="仿宋_GB2312" w:hAnsi="宋体" w:eastAsia="仿宋_GB2312"/>
          <w:color w:val="000000"/>
          <w:sz w:val="32"/>
          <w:szCs w:val="32"/>
        </w:rPr>
      </w:pPr>
      <w:r>
        <w:rPr>
          <w:rFonts w:hint="eastAsia" w:ascii="仿宋_GB2312" w:hAnsi="宋体" w:eastAsia="仿宋_GB2312"/>
          <w:color w:val="000000"/>
          <w:sz w:val="32"/>
          <w:szCs w:val="32"/>
        </w:rPr>
        <w:t>主要依据起草单位的实际经验来确定，术后康复有助于患者促进盆底功能恢复、加强呼吸肌力量、促进肠道蠕动等，进一步促进患者恢复。患者术后取半卧位，可以帮助排出体内的积液，减少感染的风险</w:t>
      </w:r>
      <w:r>
        <w:rPr>
          <w:rFonts w:hint="eastAsia" w:ascii="MS Mincho" w:hAnsi="MS Mincho" w:eastAsia="MS Mincho" w:cs="MS Mincho"/>
          <w:color w:val="000000"/>
          <w:sz w:val="32"/>
          <w:szCs w:val="32"/>
        </w:rPr>
        <w:t>‌</w:t>
      </w:r>
      <w:r>
        <w:rPr>
          <w:rFonts w:hint="eastAsia" w:ascii="仿宋_GB2312" w:hAnsi="宋体" w:eastAsia="仿宋_GB2312"/>
          <w:color w:val="000000"/>
          <w:sz w:val="32"/>
          <w:szCs w:val="32"/>
        </w:rPr>
        <w:t>，同时适量进行床上活动可以促进血液循环，预防血栓形成，还能够帮助患者恢复体力，提高身体机能，因此提出应指导患者术后清醒且血压平稳后取半卧位并适量床上活动。</w:t>
      </w:r>
    </w:p>
    <w:p w14:paraId="2D34F579">
      <w:pPr>
        <w:autoSpaceDE w:val="0"/>
        <w:autoSpaceDN w:val="0"/>
        <w:adjustRightInd w:val="0"/>
        <w:ind w:firstLine="640" w:firstLineChars="200"/>
        <w:rPr>
          <w:rFonts w:hint="eastAsia" w:ascii="仿宋_GB2312" w:hAnsi="宋体" w:eastAsia="仿宋_GB2312"/>
          <w:color w:val="000000"/>
          <w:sz w:val="32"/>
          <w:szCs w:val="32"/>
        </w:rPr>
      </w:pPr>
      <w:r>
        <w:rPr>
          <w:rFonts w:hint="eastAsia" w:ascii="仿宋_GB2312" w:hAnsi="宋体" w:eastAsia="仿宋_GB2312"/>
          <w:color w:val="000000"/>
          <w:sz w:val="32"/>
          <w:szCs w:val="32"/>
        </w:rPr>
        <w:t>在翻身时，选择右侧卧位可以减少对造口的直接压迫，降低并发症的风险，如造口脱垂、出血等</w:t>
      </w:r>
      <w:r>
        <w:rPr>
          <w:rFonts w:hint="eastAsia" w:ascii="MS Mincho" w:hAnsi="MS Mincho" w:eastAsia="MS Mincho" w:cs="MS Mincho"/>
          <w:color w:val="000000"/>
          <w:sz w:val="32"/>
          <w:szCs w:val="32"/>
        </w:rPr>
        <w:t>‌</w:t>
      </w:r>
      <w:r>
        <w:rPr>
          <w:rFonts w:hint="eastAsia" w:ascii="仿宋_GB2312" w:hAnsi="宋体" w:eastAsia="仿宋_GB2312"/>
          <w:color w:val="000000"/>
          <w:sz w:val="32"/>
          <w:szCs w:val="32"/>
        </w:rPr>
        <w:t>，因此提出应指导患者翻身活动，回肠造口患者翻身时宜选择右侧卧位。</w:t>
      </w:r>
    </w:p>
    <w:p w14:paraId="45C6FA66">
      <w:pPr>
        <w:autoSpaceDE w:val="0"/>
        <w:autoSpaceDN w:val="0"/>
        <w:adjustRightInd w:val="0"/>
        <w:ind w:firstLine="640" w:firstLineChars="200"/>
        <w:rPr>
          <w:rFonts w:ascii="仿宋_GB2312" w:hAnsi="宋体" w:eastAsia="仿宋_GB2312"/>
          <w:color w:val="000000"/>
          <w:sz w:val="32"/>
          <w:szCs w:val="32"/>
        </w:rPr>
      </w:pPr>
      <w:r>
        <w:rPr>
          <w:rFonts w:hint="eastAsia" w:ascii="仿宋_GB2312" w:hAnsi="宋体" w:eastAsia="仿宋_GB2312"/>
          <w:color w:val="000000"/>
          <w:sz w:val="32"/>
          <w:szCs w:val="32"/>
        </w:rPr>
        <w:t>踝泵运动是一种简单而有效的康复训练方法，通过踝关节的屈伸和环绕运动，带动小腿肌肉的收缩与放松，从而促进下肢的血液循环和淋巴回流。对于造口患者而言，由于术后活动减少，血液流动可能变得缓慢，容易形成深静脉血栓。踝泵运动正好可以针对这一问题，通过肌肉的收缩和舒张，加速下肢静脉血液回流，降低血栓形成的风险</w:t>
      </w:r>
      <w:r>
        <w:rPr>
          <w:rFonts w:hint="eastAsia" w:ascii="MS Mincho" w:hAnsi="MS Mincho" w:eastAsia="MS Mincho" w:cs="MS Mincho"/>
          <w:color w:val="000000"/>
          <w:sz w:val="32"/>
          <w:szCs w:val="32"/>
        </w:rPr>
        <w:t>‌</w:t>
      </w:r>
      <w:r>
        <w:rPr>
          <w:rFonts w:hint="eastAsia" w:ascii="仿宋_GB2312" w:hAnsi="宋体" w:eastAsia="仿宋_GB2312"/>
          <w:color w:val="000000"/>
          <w:sz w:val="32"/>
          <w:szCs w:val="32"/>
        </w:rPr>
        <w:t>，因此提出了应指导患者行踝泵运动的要求。</w:t>
      </w:r>
    </w:p>
    <w:p w14:paraId="35996C03">
      <w:pPr>
        <w:autoSpaceDE w:val="0"/>
        <w:autoSpaceDN w:val="0"/>
        <w:adjustRightInd w:val="0"/>
        <w:ind w:firstLine="640" w:firstLineChars="200"/>
        <w:rPr>
          <w:rFonts w:ascii="仿宋_GB2312" w:hAnsi="宋体" w:eastAsia="仿宋_GB2312"/>
          <w:color w:val="000000"/>
          <w:sz w:val="32"/>
          <w:szCs w:val="32"/>
        </w:rPr>
      </w:pPr>
      <w:r>
        <w:rPr>
          <w:rFonts w:hint="eastAsia" w:ascii="仿宋_GB2312" w:hAnsi="宋体" w:eastAsia="仿宋_GB2312"/>
          <w:color w:val="000000"/>
          <w:sz w:val="32"/>
          <w:szCs w:val="32"/>
        </w:rPr>
        <w:t>（3）术后常见并发症处理</w:t>
      </w:r>
    </w:p>
    <w:p w14:paraId="3F822861">
      <w:pPr>
        <w:autoSpaceDE w:val="0"/>
        <w:autoSpaceDN w:val="0"/>
        <w:adjustRightInd w:val="0"/>
        <w:ind w:firstLine="640" w:firstLineChars="200"/>
        <w:rPr>
          <w:rFonts w:hint="eastAsia" w:ascii="仿宋_GB2312" w:hAnsi="宋体" w:eastAsia="仿宋_GB2312"/>
          <w:color w:val="000000"/>
          <w:sz w:val="32"/>
          <w:szCs w:val="32"/>
        </w:rPr>
      </w:pPr>
      <w:r>
        <w:rPr>
          <w:rFonts w:hint="eastAsia" w:ascii="仿宋_GB2312" w:hAnsi="宋体" w:eastAsia="仿宋_GB2312"/>
          <w:color w:val="000000"/>
          <w:sz w:val="32"/>
          <w:szCs w:val="32"/>
        </w:rPr>
        <w:t>主要依据起草单位的实际经验来确定，吻合口瘘指的是在进行造口还纳手术后，消化道重新衔接吻合的部位出现瘘口，导致肠内容物泄漏</w:t>
      </w:r>
      <w:r>
        <w:rPr>
          <w:rFonts w:hint="eastAsia" w:ascii="MS Mincho" w:hAnsi="MS Mincho" w:eastAsia="MS Mincho" w:cs="MS Mincho"/>
          <w:color w:val="000000"/>
          <w:sz w:val="32"/>
          <w:szCs w:val="32"/>
        </w:rPr>
        <w:t>‌</w:t>
      </w:r>
      <w:r>
        <w:rPr>
          <w:rFonts w:hint="eastAsia" w:ascii="仿宋_GB2312" w:hAnsi="宋体" w:eastAsia="仿宋_GB2312"/>
          <w:color w:val="000000"/>
          <w:sz w:val="32"/>
          <w:szCs w:val="32"/>
        </w:rPr>
        <w:t>。处理关键在于禁食水、胃肠外营养支持、充分引流、预防感染以及局部冲洗等</w:t>
      </w:r>
      <w:r>
        <w:rPr>
          <w:rFonts w:hint="eastAsia" w:ascii="MS Mincho" w:hAnsi="MS Mincho" w:eastAsia="MS Mincho" w:cs="MS Mincho"/>
          <w:color w:val="000000"/>
          <w:sz w:val="32"/>
          <w:szCs w:val="32"/>
        </w:rPr>
        <w:t>‌</w:t>
      </w:r>
      <w:r>
        <w:rPr>
          <w:rFonts w:hint="eastAsia" w:ascii="仿宋_GB2312" w:hAnsi="宋体" w:eastAsia="仿宋_GB2312"/>
          <w:color w:val="000000"/>
          <w:sz w:val="32"/>
          <w:szCs w:val="32"/>
        </w:rPr>
        <w:t>，应指导患者取半卧位，有利于引流通畅，防止局部积液导致压力增加而加剧瘘口损伤</w:t>
      </w:r>
      <w:r>
        <w:rPr>
          <w:rFonts w:hint="eastAsia" w:ascii="MS Mincho" w:hAnsi="MS Mincho" w:eastAsia="MS Mincho" w:cs="MS Mincho"/>
          <w:color w:val="000000"/>
          <w:sz w:val="32"/>
          <w:szCs w:val="32"/>
        </w:rPr>
        <w:t>‌</w:t>
      </w:r>
      <w:r>
        <w:rPr>
          <w:rFonts w:hint="eastAsia" w:ascii="仿宋_GB2312" w:hAnsi="宋体" w:eastAsia="仿宋_GB2312"/>
          <w:color w:val="000000"/>
          <w:sz w:val="32"/>
          <w:szCs w:val="32"/>
        </w:rPr>
        <w:t>；应遵医嘱使用抗生素以预防感染的发生和扩散</w:t>
      </w:r>
      <w:r>
        <w:rPr>
          <w:rFonts w:hint="eastAsia" w:ascii="MS Mincho" w:hAnsi="MS Mincho" w:eastAsia="MS Mincho" w:cs="MS Mincho"/>
          <w:color w:val="000000"/>
          <w:sz w:val="32"/>
          <w:szCs w:val="32"/>
        </w:rPr>
        <w:t>‌</w:t>
      </w:r>
      <w:r>
        <w:rPr>
          <w:rFonts w:hint="eastAsia" w:ascii="仿宋_GB2312" w:hAnsi="宋体" w:eastAsia="仿宋_GB2312"/>
          <w:color w:val="000000"/>
          <w:sz w:val="32"/>
          <w:szCs w:val="32"/>
        </w:rPr>
        <w:t>；对于严重并发症，如瘘口扩大、感染无法控制等，应及时就医并考虑手术治疗</w:t>
      </w:r>
      <w:r>
        <w:rPr>
          <w:rFonts w:hint="eastAsia" w:ascii="MS Mincho" w:hAnsi="MS Mincho" w:eastAsia="MS Mincho" w:cs="MS Mincho"/>
          <w:color w:val="000000"/>
          <w:sz w:val="32"/>
          <w:szCs w:val="32"/>
        </w:rPr>
        <w:t>‌</w:t>
      </w:r>
      <w:r>
        <w:rPr>
          <w:rFonts w:hint="eastAsia" w:ascii="仿宋_GB2312" w:hAnsi="宋体" w:eastAsia="仿宋_GB2312"/>
          <w:color w:val="000000"/>
          <w:sz w:val="32"/>
          <w:szCs w:val="32"/>
        </w:rPr>
        <w:t>，标准编制工作组综合以上因素提出了吻合口瘘的处理要求。</w:t>
      </w:r>
    </w:p>
    <w:p w14:paraId="4ED62DD0">
      <w:pPr>
        <w:autoSpaceDE w:val="0"/>
        <w:autoSpaceDN w:val="0"/>
        <w:adjustRightInd w:val="0"/>
        <w:ind w:firstLine="640" w:firstLineChars="200"/>
        <w:rPr>
          <w:rFonts w:hint="eastAsia" w:ascii="仿宋_GB2312" w:hAnsi="仿宋_GB2312" w:eastAsia="仿宋_GB2312" w:cs="仿宋_GB2312"/>
          <w:color w:val="000000"/>
          <w:sz w:val="32"/>
          <w:szCs w:val="32"/>
        </w:rPr>
      </w:pPr>
      <w:r>
        <w:rPr>
          <w:rFonts w:hint="eastAsia" w:ascii="仿宋_GB2312" w:hAnsi="宋体" w:eastAsia="仿宋_GB2312"/>
          <w:color w:val="000000"/>
          <w:sz w:val="32"/>
          <w:szCs w:val="32"/>
        </w:rPr>
        <w:t>切口感染是造口还纳术后常见的并发症之一</w:t>
      </w:r>
      <w:r>
        <w:rPr>
          <w:rFonts w:hint="eastAsia" w:ascii="MS Mincho" w:hAnsi="MS Mincho" w:eastAsia="MS Mincho" w:cs="MS Mincho"/>
          <w:color w:val="000000"/>
          <w:sz w:val="32"/>
          <w:szCs w:val="32"/>
        </w:rPr>
        <w:t>‌。</w:t>
      </w:r>
      <w:r>
        <w:rPr>
          <w:rFonts w:hint="eastAsia" w:ascii="仿宋_GB2312" w:hAnsi="仿宋_GB2312" w:eastAsia="仿宋_GB2312" w:cs="仿宋_GB2312"/>
          <w:color w:val="000000"/>
          <w:sz w:val="32"/>
          <w:szCs w:val="32"/>
        </w:rPr>
        <w:t>若在造口还纳术后切口部位清洁不当，出现细菌、病毒等微生物的污染，就容易导致切口部位感染</w:t>
      </w:r>
      <w:r>
        <w:rPr>
          <w:rFonts w:hint="eastAsia" w:ascii="MS Mincho" w:hAnsi="MS Mincho" w:eastAsia="MS Mincho" w:cs="MS Mincho"/>
          <w:color w:val="000000"/>
          <w:sz w:val="32"/>
          <w:szCs w:val="32"/>
        </w:rPr>
        <w:t>‌</w:t>
      </w:r>
      <w:r>
        <w:rPr>
          <w:rFonts w:hint="eastAsia" w:ascii="仿宋_GB2312" w:hAnsi="仿宋_GB2312" w:eastAsia="仿宋_GB2312" w:cs="仿宋_GB2312"/>
          <w:color w:val="000000"/>
          <w:sz w:val="32"/>
          <w:szCs w:val="32"/>
        </w:rPr>
        <w:t>。一旦发现切口感染，应及时敞开切口，进行局部换药，以促进新鲜肉芽组织生长</w:t>
      </w:r>
      <w:r>
        <w:rPr>
          <w:rFonts w:hint="eastAsia" w:ascii="MS Mincho" w:hAnsi="MS Mincho" w:eastAsia="MS Mincho" w:cs="MS Mincho"/>
          <w:color w:val="000000"/>
          <w:sz w:val="32"/>
          <w:szCs w:val="32"/>
        </w:rPr>
        <w:t>‌</w:t>
      </w:r>
      <w:r>
        <w:rPr>
          <w:rFonts w:hint="eastAsia" w:ascii="仿宋_GB2312" w:hAnsi="仿宋_GB2312" w:eastAsia="仿宋_GB2312" w:cs="仿宋_GB2312"/>
          <w:color w:val="000000"/>
          <w:sz w:val="32"/>
          <w:szCs w:val="32"/>
        </w:rPr>
        <w:t>，对于感染严重的切口，同时需要给予充分引流，以排出脓液和减轻炎症反应</w:t>
      </w:r>
      <w:r>
        <w:rPr>
          <w:rFonts w:hint="eastAsia" w:ascii="MS Mincho" w:hAnsi="MS Mincho" w:eastAsia="MS Mincho" w:cs="MS Mincho"/>
          <w:color w:val="000000"/>
          <w:sz w:val="32"/>
          <w:szCs w:val="32"/>
        </w:rPr>
        <w:t>‌</w:t>
      </w:r>
      <w:r>
        <w:rPr>
          <w:rFonts w:hint="eastAsia" w:ascii="仿宋_GB2312" w:hAnsi="仿宋_GB2312" w:eastAsia="仿宋_GB2312" w:cs="仿宋_GB2312"/>
          <w:color w:val="000000"/>
          <w:sz w:val="32"/>
          <w:szCs w:val="32"/>
        </w:rPr>
        <w:t>，必要时使用功能性敷料。</w:t>
      </w:r>
      <w:r>
        <w:rPr>
          <w:rFonts w:hint="eastAsia" w:ascii="仿宋_GB2312" w:hAnsi="宋体" w:eastAsia="仿宋_GB2312"/>
          <w:color w:val="000000"/>
          <w:sz w:val="32"/>
          <w:szCs w:val="32"/>
        </w:rPr>
        <w:t>标准编制工作组综合以上因素提出了切口感染的处理要求。</w:t>
      </w:r>
    </w:p>
    <w:p w14:paraId="15398C42">
      <w:pPr>
        <w:autoSpaceDE w:val="0"/>
        <w:autoSpaceDN w:val="0"/>
        <w:adjustRightInd w:val="0"/>
        <w:ind w:firstLine="640" w:firstLineChars="200"/>
        <w:rPr>
          <w:rFonts w:hint="eastAsia" w:ascii="仿宋_GB2312" w:hAnsi="仿宋_GB2312" w:cs="仿宋_GB2312" w:eastAsiaTheme="minorEastAsia"/>
          <w:color w:val="000000"/>
          <w:sz w:val="32"/>
          <w:szCs w:val="32"/>
        </w:rPr>
      </w:pPr>
      <w:r>
        <w:rPr>
          <w:rFonts w:hint="eastAsia" w:ascii="仿宋_GB2312" w:hAnsi="仿宋_GB2312" w:eastAsia="仿宋_GB2312" w:cs="仿宋_GB2312"/>
          <w:color w:val="000000"/>
          <w:sz w:val="32"/>
          <w:szCs w:val="32"/>
        </w:rPr>
        <w:t>肠梗阻是造口还纳术后常见的并发症之一</w:t>
      </w:r>
      <w:r>
        <w:rPr>
          <w:rFonts w:hint="eastAsia" w:ascii="MS Mincho" w:hAnsi="MS Mincho" w:eastAsia="MS Mincho" w:cs="MS Mincho"/>
          <w:color w:val="000000"/>
          <w:sz w:val="32"/>
          <w:szCs w:val="32"/>
        </w:rPr>
        <w:t>‌，</w:t>
      </w:r>
      <w:r>
        <w:rPr>
          <w:rFonts w:hint="eastAsia" w:ascii="仿宋_GB2312" w:hAnsi="仿宋_GB2312" w:eastAsia="仿宋_GB2312" w:cs="仿宋_GB2312"/>
          <w:color w:val="000000"/>
          <w:sz w:val="32"/>
          <w:szCs w:val="32"/>
        </w:rPr>
        <w:t>发生率约为5%至15%</w:t>
      </w:r>
      <w:r>
        <w:rPr>
          <w:rFonts w:hint="eastAsia" w:ascii="MS Mincho" w:hAnsi="MS Mincho" w:eastAsia="MS Mincho" w:cs="MS Mincho"/>
          <w:color w:val="000000"/>
          <w:sz w:val="32"/>
          <w:szCs w:val="32"/>
        </w:rPr>
        <w:t>‌</w:t>
      </w:r>
      <w:r>
        <w:rPr>
          <w:rFonts w:hint="eastAsia" w:ascii="仿宋_GB2312" w:hAnsi="MS Mincho" w:eastAsia="仿宋_GB2312" w:cs="MS Mincho"/>
          <w:color w:val="000000"/>
          <w:sz w:val="32"/>
          <w:szCs w:val="32"/>
        </w:rPr>
        <w:t>，应禁食禁饮、胃肠减压，持续的胃肠减压可以帮助恢复肠壁的血液循环，减少肠壁水肿，同时观察患者有无腹胀、腹痛、恶心呕吐、肛门有无排便排气，给予肠外营养支持，补充必要的营养；必要时可根据梗阻的严重程度和原因，可能采用粘连松懈术、肠套叠或肠扭转复位术、肠段切除术、肠短路吻合术、肠造口或肠置外术等手术方法进行治疗</w:t>
      </w:r>
      <w:r>
        <w:rPr>
          <w:rFonts w:hint="eastAsia" w:ascii="MS Mincho" w:hAnsi="MS Mincho" w:eastAsia="MS Mincho" w:cs="MS Mincho"/>
          <w:color w:val="000000"/>
          <w:sz w:val="32"/>
          <w:szCs w:val="32"/>
        </w:rPr>
        <w:t>‌</w:t>
      </w:r>
      <w:r>
        <w:rPr>
          <w:rFonts w:hint="eastAsia" w:ascii="MS Mincho" w:hAnsi="MS Mincho" w:cs="MS Mincho" w:eastAsiaTheme="minorEastAsia"/>
          <w:color w:val="000000"/>
          <w:sz w:val="32"/>
          <w:szCs w:val="32"/>
        </w:rPr>
        <w:t>。</w:t>
      </w:r>
      <w:r>
        <w:rPr>
          <w:rFonts w:hint="eastAsia" w:ascii="仿宋_GB2312" w:hAnsi="宋体" w:eastAsia="仿宋_GB2312"/>
          <w:color w:val="000000"/>
          <w:sz w:val="32"/>
          <w:szCs w:val="32"/>
        </w:rPr>
        <w:t>标准编制工作组综合以上因素提出了肠梗阻的处理要求。</w:t>
      </w:r>
    </w:p>
    <w:p w14:paraId="6B754AB3">
      <w:pPr>
        <w:autoSpaceDE w:val="0"/>
        <w:autoSpaceDN w:val="0"/>
        <w:adjustRightInd w:val="0"/>
        <w:ind w:firstLine="640" w:firstLineChars="200"/>
        <w:rPr>
          <w:rFonts w:hint="eastAsia" w:ascii="仿宋_GB2312" w:hAnsi="宋体" w:eastAsia="仿宋_GB2312"/>
          <w:color w:val="000000"/>
          <w:sz w:val="32"/>
          <w:szCs w:val="32"/>
        </w:rPr>
      </w:pPr>
      <w:r>
        <w:rPr>
          <w:rFonts w:hint="eastAsia" w:ascii="仿宋_GB2312" w:hAnsi="宋体" w:eastAsia="仿宋_GB2312"/>
          <w:color w:val="000000"/>
          <w:sz w:val="32"/>
          <w:szCs w:val="32"/>
        </w:rPr>
        <w:t>失禁性皮炎是指由于皮肤长期暴露于尿液或粪便中所造成的皮肤损伤</w:t>
      </w:r>
      <w:r>
        <w:rPr>
          <w:rFonts w:hint="eastAsia" w:ascii="MS Mincho" w:hAnsi="MS Mincho" w:eastAsia="MS Mincho" w:cs="MS Mincho"/>
          <w:color w:val="000000"/>
          <w:sz w:val="32"/>
          <w:szCs w:val="32"/>
        </w:rPr>
        <w:t>‌。</w:t>
      </w:r>
      <w:r>
        <w:rPr>
          <w:rFonts w:hint="eastAsia" w:ascii="仿宋_GB2312" w:hAnsi="宋体" w:eastAsia="仿宋_GB2312"/>
          <w:color w:val="000000"/>
          <w:sz w:val="32"/>
          <w:szCs w:val="32"/>
        </w:rPr>
        <w:t>对于大便次数多的患者，应指导患者做好肛周皮肤护理，做好皮肤清洁、保护、药膏涂抹等；对于失禁性皮炎患者，应指导其采用结构化皮肤护理方案，促进伤口愈合，加快皮肤的健康恢复。</w:t>
      </w:r>
    </w:p>
    <w:p w14:paraId="2095AA7C">
      <w:pPr>
        <w:autoSpaceDE w:val="0"/>
        <w:autoSpaceDN w:val="0"/>
        <w:adjustRightInd w:val="0"/>
        <w:ind w:firstLine="640" w:firstLineChars="200"/>
        <w:rPr>
          <w:rFonts w:ascii="仿宋_GB2312" w:hAnsi="宋体" w:eastAsia="仿宋_GB2312"/>
          <w:color w:val="000000"/>
          <w:sz w:val="32"/>
          <w:szCs w:val="32"/>
        </w:rPr>
      </w:pPr>
      <w:r>
        <w:rPr>
          <w:rFonts w:hint="eastAsia" w:ascii="仿宋_GB2312" w:hAnsi="宋体" w:eastAsia="仿宋_GB2312"/>
          <w:color w:val="000000"/>
          <w:sz w:val="32"/>
          <w:szCs w:val="32"/>
        </w:rPr>
        <w:t>（</w:t>
      </w:r>
      <w:r>
        <w:rPr>
          <w:rFonts w:ascii="仿宋_GB2312" w:hAnsi="宋体" w:eastAsia="仿宋_GB2312"/>
          <w:color w:val="000000"/>
          <w:sz w:val="32"/>
          <w:szCs w:val="32"/>
        </w:rPr>
        <w:t>4</w:t>
      </w:r>
      <w:r>
        <w:rPr>
          <w:rFonts w:hint="eastAsia" w:ascii="仿宋_GB2312" w:hAnsi="宋体" w:eastAsia="仿宋_GB2312"/>
          <w:color w:val="000000"/>
          <w:sz w:val="32"/>
          <w:szCs w:val="32"/>
        </w:rPr>
        <w:t>）患者出院健康教育及随访</w:t>
      </w:r>
    </w:p>
    <w:p w14:paraId="147BFF44">
      <w:pPr>
        <w:autoSpaceDE w:val="0"/>
        <w:autoSpaceDN w:val="0"/>
        <w:adjustRightInd w:val="0"/>
        <w:ind w:firstLine="640" w:firstLineChars="200"/>
        <w:rPr>
          <w:rFonts w:hint="eastAsia" w:ascii="仿宋_GB2312" w:hAnsi="宋体" w:eastAsia="仿宋_GB2312"/>
          <w:color w:val="000000"/>
          <w:sz w:val="32"/>
          <w:szCs w:val="32"/>
        </w:rPr>
      </w:pPr>
      <w:r>
        <w:rPr>
          <w:rFonts w:hint="eastAsia" w:ascii="仿宋_GB2312" w:hAnsi="宋体" w:eastAsia="仿宋_GB2312"/>
          <w:color w:val="000000"/>
          <w:sz w:val="32"/>
          <w:szCs w:val="32"/>
        </w:rPr>
        <w:t>主要依据起草单位的实际经验来确定，应指导患者根据需要进食，无需特别忌口，但应定量进食，避免暴饮暴食，并注意饮食卫生</w:t>
      </w:r>
      <w:r>
        <w:rPr>
          <w:rFonts w:hint="eastAsia" w:ascii="MS Mincho" w:hAnsi="MS Mincho" w:eastAsia="MS Mincho" w:cs="MS Mincho"/>
          <w:color w:val="000000"/>
          <w:sz w:val="32"/>
          <w:szCs w:val="32"/>
        </w:rPr>
        <w:t>‌</w:t>
      </w:r>
      <w:r>
        <w:rPr>
          <w:rFonts w:hint="eastAsia" w:ascii="仿宋_GB2312" w:hAnsi="宋体" w:eastAsia="仿宋_GB2312"/>
          <w:color w:val="000000"/>
          <w:sz w:val="32"/>
          <w:szCs w:val="32"/>
        </w:rPr>
        <w:t>，难以消化和油腻的食物容易形成硬结便，增加肠道负担，可能导致腹泻或便秘，因此应避免食用</w:t>
      </w:r>
      <w:r>
        <w:rPr>
          <w:rFonts w:hint="eastAsia" w:ascii="MS Mincho" w:hAnsi="MS Mincho" w:eastAsia="MS Mincho" w:cs="MS Mincho"/>
          <w:color w:val="000000"/>
          <w:sz w:val="32"/>
          <w:szCs w:val="32"/>
        </w:rPr>
        <w:t>‌</w:t>
      </w:r>
      <w:r>
        <w:rPr>
          <w:rFonts w:hint="eastAsia" w:ascii="仿宋_GB2312" w:hAnsi="宋体" w:eastAsia="仿宋_GB2312"/>
          <w:color w:val="000000"/>
          <w:sz w:val="32"/>
          <w:szCs w:val="32"/>
        </w:rPr>
        <w:t>，应指导患者进食含高蛋白、高维生素、易消化且含适量纤维素的食物。应定期进行随访，以确保术后恢复顺利并及时发现并处理任何潜在问题，因此提出应在患者出院后一周内进行随访，每3个月1次。随访可采用线上、线下相结合的形式。</w:t>
      </w:r>
    </w:p>
    <w:p w14:paraId="5AD7E5DC">
      <w:pPr>
        <w:spacing w:before="62" w:beforeLines="20" w:after="62" w:afterLines="20" w:line="560" w:lineRule="exact"/>
        <w:ind w:firstLine="640" w:firstLineChars="200"/>
        <w:outlineLvl w:val="0"/>
        <w:rPr>
          <w:rFonts w:ascii="黑体" w:hAnsi="黑体" w:eastAsia="黑体" w:cs="仿宋_GB2312"/>
          <w:sz w:val="32"/>
          <w:szCs w:val="32"/>
        </w:rPr>
      </w:pPr>
      <w:r>
        <w:rPr>
          <w:rFonts w:hint="eastAsia" w:ascii="黑体" w:hAnsi="黑体" w:eastAsia="黑体" w:cs="仿宋_GB2312"/>
          <w:sz w:val="32"/>
          <w:szCs w:val="32"/>
        </w:rPr>
        <w:t>六、国内外同类标准制修订情况及与法律法规、强制性标准关系</w:t>
      </w:r>
    </w:p>
    <w:p w14:paraId="279A06A9">
      <w:pPr>
        <w:autoSpaceDE w:val="0"/>
        <w:autoSpaceDN w:val="0"/>
        <w:adjustRightInd w:val="0"/>
        <w:spacing w:line="560" w:lineRule="exact"/>
        <w:ind w:firstLine="640" w:firstLineChars="200"/>
        <w:rPr>
          <w:rFonts w:ascii="仿宋_GB2312" w:hAnsi="宋体" w:eastAsia="仿宋_GB2312"/>
          <w:color w:val="000000"/>
          <w:sz w:val="32"/>
          <w:szCs w:val="32"/>
        </w:rPr>
      </w:pPr>
      <w:r>
        <w:rPr>
          <w:rFonts w:hint="eastAsia" w:ascii="仿宋_GB2312" w:hAnsi="宋体" w:eastAsia="仿宋_GB2312"/>
          <w:sz w:val="32"/>
          <w:szCs w:val="32"/>
        </w:rPr>
        <w:t>经查阅，目前国内暂与肠造口护理相关的标准有：DB22/T 3253-2021《成人肠造口护理操作规范》、T/HHPA 005-2022《婴幼儿肠造口护</w:t>
      </w:r>
      <w:bookmarkStart w:id="8" w:name="_GoBack"/>
      <w:bookmarkEnd w:id="8"/>
      <w:r>
        <w:rPr>
          <w:rFonts w:hint="eastAsia" w:ascii="仿宋_GB2312" w:hAnsi="宋体" w:eastAsia="仿宋_GB2312"/>
          <w:sz w:val="32"/>
          <w:szCs w:val="32"/>
        </w:rPr>
        <w:t>理技术标准》、T/CNAS 07-2019《成人肠造口护理》。经对比分析，DB22/T 3253-2021《成人肠造口护理操作规范》规定了成人肠造口护理操作前准备、操作步骤、操作后宣教、造口评估和注意事项。与DB22/T 3253相比，本文件明确了是中低位直肠癌手术预防性肠造口护理，包括了预防性肠造口术术前术后护理、预防性肠造口还纳术术前术后护理，内容更加全面、覆盖面也更广。T/HHPA 005-2022《婴幼儿肠造口护理技术标准》规定了婴幼儿肠造口护理的基本要求、术前护理和术后护理。与T/HHPA 005相比，T/HHPA 005是针对婴幼儿肠造口的护理，而本文件是针对中低位直肠癌手术预防性肠造口的护理，标准对象不一样。T/CNAS 07-2019《成人肠造口护理》规定了成人肠造口护理的基本要求、术前护理和术后护理。与T/CNAS 07相比，本文件增加了高排量造口的护理、带支撑棒造口的护理、出院后随访以及预防性肠造口还纳术术前术后护理的内容，内容更加全面、覆盖面也更广，且广西未制定有中低位直肠癌手术预防性肠造口护理技术的地方标准，且目前尚未制定有团体标准《中低位直肠癌手术预防性肠造口护理技术规范》</w:t>
      </w:r>
    </w:p>
    <w:p w14:paraId="5AFE3DC9">
      <w:pPr>
        <w:spacing w:line="560" w:lineRule="exact"/>
        <w:ind w:firstLine="640" w:firstLineChars="200"/>
        <w:rPr>
          <w:rFonts w:ascii="仿宋_GB2312" w:hAnsi="宋体" w:eastAsia="仿宋_GB2312"/>
          <w:sz w:val="32"/>
          <w:szCs w:val="32"/>
        </w:rPr>
      </w:pPr>
      <w:r>
        <w:rPr>
          <w:rFonts w:hint="eastAsia" w:ascii="仿宋_GB2312" w:hAnsi="宋体" w:eastAsia="仿宋_GB2312"/>
          <w:sz w:val="32"/>
          <w:szCs w:val="32"/>
        </w:rPr>
        <w:t>本标准的内容与现行的法律、法规及强制性标准无冲突，标准的编写符合</w:t>
      </w:r>
      <w:r>
        <w:rPr>
          <w:rFonts w:eastAsia="仿宋_GB2312"/>
          <w:sz w:val="32"/>
          <w:szCs w:val="32"/>
        </w:rPr>
        <w:t>GB/T 1.1—2020</w:t>
      </w:r>
      <w:r>
        <w:rPr>
          <w:rFonts w:hint="eastAsia" w:ascii="仿宋_GB2312" w:hAnsi="宋体" w:eastAsia="仿宋_GB2312"/>
          <w:sz w:val="32"/>
          <w:szCs w:val="32"/>
        </w:rPr>
        <w:t>的要求。</w:t>
      </w:r>
    </w:p>
    <w:p w14:paraId="6695314B">
      <w:pPr>
        <w:autoSpaceDE w:val="0"/>
        <w:autoSpaceDN w:val="0"/>
        <w:adjustRightInd w:val="0"/>
        <w:spacing w:before="62" w:beforeLines="20" w:after="62" w:afterLines="20" w:line="560" w:lineRule="exact"/>
        <w:ind w:firstLine="640" w:firstLineChars="200"/>
        <w:jc w:val="left"/>
        <w:outlineLvl w:val="0"/>
        <w:rPr>
          <w:rFonts w:ascii="黑体" w:hAnsi="黑体" w:eastAsia="黑体" w:cs="仿宋_GB2312"/>
          <w:sz w:val="32"/>
          <w:szCs w:val="32"/>
        </w:rPr>
      </w:pPr>
      <w:r>
        <w:rPr>
          <w:rFonts w:hint="eastAsia" w:ascii="黑体" w:hAnsi="黑体" w:eastAsia="黑体" w:cs="仿宋_GB2312"/>
          <w:sz w:val="32"/>
          <w:szCs w:val="32"/>
        </w:rPr>
        <w:t>七、重大分歧意见的处理经过和依据</w:t>
      </w:r>
    </w:p>
    <w:p w14:paraId="0490EBF5">
      <w:pPr>
        <w:spacing w:before="62" w:beforeLines="20" w:after="62" w:afterLines="20" w:line="560" w:lineRule="exact"/>
        <w:ind w:firstLine="640" w:firstLineChars="200"/>
        <w:rPr>
          <w:rFonts w:ascii="仿宋_GB2312" w:hAnsi="宋体" w:eastAsia="仿宋_GB2312"/>
          <w:sz w:val="32"/>
          <w:szCs w:val="32"/>
        </w:rPr>
      </w:pPr>
      <w:r>
        <w:rPr>
          <w:rFonts w:hint="eastAsia" w:ascii="仿宋_GB2312" w:hAnsi="宋体" w:eastAsia="仿宋_GB2312"/>
          <w:sz w:val="32"/>
          <w:szCs w:val="32"/>
        </w:rPr>
        <w:t>本标准研制过程中无重大分歧意见。</w:t>
      </w:r>
    </w:p>
    <w:p w14:paraId="46B8C416">
      <w:pPr>
        <w:spacing w:before="62" w:beforeLines="20" w:after="62" w:afterLines="20" w:line="560" w:lineRule="exact"/>
        <w:ind w:firstLine="640" w:firstLineChars="200"/>
        <w:outlineLvl w:val="0"/>
        <w:rPr>
          <w:rFonts w:ascii="黑体" w:hAnsi="黑体" w:eastAsia="黑体" w:cs="仿宋_GB2312"/>
          <w:sz w:val="32"/>
          <w:szCs w:val="32"/>
        </w:rPr>
      </w:pPr>
      <w:r>
        <w:rPr>
          <w:rFonts w:hint="eastAsia" w:ascii="黑体" w:hAnsi="黑体" w:eastAsia="黑体" w:cs="仿宋_GB2312"/>
          <w:sz w:val="32"/>
          <w:szCs w:val="32"/>
        </w:rPr>
        <w:t>八、自我承诺</w:t>
      </w:r>
    </w:p>
    <w:p w14:paraId="39474EAB">
      <w:pPr>
        <w:spacing w:before="62" w:beforeLines="20" w:after="62" w:afterLines="20" w:line="560" w:lineRule="exact"/>
        <w:ind w:firstLine="640" w:firstLineChars="200"/>
        <w:rPr>
          <w:rFonts w:ascii="仿宋_GB2312" w:hAnsi="宋体" w:eastAsia="仿宋_GB2312"/>
          <w:sz w:val="32"/>
          <w:szCs w:val="32"/>
        </w:rPr>
      </w:pPr>
      <w:r>
        <w:rPr>
          <w:rFonts w:hint="eastAsia" w:ascii="仿宋_GB2312" w:hAnsi="宋体" w:eastAsia="仿宋_GB2312"/>
          <w:sz w:val="32"/>
          <w:szCs w:val="32"/>
        </w:rPr>
        <w:t>本标准内容与各项指标不低于强制性标准要求。</w:t>
      </w:r>
    </w:p>
    <w:p w14:paraId="5BBEC9E9">
      <w:pPr>
        <w:spacing w:line="520" w:lineRule="exact"/>
        <w:ind w:firstLine="1120" w:firstLineChars="350"/>
        <w:rPr>
          <w:rFonts w:ascii="仿宋_GB2312" w:hAnsi="宋体" w:eastAsia="仿宋_GB2312"/>
          <w:sz w:val="32"/>
          <w:szCs w:val="32"/>
        </w:rPr>
      </w:pPr>
    </w:p>
    <w:p w14:paraId="425D45E5">
      <w:pPr>
        <w:spacing w:line="520" w:lineRule="exact"/>
        <w:ind w:firstLine="2080" w:firstLineChars="650"/>
        <w:rPr>
          <w:rFonts w:ascii="仿宋_GB2312" w:hAnsi="宋体" w:eastAsia="仿宋_GB2312"/>
          <w:sz w:val="32"/>
          <w:szCs w:val="32"/>
        </w:rPr>
      </w:pPr>
      <w:r>
        <w:rPr>
          <w:rFonts w:hint="eastAsia" w:ascii="仿宋_GB2312" w:hAnsi="宋体" w:eastAsia="仿宋_GB2312"/>
          <w:sz w:val="32"/>
          <w:szCs w:val="32"/>
        </w:rPr>
        <w:t>团体标准《中低位直肠癌手术预防性肠造口</w:t>
      </w:r>
    </w:p>
    <w:p w14:paraId="50A08F10">
      <w:pPr>
        <w:spacing w:line="520" w:lineRule="exact"/>
        <w:ind w:firstLine="4000" w:firstLineChars="1250"/>
        <w:rPr>
          <w:rFonts w:ascii="仿宋_GB2312" w:hAnsi="宋体" w:eastAsia="仿宋_GB2312"/>
          <w:sz w:val="32"/>
          <w:szCs w:val="32"/>
        </w:rPr>
      </w:pPr>
      <w:r>
        <w:rPr>
          <w:rFonts w:hint="eastAsia" w:ascii="仿宋_GB2312" w:hAnsi="宋体" w:eastAsia="仿宋_GB2312"/>
          <w:sz w:val="32"/>
          <w:szCs w:val="32"/>
        </w:rPr>
        <w:t>护理技术规范》</w:t>
      </w:r>
    </w:p>
    <w:p w14:paraId="4DE4B68C">
      <w:pPr>
        <w:spacing w:line="520" w:lineRule="exact"/>
        <w:ind w:firstLine="3840" w:firstLineChars="1200"/>
        <w:rPr>
          <w:rFonts w:ascii="仿宋_GB2312" w:hAnsi="宋体" w:eastAsia="仿宋_GB2312"/>
          <w:sz w:val="32"/>
          <w:szCs w:val="32"/>
        </w:rPr>
      </w:pPr>
      <w:r>
        <w:rPr>
          <w:rFonts w:hint="eastAsia" w:ascii="仿宋_GB2312" w:hAnsi="宋体" w:eastAsia="仿宋_GB2312"/>
          <w:sz w:val="32"/>
          <w:szCs w:val="32"/>
        </w:rPr>
        <w:t>标准编制工作组</w:t>
      </w:r>
    </w:p>
    <w:p w14:paraId="5A3BFEB0">
      <w:pPr>
        <w:spacing w:line="520" w:lineRule="exact"/>
        <w:ind w:firstLine="640" w:firstLineChars="200"/>
        <w:rPr>
          <w:rFonts w:ascii="仿宋_GB2312" w:hAnsi="宋体" w:eastAsia="仿宋_GB2312"/>
          <w:sz w:val="32"/>
          <w:szCs w:val="32"/>
        </w:rPr>
      </w:pPr>
      <w:r>
        <w:rPr>
          <w:rFonts w:hint="eastAsia" w:ascii="仿宋_GB2312" w:hAnsi="宋体" w:eastAsia="仿宋_GB2312"/>
          <w:sz w:val="32"/>
          <w:szCs w:val="32"/>
        </w:rPr>
        <w:t xml:space="preserve">             </w:t>
      </w:r>
      <w:r>
        <w:rPr>
          <w:rFonts w:ascii="仿宋_GB2312" w:hAnsi="宋体" w:eastAsia="仿宋_GB2312"/>
          <w:sz w:val="32"/>
          <w:szCs w:val="32"/>
        </w:rPr>
        <w:t xml:space="preserve">     </w:t>
      </w:r>
      <w:r>
        <w:rPr>
          <w:rFonts w:hint="eastAsia" w:ascii="仿宋_GB2312" w:hAnsi="宋体" w:eastAsia="仿宋_GB2312"/>
          <w:sz w:val="32"/>
          <w:szCs w:val="32"/>
        </w:rPr>
        <w:t xml:space="preserve"> 202</w:t>
      </w:r>
      <w:r>
        <w:rPr>
          <w:rFonts w:ascii="仿宋_GB2312" w:hAnsi="宋体" w:eastAsia="仿宋_GB2312"/>
          <w:sz w:val="32"/>
          <w:szCs w:val="32"/>
        </w:rPr>
        <w:t>4</w:t>
      </w:r>
      <w:r>
        <w:rPr>
          <w:rFonts w:hint="eastAsia" w:ascii="仿宋_GB2312" w:hAnsi="宋体" w:eastAsia="仿宋_GB2312"/>
          <w:sz w:val="32"/>
          <w:szCs w:val="32"/>
        </w:rPr>
        <w:t>年</w:t>
      </w:r>
      <w:r>
        <w:rPr>
          <w:rFonts w:ascii="仿宋_GB2312" w:hAnsi="宋体" w:eastAsia="仿宋_GB2312"/>
          <w:sz w:val="32"/>
          <w:szCs w:val="32"/>
        </w:rPr>
        <w:t>12</w:t>
      </w:r>
      <w:r>
        <w:rPr>
          <w:rFonts w:hint="eastAsia" w:ascii="仿宋_GB2312" w:hAnsi="宋体" w:eastAsia="仿宋_GB2312"/>
          <w:sz w:val="32"/>
          <w:szCs w:val="32"/>
        </w:rPr>
        <w:t>月</w:t>
      </w:r>
      <w:r>
        <w:rPr>
          <w:rFonts w:ascii="仿宋_GB2312" w:hAnsi="宋体" w:eastAsia="仿宋_GB2312"/>
          <w:sz w:val="32"/>
          <w:szCs w:val="32"/>
        </w:rPr>
        <w:t>27</w:t>
      </w:r>
      <w:r>
        <w:rPr>
          <w:rFonts w:hint="eastAsia" w:ascii="仿宋_GB2312" w:hAnsi="宋体" w:eastAsia="仿宋_GB2312"/>
          <w:sz w:val="32"/>
          <w:szCs w:val="32"/>
        </w:rPr>
        <w:t>日</w:t>
      </w:r>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Arial">
    <w:panose1 w:val="020B0604020202020204"/>
    <w:charset w:val="00"/>
    <w:family w:val="swiss"/>
    <w:pitch w:val="default"/>
    <w:sig w:usb0="E0002EFF" w:usb1="C000785B" w:usb2="00000009" w:usb3="00000000" w:csb0="400001FF" w:csb1="FFFF0000"/>
  </w:font>
  <w:font w:name="等线">
    <w:panose1 w:val="02010600030101010101"/>
    <w:charset w:val="86"/>
    <w:family w:val="auto"/>
    <w:pitch w:val="default"/>
    <w:sig w:usb0="A00002BF" w:usb1="38CF7CFA" w:usb2="00000016" w:usb3="00000000" w:csb0="0004000F" w:csb1="00000000"/>
  </w:font>
  <w:font w:name="方正小标宋简体">
    <w:altName w:val="黑体"/>
    <w:panose1 w:val="03000509000000000000"/>
    <w:charset w:val="86"/>
    <w:family w:val="script"/>
    <w:pitch w:val="default"/>
    <w:sig w:usb0="00000000" w:usb1="00000000" w:usb2="00000010" w:usb3="00000000" w:csb0="00040000" w:csb1="00000000"/>
  </w:font>
  <w:font w:name="仿宋_GB2312">
    <w:altName w:val="仿宋"/>
    <w:panose1 w:val="02010609030101010101"/>
    <w:charset w:val="86"/>
    <w:family w:val="modern"/>
    <w:pitch w:val="default"/>
    <w:sig w:usb0="00000000" w:usb1="00000000" w:usb2="00000010" w:usb3="00000000" w:csb0="00040000" w:csb1="00000000"/>
  </w:font>
  <w:font w:name="仿宋">
    <w:panose1 w:val="02010609060101010101"/>
    <w:charset w:val="86"/>
    <w:family w:val="modern"/>
    <w:pitch w:val="default"/>
    <w:sig w:usb0="800002BF" w:usb1="38CF7CFA" w:usb2="00000016" w:usb3="00000000" w:csb0="00040001" w:csb1="00000000"/>
  </w:font>
  <w:font w:name="楷体">
    <w:panose1 w:val="02010609060101010101"/>
    <w:charset w:val="86"/>
    <w:family w:val="modern"/>
    <w:pitch w:val="default"/>
    <w:sig w:usb0="800002BF" w:usb1="38CF7CFA" w:usb2="00000016" w:usb3="00000000" w:csb0="00040001" w:csb1="00000000"/>
  </w:font>
  <w:font w:name="楷体_GB2312">
    <w:altName w:val="楷体"/>
    <w:panose1 w:val="02010609030101010101"/>
    <w:charset w:val="86"/>
    <w:family w:val="modern"/>
    <w:pitch w:val="default"/>
    <w:sig w:usb0="00000000" w:usb1="00000000" w:usb2="00000010" w:usb3="00000000" w:csb0="00040000" w:csb1="00000000"/>
  </w:font>
  <w:font w:name="MS Mincho">
    <w:altName w:val="Yu Gothic UI"/>
    <w:panose1 w:val="02020609040205080304"/>
    <w:charset w:val="80"/>
    <w:family w:val="modern"/>
    <w:pitch w:val="default"/>
    <w:sig w:usb0="00000000" w:usb1="00000000" w:usb2="00000012" w:usb3="00000000" w:csb0="0002009F" w:csb1="00000000"/>
  </w:font>
  <w:font w:name="ＭＳ 明朝">
    <w:altName w:val="Segoe Print"/>
    <w:panose1 w:val="00000000000000000000"/>
    <w:charset w:val="00"/>
    <w:family w:val="auto"/>
    <w:pitch w:val="default"/>
    <w:sig w:usb0="00000000" w:usb1="00000000" w:usb2="00000000" w:usb3="00000000" w:csb0="00000000" w:csb1="00000000"/>
  </w:font>
  <w:font w:name="Yu Gothic UI">
    <w:panose1 w:val="020B0500000000000000"/>
    <w:charset w:val="80"/>
    <w:family w:val="auto"/>
    <w:pitch w:val="default"/>
    <w:sig w:usb0="E00002FF" w:usb1="2AC7FDFF" w:usb2="00000016" w:usb3="00000000" w:csb0="200200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D2AB0A94"/>
    <w:multiLevelType w:val="singleLevel"/>
    <w:tmpl w:val="D2AB0A94"/>
    <w:lvl w:ilvl="0" w:tentative="0">
      <w:start w:val="4"/>
      <w:numFmt w:val="chineseCounting"/>
      <w:suff w:val="nothing"/>
      <w:lvlText w:val="（%1）"/>
      <w:lvlJc w:val="left"/>
      <w:rPr>
        <w:rFonts w:hint="eastAsia"/>
      </w:rPr>
    </w:lvl>
  </w:abstractNum>
  <w:abstractNum w:abstractNumId="1">
    <w:nsid w:val="2DE76386"/>
    <w:multiLevelType w:val="singleLevel"/>
    <w:tmpl w:val="2DE76386"/>
    <w:lvl w:ilvl="0" w:tentative="0">
      <w:start w:val="2"/>
      <w:numFmt w:val="chineseCounting"/>
      <w:suff w:val="nothing"/>
      <w:lvlText w:val="（%1）"/>
      <w:lvlJc w:val="left"/>
      <w:rPr>
        <w:rFonts w:hint="eastAsia"/>
      </w:rPr>
    </w:lvl>
  </w:abstractNum>
  <w:abstractNum w:abstractNumId="2">
    <w:nsid w:val="4D0BB53B"/>
    <w:multiLevelType w:val="singleLevel"/>
    <w:tmpl w:val="4D0BB53B"/>
    <w:lvl w:ilvl="0" w:tentative="0">
      <w:start w:val="5"/>
      <w:numFmt w:val="chineseCounting"/>
      <w:suff w:val="nothing"/>
      <w:lvlText w:val="%1、"/>
      <w:lvlJc w:val="left"/>
      <w:rPr>
        <w:rFonts w:hint="eastAsia"/>
      </w:rPr>
    </w:lvl>
  </w:abstractNum>
  <w:num w:numId="1">
    <w:abstractNumId w:val="1"/>
  </w:num>
  <w:num w:numId="2">
    <w:abstractNumId w:val="0"/>
  </w:num>
  <w:num w:numId="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90"/>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ZjcwMzBhNDA5MWZkNjNjNjFjNmFkMDk0MGQ5YjMxZTYifQ=="/>
  </w:docVars>
  <w:rsids>
    <w:rsidRoot w:val="00347036"/>
    <w:rsid w:val="00000DCF"/>
    <w:rsid w:val="000012CB"/>
    <w:rsid w:val="0000175A"/>
    <w:rsid w:val="00004127"/>
    <w:rsid w:val="00023C07"/>
    <w:rsid w:val="000515EE"/>
    <w:rsid w:val="00055E63"/>
    <w:rsid w:val="00056F6C"/>
    <w:rsid w:val="000643E3"/>
    <w:rsid w:val="00080FF1"/>
    <w:rsid w:val="00084255"/>
    <w:rsid w:val="000A722E"/>
    <w:rsid w:val="000C5959"/>
    <w:rsid w:val="000E3819"/>
    <w:rsid w:val="000F3618"/>
    <w:rsid w:val="000F7C5D"/>
    <w:rsid w:val="00106A69"/>
    <w:rsid w:val="0011241F"/>
    <w:rsid w:val="001173FB"/>
    <w:rsid w:val="00117467"/>
    <w:rsid w:val="00121806"/>
    <w:rsid w:val="00121874"/>
    <w:rsid w:val="00121FB0"/>
    <w:rsid w:val="001246F5"/>
    <w:rsid w:val="001376EF"/>
    <w:rsid w:val="00137BA1"/>
    <w:rsid w:val="00141C7E"/>
    <w:rsid w:val="00145245"/>
    <w:rsid w:val="00161C32"/>
    <w:rsid w:val="001657BB"/>
    <w:rsid w:val="001662A6"/>
    <w:rsid w:val="0016753A"/>
    <w:rsid w:val="00171F64"/>
    <w:rsid w:val="001728CB"/>
    <w:rsid w:val="00190C54"/>
    <w:rsid w:val="00197095"/>
    <w:rsid w:val="00197E57"/>
    <w:rsid w:val="001B29AA"/>
    <w:rsid w:val="001B52B8"/>
    <w:rsid w:val="001C266C"/>
    <w:rsid w:val="001C53E1"/>
    <w:rsid w:val="00207AEF"/>
    <w:rsid w:val="002108D0"/>
    <w:rsid w:val="0021151C"/>
    <w:rsid w:val="0023089C"/>
    <w:rsid w:val="00244D4C"/>
    <w:rsid w:val="002533B7"/>
    <w:rsid w:val="002563EA"/>
    <w:rsid w:val="00262A17"/>
    <w:rsid w:val="00263E34"/>
    <w:rsid w:val="00273B40"/>
    <w:rsid w:val="0027404C"/>
    <w:rsid w:val="002814F2"/>
    <w:rsid w:val="00284C97"/>
    <w:rsid w:val="002A0AD3"/>
    <w:rsid w:val="002B500C"/>
    <w:rsid w:val="002C1483"/>
    <w:rsid w:val="002C6FDF"/>
    <w:rsid w:val="002C701A"/>
    <w:rsid w:val="002D0F78"/>
    <w:rsid w:val="002D1157"/>
    <w:rsid w:val="002F0EDC"/>
    <w:rsid w:val="003034B4"/>
    <w:rsid w:val="0031104F"/>
    <w:rsid w:val="00312545"/>
    <w:rsid w:val="00320193"/>
    <w:rsid w:val="0032743E"/>
    <w:rsid w:val="00334B94"/>
    <w:rsid w:val="003351AD"/>
    <w:rsid w:val="00336606"/>
    <w:rsid w:val="00347036"/>
    <w:rsid w:val="00370B1C"/>
    <w:rsid w:val="00375C4B"/>
    <w:rsid w:val="00385788"/>
    <w:rsid w:val="00395BEB"/>
    <w:rsid w:val="003A04C1"/>
    <w:rsid w:val="003A2265"/>
    <w:rsid w:val="003A5329"/>
    <w:rsid w:val="003A79A5"/>
    <w:rsid w:val="003C257B"/>
    <w:rsid w:val="003D1C68"/>
    <w:rsid w:val="003E2C55"/>
    <w:rsid w:val="003F2884"/>
    <w:rsid w:val="003F6A05"/>
    <w:rsid w:val="003F7580"/>
    <w:rsid w:val="003F7DB3"/>
    <w:rsid w:val="00401BCA"/>
    <w:rsid w:val="00406082"/>
    <w:rsid w:val="00410743"/>
    <w:rsid w:val="00411A4A"/>
    <w:rsid w:val="00415718"/>
    <w:rsid w:val="00426F8B"/>
    <w:rsid w:val="00427E70"/>
    <w:rsid w:val="00430F26"/>
    <w:rsid w:val="00433C7E"/>
    <w:rsid w:val="00434646"/>
    <w:rsid w:val="00434DC7"/>
    <w:rsid w:val="00455854"/>
    <w:rsid w:val="00473D94"/>
    <w:rsid w:val="004846AA"/>
    <w:rsid w:val="004A0477"/>
    <w:rsid w:val="004B303B"/>
    <w:rsid w:val="004C21B1"/>
    <w:rsid w:val="004C43A0"/>
    <w:rsid w:val="004D293D"/>
    <w:rsid w:val="004F4B23"/>
    <w:rsid w:val="004F596E"/>
    <w:rsid w:val="005036F4"/>
    <w:rsid w:val="00523CA7"/>
    <w:rsid w:val="0053028D"/>
    <w:rsid w:val="00531D67"/>
    <w:rsid w:val="00537385"/>
    <w:rsid w:val="005460E8"/>
    <w:rsid w:val="00550CBF"/>
    <w:rsid w:val="005527D3"/>
    <w:rsid w:val="00555B46"/>
    <w:rsid w:val="00566136"/>
    <w:rsid w:val="00593873"/>
    <w:rsid w:val="005B5096"/>
    <w:rsid w:val="005C41DB"/>
    <w:rsid w:val="005D1F34"/>
    <w:rsid w:val="005D33CA"/>
    <w:rsid w:val="005D6182"/>
    <w:rsid w:val="005F1691"/>
    <w:rsid w:val="006059A7"/>
    <w:rsid w:val="00606F2A"/>
    <w:rsid w:val="0061763D"/>
    <w:rsid w:val="006176F5"/>
    <w:rsid w:val="00617812"/>
    <w:rsid w:val="00624716"/>
    <w:rsid w:val="0062496F"/>
    <w:rsid w:val="00625EFB"/>
    <w:rsid w:val="00631A82"/>
    <w:rsid w:val="00632662"/>
    <w:rsid w:val="00650412"/>
    <w:rsid w:val="006534A8"/>
    <w:rsid w:val="00674852"/>
    <w:rsid w:val="00674FF2"/>
    <w:rsid w:val="0067583D"/>
    <w:rsid w:val="00681257"/>
    <w:rsid w:val="00681819"/>
    <w:rsid w:val="00684EA0"/>
    <w:rsid w:val="006927A5"/>
    <w:rsid w:val="006A371D"/>
    <w:rsid w:val="006A7FF0"/>
    <w:rsid w:val="006B63AE"/>
    <w:rsid w:val="006B7BBE"/>
    <w:rsid w:val="006C05AB"/>
    <w:rsid w:val="006C5F47"/>
    <w:rsid w:val="006D41C2"/>
    <w:rsid w:val="006E52C7"/>
    <w:rsid w:val="006E6A78"/>
    <w:rsid w:val="006E7D14"/>
    <w:rsid w:val="006F4C60"/>
    <w:rsid w:val="006F610B"/>
    <w:rsid w:val="00701C46"/>
    <w:rsid w:val="00701CFE"/>
    <w:rsid w:val="00702143"/>
    <w:rsid w:val="007029E3"/>
    <w:rsid w:val="00715F78"/>
    <w:rsid w:val="007227A8"/>
    <w:rsid w:val="00723004"/>
    <w:rsid w:val="007237C2"/>
    <w:rsid w:val="00725BA8"/>
    <w:rsid w:val="00741968"/>
    <w:rsid w:val="00747A4D"/>
    <w:rsid w:val="00752BC3"/>
    <w:rsid w:val="00762425"/>
    <w:rsid w:val="00766392"/>
    <w:rsid w:val="00770B30"/>
    <w:rsid w:val="00772C40"/>
    <w:rsid w:val="00774809"/>
    <w:rsid w:val="00782CDA"/>
    <w:rsid w:val="00795FA6"/>
    <w:rsid w:val="007A1705"/>
    <w:rsid w:val="007B2C7F"/>
    <w:rsid w:val="007C3AC4"/>
    <w:rsid w:val="007C7031"/>
    <w:rsid w:val="007D6B92"/>
    <w:rsid w:val="007D720F"/>
    <w:rsid w:val="007E271D"/>
    <w:rsid w:val="007F4B3A"/>
    <w:rsid w:val="007F58D2"/>
    <w:rsid w:val="007F724C"/>
    <w:rsid w:val="00802D16"/>
    <w:rsid w:val="0081494F"/>
    <w:rsid w:val="00816DE4"/>
    <w:rsid w:val="008175F5"/>
    <w:rsid w:val="00824292"/>
    <w:rsid w:val="00824CBA"/>
    <w:rsid w:val="008254F3"/>
    <w:rsid w:val="00833A3A"/>
    <w:rsid w:val="00833DB4"/>
    <w:rsid w:val="008410C7"/>
    <w:rsid w:val="0084783E"/>
    <w:rsid w:val="00854F93"/>
    <w:rsid w:val="008765D6"/>
    <w:rsid w:val="00877458"/>
    <w:rsid w:val="00895A3E"/>
    <w:rsid w:val="008B5931"/>
    <w:rsid w:val="008B5AA2"/>
    <w:rsid w:val="008C5819"/>
    <w:rsid w:val="008D6405"/>
    <w:rsid w:val="008F12AF"/>
    <w:rsid w:val="00900ACC"/>
    <w:rsid w:val="0090260C"/>
    <w:rsid w:val="00957730"/>
    <w:rsid w:val="0096125E"/>
    <w:rsid w:val="009717A8"/>
    <w:rsid w:val="00981986"/>
    <w:rsid w:val="00996E44"/>
    <w:rsid w:val="009A3579"/>
    <w:rsid w:val="009A3D6F"/>
    <w:rsid w:val="009A5BE5"/>
    <w:rsid w:val="009B1AED"/>
    <w:rsid w:val="009B45D5"/>
    <w:rsid w:val="009B536F"/>
    <w:rsid w:val="009B6036"/>
    <w:rsid w:val="009C30B3"/>
    <w:rsid w:val="009C5116"/>
    <w:rsid w:val="009C71AD"/>
    <w:rsid w:val="009C746D"/>
    <w:rsid w:val="009D7D9B"/>
    <w:rsid w:val="009E392E"/>
    <w:rsid w:val="009F23BA"/>
    <w:rsid w:val="009F6DDC"/>
    <w:rsid w:val="00A036A8"/>
    <w:rsid w:val="00A03C65"/>
    <w:rsid w:val="00A1115F"/>
    <w:rsid w:val="00A1476A"/>
    <w:rsid w:val="00A21F43"/>
    <w:rsid w:val="00A27F27"/>
    <w:rsid w:val="00A403A7"/>
    <w:rsid w:val="00A429FD"/>
    <w:rsid w:val="00A44A0F"/>
    <w:rsid w:val="00A44F63"/>
    <w:rsid w:val="00A53EB5"/>
    <w:rsid w:val="00A62B1E"/>
    <w:rsid w:val="00A77D2A"/>
    <w:rsid w:val="00A817FF"/>
    <w:rsid w:val="00A8398E"/>
    <w:rsid w:val="00A84332"/>
    <w:rsid w:val="00A8475F"/>
    <w:rsid w:val="00A9332D"/>
    <w:rsid w:val="00A93C25"/>
    <w:rsid w:val="00A96C7A"/>
    <w:rsid w:val="00AA1EF8"/>
    <w:rsid w:val="00AB2151"/>
    <w:rsid w:val="00AB287E"/>
    <w:rsid w:val="00AB3029"/>
    <w:rsid w:val="00AB3FE0"/>
    <w:rsid w:val="00AB6035"/>
    <w:rsid w:val="00AB6A37"/>
    <w:rsid w:val="00AC1064"/>
    <w:rsid w:val="00AD0B40"/>
    <w:rsid w:val="00AD61B9"/>
    <w:rsid w:val="00AD675D"/>
    <w:rsid w:val="00AE72D0"/>
    <w:rsid w:val="00B145CB"/>
    <w:rsid w:val="00B14A53"/>
    <w:rsid w:val="00B26825"/>
    <w:rsid w:val="00B37EE1"/>
    <w:rsid w:val="00B4464D"/>
    <w:rsid w:val="00B52A2D"/>
    <w:rsid w:val="00B667D7"/>
    <w:rsid w:val="00B67428"/>
    <w:rsid w:val="00B763BA"/>
    <w:rsid w:val="00B83F37"/>
    <w:rsid w:val="00B86CA4"/>
    <w:rsid w:val="00B9632A"/>
    <w:rsid w:val="00BA6FB1"/>
    <w:rsid w:val="00BA73E4"/>
    <w:rsid w:val="00BC1094"/>
    <w:rsid w:val="00BC18D2"/>
    <w:rsid w:val="00BC5BFF"/>
    <w:rsid w:val="00BD457A"/>
    <w:rsid w:val="00BD4937"/>
    <w:rsid w:val="00BD66F4"/>
    <w:rsid w:val="00BF232C"/>
    <w:rsid w:val="00BF5ADF"/>
    <w:rsid w:val="00C0696C"/>
    <w:rsid w:val="00C07B94"/>
    <w:rsid w:val="00C1003B"/>
    <w:rsid w:val="00C14495"/>
    <w:rsid w:val="00C24A27"/>
    <w:rsid w:val="00C24D5F"/>
    <w:rsid w:val="00C51AF1"/>
    <w:rsid w:val="00C62367"/>
    <w:rsid w:val="00C7241D"/>
    <w:rsid w:val="00C76546"/>
    <w:rsid w:val="00C8604B"/>
    <w:rsid w:val="00CB0F9E"/>
    <w:rsid w:val="00CC0E18"/>
    <w:rsid w:val="00CD1BD1"/>
    <w:rsid w:val="00CD43A6"/>
    <w:rsid w:val="00CE49AF"/>
    <w:rsid w:val="00D03710"/>
    <w:rsid w:val="00D15561"/>
    <w:rsid w:val="00D16010"/>
    <w:rsid w:val="00D17BC6"/>
    <w:rsid w:val="00D269C0"/>
    <w:rsid w:val="00D30CF1"/>
    <w:rsid w:val="00D361B7"/>
    <w:rsid w:val="00D377BD"/>
    <w:rsid w:val="00D55E06"/>
    <w:rsid w:val="00D62A63"/>
    <w:rsid w:val="00D63042"/>
    <w:rsid w:val="00D64702"/>
    <w:rsid w:val="00D779BF"/>
    <w:rsid w:val="00D83CCB"/>
    <w:rsid w:val="00D87ACC"/>
    <w:rsid w:val="00DA107C"/>
    <w:rsid w:val="00DA5E17"/>
    <w:rsid w:val="00DB0FD7"/>
    <w:rsid w:val="00DB5DD7"/>
    <w:rsid w:val="00DB7B7B"/>
    <w:rsid w:val="00DC1458"/>
    <w:rsid w:val="00DD38B4"/>
    <w:rsid w:val="00DE5589"/>
    <w:rsid w:val="00DE61F1"/>
    <w:rsid w:val="00DF1378"/>
    <w:rsid w:val="00E047E2"/>
    <w:rsid w:val="00E14A79"/>
    <w:rsid w:val="00E20964"/>
    <w:rsid w:val="00E26176"/>
    <w:rsid w:val="00E37E6C"/>
    <w:rsid w:val="00E431D0"/>
    <w:rsid w:val="00E445E0"/>
    <w:rsid w:val="00E46053"/>
    <w:rsid w:val="00E67B86"/>
    <w:rsid w:val="00E86360"/>
    <w:rsid w:val="00E868FE"/>
    <w:rsid w:val="00E91B20"/>
    <w:rsid w:val="00E94BA4"/>
    <w:rsid w:val="00EA0FC6"/>
    <w:rsid w:val="00EA61CD"/>
    <w:rsid w:val="00EA6654"/>
    <w:rsid w:val="00EB3FE1"/>
    <w:rsid w:val="00EB481E"/>
    <w:rsid w:val="00EC1F73"/>
    <w:rsid w:val="00EC36D7"/>
    <w:rsid w:val="00EC74FF"/>
    <w:rsid w:val="00EC7D74"/>
    <w:rsid w:val="00ED07B9"/>
    <w:rsid w:val="00ED4838"/>
    <w:rsid w:val="00EE153D"/>
    <w:rsid w:val="00EE6F29"/>
    <w:rsid w:val="00EF3E74"/>
    <w:rsid w:val="00EF4F57"/>
    <w:rsid w:val="00F00EDA"/>
    <w:rsid w:val="00F017EC"/>
    <w:rsid w:val="00F045C6"/>
    <w:rsid w:val="00F12E41"/>
    <w:rsid w:val="00F1349F"/>
    <w:rsid w:val="00F137FD"/>
    <w:rsid w:val="00F23FBD"/>
    <w:rsid w:val="00F2647A"/>
    <w:rsid w:val="00F31239"/>
    <w:rsid w:val="00F31D38"/>
    <w:rsid w:val="00F321C6"/>
    <w:rsid w:val="00F45ADD"/>
    <w:rsid w:val="00F4686C"/>
    <w:rsid w:val="00F602C4"/>
    <w:rsid w:val="00F62C1F"/>
    <w:rsid w:val="00F64A4F"/>
    <w:rsid w:val="00F70413"/>
    <w:rsid w:val="00F70DFA"/>
    <w:rsid w:val="00F71E8D"/>
    <w:rsid w:val="00F93277"/>
    <w:rsid w:val="00F93969"/>
    <w:rsid w:val="00F93F48"/>
    <w:rsid w:val="00F97615"/>
    <w:rsid w:val="00FB0960"/>
    <w:rsid w:val="00FC00B4"/>
    <w:rsid w:val="00FC4754"/>
    <w:rsid w:val="00FC5E97"/>
    <w:rsid w:val="00FD04A6"/>
    <w:rsid w:val="00FD0FB7"/>
    <w:rsid w:val="00FD7023"/>
    <w:rsid w:val="00FE3180"/>
    <w:rsid w:val="00FE3EAA"/>
    <w:rsid w:val="00FE779C"/>
    <w:rsid w:val="00FF2496"/>
    <w:rsid w:val="00FF32BE"/>
    <w:rsid w:val="0D295052"/>
    <w:rsid w:val="6EDE77D4"/>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qFormat="1" w:uiPriority="99" w:name="footnote text"/>
    <w:lsdException w:qFormat="1"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qFormat="1" w:uiPriority="99" w:name="footnote reference"/>
    <w:lsdException w:qFormat="1"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uiPriority="99" w:name="Normal Table"/>
    <w:lsdException w:qFormat="1"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kern w:val="2"/>
      <w:sz w:val="21"/>
      <w:szCs w:val="24"/>
      <w:lang w:val="en-US" w:eastAsia="zh-CN" w:bidi="ar-SA"/>
    </w:rPr>
  </w:style>
  <w:style w:type="character" w:default="1" w:styleId="10">
    <w:name w:val="Default Paragraph Font"/>
    <w:semiHidden/>
    <w:unhideWhenUsed/>
    <w:uiPriority w:val="1"/>
  </w:style>
  <w:style w:type="table" w:default="1" w:styleId="8">
    <w:name w:val="Normal Table"/>
    <w:semiHidden/>
    <w:unhideWhenUsed/>
    <w:uiPriority w:val="99"/>
    <w:tblPr>
      <w:tblCellMar>
        <w:top w:w="0" w:type="dxa"/>
        <w:left w:w="108" w:type="dxa"/>
        <w:bottom w:w="0" w:type="dxa"/>
        <w:right w:w="108" w:type="dxa"/>
      </w:tblCellMar>
    </w:tblPr>
  </w:style>
  <w:style w:type="paragraph" w:styleId="2">
    <w:name w:val="annotation text"/>
    <w:basedOn w:val="1"/>
    <w:link w:val="19"/>
    <w:semiHidden/>
    <w:unhideWhenUsed/>
    <w:qFormat/>
    <w:uiPriority w:val="99"/>
    <w:pPr>
      <w:jc w:val="left"/>
    </w:pPr>
  </w:style>
  <w:style w:type="paragraph" w:styleId="3">
    <w:name w:val="Balloon Text"/>
    <w:basedOn w:val="1"/>
    <w:link w:val="18"/>
    <w:semiHidden/>
    <w:unhideWhenUsed/>
    <w:qFormat/>
    <w:uiPriority w:val="99"/>
    <w:rPr>
      <w:sz w:val="18"/>
      <w:szCs w:val="18"/>
    </w:rPr>
  </w:style>
  <w:style w:type="paragraph" w:styleId="4">
    <w:name w:val="footer"/>
    <w:basedOn w:val="1"/>
    <w:link w:val="15"/>
    <w:unhideWhenUsed/>
    <w:qFormat/>
    <w:uiPriority w:val="99"/>
    <w:pPr>
      <w:tabs>
        <w:tab w:val="center" w:pos="4153"/>
        <w:tab w:val="right" w:pos="8306"/>
      </w:tabs>
      <w:snapToGrid w:val="0"/>
      <w:jc w:val="left"/>
    </w:pPr>
    <w:rPr>
      <w:sz w:val="18"/>
      <w:szCs w:val="18"/>
    </w:rPr>
  </w:style>
  <w:style w:type="paragraph" w:styleId="5">
    <w:name w:val="header"/>
    <w:basedOn w:val="1"/>
    <w:link w:val="14"/>
    <w:unhideWhenUsed/>
    <w:qFormat/>
    <w:uiPriority w:val="99"/>
    <w:pPr>
      <w:pBdr>
        <w:bottom w:val="single" w:color="auto" w:sz="6" w:space="1"/>
      </w:pBdr>
      <w:tabs>
        <w:tab w:val="center" w:pos="4153"/>
        <w:tab w:val="right" w:pos="8306"/>
      </w:tabs>
      <w:snapToGrid w:val="0"/>
      <w:jc w:val="center"/>
    </w:pPr>
    <w:rPr>
      <w:sz w:val="18"/>
      <w:szCs w:val="18"/>
    </w:rPr>
  </w:style>
  <w:style w:type="paragraph" w:styleId="6">
    <w:name w:val="footnote text"/>
    <w:basedOn w:val="1"/>
    <w:link w:val="21"/>
    <w:semiHidden/>
    <w:unhideWhenUsed/>
    <w:qFormat/>
    <w:uiPriority w:val="99"/>
    <w:pPr>
      <w:snapToGrid w:val="0"/>
      <w:jc w:val="left"/>
    </w:pPr>
    <w:rPr>
      <w:sz w:val="18"/>
      <w:szCs w:val="18"/>
    </w:rPr>
  </w:style>
  <w:style w:type="paragraph" w:styleId="7">
    <w:name w:val="annotation subject"/>
    <w:basedOn w:val="2"/>
    <w:next w:val="2"/>
    <w:link w:val="20"/>
    <w:semiHidden/>
    <w:unhideWhenUsed/>
    <w:qFormat/>
    <w:uiPriority w:val="99"/>
    <w:rPr>
      <w:b/>
      <w:bCs/>
    </w:rPr>
  </w:style>
  <w:style w:type="table" w:styleId="9">
    <w:name w:val="Table Grid"/>
    <w:basedOn w:val="8"/>
    <w:uiPriority w:val="3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11">
    <w:name w:val="Strong"/>
    <w:basedOn w:val="10"/>
    <w:qFormat/>
    <w:uiPriority w:val="22"/>
    <w:rPr>
      <w:b/>
      <w:bCs/>
    </w:rPr>
  </w:style>
  <w:style w:type="character" w:styleId="12">
    <w:name w:val="annotation reference"/>
    <w:basedOn w:val="10"/>
    <w:semiHidden/>
    <w:unhideWhenUsed/>
    <w:qFormat/>
    <w:uiPriority w:val="99"/>
    <w:rPr>
      <w:sz w:val="21"/>
      <w:szCs w:val="21"/>
    </w:rPr>
  </w:style>
  <w:style w:type="character" w:styleId="13">
    <w:name w:val="footnote reference"/>
    <w:basedOn w:val="10"/>
    <w:semiHidden/>
    <w:unhideWhenUsed/>
    <w:qFormat/>
    <w:uiPriority w:val="99"/>
    <w:rPr>
      <w:vertAlign w:val="superscript"/>
    </w:rPr>
  </w:style>
  <w:style w:type="character" w:customStyle="1" w:styleId="14">
    <w:name w:val="页眉 字符"/>
    <w:basedOn w:val="10"/>
    <w:link w:val="5"/>
    <w:qFormat/>
    <w:uiPriority w:val="99"/>
    <w:rPr>
      <w:sz w:val="18"/>
      <w:szCs w:val="18"/>
    </w:rPr>
  </w:style>
  <w:style w:type="character" w:customStyle="1" w:styleId="15">
    <w:name w:val="页脚 字符"/>
    <w:basedOn w:val="10"/>
    <w:link w:val="4"/>
    <w:qFormat/>
    <w:uiPriority w:val="99"/>
    <w:rPr>
      <w:sz w:val="18"/>
      <w:szCs w:val="18"/>
    </w:rPr>
  </w:style>
  <w:style w:type="paragraph" w:customStyle="1" w:styleId="16">
    <w:name w:val="BodyText2"/>
    <w:qFormat/>
    <w:uiPriority w:val="0"/>
    <w:pPr>
      <w:widowControl w:val="0"/>
      <w:spacing w:after="120" w:line="480" w:lineRule="auto"/>
      <w:jc w:val="both"/>
      <w:textAlignment w:val="baseline"/>
    </w:pPr>
    <w:rPr>
      <w:rFonts w:ascii="Calibri" w:hAnsi="Calibri" w:eastAsia="宋体" w:cs="Times New Roman"/>
      <w:kern w:val="2"/>
      <w:sz w:val="32"/>
      <w:szCs w:val="32"/>
      <w:lang w:val="en-US" w:eastAsia="zh-CN" w:bidi="ar-SA"/>
    </w:rPr>
  </w:style>
  <w:style w:type="paragraph" w:styleId="17">
    <w:name w:val="List Paragraph"/>
    <w:basedOn w:val="1"/>
    <w:qFormat/>
    <w:uiPriority w:val="34"/>
    <w:pPr>
      <w:ind w:firstLine="420" w:firstLineChars="200"/>
    </w:pPr>
  </w:style>
  <w:style w:type="character" w:customStyle="1" w:styleId="18">
    <w:name w:val="批注框文本 字符"/>
    <w:basedOn w:val="10"/>
    <w:link w:val="3"/>
    <w:semiHidden/>
    <w:qFormat/>
    <w:uiPriority w:val="99"/>
    <w:rPr>
      <w:rFonts w:ascii="Times New Roman" w:hAnsi="Times New Roman" w:eastAsia="宋体" w:cs="Times New Roman"/>
      <w:sz w:val="18"/>
      <w:szCs w:val="18"/>
    </w:rPr>
  </w:style>
  <w:style w:type="character" w:customStyle="1" w:styleId="19">
    <w:name w:val="批注文字 字符"/>
    <w:basedOn w:val="10"/>
    <w:link w:val="2"/>
    <w:semiHidden/>
    <w:qFormat/>
    <w:uiPriority w:val="99"/>
    <w:rPr>
      <w:rFonts w:ascii="Times New Roman" w:hAnsi="Times New Roman" w:eastAsia="宋体" w:cs="Times New Roman"/>
      <w:szCs w:val="24"/>
    </w:rPr>
  </w:style>
  <w:style w:type="character" w:customStyle="1" w:styleId="20">
    <w:name w:val="批注主题 字符"/>
    <w:basedOn w:val="19"/>
    <w:link w:val="7"/>
    <w:semiHidden/>
    <w:qFormat/>
    <w:uiPriority w:val="99"/>
    <w:rPr>
      <w:rFonts w:ascii="Times New Roman" w:hAnsi="Times New Roman" w:eastAsia="宋体" w:cs="Times New Roman"/>
      <w:b/>
      <w:bCs/>
      <w:szCs w:val="24"/>
    </w:rPr>
  </w:style>
  <w:style w:type="character" w:customStyle="1" w:styleId="21">
    <w:name w:val="脚注文本 字符"/>
    <w:basedOn w:val="10"/>
    <w:link w:val="6"/>
    <w:semiHidden/>
    <w:qFormat/>
    <w:uiPriority w:val="99"/>
    <w:rPr>
      <w:rFonts w:ascii="Times New Roman" w:hAnsi="Times New Roman" w:eastAsia="宋体" w:cs="Times New Roman"/>
      <w:kern w:val="2"/>
      <w:sz w:val="18"/>
      <w:szCs w:val="18"/>
    </w:rPr>
  </w:style>
  <w:style w:type="paragraph" w:customStyle="1" w:styleId="22">
    <w:name w:val="标准文件_段"/>
    <w:link w:val="23"/>
    <w:qFormat/>
    <w:uiPriority w:val="0"/>
    <w:pPr>
      <w:autoSpaceDE w:val="0"/>
      <w:autoSpaceDN w:val="0"/>
      <w:ind w:firstLine="200" w:firstLineChars="200"/>
      <w:jc w:val="both"/>
    </w:pPr>
    <w:rPr>
      <w:rFonts w:ascii="宋体" w:hAnsi="Times New Roman" w:eastAsia="宋体" w:cs="Times New Roman"/>
      <w:sz w:val="21"/>
      <w:lang w:val="en-US" w:eastAsia="zh-CN" w:bidi="ar-SA"/>
    </w:rPr>
  </w:style>
  <w:style w:type="character" w:customStyle="1" w:styleId="23">
    <w:name w:val="标准文件_段 Char"/>
    <w:link w:val="22"/>
    <w:qFormat/>
    <w:uiPriority w:val="0"/>
    <w:rPr>
      <w:rFonts w:ascii="宋体" w:hAnsi="Times New Roman" w:eastAsia="宋体" w:cs="Times New Roman"/>
      <w:sz w:val="21"/>
    </w:rPr>
  </w:style>
</w:styles>
</file>

<file path=word/_rels/document.xml.rels><?xml version="1.0" encoding="UTF-8" standalone="yes"?>
<Relationships xmlns="http://schemas.openxmlformats.org/package/2006/relationships"><Relationship Id="rId9" Type="http://schemas.openxmlformats.org/officeDocument/2006/relationships/image" Target="media/image6.png"/><Relationship Id="rId8" Type="http://schemas.openxmlformats.org/officeDocument/2006/relationships/image" Target="media/image5.png"/><Relationship Id="rId7" Type="http://schemas.openxmlformats.org/officeDocument/2006/relationships/image" Target="media/image4.png"/><Relationship Id="rId6" Type="http://schemas.openxmlformats.org/officeDocument/2006/relationships/image" Target="media/image3.png"/><Relationship Id="rId5" Type="http://schemas.openxmlformats.org/officeDocument/2006/relationships/image" Target="media/image2.png"/><Relationship Id="rId4" Type="http://schemas.openxmlformats.org/officeDocument/2006/relationships/image" Target="media/image1.png"/><Relationship Id="rId3" Type="http://schemas.openxmlformats.org/officeDocument/2006/relationships/theme" Target="theme/theme1.xml"/><Relationship Id="rId2" Type="http://schemas.openxmlformats.org/officeDocument/2006/relationships/settings" Target="settings.xml"/><Relationship Id="rId14" Type="http://schemas.openxmlformats.org/officeDocument/2006/relationships/fontTable" Target="fontTable.xml"/><Relationship Id="rId13" Type="http://schemas.openxmlformats.org/officeDocument/2006/relationships/numbering" Target="numbering.xml"/><Relationship Id="rId12" Type="http://schemas.openxmlformats.org/officeDocument/2006/relationships/image" Target="media/image9.png"/><Relationship Id="rId11" Type="http://schemas.openxmlformats.org/officeDocument/2006/relationships/image" Target="media/image8.png"/><Relationship Id="rId10" Type="http://schemas.openxmlformats.org/officeDocument/2006/relationships/image" Target="media/image7.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Template>
  <Pages>25</Pages>
  <Words>7969</Words>
  <Characters>8364</Characters>
  <Lines>83</Lines>
  <Paragraphs>23</Paragraphs>
  <TotalTime>2537</TotalTime>
  <ScaleCrop>false</ScaleCrop>
  <LinksUpToDate>false</LinksUpToDate>
  <CharactersWithSpaces>8380</CharactersWithSpaces>
  <Application>WPS Office_12.1.0.19302_F1E327BC-269C-435d-A152-05C5408002CA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2023-06-02T16:57:00Z</dcterms:created>
  <dc:creator>韦 立先</dc:creator>
  <cp:lastModifiedBy>小娴微醺</cp:lastModifiedBy>
  <dcterms:modified xsi:type="dcterms:W3CDTF">2024-12-30T07:14:12Z</dcterms:modified>
  <cp:revision>58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2052-12.1.0.19302</vt:lpwstr>
  </property>
  <property fmtid="{D5CDD505-2E9C-101B-9397-08002B2CF9AE}" pid="3" name="ICV">
    <vt:lpwstr>F67983FACCE84F919F5AB9AFFF1658C4_12</vt:lpwstr>
  </property>
  <property fmtid="{D5CDD505-2E9C-101B-9397-08002B2CF9AE}" pid="4" name="KSOTemplateDocerSaveRecord">
    <vt:lpwstr>eyJoZGlkIjoiMjlhNmU2ZDdjY2Y3Nzg4YjdmNjA4MWRkODhkZjZiZDUiLCJ1c2VySWQiOiIyMjY5OTc4MTAifQ==</vt:lpwstr>
  </property>
</Properties>
</file>