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81" w:rsidRPr="00177E2F" w:rsidRDefault="001A0448" w:rsidP="00BC47D5">
      <w:pPr>
        <w:jc w:val="center"/>
        <w:rPr>
          <w:rFonts w:ascii="方正小标宋简体" w:eastAsia="方正小标宋简体" w:cs="仿宋_GB2312"/>
          <w:bCs/>
          <w:color w:val="000000"/>
          <w:sz w:val="44"/>
          <w:szCs w:val="32"/>
        </w:rPr>
      </w:pPr>
      <w:r w:rsidRPr="00177E2F">
        <w:rPr>
          <w:rFonts w:ascii="方正小标宋简体" w:eastAsia="方正小标宋简体" w:cs="仿宋_GB2312" w:hint="eastAsia"/>
          <w:bCs/>
          <w:color w:val="000000"/>
          <w:sz w:val="44"/>
          <w:szCs w:val="32"/>
        </w:rPr>
        <w:t>团体标准《儿童青少年非自杀性自伤风险评估规范》</w:t>
      </w:r>
      <w:bookmarkStart w:id="0" w:name="_GoBack"/>
      <w:bookmarkEnd w:id="0"/>
      <w:r w:rsidRPr="00177E2F">
        <w:rPr>
          <w:rFonts w:ascii="方正小标宋简体" w:eastAsia="方正小标宋简体" w:cs="仿宋_GB2312" w:hint="eastAsia"/>
          <w:bCs/>
          <w:color w:val="000000"/>
          <w:sz w:val="44"/>
          <w:szCs w:val="32"/>
        </w:rPr>
        <w:t>（征求意见稿）编制说明</w:t>
      </w:r>
    </w:p>
    <w:p w:rsidR="000E1281" w:rsidRDefault="000E1281">
      <w:pPr>
        <w:ind w:firstLine="378"/>
        <w:jc w:val="center"/>
        <w:rPr>
          <w:rFonts w:ascii="方正小标宋简体" w:eastAsia="方正小标宋简体" w:cs="仿宋_GB2312"/>
          <w:bCs/>
          <w:color w:val="000000"/>
          <w:sz w:val="18"/>
          <w:szCs w:val="18"/>
        </w:rPr>
      </w:pPr>
    </w:p>
    <w:p w:rsidR="000E1281" w:rsidRDefault="001A0448">
      <w:pPr>
        <w:spacing w:line="520" w:lineRule="exact"/>
        <w:rPr>
          <w:rFonts w:ascii="黑体" w:eastAsia="黑体" w:cs="仿宋_GB2312"/>
          <w:bCs/>
          <w:sz w:val="32"/>
          <w:szCs w:val="32"/>
        </w:rPr>
      </w:pPr>
      <w:r>
        <w:rPr>
          <w:rFonts w:ascii="黑体" w:eastAsia="黑体" w:cs="仿宋_GB2312" w:hint="eastAsia"/>
          <w:sz w:val="32"/>
          <w:szCs w:val="32"/>
        </w:rPr>
        <w:t>一、任务来源、起草单位</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根据《广西标准化协会关于下</w:t>
      </w:r>
      <w:r w:rsidRPr="00DF5A10">
        <w:rPr>
          <w:rFonts w:ascii="仿宋_GB2312" w:eastAsia="仿宋_GB2312" w:hint="eastAsia"/>
          <w:sz w:val="32"/>
          <w:szCs w:val="32"/>
        </w:rPr>
        <w:t>达2024</w:t>
      </w:r>
      <w:r w:rsidRPr="003F7823">
        <w:rPr>
          <w:rFonts w:ascii="仿宋_GB2312" w:eastAsia="仿宋_GB2312" w:hint="eastAsia"/>
          <w:color w:val="000000" w:themeColor="text1"/>
          <w:sz w:val="32"/>
          <w:szCs w:val="32"/>
        </w:rPr>
        <w:t>年第</w:t>
      </w:r>
      <w:r w:rsidR="00E0312D" w:rsidRPr="003F7823">
        <w:rPr>
          <w:rFonts w:ascii="仿宋_GB2312" w:eastAsia="仿宋_GB2312" w:hint="eastAsia"/>
          <w:color w:val="000000" w:themeColor="text1"/>
          <w:sz w:val="32"/>
          <w:szCs w:val="32"/>
        </w:rPr>
        <w:t>四十八</w:t>
      </w:r>
      <w:r w:rsidRPr="003F7823">
        <w:rPr>
          <w:rFonts w:ascii="仿宋_GB2312" w:eastAsia="仿宋_GB2312" w:hint="eastAsia"/>
          <w:color w:val="000000" w:themeColor="text1"/>
          <w:sz w:val="32"/>
          <w:szCs w:val="32"/>
        </w:rPr>
        <w:t>批团体标准制修订项目计划的通知》（桂标协〔2024〕</w:t>
      </w:r>
      <w:r w:rsidR="00261A37" w:rsidRPr="003F7823">
        <w:rPr>
          <w:rFonts w:ascii="仿宋_GB2312" w:eastAsia="仿宋_GB2312"/>
          <w:color w:val="000000" w:themeColor="text1"/>
          <w:sz w:val="32"/>
          <w:szCs w:val="32"/>
        </w:rPr>
        <w:t>315</w:t>
      </w:r>
      <w:r w:rsidRPr="003F7823">
        <w:rPr>
          <w:rFonts w:ascii="仿宋_GB2312" w:eastAsia="仿宋_GB2312" w:hint="eastAsia"/>
          <w:color w:val="000000" w:themeColor="text1"/>
          <w:sz w:val="32"/>
          <w:szCs w:val="32"/>
        </w:rPr>
        <w:t>号）文件精神</w:t>
      </w:r>
      <w:r w:rsidRPr="003F7823">
        <w:rPr>
          <w:rFonts w:ascii="仿宋" w:eastAsia="仿宋" w:hAnsi="仿宋" w:hint="eastAsia"/>
          <w:color w:val="000000" w:themeColor="text1"/>
          <w:sz w:val="32"/>
          <w:szCs w:val="32"/>
        </w:rPr>
        <w:t>，</w:t>
      </w:r>
      <w:r w:rsidRPr="003F7823">
        <w:rPr>
          <w:rFonts w:ascii="仿宋_GB2312" w:eastAsia="仿宋_GB2312" w:hint="eastAsia"/>
          <w:color w:val="000000" w:themeColor="text1"/>
          <w:sz w:val="32"/>
          <w:szCs w:val="32"/>
        </w:rPr>
        <w:t>由南宁市第五人民医院提出，南宁市第五人民医院、玉林市退役军人医院(玉林市第四人民医院)、百色市第二人民医院、防城港市精神病医院、钦州市精神病医院、北海市合浦精神病医院等单位共同起草的团体标准《儿童青少年非自杀性自伤风险评估规范》（项目编号：2024-</w:t>
      </w:r>
      <w:r w:rsidR="007A01D0" w:rsidRPr="003F7823">
        <w:rPr>
          <w:rFonts w:ascii="仿宋_GB2312" w:eastAsia="仿宋_GB2312"/>
          <w:color w:val="000000" w:themeColor="text1"/>
          <w:sz w:val="32"/>
          <w:szCs w:val="32"/>
        </w:rPr>
        <w:t>4801</w:t>
      </w:r>
      <w:r w:rsidRPr="003F7823">
        <w:rPr>
          <w:rFonts w:ascii="仿宋_GB2312" w:eastAsia="仿宋_GB2312" w:hint="eastAsia"/>
          <w:color w:val="000000" w:themeColor="text1"/>
          <w:sz w:val="32"/>
          <w:szCs w:val="32"/>
        </w:rPr>
        <w:t>），</w:t>
      </w:r>
      <w:r>
        <w:rPr>
          <w:rFonts w:ascii="仿宋_GB2312" w:eastAsia="仿宋_GB2312" w:hint="eastAsia"/>
          <w:sz w:val="32"/>
          <w:szCs w:val="32"/>
        </w:rPr>
        <w:t>已获立项。</w:t>
      </w:r>
    </w:p>
    <w:p w:rsidR="000E1281" w:rsidRDefault="001A0448">
      <w:pPr>
        <w:spacing w:line="520" w:lineRule="exact"/>
        <w:rPr>
          <w:rFonts w:ascii="黑体" w:eastAsia="黑体" w:cs="仿宋_GB2312"/>
          <w:sz w:val="32"/>
          <w:szCs w:val="32"/>
        </w:rPr>
      </w:pPr>
      <w:r>
        <w:rPr>
          <w:rFonts w:ascii="黑体" w:eastAsia="黑体" w:cs="仿宋_GB2312" w:hint="eastAsia"/>
          <w:sz w:val="32"/>
          <w:szCs w:val="32"/>
        </w:rPr>
        <w:t>二、制定标准的必要性和意义</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非自杀性自伤（NSSI）是指个体在无自杀动机的情况下直接对自身组织的故意伤害，这种行为不被社会所认可，具有反复性、蓄意性、间断性等特点。非自杀性自伤（NSSI）在人群中常首发于青少年早期，中位年龄段为13-14岁。国内1项针对全国青少年非自杀性自伤（NSSI）的流行病学调查（n=15 623）发现其检出率为12.2%。尽管实证研究中报告的非自杀性自伤（NSSI）检出率较高，但最近有研究表明，非自杀性自伤（NSSI）实施者可能向同伴、亲友以及医疗卫生专业人员等隐瞒这种行为。非自杀性自伤（NSSI）不仅对青少年的躯体造成伤害，还严重影响着青少年的心理健康。</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青少年非自杀性自伤越来越成为一个备受关注的公共卫生问题。在《柳叶刀·区域健康（西太平洋）》上发表的研究曾估计，每5名中国儿童青少年中，就有约1名曾实施过非自杀性自伤行为。《自然·精神卫生》也曾发表一项全国性调查显示，到</w:t>
      </w:r>
      <w:r>
        <w:rPr>
          <w:rFonts w:ascii="仿宋_GB2312" w:eastAsia="仿宋_GB2312" w:hint="eastAsia"/>
          <w:sz w:val="32"/>
          <w:szCs w:val="32"/>
        </w:rPr>
        <w:lastRenderedPageBreak/>
        <w:t>我国精神专科医院就医的10-19岁患者中，14.3%伴有临床意义的非自杀性自伤症状。有大量研究表明，非自杀性自伤是自杀未遂和自杀死亡的重要危险因素。有非自杀性自伤的人群在1年内自杀未遂的风险可能升高3-6倍。这种关联在女性、有抑郁症状的患者、边缘人格障碍患者或心境障碍患者中尤其明显。在世界上，约10%的青少年群体既有自杀未遂也有非自杀性自伤行为经历；在我国，据估计约2.8%的青少年同时有这两种经历。这种关联还存在“剂量效应”，即非自杀性自伤的频率超过一定的临界值后会增加未来自杀未遂的可能性。中国学者针对6个城市的2万余名中学生的研究发现，自报12个月内的非自杀性自伤频率和严重程度与中学生自杀意念或自杀未遂的报告率均呈正比：当非自杀性自伤频率是5~10次时，其有自杀意念或自杀未遂的概率相较于非自杀性自伤频率在5次以下的学生增加约4倍；当非自杀性自伤频率达到10次以上时，其有自杀意念或自杀未遂的概率增加约5.5倍。因此，非自杀性自伤和自杀未遂是彼此独立，但又有大量重叠的两类自伤行为。非自杀性自伤代表的是在情绪调控能力和痛苦耐受力不足情况下的非适应性行为。自杀未遂代表的是逃避痛苦和结束生命。非自杀性自伤不是一种轻度的自杀未遂，而是独立于自杀未遂的一种自我伤害行为。但是，我们不能忽视青少年的非自杀性自伤。一个孩子可能某次自伤行为属于非自杀性自伤，另一次自伤行为却属于自杀行为；也有可能个体虽然具有强烈的自杀意念，但是其每次的自伤行为都不是以结束生命为目的。因此，亲友在照护这类青少年时，往往会误判孩子的情况。而专业人士的帮助会降低非自杀性自伤转化为自杀行为的风险。医生和心理治疗师会综合评估患者的既往自伤行为、精神症状表现、家族史、应激事件、支持环境、社会功能等，个体</w:t>
      </w:r>
      <w:r>
        <w:rPr>
          <w:rFonts w:ascii="仿宋_GB2312" w:eastAsia="仿宋_GB2312" w:hint="eastAsia"/>
          <w:sz w:val="32"/>
          <w:szCs w:val="32"/>
        </w:rPr>
        <w:lastRenderedPageBreak/>
        <w:t>化地综合评估其自杀风险。由于非自杀性自伤人群往往共病抑郁障碍（约59.0%）、双相障碍（18.5%）、人格障碍（约10.8%，尤其是边缘型人格障碍）等精神障碍，精神科医生会明确是否有精神障碍诊断，决定是否采取药物治疗。</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同时，非自杀性自伤的治疗还要重视心理干预。在循证的心理治疗方面，辩证行为疗法和认知行为疗法等都能够改善青少年的情绪和非自杀性行为。由于青少年的精神障碍问题、非自杀性自伤问题与既往或者正在经历的童年期创伤关系密切，因此在心理治疗后期，有必要考虑是否应该开展针对创伤经历的心理干预。此外，家庭、学校、社会应该为有非自杀性自伤的青少年提供更多的支持，开展心理健康教育，减少校园欺凌、对精神障碍和自杀的污名化、父母关系矛盾等危险因素。</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经编制组前期调研调查显示，广西区内需要进行非自杀性自伤风险评估及心理干预儿童青少年人群大概占比40.50%，儿童青少年非自杀性自伤的风险评估/心理干预在广西各家精神专科医院（南宁市第五人民医院、广西脑科医院、玉林市第四人民医院、广西医科大学附属第一医院、广西区人民医院、南宁市社会福利医院、梧州市第二人民医院、南宁市第一人民医院、南宁市社会福利医院、桂林市社会福利医院等）均有应用，但评估人员要求、评估方法、评估工具、评估方式尚未达成共识，效果欠理想。</w:t>
      </w:r>
    </w:p>
    <w:p w:rsidR="000E1281" w:rsidRDefault="001A0448">
      <w:pPr>
        <w:spacing w:line="520" w:lineRule="exact"/>
        <w:ind w:firstLineChars="200" w:firstLine="640"/>
      </w:pPr>
      <w:r>
        <w:rPr>
          <w:rFonts w:ascii="仿宋_GB2312" w:eastAsia="仿宋_GB2312" w:hint="eastAsia"/>
          <w:sz w:val="32"/>
          <w:szCs w:val="32"/>
        </w:rPr>
        <w:t>通过制定广西地方标准《儿童青少年非自杀性自伤风险评估规范》，以标准为抓手，统一规范儿童青少年非自杀性自伤风险评估涉及的术语和定义、评估原则、评估人员要求、评估方法、评估内容及要求等要求，用标准化和规范化将更好的指导儿童青少年非自杀性自伤风险评估工作，对促进医疗机构工作职能社会化、精细化、效益化发展，有助于完善医疗机构儿童青少年非自</w:t>
      </w:r>
      <w:r>
        <w:rPr>
          <w:rFonts w:ascii="仿宋_GB2312" w:eastAsia="仿宋_GB2312" w:hint="eastAsia"/>
          <w:sz w:val="32"/>
          <w:szCs w:val="32"/>
        </w:rPr>
        <w:lastRenderedPageBreak/>
        <w:t>杀性自伤风险评估标准化体系，尽快建立统一完善的儿童青少年非自杀性自伤风险评估操作体系，对促进儿童青少年非自杀性自伤风险评估操作专业化具有重要意义。</w:t>
      </w:r>
    </w:p>
    <w:p w:rsidR="000E1281" w:rsidRDefault="001A0448">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t>三、主要起草过程</w:t>
      </w:r>
    </w:p>
    <w:p w:rsidR="000E1281" w:rsidRDefault="001A0448">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（一）成立标准编制工作组</w:t>
      </w:r>
    </w:p>
    <w:p w:rsidR="000E1281" w:rsidRDefault="001A0448">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团体标准《儿童青少年非自杀性自伤风险评估规范》项目任务下达后，南宁市第五人民医院、玉林市退役军人医院（玉林市第四人民医院）、百色市第二人民医院、防城港市精神病医院、钦州市精神病医院、北海市合浦精神病医院等单位成立了标准编制工作组，制定了起草编写方案与进度安排，明确任务职责，确定工作技术路线，开展标准研制工作。具体标准编制工作由起草单位相关人员配合完成。</w:t>
      </w:r>
    </w:p>
    <w:p w:rsidR="000E1281" w:rsidRDefault="001A0448">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为了明确标准编制的任务职责，确定工作技术路线，开展标准研制工作。编制工作组下设三个组，分别是资料收集组、草案编写组、标准实施组。</w:t>
      </w:r>
    </w:p>
    <w:p w:rsidR="000E1281" w:rsidRDefault="001A0448">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资料收集组负责国内外有关儿童青少年非自杀性自伤风险评估相关文献资料的查询、收集和整理工作，查阅前期对儿童青少年非自杀性自伤风险评估的有关研究情况和目前科学界儿童青少年非自杀性自伤风险评估的研究进展；</w:t>
      </w:r>
    </w:p>
    <w:p w:rsidR="000E1281" w:rsidRDefault="001A0448">
      <w:pPr>
        <w:spacing w:line="520" w:lineRule="exact"/>
        <w:ind w:firstLineChars="200" w:firstLine="640"/>
        <w:jc w:val="left"/>
        <w:rPr>
          <w:rFonts w:ascii="仿宋_GB2312" w:eastAsia="仿宋_GB2312"/>
          <w:sz w:val="32"/>
          <w:szCs w:val="32"/>
        </w:rPr>
      </w:pPr>
      <w:r>
        <w:rPr>
          <w:rFonts w:ascii="仿宋_GB2312" w:eastAsia="仿宋_GB2312" w:hint="eastAsia"/>
          <w:sz w:val="32"/>
          <w:szCs w:val="32"/>
        </w:rPr>
        <w:t>草案编写组负责起草标准草案及后续征求意见稿和标准编制说明、送审稿及编制说明等编写工作，包括后期召开征求意见会、网上征求意见，以及标准的不断修改和完善。</w:t>
      </w:r>
    </w:p>
    <w:p w:rsidR="000E1281" w:rsidRDefault="001A0448">
      <w:pPr>
        <w:spacing w:line="520" w:lineRule="exact"/>
        <w:ind w:firstLineChars="200" w:firstLine="640"/>
        <w:jc w:val="left"/>
        <w:rPr>
          <w:rFonts w:ascii="仿宋_GB2312" w:eastAsia="仿宋_GB2312" w:cs="仿宋_GB2312"/>
          <w:sz w:val="28"/>
          <w:szCs w:val="28"/>
        </w:rPr>
      </w:pPr>
      <w:r>
        <w:rPr>
          <w:rFonts w:ascii="仿宋_GB2312" w:eastAsia="仿宋_GB2312" w:hint="eastAsia"/>
          <w:sz w:val="32"/>
          <w:szCs w:val="32"/>
        </w:rPr>
        <w:t>标准实施组负责团体标准《儿童青少年非自杀性自伤风险评估规范》发布后，组织相关医院、事业单位开展标准宣贯培训会，对标准进行详细解读，让相关人员了解标准，并根据标准对儿童青少年非自杀性自伤风险评估进行规范化操作，并对标准实施情</w:t>
      </w:r>
      <w:r>
        <w:rPr>
          <w:rFonts w:ascii="仿宋_GB2312" w:eastAsia="仿宋_GB2312" w:hint="eastAsia"/>
          <w:sz w:val="32"/>
          <w:szCs w:val="32"/>
        </w:rPr>
        <w:lastRenderedPageBreak/>
        <w:t>况进行总结分析，不断对团体标准提出修正意见。</w:t>
      </w:r>
    </w:p>
    <w:p w:rsidR="000E1281" w:rsidRDefault="001A0448">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（二）收集整理文献资料</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标准编制工作组收集了国内有关儿童青少年非自杀性自伤风险评估的相关资料。主要有：</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[1]宋妍,张玲,伍世斌等.伴自伤自杀行为的青少年抑郁症患者负性生活事件发生情况与抑郁水平的关系[J].广西医学,2023,45(01):67-70.</w:t>
      </w:r>
    </w:p>
    <w:p w:rsidR="000E1281" w:rsidRDefault="001A0448">
      <w:pPr>
        <w:spacing w:line="520" w:lineRule="exact"/>
        <w:ind w:firstLineChars="200" w:firstLine="640"/>
      </w:pPr>
      <w:r>
        <w:rPr>
          <w:rFonts w:ascii="仿宋_GB2312" w:eastAsia="仿宋_GB2312" w:hint="eastAsia"/>
          <w:sz w:val="32"/>
          <w:szCs w:val="32"/>
        </w:rPr>
        <w:t>[2]黄淑津,朱晓茜,蒙天等.儿童少年抑郁症住院患者非自杀性自伤回顾性分析[J].大众科技,2022,24(02):97-100.</w:t>
      </w:r>
    </w:p>
    <w:p w:rsidR="000E1281" w:rsidRDefault="001A0448">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（三）研讨确定标准主体内容</w:t>
      </w:r>
    </w:p>
    <w:p w:rsidR="000E1281" w:rsidRDefault="001A0448">
      <w:pPr>
        <w:pStyle w:val="affb"/>
        <w:rPr>
          <w:rFonts w:ascii="仿宋_GB2312" w:eastAsia="仿宋_GB2312" w:hAnsi="Calibri"/>
        </w:rPr>
      </w:pPr>
      <w:r>
        <w:rPr>
          <w:rFonts w:ascii="仿宋_GB2312" w:eastAsia="仿宋_GB2312" w:hAnsi="Calibri" w:hint="eastAsia"/>
        </w:rPr>
        <w:t>标准编制工作组在对收集的资料进行整理研究之后，标准编制工作组召开了标准编制会议，对标准的整体框架结构进行了研究，并对标准的关键性内容进行了初步探讨。经过研究，标准的主体内容为术语和定义、规定了评估原则、评估人员要求、评估流程、评估内容及要求。</w:t>
      </w:r>
    </w:p>
    <w:p w:rsidR="000E1281" w:rsidRDefault="001A0448">
      <w:pPr>
        <w:spacing w:line="520" w:lineRule="exact"/>
        <w:ind w:firstLine="675"/>
        <w:rPr>
          <w:rFonts w:ascii="仿宋" w:eastAsia="仿宋" w:hAnsi="仿宋" w:cs="仿宋_GB2312"/>
          <w:b/>
          <w:sz w:val="32"/>
          <w:szCs w:val="32"/>
        </w:rPr>
      </w:pPr>
      <w:r>
        <w:rPr>
          <w:rFonts w:ascii="仿宋" w:eastAsia="仿宋" w:hAnsi="仿宋" w:cs="仿宋_GB2312" w:hint="eastAsia"/>
          <w:b/>
          <w:sz w:val="32"/>
          <w:szCs w:val="32"/>
        </w:rPr>
        <w:t>（四）立项、调研及形成草案、征求意见稿</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2024年7月～8月，标准编制工作组查阅了大量的国内文献资料，进行了广泛实地调研工作，查阅了大量的国内外文献资料，经编制组反复讨论，对儿童青少年非自杀性自伤风险评估的实践情况进行系统总结，形成了标准的基本构架，对主要内容进行了讨论并对项目的工作进行了部署和安排。</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2024年8月～9月，在前期工作的基础之上，通过理清逻辑脉络，整合已有参考资料中有关儿童青少年非自杀性自伤风险评估的要求，并在目前儿童青少年非自杀性自伤风险评估实际操作的基础上，按照简化、统一等原则编制完成团体标准《儿童青少年非自杀性自伤风险评估规范》（草案）。</w:t>
      </w:r>
    </w:p>
    <w:p w:rsidR="000E1281" w:rsidRDefault="001A0448">
      <w:pPr>
        <w:spacing w:line="520" w:lineRule="exact"/>
        <w:ind w:firstLineChars="200" w:firstLine="640"/>
        <w:rPr>
          <w:rFonts w:ascii="仿宋" w:eastAsia="仿宋" w:hAnsi="仿宋"/>
          <w:sz w:val="32"/>
          <w:szCs w:val="32"/>
        </w:rPr>
      </w:pPr>
      <w:r>
        <w:rPr>
          <w:rFonts w:ascii="仿宋_GB2312" w:eastAsia="仿宋_GB2312" w:hint="eastAsia"/>
          <w:sz w:val="32"/>
          <w:szCs w:val="32"/>
        </w:rPr>
        <w:lastRenderedPageBreak/>
        <w:t>2024年10月～11月，标准编制工作组再次开展讨论会，并实际征多家相关单位的内部意见，通过收集反馈了大量意见，标准编制工作组多次召开会议，对标准草案进行了反复修改和研究讨论，明确儿童青少年非自杀性自伤风险评估的要点，掌握了儿童青少年非自杀性自伤风险评估的基本情况以及内容，最终形成了</w:t>
      </w:r>
      <w:bookmarkStart w:id="1" w:name="_Hlk120181503"/>
      <w:r>
        <w:rPr>
          <w:rFonts w:ascii="仿宋_GB2312" w:eastAsia="仿宋_GB2312" w:hint="eastAsia"/>
          <w:sz w:val="32"/>
          <w:szCs w:val="32"/>
        </w:rPr>
        <w:t>团体标准《儿童青少年非自杀性自伤风险评估规范》（征求意见稿）及其编制说明。</w:t>
      </w:r>
      <w:bookmarkEnd w:id="1"/>
    </w:p>
    <w:p w:rsidR="000E1281" w:rsidRDefault="001A0448">
      <w:pPr>
        <w:autoSpaceDE w:val="0"/>
        <w:autoSpaceDN w:val="0"/>
        <w:adjustRightInd w:val="0"/>
        <w:spacing w:line="520" w:lineRule="exact"/>
        <w:jc w:val="left"/>
        <w:rPr>
          <w:rFonts w:ascii="黑体" w:eastAsia="黑体" w:cs="仿宋_GB2312"/>
          <w:sz w:val="32"/>
          <w:szCs w:val="32"/>
        </w:rPr>
      </w:pPr>
      <w:r>
        <w:rPr>
          <w:rFonts w:ascii="黑体" w:eastAsia="黑体" w:cs="仿宋_GB2312" w:hint="eastAsia"/>
          <w:sz w:val="32"/>
          <w:szCs w:val="32"/>
        </w:rPr>
        <w:t>四、制定标准的原则和依据，与现行法律、法规的关系，与有关国家标准、行业标准的协调情况</w:t>
      </w:r>
    </w:p>
    <w:p w:rsidR="000E1281" w:rsidRDefault="001A0448">
      <w:pPr>
        <w:widowControl/>
        <w:tabs>
          <w:tab w:val="center" w:pos="4201"/>
          <w:tab w:val="right" w:leader="dot" w:pos="9298"/>
        </w:tabs>
        <w:autoSpaceDE w:val="0"/>
        <w:autoSpaceDN w:val="0"/>
        <w:spacing w:line="520" w:lineRule="exact"/>
        <w:ind w:firstLine="675"/>
        <w:outlineLvl w:val="1"/>
        <w:rPr>
          <w:rFonts w:ascii="仿宋" w:eastAsia="仿宋" w:hAnsi="仿宋"/>
          <w:b/>
          <w:bCs/>
          <w:kern w:val="0"/>
          <w:sz w:val="32"/>
          <w:szCs w:val="32"/>
        </w:rPr>
      </w:pPr>
      <w:r>
        <w:rPr>
          <w:rFonts w:ascii="仿宋" w:eastAsia="仿宋" w:hAnsi="仿宋" w:hint="eastAsia"/>
          <w:b/>
          <w:bCs/>
          <w:kern w:val="0"/>
          <w:sz w:val="32"/>
          <w:szCs w:val="32"/>
        </w:rPr>
        <w:t>（一）编制原则</w:t>
      </w:r>
    </w:p>
    <w:p w:rsidR="000E1281" w:rsidRDefault="001A0448">
      <w:pPr>
        <w:spacing w:line="520" w:lineRule="exact"/>
        <w:ind w:firstLineChars="200" w:firstLine="643"/>
        <w:rPr>
          <w:rFonts w:ascii="仿宋" w:eastAsia="仿宋" w:hAnsi="仿宋"/>
          <w:b/>
          <w:sz w:val="32"/>
          <w:szCs w:val="32"/>
        </w:rPr>
      </w:pPr>
      <w:r>
        <w:rPr>
          <w:rFonts w:ascii="仿宋" w:eastAsia="仿宋" w:hAnsi="仿宋" w:hint="eastAsia"/>
          <w:b/>
          <w:sz w:val="32"/>
          <w:szCs w:val="32"/>
        </w:rPr>
        <w:t>1、实用性原则</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是在充分收集国内外相关资料和文献、调研分析儿童青少年非自杀性自伤风险评估现状，结合起草单位前期研究工作取得的研究成果及积累的实践经验，并借鉴国内儿童青少年非自杀性自伤风险评估进行总结起草的，符合工作实际，有利于儿童青少年非自杀性自伤风险评估的实施与推广，具有可操作性和实用性。</w:t>
      </w:r>
    </w:p>
    <w:p w:rsidR="000E1281" w:rsidRDefault="001A0448">
      <w:pPr>
        <w:spacing w:line="520" w:lineRule="exact"/>
        <w:ind w:firstLineChars="200" w:firstLine="643"/>
        <w:rPr>
          <w:rFonts w:ascii="仿宋" w:eastAsia="仿宋" w:hAnsi="仿宋"/>
          <w:b/>
          <w:sz w:val="32"/>
          <w:szCs w:val="32"/>
        </w:rPr>
      </w:pPr>
      <w:r>
        <w:rPr>
          <w:rFonts w:ascii="仿宋" w:eastAsia="仿宋" w:hAnsi="仿宋" w:hint="eastAsia"/>
          <w:b/>
          <w:sz w:val="32"/>
          <w:szCs w:val="32"/>
        </w:rPr>
        <w:t>2、协调性原则</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本文件编写过程中注意了与儿童青少年非自杀性自伤风险评估相关法律法规的协调问题，在内容上与现行法律法规、标准协调一致。</w:t>
      </w:r>
    </w:p>
    <w:p w:rsidR="000E1281" w:rsidRDefault="001A0448">
      <w:pPr>
        <w:spacing w:line="520" w:lineRule="exact"/>
        <w:ind w:firstLineChars="200" w:firstLine="643"/>
        <w:rPr>
          <w:rFonts w:ascii="仿宋" w:eastAsia="仿宋" w:hAnsi="仿宋"/>
          <w:b/>
          <w:sz w:val="32"/>
          <w:szCs w:val="32"/>
        </w:rPr>
      </w:pPr>
      <w:r>
        <w:rPr>
          <w:rFonts w:ascii="仿宋" w:eastAsia="仿宋" w:hAnsi="仿宋" w:hint="eastAsia"/>
          <w:b/>
          <w:sz w:val="32"/>
          <w:szCs w:val="32"/>
        </w:rPr>
        <w:t>3、规范性原则</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本文件严格按照GB/T 1.1—2020《标准化工作规范  第1部分：标准化文件的结构和起草规则》编写本标准的内容，保证标准的编写质量。</w:t>
      </w:r>
    </w:p>
    <w:p w:rsidR="000E1281" w:rsidRDefault="001A0448">
      <w:pPr>
        <w:spacing w:line="520" w:lineRule="exact"/>
        <w:ind w:firstLineChars="200" w:firstLine="643"/>
        <w:rPr>
          <w:rFonts w:ascii="仿宋" w:eastAsia="仿宋" w:hAnsi="仿宋"/>
          <w:b/>
          <w:sz w:val="32"/>
          <w:szCs w:val="32"/>
        </w:rPr>
      </w:pPr>
      <w:r>
        <w:rPr>
          <w:rFonts w:ascii="仿宋" w:eastAsia="仿宋" w:hAnsi="仿宋" w:hint="eastAsia"/>
          <w:b/>
          <w:sz w:val="32"/>
          <w:szCs w:val="32"/>
        </w:rPr>
        <w:t>4、前瞻性原则</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本文件在兼顾当前区内儿童青少年非自杀性自伤风险评估现实情况的同时，还考虑到了儿童青少年非自杀性自伤风险评估的需要，在标准中体现了个别特色性、前瞻性和先进性条款，作为对儿童青少年非自杀性自伤风险评估的指导。</w:t>
      </w:r>
    </w:p>
    <w:p w:rsidR="000E1281" w:rsidRDefault="001A0448">
      <w:pPr>
        <w:spacing w:line="520" w:lineRule="exact"/>
        <w:ind w:firstLine="675"/>
        <w:rPr>
          <w:rFonts w:ascii="仿宋" w:eastAsia="仿宋" w:hAnsi="仿宋"/>
          <w:b/>
          <w:bCs/>
          <w:sz w:val="32"/>
          <w:szCs w:val="32"/>
        </w:rPr>
      </w:pPr>
      <w:r>
        <w:rPr>
          <w:rFonts w:ascii="仿宋" w:eastAsia="仿宋" w:hAnsi="仿宋" w:hint="eastAsia"/>
          <w:b/>
          <w:bCs/>
          <w:sz w:val="32"/>
          <w:szCs w:val="32"/>
        </w:rPr>
        <w:t>（二）编制依据</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本标准严格按照GB/T 1.1—2020《标准化工作规范  第1部分：标准化文件的结构和起草规则》的规则起草，标准主要内容依据起草单位在儿童青少年非自杀性自伤风险评估过程中的实践经验确定。</w:t>
      </w:r>
    </w:p>
    <w:p w:rsidR="000E1281" w:rsidRDefault="001A0448">
      <w:pPr>
        <w:spacing w:line="520" w:lineRule="exact"/>
        <w:ind w:firstLine="675"/>
        <w:rPr>
          <w:rFonts w:ascii="仿宋" w:eastAsia="仿宋" w:hAnsi="仿宋"/>
          <w:b/>
          <w:bCs/>
          <w:sz w:val="32"/>
          <w:szCs w:val="32"/>
        </w:rPr>
      </w:pPr>
      <w:r>
        <w:rPr>
          <w:rFonts w:ascii="仿宋" w:eastAsia="仿宋" w:hAnsi="仿宋" w:hint="eastAsia"/>
          <w:b/>
          <w:bCs/>
          <w:sz w:val="32"/>
          <w:szCs w:val="32"/>
        </w:rPr>
        <w:t>（三）与现行法律、法规的关系，与有关国家标准、行业标准的协调情况</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本标准与相关法律法规、强制性标准协调一致，无冲突。</w:t>
      </w:r>
    </w:p>
    <w:p w:rsidR="000E1281" w:rsidRDefault="001A0448">
      <w:pPr>
        <w:spacing w:line="520" w:lineRule="exact"/>
        <w:ind w:firstLineChars="200" w:firstLine="640"/>
        <w:rPr>
          <w:rFonts w:ascii="仿宋" w:eastAsia="仿宋_GB2312" w:hAnsi="仿宋"/>
          <w:sz w:val="32"/>
          <w:szCs w:val="32"/>
        </w:rPr>
      </w:pPr>
      <w:r>
        <w:rPr>
          <w:rFonts w:ascii="仿宋_GB2312" w:eastAsia="仿宋_GB2312" w:hint="eastAsia"/>
          <w:sz w:val="32"/>
          <w:szCs w:val="32"/>
        </w:rPr>
        <w:t>经查阅，截至目前，国内暂无与“儿童青少年非自杀性自伤风险评估”“儿童青少年非自杀性自伤”“非自杀性自伤风险评估”“非自杀性自伤”相关的国家标准、行业标准、地方标准及团体标准。广西和其他省均没有这方面的地标，属于标准空白。</w:t>
      </w:r>
    </w:p>
    <w:p w:rsidR="000E1281" w:rsidRDefault="001A0448">
      <w:pPr>
        <w:spacing w:before="156" w:after="156" w:line="520" w:lineRule="exact"/>
        <w:jc w:val="left"/>
        <w:outlineLvl w:val="0"/>
        <w:rPr>
          <w:rFonts w:ascii="黑体" w:eastAsia="黑体"/>
          <w:bCs/>
          <w:sz w:val="32"/>
          <w:szCs w:val="32"/>
        </w:rPr>
      </w:pPr>
      <w:r>
        <w:rPr>
          <w:rFonts w:ascii="黑体" w:eastAsia="黑体" w:hint="eastAsia"/>
          <w:bCs/>
          <w:sz w:val="32"/>
          <w:szCs w:val="32"/>
        </w:rPr>
        <w:t>五、主要条款的说明</w:t>
      </w:r>
    </w:p>
    <w:p w:rsidR="007064A8" w:rsidRDefault="007064A8">
      <w:pPr>
        <w:spacing w:line="520" w:lineRule="exact"/>
        <w:ind w:firstLineChars="200" w:firstLine="640"/>
        <w:rPr>
          <w:rFonts w:ascii="仿宋_GB2312" w:eastAsia="仿宋_GB2312"/>
          <w:sz w:val="32"/>
          <w:szCs w:val="32"/>
        </w:rPr>
      </w:pPr>
      <w:r w:rsidRPr="007064A8">
        <w:rPr>
          <w:rFonts w:ascii="仿宋_GB2312" w:eastAsia="仿宋_GB2312" w:hint="eastAsia"/>
          <w:sz w:val="32"/>
          <w:szCs w:val="32"/>
        </w:rPr>
        <w:t>团体标准《儿童青少年非自杀性自伤风险评估规范》</w:t>
      </w:r>
      <w:r>
        <w:rPr>
          <w:rFonts w:ascii="仿宋_GB2312" w:eastAsia="仿宋_GB2312" w:hint="eastAsia"/>
          <w:sz w:val="32"/>
          <w:szCs w:val="32"/>
        </w:rPr>
        <w:t>的</w:t>
      </w:r>
      <w:r>
        <w:rPr>
          <w:rFonts w:ascii="仿宋_GB2312" w:eastAsia="仿宋_GB2312"/>
          <w:sz w:val="32"/>
          <w:szCs w:val="32"/>
        </w:rPr>
        <w:t>核心点在于：</w:t>
      </w:r>
      <w:r w:rsidRPr="007064A8">
        <w:rPr>
          <w:rFonts w:ascii="仿宋_GB2312" w:eastAsia="仿宋_GB2312" w:hint="eastAsia"/>
          <w:sz w:val="32"/>
          <w:szCs w:val="32"/>
        </w:rPr>
        <w:t>明确进行儿童青少年非自杀性自伤风险评估必备的</w:t>
      </w:r>
      <w:r>
        <w:rPr>
          <w:rFonts w:ascii="仿宋_GB2312" w:eastAsia="仿宋_GB2312" w:hint="eastAsia"/>
          <w:sz w:val="32"/>
          <w:szCs w:val="32"/>
        </w:rPr>
        <w:t>要求</w:t>
      </w:r>
      <w:r w:rsidRPr="007064A8">
        <w:rPr>
          <w:rFonts w:ascii="仿宋_GB2312" w:eastAsia="仿宋_GB2312" w:hint="eastAsia"/>
          <w:sz w:val="32"/>
          <w:szCs w:val="32"/>
        </w:rPr>
        <w:t>，</w:t>
      </w:r>
      <w:r>
        <w:rPr>
          <w:rFonts w:ascii="仿宋_GB2312" w:eastAsia="仿宋_GB2312" w:hint="eastAsia"/>
          <w:sz w:val="32"/>
          <w:szCs w:val="32"/>
        </w:rPr>
        <w:t>包括</w:t>
      </w:r>
      <w:r>
        <w:rPr>
          <w:rFonts w:ascii="仿宋_GB2312" w:eastAsia="仿宋_GB2312"/>
          <w:sz w:val="32"/>
          <w:szCs w:val="32"/>
        </w:rPr>
        <w:t>评估</w:t>
      </w:r>
      <w:r>
        <w:rPr>
          <w:rFonts w:ascii="仿宋_GB2312" w:eastAsia="仿宋_GB2312" w:hint="eastAsia"/>
          <w:sz w:val="32"/>
          <w:szCs w:val="32"/>
        </w:rPr>
        <w:t>原则</w:t>
      </w:r>
      <w:r>
        <w:rPr>
          <w:rFonts w:ascii="仿宋_GB2312" w:eastAsia="仿宋_GB2312"/>
          <w:sz w:val="32"/>
          <w:szCs w:val="32"/>
        </w:rPr>
        <w:t>、</w:t>
      </w:r>
      <w:r>
        <w:rPr>
          <w:rFonts w:ascii="仿宋_GB2312" w:eastAsia="仿宋_GB2312" w:hint="eastAsia"/>
          <w:sz w:val="32"/>
          <w:szCs w:val="32"/>
        </w:rPr>
        <w:t>评估</w:t>
      </w:r>
      <w:r>
        <w:rPr>
          <w:rFonts w:ascii="仿宋_GB2312" w:eastAsia="仿宋_GB2312"/>
          <w:sz w:val="32"/>
          <w:szCs w:val="32"/>
        </w:rPr>
        <w:t>人员要求</w:t>
      </w:r>
      <w:r>
        <w:rPr>
          <w:rFonts w:ascii="仿宋_GB2312" w:eastAsia="仿宋_GB2312" w:hint="eastAsia"/>
          <w:sz w:val="32"/>
          <w:szCs w:val="32"/>
        </w:rPr>
        <w:t>、</w:t>
      </w:r>
      <w:r>
        <w:rPr>
          <w:rFonts w:ascii="仿宋_GB2312" w:eastAsia="仿宋_GB2312"/>
          <w:sz w:val="32"/>
          <w:szCs w:val="32"/>
        </w:rPr>
        <w:t>评估</w:t>
      </w:r>
      <w:r>
        <w:rPr>
          <w:rFonts w:ascii="仿宋_GB2312" w:eastAsia="仿宋_GB2312" w:hint="eastAsia"/>
          <w:sz w:val="32"/>
          <w:szCs w:val="32"/>
        </w:rPr>
        <w:t>流程，</w:t>
      </w:r>
      <w:r w:rsidRPr="007064A8">
        <w:rPr>
          <w:rFonts w:ascii="仿宋_GB2312" w:eastAsia="仿宋_GB2312" w:hint="eastAsia"/>
          <w:sz w:val="32"/>
          <w:szCs w:val="32"/>
        </w:rPr>
        <w:t>一目了然地指导接下来的评估工作以及内容要求。评估主要通过测验、访谈、观察等方法，对儿童青少年的心理状况进行评估。</w:t>
      </w:r>
      <w:r>
        <w:rPr>
          <w:rFonts w:ascii="仿宋_GB2312" w:eastAsia="仿宋_GB2312" w:hint="eastAsia"/>
          <w:sz w:val="32"/>
          <w:szCs w:val="32"/>
        </w:rPr>
        <w:t>本标准能够提供</w:t>
      </w:r>
      <w:r>
        <w:rPr>
          <w:rFonts w:ascii="仿宋_GB2312" w:eastAsia="仿宋_GB2312"/>
          <w:sz w:val="32"/>
          <w:szCs w:val="32"/>
        </w:rPr>
        <w:t>规范的</w:t>
      </w:r>
      <w:r>
        <w:rPr>
          <w:rFonts w:ascii="仿宋_GB2312" w:eastAsia="仿宋_GB2312" w:hint="eastAsia"/>
          <w:sz w:val="32"/>
          <w:szCs w:val="32"/>
        </w:rPr>
        <w:t>儿童青少年</w:t>
      </w:r>
      <w:r>
        <w:rPr>
          <w:rFonts w:ascii="仿宋_GB2312" w:eastAsia="仿宋_GB2312"/>
          <w:sz w:val="32"/>
          <w:szCs w:val="32"/>
        </w:rPr>
        <w:t>自杀性自杀风险</w:t>
      </w:r>
      <w:r w:rsidRPr="007064A8">
        <w:rPr>
          <w:rFonts w:ascii="仿宋_GB2312" w:eastAsia="仿宋_GB2312" w:hint="eastAsia"/>
          <w:sz w:val="32"/>
          <w:szCs w:val="32"/>
        </w:rPr>
        <w:t>评估方法，避免个人主观操作，以规范评估过程涉及的所有环节，让评估过程以及结果更客观</w:t>
      </w:r>
      <w:r>
        <w:rPr>
          <w:rFonts w:ascii="仿宋_GB2312" w:eastAsia="仿宋_GB2312" w:hint="eastAsia"/>
          <w:sz w:val="32"/>
          <w:szCs w:val="32"/>
        </w:rPr>
        <w:t>。</w:t>
      </w:r>
    </w:p>
    <w:p w:rsidR="000E1281" w:rsidRDefault="001A0448">
      <w:pPr>
        <w:spacing w:line="520" w:lineRule="exact"/>
        <w:ind w:firstLineChars="146" w:firstLine="469"/>
        <w:rPr>
          <w:rFonts w:ascii="仿宋" w:eastAsia="仿宋" w:hAnsi="仿宋"/>
          <w:b/>
          <w:sz w:val="32"/>
          <w:szCs w:val="32"/>
        </w:rPr>
      </w:pPr>
      <w:r>
        <w:rPr>
          <w:rFonts w:ascii="仿宋" w:eastAsia="仿宋" w:hAnsi="仿宋" w:hint="eastAsia"/>
          <w:b/>
          <w:sz w:val="32"/>
          <w:szCs w:val="32"/>
        </w:rPr>
        <w:t>（一）术语和定义</w:t>
      </w:r>
    </w:p>
    <w:p w:rsidR="000E1281" w:rsidRDefault="009805BC" w:rsidP="009805BC">
      <w:pPr>
        <w:spacing w:line="520" w:lineRule="exact"/>
        <w:ind w:firstLineChars="200" w:firstLine="640"/>
        <w:rPr>
          <w:rFonts w:ascii="仿宋_GB2312" w:eastAsia="仿宋_GB2312"/>
          <w:sz w:val="32"/>
          <w:szCs w:val="32"/>
        </w:rPr>
      </w:pPr>
      <w:r w:rsidRPr="009805BC">
        <w:rPr>
          <w:rFonts w:ascii="仿宋_GB2312" w:eastAsia="仿宋_GB2312" w:hint="eastAsia"/>
          <w:sz w:val="32"/>
          <w:szCs w:val="32"/>
        </w:rPr>
        <w:t>非自杀性自伤</w:t>
      </w:r>
      <w:r>
        <w:rPr>
          <w:rFonts w:ascii="仿宋_GB2312" w:eastAsia="仿宋_GB2312" w:hint="eastAsia"/>
          <w:sz w:val="32"/>
          <w:szCs w:val="32"/>
        </w:rPr>
        <w:t>（</w:t>
      </w:r>
      <w:r w:rsidRPr="009805BC">
        <w:rPr>
          <w:rFonts w:ascii="仿宋_GB2312" w:eastAsia="仿宋_GB2312" w:hint="eastAsia"/>
          <w:sz w:val="32"/>
          <w:szCs w:val="32"/>
        </w:rPr>
        <w:t>nonsuicidal selfinjury，NSSI</w:t>
      </w:r>
      <w:r>
        <w:rPr>
          <w:rFonts w:ascii="仿宋_GB2312" w:eastAsia="仿宋_GB2312" w:hint="eastAsia"/>
          <w:sz w:val="32"/>
          <w:szCs w:val="32"/>
        </w:rPr>
        <w:t>）</w:t>
      </w:r>
      <w:r w:rsidRPr="009805BC">
        <w:rPr>
          <w:rFonts w:ascii="仿宋_GB2312" w:eastAsia="仿宋_GB2312" w:hint="eastAsia"/>
          <w:sz w:val="32"/>
          <w:szCs w:val="32"/>
        </w:rPr>
        <w:t>是指没有</w:t>
      </w:r>
      <w:r w:rsidRPr="009805BC">
        <w:rPr>
          <w:rFonts w:ascii="仿宋_GB2312" w:eastAsia="仿宋_GB2312" w:hint="eastAsia"/>
          <w:sz w:val="32"/>
          <w:szCs w:val="32"/>
        </w:rPr>
        <w:lastRenderedPageBreak/>
        <w:t>自杀意图的直接和故意的身体伤害，是一系列反复、故意、直接地伤害自己身体，且不会导致死亡的行为</w:t>
      </w:r>
      <w:r>
        <w:rPr>
          <w:rFonts w:ascii="仿宋_GB2312" w:eastAsia="仿宋_GB2312" w:hint="eastAsia"/>
          <w:sz w:val="32"/>
          <w:szCs w:val="32"/>
        </w:rPr>
        <w:t>，</w:t>
      </w:r>
      <w:r w:rsidRPr="009805BC">
        <w:rPr>
          <w:rFonts w:ascii="仿宋_GB2312" w:eastAsia="仿宋_GB2312" w:hint="eastAsia"/>
          <w:sz w:val="32"/>
          <w:szCs w:val="32"/>
        </w:rPr>
        <w:t>最常见始于10岁早期且持续多年</w:t>
      </w:r>
      <w:r>
        <w:rPr>
          <w:rFonts w:ascii="仿宋_GB2312" w:eastAsia="仿宋_GB2312" w:hint="eastAsia"/>
          <w:sz w:val="32"/>
          <w:szCs w:val="32"/>
        </w:rPr>
        <w:t>，</w:t>
      </w:r>
      <w:r w:rsidRPr="009805BC">
        <w:rPr>
          <w:rFonts w:ascii="仿宋_GB2312" w:eastAsia="仿宋_GB2312" w:hint="eastAsia"/>
          <w:sz w:val="32"/>
          <w:szCs w:val="32"/>
        </w:rPr>
        <w:t>常见的方式有用刀片、削眉刀、针、笔尖、指甲、指甲钳或</w:t>
      </w:r>
      <w:r>
        <w:rPr>
          <w:rFonts w:ascii="仿宋_GB2312" w:eastAsia="仿宋_GB2312" w:hint="eastAsia"/>
          <w:sz w:val="32"/>
          <w:szCs w:val="32"/>
        </w:rPr>
        <w:t>其他锋利物品划伤、刺伤手臂、大腿等身体多处皮肤</w:t>
      </w:r>
      <w:r w:rsidR="001A0448">
        <w:rPr>
          <w:rFonts w:ascii="仿宋_GB2312" w:eastAsia="仿宋_GB2312" w:hint="eastAsia"/>
          <w:sz w:val="32"/>
          <w:szCs w:val="32"/>
        </w:rPr>
        <w:t>。</w:t>
      </w:r>
      <w:r w:rsidR="00696781" w:rsidRPr="00696781">
        <w:rPr>
          <w:rFonts w:ascii="仿宋_GB2312" w:eastAsia="仿宋_GB2312" w:hint="eastAsia"/>
          <w:sz w:val="32"/>
          <w:szCs w:val="32"/>
        </w:rPr>
        <w:t>研究表明，NSSI在青少年群体中的发生率较高。</w:t>
      </w:r>
    </w:p>
    <w:p w:rsidR="000E1281" w:rsidRDefault="001A0448">
      <w:pPr>
        <w:autoSpaceDE w:val="0"/>
        <w:autoSpaceDN w:val="0"/>
        <w:adjustRightInd w:val="0"/>
        <w:spacing w:beforeLines="50" w:before="120" w:afterLines="50" w:after="120" w:line="560" w:lineRule="exact"/>
        <w:ind w:firstLineChars="98" w:firstLine="315"/>
        <w:jc w:val="left"/>
        <w:rPr>
          <w:rFonts w:ascii="仿宋" w:eastAsia="仿宋" w:hAnsi="仿宋"/>
          <w:b/>
          <w:sz w:val="32"/>
          <w:szCs w:val="32"/>
          <w:lang w:val="zh-CN"/>
        </w:rPr>
      </w:pPr>
      <w:r>
        <w:rPr>
          <w:rFonts w:ascii="仿宋" w:eastAsia="仿宋" w:hAnsi="仿宋" w:hint="eastAsia"/>
          <w:b/>
          <w:sz w:val="32"/>
          <w:szCs w:val="32"/>
          <w:lang w:val="zh-CN"/>
        </w:rPr>
        <w:t>（二）评估原则</w:t>
      </w:r>
    </w:p>
    <w:p w:rsidR="00925C07" w:rsidRDefault="00925C07">
      <w:pPr>
        <w:pStyle w:val="BodyText2"/>
        <w:spacing w:line="560" w:lineRule="exact"/>
        <w:ind w:firstLineChars="250" w:firstLine="800"/>
        <w:rPr>
          <w:rFonts w:ascii="仿宋_GB2312" w:eastAsia="仿宋_GB2312" w:cs="Calibri"/>
        </w:rPr>
      </w:pPr>
      <w:r>
        <w:rPr>
          <w:rFonts w:ascii="仿宋_GB2312" w:eastAsia="仿宋_GB2312" w:cs="Calibri" w:hint="eastAsia"/>
        </w:rPr>
        <w:t>1.保密</w:t>
      </w:r>
      <w:r>
        <w:rPr>
          <w:rFonts w:ascii="仿宋_GB2312" w:eastAsia="仿宋_GB2312" w:cs="Calibri"/>
        </w:rPr>
        <w:t>原则</w:t>
      </w:r>
    </w:p>
    <w:p w:rsidR="00925C07" w:rsidRDefault="00925C07">
      <w:pPr>
        <w:pStyle w:val="BodyText2"/>
        <w:spacing w:line="560" w:lineRule="exact"/>
        <w:ind w:firstLineChars="250" w:firstLine="800"/>
        <w:rPr>
          <w:rFonts w:ascii="仿宋_GB2312" w:eastAsia="仿宋_GB2312" w:cs="Calibri"/>
        </w:rPr>
      </w:pPr>
      <w:r w:rsidRPr="00925C07">
        <w:rPr>
          <w:rFonts w:ascii="仿宋_GB2312" w:eastAsia="仿宋_GB2312" w:cs="Calibri" w:hint="eastAsia"/>
        </w:rPr>
        <w:t>遵循保密原则可以增强来访者对咨询师的信任。在心理咨询过程中，保密是基本的原则，它确保了来访者能够在一个安全的环境中分享自己的感受和经历，这对于有效的咨询是至关重要的。</w:t>
      </w:r>
      <w:r w:rsidRPr="00925C07">
        <w:rPr>
          <w:rFonts w:ascii="仿宋_GB2312" w:eastAsia="仿宋_GB2312" w:cs="Calibri"/>
        </w:rPr>
        <w:t>在评估非自杀性自伤风险时，保密原则使得来访者更愿意开放地讨论自伤行为和相关的情绪问题。这种披露是评估和干预的前提，有助于专业人士更准确地了解个体的风险评估，并制定相应的干预措施</w:t>
      </w:r>
      <w:r>
        <w:rPr>
          <w:rFonts w:ascii="仿宋_GB2312" w:eastAsia="仿宋_GB2312" w:cs="Calibri" w:hint="eastAsia"/>
        </w:rPr>
        <w:t>。</w:t>
      </w:r>
    </w:p>
    <w:p w:rsidR="00925C07" w:rsidRDefault="00925C07">
      <w:pPr>
        <w:pStyle w:val="BodyText2"/>
        <w:spacing w:line="560" w:lineRule="exact"/>
        <w:ind w:firstLineChars="250" w:firstLine="800"/>
        <w:rPr>
          <w:rFonts w:ascii="仿宋_GB2312" w:eastAsia="仿宋_GB2312" w:cs="Calibri"/>
        </w:rPr>
      </w:pPr>
      <w:r>
        <w:rPr>
          <w:rFonts w:ascii="仿宋_GB2312" w:eastAsia="仿宋_GB2312" w:cs="Calibri" w:hint="eastAsia"/>
        </w:rPr>
        <w:t>2.全面性</w:t>
      </w:r>
      <w:r>
        <w:rPr>
          <w:rFonts w:ascii="仿宋_GB2312" w:eastAsia="仿宋_GB2312" w:cs="Calibri"/>
        </w:rPr>
        <w:t>原则</w:t>
      </w:r>
    </w:p>
    <w:p w:rsidR="00925C07" w:rsidRDefault="00925C07">
      <w:pPr>
        <w:pStyle w:val="BodyText2"/>
        <w:spacing w:line="560" w:lineRule="exact"/>
        <w:ind w:firstLineChars="250" w:firstLine="800"/>
        <w:rPr>
          <w:rFonts w:ascii="仿宋_GB2312" w:eastAsia="仿宋_GB2312" w:cs="Calibri"/>
        </w:rPr>
      </w:pPr>
      <w:r w:rsidRPr="00925C07">
        <w:rPr>
          <w:rFonts w:ascii="仿宋_GB2312" w:eastAsia="仿宋_GB2312" w:cs="Calibri" w:hint="eastAsia"/>
        </w:rPr>
        <w:t>NSSI的发生不仅受到个体内部因素（如生物、心理、遗传因素）的影响，还受到外部环境（如家庭、学校、社会因素）的影响。全面评估需要考虑这些因素的相互作用。NSSI的风险存在个体差异，且具有一定的波动性。全面评估有助于识别和管理高风险个体，预防复发和提高干预的有效性。</w:t>
      </w:r>
    </w:p>
    <w:p w:rsidR="00925C07" w:rsidRDefault="00925C07">
      <w:pPr>
        <w:pStyle w:val="BodyText2"/>
        <w:spacing w:line="560" w:lineRule="exact"/>
        <w:ind w:firstLineChars="250" w:firstLine="800"/>
        <w:rPr>
          <w:rFonts w:ascii="仿宋_GB2312" w:eastAsia="仿宋_GB2312" w:cs="Calibri"/>
        </w:rPr>
      </w:pPr>
      <w:r>
        <w:rPr>
          <w:rFonts w:ascii="仿宋_GB2312" w:eastAsia="仿宋_GB2312" w:cs="Calibri" w:hint="eastAsia"/>
        </w:rPr>
        <w:t>3.客观性</w:t>
      </w:r>
      <w:r>
        <w:rPr>
          <w:rFonts w:ascii="仿宋_GB2312" w:eastAsia="仿宋_GB2312" w:cs="Calibri"/>
        </w:rPr>
        <w:t>原则</w:t>
      </w:r>
    </w:p>
    <w:p w:rsidR="00925C07" w:rsidRDefault="00925C07">
      <w:pPr>
        <w:pStyle w:val="BodyText2"/>
        <w:spacing w:line="560" w:lineRule="exact"/>
        <w:ind w:firstLineChars="250" w:firstLine="800"/>
        <w:rPr>
          <w:rFonts w:ascii="仿宋_GB2312" w:eastAsia="仿宋_GB2312" w:cs="Calibri"/>
        </w:rPr>
      </w:pPr>
      <w:r w:rsidRPr="00925C07">
        <w:rPr>
          <w:rFonts w:ascii="仿宋_GB2312" w:eastAsia="仿宋_GB2312" w:cs="Calibri" w:hint="eastAsia"/>
        </w:rPr>
        <w:t>遵循客观性原则有助于确保评估的准确性和科学性，避免主观偏见对评估结果的影响</w:t>
      </w:r>
      <w:r>
        <w:rPr>
          <w:rFonts w:ascii="仿宋_GB2312" w:eastAsia="仿宋_GB2312" w:cs="Calibri" w:hint="eastAsia"/>
        </w:rPr>
        <w:t>。</w:t>
      </w:r>
      <w:r w:rsidRPr="00925C07">
        <w:rPr>
          <w:rFonts w:ascii="仿宋_GB2312" w:eastAsia="仿宋_GB2312" w:cs="Calibri"/>
        </w:rPr>
        <w:t>客观性原则要求评估者在进行风险</w:t>
      </w:r>
      <w:r w:rsidRPr="00925C07">
        <w:rPr>
          <w:rFonts w:ascii="仿宋_GB2312" w:eastAsia="仿宋_GB2312" w:cs="Calibri"/>
        </w:rPr>
        <w:lastRenderedPageBreak/>
        <w:t>评估时，基于事实和数据作出判断，而不是基于个人情感或先入为主的观点。这有助于减少误判，确保评估结果能真实反映儿童青少年的实际情况。</w:t>
      </w:r>
    </w:p>
    <w:p w:rsidR="00925C07" w:rsidRDefault="00925C07">
      <w:pPr>
        <w:pStyle w:val="BodyText2"/>
        <w:spacing w:line="560" w:lineRule="exact"/>
        <w:ind w:firstLineChars="250" w:firstLine="800"/>
        <w:rPr>
          <w:rFonts w:ascii="仿宋_GB2312" w:eastAsia="仿宋_GB2312" w:cs="Calibri"/>
        </w:rPr>
      </w:pPr>
      <w:r>
        <w:rPr>
          <w:rFonts w:ascii="仿宋_GB2312" w:eastAsia="仿宋_GB2312" w:cs="Calibri" w:hint="eastAsia"/>
        </w:rPr>
        <w:t>4.个性化</w:t>
      </w:r>
      <w:r>
        <w:rPr>
          <w:rFonts w:ascii="仿宋_GB2312" w:eastAsia="仿宋_GB2312" w:cs="Calibri"/>
        </w:rPr>
        <w:t>原则</w:t>
      </w:r>
    </w:p>
    <w:p w:rsidR="00EC0C78" w:rsidRPr="00925C07" w:rsidRDefault="00EC0C78">
      <w:pPr>
        <w:pStyle w:val="BodyText2"/>
        <w:spacing w:line="560" w:lineRule="exact"/>
        <w:ind w:firstLineChars="250" w:firstLine="800"/>
        <w:rPr>
          <w:rFonts w:ascii="仿宋_GB2312" w:eastAsia="仿宋_GB2312" w:cs="Calibri"/>
        </w:rPr>
      </w:pPr>
      <w:r w:rsidRPr="00EC0C78">
        <w:rPr>
          <w:rFonts w:ascii="仿宋_GB2312" w:eastAsia="仿宋_GB2312" w:cs="Calibri" w:hint="eastAsia"/>
        </w:rPr>
        <w:t>儿童青少年非自杀性自伤（NSSI）风险评估遵循个性化原则的重要性在于，每个儿童和青少年的成长环境、心理状态、家庭背景等都有所不同，这些因素会直接影响自伤行为的发生和发展。个性化原则确保了评估能够针对性地考虑每个个体的具体情况，从而更准确地识别风险因素和采取有效的干预措施</w:t>
      </w:r>
      <w:r>
        <w:rPr>
          <w:rFonts w:ascii="仿宋_GB2312" w:eastAsia="仿宋_GB2312" w:cs="Calibri" w:hint="eastAsia"/>
        </w:rPr>
        <w:t>。</w:t>
      </w:r>
    </w:p>
    <w:p w:rsidR="000E1281" w:rsidRDefault="001A0448">
      <w:pPr>
        <w:autoSpaceDE w:val="0"/>
        <w:autoSpaceDN w:val="0"/>
        <w:adjustRightInd w:val="0"/>
        <w:spacing w:beforeLines="50" w:before="120" w:afterLines="50" w:after="120" w:line="560" w:lineRule="exact"/>
        <w:ind w:firstLineChars="147" w:firstLine="472"/>
        <w:jc w:val="left"/>
        <w:rPr>
          <w:rFonts w:ascii="仿宋" w:eastAsia="仿宋" w:hAnsi="仿宋"/>
          <w:b/>
          <w:bCs/>
          <w:sz w:val="32"/>
          <w:szCs w:val="28"/>
        </w:rPr>
      </w:pPr>
      <w:r>
        <w:rPr>
          <w:rFonts w:ascii="仿宋" w:eastAsia="仿宋" w:hAnsi="仿宋" w:hint="eastAsia"/>
          <w:b/>
          <w:bCs/>
          <w:sz w:val="32"/>
          <w:szCs w:val="28"/>
        </w:rPr>
        <w:t>（三</w:t>
      </w:r>
      <w:r>
        <w:rPr>
          <w:rFonts w:ascii="仿宋" w:eastAsia="仿宋" w:hAnsi="仿宋"/>
          <w:b/>
          <w:bCs/>
          <w:sz w:val="32"/>
          <w:szCs w:val="28"/>
        </w:rPr>
        <w:t>）</w:t>
      </w:r>
      <w:bookmarkStart w:id="2" w:name="_Toc160744601"/>
      <w:r>
        <w:rPr>
          <w:rFonts w:ascii="仿宋" w:eastAsia="仿宋" w:hAnsi="仿宋" w:hint="eastAsia"/>
          <w:b/>
          <w:bCs/>
          <w:sz w:val="32"/>
          <w:szCs w:val="28"/>
        </w:rPr>
        <w:t>人员要求</w:t>
      </w:r>
      <w:bookmarkEnd w:id="2"/>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评估人员主要依据区内外南宁市第五人民医院的实际情况、考察、进行多方面讨论确定，对评估人员的组成、资质进行相应的要求。主要也考虑到了掌握相关的心理健康知识；具有相关从业资格证书，具备满足评估需要的职业素质和专业服务能力。非自杀自伤评估人员要求</w:t>
      </w:r>
      <w:r w:rsidR="0093216F" w:rsidRPr="00FD19CA">
        <w:rPr>
          <w:rFonts w:ascii="仿宋_GB2312" w:eastAsia="仿宋_GB2312" w:cs="Calibri" w:hint="eastAsia"/>
          <w:color w:val="000000" w:themeColor="text1"/>
          <w:sz w:val="32"/>
          <w:szCs w:val="32"/>
        </w:rPr>
        <w:t>。</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1.专业知识</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非自杀自伤评估人员应具备相</w:t>
      </w:r>
      <w:r w:rsidR="0093216F" w:rsidRPr="00FD19CA">
        <w:rPr>
          <w:rFonts w:ascii="仿宋_GB2312" w:eastAsia="仿宋_GB2312" w:cs="Calibri" w:hint="eastAsia"/>
          <w:color w:val="000000" w:themeColor="text1"/>
          <w:sz w:val="32"/>
          <w:szCs w:val="32"/>
        </w:rPr>
        <w:t>关的专业知识，包括但不限于心理学、精神病学、社会工作等领域。具备心理学、精神医学、临床社会工作、儿童青少年心理健康、护理或相关领域的从业资格，或接受过非自杀性自伤风险评估专业培训并获得相应合格证书。同时</w:t>
      </w:r>
      <w:r w:rsidRPr="00FD19CA">
        <w:rPr>
          <w:rFonts w:ascii="仿宋_GB2312" w:eastAsia="仿宋_GB2312" w:cs="Calibri" w:hint="eastAsia"/>
          <w:color w:val="000000" w:themeColor="text1"/>
          <w:sz w:val="32"/>
          <w:szCs w:val="32"/>
        </w:rPr>
        <w:t>需要了解非自杀自伤行为的成因、表现和后果，以及相关干预措施和治疗方法。此外，他们还应该了解相关的法律法规和伦理规范，以确保评估工作的合法性和专业性。</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lastRenderedPageBreak/>
        <w:t>2.临床经验</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评估人员应具备一定的临床经验，能够处理各种复杂的非自杀自伤行为案例。他们需要了解不同年龄段、性别、文化背景下的非自杀自伤行为特点，并能够根据实际情况制定合适的评估方案。此外，他们还应该具备对危机状况的快速反应和处理能力，以确保评估过程的安全性和有效性。</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3.沟通能力</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评估人员应具备良好的沟通能力，能够与当事人建立信任关系，并获取准确的信息。他们需要使用适当的语言和表达方式，理解当事人的情感和需求，并能够给予积极的回应和支持。此外，他们还应该具备良好的倾听技巧，以及在必要时提供适当的心理疏导。</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4.观察能力</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评估人员应具备敏锐的观察能力，能够注意细节并发现潜在的非自杀自伤风险。他们需要关注当事人的行为、言语、情绪等方面的变化，并能够分析其背后的原因和意义。此外，他们还应该具备对环境因素的敏感性，以便及时发现和应对潜在的危险因素。</w:t>
      </w:r>
    </w:p>
    <w:p w:rsidR="000E1281" w:rsidRPr="00FD19CA"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5.心理韧性</w:t>
      </w:r>
    </w:p>
    <w:p w:rsidR="000E1281" w:rsidRDefault="001A0448">
      <w:pPr>
        <w:pStyle w:val="afff4"/>
        <w:spacing w:line="560" w:lineRule="exact"/>
        <w:ind w:firstLineChars="200" w:firstLine="640"/>
        <w:rPr>
          <w:rFonts w:ascii="仿宋_GB2312" w:eastAsia="仿宋_GB2312" w:cs="Calibri"/>
          <w:color w:val="000000" w:themeColor="text1"/>
          <w:sz w:val="32"/>
          <w:szCs w:val="32"/>
        </w:rPr>
      </w:pPr>
      <w:r w:rsidRPr="00FD19CA">
        <w:rPr>
          <w:rFonts w:ascii="仿宋_GB2312" w:eastAsia="仿宋_GB2312" w:cs="Calibri" w:hint="eastAsia"/>
          <w:color w:val="000000" w:themeColor="text1"/>
          <w:sz w:val="32"/>
          <w:szCs w:val="32"/>
        </w:rPr>
        <w:t>评估人员应具备较好的心理韧性，能够应对工作中可能出现的压力和挑战。他们需要具备冷静、理性、坚韧的品质，以及处理复杂问题的能力和应对紧急状况的应变能力。此外，他们还应该了解自己的情绪和心态，并能够进行自我调节和管理。</w:t>
      </w:r>
    </w:p>
    <w:p w:rsidR="00FD19CA" w:rsidRPr="00FD19CA" w:rsidRDefault="00FD19CA">
      <w:pPr>
        <w:pStyle w:val="afff4"/>
        <w:spacing w:line="560" w:lineRule="exact"/>
        <w:ind w:firstLineChars="200" w:firstLine="640"/>
        <w:rPr>
          <w:rFonts w:ascii="仿宋_GB2312" w:eastAsia="仿宋_GB2312" w:cs="Calibri"/>
          <w:color w:val="000000" w:themeColor="text1"/>
          <w:sz w:val="32"/>
          <w:szCs w:val="32"/>
        </w:rPr>
      </w:pPr>
    </w:p>
    <w:p w:rsidR="000E1281" w:rsidRDefault="0093216F">
      <w:pPr>
        <w:numPr>
          <w:ilvl w:val="0"/>
          <w:numId w:val="8"/>
        </w:numPr>
        <w:autoSpaceDE w:val="0"/>
        <w:autoSpaceDN w:val="0"/>
        <w:adjustRightInd w:val="0"/>
        <w:spacing w:beforeLines="50" w:before="120" w:afterLines="50" w:after="120" w:line="560" w:lineRule="exact"/>
        <w:ind w:firstLineChars="98" w:firstLine="315"/>
        <w:jc w:val="left"/>
        <w:rPr>
          <w:rFonts w:ascii="仿宋" w:eastAsia="仿宋" w:hAnsi="仿宋"/>
          <w:b/>
          <w:sz w:val="32"/>
          <w:szCs w:val="32"/>
          <w:lang w:val="zh-CN"/>
        </w:rPr>
      </w:pPr>
      <w:bookmarkStart w:id="3" w:name="_Toc160744602"/>
      <w:r>
        <w:rPr>
          <w:rFonts w:ascii="仿宋" w:eastAsia="仿宋" w:hAnsi="仿宋" w:hint="eastAsia"/>
          <w:b/>
          <w:sz w:val="32"/>
          <w:szCs w:val="32"/>
          <w:lang w:val="zh-CN"/>
        </w:rPr>
        <w:lastRenderedPageBreak/>
        <w:t>评估</w:t>
      </w:r>
      <w:r w:rsidR="001A0448">
        <w:rPr>
          <w:rFonts w:ascii="仿宋" w:eastAsia="仿宋" w:hAnsi="仿宋" w:hint="eastAsia"/>
          <w:b/>
          <w:sz w:val="32"/>
          <w:szCs w:val="32"/>
          <w:lang w:val="zh-CN"/>
        </w:rPr>
        <w:t>流程</w:t>
      </w:r>
      <w:bookmarkEnd w:id="3"/>
    </w:p>
    <w:p w:rsidR="000E1281" w:rsidRDefault="00C30DFB" w:rsidP="00C30DFB">
      <w:pPr>
        <w:pStyle w:val="af3"/>
        <w:jc w:val="center"/>
        <w:rPr>
          <w:lang w:val="zh-CN"/>
        </w:rPr>
      </w:pPr>
      <w:r w:rsidRPr="00222F45">
        <w:rPr>
          <w:szCs w:val="21"/>
        </w:rPr>
        <mc:AlternateContent>
          <mc:Choice Requires="wpc">
            <w:drawing>
              <wp:inline distT="0" distB="0" distL="0" distR="0" wp14:anchorId="04483512" wp14:editId="6128A0CC">
                <wp:extent cx="5176521" cy="1135380"/>
                <wp:effectExtent l="0" t="0" r="0" b="0"/>
                <wp:docPr id="22" name="画布 22"/>
                <wp:cNvGraphicFramePr/>
                <a:graphic xmlns:a="http://schemas.openxmlformats.org/drawingml/2006/main">
                  <a:graphicData uri="http://schemas.microsoft.com/office/word/2010/wordprocessingCanvas">
                    <wpc:wpc>
                      <wpc:bg>
                        <a:noFill/>
                      </wpc:bg>
                      <wpc:whole/>
                      <wps:wsp>
                        <wps:cNvPr id="3" name="直接箭头连接符 73"/>
                        <wps:cNvCnPr>
                          <a:cxnSpLocks noChangeShapeType="1"/>
                        </wps:cNvCnPr>
                        <wps:spPr bwMode="auto">
                          <a:xfrm>
                            <a:off x="1966469" y="289158"/>
                            <a:ext cx="169284" cy="0"/>
                          </a:xfrm>
                          <a:prstGeom prst="straightConnector1">
                            <a:avLst/>
                          </a:prstGeom>
                          <a:noFill/>
                          <a:ln w="6350">
                            <a:solidFill>
                              <a:srgbClr val="000000"/>
                            </a:solidFill>
                            <a:miter lim="800000"/>
                            <a:tailEnd type="triangle" w="med" len="med"/>
                          </a:ln>
                        </wps:spPr>
                        <wps:bodyPr/>
                      </wps:wsp>
                      <wps:wsp>
                        <wps:cNvPr id="9" name="Rectangle 6"/>
                        <wps:cNvSpPr>
                          <a:spLocks noChangeArrowheads="1"/>
                        </wps:cNvSpPr>
                        <wps:spPr bwMode="auto">
                          <a:xfrm>
                            <a:off x="2738438" y="799651"/>
                            <a:ext cx="813211" cy="230505"/>
                          </a:xfrm>
                          <a:prstGeom prst="flowChartTerminator">
                            <a:avLst/>
                          </a:prstGeom>
                          <a:solidFill>
                            <a:srgbClr val="FFFFFF"/>
                          </a:solidFill>
                          <a:ln w="9525">
                            <a:solidFill>
                              <a:srgbClr val="000000"/>
                            </a:solidFill>
                            <a:miter lim="800000"/>
                          </a:ln>
                        </wps:spPr>
                        <wps:txbx>
                          <w:txbxContent>
                            <w:p w:rsidR="00C30DFB" w:rsidRPr="00F03EB4" w:rsidRDefault="00C30DFB" w:rsidP="00C30DFB">
                              <w:pPr>
                                <w:pStyle w:val="aff0"/>
                                <w:spacing w:line="200" w:lineRule="exact"/>
                                <w:jc w:val="center"/>
                                <w:rPr>
                                  <w:rFonts w:hint="eastAsia"/>
                                  <w:color w:val="000000" w:themeColor="text1"/>
                                </w:rPr>
                              </w:pPr>
                              <w:r>
                                <w:rPr>
                                  <w:rFonts w:hint="eastAsia"/>
                                  <w:color w:val="000000" w:themeColor="text1"/>
                                  <w:sz w:val="15"/>
                                  <w:szCs w:val="15"/>
                                </w:rPr>
                                <w:t>监测</w:t>
                              </w:r>
                              <w:r>
                                <w:rPr>
                                  <w:color w:val="000000" w:themeColor="text1"/>
                                  <w:sz w:val="15"/>
                                  <w:szCs w:val="15"/>
                                </w:rPr>
                                <w:t>和复评</w:t>
                              </w:r>
                            </w:p>
                          </w:txbxContent>
                        </wps:txbx>
                        <wps:bodyPr rot="0" vert="horz" wrap="square" lIns="108000" tIns="10800" rIns="100800" bIns="0" anchor="ctr" anchorCtr="0" upright="1">
                          <a:noAutofit/>
                        </wps:bodyPr>
                      </wps:wsp>
                      <wps:wsp>
                        <wps:cNvPr id="12" name="直接箭头连接符 73"/>
                        <wps:cNvCnPr>
                          <a:cxnSpLocks noChangeShapeType="1"/>
                        </wps:cNvCnPr>
                        <wps:spPr bwMode="auto">
                          <a:xfrm>
                            <a:off x="870470" y="289158"/>
                            <a:ext cx="139180" cy="0"/>
                          </a:xfrm>
                          <a:prstGeom prst="straightConnector1">
                            <a:avLst/>
                          </a:prstGeom>
                          <a:noFill/>
                          <a:ln w="6350">
                            <a:solidFill>
                              <a:srgbClr val="000000"/>
                            </a:solidFill>
                            <a:miter lim="800000"/>
                            <a:tailEnd type="triangle" w="med" len="med"/>
                          </a:ln>
                        </wps:spPr>
                        <wps:bodyPr/>
                      </wps:wsp>
                      <wps:wsp>
                        <wps:cNvPr id="13" name="直接箭头连接符 77"/>
                        <wps:cNvCnPr>
                          <a:cxnSpLocks noChangeShapeType="1"/>
                        </wps:cNvCnPr>
                        <wps:spPr bwMode="auto">
                          <a:xfrm flipH="1">
                            <a:off x="3558337" y="910232"/>
                            <a:ext cx="374015" cy="0"/>
                          </a:xfrm>
                          <a:prstGeom prst="straightConnector1">
                            <a:avLst/>
                          </a:prstGeom>
                          <a:noFill/>
                          <a:ln w="6350">
                            <a:solidFill>
                              <a:srgbClr val="000000"/>
                            </a:solidFill>
                            <a:miter lim="800000"/>
                            <a:tailEnd type="triangle" w="med" len="med"/>
                          </a:ln>
                        </wps:spPr>
                        <wps:bodyPr/>
                      </wps:wsp>
                      <wps:wsp>
                        <wps:cNvPr id="14" name="Rectangle 6"/>
                        <wps:cNvSpPr>
                          <a:spLocks noChangeArrowheads="1"/>
                        </wps:cNvSpPr>
                        <wps:spPr bwMode="auto">
                          <a:xfrm>
                            <a:off x="2145632" y="167968"/>
                            <a:ext cx="663345" cy="230505"/>
                          </a:xfrm>
                          <a:prstGeom prst="rect">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pPr>
                              <w:r>
                                <w:rPr>
                                  <w:rFonts w:hint="eastAsia"/>
                                  <w:sz w:val="15"/>
                                  <w:szCs w:val="15"/>
                                </w:rPr>
                                <w:t>实施评估</w:t>
                              </w:r>
                            </w:p>
                          </w:txbxContent>
                        </wps:txbx>
                        <wps:bodyPr rot="0" vert="horz" wrap="square" lIns="91440" tIns="45720" rIns="91440" bIns="45720" anchor="t" anchorCtr="0" upright="1">
                          <a:noAutofit/>
                        </wps:bodyPr>
                      </wps:wsp>
                      <wps:wsp>
                        <wps:cNvPr id="16" name="Rectangle 6"/>
                        <wps:cNvSpPr>
                          <a:spLocks noChangeArrowheads="1"/>
                        </wps:cNvSpPr>
                        <wps:spPr bwMode="auto">
                          <a:xfrm>
                            <a:off x="2956040" y="167968"/>
                            <a:ext cx="834910" cy="230505"/>
                          </a:xfrm>
                          <a:prstGeom prst="rect">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rPr>
                                  <w:rFonts w:hint="eastAsia"/>
                                </w:rPr>
                              </w:pPr>
                              <w:r>
                                <w:rPr>
                                  <w:sz w:val="15"/>
                                  <w:szCs w:val="15"/>
                                </w:rPr>
                                <w:t>评估</w:t>
                              </w:r>
                              <w:r>
                                <w:rPr>
                                  <w:rFonts w:hint="eastAsia"/>
                                  <w:sz w:val="15"/>
                                  <w:szCs w:val="15"/>
                                </w:rPr>
                                <w:t>结果</w:t>
                              </w:r>
                              <w:r>
                                <w:rPr>
                                  <w:sz w:val="15"/>
                                  <w:szCs w:val="15"/>
                                </w:rPr>
                                <w:t>判断</w:t>
                              </w:r>
                            </w:p>
                          </w:txbxContent>
                        </wps:txbx>
                        <wps:bodyPr rot="0" vert="horz" wrap="square" lIns="91440" tIns="45720" rIns="91440" bIns="45720" anchor="t" anchorCtr="0" upright="1">
                          <a:noAutofit/>
                        </wps:bodyPr>
                      </wps:wsp>
                      <wps:wsp>
                        <wps:cNvPr id="17" name="直接箭头连接符 73"/>
                        <wps:cNvCnPr>
                          <a:cxnSpLocks noChangeShapeType="1"/>
                        </wps:cNvCnPr>
                        <wps:spPr bwMode="auto">
                          <a:xfrm>
                            <a:off x="2814065" y="289158"/>
                            <a:ext cx="142227" cy="0"/>
                          </a:xfrm>
                          <a:prstGeom prst="straightConnector1">
                            <a:avLst/>
                          </a:prstGeom>
                          <a:noFill/>
                          <a:ln w="6350">
                            <a:solidFill>
                              <a:srgbClr val="000000"/>
                            </a:solidFill>
                            <a:miter lim="800000"/>
                            <a:tailEnd type="triangle" w="med" len="med"/>
                          </a:ln>
                        </wps:spPr>
                        <wps:bodyPr/>
                      </wps:wsp>
                      <wps:wsp>
                        <wps:cNvPr id="35" name="Rectangle 6"/>
                        <wps:cNvSpPr>
                          <a:spLocks noChangeArrowheads="1"/>
                        </wps:cNvSpPr>
                        <wps:spPr bwMode="auto">
                          <a:xfrm>
                            <a:off x="228563" y="171979"/>
                            <a:ext cx="633730" cy="230505"/>
                          </a:xfrm>
                          <a:prstGeom prst="flowChartTerminator">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rPr>
                                  <w:kern w:val="0"/>
                                </w:rPr>
                              </w:pPr>
                              <w:r>
                                <w:rPr>
                                  <w:rFonts w:hint="eastAsia"/>
                                  <w:color w:val="000000"/>
                                  <w:sz w:val="15"/>
                                  <w:szCs w:val="15"/>
                                </w:rPr>
                                <w:t>接诊</w:t>
                              </w:r>
                            </w:p>
                          </w:txbxContent>
                        </wps:txbx>
                        <wps:bodyPr rot="0" vert="horz" wrap="square" lIns="108000" tIns="10800" rIns="100800" bIns="0" anchor="ctr" anchorCtr="0" upright="1">
                          <a:noAutofit/>
                        </wps:bodyPr>
                      </wps:wsp>
                      <wps:wsp>
                        <wps:cNvPr id="37" name="Rectangle 6"/>
                        <wps:cNvSpPr>
                          <a:spLocks noChangeArrowheads="1"/>
                        </wps:cNvSpPr>
                        <wps:spPr bwMode="auto">
                          <a:xfrm>
                            <a:off x="1019220" y="167968"/>
                            <a:ext cx="939972" cy="230505"/>
                          </a:xfrm>
                          <a:prstGeom prst="rect">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rPr>
                                  <w:rFonts w:hint="eastAsia"/>
                                </w:rPr>
                              </w:pPr>
                              <w:r>
                                <w:rPr>
                                  <w:rFonts w:hint="eastAsia"/>
                                  <w:sz w:val="15"/>
                                  <w:szCs w:val="15"/>
                                </w:rPr>
                                <w:t>建立</w:t>
                              </w:r>
                              <w:r>
                                <w:rPr>
                                  <w:sz w:val="15"/>
                                  <w:szCs w:val="15"/>
                                </w:rPr>
                                <w:t>沟通与信任</w:t>
                              </w:r>
                            </w:p>
                          </w:txbxContent>
                        </wps:txbx>
                        <wps:bodyPr rot="0" vert="horz" wrap="square" lIns="91440" tIns="45720" rIns="91440" bIns="45720" anchor="t" anchorCtr="0" upright="1">
                          <a:noAutofit/>
                        </wps:bodyPr>
                      </wps:wsp>
                      <wps:wsp>
                        <wps:cNvPr id="38" name="Rectangle 6"/>
                        <wps:cNvSpPr>
                          <a:spLocks noChangeArrowheads="1"/>
                        </wps:cNvSpPr>
                        <wps:spPr bwMode="auto">
                          <a:xfrm>
                            <a:off x="3932352" y="167968"/>
                            <a:ext cx="834910" cy="230505"/>
                          </a:xfrm>
                          <a:prstGeom prst="rect">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rPr>
                                  <w:rFonts w:hint="eastAsia"/>
                                </w:rPr>
                              </w:pPr>
                              <w:r>
                                <w:rPr>
                                  <w:rFonts w:hint="eastAsia"/>
                                  <w:sz w:val="15"/>
                                  <w:szCs w:val="15"/>
                                </w:rPr>
                                <w:t>制定</w:t>
                              </w:r>
                              <w:r>
                                <w:rPr>
                                  <w:sz w:val="15"/>
                                  <w:szCs w:val="15"/>
                                </w:rPr>
                                <w:t>干预</w:t>
                              </w:r>
                              <w:r>
                                <w:rPr>
                                  <w:rFonts w:hint="eastAsia"/>
                                  <w:sz w:val="15"/>
                                  <w:szCs w:val="15"/>
                                </w:rPr>
                                <w:t>策略</w:t>
                              </w:r>
                            </w:p>
                          </w:txbxContent>
                        </wps:txbx>
                        <wps:bodyPr rot="0" vert="horz" wrap="square" lIns="91440" tIns="45720" rIns="91440" bIns="45720" anchor="t" anchorCtr="0" upright="1">
                          <a:noAutofit/>
                        </wps:bodyPr>
                      </wps:wsp>
                      <wps:wsp>
                        <wps:cNvPr id="39" name="直接箭头连接符 73"/>
                        <wps:cNvCnPr>
                          <a:cxnSpLocks noChangeShapeType="1"/>
                        </wps:cNvCnPr>
                        <wps:spPr bwMode="auto">
                          <a:xfrm>
                            <a:off x="3790377" y="289158"/>
                            <a:ext cx="142227" cy="0"/>
                          </a:xfrm>
                          <a:prstGeom prst="straightConnector1">
                            <a:avLst/>
                          </a:prstGeom>
                          <a:noFill/>
                          <a:ln w="6350">
                            <a:solidFill>
                              <a:srgbClr val="000000"/>
                            </a:solidFill>
                            <a:miter lim="800000"/>
                            <a:tailEnd type="triangle" w="med" len="med"/>
                          </a:ln>
                        </wps:spPr>
                        <wps:bodyPr/>
                      </wps:wsp>
                      <wps:wsp>
                        <wps:cNvPr id="40" name="直接箭头连接符 40"/>
                        <wps:cNvCnPr>
                          <a:cxnSpLocks noChangeShapeType="1"/>
                        </wps:cNvCnPr>
                        <wps:spPr bwMode="auto">
                          <a:xfrm rot="16200000" flipH="1">
                            <a:off x="4169711" y="585129"/>
                            <a:ext cx="374015" cy="0"/>
                          </a:xfrm>
                          <a:prstGeom prst="straightConnector1">
                            <a:avLst/>
                          </a:prstGeom>
                          <a:noFill/>
                          <a:ln w="6350">
                            <a:solidFill>
                              <a:srgbClr val="000000"/>
                            </a:solidFill>
                            <a:miter lim="800000"/>
                            <a:tailEnd type="triangle" w="med" len="med"/>
                          </a:ln>
                        </wps:spPr>
                        <wps:bodyPr/>
                      </wps:wsp>
                      <wps:wsp>
                        <wps:cNvPr id="41" name="Rectangle 6"/>
                        <wps:cNvSpPr>
                          <a:spLocks noChangeArrowheads="1"/>
                        </wps:cNvSpPr>
                        <wps:spPr bwMode="auto">
                          <a:xfrm>
                            <a:off x="3937115" y="776900"/>
                            <a:ext cx="834910" cy="230505"/>
                          </a:xfrm>
                          <a:prstGeom prst="rect">
                            <a:avLst/>
                          </a:prstGeom>
                          <a:solidFill>
                            <a:srgbClr val="FFFFFF"/>
                          </a:solidFill>
                          <a:ln w="9525">
                            <a:solidFill>
                              <a:srgbClr val="000000"/>
                            </a:solidFill>
                            <a:miter lim="800000"/>
                          </a:ln>
                        </wps:spPr>
                        <wps:txbx>
                          <w:txbxContent>
                            <w:p w:rsidR="00C30DFB" w:rsidRDefault="00C30DFB" w:rsidP="00C30DFB">
                              <w:pPr>
                                <w:pStyle w:val="aff0"/>
                                <w:spacing w:line="200" w:lineRule="exact"/>
                                <w:jc w:val="center"/>
                                <w:rPr>
                                  <w:rFonts w:hint="eastAsia"/>
                                </w:rPr>
                              </w:pPr>
                              <w:r>
                                <w:rPr>
                                  <w:rFonts w:hint="eastAsia"/>
                                  <w:sz w:val="15"/>
                                  <w:szCs w:val="15"/>
                                </w:rPr>
                                <w:t>建立</w:t>
                              </w:r>
                              <w:r>
                                <w:rPr>
                                  <w:sz w:val="15"/>
                                  <w:szCs w:val="15"/>
                                </w:rPr>
                                <w:t>档案记录</w:t>
                              </w:r>
                            </w:p>
                          </w:txbxContent>
                        </wps:txbx>
                        <wps:bodyPr rot="0" vert="horz" wrap="square" lIns="91440" tIns="45720" rIns="91440" bIns="45720" anchor="t" anchorCtr="0" upright="1">
                          <a:noAutofit/>
                        </wps:bodyPr>
                      </wps:wsp>
                    </wpc:wpc>
                  </a:graphicData>
                </a:graphic>
              </wp:inline>
            </w:drawing>
          </mc:Choice>
          <mc:Fallback>
            <w:pict>
              <v:group w14:anchorId="04483512" id="画布 22" o:spid="_x0000_s1026" editas="canvas" style="width:407.6pt;height:89.4pt;mso-position-horizontal-relative:char;mso-position-vertical-relative:line" coordsize="51765,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765;height:11353;visibility:visible;mso-wrap-style:square">
                  <v:fill o:detectmouseclick="t"/>
                  <v:path o:connecttype="none"/>
                </v:shape>
                <v:shapetype id="_x0000_t32" coordsize="21600,21600" o:spt="32" o:oned="t" path="m,l21600,21600e" filled="f">
                  <v:path arrowok="t" fillok="f" o:connecttype="none"/>
                  <o:lock v:ext="edit" shapetype="t"/>
                </v:shapetype>
                <v:shape id="直接箭头连接符 73" o:spid="_x0000_s1028" type="#_x0000_t32" style="position:absolute;left:19664;top:2891;width:16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" strokeweight=".5pt">
                  <v:stroke endarrow="block" joinstyle="miter"/>
                </v:shape>
                <v:shapetype id="_x0000_t116" coordsize="21600,21600" o:spt="116" path="m3475,qx,10800,3475,21600l18125,21600qx21600,10800,18125,xe">
                  <v:stroke joinstyle="miter"/>
                  <v:path gradientshapeok="t" o:connecttype="rect" textboxrect="1018,3163,20582,18437"/>
                </v:shapetype>
                <v:shape id="Rectangle 6" o:spid="_x0000_s1029" type="#_x0000_t116" style="position:absolute;left:27384;top:7996;width:813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">
                  <v:textbox inset="3mm,.3mm,2.8mm,0">
                    <w:txbxContent>
                      <w:p w:rsidR="00C30DFB" w:rsidRPr="00F03EB4" w:rsidRDefault="00C30DFB" w:rsidP="00C30DFB">
                        <w:pPr>
                          <w:pStyle w:val="aff0"/>
                          <w:spacing w:line="200" w:lineRule="exact"/>
                          <w:jc w:val="center"/>
                          <w:rPr>
                            <w:rFonts w:hint="eastAsia"/>
                            <w:color w:val="000000" w:themeColor="text1"/>
                          </w:rPr>
                        </w:pPr>
                        <w:r>
                          <w:rPr>
                            <w:rFonts w:hint="eastAsia"/>
                            <w:color w:val="000000" w:themeColor="text1"/>
                            <w:sz w:val="15"/>
                            <w:szCs w:val="15"/>
                          </w:rPr>
                          <w:t>监测</w:t>
                        </w:r>
                        <w:r>
                          <w:rPr>
                            <w:color w:val="000000" w:themeColor="text1"/>
                            <w:sz w:val="15"/>
                            <w:szCs w:val="15"/>
                          </w:rPr>
                          <w:t>和复评</w:t>
                        </w:r>
                      </w:p>
                    </w:txbxContent>
                  </v:textbox>
                </v:shape>
                <v:shape id="直接箭头连接符 73" o:spid="_x0000_s1030" type="#_x0000_t32" style="position:absolute;left:8704;top:2891;width:13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" strokeweight=".5pt">
                  <v:stroke endarrow="block" joinstyle="miter"/>
                </v:shape>
                <v:shape id="直接箭头连接符 77" o:spid="_x0000_s1031" type="#_x0000_t32" style="position:absolute;left:35583;top:9102;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" strokeweight=".5pt">
                  <v:stroke endarrow="block" joinstyle="miter"/>
                </v:shape>
                <v:rect id="Rectangle 6" o:spid="_x0000_s1032" style="position:absolute;left:21456;top:1679;width:6633;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C30DFB" w:rsidRDefault="00C30DFB" w:rsidP="00C30DFB">
                        <w:pPr>
                          <w:pStyle w:val="aff0"/>
                          <w:spacing w:line="200" w:lineRule="exact"/>
                          <w:jc w:val="center"/>
                        </w:pPr>
                        <w:r>
                          <w:rPr>
                            <w:rFonts w:hint="eastAsia"/>
                            <w:sz w:val="15"/>
                            <w:szCs w:val="15"/>
                          </w:rPr>
                          <w:t>实施评估</w:t>
                        </w:r>
                      </w:p>
                    </w:txbxContent>
                  </v:textbox>
                </v:rect>
                <v:rect id="Rectangle 6" o:spid="_x0000_s1033" style="position:absolute;left:29560;top:167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C30DFB" w:rsidRDefault="00C30DFB" w:rsidP="00C30DFB">
                        <w:pPr>
                          <w:pStyle w:val="aff0"/>
                          <w:spacing w:line="200" w:lineRule="exact"/>
                          <w:jc w:val="center"/>
                          <w:rPr>
                            <w:rFonts w:hint="eastAsia"/>
                          </w:rPr>
                        </w:pPr>
                        <w:r>
                          <w:rPr>
                            <w:sz w:val="15"/>
                            <w:szCs w:val="15"/>
                          </w:rPr>
                          <w:t>评估</w:t>
                        </w:r>
                        <w:r>
                          <w:rPr>
                            <w:rFonts w:hint="eastAsia"/>
                            <w:sz w:val="15"/>
                            <w:szCs w:val="15"/>
                          </w:rPr>
                          <w:t>结果</w:t>
                        </w:r>
                        <w:r>
                          <w:rPr>
                            <w:sz w:val="15"/>
                            <w:szCs w:val="15"/>
                          </w:rPr>
                          <w:t>判断</w:t>
                        </w:r>
                      </w:p>
                    </w:txbxContent>
                  </v:textbox>
                </v:rect>
                <v:shape id="直接箭头连接符 73" o:spid="_x0000_s1034" type="#_x0000_t32" style="position:absolute;left:28140;top:2891;width:14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" strokeweight=".5pt">
                  <v:stroke endarrow="block" joinstyle="miter"/>
                </v:shape>
                <v:shape id="Rectangle 6" o:spid="_x0000_s1035" type="#_x0000_t116" style="position:absolute;left:2285;top:1719;width:6337;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">
                  <v:textbox inset="3mm,.3mm,2.8mm,0">
                    <w:txbxContent>
                      <w:p w:rsidR="00C30DFB" w:rsidRDefault="00C30DFB" w:rsidP="00C30DFB">
                        <w:pPr>
                          <w:pStyle w:val="aff0"/>
                          <w:spacing w:line="200" w:lineRule="exact"/>
                          <w:jc w:val="center"/>
                          <w:rPr>
                            <w:kern w:val="0"/>
                          </w:rPr>
                        </w:pPr>
                        <w:r>
                          <w:rPr>
                            <w:rFonts w:hint="eastAsia"/>
                            <w:color w:val="000000"/>
                            <w:sz w:val="15"/>
                            <w:szCs w:val="15"/>
                          </w:rPr>
                          <w:t>接诊</w:t>
                        </w:r>
                      </w:p>
                    </w:txbxContent>
                  </v:textbox>
                </v:shape>
                <v:rect id="Rectangle 6" o:spid="_x0000_s1036" style="position:absolute;left:10192;top:1679;width:939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w:txbxContent>
                      <w:p w:rsidR="00C30DFB" w:rsidRDefault="00C30DFB" w:rsidP="00C30DFB">
                        <w:pPr>
                          <w:pStyle w:val="aff0"/>
                          <w:spacing w:line="200" w:lineRule="exact"/>
                          <w:jc w:val="center"/>
                          <w:rPr>
                            <w:rFonts w:hint="eastAsia"/>
                          </w:rPr>
                        </w:pPr>
                        <w:r>
                          <w:rPr>
                            <w:rFonts w:hint="eastAsia"/>
                            <w:sz w:val="15"/>
                            <w:szCs w:val="15"/>
                          </w:rPr>
                          <w:t>建立</w:t>
                        </w:r>
                        <w:r>
                          <w:rPr>
                            <w:sz w:val="15"/>
                            <w:szCs w:val="15"/>
                          </w:rPr>
                          <w:t>沟通与信任</w:t>
                        </w:r>
                      </w:p>
                    </w:txbxContent>
                  </v:textbox>
                </v:rect>
                <v:rect id="Rectangle 6" o:spid="_x0000_s1037" style="position:absolute;left:39323;top:167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C30DFB" w:rsidRDefault="00C30DFB" w:rsidP="00C30DFB">
                        <w:pPr>
                          <w:pStyle w:val="aff0"/>
                          <w:spacing w:line="200" w:lineRule="exact"/>
                          <w:jc w:val="center"/>
                          <w:rPr>
                            <w:rFonts w:hint="eastAsia"/>
                          </w:rPr>
                        </w:pPr>
                        <w:r>
                          <w:rPr>
                            <w:rFonts w:hint="eastAsia"/>
                            <w:sz w:val="15"/>
                            <w:szCs w:val="15"/>
                          </w:rPr>
                          <w:t>制定</w:t>
                        </w:r>
                        <w:r>
                          <w:rPr>
                            <w:sz w:val="15"/>
                            <w:szCs w:val="15"/>
                          </w:rPr>
                          <w:t>干预</w:t>
                        </w:r>
                        <w:r>
                          <w:rPr>
                            <w:rFonts w:hint="eastAsia"/>
                            <w:sz w:val="15"/>
                            <w:szCs w:val="15"/>
                          </w:rPr>
                          <w:t>策略</w:t>
                        </w:r>
                      </w:p>
                    </w:txbxContent>
                  </v:textbox>
                </v:rect>
                <v:shape id="直接箭头连接符 73" o:spid="_x0000_s1038" type="#_x0000_t32" style="position:absolute;left:37903;top:2891;width:14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" strokeweight=".5pt">
                  <v:stroke endarrow="block" joinstyle="miter"/>
                </v:shape>
                <v:shape id="直接箭头连接符 40" o:spid="_x0000_s1039" type="#_x0000_t32" style="position:absolute;left:41697;top:5851;width:3740;height: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" strokeweight=".5pt">
                  <v:stroke endarrow="block" joinstyle="miter"/>
                </v:shape>
                <v:rect id="Rectangle 6" o:spid="_x0000_s1040" style="position:absolute;left:39371;top:776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rsidR="00C30DFB" w:rsidRDefault="00C30DFB" w:rsidP="00C30DFB">
                        <w:pPr>
                          <w:pStyle w:val="aff0"/>
                          <w:spacing w:line="200" w:lineRule="exact"/>
                          <w:jc w:val="center"/>
                          <w:rPr>
                            <w:rFonts w:hint="eastAsia"/>
                          </w:rPr>
                        </w:pPr>
                        <w:r>
                          <w:rPr>
                            <w:rFonts w:hint="eastAsia"/>
                            <w:sz w:val="15"/>
                            <w:szCs w:val="15"/>
                          </w:rPr>
                          <w:t>建立</w:t>
                        </w:r>
                        <w:r>
                          <w:rPr>
                            <w:sz w:val="15"/>
                            <w:szCs w:val="15"/>
                          </w:rPr>
                          <w:t>档案记录</w:t>
                        </w:r>
                      </w:p>
                    </w:txbxContent>
                  </v:textbox>
                </v:rect>
                <w10:anchorlock/>
              </v:group>
            </w:pict>
          </mc:Fallback>
        </mc:AlternateContent>
      </w:r>
    </w:p>
    <w:p w:rsidR="000E1281" w:rsidRPr="002136F9" w:rsidRDefault="001A0448">
      <w:pPr>
        <w:pStyle w:val="afff4"/>
        <w:spacing w:line="560" w:lineRule="exact"/>
        <w:ind w:firstLineChars="200" w:firstLine="640"/>
        <w:rPr>
          <w:rFonts w:ascii="仿宋_GB2312" w:eastAsia="仿宋_GB2312" w:cs="Calibri"/>
          <w:color w:val="000000" w:themeColor="text1"/>
          <w:sz w:val="32"/>
          <w:szCs w:val="32"/>
          <w:lang w:val="zh-CN"/>
        </w:rPr>
      </w:pPr>
      <w:r w:rsidRPr="002136F9">
        <w:rPr>
          <w:rFonts w:ascii="仿宋_GB2312" w:eastAsia="仿宋_GB2312" w:cs="Calibri" w:hint="eastAsia"/>
          <w:color w:val="000000" w:themeColor="text1"/>
          <w:sz w:val="32"/>
          <w:szCs w:val="32"/>
          <w:lang w:val="zh-CN"/>
        </w:rPr>
        <w:t>评估流程主要是明确进行服务必备的步骤，一目了然地指导接下来的评估工作以及内容要求。评估主要通过测验、访谈、观察等方法，对儿童青少年的心理状况进行评估。不同的评估项目所使用的方法不尽相同，如技能性项目采用操作、观察等方法，知识性项目采用测验、访谈等方法，适应性项目采用访谈、观察等方法。评估者在评估时须严格按照此评估方法，避免个人主观操作，以规范评估过程涉及的所有环节，让评估过程以及结果更客观。</w:t>
      </w:r>
    </w:p>
    <w:p w:rsidR="000E1281" w:rsidRDefault="00337519">
      <w:pPr>
        <w:pStyle w:val="afff4"/>
        <w:spacing w:line="560" w:lineRule="exact"/>
        <w:ind w:firstLineChars="200" w:firstLine="640"/>
        <w:rPr>
          <w:rFonts w:ascii="仿宋_GB2312" w:eastAsia="仿宋_GB2312" w:cs="Calibri"/>
          <w:sz w:val="32"/>
          <w:szCs w:val="32"/>
          <w:lang w:val="zh-CN"/>
        </w:rPr>
      </w:pPr>
      <w:bookmarkStart w:id="4" w:name="_Toc160744603"/>
      <w:r>
        <w:rPr>
          <w:rFonts w:ascii="仿宋_GB2312" w:eastAsia="仿宋_GB2312" w:cs="Calibri" w:hint="eastAsia"/>
          <w:sz w:val="32"/>
          <w:szCs w:val="32"/>
          <w:lang w:val="zh-CN"/>
        </w:rPr>
        <w:t>（六）评估</w:t>
      </w:r>
      <w:r w:rsidR="001A0448">
        <w:rPr>
          <w:rFonts w:ascii="仿宋_GB2312" w:eastAsia="仿宋_GB2312" w:cs="Calibri" w:hint="eastAsia"/>
          <w:sz w:val="32"/>
          <w:szCs w:val="32"/>
          <w:lang w:val="zh-CN"/>
        </w:rPr>
        <w:t>内容与要求</w:t>
      </w:r>
      <w:bookmarkEnd w:id="4"/>
    </w:p>
    <w:p w:rsidR="008D4371" w:rsidRPr="00CD7F8A" w:rsidRDefault="003B074A">
      <w:pPr>
        <w:pStyle w:val="afff4"/>
        <w:spacing w:line="560" w:lineRule="exact"/>
        <w:ind w:firstLineChars="200" w:firstLine="643"/>
        <w:rPr>
          <w:rFonts w:ascii="仿宋_GB2312" w:eastAsia="仿宋_GB2312" w:cs="Calibri"/>
          <w:b/>
          <w:sz w:val="32"/>
          <w:szCs w:val="32"/>
          <w:lang w:val="zh-CN"/>
        </w:rPr>
      </w:pPr>
      <w:r w:rsidRPr="00CD7F8A">
        <w:rPr>
          <w:rFonts w:ascii="仿宋_GB2312" w:eastAsia="仿宋_GB2312" w:cs="Calibri"/>
          <w:b/>
          <w:sz w:val="32"/>
          <w:szCs w:val="32"/>
          <w:lang w:val="zh-CN"/>
        </w:rPr>
        <w:t>1</w:t>
      </w:r>
      <w:r w:rsidR="00544D3B" w:rsidRPr="00CD7F8A">
        <w:rPr>
          <w:rFonts w:ascii="仿宋_GB2312" w:eastAsia="仿宋_GB2312" w:cs="Calibri" w:hint="eastAsia"/>
          <w:b/>
          <w:sz w:val="32"/>
          <w:szCs w:val="32"/>
          <w:lang w:val="zh-CN"/>
        </w:rPr>
        <w:t>.</w:t>
      </w:r>
      <w:r w:rsidR="001A0448" w:rsidRPr="00CD7F8A">
        <w:rPr>
          <w:rFonts w:ascii="仿宋_GB2312" w:eastAsia="仿宋_GB2312" w:cs="Calibri" w:hint="eastAsia"/>
          <w:b/>
          <w:sz w:val="32"/>
          <w:szCs w:val="32"/>
          <w:lang w:val="zh-CN"/>
        </w:rPr>
        <w:t>建立沟通与信任</w:t>
      </w:r>
    </w:p>
    <w:p w:rsidR="005C16F9" w:rsidRDefault="001621FB">
      <w:pPr>
        <w:pStyle w:val="afff4"/>
        <w:spacing w:line="560" w:lineRule="exact"/>
        <w:ind w:firstLineChars="200" w:firstLine="640"/>
        <w:rPr>
          <w:rFonts w:ascii="仿宋_GB2312" w:eastAsia="仿宋_GB2312" w:cs="Calibri"/>
          <w:sz w:val="32"/>
          <w:szCs w:val="32"/>
          <w:lang w:val="zh-CN"/>
        </w:rPr>
      </w:pPr>
      <w:r>
        <w:rPr>
          <w:rFonts w:ascii="仿宋_GB2312" w:eastAsia="仿宋_GB2312" w:cs="Calibri" w:hint="eastAsia"/>
          <w:sz w:val="32"/>
          <w:szCs w:val="32"/>
        </w:rPr>
        <w:t>接诊</w:t>
      </w:r>
      <w:r>
        <w:rPr>
          <w:rFonts w:ascii="仿宋_GB2312" w:eastAsia="仿宋_GB2312" w:cs="Calibri"/>
          <w:sz w:val="32"/>
          <w:szCs w:val="32"/>
        </w:rPr>
        <w:t>后，</w:t>
      </w:r>
      <w:r>
        <w:rPr>
          <w:rFonts w:ascii="仿宋_GB2312" w:eastAsia="仿宋_GB2312" w:cs="Calibri" w:hint="eastAsia"/>
          <w:sz w:val="32"/>
          <w:szCs w:val="32"/>
        </w:rPr>
        <w:t>可以</w:t>
      </w:r>
      <w:r>
        <w:rPr>
          <w:rFonts w:ascii="仿宋_GB2312" w:eastAsia="仿宋_GB2312" w:cs="Calibri"/>
          <w:sz w:val="32"/>
          <w:szCs w:val="32"/>
        </w:rPr>
        <w:t>通过</w:t>
      </w:r>
      <w:r w:rsidRPr="001621FB">
        <w:rPr>
          <w:rFonts w:ascii="仿宋_GB2312" w:eastAsia="仿宋_GB2312" w:cs="Calibri" w:hint="eastAsia"/>
          <w:sz w:val="32"/>
          <w:szCs w:val="32"/>
        </w:rPr>
        <w:t>双方自我介绍，</w:t>
      </w:r>
      <w:r>
        <w:rPr>
          <w:rFonts w:ascii="仿宋_GB2312" w:eastAsia="仿宋_GB2312" w:cs="Calibri" w:hint="eastAsia"/>
          <w:sz w:val="32"/>
          <w:szCs w:val="32"/>
        </w:rPr>
        <w:t>拉进</w:t>
      </w:r>
      <w:r>
        <w:rPr>
          <w:rFonts w:ascii="仿宋_GB2312" w:eastAsia="仿宋_GB2312" w:cs="Calibri"/>
          <w:sz w:val="32"/>
          <w:szCs w:val="32"/>
        </w:rPr>
        <w:t>与</w:t>
      </w:r>
      <w:r w:rsidR="00C81538" w:rsidRPr="00C81538">
        <w:rPr>
          <w:rFonts w:ascii="仿宋_GB2312" w:eastAsia="仿宋_GB2312" w:cs="Calibri" w:hint="eastAsia"/>
          <w:sz w:val="32"/>
          <w:szCs w:val="32"/>
        </w:rPr>
        <w:t>儿童或青少年患者</w:t>
      </w:r>
      <w:r>
        <w:rPr>
          <w:rFonts w:ascii="仿宋_GB2312" w:eastAsia="仿宋_GB2312" w:cs="Calibri" w:hint="eastAsia"/>
          <w:sz w:val="32"/>
          <w:szCs w:val="32"/>
        </w:rPr>
        <w:t>的</w:t>
      </w:r>
      <w:r w:rsidR="0061503C">
        <w:rPr>
          <w:rFonts w:ascii="仿宋_GB2312" w:eastAsia="仿宋_GB2312" w:cs="Calibri" w:hint="eastAsia"/>
          <w:sz w:val="32"/>
          <w:szCs w:val="32"/>
        </w:rPr>
        <w:t>心理</w:t>
      </w:r>
      <w:r>
        <w:rPr>
          <w:rFonts w:ascii="仿宋_GB2312" w:eastAsia="仿宋_GB2312" w:cs="Calibri"/>
          <w:sz w:val="32"/>
          <w:szCs w:val="32"/>
        </w:rPr>
        <w:t>距离</w:t>
      </w:r>
      <w:r>
        <w:rPr>
          <w:rFonts w:ascii="仿宋_GB2312" w:eastAsia="仿宋_GB2312" w:cs="Calibri" w:hint="eastAsia"/>
          <w:sz w:val="32"/>
          <w:szCs w:val="32"/>
        </w:rPr>
        <w:t>，</w:t>
      </w:r>
      <w:r w:rsidR="0061503C">
        <w:rPr>
          <w:rFonts w:ascii="仿宋_GB2312" w:eastAsia="仿宋_GB2312" w:cs="Calibri" w:hint="eastAsia"/>
          <w:sz w:val="32"/>
          <w:szCs w:val="32"/>
        </w:rPr>
        <w:t>避免</w:t>
      </w:r>
      <w:r w:rsidR="0061503C">
        <w:rPr>
          <w:rFonts w:ascii="仿宋_GB2312" w:eastAsia="仿宋_GB2312" w:cs="Calibri"/>
          <w:sz w:val="32"/>
          <w:szCs w:val="32"/>
        </w:rPr>
        <w:t>其产生</w:t>
      </w:r>
      <w:r w:rsidR="0061503C">
        <w:rPr>
          <w:rFonts w:ascii="仿宋_GB2312" w:eastAsia="仿宋_GB2312" w:cs="Calibri" w:hint="eastAsia"/>
          <w:sz w:val="32"/>
          <w:szCs w:val="32"/>
        </w:rPr>
        <w:t>抵触心理，</w:t>
      </w:r>
      <w:r>
        <w:rPr>
          <w:rFonts w:ascii="仿宋_GB2312" w:eastAsia="仿宋_GB2312" w:cs="Calibri" w:hint="eastAsia"/>
          <w:sz w:val="32"/>
          <w:szCs w:val="32"/>
        </w:rPr>
        <w:t>建立</w:t>
      </w:r>
      <w:r w:rsidRPr="001621FB">
        <w:rPr>
          <w:rFonts w:ascii="仿宋_GB2312" w:eastAsia="仿宋_GB2312" w:cs="Calibri" w:hint="eastAsia"/>
          <w:sz w:val="32"/>
          <w:szCs w:val="32"/>
        </w:rPr>
        <w:t>良好信任关系</w:t>
      </w:r>
      <w:r>
        <w:rPr>
          <w:rFonts w:ascii="仿宋_GB2312" w:eastAsia="仿宋_GB2312" w:cs="Calibri" w:hint="eastAsia"/>
          <w:sz w:val="32"/>
          <w:szCs w:val="32"/>
        </w:rPr>
        <w:t>。</w:t>
      </w:r>
      <w:r w:rsidR="005C16F9">
        <w:rPr>
          <w:rFonts w:ascii="仿宋_GB2312" w:eastAsia="仿宋_GB2312" w:cs="Calibri" w:hint="eastAsia"/>
          <w:sz w:val="32"/>
          <w:szCs w:val="32"/>
          <w:lang w:val="zh-CN"/>
        </w:rPr>
        <w:t>评估开始前，首先建立一个安全、尊重和理解的环境，以增强儿童或青少年的信任感和舒适度。解释评估的目的、过程以及保密性原则，确保他们理解并同意参与。</w:t>
      </w:r>
      <w:r w:rsidR="005C16F9" w:rsidRPr="005C16F9">
        <w:rPr>
          <w:rFonts w:ascii="仿宋_GB2312" w:eastAsia="仿宋_GB2312" w:cs="Calibri" w:hint="eastAsia"/>
          <w:sz w:val="32"/>
          <w:szCs w:val="32"/>
          <w:lang w:val="zh-CN"/>
        </w:rPr>
        <w:t>从某种意义上讲，实施NSSI的个体正在发出绝望的求助信号，需要得到关切及支持性的回应，其中一种有效的回应方式就是提供共情。除了表达关切及同情之外，共情还包括识别及分享患者的情绪。通过共情，我们也可以考虑哪些话可以对儿童或青少年</w:t>
      </w:r>
      <w:r w:rsidR="00C81538">
        <w:rPr>
          <w:rFonts w:ascii="仿宋_GB2312" w:eastAsia="仿宋_GB2312" w:cs="Calibri" w:hint="eastAsia"/>
          <w:sz w:val="32"/>
          <w:szCs w:val="32"/>
          <w:lang w:val="zh-CN"/>
        </w:rPr>
        <w:t>患者</w:t>
      </w:r>
      <w:r w:rsidR="005C16F9" w:rsidRPr="005C16F9">
        <w:rPr>
          <w:rFonts w:ascii="仿宋_GB2312" w:eastAsia="仿宋_GB2312" w:cs="Calibri" w:hint="eastAsia"/>
          <w:sz w:val="32"/>
          <w:szCs w:val="32"/>
          <w:lang w:val="zh-CN"/>
        </w:rPr>
        <w:t>说，哪些话不适合说，进而避免沟通中的阻抗</w:t>
      </w:r>
      <w:r w:rsidR="005C16F9">
        <w:rPr>
          <w:rFonts w:ascii="仿宋_GB2312" w:eastAsia="仿宋_GB2312" w:cs="Calibri" w:hint="eastAsia"/>
          <w:sz w:val="32"/>
          <w:szCs w:val="32"/>
          <w:lang w:val="zh-CN"/>
        </w:rPr>
        <w:t>。</w:t>
      </w:r>
    </w:p>
    <w:p w:rsidR="00C81538" w:rsidRPr="00CD7F8A" w:rsidRDefault="003709EE">
      <w:pPr>
        <w:pStyle w:val="afff4"/>
        <w:spacing w:line="560" w:lineRule="exact"/>
        <w:ind w:firstLineChars="200" w:firstLine="643"/>
        <w:rPr>
          <w:rFonts w:ascii="仿宋_GB2312" w:eastAsia="仿宋_GB2312" w:cs="Calibri"/>
          <w:b/>
          <w:sz w:val="32"/>
          <w:szCs w:val="32"/>
          <w:lang w:val="zh-CN"/>
        </w:rPr>
      </w:pPr>
      <w:r w:rsidRPr="00CD7F8A">
        <w:rPr>
          <w:rFonts w:ascii="仿宋_GB2312" w:eastAsia="仿宋_GB2312" w:cs="Calibri"/>
          <w:b/>
          <w:sz w:val="32"/>
          <w:szCs w:val="32"/>
          <w:lang w:val="zh-CN"/>
        </w:rPr>
        <w:lastRenderedPageBreak/>
        <w:t>2</w:t>
      </w:r>
      <w:r w:rsidR="00544D3B" w:rsidRPr="00CD7F8A">
        <w:rPr>
          <w:rFonts w:ascii="仿宋_GB2312" w:eastAsia="仿宋_GB2312" w:cs="Calibri" w:hint="eastAsia"/>
          <w:b/>
          <w:sz w:val="32"/>
          <w:szCs w:val="32"/>
          <w:lang w:val="zh-CN"/>
        </w:rPr>
        <w:t>.</w:t>
      </w:r>
      <w:r w:rsidR="001A0448" w:rsidRPr="00CD7F8A">
        <w:rPr>
          <w:rFonts w:ascii="仿宋_GB2312" w:eastAsia="仿宋_GB2312" w:cs="Calibri" w:hint="eastAsia"/>
          <w:b/>
          <w:sz w:val="32"/>
          <w:szCs w:val="32"/>
          <w:lang w:val="zh-CN"/>
        </w:rPr>
        <w:t>实施评估</w:t>
      </w:r>
    </w:p>
    <w:p w:rsidR="000E1281" w:rsidRDefault="00C81538" w:rsidP="00465DF6">
      <w:pPr>
        <w:pStyle w:val="afff4"/>
        <w:spacing w:line="560" w:lineRule="exact"/>
        <w:ind w:firstLineChars="200" w:firstLine="640"/>
        <w:rPr>
          <w:rFonts w:ascii="仿宋_GB2312" w:eastAsia="仿宋_GB2312" w:cs="Calibri"/>
          <w:sz w:val="32"/>
          <w:szCs w:val="32"/>
          <w:lang w:val="zh-CN"/>
        </w:rPr>
      </w:pPr>
      <w:r>
        <w:rPr>
          <w:rFonts w:ascii="仿宋_GB2312" w:eastAsia="仿宋_GB2312" w:cs="Calibri"/>
          <w:sz w:val="32"/>
          <w:szCs w:val="32"/>
          <w:lang w:val="zh-CN"/>
        </w:rPr>
        <w:t>开展</w:t>
      </w:r>
      <w:r w:rsidR="00C30DFB">
        <w:rPr>
          <w:rFonts w:ascii="仿宋_GB2312" w:eastAsia="仿宋_GB2312" w:cs="Calibri" w:hint="eastAsia"/>
          <w:sz w:val="32"/>
          <w:szCs w:val="32"/>
          <w:lang w:val="zh-CN"/>
        </w:rPr>
        <w:t>访谈</w:t>
      </w:r>
      <w:r w:rsidR="001A0448">
        <w:rPr>
          <w:rFonts w:ascii="仿宋_GB2312" w:eastAsia="仿宋_GB2312" w:cs="Calibri" w:hint="eastAsia"/>
          <w:sz w:val="32"/>
          <w:szCs w:val="32"/>
          <w:lang w:val="zh-CN"/>
        </w:rPr>
        <w:t>评估</w:t>
      </w:r>
      <w:r>
        <w:rPr>
          <w:rFonts w:ascii="仿宋_GB2312" w:eastAsia="仿宋_GB2312" w:cs="Calibri" w:hint="eastAsia"/>
          <w:sz w:val="32"/>
          <w:szCs w:val="32"/>
          <w:lang w:val="zh-CN"/>
        </w:rPr>
        <w:t>，</w:t>
      </w:r>
      <w:r w:rsidR="001A0448">
        <w:rPr>
          <w:rFonts w:ascii="仿宋_GB2312" w:eastAsia="仿宋_GB2312" w:cs="Calibri" w:hint="eastAsia"/>
          <w:sz w:val="32"/>
          <w:szCs w:val="32"/>
          <w:lang w:val="zh-CN"/>
        </w:rPr>
        <w:t>收集</w:t>
      </w:r>
      <w:r w:rsidR="00764ACF" w:rsidRPr="00764ACF">
        <w:rPr>
          <w:rFonts w:ascii="仿宋_GB2312" w:eastAsia="仿宋_GB2312" w:cs="Calibri" w:hint="eastAsia"/>
          <w:sz w:val="32"/>
          <w:szCs w:val="32"/>
          <w:lang w:val="zh-CN"/>
        </w:rPr>
        <w:t>儿童或青少年患者</w:t>
      </w:r>
      <w:r w:rsidR="001A0448">
        <w:rPr>
          <w:rFonts w:ascii="仿宋_GB2312" w:eastAsia="仿宋_GB2312" w:cs="Calibri" w:hint="eastAsia"/>
          <w:sz w:val="32"/>
          <w:szCs w:val="32"/>
          <w:lang w:val="zh-CN"/>
        </w:rPr>
        <w:t>基本信息，包括</w:t>
      </w:r>
      <w:r w:rsidR="00465DF6" w:rsidRPr="00465DF6">
        <w:rPr>
          <w:rFonts w:ascii="仿宋_GB2312" w:eastAsia="仿宋_GB2312" w:cs="Calibri" w:hint="eastAsia"/>
          <w:sz w:val="32"/>
          <w:szCs w:val="32"/>
        </w:rPr>
        <w:t>一般资料（姓名、性别、年龄、民族、籍贯、学历层次）；主诉（主要症状、就诊的主要原因）；现病史（实施相关因素、演变过程等）；个人史（个人性格特点、兴趣爱好、成长经历、近期是否经历重大事件、身边朋友是否有人实施自伤）；家族史（家庭结构、父母的职业和性格特点、经济状况、社会地位、家庭成员间关系、成长过程中的特殊事件、精神疾病）</w:t>
      </w:r>
      <w:r w:rsidR="001A0448">
        <w:rPr>
          <w:rFonts w:ascii="仿宋_GB2312" w:eastAsia="仿宋_GB2312" w:cs="Calibri" w:hint="eastAsia"/>
          <w:sz w:val="32"/>
          <w:szCs w:val="32"/>
          <w:lang w:val="zh-CN"/>
        </w:rPr>
        <w:t>等。</w:t>
      </w:r>
      <w:r w:rsidR="00EB5182">
        <w:rPr>
          <w:rFonts w:ascii="仿宋_GB2312" w:eastAsia="仿宋_GB2312" w:cs="Calibri" w:hint="eastAsia"/>
          <w:sz w:val="32"/>
          <w:szCs w:val="32"/>
          <w:lang w:val="zh-CN"/>
        </w:rPr>
        <w:t>还可以</w:t>
      </w:r>
      <w:r w:rsidR="00B3127E">
        <w:rPr>
          <w:rFonts w:ascii="仿宋_GB2312" w:eastAsia="仿宋_GB2312" w:cs="Calibri" w:hint="eastAsia"/>
          <w:sz w:val="32"/>
          <w:szCs w:val="32"/>
          <w:lang w:val="zh-CN"/>
        </w:rPr>
        <w:t>询问</w:t>
      </w:r>
      <w:r w:rsidR="00B3127E" w:rsidRPr="00B3127E">
        <w:rPr>
          <w:rFonts w:ascii="仿宋_GB2312" w:eastAsia="仿宋_GB2312" w:cs="Calibri" w:hint="eastAsia"/>
          <w:sz w:val="32"/>
          <w:szCs w:val="32"/>
          <w:lang w:val="zh-CN"/>
        </w:rPr>
        <w:t>了解NSSI发生的开始的时间、频度、地点、方式、部位、严重程度、可能的诱发因素及动机等。有研究表示，询问自伤行为的相关问题并不会增加自伤想法或行为的可能性，甚至不会导致个体痛苦程度的增加。应同时评估可能引起NSSI的其他问题，如焦虑、抑郁等，以便对受访者的心理状态有全面掌握，逐步深入讨论以解决问题</w:t>
      </w:r>
      <w:r w:rsidR="001A0448">
        <w:rPr>
          <w:rFonts w:ascii="仿宋_GB2312" w:eastAsia="仿宋_GB2312" w:cs="Calibri" w:hint="eastAsia"/>
          <w:sz w:val="32"/>
          <w:szCs w:val="32"/>
          <w:lang w:val="zh-CN"/>
        </w:rPr>
        <w:t>。</w:t>
      </w:r>
    </w:p>
    <w:p w:rsidR="000E1281" w:rsidRDefault="00764ACF" w:rsidP="00B6644D">
      <w:pPr>
        <w:pStyle w:val="afff4"/>
        <w:spacing w:line="560" w:lineRule="exact"/>
        <w:ind w:firstLineChars="200" w:firstLine="640"/>
        <w:rPr>
          <w:rFonts w:ascii="仿宋_GB2312" w:eastAsia="仿宋_GB2312" w:cs="Calibri"/>
          <w:sz w:val="32"/>
          <w:szCs w:val="32"/>
          <w:lang w:val="zh-CN"/>
        </w:rPr>
      </w:pPr>
      <w:r>
        <w:rPr>
          <w:rFonts w:ascii="仿宋_GB2312" w:eastAsia="仿宋_GB2312" w:cs="Calibri" w:hint="eastAsia"/>
          <w:sz w:val="32"/>
          <w:szCs w:val="32"/>
          <w:lang w:val="zh-CN"/>
        </w:rPr>
        <w:t>其次</w:t>
      </w:r>
      <w:r>
        <w:rPr>
          <w:rFonts w:ascii="仿宋_GB2312" w:eastAsia="仿宋_GB2312" w:cs="Calibri"/>
          <w:sz w:val="32"/>
          <w:szCs w:val="32"/>
          <w:lang w:val="zh-CN"/>
        </w:rPr>
        <w:t>开展</w:t>
      </w:r>
      <w:r w:rsidR="00252480">
        <w:rPr>
          <w:rFonts w:ascii="仿宋_GB2312" w:eastAsia="仿宋_GB2312" w:cs="Calibri" w:hint="eastAsia"/>
          <w:sz w:val="32"/>
          <w:szCs w:val="32"/>
          <w:lang w:val="zh-CN"/>
        </w:rPr>
        <w:t>量表</w:t>
      </w:r>
      <w:r w:rsidR="001A0448">
        <w:rPr>
          <w:rFonts w:ascii="仿宋_GB2312" w:eastAsia="仿宋_GB2312" w:cs="Calibri" w:hint="eastAsia"/>
          <w:sz w:val="32"/>
          <w:szCs w:val="32"/>
          <w:lang w:val="zh-CN"/>
        </w:rPr>
        <w:t>评估</w:t>
      </w:r>
      <w:r>
        <w:rPr>
          <w:rFonts w:ascii="仿宋_GB2312" w:eastAsia="仿宋_GB2312" w:cs="Calibri" w:hint="eastAsia"/>
          <w:sz w:val="32"/>
          <w:szCs w:val="32"/>
          <w:lang w:val="zh-CN"/>
        </w:rPr>
        <w:t>，</w:t>
      </w:r>
      <w:r w:rsidR="001A0448">
        <w:rPr>
          <w:rFonts w:ascii="仿宋_GB2312" w:eastAsia="仿宋_GB2312" w:cs="Calibri" w:hint="eastAsia"/>
          <w:sz w:val="32"/>
          <w:szCs w:val="32"/>
          <w:lang w:val="zh-CN"/>
        </w:rPr>
        <w:t>使用标准化的评估工具</w:t>
      </w:r>
      <w:r w:rsidR="00BA6E51">
        <w:rPr>
          <w:rFonts w:ascii="仿宋_GB2312" w:eastAsia="仿宋_GB2312" w:cs="Calibri" w:hint="eastAsia"/>
          <w:sz w:val="32"/>
          <w:szCs w:val="32"/>
          <w:lang w:val="zh-CN"/>
        </w:rPr>
        <w:t>如</w:t>
      </w:r>
      <w:r w:rsidR="00BA6E51" w:rsidRPr="00BA6E51">
        <w:rPr>
          <w:rFonts w:ascii="仿宋_GB2312" w:eastAsia="仿宋_GB2312" w:cs="Calibri" w:hint="eastAsia"/>
          <w:sz w:val="32"/>
          <w:szCs w:val="32"/>
        </w:rPr>
        <w:t>《自杀/自伤风险评估及防范记录表》</w:t>
      </w:r>
      <w:r w:rsidR="001A0448">
        <w:rPr>
          <w:rFonts w:ascii="仿宋_GB2312" w:eastAsia="仿宋_GB2312" w:cs="Calibri" w:hint="eastAsia"/>
          <w:sz w:val="32"/>
          <w:szCs w:val="32"/>
          <w:lang w:val="zh-CN"/>
        </w:rPr>
        <w:t>来更系统地了解自伤行为及其背景因素</w:t>
      </w:r>
      <w:r w:rsidR="009375ED">
        <w:rPr>
          <w:rFonts w:ascii="仿宋_GB2312" w:eastAsia="仿宋_GB2312" w:cs="Calibri" w:hint="eastAsia"/>
          <w:sz w:val="32"/>
          <w:szCs w:val="32"/>
          <w:lang w:val="zh-CN"/>
        </w:rPr>
        <w:t>，评估个体的心理健康状况</w:t>
      </w:r>
      <w:r w:rsidR="001A0448" w:rsidRPr="00440C0C">
        <w:rPr>
          <w:rFonts w:ascii="仿宋_GB2312" w:eastAsia="仿宋_GB2312" w:cs="Calibri" w:hint="eastAsia"/>
          <w:color w:val="000000" w:themeColor="text1"/>
          <w:sz w:val="32"/>
          <w:szCs w:val="32"/>
          <w:lang w:val="zh-CN"/>
        </w:rPr>
        <w:t>。</w:t>
      </w:r>
      <w:r w:rsidR="00EE1EF1" w:rsidRPr="00440C0C">
        <w:rPr>
          <w:rFonts w:ascii="仿宋_GB2312" w:eastAsia="仿宋_GB2312" w:cs="Calibri" w:hint="eastAsia"/>
          <w:color w:val="000000" w:themeColor="text1"/>
          <w:sz w:val="32"/>
          <w:szCs w:val="32"/>
          <w:lang w:val="zh-CN"/>
        </w:rPr>
        <w:t>根据文献阅读和</w:t>
      </w:r>
      <w:r w:rsidR="00B6644D" w:rsidRPr="00440C0C">
        <w:rPr>
          <w:rFonts w:ascii="仿宋_GB2312" w:eastAsia="仿宋_GB2312" w:cs="Calibri" w:hint="eastAsia"/>
          <w:color w:val="000000" w:themeColor="text1"/>
          <w:sz w:val="32"/>
          <w:szCs w:val="32"/>
          <w:lang w:val="zh-CN"/>
        </w:rPr>
        <w:t>编制组</w:t>
      </w:r>
      <w:r w:rsidR="00EE1EF1" w:rsidRPr="00440C0C">
        <w:rPr>
          <w:rFonts w:ascii="仿宋_GB2312" w:eastAsia="仿宋_GB2312" w:cs="Calibri" w:hint="eastAsia"/>
          <w:color w:val="000000" w:themeColor="text1"/>
          <w:sz w:val="32"/>
          <w:szCs w:val="32"/>
          <w:lang w:val="zh-CN"/>
        </w:rPr>
        <w:t>讨论，将青少年非自杀性自伤行为分为2个维</w:t>
      </w:r>
      <w:r w:rsidR="00B6644D" w:rsidRPr="00440C0C">
        <w:rPr>
          <w:rFonts w:ascii="仿宋_GB2312" w:eastAsia="仿宋_GB2312" w:cs="Calibri" w:hint="eastAsia"/>
          <w:color w:val="000000" w:themeColor="text1"/>
          <w:sz w:val="32"/>
          <w:szCs w:val="32"/>
          <w:lang w:val="zh-CN"/>
        </w:rPr>
        <w:t>度:(1)无明显组织损伤的自伤行为:指个体实施的自伤行为没有造成明显、严重的身体组织损伤，如掐伤、抓伤、拽头发等行为;(2)有明显组织损伤的自伤行为:指个体实施的自伤行为可能会造成大量出血、划痕及其他的组织损伤，如割伤、烧伤、在皮肤上刻字或符号等。青少年非自杀性自伤功能分为3个维度:(1)利己社交:指个体实施NSSI的目的是为了创造良好的状态或满足社交需要;(2)自我负强化:缓解或从</w:t>
      </w:r>
      <w:r w:rsidR="00B6644D" w:rsidRPr="00440C0C">
        <w:rPr>
          <w:rFonts w:ascii="仿宋_GB2312" w:eastAsia="仿宋_GB2312" w:cs="Calibri" w:hint="eastAsia"/>
          <w:color w:val="000000" w:themeColor="text1"/>
          <w:sz w:val="32"/>
          <w:szCs w:val="32"/>
          <w:lang w:val="zh-CN"/>
        </w:rPr>
        <w:lastRenderedPageBreak/>
        <w:t>某种不好的状态中解脱出来;(3)情绪表达:实施NSSI是为了表达自我情绪感受。</w:t>
      </w:r>
    </w:p>
    <w:p w:rsidR="00544D3B" w:rsidRPr="00CD7F8A" w:rsidRDefault="00544D3B">
      <w:pPr>
        <w:pStyle w:val="afff4"/>
        <w:spacing w:line="560" w:lineRule="exact"/>
        <w:ind w:firstLineChars="200" w:firstLine="643"/>
        <w:rPr>
          <w:rFonts w:ascii="仿宋_GB2312" w:eastAsia="仿宋_GB2312" w:cs="Calibri"/>
          <w:b/>
          <w:sz w:val="32"/>
          <w:szCs w:val="32"/>
          <w:lang w:val="zh-CN"/>
        </w:rPr>
      </w:pPr>
      <w:r w:rsidRPr="00CD7F8A">
        <w:rPr>
          <w:rFonts w:ascii="仿宋_GB2312" w:eastAsia="仿宋_GB2312" w:cs="Calibri" w:hint="eastAsia"/>
          <w:b/>
          <w:sz w:val="32"/>
          <w:szCs w:val="32"/>
          <w:lang w:val="zh-CN"/>
        </w:rPr>
        <w:t>4.</w:t>
      </w:r>
      <w:r w:rsidR="00BA6E51">
        <w:rPr>
          <w:rFonts w:ascii="仿宋_GB2312" w:eastAsia="仿宋_GB2312" w:cs="Calibri"/>
          <w:b/>
          <w:sz w:val="32"/>
          <w:szCs w:val="32"/>
          <w:lang w:val="zh-CN"/>
        </w:rPr>
        <w:t>评估</w:t>
      </w:r>
      <w:r w:rsidR="00BA6E51">
        <w:rPr>
          <w:rFonts w:ascii="仿宋_GB2312" w:eastAsia="仿宋_GB2312" w:cs="Calibri" w:hint="eastAsia"/>
          <w:b/>
          <w:sz w:val="32"/>
          <w:szCs w:val="32"/>
          <w:lang w:val="zh-CN"/>
        </w:rPr>
        <w:t>结果</w:t>
      </w:r>
      <w:r w:rsidR="00BA6E51">
        <w:rPr>
          <w:rFonts w:ascii="仿宋_GB2312" w:eastAsia="仿宋_GB2312" w:cs="Calibri"/>
          <w:b/>
          <w:sz w:val="32"/>
          <w:szCs w:val="32"/>
          <w:lang w:val="zh-CN"/>
        </w:rPr>
        <w:t>判断</w:t>
      </w:r>
      <w:r w:rsidRPr="00CD7F8A">
        <w:rPr>
          <w:rFonts w:ascii="仿宋_GB2312" w:eastAsia="仿宋_GB2312" w:cs="Calibri"/>
          <w:b/>
          <w:sz w:val="32"/>
          <w:szCs w:val="32"/>
          <w:lang w:val="zh-CN"/>
        </w:rPr>
        <w:t>、制定干预</w:t>
      </w:r>
      <w:r w:rsidR="00BA6E51">
        <w:rPr>
          <w:rFonts w:ascii="仿宋_GB2312" w:eastAsia="仿宋_GB2312" w:cs="Calibri" w:hint="eastAsia"/>
          <w:b/>
          <w:sz w:val="32"/>
          <w:szCs w:val="32"/>
          <w:lang w:val="zh-CN"/>
        </w:rPr>
        <w:t>策略</w:t>
      </w:r>
    </w:p>
    <w:p w:rsidR="00544D3B" w:rsidRDefault="004D5090">
      <w:pPr>
        <w:pStyle w:val="afff4"/>
        <w:spacing w:line="560" w:lineRule="exact"/>
        <w:ind w:firstLineChars="200" w:firstLine="640"/>
        <w:rPr>
          <w:rFonts w:ascii="仿宋_GB2312" w:eastAsia="仿宋_GB2312" w:cs="Calibri"/>
          <w:sz w:val="32"/>
          <w:szCs w:val="32"/>
          <w:lang w:val="zh-CN"/>
        </w:rPr>
      </w:pPr>
      <w:r>
        <w:rPr>
          <w:rFonts w:ascii="仿宋_GB2312" w:eastAsia="仿宋_GB2312" w:cs="Calibri" w:hint="eastAsia"/>
          <w:sz w:val="32"/>
          <w:szCs w:val="32"/>
          <w:lang w:val="zh-CN"/>
        </w:rPr>
        <w:t>实施</w:t>
      </w:r>
      <w:r>
        <w:rPr>
          <w:rFonts w:ascii="仿宋_GB2312" w:eastAsia="仿宋_GB2312" w:cs="Calibri"/>
          <w:sz w:val="32"/>
          <w:szCs w:val="32"/>
          <w:lang w:val="zh-CN"/>
        </w:rPr>
        <w:t>评估后，需要出具</w:t>
      </w:r>
      <w:r w:rsidRPr="004D5090">
        <w:rPr>
          <w:rFonts w:ascii="仿宋_GB2312" w:eastAsia="仿宋_GB2312" w:cs="Calibri" w:hint="eastAsia"/>
          <w:sz w:val="32"/>
          <w:szCs w:val="32"/>
          <w:lang w:val="zh-CN"/>
        </w:rPr>
        <w:t>评估报告</w:t>
      </w:r>
      <w:r>
        <w:rPr>
          <w:rFonts w:ascii="仿宋_GB2312" w:eastAsia="仿宋_GB2312" w:cs="Calibri" w:hint="eastAsia"/>
          <w:sz w:val="32"/>
          <w:szCs w:val="32"/>
          <w:lang w:val="zh-CN"/>
        </w:rPr>
        <w:t>，</w:t>
      </w:r>
      <w:r w:rsidRPr="004D5090">
        <w:rPr>
          <w:rFonts w:ascii="仿宋_GB2312" w:eastAsia="仿宋_GB2312" w:cs="Calibri" w:hint="eastAsia"/>
          <w:sz w:val="32"/>
          <w:szCs w:val="32"/>
          <w:lang w:val="zh-CN"/>
        </w:rPr>
        <w:t>详细记录儿童或青少年患者的行为特征、发生频率、具体自</w:t>
      </w:r>
      <w:r w:rsidR="007F1536">
        <w:rPr>
          <w:rFonts w:ascii="仿宋_GB2312" w:eastAsia="仿宋_GB2312" w:cs="Calibri" w:hint="eastAsia"/>
          <w:sz w:val="32"/>
          <w:szCs w:val="32"/>
          <w:lang w:val="zh-CN"/>
        </w:rPr>
        <w:t>伤方式等，帮助医生或心理治疗师进行准确诊断，并制定有效的干预</w:t>
      </w:r>
      <w:r>
        <w:rPr>
          <w:rFonts w:ascii="仿宋_GB2312" w:eastAsia="仿宋_GB2312" w:cs="Calibri" w:hint="eastAsia"/>
          <w:sz w:val="32"/>
          <w:szCs w:val="32"/>
          <w:lang w:val="zh-CN"/>
        </w:rPr>
        <w:t>计划。</w:t>
      </w:r>
    </w:p>
    <w:p w:rsidR="00FD4A8B" w:rsidRPr="00440C0C" w:rsidRDefault="00FD4A8B" w:rsidP="009451B4">
      <w:pPr>
        <w:pStyle w:val="afff4"/>
        <w:spacing w:line="560" w:lineRule="exact"/>
        <w:ind w:firstLineChars="200" w:firstLine="640"/>
        <w:rPr>
          <w:rFonts w:ascii="仿宋_GB2312" w:eastAsia="仿宋_GB2312" w:cs="Calibri"/>
          <w:color w:val="000000" w:themeColor="text1"/>
          <w:sz w:val="32"/>
          <w:szCs w:val="32"/>
          <w:lang w:val="zh-CN"/>
        </w:rPr>
      </w:pPr>
      <w:r w:rsidRPr="00440C0C">
        <w:rPr>
          <w:rFonts w:ascii="仿宋_GB2312" w:eastAsia="仿宋_GB2312" w:cs="Calibri" w:hint="eastAsia"/>
          <w:color w:val="000000" w:themeColor="text1"/>
          <w:sz w:val="32"/>
          <w:szCs w:val="32"/>
          <w:lang w:val="zh-CN"/>
        </w:rPr>
        <w:t>根据评估</w:t>
      </w:r>
      <w:r w:rsidR="009C3C3D" w:rsidRPr="00440C0C">
        <w:rPr>
          <w:rFonts w:ascii="仿宋_GB2312" w:eastAsia="仿宋_GB2312" w:cs="Calibri" w:hint="eastAsia"/>
          <w:color w:val="000000" w:themeColor="text1"/>
          <w:sz w:val="32"/>
          <w:szCs w:val="32"/>
          <w:lang w:val="zh-CN"/>
        </w:rPr>
        <w:t>报告</w:t>
      </w:r>
      <w:r w:rsidR="009C3C3D" w:rsidRPr="00440C0C">
        <w:rPr>
          <w:rFonts w:ascii="仿宋_GB2312" w:eastAsia="仿宋_GB2312" w:cs="Calibri"/>
          <w:color w:val="000000" w:themeColor="text1"/>
          <w:sz w:val="32"/>
          <w:szCs w:val="32"/>
          <w:lang w:val="zh-CN"/>
        </w:rPr>
        <w:t>给出的</w:t>
      </w:r>
      <w:r w:rsidRPr="00440C0C">
        <w:rPr>
          <w:rFonts w:ascii="仿宋_GB2312" w:eastAsia="仿宋_GB2312" w:cs="Calibri" w:hint="eastAsia"/>
          <w:color w:val="000000" w:themeColor="text1"/>
          <w:sz w:val="32"/>
          <w:szCs w:val="32"/>
          <w:lang w:val="zh-CN"/>
        </w:rPr>
        <w:t>结果和风险等级，制定个性化的干预计划。干预计划可包括心理治疗、家庭治疗、药物治疗、学校和社区支持等多方面的措施。</w:t>
      </w:r>
      <w:r w:rsidR="009451B4" w:rsidRPr="00440C0C">
        <w:rPr>
          <w:rFonts w:ascii="仿宋_GB2312" w:eastAsia="仿宋_GB2312" w:cs="Calibri" w:hint="eastAsia"/>
          <w:color w:val="000000" w:themeColor="text1"/>
          <w:sz w:val="32"/>
          <w:szCs w:val="32"/>
          <w:lang w:val="zh-CN"/>
        </w:rPr>
        <w:t>心理治疗</w:t>
      </w:r>
      <w:r w:rsidR="009451B4" w:rsidRPr="00440C0C">
        <w:rPr>
          <w:rFonts w:ascii="仿宋_GB2312" w:eastAsia="仿宋_GB2312" w:cs="Calibri"/>
          <w:color w:val="000000" w:themeColor="text1"/>
          <w:sz w:val="32"/>
          <w:szCs w:val="32"/>
          <w:lang w:val="zh-CN"/>
        </w:rPr>
        <w:t>，</w:t>
      </w:r>
      <w:r w:rsidR="009451B4" w:rsidRPr="00440C0C">
        <w:rPr>
          <w:rFonts w:ascii="仿宋_GB2312" w:eastAsia="仿宋_GB2312" w:cs="Calibri" w:hint="eastAsia"/>
          <w:color w:val="000000" w:themeColor="text1"/>
          <w:sz w:val="32"/>
          <w:szCs w:val="32"/>
          <w:lang w:val="zh-CN"/>
        </w:rPr>
        <w:t>提供情绪和情感支持，引导青少年选择安全合理的宣泄方式，减少或避免极端行为。引导青少年正确认识诱发自伤行为的负面情绪，通过正念的方式有意识地专注此时此刻的想法、感受，从负面情绪中分离出来；</w:t>
      </w:r>
      <w:r w:rsidR="009451B4" w:rsidRPr="00440C0C">
        <w:rPr>
          <w:rFonts w:ascii="仿宋_GB2312" w:eastAsia="仿宋_GB2312" w:cs="Calibri"/>
          <w:color w:val="000000" w:themeColor="text1"/>
          <w:sz w:val="32"/>
          <w:szCs w:val="32"/>
          <w:lang w:val="zh-CN"/>
        </w:rPr>
        <w:t>家庭治疗，</w:t>
      </w:r>
      <w:r w:rsidR="009451B4" w:rsidRPr="00440C0C">
        <w:rPr>
          <w:rFonts w:ascii="仿宋_GB2312" w:eastAsia="仿宋_GB2312" w:cs="Calibri"/>
          <w:color w:val="000000" w:themeColor="text1"/>
          <w:sz w:val="32"/>
          <w:szCs w:val="32"/>
        </w:rPr>
        <w:t>将情况告知其父母或监护人，创造和谐的家庭氛围，关注孩子的同伴关系</w:t>
      </w:r>
      <w:r w:rsidR="009451B4" w:rsidRPr="00440C0C">
        <w:rPr>
          <w:rFonts w:ascii="仿宋_GB2312" w:eastAsia="仿宋_GB2312" w:cs="Calibri" w:hint="eastAsia"/>
          <w:color w:val="000000" w:themeColor="text1"/>
          <w:sz w:val="32"/>
          <w:szCs w:val="32"/>
        </w:rPr>
        <w:t>；</w:t>
      </w:r>
      <w:r w:rsidR="00D54865" w:rsidRPr="00440C0C">
        <w:rPr>
          <w:rFonts w:ascii="仿宋_GB2312" w:eastAsia="仿宋_GB2312" w:cs="Calibri" w:hint="eastAsia"/>
          <w:color w:val="000000" w:themeColor="text1"/>
          <w:sz w:val="32"/>
          <w:szCs w:val="32"/>
        </w:rPr>
        <w:t>学校和社区支持，与班主任、心理教师、德育主任和家长等保持紧密联系和沟通，共同关注青少年的心理健康</w:t>
      </w:r>
      <w:r w:rsidR="00440C0C" w:rsidRPr="00440C0C">
        <w:rPr>
          <w:rFonts w:ascii="仿宋_GB2312" w:eastAsia="仿宋_GB2312" w:cs="Calibri" w:hint="eastAsia"/>
          <w:color w:val="000000" w:themeColor="text1"/>
          <w:sz w:val="32"/>
          <w:szCs w:val="32"/>
        </w:rPr>
        <w:t>。</w:t>
      </w:r>
    </w:p>
    <w:p w:rsidR="00440C0C" w:rsidRPr="00CD7F8A" w:rsidRDefault="00544D3B">
      <w:pPr>
        <w:pStyle w:val="afff4"/>
        <w:spacing w:line="560" w:lineRule="exact"/>
        <w:ind w:firstLineChars="200" w:firstLine="643"/>
        <w:rPr>
          <w:rFonts w:ascii="仿宋_GB2312" w:eastAsia="仿宋_GB2312" w:cs="Calibri"/>
          <w:b/>
          <w:sz w:val="32"/>
          <w:szCs w:val="32"/>
          <w:lang w:val="zh-CN"/>
        </w:rPr>
      </w:pPr>
      <w:r w:rsidRPr="00CD7F8A">
        <w:rPr>
          <w:rFonts w:ascii="仿宋_GB2312" w:eastAsia="仿宋_GB2312" w:cs="Calibri" w:hint="eastAsia"/>
          <w:b/>
          <w:sz w:val="32"/>
          <w:szCs w:val="32"/>
          <w:lang w:val="zh-CN"/>
        </w:rPr>
        <w:t>5.</w:t>
      </w:r>
      <w:r w:rsidR="001A0448" w:rsidRPr="00CD7F8A">
        <w:rPr>
          <w:rFonts w:ascii="仿宋_GB2312" w:eastAsia="仿宋_GB2312" w:cs="Calibri" w:hint="eastAsia"/>
          <w:b/>
          <w:sz w:val="32"/>
          <w:szCs w:val="32"/>
          <w:lang w:val="zh-CN"/>
        </w:rPr>
        <w:t>建立档案记录</w:t>
      </w:r>
    </w:p>
    <w:p w:rsidR="000E1281" w:rsidRDefault="001A0448">
      <w:pPr>
        <w:pStyle w:val="afff4"/>
        <w:spacing w:line="560" w:lineRule="exact"/>
        <w:ind w:firstLineChars="200" w:firstLine="640"/>
        <w:rPr>
          <w:rFonts w:ascii="仿宋_GB2312" w:eastAsia="仿宋_GB2312" w:cs="Calibri"/>
          <w:sz w:val="32"/>
          <w:szCs w:val="32"/>
          <w:lang w:val="zh-CN"/>
        </w:rPr>
      </w:pPr>
      <w:r>
        <w:rPr>
          <w:rFonts w:ascii="仿宋_GB2312" w:eastAsia="仿宋_GB2312" w:cs="Calibri" w:hint="eastAsia"/>
          <w:sz w:val="32"/>
          <w:szCs w:val="32"/>
          <w:lang w:val="zh-CN"/>
        </w:rPr>
        <w:t>对所接诊的儿童青少年建立档案记录。应有专人负责管理，进行日常管理、协调与持续质量评价评估质量。严格患者隐私保护，不应泄露患者信息。妥善处理投诉，定期收集患者反馈意见，核实、分析与整改。及时总结非自杀性自伤风险评估中的典型案例，积极开展科内及医院间反馈和交流。</w:t>
      </w:r>
    </w:p>
    <w:p w:rsidR="00440C0C" w:rsidRPr="00CD7F8A" w:rsidRDefault="00544D3B">
      <w:pPr>
        <w:pStyle w:val="afff4"/>
        <w:spacing w:line="560" w:lineRule="exact"/>
        <w:ind w:firstLineChars="200" w:firstLine="643"/>
        <w:rPr>
          <w:rFonts w:ascii="仿宋_GB2312" w:eastAsia="仿宋_GB2312" w:cs="Calibri"/>
          <w:b/>
          <w:sz w:val="32"/>
          <w:szCs w:val="32"/>
          <w:lang w:val="zh-CN"/>
        </w:rPr>
      </w:pPr>
      <w:r w:rsidRPr="00CD7F8A">
        <w:rPr>
          <w:rFonts w:ascii="仿宋_GB2312" w:eastAsia="仿宋_GB2312" w:cs="Calibri" w:hint="eastAsia"/>
          <w:b/>
          <w:sz w:val="32"/>
          <w:szCs w:val="32"/>
          <w:lang w:val="zh-CN"/>
        </w:rPr>
        <w:t>6</w:t>
      </w:r>
      <w:r w:rsidRPr="00CD7F8A">
        <w:rPr>
          <w:rFonts w:ascii="仿宋_GB2312" w:eastAsia="仿宋_GB2312" w:cs="Calibri"/>
          <w:b/>
          <w:sz w:val="32"/>
          <w:szCs w:val="32"/>
          <w:lang w:val="zh-CN"/>
        </w:rPr>
        <w:t>.</w:t>
      </w:r>
      <w:r w:rsidR="001A0448" w:rsidRPr="00CD7F8A">
        <w:rPr>
          <w:rFonts w:ascii="仿宋_GB2312" w:eastAsia="仿宋_GB2312" w:cs="Calibri" w:hint="eastAsia"/>
          <w:b/>
          <w:sz w:val="32"/>
          <w:szCs w:val="32"/>
          <w:lang w:val="zh-CN"/>
        </w:rPr>
        <w:t>监测和复评</w:t>
      </w:r>
    </w:p>
    <w:p w:rsidR="00440C0C" w:rsidRPr="00440C0C" w:rsidRDefault="00440C0C" w:rsidP="00440C0C">
      <w:pPr>
        <w:pStyle w:val="afff4"/>
        <w:spacing w:line="560" w:lineRule="exact"/>
        <w:ind w:firstLineChars="200" w:firstLine="640"/>
        <w:rPr>
          <w:rFonts w:ascii="仿宋_GB2312" w:eastAsia="仿宋_GB2312" w:cs="Calibri"/>
          <w:sz w:val="32"/>
          <w:szCs w:val="32"/>
          <w:lang w:val="zh-CN"/>
        </w:rPr>
      </w:pPr>
      <w:r w:rsidRPr="00440C0C">
        <w:rPr>
          <w:rFonts w:ascii="仿宋_GB2312" w:eastAsia="仿宋_GB2312" w:cs="Calibri" w:hint="eastAsia"/>
          <w:sz w:val="32"/>
          <w:szCs w:val="32"/>
          <w:lang w:val="zh-CN"/>
        </w:rPr>
        <w:t>监测和自评儿童青少年的NSSI行为可以帮助早期发现和干预，从而防止病情恶化</w:t>
      </w:r>
      <w:r>
        <w:rPr>
          <w:rFonts w:ascii="仿宋_GB2312" w:eastAsia="仿宋_GB2312" w:cs="Calibri" w:hint="eastAsia"/>
          <w:sz w:val="32"/>
          <w:szCs w:val="32"/>
          <w:lang w:val="zh-CN"/>
        </w:rPr>
        <w:t>。</w:t>
      </w:r>
      <w:r w:rsidRPr="00440C0C">
        <w:rPr>
          <w:rFonts w:ascii="仿宋_GB2312" w:eastAsia="仿宋_GB2312" w:cs="Calibri" w:hint="eastAsia"/>
          <w:sz w:val="32"/>
          <w:szCs w:val="32"/>
          <w:lang w:val="zh-CN"/>
        </w:rPr>
        <w:t>对儿童青少年的NSSI行为进行长期的</w:t>
      </w:r>
      <w:r w:rsidRPr="00440C0C">
        <w:rPr>
          <w:rFonts w:ascii="仿宋_GB2312" w:eastAsia="仿宋_GB2312" w:cs="Calibri" w:hint="eastAsia"/>
          <w:sz w:val="32"/>
          <w:szCs w:val="32"/>
          <w:lang w:val="zh-CN"/>
        </w:rPr>
        <w:lastRenderedPageBreak/>
        <w:t>追踪和评估对于评估治疗效果和调整干预策略也是非常重要的</w:t>
      </w:r>
      <w:r>
        <w:rPr>
          <w:rFonts w:ascii="仿宋_GB2312" w:eastAsia="仿宋_GB2312" w:cs="Calibri" w:hint="eastAsia"/>
          <w:sz w:val="32"/>
          <w:szCs w:val="32"/>
          <w:lang w:val="zh-CN"/>
        </w:rPr>
        <w:t>，</w:t>
      </w:r>
      <w:r w:rsidRPr="00440C0C">
        <w:rPr>
          <w:rFonts w:ascii="仿宋_GB2312" w:eastAsia="仿宋_GB2312" w:cs="Calibri" w:hint="eastAsia"/>
          <w:sz w:val="32"/>
          <w:szCs w:val="32"/>
          <w:lang w:val="zh-CN"/>
        </w:rPr>
        <w:t>定期监测进展情况和个体的反应，调整干预措施以应对新的挑战或需求。根据需要进行复评，以确保干预效果，并支持长期的恢复和发展。</w:t>
      </w:r>
    </w:p>
    <w:p w:rsidR="000E1281" w:rsidRDefault="001A0448">
      <w:pPr>
        <w:pStyle w:val="a6"/>
        <w:numPr>
          <w:ilvl w:val="0"/>
          <w:numId w:val="0"/>
        </w:numPr>
        <w:spacing w:beforeLines="0" w:afterLines="0" w:line="360" w:lineRule="auto"/>
        <w:ind w:firstLineChars="196" w:firstLine="630"/>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本标准研制过程中无重大分歧意见。</w:t>
      </w:r>
    </w:p>
    <w:p w:rsidR="000E1281" w:rsidRDefault="001A0448">
      <w:pPr>
        <w:autoSpaceDE w:val="0"/>
        <w:autoSpaceDN w:val="0"/>
        <w:adjustRightInd w:val="0"/>
        <w:spacing w:beforeLines="50" w:before="120" w:afterLines="50" w:after="120" w:line="520" w:lineRule="exact"/>
        <w:ind w:firstLineChars="200" w:firstLine="640"/>
        <w:outlineLvl w:val="0"/>
        <w:rPr>
          <w:rFonts w:eastAsia="黑体"/>
          <w:sz w:val="32"/>
          <w:szCs w:val="32"/>
        </w:rPr>
      </w:pPr>
      <w:r>
        <w:rPr>
          <w:rFonts w:ascii="黑体" w:eastAsia="黑体" w:hint="eastAsia"/>
          <w:bCs/>
          <w:sz w:val="32"/>
          <w:szCs w:val="32"/>
        </w:rPr>
        <w:t>七、</w:t>
      </w:r>
      <w:r>
        <w:rPr>
          <w:rFonts w:eastAsia="黑体" w:hint="eastAsia"/>
          <w:sz w:val="32"/>
          <w:szCs w:val="32"/>
        </w:rPr>
        <w:t>实施标准的措施</w:t>
      </w:r>
    </w:p>
    <w:p w:rsidR="000E1281" w:rsidRDefault="001A0448">
      <w:pPr>
        <w:spacing w:line="500" w:lineRule="exact"/>
        <w:ind w:firstLine="675"/>
        <w:rPr>
          <w:rFonts w:ascii="仿宋" w:eastAsia="仿宋" w:hAnsi="仿宋" w:cs="仿宋_GB2312"/>
          <w:b/>
          <w:sz w:val="32"/>
          <w:szCs w:val="32"/>
        </w:rPr>
      </w:pPr>
      <w:r>
        <w:rPr>
          <w:rFonts w:ascii="仿宋" w:eastAsia="仿宋" w:hAnsi="仿宋" w:cs="仿宋_GB2312" w:hint="eastAsia"/>
          <w:b/>
          <w:sz w:val="32"/>
          <w:szCs w:val="32"/>
        </w:rPr>
        <w:t>（一）标准报批发布后，成立标准宣贯工作组</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rsidR="000E1281" w:rsidRDefault="001A0448">
      <w:pPr>
        <w:spacing w:line="500" w:lineRule="exact"/>
        <w:ind w:firstLine="675"/>
        <w:rPr>
          <w:rFonts w:ascii="仿宋" w:eastAsia="仿宋" w:hAnsi="仿宋"/>
          <w:b/>
          <w:sz w:val="32"/>
          <w:szCs w:val="32"/>
        </w:rPr>
      </w:pPr>
      <w:r>
        <w:rPr>
          <w:rFonts w:ascii="仿宋" w:eastAsia="仿宋" w:hAnsi="仿宋" w:hint="eastAsia"/>
          <w:b/>
          <w:sz w:val="32"/>
          <w:szCs w:val="32"/>
        </w:rPr>
        <w:t>（二）组织开展标准宣贯培训</w:t>
      </w:r>
    </w:p>
    <w:p w:rsidR="000E1281" w:rsidRDefault="001A0448">
      <w:pPr>
        <w:spacing w:line="520" w:lineRule="exact"/>
        <w:ind w:firstLineChars="200" w:firstLine="640"/>
        <w:rPr>
          <w:rFonts w:ascii="仿宋" w:eastAsia="仿宋" w:hAnsi="仿宋"/>
          <w:sz w:val="32"/>
          <w:szCs w:val="32"/>
        </w:rPr>
      </w:pPr>
      <w:r>
        <w:rPr>
          <w:rFonts w:ascii="仿宋_GB2312" w:eastAsia="仿宋_GB2312" w:hint="eastAsia"/>
          <w:sz w:val="32"/>
          <w:szCs w:val="32"/>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施落地，促进医疗卫生事业健康发展。</w:t>
      </w:r>
    </w:p>
    <w:p w:rsidR="000E1281" w:rsidRDefault="001A0448">
      <w:pPr>
        <w:spacing w:line="500" w:lineRule="exact"/>
        <w:ind w:firstLine="675"/>
        <w:rPr>
          <w:rFonts w:ascii="仿宋" w:eastAsia="仿宋" w:hAnsi="仿宋"/>
          <w:b/>
          <w:sz w:val="32"/>
          <w:szCs w:val="32"/>
        </w:rPr>
      </w:pPr>
      <w:r>
        <w:rPr>
          <w:rFonts w:ascii="仿宋" w:eastAsia="仿宋" w:hAnsi="仿宋" w:hint="eastAsia"/>
          <w:b/>
          <w:sz w:val="32"/>
          <w:szCs w:val="32"/>
        </w:rPr>
        <w:t>（三）开展标准实施交流会，收集标准实施反馈信息</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标准起草小组深入各市县相关机构技术人员召开标准实施交流会，听取标准实施过程中存在的问题并做好记录和解答，对存在的问题组织专家团队进行研讨，为标准的复审修订做准备。</w:t>
      </w:r>
    </w:p>
    <w:p w:rsidR="000E1281" w:rsidRDefault="001A0448">
      <w:pPr>
        <w:spacing w:line="500" w:lineRule="exact"/>
        <w:ind w:firstLine="675"/>
        <w:rPr>
          <w:rFonts w:ascii="仿宋_GB2312" w:eastAsia="仿宋_GB2312"/>
          <w:b/>
          <w:sz w:val="28"/>
          <w:szCs w:val="28"/>
        </w:rPr>
      </w:pPr>
      <w:r>
        <w:rPr>
          <w:rFonts w:ascii="仿宋" w:eastAsia="仿宋" w:hAnsi="仿宋" w:hint="eastAsia"/>
          <w:b/>
          <w:sz w:val="32"/>
          <w:szCs w:val="32"/>
        </w:rPr>
        <w:t>（四）开展标准实施效果评估</w:t>
      </w:r>
    </w:p>
    <w:p w:rsidR="000E1281" w:rsidRDefault="001A0448">
      <w:pPr>
        <w:spacing w:line="520" w:lineRule="exact"/>
        <w:ind w:firstLineChars="200" w:firstLine="640"/>
        <w:rPr>
          <w:rFonts w:ascii="仿宋" w:eastAsia="仿宋" w:hAnsi="仿宋"/>
          <w:sz w:val="32"/>
          <w:szCs w:val="32"/>
        </w:rPr>
      </w:pPr>
      <w:r>
        <w:rPr>
          <w:rFonts w:ascii="仿宋_GB2312" w:eastAsia="仿宋_GB2312" w:hint="eastAsia"/>
          <w:sz w:val="32"/>
          <w:szCs w:val="32"/>
        </w:rPr>
        <w:t>标准实施满2年，每年标准宣贯工作组采取网络调查、问卷调查、实地调研、召开座谈会或论证会、专家咨询等方式开展标</w:t>
      </w:r>
      <w:r>
        <w:rPr>
          <w:rFonts w:ascii="仿宋_GB2312" w:eastAsia="仿宋_GB2312" w:hint="eastAsia"/>
          <w:sz w:val="32"/>
          <w:szCs w:val="32"/>
        </w:rPr>
        <w:lastRenderedPageBreak/>
        <w:t>准实施效果评估，并形成标准实施效果评估报告，为标准的复审修订做准备。</w:t>
      </w:r>
    </w:p>
    <w:p w:rsidR="000E1281" w:rsidRDefault="001A0448">
      <w:pPr>
        <w:spacing w:before="156" w:after="156" w:line="520" w:lineRule="exact"/>
        <w:outlineLvl w:val="0"/>
        <w:rPr>
          <w:rFonts w:ascii="黑体" w:eastAsia="黑体"/>
          <w:bCs/>
          <w:sz w:val="32"/>
          <w:szCs w:val="32"/>
        </w:rPr>
      </w:pPr>
      <w:r>
        <w:rPr>
          <w:rFonts w:ascii="黑体" w:eastAsia="黑体" w:hint="eastAsia"/>
          <w:bCs/>
          <w:sz w:val="32"/>
          <w:szCs w:val="32"/>
        </w:rPr>
        <w:t>八、其他应当说明的事项</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无。</w:t>
      </w:r>
    </w:p>
    <w:p w:rsidR="000E1281" w:rsidRDefault="001A0448">
      <w:pPr>
        <w:autoSpaceDE w:val="0"/>
        <w:autoSpaceDN w:val="0"/>
        <w:adjustRightInd w:val="0"/>
        <w:spacing w:beforeLines="50" w:before="120" w:afterLines="50" w:after="120" w:line="520" w:lineRule="exact"/>
        <w:outlineLvl w:val="0"/>
        <w:rPr>
          <w:rFonts w:eastAsia="黑体"/>
          <w:sz w:val="32"/>
          <w:szCs w:val="32"/>
        </w:rPr>
      </w:pPr>
      <w:r>
        <w:rPr>
          <w:rFonts w:eastAsia="黑体" w:hint="eastAsia"/>
          <w:sz w:val="32"/>
          <w:szCs w:val="32"/>
        </w:rPr>
        <w:t>九、自我承诺</w:t>
      </w:r>
    </w:p>
    <w:p w:rsidR="000E1281" w:rsidRDefault="001A0448">
      <w:pPr>
        <w:spacing w:line="520" w:lineRule="exact"/>
        <w:ind w:firstLineChars="200" w:firstLine="640"/>
        <w:rPr>
          <w:rFonts w:ascii="仿宋_GB2312" w:eastAsia="仿宋_GB2312"/>
          <w:sz w:val="32"/>
          <w:szCs w:val="32"/>
        </w:rPr>
      </w:pPr>
      <w:r>
        <w:rPr>
          <w:rFonts w:ascii="仿宋_GB2312" w:eastAsia="仿宋_GB2312" w:hint="eastAsia"/>
          <w:sz w:val="32"/>
          <w:szCs w:val="32"/>
        </w:rPr>
        <w:t>本标准内容与各项指标不低于强制性标准要求。</w:t>
      </w:r>
    </w:p>
    <w:p w:rsidR="000E1281" w:rsidRDefault="000E1281">
      <w:pPr>
        <w:pStyle w:val="-1"/>
        <w:rPr>
          <w:rFonts w:ascii="仿宋_GB2312" w:eastAsia="仿宋_GB2312" w:cs="Calibri"/>
          <w:sz w:val="32"/>
          <w:szCs w:val="32"/>
        </w:rPr>
      </w:pPr>
    </w:p>
    <w:p w:rsidR="000E1281" w:rsidRDefault="000E1281">
      <w:pPr>
        <w:pStyle w:val="-1"/>
        <w:rPr>
          <w:rFonts w:ascii="仿宋_GB2312" w:eastAsia="仿宋_GB2312"/>
          <w:sz w:val="28"/>
          <w:szCs w:val="28"/>
        </w:rPr>
      </w:pPr>
    </w:p>
    <w:p w:rsidR="000E1281" w:rsidRDefault="000E1281">
      <w:pPr>
        <w:pStyle w:val="-1"/>
        <w:rPr>
          <w:rFonts w:ascii="仿宋_GB2312" w:eastAsia="仿宋_GB2312"/>
          <w:sz w:val="28"/>
          <w:szCs w:val="28"/>
        </w:rPr>
      </w:pPr>
    </w:p>
    <w:p w:rsidR="000E1281" w:rsidRDefault="001A0448">
      <w:pPr>
        <w:spacing w:line="520" w:lineRule="exact"/>
        <w:ind w:firstLineChars="200" w:firstLine="640"/>
        <w:jc w:val="right"/>
        <w:rPr>
          <w:rFonts w:ascii="仿宋_GB2312" w:eastAsia="仿宋_GB2312"/>
          <w:sz w:val="32"/>
          <w:szCs w:val="32"/>
        </w:rPr>
      </w:pPr>
      <w:r>
        <w:rPr>
          <w:rFonts w:ascii="仿宋_GB2312" w:eastAsia="仿宋_GB2312" w:hint="eastAsia"/>
          <w:sz w:val="32"/>
          <w:szCs w:val="32"/>
        </w:rPr>
        <w:t>团体标准《儿童青少年非自杀性自伤风险评估规范》</w:t>
      </w:r>
    </w:p>
    <w:p w:rsidR="000E1281" w:rsidRDefault="001A0448">
      <w:pPr>
        <w:spacing w:line="520" w:lineRule="exact"/>
        <w:ind w:firstLineChars="200" w:firstLine="640"/>
        <w:rPr>
          <w:rFonts w:ascii="仿宋_GB2312" w:eastAsia="仿宋_GB2312"/>
          <w:sz w:val="32"/>
          <w:szCs w:val="32"/>
        </w:rPr>
      </w:pPr>
      <w:r>
        <w:rPr>
          <w:rFonts w:ascii="仿宋" w:eastAsia="仿宋" w:hAnsi="仿宋" w:hint="eastAsia"/>
          <w:sz w:val="32"/>
          <w:szCs w:val="32"/>
        </w:rPr>
        <w:t xml:space="preserve">                             </w:t>
      </w:r>
      <w:r>
        <w:rPr>
          <w:rFonts w:ascii="仿宋_GB2312" w:eastAsia="仿宋_GB2312" w:hint="eastAsia"/>
          <w:sz w:val="32"/>
          <w:szCs w:val="32"/>
        </w:rPr>
        <w:t>标准编制工作组</w:t>
      </w:r>
    </w:p>
    <w:p w:rsidR="000E1281" w:rsidRDefault="001A0448">
      <w:pPr>
        <w:spacing w:line="520" w:lineRule="exact"/>
        <w:ind w:firstLineChars="200" w:firstLine="640"/>
        <w:rPr>
          <w:rFonts w:ascii="仿宋_GB2312" w:eastAsia="仿宋_GB2312"/>
          <w:sz w:val="32"/>
          <w:szCs w:val="32"/>
        </w:rPr>
      </w:pPr>
      <w:r>
        <w:rPr>
          <w:rFonts w:ascii="仿宋" w:eastAsia="仿宋" w:hAnsi="仿宋" w:hint="eastAsia"/>
          <w:sz w:val="32"/>
          <w:szCs w:val="32"/>
        </w:rPr>
        <w:t xml:space="preserve">                             </w:t>
      </w:r>
      <w:r>
        <w:rPr>
          <w:rFonts w:ascii="仿宋_GB2312" w:eastAsia="仿宋_GB2312" w:hint="eastAsia"/>
          <w:sz w:val="32"/>
          <w:szCs w:val="32"/>
        </w:rPr>
        <w:t>2024年</w:t>
      </w:r>
      <w:r w:rsidR="00723F88">
        <w:rPr>
          <w:rFonts w:ascii="仿宋_GB2312" w:eastAsia="仿宋_GB2312"/>
          <w:sz w:val="32"/>
          <w:szCs w:val="32"/>
        </w:rPr>
        <w:t>12</w:t>
      </w:r>
      <w:r>
        <w:rPr>
          <w:rFonts w:ascii="仿宋_GB2312" w:eastAsia="仿宋_GB2312" w:hint="eastAsia"/>
          <w:sz w:val="32"/>
          <w:szCs w:val="32"/>
        </w:rPr>
        <w:t>月</w:t>
      </w:r>
      <w:r w:rsidR="00723F88">
        <w:rPr>
          <w:rFonts w:ascii="仿宋_GB2312" w:eastAsia="仿宋_GB2312"/>
          <w:sz w:val="32"/>
          <w:szCs w:val="32"/>
        </w:rPr>
        <w:t>11</w:t>
      </w:r>
      <w:r>
        <w:rPr>
          <w:rFonts w:ascii="仿宋_GB2312" w:eastAsia="仿宋_GB2312" w:hint="eastAsia"/>
          <w:sz w:val="32"/>
          <w:szCs w:val="32"/>
        </w:rPr>
        <w:t>日</w:t>
      </w:r>
    </w:p>
    <w:sectPr w:rsidR="000E1281">
      <w:footerReference w:type="default" r:id="rId8"/>
      <w:pgSz w:w="11906" w:h="16838"/>
      <w:pgMar w:top="1474" w:right="1474" w:bottom="1474" w:left="147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F55" w:rsidRDefault="00D52F55">
      <w:r>
        <w:separator/>
      </w:r>
    </w:p>
  </w:endnote>
  <w:endnote w:type="continuationSeparator" w:id="0">
    <w:p w:rsidR="00D52F55" w:rsidRDefault="00D5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CE25AE78-3295-4160-8B55-CE540812C3E8}"/>
    <w:embedBold r:id="rId2" w:subsetted="1" w:fontKey="{6CCC8362-1765-4DFA-BCA9-96F43FBC6FB9}"/>
  </w:font>
  <w:font w:name="Calibri">
    <w:panose1 w:val="020F0502020204030204"/>
    <w:charset w:val="00"/>
    <w:family w:val="swiss"/>
    <w:pitch w:val="variable"/>
    <w:sig w:usb0="E00002FF" w:usb1="4000ACFF" w:usb2="00000001" w:usb3="00000000" w:csb0="0000019F" w:csb1="00000000"/>
    <w:embedRegular r:id="rId3" w:subsetted="1" w:fontKey="{7C99C7A0-2EB1-4733-B538-2A0E213F9137}"/>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4" w:subsetted="1" w:fontKey="{EEB1054E-0CCC-4AF2-A653-7BBDD66373B6}"/>
    <w:embedBold r:id="rId5" w:subsetted="1" w:fontKey="{27EC1CCA-EA80-4A2A-AC89-5825B545DBD6}"/>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embedRegular r:id="rId6" w:subsetted="1" w:fontKey="{3E866905-91C3-4088-9496-6045FDE82200}"/>
    <w:embedBold r:id="rId7" w:subsetted="1" w:fontKey="{C2F2BEE0-0FF4-400E-8367-9C74C969B608}"/>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281" w:rsidRDefault="001A0448">
    <w:pPr>
      <w:pStyle w:val="afb"/>
      <w:ind w:firstLine="378"/>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rsidR="000E1281" w:rsidRDefault="001A0448">
                          <w:pPr>
                            <w:pStyle w:val="afb"/>
                          </w:pPr>
                          <w:r>
                            <w:rPr>
                              <w:rFonts w:hint="eastAsia"/>
                            </w:rPr>
                            <w:fldChar w:fldCharType="begin"/>
                          </w:r>
                          <w:r>
                            <w:rPr>
                              <w:rFonts w:hint="eastAsia"/>
                            </w:rPr>
                            <w:instrText xml:space="preserve"> PAGE  \* MERGEFORMAT </w:instrText>
                          </w:r>
                          <w:r>
                            <w:rPr>
                              <w:rFonts w:hint="eastAsia"/>
                            </w:rPr>
                            <w:fldChar w:fldCharType="separate"/>
                          </w:r>
                          <w:r w:rsidR="00177E2F">
                            <w:rPr>
                              <w:noProof/>
                            </w:rPr>
                            <w:t>1</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41" type="#_x0000_t202" style="position:absolute;left:0;text-align:left;margin-left:0;margin-top:0;width:4.45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" filled="f" stroked="f" strokeweight=".5pt">
              <v:textbox style="mso-fit-shape-to-text:t" inset="0,0,0,0">
                <w:txbxContent>
                  <w:p w:rsidR="000E1281" w:rsidRDefault="001A0448">
                    <w:pPr>
                      <w:pStyle w:val="afb"/>
                    </w:pPr>
                    <w:r>
                      <w:rPr>
                        <w:rFonts w:hint="eastAsia"/>
                      </w:rPr>
                      <w:fldChar w:fldCharType="begin"/>
                    </w:r>
                    <w:r>
                      <w:rPr>
                        <w:rFonts w:hint="eastAsia"/>
                      </w:rPr>
                      <w:instrText xml:space="preserve"> PAGE  \* MERGEFORMAT </w:instrText>
                    </w:r>
                    <w:r>
                      <w:rPr>
                        <w:rFonts w:hint="eastAsia"/>
                      </w:rPr>
                      <w:fldChar w:fldCharType="separate"/>
                    </w:r>
                    <w:r w:rsidR="00177E2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F55" w:rsidRDefault="00D52F55">
      <w:r>
        <w:separator/>
      </w:r>
    </w:p>
  </w:footnote>
  <w:footnote w:type="continuationSeparator" w:id="0">
    <w:p w:rsidR="00D52F55" w:rsidRDefault="00D52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1"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C5917C3"/>
    <w:multiLevelType w:val="multilevel"/>
    <w:tmpl w:val="2C5917C3"/>
    <w:lvl w:ilvl="0">
      <w:start w:val="1"/>
      <w:numFmt w:val="none"/>
      <w:pStyle w:val="a1"/>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3" w15:restartNumberingAfterBreak="0">
    <w:nsid w:val="44C50F90"/>
    <w:multiLevelType w:val="multilevel"/>
    <w:tmpl w:val="44C50F90"/>
    <w:lvl w:ilvl="0">
      <w:start w:val="1"/>
      <w:numFmt w:val="lowerLetter"/>
      <w:pStyle w:val="a2"/>
      <w:lvlText w:val="%1)"/>
      <w:lvlJc w:val="left"/>
      <w:pPr>
        <w:tabs>
          <w:tab w:val="left" w:pos="851"/>
        </w:tabs>
        <w:ind w:left="851" w:hanging="426"/>
      </w:pPr>
      <w:rPr>
        <w:rFonts w:ascii="宋体" w:eastAsia="宋体" w:hAnsi="Times New Roman" w:hint="eastAsia"/>
        <w:sz w:val="21"/>
      </w:rPr>
    </w:lvl>
    <w:lvl w:ilvl="1">
      <w:start w:val="1"/>
      <w:numFmt w:val="decimal"/>
      <w:pStyle w:val="a3"/>
      <w:lvlText w:val="%2)"/>
      <w:lvlJc w:val="left"/>
      <w:pPr>
        <w:tabs>
          <w:tab w:val="left" w:pos="1276"/>
        </w:tabs>
        <w:ind w:left="1276" w:hanging="425"/>
      </w:pPr>
      <w:rPr>
        <w:rFonts w:ascii="宋体" w:eastAsia="宋体" w:hAnsi="Times New Roman" w:hint="eastAsia"/>
        <w:sz w:val="21"/>
      </w:rPr>
    </w:lvl>
    <w:lvl w:ilvl="2">
      <w:start w:val="1"/>
      <w:numFmt w:val="decimal"/>
      <w:pStyle w:val="a4"/>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15:restartNumberingAfterBreak="0">
    <w:nsid w:val="4E40FDB9"/>
    <w:multiLevelType w:val="singleLevel"/>
    <w:tmpl w:val="4E40FDB9"/>
    <w:lvl w:ilvl="0">
      <w:start w:val="4"/>
      <w:numFmt w:val="chineseCounting"/>
      <w:suff w:val="nothing"/>
      <w:lvlText w:val="（%1）"/>
      <w:lvlJc w:val="left"/>
      <w:rPr>
        <w:rFonts w:hint="eastAsia"/>
      </w:rPr>
    </w:lvl>
  </w:abstractNum>
  <w:abstractNum w:abstractNumId="5" w15:restartNumberingAfterBreak="0">
    <w:nsid w:val="5A9B6960"/>
    <w:multiLevelType w:val="multilevel"/>
    <w:tmpl w:val="5A9B6960"/>
    <w:lvl w:ilvl="0">
      <w:start w:val="1"/>
      <w:numFmt w:val="none"/>
      <w:pStyle w:val="a5"/>
      <w:suff w:val="nothing"/>
      <w:lvlText w:val="%1"/>
      <w:legacy w:legacy="1" w:legacySpace="0" w:legacyIndent="0"/>
      <w:lvlJc w:val="left"/>
      <w:pPr>
        <w:ind w:left="0" w:firstLine="0"/>
      </w:pPr>
      <w:rPr>
        <w:rFonts w:hint="eastAsia"/>
      </w:rPr>
    </w:lvl>
    <w:lvl w:ilvl="1">
      <w:start w:val="1"/>
      <w:numFmt w:val="decimal"/>
      <w:pStyle w:val="a6"/>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pStyle w:val="a7"/>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8"/>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9"/>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a"/>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abstractNum w:abstractNumId="6"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15:restartNumberingAfterBreak="0">
    <w:nsid w:val="6DBF04F4"/>
    <w:multiLevelType w:val="multilevel"/>
    <w:tmpl w:val="6DBF04F4"/>
    <w:lvl w:ilvl="0">
      <w:start w:val="1"/>
      <w:numFmt w:val="none"/>
      <w:pStyle w:val="ac"/>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5"/>
  </w:num>
  <w:num w:numId="2">
    <w:abstractNumId w:val="0"/>
  </w:num>
  <w:num w:numId="3">
    <w:abstractNumId w:val="3"/>
  </w:num>
  <w:num w:numId="4">
    <w:abstractNumId w:val="2"/>
  </w:num>
  <w:num w:numId="5">
    <w:abstractNumId w:val="6"/>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MDc0ZjI4NzNlMjMwZWM0OGFmYTgxZDU4M2Y4NDAifQ=="/>
  </w:docVars>
  <w:rsids>
    <w:rsidRoot w:val="000D75AA"/>
    <w:rsid w:val="D9BF3AD6"/>
    <w:rsid w:val="E7FFD9D9"/>
    <w:rsid w:val="000068A2"/>
    <w:rsid w:val="00014983"/>
    <w:rsid w:val="000171F6"/>
    <w:rsid w:val="000178C8"/>
    <w:rsid w:val="00021AEF"/>
    <w:rsid w:val="00041CA7"/>
    <w:rsid w:val="00051C74"/>
    <w:rsid w:val="00051F5E"/>
    <w:rsid w:val="000540AB"/>
    <w:rsid w:val="00055442"/>
    <w:rsid w:val="0006459C"/>
    <w:rsid w:val="000709A1"/>
    <w:rsid w:val="00072103"/>
    <w:rsid w:val="000743B4"/>
    <w:rsid w:val="00075653"/>
    <w:rsid w:val="00076330"/>
    <w:rsid w:val="00082613"/>
    <w:rsid w:val="00092E1F"/>
    <w:rsid w:val="00094B6B"/>
    <w:rsid w:val="000969BE"/>
    <w:rsid w:val="00097B58"/>
    <w:rsid w:val="000B2F3C"/>
    <w:rsid w:val="000B3320"/>
    <w:rsid w:val="000B3E65"/>
    <w:rsid w:val="000B6E76"/>
    <w:rsid w:val="000C517B"/>
    <w:rsid w:val="000D211A"/>
    <w:rsid w:val="000D35F1"/>
    <w:rsid w:val="000D75AA"/>
    <w:rsid w:val="000E1281"/>
    <w:rsid w:val="000E53EA"/>
    <w:rsid w:val="000F21F0"/>
    <w:rsid w:val="000F2861"/>
    <w:rsid w:val="00110AC2"/>
    <w:rsid w:val="001133E6"/>
    <w:rsid w:val="0012345E"/>
    <w:rsid w:val="00132D8B"/>
    <w:rsid w:val="00133F3E"/>
    <w:rsid w:val="00141D9D"/>
    <w:rsid w:val="00152CB3"/>
    <w:rsid w:val="001548F8"/>
    <w:rsid w:val="001621FB"/>
    <w:rsid w:val="001655CC"/>
    <w:rsid w:val="00177E2F"/>
    <w:rsid w:val="0018012C"/>
    <w:rsid w:val="001821C9"/>
    <w:rsid w:val="00183018"/>
    <w:rsid w:val="00190E01"/>
    <w:rsid w:val="001968C3"/>
    <w:rsid w:val="001A0448"/>
    <w:rsid w:val="001A238B"/>
    <w:rsid w:val="001A7570"/>
    <w:rsid w:val="001B0030"/>
    <w:rsid w:val="001B18B0"/>
    <w:rsid w:val="001B3580"/>
    <w:rsid w:val="001B6B04"/>
    <w:rsid w:val="001C4C8F"/>
    <w:rsid w:val="001C7DE8"/>
    <w:rsid w:val="001D0584"/>
    <w:rsid w:val="001D3156"/>
    <w:rsid w:val="001D4971"/>
    <w:rsid w:val="001E1206"/>
    <w:rsid w:val="001E29C4"/>
    <w:rsid w:val="001E2D73"/>
    <w:rsid w:val="001F251A"/>
    <w:rsid w:val="001F4D35"/>
    <w:rsid w:val="0020127F"/>
    <w:rsid w:val="00205352"/>
    <w:rsid w:val="00205D69"/>
    <w:rsid w:val="00210FD3"/>
    <w:rsid w:val="00212227"/>
    <w:rsid w:val="002136F9"/>
    <w:rsid w:val="002209F0"/>
    <w:rsid w:val="002210B4"/>
    <w:rsid w:val="00221DEA"/>
    <w:rsid w:val="0022236C"/>
    <w:rsid w:val="00226607"/>
    <w:rsid w:val="002324B6"/>
    <w:rsid w:val="00234F7D"/>
    <w:rsid w:val="00236909"/>
    <w:rsid w:val="00236EB4"/>
    <w:rsid w:val="00241F8A"/>
    <w:rsid w:val="00242E52"/>
    <w:rsid w:val="00252480"/>
    <w:rsid w:val="0025373A"/>
    <w:rsid w:val="00253845"/>
    <w:rsid w:val="002546EF"/>
    <w:rsid w:val="00261A37"/>
    <w:rsid w:val="00263E80"/>
    <w:rsid w:val="00271E05"/>
    <w:rsid w:val="00280BDB"/>
    <w:rsid w:val="00281F39"/>
    <w:rsid w:val="0028500C"/>
    <w:rsid w:val="0028575C"/>
    <w:rsid w:val="002879F6"/>
    <w:rsid w:val="00292F73"/>
    <w:rsid w:val="0029554A"/>
    <w:rsid w:val="00297734"/>
    <w:rsid w:val="002A3479"/>
    <w:rsid w:val="002B7C92"/>
    <w:rsid w:val="002C176B"/>
    <w:rsid w:val="002C3627"/>
    <w:rsid w:val="002D2273"/>
    <w:rsid w:val="002D5597"/>
    <w:rsid w:val="002E1B63"/>
    <w:rsid w:val="002E357A"/>
    <w:rsid w:val="002E3B58"/>
    <w:rsid w:val="002E4234"/>
    <w:rsid w:val="002E5273"/>
    <w:rsid w:val="002F0D8E"/>
    <w:rsid w:val="002F4C45"/>
    <w:rsid w:val="002F5C0C"/>
    <w:rsid w:val="00302739"/>
    <w:rsid w:val="00317091"/>
    <w:rsid w:val="00320CB4"/>
    <w:rsid w:val="00321E92"/>
    <w:rsid w:val="00322535"/>
    <w:rsid w:val="003259AF"/>
    <w:rsid w:val="00325F9F"/>
    <w:rsid w:val="003306DD"/>
    <w:rsid w:val="00332242"/>
    <w:rsid w:val="003332BA"/>
    <w:rsid w:val="00337519"/>
    <w:rsid w:val="00340D9B"/>
    <w:rsid w:val="00340FDE"/>
    <w:rsid w:val="00346534"/>
    <w:rsid w:val="003517E7"/>
    <w:rsid w:val="00360BAF"/>
    <w:rsid w:val="00361596"/>
    <w:rsid w:val="00362C01"/>
    <w:rsid w:val="00367D5E"/>
    <w:rsid w:val="003709EE"/>
    <w:rsid w:val="00371B5F"/>
    <w:rsid w:val="00372E66"/>
    <w:rsid w:val="00373160"/>
    <w:rsid w:val="00375933"/>
    <w:rsid w:val="0037633C"/>
    <w:rsid w:val="00382E35"/>
    <w:rsid w:val="00384168"/>
    <w:rsid w:val="003872E4"/>
    <w:rsid w:val="00390AD8"/>
    <w:rsid w:val="00390C14"/>
    <w:rsid w:val="00393447"/>
    <w:rsid w:val="00396F2C"/>
    <w:rsid w:val="003A3F27"/>
    <w:rsid w:val="003A5862"/>
    <w:rsid w:val="003B0042"/>
    <w:rsid w:val="003B074A"/>
    <w:rsid w:val="003B45A7"/>
    <w:rsid w:val="003B4F42"/>
    <w:rsid w:val="003B4FCF"/>
    <w:rsid w:val="003D485E"/>
    <w:rsid w:val="003E080C"/>
    <w:rsid w:val="003F7823"/>
    <w:rsid w:val="00405301"/>
    <w:rsid w:val="00411EFB"/>
    <w:rsid w:val="00417593"/>
    <w:rsid w:val="00422CC8"/>
    <w:rsid w:val="0042686B"/>
    <w:rsid w:val="00426DC5"/>
    <w:rsid w:val="004314F4"/>
    <w:rsid w:val="004373E9"/>
    <w:rsid w:val="0044036C"/>
    <w:rsid w:val="0044065E"/>
    <w:rsid w:val="00440C0C"/>
    <w:rsid w:val="004458BB"/>
    <w:rsid w:val="00455701"/>
    <w:rsid w:val="00461AA3"/>
    <w:rsid w:val="00462FF9"/>
    <w:rsid w:val="00465DF6"/>
    <w:rsid w:val="00471CEC"/>
    <w:rsid w:val="00473D8F"/>
    <w:rsid w:val="004805DB"/>
    <w:rsid w:val="0048511D"/>
    <w:rsid w:val="00496185"/>
    <w:rsid w:val="004A75FF"/>
    <w:rsid w:val="004B4D68"/>
    <w:rsid w:val="004C181C"/>
    <w:rsid w:val="004C445A"/>
    <w:rsid w:val="004C4477"/>
    <w:rsid w:val="004C6673"/>
    <w:rsid w:val="004C78DD"/>
    <w:rsid w:val="004C7CD6"/>
    <w:rsid w:val="004D3C4E"/>
    <w:rsid w:val="004D5090"/>
    <w:rsid w:val="004D7C66"/>
    <w:rsid w:val="004E0167"/>
    <w:rsid w:val="004E152E"/>
    <w:rsid w:val="004F29B4"/>
    <w:rsid w:val="004F6DB3"/>
    <w:rsid w:val="005020DE"/>
    <w:rsid w:val="005051BE"/>
    <w:rsid w:val="00507297"/>
    <w:rsid w:val="005124A3"/>
    <w:rsid w:val="00515B82"/>
    <w:rsid w:val="0051608A"/>
    <w:rsid w:val="0051755E"/>
    <w:rsid w:val="00524E15"/>
    <w:rsid w:val="00526B5E"/>
    <w:rsid w:val="00533B2A"/>
    <w:rsid w:val="0053635F"/>
    <w:rsid w:val="00536C3C"/>
    <w:rsid w:val="00537853"/>
    <w:rsid w:val="00540C2F"/>
    <w:rsid w:val="0054119B"/>
    <w:rsid w:val="00544D3B"/>
    <w:rsid w:val="0054736C"/>
    <w:rsid w:val="005505FD"/>
    <w:rsid w:val="00554B7D"/>
    <w:rsid w:val="00564A0C"/>
    <w:rsid w:val="00564F91"/>
    <w:rsid w:val="0056706B"/>
    <w:rsid w:val="00571BCB"/>
    <w:rsid w:val="005734DC"/>
    <w:rsid w:val="00573DE7"/>
    <w:rsid w:val="00575956"/>
    <w:rsid w:val="00575C51"/>
    <w:rsid w:val="005777D1"/>
    <w:rsid w:val="00594F6B"/>
    <w:rsid w:val="0059544C"/>
    <w:rsid w:val="00597C52"/>
    <w:rsid w:val="005A067E"/>
    <w:rsid w:val="005B304B"/>
    <w:rsid w:val="005C07C8"/>
    <w:rsid w:val="005C16F9"/>
    <w:rsid w:val="005C2C71"/>
    <w:rsid w:val="005C5B2E"/>
    <w:rsid w:val="005D3003"/>
    <w:rsid w:val="005D616B"/>
    <w:rsid w:val="005D6C2D"/>
    <w:rsid w:val="005E3C13"/>
    <w:rsid w:val="005E7B33"/>
    <w:rsid w:val="005F09D2"/>
    <w:rsid w:val="005F1668"/>
    <w:rsid w:val="005F2769"/>
    <w:rsid w:val="005F2AD0"/>
    <w:rsid w:val="005F2FD2"/>
    <w:rsid w:val="005F4961"/>
    <w:rsid w:val="0060186C"/>
    <w:rsid w:val="00605A2E"/>
    <w:rsid w:val="0060769D"/>
    <w:rsid w:val="006121F4"/>
    <w:rsid w:val="0061503C"/>
    <w:rsid w:val="00617590"/>
    <w:rsid w:val="00617B08"/>
    <w:rsid w:val="006260BB"/>
    <w:rsid w:val="00627AB4"/>
    <w:rsid w:val="00631D1E"/>
    <w:rsid w:val="006335ED"/>
    <w:rsid w:val="00633E53"/>
    <w:rsid w:val="006342DB"/>
    <w:rsid w:val="006343EC"/>
    <w:rsid w:val="0063539D"/>
    <w:rsid w:val="006371EA"/>
    <w:rsid w:val="00637F53"/>
    <w:rsid w:val="00650FD7"/>
    <w:rsid w:val="006511A8"/>
    <w:rsid w:val="00654C80"/>
    <w:rsid w:val="00660ECB"/>
    <w:rsid w:val="0067378F"/>
    <w:rsid w:val="006773E1"/>
    <w:rsid w:val="00685738"/>
    <w:rsid w:val="00691000"/>
    <w:rsid w:val="00695D34"/>
    <w:rsid w:val="00696781"/>
    <w:rsid w:val="006A4226"/>
    <w:rsid w:val="006A4FC1"/>
    <w:rsid w:val="006A5636"/>
    <w:rsid w:val="006A6CB4"/>
    <w:rsid w:val="006B0BA0"/>
    <w:rsid w:val="006B12C0"/>
    <w:rsid w:val="006D35DC"/>
    <w:rsid w:val="006E1443"/>
    <w:rsid w:val="006E2C64"/>
    <w:rsid w:val="007064A8"/>
    <w:rsid w:val="0071134C"/>
    <w:rsid w:val="00714DDE"/>
    <w:rsid w:val="00723F88"/>
    <w:rsid w:val="00727802"/>
    <w:rsid w:val="00731B29"/>
    <w:rsid w:val="00733795"/>
    <w:rsid w:val="007351D6"/>
    <w:rsid w:val="00737200"/>
    <w:rsid w:val="00737D62"/>
    <w:rsid w:val="0074491A"/>
    <w:rsid w:val="00754D85"/>
    <w:rsid w:val="007557E4"/>
    <w:rsid w:val="00756356"/>
    <w:rsid w:val="00757FD8"/>
    <w:rsid w:val="007605F1"/>
    <w:rsid w:val="00764ACF"/>
    <w:rsid w:val="00774434"/>
    <w:rsid w:val="007756AB"/>
    <w:rsid w:val="007811F6"/>
    <w:rsid w:val="00781D6C"/>
    <w:rsid w:val="007845E1"/>
    <w:rsid w:val="007936EA"/>
    <w:rsid w:val="007940A9"/>
    <w:rsid w:val="007940BF"/>
    <w:rsid w:val="007A01D0"/>
    <w:rsid w:val="007A149B"/>
    <w:rsid w:val="007C244C"/>
    <w:rsid w:val="007C66E4"/>
    <w:rsid w:val="007D725F"/>
    <w:rsid w:val="007E608C"/>
    <w:rsid w:val="007F1536"/>
    <w:rsid w:val="007F44C1"/>
    <w:rsid w:val="00801A7F"/>
    <w:rsid w:val="0080563C"/>
    <w:rsid w:val="00806BAC"/>
    <w:rsid w:val="00812DC4"/>
    <w:rsid w:val="00814260"/>
    <w:rsid w:val="00814DA3"/>
    <w:rsid w:val="00815F39"/>
    <w:rsid w:val="008206EE"/>
    <w:rsid w:val="008216E8"/>
    <w:rsid w:val="008247C4"/>
    <w:rsid w:val="00826611"/>
    <w:rsid w:val="00826BFA"/>
    <w:rsid w:val="00831A18"/>
    <w:rsid w:val="00837356"/>
    <w:rsid w:val="00840B0D"/>
    <w:rsid w:val="00853F5C"/>
    <w:rsid w:val="00854417"/>
    <w:rsid w:val="00856862"/>
    <w:rsid w:val="00860AE3"/>
    <w:rsid w:val="00874BB5"/>
    <w:rsid w:val="008779C2"/>
    <w:rsid w:val="00886CE3"/>
    <w:rsid w:val="00887632"/>
    <w:rsid w:val="00893A2E"/>
    <w:rsid w:val="00895F4A"/>
    <w:rsid w:val="008973E6"/>
    <w:rsid w:val="008B3416"/>
    <w:rsid w:val="008B6B5F"/>
    <w:rsid w:val="008C2552"/>
    <w:rsid w:val="008C50FF"/>
    <w:rsid w:val="008D02D8"/>
    <w:rsid w:val="008D4371"/>
    <w:rsid w:val="008D78B0"/>
    <w:rsid w:val="008E1EB5"/>
    <w:rsid w:val="008E63DC"/>
    <w:rsid w:val="008E7ADB"/>
    <w:rsid w:val="008E7C88"/>
    <w:rsid w:val="008F3A33"/>
    <w:rsid w:val="009029CF"/>
    <w:rsid w:val="00905E4B"/>
    <w:rsid w:val="00913E57"/>
    <w:rsid w:val="00915D9F"/>
    <w:rsid w:val="00917DDE"/>
    <w:rsid w:val="00924305"/>
    <w:rsid w:val="00925C07"/>
    <w:rsid w:val="00926E1B"/>
    <w:rsid w:val="009317D5"/>
    <w:rsid w:val="0093216F"/>
    <w:rsid w:val="00932BA3"/>
    <w:rsid w:val="009375ED"/>
    <w:rsid w:val="009411E1"/>
    <w:rsid w:val="00943727"/>
    <w:rsid w:val="009451B4"/>
    <w:rsid w:val="00947EBA"/>
    <w:rsid w:val="00953891"/>
    <w:rsid w:val="009544EA"/>
    <w:rsid w:val="0096388F"/>
    <w:rsid w:val="00963992"/>
    <w:rsid w:val="00966431"/>
    <w:rsid w:val="00970FC4"/>
    <w:rsid w:val="009718CC"/>
    <w:rsid w:val="009750C1"/>
    <w:rsid w:val="00975641"/>
    <w:rsid w:val="009805BC"/>
    <w:rsid w:val="00991C98"/>
    <w:rsid w:val="009A4141"/>
    <w:rsid w:val="009A62C4"/>
    <w:rsid w:val="009B36FD"/>
    <w:rsid w:val="009C0BDB"/>
    <w:rsid w:val="009C2645"/>
    <w:rsid w:val="009C3C3D"/>
    <w:rsid w:val="009C5B24"/>
    <w:rsid w:val="009D2D7E"/>
    <w:rsid w:val="009D5100"/>
    <w:rsid w:val="009E3161"/>
    <w:rsid w:val="009F03F5"/>
    <w:rsid w:val="009F0F09"/>
    <w:rsid w:val="009F33B1"/>
    <w:rsid w:val="00A0200B"/>
    <w:rsid w:val="00A05C7B"/>
    <w:rsid w:val="00A11DCA"/>
    <w:rsid w:val="00A12161"/>
    <w:rsid w:val="00A1234F"/>
    <w:rsid w:val="00A1372A"/>
    <w:rsid w:val="00A16A3E"/>
    <w:rsid w:val="00A22171"/>
    <w:rsid w:val="00A22C63"/>
    <w:rsid w:val="00A23C1F"/>
    <w:rsid w:val="00A24C55"/>
    <w:rsid w:val="00A263D3"/>
    <w:rsid w:val="00A2656A"/>
    <w:rsid w:val="00A356AD"/>
    <w:rsid w:val="00A365A2"/>
    <w:rsid w:val="00A37FDF"/>
    <w:rsid w:val="00A42C5E"/>
    <w:rsid w:val="00A43914"/>
    <w:rsid w:val="00A52D71"/>
    <w:rsid w:val="00A52E40"/>
    <w:rsid w:val="00A75476"/>
    <w:rsid w:val="00A84390"/>
    <w:rsid w:val="00A86090"/>
    <w:rsid w:val="00A865BA"/>
    <w:rsid w:val="00A877C5"/>
    <w:rsid w:val="00A87F41"/>
    <w:rsid w:val="00AA112C"/>
    <w:rsid w:val="00AA4E65"/>
    <w:rsid w:val="00AB10F4"/>
    <w:rsid w:val="00AB565E"/>
    <w:rsid w:val="00AC3575"/>
    <w:rsid w:val="00AC57C3"/>
    <w:rsid w:val="00AD0172"/>
    <w:rsid w:val="00AD2BF7"/>
    <w:rsid w:val="00AD4D17"/>
    <w:rsid w:val="00AD5449"/>
    <w:rsid w:val="00AE261F"/>
    <w:rsid w:val="00AE2DC3"/>
    <w:rsid w:val="00AE3AD9"/>
    <w:rsid w:val="00AF11A3"/>
    <w:rsid w:val="00AF1EF8"/>
    <w:rsid w:val="00B0340D"/>
    <w:rsid w:val="00B03636"/>
    <w:rsid w:val="00B046DF"/>
    <w:rsid w:val="00B0506E"/>
    <w:rsid w:val="00B05BC1"/>
    <w:rsid w:val="00B07A8A"/>
    <w:rsid w:val="00B144D3"/>
    <w:rsid w:val="00B213D1"/>
    <w:rsid w:val="00B23C80"/>
    <w:rsid w:val="00B3127E"/>
    <w:rsid w:val="00B37157"/>
    <w:rsid w:val="00B37261"/>
    <w:rsid w:val="00B429E8"/>
    <w:rsid w:val="00B50F8B"/>
    <w:rsid w:val="00B53F5C"/>
    <w:rsid w:val="00B5537F"/>
    <w:rsid w:val="00B56568"/>
    <w:rsid w:val="00B65AE9"/>
    <w:rsid w:val="00B6644D"/>
    <w:rsid w:val="00B66676"/>
    <w:rsid w:val="00B6740B"/>
    <w:rsid w:val="00B708B2"/>
    <w:rsid w:val="00B73416"/>
    <w:rsid w:val="00B77477"/>
    <w:rsid w:val="00B94E0B"/>
    <w:rsid w:val="00B94EFE"/>
    <w:rsid w:val="00B954B8"/>
    <w:rsid w:val="00B95AA9"/>
    <w:rsid w:val="00BA570D"/>
    <w:rsid w:val="00BA5A89"/>
    <w:rsid w:val="00BA67F2"/>
    <w:rsid w:val="00BA6E51"/>
    <w:rsid w:val="00BB14F3"/>
    <w:rsid w:val="00BB2599"/>
    <w:rsid w:val="00BB6932"/>
    <w:rsid w:val="00BB7B52"/>
    <w:rsid w:val="00BC2838"/>
    <w:rsid w:val="00BC47D5"/>
    <w:rsid w:val="00BC75E3"/>
    <w:rsid w:val="00BD049A"/>
    <w:rsid w:val="00BD1C9B"/>
    <w:rsid w:val="00BD2990"/>
    <w:rsid w:val="00BD46AC"/>
    <w:rsid w:val="00BD50BC"/>
    <w:rsid w:val="00BE2434"/>
    <w:rsid w:val="00BE4828"/>
    <w:rsid w:val="00BE7E1C"/>
    <w:rsid w:val="00BF1BCD"/>
    <w:rsid w:val="00BF2633"/>
    <w:rsid w:val="00C07069"/>
    <w:rsid w:val="00C123EE"/>
    <w:rsid w:val="00C13CB6"/>
    <w:rsid w:val="00C16960"/>
    <w:rsid w:val="00C20386"/>
    <w:rsid w:val="00C20870"/>
    <w:rsid w:val="00C24084"/>
    <w:rsid w:val="00C240EA"/>
    <w:rsid w:val="00C3071D"/>
    <w:rsid w:val="00C30DFB"/>
    <w:rsid w:val="00C34EF5"/>
    <w:rsid w:val="00C43474"/>
    <w:rsid w:val="00C45AB0"/>
    <w:rsid w:val="00C4615A"/>
    <w:rsid w:val="00C47943"/>
    <w:rsid w:val="00C556A8"/>
    <w:rsid w:val="00C5603B"/>
    <w:rsid w:val="00C63CAC"/>
    <w:rsid w:val="00C63F98"/>
    <w:rsid w:val="00C76CBA"/>
    <w:rsid w:val="00C81538"/>
    <w:rsid w:val="00C83F05"/>
    <w:rsid w:val="00C84144"/>
    <w:rsid w:val="00C8714F"/>
    <w:rsid w:val="00C877FA"/>
    <w:rsid w:val="00C91BC6"/>
    <w:rsid w:val="00C94DE6"/>
    <w:rsid w:val="00CA061C"/>
    <w:rsid w:val="00CA4819"/>
    <w:rsid w:val="00CB1526"/>
    <w:rsid w:val="00CB15D9"/>
    <w:rsid w:val="00CB4195"/>
    <w:rsid w:val="00CC6C27"/>
    <w:rsid w:val="00CC71EF"/>
    <w:rsid w:val="00CD1247"/>
    <w:rsid w:val="00CD641B"/>
    <w:rsid w:val="00CD7F8A"/>
    <w:rsid w:val="00CE3911"/>
    <w:rsid w:val="00CE4310"/>
    <w:rsid w:val="00CE618C"/>
    <w:rsid w:val="00CE7CD2"/>
    <w:rsid w:val="00CF1134"/>
    <w:rsid w:val="00CF2652"/>
    <w:rsid w:val="00CF4569"/>
    <w:rsid w:val="00D01B13"/>
    <w:rsid w:val="00D0457A"/>
    <w:rsid w:val="00D04C1F"/>
    <w:rsid w:val="00D056CC"/>
    <w:rsid w:val="00D25186"/>
    <w:rsid w:val="00D32A78"/>
    <w:rsid w:val="00D32D33"/>
    <w:rsid w:val="00D35977"/>
    <w:rsid w:val="00D41B12"/>
    <w:rsid w:val="00D43F5A"/>
    <w:rsid w:val="00D46122"/>
    <w:rsid w:val="00D47978"/>
    <w:rsid w:val="00D52F55"/>
    <w:rsid w:val="00D54865"/>
    <w:rsid w:val="00D64597"/>
    <w:rsid w:val="00D6558E"/>
    <w:rsid w:val="00D742F6"/>
    <w:rsid w:val="00D779E8"/>
    <w:rsid w:val="00D82669"/>
    <w:rsid w:val="00D830DE"/>
    <w:rsid w:val="00D87A69"/>
    <w:rsid w:val="00D87F07"/>
    <w:rsid w:val="00D9142A"/>
    <w:rsid w:val="00D9558F"/>
    <w:rsid w:val="00D9735E"/>
    <w:rsid w:val="00DA50C3"/>
    <w:rsid w:val="00DB3D48"/>
    <w:rsid w:val="00DB6277"/>
    <w:rsid w:val="00DB7F6F"/>
    <w:rsid w:val="00DD0DE2"/>
    <w:rsid w:val="00DD2CE2"/>
    <w:rsid w:val="00DD60DE"/>
    <w:rsid w:val="00DD642A"/>
    <w:rsid w:val="00DE1406"/>
    <w:rsid w:val="00DE14F6"/>
    <w:rsid w:val="00DE35BE"/>
    <w:rsid w:val="00DF4FB8"/>
    <w:rsid w:val="00DF5A10"/>
    <w:rsid w:val="00DF7385"/>
    <w:rsid w:val="00E0312D"/>
    <w:rsid w:val="00E1061C"/>
    <w:rsid w:val="00E10692"/>
    <w:rsid w:val="00E14738"/>
    <w:rsid w:val="00E1479A"/>
    <w:rsid w:val="00E206A3"/>
    <w:rsid w:val="00E20C64"/>
    <w:rsid w:val="00E24DB8"/>
    <w:rsid w:val="00E27034"/>
    <w:rsid w:val="00E32D4B"/>
    <w:rsid w:val="00E41116"/>
    <w:rsid w:val="00E414EF"/>
    <w:rsid w:val="00E424DA"/>
    <w:rsid w:val="00E45390"/>
    <w:rsid w:val="00E455A5"/>
    <w:rsid w:val="00E5722D"/>
    <w:rsid w:val="00E62643"/>
    <w:rsid w:val="00E62938"/>
    <w:rsid w:val="00E702F6"/>
    <w:rsid w:val="00E7387C"/>
    <w:rsid w:val="00E73C17"/>
    <w:rsid w:val="00E778AE"/>
    <w:rsid w:val="00E77A0F"/>
    <w:rsid w:val="00E835A1"/>
    <w:rsid w:val="00E83E2D"/>
    <w:rsid w:val="00E85164"/>
    <w:rsid w:val="00E8739B"/>
    <w:rsid w:val="00E948B4"/>
    <w:rsid w:val="00E96570"/>
    <w:rsid w:val="00EA31DB"/>
    <w:rsid w:val="00EA68E9"/>
    <w:rsid w:val="00EB3C38"/>
    <w:rsid w:val="00EB5182"/>
    <w:rsid w:val="00EC0C78"/>
    <w:rsid w:val="00EC78B7"/>
    <w:rsid w:val="00ED14BD"/>
    <w:rsid w:val="00ED24F1"/>
    <w:rsid w:val="00ED41E5"/>
    <w:rsid w:val="00EE1EF1"/>
    <w:rsid w:val="00EE332B"/>
    <w:rsid w:val="00EF1519"/>
    <w:rsid w:val="00EF2C61"/>
    <w:rsid w:val="00EF4610"/>
    <w:rsid w:val="00EF6CB2"/>
    <w:rsid w:val="00EF7939"/>
    <w:rsid w:val="00F01A5C"/>
    <w:rsid w:val="00F076E3"/>
    <w:rsid w:val="00F11CFC"/>
    <w:rsid w:val="00F1463A"/>
    <w:rsid w:val="00F23DBE"/>
    <w:rsid w:val="00F329A7"/>
    <w:rsid w:val="00F40513"/>
    <w:rsid w:val="00F41C5C"/>
    <w:rsid w:val="00F424A9"/>
    <w:rsid w:val="00F4459F"/>
    <w:rsid w:val="00F508C7"/>
    <w:rsid w:val="00F52F72"/>
    <w:rsid w:val="00F5729F"/>
    <w:rsid w:val="00F65587"/>
    <w:rsid w:val="00F656A1"/>
    <w:rsid w:val="00F65B62"/>
    <w:rsid w:val="00F72DC7"/>
    <w:rsid w:val="00F776C3"/>
    <w:rsid w:val="00F77E06"/>
    <w:rsid w:val="00F850F4"/>
    <w:rsid w:val="00F9021F"/>
    <w:rsid w:val="00F95594"/>
    <w:rsid w:val="00FA7D60"/>
    <w:rsid w:val="00FB260A"/>
    <w:rsid w:val="00FB2B02"/>
    <w:rsid w:val="00FB4897"/>
    <w:rsid w:val="00FB6664"/>
    <w:rsid w:val="00FC60C3"/>
    <w:rsid w:val="00FC6311"/>
    <w:rsid w:val="00FC7CE6"/>
    <w:rsid w:val="00FD0795"/>
    <w:rsid w:val="00FD19CA"/>
    <w:rsid w:val="00FD3A37"/>
    <w:rsid w:val="00FD4A8B"/>
    <w:rsid w:val="00FD577E"/>
    <w:rsid w:val="00FD6497"/>
    <w:rsid w:val="00FD73BD"/>
    <w:rsid w:val="00FE1EBE"/>
    <w:rsid w:val="00FF2EC3"/>
    <w:rsid w:val="00FF66DC"/>
    <w:rsid w:val="00FF7CD6"/>
    <w:rsid w:val="012A4E2C"/>
    <w:rsid w:val="02DC2156"/>
    <w:rsid w:val="03CC3F79"/>
    <w:rsid w:val="05CD222A"/>
    <w:rsid w:val="06084616"/>
    <w:rsid w:val="06A9292B"/>
    <w:rsid w:val="07AD7C82"/>
    <w:rsid w:val="08EF7A39"/>
    <w:rsid w:val="0A5844F0"/>
    <w:rsid w:val="0EE41D10"/>
    <w:rsid w:val="11386E78"/>
    <w:rsid w:val="11B73ED3"/>
    <w:rsid w:val="12277661"/>
    <w:rsid w:val="133D4C82"/>
    <w:rsid w:val="13D12EE6"/>
    <w:rsid w:val="13EE1CEA"/>
    <w:rsid w:val="13F37300"/>
    <w:rsid w:val="174D6D27"/>
    <w:rsid w:val="18CE5C46"/>
    <w:rsid w:val="1A2A2D28"/>
    <w:rsid w:val="1B9C64CF"/>
    <w:rsid w:val="1E6C7E3E"/>
    <w:rsid w:val="20346CD6"/>
    <w:rsid w:val="206E043A"/>
    <w:rsid w:val="21B75E11"/>
    <w:rsid w:val="2443573A"/>
    <w:rsid w:val="25496D80"/>
    <w:rsid w:val="27095D8A"/>
    <w:rsid w:val="277B51EB"/>
    <w:rsid w:val="279E6744"/>
    <w:rsid w:val="29EF532D"/>
    <w:rsid w:val="2BAD2B02"/>
    <w:rsid w:val="2E0C3040"/>
    <w:rsid w:val="2E40384E"/>
    <w:rsid w:val="2F083808"/>
    <w:rsid w:val="2F0B058C"/>
    <w:rsid w:val="2F7C5FA4"/>
    <w:rsid w:val="344833B2"/>
    <w:rsid w:val="3D6C58AA"/>
    <w:rsid w:val="3E799816"/>
    <w:rsid w:val="403F2E01"/>
    <w:rsid w:val="431A1904"/>
    <w:rsid w:val="45413951"/>
    <w:rsid w:val="46E47FFF"/>
    <w:rsid w:val="4779601E"/>
    <w:rsid w:val="493E1AE1"/>
    <w:rsid w:val="4B2238EC"/>
    <w:rsid w:val="4C6C7CEB"/>
    <w:rsid w:val="4D9058E1"/>
    <w:rsid w:val="4DDD59C1"/>
    <w:rsid w:val="4EAE0286"/>
    <w:rsid w:val="51FB0B52"/>
    <w:rsid w:val="531F075A"/>
    <w:rsid w:val="56DA342C"/>
    <w:rsid w:val="57A01936"/>
    <w:rsid w:val="57A57FD6"/>
    <w:rsid w:val="57F01F2D"/>
    <w:rsid w:val="58D367F3"/>
    <w:rsid w:val="592C1295"/>
    <w:rsid w:val="59DD74BB"/>
    <w:rsid w:val="5A8C449C"/>
    <w:rsid w:val="5B571FFB"/>
    <w:rsid w:val="5BFB00CD"/>
    <w:rsid w:val="5C452F47"/>
    <w:rsid w:val="5D086F45"/>
    <w:rsid w:val="5D4D6706"/>
    <w:rsid w:val="60252B89"/>
    <w:rsid w:val="616C2448"/>
    <w:rsid w:val="635051A2"/>
    <w:rsid w:val="63DF2082"/>
    <w:rsid w:val="654A16B4"/>
    <w:rsid w:val="660F1D12"/>
    <w:rsid w:val="67277FC8"/>
    <w:rsid w:val="677C2407"/>
    <w:rsid w:val="68C47A98"/>
    <w:rsid w:val="68C53F3C"/>
    <w:rsid w:val="6CC80E6D"/>
    <w:rsid w:val="6FDD1529"/>
    <w:rsid w:val="710B6BAC"/>
    <w:rsid w:val="71CC633B"/>
    <w:rsid w:val="71F238C8"/>
    <w:rsid w:val="738A5B9F"/>
    <w:rsid w:val="741F6AAA"/>
    <w:rsid w:val="74A0585D"/>
    <w:rsid w:val="77A7157C"/>
    <w:rsid w:val="78B143BF"/>
    <w:rsid w:val="7A035425"/>
    <w:rsid w:val="7AB465B7"/>
    <w:rsid w:val="7AFEC822"/>
    <w:rsid w:val="7B215011"/>
    <w:rsid w:val="7CB63E70"/>
    <w:rsid w:val="7D221505"/>
    <w:rsid w:val="7E2B6198"/>
    <w:rsid w:val="7EE57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14:docId w14:val="004811D1"/>
  <w15:docId w15:val="{48FA500E-82C5-4057-8913-DA60C3BB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pPr>
      <w:widowControl w:val="0"/>
      <w:jc w:val="both"/>
    </w:pPr>
    <w:rPr>
      <w:rFonts w:ascii="Calibri" w:hAnsi="Calibri" w:cs="Calibri"/>
      <w:kern w:val="2"/>
      <w:sz w:val="21"/>
      <w:szCs w:val="24"/>
    </w:rPr>
  </w:style>
  <w:style w:type="paragraph" w:styleId="1">
    <w:name w:val="heading 1"/>
    <w:basedOn w:val="ad"/>
    <w:next w:val="ad"/>
    <w:qFormat/>
    <w:pPr>
      <w:keepNext/>
      <w:keepLines/>
      <w:spacing w:before="340" w:after="330" w:line="578" w:lineRule="auto"/>
      <w:outlineLvl w:val="0"/>
    </w:pPr>
    <w:rPr>
      <w:b/>
      <w:bCs/>
      <w:kern w:val="44"/>
      <w:sz w:val="44"/>
    </w:rPr>
  </w:style>
  <w:style w:type="paragraph" w:styleId="2">
    <w:name w:val="heading 2"/>
    <w:basedOn w:val="ad"/>
    <w:next w:val="ad"/>
    <w:qFormat/>
    <w:pPr>
      <w:keepNext/>
      <w:keepLines/>
      <w:spacing w:before="260" w:after="260" w:line="415" w:lineRule="auto"/>
      <w:outlineLvl w:val="1"/>
    </w:pPr>
    <w:rPr>
      <w:rFonts w:ascii="Times New Roman" w:eastAsia="黑体" w:hAnsi="Times New Roman"/>
      <w:b/>
      <w:sz w:val="32"/>
    </w:rPr>
  </w:style>
  <w:style w:type="paragraph" w:styleId="3">
    <w:name w:val="heading 3"/>
    <w:basedOn w:val="ad"/>
    <w:next w:val="ad"/>
    <w:qFormat/>
    <w:pPr>
      <w:keepNext/>
      <w:keepLines/>
      <w:spacing w:before="260" w:after="260" w:line="415" w:lineRule="auto"/>
      <w:outlineLvl w:val="2"/>
    </w:pPr>
    <w:rPr>
      <w:b/>
      <w:sz w:val="32"/>
    </w:rPr>
  </w:style>
  <w:style w:type="paragraph" w:styleId="7">
    <w:name w:val="heading 7"/>
    <w:basedOn w:val="ad"/>
    <w:next w:val="ad"/>
    <w:link w:val="70"/>
    <w:uiPriority w:val="9"/>
    <w:qFormat/>
    <w:pPr>
      <w:keepNext/>
      <w:keepLines/>
      <w:spacing w:before="240" w:after="64" w:line="320" w:lineRule="auto"/>
      <w:outlineLvl w:val="6"/>
    </w:pPr>
    <w:rPr>
      <w:b/>
      <w:bCs/>
      <w:sz w:val="24"/>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annotation text"/>
    <w:basedOn w:val="ad"/>
    <w:link w:val="af2"/>
    <w:uiPriority w:val="99"/>
    <w:unhideWhenUsed/>
    <w:qFormat/>
    <w:pPr>
      <w:adjustRightInd w:val="0"/>
      <w:spacing w:line="400" w:lineRule="exact"/>
      <w:jc w:val="left"/>
    </w:pPr>
    <w:rPr>
      <w:szCs w:val="21"/>
    </w:rPr>
  </w:style>
  <w:style w:type="paragraph" w:styleId="af3">
    <w:name w:val="Body Text"/>
    <w:basedOn w:val="ad"/>
    <w:next w:val="af4"/>
    <w:qFormat/>
    <w:pPr>
      <w:spacing w:after="120"/>
    </w:pPr>
  </w:style>
  <w:style w:type="paragraph" w:styleId="af4">
    <w:name w:val="Title"/>
    <w:basedOn w:val="ad"/>
    <w:next w:val="ad"/>
    <w:qFormat/>
    <w:pPr>
      <w:spacing w:before="60" w:after="120" w:line="560" w:lineRule="exact"/>
      <w:jc w:val="center"/>
      <w:outlineLvl w:val="0"/>
    </w:pPr>
    <w:rPr>
      <w:rFonts w:eastAsia="方正小标宋简体"/>
      <w:bCs/>
      <w:sz w:val="44"/>
      <w:szCs w:val="32"/>
    </w:rPr>
  </w:style>
  <w:style w:type="paragraph" w:styleId="af5">
    <w:name w:val="Date"/>
    <w:basedOn w:val="ad"/>
    <w:next w:val="ad"/>
    <w:link w:val="af6"/>
    <w:uiPriority w:val="99"/>
    <w:semiHidden/>
    <w:unhideWhenUsed/>
    <w:qFormat/>
    <w:pPr>
      <w:ind w:leftChars="2500" w:left="100"/>
    </w:pPr>
  </w:style>
  <w:style w:type="paragraph" w:styleId="af7">
    <w:name w:val="endnote text"/>
    <w:basedOn w:val="ad"/>
    <w:link w:val="af8"/>
    <w:uiPriority w:val="99"/>
    <w:semiHidden/>
    <w:unhideWhenUsed/>
    <w:qFormat/>
    <w:pPr>
      <w:snapToGrid w:val="0"/>
      <w:jc w:val="left"/>
    </w:pPr>
  </w:style>
  <w:style w:type="paragraph" w:styleId="af9">
    <w:name w:val="Balloon Text"/>
    <w:basedOn w:val="ad"/>
    <w:link w:val="afa"/>
    <w:uiPriority w:val="99"/>
    <w:unhideWhenUsed/>
    <w:qFormat/>
    <w:rPr>
      <w:sz w:val="18"/>
      <w:szCs w:val="18"/>
    </w:rPr>
  </w:style>
  <w:style w:type="paragraph" w:styleId="afb">
    <w:name w:val="footer"/>
    <w:basedOn w:val="ad"/>
    <w:link w:val="afc"/>
    <w:uiPriority w:val="99"/>
    <w:qFormat/>
    <w:pPr>
      <w:tabs>
        <w:tab w:val="center" w:pos="4153"/>
        <w:tab w:val="right" w:pos="8306"/>
      </w:tabs>
      <w:snapToGrid w:val="0"/>
      <w:jc w:val="left"/>
    </w:pPr>
    <w:rPr>
      <w:sz w:val="18"/>
      <w:szCs w:val="18"/>
    </w:rPr>
  </w:style>
  <w:style w:type="paragraph" w:styleId="afd">
    <w:name w:val="envelope return"/>
    <w:basedOn w:val="ad"/>
    <w:qFormat/>
    <w:pPr>
      <w:snapToGrid w:val="0"/>
    </w:pPr>
    <w:rPr>
      <w:rFonts w:ascii="Times New Roman" w:hAnsi="Times New Roman"/>
    </w:rPr>
  </w:style>
  <w:style w:type="paragraph" w:styleId="afe">
    <w:name w:val="header"/>
    <w:basedOn w:val="ad"/>
    <w:link w:val="aff"/>
    <w:qFormat/>
    <w:pPr>
      <w:pBdr>
        <w:bottom w:val="single" w:sz="6" w:space="1" w:color="auto"/>
      </w:pBdr>
      <w:tabs>
        <w:tab w:val="center" w:pos="4153"/>
        <w:tab w:val="right" w:pos="8306"/>
      </w:tabs>
      <w:snapToGrid w:val="0"/>
      <w:jc w:val="center"/>
    </w:pPr>
    <w:rPr>
      <w:sz w:val="18"/>
      <w:szCs w:val="18"/>
    </w:rPr>
  </w:style>
  <w:style w:type="paragraph" w:styleId="4">
    <w:name w:val="toc 4"/>
    <w:basedOn w:val="ad"/>
    <w:next w:val="ad"/>
    <w:uiPriority w:val="39"/>
    <w:unhideWhenUsed/>
    <w:qFormat/>
    <w:pPr>
      <w:tabs>
        <w:tab w:val="right" w:leader="dot" w:pos="9344"/>
      </w:tabs>
      <w:adjustRightInd w:val="0"/>
      <w:spacing w:line="300" w:lineRule="exact"/>
      <w:ind w:left="629"/>
    </w:pPr>
    <w:rPr>
      <w:rFonts w:ascii="宋体"/>
      <w:szCs w:val="21"/>
    </w:rPr>
  </w:style>
  <w:style w:type="paragraph" w:styleId="aff0">
    <w:name w:val="Normal (Web)"/>
    <w:basedOn w:val="ad"/>
    <w:uiPriority w:val="99"/>
    <w:semiHidden/>
    <w:unhideWhenUsed/>
    <w:qFormat/>
    <w:rPr>
      <w:sz w:val="24"/>
    </w:rPr>
  </w:style>
  <w:style w:type="paragraph" w:styleId="aff1">
    <w:name w:val="annotation subject"/>
    <w:basedOn w:val="af1"/>
    <w:next w:val="af1"/>
    <w:link w:val="aff2"/>
    <w:uiPriority w:val="99"/>
    <w:semiHidden/>
    <w:unhideWhenUsed/>
    <w:qFormat/>
    <w:pPr>
      <w:adjustRightInd/>
      <w:spacing w:line="240" w:lineRule="auto"/>
    </w:pPr>
    <w:rPr>
      <w:b/>
      <w:bCs/>
      <w:szCs w:val="24"/>
    </w:rPr>
  </w:style>
  <w:style w:type="table" w:styleId="aff3">
    <w:name w:val="Table Grid"/>
    <w:basedOn w:val="af"/>
    <w:uiPriority w:val="39"/>
    <w:qFormat/>
    <w:pPr>
      <w:widowControl w:val="0"/>
      <w:jc w:val="both"/>
    </w:pPr>
    <w:tblPr>
      <w:tblBorders>
        <w:top w:val="single" w:sz="4" w:space="0" w:color="auto"/>
        <w:bottom w:val="single" w:sz="4" w:space="0" w:color="auto"/>
      </w:tblBorders>
    </w:tblPr>
  </w:style>
  <w:style w:type="character" w:styleId="aff4">
    <w:name w:val="Strong"/>
    <w:basedOn w:val="ae"/>
    <w:uiPriority w:val="22"/>
    <w:qFormat/>
    <w:rPr>
      <w:b/>
    </w:rPr>
  </w:style>
  <w:style w:type="character" w:styleId="aff5">
    <w:name w:val="endnote reference"/>
    <w:basedOn w:val="ae"/>
    <w:uiPriority w:val="99"/>
    <w:semiHidden/>
    <w:unhideWhenUsed/>
    <w:qFormat/>
    <w:rPr>
      <w:vertAlign w:val="superscript"/>
    </w:rPr>
  </w:style>
  <w:style w:type="character" w:styleId="aff6">
    <w:name w:val="line number"/>
    <w:qFormat/>
  </w:style>
  <w:style w:type="character" w:styleId="aff7">
    <w:name w:val="Hyperlink"/>
    <w:qFormat/>
    <w:rPr>
      <w:rFonts w:ascii="宋体" w:eastAsia="宋体"/>
      <w:color w:val="auto"/>
      <w:spacing w:val="0"/>
      <w:w w:val="100"/>
      <w:position w:val="0"/>
      <w:sz w:val="21"/>
      <w:u w:val="none"/>
      <w:vertAlign w:val="baseline"/>
    </w:rPr>
  </w:style>
  <w:style w:type="character" w:styleId="aff8">
    <w:name w:val="annotation reference"/>
    <w:uiPriority w:val="99"/>
    <w:qFormat/>
    <w:rPr>
      <w:sz w:val="21"/>
    </w:rPr>
  </w:style>
  <w:style w:type="character" w:styleId="aff9">
    <w:name w:val="footnote reference"/>
    <w:qFormat/>
    <w:rPr>
      <w:vertAlign w:val="superscript"/>
    </w:rPr>
  </w:style>
  <w:style w:type="paragraph" w:customStyle="1" w:styleId="BodyText2">
    <w:name w:val="BodyText2"/>
    <w:basedOn w:val="ad"/>
    <w:qFormat/>
    <w:pPr>
      <w:spacing w:after="120" w:line="480" w:lineRule="auto"/>
      <w:textAlignment w:val="baseline"/>
    </w:pPr>
    <w:rPr>
      <w:rFonts w:cs="Times New Roman"/>
      <w:sz w:val="32"/>
      <w:szCs w:val="32"/>
    </w:rPr>
  </w:style>
  <w:style w:type="paragraph" w:customStyle="1" w:styleId="-1">
    <w:name w:val="正文-公1"/>
    <w:uiPriority w:val="99"/>
    <w:qFormat/>
    <w:pPr>
      <w:widowControl w:val="0"/>
      <w:suppressAutoHyphens/>
      <w:jc w:val="both"/>
    </w:pPr>
    <w:rPr>
      <w:rFonts w:ascii="Calibri" w:hAnsi="Calibri"/>
      <w:kern w:val="2"/>
      <w:sz w:val="21"/>
      <w:szCs w:val="24"/>
    </w:rPr>
  </w:style>
  <w:style w:type="character" w:customStyle="1" w:styleId="70">
    <w:name w:val="标题 7 字符"/>
    <w:link w:val="7"/>
    <w:qFormat/>
    <w:rPr>
      <w:rFonts w:eastAsia="宋体"/>
      <w:b/>
      <w:bCs/>
      <w:kern w:val="2"/>
      <w:sz w:val="24"/>
      <w:szCs w:val="24"/>
    </w:rPr>
  </w:style>
  <w:style w:type="character" w:customStyle="1" w:styleId="af2">
    <w:name w:val="批注文字 字符"/>
    <w:link w:val="af1"/>
    <w:uiPriority w:val="99"/>
    <w:semiHidden/>
    <w:qFormat/>
    <w:rPr>
      <w:rFonts w:ascii="Calibri" w:eastAsia="宋体" w:hAnsi="Calibri"/>
      <w:kern w:val="2"/>
      <w:sz w:val="21"/>
      <w:szCs w:val="21"/>
    </w:rPr>
  </w:style>
  <w:style w:type="character" w:customStyle="1" w:styleId="afa">
    <w:name w:val="批注框文本 字符"/>
    <w:link w:val="af9"/>
    <w:uiPriority w:val="99"/>
    <w:semiHidden/>
    <w:qFormat/>
    <w:rPr>
      <w:rFonts w:eastAsia="宋体"/>
      <w:kern w:val="2"/>
      <w:sz w:val="18"/>
      <w:szCs w:val="18"/>
    </w:rPr>
  </w:style>
  <w:style w:type="character" w:customStyle="1" w:styleId="afc">
    <w:name w:val="页脚 字符"/>
    <w:link w:val="afb"/>
    <w:uiPriority w:val="99"/>
    <w:qFormat/>
    <w:locked/>
    <w:rPr>
      <w:rFonts w:eastAsia="宋体"/>
      <w:kern w:val="2"/>
      <w:sz w:val="18"/>
      <w:szCs w:val="18"/>
    </w:rPr>
  </w:style>
  <w:style w:type="paragraph" w:customStyle="1" w:styleId="affa">
    <w:name w:val="其他标准称谓"/>
    <w:qFormat/>
    <w:pPr>
      <w:spacing w:line="0" w:lineRule="atLeast"/>
      <w:jc w:val="distribute"/>
    </w:pPr>
    <w:rPr>
      <w:rFonts w:ascii="黑体" w:eastAsia="黑体" w:hAnsi="Calibri" w:cs="Calibri"/>
      <w:sz w:val="52"/>
    </w:rPr>
  </w:style>
  <w:style w:type="paragraph" w:customStyle="1" w:styleId="10">
    <w:name w:val="封面标准号1"/>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fb">
    <w:name w:val="标准文件_段"/>
    <w:link w:val="Char"/>
    <w:qFormat/>
    <w:pPr>
      <w:autoSpaceDE w:val="0"/>
      <w:autoSpaceDN w:val="0"/>
      <w:spacing w:line="520" w:lineRule="exact"/>
      <w:ind w:firstLineChars="200" w:firstLine="640"/>
      <w:jc w:val="both"/>
    </w:pPr>
    <w:rPr>
      <w:rFonts w:ascii="仿宋" w:eastAsia="仿宋" w:hAnsi="仿宋" w:cs="Calibri"/>
      <w:kern w:val="2"/>
      <w:sz w:val="32"/>
      <w:szCs w:val="32"/>
    </w:rPr>
  </w:style>
  <w:style w:type="character" w:customStyle="1" w:styleId="Char">
    <w:name w:val="标准文件_段 Char"/>
    <w:link w:val="affb"/>
    <w:qFormat/>
    <w:rPr>
      <w:rFonts w:ascii="仿宋" w:eastAsia="仿宋" w:hAnsi="仿宋" w:cs="Calibri"/>
      <w:kern w:val="2"/>
      <w:sz w:val="32"/>
      <w:szCs w:val="32"/>
    </w:rPr>
  </w:style>
  <w:style w:type="paragraph" w:customStyle="1" w:styleId="a6">
    <w:name w:val="标准文件_章标题"/>
    <w:next w:val="affb"/>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fc">
    <w:name w:val="标准文件_二级条标题"/>
    <w:next w:val="affb"/>
    <w:qFormat/>
    <w:pPr>
      <w:widowControl w:val="0"/>
      <w:spacing w:beforeLines="50" w:before="50" w:afterLines="50" w:after="50"/>
      <w:jc w:val="both"/>
      <w:outlineLvl w:val="2"/>
    </w:pPr>
    <w:rPr>
      <w:rFonts w:ascii="黑体" w:eastAsia="黑体" w:hAnsi="Calibri" w:cs="Calibri"/>
      <w:sz w:val="21"/>
    </w:rPr>
  </w:style>
  <w:style w:type="paragraph" w:customStyle="1" w:styleId="a7">
    <w:name w:val="标准文件_一级条标题"/>
    <w:basedOn w:val="a6"/>
    <w:next w:val="affb"/>
    <w:qFormat/>
    <w:pPr>
      <w:numPr>
        <w:ilvl w:val="2"/>
      </w:numPr>
      <w:spacing w:beforeLines="0" w:before="50" w:afterLines="0" w:after="50"/>
      <w:outlineLvl w:val="1"/>
    </w:pPr>
  </w:style>
  <w:style w:type="paragraph" w:customStyle="1" w:styleId="affd">
    <w:name w:val="标准文件_三级条标题"/>
    <w:basedOn w:val="affc"/>
    <w:next w:val="affb"/>
    <w:qFormat/>
    <w:pPr>
      <w:outlineLvl w:val="3"/>
    </w:pPr>
  </w:style>
  <w:style w:type="paragraph" w:customStyle="1" w:styleId="affe">
    <w:name w:val="标准文件_四级条标题"/>
    <w:next w:val="affb"/>
    <w:qFormat/>
    <w:pPr>
      <w:widowControl w:val="0"/>
      <w:spacing w:beforeLines="50" w:before="50" w:afterLines="50" w:after="50"/>
      <w:jc w:val="both"/>
      <w:outlineLvl w:val="4"/>
    </w:pPr>
    <w:rPr>
      <w:rFonts w:ascii="黑体" w:eastAsia="黑体" w:hAnsi="Calibri" w:cs="Calibri"/>
      <w:sz w:val="21"/>
    </w:rPr>
  </w:style>
  <w:style w:type="paragraph" w:customStyle="1" w:styleId="aa">
    <w:name w:val="标准文件_五级条标题"/>
    <w:next w:val="affc"/>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5">
    <w:name w:val="前言标题"/>
    <w:next w:val="ad"/>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9">
    <w:name w:val="标准文件_四级无标题"/>
    <w:basedOn w:val="affe"/>
    <w:qFormat/>
    <w:pPr>
      <w:numPr>
        <w:ilvl w:val="5"/>
        <w:numId w:val="1"/>
      </w:numPr>
    </w:pPr>
    <w:rPr>
      <w:rFonts w:ascii="宋体" w:eastAsia="宋体"/>
      <w:szCs w:val="52"/>
    </w:rPr>
  </w:style>
  <w:style w:type="paragraph" w:customStyle="1" w:styleId="a8">
    <w:name w:val="标准文件_三级无标题"/>
    <w:basedOn w:val="affd"/>
    <w:qFormat/>
    <w:pPr>
      <w:numPr>
        <w:ilvl w:val="4"/>
        <w:numId w:val="1"/>
      </w:numPr>
    </w:pPr>
    <w:rPr>
      <w:rFonts w:ascii="宋体" w:eastAsia="宋体"/>
    </w:rPr>
  </w:style>
  <w:style w:type="paragraph" w:customStyle="1" w:styleId="a">
    <w:name w:val="标准文件_正文表标题"/>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qFormat/>
    <w:rPr>
      <w:rFonts w:ascii="等线" w:eastAsia="等线"/>
      <w:b/>
      <w:bCs/>
      <w:color w:val="FF0000"/>
      <w:sz w:val="22"/>
      <w:szCs w:val="22"/>
      <w:u w:val="none"/>
    </w:rPr>
  </w:style>
  <w:style w:type="character" w:customStyle="1" w:styleId="font01">
    <w:name w:val="font01"/>
    <w:qFormat/>
    <w:rPr>
      <w:rFonts w:ascii="等线" w:eastAsia="等线"/>
      <w:color w:val="000000"/>
      <w:sz w:val="22"/>
      <w:szCs w:val="22"/>
      <w:u w:val="none"/>
    </w:rPr>
  </w:style>
  <w:style w:type="paragraph" w:customStyle="1" w:styleId="afff">
    <w:name w:val="段"/>
    <w:qFormat/>
    <w:pPr>
      <w:autoSpaceDE w:val="0"/>
      <w:autoSpaceDN w:val="0"/>
      <w:ind w:firstLineChars="200" w:firstLine="200"/>
      <w:jc w:val="both"/>
    </w:pPr>
    <w:rPr>
      <w:rFonts w:ascii="宋体" w:hAnsi="Calibri" w:cs="Calibri"/>
      <w:sz w:val="21"/>
    </w:rPr>
  </w:style>
  <w:style w:type="paragraph" w:customStyle="1" w:styleId="afff0">
    <w:name w:val="二级无"/>
    <w:basedOn w:val="ad"/>
    <w:qFormat/>
    <w:pPr>
      <w:widowControl/>
      <w:tabs>
        <w:tab w:val="left" w:pos="780"/>
      </w:tabs>
      <w:ind w:left="780" w:hanging="360"/>
      <w:jc w:val="left"/>
      <w:outlineLvl w:val="3"/>
    </w:pPr>
    <w:rPr>
      <w:rFonts w:ascii="宋体"/>
      <w:kern w:val="0"/>
      <w:szCs w:val="21"/>
    </w:rPr>
  </w:style>
  <w:style w:type="paragraph" w:customStyle="1" w:styleId="afff1">
    <w:name w:val="标准文件_二级无标题"/>
    <w:basedOn w:val="affc"/>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d"/>
    <w:qFormat/>
  </w:style>
  <w:style w:type="paragraph" w:customStyle="1" w:styleId="a3">
    <w:name w:val="标准文件_数字编号列项（二级）"/>
    <w:qFormat/>
    <w:pPr>
      <w:numPr>
        <w:ilvl w:val="1"/>
        <w:numId w:val="3"/>
      </w:numPr>
      <w:jc w:val="both"/>
    </w:pPr>
    <w:rPr>
      <w:rFonts w:ascii="宋体" w:hAnsi="Calibri" w:cs="Calibri"/>
      <w:sz w:val="21"/>
    </w:rPr>
  </w:style>
  <w:style w:type="paragraph" w:customStyle="1" w:styleId="a4">
    <w:name w:val="标准文件_编号列项（三级）"/>
    <w:qFormat/>
    <w:pPr>
      <w:numPr>
        <w:ilvl w:val="2"/>
        <w:numId w:val="3"/>
      </w:numPr>
    </w:pPr>
    <w:rPr>
      <w:rFonts w:ascii="宋体" w:hAnsi="Calibri" w:cs="Calibri"/>
      <w:sz w:val="21"/>
    </w:rPr>
  </w:style>
  <w:style w:type="paragraph" w:customStyle="1" w:styleId="a2">
    <w:name w:val="标准文件_字母编号列项（一级）"/>
    <w:qFormat/>
    <w:pPr>
      <w:numPr>
        <w:numId w:val="3"/>
      </w:numPr>
      <w:jc w:val="both"/>
    </w:pPr>
    <w:rPr>
      <w:rFonts w:ascii="宋体" w:hAnsi="Calibri" w:cs="Calibri"/>
      <w:sz w:val="21"/>
    </w:rPr>
  </w:style>
  <w:style w:type="paragraph" w:customStyle="1" w:styleId="afff2">
    <w:name w:val="标准文件_术语条一"/>
    <w:basedOn w:val="afff3"/>
    <w:next w:val="affb"/>
    <w:qFormat/>
  </w:style>
  <w:style w:type="paragraph" w:customStyle="1" w:styleId="afff3">
    <w:name w:val="标准文件_一级无标题"/>
    <w:basedOn w:val="a7"/>
    <w:qFormat/>
    <w:pPr>
      <w:spacing w:before="0" w:after="0"/>
      <w:outlineLvl w:val="9"/>
    </w:pPr>
    <w:rPr>
      <w:rFonts w:ascii="宋体" w:eastAsia="宋体"/>
    </w:rPr>
  </w:style>
  <w:style w:type="paragraph" w:customStyle="1" w:styleId="abstract">
    <w:name w:val="abstract"/>
    <w:basedOn w:val="ad"/>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d"/>
    <w:qFormat/>
    <w:pPr>
      <w:widowControl/>
      <w:spacing w:before="100" w:beforeAutospacing="1" w:after="100" w:afterAutospacing="1"/>
      <w:jc w:val="left"/>
    </w:pPr>
    <w:rPr>
      <w:rFonts w:ascii="宋体" w:hAnsi="宋体" w:cs="宋体"/>
      <w:kern w:val="0"/>
      <w:sz w:val="24"/>
    </w:rPr>
  </w:style>
  <w:style w:type="paragraph" w:styleId="afff4">
    <w:name w:val="No Spacing"/>
    <w:uiPriority w:val="99"/>
    <w:qFormat/>
    <w:pPr>
      <w:widowControl w:val="0"/>
      <w:jc w:val="both"/>
    </w:pPr>
    <w:rPr>
      <w:rFonts w:ascii="Calibri" w:hAnsi="Calibri"/>
      <w:kern w:val="2"/>
      <w:sz w:val="21"/>
      <w:szCs w:val="24"/>
    </w:rPr>
  </w:style>
  <w:style w:type="paragraph" w:customStyle="1" w:styleId="a1">
    <w:name w:val="标准文件_一级项"/>
    <w:qFormat/>
    <w:pPr>
      <w:numPr>
        <w:numId w:val="4"/>
      </w:numPr>
    </w:pPr>
    <w:rPr>
      <w:rFonts w:ascii="宋体"/>
      <w:sz w:val="21"/>
    </w:rPr>
  </w:style>
  <w:style w:type="paragraph" w:customStyle="1" w:styleId="ab">
    <w:name w:val="附录表标题"/>
    <w:basedOn w:val="ad"/>
    <w:next w:val="afff"/>
    <w:qFormat/>
    <w:pPr>
      <w:numPr>
        <w:ilvl w:val="1"/>
        <w:numId w:val="5"/>
      </w:numPr>
      <w:tabs>
        <w:tab w:val="left" w:pos="180"/>
      </w:tabs>
      <w:spacing w:beforeLines="50" w:afterLines="50"/>
      <w:ind w:left="0" w:firstLine="0"/>
      <w:jc w:val="center"/>
    </w:pPr>
    <w:rPr>
      <w:rFonts w:ascii="黑体" w:eastAsia="黑体" w:hAnsi="Times New Roman" w:cs="Times New Roman"/>
      <w:szCs w:val="21"/>
    </w:rPr>
  </w:style>
  <w:style w:type="paragraph" w:styleId="afff5">
    <w:name w:val="List Paragraph"/>
    <w:basedOn w:val="ad"/>
    <w:uiPriority w:val="34"/>
    <w:unhideWhenUsed/>
    <w:qFormat/>
    <w:pPr>
      <w:ind w:firstLineChars="200" w:firstLine="420"/>
    </w:pPr>
    <w:rPr>
      <w:rFonts w:ascii="Times New Roman" w:hAnsi="Times New Roman" w:cs="Times New Roman"/>
    </w:rPr>
  </w:style>
  <w:style w:type="character" w:customStyle="1" w:styleId="aff">
    <w:name w:val="页眉 字符"/>
    <w:basedOn w:val="ae"/>
    <w:link w:val="afe"/>
    <w:qFormat/>
    <w:rPr>
      <w:rFonts w:ascii="Calibri" w:hAnsi="Calibri" w:cs="Calibri"/>
      <w:kern w:val="2"/>
      <w:sz w:val="18"/>
      <w:szCs w:val="18"/>
    </w:rPr>
  </w:style>
  <w:style w:type="character" w:customStyle="1" w:styleId="aff2">
    <w:name w:val="批注主题 字符"/>
    <w:basedOn w:val="af2"/>
    <w:link w:val="aff1"/>
    <w:uiPriority w:val="99"/>
    <w:semiHidden/>
    <w:qFormat/>
    <w:rPr>
      <w:rFonts w:ascii="Calibri" w:eastAsia="宋体" w:hAnsi="Calibri" w:cs="Calibri"/>
      <w:b/>
      <w:bCs/>
      <w:kern w:val="2"/>
      <w:sz w:val="21"/>
      <w:szCs w:val="24"/>
    </w:rPr>
  </w:style>
  <w:style w:type="character" w:customStyle="1" w:styleId="af8">
    <w:name w:val="尾注文本 字符"/>
    <w:basedOn w:val="ae"/>
    <w:link w:val="af7"/>
    <w:uiPriority w:val="99"/>
    <w:semiHidden/>
    <w:qFormat/>
    <w:rPr>
      <w:rFonts w:ascii="Calibri" w:hAnsi="Calibri" w:cs="Calibri"/>
      <w:kern w:val="2"/>
      <w:sz w:val="21"/>
      <w:szCs w:val="24"/>
    </w:rPr>
  </w:style>
  <w:style w:type="paragraph" w:customStyle="1" w:styleId="a0">
    <w:name w:val="标准文件_方框数字列项"/>
    <w:basedOn w:val="affb"/>
    <w:qFormat/>
    <w:pPr>
      <w:numPr>
        <w:numId w:val="6"/>
      </w:numPr>
      <w:spacing w:line="240" w:lineRule="auto"/>
      <w:ind w:firstLineChars="0" w:firstLine="0"/>
    </w:pPr>
    <w:rPr>
      <w:rFonts w:ascii="宋体" w:eastAsia="宋体" w:hAnsi="Times New Roman" w:cs="Times New Roman"/>
      <w:kern w:val="0"/>
      <w:sz w:val="21"/>
      <w:szCs w:val="20"/>
    </w:rPr>
  </w:style>
  <w:style w:type="character" w:customStyle="1" w:styleId="af6">
    <w:name w:val="日期 字符"/>
    <w:basedOn w:val="ae"/>
    <w:link w:val="af5"/>
    <w:uiPriority w:val="99"/>
    <w:semiHidden/>
    <w:qFormat/>
    <w:rPr>
      <w:rFonts w:ascii="Calibri" w:hAnsi="Calibri" w:cs="Calibri"/>
      <w:kern w:val="2"/>
      <w:sz w:val="21"/>
      <w:szCs w:val="24"/>
    </w:rPr>
  </w:style>
  <w:style w:type="paragraph" w:customStyle="1" w:styleId="ac">
    <w:name w:val="标准文件_注："/>
    <w:next w:val="affb"/>
    <w:qFormat/>
    <w:pPr>
      <w:widowControl w:val="0"/>
      <w:numPr>
        <w:numId w:val="7"/>
      </w:numPr>
      <w:autoSpaceDE w:val="0"/>
      <w:autoSpaceDN w:val="0"/>
      <w:jc w:val="both"/>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628282">
      <w:bodyDiv w:val="1"/>
      <w:marLeft w:val="0"/>
      <w:marRight w:val="0"/>
      <w:marTop w:val="0"/>
      <w:marBottom w:val="0"/>
      <w:divBdr>
        <w:top w:val="none" w:sz="0" w:space="0" w:color="auto"/>
        <w:left w:val="none" w:sz="0" w:space="0" w:color="auto"/>
        <w:bottom w:val="none" w:sz="0" w:space="0" w:color="auto"/>
        <w:right w:val="none" w:sz="0" w:space="0" w:color="auto"/>
      </w:divBdr>
    </w:div>
    <w:div w:id="813791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15</Pages>
  <Words>1278</Words>
  <Characters>7286</Characters>
  <Application>Microsoft Office Word</Application>
  <DocSecurity>0</DocSecurity>
  <Lines>60</Lines>
  <Paragraphs>17</Paragraphs>
  <ScaleCrop>false</ScaleCrop>
  <Company>微软中国</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64</cp:revision>
  <dcterms:created xsi:type="dcterms:W3CDTF">2024-09-29T09:06:00Z</dcterms:created>
  <dcterms:modified xsi:type="dcterms:W3CDTF">2024-12-31T07:02:00Z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A922D90BF3B641DA8C66AE267C36FA1E_13</vt:lpwstr>
  </property>
</Properties>
</file>