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318E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855F0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021F88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11.020</w:t>
            </w:r>
            <w:r>
              <w:rPr>
                <w:rFonts w:ascii="黑体" w:hAnsi="黑体" w:eastAsia="黑体"/>
                <w:sz w:val="21"/>
                <w:szCs w:val="21"/>
              </w:rPr>
              <w:fldChar w:fldCharType="end"/>
            </w:r>
            <w:bookmarkEnd w:id="0"/>
          </w:p>
        </w:tc>
      </w:tr>
      <w:tr w14:paraId="42152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08A673E">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197D49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01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02B5605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3BAA2C72">
            <w:pPr>
              <w:pStyle w:val="50"/>
              <w:framePr w:w="0" w:hRule="auto" w:wrap="auto" w:vAnchor="margin" w:hAnchor="text" w:xAlign="left" w:yAlign="inline"/>
              <w:rPr>
                <w:rFonts w:ascii="宋体" w:hAnsi="宋体"/>
                <w:sz w:val="28"/>
                <w:szCs w:val="28"/>
              </w:rPr>
            </w:pPr>
            <w:bookmarkStart w:id="2" w:name="_Hlk26473981"/>
            <w:r>
              <w:rPr>
                <w:rFonts w:hint="eastAsia"/>
              </w:rPr>
              <w:t>T/</w:t>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GXAS</w:t>
            </w:r>
            <w:r>
              <w:fldChar w:fldCharType="end"/>
            </w:r>
            <w:bookmarkEnd w:id="3"/>
          </w:p>
        </w:tc>
      </w:tr>
    </w:tbl>
    <w:p w14:paraId="7F86223D">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4708E6A">
      <w:pPr>
        <w:pStyle w:val="196"/>
      </w:pPr>
      <w:r>
        <w:rPr>
          <w:rFonts w:hint="eastAsia"/>
        </w:rPr>
        <w:t>T/</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2A1AAD1">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0A3989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CFBF26F">
      <w:pPr>
        <w:pStyle w:val="51"/>
        <w:framePr w:w="9639" w:h="6976" w:hRule="exact" w:hSpace="0" w:vSpace="0" w:wrap="around" w:hAnchor="page" w:y="6408"/>
        <w:jc w:val="center"/>
        <w:rPr>
          <w:rFonts w:ascii="黑体" w:hAnsi="黑体" w:eastAsia="黑体"/>
          <w:b w:val="0"/>
          <w:bCs w:val="0"/>
          <w:w w:val="100"/>
        </w:rPr>
      </w:pPr>
    </w:p>
    <w:p w14:paraId="47F59BBC">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儿童青少年非自杀性自伤干预规范</w:t>
      </w:r>
      <w:r>
        <w:fldChar w:fldCharType="end"/>
      </w:r>
      <w:bookmarkEnd w:id="9"/>
    </w:p>
    <w:p w14:paraId="51CE3028">
      <w:pPr>
        <w:framePr w:w="9639" w:h="6974" w:hRule="exact" w:wrap="around" w:vAnchor="page" w:hAnchor="page" w:x="1419" w:y="6408" w:anchorLock="1"/>
        <w:ind w:left="-1418"/>
      </w:pPr>
    </w:p>
    <w:p w14:paraId="312F85AA">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psychological intervention of nonsuicidal selfinjury of children and adolescents</w:t>
      </w:r>
      <w:r>
        <w:rPr>
          <w:rFonts w:ascii="黑体" w:hAnsi="黑体" w:eastAsia="黑体"/>
          <w:szCs w:val="28"/>
        </w:rPr>
        <w:fldChar w:fldCharType="end"/>
      </w:r>
      <w:bookmarkEnd w:id="10"/>
    </w:p>
    <w:p w14:paraId="07DF2323">
      <w:pPr>
        <w:framePr w:w="9639" w:h="6974" w:hRule="exact" w:wrap="around" w:vAnchor="page" w:hAnchor="page" w:x="1419" w:y="6408" w:anchorLock="1"/>
        <w:spacing w:line="760" w:lineRule="exact"/>
        <w:ind w:left="-1418"/>
      </w:pPr>
    </w:p>
    <w:p w14:paraId="75FA33F3">
      <w:pPr>
        <w:pStyle w:val="126"/>
        <w:framePr w:w="9639" w:h="6974" w:hRule="exact" w:wrap="around" w:vAnchor="page" w:hAnchor="page" w:x="1419" w:y="6408" w:anchorLock="1"/>
        <w:textAlignment w:val="bottom"/>
        <w:rPr>
          <w:rFonts w:eastAsia="黑体"/>
          <w:szCs w:val="28"/>
        </w:rPr>
      </w:pPr>
    </w:p>
    <w:p w14:paraId="28D3083D">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7803282">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CE5FB0A">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B44BFD3">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EDBA7E3">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C1A85D9">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3DB1894">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5270A75">
      <w:pPr>
        <w:pStyle w:val="90"/>
        <w:spacing w:after="468"/>
      </w:pPr>
      <w:bookmarkStart w:id="21" w:name="_Toc160744585"/>
      <w:bookmarkStart w:id="22" w:name="_Toc185435203"/>
      <w:bookmarkStart w:id="23" w:name="BookMark2"/>
      <w:r>
        <w:rPr>
          <w:spacing w:val="320"/>
        </w:rPr>
        <w:t>前</w:t>
      </w:r>
      <w:r>
        <w:t>言</w:t>
      </w:r>
      <w:bookmarkEnd w:id="21"/>
      <w:bookmarkEnd w:id="22"/>
    </w:p>
    <w:p w14:paraId="42A5D864">
      <w:pPr>
        <w:pStyle w:val="57"/>
        <w:ind w:firstLine="420"/>
      </w:pPr>
      <w:r>
        <w:rPr>
          <w:rFonts w:hint="eastAsia"/>
        </w:rPr>
        <w:t>本文件参照GB/T 1.1—2020《标准化工作导则  第1部分：标准化文件的结构和起草规则》的规定起草。</w:t>
      </w:r>
    </w:p>
    <w:p w14:paraId="537853A2">
      <w:pPr>
        <w:pStyle w:val="57"/>
        <w:ind w:firstLine="420"/>
      </w:pPr>
      <w:r>
        <w:rPr>
          <w:rFonts w:hint="eastAsia"/>
        </w:rPr>
        <w:t>请注意本文件的某些内容可能涉及专利。本文件的发布机构不承担识别专利的责任。</w:t>
      </w:r>
    </w:p>
    <w:p w14:paraId="62284E11">
      <w:pPr>
        <w:pStyle w:val="57"/>
        <w:ind w:firstLine="420"/>
      </w:pPr>
      <w:r>
        <w:rPr>
          <w:rFonts w:hint="eastAsia"/>
        </w:rPr>
        <w:t>本文件由南宁市第五人民医院提出并宣贯。</w:t>
      </w:r>
    </w:p>
    <w:p w14:paraId="04E2D1C6">
      <w:pPr>
        <w:pStyle w:val="57"/>
        <w:ind w:firstLine="420"/>
      </w:pPr>
      <w:r>
        <w:rPr>
          <w:rFonts w:hint="eastAsia"/>
        </w:rPr>
        <w:t>本文件由广西标准化协会归口。</w:t>
      </w:r>
    </w:p>
    <w:p w14:paraId="40DC6403">
      <w:pPr>
        <w:pStyle w:val="57"/>
        <w:ind w:firstLine="420"/>
      </w:pPr>
      <w:r>
        <w:rPr>
          <w:rFonts w:hint="eastAsia"/>
        </w:rPr>
        <w:t>本文件起草单位：南宁市第五人民医院、玉林市退役军人医院(玉林市第四人民医院)、百色市第二人民医院、防城港市精神病医院、钦州市精神病医院、北海市合浦精神病医院。</w:t>
      </w:r>
    </w:p>
    <w:p w14:paraId="149551E4">
      <w:pPr>
        <w:pStyle w:val="57"/>
        <w:ind w:firstLine="420"/>
      </w:pPr>
      <w:r>
        <w:rPr>
          <w:rFonts w:hint="eastAsia"/>
        </w:rPr>
        <w:t>本文件主要起草人：方晖、郑丹丹、范喜英、陆强、雷黎、黄淑津、磨丽莉、何梅、黄英明、罗惠芳、夏春梅、车红英、廖有兴、罗启全、刘世钧、曾镇涛。</w:t>
      </w:r>
    </w:p>
    <w:p w14:paraId="62AC4FB3">
      <w:pPr>
        <w:pStyle w:val="57"/>
        <w:ind w:firstLine="420"/>
      </w:pPr>
    </w:p>
    <w:p w14:paraId="1BE4FC4C">
      <w:pPr>
        <w:pStyle w:val="57"/>
        <w:ind w:firstLine="420"/>
        <w:sectPr>
          <w:headerReference r:id="rId11" w:type="default"/>
          <w:footerReference r:id="rId13" w:type="default"/>
          <w:headerReference r:id="rId12" w:type="even"/>
          <w:pgSz w:w="11906" w:h="16838"/>
          <w:pgMar w:top="1871" w:right="1134" w:bottom="1134" w:left="1134" w:header="1418" w:footer="1134" w:gutter="284"/>
          <w:pgNumType w:fmt="upperRoman" w:start="1"/>
          <w:cols w:space="425" w:num="1"/>
          <w:formProt w:val="0"/>
          <w:docGrid w:type="lines" w:linePitch="312" w:charSpace="0"/>
        </w:sectPr>
      </w:pPr>
    </w:p>
    <w:bookmarkEnd w:id="23"/>
    <w:p w14:paraId="3408D879">
      <w:pPr>
        <w:spacing w:line="20" w:lineRule="exact"/>
        <w:jc w:val="center"/>
        <w:rPr>
          <w:rFonts w:ascii="黑体" w:hAnsi="黑体" w:eastAsia="黑体"/>
          <w:sz w:val="32"/>
          <w:szCs w:val="32"/>
        </w:rPr>
      </w:pPr>
      <w:bookmarkStart w:id="24" w:name="BookMark4"/>
    </w:p>
    <w:p w14:paraId="167A5220">
      <w:pPr>
        <w:spacing w:line="20" w:lineRule="exact"/>
        <w:jc w:val="center"/>
        <w:rPr>
          <w:rFonts w:ascii="黑体" w:hAnsi="黑体" w:eastAsia="黑体"/>
          <w:sz w:val="32"/>
          <w:szCs w:val="32"/>
        </w:rPr>
      </w:pPr>
    </w:p>
    <w:sdt>
      <w:sdtPr>
        <w:tag w:val="NEW_STAND_NAME"/>
        <w:id w:val="595910757"/>
        <w:lock w:val="sdtLocked"/>
        <w:placeholder>
          <w:docPart w:val="610451E4FD924588B21CB262EC744D43"/>
        </w:placeholder>
      </w:sdtPr>
      <w:sdtContent>
        <w:p w14:paraId="7932922A">
          <w:pPr>
            <w:pStyle w:val="178"/>
            <w:spacing w:before="567" w:beforeLines="182" w:after="686" w:afterLines="220"/>
          </w:pPr>
          <w:bookmarkStart w:id="25" w:name="NEW_STAND_NAME"/>
          <w:r>
            <w:rPr>
              <w:rFonts w:hint="eastAsia"/>
            </w:rPr>
            <w:t>儿童青少年非自杀性自伤干预规范</w:t>
          </w:r>
        </w:p>
      </w:sdtContent>
    </w:sdt>
    <w:bookmarkEnd w:id="25"/>
    <w:p w14:paraId="790B5538">
      <w:pPr>
        <w:pStyle w:val="105"/>
        <w:spacing w:before="312" w:after="312"/>
      </w:pPr>
      <w:bookmarkStart w:id="26" w:name="_Toc185435204"/>
      <w:bookmarkStart w:id="27" w:name="_Toc26986530"/>
      <w:bookmarkStart w:id="28" w:name="_Toc24884218"/>
      <w:bookmarkStart w:id="29" w:name="_Toc26648465"/>
      <w:bookmarkStart w:id="30" w:name="_Toc24884211"/>
      <w:bookmarkStart w:id="31" w:name="_Toc17233325"/>
      <w:bookmarkStart w:id="32" w:name="_Toc17233333"/>
      <w:bookmarkStart w:id="33" w:name="_Toc26718930"/>
      <w:bookmarkStart w:id="34" w:name="_Toc26986771"/>
      <w:bookmarkStart w:id="35" w:name="_Toc160744586"/>
      <w:r>
        <w:rPr>
          <w:rFonts w:hint="eastAsia"/>
        </w:rPr>
        <w:t>范围</w:t>
      </w:r>
      <w:bookmarkEnd w:id="26"/>
      <w:bookmarkEnd w:id="27"/>
      <w:bookmarkEnd w:id="28"/>
      <w:bookmarkEnd w:id="29"/>
      <w:bookmarkEnd w:id="30"/>
      <w:bookmarkEnd w:id="31"/>
      <w:bookmarkEnd w:id="32"/>
      <w:bookmarkEnd w:id="33"/>
      <w:bookmarkEnd w:id="34"/>
      <w:bookmarkEnd w:id="35"/>
    </w:p>
    <w:p w14:paraId="3A5BD364">
      <w:pPr>
        <w:pStyle w:val="57"/>
        <w:ind w:firstLine="420"/>
      </w:pPr>
      <w:bookmarkStart w:id="36" w:name="_Toc17233334"/>
      <w:bookmarkStart w:id="37" w:name="_Toc26648466"/>
      <w:bookmarkStart w:id="38" w:name="_Toc17233326"/>
      <w:bookmarkStart w:id="39" w:name="_Toc24884219"/>
      <w:bookmarkStart w:id="40" w:name="_Toc24884212"/>
      <w:r>
        <w:rPr>
          <w:rFonts w:hint="eastAsia"/>
        </w:rPr>
        <w:t>本文件界定了儿童青少年非自杀性自伤的术语和定义，规定了儿童青少年非自杀性自伤</w:t>
      </w:r>
      <w:r>
        <w:t>的</w:t>
      </w:r>
      <w:r>
        <w:rPr>
          <w:rFonts w:hint="eastAsia"/>
        </w:rPr>
        <w:t>基本要求、干预流程、干预实施的</w:t>
      </w:r>
      <w:r>
        <w:t>内容</w:t>
      </w:r>
      <w:r>
        <w:rPr>
          <w:rFonts w:hint="eastAsia"/>
        </w:rPr>
        <w:t>。</w:t>
      </w:r>
    </w:p>
    <w:p w14:paraId="00786AD0">
      <w:pPr>
        <w:pStyle w:val="57"/>
        <w:ind w:firstLine="420"/>
      </w:pPr>
      <w:r>
        <w:rPr>
          <w:rFonts w:hint="eastAsia"/>
        </w:rPr>
        <w:t>本文件适用于儿童青少年非自杀性自伤干预。</w:t>
      </w:r>
    </w:p>
    <w:p w14:paraId="7C000FA5">
      <w:pPr>
        <w:pStyle w:val="105"/>
        <w:spacing w:before="312" w:after="312"/>
      </w:pPr>
      <w:bookmarkStart w:id="41" w:name="_Toc160744587"/>
      <w:bookmarkStart w:id="42" w:name="_Toc26986531"/>
      <w:bookmarkStart w:id="43" w:name="_Toc26718931"/>
      <w:bookmarkStart w:id="44" w:name="_Toc26986772"/>
      <w:bookmarkStart w:id="45" w:name="_Toc185435205"/>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E3B230A96AD04F97A1096B2D4A717E4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EFD7539">
          <w:pPr>
            <w:pStyle w:val="57"/>
            <w:ind w:firstLine="420"/>
          </w:pPr>
          <w:r>
            <w:rPr>
              <w:rFonts w:hint="eastAsia"/>
            </w:rPr>
            <w:t>本文件没有规范性引用文件。</w:t>
          </w:r>
        </w:p>
      </w:sdtContent>
    </w:sdt>
    <w:p w14:paraId="4C2FB3BD">
      <w:pPr>
        <w:pStyle w:val="105"/>
        <w:spacing w:before="312" w:after="312"/>
      </w:pPr>
      <w:bookmarkStart w:id="46" w:name="_Toc160744588"/>
      <w:bookmarkStart w:id="47" w:name="_Toc185435206"/>
      <w:r>
        <w:rPr>
          <w:rFonts w:hint="eastAsia"/>
          <w:szCs w:val="21"/>
        </w:rPr>
        <w:t>术语和定义</w:t>
      </w:r>
      <w:bookmarkEnd w:id="46"/>
      <w:bookmarkEnd w:id="47"/>
    </w:p>
    <w:sdt>
      <w:sdtPr>
        <w:id w:val="-1909835108"/>
        <w:placeholder>
          <w:docPart w:val="DB8673D599924993A25E2EEF235E209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B21F748">
          <w:pPr>
            <w:pStyle w:val="57"/>
            <w:ind w:firstLine="420"/>
          </w:pPr>
          <w:bookmarkStart w:id="48" w:name="_Toc26986532"/>
          <w:bookmarkEnd w:id="48"/>
          <w:r>
            <w:t>下列术语和定义适用于本文件。</w:t>
          </w:r>
        </w:p>
      </w:sdtContent>
    </w:sdt>
    <w:p w14:paraId="642122F8">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非自杀性自伤  nonsuicidal selfinjury，NSSI</w:t>
      </w:r>
    </w:p>
    <w:p w14:paraId="0F752D86">
      <w:pPr>
        <w:pStyle w:val="57"/>
        <w:ind w:firstLine="420"/>
      </w:pPr>
      <w:r>
        <w:rPr>
          <w:rFonts w:hint="eastAsia"/>
        </w:rPr>
        <w:t>个体在无自杀动机的情况下直接对自身组织的故意伤害的行为。</w:t>
      </w:r>
    </w:p>
    <w:p w14:paraId="7B3E0A99">
      <w:pPr>
        <w:pStyle w:val="180"/>
      </w:pPr>
      <w:r>
        <w:rPr>
          <w:rFonts w:hint="eastAsia"/>
        </w:rPr>
        <w:t>一年内发生多次，该行为或其结果引起有临床意义的痛苦，或妨碍人际、学业或其他重要功能方面。</w:t>
      </w:r>
    </w:p>
    <w:p w14:paraId="1ADCE292">
      <w:pPr>
        <w:pStyle w:val="105"/>
        <w:spacing w:before="312" w:after="312"/>
      </w:pPr>
      <w:bookmarkStart w:id="49" w:name="_Toc185435207"/>
      <w:bookmarkStart w:id="50" w:name="_Toc160744589"/>
      <w:r>
        <w:rPr>
          <w:rFonts w:hint="eastAsia"/>
        </w:rPr>
        <w:t>基本要求</w:t>
      </w:r>
      <w:bookmarkEnd w:id="49"/>
      <w:bookmarkEnd w:id="50"/>
    </w:p>
    <w:p w14:paraId="7E99857F">
      <w:pPr>
        <w:pStyle w:val="106"/>
        <w:spacing w:before="156" w:after="156"/>
      </w:pPr>
      <w:r>
        <w:rPr>
          <w:rFonts w:hint="eastAsia"/>
        </w:rPr>
        <w:t>总体要求</w:t>
      </w:r>
    </w:p>
    <w:p w14:paraId="7F498017">
      <w:pPr>
        <w:pStyle w:val="57"/>
        <w:ind w:firstLine="420"/>
      </w:pPr>
      <w:r>
        <w:rPr>
          <w:rFonts w:hint="eastAsia"/>
        </w:rPr>
        <w:t>干预计划应考虑到个人的年龄、性别、文化背景、自伤的功能和心理状态等因素。认识到儿童青少年的NSSI行为背后都有其独特的原因和需求。促进与家庭、学校、社会团体、医疗机构的积极互动，建立一个支持系统，增强患者的社会支持网。</w:t>
      </w:r>
    </w:p>
    <w:p w14:paraId="3804E47E">
      <w:pPr>
        <w:pStyle w:val="106"/>
        <w:spacing w:before="156" w:after="156"/>
      </w:pPr>
      <w:r>
        <w:rPr>
          <w:rFonts w:hint="eastAsia"/>
        </w:rPr>
        <w:t>家庭</w:t>
      </w:r>
    </w:p>
    <w:p w14:paraId="3D950E63">
      <w:pPr>
        <w:pStyle w:val="166"/>
        <w:rPr>
          <w:color w:val="auto"/>
        </w:rPr>
      </w:pPr>
      <w:r>
        <w:rPr>
          <w:rFonts w:hint="eastAsia"/>
          <w:color w:val="auto"/>
        </w:rPr>
        <w:t>家庭成员应共同努力营造一个温馨、和谐、支持性的家庭环境，减少冲突和矛盾，增强彼此之间的情感联系。</w:t>
      </w:r>
    </w:p>
    <w:p w14:paraId="041551B2">
      <w:pPr>
        <w:pStyle w:val="166"/>
        <w:rPr>
          <w:color w:val="auto"/>
        </w:rPr>
      </w:pPr>
      <w:r>
        <w:rPr>
          <w:rFonts w:hint="eastAsia"/>
          <w:color w:val="auto"/>
        </w:rPr>
        <w:t>如儿童青少年NSSI行为已经比较严重或持续存在，家长应及时寻求专业心理咨询或治疗机构的帮助。通过专业的评估和干预措施，帮助孩子解决心理问题并减少NSSI行为的发生。</w:t>
      </w:r>
    </w:p>
    <w:p w14:paraId="68E87DBA">
      <w:pPr>
        <w:pStyle w:val="106"/>
        <w:spacing w:before="156" w:after="156"/>
        <w:rPr>
          <w:color w:val="auto"/>
        </w:rPr>
      </w:pPr>
      <w:r>
        <w:rPr>
          <w:rFonts w:hint="eastAsia"/>
          <w:color w:val="auto"/>
        </w:rPr>
        <w:t>学校</w:t>
      </w:r>
    </w:p>
    <w:p w14:paraId="1CA32F8D">
      <w:pPr>
        <w:pStyle w:val="166"/>
        <w:rPr>
          <w:color w:val="auto"/>
        </w:rPr>
      </w:pPr>
      <w:r>
        <w:rPr>
          <w:rFonts w:hint="eastAsia"/>
          <w:color w:val="auto"/>
        </w:rPr>
        <w:t>学校需要建立一个全面的支持系统，包括建立专业的心理健康团队，应有专业的心理咨询师，开展多种形式的心理咨询与辅导工作，为学生提供必要的心理咨询和干预服务。教职员工需要接受关于NSSI行为的专业培训，识别自伤行为并了解基本的干预措施。</w:t>
      </w:r>
    </w:p>
    <w:p w14:paraId="3BED8FBD">
      <w:pPr>
        <w:pStyle w:val="166"/>
        <w:rPr>
          <w:color w:val="auto"/>
        </w:rPr>
      </w:pPr>
      <w:r>
        <w:rPr>
          <w:rFonts w:hint="eastAsia"/>
          <w:color w:val="auto"/>
        </w:rPr>
        <w:t>定期进行风险评估，识别有NSSI行为风险的学生，并根据具体情况制定个性化的干预计划。</w:t>
      </w:r>
    </w:p>
    <w:p w14:paraId="46D9529E">
      <w:pPr>
        <w:pStyle w:val="106"/>
        <w:spacing w:before="156" w:after="156"/>
        <w:rPr>
          <w:color w:val="auto"/>
        </w:rPr>
      </w:pPr>
      <w:r>
        <w:rPr>
          <w:rFonts w:hint="eastAsia"/>
          <w:color w:val="auto"/>
        </w:rPr>
        <w:t>社会</w:t>
      </w:r>
    </w:p>
    <w:p w14:paraId="618A860A">
      <w:pPr>
        <w:pStyle w:val="57"/>
        <w:ind w:firstLine="420"/>
        <w:rPr>
          <w:color w:val="auto"/>
        </w:rPr>
      </w:pPr>
      <w:r>
        <w:rPr>
          <w:rFonts w:hint="eastAsia"/>
          <w:color w:val="auto"/>
        </w:rPr>
        <w:t>建立和完善社会社区心理服务和支持体系，通过媒体、网络、社区等多种渠道，广泛宣传NSSI行为的危害性和预防的重要性，提高公众对此类行为的认知和理解；建立专业的心理服务机构，提供专业的心理咨询、心理评估、心理治疗等服务，他们能针对NSSI行为提供有效的干预和治疗，创造一个支持性和理解的社会环境。</w:t>
      </w:r>
    </w:p>
    <w:p w14:paraId="0FD8E2CF">
      <w:pPr>
        <w:pStyle w:val="106"/>
        <w:spacing w:before="156" w:after="156"/>
        <w:rPr>
          <w:color w:val="auto"/>
        </w:rPr>
      </w:pPr>
      <w:r>
        <w:rPr>
          <w:rFonts w:hint="eastAsia"/>
          <w:color w:val="auto"/>
        </w:rPr>
        <w:t>医疗机构</w:t>
      </w:r>
    </w:p>
    <w:p w14:paraId="000F9E0B">
      <w:pPr>
        <w:pStyle w:val="166"/>
        <w:rPr>
          <w:color w:val="auto"/>
        </w:rPr>
      </w:pPr>
      <w:r>
        <w:rPr>
          <w:rFonts w:hint="eastAsia"/>
          <w:color w:val="auto"/>
        </w:rPr>
        <w:t>具备心理学、精神医学、临床社会工作或咨询心理学等心理健康相关领域执业证书的医生、护士、心理治疗师等，完成涵盖儿童和青少年心理健康、NSSI行为、危机干预、家庭治疗等领域的培训并获得相应合格证书。</w:t>
      </w:r>
    </w:p>
    <w:p w14:paraId="5EDB0A61">
      <w:pPr>
        <w:pStyle w:val="166"/>
        <w:rPr>
          <w:color w:val="auto"/>
        </w:rPr>
      </w:pPr>
      <w:r>
        <w:rPr>
          <w:rFonts w:hint="eastAsia"/>
          <w:color w:val="auto"/>
        </w:rPr>
        <w:t>具有在儿童和青少年心理健康领域工作的经验，特别是自伤、情绪障碍、焦虑、创伤等问题的干预经验。能制定合适的干预计划并具备危机干预的能力，可在必要时提供即时支持。</w:t>
      </w:r>
    </w:p>
    <w:p w14:paraId="06BF5085">
      <w:pPr>
        <w:pStyle w:val="105"/>
        <w:spacing w:before="312" w:after="312"/>
        <w:rPr>
          <w:color w:val="auto"/>
        </w:rPr>
      </w:pPr>
      <w:bookmarkStart w:id="51" w:name="_Toc185435220"/>
      <w:bookmarkStart w:id="52" w:name="_Toc160744602"/>
      <w:r>
        <w:rPr>
          <w:rFonts w:hint="eastAsia"/>
          <w:color w:val="auto"/>
        </w:rPr>
        <w:t>干预流程</w:t>
      </w:r>
      <w:bookmarkEnd w:id="51"/>
      <w:bookmarkEnd w:id="52"/>
    </w:p>
    <w:p w14:paraId="4D7C090A">
      <w:pPr>
        <w:pStyle w:val="57"/>
        <w:ind w:firstLine="420"/>
        <w:rPr>
          <w:rFonts w:hint="eastAsia"/>
        </w:rPr>
      </w:pPr>
      <w:r>
        <w:rPr>
          <w:rFonts w:hint="eastAsia"/>
        </w:rPr>
        <w:t>非自杀性自伤干预流程见图1。</w:t>
      </w:r>
    </w:p>
    <w:p w14:paraId="0C848645">
      <w:pPr>
        <w:pStyle w:val="115"/>
        <w:spacing w:before="156" w:after="156"/>
      </w:pPr>
      <w:r>
        <w:rPr>
          <w:rFonts w:hint="eastAsia"/>
        </w:rPr>
        <mc:AlternateContent>
          <mc:Choice Requires="wpc">
            <w:drawing>
              <wp:anchor distT="0" distB="0" distL="114300" distR="114300" simplePos="0" relativeHeight="251661312" behindDoc="0" locked="0" layoutInCell="1" allowOverlap="1">
                <wp:simplePos x="0" y="0"/>
                <wp:positionH relativeFrom="column">
                  <wp:posOffset>37465</wp:posOffset>
                </wp:positionH>
                <wp:positionV relativeFrom="paragraph">
                  <wp:posOffset>42545</wp:posOffset>
                </wp:positionV>
                <wp:extent cx="6316345" cy="793115"/>
                <wp:effectExtent l="6350" t="0" r="0" b="0"/>
                <wp:wrapTopAndBottom/>
                <wp:docPr id="2"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直接箭头连接符 7"/>
                        <wps:cNvCnPr/>
                        <wps:spPr bwMode="auto">
                          <a:xfrm>
                            <a:off x="721360" y="393700"/>
                            <a:ext cx="278130" cy="0"/>
                          </a:xfrm>
                          <a:prstGeom prst="straightConnector1">
                            <a:avLst/>
                          </a:prstGeom>
                          <a:noFill/>
                          <a:ln w="9525">
                            <a:solidFill>
                              <a:srgbClr val="000000"/>
                            </a:solidFill>
                            <a:round/>
                            <a:tailEnd type="arrow"/>
                          </a:ln>
                        </wps:spPr>
                        <wps:bodyPr/>
                      </wps:wsp>
                      <wps:wsp>
                        <wps:cNvPr id="9" name="矩形 9"/>
                        <wps:cNvSpPr/>
                        <wps:spPr>
                          <a:xfrm>
                            <a:off x="999490" y="151130"/>
                            <a:ext cx="616585" cy="463550"/>
                          </a:xfrm>
                          <a:prstGeom prst="rect">
                            <a:avLst/>
                          </a:prstGeom>
                          <a:solidFill>
                            <a:sysClr val="window" lastClr="FFFFF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14:paraId="713ED6DC">
                              <w:pPr>
                                <w:pStyle w:val="25"/>
                                <w:spacing w:before="0" w:beforeAutospacing="0" w:after="0" w:afterAutospacing="0"/>
                                <w:jc w:val="center"/>
                                <w:rPr>
                                  <w:rFonts w:hint="eastAsia" w:eastAsia="宋体"/>
                                  <w:sz w:val="15"/>
                                  <w:szCs w:val="15"/>
                                  <w:lang w:eastAsia="zh-CN"/>
                                </w:rPr>
                              </w:pPr>
                              <w:r>
                                <w:rPr>
                                  <w:rFonts w:hint="eastAsia"/>
                                  <w:sz w:val="15"/>
                                  <w:szCs w:val="15"/>
                                  <w:lang w:eastAsia="zh-CN"/>
                                </w:rPr>
                                <w:t>评估</w:t>
                              </w:r>
                            </w:p>
                          </w:txbxContent>
                        </wps:txbx>
                        <wps:bodyPr rot="0" spcFirstLastPara="0" vert="horz" wrap="square" lIns="91440" tIns="45720" rIns="91440" bIns="45720" numCol="1" spcCol="0" rtlCol="0" fromWordArt="0" anchor="ctr" anchorCtr="0" forceAA="0" compatLnSpc="1">
                          <a:noAutofit/>
                        </wps:bodyPr>
                      </wps:wsp>
                      <wps:wsp>
                        <wps:cNvPr id="10" name="矩形 10"/>
                        <wps:cNvSpPr/>
                        <wps:spPr>
                          <a:xfrm>
                            <a:off x="1882775" y="158750"/>
                            <a:ext cx="649605" cy="480695"/>
                          </a:xfrm>
                          <a:prstGeom prst="rect">
                            <a:avLst/>
                          </a:prstGeom>
                          <a:solidFill>
                            <a:sysClr val="window" lastClr="FFFFF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14:paraId="660AA2D9">
                              <w:pPr>
                                <w:pStyle w:val="25"/>
                                <w:spacing w:before="0" w:beforeAutospacing="0" w:after="0" w:afterAutospacing="0"/>
                                <w:jc w:val="center"/>
                                <w:rPr>
                                  <w:rFonts w:ascii="Calibri" w:hAnsi="Times New Roman" w:cs="Times New Roman"/>
                                  <w:kern w:val="2"/>
                                  <w:sz w:val="15"/>
                                  <w:szCs w:val="15"/>
                                </w:rPr>
                              </w:pPr>
                              <w:r>
                                <w:rPr>
                                  <w:rFonts w:hint="eastAsia" w:ascii="Calibri" w:hAnsi="Times New Roman" w:cs="Times New Roman"/>
                                  <w:kern w:val="2"/>
                                  <w:sz w:val="15"/>
                                  <w:szCs w:val="15"/>
                                  <w:lang w:val="zh-CN"/>
                                </w:rPr>
                                <w:t>制定干预计划</w:t>
                              </w:r>
                            </w:p>
                          </w:txbxContent>
                        </wps:txbx>
                        <wps:bodyPr rot="0" spcFirstLastPara="0" vert="horz" wrap="square" lIns="91440" tIns="45720" rIns="91440" bIns="45720" numCol="1" spcCol="0" rtlCol="0" fromWordArt="0" anchor="ctr" anchorCtr="0" forceAA="0" compatLnSpc="1">
                          <a:noAutofit/>
                        </wps:bodyPr>
                      </wps:wsp>
                      <wps:wsp>
                        <wps:cNvPr id="8" name="直接箭头连接符 8"/>
                        <wps:cNvCnPr/>
                        <wps:spPr bwMode="auto">
                          <a:xfrm>
                            <a:off x="1640205" y="389255"/>
                            <a:ext cx="242570" cy="4445"/>
                          </a:xfrm>
                          <a:prstGeom prst="straightConnector1">
                            <a:avLst/>
                          </a:prstGeom>
                          <a:noFill/>
                          <a:ln w="9525">
                            <a:solidFill>
                              <a:srgbClr val="000000"/>
                            </a:solidFill>
                            <a:round/>
                            <a:tailEnd type="arrow"/>
                          </a:ln>
                        </wps:spPr>
                        <wps:bodyPr/>
                      </wps:wsp>
                      <wps:wsp>
                        <wps:cNvPr id="11" name="直接箭头连接符 11"/>
                        <wps:cNvCnPr/>
                        <wps:spPr bwMode="auto">
                          <a:xfrm flipV="1">
                            <a:off x="2526030" y="400050"/>
                            <a:ext cx="306705" cy="2540"/>
                          </a:xfrm>
                          <a:prstGeom prst="straightConnector1">
                            <a:avLst/>
                          </a:prstGeom>
                          <a:noFill/>
                          <a:ln w="9525">
                            <a:solidFill>
                              <a:srgbClr val="000000"/>
                            </a:solidFill>
                            <a:round/>
                            <a:tailEnd type="arrow"/>
                          </a:ln>
                        </wps:spPr>
                        <wps:bodyPr/>
                      </wps:wsp>
                      <wps:wsp>
                        <wps:cNvPr id="21" name="直接箭头连接符 21"/>
                        <wps:cNvCnPr/>
                        <wps:spPr bwMode="auto">
                          <a:xfrm>
                            <a:off x="3686175" y="405130"/>
                            <a:ext cx="351790" cy="0"/>
                          </a:xfrm>
                          <a:prstGeom prst="straightConnector1">
                            <a:avLst/>
                          </a:prstGeom>
                          <a:noFill/>
                          <a:ln w="9525">
                            <a:solidFill>
                              <a:srgbClr val="000000"/>
                            </a:solidFill>
                            <a:round/>
                            <a:tailEnd type="arrow"/>
                          </a:ln>
                        </wps:spPr>
                        <wps:bodyPr/>
                      </wps:wsp>
                      <wps:wsp>
                        <wps:cNvPr id="25" name="矩形 25"/>
                        <wps:cNvSpPr/>
                        <wps:spPr>
                          <a:xfrm>
                            <a:off x="2832735" y="169545"/>
                            <a:ext cx="852805" cy="462280"/>
                          </a:xfrm>
                          <a:prstGeom prst="rect">
                            <a:avLst/>
                          </a:prstGeom>
                          <a:solidFill>
                            <a:sysClr val="window" lastClr="FFFFF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14:paraId="31B517CA">
                              <w:pPr>
                                <w:pStyle w:val="25"/>
                                <w:spacing w:before="0" w:beforeAutospacing="0" w:after="0" w:afterAutospacing="0" w:line="0" w:lineRule="atLeast"/>
                                <w:jc w:val="center"/>
                                <w:rPr>
                                  <w:rFonts w:ascii="Calibri" w:hAnsi="Times New Roman" w:cs="Times New Roman"/>
                                  <w:kern w:val="2"/>
                                  <w:sz w:val="15"/>
                                  <w:szCs w:val="15"/>
                                </w:rPr>
                              </w:pPr>
                              <w:r>
                                <w:rPr>
                                  <w:rFonts w:hint="eastAsia" w:ascii="Calibri" w:hAnsi="Times New Roman" w:cs="Times New Roman"/>
                                  <w:kern w:val="2"/>
                                  <w:sz w:val="15"/>
                                  <w:szCs w:val="15"/>
                                </w:rPr>
                                <w:t>实施干预</w:t>
                              </w:r>
                            </w:p>
                          </w:txbxContent>
                        </wps:txbx>
                        <wps:bodyPr rot="0" spcFirstLastPara="0" vert="horz" wrap="square" lIns="91440" tIns="45720" rIns="91440" bIns="45720" numCol="1" spcCol="0" rtlCol="0" fromWordArt="0" anchor="ctr" anchorCtr="0" forceAA="0" compatLnSpc="1">
                          <a:noAutofit/>
                        </wps:bodyPr>
                      </wps:wsp>
                      <wps:wsp>
                        <wps:cNvPr id="19" name="流程图: 终止 19"/>
                        <wps:cNvSpPr/>
                        <wps:spPr>
                          <a:xfrm>
                            <a:off x="0" y="146050"/>
                            <a:ext cx="718820" cy="483870"/>
                          </a:xfrm>
                          <a:prstGeom prst="flowChartTerminator">
                            <a:avLst/>
                          </a:prstGeom>
                          <a:noFill/>
                          <a:ln w="12700" cap="flat" cmpd="sng" algn="ctr">
                            <a:solidFill>
                              <a:sysClr val="windowText" lastClr="000000"/>
                            </a:solidFill>
                            <a:prstDash val="solid"/>
                            <a:miter lim="800000"/>
                          </a:ln>
                          <a:effectLst/>
                        </wps:spPr>
                        <wps:txbx>
                          <w:txbxContent>
                            <w:p w14:paraId="5CAD5A68">
                              <w:pPr>
                                <w:pStyle w:val="25"/>
                                <w:spacing w:before="0" w:beforeAutospacing="0" w:after="0" w:afterAutospacing="0" w:line="0" w:lineRule="atLeast"/>
                                <w:jc w:val="center"/>
                                <w:rPr>
                                  <w:rFonts w:ascii="Calibri" w:cs="Times New Roman"/>
                                  <w:kern w:val="2"/>
                                  <w:sz w:val="15"/>
                                  <w:szCs w:val="15"/>
                                </w:rPr>
                              </w:pPr>
                              <w:r>
                                <w:rPr>
                                  <w:rFonts w:hint="eastAsia" w:ascii="Calibri" w:cs="Times New Roman"/>
                                  <w:kern w:val="2"/>
                                  <w:sz w:val="15"/>
                                  <w:szCs w:val="15"/>
                                </w:rPr>
                                <w:t>接诊、建立治疗联盟</w:t>
                              </w:r>
                            </w:p>
                            <w:p w14:paraId="205DC978">
                              <w:pPr>
                                <w:pStyle w:val="25"/>
                                <w:spacing w:before="0" w:beforeAutospacing="0" w:after="0" w:afterAutospacing="0" w:line="0" w:lineRule="atLeast"/>
                                <w:jc w:val="center"/>
                              </w:pPr>
                            </w:p>
                            <w:p w14:paraId="6AA19CB0">
                              <w:pPr>
                                <w:pStyle w:val="25"/>
                                <w:spacing w:before="0" w:beforeAutospacing="0" w:after="0" w:afterAutospacing="0" w:line="200" w:lineRule="exact"/>
                                <w:jc w:val="center"/>
                              </w:pPr>
                              <w:r>
                                <w:rPr>
                                  <w:rFonts w:ascii="Calibri" w:hAnsi="Calibri" w:cs="Times New Roman"/>
                                  <w:color w:val="000000"/>
                                  <w:kern w:val="2"/>
                                  <w:sz w:val="15"/>
                                  <w:szCs w:val="15"/>
                                </w:rPr>
                                <w:t> </w:t>
                              </w:r>
                            </w:p>
                          </w:txbxContent>
                        </wps:txbx>
                        <wps:bodyPr rot="0" spcFirstLastPara="0" vert="horz" wrap="square" lIns="91440" tIns="45720" rIns="91440" bIns="45720" numCol="1" spcCol="0" rtlCol="0" fromWordArt="0" anchor="ctr" anchorCtr="0" forceAA="0" compatLnSpc="1">
                          <a:noAutofit/>
                        </wps:bodyPr>
                      </wps:wsp>
                      <wps:wsp>
                        <wps:cNvPr id="3" name="流程图: 终止 3"/>
                        <wps:cNvSpPr/>
                        <wps:spPr>
                          <a:xfrm>
                            <a:off x="5092065" y="231140"/>
                            <a:ext cx="969645" cy="414655"/>
                          </a:xfrm>
                          <a:prstGeom prst="flowChartTerminator">
                            <a:avLst/>
                          </a:prstGeom>
                          <a:noFill/>
                          <a:ln w="12700" cap="flat" cmpd="sng" algn="ctr">
                            <a:solidFill>
                              <a:sysClr val="windowText" lastClr="000000"/>
                            </a:solidFill>
                            <a:prstDash val="solid"/>
                            <a:miter lim="800000"/>
                          </a:ln>
                          <a:effectLst/>
                        </wps:spPr>
                        <wps:txbx>
                          <w:txbxContent>
                            <w:p w14:paraId="58BCED5B">
                              <w:pPr>
                                <w:spacing w:line="240" w:lineRule="auto"/>
                                <w:jc w:val="center"/>
                                <w:rPr>
                                  <w:sz w:val="15"/>
                                  <w:szCs w:val="15"/>
                                  <w:lang w:val="zh-CN"/>
                                </w:rPr>
                              </w:pPr>
                              <w:r>
                                <w:rPr>
                                  <w:rFonts w:hint="eastAsia"/>
                                  <w:sz w:val="15"/>
                                  <w:szCs w:val="15"/>
                                  <w:lang w:val="zh-CN"/>
                                </w:rPr>
                                <w:t>评估干预效果</w:t>
                              </w:r>
                            </w:p>
                          </w:txbxContent>
                        </wps:txbx>
                        <wps:bodyPr rot="0" spcFirstLastPara="0" vert="horz" wrap="square" lIns="91440" tIns="45720" rIns="91440" bIns="45720" numCol="1" spcCol="0" rtlCol="0" fromWordArt="0" anchor="ctr" anchorCtr="0" forceAA="0" compatLnSpc="1">
                          <a:noAutofit/>
                        </wps:bodyPr>
                      </wps:wsp>
                      <wps:wsp>
                        <wps:cNvPr id="4" name="矩形 4"/>
                        <wps:cNvSpPr/>
                        <wps:spPr>
                          <a:xfrm>
                            <a:off x="4048760" y="189865"/>
                            <a:ext cx="804545" cy="480695"/>
                          </a:xfrm>
                          <a:prstGeom prst="rect">
                            <a:avLst/>
                          </a:prstGeom>
                          <a:solidFill>
                            <a:sysClr val="window" lastClr="FFFFF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14:paraId="22C832CF">
                              <w:pPr>
                                <w:spacing w:line="240" w:lineRule="auto"/>
                                <w:jc w:val="center"/>
                                <w:rPr>
                                  <w:rFonts w:hAnsi="Times New Roman"/>
                                  <w:sz w:val="15"/>
                                  <w:szCs w:val="15"/>
                                  <w:lang w:val="zh-CN"/>
                                </w:rPr>
                              </w:pPr>
                              <w:r>
                                <w:rPr>
                                  <w:rFonts w:hint="eastAsia" w:hAnsi="Times New Roman"/>
                                  <w:sz w:val="15"/>
                                  <w:szCs w:val="15"/>
                                  <w:lang w:val="zh-CN"/>
                                </w:rPr>
                                <w:t>监测与调整</w:t>
                              </w:r>
                            </w:p>
                          </w:txbxContent>
                        </wps:txbx>
                        <wps:bodyPr rot="0" spcFirstLastPara="0" vert="horz" wrap="square" lIns="91440" tIns="45720" rIns="91440" bIns="45720" numCol="1" spcCol="0" rtlCol="0" fromWordArt="0" anchor="ctr" anchorCtr="0" forceAA="0" compatLnSpc="1">
                          <a:noAutofit/>
                        </wps:bodyPr>
                      </wps:wsp>
                      <wps:wsp>
                        <wps:cNvPr id="16" name="直接箭头连接符 16"/>
                        <wps:cNvCnPr/>
                        <wps:spPr bwMode="auto">
                          <a:xfrm>
                            <a:off x="4850130" y="431800"/>
                            <a:ext cx="242570" cy="4445"/>
                          </a:xfrm>
                          <a:prstGeom prst="straightConnector1">
                            <a:avLst/>
                          </a:prstGeom>
                          <a:noFill/>
                          <a:ln w="9525">
                            <a:solidFill>
                              <a:srgbClr val="000000"/>
                            </a:solidFill>
                            <a:round/>
                            <a:tailEnd type="arrow"/>
                          </a:ln>
                        </wps:spPr>
                        <wps:bodyPr/>
                      </wps:wsp>
                    </wpc:wpc>
                  </a:graphicData>
                </a:graphic>
              </wp:anchor>
            </w:drawing>
          </mc:Choice>
          <mc:Fallback>
            <w:pict>
              <v:group id="_x0000_s1026" o:spid="_x0000_s1026" o:spt="203" style="position:absolute;left:0pt;margin-left:2.95pt;margin-top:3.35pt;height:62.45pt;width:497.35pt;mso-wrap-distance-bottom:0pt;mso-wrap-distance-top:0pt;z-index:251661312;mso-width-relative:page;mso-height-relative:page;" coordsize="6316345,793115" editas="canvas" o:gfxdata="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">
                <o:lock v:ext="edit" aspectratio="f"/>
                <v:shape id="_x0000_s1026" o:spid="_x0000_s1026" style="position:absolute;left:0;top:0;height:793115;width:6316345;" filled="f" stroked="f" coordsize="21600,21600" o:gfxdata="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">
                  <v:fill on="f" focussize="0,0"/>
                  <v:stroke on="f"/>
                  <v:imagedata o:title=""/>
                  <o:lock v:ext="edit" aspectratio="t"/>
                </v:shape>
                <v:shape id="_x0000_s1026" o:spid="_x0000_s1026" o:spt="32" type="#_x0000_t32" style="position:absolute;left:721360;top:393700;height:0;width:278130;" filled="f" stroked="t" coordsize="21600,21600" o:gfxdata="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KwKIs1gAAAAgBAAAPAAAAAAAAAAEAIAAAACIAAABkcnMvZG93bnJldi54bWxQSwECFAAU&#10;AAAACACHTuJA6lgVRPMBAACuAwAADgAAAAAAAAABACAAAAAlAQAAZHJzL2Uyb0RvYy54bWxQSwUG&#10;AAAAAAYABgBZAQAAigUAAAAA&#10;">
                  <v:fill on="f" focussize="0,0"/>
                  <v:stroke color="#000000" joinstyle="round" endarrow="open"/>
                  <v:imagedata o:title=""/>
                  <o:lock v:ext="edit" aspectratio="f"/>
                </v:shape>
                <v:rect id="_x0000_s1026" o:spid="_x0000_s1026" o:spt="1" style="position:absolute;left:999490;top:151130;height:463550;width:616585;v-text-anchor:middle;" fillcolor="#FFFFFF" filled="t" stroked="t" coordsize="21600,21600" o:gfxdata="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w7Voy1AAAAAgBAAAPAAAAAAAAAAEA&#10;IAAAACIAAABkcnMvZG93bnJldi54bWxQSwECFAAUAAAACACHTuJAj6JSwYUCAAAKBQAADgAAAAAA&#10;AAABACAAAAAjAQAAZHJzL2Uyb0RvYy54bWxQSwUGAAAAAAYABgBZAQAAGgYAAAAA&#10;">
                  <v:fill on="t" focussize="0,0"/>
                  <v:stroke weight="1pt" color="#000000 [3200]" miterlimit="8" joinstyle="miter"/>
                  <v:imagedata o:title=""/>
                  <o:lock v:ext="edit" aspectratio="f"/>
                  <v:textbox>
                    <w:txbxContent>
                      <w:p w14:paraId="713ED6DC">
                        <w:pPr>
                          <w:pStyle w:val="25"/>
                          <w:spacing w:before="0" w:beforeAutospacing="0" w:after="0" w:afterAutospacing="0"/>
                          <w:jc w:val="center"/>
                          <w:rPr>
                            <w:rFonts w:hint="eastAsia" w:eastAsia="宋体"/>
                            <w:sz w:val="15"/>
                            <w:szCs w:val="15"/>
                            <w:lang w:eastAsia="zh-CN"/>
                          </w:rPr>
                        </w:pPr>
                        <w:r>
                          <w:rPr>
                            <w:rFonts w:hint="eastAsia"/>
                            <w:sz w:val="15"/>
                            <w:szCs w:val="15"/>
                            <w:lang w:eastAsia="zh-CN"/>
                          </w:rPr>
                          <w:t>评估</w:t>
                        </w:r>
                      </w:p>
                    </w:txbxContent>
                  </v:textbox>
                </v:rect>
                <v:rect id="_x0000_s1026" o:spid="_x0000_s1026" o:spt="1" style="position:absolute;left:1882775;top:158750;height:480695;width:649605;v-text-anchor:middle;" fillcolor="#FFFFFF" filled="t" stroked="t" coordsize="21600,21600" o:gfxdata="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MO1aMtQAAAAIAQAADwAAAAAAAAABACAA&#10;AAAiAAAAZHJzL2Rvd25yZXYueG1sUEsBAhQAFAAAAAgAh07iQL5tusODAgAADQUAAA4AAAAAAAAA&#10;AQAgAAAAIwEAAGRycy9lMm9Eb2MueG1sUEsFBgAAAAAGAAYAWQEAABgGAAAAAA==&#10;">
                  <v:fill on="t" focussize="0,0"/>
                  <v:stroke weight="1pt" color="#000000 [3200]" miterlimit="8" joinstyle="miter"/>
                  <v:imagedata o:title=""/>
                  <o:lock v:ext="edit" aspectratio="f"/>
                  <v:textbox>
                    <w:txbxContent>
                      <w:p w14:paraId="660AA2D9">
                        <w:pPr>
                          <w:pStyle w:val="25"/>
                          <w:spacing w:before="0" w:beforeAutospacing="0" w:after="0" w:afterAutospacing="0"/>
                          <w:jc w:val="center"/>
                          <w:rPr>
                            <w:rFonts w:ascii="Calibri" w:hAnsi="Times New Roman" w:cs="Times New Roman"/>
                            <w:kern w:val="2"/>
                            <w:sz w:val="15"/>
                            <w:szCs w:val="15"/>
                          </w:rPr>
                        </w:pPr>
                        <w:r>
                          <w:rPr>
                            <w:rFonts w:hint="eastAsia" w:ascii="Calibri" w:hAnsi="Times New Roman" w:cs="Times New Roman"/>
                            <w:kern w:val="2"/>
                            <w:sz w:val="15"/>
                            <w:szCs w:val="15"/>
                            <w:lang w:val="zh-CN"/>
                          </w:rPr>
                          <w:t>制定干预计划</w:t>
                        </w:r>
                      </w:p>
                    </w:txbxContent>
                  </v:textbox>
                </v:rect>
                <v:shape id="_x0000_s1026" o:spid="_x0000_s1026" o:spt="32" type="#_x0000_t32" style="position:absolute;left:1640205;top:389255;height:4445;width:242570;" filled="f" stroked="t" coordsize="21600,21600" o:gfxdata="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rAoizWAAAACAEAAA8AAAAAAAAAAQAgAAAAIgAAAGRycy9kb3ducmV2LnhtbFBL&#10;AQIUABQAAAAIAIdO4kA6zyCp+AEAALIDAAAOAAAAAAAAAAEAIAAAACUBAABkcnMvZTJvRG9jLnht&#10;bFBLBQYAAAAABgAGAFkBAACPBQAAAAA=&#10;">
                  <v:fill on="f" focussize="0,0"/>
                  <v:stroke color="#000000" joinstyle="round" endarrow="open"/>
                  <v:imagedata o:title=""/>
                  <o:lock v:ext="edit" aspectratio="f"/>
                </v:shape>
                <v:shape id="_x0000_s1026" o:spid="_x0000_s1026" o:spt="32" type="#_x0000_t32" style="position:absolute;left:2526030;top:400050;flip:y;height:2540;width:306705;" filled="f" stroked="t" coordsize="21600,21600" o:gfxdata="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z9DKnWAAAACAEAAA8AAAAAAAAAAQAgAAAAIgAAAGRycy9kb3ducmV2&#10;LnhtbFBLAQIUABQAAAAIAIdO4kBhIMLM/gEAAL4DAAAOAAAAAAAAAAEAIAAAACUBAABkcnMvZTJv&#10;RG9jLnhtbFBLBQYAAAAABgAGAFkBAACVBQAAAAA=&#10;">
                  <v:fill on="f" focussize="0,0"/>
                  <v:stroke color="#000000" joinstyle="round" endarrow="open"/>
                  <v:imagedata o:title=""/>
                  <o:lock v:ext="edit" aspectratio="f"/>
                </v:shape>
                <v:shape id="_x0000_s1026" o:spid="_x0000_s1026" o:spt="32" type="#_x0000_t32" style="position:absolute;left:3686175;top:405130;height:0;width:351790;" filled="f" stroked="t" coordsize="21600,21600" o:gfxdata="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rAoizWAAAACAEAAA8AAAAAAAAAAQAgAAAAIgAAAGRycy9kb3ducmV2LnhtbFBLAQIU&#10;ABQAAAAIAIdO4kB6Pc5Y9QEAALEDAAAOAAAAAAAAAAEAIAAAACUBAABkcnMvZTJvRG9jLnhtbFBL&#10;BQYAAAAABgAGAFkBAACMBQAAAAA=&#10;">
                  <v:fill on="f" focussize="0,0"/>
                  <v:stroke color="#000000" joinstyle="round" endarrow="open"/>
                  <v:imagedata o:title=""/>
                  <o:lock v:ext="edit" aspectratio="f"/>
                </v:shape>
                <v:rect id="_x0000_s1026" o:spid="_x0000_s1026" o:spt="1" style="position:absolute;left:2832735;top:169545;height:462280;width:852805;v-text-anchor:middle;" fillcolor="#FFFFFF" filled="t" stroked="t" coordsize="21600,21600" o:gfxdata="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w7Voy1AAAAAgBAAAPAAAAAAAAAAEA&#10;IAAAACIAAABkcnMvZG93bnJldi54bWxQSwECFAAUAAAACACHTuJAEkmwZoUCAAANBQAADgAAAAAA&#10;AAABACAAAAAjAQAAZHJzL2Uyb0RvYy54bWxQSwUGAAAAAAYABgBZAQAAGgYAAAAA&#10;">
                  <v:fill on="t" focussize="0,0"/>
                  <v:stroke weight="1pt" color="#000000 [3200]" miterlimit="8" joinstyle="miter"/>
                  <v:imagedata o:title=""/>
                  <o:lock v:ext="edit" aspectratio="f"/>
                  <v:textbox>
                    <w:txbxContent>
                      <w:p w14:paraId="31B517CA">
                        <w:pPr>
                          <w:pStyle w:val="25"/>
                          <w:spacing w:before="0" w:beforeAutospacing="0" w:after="0" w:afterAutospacing="0" w:line="0" w:lineRule="atLeast"/>
                          <w:jc w:val="center"/>
                          <w:rPr>
                            <w:rFonts w:ascii="Calibri" w:hAnsi="Times New Roman" w:cs="Times New Roman"/>
                            <w:kern w:val="2"/>
                            <w:sz w:val="15"/>
                            <w:szCs w:val="15"/>
                          </w:rPr>
                        </w:pPr>
                        <w:r>
                          <w:rPr>
                            <w:rFonts w:hint="eastAsia" w:ascii="Calibri" w:hAnsi="Times New Roman" w:cs="Times New Roman"/>
                            <w:kern w:val="2"/>
                            <w:sz w:val="15"/>
                            <w:szCs w:val="15"/>
                          </w:rPr>
                          <w:t>实施干预</w:t>
                        </w:r>
                      </w:p>
                    </w:txbxContent>
                  </v:textbox>
                </v:rect>
                <v:shape id="_x0000_s1026" o:spid="_x0000_s1026" o:spt="116" type="#_x0000_t116" style="position:absolute;left:0;top:146050;height:483870;width:718820;v-text-anchor:middle;" filled="f" stroked="t" coordsize="21600,21600" o:gfxdata="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EBsY4PVAAAA&#10;CAEAAA8AAAAAAAAAAQAgAAAAIgAAAGRycy9kb3ducmV2LnhtbFBLAQIUABQAAAAIAIdO4kBvpFJ9&#10;kgIAAOgEAAAOAAAAAAAAAAEAIAAAACQBAABkcnMvZTJvRG9jLnhtbFBLBQYAAAAABgAGAFkBAAAo&#10;BgAAAAA=&#10;">
                  <v:fill on="f" focussize="0,0"/>
                  <v:stroke weight="1pt" color="#000000" miterlimit="8" joinstyle="miter"/>
                  <v:imagedata o:title=""/>
                  <o:lock v:ext="edit" aspectratio="f"/>
                  <v:textbox>
                    <w:txbxContent>
                      <w:p w14:paraId="5CAD5A68">
                        <w:pPr>
                          <w:pStyle w:val="25"/>
                          <w:spacing w:before="0" w:beforeAutospacing="0" w:after="0" w:afterAutospacing="0" w:line="0" w:lineRule="atLeast"/>
                          <w:jc w:val="center"/>
                          <w:rPr>
                            <w:rFonts w:ascii="Calibri" w:cs="Times New Roman"/>
                            <w:kern w:val="2"/>
                            <w:sz w:val="15"/>
                            <w:szCs w:val="15"/>
                          </w:rPr>
                        </w:pPr>
                        <w:r>
                          <w:rPr>
                            <w:rFonts w:hint="eastAsia" w:ascii="Calibri" w:cs="Times New Roman"/>
                            <w:kern w:val="2"/>
                            <w:sz w:val="15"/>
                            <w:szCs w:val="15"/>
                          </w:rPr>
                          <w:t>接诊、建立治疗联盟</w:t>
                        </w:r>
                      </w:p>
                      <w:p w14:paraId="205DC978">
                        <w:pPr>
                          <w:pStyle w:val="25"/>
                          <w:spacing w:before="0" w:beforeAutospacing="0" w:after="0" w:afterAutospacing="0" w:line="0" w:lineRule="atLeast"/>
                          <w:jc w:val="center"/>
                        </w:pPr>
                      </w:p>
                      <w:p w14:paraId="6AA19CB0">
                        <w:pPr>
                          <w:pStyle w:val="25"/>
                          <w:spacing w:before="0" w:beforeAutospacing="0" w:after="0" w:afterAutospacing="0" w:line="200" w:lineRule="exact"/>
                          <w:jc w:val="center"/>
                        </w:pPr>
                        <w:r>
                          <w:rPr>
                            <w:rFonts w:ascii="Calibri" w:hAnsi="Calibri" w:cs="Times New Roman"/>
                            <w:color w:val="000000"/>
                            <w:kern w:val="2"/>
                            <w:sz w:val="15"/>
                            <w:szCs w:val="15"/>
                          </w:rPr>
                          <w:t> </w:t>
                        </w:r>
                      </w:p>
                    </w:txbxContent>
                  </v:textbox>
                </v:shape>
                <v:shape id="_x0000_s1026" o:spid="_x0000_s1026" o:spt="116" type="#_x0000_t116" style="position:absolute;left:5092065;top:231140;height:414655;width:969645;v-text-anchor:middle;" filled="f" stroked="t" coordsize="21600,21600" o:gfxdata="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EBsY4PVAAAACAEAAA8AAAAAAAAAAQAgAAAAIgAAAGRycy9kb3ducmV2LnhtbFBLAQIUABQAAAAI&#10;AIdO4kBeSgj+mwIAAOwEAAAOAAAAAAAAAAEAIAAAACQBAABkcnMvZTJvRG9jLnhtbFBLBQYAAAAA&#10;BgAGAFkBAAAxBgAAAAA=&#10;">
                  <v:fill on="f" focussize="0,0"/>
                  <v:stroke weight="1pt" color="#000000" miterlimit="8" joinstyle="miter"/>
                  <v:imagedata o:title=""/>
                  <o:lock v:ext="edit" aspectratio="f"/>
                  <v:textbox>
                    <w:txbxContent>
                      <w:p w14:paraId="58BCED5B">
                        <w:pPr>
                          <w:spacing w:line="240" w:lineRule="auto"/>
                          <w:jc w:val="center"/>
                          <w:rPr>
                            <w:sz w:val="15"/>
                            <w:szCs w:val="15"/>
                            <w:lang w:val="zh-CN"/>
                          </w:rPr>
                        </w:pPr>
                        <w:r>
                          <w:rPr>
                            <w:rFonts w:hint="eastAsia"/>
                            <w:sz w:val="15"/>
                            <w:szCs w:val="15"/>
                            <w:lang w:val="zh-CN"/>
                          </w:rPr>
                          <w:t>评估干预效果</w:t>
                        </w:r>
                      </w:p>
                    </w:txbxContent>
                  </v:textbox>
                </v:shape>
                <v:rect id="_x0000_s1026" o:spid="_x0000_s1026" o:spt="1" style="position:absolute;left:4048760;top:189865;height:480695;width:804545;v-text-anchor:middle;" fillcolor="#FFFFFF" filled="t" stroked="t" coordsize="21600,21600" o:gfxdata="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MO1aMtQAAAAIAQAADwAAAAAAAAAB&#10;ACAAAAAiAAAAZHJzL2Rvd25yZXYueG1sUEsBAhQAFAAAAAgAh07iQKj3HYqGAgAACwUAAA4AAAAA&#10;AAAAAQAgAAAAIwEAAGRycy9lMm9Eb2MueG1sUEsFBgAAAAAGAAYAWQEAABsGAAAAAA==&#10;">
                  <v:fill on="t" focussize="0,0"/>
                  <v:stroke weight="1pt" color="#000000 [3200]" miterlimit="8" joinstyle="miter"/>
                  <v:imagedata o:title=""/>
                  <o:lock v:ext="edit" aspectratio="f"/>
                  <v:textbox>
                    <w:txbxContent>
                      <w:p w14:paraId="22C832CF">
                        <w:pPr>
                          <w:spacing w:line="240" w:lineRule="auto"/>
                          <w:jc w:val="center"/>
                          <w:rPr>
                            <w:rFonts w:hAnsi="Times New Roman"/>
                            <w:sz w:val="15"/>
                            <w:szCs w:val="15"/>
                            <w:lang w:val="zh-CN"/>
                          </w:rPr>
                        </w:pPr>
                        <w:r>
                          <w:rPr>
                            <w:rFonts w:hint="eastAsia" w:hAnsi="Times New Roman"/>
                            <w:sz w:val="15"/>
                            <w:szCs w:val="15"/>
                            <w:lang w:val="zh-CN"/>
                          </w:rPr>
                          <w:t>监测与调整</w:t>
                        </w:r>
                      </w:p>
                    </w:txbxContent>
                  </v:textbox>
                </v:rect>
                <v:shape id="_x0000_s1026" o:spid="_x0000_s1026" o:spt="32" type="#_x0000_t32" style="position:absolute;left:4850130;top:431800;height:4445;width:242570;" filled="f" stroked="t" coordsize="21600,21600" o:gfxdata="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KwKIs1gAAAAgBAAAPAAAAAAAAAAEAIAAAACIAAABkcnMvZG93bnJldi54bWxQSwEC&#10;FAAUAAAACACHTuJAwYDiiPYBAAC0AwAADgAAAAAAAAABACAAAAAlAQAAZHJzL2Uyb0RvYy54bWxQ&#10;SwUGAAAAAAYABgBZAQAAjQUAAAAA&#10;">
                  <v:fill on="f" focussize="0,0"/>
                  <v:stroke color="#000000" joinstyle="round" endarrow="open"/>
                  <v:imagedata o:title=""/>
                  <o:lock v:ext="edit" aspectratio="f"/>
                </v:shape>
                <w10:wrap type="topAndBottom"/>
              </v:group>
            </w:pict>
          </mc:Fallback>
        </mc:AlternateContent>
      </w:r>
      <w:r>
        <w:rPr>
          <w:rFonts w:hint="eastAsia"/>
        </w:rPr>
        <w:t>非自杀性自伤干预流程图</w:t>
      </w:r>
    </w:p>
    <w:p w14:paraId="5689745D">
      <w:pPr>
        <w:pStyle w:val="105"/>
        <w:spacing w:before="312" w:after="312"/>
      </w:pPr>
      <w:bookmarkStart w:id="53" w:name="_Toc160744603"/>
      <w:bookmarkStart w:id="54" w:name="_Toc185435221"/>
      <w:r>
        <w:rPr>
          <w:rFonts w:hint="eastAsia"/>
        </w:rPr>
        <w:t>干预</w:t>
      </w:r>
      <w:bookmarkEnd w:id="53"/>
      <w:bookmarkEnd w:id="54"/>
      <w:r>
        <w:rPr>
          <w:rFonts w:hint="eastAsia"/>
        </w:rPr>
        <w:t>实施</w:t>
      </w:r>
    </w:p>
    <w:p w14:paraId="7C22371D">
      <w:pPr>
        <w:pStyle w:val="106"/>
        <w:spacing w:before="156" w:after="156"/>
      </w:pPr>
      <w:bookmarkStart w:id="55" w:name="_Toc185435222"/>
      <w:bookmarkStart w:id="56" w:name="_Toc160744604"/>
      <w:r>
        <w:rPr>
          <w:rFonts w:hint="eastAsia"/>
        </w:rPr>
        <w:t>建立治疗联盟</w:t>
      </w:r>
      <w:bookmarkEnd w:id="55"/>
      <w:bookmarkEnd w:id="56"/>
    </w:p>
    <w:p w14:paraId="37BFE56D">
      <w:pPr>
        <w:pStyle w:val="57"/>
        <w:ind w:firstLine="420"/>
      </w:pPr>
      <w:r>
        <w:rPr>
          <w:rFonts w:hint="eastAsia"/>
        </w:rPr>
        <w:t>第一次会面中，建立信任和理解的基础，查看评估结果。确立治疗关系：通过显示同理心、非评判性态度和支持，促进治疗联盟的建立。</w:t>
      </w:r>
    </w:p>
    <w:p w14:paraId="716023D1">
      <w:pPr>
        <w:pStyle w:val="106"/>
        <w:spacing w:before="156" w:after="156"/>
        <w:rPr>
          <w:color w:val="auto"/>
        </w:rPr>
      </w:pPr>
      <w:r>
        <w:rPr>
          <w:rFonts w:hint="eastAsia"/>
          <w:color w:val="auto"/>
        </w:rPr>
        <w:t>评估</w:t>
      </w:r>
    </w:p>
    <w:p w14:paraId="7F6CB56C">
      <w:pPr>
        <w:pStyle w:val="66"/>
        <w:spacing w:before="156" w:after="156"/>
        <w:rPr>
          <w:color w:val="auto"/>
        </w:rPr>
      </w:pPr>
      <w:r>
        <w:rPr>
          <w:rFonts w:hint="eastAsia"/>
          <w:color w:val="auto"/>
        </w:rPr>
        <w:t>自杀行为</w:t>
      </w:r>
      <w:r>
        <w:rPr>
          <w:color w:val="auto"/>
        </w:rPr>
        <w:t>的</w:t>
      </w:r>
      <w:r>
        <w:rPr>
          <w:rFonts w:hint="eastAsia"/>
          <w:color w:val="auto"/>
        </w:rPr>
        <w:t>评估</w:t>
      </w:r>
    </w:p>
    <w:p w14:paraId="5C6DF2A8">
      <w:pPr>
        <w:pStyle w:val="57"/>
        <w:ind w:firstLine="420"/>
        <w:rPr>
          <w:color w:val="auto"/>
        </w:rPr>
      </w:pPr>
      <w:r>
        <w:rPr>
          <w:rFonts w:hint="eastAsia"/>
          <w:color w:val="auto"/>
        </w:rPr>
        <w:t>首先进行是否为自杀的评估。若为自杀行为，则应进行专业的精神科治疗，包括服药、住院治疗等。若非自杀行为，且仅为首次出现这种行为，可寻求心理咨询或心理治疗的帮助，教授儿童青少年学会如何正确的处理自己的情绪或表达自己的需求等。而若儿童青少年已长期出现了NSSI行为，则应专业的精神科医生介入，进行心理治疗或精神科治疗。</w:t>
      </w:r>
    </w:p>
    <w:p w14:paraId="49006E51">
      <w:pPr>
        <w:pStyle w:val="66"/>
        <w:spacing w:before="156" w:after="156"/>
        <w:rPr>
          <w:color w:val="auto"/>
        </w:rPr>
      </w:pPr>
      <w:r>
        <w:rPr>
          <w:rFonts w:hint="eastAsia"/>
          <w:color w:val="auto"/>
        </w:rPr>
        <w:t>自伤</w:t>
      </w:r>
      <w:r>
        <w:rPr>
          <w:color w:val="auto"/>
        </w:rPr>
        <w:t>行为的</w:t>
      </w:r>
      <w:r>
        <w:rPr>
          <w:rFonts w:hint="eastAsia"/>
          <w:color w:val="auto"/>
        </w:rPr>
        <w:t>评估</w:t>
      </w:r>
    </w:p>
    <w:p w14:paraId="681E8572">
      <w:pPr>
        <w:pStyle w:val="57"/>
        <w:ind w:firstLine="420"/>
        <w:rPr>
          <w:color w:val="auto"/>
        </w:rPr>
      </w:pPr>
      <w:r>
        <w:rPr>
          <w:rFonts w:hint="eastAsia"/>
          <w:color w:val="auto"/>
        </w:rPr>
        <w:t>按以下</w:t>
      </w:r>
      <w:r>
        <w:rPr>
          <w:color w:val="auto"/>
        </w:rPr>
        <w:t>顺序</w:t>
      </w:r>
      <w:r>
        <w:rPr>
          <w:rFonts w:hint="eastAsia"/>
          <w:color w:val="auto"/>
        </w:rPr>
        <w:t>进行自伤</w:t>
      </w:r>
      <w:r>
        <w:rPr>
          <w:color w:val="auto"/>
        </w:rPr>
        <w:t>行为</w:t>
      </w:r>
      <w:r>
        <w:rPr>
          <w:rFonts w:hint="eastAsia"/>
          <w:color w:val="auto"/>
        </w:rPr>
        <w:t>评估</w:t>
      </w:r>
      <w:r>
        <w:rPr>
          <w:color w:val="auto"/>
        </w:rPr>
        <w:t>：</w:t>
      </w:r>
    </w:p>
    <w:p w14:paraId="20B9A5EF">
      <w:pPr>
        <w:pStyle w:val="175"/>
        <w:rPr>
          <w:color w:val="auto"/>
          <w:lang w:val="zh-CN"/>
        </w:rPr>
      </w:pPr>
      <w:r>
        <w:rPr>
          <w:rFonts w:hint="eastAsia"/>
          <w:color w:val="auto"/>
          <w:lang w:val="zh-CN"/>
        </w:rPr>
        <w:t>通过与儿童青少年的临床访谈，首先了解其自伤的，包括生物因素、心理因素、家庭因素、社会因素和环境因素。</w:t>
      </w:r>
    </w:p>
    <w:p w14:paraId="299D6FE9">
      <w:pPr>
        <w:pStyle w:val="175"/>
        <w:rPr>
          <w:color w:val="auto"/>
          <w:lang w:val="zh-CN"/>
        </w:rPr>
      </w:pPr>
      <w:r>
        <w:rPr>
          <w:rFonts w:hint="eastAsia"/>
          <w:color w:val="auto"/>
          <w:lang w:val="zh-CN"/>
        </w:rPr>
        <w:t>其次，根据儿童青少年的自伤行为严重程度，结合其自伤史、自杀风险、是否合并其他心理障碍诊断以及社会功能受损程度将其自伤行为分为轻度、中度或重度水平。</w:t>
      </w:r>
    </w:p>
    <w:p w14:paraId="5BD9128D">
      <w:pPr>
        <w:pStyle w:val="175"/>
        <w:rPr>
          <w:color w:val="auto"/>
          <w:lang w:val="zh-CN"/>
        </w:rPr>
      </w:pPr>
      <w:r>
        <w:rPr>
          <w:rFonts w:hint="eastAsia"/>
          <w:color w:val="auto"/>
          <w:lang w:val="zh-CN"/>
        </w:rPr>
        <w:t>再次，收集儿童青少年实施自伤行为的原因，如自我惩罚、快感体验、不良模仿、吸引别人注意与潜在心理疾病等方面。</w:t>
      </w:r>
    </w:p>
    <w:p w14:paraId="37C223D0">
      <w:pPr>
        <w:pStyle w:val="175"/>
        <w:rPr>
          <w:color w:val="auto"/>
        </w:rPr>
      </w:pPr>
      <w:r>
        <w:rPr>
          <w:rFonts w:hint="eastAsia"/>
          <w:color w:val="auto"/>
          <w:lang w:val="zh-CN"/>
        </w:rPr>
        <w:t>最后，评估自伤行为给其带来的后果及影响。</w:t>
      </w:r>
    </w:p>
    <w:p w14:paraId="595E90C2">
      <w:pPr>
        <w:pStyle w:val="106"/>
        <w:spacing w:before="156" w:after="156"/>
      </w:pPr>
      <w:bookmarkStart w:id="57" w:name="_Toc185435224"/>
      <w:r>
        <w:rPr>
          <w:rFonts w:hint="eastAsia"/>
          <w:lang w:val="zh-CN"/>
        </w:rPr>
        <w:t>制定干预计划</w:t>
      </w:r>
      <w:bookmarkEnd w:id="57"/>
    </w:p>
    <w:p w14:paraId="1A929262">
      <w:pPr>
        <w:pStyle w:val="66"/>
        <w:spacing w:before="156" w:after="156"/>
      </w:pPr>
      <w:r>
        <w:rPr>
          <w:rFonts w:hint="eastAsia"/>
        </w:rPr>
        <w:t>目标设定</w:t>
      </w:r>
    </w:p>
    <w:p w14:paraId="79248ACC">
      <w:pPr>
        <w:pStyle w:val="57"/>
        <w:ind w:firstLine="420"/>
      </w:pPr>
      <w:r>
        <w:rPr>
          <w:rFonts w:hint="eastAsia"/>
          <w:lang w:val="zh-CN"/>
        </w:rPr>
        <w:t>目标应具体、可量化，</w:t>
      </w:r>
      <w:r>
        <w:rPr>
          <w:rFonts w:hint="eastAsia"/>
        </w:rPr>
        <w:t>按以下要求进行：</w:t>
      </w:r>
    </w:p>
    <w:p w14:paraId="456DFCCF">
      <w:pPr>
        <w:pStyle w:val="175"/>
      </w:pPr>
      <w:r>
        <w:rPr>
          <w:rFonts w:hint="eastAsia"/>
        </w:rPr>
        <w:t>共同制定干预目标：与个体合作确定干预的具体目标，包括减少或停止自伤行为、发展健康的应对策略和改善生活质量；</w:t>
      </w:r>
    </w:p>
    <w:p w14:paraId="68E12F4A">
      <w:pPr>
        <w:pStyle w:val="175"/>
      </w:pPr>
      <w:r>
        <w:rPr>
          <w:rFonts w:hint="eastAsia"/>
        </w:rPr>
        <w:t>短期和长期目标：设定既切实又可达成的短期目标，以及长远的恢复目标。</w:t>
      </w:r>
    </w:p>
    <w:p w14:paraId="64910A7B">
      <w:pPr>
        <w:pStyle w:val="66"/>
        <w:spacing w:before="156" w:after="156"/>
      </w:pPr>
      <w:r>
        <w:rPr>
          <w:rFonts w:hint="eastAsia"/>
          <w:lang w:val="zh-CN"/>
        </w:rPr>
        <w:t>方法选择、时间安排</w:t>
      </w:r>
    </w:p>
    <w:p w14:paraId="75242DF2">
      <w:pPr>
        <w:pStyle w:val="57"/>
        <w:ind w:firstLine="420"/>
      </w:pPr>
      <w:r>
        <w:rPr>
          <w:rFonts w:hint="eastAsia"/>
          <w:lang w:val="zh-CN"/>
        </w:rPr>
        <w:t>应选择适合儿童青少年的特点和需要的方法，时间安排应合理且具有灵活性。同时，干预计划还应充分考虑儿童青少年的意愿和选择，尊重其自主权。</w:t>
      </w:r>
    </w:p>
    <w:p w14:paraId="667BEF0D">
      <w:pPr>
        <w:pStyle w:val="106"/>
        <w:spacing w:before="156" w:after="156"/>
      </w:pPr>
      <w:bookmarkStart w:id="58" w:name="_Toc185435225"/>
      <w:bookmarkStart w:id="59" w:name="_Toc160744606"/>
      <w:r>
        <w:rPr>
          <w:rFonts w:hint="eastAsia"/>
        </w:rPr>
        <w:t>实施干预</w:t>
      </w:r>
      <w:bookmarkEnd w:id="58"/>
      <w:bookmarkEnd w:id="59"/>
    </w:p>
    <w:p w14:paraId="7E124B69">
      <w:pPr>
        <w:pStyle w:val="66"/>
        <w:spacing w:before="156" w:after="156"/>
      </w:pPr>
      <w:r>
        <w:rPr>
          <w:rFonts w:hint="eastAsia"/>
        </w:rPr>
        <w:t>心理治疗（轻度）</w:t>
      </w:r>
    </w:p>
    <w:p w14:paraId="25854450">
      <w:pPr>
        <w:pStyle w:val="95"/>
        <w:spacing w:before="156" w:after="156"/>
      </w:pPr>
      <w:r>
        <w:rPr>
          <w:rFonts w:hint="eastAsia"/>
        </w:rPr>
        <w:t>辩证行为疗法</w:t>
      </w:r>
    </w:p>
    <w:p w14:paraId="473F3840">
      <w:pPr>
        <w:pStyle w:val="57"/>
        <w:ind w:firstLine="420"/>
        <w:rPr>
          <w:color w:val="auto"/>
        </w:rPr>
      </w:pPr>
      <w:r>
        <w:rPr>
          <w:rFonts w:hint="eastAsia"/>
          <w:color w:val="auto"/>
        </w:rPr>
        <w:t>识别并改变消极思维模式，帮助个体找到更合适的应对压力的方式，包括个体和团体治疗。主要从情绪调节、痛苦容纳力、正念以及人际技巧4个方面发挥作用，将青少年对痛苦情绪的无法容纳的态度转为接受。</w:t>
      </w:r>
    </w:p>
    <w:p w14:paraId="6D5FC08E">
      <w:pPr>
        <w:pStyle w:val="95"/>
        <w:spacing w:before="156" w:after="156"/>
        <w:rPr>
          <w:color w:val="auto"/>
        </w:rPr>
      </w:pPr>
      <w:r>
        <w:rPr>
          <w:rFonts w:hint="eastAsia"/>
          <w:color w:val="auto"/>
        </w:rPr>
        <w:t>正念团体干预</w:t>
      </w:r>
    </w:p>
    <w:p w14:paraId="1E9F5E45">
      <w:pPr>
        <w:pStyle w:val="57"/>
        <w:ind w:firstLine="420"/>
        <w:rPr>
          <w:color w:val="auto"/>
        </w:rPr>
      </w:pPr>
      <w:r>
        <w:rPr>
          <w:rFonts w:hint="eastAsia"/>
          <w:color w:val="auto"/>
        </w:rPr>
        <w:t>实际的心理治疗过程中，正念干预以8周团体课程的形式，提高参与者的情绪接纳水平、降低痛苦回避程度、减少破坏性的情绪驱动行为并提高认知灵活性。</w:t>
      </w:r>
    </w:p>
    <w:p w14:paraId="0C72367F">
      <w:pPr>
        <w:pStyle w:val="95"/>
        <w:spacing w:before="156" w:after="156"/>
        <w:rPr>
          <w:color w:val="auto"/>
        </w:rPr>
      </w:pPr>
      <w:r>
        <w:rPr>
          <w:rFonts w:hint="eastAsia"/>
          <w:color w:val="auto"/>
        </w:rPr>
        <w:t>认知行为疗法</w:t>
      </w:r>
    </w:p>
    <w:p w14:paraId="074F25DA">
      <w:pPr>
        <w:pStyle w:val="57"/>
        <w:ind w:firstLine="420"/>
        <w:rPr>
          <w:color w:val="auto"/>
        </w:rPr>
      </w:pPr>
      <w:r>
        <w:rPr>
          <w:rFonts w:hint="eastAsia"/>
          <w:color w:val="auto"/>
        </w:rPr>
        <w:t>通过改变儿童青少年关于非自杀性自伤的不合理的认知或信念、减少自伤的行为表现来改善情绪，以达到治疗目标。</w:t>
      </w:r>
    </w:p>
    <w:p w14:paraId="5C3476D5">
      <w:pPr>
        <w:pStyle w:val="95"/>
        <w:spacing w:before="156" w:after="156"/>
        <w:rPr>
          <w:color w:val="auto"/>
        </w:rPr>
      </w:pPr>
      <w:r>
        <w:rPr>
          <w:rFonts w:hint="eastAsia"/>
          <w:color w:val="auto"/>
        </w:rPr>
        <w:t>家庭疗法</w:t>
      </w:r>
    </w:p>
    <w:p w14:paraId="522FDA36">
      <w:pPr>
        <w:pStyle w:val="57"/>
        <w:ind w:firstLine="420"/>
        <w:rPr>
          <w:color w:val="auto"/>
        </w:rPr>
      </w:pPr>
      <w:r>
        <w:rPr>
          <w:rFonts w:hint="eastAsia"/>
          <w:color w:val="auto"/>
        </w:rPr>
        <w:t>与儿童或青少年以及家庭成员的联合治疗，包括协商目标、探索自伤行为中的情节、家庭成员之间的沟通、解决问题、讨论发展性问题及其对家庭的影响。提高家庭成员对NSSI的理解，教育其如何提供适当的支持。改善家庭沟通，解决可能诱发NSSI行为的家庭功能问题。</w:t>
      </w:r>
    </w:p>
    <w:p w14:paraId="287AB648">
      <w:pPr>
        <w:pStyle w:val="95"/>
        <w:spacing w:before="156" w:after="156"/>
        <w:rPr>
          <w:color w:val="auto"/>
        </w:rPr>
      </w:pPr>
      <w:r>
        <w:rPr>
          <w:rFonts w:hAnsi="黑体"/>
          <w:color w:val="auto"/>
        </w:rPr>
        <w:t>“</w:t>
      </w:r>
      <w:r>
        <w:rPr>
          <w:rFonts w:hint="eastAsia"/>
          <w:color w:val="auto"/>
        </w:rPr>
        <w:t>家-校</w:t>
      </w:r>
      <w:r>
        <w:rPr>
          <w:color w:val="auto"/>
        </w:rPr>
        <w:t>-</w:t>
      </w:r>
      <w:r>
        <w:rPr>
          <w:rFonts w:hint="eastAsia"/>
          <w:color w:val="auto"/>
        </w:rPr>
        <w:t>医-社</w:t>
      </w:r>
      <w:r>
        <w:rPr>
          <w:rFonts w:hAnsi="黑体"/>
          <w:color w:val="auto"/>
        </w:rPr>
        <w:t>”</w:t>
      </w:r>
      <w:r>
        <w:rPr>
          <w:rFonts w:hint="eastAsia"/>
          <w:color w:val="auto"/>
        </w:rPr>
        <w:t>整体干预</w:t>
      </w:r>
    </w:p>
    <w:p w14:paraId="14AF4BF3">
      <w:pPr>
        <w:pStyle w:val="57"/>
        <w:ind w:firstLine="420"/>
        <w:rPr>
          <w:color w:val="auto"/>
        </w:rPr>
      </w:pPr>
      <w:r>
        <w:rPr>
          <w:rFonts w:hint="eastAsia"/>
          <w:color w:val="auto"/>
        </w:rPr>
        <w:t>在以“减少与消除儿童青少年NSSI行为”为治疗目标的基础上，家庭、学校、医疗机构、社工部门四方朝着共同目标通力协作，各司其职，在更大的框架下实现环境协同干预。</w:t>
      </w:r>
    </w:p>
    <w:p w14:paraId="765D3CA1">
      <w:pPr>
        <w:pStyle w:val="95"/>
        <w:spacing w:before="156" w:after="156"/>
        <w:rPr>
          <w:color w:val="auto"/>
        </w:rPr>
      </w:pPr>
      <w:r>
        <w:rPr>
          <w:rFonts w:hint="eastAsia"/>
          <w:color w:val="auto"/>
        </w:rPr>
        <w:t>健康教育</w:t>
      </w:r>
    </w:p>
    <w:p w14:paraId="6C6BA021">
      <w:pPr>
        <w:pStyle w:val="168"/>
      </w:pPr>
      <w:r>
        <w:rPr>
          <w:rFonts w:hint="eastAsia"/>
        </w:rPr>
        <w:t>避免让患者接触到致死方式，避免让患者接触到枪械、锐器、药物、高楼大厦、桥梁、可能导致窒息的物件及家居中的潜在毒物等。</w:t>
      </w:r>
    </w:p>
    <w:p w14:paraId="0018A1D6">
      <w:pPr>
        <w:pStyle w:val="168"/>
      </w:pPr>
      <w:r>
        <w:rPr>
          <w:rFonts w:hint="eastAsia"/>
        </w:rPr>
        <w:t>制定书面的安全计划包括一系列危险信号（如，消极想法、抑郁心境、自伤行为）的清单，应对策略（如，外出散步、锻炼、与亲朋好友社交），以及24小时危机援助热线、急诊等。</w:t>
      </w:r>
    </w:p>
    <w:p w14:paraId="0E978949">
      <w:pPr>
        <w:pStyle w:val="168"/>
        <w:rPr>
          <w:color w:val="auto"/>
        </w:rPr>
      </w:pPr>
      <w:r>
        <w:rPr>
          <w:rFonts w:hint="eastAsia"/>
          <w:color w:val="auto"/>
        </w:rPr>
        <w:t>父母可以通过积极帮助孩子解决现实的困扰，如睡眠较差、校园欺凌等，减少孩子在精神上的痛苦，而减少家庭内的冲突、改善与孩子之间的关系等努力，为孩子创造良好的家庭环境，以此减少孩子出现NSSI行为或其它心理问题的土壤。</w:t>
      </w:r>
    </w:p>
    <w:p w14:paraId="6D21C028">
      <w:pPr>
        <w:pStyle w:val="66"/>
        <w:spacing w:before="156" w:after="156"/>
        <w:rPr>
          <w:color w:val="auto"/>
        </w:rPr>
      </w:pPr>
      <w:r>
        <w:rPr>
          <w:rFonts w:hint="eastAsia"/>
          <w:color w:val="auto"/>
        </w:rPr>
        <w:t>药物治疗（中重度）</w:t>
      </w:r>
    </w:p>
    <w:p w14:paraId="7E69D4D9">
      <w:pPr>
        <w:pStyle w:val="165"/>
        <w:rPr>
          <w:color w:val="auto"/>
        </w:rPr>
      </w:pPr>
      <w:r>
        <w:rPr>
          <w:rFonts w:hint="eastAsia"/>
          <w:color w:val="auto"/>
        </w:rPr>
        <w:t>不作为非自杀性自伤行为的单一治疗策略，如儿童青少年的NSSI行为为高风险或同时共病抑郁障碍、焦虑障碍等情感障碍、精神障碍时，可联合心理治疗。</w:t>
      </w:r>
    </w:p>
    <w:p w14:paraId="41A074EB">
      <w:pPr>
        <w:pStyle w:val="165"/>
        <w:rPr>
          <w:color w:val="auto"/>
        </w:rPr>
      </w:pPr>
      <w:r>
        <w:rPr>
          <w:rFonts w:hint="eastAsia"/>
          <w:color w:val="auto"/>
        </w:rPr>
        <w:t>常用的药物有抗焦虑药、抗抑郁药，镇静催眠药等，具体药物治疗方案需要精神科医生进行评估及制定。</w:t>
      </w:r>
    </w:p>
    <w:p w14:paraId="21569B70">
      <w:pPr>
        <w:pStyle w:val="66"/>
        <w:spacing w:before="156" w:after="156"/>
        <w:rPr>
          <w:color w:val="auto"/>
        </w:rPr>
      </w:pPr>
      <w:r>
        <w:rPr>
          <w:rFonts w:hint="eastAsia"/>
          <w:color w:val="auto"/>
        </w:rPr>
        <w:t>物理治疗（中重度）</w:t>
      </w:r>
    </w:p>
    <w:p w14:paraId="08BDE477">
      <w:pPr>
        <w:pStyle w:val="57"/>
        <w:ind w:firstLine="420"/>
        <w:rPr>
          <w:color w:val="auto"/>
        </w:rPr>
      </w:pPr>
      <w:r>
        <w:rPr>
          <w:rFonts w:hint="eastAsia"/>
          <w:color w:val="auto"/>
        </w:rPr>
        <w:t>在多模态的干预方案设计中，共病抑郁障碍、焦虑障碍等情感障碍、精神障碍则考虑物理治疗进行辅助治疗，包括重复经颅磁刺激、经颅电刺激与电休克疗法等。</w:t>
      </w:r>
    </w:p>
    <w:p w14:paraId="7C506D3A">
      <w:pPr>
        <w:pStyle w:val="106"/>
        <w:spacing w:before="156" w:after="156"/>
        <w:rPr>
          <w:color w:val="auto"/>
        </w:rPr>
      </w:pPr>
      <w:bookmarkStart w:id="60" w:name="_Toc185435227"/>
      <w:r>
        <w:rPr>
          <w:rFonts w:hint="eastAsia"/>
          <w:color w:val="auto"/>
          <w:lang w:val="zh-CN"/>
        </w:rPr>
        <w:t>监测与调整</w:t>
      </w:r>
      <w:bookmarkEnd w:id="60"/>
    </w:p>
    <w:p w14:paraId="5DF7C484">
      <w:pPr>
        <w:pStyle w:val="166"/>
        <w:rPr>
          <w:color w:val="auto"/>
        </w:rPr>
      </w:pPr>
      <w:r>
        <w:rPr>
          <w:rFonts w:hint="eastAsia"/>
          <w:color w:val="auto"/>
        </w:rPr>
        <w:t>建立档案记录：对所接诊的儿童青少年建立档案记录，有专人负责管理，进行日常管理、协调与持续质量评价心理干预质量。应保护患者隐私，不泄露患者信息。</w:t>
      </w:r>
    </w:p>
    <w:p w14:paraId="320AE269">
      <w:pPr>
        <w:pStyle w:val="166"/>
        <w:rPr>
          <w:color w:val="auto"/>
        </w:rPr>
      </w:pPr>
      <w:r>
        <w:rPr>
          <w:rFonts w:hint="eastAsia"/>
          <w:color w:val="auto"/>
        </w:rPr>
        <w:t>定期评估监测：定期检查干预目标的进展情况，评估已经采取的策略的效果。</w:t>
      </w:r>
      <w:r>
        <w:rPr>
          <w:rFonts w:hint="eastAsia"/>
          <w:color w:val="auto"/>
          <w:lang w:val="zh-CN"/>
        </w:rPr>
        <w:t>定期对儿童青少年的</w:t>
      </w:r>
      <w:r>
        <w:rPr>
          <w:rFonts w:hint="eastAsia"/>
          <w:color w:val="auto"/>
        </w:rPr>
        <w:t>NSSI</w:t>
      </w:r>
      <w:r>
        <w:rPr>
          <w:rFonts w:hint="eastAsia"/>
          <w:color w:val="auto"/>
          <w:lang w:val="zh-CN"/>
        </w:rPr>
        <w:t>行为进行监测，了解其变化情况。</w:t>
      </w:r>
    </w:p>
    <w:p w14:paraId="32C67E9F">
      <w:pPr>
        <w:pStyle w:val="166"/>
        <w:rPr>
          <w:color w:val="auto"/>
        </w:rPr>
      </w:pPr>
      <w:r>
        <w:rPr>
          <w:rFonts w:hint="eastAsia"/>
          <w:color w:val="auto"/>
        </w:rPr>
        <w:t>调整治疗计划：</w:t>
      </w:r>
      <w:r>
        <w:rPr>
          <w:rFonts w:hint="eastAsia"/>
          <w:color w:val="auto"/>
          <w:lang w:val="zh-CN"/>
        </w:rPr>
        <w:t>根据监测结果，及时调整干预措施</w:t>
      </w:r>
      <w:r>
        <w:rPr>
          <w:rFonts w:hint="eastAsia"/>
          <w:color w:val="auto"/>
        </w:rPr>
        <w:t>，</w:t>
      </w:r>
      <w:r>
        <w:rPr>
          <w:rFonts w:hint="eastAsia"/>
          <w:color w:val="auto"/>
          <w:lang w:val="zh-CN"/>
        </w:rPr>
        <w:t>保持其有效性</w:t>
      </w:r>
      <w:r>
        <w:rPr>
          <w:rFonts w:hint="eastAsia"/>
          <w:color w:val="auto"/>
        </w:rPr>
        <w:t>。</w:t>
      </w:r>
      <w:r>
        <w:rPr>
          <w:rFonts w:hint="eastAsia"/>
          <w:color w:val="auto"/>
          <w:lang w:val="zh-CN"/>
        </w:rPr>
        <w:t>如发现非自杀自伤行为有加重趋势或出现新的问题，应及时调整干预计划，加强支持和关注。</w:t>
      </w:r>
    </w:p>
    <w:p w14:paraId="3D5EC513">
      <w:pPr>
        <w:pStyle w:val="166"/>
        <w:rPr>
          <w:color w:val="auto"/>
        </w:rPr>
      </w:pPr>
      <w:r>
        <w:rPr>
          <w:rFonts w:hint="eastAsia"/>
          <w:color w:val="auto"/>
        </w:rPr>
        <w:t>预防复发：制定个性化的安全计划，包括识别触发因素、早期警告信号和应对策略。教育儿童青少年如何识别和利用可用的资源，包括求助热线、社会支持网络和专业人员。</w:t>
      </w:r>
    </w:p>
    <w:p w14:paraId="5A3A195B">
      <w:pPr>
        <w:pStyle w:val="166"/>
        <w:rPr>
          <w:color w:val="auto"/>
        </w:rPr>
      </w:pPr>
      <w:r>
        <w:rPr>
          <w:rFonts w:hint="eastAsia"/>
          <w:color w:val="auto"/>
        </w:rPr>
        <w:t>妥善处理投诉，定期收集患者反馈意见，核实、分析与整改。</w:t>
      </w:r>
    </w:p>
    <w:p w14:paraId="122174D4">
      <w:pPr>
        <w:pStyle w:val="166"/>
        <w:rPr>
          <w:color w:val="auto"/>
        </w:rPr>
      </w:pPr>
      <w:r>
        <w:rPr>
          <w:rFonts w:hint="eastAsia"/>
          <w:color w:val="auto"/>
        </w:rPr>
        <w:t>及时总结NSSI干预中的典型案例，积极开展科内及医院间反馈和交流、督导。</w:t>
      </w:r>
    </w:p>
    <w:p w14:paraId="32963BF5">
      <w:pPr>
        <w:pStyle w:val="106"/>
        <w:spacing w:before="156" w:after="156"/>
        <w:rPr>
          <w:color w:val="auto"/>
        </w:rPr>
      </w:pPr>
      <w:bookmarkStart w:id="61" w:name="_Toc185435228"/>
      <w:r>
        <w:rPr>
          <w:rFonts w:hint="eastAsia"/>
          <w:color w:val="auto"/>
          <w:lang w:val="zh-CN"/>
        </w:rPr>
        <w:t>评估干预效果</w:t>
      </w:r>
      <w:bookmarkEnd w:id="61"/>
    </w:p>
    <w:p w14:paraId="420E5ECC">
      <w:pPr>
        <w:pStyle w:val="57"/>
        <w:ind w:firstLine="420"/>
        <w:rPr>
          <w:lang w:val="zh-CN"/>
        </w:rPr>
      </w:pPr>
      <w:r>
        <w:rPr>
          <w:rFonts w:hint="eastAsia"/>
          <w:lang w:val="zh-CN"/>
        </w:rPr>
        <w:t>在实施心理干预一段时间后，应对其效果进行评估。评估可采用量化和质性方法相结合的方式进行，如采用自评量表、观察</w:t>
      </w:r>
      <w:r>
        <w:rPr>
          <w:rFonts w:hint="eastAsia"/>
          <w:color w:val="auto"/>
          <w:lang w:val="zh-CN"/>
        </w:rPr>
        <w:t>法等评估工具进行效果评估，为进一步调整干预措施提供依据。</w:t>
      </w:r>
      <w:bookmarkStart w:id="65" w:name="_GoBack"/>
      <w:bookmarkEnd w:id="65"/>
    </w:p>
    <w:p w14:paraId="3A068F71">
      <w:pPr>
        <w:pStyle w:val="57"/>
        <w:ind w:firstLine="0" w:firstLineChars="0"/>
      </w:pPr>
    </w:p>
    <w:bookmarkEnd w:id="24"/>
    <w:p w14:paraId="52EA557E">
      <w:pPr>
        <w:pStyle w:val="57"/>
        <w:ind w:firstLine="420"/>
        <w:jc w:val="center"/>
        <w:sectPr>
          <w:pgSz w:w="11906" w:h="16838"/>
          <w:pgMar w:top="1871" w:right="1134" w:bottom="1134" w:left="1134" w:header="1418" w:footer="1134" w:gutter="284"/>
          <w:pgNumType w:start="1"/>
          <w:cols w:space="425" w:num="1"/>
          <w:formProt w:val="0"/>
          <w:docGrid w:type="lines" w:linePitch="312" w:charSpace="0"/>
        </w:sectPr>
      </w:pPr>
      <w:bookmarkStart w:id="62" w:name="BookMark6"/>
    </w:p>
    <w:p w14:paraId="1CBA4D97">
      <w:pPr>
        <w:pStyle w:val="64"/>
        <w:spacing w:before="124" w:after="156"/>
      </w:pPr>
      <w:r>
        <w:rPr>
          <w:rFonts w:hint="eastAsia"/>
          <w:spacing w:val="105"/>
        </w:rPr>
        <w:t>参考文</w:t>
      </w:r>
      <w:r>
        <w:rPr>
          <w:rFonts w:hint="eastAsia"/>
        </w:rPr>
        <w:t>献</w:t>
      </w:r>
    </w:p>
    <w:p w14:paraId="544B7BE2">
      <w:pPr>
        <w:widowControl/>
        <w:adjustRightInd/>
        <w:spacing w:line="240" w:lineRule="auto"/>
        <w:jc w:val="left"/>
        <w:rPr>
          <w:rFonts w:ascii="宋体" w:hAnsi="宋体" w:cs="宋体"/>
          <w:kern w:val="0"/>
        </w:rPr>
      </w:pPr>
      <w:bookmarkStart w:id="63" w:name="OLE_LINK1"/>
      <w:r>
        <w:rPr>
          <w:rFonts w:ascii="宋体" w:hAnsi="宋体" w:cs="宋体"/>
          <w:kern w:val="0"/>
        </w:rPr>
        <w:t>[1]</w:t>
      </w:r>
      <w:bookmarkEnd w:id="63"/>
      <w:r>
        <w:rPr>
          <w:rFonts w:ascii="宋体" w:hAnsi="宋体" w:cs="宋体"/>
          <w:kern w:val="0"/>
        </w:rPr>
        <w:t xml:space="preserve">  查彩慧，欧婉杏. 青少年非自杀性自伤的识别和干预[J].中国儿童保健杂志，2024，32(7)：697-699.</w:t>
      </w:r>
    </w:p>
    <w:p w14:paraId="79FB9660">
      <w:pPr>
        <w:widowControl/>
        <w:adjustRightInd/>
        <w:spacing w:line="240" w:lineRule="auto"/>
        <w:jc w:val="left"/>
        <w:rPr>
          <w:rFonts w:ascii="Arial" w:hAnsi="Arial" w:cs="Arial"/>
          <w:sz w:val="20"/>
          <w:szCs w:val="20"/>
          <w:shd w:val="clear" w:color="auto" w:fill="FFFFFF"/>
        </w:rPr>
      </w:pPr>
      <w:r>
        <w:rPr>
          <w:rFonts w:ascii="宋体" w:hAnsi="宋体" w:cs="宋体"/>
          <w:kern w:val="0"/>
        </w:rPr>
        <w:t xml:space="preserve">[2]  </w:t>
      </w:r>
      <w:r>
        <w:rPr>
          <w:rFonts w:ascii="Times New Roman" w:hAnsi="Times New Roman"/>
        </w:rPr>
        <w:t>Walsh B. Clinical assessment of self‐injury: A practical guide[J]. Journal of clinical psychology, 2007, 63(11): 1057-1068.</w:t>
      </w:r>
      <w:r>
        <w:rPr>
          <w:rFonts w:ascii="Arial" w:hAnsi="Arial" w:cs="Arial"/>
          <w:sz w:val="20"/>
          <w:szCs w:val="20"/>
          <w:shd w:val="clear" w:color="auto" w:fill="FFFFFF"/>
        </w:rPr>
        <w:t xml:space="preserve"> </w:t>
      </w:r>
    </w:p>
    <w:p w14:paraId="2F9F86CF">
      <w:pPr>
        <w:widowControl/>
        <w:adjustRightInd/>
        <w:spacing w:line="240" w:lineRule="auto"/>
        <w:jc w:val="left"/>
        <w:rPr>
          <w:rFonts w:ascii="Segoe UI" w:hAnsi="Segoe UI" w:cs="Segoe UI"/>
          <w:shd w:val="clear" w:color="auto" w:fill="FFFFFF"/>
        </w:rPr>
      </w:pPr>
      <w:r>
        <w:rPr>
          <w:rFonts w:ascii="宋体" w:hAnsi="宋体" w:cs="宋体"/>
          <w:kern w:val="0"/>
        </w:rPr>
        <w:t xml:space="preserve">[3] </w:t>
      </w:r>
      <w:r>
        <w:rPr>
          <w:rFonts w:ascii="Times New Roman" w:hAnsi="Times New Roman"/>
        </w:rPr>
        <w:t xml:space="preserve"> </w:t>
      </w:r>
      <w:r>
        <w:rPr>
          <w:rFonts w:ascii="Times New Roman" w:hAnsi="Times New Roman"/>
          <w:shd w:val="clear" w:color="auto" w:fill="FFFFFF"/>
        </w:rPr>
        <w:t xml:space="preserve">Linehan M M, Korslund K E, Harned M S, et al. Dialectical behavior therapy for high suicide risk in individuals with borderline personality disorder: a randomized clinical trial and component analysis[J]. JAMA psychiatry, 2015, 72(5): 475-482. </w:t>
      </w:r>
    </w:p>
    <w:p w14:paraId="183DAA97">
      <w:pPr>
        <w:pStyle w:val="57"/>
        <w:ind w:firstLine="0" w:firstLineChars="0"/>
        <w:rPr>
          <w:rFonts w:ascii="Times New Roman"/>
        </w:rPr>
      </w:pPr>
      <w:r>
        <w:rPr>
          <w:rFonts w:hAnsi="宋体" w:cs="宋体"/>
        </w:rPr>
        <w:t>[4]</w:t>
      </w:r>
      <w:r>
        <w:rPr>
          <w:rFonts w:ascii="Segoe UI" w:hAnsi="Segoe UI" w:cs="Segoe UI"/>
          <w:shd w:val="clear" w:color="auto" w:fill="FFFFFF"/>
        </w:rPr>
        <w:t xml:space="preserve">  </w:t>
      </w:r>
      <w:r>
        <w:rPr>
          <w:rFonts w:ascii="Times New Roman"/>
        </w:rPr>
        <w:t>Heath N L, Carsley D, De Riggi M E, et al. The relationship between mindfulness, depressive symptoms, and non-suicidal self-injury amongst adolescents[J]. Archives of Suicide Research, 2016, 20(4): 635-649.</w:t>
      </w:r>
    </w:p>
    <w:bookmarkEnd w:id="62"/>
    <w:p w14:paraId="7534DD25">
      <w:pPr>
        <w:pStyle w:val="57"/>
        <w:ind w:firstLine="0" w:firstLineChars="0"/>
        <w:jc w:val="center"/>
      </w:pPr>
      <w:bookmarkStart w:id="64"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9ECB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AE6C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8334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30716">
    <w:pPr>
      <w:pStyle w:val="53"/>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93E5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32F8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FF63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F4B47">
    <w:pPr>
      <w:pStyle w:val="62"/>
    </w:pPr>
    <w:r>
      <w:fldChar w:fldCharType="begin"/>
    </w:r>
    <w:r>
      <w:instrText xml:space="preserve"> STYLEREF  标准文件_文件编号  \* MERGEFORMAT </w:instrText>
    </w:r>
    <w:r>
      <w:fldChar w:fldCharType="separate"/>
    </w:r>
    <w:r>
      <w:t>T/GXAS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E4938">
    <w:pPr>
      <w:pStyle w:val="18"/>
      <w:jc w:val="right"/>
    </w:pPr>
    <w:r>
      <w:fldChar w:fldCharType="begin"/>
    </w:r>
    <w:r>
      <w:instrText xml:space="preserve"> STYLEREF  标准文件_文件编号  \* MERGEFORMAT </w:instrText>
    </w:r>
    <w:r>
      <w:fldChar w:fldCharType="separate"/>
    </w:r>
    <w:r>
      <w:t>T/GXAS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2MTVmN2M2NzI1ZWY3MzY1NWI2OWJkODdiNWRiZGQifQ=="/>
    <w:docVar w:name="KY_MEDREF_DOCUID" w:val="{5FDDE656-C223-42F7-84B2-15FE80C8D23F}"/>
    <w:docVar w:name="KY_MEDREF_VERSION" w:val="3"/>
  </w:docVars>
  <w:rsids>
    <w:rsidRoot w:val="006F110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42D"/>
    <w:rsid w:val="000346A5"/>
    <w:rsid w:val="000359C3"/>
    <w:rsid w:val="00035A7D"/>
    <w:rsid w:val="000365ED"/>
    <w:rsid w:val="0004249A"/>
    <w:rsid w:val="00043282"/>
    <w:rsid w:val="00044286"/>
    <w:rsid w:val="00046359"/>
    <w:rsid w:val="000471C7"/>
    <w:rsid w:val="00047F28"/>
    <w:rsid w:val="000503AA"/>
    <w:rsid w:val="000506A1"/>
    <w:rsid w:val="000515DD"/>
    <w:rsid w:val="0005265A"/>
    <w:rsid w:val="000539DD"/>
    <w:rsid w:val="00053A2B"/>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3E01"/>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058D8"/>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1D0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286"/>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A88"/>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CE4"/>
    <w:rsid w:val="00322E62"/>
    <w:rsid w:val="00324D13"/>
    <w:rsid w:val="00324EDD"/>
    <w:rsid w:val="003331E4"/>
    <w:rsid w:val="00336C64"/>
    <w:rsid w:val="00337162"/>
    <w:rsid w:val="00337606"/>
    <w:rsid w:val="0034194F"/>
    <w:rsid w:val="00341996"/>
    <w:rsid w:val="00343DC6"/>
    <w:rsid w:val="00344605"/>
    <w:rsid w:val="003474AA"/>
    <w:rsid w:val="00350D1D"/>
    <w:rsid w:val="00352C83"/>
    <w:rsid w:val="00355EEF"/>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A6"/>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0D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4DD"/>
    <w:rsid w:val="003F0841"/>
    <w:rsid w:val="003F23D3"/>
    <w:rsid w:val="003F3F08"/>
    <w:rsid w:val="003F49F1"/>
    <w:rsid w:val="003F6272"/>
    <w:rsid w:val="00400E72"/>
    <w:rsid w:val="00401400"/>
    <w:rsid w:val="00404869"/>
    <w:rsid w:val="00405884"/>
    <w:rsid w:val="00407A93"/>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9DF"/>
    <w:rsid w:val="004746B1"/>
    <w:rsid w:val="0047583F"/>
    <w:rsid w:val="00475DE8"/>
    <w:rsid w:val="00481C44"/>
    <w:rsid w:val="00484936"/>
    <w:rsid w:val="004858BA"/>
    <w:rsid w:val="00485C89"/>
    <w:rsid w:val="00486BE3"/>
    <w:rsid w:val="004905E4"/>
    <w:rsid w:val="00490A89"/>
    <w:rsid w:val="00490AB4"/>
    <w:rsid w:val="00492F02"/>
    <w:rsid w:val="004939AE"/>
    <w:rsid w:val="0049555C"/>
    <w:rsid w:val="004A12DF"/>
    <w:rsid w:val="004A1BA8"/>
    <w:rsid w:val="004A4B57"/>
    <w:rsid w:val="004A63FA"/>
    <w:rsid w:val="004B0272"/>
    <w:rsid w:val="004B0451"/>
    <w:rsid w:val="004B2701"/>
    <w:rsid w:val="004B2E1B"/>
    <w:rsid w:val="004B3A0E"/>
    <w:rsid w:val="004B3AA8"/>
    <w:rsid w:val="004B3E93"/>
    <w:rsid w:val="004B5CCE"/>
    <w:rsid w:val="004C1FBC"/>
    <w:rsid w:val="004C3F1D"/>
    <w:rsid w:val="004C458D"/>
    <w:rsid w:val="004C4C9A"/>
    <w:rsid w:val="004C7556"/>
    <w:rsid w:val="004C7E8B"/>
    <w:rsid w:val="004C7E9D"/>
    <w:rsid w:val="004C7F67"/>
    <w:rsid w:val="004D076D"/>
    <w:rsid w:val="004D0EF1"/>
    <w:rsid w:val="004D2253"/>
    <w:rsid w:val="004D3062"/>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56F"/>
    <w:rsid w:val="00551F6F"/>
    <w:rsid w:val="00555044"/>
    <w:rsid w:val="00561475"/>
    <w:rsid w:val="0056487B"/>
    <w:rsid w:val="00564FB9"/>
    <w:rsid w:val="00573D9E"/>
    <w:rsid w:val="005801E3"/>
    <w:rsid w:val="00581802"/>
    <w:rsid w:val="005834D7"/>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739"/>
    <w:rsid w:val="005C2295"/>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04D4"/>
    <w:rsid w:val="006015CE"/>
    <w:rsid w:val="006029C2"/>
    <w:rsid w:val="00604784"/>
    <w:rsid w:val="00606270"/>
    <w:rsid w:val="00606419"/>
    <w:rsid w:val="00607D29"/>
    <w:rsid w:val="00607FCC"/>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87A"/>
    <w:rsid w:val="00651ACB"/>
    <w:rsid w:val="00651C47"/>
    <w:rsid w:val="00652AB2"/>
    <w:rsid w:val="00653FED"/>
    <w:rsid w:val="00654DD6"/>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145D"/>
    <w:rsid w:val="006B2672"/>
    <w:rsid w:val="006B3EA1"/>
    <w:rsid w:val="006B54BF"/>
    <w:rsid w:val="006B5F44"/>
    <w:rsid w:val="006B5F90"/>
    <w:rsid w:val="006B62E4"/>
    <w:rsid w:val="006B6ED2"/>
    <w:rsid w:val="006C1882"/>
    <w:rsid w:val="006C1BBA"/>
    <w:rsid w:val="006C2079"/>
    <w:rsid w:val="006C414B"/>
    <w:rsid w:val="006C458E"/>
    <w:rsid w:val="006C5A62"/>
    <w:rsid w:val="006C5D68"/>
    <w:rsid w:val="006C6976"/>
    <w:rsid w:val="006C6DD0"/>
    <w:rsid w:val="006D04EA"/>
    <w:rsid w:val="006D0ED3"/>
    <w:rsid w:val="006D16C4"/>
    <w:rsid w:val="006D198E"/>
    <w:rsid w:val="006D2F95"/>
    <w:rsid w:val="006D3E96"/>
    <w:rsid w:val="006D4515"/>
    <w:rsid w:val="006D4BB1"/>
    <w:rsid w:val="006D6593"/>
    <w:rsid w:val="006F03A8"/>
    <w:rsid w:val="006F1102"/>
    <w:rsid w:val="006F2ACA"/>
    <w:rsid w:val="006F2ADC"/>
    <w:rsid w:val="006F2BFE"/>
    <w:rsid w:val="006F31E9"/>
    <w:rsid w:val="006F6284"/>
    <w:rsid w:val="007002C5"/>
    <w:rsid w:val="00704387"/>
    <w:rsid w:val="00704391"/>
    <w:rsid w:val="00707669"/>
    <w:rsid w:val="00711CBA"/>
    <w:rsid w:val="00711FB5"/>
    <w:rsid w:val="00712A01"/>
    <w:rsid w:val="0071486E"/>
    <w:rsid w:val="00714F58"/>
    <w:rsid w:val="00722FBF"/>
    <w:rsid w:val="00722FC2"/>
    <w:rsid w:val="00724E1B"/>
    <w:rsid w:val="00725949"/>
    <w:rsid w:val="00727FA2"/>
    <w:rsid w:val="007322D9"/>
    <w:rsid w:val="00732BC0"/>
    <w:rsid w:val="0073720F"/>
    <w:rsid w:val="00737796"/>
    <w:rsid w:val="00737C38"/>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2D8"/>
    <w:rsid w:val="0076031B"/>
    <w:rsid w:val="00763814"/>
    <w:rsid w:val="0076536D"/>
    <w:rsid w:val="00765C43"/>
    <w:rsid w:val="00765EFB"/>
    <w:rsid w:val="007671CA"/>
    <w:rsid w:val="00767C61"/>
    <w:rsid w:val="0077008A"/>
    <w:rsid w:val="00771E22"/>
    <w:rsid w:val="00773C1F"/>
    <w:rsid w:val="00774DA4"/>
    <w:rsid w:val="00776599"/>
    <w:rsid w:val="0078114B"/>
    <w:rsid w:val="00781DD2"/>
    <w:rsid w:val="00783ECF"/>
    <w:rsid w:val="0078413A"/>
    <w:rsid w:val="0079478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75DF"/>
    <w:rsid w:val="007F0ED8"/>
    <w:rsid w:val="007F0F63"/>
    <w:rsid w:val="007F75CE"/>
    <w:rsid w:val="00800520"/>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DB5"/>
    <w:rsid w:val="0083661F"/>
    <w:rsid w:val="008373D3"/>
    <w:rsid w:val="00837D74"/>
    <w:rsid w:val="00840617"/>
    <w:rsid w:val="00840F84"/>
    <w:rsid w:val="00842A47"/>
    <w:rsid w:val="00843C13"/>
    <w:rsid w:val="008454F8"/>
    <w:rsid w:val="0085173A"/>
    <w:rsid w:val="008603CE"/>
    <w:rsid w:val="00860D64"/>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D82"/>
    <w:rsid w:val="008930CB"/>
    <w:rsid w:val="008938DC"/>
    <w:rsid w:val="00893FD1"/>
    <w:rsid w:val="00894836"/>
    <w:rsid w:val="00895172"/>
    <w:rsid w:val="00895680"/>
    <w:rsid w:val="00896DFF"/>
    <w:rsid w:val="0089762C"/>
    <w:rsid w:val="008A1893"/>
    <w:rsid w:val="008A39F7"/>
    <w:rsid w:val="008A57E6"/>
    <w:rsid w:val="008A6F81"/>
    <w:rsid w:val="008A769A"/>
    <w:rsid w:val="008B0C9C"/>
    <w:rsid w:val="008B166D"/>
    <w:rsid w:val="008B17F4"/>
    <w:rsid w:val="008B3615"/>
    <w:rsid w:val="008B4AC4"/>
    <w:rsid w:val="008B50C8"/>
    <w:rsid w:val="008B5281"/>
    <w:rsid w:val="008B6184"/>
    <w:rsid w:val="008B7E05"/>
    <w:rsid w:val="008C1797"/>
    <w:rsid w:val="008C219C"/>
    <w:rsid w:val="008C32EC"/>
    <w:rsid w:val="008C475E"/>
    <w:rsid w:val="008C619A"/>
    <w:rsid w:val="008D0CE8"/>
    <w:rsid w:val="008D2D1D"/>
    <w:rsid w:val="008D453D"/>
    <w:rsid w:val="008D53AD"/>
    <w:rsid w:val="008D562B"/>
    <w:rsid w:val="008D5733"/>
    <w:rsid w:val="008D598B"/>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A82"/>
    <w:rsid w:val="00913CA9"/>
    <w:rsid w:val="009145AE"/>
    <w:rsid w:val="009146CE"/>
    <w:rsid w:val="00914CA7"/>
    <w:rsid w:val="00915C3E"/>
    <w:rsid w:val="009161A8"/>
    <w:rsid w:val="009245F5"/>
    <w:rsid w:val="009249EC"/>
    <w:rsid w:val="009273B3"/>
    <w:rsid w:val="00927715"/>
    <w:rsid w:val="009305B5"/>
    <w:rsid w:val="00937B7D"/>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3F7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AE7"/>
    <w:rsid w:val="009A72AD"/>
    <w:rsid w:val="009B09E0"/>
    <w:rsid w:val="009B0BC5"/>
    <w:rsid w:val="009B1247"/>
    <w:rsid w:val="009B6029"/>
    <w:rsid w:val="009B6971"/>
    <w:rsid w:val="009C27F1"/>
    <w:rsid w:val="009C2D7F"/>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BC4"/>
    <w:rsid w:val="00A06A6B"/>
    <w:rsid w:val="00A07E47"/>
    <w:rsid w:val="00A129D0"/>
    <w:rsid w:val="00A12C33"/>
    <w:rsid w:val="00A138BA"/>
    <w:rsid w:val="00A14C8E"/>
    <w:rsid w:val="00A153D9"/>
    <w:rsid w:val="00A15F09"/>
    <w:rsid w:val="00A169B6"/>
    <w:rsid w:val="00A2271D"/>
    <w:rsid w:val="00A237D5"/>
    <w:rsid w:val="00A279CC"/>
    <w:rsid w:val="00A30EFC"/>
    <w:rsid w:val="00A31984"/>
    <w:rsid w:val="00A32D73"/>
    <w:rsid w:val="00A3367B"/>
    <w:rsid w:val="00A3597D"/>
    <w:rsid w:val="00A36DD1"/>
    <w:rsid w:val="00A4006C"/>
    <w:rsid w:val="00A40091"/>
    <w:rsid w:val="00A4030F"/>
    <w:rsid w:val="00A41C79"/>
    <w:rsid w:val="00A41CB5"/>
    <w:rsid w:val="00A42CDF"/>
    <w:rsid w:val="00A4403E"/>
    <w:rsid w:val="00A4452E"/>
    <w:rsid w:val="00A4472C"/>
    <w:rsid w:val="00A44E69"/>
    <w:rsid w:val="00A4661E"/>
    <w:rsid w:val="00A55BD6"/>
    <w:rsid w:val="00A55D50"/>
    <w:rsid w:val="00A57142"/>
    <w:rsid w:val="00A648CD"/>
    <w:rsid w:val="00A6537A"/>
    <w:rsid w:val="00A67866"/>
    <w:rsid w:val="00A70B07"/>
    <w:rsid w:val="00A70B19"/>
    <w:rsid w:val="00A71704"/>
    <w:rsid w:val="00A723F8"/>
    <w:rsid w:val="00A76F99"/>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E87"/>
    <w:rsid w:val="00AF47C5"/>
    <w:rsid w:val="00AF5398"/>
    <w:rsid w:val="00B03D20"/>
    <w:rsid w:val="00B049AF"/>
    <w:rsid w:val="00B07242"/>
    <w:rsid w:val="00B10534"/>
    <w:rsid w:val="00B10E92"/>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89C"/>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025"/>
    <w:rsid w:val="00BB5F8F"/>
    <w:rsid w:val="00BB657A"/>
    <w:rsid w:val="00BC1A4E"/>
    <w:rsid w:val="00BC37FB"/>
    <w:rsid w:val="00BC5DC7"/>
    <w:rsid w:val="00BC6B8B"/>
    <w:rsid w:val="00BC73D8"/>
    <w:rsid w:val="00BD52D7"/>
    <w:rsid w:val="00BD5AD2"/>
    <w:rsid w:val="00BD611E"/>
    <w:rsid w:val="00BE22F3"/>
    <w:rsid w:val="00BE3DE5"/>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CB1"/>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176"/>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A17"/>
    <w:rsid w:val="00CC038D"/>
    <w:rsid w:val="00CC08DB"/>
    <w:rsid w:val="00CC0D20"/>
    <w:rsid w:val="00CC3955"/>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5185"/>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3D65"/>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1E68"/>
    <w:rsid w:val="00E12495"/>
    <w:rsid w:val="00E15CCD"/>
    <w:rsid w:val="00E202EF"/>
    <w:rsid w:val="00E210B5"/>
    <w:rsid w:val="00E23D99"/>
    <w:rsid w:val="00E2552F"/>
    <w:rsid w:val="00E3137A"/>
    <w:rsid w:val="00E32CCF"/>
    <w:rsid w:val="00E34A98"/>
    <w:rsid w:val="00E35D1E"/>
    <w:rsid w:val="00E364F9"/>
    <w:rsid w:val="00E365FA"/>
    <w:rsid w:val="00E36789"/>
    <w:rsid w:val="00E4204D"/>
    <w:rsid w:val="00E4482F"/>
    <w:rsid w:val="00E44A83"/>
    <w:rsid w:val="00E47CB4"/>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D3B"/>
    <w:rsid w:val="00E94AF0"/>
    <w:rsid w:val="00E95D13"/>
    <w:rsid w:val="00E95DD3"/>
    <w:rsid w:val="00E969D5"/>
    <w:rsid w:val="00EA58D1"/>
    <w:rsid w:val="00EA61BC"/>
    <w:rsid w:val="00EA681A"/>
    <w:rsid w:val="00EA735B"/>
    <w:rsid w:val="00EB1E69"/>
    <w:rsid w:val="00EB2086"/>
    <w:rsid w:val="00EB5EDF"/>
    <w:rsid w:val="00EB60FE"/>
    <w:rsid w:val="00EB74DB"/>
    <w:rsid w:val="00EB7AC4"/>
    <w:rsid w:val="00EC4837"/>
    <w:rsid w:val="00EC5359"/>
    <w:rsid w:val="00EC562A"/>
    <w:rsid w:val="00ED067A"/>
    <w:rsid w:val="00ED2B50"/>
    <w:rsid w:val="00EE0350"/>
    <w:rsid w:val="00EE0719"/>
    <w:rsid w:val="00EE0E80"/>
    <w:rsid w:val="00EE613F"/>
    <w:rsid w:val="00EE7295"/>
    <w:rsid w:val="00EE7869"/>
    <w:rsid w:val="00EF054A"/>
    <w:rsid w:val="00EF3235"/>
    <w:rsid w:val="00EF7E72"/>
    <w:rsid w:val="00F01FF5"/>
    <w:rsid w:val="00F06D37"/>
    <w:rsid w:val="00F07B9D"/>
    <w:rsid w:val="00F11586"/>
    <w:rsid w:val="00F1183B"/>
    <w:rsid w:val="00F11C9F"/>
    <w:rsid w:val="00F12263"/>
    <w:rsid w:val="00F1409D"/>
    <w:rsid w:val="00F14214"/>
    <w:rsid w:val="00F157A9"/>
    <w:rsid w:val="00F201AE"/>
    <w:rsid w:val="00F25BB6"/>
    <w:rsid w:val="00F26B7E"/>
    <w:rsid w:val="00F27A3B"/>
    <w:rsid w:val="00F33817"/>
    <w:rsid w:val="00F420D5"/>
    <w:rsid w:val="00F451EA"/>
    <w:rsid w:val="00F45447"/>
    <w:rsid w:val="00F456C6"/>
    <w:rsid w:val="00F4577B"/>
    <w:rsid w:val="00F46496"/>
    <w:rsid w:val="00F474D0"/>
    <w:rsid w:val="00F50179"/>
    <w:rsid w:val="00F515EE"/>
    <w:rsid w:val="00F51DD9"/>
    <w:rsid w:val="00F56345"/>
    <w:rsid w:val="00F56511"/>
    <w:rsid w:val="00F6194E"/>
    <w:rsid w:val="00F623AC"/>
    <w:rsid w:val="00F6412A"/>
    <w:rsid w:val="00F65893"/>
    <w:rsid w:val="00F66A4A"/>
    <w:rsid w:val="00F71E22"/>
    <w:rsid w:val="00F72142"/>
    <w:rsid w:val="00F72AE7"/>
    <w:rsid w:val="00F833BA"/>
    <w:rsid w:val="00F84FD0"/>
    <w:rsid w:val="00F859A8"/>
    <w:rsid w:val="00F86D87"/>
    <w:rsid w:val="00F87D10"/>
    <w:rsid w:val="00F9108B"/>
    <w:rsid w:val="00F91349"/>
    <w:rsid w:val="00F93A8A"/>
    <w:rsid w:val="00F95248"/>
    <w:rsid w:val="00F956A9"/>
    <w:rsid w:val="00F963ED"/>
    <w:rsid w:val="00F966CF"/>
    <w:rsid w:val="00F96CAE"/>
    <w:rsid w:val="00F97C99"/>
    <w:rsid w:val="00FA386F"/>
    <w:rsid w:val="00FA662D"/>
    <w:rsid w:val="00FA73B1"/>
    <w:rsid w:val="00FB0CB9"/>
    <w:rsid w:val="00FB231D"/>
    <w:rsid w:val="00FB25ED"/>
    <w:rsid w:val="00FB45F1"/>
    <w:rsid w:val="00FB4A72"/>
    <w:rsid w:val="00FB54E8"/>
    <w:rsid w:val="00FB7054"/>
    <w:rsid w:val="00FC17B7"/>
    <w:rsid w:val="00FC2CB7"/>
    <w:rsid w:val="00FC4090"/>
    <w:rsid w:val="00FC55B4"/>
    <w:rsid w:val="00FC631A"/>
    <w:rsid w:val="00FD00E6"/>
    <w:rsid w:val="00FD09A1"/>
    <w:rsid w:val="00FD2A7C"/>
    <w:rsid w:val="00FD59EB"/>
    <w:rsid w:val="00FD7299"/>
    <w:rsid w:val="00FE1FBE"/>
    <w:rsid w:val="00FE3901"/>
    <w:rsid w:val="00FE39D3"/>
    <w:rsid w:val="00FE4BCE"/>
    <w:rsid w:val="00FE54AE"/>
    <w:rsid w:val="00FE576A"/>
    <w:rsid w:val="00FE778C"/>
    <w:rsid w:val="00FE7E79"/>
    <w:rsid w:val="00FF3E7D"/>
    <w:rsid w:val="00FF5B99"/>
    <w:rsid w:val="00FF730C"/>
    <w:rsid w:val="00FF73F4"/>
    <w:rsid w:val="00FF7CE4"/>
    <w:rsid w:val="00FF7E39"/>
    <w:rsid w:val="03B42CC3"/>
    <w:rsid w:val="0F29227F"/>
    <w:rsid w:val="14C03686"/>
    <w:rsid w:val="17FC2444"/>
    <w:rsid w:val="193046D8"/>
    <w:rsid w:val="1BB4137B"/>
    <w:rsid w:val="204A64FA"/>
    <w:rsid w:val="279E3FB9"/>
    <w:rsid w:val="28BB0BA3"/>
    <w:rsid w:val="2EE66A68"/>
    <w:rsid w:val="31C51E84"/>
    <w:rsid w:val="33D70378"/>
    <w:rsid w:val="35FB6408"/>
    <w:rsid w:val="3EE51E58"/>
    <w:rsid w:val="4013025E"/>
    <w:rsid w:val="42D50F2F"/>
    <w:rsid w:val="45A516AA"/>
    <w:rsid w:val="4AB962FE"/>
    <w:rsid w:val="4B410375"/>
    <w:rsid w:val="4BCB40E3"/>
    <w:rsid w:val="51F37EF0"/>
    <w:rsid w:val="5DBD1595"/>
    <w:rsid w:val="60EC67B1"/>
    <w:rsid w:val="62AC2121"/>
    <w:rsid w:val="65811A6D"/>
    <w:rsid w:val="6B6628C7"/>
    <w:rsid w:val="6D5F7696"/>
    <w:rsid w:val="6EEE3AC1"/>
    <w:rsid w:val="6FC9088B"/>
    <w:rsid w:val="70AF2E01"/>
    <w:rsid w:val="72A5093A"/>
    <w:rsid w:val="75D30F57"/>
    <w:rsid w:val="7AAB2866"/>
    <w:rsid w:val="7DD5203E"/>
    <w:rsid w:val="7E1B78AB"/>
    <w:rsid w:val="7F3B0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8"/>
    <w:qFormat/>
    <w:uiPriority w:val="99"/>
    <w:rPr>
      <w:rFonts w:ascii="Times New Roman" w:hAnsi="Times New Roman" w:eastAsia="宋体" w:cs="Times New Roman"/>
      <w:sz w:val="18"/>
      <w:szCs w:val="18"/>
    </w:rPr>
  </w:style>
  <w:style w:type="character" w:customStyle="1" w:styleId="45">
    <w:name w:val="页脚 字符"/>
    <w:link w:val="17"/>
    <w:qFormat/>
    <w:uiPriority w:val="99"/>
    <w:rPr>
      <w:rFonts w:ascii="宋体" w:hAnsi="Times New Roman" w:eastAsia="宋体" w:cs="Times New Roman"/>
      <w:sz w:val="18"/>
      <w:szCs w:val="18"/>
    </w:rPr>
  </w:style>
  <w:style w:type="character" w:customStyle="1" w:styleId="46">
    <w:name w:val="批注框文本 字符"/>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10451E4FD924588B21CB262EC744D43"/>
        <w:style w:val=""/>
        <w:category>
          <w:name w:val="常规"/>
          <w:gallery w:val="placeholder"/>
        </w:category>
        <w:types>
          <w:type w:val="bbPlcHdr"/>
        </w:types>
        <w:behaviors>
          <w:behavior w:val="content"/>
        </w:behaviors>
        <w:description w:val=""/>
        <w:guid w:val="{9F5BE27D-F428-4FBE-9300-30F23EDAABE6}"/>
      </w:docPartPr>
      <w:docPartBody>
        <w:p w14:paraId="61B78F4F">
          <w:pPr>
            <w:pStyle w:val="5"/>
          </w:pPr>
          <w:r>
            <w:rPr>
              <w:rStyle w:val="4"/>
              <w:rFonts w:hint="eastAsia"/>
            </w:rPr>
            <w:t>单击或点击此处输入文字。</w:t>
          </w:r>
        </w:p>
      </w:docPartBody>
    </w:docPart>
    <w:docPart>
      <w:docPartPr>
        <w:name w:val="E3B230A96AD04F97A1096B2D4A717E4E"/>
        <w:style w:val=""/>
        <w:category>
          <w:name w:val="常规"/>
          <w:gallery w:val="placeholder"/>
        </w:category>
        <w:types>
          <w:type w:val="bbPlcHdr"/>
        </w:types>
        <w:behaviors>
          <w:behavior w:val="content"/>
        </w:behaviors>
        <w:description w:val=""/>
        <w:guid w:val="{6D05519B-A013-4190-BDC1-E270803EB7B2}"/>
      </w:docPartPr>
      <w:docPartBody>
        <w:p w14:paraId="33F5515E">
          <w:pPr>
            <w:pStyle w:val="6"/>
          </w:pPr>
          <w:r>
            <w:rPr>
              <w:rStyle w:val="4"/>
              <w:rFonts w:hint="eastAsia"/>
            </w:rPr>
            <w:t>选择一项。</w:t>
          </w:r>
        </w:p>
      </w:docPartBody>
    </w:docPart>
    <w:docPart>
      <w:docPartPr>
        <w:name w:val="DB8673D599924993A25E2EEF235E2093"/>
        <w:style w:val=""/>
        <w:category>
          <w:name w:val="常规"/>
          <w:gallery w:val="placeholder"/>
        </w:category>
        <w:types>
          <w:type w:val="bbPlcHdr"/>
        </w:types>
        <w:behaviors>
          <w:behavior w:val="content"/>
        </w:behaviors>
        <w:description w:val=""/>
        <w:guid w:val="{027143E7-CB11-498B-8337-A342C10A6B6F}"/>
      </w:docPartPr>
      <w:docPartBody>
        <w:p w14:paraId="32904172">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ACD"/>
    <w:rsid w:val="00211DEF"/>
    <w:rsid w:val="00287A57"/>
    <w:rsid w:val="00392EEC"/>
    <w:rsid w:val="005B0E67"/>
    <w:rsid w:val="005F591C"/>
    <w:rsid w:val="006A76F7"/>
    <w:rsid w:val="00702116"/>
    <w:rsid w:val="007B5171"/>
    <w:rsid w:val="007E5DEB"/>
    <w:rsid w:val="00945D66"/>
    <w:rsid w:val="00952F6D"/>
    <w:rsid w:val="00A42DD9"/>
    <w:rsid w:val="00A43838"/>
    <w:rsid w:val="00A82ACD"/>
    <w:rsid w:val="00AC18F6"/>
    <w:rsid w:val="00D1164E"/>
    <w:rsid w:val="00DD7CF8"/>
    <w:rsid w:val="00DF1D42"/>
    <w:rsid w:val="00F73BA0"/>
    <w:rsid w:val="00F94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10451E4FD924588B21CB262EC744D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3B230A96AD04F97A1096B2D4A717E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B8673D599924993A25E2EEF235E209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3405</Words>
  <Characters>4045</Characters>
  <Lines>32</Lines>
  <Paragraphs>9</Paragraphs>
  <TotalTime>3</TotalTime>
  <ScaleCrop>false</ScaleCrop>
  <LinksUpToDate>false</LinksUpToDate>
  <CharactersWithSpaces>4198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2024-12-30T13:12:00Z</dcterms:created>
  <dc:creator>微软用户</dc:creator>
  <dc:description>&lt;config cover="true" show_menu="true" version="1.0.0" doctype="SDKXY"&gt;_x000d_
&lt;/config&gt;</dc:description>
  <cp:lastModifiedBy>XIEX</cp:lastModifiedBy>
  <cp:lastPrinted>2024-12-19T12:15:00Z</cp:lastPrinted>
  <dcterms:modified xsi:type="dcterms:W3CDTF">2024-12-31T08:55:20Z</dcterms:modified>
  <dc:title>地方标准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A132BD18C7BC47A2A96B594A08F30743_12</vt:lpwstr>
  </property>
  <property fmtid="{D5CDD505-2E9C-101B-9397-08002B2CF9AE}" pid="16" name="KSOTemplateDocerSaveRecord">
    <vt:lpwstr>eyJoZGlkIjoiNmU0OWNhMGUyYzc2MTI5ZWY2NzM4MTVkMDAwODg0YzMiLCJ1c2VySWQiOiI2ODM5ODUzMDMifQ==</vt:lpwstr>
  </property>
</Properties>
</file>