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D206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7ACB8A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833FA92">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5.020.20</w:t>
            </w:r>
            <w:r>
              <w:rPr>
                <w:rFonts w:ascii="黑体" w:hAnsi="黑体" w:eastAsia="黑体"/>
                <w:sz w:val="21"/>
                <w:szCs w:val="21"/>
              </w:rPr>
              <w:fldChar w:fldCharType="end"/>
            </w:r>
            <w:bookmarkEnd w:id="0"/>
          </w:p>
        </w:tc>
      </w:tr>
      <w:tr w14:paraId="60374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E9EF06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0C4196B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27A6355">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4B3F8DF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38</w:t>
            </w:r>
            <w:r>
              <w:rPr>
                <w:rFonts w:ascii="黑体" w:hAnsi="黑体" w:eastAsia="黑体"/>
                <w:sz w:val="21"/>
                <w:szCs w:val="21"/>
              </w:rPr>
              <w:fldChar w:fldCharType="end"/>
            </w:r>
            <w:bookmarkEnd w:id="2"/>
          </w:p>
        </w:tc>
      </w:tr>
    </w:tbl>
    <w:p w14:paraId="449A5887">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042FE32">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51EA51F">
      <w:pPr>
        <w:pStyle w:val="197"/>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13B171E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96B6404">
      <w:pPr>
        <w:pStyle w:val="51"/>
        <w:framePr w:w="9639" w:h="6976" w:hRule="exact" w:hSpace="0" w:vSpace="0" w:wrap="around" w:hAnchor="page" w:y="6408"/>
        <w:jc w:val="center"/>
        <w:rPr>
          <w:rFonts w:hint="eastAsia" w:ascii="黑体" w:hAnsi="黑体" w:eastAsia="黑体"/>
          <w:b w:val="0"/>
          <w:bCs w:val="0"/>
          <w:w w:val="100"/>
        </w:rPr>
      </w:pPr>
    </w:p>
    <w:p w14:paraId="47E8B0AA">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桉树林下种植三叉苦技术规程</w:t>
      </w:r>
      <w:r>
        <w:fldChar w:fldCharType="end"/>
      </w:r>
      <w:bookmarkEnd w:id="8"/>
    </w:p>
    <w:p w14:paraId="44CE40F9">
      <w:pPr>
        <w:framePr w:w="9639" w:h="6974" w:hRule="exact" w:wrap="around" w:vAnchor="page" w:hAnchor="page" w:x="1419" w:y="6408" w:anchorLock="1"/>
        <w:ind w:left="-1418"/>
      </w:pPr>
    </w:p>
    <w:p w14:paraId="379F7AC8">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procedures for planting Melicope pteleifolia in Eucalypt forests</w:t>
      </w:r>
      <w:r>
        <w:rPr>
          <w:rFonts w:ascii="黑体" w:hAnsi="黑体" w:eastAsia="黑体"/>
          <w:szCs w:val="28"/>
        </w:rPr>
        <w:fldChar w:fldCharType="end"/>
      </w:r>
      <w:bookmarkEnd w:id="9"/>
    </w:p>
    <w:p w14:paraId="7C361AD4">
      <w:pPr>
        <w:framePr w:w="9639" w:h="6974" w:hRule="exact" w:wrap="around" w:vAnchor="page" w:hAnchor="page" w:x="1419" w:y="6408" w:anchorLock="1"/>
        <w:spacing w:line="760" w:lineRule="exact"/>
        <w:ind w:left="-1418"/>
      </w:pPr>
    </w:p>
    <w:p w14:paraId="42B01E7E">
      <w:pPr>
        <w:pStyle w:val="126"/>
        <w:framePr w:w="9639" w:h="6974" w:hRule="exact" w:wrap="around" w:vAnchor="page" w:hAnchor="page" w:x="1419" w:y="6408" w:anchorLock="1"/>
        <w:textAlignment w:val="bottom"/>
        <w:rPr>
          <w:rFonts w:eastAsia="黑体"/>
          <w:szCs w:val="28"/>
        </w:rPr>
      </w:pPr>
    </w:p>
    <w:p w14:paraId="798E9BC4">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EFA9FC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FD116AD">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35F9BED">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5EDABF6">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9EAE68B">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6FD482C">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DFE985">
      <w:pPr>
        <w:pStyle w:val="92"/>
        <w:spacing w:after="360"/>
      </w:pPr>
      <w:bookmarkStart w:id="20" w:name="BookMark1"/>
      <w:bookmarkStart w:id="21" w:name="_Toc173492361"/>
      <w:r>
        <w:rPr>
          <w:rFonts w:hint="eastAsia"/>
          <w:spacing w:val="320"/>
        </w:rPr>
        <w:t>目</w:t>
      </w:r>
      <w:r>
        <w:rPr>
          <w:rFonts w:hint="eastAsia"/>
        </w:rPr>
        <w:t>次</w:t>
      </w:r>
    </w:p>
    <w:p w14:paraId="360E88B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"_Toc173492411" </w:instrText>
      </w:r>
      <w:r>
        <w:fldChar w:fldCharType="separate"/>
      </w:r>
      <w:r>
        <w:rPr>
          <w:rStyle w:val="33"/>
        </w:rPr>
        <w:t>前言</w:t>
      </w:r>
      <w:r>
        <w:tab/>
      </w:r>
      <w:r>
        <w:fldChar w:fldCharType="begin"/>
      </w:r>
      <w:r>
        <w:instrText xml:space="preserve"> PAGEREF _Toc173492411 \h </w:instrText>
      </w:r>
      <w:r>
        <w:fldChar w:fldCharType="separate"/>
      </w:r>
      <w:r>
        <w:t>II</w:t>
      </w:r>
      <w:r>
        <w:fldChar w:fldCharType="end"/>
      </w:r>
      <w:r>
        <w:fldChar w:fldCharType="end"/>
      </w:r>
    </w:p>
    <w:p w14:paraId="66A039A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"_Toc173492412" </w:instrText>
      </w:r>
      <w:r>
        <w:fldChar w:fldCharType="separate"/>
      </w:r>
      <w:r>
        <w:rPr>
          <w:rStyle w:val="33"/>
        </w:rPr>
        <w:t>1  范围</w:t>
      </w:r>
      <w:r>
        <w:tab/>
      </w:r>
      <w:r>
        <w:fldChar w:fldCharType="begin"/>
      </w:r>
      <w:r>
        <w:instrText xml:space="preserve"> PAGEREF _Toc173492412 \h </w:instrText>
      </w:r>
      <w:r>
        <w:fldChar w:fldCharType="separate"/>
      </w:r>
      <w:r>
        <w:t>1</w:t>
      </w:r>
      <w:r>
        <w:fldChar w:fldCharType="end"/>
      </w:r>
      <w:r>
        <w:fldChar w:fldCharType="end"/>
      </w:r>
    </w:p>
    <w:p w14:paraId="2BD1E0E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"_Toc173492413" </w:instrText>
      </w:r>
      <w:r>
        <w:fldChar w:fldCharType="separate"/>
      </w:r>
      <w:r>
        <w:rPr>
          <w:rStyle w:val="33"/>
        </w:rPr>
        <w:t>2  规范性引用文件</w:t>
      </w:r>
      <w:r>
        <w:tab/>
      </w:r>
      <w:r>
        <w:fldChar w:fldCharType="begin"/>
      </w:r>
      <w:r>
        <w:instrText xml:space="preserve"> PAGEREF _Toc173492413 \h </w:instrText>
      </w:r>
      <w:r>
        <w:fldChar w:fldCharType="separate"/>
      </w:r>
      <w:r>
        <w:t>1</w:t>
      </w:r>
      <w:r>
        <w:fldChar w:fldCharType="end"/>
      </w:r>
      <w:r>
        <w:fldChar w:fldCharType="end"/>
      </w:r>
    </w:p>
    <w:p w14:paraId="2DAE51E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"_Toc173492414" </w:instrText>
      </w:r>
      <w:r>
        <w:fldChar w:fldCharType="separate"/>
      </w:r>
      <w:r>
        <w:rPr>
          <w:rStyle w:val="33"/>
        </w:rPr>
        <w:t>3  术语和定义</w:t>
      </w:r>
      <w:r>
        <w:tab/>
      </w:r>
      <w:r>
        <w:fldChar w:fldCharType="begin"/>
      </w:r>
      <w:r>
        <w:instrText xml:space="preserve"> PAGEREF _Toc173492414 \h </w:instrText>
      </w:r>
      <w:r>
        <w:fldChar w:fldCharType="separate"/>
      </w:r>
      <w:r>
        <w:t>1</w:t>
      </w:r>
      <w:r>
        <w:fldChar w:fldCharType="end"/>
      </w:r>
      <w:r>
        <w:fldChar w:fldCharType="end"/>
      </w:r>
    </w:p>
    <w:p w14:paraId="13886C5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"_Toc173492415" </w:instrText>
      </w:r>
      <w:r>
        <w:fldChar w:fldCharType="separate"/>
      </w:r>
      <w:r>
        <w:rPr>
          <w:rStyle w:val="33"/>
        </w:rPr>
        <w:t>4  林地选择</w:t>
      </w:r>
      <w:r>
        <w:tab/>
      </w:r>
      <w:r>
        <w:fldChar w:fldCharType="begin"/>
      </w:r>
      <w:r>
        <w:instrText xml:space="preserve"> PAGEREF _Toc173492415 \h </w:instrText>
      </w:r>
      <w:r>
        <w:fldChar w:fldCharType="separate"/>
      </w:r>
      <w:r>
        <w:t>1</w:t>
      </w:r>
      <w:r>
        <w:fldChar w:fldCharType="end"/>
      </w:r>
      <w:r>
        <w:fldChar w:fldCharType="end"/>
      </w:r>
    </w:p>
    <w:p w14:paraId="73B167F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"_Toc173492416" </w:instrText>
      </w:r>
      <w:r>
        <w:fldChar w:fldCharType="separate"/>
      </w:r>
      <w:r>
        <w:rPr>
          <w:rStyle w:val="33"/>
        </w:rPr>
        <w:t>5  整地</w:t>
      </w:r>
      <w:r>
        <w:tab/>
      </w:r>
      <w:r>
        <w:fldChar w:fldCharType="begin"/>
      </w:r>
      <w:r>
        <w:instrText xml:space="preserve"> PAGEREF _Toc173492416 \h </w:instrText>
      </w:r>
      <w:r>
        <w:fldChar w:fldCharType="separate"/>
      </w:r>
      <w:r>
        <w:t>1</w:t>
      </w:r>
      <w:r>
        <w:fldChar w:fldCharType="end"/>
      </w:r>
      <w:r>
        <w:fldChar w:fldCharType="end"/>
      </w:r>
    </w:p>
    <w:p w14:paraId="77EEACE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"_Toc173492417" </w:instrText>
      </w:r>
      <w:r>
        <w:fldChar w:fldCharType="separate"/>
      </w:r>
      <w:r>
        <w:rPr>
          <w:rStyle w:val="33"/>
        </w:rPr>
        <w:t>6  苗木选择</w:t>
      </w:r>
      <w:r>
        <w:tab/>
      </w:r>
      <w:r>
        <w:fldChar w:fldCharType="begin"/>
      </w:r>
      <w:r>
        <w:instrText xml:space="preserve"> PAGEREF _Toc173492417 \h </w:instrText>
      </w:r>
      <w:r>
        <w:fldChar w:fldCharType="separate"/>
      </w:r>
      <w:r>
        <w:t>1</w:t>
      </w:r>
      <w:r>
        <w:fldChar w:fldCharType="end"/>
      </w:r>
      <w:r>
        <w:fldChar w:fldCharType="end"/>
      </w:r>
    </w:p>
    <w:p w14:paraId="1A6BCDB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"_Toc173492418" </w:instrText>
      </w:r>
      <w:r>
        <w:fldChar w:fldCharType="separate"/>
      </w:r>
      <w:r>
        <w:rPr>
          <w:rStyle w:val="33"/>
        </w:rPr>
        <w:t xml:space="preserve">7  </w:t>
      </w:r>
      <w:r>
        <w:rPr>
          <w:rStyle w:val="33"/>
          <w:rFonts w:hint="eastAsia"/>
        </w:rPr>
        <w:t>种</w:t>
      </w:r>
      <w:r>
        <w:rPr>
          <w:rStyle w:val="33"/>
        </w:rPr>
        <w:t>植</w:t>
      </w:r>
      <w:r>
        <w:tab/>
      </w:r>
      <w:r>
        <w:fldChar w:fldCharType="begin"/>
      </w:r>
      <w:r>
        <w:instrText xml:space="preserve"> PAGEREF _Toc173492418 \h </w:instrText>
      </w:r>
      <w:r>
        <w:fldChar w:fldCharType="separate"/>
      </w:r>
      <w:r>
        <w:t>2</w:t>
      </w:r>
      <w:r>
        <w:fldChar w:fldCharType="end"/>
      </w:r>
      <w:r>
        <w:fldChar w:fldCharType="end"/>
      </w:r>
    </w:p>
    <w:p w14:paraId="34BEECEC">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"_Toc173492419" </w:instrText>
      </w:r>
      <w:r>
        <w:fldChar w:fldCharType="separate"/>
      </w:r>
      <w:r>
        <w:rPr>
          <w:rStyle w:val="33"/>
        </w:rPr>
        <w:t>8  林地管理</w:t>
      </w:r>
      <w:r>
        <w:tab/>
      </w:r>
      <w:r>
        <w:fldChar w:fldCharType="begin"/>
      </w:r>
      <w:r>
        <w:instrText xml:space="preserve"> PAGEREF _Toc173492419 \h </w:instrText>
      </w:r>
      <w:r>
        <w:fldChar w:fldCharType="separate"/>
      </w:r>
      <w:r>
        <w:t>2</w:t>
      </w:r>
      <w:r>
        <w:fldChar w:fldCharType="end"/>
      </w:r>
      <w:r>
        <w:fldChar w:fldCharType="end"/>
      </w:r>
    </w:p>
    <w:p w14:paraId="1B93E99C">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"_Toc173492420" </w:instrText>
      </w:r>
      <w:r>
        <w:fldChar w:fldCharType="separate"/>
      </w:r>
      <w:r>
        <w:rPr>
          <w:rStyle w:val="33"/>
        </w:rPr>
        <w:t>9  病虫害防治</w:t>
      </w:r>
      <w:r>
        <w:tab/>
      </w:r>
      <w:r>
        <w:fldChar w:fldCharType="begin"/>
      </w:r>
      <w:r>
        <w:instrText xml:space="preserve"> PAGEREF _Toc173492420 \h </w:instrText>
      </w:r>
      <w:r>
        <w:fldChar w:fldCharType="separate"/>
      </w:r>
      <w:r>
        <w:t>2</w:t>
      </w:r>
      <w:r>
        <w:fldChar w:fldCharType="end"/>
      </w:r>
      <w:r>
        <w:fldChar w:fldCharType="end"/>
      </w:r>
    </w:p>
    <w:p w14:paraId="1475D14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"_Toc173492421" </w:instrText>
      </w:r>
      <w:r>
        <w:fldChar w:fldCharType="separate"/>
      </w:r>
      <w:r>
        <w:rPr>
          <w:rStyle w:val="33"/>
        </w:rPr>
        <w:t>10  采收</w:t>
      </w:r>
      <w:r>
        <w:tab/>
      </w:r>
      <w:r>
        <w:fldChar w:fldCharType="begin"/>
      </w:r>
      <w:r>
        <w:instrText xml:space="preserve"> PAGEREF _Toc173492421 \h </w:instrText>
      </w:r>
      <w:r>
        <w:fldChar w:fldCharType="separate"/>
      </w:r>
      <w:r>
        <w:t>3</w:t>
      </w:r>
      <w:r>
        <w:fldChar w:fldCharType="end"/>
      </w:r>
      <w:r>
        <w:fldChar w:fldCharType="end"/>
      </w:r>
    </w:p>
    <w:p w14:paraId="06EA4ED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"_Toc173492422" </w:instrText>
      </w:r>
      <w:r>
        <w:fldChar w:fldCharType="separate"/>
      </w:r>
      <w:r>
        <w:rPr>
          <w:rStyle w:val="33"/>
        </w:rPr>
        <w:t>参考文献</w:t>
      </w:r>
      <w:r>
        <w:tab/>
      </w:r>
      <w:r>
        <w:fldChar w:fldCharType="begin"/>
      </w:r>
      <w:r>
        <w:instrText xml:space="preserve"> PAGEREF _Toc173492422 \h </w:instrText>
      </w:r>
      <w:r>
        <w:fldChar w:fldCharType="separate"/>
      </w:r>
      <w:r>
        <w:t>4</w:t>
      </w:r>
      <w:r>
        <w:fldChar w:fldCharType="end"/>
      </w:r>
      <w:r>
        <w:fldChar w:fldCharType="end"/>
      </w:r>
    </w:p>
    <w:p w14:paraId="3967B0C6">
      <w:pPr>
        <w:pStyle w:val="92"/>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3D6E6AA2">
      <w:pPr>
        <w:pStyle w:val="90"/>
        <w:spacing w:before="900" w:after="360"/>
      </w:pPr>
      <w:bookmarkStart w:id="22" w:name="_Toc173492411"/>
      <w:bookmarkStart w:id="23" w:name="BookMark2"/>
      <w:r>
        <w:rPr>
          <w:spacing w:val="320"/>
        </w:rPr>
        <w:t>前</w:t>
      </w:r>
      <w:r>
        <w:t>言</w:t>
      </w:r>
      <w:bookmarkEnd w:id="21"/>
      <w:bookmarkEnd w:id="22"/>
    </w:p>
    <w:p w14:paraId="4FFDA58A">
      <w:pPr>
        <w:pStyle w:val="57"/>
        <w:ind w:firstLine="420"/>
      </w:pPr>
      <w:r>
        <w:rPr>
          <w:rFonts w:hint="eastAsia"/>
        </w:rPr>
        <w:t>本文件参照GB/T 1.1—2020《标准化工作导则  第1部分：标准化文件的结构和起草规则》的规定起草。</w:t>
      </w:r>
    </w:p>
    <w:p w14:paraId="50C46D0F">
      <w:pPr>
        <w:pStyle w:val="57"/>
        <w:ind w:firstLine="420"/>
      </w:pPr>
      <w:r>
        <w:rPr>
          <w:rFonts w:hint="eastAsia"/>
        </w:rPr>
        <w:t>请注意本文件的某些内容可能涉及专利。本文件的发布机构不承担识别专利的责任。</w:t>
      </w:r>
    </w:p>
    <w:p w14:paraId="1A98AEB2">
      <w:pPr>
        <w:pStyle w:val="57"/>
        <w:ind w:firstLine="420"/>
      </w:pPr>
      <w:r>
        <w:rPr>
          <w:rFonts w:hint="eastAsia"/>
        </w:rPr>
        <w:t>本文件由广西林学会提出并归口。</w:t>
      </w:r>
    </w:p>
    <w:p w14:paraId="6E7298C3">
      <w:pPr>
        <w:pStyle w:val="57"/>
        <w:ind w:firstLine="420"/>
      </w:pPr>
      <w:r>
        <w:rPr>
          <w:rFonts w:hint="eastAsia"/>
        </w:rPr>
        <w:t>本文件起草单位：广西区直国有林场林下经济绿色产业联合会、广西林学会、广西壮族自治区国有维都林场、广西壮族自治区国有黄冕林场、广西壮族自治区国有大桂山林场、广西生态职业技术学院。</w:t>
      </w:r>
    </w:p>
    <w:p w14:paraId="3D5B5039">
      <w:pPr>
        <w:pStyle w:val="57"/>
        <w:ind w:firstLine="420"/>
      </w:pPr>
      <w:r>
        <w:rPr>
          <w:rFonts w:hint="eastAsia"/>
        </w:rPr>
        <w:t>本文件主要起草人：刘晓星、黄晓霞、温中林、唐春红、江海涛、杨家强、胡荣辉、李一华、王  军、龙洁琼、谢春俊、陈代喜、宋毅克、陈进宁、彭雪迪、黄碧峰。</w:t>
      </w:r>
    </w:p>
    <w:p w14:paraId="73217D63">
      <w:pPr>
        <w:pStyle w:val="57"/>
        <w:ind w:firstLine="420"/>
      </w:pPr>
    </w:p>
    <w:p w14:paraId="76858DE1">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730D39E4">
      <w:pPr>
        <w:spacing w:line="20" w:lineRule="exact"/>
        <w:jc w:val="center"/>
        <w:rPr>
          <w:rFonts w:hint="eastAsia" w:ascii="黑体" w:hAnsi="黑体" w:eastAsia="黑体"/>
          <w:sz w:val="32"/>
          <w:szCs w:val="32"/>
        </w:rPr>
      </w:pPr>
      <w:bookmarkStart w:id="24" w:name="BookMark4"/>
    </w:p>
    <w:p w14:paraId="5D72DA42">
      <w:pPr>
        <w:spacing w:line="20" w:lineRule="exact"/>
        <w:jc w:val="center"/>
        <w:rPr>
          <w:rFonts w:hint="eastAsia" w:ascii="黑体" w:hAnsi="黑体" w:eastAsia="黑体"/>
          <w:sz w:val="32"/>
          <w:szCs w:val="32"/>
        </w:rPr>
      </w:pPr>
    </w:p>
    <w:sdt>
      <w:sdtPr>
        <w:tag w:val="NEW_STAND_NAME"/>
        <w:id w:val="595910757"/>
        <w:lock w:val="sdtLocked"/>
        <w:placeholder>
          <w:docPart w:val="EE0513B5C36E4ED48046391E77918FFD"/>
        </w:placeholder>
      </w:sdtPr>
      <w:sdtContent>
        <w:p w14:paraId="1A2C0EB0">
          <w:pPr>
            <w:pStyle w:val="178"/>
            <w:spacing w:before="240" w:beforeLines="100" w:after="528" w:afterLines="220"/>
            <w:rPr>
              <w:rFonts w:hint="eastAsia"/>
            </w:rPr>
          </w:pPr>
          <w:bookmarkStart w:id="25" w:name="OLE_LINK2"/>
          <w:bookmarkStart w:id="26" w:name="NEW_STAND_NAME"/>
          <w:bookmarkEnd w:id="25"/>
          <w:r>
            <w:rPr>
              <w:rFonts w:hint="eastAsia"/>
            </w:rPr>
            <w:t>桉树林下种植三叉苦技术规程</w:t>
          </w:r>
        </w:p>
      </w:sdtContent>
    </w:sdt>
    <w:bookmarkEnd w:id="26"/>
    <w:p w14:paraId="273C4151">
      <w:pPr>
        <w:pStyle w:val="105"/>
        <w:spacing w:before="240" w:after="240"/>
      </w:pPr>
      <w:bookmarkStart w:id="27" w:name="_Toc26648465"/>
      <w:bookmarkStart w:id="28" w:name="_Toc173492412"/>
      <w:bookmarkStart w:id="29" w:name="_Toc26718930"/>
      <w:bookmarkStart w:id="30" w:name="_Toc24884211"/>
      <w:bookmarkStart w:id="31" w:name="_Toc97192964"/>
      <w:bookmarkStart w:id="32" w:name="_Toc24884218"/>
      <w:bookmarkStart w:id="33" w:name="_Toc17233325"/>
      <w:bookmarkStart w:id="34" w:name="_Toc26986771"/>
      <w:bookmarkStart w:id="35" w:name="_Toc173492362"/>
      <w:bookmarkStart w:id="36" w:name="_Toc17233333"/>
      <w:bookmarkStart w:id="37" w:name="_Toc26986530"/>
      <w:r>
        <w:rPr>
          <w:rFonts w:hint="eastAsia"/>
        </w:rPr>
        <w:t>范围</w:t>
      </w:r>
      <w:bookmarkEnd w:id="27"/>
      <w:bookmarkEnd w:id="28"/>
      <w:bookmarkEnd w:id="29"/>
      <w:bookmarkEnd w:id="30"/>
      <w:bookmarkEnd w:id="31"/>
      <w:bookmarkEnd w:id="32"/>
      <w:bookmarkEnd w:id="33"/>
      <w:bookmarkEnd w:id="34"/>
      <w:bookmarkEnd w:id="35"/>
      <w:bookmarkEnd w:id="36"/>
      <w:bookmarkEnd w:id="37"/>
    </w:p>
    <w:p w14:paraId="4DA28FED">
      <w:pPr>
        <w:pStyle w:val="57"/>
        <w:ind w:firstLine="420"/>
      </w:pPr>
      <w:bookmarkStart w:id="38" w:name="_Toc17233334"/>
      <w:bookmarkStart w:id="39" w:name="_Toc24884212"/>
      <w:bookmarkStart w:id="40" w:name="_Toc24884219"/>
      <w:bookmarkStart w:id="41" w:name="_Toc17233326"/>
      <w:bookmarkStart w:id="42" w:name="_Toc26648466"/>
      <w:r>
        <w:rPr>
          <w:rFonts w:hint="eastAsia"/>
        </w:rPr>
        <w:t>本文件确立了桉树林下种植三叉苦（</w:t>
      </w:r>
      <w:r>
        <w:rPr>
          <w:rFonts w:hint="eastAsia"/>
          <w:i/>
          <w:iCs/>
        </w:rPr>
        <w:t>Melicope pteleifolia (Champ. ex Benth.) Hartley</w:t>
      </w:r>
      <w:r>
        <w:rPr>
          <w:rFonts w:hint="eastAsia"/>
        </w:rPr>
        <w:t>）的技术程序，界定了桉树林下种植三叉苦的术语和定义，规定了林地选择条件、苗木选择的要求，以及整地、种植、抚育管理、采收与加工的操作指示，描述了生产过程的追溯方法。</w:t>
      </w:r>
    </w:p>
    <w:p w14:paraId="70784638">
      <w:pPr>
        <w:pStyle w:val="57"/>
        <w:ind w:firstLine="420"/>
      </w:pPr>
      <w:r>
        <w:rPr>
          <w:rFonts w:hint="eastAsia"/>
        </w:rPr>
        <w:t>本文件适用于桉树林下种植三叉苦。</w:t>
      </w:r>
    </w:p>
    <w:p w14:paraId="512ACB5A">
      <w:pPr>
        <w:pStyle w:val="105"/>
        <w:spacing w:before="240" w:after="240"/>
      </w:pPr>
      <w:bookmarkStart w:id="43" w:name="_Toc26986531"/>
      <w:bookmarkStart w:id="44" w:name="_Toc26718931"/>
      <w:bookmarkStart w:id="45" w:name="_Toc97192965"/>
      <w:bookmarkStart w:id="46" w:name="_Toc173492413"/>
      <w:bookmarkStart w:id="47" w:name="_Toc173492363"/>
      <w:bookmarkStart w:id="48" w:name="_Toc26986772"/>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DA327C97E38E4694B33A2AADB6F3E68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1C8230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2219FD">
      <w:pPr>
        <w:pStyle w:val="57"/>
        <w:ind w:firstLine="420"/>
      </w:pPr>
      <w:bookmarkStart w:id="49" w:name="_Hlk181690177"/>
      <w:r>
        <w:rPr>
          <w:rFonts w:hint="eastAsia"/>
        </w:rPr>
        <w:t xml:space="preserve">GB/T 8321(所有部分)  农药合理使用准则 </w:t>
      </w:r>
    </w:p>
    <w:p w14:paraId="63A697BD">
      <w:pPr>
        <w:pStyle w:val="57"/>
        <w:ind w:firstLine="420"/>
      </w:pPr>
      <w:r>
        <w:rPr>
          <w:rFonts w:hint="eastAsia"/>
        </w:rPr>
        <w:t>GB 15618  土壤环境质量 农用地土壤污染风险管控标准（试行）</w:t>
      </w:r>
    </w:p>
    <w:p w14:paraId="42C8F1F1">
      <w:pPr>
        <w:pStyle w:val="57"/>
        <w:ind w:firstLine="420"/>
      </w:pPr>
      <w:r>
        <w:rPr>
          <w:rFonts w:hint="eastAsia"/>
        </w:rPr>
        <w:t>NY/T 393  绿色食品—农药使用准则</w:t>
      </w:r>
    </w:p>
    <w:p w14:paraId="1CFA8257">
      <w:pPr>
        <w:pStyle w:val="57"/>
        <w:ind w:firstLine="420"/>
      </w:pPr>
      <w:r>
        <w:rPr>
          <w:rFonts w:hint="eastAsia"/>
        </w:rPr>
        <w:t>LY/T 1678  食用林产品产地环境通用要求</w:t>
      </w:r>
    </w:p>
    <w:p w14:paraId="5166FA4D">
      <w:pPr>
        <w:pStyle w:val="57"/>
        <w:ind w:firstLine="420"/>
      </w:pPr>
      <w:r>
        <w:rPr>
          <w:rFonts w:hint="eastAsia"/>
        </w:rPr>
        <w:t>NY/T 1276  农药安全使用规范</w:t>
      </w:r>
    </w:p>
    <w:bookmarkEnd w:id="49"/>
    <w:p w14:paraId="592EBA08">
      <w:pPr>
        <w:pStyle w:val="105"/>
        <w:spacing w:before="240" w:after="240"/>
      </w:pPr>
      <w:bookmarkStart w:id="50" w:name="_Toc97192966"/>
      <w:bookmarkStart w:id="51" w:name="_Toc173492364"/>
      <w:bookmarkStart w:id="52" w:name="_Toc173492414"/>
      <w:r>
        <w:rPr>
          <w:rFonts w:hint="eastAsia"/>
          <w:szCs w:val="21"/>
        </w:rPr>
        <w:t>术语和定义</w:t>
      </w:r>
      <w:bookmarkEnd w:id="50"/>
      <w:bookmarkEnd w:id="51"/>
      <w:bookmarkEnd w:id="52"/>
    </w:p>
    <w:sdt>
      <w:sdtPr>
        <w:id w:val="-1909835108"/>
        <w:placeholder>
          <w:docPart w:val="CD56A794189840578A130137F0C673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A39BBF">
          <w:pPr>
            <w:pStyle w:val="57"/>
            <w:ind w:firstLine="420"/>
          </w:pPr>
          <w:bookmarkStart w:id="53" w:name="_Toc26986532"/>
          <w:bookmarkEnd w:id="53"/>
          <w:r>
            <w:t>下列术语和定义适用于本文件。</w:t>
          </w:r>
        </w:p>
      </w:sdtContent>
    </w:sdt>
    <w:p w14:paraId="1DC90C5C">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桉树林下种植  planted under eucalypt forests</w:t>
      </w:r>
    </w:p>
    <w:p w14:paraId="56FA6A6E">
      <w:pPr>
        <w:pStyle w:val="57"/>
        <w:ind w:firstLine="420"/>
      </w:pPr>
      <w:r>
        <w:rPr>
          <w:rFonts w:hint="eastAsia"/>
        </w:rPr>
        <w:t>依托桉树林下空间，遵循可持续经营原则，在桉树林下空间开展的种植活动。</w:t>
      </w:r>
    </w:p>
    <w:p w14:paraId="60CEA9ED">
      <w:pPr>
        <w:pStyle w:val="224"/>
        <w:ind w:left="420" w:hanging="420" w:hangingChars="200"/>
        <w:rPr>
          <w:rFonts w:hint="eastAsia" w:ascii="黑体" w:hAnsi="黑体" w:eastAsia="黑体"/>
        </w:rPr>
      </w:pPr>
      <w:r>
        <w:rPr>
          <w:rFonts w:ascii="黑体" w:hAnsi="黑体" w:eastAsia="黑体"/>
        </w:rPr>
        <w:br w:type="textWrapping"/>
      </w:r>
      <w:r>
        <w:rPr>
          <w:rFonts w:hint="eastAsia" w:ascii="黑体" w:eastAsia="黑体"/>
          <w:szCs w:val="21"/>
        </w:rPr>
        <w:t>实生苗繁殖</w:t>
      </w:r>
      <w:r>
        <w:rPr>
          <w:rFonts w:hint="eastAsia" w:ascii="黑体" w:hAnsi="黑体" w:eastAsia="黑体"/>
        </w:rPr>
        <w:t xml:space="preserve">  vegetative propagation</w:t>
      </w:r>
    </w:p>
    <w:p w14:paraId="070DC6D8">
      <w:pPr>
        <w:pStyle w:val="57"/>
        <w:ind w:firstLine="420"/>
      </w:pPr>
      <w:r>
        <w:t>直接利用种子繁殖</w:t>
      </w:r>
      <w:r>
        <w:rPr>
          <w:rFonts w:hint="eastAsia"/>
        </w:rPr>
        <w:t>为种</w:t>
      </w:r>
      <w:r>
        <w:t>苗</w:t>
      </w:r>
      <w:r>
        <w:rPr>
          <w:rFonts w:hint="eastAsia"/>
        </w:rPr>
        <w:t>的</w:t>
      </w:r>
      <w:r>
        <w:t>繁殖方式</w:t>
      </w:r>
      <w:r>
        <w:rPr>
          <w:rFonts w:hint="eastAsia"/>
        </w:rPr>
        <w:t>。</w:t>
      </w:r>
    </w:p>
    <w:p w14:paraId="62B8D8C8">
      <w:pPr>
        <w:pStyle w:val="105"/>
        <w:spacing w:before="240" w:after="240"/>
      </w:pPr>
      <w:r>
        <w:rPr>
          <w:rFonts w:hint="eastAsia"/>
        </w:rPr>
        <w:t>产地要求</w:t>
      </w:r>
    </w:p>
    <w:p w14:paraId="2DE6EB88">
      <w:pPr>
        <w:pStyle w:val="57"/>
        <w:ind w:firstLine="420"/>
      </w:pPr>
      <w:r>
        <w:rPr>
          <w:rFonts w:hint="eastAsia"/>
        </w:rPr>
        <w:t>应选择生态环境条件良好、远离污染源的地区：林地的土壤、灌溉水、空气等环境质量指标符合LY/T 1678的规定。</w:t>
      </w:r>
    </w:p>
    <w:p w14:paraId="6A9E4F2C">
      <w:pPr>
        <w:pStyle w:val="105"/>
        <w:spacing w:before="240" w:after="240"/>
      </w:pPr>
      <w:bookmarkStart w:id="54" w:name="_Toc173492415"/>
      <w:bookmarkStart w:id="55" w:name="_Toc173492365"/>
      <w:bookmarkStart w:id="56" w:name="OLE_LINK1"/>
      <w:r>
        <w:rPr>
          <w:rFonts w:hint="eastAsia"/>
        </w:rPr>
        <w:t>种植地选择</w:t>
      </w:r>
      <w:bookmarkEnd w:id="54"/>
      <w:bookmarkEnd w:id="55"/>
      <w:bookmarkEnd w:id="56"/>
    </w:p>
    <w:p w14:paraId="56503A54">
      <w:pPr>
        <w:pStyle w:val="106"/>
        <w:spacing w:before="120" w:after="120"/>
      </w:pPr>
      <w:r>
        <w:rPr>
          <w:rFonts w:hint="eastAsia"/>
        </w:rPr>
        <w:t>气候</w:t>
      </w:r>
    </w:p>
    <w:p w14:paraId="5EDA7F35">
      <w:pPr>
        <w:pStyle w:val="57"/>
        <w:ind w:firstLine="420"/>
      </w:pPr>
      <w:r>
        <w:t>在亚热带气候区</w:t>
      </w:r>
      <w:r>
        <w:rPr>
          <w:rFonts w:hint="eastAsia"/>
        </w:rPr>
        <w:t>，年降水量</w:t>
      </w:r>
      <w:r>
        <w:rPr>
          <w:rFonts w:hint="eastAsia" w:hAnsi="宋体"/>
        </w:rPr>
        <w:t>≥</w:t>
      </w:r>
      <w:r>
        <w:rPr>
          <w:rFonts w:hint="eastAsia"/>
        </w:rPr>
        <w:t>1</w:t>
      </w:r>
      <w:r>
        <w:rPr>
          <w:rFonts w:hint="eastAsia"/>
          <w:vertAlign w:val="superscript"/>
        </w:rPr>
        <w:t xml:space="preserve"> </w:t>
      </w:r>
      <w:r>
        <w:rPr>
          <w:rFonts w:hint="eastAsia"/>
        </w:rPr>
        <w:t>500</w:t>
      </w:r>
      <w:r>
        <w:rPr>
          <w:rFonts w:hint="eastAsia"/>
          <w:vertAlign w:val="superscript"/>
        </w:rPr>
        <w:t xml:space="preserve"> </w:t>
      </w:r>
      <w:r>
        <w:rPr>
          <w:rFonts w:hint="eastAsia"/>
        </w:rPr>
        <w:t>mm，极端高温不应高于42.</w:t>
      </w:r>
      <w:r>
        <w:t>0</w:t>
      </w:r>
      <w:r>
        <w:rPr>
          <w:rFonts w:hint="eastAsia"/>
          <w:vertAlign w:val="superscript"/>
        </w:rPr>
        <w:t xml:space="preserve"> </w:t>
      </w:r>
      <w:r>
        <w:t>℃，</w:t>
      </w:r>
      <w:r>
        <w:rPr>
          <w:rFonts w:hint="eastAsia"/>
        </w:rPr>
        <w:t>极端最低气温不低于-5.0</w:t>
      </w:r>
      <w:r>
        <w:rPr>
          <w:rFonts w:hint="eastAsia"/>
          <w:vertAlign w:val="superscript"/>
        </w:rPr>
        <w:t xml:space="preserve"> </w:t>
      </w:r>
      <w:r>
        <w:t>℃，</w:t>
      </w:r>
      <w:r>
        <w:rPr>
          <w:rFonts w:hint="eastAsia"/>
        </w:rPr>
        <w:t>年均温</w:t>
      </w:r>
      <w:r>
        <w:rPr>
          <w:rFonts w:hint="eastAsia" w:hAnsi="宋体"/>
        </w:rPr>
        <w:t>≥20</w:t>
      </w:r>
      <w:r>
        <w:rPr>
          <w:rFonts w:hint="eastAsia"/>
        </w:rPr>
        <w:t>.0</w:t>
      </w:r>
      <w:r>
        <w:rPr>
          <w:rFonts w:hint="eastAsia"/>
          <w:vertAlign w:val="superscript"/>
        </w:rPr>
        <w:t xml:space="preserve"> </w:t>
      </w:r>
      <w:r>
        <w:t>℃</w:t>
      </w:r>
      <w:r>
        <w:rPr>
          <w:rFonts w:hint="eastAsia"/>
        </w:rPr>
        <w:t>。</w:t>
      </w:r>
    </w:p>
    <w:p w14:paraId="7F4EF429">
      <w:pPr>
        <w:pStyle w:val="106"/>
        <w:spacing w:before="120" w:after="120"/>
      </w:pPr>
      <w:r>
        <w:rPr>
          <w:rFonts w:hint="eastAsia"/>
        </w:rPr>
        <w:t>地形</w:t>
      </w:r>
    </w:p>
    <w:p w14:paraId="12F9B5EB">
      <w:pPr>
        <w:pStyle w:val="57"/>
        <w:ind w:firstLine="420"/>
        <w:rPr>
          <w:color w:val="FF0000"/>
        </w:rPr>
      </w:pPr>
      <w:r>
        <w:t>海拔100</w:t>
      </w:r>
      <w:r>
        <w:rPr>
          <w:rFonts w:hint="eastAsia"/>
          <w:vertAlign w:val="superscript"/>
        </w:rPr>
        <w:t xml:space="preserve"> </w:t>
      </w:r>
      <w:r>
        <w:rPr>
          <w:rFonts w:hint="eastAsia"/>
        </w:rPr>
        <w:t>m</w:t>
      </w:r>
      <w:r>
        <w:rPr>
          <w:rFonts w:hint="eastAsia" w:ascii="宋体" w:hAnsi="Times New Roman" w:eastAsia="宋体" w:cs="Times New Roman"/>
          <w:kern w:val="0"/>
          <w:sz w:val="21"/>
          <w:szCs w:val="20"/>
          <w:lang w:val="en-US" w:eastAsia="zh-CN" w:bidi="ar-SA"/>
        </w:rPr>
        <w:t>-</w:t>
      </w:r>
      <w:r>
        <w:t>500</w:t>
      </w:r>
      <w:r>
        <w:rPr>
          <w:rFonts w:hint="eastAsia"/>
          <w:vertAlign w:val="superscript"/>
        </w:rPr>
        <w:t xml:space="preserve"> </w:t>
      </w:r>
      <w:r>
        <w:t>m</w:t>
      </w:r>
      <w:r>
        <w:rPr>
          <w:rFonts w:hint="eastAsia"/>
        </w:rPr>
        <w:t>，</w:t>
      </w:r>
      <w:r>
        <w:t>低山丘陵，阳坡或半阳坡，坡向南向、东向或东南向</w:t>
      </w:r>
      <w:r>
        <w:rPr>
          <w:rFonts w:hint="eastAsia"/>
        </w:rPr>
        <w:t>，</w:t>
      </w:r>
      <w:r>
        <w:t>坡度≤25</w:t>
      </w:r>
      <w:r>
        <w:rPr>
          <w:rFonts w:hint="eastAsia"/>
          <w:vertAlign w:val="superscript"/>
        </w:rPr>
        <w:t xml:space="preserve"> </w:t>
      </w:r>
      <w:r>
        <w:t>°</w:t>
      </w:r>
      <w:r>
        <w:rPr>
          <w:rFonts w:hint="eastAsia"/>
        </w:rPr>
        <w:t>的林地</w:t>
      </w:r>
      <w:r>
        <w:t>。</w:t>
      </w:r>
    </w:p>
    <w:p w14:paraId="7664374B">
      <w:pPr>
        <w:pStyle w:val="106"/>
        <w:spacing w:before="120" w:after="120"/>
      </w:pPr>
      <w:r>
        <w:rPr>
          <w:rFonts w:hint="eastAsia"/>
        </w:rPr>
        <w:t>林分</w:t>
      </w:r>
    </w:p>
    <w:p w14:paraId="7DAA35D3">
      <w:pPr>
        <w:pStyle w:val="166"/>
      </w:pPr>
      <w:r>
        <w:t>桉树林分。选择经营周期≥1</w:t>
      </w:r>
      <w:r>
        <w:rPr>
          <w:rFonts w:hint="eastAsia"/>
        </w:rPr>
        <w:t>2</w:t>
      </w:r>
      <w:r>
        <w:rPr>
          <w:rFonts w:hint="eastAsia"/>
          <w:vertAlign w:val="superscript"/>
        </w:rPr>
        <w:t xml:space="preserve"> </w:t>
      </w:r>
      <w:r>
        <w:t>a的桉树林分，龄组为中龄林以上林分，郁闭度0.</w:t>
      </w:r>
      <w:r>
        <w:rPr>
          <w:rFonts w:hint="eastAsia"/>
        </w:rPr>
        <w:t>4</w:t>
      </w:r>
      <w:r>
        <w:rPr>
          <w:rFonts w:hint="eastAsia" w:ascii="宋体" w:hAnsi="Times New Roman" w:eastAsia="宋体" w:cs="Times New Roman"/>
          <w:kern w:val="0"/>
          <w:sz w:val="21"/>
          <w:szCs w:val="20"/>
          <w:lang w:val="en-US" w:eastAsia="zh-CN" w:bidi="ar-SA"/>
        </w:rPr>
        <w:t>-</w:t>
      </w:r>
      <w:r>
        <w:t>0.</w:t>
      </w:r>
      <w:r>
        <w:rPr>
          <w:rFonts w:hint="eastAsia"/>
        </w:rPr>
        <w:t>6</w:t>
      </w:r>
      <w:r>
        <w:t>。</w:t>
      </w:r>
    </w:p>
    <w:p w14:paraId="19B64A7E">
      <w:pPr>
        <w:pStyle w:val="166"/>
      </w:pPr>
      <w:r>
        <w:rPr>
          <w:rFonts w:hint="eastAsia"/>
        </w:rPr>
        <w:t>土壤中镉、汞、砷、铅、铬、铜、镍、锌等，以及六六六、滴滴涕、苯并[a]芘等的风险筛选值按照GB 15618执行。</w:t>
      </w:r>
    </w:p>
    <w:p w14:paraId="01548EB5">
      <w:pPr>
        <w:pStyle w:val="105"/>
        <w:spacing w:before="240" w:after="240"/>
      </w:pPr>
      <w:bookmarkStart w:id="57" w:name="_Toc173492416"/>
      <w:bookmarkStart w:id="58" w:name="_Toc173492366"/>
      <w:r>
        <w:rPr>
          <w:rFonts w:hint="eastAsia"/>
        </w:rPr>
        <w:t>整地</w:t>
      </w:r>
      <w:bookmarkEnd w:id="57"/>
      <w:bookmarkEnd w:id="58"/>
    </w:p>
    <w:p w14:paraId="23F35B72">
      <w:pPr>
        <w:pStyle w:val="106"/>
        <w:spacing w:before="120" w:after="120"/>
      </w:pPr>
      <w:bookmarkStart w:id="59" w:name="_Toc173492367"/>
      <w:r>
        <w:rPr>
          <w:rFonts w:hint="eastAsia"/>
        </w:rPr>
        <w:t>林地清理</w:t>
      </w:r>
      <w:bookmarkEnd w:id="59"/>
    </w:p>
    <w:p w14:paraId="4A07E5E7">
      <w:pPr>
        <w:pStyle w:val="57"/>
        <w:ind w:firstLine="420"/>
      </w:pPr>
      <w:r>
        <w:rPr>
          <w:rFonts w:hint="eastAsia"/>
        </w:rPr>
        <w:t>清理林地内杂灌、杂草，平整林地，并将桉树行间的枯枝落叶等杂物刮干净堆至桉树下；在桉树行间清理出2</w:t>
      </w:r>
      <w:r>
        <w:rPr>
          <w:rFonts w:hint="eastAsia"/>
          <w:vertAlign w:val="superscript"/>
        </w:rPr>
        <w:t xml:space="preserve"> </w:t>
      </w:r>
      <w:r>
        <w:rPr>
          <w:rFonts w:hint="eastAsia"/>
        </w:rPr>
        <w:t>m</w:t>
      </w:r>
      <w:r>
        <w:rPr>
          <w:rFonts w:hint="eastAsia" w:ascii="宋体" w:hAnsi="Times New Roman" w:eastAsia="宋体" w:cs="Times New Roman"/>
          <w:kern w:val="0"/>
          <w:sz w:val="21"/>
          <w:szCs w:val="20"/>
          <w:lang w:val="en-US" w:eastAsia="zh-CN" w:bidi="ar-SA"/>
        </w:rPr>
        <w:t>-</w:t>
      </w:r>
      <w:r>
        <w:rPr>
          <w:rFonts w:hint="eastAsia"/>
        </w:rPr>
        <w:t>3</w:t>
      </w:r>
      <w:r>
        <w:rPr>
          <w:rFonts w:hint="eastAsia"/>
          <w:vertAlign w:val="superscript"/>
        </w:rPr>
        <w:t xml:space="preserve"> </w:t>
      </w:r>
      <w:r>
        <w:rPr>
          <w:rFonts w:hint="eastAsia"/>
        </w:rPr>
        <w:t>m种植带。</w:t>
      </w:r>
    </w:p>
    <w:p w14:paraId="2C0BAAD2">
      <w:pPr>
        <w:pStyle w:val="106"/>
        <w:spacing w:before="120" w:after="120"/>
      </w:pPr>
      <w:r>
        <w:rPr>
          <w:rFonts w:hint="eastAsia"/>
        </w:rPr>
        <w:t>挖栽植穴</w:t>
      </w:r>
    </w:p>
    <w:p w14:paraId="56A4F8A1">
      <w:pPr>
        <w:pStyle w:val="57"/>
        <w:ind w:firstLine="420"/>
      </w:pPr>
      <w:r>
        <w:rPr>
          <w:rFonts w:hint="eastAsia"/>
          <w:szCs w:val="21"/>
        </w:rPr>
        <w:t>距桉树树根0.3</w:t>
      </w:r>
      <w:r>
        <w:rPr>
          <w:rFonts w:hint="eastAsia"/>
          <w:szCs w:val="21"/>
          <w:vertAlign w:val="superscript"/>
        </w:rPr>
        <w:t xml:space="preserve"> </w:t>
      </w:r>
      <w:r>
        <w:rPr>
          <w:rFonts w:hint="eastAsia"/>
          <w:szCs w:val="21"/>
        </w:rPr>
        <w:t>m以外的行间株间挖栽植穴，栽植穴行间距2</w:t>
      </w:r>
      <w:r>
        <w:rPr>
          <w:rFonts w:hint="eastAsia"/>
          <w:vertAlign w:val="superscript"/>
        </w:rPr>
        <w:t xml:space="preserve"> </w:t>
      </w:r>
      <w:r>
        <w:rPr>
          <w:rFonts w:hint="eastAsia"/>
          <w:szCs w:val="21"/>
        </w:rPr>
        <w:t>m×2</w:t>
      </w:r>
      <w:r>
        <w:rPr>
          <w:rFonts w:hint="eastAsia"/>
          <w:vertAlign w:val="superscript"/>
        </w:rPr>
        <w:t xml:space="preserve"> </w:t>
      </w:r>
      <w:r>
        <w:rPr>
          <w:rFonts w:hint="eastAsia"/>
          <w:szCs w:val="21"/>
        </w:rPr>
        <w:t>m</w:t>
      </w:r>
      <w:r>
        <w:rPr>
          <w:rFonts w:hint="eastAsia"/>
        </w:rPr>
        <w:t>，种植坎长宽深规格为0.4</w:t>
      </w:r>
      <w:r>
        <w:rPr>
          <w:rFonts w:hint="eastAsia"/>
          <w:vertAlign w:val="superscript"/>
        </w:rPr>
        <w:t xml:space="preserve"> </w:t>
      </w:r>
      <w:r>
        <w:rPr>
          <w:rFonts w:hint="eastAsia"/>
        </w:rPr>
        <w:t>m×0.3</w:t>
      </w:r>
      <w:r>
        <w:rPr>
          <w:rFonts w:hint="eastAsia"/>
          <w:vertAlign w:val="superscript"/>
        </w:rPr>
        <w:t xml:space="preserve"> </w:t>
      </w:r>
      <w:r>
        <w:rPr>
          <w:rFonts w:hint="eastAsia"/>
        </w:rPr>
        <w:t>m×0.3</w:t>
      </w:r>
      <w:r>
        <w:rPr>
          <w:rFonts w:hint="eastAsia"/>
          <w:vertAlign w:val="superscript"/>
        </w:rPr>
        <w:t xml:space="preserve"> </w:t>
      </w:r>
      <w:r>
        <w:rPr>
          <w:rFonts w:hint="eastAsia"/>
        </w:rPr>
        <w:t>m。</w:t>
      </w:r>
    </w:p>
    <w:p w14:paraId="743E4437">
      <w:pPr>
        <w:pStyle w:val="105"/>
        <w:spacing w:before="240" w:after="240"/>
      </w:pPr>
      <w:bookmarkStart w:id="60" w:name="_Toc173492417"/>
      <w:bookmarkStart w:id="61" w:name="_Toc173492370"/>
      <w:r>
        <w:t>苗木</w:t>
      </w:r>
      <w:bookmarkEnd w:id="60"/>
      <w:bookmarkEnd w:id="61"/>
      <w:r>
        <w:rPr>
          <w:rFonts w:hint="eastAsia"/>
        </w:rPr>
        <w:t>标准</w:t>
      </w:r>
    </w:p>
    <w:p w14:paraId="13CBE8E5">
      <w:pPr>
        <w:pStyle w:val="57"/>
        <w:ind w:firstLine="420"/>
      </w:pPr>
      <w:r>
        <w:rPr>
          <w:rFonts w:hint="eastAsia"/>
        </w:rPr>
        <w:t>选择生长健壮、品种来源清晰、无病虫害的实生苗。</w:t>
      </w:r>
      <w:bookmarkStart w:id="62" w:name="_Hlk181736247"/>
      <w:r>
        <w:rPr>
          <w:rFonts w:hint="eastAsia"/>
        </w:rPr>
        <w:t>种苗株高≥40</w:t>
      </w:r>
      <w:r>
        <w:rPr>
          <w:rFonts w:hint="eastAsia"/>
          <w:vertAlign w:val="superscript"/>
        </w:rPr>
        <w:t xml:space="preserve"> </w:t>
      </w:r>
      <w:r>
        <w:rPr>
          <w:rFonts w:hint="eastAsia"/>
        </w:rPr>
        <w:t>cm，地径≥0.3</w:t>
      </w:r>
      <w:r>
        <w:rPr>
          <w:rFonts w:hint="eastAsia"/>
          <w:vertAlign w:val="superscript"/>
        </w:rPr>
        <w:t xml:space="preserve"> </w:t>
      </w:r>
      <w:r>
        <w:rPr>
          <w:rFonts w:hint="eastAsia"/>
        </w:rPr>
        <w:t>cm，</w:t>
      </w:r>
      <w:bookmarkEnd w:id="62"/>
      <w:r>
        <w:rPr>
          <w:rFonts w:hint="eastAsia"/>
        </w:rPr>
        <w:t>即可达到合格标准。</w:t>
      </w:r>
    </w:p>
    <w:p w14:paraId="10B256DC">
      <w:pPr>
        <w:pStyle w:val="105"/>
        <w:spacing w:before="240" w:after="240"/>
      </w:pPr>
      <w:bookmarkStart w:id="63" w:name="_Toc173492371"/>
      <w:bookmarkStart w:id="64" w:name="_Toc173492418"/>
      <w:r>
        <w:rPr>
          <w:rFonts w:hint="eastAsia"/>
        </w:rPr>
        <w:t>种</w:t>
      </w:r>
      <w:r>
        <w:t>植</w:t>
      </w:r>
      <w:bookmarkEnd w:id="63"/>
      <w:bookmarkEnd w:id="64"/>
      <w:r>
        <w:rPr>
          <w:rFonts w:hint="eastAsia"/>
        </w:rPr>
        <w:t>模式</w:t>
      </w:r>
    </w:p>
    <w:p w14:paraId="24BAFC35">
      <w:pPr>
        <w:pStyle w:val="106"/>
        <w:spacing w:before="120" w:after="120"/>
      </w:pPr>
      <w:bookmarkStart w:id="65" w:name="_Toc173492372"/>
      <w:r>
        <w:rPr>
          <w:rFonts w:hint="eastAsia"/>
        </w:rPr>
        <w:t>栽植时间</w:t>
      </w:r>
      <w:bookmarkEnd w:id="65"/>
    </w:p>
    <w:p w14:paraId="346A3F44">
      <w:pPr>
        <w:pStyle w:val="57"/>
        <w:ind w:firstLine="420"/>
      </w:pPr>
      <w:r>
        <w:rPr>
          <w:rFonts w:hint="eastAsia"/>
        </w:rPr>
        <w:t>每年的2月-3月，施基肥后宜在阴雨天或雨后种植，3月底前完成定植工作。</w:t>
      </w:r>
    </w:p>
    <w:p w14:paraId="6B09EE84">
      <w:pPr>
        <w:pStyle w:val="106"/>
        <w:spacing w:before="120" w:after="120"/>
      </w:pPr>
      <w:bookmarkStart w:id="66" w:name="_Toc173492373"/>
      <w:r>
        <w:rPr>
          <w:rFonts w:hint="eastAsia"/>
        </w:rPr>
        <w:t>定</w:t>
      </w:r>
      <w:r>
        <w:t>植</w:t>
      </w:r>
      <w:bookmarkEnd w:id="66"/>
    </w:p>
    <w:p w14:paraId="4C6B7FF9">
      <w:pPr>
        <w:pStyle w:val="57"/>
        <w:ind w:firstLine="420"/>
      </w:pPr>
      <w:r>
        <w:rPr>
          <w:rFonts w:hint="eastAsia"/>
        </w:rPr>
        <w:t>种植带种植三叉苦，定植株行距1.5</w:t>
      </w:r>
      <w:r>
        <w:rPr>
          <w:rFonts w:hint="eastAsia"/>
          <w:vertAlign w:val="superscript"/>
        </w:rPr>
        <w:t xml:space="preserve"> </w:t>
      </w:r>
      <w:r>
        <w:rPr>
          <w:rFonts w:hint="eastAsia"/>
        </w:rPr>
        <w:t>m×3</w:t>
      </w:r>
      <w:r>
        <w:rPr>
          <w:rFonts w:hint="eastAsia"/>
          <w:vertAlign w:val="superscript"/>
        </w:rPr>
        <w:t xml:space="preserve"> </w:t>
      </w:r>
      <w:r>
        <w:rPr>
          <w:rFonts w:hint="eastAsia"/>
        </w:rPr>
        <w:t>m、2</w:t>
      </w:r>
      <w:r>
        <w:rPr>
          <w:rFonts w:hint="eastAsia"/>
          <w:vertAlign w:val="superscript"/>
        </w:rPr>
        <w:t xml:space="preserve"> </w:t>
      </w:r>
      <w:r>
        <w:rPr>
          <w:rFonts w:hint="eastAsia"/>
        </w:rPr>
        <w:t>m×2.5</w:t>
      </w:r>
      <w:r>
        <w:rPr>
          <w:rFonts w:hint="eastAsia"/>
          <w:vertAlign w:val="superscript"/>
        </w:rPr>
        <w:t xml:space="preserve"> </w:t>
      </w:r>
      <w:r>
        <w:rPr>
          <w:rFonts w:hint="eastAsia"/>
        </w:rPr>
        <w:t>m、2</w:t>
      </w:r>
      <w:r>
        <w:rPr>
          <w:rFonts w:hint="eastAsia"/>
          <w:vertAlign w:val="superscript"/>
        </w:rPr>
        <w:t xml:space="preserve"> </w:t>
      </w:r>
      <w:r>
        <w:rPr>
          <w:rFonts w:hint="eastAsia"/>
        </w:rPr>
        <w:t>m×2.7</w:t>
      </w:r>
      <w:r>
        <w:rPr>
          <w:rFonts w:hint="eastAsia"/>
          <w:vertAlign w:val="superscript"/>
        </w:rPr>
        <w:t xml:space="preserve"> </w:t>
      </w:r>
      <w:r>
        <w:rPr>
          <w:rFonts w:hint="eastAsia"/>
        </w:rPr>
        <w:t>m，密度122-185</w:t>
      </w:r>
      <w:r>
        <w:rPr>
          <w:rFonts w:hint="eastAsia"/>
          <w:vertAlign w:val="superscript"/>
        </w:rPr>
        <w:t xml:space="preserve"> </w:t>
      </w:r>
      <w:r>
        <w:rPr>
          <w:rFonts w:hint="eastAsia"/>
        </w:rPr>
        <w:t>株/亩，将每株三叉苦置于对应的栽植穴内部，扶正插苗，使其根系伸展直，之后逐层回土，层层踩紧踏实，埋土完成后浇足定植水。</w:t>
      </w:r>
    </w:p>
    <w:p w14:paraId="455663BD">
      <w:pPr>
        <w:pStyle w:val="106"/>
        <w:spacing w:before="120" w:after="120"/>
      </w:pPr>
      <w:bookmarkStart w:id="67" w:name="_Toc173492375"/>
      <w:r>
        <w:t>补植</w:t>
      </w:r>
      <w:bookmarkEnd w:id="67"/>
    </w:p>
    <w:p w14:paraId="1E3D1291">
      <w:pPr>
        <w:pStyle w:val="57"/>
        <w:ind w:firstLine="420"/>
      </w:pPr>
      <w:r>
        <w:rPr>
          <w:rFonts w:hint="eastAsia"/>
        </w:rPr>
        <w:t>定植后20</w:t>
      </w:r>
      <w:r>
        <w:rPr>
          <w:rFonts w:hint="eastAsia"/>
          <w:vertAlign w:val="superscript"/>
        </w:rPr>
        <w:t xml:space="preserve"> </w:t>
      </w:r>
      <w:r>
        <w:rPr>
          <w:rFonts w:hint="eastAsia"/>
        </w:rPr>
        <w:t>d左右进行一次全面检查，若发现死蔸、缺蔸，应及时拔除并补植，保证成活率达到90%以上。翌年清明前对保存率不足85%的再安排一次补植。</w:t>
      </w:r>
    </w:p>
    <w:p w14:paraId="27FE1467">
      <w:pPr>
        <w:pStyle w:val="105"/>
        <w:spacing w:before="240" w:after="240"/>
      </w:pPr>
      <w:r>
        <w:rPr>
          <w:rFonts w:hint="eastAsia"/>
        </w:rPr>
        <w:t>抚育管护</w:t>
      </w:r>
    </w:p>
    <w:p w14:paraId="59617115">
      <w:pPr>
        <w:pStyle w:val="106"/>
        <w:spacing w:before="120" w:after="120"/>
      </w:pPr>
      <w:bookmarkStart w:id="68" w:name="_Toc173492377"/>
      <w:r>
        <w:rPr>
          <w:rFonts w:hint="eastAsia"/>
        </w:rPr>
        <w:t>人工</w:t>
      </w:r>
      <w:r>
        <w:t>除草</w:t>
      </w:r>
      <w:bookmarkEnd w:id="68"/>
    </w:p>
    <w:p w14:paraId="029423A9">
      <w:pPr>
        <w:spacing w:line="240" w:lineRule="auto"/>
        <w:ind w:firstLine="420" w:firstLineChars="200"/>
        <w:rPr>
          <w:rFonts w:ascii="宋体" w:hAnsi="Times New Roman"/>
          <w:kern w:val="0"/>
          <w:szCs w:val="20"/>
        </w:rPr>
      </w:pPr>
      <w:r>
        <w:rPr>
          <w:rFonts w:hint="eastAsia" w:ascii="宋体" w:hAnsi="Times New Roman"/>
          <w:kern w:val="0"/>
          <w:szCs w:val="20"/>
        </w:rPr>
        <w:t>定植后的第3年</w:t>
      </w:r>
      <w:r>
        <w:rPr>
          <w:rFonts w:hint="eastAsia"/>
        </w:rPr>
        <w:t>三叉苦</w:t>
      </w:r>
      <w:r>
        <w:rPr>
          <w:rFonts w:hint="eastAsia" w:ascii="宋体" w:hAnsi="Times New Roman"/>
          <w:kern w:val="0"/>
          <w:szCs w:val="20"/>
        </w:rPr>
        <w:t>开始封行郁闭，前3年每年人工除草3</w:t>
      </w:r>
      <w:r>
        <w:rPr>
          <w:rFonts w:hint="eastAsia" w:ascii="宋体" w:hAnsi="Times New Roman"/>
          <w:kern w:val="0"/>
          <w:szCs w:val="20"/>
          <w:vertAlign w:val="superscript"/>
        </w:rPr>
        <w:t xml:space="preserve"> </w:t>
      </w:r>
      <w:r>
        <w:rPr>
          <w:rFonts w:hint="eastAsia" w:ascii="宋体" w:hAnsi="Times New Roman"/>
          <w:kern w:val="0"/>
          <w:szCs w:val="20"/>
        </w:rPr>
        <w:t>次，分别在3</w:t>
      </w:r>
      <w:r>
        <w:rPr>
          <w:rFonts w:hint="eastAsia"/>
        </w:rPr>
        <w:t>月</w:t>
      </w:r>
      <w:r>
        <w:rPr>
          <w:rFonts w:hint="eastAsia" w:ascii="宋体" w:hAnsi="Times New Roman" w:eastAsia="宋体" w:cs="Times New Roman"/>
          <w:kern w:val="0"/>
          <w:sz w:val="21"/>
          <w:szCs w:val="20"/>
          <w:lang w:val="en-US" w:eastAsia="zh-CN" w:bidi="ar-SA"/>
        </w:rPr>
        <w:t>-</w:t>
      </w:r>
      <w:r>
        <w:rPr>
          <w:rFonts w:hint="eastAsia" w:ascii="宋体" w:hAnsi="Times New Roman"/>
          <w:kern w:val="0"/>
          <w:szCs w:val="20"/>
        </w:rPr>
        <w:t>4月、6</w:t>
      </w:r>
      <w:r>
        <w:rPr>
          <w:rFonts w:hint="eastAsia"/>
        </w:rPr>
        <w:t>月</w:t>
      </w:r>
      <w:r>
        <w:rPr>
          <w:rFonts w:hint="eastAsia" w:ascii="宋体" w:hAnsi="Times New Roman" w:eastAsia="宋体" w:cs="Times New Roman"/>
          <w:kern w:val="0"/>
          <w:sz w:val="21"/>
          <w:szCs w:val="20"/>
          <w:lang w:val="en-US" w:eastAsia="zh-CN" w:bidi="ar-SA"/>
        </w:rPr>
        <w:t>-</w:t>
      </w:r>
      <w:r>
        <w:rPr>
          <w:rFonts w:hint="eastAsia" w:ascii="宋体" w:hAnsi="Times New Roman"/>
          <w:kern w:val="0"/>
          <w:szCs w:val="20"/>
        </w:rPr>
        <w:t>7月、10</w:t>
      </w:r>
      <w:r>
        <w:rPr>
          <w:rFonts w:hint="eastAsia"/>
        </w:rPr>
        <w:t>月</w:t>
      </w:r>
      <w:r>
        <w:rPr>
          <w:rFonts w:hint="eastAsia" w:ascii="宋体" w:hAnsi="Times New Roman" w:eastAsia="宋体" w:cs="Times New Roman"/>
          <w:kern w:val="0"/>
          <w:sz w:val="21"/>
          <w:szCs w:val="20"/>
          <w:lang w:val="en-US" w:eastAsia="zh-CN" w:bidi="ar-SA"/>
        </w:rPr>
        <w:t>-</w:t>
      </w:r>
      <w:r>
        <w:rPr>
          <w:rFonts w:hint="eastAsia" w:ascii="宋体" w:hAnsi="Times New Roman"/>
          <w:kern w:val="0"/>
          <w:szCs w:val="20"/>
        </w:rPr>
        <w:t>11月间进行，第4年</w:t>
      </w:r>
      <w:r>
        <w:rPr>
          <w:rFonts w:hint="eastAsia"/>
        </w:rPr>
        <w:t>三叉苦</w:t>
      </w:r>
      <w:r>
        <w:rPr>
          <w:rFonts w:hint="eastAsia" w:ascii="宋体" w:hAnsi="Times New Roman"/>
          <w:kern w:val="0"/>
          <w:szCs w:val="20"/>
        </w:rPr>
        <w:t>郁闭之后停止除草。</w:t>
      </w:r>
    </w:p>
    <w:p w14:paraId="3F88A8CE">
      <w:pPr>
        <w:pStyle w:val="106"/>
        <w:spacing w:before="120" w:after="120"/>
      </w:pPr>
      <w:bookmarkStart w:id="69" w:name="_Toc173492378"/>
      <w:r>
        <w:t>追肥</w:t>
      </w:r>
      <w:bookmarkEnd w:id="69"/>
    </w:p>
    <w:p w14:paraId="14B61530">
      <w:pPr>
        <w:pStyle w:val="57"/>
        <w:ind w:firstLine="420"/>
      </w:pPr>
      <w:r>
        <w:rPr>
          <w:rFonts w:hint="eastAsia"/>
        </w:rPr>
        <w:t>种植当年追施水肥1</w:t>
      </w:r>
      <w:r>
        <w:rPr>
          <w:rFonts w:hint="eastAsia"/>
          <w:vertAlign w:val="superscript"/>
        </w:rPr>
        <w:t xml:space="preserve"> </w:t>
      </w:r>
      <w:r>
        <w:rPr>
          <w:rFonts w:hint="eastAsia"/>
        </w:rPr>
        <w:t>次，颗粒肥2</w:t>
      </w:r>
      <w:r>
        <w:rPr>
          <w:rFonts w:hint="eastAsia"/>
          <w:vertAlign w:val="superscript"/>
        </w:rPr>
        <w:t xml:space="preserve"> </w:t>
      </w:r>
      <w:r>
        <w:rPr>
          <w:rFonts w:hint="eastAsia"/>
        </w:rPr>
        <w:t>次。其中定植1个月后追施NPK＞300</w:t>
      </w:r>
      <w:r>
        <w:rPr>
          <w:rFonts w:hint="eastAsia"/>
          <w:vertAlign w:val="superscript"/>
        </w:rPr>
        <w:t xml:space="preserve"> </w:t>
      </w:r>
      <w:r>
        <w:rPr>
          <w:rFonts w:hint="eastAsia"/>
        </w:rPr>
        <w:t>g/L液体肥1</w:t>
      </w:r>
      <w:r>
        <w:rPr>
          <w:rFonts w:hint="eastAsia"/>
          <w:vertAlign w:val="superscript"/>
        </w:rPr>
        <w:t xml:space="preserve"> </w:t>
      </w:r>
      <w:r>
        <w:rPr>
          <w:rFonts w:hint="eastAsia"/>
        </w:rPr>
        <w:t>次，用量为1.5</w:t>
      </w:r>
      <w:r>
        <w:rPr>
          <w:rFonts w:hint="eastAsia"/>
          <w:vertAlign w:val="superscript"/>
        </w:rPr>
        <w:t xml:space="preserve"> </w:t>
      </w:r>
      <w:r>
        <w:rPr>
          <w:rFonts w:hint="eastAsia"/>
        </w:rPr>
        <w:t>kg/亩。</w:t>
      </w:r>
    </w:p>
    <w:p w14:paraId="271AEFCC">
      <w:pPr>
        <w:pStyle w:val="66"/>
        <w:spacing w:before="120" w:after="120"/>
      </w:pPr>
      <w:r>
        <w:rPr>
          <w:rFonts w:hint="eastAsia"/>
        </w:rPr>
        <w:t>肥料</w:t>
      </w:r>
    </w:p>
    <w:p w14:paraId="4F6E2E2A">
      <w:pPr>
        <w:pStyle w:val="235"/>
        <w:spacing w:before="120" w:beforeLines="50" w:after="120" w:afterLines="50"/>
        <w:rPr>
          <w:szCs w:val="21"/>
        </w:rPr>
      </w:pPr>
      <w:r>
        <w:rPr>
          <w:rFonts w:hint="eastAsia"/>
          <w:szCs w:val="21"/>
        </w:rPr>
        <w:t>选用广西华沃特集团股份有限公司8%的有机肥，氮磷钾总养分≥8%（3-3-2），有机质≥30%，其他指标符合NY/T 525标准。</w:t>
      </w:r>
    </w:p>
    <w:p w14:paraId="50EDDEEB">
      <w:pPr>
        <w:pStyle w:val="66"/>
        <w:spacing w:before="120" w:after="120"/>
      </w:pPr>
      <w:r>
        <w:rPr>
          <w:rFonts w:hint="eastAsia"/>
        </w:rPr>
        <w:t>追肥时间</w:t>
      </w:r>
    </w:p>
    <w:p w14:paraId="508DB928">
      <w:pPr>
        <w:pStyle w:val="235"/>
        <w:spacing w:before="120" w:beforeLines="50" w:after="120" w:afterLines="50"/>
        <w:ind w:firstLine="210" w:firstLineChars="100"/>
        <w:rPr>
          <w:szCs w:val="21"/>
        </w:rPr>
      </w:pPr>
      <w:r>
        <w:rPr>
          <w:rFonts w:hint="eastAsia"/>
          <w:szCs w:val="21"/>
        </w:rPr>
        <w:t>每年施肥2</w:t>
      </w:r>
      <w:r>
        <w:rPr>
          <w:rFonts w:hint="eastAsia" w:ascii="宋体" w:hAnsi="Times New Roman" w:eastAsia="宋体" w:cs="Times New Roman"/>
          <w:kern w:val="0"/>
          <w:sz w:val="21"/>
          <w:szCs w:val="20"/>
          <w:lang w:val="en-US" w:eastAsia="zh-CN" w:bidi="ar-SA"/>
        </w:rPr>
        <w:t>-</w:t>
      </w:r>
      <w:r>
        <w:rPr>
          <w:rFonts w:hint="eastAsia"/>
          <w:szCs w:val="21"/>
        </w:rPr>
        <w:t>3</w:t>
      </w:r>
      <w:r>
        <w:rPr>
          <w:rFonts w:hint="eastAsia"/>
          <w:szCs w:val="21"/>
          <w:vertAlign w:val="superscript"/>
        </w:rPr>
        <w:t xml:space="preserve"> </w:t>
      </w:r>
      <w:r>
        <w:rPr>
          <w:rFonts w:hint="eastAsia"/>
          <w:szCs w:val="21"/>
        </w:rPr>
        <w:t>次，种植的前2年施肥可结合除草之后进行，分别在3月</w:t>
      </w:r>
      <w:r>
        <w:rPr>
          <w:rFonts w:hint="eastAsia" w:ascii="宋体" w:hAnsi="Times New Roman" w:eastAsia="宋体" w:cs="Times New Roman"/>
          <w:kern w:val="0"/>
          <w:sz w:val="21"/>
          <w:szCs w:val="20"/>
          <w:lang w:val="en-US" w:eastAsia="zh-CN" w:bidi="ar-SA"/>
        </w:rPr>
        <w:t>-</w:t>
      </w:r>
      <w:r>
        <w:rPr>
          <w:rFonts w:hint="eastAsia"/>
          <w:szCs w:val="21"/>
        </w:rPr>
        <w:t>4月、6月</w:t>
      </w:r>
      <w:r>
        <w:rPr>
          <w:rFonts w:hint="eastAsia" w:ascii="宋体" w:hAnsi="Times New Roman" w:eastAsia="宋体" w:cs="Times New Roman"/>
          <w:kern w:val="0"/>
          <w:sz w:val="21"/>
          <w:szCs w:val="20"/>
          <w:lang w:val="en-US" w:eastAsia="zh-CN" w:bidi="ar-SA"/>
        </w:rPr>
        <w:t>-</w:t>
      </w:r>
      <w:r>
        <w:rPr>
          <w:rFonts w:hint="eastAsia"/>
          <w:szCs w:val="21"/>
        </w:rPr>
        <w:t>7月、10月</w:t>
      </w:r>
      <w:r>
        <w:rPr>
          <w:rFonts w:hint="eastAsia" w:ascii="宋体" w:hAnsi="Times New Roman" w:eastAsia="宋体" w:cs="Times New Roman"/>
          <w:kern w:val="0"/>
          <w:sz w:val="21"/>
          <w:szCs w:val="20"/>
          <w:lang w:val="en-US" w:eastAsia="zh-CN" w:bidi="ar-SA"/>
        </w:rPr>
        <w:t>-</w:t>
      </w:r>
      <w:r>
        <w:rPr>
          <w:rFonts w:hint="eastAsia"/>
          <w:szCs w:val="21"/>
        </w:rPr>
        <w:t>11月间追肥。</w:t>
      </w:r>
    </w:p>
    <w:p w14:paraId="680520ED">
      <w:pPr>
        <w:pStyle w:val="66"/>
        <w:spacing w:before="120" w:after="120"/>
      </w:pPr>
      <w:r>
        <w:rPr>
          <w:rFonts w:hint="eastAsia"/>
        </w:rPr>
        <w:t>施肥方式</w:t>
      </w:r>
    </w:p>
    <w:p w14:paraId="3D0EBB9A">
      <w:pPr>
        <w:pStyle w:val="235"/>
        <w:spacing w:before="120" w:beforeLines="50" w:after="120" w:afterLines="50"/>
      </w:pPr>
      <w:r>
        <w:rPr>
          <w:rFonts w:hint="eastAsia"/>
        </w:rPr>
        <w:t>施颗粒肥采用沟状埋施，在三叉苦树冠外沿的上坡处旁开施肥沟，沟深20</w:t>
      </w:r>
      <w:r>
        <w:rPr>
          <w:rFonts w:hint="eastAsia"/>
          <w:vertAlign w:val="superscript"/>
        </w:rPr>
        <w:t xml:space="preserve"> </w:t>
      </w:r>
      <w:r>
        <w:rPr>
          <w:rFonts w:hint="eastAsia"/>
        </w:rPr>
        <w:t>cm、宽25</w:t>
      </w:r>
      <w:r>
        <w:rPr>
          <w:rFonts w:hint="eastAsia"/>
          <w:vertAlign w:val="superscript"/>
        </w:rPr>
        <w:t xml:space="preserve"> </w:t>
      </w:r>
      <w:r>
        <w:rPr>
          <w:rFonts w:hint="eastAsia"/>
        </w:rPr>
        <w:t>cm，将氮磷钾有效含量≥30%的复合肥撒入后覆土。</w:t>
      </w:r>
    </w:p>
    <w:p w14:paraId="793FCCD2">
      <w:pPr>
        <w:pStyle w:val="66"/>
        <w:spacing w:before="120" w:after="120"/>
      </w:pPr>
      <w:r>
        <w:rPr>
          <w:rFonts w:hint="eastAsia"/>
        </w:rPr>
        <w:t>施肥量</w:t>
      </w:r>
    </w:p>
    <w:p w14:paraId="0DEA9AEB">
      <w:pPr>
        <w:pStyle w:val="235"/>
        <w:spacing w:before="120" w:beforeLines="50" w:after="120" w:afterLines="50"/>
        <w:rPr>
          <w:szCs w:val="21"/>
        </w:rPr>
      </w:pPr>
      <w:r>
        <w:rPr>
          <w:rFonts w:hint="eastAsia"/>
        </w:rPr>
        <w:t>每株</w:t>
      </w:r>
      <w:r>
        <w:rPr>
          <w:rFonts w:hint="eastAsia"/>
          <w:szCs w:val="21"/>
        </w:rPr>
        <w:t>0.25</w:t>
      </w:r>
      <w:r>
        <w:rPr>
          <w:rFonts w:hint="eastAsia"/>
          <w:vertAlign w:val="superscript"/>
        </w:rPr>
        <w:t xml:space="preserve"> </w:t>
      </w:r>
      <w:r>
        <w:rPr>
          <w:rFonts w:hint="eastAsia"/>
          <w:szCs w:val="21"/>
        </w:rPr>
        <w:t>kg。</w:t>
      </w:r>
    </w:p>
    <w:p w14:paraId="15D1DCD7">
      <w:pPr>
        <w:pStyle w:val="105"/>
        <w:spacing w:before="240" w:after="240"/>
      </w:pPr>
      <w:bookmarkStart w:id="70" w:name="_Toc173492420"/>
      <w:bookmarkStart w:id="71" w:name="_Toc173492379"/>
      <w:r>
        <w:t>病虫害防治</w:t>
      </w:r>
      <w:bookmarkEnd w:id="70"/>
      <w:bookmarkEnd w:id="71"/>
    </w:p>
    <w:p w14:paraId="2F11EE5C">
      <w:pPr>
        <w:pStyle w:val="106"/>
        <w:spacing w:before="120" w:after="120"/>
      </w:pPr>
      <w:bookmarkStart w:id="72" w:name="_Toc173492380"/>
      <w:r>
        <w:t>主要病害</w:t>
      </w:r>
      <w:bookmarkEnd w:id="72"/>
    </w:p>
    <w:p w14:paraId="5DF2197C">
      <w:pPr>
        <w:pStyle w:val="57"/>
        <w:ind w:firstLine="420"/>
      </w:pPr>
      <w:r>
        <w:rPr>
          <w:rFonts w:hint="eastAsia"/>
        </w:rPr>
        <w:t>枯萎病、炭疽病、穿孔病。</w:t>
      </w:r>
    </w:p>
    <w:p w14:paraId="2BC890A0">
      <w:pPr>
        <w:pStyle w:val="106"/>
        <w:spacing w:before="120" w:after="120"/>
      </w:pPr>
      <w:bookmarkStart w:id="73" w:name="_Toc173492381"/>
      <w:r>
        <w:t>主要虫害</w:t>
      </w:r>
      <w:bookmarkEnd w:id="73"/>
    </w:p>
    <w:p w14:paraId="48611727">
      <w:pPr>
        <w:pStyle w:val="57"/>
        <w:ind w:firstLine="420"/>
      </w:pPr>
      <w:r>
        <w:rPr>
          <w:rFonts w:hint="eastAsia"/>
        </w:rPr>
        <w:t>蚜虫、蓟马、金龟子、凤蝶、瘿螨、叶蝉等。</w:t>
      </w:r>
    </w:p>
    <w:p w14:paraId="4FC20284">
      <w:pPr>
        <w:pStyle w:val="106"/>
        <w:spacing w:before="120" w:after="120"/>
      </w:pPr>
      <w:bookmarkStart w:id="74" w:name="_Toc173492382"/>
      <w:r>
        <w:t>防治方法</w:t>
      </w:r>
      <w:bookmarkEnd w:id="74"/>
    </w:p>
    <w:p w14:paraId="60E76981">
      <w:pPr>
        <w:pStyle w:val="66"/>
        <w:spacing w:before="120" w:after="120"/>
      </w:pPr>
      <w:r>
        <w:rPr>
          <w:rFonts w:hint="eastAsia"/>
        </w:rPr>
        <w:t>农业防治</w:t>
      </w:r>
    </w:p>
    <w:p w14:paraId="28C754C1">
      <w:pPr>
        <w:pStyle w:val="57"/>
        <w:ind w:firstLine="420"/>
      </w:pPr>
      <w:r>
        <w:rPr>
          <w:rFonts w:hint="eastAsia"/>
        </w:rPr>
        <w:t>利用田间管理，运用松土、除草、培土等栽培管理措施,直接或间接的抑制病虫害的发生来控制和消灭病虫害发生：</w:t>
      </w:r>
    </w:p>
    <w:p w14:paraId="020B3042">
      <w:pPr>
        <w:pStyle w:val="175"/>
      </w:pPr>
      <w:r>
        <w:rPr>
          <w:rFonts w:hint="eastAsia"/>
        </w:rPr>
        <w:t>选择的播种期在2</w:t>
      </w:r>
      <w:r>
        <w:rPr>
          <w:rFonts w:hint="eastAsia" w:ascii="宋体" w:hAnsi="Times New Roman" w:eastAsia="宋体" w:cs="Times New Roman"/>
          <w:kern w:val="0"/>
          <w:sz w:val="21"/>
          <w:szCs w:val="20"/>
          <w:lang w:val="en-US" w:eastAsia="zh-CN" w:bidi="ar-SA"/>
        </w:rPr>
        <w:t>-</w:t>
      </w:r>
      <w:r>
        <w:rPr>
          <w:rFonts w:hint="eastAsia"/>
        </w:rPr>
        <w:t>3月播种,以避免或减轻枯萎病病害；</w:t>
      </w:r>
    </w:p>
    <w:p w14:paraId="0246F3AD">
      <w:pPr>
        <w:pStyle w:val="175"/>
      </w:pPr>
      <w:r>
        <w:rPr>
          <w:rFonts w:hint="eastAsia"/>
        </w:rPr>
        <w:t>在灌水前要先清除病株及老叶病叶,预防流水传病；</w:t>
      </w:r>
    </w:p>
    <w:p w14:paraId="76FEE0F4">
      <w:pPr>
        <w:pStyle w:val="175"/>
      </w:pPr>
      <w:r>
        <w:rPr>
          <w:rFonts w:hint="eastAsia"/>
        </w:rPr>
        <w:t>田间操作时先管理健株,再管理病株,减少传染；</w:t>
      </w:r>
    </w:p>
    <w:p w14:paraId="2B08EED1">
      <w:pPr>
        <w:pStyle w:val="175"/>
      </w:pPr>
      <w:r>
        <w:rPr>
          <w:rFonts w:hint="eastAsia"/>
        </w:rPr>
        <w:t>及早摘除病叶病果,拔除病株,搞好田园清洁,减少病害；</w:t>
      </w:r>
    </w:p>
    <w:p w14:paraId="10BE95C8">
      <w:pPr>
        <w:pStyle w:val="175"/>
      </w:pPr>
      <w:r>
        <w:rPr>
          <w:rFonts w:hint="eastAsia"/>
        </w:rPr>
        <w:t>及早铲除杂草,减轻病虫害；</w:t>
      </w:r>
    </w:p>
    <w:p w14:paraId="7A84C290">
      <w:pPr>
        <w:pStyle w:val="175"/>
      </w:pPr>
      <w:r>
        <w:rPr>
          <w:rFonts w:hint="eastAsia"/>
        </w:rPr>
        <w:t>施用充分腐熟的有机肥。</w:t>
      </w:r>
    </w:p>
    <w:p w14:paraId="52291542">
      <w:pPr>
        <w:pStyle w:val="66"/>
        <w:spacing w:before="120" w:after="120"/>
      </w:pPr>
      <w:r>
        <w:t>物理防治</w:t>
      </w:r>
    </w:p>
    <w:p w14:paraId="0D216410">
      <w:pPr>
        <w:pStyle w:val="57"/>
        <w:ind w:firstLine="420"/>
      </w:pPr>
      <w:r>
        <w:rPr>
          <w:rFonts w:hint="eastAsia"/>
        </w:rPr>
        <w:t>采用黑光灯、频振式杀虫灯、诱虫板等物理装置诱杀鳞翅目、双翅目、鞘翅目和半翅目等害虫。</w:t>
      </w:r>
    </w:p>
    <w:p w14:paraId="5508808B">
      <w:pPr>
        <w:pStyle w:val="66"/>
        <w:spacing w:before="120" w:after="120"/>
      </w:pPr>
      <w:r>
        <w:t>化学防治</w:t>
      </w:r>
    </w:p>
    <w:p w14:paraId="42384051">
      <w:pPr>
        <w:pStyle w:val="165"/>
      </w:pPr>
      <w:r>
        <w:rPr>
          <w:rFonts w:hint="eastAsia"/>
        </w:rPr>
        <w:t>农药使用应按照NY/T 393、NY/T 1276标准和GB/T 8321（所有部分）标准执行。</w:t>
      </w:r>
    </w:p>
    <w:p w14:paraId="03084BE1">
      <w:pPr>
        <w:pStyle w:val="165"/>
      </w:pPr>
      <w:r>
        <w:rPr>
          <w:rFonts w:hint="eastAsia"/>
        </w:rPr>
        <w:t>主要病虫害及其防治方法参考附录</w:t>
      </w:r>
      <w:r>
        <w:t>A</w:t>
      </w:r>
      <w:r>
        <w:rPr>
          <w:rFonts w:hint="eastAsia"/>
        </w:rPr>
        <w:t>。</w:t>
      </w:r>
    </w:p>
    <w:p w14:paraId="7053B227">
      <w:pPr>
        <w:pStyle w:val="105"/>
        <w:spacing w:before="240" w:after="240"/>
      </w:pPr>
      <w:bookmarkStart w:id="75" w:name="_Toc173492421"/>
      <w:bookmarkStart w:id="76" w:name="_Toc173492383"/>
      <w:r>
        <w:t>采收</w:t>
      </w:r>
      <w:bookmarkEnd w:id="75"/>
      <w:bookmarkEnd w:id="76"/>
    </w:p>
    <w:p w14:paraId="55E683F2">
      <w:pPr>
        <w:pStyle w:val="106"/>
        <w:spacing w:before="120" w:after="120"/>
      </w:pPr>
      <w:bookmarkStart w:id="77" w:name="_Toc173492384"/>
      <w:r>
        <w:t>采收部位</w:t>
      </w:r>
      <w:bookmarkEnd w:id="77"/>
    </w:p>
    <w:p w14:paraId="0760BC8D">
      <w:pPr>
        <w:pStyle w:val="57"/>
        <w:ind w:firstLine="420"/>
      </w:pPr>
      <w:bookmarkStart w:id="78" w:name="_Hlk181740382"/>
      <w:r>
        <w:rPr>
          <w:rFonts w:hint="eastAsia"/>
        </w:rPr>
        <w:t>三叉苦地上部分的茎干、枝叶</w:t>
      </w:r>
      <w:bookmarkEnd w:id="78"/>
      <w:r>
        <w:rPr>
          <w:rFonts w:hint="eastAsia"/>
        </w:rPr>
        <w:t>。</w:t>
      </w:r>
    </w:p>
    <w:p w14:paraId="252E1456">
      <w:pPr>
        <w:pStyle w:val="106"/>
        <w:spacing w:before="120" w:after="120"/>
      </w:pPr>
      <w:bookmarkStart w:id="79" w:name="_Toc173492385"/>
      <w:r>
        <w:t>采收期</w:t>
      </w:r>
      <w:bookmarkEnd w:id="79"/>
    </w:p>
    <w:p w14:paraId="73CEFA09">
      <w:pPr>
        <w:pStyle w:val="57"/>
        <w:ind w:firstLine="420"/>
      </w:pPr>
      <w:bookmarkStart w:id="80" w:name="_Hlk181740352"/>
      <w:r>
        <w:rPr>
          <w:rFonts w:hint="eastAsia"/>
        </w:rPr>
        <w:t>三叉苦种植3年以上或采收后地上部分萌发新枝达3年</w:t>
      </w:r>
      <w:bookmarkEnd w:id="80"/>
      <w:r>
        <w:rPr>
          <w:rFonts w:hint="eastAsia"/>
        </w:rPr>
        <w:t>。</w:t>
      </w:r>
    </w:p>
    <w:p w14:paraId="665B2075">
      <w:pPr>
        <w:pStyle w:val="66"/>
        <w:spacing w:before="120" w:after="120"/>
      </w:pPr>
      <w:r>
        <w:t>采收年限</w:t>
      </w:r>
    </w:p>
    <w:p w14:paraId="50F905A4">
      <w:pPr>
        <w:pStyle w:val="57"/>
        <w:ind w:firstLine="420"/>
      </w:pPr>
      <w:r>
        <w:rPr>
          <w:rFonts w:hint="eastAsia"/>
        </w:rPr>
        <w:t>多年采收。</w:t>
      </w:r>
    </w:p>
    <w:p w14:paraId="7C5A35F2">
      <w:pPr>
        <w:pStyle w:val="66"/>
        <w:spacing w:before="120" w:after="120"/>
      </w:pPr>
      <w:r>
        <w:t>采收时间</w:t>
      </w:r>
    </w:p>
    <w:p w14:paraId="2BD48F29">
      <w:pPr>
        <w:pStyle w:val="57"/>
        <w:ind w:firstLine="420"/>
      </w:pPr>
      <w:r>
        <w:rPr>
          <w:rFonts w:hint="eastAsia"/>
        </w:rPr>
        <w:t>每年10月</w:t>
      </w:r>
      <w:r>
        <w:rPr>
          <w:rFonts w:hint="eastAsia" w:ascii="宋体" w:hAnsi="Times New Roman" w:eastAsia="宋体" w:cs="Times New Roman"/>
          <w:kern w:val="0"/>
          <w:sz w:val="21"/>
          <w:szCs w:val="20"/>
          <w:lang w:val="en-US" w:eastAsia="zh-CN" w:bidi="ar-SA"/>
        </w:rPr>
        <w:t>-</w:t>
      </w:r>
      <w:r>
        <w:rPr>
          <w:rFonts w:hint="eastAsia"/>
        </w:rPr>
        <w:t>12月采收</w:t>
      </w:r>
    </w:p>
    <w:p w14:paraId="1484D052">
      <w:pPr>
        <w:pStyle w:val="106"/>
        <w:spacing w:before="120" w:after="120"/>
      </w:pPr>
      <w:bookmarkStart w:id="81" w:name="_Toc173492386"/>
      <w:r>
        <w:t>采收方式</w:t>
      </w:r>
      <w:bookmarkEnd w:id="81"/>
    </w:p>
    <w:p w14:paraId="463884A6">
      <w:pPr>
        <w:pStyle w:val="57"/>
        <w:ind w:firstLine="420"/>
      </w:pPr>
      <w:r>
        <w:rPr>
          <w:rFonts w:hint="eastAsia"/>
        </w:rPr>
        <w:t>收割，用镰刀或特制机械（工具)采收地上部分的茎干、枝叶。</w:t>
      </w:r>
    </w:p>
    <w:p w14:paraId="0145AA40">
      <w:pPr>
        <w:pStyle w:val="106"/>
        <w:spacing w:before="120" w:after="120"/>
      </w:pPr>
      <w:bookmarkStart w:id="82" w:name="_Toc173492387"/>
      <w:r>
        <w:t>采收后管理</w:t>
      </w:r>
      <w:bookmarkEnd w:id="82"/>
    </w:p>
    <w:p w14:paraId="68A119D6">
      <w:pPr>
        <w:pStyle w:val="57"/>
        <w:ind w:firstLine="420"/>
      </w:pPr>
      <w:r>
        <w:rPr>
          <w:rFonts w:hint="eastAsia"/>
        </w:rPr>
        <w:t>将采收的茎干、枝叶摊在草席上(有条件的可用架子把草席架空)，放置通风的室内或遮荫的棚下临时保存。</w:t>
      </w:r>
    </w:p>
    <w:p w14:paraId="140904A5">
      <w:pPr>
        <w:pStyle w:val="57"/>
        <w:ind w:firstLine="420"/>
        <w:sectPr>
          <w:pgSz w:w="11906" w:h="16838"/>
          <w:pgMar w:top="1928" w:right="1134" w:bottom="1134" w:left="1134" w:header="1418" w:footer="1134" w:gutter="284"/>
          <w:pgNumType w:start="1"/>
          <w:cols w:space="425" w:num="1"/>
          <w:formProt w:val="0"/>
          <w:docGrid w:linePitch="312" w:charSpace="0"/>
        </w:sectPr>
      </w:pPr>
    </w:p>
    <w:bookmarkEnd w:id="24"/>
    <w:p w14:paraId="2C370B66">
      <w:pPr>
        <w:pStyle w:val="199"/>
        <w:rPr>
          <w:rFonts w:hint="eastAsia"/>
          <w:vanish w:val="0"/>
        </w:rPr>
      </w:pPr>
      <w:bookmarkStart w:id="83" w:name="BookMark5"/>
    </w:p>
    <w:p w14:paraId="56BD00D9">
      <w:pPr>
        <w:pStyle w:val="200"/>
        <w:rPr>
          <w:vanish w:val="0"/>
        </w:rPr>
      </w:pPr>
    </w:p>
    <w:p w14:paraId="2BD678E6">
      <w:pPr>
        <w:pStyle w:val="77"/>
        <w:spacing w:after="120"/>
      </w:pPr>
      <w:r>
        <w:br w:type="textWrapping"/>
      </w:r>
      <w:r>
        <w:rPr>
          <w:rFonts w:hint="eastAsia"/>
        </w:rPr>
        <w:t>（资料性）</w:t>
      </w:r>
      <w:r>
        <w:br w:type="textWrapping"/>
      </w:r>
      <w:r>
        <w:rPr>
          <w:rFonts w:hint="eastAsia"/>
        </w:rPr>
        <w:t>三叉苦常见病虫害防治参考方法</w:t>
      </w:r>
    </w:p>
    <w:p w14:paraId="3B09E4DD">
      <w:pPr>
        <w:pStyle w:val="57"/>
        <w:ind w:firstLine="420"/>
        <w:rPr>
          <w:rFonts w:hint="eastAsia" w:eastAsia="宋体"/>
          <w:lang w:eastAsia="zh-CN"/>
        </w:rPr>
      </w:pPr>
      <w:r>
        <w:rPr>
          <w:rFonts w:hint="eastAsia"/>
        </w:rPr>
        <w:t>三叉苦常见病虫害防治方法见表</w:t>
      </w:r>
      <w:r>
        <w:rPr>
          <w:rFonts w:hint="eastAsia"/>
          <w:lang w:val="en-US" w:eastAsia="zh-CN"/>
        </w:rPr>
        <w:t>A.</w:t>
      </w:r>
      <w:r>
        <w:rPr>
          <w:rFonts w:hint="eastAsia"/>
        </w:rPr>
        <w:t>1</w:t>
      </w:r>
      <w:r>
        <w:rPr>
          <w:rFonts w:hint="eastAsia"/>
          <w:lang w:eastAsia="zh-CN"/>
        </w:rPr>
        <w:t>。</w:t>
      </w:r>
      <w:bookmarkStart w:id="96" w:name="_GoBack"/>
      <w:bookmarkEnd w:id="96"/>
    </w:p>
    <w:p w14:paraId="7219A20A">
      <w:pPr>
        <w:pStyle w:val="78"/>
        <w:spacing w:before="120" w:after="120"/>
        <w:rPr>
          <w:rFonts w:hint="eastAsia"/>
        </w:rPr>
      </w:pPr>
      <w:r>
        <w:rPr>
          <w:rFonts w:hint="eastAsia"/>
        </w:rPr>
        <w:t>三叉苦常见病虫害防治参考方法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1417"/>
        <w:gridCol w:w="4175"/>
        <w:gridCol w:w="2334"/>
      </w:tblGrid>
      <w:tr w14:paraId="610F63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14:paraId="5DE8D0E4">
            <w:pPr>
              <w:pStyle w:val="179"/>
            </w:pPr>
            <w:r>
              <w:rPr>
                <w:rFonts w:hint="eastAsia"/>
              </w:rPr>
              <w:t>病虫害名称</w:t>
            </w:r>
          </w:p>
        </w:tc>
        <w:tc>
          <w:tcPr>
            <w:tcW w:w="1417" w:type="dxa"/>
            <w:tcBorders>
              <w:top w:val="single" w:color="auto" w:sz="8" w:space="0"/>
              <w:bottom w:val="single" w:color="auto" w:sz="8" w:space="0"/>
            </w:tcBorders>
            <w:shd w:val="clear" w:color="auto" w:fill="auto"/>
            <w:vAlign w:val="center"/>
          </w:tcPr>
          <w:p w14:paraId="47A2A3A7">
            <w:pPr>
              <w:pStyle w:val="179"/>
            </w:pPr>
            <w:r>
              <w:rPr>
                <w:rFonts w:hint="eastAsia"/>
              </w:rPr>
              <w:t>防治时期</w:t>
            </w:r>
          </w:p>
        </w:tc>
        <w:tc>
          <w:tcPr>
            <w:tcW w:w="4175" w:type="dxa"/>
            <w:tcBorders>
              <w:top w:val="single" w:color="auto" w:sz="8" w:space="0"/>
              <w:bottom w:val="single" w:color="auto" w:sz="8" w:space="0"/>
            </w:tcBorders>
            <w:shd w:val="clear" w:color="auto" w:fill="auto"/>
            <w:vAlign w:val="center"/>
          </w:tcPr>
          <w:p w14:paraId="456D1BEE">
            <w:pPr>
              <w:pStyle w:val="179"/>
            </w:pPr>
            <w:r>
              <w:rPr>
                <w:rFonts w:hint="eastAsia"/>
              </w:rPr>
              <w:t>推荐防治方法</w:t>
            </w:r>
          </w:p>
        </w:tc>
        <w:tc>
          <w:tcPr>
            <w:tcW w:w="2334" w:type="dxa"/>
            <w:tcBorders>
              <w:top w:val="single" w:color="auto" w:sz="8" w:space="0"/>
              <w:bottom w:val="single" w:color="auto" w:sz="8" w:space="0"/>
            </w:tcBorders>
            <w:shd w:val="clear" w:color="auto" w:fill="auto"/>
            <w:vAlign w:val="center"/>
          </w:tcPr>
          <w:p w14:paraId="05D54046">
            <w:pPr>
              <w:pStyle w:val="179"/>
            </w:pPr>
            <w:r>
              <w:rPr>
                <w:rFonts w:hint="eastAsia"/>
              </w:rPr>
              <w:t>安全间隔期（天）</w:t>
            </w:r>
          </w:p>
        </w:tc>
      </w:tr>
      <w:tr w14:paraId="5AFA3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shd w:val="clear" w:color="auto" w:fill="auto"/>
            <w:vAlign w:val="center"/>
          </w:tcPr>
          <w:p w14:paraId="2668BD1B">
            <w:pPr>
              <w:pStyle w:val="179"/>
            </w:pPr>
            <w:r>
              <w:rPr>
                <w:rFonts w:hint="eastAsia"/>
              </w:rPr>
              <w:t>根腐病</w:t>
            </w:r>
          </w:p>
        </w:tc>
        <w:tc>
          <w:tcPr>
            <w:tcW w:w="1417" w:type="dxa"/>
            <w:tcBorders>
              <w:top w:val="single" w:color="auto" w:sz="8" w:space="0"/>
            </w:tcBorders>
            <w:shd w:val="clear" w:color="auto" w:fill="auto"/>
            <w:vAlign w:val="center"/>
          </w:tcPr>
          <w:p w14:paraId="1B2B709B">
            <w:pPr>
              <w:pStyle w:val="179"/>
            </w:pPr>
            <w:r>
              <w:rPr>
                <w:rFonts w:hint="eastAsia"/>
              </w:rPr>
              <w:t>梢期和生长期</w:t>
            </w:r>
          </w:p>
        </w:tc>
        <w:tc>
          <w:tcPr>
            <w:tcW w:w="4175" w:type="dxa"/>
            <w:tcBorders>
              <w:top w:val="single" w:color="auto" w:sz="8" w:space="0"/>
            </w:tcBorders>
            <w:shd w:val="clear" w:color="auto" w:fill="auto"/>
            <w:vAlign w:val="center"/>
          </w:tcPr>
          <w:p w14:paraId="6C8B9BD5">
            <w:pPr>
              <w:pStyle w:val="179"/>
              <w:ind w:firstLine="180" w:firstLineChars="100"/>
              <w:jc w:val="left"/>
            </w:pPr>
            <w:r>
              <w:rPr>
                <w:rFonts w:hint="eastAsia"/>
              </w:rPr>
              <w:t>1.移苗前使用多菌灵浸泡20</w:t>
            </w:r>
            <w:r>
              <w:rPr>
                <w:rFonts w:hint="eastAsia"/>
                <w:vertAlign w:val="superscript"/>
                <w:lang w:val="en-US" w:eastAsia="zh-CN"/>
              </w:rPr>
              <w:t xml:space="preserve"> </w:t>
            </w:r>
            <w:r>
              <w:rPr>
                <w:rFonts w:hint="eastAsia"/>
              </w:rPr>
              <w:t>min，按农药标签使用；</w:t>
            </w:r>
          </w:p>
          <w:p w14:paraId="42E63D0E">
            <w:pPr>
              <w:pStyle w:val="179"/>
              <w:ind w:firstLine="180" w:firstLineChars="100"/>
              <w:jc w:val="left"/>
            </w:pPr>
            <w:r>
              <w:rPr>
                <w:rFonts w:hint="eastAsia"/>
              </w:rPr>
              <w:t>2.多菌灵灌根，按农药标签使用；</w:t>
            </w:r>
          </w:p>
          <w:p w14:paraId="15C11389">
            <w:pPr>
              <w:pStyle w:val="179"/>
              <w:ind w:firstLine="180" w:firstLineChars="100"/>
              <w:jc w:val="left"/>
            </w:pPr>
            <w:r>
              <w:rPr>
                <w:rFonts w:hint="eastAsia"/>
              </w:rPr>
              <w:t>3</w:t>
            </w:r>
            <w:r>
              <w:t>.</w:t>
            </w:r>
            <w:r>
              <w:rPr>
                <w:rFonts w:hint="eastAsia"/>
              </w:rPr>
              <w:t>托布津灌根，按农药标签使用。</w:t>
            </w:r>
          </w:p>
        </w:tc>
        <w:tc>
          <w:tcPr>
            <w:tcW w:w="2334" w:type="dxa"/>
            <w:tcBorders>
              <w:top w:val="single" w:color="auto" w:sz="8" w:space="0"/>
            </w:tcBorders>
            <w:shd w:val="clear" w:color="auto" w:fill="auto"/>
            <w:vAlign w:val="center"/>
          </w:tcPr>
          <w:p w14:paraId="2B173341">
            <w:pPr>
              <w:pStyle w:val="179"/>
            </w:pPr>
            <w:r>
              <w:rPr>
                <w:rFonts w:hint="eastAsia"/>
              </w:rPr>
              <w:t>≥20</w:t>
            </w:r>
          </w:p>
          <w:p w14:paraId="34161F34">
            <w:pPr>
              <w:pStyle w:val="179"/>
            </w:pPr>
            <w:r>
              <w:rPr>
                <w:rFonts w:hint="eastAsia"/>
              </w:rPr>
              <w:t>≥20</w:t>
            </w:r>
          </w:p>
          <w:p w14:paraId="4FB7D885">
            <w:pPr>
              <w:pStyle w:val="179"/>
            </w:pPr>
            <w:r>
              <w:rPr>
                <w:rFonts w:hint="eastAsia"/>
              </w:rPr>
              <w:t>≥30</w:t>
            </w:r>
          </w:p>
        </w:tc>
      </w:tr>
      <w:tr w14:paraId="2A2197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4CFD95E5">
            <w:pPr>
              <w:pStyle w:val="179"/>
            </w:pPr>
            <w:r>
              <w:rPr>
                <w:rFonts w:hint="eastAsia"/>
              </w:rPr>
              <w:t>炭疽病</w:t>
            </w:r>
          </w:p>
        </w:tc>
        <w:tc>
          <w:tcPr>
            <w:tcW w:w="1417" w:type="dxa"/>
            <w:shd w:val="clear" w:color="auto" w:fill="auto"/>
            <w:vAlign w:val="center"/>
          </w:tcPr>
          <w:p w14:paraId="376C4117">
            <w:pPr>
              <w:pStyle w:val="179"/>
            </w:pPr>
            <w:r>
              <w:rPr>
                <w:rFonts w:hint="eastAsia"/>
              </w:rPr>
              <w:t>梢期和生长期</w:t>
            </w:r>
          </w:p>
        </w:tc>
        <w:tc>
          <w:tcPr>
            <w:tcW w:w="4175" w:type="dxa"/>
            <w:shd w:val="clear" w:color="auto" w:fill="auto"/>
          </w:tcPr>
          <w:p w14:paraId="4F09F376">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1.加强栽培管理，增强三叉苦植株体抗力；</w:t>
            </w:r>
          </w:p>
          <w:p w14:paraId="4BCDC31E">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2.及时修剪及清除病枝，改善三叉苦植株的通风透光条件；</w:t>
            </w:r>
          </w:p>
          <w:p w14:paraId="2FC33A27">
            <w:pPr>
              <w:pStyle w:val="179"/>
              <w:ind w:firstLine="180" w:firstLineChars="100"/>
              <w:jc w:val="left"/>
            </w:pPr>
            <w:r>
              <w:rPr>
                <w:rFonts w:hint="eastAsia"/>
              </w:rPr>
              <w:t>3.药剂防治：在清园后喷1次波美度1度</w:t>
            </w:r>
            <w:r>
              <w:rPr>
                <w:rFonts w:hint="eastAsia"/>
                <w:lang w:val="en-US" w:eastAsia="zh-CN"/>
              </w:rPr>
              <w:t>-</w:t>
            </w:r>
            <w:r>
              <w:rPr>
                <w:rFonts w:hint="eastAsia"/>
              </w:rPr>
              <w:t>2度的石硫合剂；在春梢、夏梢、秋梢的嫩梢期喷药保护，每隔15d喷药1次，连续喷药1次</w:t>
            </w:r>
            <w:r>
              <w:rPr>
                <w:rFonts w:hint="eastAsia"/>
                <w:lang w:val="en-US" w:eastAsia="zh-CN"/>
              </w:rPr>
              <w:t>-</w:t>
            </w:r>
            <w:r>
              <w:rPr>
                <w:rFonts w:hint="eastAsia"/>
              </w:rPr>
              <w:t>2次，药剂可选用50%多菌灵可湿性粉剂800倍液，70%代森锰锌可湿性粉剂800倍液，40%腈菌唑水分散粒剂4000倍液等。</w:t>
            </w:r>
          </w:p>
        </w:tc>
        <w:tc>
          <w:tcPr>
            <w:tcW w:w="2334" w:type="dxa"/>
            <w:shd w:val="clear" w:color="auto" w:fill="auto"/>
          </w:tcPr>
          <w:p w14:paraId="6F9AC55A">
            <w:pPr>
              <w:pStyle w:val="25"/>
              <w:widowControl/>
              <w:autoSpaceDE w:val="0"/>
              <w:spacing w:before="0" w:beforeAutospacing="0" w:after="0" w:afterAutospacing="0"/>
              <w:textAlignment w:val="baseline"/>
              <w:rPr>
                <w:rFonts w:ascii="宋体"/>
                <w:sz w:val="18"/>
                <w:szCs w:val="20"/>
              </w:rPr>
            </w:pPr>
          </w:p>
          <w:p w14:paraId="1F921013">
            <w:pPr>
              <w:pStyle w:val="25"/>
              <w:widowControl/>
              <w:autoSpaceDE w:val="0"/>
              <w:spacing w:before="0" w:beforeAutospacing="0" w:after="0" w:afterAutospacing="0"/>
              <w:textAlignment w:val="baseline"/>
              <w:rPr>
                <w:rFonts w:ascii="宋体"/>
                <w:sz w:val="18"/>
                <w:szCs w:val="20"/>
              </w:rPr>
            </w:pPr>
          </w:p>
          <w:p w14:paraId="417F5E7A">
            <w:pPr>
              <w:pStyle w:val="25"/>
              <w:widowControl/>
              <w:autoSpaceDE w:val="0"/>
              <w:spacing w:before="0" w:beforeAutospacing="0" w:after="0" w:afterAutospacing="0"/>
              <w:textAlignment w:val="baseline"/>
              <w:rPr>
                <w:rFonts w:ascii="宋体"/>
                <w:sz w:val="18"/>
                <w:szCs w:val="20"/>
              </w:rPr>
            </w:pPr>
          </w:p>
          <w:p w14:paraId="4E58434A">
            <w:pPr>
              <w:pStyle w:val="25"/>
              <w:widowControl/>
              <w:autoSpaceDE w:val="0"/>
              <w:spacing w:before="0" w:beforeAutospacing="0" w:after="0" w:afterAutospacing="0"/>
              <w:textAlignment w:val="baseline"/>
              <w:rPr>
                <w:rFonts w:ascii="宋体"/>
                <w:sz w:val="18"/>
                <w:szCs w:val="20"/>
              </w:rPr>
            </w:pPr>
          </w:p>
          <w:p w14:paraId="2B1A46F9">
            <w:pPr>
              <w:pStyle w:val="179"/>
            </w:pPr>
            <w:r>
              <w:rPr>
                <w:rFonts w:hint="eastAsia"/>
              </w:rPr>
              <w:t>≥20</w:t>
            </w:r>
          </w:p>
        </w:tc>
      </w:tr>
      <w:tr w14:paraId="31A1C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1408" w:type="dxa"/>
            <w:shd w:val="clear" w:color="auto" w:fill="auto"/>
            <w:vAlign w:val="center"/>
          </w:tcPr>
          <w:p w14:paraId="1BB9A261">
            <w:pPr>
              <w:pStyle w:val="179"/>
            </w:pPr>
            <w:r>
              <w:t>穿孔病</w:t>
            </w:r>
          </w:p>
        </w:tc>
        <w:tc>
          <w:tcPr>
            <w:tcW w:w="1417" w:type="dxa"/>
            <w:shd w:val="clear" w:color="auto" w:fill="auto"/>
            <w:vAlign w:val="center"/>
          </w:tcPr>
          <w:p w14:paraId="3B972181">
            <w:pPr>
              <w:pStyle w:val="179"/>
            </w:pPr>
            <w:r>
              <w:rPr>
                <w:rFonts w:hint="eastAsia"/>
              </w:rPr>
              <w:t>生长期</w:t>
            </w:r>
          </w:p>
        </w:tc>
        <w:tc>
          <w:tcPr>
            <w:tcW w:w="4175" w:type="dxa"/>
            <w:shd w:val="clear" w:color="auto" w:fill="auto"/>
          </w:tcPr>
          <w:p w14:paraId="79233DB7">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1.</w:t>
            </w:r>
            <w:r>
              <w:rPr>
                <w:rFonts w:ascii="宋体"/>
                <w:sz w:val="18"/>
                <w:szCs w:val="20"/>
              </w:rPr>
              <w:t>防治霉斑穿孔病或褐斑穿孔病，于萌芽前喷5波美度石硫合剂，或喷</w:t>
            </w:r>
            <w:r>
              <w:rPr>
                <w:rFonts w:hint="eastAsia" w:ascii="宋体"/>
                <w:sz w:val="18"/>
                <w:szCs w:val="20"/>
              </w:rPr>
              <w:t>05：1：100</w:t>
            </w:r>
            <w:r>
              <w:rPr>
                <w:rFonts w:ascii="宋体"/>
                <w:sz w:val="18"/>
                <w:szCs w:val="20"/>
              </w:rPr>
              <w:t>的硫酸锌石灰液，或用65%代森锌600倍液。</w:t>
            </w:r>
            <w:r>
              <w:rPr>
                <w:rFonts w:hint="eastAsia" w:ascii="宋体"/>
                <w:sz w:val="18"/>
                <w:szCs w:val="20"/>
              </w:rPr>
              <w:t xml:space="preserve">                         </w:t>
            </w:r>
          </w:p>
          <w:p w14:paraId="2FED2988">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2.</w:t>
            </w:r>
            <w:r>
              <w:rPr>
                <w:rFonts w:ascii="宋体"/>
                <w:sz w:val="18"/>
                <w:szCs w:val="20"/>
              </w:rPr>
              <w:t>生长期喷75%百菌清600</w:t>
            </w:r>
            <w:r>
              <w:rPr>
                <w:rFonts w:hint="eastAsia" w:ascii="宋体" w:hAnsi="Times New Roman" w:eastAsia="宋体" w:cs="Times New Roman"/>
                <w:kern w:val="0"/>
                <w:sz w:val="21"/>
                <w:szCs w:val="20"/>
                <w:lang w:val="en-US" w:eastAsia="zh-CN" w:bidi="ar-SA"/>
              </w:rPr>
              <w:t>-</w:t>
            </w:r>
            <w:r>
              <w:rPr>
                <w:rFonts w:ascii="宋体"/>
                <w:sz w:val="18"/>
                <w:szCs w:val="20"/>
              </w:rPr>
              <w:t>800倍液，或70%</w:t>
            </w:r>
            <w:r>
              <w:fldChar w:fldCharType="begin"/>
            </w:r>
            <w:r>
              <w:instrText xml:space="preserve"> HYPERLINK "https://baike.baidu.com/item/%E7%94%B2%E5%9F%BA%E6%89%98%E5%B8%83%E6%B4%A5/11025438?fromModule=lemma_inlink" \t "_blank" </w:instrText>
            </w:r>
            <w:r>
              <w:fldChar w:fldCharType="separate"/>
            </w:r>
            <w:r>
              <w:rPr>
                <w:rStyle w:val="33"/>
                <w:sz w:val="18"/>
                <w:szCs w:val="20"/>
              </w:rPr>
              <w:t>甲基托布津</w:t>
            </w:r>
            <w:r>
              <w:rPr>
                <w:rStyle w:val="33"/>
                <w:sz w:val="18"/>
                <w:szCs w:val="20"/>
              </w:rPr>
              <w:fldChar w:fldCharType="end"/>
            </w:r>
            <w:r>
              <w:rPr>
                <w:rFonts w:ascii="宋体"/>
                <w:sz w:val="18"/>
                <w:szCs w:val="20"/>
              </w:rPr>
              <w:t>1000</w:t>
            </w:r>
            <w:r>
              <w:rPr>
                <w:rFonts w:hint="eastAsia" w:ascii="宋体" w:hAnsi="Times New Roman" w:eastAsia="宋体" w:cs="Times New Roman"/>
                <w:kern w:val="0"/>
                <w:sz w:val="21"/>
                <w:szCs w:val="20"/>
                <w:lang w:val="en-US" w:eastAsia="zh-CN" w:bidi="ar-SA"/>
              </w:rPr>
              <w:t>-</w:t>
            </w:r>
            <w:r>
              <w:rPr>
                <w:rFonts w:ascii="宋体"/>
                <w:sz w:val="18"/>
                <w:szCs w:val="20"/>
              </w:rPr>
              <w:t>1500倍液；或百万分之一百至五百的</w:t>
            </w:r>
            <w:r>
              <w:fldChar w:fldCharType="begin"/>
            </w:r>
            <w:r>
              <w:instrText xml:space="preserve"> HYPERLINK "https://baike.baidu.com/item/%E5%86%9C%E7%94%A8%E9%93%BE%E9%9C%89%E7%B4%A0/6547596?fromModule=lemma_inlink" \t "_blank" </w:instrText>
            </w:r>
            <w:r>
              <w:fldChar w:fldCharType="separate"/>
            </w:r>
            <w:r>
              <w:rPr>
                <w:rStyle w:val="33"/>
                <w:sz w:val="18"/>
                <w:szCs w:val="20"/>
              </w:rPr>
              <w:t>农用链霉素</w:t>
            </w:r>
            <w:r>
              <w:rPr>
                <w:rStyle w:val="33"/>
                <w:sz w:val="18"/>
                <w:szCs w:val="20"/>
              </w:rPr>
              <w:fldChar w:fldCharType="end"/>
            </w:r>
            <w:r>
              <w:rPr>
                <w:rFonts w:ascii="宋体"/>
                <w:sz w:val="18"/>
                <w:szCs w:val="20"/>
              </w:rPr>
              <w:t>。</w:t>
            </w:r>
          </w:p>
        </w:tc>
        <w:tc>
          <w:tcPr>
            <w:tcW w:w="2334" w:type="dxa"/>
            <w:shd w:val="clear" w:color="auto" w:fill="auto"/>
          </w:tcPr>
          <w:p w14:paraId="42915C74">
            <w:pPr>
              <w:pStyle w:val="179"/>
            </w:pPr>
          </w:p>
          <w:p w14:paraId="07E14F80">
            <w:pPr>
              <w:pStyle w:val="179"/>
            </w:pPr>
          </w:p>
          <w:p w14:paraId="385F0DD0">
            <w:pPr>
              <w:pStyle w:val="179"/>
            </w:pPr>
            <w:r>
              <w:rPr>
                <w:rFonts w:hint="eastAsia"/>
              </w:rPr>
              <w:t>≥20</w:t>
            </w:r>
          </w:p>
        </w:tc>
      </w:tr>
      <w:tr w14:paraId="7F6179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65B14F38">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瘿螨、蚜虫、红蛛蛛</w:t>
            </w:r>
          </w:p>
        </w:tc>
        <w:tc>
          <w:tcPr>
            <w:tcW w:w="1417" w:type="dxa"/>
            <w:shd w:val="clear" w:color="auto" w:fill="auto"/>
            <w:vAlign w:val="center"/>
          </w:tcPr>
          <w:p w14:paraId="5E39082F">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梢期</w:t>
            </w:r>
          </w:p>
        </w:tc>
        <w:tc>
          <w:tcPr>
            <w:tcW w:w="4175" w:type="dxa"/>
            <w:shd w:val="clear" w:color="auto" w:fill="auto"/>
          </w:tcPr>
          <w:p w14:paraId="4CFBE20B">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1.加强水肥等栽培管理，增强三叉苦植株体抗力；</w:t>
            </w:r>
          </w:p>
          <w:p w14:paraId="761B9A35">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2.统一修剪，改善三叉苦植株的通风透光条件；</w:t>
            </w:r>
          </w:p>
          <w:p w14:paraId="1BF7D7C5">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3.药剂防治：新梢及嫩梢期喷药保护，药剂可选用：5%吡虫啉乳油2000倍液、20%灭扫利（甲氰菊酯）乳油1500</w:t>
            </w:r>
            <w:r>
              <w:rPr>
                <w:rFonts w:hint="eastAsia" w:ascii="宋体" w:hAnsi="Times New Roman" w:eastAsia="宋体" w:cs="Times New Roman"/>
                <w:kern w:val="0"/>
                <w:sz w:val="21"/>
                <w:szCs w:val="20"/>
                <w:lang w:val="en-US" w:eastAsia="zh-CN" w:bidi="ar-SA"/>
              </w:rPr>
              <w:t>-</w:t>
            </w:r>
            <w:r>
              <w:rPr>
                <w:rFonts w:hint="eastAsia" w:ascii="宋体"/>
                <w:sz w:val="18"/>
                <w:szCs w:val="20"/>
              </w:rPr>
              <w:t>3000倍液、20%氯虫苯甲酰胺3000</w:t>
            </w:r>
            <w:r>
              <w:rPr>
                <w:rFonts w:hint="eastAsia" w:ascii="宋体" w:hAnsi="Times New Roman" w:eastAsia="宋体" w:cs="Times New Roman"/>
                <w:kern w:val="0"/>
                <w:sz w:val="21"/>
                <w:szCs w:val="20"/>
                <w:lang w:val="en-US" w:eastAsia="zh-CN" w:bidi="ar-SA"/>
              </w:rPr>
              <w:t>-</w:t>
            </w:r>
            <w:r>
              <w:rPr>
                <w:rFonts w:hint="eastAsia" w:ascii="宋体"/>
                <w:sz w:val="18"/>
                <w:szCs w:val="20"/>
              </w:rPr>
              <w:t>4000倍液，各药应交替使用。</w:t>
            </w:r>
          </w:p>
        </w:tc>
        <w:tc>
          <w:tcPr>
            <w:tcW w:w="2334" w:type="dxa"/>
            <w:shd w:val="clear" w:color="auto" w:fill="auto"/>
          </w:tcPr>
          <w:p w14:paraId="0E1D656E">
            <w:pPr>
              <w:pStyle w:val="25"/>
              <w:widowControl/>
              <w:autoSpaceDE w:val="0"/>
              <w:spacing w:before="0" w:beforeAutospacing="0" w:after="0" w:afterAutospacing="0"/>
              <w:textAlignment w:val="baseline"/>
              <w:rPr>
                <w:rFonts w:ascii="宋体"/>
                <w:sz w:val="18"/>
                <w:szCs w:val="20"/>
              </w:rPr>
            </w:pPr>
          </w:p>
          <w:p w14:paraId="18C8DDAB">
            <w:pPr>
              <w:pStyle w:val="25"/>
              <w:widowControl/>
              <w:autoSpaceDE w:val="0"/>
              <w:spacing w:before="0" w:beforeAutospacing="0" w:after="0" w:afterAutospacing="0"/>
              <w:textAlignment w:val="baseline"/>
              <w:rPr>
                <w:rFonts w:ascii="宋体"/>
                <w:sz w:val="18"/>
                <w:szCs w:val="20"/>
              </w:rPr>
            </w:pPr>
          </w:p>
          <w:p w14:paraId="6CEC9F24">
            <w:pPr>
              <w:pStyle w:val="25"/>
              <w:widowControl/>
              <w:autoSpaceDE w:val="0"/>
              <w:spacing w:before="0" w:beforeAutospacing="0" w:after="0" w:afterAutospacing="0"/>
              <w:textAlignment w:val="baseline"/>
              <w:rPr>
                <w:rFonts w:ascii="宋体"/>
                <w:sz w:val="18"/>
                <w:szCs w:val="20"/>
              </w:rPr>
            </w:pPr>
          </w:p>
          <w:p w14:paraId="4CA226DB">
            <w:pPr>
              <w:pStyle w:val="25"/>
              <w:widowControl/>
              <w:autoSpaceDE w:val="0"/>
              <w:spacing w:before="0" w:beforeAutospacing="0" w:after="0" w:afterAutospacing="0"/>
              <w:ind w:firstLine="900" w:firstLineChars="500"/>
              <w:textAlignment w:val="baseline"/>
              <w:rPr>
                <w:rFonts w:ascii="宋体"/>
                <w:sz w:val="18"/>
                <w:szCs w:val="20"/>
              </w:rPr>
            </w:pPr>
            <w:r>
              <w:rPr>
                <w:rFonts w:hint="eastAsia" w:ascii="宋体"/>
                <w:sz w:val="18"/>
                <w:szCs w:val="20"/>
              </w:rPr>
              <w:t>≥20</w:t>
            </w:r>
          </w:p>
          <w:p w14:paraId="03B9864A">
            <w:pPr>
              <w:pStyle w:val="25"/>
              <w:widowControl/>
              <w:autoSpaceDE w:val="0"/>
              <w:spacing w:before="0" w:beforeAutospacing="0" w:after="0" w:afterAutospacing="0"/>
              <w:textAlignment w:val="baseline"/>
              <w:rPr>
                <w:rFonts w:ascii="宋体"/>
                <w:sz w:val="18"/>
                <w:szCs w:val="20"/>
              </w:rPr>
            </w:pPr>
          </w:p>
        </w:tc>
      </w:tr>
      <w:tr w14:paraId="38780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597E5127">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蓟马</w:t>
            </w:r>
          </w:p>
        </w:tc>
        <w:tc>
          <w:tcPr>
            <w:tcW w:w="1417" w:type="dxa"/>
            <w:shd w:val="clear" w:color="auto" w:fill="auto"/>
            <w:vAlign w:val="center"/>
          </w:tcPr>
          <w:p w14:paraId="5DFC2D8B">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梢期</w:t>
            </w:r>
          </w:p>
        </w:tc>
        <w:tc>
          <w:tcPr>
            <w:tcW w:w="4175" w:type="dxa"/>
            <w:shd w:val="clear" w:color="auto" w:fill="auto"/>
          </w:tcPr>
          <w:p w14:paraId="2E6C0850">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1.加强水肥等栽培管理，增强三叉苦植株体抗力；</w:t>
            </w:r>
          </w:p>
          <w:p w14:paraId="01879E3D">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2.统一修剪，改善三叉苦植株的通风透光条件；</w:t>
            </w:r>
          </w:p>
          <w:p w14:paraId="4ACE2DFA">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3.药剂防治：新梢及嫩梢期喷药保护，药剂可选用：5%吡虫啉乳油2000倍液、20%灭扫利（甲氰菊酯）乳油1500</w:t>
            </w:r>
            <w:r>
              <w:rPr>
                <w:rFonts w:hint="eastAsia" w:ascii="宋体" w:hAnsi="Times New Roman" w:eastAsia="宋体" w:cs="Times New Roman"/>
                <w:kern w:val="0"/>
                <w:sz w:val="21"/>
                <w:szCs w:val="20"/>
                <w:lang w:val="en-US" w:eastAsia="zh-CN" w:bidi="ar-SA"/>
              </w:rPr>
              <w:t>-</w:t>
            </w:r>
            <w:r>
              <w:rPr>
                <w:rFonts w:hint="eastAsia" w:ascii="宋体"/>
                <w:sz w:val="18"/>
                <w:szCs w:val="20"/>
              </w:rPr>
              <w:t>3000倍液、20%氯虫苯甲酰胺3000</w:t>
            </w:r>
            <w:r>
              <w:rPr>
                <w:rFonts w:hint="eastAsia" w:ascii="宋体" w:hAnsi="Times New Roman" w:eastAsia="宋体" w:cs="Times New Roman"/>
                <w:kern w:val="0"/>
                <w:sz w:val="21"/>
                <w:szCs w:val="20"/>
                <w:lang w:val="en-US" w:eastAsia="zh-CN" w:bidi="ar-SA"/>
              </w:rPr>
              <w:t>-</w:t>
            </w:r>
            <w:r>
              <w:rPr>
                <w:rFonts w:hint="eastAsia" w:ascii="宋体"/>
                <w:sz w:val="18"/>
                <w:szCs w:val="20"/>
              </w:rPr>
              <w:t>4000倍液，各药应交替使用。</w:t>
            </w:r>
          </w:p>
        </w:tc>
        <w:tc>
          <w:tcPr>
            <w:tcW w:w="2334" w:type="dxa"/>
            <w:shd w:val="clear" w:color="auto" w:fill="auto"/>
          </w:tcPr>
          <w:p w14:paraId="62C6A2EA">
            <w:pPr>
              <w:pStyle w:val="25"/>
              <w:widowControl/>
              <w:autoSpaceDE w:val="0"/>
              <w:spacing w:before="0" w:beforeAutospacing="0" w:after="0" w:afterAutospacing="0"/>
              <w:textAlignment w:val="baseline"/>
              <w:rPr>
                <w:rFonts w:ascii="宋体"/>
                <w:sz w:val="18"/>
                <w:szCs w:val="20"/>
              </w:rPr>
            </w:pPr>
          </w:p>
          <w:p w14:paraId="7964E12B">
            <w:pPr>
              <w:pStyle w:val="25"/>
              <w:widowControl/>
              <w:autoSpaceDE w:val="0"/>
              <w:spacing w:before="0" w:beforeAutospacing="0" w:after="0" w:afterAutospacing="0"/>
              <w:textAlignment w:val="baseline"/>
              <w:rPr>
                <w:rFonts w:ascii="宋体"/>
                <w:sz w:val="18"/>
                <w:szCs w:val="20"/>
              </w:rPr>
            </w:pPr>
          </w:p>
          <w:p w14:paraId="2E1F199F">
            <w:pPr>
              <w:pStyle w:val="25"/>
              <w:widowControl/>
              <w:autoSpaceDE w:val="0"/>
              <w:spacing w:before="0" w:beforeAutospacing="0" w:after="0" w:afterAutospacing="0"/>
              <w:textAlignment w:val="baseline"/>
              <w:rPr>
                <w:rFonts w:ascii="宋体"/>
                <w:sz w:val="18"/>
                <w:szCs w:val="20"/>
              </w:rPr>
            </w:pPr>
          </w:p>
          <w:p w14:paraId="7A26AAEC">
            <w:pPr>
              <w:pStyle w:val="25"/>
              <w:widowControl/>
              <w:autoSpaceDE w:val="0"/>
              <w:spacing w:before="0" w:beforeAutospacing="0" w:after="0" w:afterAutospacing="0"/>
              <w:ind w:firstLine="900" w:firstLineChars="500"/>
              <w:textAlignment w:val="baseline"/>
              <w:rPr>
                <w:rFonts w:ascii="宋体"/>
                <w:sz w:val="18"/>
                <w:szCs w:val="20"/>
              </w:rPr>
            </w:pPr>
            <w:r>
              <w:rPr>
                <w:rFonts w:hint="eastAsia" w:ascii="宋体"/>
                <w:sz w:val="18"/>
                <w:szCs w:val="20"/>
              </w:rPr>
              <w:t>≥20</w:t>
            </w:r>
          </w:p>
        </w:tc>
      </w:tr>
      <w:tr w14:paraId="3C375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6FEA547C">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蛾类、蝶类</w:t>
            </w:r>
          </w:p>
        </w:tc>
        <w:tc>
          <w:tcPr>
            <w:tcW w:w="1417" w:type="dxa"/>
            <w:shd w:val="clear" w:color="auto" w:fill="auto"/>
            <w:vAlign w:val="center"/>
          </w:tcPr>
          <w:p w14:paraId="0BB81847">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梢期和生长期</w:t>
            </w:r>
          </w:p>
        </w:tc>
        <w:tc>
          <w:tcPr>
            <w:tcW w:w="4175" w:type="dxa"/>
            <w:shd w:val="clear" w:color="auto" w:fill="auto"/>
          </w:tcPr>
          <w:p w14:paraId="30881FC1">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药剂防治：苏云金杆菌喷雾，按农药标签使用；</w:t>
            </w:r>
          </w:p>
          <w:p w14:paraId="7136FF49">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阿维菌喷雾，按农药标签使用。</w:t>
            </w:r>
          </w:p>
        </w:tc>
        <w:tc>
          <w:tcPr>
            <w:tcW w:w="2334" w:type="dxa"/>
            <w:shd w:val="clear" w:color="auto" w:fill="auto"/>
          </w:tcPr>
          <w:p w14:paraId="65EC7AFE">
            <w:pPr>
              <w:pStyle w:val="25"/>
              <w:widowControl/>
              <w:autoSpaceDE w:val="0"/>
              <w:spacing w:before="0" w:beforeAutospacing="0" w:after="0" w:afterAutospacing="0"/>
              <w:ind w:firstLine="720" w:firstLineChars="400"/>
              <w:textAlignment w:val="baseline"/>
              <w:rPr>
                <w:rFonts w:ascii="宋体"/>
                <w:sz w:val="18"/>
                <w:szCs w:val="20"/>
              </w:rPr>
            </w:pPr>
            <w:r>
              <w:rPr>
                <w:rFonts w:hint="eastAsia" w:ascii="宋体"/>
                <w:sz w:val="18"/>
                <w:szCs w:val="20"/>
              </w:rPr>
              <w:t>≥20</w:t>
            </w:r>
          </w:p>
        </w:tc>
      </w:tr>
      <w:tr w14:paraId="1E129F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32E97E15">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金龟子</w:t>
            </w:r>
          </w:p>
        </w:tc>
        <w:tc>
          <w:tcPr>
            <w:tcW w:w="1417" w:type="dxa"/>
            <w:shd w:val="clear" w:color="auto" w:fill="auto"/>
            <w:vAlign w:val="center"/>
          </w:tcPr>
          <w:p w14:paraId="4296AD31">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梢期和生长期</w:t>
            </w:r>
          </w:p>
        </w:tc>
        <w:tc>
          <w:tcPr>
            <w:tcW w:w="4175" w:type="dxa"/>
            <w:shd w:val="clear" w:color="auto" w:fill="auto"/>
          </w:tcPr>
          <w:p w14:paraId="297F082B">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1.物理防治：灯光引诱捕杀等；</w:t>
            </w:r>
          </w:p>
          <w:p w14:paraId="09692B85">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2.药剂防治：苏云金杆菌喷雾，按农药标签使用；</w:t>
            </w:r>
          </w:p>
          <w:p w14:paraId="22B75540">
            <w:pPr>
              <w:pStyle w:val="25"/>
              <w:widowControl/>
              <w:autoSpaceDE w:val="0"/>
              <w:spacing w:before="0" w:beforeAutospacing="0" w:after="0" w:afterAutospacing="0"/>
              <w:textAlignment w:val="baseline"/>
              <w:rPr>
                <w:rFonts w:ascii="宋体"/>
                <w:sz w:val="18"/>
                <w:szCs w:val="20"/>
              </w:rPr>
            </w:pPr>
            <w:r>
              <w:rPr>
                <w:rFonts w:hint="eastAsia" w:ascii="宋体"/>
                <w:sz w:val="18"/>
                <w:szCs w:val="20"/>
              </w:rPr>
              <w:t>绿僵菌喷雾或撒施，按农药标签使用。</w:t>
            </w:r>
          </w:p>
        </w:tc>
        <w:tc>
          <w:tcPr>
            <w:tcW w:w="2334" w:type="dxa"/>
            <w:shd w:val="clear" w:color="auto" w:fill="auto"/>
          </w:tcPr>
          <w:p w14:paraId="6E4E3A1C">
            <w:pPr>
              <w:pStyle w:val="25"/>
              <w:widowControl/>
              <w:autoSpaceDE w:val="0"/>
              <w:spacing w:before="0" w:beforeAutospacing="0" w:after="0" w:afterAutospacing="0"/>
              <w:textAlignment w:val="baseline"/>
              <w:rPr>
                <w:rFonts w:ascii="宋体"/>
                <w:sz w:val="18"/>
                <w:szCs w:val="20"/>
              </w:rPr>
            </w:pPr>
          </w:p>
          <w:p w14:paraId="4A183769">
            <w:pPr>
              <w:pStyle w:val="25"/>
              <w:widowControl/>
              <w:autoSpaceDE w:val="0"/>
              <w:spacing w:before="0" w:beforeAutospacing="0" w:after="0" w:afterAutospacing="0"/>
              <w:ind w:firstLine="720" w:firstLineChars="400"/>
              <w:textAlignment w:val="baseline"/>
              <w:rPr>
                <w:rFonts w:ascii="宋体"/>
                <w:sz w:val="18"/>
                <w:szCs w:val="20"/>
              </w:rPr>
            </w:pPr>
            <w:r>
              <w:rPr>
                <w:rFonts w:hint="eastAsia" w:ascii="宋体"/>
                <w:sz w:val="18"/>
                <w:szCs w:val="20"/>
              </w:rPr>
              <w:t>≥20</w:t>
            </w:r>
          </w:p>
        </w:tc>
      </w:tr>
      <w:tr w14:paraId="37990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shd w:val="clear" w:color="auto" w:fill="auto"/>
            <w:vAlign w:val="center"/>
          </w:tcPr>
          <w:p w14:paraId="4B6D4CE8">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介壳虫</w:t>
            </w:r>
          </w:p>
        </w:tc>
        <w:tc>
          <w:tcPr>
            <w:tcW w:w="1417" w:type="dxa"/>
            <w:shd w:val="clear" w:color="auto" w:fill="auto"/>
            <w:vAlign w:val="center"/>
          </w:tcPr>
          <w:p w14:paraId="3B2C322E">
            <w:pPr>
              <w:pStyle w:val="25"/>
              <w:widowControl/>
              <w:autoSpaceDE w:val="0"/>
              <w:spacing w:before="0" w:beforeAutospacing="0" w:after="0" w:afterAutospacing="0"/>
              <w:jc w:val="center"/>
              <w:textAlignment w:val="baseline"/>
              <w:rPr>
                <w:rFonts w:ascii="宋体"/>
                <w:sz w:val="18"/>
                <w:szCs w:val="20"/>
              </w:rPr>
            </w:pPr>
            <w:r>
              <w:rPr>
                <w:rFonts w:hint="eastAsia" w:ascii="宋体"/>
                <w:sz w:val="18"/>
                <w:szCs w:val="20"/>
              </w:rPr>
              <w:t>全年</w:t>
            </w:r>
          </w:p>
        </w:tc>
        <w:tc>
          <w:tcPr>
            <w:tcW w:w="4175" w:type="dxa"/>
            <w:shd w:val="clear" w:color="auto" w:fill="auto"/>
          </w:tcPr>
          <w:p w14:paraId="298DD6A5">
            <w:pPr>
              <w:pStyle w:val="25"/>
              <w:widowControl/>
              <w:autoSpaceDE w:val="0"/>
              <w:spacing w:before="0" w:beforeAutospacing="0" w:after="0" w:afterAutospacing="0"/>
              <w:ind w:firstLine="180" w:firstLineChars="100"/>
              <w:textAlignment w:val="baseline"/>
              <w:rPr>
                <w:rFonts w:ascii="宋体"/>
                <w:sz w:val="18"/>
                <w:szCs w:val="20"/>
              </w:rPr>
            </w:pPr>
            <w:r>
              <w:rPr>
                <w:rFonts w:hint="eastAsia" w:ascii="宋体"/>
                <w:sz w:val="18"/>
                <w:szCs w:val="20"/>
              </w:rPr>
              <w:t>药剂防治：螺虫乙酯喷雾，按农药标签使用；</w:t>
            </w:r>
          </w:p>
          <w:p w14:paraId="417039CE">
            <w:pPr>
              <w:pStyle w:val="25"/>
              <w:widowControl/>
              <w:autoSpaceDE w:val="0"/>
              <w:spacing w:before="0" w:beforeAutospacing="0" w:after="0" w:afterAutospacing="0"/>
              <w:textAlignment w:val="baseline"/>
              <w:rPr>
                <w:rFonts w:ascii="宋体"/>
                <w:sz w:val="18"/>
                <w:szCs w:val="20"/>
              </w:rPr>
            </w:pPr>
            <w:r>
              <w:rPr>
                <w:rFonts w:hint="eastAsia" w:ascii="宋体"/>
                <w:sz w:val="18"/>
                <w:szCs w:val="20"/>
              </w:rPr>
              <w:t>链苯菊酯喷雾，按农药标签使用</w:t>
            </w:r>
          </w:p>
        </w:tc>
        <w:tc>
          <w:tcPr>
            <w:tcW w:w="2334" w:type="dxa"/>
            <w:shd w:val="clear" w:color="auto" w:fill="auto"/>
          </w:tcPr>
          <w:p w14:paraId="096660B7">
            <w:pPr>
              <w:pStyle w:val="25"/>
              <w:widowControl/>
              <w:autoSpaceDE w:val="0"/>
              <w:spacing w:before="0" w:beforeAutospacing="0" w:after="0" w:afterAutospacing="0"/>
              <w:ind w:firstLine="720" w:firstLineChars="400"/>
              <w:textAlignment w:val="baseline"/>
              <w:rPr>
                <w:rFonts w:ascii="宋体"/>
                <w:sz w:val="18"/>
                <w:szCs w:val="20"/>
              </w:rPr>
            </w:pPr>
            <w:r>
              <w:rPr>
                <w:rFonts w:hint="eastAsia" w:ascii="宋体"/>
                <w:sz w:val="18"/>
                <w:szCs w:val="20"/>
              </w:rPr>
              <w:t>≥20</w:t>
            </w:r>
          </w:p>
        </w:tc>
      </w:tr>
    </w:tbl>
    <w:p w14:paraId="05B6D3A0">
      <w:pPr>
        <w:pStyle w:val="57"/>
        <w:ind w:firstLine="420"/>
      </w:pPr>
    </w:p>
    <w:p w14:paraId="51E154E6">
      <w:pPr>
        <w:pStyle w:val="57"/>
        <w:ind w:firstLine="420"/>
      </w:pPr>
    </w:p>
    <w:p w14:paraId="4C82E919">
      <w:pPr>
        <w:pStyle w:val="57"/>
        <w:ind w:firstLine="420"/>
      </w:pPr>
    </w:p>
    <w:p w14:paraId="55355359">
      <w:pPr>
        <w:pStyle w:val="57"/>
        <w:ind w:firstLine="420"/>
      </w:pPr>
    </w:p>
    <w:p w14:paraId="79CB736A">
      <w:pPr>
        <w:pStyle w:val="57"/>
        <w:ind w:firstLine="420"/>
      </w:pPr>
    </w:p>
    <w:bookmarkEnd w:id="83"/>
    <w:p w14:paraId="0B42C119">
      <w:pPr>
        <w:pStyle w:val="57"/>
        <w:ind w:firstLine="420"/>
        <w:sectPr>
          <w:pgSz w:w="11906" w:h="16838"/>
          <w:pgMar w:top="1928" w:right="1134" w:bottom="1134" w:left="1134" w:header="1418" w:footer="1134" w:gutter="284"/>
          <w:cols w:space="425" w:num="1"/>
          <w:formProt w:val="0"/>
          <w:docGrid w:linePitch="312" w:charSpace="0"/>
        </w:sectPr>
      </w:pPr>
      <w:bookmarkStart w:id="84" w:name="BookMark6"/>
    </w:p>
    <w:p w14:paraId="615D6B46">
      <w:pPr>
        <w:pStyle w:val="64"/>
        <w:spacing w:after="120"/>
      </w:pPr>
      <w:bookmarkStart w:id="85" w:name="_Toc173492388"/>
      <w:bookmarkStart w:id="86" w:name="_Toc173492422"/>
      <w:r>
        <w:rPr>
          <w:rFonts w:hint="eastAsia"/>
          <w:spacing w:val="105"/>
        </w:rPr>
        <w:t>参考文</w:t>
      </w:r>
      <w:r>
        <w:rPr>
          <w:rFonts w:hint="eastAsia"/>
        </w:rPr>
        <w:t>献</w:t>
      </w:r>
      <w:bookmarkEnd w:id="85"/>
      <w:bookmarkEnd w:id="86"/>
    </w:p>
    <w:p w14:paraId="0C00D2F0">
      <w:pPr>
        <w:spacing w:line="240" w:lineRule="auto"/>
        <w:ind w:firstLine="420" w:firstLineChars="200"/>
        <w:rPr>
          <w:rFonts w:hint="eastAsia" w:ascii="宋体" w:hAnsi="宋体"/>
          <w:lang w:val="zh-CN"/>
        </w:rPr>
      </w:pPr>
      <w:r>
        <w:rPr>
          <w:rFonts w:hint="eastAsia" w:ascii="宋体" w:hAnsi="宋体"/>
        </w:rPr>
        <w:t>[1]</w:t>
      </w:r>
      <w:bookmarkStart w:id="87" w:name="OLE_LINK5"/>
      <w:r>
        <w:rPr>
          <w:rFonts w:hint="eastAsia" w:ascii="宋体" w:hAnsi="宋体"/>
          <w:lang w:val="en-US" w:eastAsia="zh-CN"/>
        </w:rPr>
        <w:t xml:space="preserve">  </w:t>
      </w:r>
      <w:bookmarkEnd w:id="87"/>
      <w:r>
        <w:rPr>
          <w:rFonts w:hint="eastAsia" w:ascii="宋体" w:hAnsi="宋体"/>
          <w:lang w:val="zh-CN"/>
        </w:rPr>
        <w:t>GB 3095-</w:t>
      </w:r>
      <w:r>
        <w:rPr>
          <w:rFonts w:hint="eastAsia" w:ascii="宋体" w:hAnsi="宋体"/>
          <w:lang w:val="zh-CN"/>
        </w:rPr>
        <w:t>2012  环境空气质量标准</w:t>
      </w:r>
    </w:p>
    <w:p w14:paraId="16A8EC80">
      <w:pPr>
        <w:spacing w:line="240" w:lineRule="auto"/>
        <w:ind w:firstLine="420" w:firstLineChars="200"/>
        <w:rPr>
          <w:rFonts w:hint="eastAsia" w:ascii="宋体" w:hAnsi="宋体"/>
          <w:lang w:val="zh-CN"/>
        </w:rPr>
      </w:pPr>
      <w:bookmarkStart w:id="88" w:name="OLE_LINK13"/>
      <w:bookmarkStart w:id="89" w:name="OLE_LINK10"/>
      <w:r>
        <w:rPr>
          <w:rFonts w:hint="eastAsia" w:ascii="宋体" w:hAnsi="宋体"/>
        </w:rPr>
        <w:t xml:space="preserve">[2] </w:t>
      </w:r>
      <w:r>
        <w:rPr>
          <w:rFonts w:hint="eastAsia" w:ascii="宋体" w:hAnsi="宋体"/>
          <w:lang w:val="en-US" w:eastAsia="zh-CN"/>
        </w:rPr>
        <w:t xml:space="preserve"> </w:t>
      </w:r>
      <w:r>
        <w:rPr>
          <w:rFonts w:hint="eastAsia" w:ascii="宋体" w:hAnsi="宋体"/>
          <w:lang w:val="zh-CN"/>
        </w:rPr>
        <w:t>GB 4285-89  农药安全使用标准</w:t>
      </w:r>
      <w:bookmarkEnd w:id="88"/>
    </w:p>
    <w:bookmarkEnd w:id="89"/>
    <w:p w14:paraId="69859D86">
      <w:pPr>
        <w:spacing w:line="240" w:lineRule="auto"/>
        <w:ind w:firstLine="420" w:firstLineChars="200"/>
        <w:rPr>
          <w:rFonts w:hint="eastAsia" w:ascii="宋体" w:hAnsi="宋体"/>
          <w:lang w:val="zh-CN"/>
        </w:rPr>
      </w:pPr>
      <w:r>
        <w:rPr>
          <w:rFonts w:hint="eastAsia" w:ascii="宋体" w:hAnsi="宋体"/>
        </w:rPr>
        <w:t xml:space="preserve">[3] </w:t>
      </w:r>
      <w:r>
        <w:rPr>
          <w:rFonts w:hint="eastAsia" w:ascii="宋体" w:hAnsi="宋体"/>
          <w:lang w:val="en-US" w:eastAsia="zh-CN"/>
        </w:rPr>
        <w:t xml:space="preserve"> </w:t>
      </w:r>
      <w:r>
        <w:rPr>
          <w:rFonts w:hint="eastAsia" w:ascii="宋体" w:hAnsi="宋体"/>
          <w:lang w:val="zh-CN"/>
        </w:rPr>
        <w:t>GB 15618-2018  土壤环境质量农用地土壤污染风险管控标准</w:t>
      </w:r>
    </w:p>
    <w:p w14:paraId="45F91245">
      <w:pPr>
        <w:spacing w:line="240" w:lineRule="auto"/>
        <w:ind w:firstLine="420" w:firstLineChars="200"/>
        <w:rPr>
          <w:rFonts w:hint="eastAsia" w:ascii="宋体" w:hAnsi="宋体"/>
          <w:lang w:val="zh-CN"/>
        </w:rPr>
      </w:pPr>
      <w:r>
        <w:rPr>
          <w:rFonts w:hint="eastAsia" w:ascii="宋体" w:hAnsi="宋体"/>
        </w:rPr>
        <w:t xml:space="preserve">[4] </w:t>
      </w:r>
      <w:r>
        <w:rPr>
          <w:rFonts w:hint="eastAsia" w:ascii="宋体" w:hAnsi="宋体"/>
          <w:lang w:val="en-US" w:eastAsia="zh-CN"/>
        </w:rPr>
        <w:t xml:space="preserve"> </w:t>
      </w:r>
      <w:r>
        <w:rPr>
          <w:rFonts w:hint="eastAsia" w:ascii="宋体" w:hAnsi="宋体"/>
        </w:rPr>
        <w:t xml:space="preserve">NY/T 525-2021  </w:t>
      </w:r>
      <w:r>
        <w:rPr>
          <w:rFonts w:hint="eastAsia" w:ascii="宋体" w:hAnsi="宋体"/>
          <w:lang w:val="zh-CN"/>
        </w:rPr>
        <w:t>有机肥料</w:t>
      </w:r>
    </w:p>
    <w:p w14:paraId="7F3EACD1">
      <w:pPr>
        <w:spacing w:line="240" w:lineRule="auto"/>
        <w:ind w:firstLine="420" w:firstLineChars="200"/>
        <w:rPr>
          <w:rFonts w:hint="eastAsia" w:ascii="宋体" w:hAnsi="宋体"/>
        </w:rPr>
      </w:pPr>
      <w:bookmarkStart w:id="90" w:name="OLE_LINK21"/>
      <w:r>
        <w:rPr>
          <w:rFonts w:hint="eastAsia" w:ascii="宋体" w:hAnsi="宋体"/>
        </w:rPr>
        <w:t>[5]</w:t>
      </w:r>
      <w:bookmarkStart w:id="91" w:name="OLE_LINK16"/>
      <w:r>
        <w:rPr>
          <w:rFonts w:hint="eastAsia" w:ascii="宋体" w:hAnsi="宋体"/>
          <w:lang w:val="zh-CN"/>
        </w:rPr>
        <w:t xml:space="preserve"> </w:t>
      </w:r>
      <w:bookmarkEnd w:id="91"/>
      <w:r>
        <w:rPr>
          <w:rFonts w:hint="eastAsia" w:ascii="宋体" w:hAnsi="宋体"/>
          <w:lang w:val="en-US" w:eastAsia="zh-CN"/>
        </w:rPr>
        <w:t xml:space="preserve"> </w:t>
      </w:r>
      <w:r>
        <w:rPr>
          <w:rFonts w:hint="eastAsia" w:ascii="宋体" w:hAnsi="宋体"/>
          <w:lang w:val="zh-CN"/>
        </w:rPr>
        <w:t>NY/T 1276  农药安全使用规范总则</w:t>
      </w:r>
    </w:p>
    <w:bookmarkEnd w:id="90"/>
    <w:p w14:paraId="2278C045">
      <w:pPr>
        <w:spacing w:line="240" w:lineRule="auto"/>
        <w:ind w:firstLine="420" w:firstLineChars="200"/>
        <w:rPr>
          <w:rFonts w:hint="eastAsia" w:ascii="宋体" w:hAnsi="宋体"/>
        </w:rPr>
      </w:pPr>
      <w:bookmarkStart w:id="92" w:name="OLE_LINK23"/>
      <w:r>
        <w:rPr>
          <w:rFonts w:hint="eastAsia" w:ascii="宋体" w:hAnsi="宋体"/>
        </w:rPr>
        <w:t>[6]</w:t>
      </w:r>
      <w:bookmarkStart w:id="93" w:name="OLE_LINK18"/>
      <w:r>
        <w:rPr>
          <w:rFonts w:hint="eastAsia" w:ascii="宋体" w:hAnsi="宋体"/>
          <w:lang w:val="zh-CN"/>
        </w:rPr>
        <w:t xml:space="preserve"> </w:t>
      </w:r>
      <w:bookmarkEnd w:id="93"/>
      <w:r>
        <w:rPr>
          <w:rFonts w:hint="eastAsia" w:ascii="宋体" w:hAnsi="宋体"/>
          <w:lang w:val="en-US" w:eastAsia="zh-CN"/>
        </w:rPr>
        <w:t xml:space="preserve"> </w:t>
      </w:r>
      <w:r>
        <w:rPr>
          <w:rFonts w:hint="eastAsia" w:ascii="宋体" w:hAnsi="宋体"/>
          <w:lang w:val="zh-CN"/>
        </w:rPr>
        <w:t>LY/T 1678-2014  食用林产品产地环境通用要求</w:t>
      </w:r>
    </w:p>
    <w:bookmarkEnd w:id="92"/>
    <w:p w14:paraId="0D74D1BD">
      <w:pPr>
        <w:spacing w:line="240" w:lineRule="auto"/>
        <w:ind w:firstLine="420" w:firstLineChars="200"/>
        <w:rPr>
          <w:rFonts w:hint="eastAsia" w:ascii="宋体" w:hAnsi="宋体"/>
          <w:lang w:val="zh-CN"/>
        </w:rPr>
      </w:pPr>
      <w:r>
        <w:rPr>
          <w:rFonts w:hint="eastAsia" w:ascii="宋体" w:hAnsi="宋体"/>
        </w:rPr>
        <w:t>[7]</w:t>
      </w:r>
      <w:r>
        <w:rPr>
          <w:rFonts w:ascii="宋体" w:hAnsi="宋体"/>
        </w:rPr>
        <w:t xml:space="preserve"> </w:t>
      </w:r>
      <w:r>
        <w:rPr>
          <w:rFonts w:hint="eastAsia" w:ascii="宋体" w:hAnsi="宋体"/>
          <w:lang w:val="en-US" w:eastAsia="zh-CN"/>
        </w:rPr>
        <w:t xml:space="preserve"> </w:t>
      </w:r>
      <w:r>
        <w:rPr>
          <w:rFonts w:hint="eastAsia" w:ascii="宋体" w:hAnsi="宋体"/>
          <w:lang w:val="zh-CN"/>
        </w:rPr>
        <w:t>DB4409/T48-2023  三叉苦种植技术规范</w:t>
      </w:r>
    </w:p>
    <w:p w14:paraId="559EFBC0">
      <w:pPr>
        <w:pStyle w:val="57"/>
        <w:ind w:firstLine="420"/>
      </w:pPr>
      <w:r>
        <w:rPr>
          <w:rFonts w:hint="eastAsia" w:ascii="宋体" w:hAnsi="宋体"/>
        </w:rPr>
        <w:t>[8]</w:t>
      </w:r>
      <w:bookmarkStart w:id="94" w:name="OLE_LINK22"/>
      <w:r>
        <w:rPr>
          <w:rFonts w:hint="eastAsia" w:ascii="宋体" w:hAnsi="宋体"/>
          <w:lang w:val="zh-CN"/>
        </w:rPr>
        <w:t xml:space="preserve"> </w:t>
      </w:r>
      <w:bookmarkEnd w:id="94"/>
      <w:r>
        <w:rPr>
          <w:rFonts w:hint="eastAsia" w:ascii="宋体" w:hAnsi="宋体"/>
          <w:lang w:val="en-US" w:eastAsia="zh-CN"/>
        </w:rPr>
        <w:t xml:space="preserve"> </w:t>
      </w:r>
      <w:r>
        <w:rPr>
          <w:rFonts w:hint="eastAsia" w:ascii="宋体" w:hAnsi="宋体"/>
          <w:lang w:val="zh-CN"/>
        </w:rPr>
        <w:t>国家中医药局.中药材生产质量管理规范（2022年第22号），</w:t>
      </w:r>
      <w:r>
        <w:rPr>
          <w:rFonts w:hint="eastAsia" w:ascii="宋体" w:hAnsi="宋体"/>
        </w:rPr>
        <w:t>2022.3</w:t>
      </w:r>
    </w:p>
    <w:p w14:paraId="4F2CE883">
      <w:pPr>
        <w:pStyle w:val="57"/>
        <w:ind w:firstLine="420"/>
      </w:pPr>
    </w:p>
    <w:bookmarkEnd w:id="84"/>
    <w:p w14:paraId="08E0DBC9">
      <w:pPr>
        <w:pStyle w:val="57"/>
        <w:ind w:firstLine="0" w:firstLineChars="0"/>
        <w:jc w:val="center"/>
      </w:pPr>
      <w:bookmarkStart w:id="95" w:name="BookMark8"/>
      <w:r>
        <w:drawing>
          <wp:inline distT="0" distB="0" distL="0" distR="0">
            <wp:extent cx="1485900" cy="317500"/>
            <wp:effectExtent l="0" t="0" r="0" b="6350"/>
            <wp:docPr id="844124693" name="图片 3"/>
            <wp:cNvGraphicFramePr/>
            <a:graphic xmlns:a="http://schemas.openxmlformats.org/drawingml/2006/main">
              <a:graphicData uri="http://schemas.openxmlformats.org/drawingml/2006/picture">
                <pic:pic xmlns:pic="http://schemas.openxmlformats.org/drawingml/2006/picture">
                  <pic:nvPicPr>
                    <pic:cNvPr id="84412469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2530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50AC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446D3">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7DDE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A264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F5133">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A776C">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142"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XjIufk4Pd7rx9FmpD7ouxwTR/NYuQSA/8lElKZOQ0/o7Kuru+Z3NTgENnj2PIdO+cXRIdipUcBHcSKF4cIrHdA==" w:salt="ZOOjA+2xkyvXlS8RKxmeh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ODYyYjMxM2ZjYmFlYzI0ZDc5NmQ4NTM4N2E2NzcifQ=="/>
  </w:docVars>
  <w:rsids>
    <w:rsidRoot w:val="00833074"/>
    <w:rsid w:val="0000040A"/>
    <w:rsid w:val="00000A94"/>
    <w:rsid w:val="00001972"/>
    <w:rsid w:val="00001D9A"/>
    <w:rsid w:val="00007B3A"/>
    <w:rsid w:val="000107E0"/>
    <w:rsid w:val="00011FDE"/>
    <w:rsid w:val="00012FFD"/>
    <w:rsid w:val="00014162"/>
    <w:rsid w:val="00014340"/>
    <w:rsid w:val="00016922"/>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161"/>
    <w:rsid w:val="00086AA1"/>
    <w:rsid w:val="00087A77"/>
    <w:rsid w:val="00090CA6"/>
    <w:rsid w:val="00092B8A"/>
    <w:rsid w:val="00092FB0"/>
    <w:rsid w:val="000934C5"/>
    <w:rsid w:val="00093D25"/>
    <w:rsid w:val="00093DAB"/>
    <w:rsid w:val="00094C8B"/>
    <w:rsid w:val="00094D73"/>
    <w:rsid w:val="00096D63"/>
    <w:rsid w:val="000A0B60"/>
    <w:rsid w:val="000A0EB8"/>
    <w:rsid w:val="000A19FC"/>
    <w:rsid w:val="000A296B"/>
    <w:rsid w:val="000A5114"/>
    <w:rsid w:val="000A7311"/>
    <w:rsid w:val="000B060F"/>
    <w:rsid w:val="000B1592"/>
    <w:rsid w:val="000B1FF2"/>
    <w:rsid w:val="000B3CDA"/>
    <w:rsid w:val="000B6A0B"/>
    <w:rsid w:val="000C0F6C"/>
    <w:rsid w:val="000C11DB"/>
    <w:rsid w:val="000C1492"/>
    <w:rsid w:val="000C2FBD"/>
    <w:rsid w:val="000C352C"/>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2B4B"/>
    <w:rsid w:val="00133010"/>
    <w:rsid w:val="001338EE"/>
    <w:rsid w:val="00133AAE"/>
    <w:rsid w:val="00135323"/>
    <w:rsid w:val="001356C4"/>
    <w:rsid w:val="00137565"/>
    <w:rsid w:val="00141114"/>
    <w:rsid w:val="00142969"/>
    <w:rsid w:val="001446C2"/>
    <w:rsid w:val="001457E7"/>
    <w:rsid w:val="00145D9D"/>
    <w:rsid w:val="00146370"/>
    <w:rsid w:val="00146388"/>
    <w:rsid w:val="0014749D"/>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C3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97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A72"/>
    <w:rsid w:val="001E3CC4"/>
    <w:rsid w:val="001E4882"/>
    <w:rsid w:val="001E73AB"/>
    <w:rsid w:val="001F092D"/>
    <w:rsid w:val="001F143A"/>
    <w:rsid w:val="001F1605"/>
    <w:rsid w:val="001F2508"/>
    <w:rsid w:val="001F4816"/>
    <w:rsid w:val="001F69B4"/>
    <w:rsid w:val="001F77C7"/>
    <w:rsid w:val="00200183"/>
    <w:rsid w:val="00200333"/>
    <w:rsid w:val="0020107D"/>
    <w:rsid w:val="00202123"/>
    <w:rsid w:val="00202AA4"/>
    <w:rsid w:val="002031F7"/>
    <w:rsid w:val="002040E6"/>
    <w:rsid w:val="0020527B"/>
    <w:rsid w:val="00205F2C"/>
    <w:rsid w:val="00206BA8"/>
    <w:rsid w:val="00210B15"/>
    <w:rsid w:val="002142EA"/>
    <w:rsid w:val="00215ADD"/>
    <w:rsid w:val="00216566"/>
    <w:rsid w:val="002204BB"/>
    <w:rsid w:val="00221B79"/>
    <w:rsid w:val="00221C6B"/>
    <w:rsid w:val="002253A1"/>
    <w:rsid w:val="00225CF8"/>
    <w:rsid w:val="0022794E"/>
    <w:rsid w:val="00230259"/>
    <w:rsid w:val="00233D64"/>
    <w:rsid w:val="0023482A"/>
    <w:rsid w:val="002359CB"/>
    <w:rsid w:val="0024141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062"/>
    <w:rsid w:val="00285170"/>
    <w:rsid w:val="00285361"/>
    <w:rsid w:val="00292D60"/>
    <w:rsid w:val="00293B30"/>
    <w:rsid w:val="00294D34"/>
    <w:rsid w:val="00294E3B"/>
    <w:rsid w:val="00296193"/>
    <w:rsid w:val="00296441"/>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84D"/>
    <w:rsid w:val="002C7EBB"/>
    <w:rsid w:val="002D06C1"/>
    <w:rsid w:val="002D42B5"/>
    <w:rsid w:val="002D4F1A"/>
    <w:rsid w:val="002D6EC6"/>
    <w:rsid w:val="002D79AC"/>
    <w:rsid w:val="002E039D"/>
    <w:rsid w:val="002E49C2"/>
    <w:rsid w:val="002E4D5A"/>
    <w:rsid w:val="002E6326"/>
    <w:rsid w:val="002F0EEA"/>
    <w:rsid w:val="002F30E0"/>
    <w:rsid w:val="002F35E4"/>
    <w:rsid w:val="002F3730"/>
    <w:rsid w:val="002F38E1"/>
    <w:rsid w:val="002F7AF6"/>
    <w:rsid w:val="00300E63"/>
    <w:rsid w:val="00302F5F"/>
    <w:rsid w:val="0030441D"/>
    <w:rsid w:val="00306063"/>
    <w:rsid w:val="00313B85"/>
    <w:rsid w:val="00316A23"/>
    <w:rsid w:val="00317988"/>
    <w:rsid w:val="003221B4"/>
    <w:rsid w:val="0032258D"/>
    <w:rsid w:val="00322E62"/>
    <w:rsid w:val="00324D13"/>
    <w:rsid w:val="00324EDD"/>
    <w:rsid w:val="003320EB"/>
    <w:rsid w:val="003331E4"/>
    <w:rsid w:val="00336C64"/>
    <w:rsid w:val="00337162"/>
    <w:rsid w:val="0034194F"/>
    <w:rsid w:val="00344605"/>
    <w:rsid w:val="003474AA"/>
    <w:rsid w:val="00350D1D"/>
    <w:rsid w:val="00352C83"/>
    <w:rsid w:val="00352F1A"/>
    <w:rsid w:val="003549A6"/>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0DAA"/>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DBD"/>
    <w:rsid w:val="00400E72"/>
    <w:rsid w:val="00401400"/>
    <w:rsid w:val="00404869"/>
    <w:rsid w:val="00405884"/>
    <w:rsid w:val="00407D39"/>
    <w:rsid w:val="0041477A"/>
    <w:rsid w:val="004167A3"/>
    <w:rsid w:val="00416BE7"/>
    <w:rsid w:val="00423505"/>
    <w:rsid w:val="00427CB7"/>
    <w:rsid w:val="00431AD4"/>
    <w:rsid w:val="00432DAA"/>
    <w:rsid w:val="00434305"/>
    <w:rsid w:val="00435DF7"/>
    <w:rsid w:val="0043741A"/>
    <w:rsid w:val="0044083F"/>
    <w:rsid w:val="00441A52"/>
    <w:rsid w:val="00441AE7"/>
    <w:rsid w:val="00445574"/>
    <w:rsid w:val="004467FB"/>
    <w:rsid w:val="00452D6B"/>
    <w:rsid w:val="00454484"/>
    <w:rsid w:val="0045517B"/>
    <w:rsid w:val="00463B77"/>
    <w:rsid w:val="00463C7B"/>
    <w:rsid w:val="004644A6"/>
    <w:rsid w:val="004659BD"/>
    <w:rsid w:val="004666C1"/>
    <w:rsid w:val="00470775"/>
    <w:rsid w:val="0047142A"/>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20D"/>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90D"/>
    <w:rsid w:val="004F6456"/>
    <w:rsid w:val="004F696E"/>
    <w:rsid w:val="004F6C71"/>
    <w:rsid w:val="00501139"/>
    <w:rsid w:val="0050363E"/>
    <w:rsid w:val="005039BC"/>
    <w:rsid w:val="005043BB"/>
    <w:rsid w:val="00504A3D"/>
    <w:rsid w:val="00505767"/>
    <w:rsid w:val="005073F0"/>
    <w:rsid w:val="00510A7B"/>
    <w:rsid w:val="00512EC8"/>
    <w:rsid w:val="00512F6E"/>
    <w:rsid w:val="00513038"/>
    <w:rsid w:val="00514174"/>
    <w:rsid w:val="00516088"/>
    <w:rsid w:val="00516B0B"/>
    <w:rsid w:val="00517026"/>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7B3"/>
    <w:rsid w:val="005A260B"/>
    <w:rsid w:val="005A4A1B"/>
    <w:rsid w:val="005A7830"/>
    <w:rsid w:val="005A7FCE"/>
    <w:rsid w:val="005B0F3F"/>
    <w:rsid w:val="005B191C"/>
    <w:rsid w:val="005B302B"/>
    <w:rsid w:val="005B4903"/>
    <w:rsid w:val="005B51CE"/>
    <w:rsid w:val="005B5885"/>
    <w:rsid w:val="005B5CD7"/>
    <w:rsid w:val="005B6CF6"/>
    <w:rsid w:val="005B7422"/>
    <w:rsid w:val="005C29B8"/>
    <w:rsid w:val="005C59C3"/>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CDC"/>
    <w:rsid w:val="006015CE"/>
    <w:rsid w:val="00604784"/>
    <w:rsid w:val="00606419"/>
    <w:rsid w:val="00607D29"/>
    <w:rsid w:val="00612952"/>
    <w:rsid w:val="00612D0E"/>
    <w:rsid w:val="00614CC1"/>
    <w:rsid w:val="00615A9D"/>
    <w:rsid w:val="00617387"/>
    <w:rsid w:val="006205D6"/>
    <w:rsid w:val="0062314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2EA"/>
    <w:rsid w:val="00693962"/>
    <w:rsid w:val="00696762"/>
    <w:rsid w:val="006A07AA"/>
    <w:rsid w:val="006A25E5"/>
    <w:rsid w:val="006A2B46"/>
    <w:rsid w:val="006A336D"/>
    <w:rsid w:val="006A37B9"/>
    <w:rsid w:val="006B2672"/>
    <w:rsid w:val="006B54BF"/>
    <w:rsid w:val="006B5F44"/>
    <w:rsid w:val="006B5F90"/>
    <w:rsid w:val="006B62E4"/>
    <w:rsid w:val="006C1BBA"/>
    <w:rsid w:val="006C2079"/>
    <w:rsid w:val="006C2C97"/>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B9D"/>
    <w:rsid w:val="00711CBA"/>
    <w:rsid w:val="00711FB5"/>
    <w:rsid w:val="00712A01"/>
    <w:rsid w:val="00714343"/>
    <w:rsid w:val="00714F58"/>
    <w:rsid w:val="00720C44"/>
    <w:rsid w:val="00722FBF"/>
    <w:rsid w:val="00722FC2"/>
    <w:rsid w:val="00724E1B"/>
    <w:rsid w:val="00725949"/>
    <w:rsid w:val="00725D1D"/>
    <w:rsid w:val="00727FA2"/>
    <w:rsid w:val="007322D9"/>
    <w:rsid w:val="00732BC0"/>
    <w:rsid w:val="0073720F"/>
    <w:rsid w:val="00737796"/>
    <w:rsid w:val="00740651"/>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69B"/>
    <w:rsid w:val="00761CC4"/>
    <w:rsid w:val="007653A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4E"/>
    <w:rsid w:val="007C4593"/>
    <w:rsid w:val="007C5309"/>
    <w:rsid w:val="007C6069"/>
    <w:rsid w:val="007D06C4"/>
    <w:rsid w:val="007D1352"/>
    <w:rsid w:val="007D2508"/>
    <w:rsid w:val="007D346A"/>
    <w:rsid w:val="007D6518"/>
    <w:rsid w:val="007D76BD"/>
    <w:rsid w:val="007E04AC"/>
    <w:rsid w:val="007E0BF1"/>
    <w:rsid w:val="007E6675"/>
    <w:rsid w:val="007F0ED8"/>
    <w:rsid w:val="007F0F63"/>
    <w:rsid w:val="007F10D3"/>
    <w:rsid w:val="007F5C1D"/>
    <w:rsid w:val="007F75CE"/>
    <w:rsid w:val="008013A4"/>
    <w:rsid w:val="008027CE"/>
    <w:rsid w:val="00802F42"/>
    <w:rsid w:val="00804383"/>
    <w:rsid w:val="00804BB7"/>
    <w:rsid w:val="00804D41"/>
    <w:rsid w:val="00810257"/>
    <w:rsid w:val="008104F5"/>
    <w:rsid w:val="00811072"/>
    <w:rsid w:val="00811369"/>
    <w:rsid w:val="00812106"/>
    <w:rsid w:val="00815419"/>
    <w:rsid w:val="008163C8"/>
    <w:rsid w:val="008164A1"/>
    <w:rsid w:val="00817325"/>
    <w:rsid w:val="008209E6"/>
    <w:rsid w:val="00820AA9"/>
    <w:rsid w:val="00820FC6"/>
    <w:rsid w:val="008217B2"/>
    <w:rsid w:val="00821D19"/>
    <w:rsid w:val="00823303"/>
    <w:rsid w:val="008233B2"/>
    <w:rsid w:val="00823A9F"/>
    <w:rsid w:val="00823C85"/>
    <w:rsid w:val="00825138"/>
    <w:rsid w:val="008269DD"/>
    <w:rsid w:val="00830621"/>
    <w:rsid w:val="00833074"/>
    <w:rsid w:val="0083348C"/>
    <w:rsid w:val="008373D3"/>
    <w:rsid w:val="00840617"/>
    <w:rsid w:val="00840F84"/>
    <w:rsid w:val="00842A47"/>
    <w:rsid w:val="00843C13"/>
    <w:rsid w:val="00843DEF"/>
    <w:rsid w:val="0084419E"/>
    <w:rsid w:val="008454F8"/>
    <w:rsid w:val="0085173A"/>
    <w:rsid w:val="008603CE"/>
    <w:rsid w:val="008620FC"/>
    <w:rsid w:val="008627A5"/>
    <w:rsid w:val="00863E05"/>
    <w:rsid w:val="00865ACA"/>
    <w:rsid w:val="00865D28"/>
    <w:rsid w:val="00865F85"/>
    <w:rsid w:val="008678DB"/>
    <w:rsid w:val="00867C10"/>
    <w:rsid w:val="00870439"/>
    <w:rsid w:val="00870DA1"/>
    <w:rsid w:val="00876DB8"/>
    <w:rsid w:val="0088267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810"/>
    <w:rsid w:val="008B3615"/>
    <w:rsid w:val="008B4AC4"/>
    <w:rsid w:val="008B50C8"/>
    <w:rsid w:val="008B5281"/>
    <w:rsid w:val="008B65E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FAE"/>
    <w:rsid w:val="009228E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4CAD"/>
    <w:rsid w:val="00965E04"/>
    <w:rsid w:val="009674AD"/>
    <w:rsid w:val="00970CDC"/>
    <w:rsid w:val="009716E3"/>
    <w:rsid w:val="00975727"/>
    <w:rsid w:val="00977010"/>
    <w:rsid w:val="00977D02"/>
    <w:rsid w:val="00977FF9"/>
    <w:rsid w:val="009809BB"/>
    <w:rsid w:val="00982BFB"/>
    <w:rsid w:val="0098364B"/>
    <w:rsid w:val="009908A3"/>
    <w:rsid w:val="009911AF"/>
    <w:rsid w:val="00991875"/>
    <w:rsid w:val="00991F92"/>
    <w:rsid w:val="00992985"/>
    <w:rsid w:val="00993889"/>
    <w:rsid w:val="0099551B"/>
    <w:rsid w:val="00996BD2"/>
    <w:rsid w:val="009975EE"/>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07F"/>
    <w:rsid w:val="009C3152"/>
    <w:rsid w:val="009C3257"/>
    <w:rsid w:val="009C4CFA"/>
    <w:rsid w:val="009C5070"/>
    <w:rsid w:val="009D112C"/>
    <w:rsid w:val="009D1385"/>
    <w:rsid w:val="009D3DE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59A"/>
    <w:rsid w:val="00A07E47"/>
    <w:rsid w:val="00A129D0"/>
    <w:rsid w:val="00A12C33"/>
    <w:rsid w:val="00A138BA"/>
    <w:rsid w:val="00A14C8E"/>
    <w:rsid w:val="00A153D9"/>
    <w:rsid w:val="00A15F09"/>
    <w:rsid w:val="00A169B6"/>
    <w:rsid w:val="00A2271D"/>
    <w:rsid w:val="00A237D5"/>
    <w:rsid w:val="00A30C3A"/>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CEE"/>
    <w:rsid w:val="00A52B33"/>
    <w:rsid w:val="00A55BD6"/>
    <w:rsid w:val="00A55D50"/>
    <w:rsid w:val="00A57142"/>
    <w:rsid w:val="00A648CD"/>
    <w:rsid w:val="00A6537A"/>
    <w:rsid w:val="00A67866"/>
    <w:rsid w:val="00A70B07"/>
    <w:rsid w:val="00A723F8"/>
    <w:rsid w:val="00A77CCB"/>
    <w:rsid w:val="00A81480"/>
    <w:rsid w:val="00A83D8D"/>
    <w:rsid w:val="00A8446B"/>
    <w:rsid w:val="00A8473F"/>
    <w:rsid w:val="00A862D6"/>
    <w:rsid w:val="00A8715E"/>
    <w:rsid w:val="00A9295B"/>
    <w:rsid w:val="00A93B09"/>
    <w:rsid w:val="00A952D7"/>
    <w:rsid w:val="00A963F7"/>
    <w:rsid w:val="00A96AD8"/>
    <w:rsid w:val="00A974BF"/>
    <w:rsid w:val="00AA052C"/>
    <w:rsid w:val="00AA1E45"/>
    <w:rsid w:val="00AA4286"/>
    <w:rsid w:val="00AA456B"/>
    <w:rsid w:val="00AA57F5"/>
    <w:rsid w:val="00AA672E"/>
    <w:rsid w:val="00AA69A5"/>
    <w:rsid w:val="00AA6EC9"/>
    <w:rsid w:val="00AB2300"/>
    <w:rsid w:val="00AB233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AE0"/>
    <w:rsid w:val="00B049AF"/>
    <w:rsid w:val="00B07242"/>
    <w:rsid w:val="00B10534"/>
    <w:rsid w:val="00B113DB"/>
    <w:rsid w:val="00B116A7"/>
    <w:rsid w:val="00B11D8A"/>
    <w:rsid w:val="00B12981"/>
    <w:rsid w:val="00B147DD"/>
    <w:rsid w:val="00B156FD"/>
    <w:rsid w:val="00B21F61"/>
    <w:rsid w:val="00B261F1"/>
    <w:rsid w:val="00B265BC"/>
    <w:rsid w:val="00B318CF"/>
    <w:rsid w:val="00B31FB1"/>
    <w:rsid w:val="00B33952"/>
    <w:rsid w:val="00B33C5E"/>
    <w:rsid w:val="00B342F4"/>
    <w:rsid w:val="00B34369"/>
    <w:rsid w:val="00B34DC2"/>
    <w:rsid w:val="00B36D39"/>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06C"/>
    <w:rsid w:val="00B87131"/>
    <w:rsid w:val="00B9388A"/>
    <w:rsid w:val="00B939B1"/>
    <w:rsid w:val="00B96D40"/>
    <w:rsid w:val="00B97386"/>
    <w:rsid w:val="00BA263B"/>
    <w:rsid w:val="00BA42B2"/>
    <w:rsid w:val="00BA58D4"/>
    <w:rsid w:val="00BA5B9E"/>
    <w:rsid w:val="00BA7C9A"/>
    <w:rsid w:val="00BB5F8F"/>
    <w:rsid w:val="00BB657A"/>
    <w:rsid w:val="00BB6840"/>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736"/>
    <w:rsid w:val="00C23FC3"/>
    <w:rsid w:val="00C24C8D"/>
    <w:rsid w:val="00C25FE2"/>
    <w:rsid w:val="00C26B53"/>
    <w:rsid w:val="00C279B2"/>
    <w:rsid w:val="00C33E50"/>
    <w:rsid w:val="00C34C20"/>
    <w:rsid w:val="00C35A3E"/>
    <w:rsid w:val="00C42130"/>
    <w:rsid w:val="00C423A4"/>
    <w:rsid w:val="00C423E3"/>
    <w:rsid w:val="00C44BF5"/>
    <w:rsid w:val="00C44EF7"/>
    <w:rsid w:val="00C517B5"/>
    <w:rsid w:val="00C521D6"/>
    <w:rsid w:val="00C55232"/>
    <w:rsid w:val="00C55301"/>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3C9"/>
    <w:rsid w:val="00C86D6F"/>
    <w:rsid w:val="00C905FC"/>
    <w:rsid w:val="00C92D03"/>
    <w:rsid w:val="00C9319C"/>
    <w:rsid w:val="00C9435D"/>
    <w:rsid w:val="00C94DF2"/>
    <w:rsid w:val="00C96741"/>
    <w:rsid w:val="00CA0728"/>
    <w:rsid w:val="00CA2D1B"/>
    <w:rsid w:val="00CA375D"/>
    <w:rsid w:val="00CA662A"/>
    <w:rsid w:val="00CA6AF2"/>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3D8C"/>
    <w:rsid w:val="00D950E1"/>
    <w:rsid w:val="00D952A6"/>
    <w:rsid w:val="00D96BA4"/>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771"/>
    <w:rsid w:val="00DD4FE5"/>
    <w:rsid w:val="00DD54B0"/>
    <w:rsid w:val="00DD57EE"/>
    <w:rsid w:val="00DD6BCC"/>
    <w:rsid w:val="00DE0A4B"/>
    <w:rsid w:val="00DE14FC"/>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29F"/>
    <w:rsid w:val="00E34A98"/>
    <w:rsid w:val="00E35D1E"/>
    <w:rsid w:val="00E364F9"/>
    <w:rsid w:val="00E365FA"/>
    <w:rsid w:val="00E36789"/>
    <w:rsid w:val="00E43E88"/>
    <w:rsid w:val="00E44A83"/>
    <w:rsid w:val="00E502C1"/>
    <w:rsid w:val="00E502DD"/>
    <w:rsid w:val="00E50D3A"/>
    <w:rsid w:val="00E51387"/>
    <w:rsid w:val="00E51E68"/>
    <w:rsid w:val="00E52EFD"/>
    <w:rsid w:val="00E5408A"/>
    <w:rsid w:val="00E55E18"/>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DEF"/>
    <w:rsid w:val="00E90391"/>
    <w:rsid w:val="00E906C2"/>
    <w:rsid w:val="00E9311F"/>
    <w:rsid w:val="00E934D1"/>
    <w:rsid w:val="00E94AF0"/>
    <w:rsid w:val="00E95D13"/>
    <w:rsid w:val="00E95DD3"/>
    <w:rsid w:val="00E969D5"/>
    <w:rsid w:val="00EA18E8"/>
    <w:rsid w:val="00EA58D1"/>
    <w:rsid w:val="00EA61BC"/>
    <w:rsid w:val="00EA681A"/>
    <w:rsid w:val="00EA735B"/>
    <w:rsid w:val="00EB0977"/>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6E4E"/>
    <w:rsid w:val="00EE7295"/>
    <w:rsid w:val="00EE7869"/>
    <w:rsid w:val="00EE7DF6"/>
    <w:rsid w:val="00EF054A"/>
    <w:rsid w:val="00EF3235"/>
    <w:rsid w:val="00EF7E72"/>
    <w:rsid w:val="00F06D37"/>
    <w:rsid w:val="00F06FB4"/>
    <w:rsid w:val="00F07B9D"/>
    <w:rsid w:val="00F11586"/>
    <w:rsid w:val="00F1183B"/>
    <w:rsid w:val="00F11C9F"/>
    <w:rsid w:val="00F12263"/>
    <w:rsid w:val="00F1409D"/>
    <w:rsid w:val="00F14214"/>
    <w:rsid w:val="00F146A9"/>
    <w:rsid w:val="00F157A9"/>
    <w:rsid w:val="00F16F00"/>
    <w:rsid w:val="00F25BB6"/>
    <w:rsid w:val="00F26B7E"/>
    <w:rsid w:val="00F27A3B"/>
    <w:rsid w:val="00F314D1"/>
    <w:rsid w:val="00F32780"/>
    <w:rsid w:val="00F33817"/>
    <w:rsid w:val="00F37DDD"/>
    <w:rsid w:val="00F40FFF"/>
    <w:rsid w:val="00F420D5"/>
    <w:rsid w:val="00F451EA"/>
    <w:rsid w:val="00F45447"/>
    <w:rsid w:val="00F456C6"/>
    <w:rsid w:val="00F4577B"/>
    <w:rsid w:val="00F46496"/>
    <w:rsid w:val="00F474D0"/>
    <w:rsid w:val="00F50179"/>
    <w:rsid w:val="00F515EE"/>
    <w:rsid w:val="00F551B5"/>
    <w:rsid w:val="00F56511"/>
    <w:rsid w:val="00F56AA1"/>
    <w:rsid w:val="00F6194E"/>
    <w:rsid w:val="00F623AC"/>
    <w:rsid w:val="00F6412A"/>
    <w:rsid w:val="00F65893"/>
    <w:rsid w:val="00F66A4A"/>
    <w:rsid w:val="00F71E22"/>
    <w:rsid w:val="00F72142"/>
    <w:rsid w:val="00F72AE7"/>
    <w:rsid w:val="00F756ED"/>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0C3"/>
    <w:rsid w:val="00FC17B7"/>
    <w:rsid w:val="00FC2CB7"/>
    <w:rsid w:val="00FC4090"/>
    <w:rsid w:val="00FC55B4"/>
    <w:rsid w:val="00FD00E6"/>
    <w:rsid w:val="00FD01DB"/>
    <w:rsid w:val="00FD09A1"/>
    <w:rsid w:val="00FD2A7C"/>
    <w:rsid w:val="00FD59EB"/>
    <w:rsid w:val="00FD7299"/>
    <w:rsid w:val="00FE1FBE"/>
    <w:rsid w:val="00FE3901"/>
    <w:rsid w:val="00FE39D3"/>
    <w:rsid w:val="00FE4BCE"/>
    <w:rsid w:val="00FE54AE"/>
    <w:rsid w:val="00FE55F9"/>
    <w:rsid w:val="00FE576A"/>
    <w:rsid w:val="00FE7E79"/>
    <w:rsid w:val="00FF3016"/>
    <w:rsid w:val="00FF3E7D"/>
    <w:rsid w:val="00FF5B99"/>
    <w:rsid w:val="00FF730C"/>
    <w:rsid w:val="00FF73F4"/>
    <w:rsid w:val="00FF7CE4"/>
    <w:rsid w:val="00FF7E39"/>
    <w:rsid w:val="29444F65"/>
    <w:rsid w:val="49394EEB"/>
    <w:rsid w:val="51B44ED1"/>
    <w:rsid w:val="5C537E30"/>
    <w:rsid w:val="66EC0C69"/>
    <w:rsid w:val="67DB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adjustRightInd/>
      <w:spacing w:before="100" w:beforeAutospacing="1" w:after="100" w:afterAutospacing="1" w:line="240" w:lineRule="auto"/>
      <w:jc w:val="left"/>
    </w:pPr>
    <w:rPr>
      <w:rFonts w:ascii="Times New Roman" w:hAnsi="Times New Roman"/>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ind w:left="0"/>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uiPriority w:val="0"/>
    <w:pPr>
      <w:adjustRightInd/>
      <w:spacing w:line="240" w:lineRule="auto"/>
      <w:jc w:val="left"/>
    </w:pPr>
  </w:style>
  <w:style w:type="paragraph" w:customStyle="1" w:styleId="148">
    <w:name w:val="目录 71"/>
    <w:basedOn w:val="147"/>
    <w:autoRedefine/>
    <w:semiHidden/>
    <w:uiPriority w:val="0"/>
    <w:pPr>
      <w:ind w:left="1260"/>
    </w:pPr>
  </w:style>
  <w:style w:type="paragraph" w:customStyle="1" w:styleId="149">
    <w:name w:val="目录 81"/>
    <w:basedOn w:val="148"/>
    <w:autoRedefine/>
    <w:semiHidden/>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Unresolved Mention"/>
    <w:basedOn w:val="29"/>
    <w:semiHidden/>
    <w:unhideWhenUsed/>
    <w:uiPriority w:val="99"/>
    <w:rPr>
      <w:color w:val="605E5C"/>
      <w:shd w:val="clear" w:color="auto" w:fill="E1DFDD"/>
    </w:rPr>
  </w:style>
  <w:style w:type="paragraph" w:customStyle="1" w:styleId="232">
    <w:name w:val="一级条标题"/>
    <w:next w:val="1"/>
    <w:qFormat/>
    <w:uiPriority w:val="0"/>
    <w:pPr>
      <w:numPr>
        <w:ilvl w:val="1"/>
        <w:numId w:val="32"/>
      </w:numPr>
      <w:spacing w:beforeLines="50" w:afterLines="50"/>
      <w:ind w:left="2127"/>
      <w:outlineLvl w:val="2"/>
    </w:pPr>
    <w:rPr>
      <w:rFonts w:ascii="黑体" w:hAnsi="Times New Roman" w:eastAsia="黑体" w:cs="Times New Roman"/>
      <w:sz w:val="21"/>
      <w:szCs w:val="21"/>
      <w:lang w:val="en-US" w:eastAsia="zh-CN" w:bidi="ar-SA"/>
    </w:rPr>
  </w:style>
  <w:style w:type="paragraph" w:customStyle="1" w:styleId="233">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1"/>
    <w:qFormat/>
    <w:uiPriority w:val="0"/>
    <w:pPr>
      <w:numPr>
        <w:ilvl w:val="2"/>
      </w:numPr>
      <w:spacing w:before="50" w:after="50"/>
      <w:outlineLvl w:val="3"/>
    </w:p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E0513B5C36E4ED48046391E77918FFD"/>
        <w:style w:val=""/>
        <w:category>
          <w:name w:val="常规"/>
          <w:gallery w:val="placeholder"/>
        </w:category>
        <w:types>
          <w:type w:val="bbPlcHdr"/>
        </w:types>
        <w:behaviors>
          <w:behavior w:val="content"/>
        </w:behaviors>
        <w:description w:val=""/>
        <w:guid w:val="{56483336-FBEC-43AC-82A3-A952D1C6B844}"/>
      </w:docPartPr>
      <w:docPartBody>
        <w:p w14:paraId="19BB8288">
          <w:pPr>
            <w:pStyle w:val="5"/>
            <w:rPr>
              <w:rFonts w:hint="eastAsia"/>
            </w:rPr>
          </w:pPr>
          <w:r>
            <w:rPr>
              <w:rStyle w:val="4"/>
              <w:rFonts w:hint="eastAsia"/>
            </w:rPr>
            <w:t>单击或点击此处输入文字。</w:t>
          </w:r>
        </w:p>
      </w:docPartBody>
    </w:docPart>
    <w:docPart>
      <w:docPartPr>
        <w:name w:val="DA327C97E38E4694B33A2AADB6F3E68C"/>
        <w:style w:val=""/>
        <w:category>
          <w:name w:val="常规"/>
          <w:gallery w:val="placeholder"/>
        </w:category>
        <w:types>
          <w:type w:val="bbPlcHdr"/>
        </w:types>
        <w:behaviors>
          <w:behavior w:val="content"/>
        </w:behaviors>
        <w:description w:val=""/>
        <w:guid w:val="{BBC3C124-EFEC-47F5-AC31-6184FE159DF9}"/>
      </w:docPartPr>
      <w:docPartBody>
        <w:p w14:paraId="78D5C3A2">
          <w:pPr>
            <w:pStyle w:val="6"/>
            <w:rPr>
              <w:rFonts w:hint="eastAsia"/>
            </w:rPr>
          </w:pPr>
          <w:r>
            <w:rPr>
              <w:rStyle w:val="4"/>
              <w:rFonts w:hint="eastAsia"/>
            </w:rPr>
            <w:t>选择一项。</w:t>
          </w:r>
        </w:p>
      </w:docPartBody>
    </w:docPart>
    <w:docPart>
      <w:docPartPr>
        <w:name w:val="CD56A794189840578A130137F0C673B7"/>
        <w:style w:val=""/>
        <w:category>
          <w:name w:val="常规"/>
          <w:gallery w:val="placeholder"/>
        </w:category>
        <w:types>
          <w:type w:val="bbPlcHdr"/>
        </w:types>
        <w:behaviors>
          <w:behavior w:val="content"/>
        </w:behaviors>
        <w:description w:val=""/>
        <w:guid w:val="{8E2173BF-EBF2-49BE-9F58-93D6AF06C080}"/>
      </w:docPartPr>
      <w:docPartBody>
        <w:p w14:paraId="0FD9D0F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9A6"/>
    <w:rsid w:val="000F1C41"/>
    <w:rsid w:val="001A6588"/>
    <w:rsid w:val="00202123"/>
    <w:rsid w:val="00296441"/>
    <w:rsid w:val="002B7A8B"/>
    <w:rsid w:val="00370BAD"/>
    <w:rsid w:val="003C0DAA"/>
    <w:rsid w:val="00431AD4"/>
    <w:rsid w:val="004559A6"/>
    <w:rsid w:val="00466FF5"/>
    <w:rsid w:val="0047142A"/>
    <w:rsid w:val="004838E6"/>
    <w:rsid w:val="005B302B"/>
    <w:rsid w:val="00612D0E"/>
    <w:rsid w:val="007D449B"/>
    <w:rsid w:val="00836356"/>
    <w:rsid w:val="008B1810"/>
    <w:rsid w:val="008D4C9D"/>
    <w:rsid w:val="00921FAE"/>
    <w:rsid w:val="009D3DE5"/>
    <w:rsid w:val="00B00AE0"/>
    <w:rsid w:val="00B25066"/>
    <w:rsid w:val="00C83A7B"/>
    <w:rsid w:val="00CC6C04"/>
    <w:rsid w:val="00E43E88"/>
    <w:rsid w:val="00E96F7C"/>
    <w:rsid w:val="00EA18E8"/>
    <w:rsid w:val="00EC7D36"/>
    <w:rsid w:val="00F40FFF"/>
    <w:rsid w:val="00FE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E0513B5C36E4ED48046391E77918FFD"/>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A327C97E38E4694B33A2AADB6F3E68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D56A794189840578A130137F0C673B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2304</Words>
  <Characters>2661</Characters>
  <Lines>38</Lines>
  <Paragraphs>10</Paragraphs>
  <TotalTime>6</TotalTime>
  <ScaleCrop>false</ScaleCrop>
  <LinksUpToDate>false</LinksUpToDate>
  <CharactersWithSpaces>2794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2024-08-02T03:42:00Z</dcterms:created>
  <dc:creator>Lenovo</dc:creator>
  <dc:description>&lt;config cover="true" show_menu="true" version="1.0.0" doctype="SDKXY"&gt;_x000d_
&lt;/config&gt;</dc:description>
  <cp:lastModifiedBy>弥撒夜</cp:lastModifiedBy>
  <cp:lastPrinted>2021-02-02T08:22:00Z</cp:lastPrinted>
  <dcterms:modified xsi:type="dcterms:W3CDTF">2025-01-09T12:28:21Z</dcterms:modified>
  <dc:title>团体标准</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0925D3E7C708479D8C452E5F0E1F0081_13</vt:lpwstr>
  </property>
  <property fmtid="{D5CDD505-2E9C-101B-9397-08002B2CF9AE}" pid="16" name="KSOTemplateDocerSaveRecord">
    <vt:lpwstr>eyJoZGlkIjoiOTFiODYyYjMxM2ZjYmFlYzI0ZDc5NmQ4NTM4N2E2NzciLCJ1c2VySWQiOiI0NjIyMzA1OTAifQ==</vt:lpwstr>
  </property>
</Properties>
</file>