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D54DD">
      <w:pPr>
        <w:autoSpaceDE w:val="0"/>
        <w:autoSpaceDN w:val="0"/>
        <w:adjustRightInd w:val="0"/>
        <w:jc w:val="center"/>
        <w:rPr>
          <w:rFonts w:hint="default" w:ascii="Times New Roman" w:hAnsi="Times New Roman" w:eastAsia="宋体" w:cs="Times New Roman"/>
          <w:sz w:val="40"/>
          <w:szCs w:val="40"/>
          <w:lang w:val="zh-CN"/>
        </w:rPr>
      </w:pPr>
    </w:p>
    <w:p w14:paraId="4DAF8C08">
      <w:pPr>
        <w:autoSpaceDE w:val="0"/>
        <w:autoSpaceDN w:val="0"/>
        <w:adjustRightInd w:val="0"/>
        <w:jc w:val="center"/>
        <w:rPr>
          <w:rFonts w:hint="default" w:ascii="Times New Roman" w:hAnsi="Times New Roman" w:eastAsia="宋体" w:cs="Times New Roman"/>
          <w:sz w:val="40"/>
          <w:szCs w:val="40"/>
          <w:lang w:val="zh-CN"/>
        </w:rPr>
      </w:pPr>
    </w:p>
    <w:p w14:paraId="1A51DAC7">
      <w:pPr>
        <w:autoSpaceDE w:val="0"/>
        <w:autoSpaceDN w:val="0"/>
        <w:adjustRightInd w:val="0"/>
        <w:jc w:val="center"/>
        <w:rPr>
          <w:rFonts w:hint="default" w:ascii="Times New Roman" w:hAnsi="Times New Roman" w:eastAsia="宋体" w:cs="Times New Roman"/>
          <w:sz w:val="40"/>
          <w:szCs w:val="40"/>
          <w:lang w:val="zh-CN"/>
        </w:rPr>
      </w:pPr>
      <w:r>
        <w:rPr>
          <w:rFonts w:hint="default" w:ascii="Times New Roman" w:hAnsi="Times New Roman" w:eastAsia="宋体" w:cs="Times New Roman"/>
          <w:sz w:val="40"/>
          <w:szCs w:val="40"/>
          <w:lang w:val="zh-CN"/>
        </w:rPr>
        <w:t>团体标准《</w:t>
      </w:r>
      <w:r>
        <w:rPr>
          <w:rFonts w:hint="eastAsia" w:ascii="Times New Roman" w:hAnsi="Times New Roman" w:cs="Times New Roman"/>
          <w:sz w:val="40"/>
          <w:szCs w:val="40"/>
          <w:lang w:val="zh-CN"/>
        </w:rPr>
        <w:t>鸡血玉</w:t>
      </w:r>
      <w:r>
        <w:rPr>
          <w:rFonts w:hint="default" w:ascii="Times New Roman" w:hAnsi="Times New Roman" w:eastAsia="宋体" w:cs="Times New Roman"/>
          <w:sz w:val="40"/>
          <w:szCs w:val="40"/>
          <w:lang w:val="zh-CN"/>
        </w:rPr>
        <w:t>》</w:t>
      </w:r>
    </w:p>
    <w:p w14:paraId="1963E9B2">
      <w:pPr>
        <w:autoSpaceDE w:val="0"/>
        <w:autoSpaceDN w:val="0"/>
        <w:adjustRightInd w:val="0"/>
        <w:jc w:val="center"/>
        <w:rPr>
          <w:rFonts w:hint="default" w:ascii="Times New Roman" w:hAnsi="Times New Roman" w:eastAsia="宋体" w:cs="Times New Roman"/>
          <w:sz w:val="40"/>
          <w:szCs w:val="40"/>
          <w:lang w:val="zh-CN"/>
        </w:rPr>
      </w:pPr>
      <w:r>
        <w:rPr>
          <w:rFonts w:hint="default" w:ascii="Times New Roman" w:hAnsi="Times New Roman" w:eastAsia="宋体" w:cs="Times New Roman"/>
          <w:sz w:val="40"/>
          <w:szCs w:val="40"/>
          <w:lang w:val="zh-CN"/>
        </w:rPr>
        <w:t>(征求意见稿)</w:t>
      </w:r>
    </w:p>
    <w:p w14:paraId="32CC1685">
      <w:pPr>
        <w:autoSpaceDE w:val="0"/>
        <w:autoSpaceDN w:val="0"/>
        <w:adjustRightInd w:val="0"/>
        <w:jc w:val="center"/>
        <w:rPr>
          <w:rFonts w:hint="default" w:ascii="Times New Roman" w:hAnsi="Times New Roman" w:eastAsia="宋体" w:cs="Times New Roman"/>
          <w:sz w:val="40"/>
          <w:szCs w:val="40"/>
          <w:lang w:val="zh-CN"/>
        </w:rPr>
      </w:pPr>
    </w:p>
    <w:p w14:paraId="7F7D40AD">
      <w:pPr>
        <w:autoSpaceDE w:val="0"/>
        <w:autoSpaceDN w:val="0"/>
        <w:adjustRightInd w:val="0"/>
        <w:jc w:val="center"/>
        <w:rPr>
          <w:rFonts w:hint="default" w:ascii="Times New Roman" w:hAnsi="Times New Roman" w:eastAsia="宋体" w:cs="Times New Roman"/>
          <w:sz w:val="40"/>
          <w:szCs w:val="40"/>
          <w:lang w:val="zh-CN"/>
        </w:rPr>
      </w:pPr>
    </w:p>
    <w:p w14:paraId="4A85D3E6">
      <w:pPr>
        <w:autoSpaceDE w:val="0"/>
        <w:autoSpaceDN w:val="0"/>
        <w:adjustRightInd w:val="0"/>
        <w:jc w:val="center"/>
        <w:rPr>
          <w:rFonts w:hint="default" w:ascii="Times New Roman" w:hAnsi="Times New Roman" w:eastAsia="宋体" w:cs="Times New Roman"/>
          <w:sz w:val="40"/>
          <w:szCs w:val="40"/>
          <w:lang w:val="zh-CN"/>
        </w:rPr>
      </w:pPr>
    </w:p>
    <w:p w14:paraId="138D9B27">
      <w:pPr>
        <w:autoSpaceDE w:val="0"/>
        <w:autoSpaceDN w:val="0"/>
        <w:adjustRightInd w:val="0"/>
        <w:jc w:val="center"/>
        <w:rPr>
          <w:rFonts w:hint="default" w:ascii="Times New Roman" w:hAnsi="Times New Roman" w:eastAsia="宋体" w:cs="Times New Roman"/>
          <w:sz w:val="40"/>
          <w:szCs w:val="40"/>
          <w:lang w:val="zh-CN"/>
        </w:rPr>
      </w:pPr>
    </w:p>
    <w:p w14:paraId="09935F57">
      <w:pPr>
        <w:autoSpaceDE w:val="0"/>
        <w:autoSpaceDN w:val="0"/>
        <w:adjustRightInd w:val="0"/>
        <w:jc w:val="center"/>
        <w:rPr>
          <w:rFonts w:hint="default" w:ascii="Times New Roman" w:hAnsi="Times New Roman" w:eastAsia="宋体" w:cs="Times New Roman"/>
          <w:sz w:val="72"/>
          <w:szCs w:val="72"/>
          <w:lang w:val="zh-CN"/>
        </w:rPr>
      </w:pPr>
      <w:r>
        <w:rPr>
          <w:rFonts w:hint="default" w:ascii="Times New Roman" w:hAnsi="Times New Roman" w:eastAsia="宋体" w:cs="Times New Roman"/>
          <w:sz w:val="72"/>
          <w:szCs w:val="72"/>
          <w:lang w:val="zh-CN"/>
        </w:rPr>
        <w:t>编 制 说 明</w:t>
      </w:r>
    </w:p>
    <w:p w14:paraId="0D696ED7">
      <w:pPr>
        <w:autoSpaceDE w:val="0"/>
        <w:autoSpaceDN w:val="0"/>
        <w:adjustRightInd w:val="0"/>
        <w:rPr>
          <w:rFonts w:hint="default" w:ascii="Times New Roman" w:hAnsi="Times New Roman" w:eastAsia="宋体" w:cs="Times New Roman"/>
          <w:sz w:val="32"/>
          <w:szCs w:val="32"/>
          <w:lang w:val="zh-CN"/>
        </w:rPr>
      </w:pPr>
      <w:r>
        <w:rPr>
          <w:rFonts w:hint="default" w:ascii="Times New Roman" w:hAnsi="Times New Roman" w:eastAsia="宋体" w:cs="Times New Roman"/>
          <w:sz w:val="32"/>
          <w:szCs w:val="32"/>
          <w:lang w:val="zh-CN"/>
        </w:rPr>
        <w:t xml:space="preserve">   </w:t>
      </w:r>
    </w:p>
    <w:p w14:paraId="33430BE7">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5168A752">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795ED499">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2F8F5AF3">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1C979A1C">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68EC170F">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1D9DC0EB">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24524EC3">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76606728">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4C19A51C">
      <w:pPr>
        <w:autoSpaceDE w:val="0"/>
        <w:autoSpaceDN w:val="0"/>
        <w:adjustRightInd w:val="0"/>
        <w:spacing w:line="480" w:lineRule="exact"/>
        <w:rPr>
          <w:rFonts w:hint="default" w:ascii="Times New Roman" w:hAnsi="Times New Roman" w:eastAsia="宋体" w:cs="Times New Roman"/>
          <w:sz w:val="28"/>
          <w:szCs w:val="28"/>
          <w:lang w:val="zh-CN"/>
        </w:rPr>
      </w:pPr>
    </w:p>
    <w:p w14:paraId="675D369F">
      <w:pPr>
        <w:autoSpaceDE w:val="0"/>
        <w:autoSpaceDN w:val="0"/>
        <w:adjustRightInd w:val="0"/>
        <w:spacing w:line="480" w:lineRule="exact"/>
        <w:ind w:left="560"/>
        <w:jc w:val="center"/>
        <w:rPr>
          <w:rFonts w:hint="default" w:ascii="Times New Roman" w:hAnsi="Times New Roman" w:eastAsia="宋体" w:cs="Times New Roman"/>
          <w:sz w:val="28"/>
          <w:szCs w:val="28"/>
          <w:lang w:val="zh-CN"/>
        </w:rPr>
      </w:pPr>
      <w:r>
        <w:rPr>
          <w:rFonts w:hint="default" w:ascii="Times New Roman" w:hAnsi="Times New Roman" w:eastAsia="宋体" w:cs="Times New Roman"/>
          <w:sz w:val="28"/>
          <w:szCs w:val="28"/>
          <w:lang w:val="zh-CN"/>
        </w:rPr>
        <w:t>桂林鸡血玉协会</w:t>
      </w:r>
    </w:p>
    <w:p w14:paraId="5EF459E8">
      <w:pPr>
        <w:autoSpaceDE w:val="0"/>
        <w:autoSpaceDN w:val="0"/>
        <w:adjustRightInd w:val="0"/>
        <w:spacing w:line="480" w:lineRule="exact"/>
        <w:ind w:left="560"/>
        <w:jc w:val="center"/>
        <w:rPr>
          <w:rFonts w:hint="default" w:ascii="Times New Roman" w:hAnsi="Times New Roman" w:eastAsia="宋体" w:cs="Times New Roman"/>
          <w:sz w:val="28"/>
          <w:szCs w:val="28"/>
          <w:lang w:val="zh-CN"/>
        </w:rPr>
      </w:pPr>
      <w:r>
        <w:rPr>
          <w:rFonts w:hint="default" w:ascii="Times New Roman" w:hAnsi="Times New Roman" w:eastAsia="宋体" w:cs="Times New Roman"/>
          <w:sz w:val="28"/>
          <w:szCs w:val="28"/>
          <w:lang w:val="zh-CN"/>
        </w:rPr>
        <w:t>二</w:t>
      </w:r>
      <w:r>
        <w:rPr>
          <w:rFonts w:hint="default" w:ascii="Times New Roman" w:hAnsi="Times New Roman" w:eastAsia="宋体" w:cs="Times New Roman"/>
          <w:sz w:val="28"/>
          <w:szCs w:val="28"/>
        </w:rPr>
        <w:t>○</w:t>
      </w:r>
      <w:r>
        <w:rPr>
          <w:rFonts w:hint="default" w:ascii="Times New Roman" w:hAnsi="Times New Roman" w:eastAsia="宋体" w:cs="Times New Roman"/>
          <w:sz w:val="28"/>
          <w:szCs w:val="28"/>
          <w:lang w:val="zh-CN"/>
        </w:rPr>
        <w:t>二</w:t>
      </w:r>
      <w:r>
        <w:rPr>
          <w:rFonts w:hint="eastAsia" w:ascii="Times New Roman" w:hAnsi="Times New Roman" w:cs="Times New Roman"/>
          <w:sz w:val="28"/>
          <w:szCs w:val="28"/>
          <w:lang w:val="en-US" w:eastAsia="zh-CN"/>
        </w:rPr>
        <w:t>五</w:t>
      </w:r>
      <w:r>
        <w:rPr>
          <w:rFonts w:hint="default" w:ascii="Times New Roman" w:hAnsi="Times New Roman" w:eastAsia="宋体" w:cs="Times New Roman"/>
          <w:sz w:val="28"/>
          <w:szCs w:val="28"/>
          <w:lang w:val="zh-CN"/>
        </w:rPr>
        <w:t>年</w:t>
      </w:r>
      <w:r>
        <w:rPr>
          <w:rFonts w:hint="eastAsia" w:ascii="Times New Roman" w:hAnsi="Times New Roman" w:cs="Times New Roman"/>
          <w:sz w:val="28"/>
          <w:szCs w:val="28"/>
          <w:lang w:val="zh-CN"/>
        </w:rPr>
        <w:t>一</w:t>
      </w:r>
      <w:r>
        <w:rPr>
          <w:rFonts w:hint="default" w:ascii="Times New Roman" w:hAnsi="Times New Roman" w:eastAsia="宋体" w:cs="Times New Roman"/>
          <w:sz w:val="28"/>
          <w:szCs w:val="28"/>
          <w:lang w:val="zh-CN"/>
        </w:rPr>
        <w:t>月</w:t>
      </w:r>
    </w:p>
    <w:p w14:paraId="501F9CB0">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1AB26139">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534B70AE">
      <w:pPr>
        <w:autoSpaceDE w:val="0"/>
        <w:autoSpaceDN w:val="0"/>
        <w:adjustRightInd w:val="0"/>
        <w:spacing w:line="480" w:lineRule="exact"/>
        <w:ind w:left="560"/>
        <w:rPr>
          <w:rFonts w:hint="default" w:ascii="Times New Roman" w:hAnsi="Times New Roman" w:eastAsia="宋体" w:cs="Times New Roman"/>
          <w:sz w:val="28"/>
          <w:szCs w:val="28"/>
          <w:lang w:val="zh-CN"/>
        </w:rPr>
      </w:pPr>
    </w:p>
    <w:p w14:paraId="172E8BE1">
      <w:pPr>
        <w:rPr>
          <w:rFonts w:hint="default" w:ascii="Times New Roman" w:hAnsi="Times New Roman" w:eastAsia="宋体" w:cs="Times New Roman"/>
          <w:sz w:val="24"/>
        </w:rPr>
      </w:pPr>
    </w:p>
    <w:p w14:paraId="66C86773">
      <w:pPr>
        <w:keepNext w:val="0"/>
        <w:keepLines w:val="0"/>
        <w:pageBreakBefore w:val="0"/>
        <w:kinsoku/>
        <w:wordWrap/>
        <w:overflowPunct/>
        <w:topLinePunct w:val="0"/>
        <w:autoSpaceDE w:val="0"/>
        <w:autoSpaceDN w:val="0"/>
        <w:bidi w:val="0"/>
        <w:adjustRightInd w:val="0"/>
        <w:snapToGrid/>
        <w:spacing w:line="240" w:lineRule="auto"/>
        <w:ind w:firstLine="640" w:firstLineChars="200"/>
        <w:jc w:val="left"/>
        <w:textAlignment w:val="auto"/>
        <w:outlineLvl w:val="0"/>
        <w:rPr>
          <w:rFonts w:hint="default" w:ascii="黑体" w:hAnsi="黑体" w:eastAsia="黑体" w:cs="仿宋_GB2312"/>
          <w:sz w:val="32"/>
          <w:szCs w:val="32"/>
        </w:rPr>
      </w:pPr>
      <w:r>
        <w:rPr>
          <w:rFonts w:hint="default" w:ascii="黑体" w:hAnsi="黑体" w:eastAsia="黑体" w:cs="仿宋_GB2312"/>
          <w:sz w:val="32"/>
          <w:szCs w:val="32"/>
        </w:rPr>
        <w:t>一、任务来源</w:t>
      </w:r>
    </w:p>
    <w:p w14:paraId="3135A5A2">
      <w:pPr>
        <w:keepNext w:val="0"/>
        <w:keepLines w:val="0"/>
        <w:pageBreakBefore w:val="0"/>
        <w:kinsoku/>
        <w:wordWrap/>
        <w:overflowPunct/>
        <w:topLinePunct w:val="0"/>
        <w:bidi w:val="0"/>
        <w:snapToGrid/>
        <w:spacing w:line="240" w:lineRule="auto"/>
        <w:ind w:firstLine="560" w:firstLineChars="200"/>
        <w:textAlignment w:val="auto"/>
        <w:rPr>
          <w:rFonts w:hint="default" w:ascii="仿宋_GB2312" w:hAnsi="宋体" w:eastAsia="仿宋_GB2312"/>
          <w:sz w:val="28"/>
          <w:szCs w:val="28"/>
          <w:lang w:val="en-US" w:eastAsia="zh-CN"/>
        </w:rPr>
      </w:pPr>
      <w:r>
        <w:rPr>
          <w:rFonts w:hint="default" w:ascii="仿宋_GB2312" w:hAnsi="宋体" w:eastAsia="仿宋_GB2312"/>
          <w:sz w:val="28"/>
          <w:szCs w:val="28"/>
          <w:lang w:val="en-US" w:eastAsia="zh-CN"/>
        </w:rPr>
        <w:t>本标准来源于2024年第</w:t>
      </w:r>
      <w:r>
        <w:rPr>
          <w:rFonts w:hint="eastAsia" w:ascii="仿宋_GB2312" w:hAnsi="宋体" w:eastAsia="仿宋_GB2312"/>
          <w:sz w:val="28"/>
          <w:szCs w:val="28"/>
          <w:lang w:val="en-US" w:eastAsia="zh-CN"/>
        </w:rPr>
        <w:t>四十七</w:t>
      </w:r>
      <w:r>
        <w:rPr>
          <w:rFonts w:hint="default" w:ascii="仿宋_GB2312" w:hAnsi="宋体" w:eastAsia="仿宋_GB2312"/>
          <w:sz w:val="28"/>
          <w:szCs w:val="28"/>
          <w:lang w:val="en-US" w:eastAsia="zh-CN"/>
        </w:rPr>
        <w:t>批广西团体标准制修订项目计划（桂标协〔2024〕</w:t>
      </w:r>
      <w:r>
        <w:rPr>
          <w:rFonts w:hint="eastAsia" w:ascii="仿宋_GB2312" w:hAnsi="宋体" w:eastAsia="仿宋_GB2312"/>
          <w:sz w:val="28"/>
          <w:szCs w:val="28"/>
          <w:lang w:val="en-US" w:eastAsia="zh-CN"/>
        </w:rPr>
        <w:t>308</w:t>
      </w:r>
      <w:r>
        <w:rPr>
          <w:rFonts w:hint="default" w:ascii="仿宋_GB2312" w:hAnsi="宋体" w:eastAsia="仿宋_GB2312"/>
          <w:sz w:val="28"/>
          <w:szCs w:val="28"/>
          <w:lang w:val="en-US" w:eastAsia="zh-CN"/>
        </w:rPr>
        <w:t>号文，项目编号为：2024-</w:t>
      </w:r>
      <w:r>
        <w:rPr>
          <w:rFonts w:hint="eastAsia" w:ascii="仿宋_GB2312" w:hAnsi="宋体" w:eastAsia="仿宋_GB2312"/>
          <w:sz w:val="28"/>
          <w:szCs w:val="28"/>
          <w:lang w:val="en-US" w:eastAsia="zh-CN"/>
        </w:rPr>
        <w:t>4705</w:t>
      </w:r>
      <w:r>
        <w:rPr>
          <w:rFonts w:hint="default" w:ascii="仿宋_GB2312" w:hAnsi="宋体" w:eastAsia="仿宋_GB2312"/>
          <w:sz w:val="28"/>
          <w:szCs w:val="28"/>
          <w:lang w:val="en-US" w:eastAsia="zh-CN"/>
        </w:rPr>
        <w:t>），由桂林鸡血玉协会提出，桂林鸡血玉协会、桂林市产品质量检验所、桂林理工大学、千年红鸡血玉博物馆、观石堂鸡血玉博物馆、玉华天宝鸡血玉展示馆、桂林市天维阁鸡血红碧玉奇石馆</w:t>
      </w:r>
      <w:r>
        <w:rPr>
          <w:rFonts w:hint="eastAsia" w:ascii="仿宋_GB2312" w:hAnsi="宋体" w:eastAsia="仿宋_GB2312"/>
          <w:sz w:val="28"/>
          <w:szCs w:val="28"/>
          <w:lang w:val="en-US" w:eastAsia="zh-CN"/>
        </w:rPr>
        <w:t>共同</w:t>
      </w:r>
      <w:r>
        <w:rPr>
          <w:rFonts w:hint="default" w:ascii="仿宋_GB2312" w:hAnsi="宋体" w:eastAsia="仿宋_GB2312"/>
          <w:sz w:val="28"/>
          <w:szCs w:val="28"/>
          <w:lang w:val="en-US" w:eastAsia="zh-CN"/>
        </w:rPr>
        <w:t>起草。</w:t>
      </w:r>
    </w:p>
    <w:p w14:paraId="6A06A911">
      <w:pPr>
        <w:keepNext w:val="0"/>
        <w:keepLines w:val="0"/>
        <w:pageBreakBefore w:val="0"/>
        <w:kinsoku/>
        <w:wordWrap/>
        <w:overflowPunct/>
        <w:topLinePunct w:val="0"/>
        <w:autoSpaceDE w:val="0"/>
        <w:autoSpaceDN w:val="0"/>
        <w:bidi w:val="0"/>
        <w:adjustRightInd w:val="0"/>
        <w:snapToGrid/>
        <w:spacing w:line="240" w:lineRule="auto"/>
        <w:ind w:firstLine="640" w:firstLineChars="200"/>
        <w:jc w:val="left"/>
        <w:textAlignment w:val="auto"/>
        <w:outlineLvl w:val="0"/>
        <w:rPr>
          <w:rFonts w:hint="default" w:ascii="黑体" w:hAnsi="黑体" w:eastAsia="黑体" w:cs="仿宋_GB2312"/>
          <w:sz w:val="32"/>
          <w:szCs w:val="32"/>
        </w:rPr>
      </w:pPr>
      <w:r>
        <w:rPr>
          <w:rFonts w:hint="default" w:ascii="黑体" w:hAnsi="黑体" w:eastAsia="黑体" w:cs="仿宋_GB2312"/>
          <w:sz w:val="32"/>
          <w:szCs w:val="32"/>
        </w:rPr>
        <w:t>二、编制标准的必要性、可行性和紧迫性</w:t>
      </w:r>
    </w:p>
    <w:p w14:paraId="1A5B1FD5">
      <w:pPr>
        <w:keepNext w:val="0"/>
        <w:keepLines w:val="0"/>
        <w:pageBreakBefore w:val="0"/>
        <w:kinsoku/>
        <w:wordWrap/>
        <w:overflowPunct/>
        <w:topLinePunct w:val="0"/>
        <w:autoSpaceDE w:val="0"/>
        <w:autoSpaceDN w:val="0"/>
        <w:bidi w:val="0"/>
        <w:adjustRightInd w:val="0"/>
        <w:snapToGrid/>
        <w:spacing w:line="240" w:lineRule="auto"/>
        <w:ind w:firstLine="560" w:firstLineChars="200"/>
        <w:jc w:val="left"/>
        <w:textAlignment w:val="auto"/>
        <w:outlineLvl w:val="0"/>
        <w:rPr>
          <w:rFonts w:hint="eastAsia" w:ascii="黑体" w:hAnsi="黑体" w:eastAsia="黑体" w:cs="仿宋_GB2312"/>
          <w:sz w:val="28"/>
          <w:szCs w:val="28"/>
          <w:lang w:val="en-US" w:eastAsia="zh-CN"/>
        </w:rPr>
      </w:pPr>
      <w:r>
        <w:rPr>
          <w:rFonts w:hint="default" w:ascii="黑体" w:hAnsi="黑体" w:eastAsia="黑体" w:cs="仿宋_GB2312"/>
          <w:sz w:val="28"/>
          <w:szCs w:val="28"/>
        </w:rPr>
        <w:t>（一）必要性</w:t>
      </w:r>
      <w:r>
        <w:rPr>
          <w:rFonts w:hint="eastAsia" w:ascii="黑体" w:hAnsi="黑体" w:eastAsia="黑体" w:cs="仿宋_GB2312"/>
          <w:sz w:val="28"/>
          <w:szCs w:val="28"/>
          <w:lang w:eastAsia="zh-CN"/>
        </w:rPr>
        <w:t>、紧迫性</w:t>
      </w:r>
    </w:p>
    <w:p w14:paraId="08145886">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上世纪九十年代初，在龙胜县浔江下游及支流三门河、下花河发现以观赏石为主的彩卵石，命名为“龙胜红碧玉”。本世纪初，在龙胜县三门镇蔚青岭的鸡爪村、大地村、古坪村、同列村、花桥村以及龙胜镇的平野村、崇楼村一带大约100平方公里范围发现原生矿石，并经中国宝玉石检测中心对原石矿样及加工雕件进行检测鉴定，硬度在6.5-7之间，命名为“鸡血玉”。鸡血玉是石英岩、玉髓和赤铁矿的集合体，由于其具有独特的鸡血红色和较高的硬度而在全国出名，其常见颜色以红色与黑、黄、白、绿的组合，伴有其他色调；抛光后有油脂光泽、玻璃光泽、金属光泽；透明度为半透明至不透明；放大检查为隐晶质结构、粒状结构，其化学成分以二氧化硅（SiO</w:t>
      </w:r>
      <w:r>
        <w:rPr>
          <w:rFonts w:hint="eastAsia" w:ascii="仿宋_GB2312" w:hAnsi="宋体" w:eastAsia="仿宋_GB2312"/>
          <w:sz w:val="28"/>
          <w:szCs w:val="28"/>
          <w:vertAlign w:val="subscript"/>
          <w:lang w:val="en-US" w:eastAsia="zh-CN"/>
        </w:rPr>
        <w:t>2</w:t>
      </w:r>
      <w:r>
        <w:rPr>
          <w:rFonts w:hint="eastAsia" w:ascii="仿宋_GB2312" w:hAnsi="宋体" w:eastAsia="仿宋_GB2312"/>
          <w:sz w:val="28"/>
          <w:szCs w:val="28"/>
          <w:lang w:val="en-US" w:eastAsia="zh-CN"/>
        </w:rPr>
        <w:t>）与三氧化二铁（Fe</w:t>
      </w:r>
      <w:r>
        <w:rPr>
          <w:rFonts w:hint="eastAsia" w:ascii="仿宋_GB2312" w:hAnsi="宋体" w:eastAsia="仿宋_GB2312"/>
          <w:sz w:val="28"/>
          <w:szCs w:val="28"/>
          <w:vertAlign w:val="subscript"/>
          <w:lang w:val="en-US" w:eastAsia="zh-CN"/>
        </w:rPr>
        <w:t>2</w:t>
      </w:r>
      <w:r>
        <w:rPr>
          <w:rFonts w:hint="eastAsia" w:ascii="仿宋_GB2312" w:hAnsi="宋体" w:eastAsia="仿宋_GB2312"/>
          <w:sz w:val="28"/>
          <w:szCs w:val="28"/>
          <w:lang w:val="en-US" w:eastAsia="zh-CN"/>
        </w:rPr>
        <w:t>O</w:t>
      </w:r>
      <w:r>
        <w:rPr>
          <w:rFonts w:hint="eastAsia" w:ascii="仿宋_GB2312" w:hAnsi="宋体" w:eastAsia="仿宋_GB2312"/>
          <w:sz w:val="28"/>
          <w:szCs w:val="28"/>
          <w:vertAlign w:val="subscript"/>
          <w:lang w:val="en-US" w:eastAsia="zh-CN"/>
        </w:rPr>
        <w:t>3</w:t>
      </w:r>
      <w:r>
        <w:rPr>
          <w:rFonts w:hint="eastAsia" w:ascii="仿宋_GB2312" w:hAnsi="宋体" w:eastAsia="仿宋_GB2312"/>
          <w:sz w:val="28"/>
          <w:szCs w:val="28"/>
          <w:lang w:val="en-US" w:eastAsia="zh-CN"/>
        </w:rPr>
        <w:t>）为主。红色碧玉岩以二氧化硅（SiO</w:t>
      </w:r>
      <w:r>
        <w:rPr>
          <w:rFonts w:hint="eastAsia" w:ascii="仿宋_GB2312" w:hAnsi="宋体" w:eastAsia="仿宋_GB2312"/>
          <w:sz w:val="28"/>
          <w:szCs w:val="28"/>
          <w:vertAlign w:val="subscript"/>
          <w:lang w:val="en-US" w:eastAsia="zh-CN"/>
        </w:rPr>
        <w:t>2</w:t>
      </w:r>
      <w:r>
        <w:rPr>
          <w:rFonts w:hint="eastAsia" w:ascii="仿宋_GB2312" w:hAnsi="宋体" w:eastAsia="仿宋_GB2312"/>
          <w:sz w:val="28"/>
          <w:szCs w:val="28"/>
          <w:lang w:val="en-US" w:eastAsia="zh-CN"/>
        </w:rPr>
        <w:t>）为主,并含部分高价铁和低价铁，其中红色部分主要含铁，是由特别稳定而且对人体健康也大有裨益的铁离子所造成的，而且由于硅质矿物硬度大,质硬而坚韧,性质稳定,不易风化,不易磨损,也不怕酸碱侵蚀,风吹日晒也不褪色,专家认为这些均比“鸡血石”更优良，主要是隐晶质结构及显微晶质结构,相对密度2.</w:t>
      </w:r>
      <w:r>
        <w:rPr>
          <w:rFonts w:hint="eastAsia" w:ascii="仿宋_GB2312" w:eastAsia="仿宋_GB2312"/>
          <w:sz w:val="28"/>
          <w:szCs w:val="28"/>
          <w:lang w:val="en-US" w:eastAsia="zh-CN"/>
        </w:rPr>
        <w:t>6</w:t>
      </w:r>
      <w:r>
        <w:rPr>
          <w:rFonts w:hint="eastAsia" w:ascii="仿宋_GB2312" w:hAnsi="宋体" w:eastAsia="仿宋_GB2312"/>
          <w:sz w:val="28"/>
          <w:szCs w:val="28"/>
          <w:lang w:val="en-US" w:eastAsia="zh-CN"/>
        </w:rPr>
        <w:t>-</w:t>
      </w:r>
      <w:r>
        <w:rPr>
          <w:rFonts w:hint="eastAsia" w:ascii="仿宋_GB2312" w:eastAsia="仿宋_GB2312"/>
          <w:sz w:val="28"/>
          <w:szCs w:val="28"/>
          <w:lang w:val="en-US" w:eastAsia="zh-CN"/>
        </w:rPr>
        <w:t>2</w:t>
      </w:r>
      <w:r>
        <w:rPr>
          <w:rFonts w:hint="eastAsia" w:ascii="仿宋_GB2312" w:hAnsi="宋体" w:eastAsia="仿宋_GB2312"/>
          <w:sz w:val="28"/>
          <w:szCs w:val="28"/>
          <w:lang w:val="en-US" w:eastAsia="zh-CN"/>
        </w:rPr>
        <w:t>.95g/cm³,因此,玉质细密、滋润而细腻,抛光性能良好,抛光后呈现玻璃光泽,具有很好的雕琢加工的特性,这就具备了完美新玉种的条件。</w:t>
      </w:r>
    </w:p>
    <w:p w14:paraId="2515BD36">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近年来，鸡血玉开始在全国珠宝界热销，价格连年上涨，已成为桂林新的经济增长点。桂林市鸡血玉行业已有加工厂近200家，包含切割，打磨抛光，雕刻，手镯加工。实体店面，网络销售商家近1300家，主要分布在德天广场、净瓶山奇石市场、龙胜红玉街、龙胜三门镇等地点。每年提供就业岗位2万多个，年交易额 10个亿左右。其中大部分依托桂林旅游业开展销售，不少游客慕名而来，寻访购买，成交额大、覆盖面广，已成为桂林旅游吃住游娱购产业链条中的重要环节。</w:t>
      </w:r>
    </w:p>
    <w:p w14:paraId="01E46B94">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鸡血玉作为桂林经典品牌，不仅提供了大量的就业岗位，为桂林的经济发展作出了重大贡献，而且还是桂林特色产品，桂林市正在着重发展该产业。但是为了促进全国统一大市场建设工作的原因，鸡血玉地方标准被废止，导致现在桂林鸡血玉无标准可用，市场缺乏统一标准鉴定鸡血玉，桂林鸡血玉现阶段只能按照GB/T 34098-2017《石英质玉 分类与定名》进行鉴定，但是GB/T 34098仅对石英质玉进行了广义上的描述，无法凸出鸡血玉的特征（鸡血玉呈鸡血红色、紫红色、浅红色、褐红色、枣红色、棕红色，由赤铁矿颜色、含量、粒度、分布状态决定；地主要为黑色、白色、黄色、钢灰色、蓝色、绿色等颜色。赤铁矿可呈红色、黑色、钢灰色，石英可呈无色、白色、黄色、褐黄色、灰黄色、绿、蓝色）。因GB/T 34098无法具体鉴定出鸡血玉，导致同是石英质玉的金丝玉，天山翠等外地料充斥市场，部分商家以假乱真，消费者买到假货鉴定无门，使得桂林鸡血玉口碑下降，市场价格紊乱，极大地扰乱了本地鸡血玉产业秩序，同时降低了消费者对桂林旅游的体验感。</w:t>
      </w:r>
    </w:p>
    <w:p w14:paraId="37C64E7A">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因此通过制定《鸡血玉》团体标准，可促进这一产业的规范化和高效化发展，走质量效益型道路，对于推动产业技术创新和产业升级，对于提升桂林鸡血玉产业的质量水平、提升桂林鸡血玉产业品牌形象竞争力和市场地位、提升桂林鸡血玉产业经济社会效益、保护消费者权益，最终为将这一产业打造成为桂林具有持续竞争优势的生态健康产业，彰显世界级旅游城市经典美食品牌魅力，使桂林鸡血玉产品产业化健康发展具有极其重要的意义。</w:t>
      </w:r>
    </w:p>
    <w:p w14:paraId="3D4B4901">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以上现状及存在的问题急需解决，这使得制定《鸡血玉》团体标准变得犹为必要和紧迫。</w:t>
      </w:r>
    </w:p>
    <w:p w14:paraId="4DD592F7">
      <w:pPr>
        <w:keepNext w:val="0"/>
        <w:keepLines w:val="0"/>
        <w:pageBreakBefore w:val="0"/>
        <w:kinsoku/>
        <w:wordWrap/>
        <w:overflowPunct/>
        <w:topLinePunct w:val="0"/>
        <w:autoSpaceDE w:val="0"/>
        <w:autoSpaceDN w:val="0"/>
        <w:bidi w:val="0"/>
        <w:adjustRightInd w:val="0"/>
        <w:snapToGrid/>
        <w:spacing w:line="240" w:lineRule="auto"/>
        <w:ind w:firstLine="560" w:firstLineChars="200"/>
        <w:jc w:val="left"/>
        <w:textAlignment w:val="auto"/>
        <w:outlineLvl w:val="0"/>
        <w:rPr>
          <w:rFonts w:hint="default" w:ascii="黑体" w:hAnsi="黑体" w:eastAsia="黑体" w:cs="仿宋_GB2312"/>
          <w:sz w:val="28"/>
          <w:szCs w:val="28"/>
        </w:rPr>
      </w:pPr>
      <w:r>
        <w:rPr>
          <w:rFonts w:hint="default" w:ascii="黑体" w:hAnsi="黑体" w:eastAsia="黑体" w:cs="仿宋_GB2312"/>
          <w:sz w:val="28"/>
          <w:szCs w:val="28"/>
        </w:rPr>
        <w:t>（二）可行性</w:t>
      </w:r>
    </w:p>
    <w:p w14:paraId="5CD5719C">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第一起草单位桂林鸡血玉协会成立于 2012年1月12日，是一个非营利性的社会团体，由桂林市从事鸡血玉开发、销售、研究、收藏鉴赏的行业人员和单位依法自愿组成，现有成员123人，理事35人，汇集了桂林市鸡血玉产业从采矿、加工、销售到产品研发的整个产业链全程，旨在推动鸡血玉的研究、文化交流和产业发展。鸡血玉协会主要从事鸡血玉相关的学术研究、参与鸡血玉资源开发与保护，为地方政府发展鸡血玉产业提供合理化建议、开展咨询及培训、为会员及社会提供服务，依法维护会员合法权益、开展与国内外有关组织的联系及合作、承办政府部门委托的业务等。</w:t>
      </w:r>
    </w:p>
    <w:p w14:paraId="71BD199E">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lang w:val="en-US" w:eastAsia="zh-CN"/>
        </w:rPr>
      </w:pPr>
      <w:r>
        <w:rPr>
          <w:rFonts w:hint="eastAsia" w:ascii="仿宋_GB2312" w:hAnsi="宋体" w:eastAsia="仿宋_GB2312"/>
          <w:sz w:val="28"/>
          <w:szCs w:val="28"/>
          <w:lang w:val="en-US" w:eastAsia="zh-CN"/>
        </w:rPr>
        <w:t>起草单位桂林市产品质量检验所是集检测、科研为一体的公益二类事业单位，同时挂牌：桂林市标准化研究所、桂林市产品质量安全风险监测中心、桂林市质量服务一站式平台中心服务点、国家橡胶及橡胶制品质量检验检测中心（广西）；拥有玉石、珠宝、食品、食用农产品、食品相关产品等31个领域1072类 2741项参数的综合检测能力；拥有珠宝检验室、标准化研究室等专业科室，每年为社会、政府、企业提供检验检测及标准化技术服务100000余批次</w:t>
      </w:r>
      <w:r>
        <w:rPr>
          <w:rFonts w:hint="eastAsia" w:ascii="仿宋_GB2312" w:hAnsi="宋体" w:eastAsia="仿宋_GB2312"/>
          <w:sz w:val="28"/>
          <w:szCs w:val="28"/>
        </w:rPr>
        <w:t>，其中珠宝检验室出具具有法律效力的仲裁检验报告100余批次，各类珠宝玉石、贵金属鉴定证书</w:t>
      </w:r>
      <w:r>
        <w:rPr>
          <w:rFonts w:hint="default" w:ascii="仿宋_GB2312" w:hAnsi="宋体" w:eastAsia="仿宋_GB2312"/>
          <w:sz w:val="28"/>
          <w:szCs w:val="28"/>
          <w:lang w:val="en-US"/>
        </w:rPr>
        <w:t>8</w:t>
      </w:r>
      <w:r>
        <w:rPr>
          <w:rFonts w:hint="eastAsia" w:ascii="仿宋_GB2312" w:hAnsi="宋体" w:eastAsia="仿宋_GB2312"/>
          <w:sz w:val="28"/>
          <w:szCs w:val="28"/>
        </w:rPr>
        <w:t>万余批次</w:t>
      </w:r>
      <w:r>
        <w:rPr>
          <w:rFonts w:hint="eastAsia" w:ascii="仿宋_GB2312" w:hAnsi="宋体" w:eastAsia="仿宋_GB2312"/>
          <w:sz w:val="28"/>
          <w:szCs w:val="28"/>
          <w:lang w:eastAsia="zh-CN"/>
        </w:rPr>
        <w:t>，其中</w:t>
      </w:r>
      <w:r>
        <w:rPr>
          <w:rFonts w:hint="eastAsia" w:ascii="仿宋_GB2312" w:hAnsi="宋体" w:eastAsia="仿宋_GB2312"/>
          <w:sz w:val="28"/>
          <w:szCs w:val="28"/>
        </w:rPr>
        <w:t>鸡血玉鉴定证书</w:t>
      </w:r>
      <w:r>
        <w:rPr>
          <w:rFonts w:hint="default" w:ascii="仿宋_GB2312" w:hAnsi="宋体" w:eastAsia="仿宋_GB2312"/>
          <w:sz w:val="28"/>
          <w:szCs w:val="28"/>
          <w:lang w:val="en-US"/>
        </w:rPr>
        <w:t>6</w:t>
      </w:r>
      <w:r>
        <w:rPr>
          <w:rFonts w:hint="eastAsia" w:ascii="仿宋_GB2312" w:hAnsi="宋体" w:eastAsia="仿宋_GB2312"/>
          <w:sz w:val="28"/>
          <w:szCs w:val="28"/>
        </w:rPr>
        <w:t>万余批次</w:t>
      </w:r>
      <w:r>
        <w:rPr>
          <w:rFonts w:hint="eastAsia" w:ascii="仿宋_GB2312" w:hAnsi="宋体" w:eastAsia="仿宋_GB2312"/>
          <w:sz w:val="28"/>
          <w:szCs w:val="28"/>
          <w:lang w:val="en-US" w:eastAsia="zh-CN"/>
        </w:rPr>
        <w:t>。所内目前有广西食品安全地方标准委员会委员2人，卫健委备案的食品安全企业标准审定专家3人，自治区标准化协会专家20人。近年来主持或参与起草国家标准、行业标准、地方标准、团体标准20项以上，其中独立完成食品类地方标准起草8项；为食品企业制修订或审定企业标准年均50项以上，具有丰富的质量检测及标准制修订经验。</w:t>
      </w:r>
    </w:p>
    <w:p w14:paraId="4E3FA16E">
      <w:pPr>
        <w:keepNext w:val="0"/>
        <w:keepLines w:val="0"/>
        <w:pageBreakBefore w:val="0"/>
        <w:kinsoku/>
        <w:wordWrap/>
        <w:overflowPunct/>
        <w:topLinePunct w:val="0"/>
        <w:autoSpaceDE w:val="0"/>
        <w:autoSpaceDN w:val="0"/>
        <w:bidi w:val="0"/>
        <w:adjustRightInd w:val="0"/>
        <w:snapToGrid/>
        <w:spacing w:line="240" w:lineRule="auto"/>
        <w:ind w:firstLine="560" w:firstLineChars="200"/>
        <w:jc w:val="left"/>
        <w:textAlignment w:val="auto"/>
        <w:outlineLvl w:val="0"/>
        <w:rPr>
          <w:rFonts w:hint="eastAsia" w:ascii="黑体" w:hAnsi="黑体" w:eastAsia="黑体" w:cs="仿宋_GB2312"/>
          <w:sz w:val="28"/>
          <w:szCs w:val="28"/>
        </w:rPr>
      </w:pPr>
      <w:r>
        <w:rPr>
          <w:rFonts w:hint="eastAsia" w:ascii="黑体" w:hAnsi="黑体" w:eastAsia="黑体" w:cs="仿宋_GB2312"/>
          <w:sz w:val="28"/>
          <w:szCs w:val="28"/>
        </w:rPr>
        <w:t>三、项目编制过程</w:t>
      </w:r>
    </w:p>
    <w:p w14:paraId="55B008DC">
      <w:pPr>
        <w:keepNext w:val="0"/>
        <w:keepLines w:val="0"/>
        <w:pageBreakBefore w:val="0"/>
        <w:kinsoku/>
        <w:wordWrap/>
        <w:overflowPunct/>
        <w:topLinePunct w:val="0"/>
        <w:bidi w:val="0"/>
        <w:snapToGrid/>
        <w:spacing w:line="240" w:lineRule="auto"/>
        <w:ind w:firstLine="562" w:firstLineChars="200"/>
        <w:textAlignment w:val="auto"/>
        <w:outlineLvl w:val="1"/>
        <w:rPr>
          <w:rFonts w:hint="eastAsia" w:ascii="仿宋_GB2312" w:hAnsi="宋体" w:eastAsia="仿宋_GB2312"/>
          <w:sz w:val="28"/>
          <w:szCs w:val="28"/>
        </w:rPr>
      </w:pPr>
      <w:r>
        <w:rPr>
          <w:rFonts w:hint="eastAsia" w:ascii="仿宋_GB2312" w:hAnsi="仿宋_GB2312" w:eastAsia="仿宋_GB2312" w:cs="仿宋_GB2312"/>
          <w:b/>
          <w:sz w:val="28"/>
          <w:szCs w:val="28"/>
        </w:rPr>
        <w:t>（一）成立标准编制工作组</w:t>
      </w:r>
    </w:p>
    <w:p w14:paraId="7A6A7BC1">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团体标准《</w:t>
      </w:r>
      <w:r>
        <w:rPr>
          <w:rFonts w:hint="eastAsia" w:ascii="仿宋_GB2312" w:eastAsia="仿宋_GB2312"/>
          <w:sz w:val="28"/>
          <w:szCs w:val="28"/>
          <w:lang w:eastAsia="zh-CN"/>
        </w:rPr>
        <w:t>鸡血玉</w:t>
      </w:r>
      <w:r>
        <w:rPr>
          <w:rFonts w:hint="eastAsia" w:ascii="仿宋_GB2312" w:hAnsi="宋体" w:eastAsia="仿宋_GB2312"/>
          <w:sz w:val="28"/>
          <w:szCs w:val="28"/>
        </w:rPr>
        <w:t>》项目任务下达后，</w:t>
      </w:r>
      <w:r>
        <w:rPr>
          <w:rFonts w:hint="eastAsia" w:ascii="仿宋_GB2312" w:hAnsi="宋体" w:eastAsia="仿宋_GB2312"/>
          <w:sz w:val="28"/>
          <w:szCs w:val="28"/>
          <w:lang w:val="en-US" w:eastAsia="zh-CN"/>
        </w:rPr>
        <w:t>桂林鸡血玉协会</w:t>
      </w:r>
      <w:r>
        <w:rPr>
          <w:rFonts w:hint="eastAsia" w:ascii="仿宋_GB2312" w:hAnsi="宋体" w:eastAsia="仿宋_GB2312"/>
          <w:sz w:val="28"/>
          <w:szCs w:val="28"/>
        </w:rPr>
        <w:t>成立了标准编制工作组，起草单位制定了起草编写方案与进度安排，明确任务职责，确定工作技术路线，开展标准研制工作。具体标准编制工作由桂林鸡血玉协会、桂林市产品质量检验所、桂林理工大学、千年红鸡血玉博物馆、观石堂鸡血玉博物馆、玉华天宝鸡血玉展示馆、桂林市天维阁鸡血红碧玉奇石馆</w:t>
      </w:r>
      <w:r>
        <w:rPr>
          <w:rFonts w:hint="eastAsia" w:ascii="仿宋_GB2312" w:hAnsi="宋体" w:eastAsia="仿宋_GB2312"/>
          <w:color w:val="000000"/>
          <w:sz w:val="28"/>
          <w:szCs w:val="28"/>
          <w:highlight w:val="none"/>
          <w:lang w:eastAsia="zh-CN"/>
        </w:rPr>
        <w:t>等</w:t>
      </w:r>
      <w:r>
        <w:rPr>
          <w:rFonts w:hint="eastAsia" w:ascii="仿宋_GB2312" w:hAnsi="宋体" w:eastAsia="仿宋_GB2312"/>
          <w:sz w:val="28"/>
          <w:szCs w:val="28"/>
        </w:rPr>
        <w:t>起草单位</w:t>
      </w:r>
      <w:r>
        <w:rPr>
          <w:rFonts w:hint="eastAsia" w:ascii="仿宋_GB2312" w:hAnsi="宋体" w:eastAsia="仿宋_GB2312"/>
          <w:sz w:val="28"/>
          <w:szCs w:val="28"/>
          <w:lang w:eastAsia="zh-CN"/>
        </w:rPr>
        <w:t>负责</w:t>
      </w:r>
      <w:r>
        <w:rPr>
          <w:rFonts w:hint="eastAsia" w:ascii="仿宋_GB2312" w:hAnsi="宋体" w:eastAsia="仿宋_GB2312"/>
          <w:sz w:val="28"/>
          <w:szCs w:val="28"/>
        </w:rPr>
        <w:t>，编制工作组成员如下：</w:t>
      </w:r>
    </w:p>
    <w:p w14:paraId="4D1DE37B">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编制工作组下设三个组，分别是资料收集组、草案编写组、标准实施组。</w:t>
      </w:r>
    </w:p>
    <w:p w14:paraId="1233027A">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资料收集组负责国内外有关</w:t>
      </w:r>
      <w:r>
        <w:rPr>
          <w:rFonts w:hint="eastAsia" w:ascii="仿宋_GB2312" w:eastAsia="仿宋_GB2312"/>
          <w:color w:val="000000"/>
          <w:sz w:val="28"/>
          <w:szCs w:val="28"/>
          <w:lang w:eastAsia="zh-CN"/>
        </w:rPr>
        <w:t>鸡血玉</w:t>
      </w:r>
      <w:r>
        <w:rPr>
          <w:rFonts w:hint="eastAsia" w:ascii="仿宋_GB2312" w:hAnsi="宋体" w:eastAsia="仿宋_GB2312"/>
          <w:sz w:val="28"/>
          <w:szCs w:val="28"/>
        </w:rPr>
        <w:t>的文献资料的查询、收集和整理工作，查阅前人对</w:t>
      </w:r>
      <w:r>
        <w:rPr>
          <w:rFonts w:hint="eastAsia" w:ascii="仿宋_GB2312" w:eastAsia="仿宋_GB2312"/>
          <w:color w:val="000000"/>
          <w:sz w:val="28"/>
          <w:szCs w:val="28"/>
          <w:lang w:eastAsia="zh-CN"/>
        </w:rPr>
        <w:t>鸡血玉</w:t>
      </w:r>
      <w:r>
        <w:rPr>
          <w:rFonts w:hint="eastAsia" w:ascii="仿宋_GB2312" w:hAnsi="宋体" w:eastAsia="仿宋_GB2312"/>
          <w:sz w:val="28"/>
          <w:szCs w:val="28"/>
        </w:rPr>
        <w:t>的研究情况和目前科学界对</w:t>
      </w:r>
      <w:r>
        <w:rPr>
          <w:rFonts w:hint="eastAsia" w:ascii="仿宋_GB2312" w:eastAsia="仿宋_GB2312"/>
          <w:color w:val="000000"/>
          <w:sz w:val="28"/>
          <w:szCs w:val="28"/>
          <w:lang w:eastAsia="zh-CN"/>
        </w:rPr>
        <w:t>鸡血玉</w:t>
      </w:r>
      <w:r>
        <w:rPr>
          <w:rFonts w:hint="eastAsia" w:ascii="仿宋_GB2312" w:hAnsi="宋体" w:eastAsia="仿宋_GB2312"/>
          <w:sz w:val="28"/>
          <w:szCs w:val="28"/>
        </w:rPr>
        <w:t>的研究进展。</w:t>
      </w:r>
    </w:p>
    <w:p w14:paraId="58D3B39A">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草案编写组负责起草标准草案、征求意见稿和标准编制说明、送审稿及编制说明的编写工作，包括后期召开征求意见会、网上征求意见，以及标准的不断修改和完善。</w:t>
      </w:r>
    </w:p>
    <w:p w14:paraId="603D4996">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标准实施组负责《</w:t>
      </w:r>
      <w:r>
        <w:rPr>
          <w:rFonts w:hint="eastAsia" w:ascii="仿宋_GB2312" w:eastAsia="仿宋_GB2312"/>
          <w:sz w:val="28"/>
          <w:szCs w:val="28"/>
          <w:lang w:eastAsia="zh-CN"/>
        </w:rPr>
        <w:t>鸡血玉</w:t>
      </w:r>
      <w:r>
        <w:rPr>
          <w:rFonts w:hint="eastAsia" w:ascii="仿宋_GB2312" w:hAnsi="宋体" w:eastAsia="仿宋_GB2312"/>
          <w:sz w:val="28"/>
          <w:szCs w:val="28"/>
        </w:rPr>
        <w:t>》标准发布后，组织</w:t>
      </w:r>
      <w:r>
        <w:rPr>
          <w:rFonts w:hint="eastAsia" w:ascii="仿宋_GB2312" w:eastAsia="仿宋_GB2312"/>
          <w:sz w:val="28"/>
          <w:szCs w:val="28"/>
          <w:lang w:eastAsia="zh-CN"/>
        </w:rPr>
        <w:t>鸡血玉</w:t>
      </w:r>
      <w:r>
        <w:rPr>
          <w:rFonts w:hint="eastAsia" w:ascii="仿宋_GB2312" w:hAnsi="宋体" w:eastAsia="仿宋_GB2312"/>
          <w:sz w:val="28"/>
          <w:szCs w:val="28"/>
          <w:highlight w:val="none"/>
        </w:rPr>
        <w:t>相关企业、</w:t>
      </w:r>
      <w:r>
        <w:rPr>
          <w:rFonts w:hint="eastAsia" w:ascii="仿宋_GB2312" w:eastAsia="仿宋_GB2312"/>
          <w:sz w:val="28"/>
          <w:szCs w:val="28"/>
          <w:highlight w:val="none"/>
          <w:lang w:eastAsia="zh-CN"/>
        </w:rPr>
        <w:t>相关单位</w:t>
      </w:r>
      <w:r>
        <w:rPr>
          <w:rFonts w:hint="eastAsia" w:ascii="仿宋_GB2312" w:hAnsi="宋体" w:eastAsia="仿宋_GB2312"/>
          <w:sz w:val="28"/>
          <w:szCs w:val="28"/>
          <w:highlight w:val="none"/>
        </w:rPr>
        <w:t>开展标准宣贯培训会，对标准进行详细解读，让</w:t>
      </w:r>
      <w:r>
        <w:rPr>
          <w:rFonts w:hint="eastAsia" w:ascii="仿宋_GB2312" w:eastAsia="仿宋_GB2312"/>
          <w:sz w:val="28"/>
          <w:szCs w:val="28"/>
          <w:highlight w:val="none"/>
          <w:lang w:eastAsia="zh-CN"/>
        </w:rPr>
        <w:t>生产、销售及</w:t>
      </w:r>
      <w:r>
        <w:rPr>
          <w:rFonts w:hint="eastAsia" w:ascii="仿宋_GB2312" w:hAnsi="宋体" w:eastAsia="仿宋_GB2312"/>
          <w:sz w:val="28"/>
          <w:szCs w:val="28"/>
          <w:highlight w:val="none"/>
        </w:rPr>
        <w:t>运输人员等相关人员了解标准，并根据标准对鸡血玉的术语和定义、特征、鉴定方法、鉴定规则、分级要求、产品工艺要求、标志包装、运输等进行规范化操作，保证</w:t>
      </w:r>
      <w:r>
        <w:rPr>
          <w:rFonts w:hint="eastAsia" w:ascii="仿宋_GB2312" w:eastAsia="仿宋_GB2312"/>
          <w:sz w:val="28"/>
          <w:szCs w:val="28"/>
          <w:highlight w:val="none"/>
          <w:lang w:eastAsia="zh-CN"/>
        </w:rPr>
        <w:t>鸡血玉</w:t>
      </w:r>
      <w:r>
        <w:rPr>
          <w:rFonts w:hint="eastAsia" w:ascii="仿宋_GB2312" w:hAnsi="宋体" w:eastAsia="仿宋_GB2312"/>
          <w:sz w:val="28"/>
          <w:szCs w:val="28"/>
          <w:highlight w:val="none"/>
        </w:rPr>
        <w:t>的</w:t>
      </w:r>
      <w:r>
        <w:rPr>
          <w:rFonts w:hint="eastAsia" w:ascii="仿宋_GB2312" w:hAnsi="宋体" w:eastAsia="仿宋_GB2312"/>
          <w:sz w:val="28"/>
          <w:szCs w:val="28"/>
          <w:highlight w:val="none"/>
          <w:lang w:eastAsia="zh-CN"/>
        </w:rPr>
        <w:t>商品品质</w:t>
      </w:r>
      <w:r>
        <w:rPr>
          <w:rFonts w:hint="eastAsia" w:ascii="仿宋_GB2312" w:hAnsi="宋体" w:eastAsia="仿宋_GB2312"/>
          <w:sz w:val="28"/>
          <w:szCs w:val="28"/>
          <w:highlight w:val="none"/>
        </w:rPr>
        <w:t>，</w:t>
      </w:r>
      <w:r>
        <w:rPr>
          <w:rFonts w:hint="eastAsia" w:ascii="仿宋_GB2312" w:hAnsi="宋体" w:eastAsia="仿宋_GB2312"/>
          <w:sz w:val="28"/>
          <w:szCs w:val="28"/>
        </w:rPr>
        <w:t>并对标准实施情况进行总结分析，不断对标准提出修正意见。</w:t>
      </w:r>
    </w:p>
    <w:p w14:paraId="5855837B">
      <w:pPr>
        <w:keepNext w:val="0"/>
        <w:keepLines w:val="0"/>
        <w:pageBreakBefore w:val="0"/>
        <w:numPr>
          <w:ilvl w:val="0"/>
          <w:numId w:val="7"/>
        </w:numPr>
        <w:kinsoku/>
        <w:wordWrap/>
        <w:overflowPunct/>
        <w:topLinePunct w:val="0"/>
        <w:bidi w:val="0"/>
        <w:snapToGrid/>
        <w:spacing w:line="240" w:lineRule="auto"/>
        <w:ind w:firstLine="562" w:firstLineChars="200"/>
        <w:textAlignment w:val="auto"/>
        <w:outlineLvl w:val="1"/>
        <w:rPr>
          <w:rFonts w:hint="eastAsia" w:ascii="仿宋_GB2312" w:hAnsi="仿宋_GB2312" w:eastAsia="仿宋_GB2312" w:cs="仿宋_GB2312"/>
          <w:b/>
          <w:sz w:val="28"/>
          <w:szCs w:val="28"/>
          <w:lang w:val="en-US" w:eastAsia="zh-CN"/>
        </w:rPr>
      </w:pPr>
      <w:r>
        <w:rPr>
          <w:rFonts w:hint="eastAsia" w:ascii="仿宋_GB2312" w:hAnsi="仿宋_GB2312" w:eastAsia="仿宋_GB2312" w:cs="仿宋_GB2312"/>
          <w:b/>
          <w:sz w:val="28"/>
          <w:szCs w:val="28"/>
          <w:lang w:val="en-US" w:eastAsia="zh-CN"/>
        </w:rPr>
        <w:t>标准起草单位及主要起草人</w:t>
      </w:r>
    </w:p>
    <w:p w14:paraId="5A002799">
      <w:pPr>
        <w:keepNext w:val="0"/>
        <w:keepLines w:val="0"/>
        <w:pageBreakBefore w:val="0"/>
        <w:numPr>
          <w:numId w:val="0"/>
        </w:numPr>
        <w:kinsoku/>
        <w:wordWrap/>
        <w:overflowPunct/>
        <w:topLinePunct w:val="0"/>
        <w:bidi w:val="0"/>
        <w:snapToGrid/>
        <w:spacing w:line="240" w:lineRule="auto"/>
        <w:textAlignment w:val="auto"/>
        <w:outlineLvl w:val="1"/>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1.标准起草单位：桂林鸡血玉协会、桂林市产品质量检验所、桂林理工大学、千年红鸡血玉博物馆、观石堂鸡血玉博物馆、玉华天宝鸡血玉展示馆、桂林市天维阁鸡血红碧玉奇石馆。</w:t>
      </w:r>
    </w:p>
    <w:p w14:paraId="321D27D2">
      <w:pPr>
        <w:keepNext w:val="0"/>
        <w:keepLines w:val="0"/>
        <w:pageBreakBefore w:val="0"/>
        <w:numPr>
          <w:ilvl w:val="0"/>
          <w:numId w:val="0"/>
        </w:numPr>
        <w:kinsoku/>
        <w:wordWrap/>
        <w:overflowPunct/>
        <w:topLinePunct w:val="0"/>
        <w:bidi w:val="0"/>
        <w:snapToGrid/>
        <w:spacing w:line="240" w:lineRule="auto"/>
        <w:textAlignment w:val="auto"/>
        <w:outlineLvl w:val="1"/>
        <w:rPr>
          <w:rFonts w:hint="default"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2</w:t>
      </w:r>
      <w:r>
        <w:rPr>
          <w:rFonts w:hint="eastAsia" w:ascii="仿宋_GB2312" w:eastAsia="仿宋_GB2312"/>
          <w:sz w:val="28"/>
          <w:szCs w:val="28"/>
          <w:highlight w:val="none"/>
          <w:lang w:val="en-US" w:eastAsia="zh-CN"/>
        </w:rPr>
        <w:t>.标准主要起草人信息：</w:t>
      </w:r>
      <w:bookmarkStart w:id="3" w:name="_GoBack"/>
      <w:bookmarkEnd w:id="3"/>
    </w:p>
    <w:tbl>
      <w:tblPr>
        <w:tblStyle w:val="6"/>
        <w:tblW w:w="837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989"/>
        <w:gridCol w:w="730"/>
        <w:gridCol w:w="1488"/>
        <w:gridCol w:w="1893"/>
        <w:gridCol w:w="2561"/>
      </w:tblGrid>
      <w:tr w14:paraId="4468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tcPr>
          <w:p w14:paraId="780B9B22">
            <w:pPr>
              <w:keepNext w:val="0"/>
              <w:keepLines w:val="0"/>
              <w:widowControl/>
              <w:suppressLineNumbers w:val="0"/>
              <w:adjustRightInd w:val="0"/>
              <w:snapToGrid w:val="0"/>
              <w:spacing w:before="0" w:beforeAutospacing="0" w:after="0" w:afterAutospacing="0" w:line="380" w:lineRule="exact"/>
              <w:ind w:left="0" w:right="0"/>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序号</w:t>
            </w:r>
          </w:p>
        </w:tc>
        <w:tc>
          <w:tcPr>
            <w:tcW w:w="989" w:type="dxa"/>
            <w:noWrap/>
            <w:vAlign w:val="center"/>
          </w:tcPr>
          <w:p w14:paraId="5C8F2519">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姓名</w:t>
            </w:r>
          </w:p>
        </w:tc>
        <w:tc>
          <w:tcPr>
            <w:tcW w:w="730" w:type="dxa"/>
            <w:noWrap/>
            <w:vAlign w:val="center"/>
          </w:tcPr>
          <w:p w14:paraId="1B38B937">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性别</w:t>
            </w:r>
          </w:p>
        </w:tc>
        <w:tc>
          <w:tcPr>
            <w:tcW w:w="1488" w:type="dxa"/>
            <w:noWrap/>
            <w:vAlign w:val="center"/>
          </w:tcPr>
          <w:p w14:paraId="4740E623">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职务/职称</w:t>
            </w:r>
          </w:p>
        </w:tc>
        <w:tc>
          <w:tcPr>
            <w:tcW w:w="1893" w:type="dxa"/>
            <w:noWrap/>
            <w:vAlign w:val="center"/>
          </w:tcPr>
          <w:p w14:paraId="0D69F8A1">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工作单位</w:t>
            </w:r>
          </w:p>
        </w:tc>
        <w:tc>
          <w:tcPr>
            <w:tcW w:w="2561" w:type="dxa"/>
            <w:vAlign w:val="center"/>
          </w:tcPr>
          <w:p w14:paraId="26545423">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b/>
                <w:color w:val="auto"/>
                <w:sz w:val="21"/>
                <w:szCs w:val="21"/>
                <w:highlight w:val="none"/>
              </w:rPr>
            </w:pPr>
            <w:r>
              <w:rPr>
                <w:rFonts w:hint="default" w:ascii="Times New Roman" w:hAnsi="Times New Roman" w:eastAsia="宋体" w:cs="Times New Roman"/>
                <w:b/>
                <w:color w:val="auto"/>
                <w:sz w:val="21"/>
                <w:szCs w:val="21"/>
                <w:highlight w:val="none"/>
              </w:rPr>
              <w:t>任务分工</w:t>
            </w:r>
          </w:p>
        </w:tc>
      </w:tr>
      <w:tr w14:paraId="7B88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3374EC25">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1</w:t>
            </w:r>
          </w:p>
        </w:tc>
        <w:tc>
          <w:tcPr>
            <w:tcW w:w="989" w:type="dxa"/>
            <w:noWrap/>
            <w:vAlign w:val="center"/>
          </w:tcPr>
          <w:p w14:paraId="6F09F2D5">
            <w:pPr>
              <w:keepNext w:val="0"/>
              <w:keepLines w:val="0"/>
              <w:widowControl/>
              <w:suppressLineNumbers w:val="0"/>
              <w:adjustRightInd w:val="0"/>
              <w:snapToGrid w:val="0"/>
              <w:spacing w:before="0" w:beforeAutospacing="0" w:after="0" w:afterAutospacing="0" w:line="38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莫浩越</w:t>
            </w:r>
          </w:p>
        </w:tc>
        <w:tc>
          <w:tcPr>
            <w:tcW w:w="730" w:type="dxa"/>
            <w:noWrap/>
            <w:vAlign w:val="center"/>
          </w:tcPr>
          <w:p w14:paraId="28AD0526">
            <w:pPr>
              <w:keepNext w:val="0"/>
              <w:keepLines w:val="0"/>
              <w:widowControl/>
              <w:suppressLineNumbers w:val="0"/>
              <w:adjustRightInd w:val="0"/>
              <w:snapToGrid w:val="0"/>
              <w:spacing w:before="0" w:beforeAutospacing="0" w:after="0" w:afterAutospacing="0" w:line="380" w:lineRule="exact"/>
              <w:ind w:left="0" w:right="0"/>
              <w:jc w:val="center"/>
              <w:rPr>
                <w:rFonts w:hint="eastAsia" w:ascii="Times New Roman" w:hAnsi="Times New Roman" w:eastAsia="宋体"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男</w:t>
            </w:r>
          </w:p>
        </w:tc>
        <w:tc>
          <w:tcPr>
            <w:tcW w:w="1488" w:type="dxa"/>
            <w:noWrap/>
            <w:vAlign w:val="center"/>
          </w:tcPr>
          <w:p w14:paraId="0FCB01A0">
            <w:pPr>
              <w:keepNext w:val="0"/>
              <w:keepLines w:val="0"/>
              <w:widowControl/>
              <w:suppressLineNumbers w:val="0"/>
              <w:adjustRightInd w:val="0"/>
              <w:snapToGrid w:val="0"/>
              <w:spacing w:before="0" w:beforeAutospacing="0" w:after="0" w:afterAutospacing="0" w:line="380" w:lineRule="exact"/>
              <w:ind w:left="0" w:right="0"/>
              <w:rPr>
                <w:rFonts w:hint="eastAsia" w:ascii="Times New Roman" w:hAnsi="Times New Roman" w:eastAsia="宋体"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副所长</w:t>
            </w:r>
            <w:r>
              <w:rPr>
                <w:rFonts w:hint="eastAsia" w:ascii="Times New Roman" w:hAnsi="Times New Roman" w:cs="Times New Roman"/>
                <w:color w:val="auto"/>
                <w:sz w:val="21"/>
                <w:szCs w:val="21"/>
                <w:highlight w:val="none"/>
                <w:lang w:val="en-US" w:eastAsia="zh-CN"/>
              </w:rPr>
              <w:t>/</w:t>
            </w:r>
            <w:r>
              <w:rPr>
                <w:rFonts w:hint="eastAsia" w:ascii="Times New Roman" w:hAnsi="Times New Roman" w:cs="Times New Roman"/>
                <w:color w:val="auto"/>
                <w:sz w:val="21"/>
                <w:szCs w:val="21"/>
                <w:highlight w:val="none"/>
                <w:lang w:eastAsia="zh-CN"/>
              </w:rPr>
              <w:t>高级工程师</w:t>
            </w:r>
          </w:p>
        </w:tc>
        <w:tc>
          <w:tcPr>
            <w:tcW w:w="1893" w:type="dxa"/>
            <w:noWrap/>
            <w:vAlign w:val="center"/>
          </w:tcPr>
          <w:p w14:paraId="22CBD08F">
            <w:pPr>
              <w:keepNext w:val="0"/>
              <w:keepLines w:val="0"/>
              <w:widowControl/>
              <w:suppressLineNumbers w:val="0"/>
              <w:adjustRightInd w:val="0"/>
              <w:snapToGrid w:val="0"/>
              <w:spacing w:before="0" w:beforeAutospacing="0" w:after="0" w:afterAutospacing="0" w:line="380" w:lineRule="exact"/>
              <w:ind w:left="0" w:right="0"/>
              <w:rPr>
                <w:rFonts w:hint="eastAsia" w:ascii="Times New Roman" w:hAnsi="Times New Roman" w:eastAsia="宋体"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桂林市产品质量检验所</w:t>
            </w:r>
          </w:p>
        </w:tc>
        <w:tc>
          <w:tcPr>
            <w:tcW w:w="2561" w:type="dxa"/>
            <w:vAlign w:val="center"/>
          </w:tcPr>
          <w:p w14:paraId="1A833D59">
            <w:pPr>
              <w:keepNext w:val="0"/>
              <w:keepLines w:val="0"/>
              <w:widowControl/>
              <w:suppressLineNumbers w:val="0"/>
              <w:adjustRightInd w:val="0"/>
              <w:snapToGrid w:val="0"/>
              <w:spacing w:before="0" w:beforeAutospacing="0" w:after="0" w:afterAutospacing="0" w:line="38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负责标准框架的设计、组织安排、整体协调、最终审核等</w:t>
            </w:r>
          </w:p>
        </w:tc>
      </w:tr>
      <w:tr w14:paraId="63128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1C599543">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2</w:t>
            </w:r>
          </w:p>
        </w:tc>
        <w:tc>
          <w:tcPr>
            <w:tcW w:w="989" w:type="dxa"/>
            <w:noWrap/>
            <w:vAlign w:val="center"/>
          </w:tcPr>
          <w:p w14:paraId="7D5E4130">
            <w:pPr>
              <w:keepNext w:val="0"/>
              <w:keepLines w:val="0"/>
              <w:widowControl/>
              <w:suppressLineNumbers w:val="0"/>
              <w:adjustRightInd w:val="0"/>
              <w:snapToGrid w:val="0"/>
              <w:spacing w:before="0" w:beforeAutospacing="0" w:after="0" w:afterAutospacing="0" w:line="38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唐文生</w:t>
            </w:r>
          </w:p>
        </w:tc>
        <w:tc>
          <w:tcPr>
            <w:tcW w:w="730" w:type="dxa"/>
            <w:noWrap/>
            <w:vAlign w:val="center"/>
          </w:tcPr>
          <w:p w14:paraId="3452B9DE">
            <w:pPr>
              <w:keepNext w:val="0"/>
              <w:keepLines w:val="0"/>
              <w:widowControl/>
              <w:suppressLineNumbers w:val="0"/>
              <w:adjustRightInd w:val="0"/>
              <w:snapToGrid w:val="0"/>
              <w:spacing w:before="0" w:beforeAutospacing="0" w:after="0" w:afterAutospacing="0" w:line="380" w:lineRule="exact"/>
              <w:ind w:left="0" w:right="0"/>
              <w:jc w:val="center"/>
              <w:rPr>
                <w:rFonts w:hint="eastAsia" w:ascii="Times New Roman" w:hAnsi="Times New Roman" w:eastAsia="宋体"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男</w:t>
            </w:r>
          </w:p>
        </w:tc>
        <w:tc>
          <w:tcPr>
            <w:tcW w:w="1488" w:type="dxa"/>
            <w:noWrap/>
            <w:vAlign w:val="center"/>
          </w:tcPr>
          <w:p w14:paraId="1805DBE9">
            <w:pPr>
              <w:keepNext w:val="0"/>
              <w:keepLines w:val="0"/>
              <w:widowControl/>
              <w:suppressLineNumbers w:val="0"/>
              <w:adjustRightInd w:val="0"/>
              <w:snapToGrid w:val="0"/>
              <w:spacing w:before="0" w:beforeAutospacing="0" w:after="0" w:afterAutospacing="0" w:line="38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会长/高级工程师</w:t>
            </w:r>
          </w:p>
        </w:tc>
        <w:tc>
          <w:tcPr>
            <w:tcW w:w="1893" w:type="dxa"/>
            <w:noWrap/>
            <w:vAlign w:val="center"/>
          </w:tcPr>
          <w:p w14:paraId="372AA5B2">
            <w:pPr>
              <w:keepNext w:val="0"/>
              <w:keepLines w:val="0"/>
              <w:widowControl/>
              <w:suppressLineNumbers w:val="0"/>
              <w:adjustRightInd w:val="0"/>
              <w:snapToGrid w:val="0"/>
              <w:spacing w:before="0" w:beforeAutospacing="0" w:after="0" w:afterAutospacing="0" w:line="38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lang w:val="en-US" w:eastAsia="zh-CN"/>
              </w:rPr>
              <w:t>桂林鸡血玉协会</w:t>
            </w:r>
          </w:p>
        </w:tc>
        <w:tc>
          <w:tcPr>
            <w:tcW w:w="2561" w:type="dxa"/>
            <w:vAlign w:val="center"/>
          </w:tcPr>
          <w:p w14:paraId="73FE93BA">
            <w:pPr>
              <w:keepNext w:val="0"/>
              <w:keepLines w:val="0"/>
              <w:widowControl/>
              <w:suppressLineNumbers w:val="0"/>
              <w:adjustRightInd w:val="0"/>
              <w:snapToGrid w:val="0"/>
              <w:spacing w:before="0" w:beforeAutospacing="0" w:after="0" w:afterAutospacing="0" w:line="38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参与起草、修改、编制、主要技术内容的确认等</w:t>
            </w:r>
          </w:p>
        </w:tc>
      </w:tr>
      <w:tr w14:paraId="695BE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4D16D9A0">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3</w:t>
            </w:r>
          </w:p>
        </w:tc>
        <w:tc>
          <w:tcPr>
            <w:tcW w:w="989" w:type="dxa"/>
            <w:noWrap/>
            <w:vAlign w:val="center"/>
          </w:tcPr>
          <w:p w14:paraId="1EAF8AFE">
            <w:pPr>
              <w:keepNext w:val="0"/>
              <w:keepLines w:val="0"/>
              <w:widowControl/>
              <w:suppressLineNumbers w:val="0"/>
              <w:adjustRightInd w:val="0"/>
              <w:snapToGrid w:val="0"/>
              <w:spacing w:before="0" w:beforeAutospacing="0" w:after="0" w:afterAutospacing="0" w:line="38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沈绍卿</w:t>
            </w:r>
          </w:p>
        </w:tc>
        <w:tc>
          <w:tcPr>
            <w:tcW w:w="730" w:type="dxa"/>
            <w:noWrap/>
            <w:vAlign w:val="center"/>
          </w:tcPr>
          <w:p w14:paraId="1A1DD1AC">
            <w:pPr>
              <w:keepNext w:val="0"/>
              <w:keepLines w:val="0"/>
              <w:widowControl/>
              <w:suppressLineNumbers w:val="0"/>
              <w:adjustRightInd w:val="0"/>
              <w:snapToGrid w:val="0"/>
              <w:spacing w:before="0" w:beforeAutospacing="0" w:after="0" w:afterAutospacing="0" w:line="380" w:lineRule="exact"/>
              <w:ind w:left="0" w:right="0"/>
              <w:jc w:val="center"/>
              <w:rPr>
                <w:rFonts w:hint="eastAsia" w:ascii="Times New Roman" w:hAnsi="Times New Roman" w:eastAsia="宋体"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男</w:t>
            </w:r>
          </w:p>
        </w:tc>
        <w:tc>
          <w:tcPr>
            <w:tcW w:w="1488" w:type="dxa"/>
            <w:noWrap/>
            <w:vAlign w:val="center"/>
          </w:tcPr>
          <w:p w14:paraId="0DBFCF32">
            <w:pPr>
              <w:keepNext w:val="0"/>
              <w:keepLines w:val="0"/>
              <w:widowControl/>
              <w:suppressLineNumbers w:val="0"/>
              <w:adjustRightInd w:val="0"/>
              <w:snapToGrid w:val="0"/>
              <w:spacing w:before="0" w:beforeAutospacing="0" w:after="0" w:afterAutospacing="0" w:line="380" w:lineRule="exact"/>
              <w:ind w:left="0" w:right="0"/>
              <w:rPr>
                <w:rFonts w:hint="eastAsia" w:ascii="Times New Roman" w:hAnsi="Times New Roman" w:eastAsia="宋体" w:cs="Times New Roman"/>
                <w:color w:val="auto"/>
                <w:sz w:val="21"/>
                <w:szCs w:val="21"/>
                <w:highlight w:val="none"/>
                <w:lang w:eastAsia="zh-CN"/>
              </w:rPr>
            </w:pPr>
            <w:r>
              <w:rPr>
                <w:rFonts w:hint="default" w:ascii="Times New Roman" w:hAnsi="Times New Roman" w:eastAsia="宋体" w:cs="Times New Roman"/>
                <w:color w:val="auto"/>
                <w:sz w:val="21"/>
                <w:szCs w:val="21"/>
                <w:highlight w:val="none"/>
              </w:rPr>
              <w:t>科长/高级</w:t>
            </w:r>
            <w:r>
              <w:rPr>
                <w:rFonts w:hint="eastAsia" w:ascii="Times New Roman" w:hAnsi="Times New Roman" w:cs="Times New Roman"/>
                <w:color w:val="auto"/>
                <w:sz w:val="21"/>
                <w:szCs w:val="21"/>
                <w:highlight w:val="none"/>
                <w:lang w:eastAsia="zh-CN"/>
              </w:rPr>
              <w:t>工程师</w:t>
            </w:r>
          </w:p>
        </w:tc>
        <w:tc>
          <w:tcPr>
            <w:tcW w:w="1893" w:type="dxa"/>
            <w:noWrap/>
            <w:vAlign w:val="center"/>
          </w:tcPr>
          <w:p w14:paraId="6B98F92A">
            <w:pPr>
              <w:keepNext w:val="0"/>
              <w:keepLines w:val="0"/>
              <w:widowControl/>
              <w:suppressLineNumbers w:val="0"/>
              <w:adjustRightInd w:val="0"/>
              <w:snapToGrid w:val="0"/>
              <w:spacing w:before="0" w:beforeAutospacing="0" w:after="0" w:afterAutospacing="0" w:line="380" w:lineRule="exact"/>
              <w:ind w:left="0" w:right="0"/>
              <w:rPr>
                <w:rFonts w:hint="eastAsia" w:ascii="Times New Roman" w:hAnsi="Times New Roman" w:eastAsia="宋体"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桂林市产品质量检验所</w:t>
            </w:r>
          </w:p>
        </w:tc>
        <w:tc>
          <w:tcPr>
            <w:tcW w:w="2561" w:type="dxa"/>
            <w:vAlign w:val="center"/>
          </w:tcPr>
          <w:p w14:paraId="7E86E1ED">
            <w:pPr>
              <w:keepNext w:val="0"/>
              <w:keepLines w:val="0"/>
              <w:widowControl/>
              <w:suppressLineNumbers w:val="0"/>
              <w:adjustRightInd w:val="0"/>
              <w:snapToGrid w:val="0"/>
              <w:spacing w:before="0" w:beforeAutospacing="0" w:after="0" w:afterAutospacing="0" w:line="380" w:lineRule="exact"/>
              <w:ind w:left="0" w:right="0"/>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参与起草、修改、编制、主要技术内容的确认等</w:t>
            </w:r>
          </w:p>
        </w:tc>
      </w:tr>
      <w:tr w14:paraId="0A673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3AF4E4B2">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4</w:t>
            </w:r>
          </w:p>
        </w:tc>
        <w:tc>
          <w:tcPr>
            <w:tcW w:w="989" w:type="dxa"/>
            <w:noWrap/>
            <w:vAlign w:val="center"/>
          </w:tcPr>
          <w:p w14:paraId="49A18AA9">
            <w:pPr>
              <w:keepNext w:val="0"/>
              <w:keepLines w:val="0"/>
              <w:widowControl/>
              <w:suppressLineNumbers w:val="0"/>
              <w:adjustRightInd w:val="0"/>
              <w:snapToGrid w:val="0"/>
              <w:spacing w:before="0" w:beforeAutospacing="0" w:after="0" w:afterAutospacing="0" w:line="380" w:lineRule="exact"/>
              <w:ind w:left="0" w:right="0"/>
              <w:rPr>
                <w:rFonts w:hint="eastAsia" w:ascii="Times New Roman" w:hAnsi="Times New Roman" w:eastAsia="宋体"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梁</w:t>
            </w:r>
            <w:r>
              <w:rPr>
                <w:rFonts w:hint="eastAsia" w:ascii="Times New Roman" w:hAnsi="Times New Roman" w:cs="Times New Roman"/>
                <w:color w:val="auto"/>
                <w:sz w:val="21"/>
                <w:szCs w:val="21"/>
                <w:highlight w:val="none"/>
                <w:lang w:val="en-US" w:eastAsia="zh-CN"/>
              </w:rPr>
              <w:t xml:space="preserve">  </w:t>
            </w:r>
            <w:r>
              <w:rPr>
                <w:rFonts w:hint="eastAsia" w:ascii="Times New Roman" w:hAnsi="Times New Roman" w:cs="Times New Roman"/>
                <w:color w:val="auto"/>
                <w:sz w:val="21"/>
                <w:szCs w:val="21"/>
                <w:highlight w:val="none"/>
                <w:lang w:eastAsia="zh-CN"/>
              </w:rPr>
              <w:t>玉</w:t>
            </w:r>
          </w:p>
        </w:tc>
        <w:tc>
          <w:tcPr>
            <w:tcW w:w="730" w:type="dxa"/>
            <w:noWrap/>
            <w:vAlign w:val="center"/>
          </w:tcPr>
          <w:p w14:paraId="558D92C0">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女</w:t>
            </w:r>
          </w:p>
        </w:tc>
        <w:tc>
          <w:tcPr>
            <w:tcW w:w="1488" w:type="dxa"/>
            <w:noWrap/>
            <w:vAlign w:val="center"/>
          </w:tcPr>
          <w:p w14:paraId="0F27F207">
            <w:pPr>
              <w:keepNext w:val="0"/>
              <w:keepLines w:val="0"/>
              <w:widowControl/>
              <w:suppressLineNumbers w:val="0"/>
              <w:adjustRightInd w:val="0"/>
              <w:snapToGrid w:val="0"/>
              <w:spacing w:before="0" w:beforeAutospacing="0" w:after="0" w:afterAutospacing="0" w:line="380" w:lineRule="exact"/>
              <w:ind w:left="0" w:right="0"/>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eastAsia="zh-CN"/>
              </w:rPr>
              <w:t>副科长</w:t>
            </w:r>
            <w:r>
              <w:rPr>
                <w:rFonts w:hint="eastAsia" w:ascii="Times New Roman" w:hAnsi="Times New Roman" w:cs="Times New Roman"/>
                <w:color w:val="auto"/>
                <w:sz w:val="21"/>
                <w:szCs w:val="21"/>
                <w:highlight w:val="none"/>
                <w:lang w:val="en-US" w:eastAsia="zh-CN"/>
              </w:rPr>
              <w:t>/高级工程师</w:t>
            </w:r>
          </w:p>
        </w:tc>
        <w:tc>
          <w:tcPr>
            <w:tcW w:w="1893" w:type="dxa"/>
            <w:noWrap/>
            <w:vAlign w:val="center"/>
          </w:tcPr>
          <w:p w14:paraId="0CA8AEFC">
            <w:pPr>
              <w:keepNext w:val="0"/>
              <w:keepLines w:val="0"/>
              <w:widowControl/>
              <w:suppressLineNumbers w:val="0"/>
              <w:adjustRightInd w:val="0"/>
              <w:snapToGrid w:val="0"/>
              <w:spacing w:before="0" w:beforeAutospacing="0" w:after="0" w:afterAutospacing="0" w:line="380" w:lineRule="exact"/>
              <w:ind w:left="0" w:right="0"/>
              <w:rPr>
                <w:rFonts w:hint="eastAsia" w:ascii="Times New Roman" w:hAnsi="Times New Roman" w:eastAsia="宋体" w:cs="Times New Roman"/>
                <w:color w:val="auto"/>
                <w:sz w:val="21"/>
                <w:szCs w:val="21"/>
                <w:highlight w:val="none"/>
                <w:lang w:eastAsia="zh-CN"/>
              </w:rPr>
            </w:pPr>
            <w:r>
              <w:rPr>
                <w:rFonts w:hint="eastAsia" w:ascii="Times New Roman" w:hAnsi="Times New Roman" w:cs="Times New Roman"/>
                <w:color w:val="auto"/>
                <w:sz w:val="21"/>
                <w:szCs w:val="21"/>
                <w:highlight w:val="none"/>
                <w:lang w:eastAsia="zh-CN"/>
              </w:rPr>
              <w:t>桂林市产品质量检验所</w:t>
            </w:r>
          </w:p>
        </w:tc>
        <w:tc>
          <w:tcPr>
            <w:tcW w:w="2561" w:type="dxa"/>
            <w:vAlign w:val="center"/>
          </w:tcPr>
          <w:p w14:paraId="72B53997">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参与起草、修改、编制、主要技术内容的确认等</w:t>
            </w:r>
          </w:p>
        </w:tc>
      </w:tr>
      <w:tr w14:paraId="0AF9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123DD641">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5</w:t>
            </w:r>
          </w:p>
        </w:tc>
        <w:tc>
          <w:tcPr>
            <w:tcW w:w="989" w:type="dxa"/>
            <w:noWrap/>
            <w:vAlign w:val="center"/>
          </w:tcPr>
          <w:p w14:paraId="24781DE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hAnsi="宋体" w:cs="宋体"/>
              </w:rPr>
              <w:t>佘秋明</w:t>
            </w:r>
          </w:p>
        </w:tc>
        <w:tc>
          <w:tcPr>
            <w:tcW w:w="730" w:type="dxa"/>
            <w:noWrap/>
            <w:vAlign w:val="center"/>
          </w:tcPr>
          <w:p w14:paraId="4B8C6F2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cs="Times New Roman"/>
                <w:lang w:val="en-US" w:eastAsia="zh-CN"/>
              </w:rPr>
              <w:t>男</w:t>
            </w:r>
          </w:p>
        </w:tc>
        <w:tc>
          <w:tcPr>
            <w:tcW w:w="1488" w:type="dxa"/>
            <w:noWrap/>
            <w:vAlign w:val="center"/>
          </w:tcPr>
          <w:p w14:paraId="5CD9172D">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lang w:val="en-US" w:eastAsia="zh-CN"/>
              </w:rPr>
              <w:t>总经理</w:t>
            </w:r>
          </w:p>
        </w:tc>
        <w:tc>
          <w:tcPr>
            <w:tcW w:w="1893" w:type="dxa"/>
            <w:noWrap/>
            <w:vAlign w:val="center"/>
          </w:tcPr>
          <w:p w14:paraId="740B929B">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rPr>
              <w:t>天维阁鸡血红碧玉奇石馆</w:t>
            </w:r>
          </w:p>
        </w:tc>
        <w:tc>
          <w:tcPr>
            <w:tcW w:w="2561" w:type="dxa"/>
            <w:vAlign w:val="center"/>
          </w:tcPr>
          <w:p w14:paraId="11F83EA1">
            <w:pPr>
              <w:keepNext w:val="0"/>
              <w:keepLines w:val="0"/>
              <w:widowControl/>
              <w:suppressLineNumbers w:val="0"/>
              <w:adjustRightInd w:val="0"/>
              <w:snapToGrid w:val="0"/>
              <w:spacing w:before="0" w:beforeAutospacing="0" w:after="0" w:afterAutospacing="0" w:line="380" w:lineRule="exact"/>
              <w:ind w:left="0" w:right="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资料收集、调查研究等</w:t>
            </w:r>
          </w:p>
        </w:tc>
      </w:tr>
      <w:tr w14:paraId="53507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299A8CC6">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6</w:t>
            </w:r>
          </w:p>
        </w:tc>
        <w:tc>
          <w:tcPr>
            <w:tcW w:w="989" w:type="dxa"/>
            <w:noWrap/>
            <w:vAlign w:val="center"/>
          </w:tcPr>
          <w:p w14:paraId="2EB937B1">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hAnsi="宋体" w:cs="宋体"/>
              </w:rPr>
              <w:t>卢文胜</w:t>
            </w:r>
          </w:p>
        </w:tc>
        <w:tc>
          <w:tcPr>
            <w:tcW w:w="730" w:type="dxa"/>
            <w:noWrap/>
            <w:vAlign w:val="center"/>
          </w:tcPr>
          <w:p w14:paraId="00FB38BE">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cs="Times New Roman"/>
                <w:lang w:val="en-US" w:eastAsia="zh-CN"/>
              </w:rPr>
              <w:t>男</w:t>
            </w:r>
          </w:p>
        </w:tc>
        <w:tc>
          <w:tcPr>
            <w:tcW w:w="1488" w:type="dxa"/>
            <w:noWrap/>
            <w:vAlign w:val="center"/>
          </w:tcPr>
          <w:p w14:paraId="743E74F1">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lang w:val="en-US" w:eastAsia="zh-CN"/>
              </w:rPr>
              <w:t>公司法人</w:t>
            </w:r>
          </w:p>
        </w:tc>
        <w:tc>
          <w:tcPr>
            <w:tcW w:w="1893" w:type="dxa"/>
            <w:noWrap/>
            <w:vAlign w:val="center"/>
          </w:tcPr>
          <w:p w14:paraId="01BAE0CD">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rPr>
              <w:t>桂林龙玉石材有限公司</w:t>
            </w:r>
          </w:p>
        </w:tc>
        <w:tc>
          <w:tcPr>
            <w:tcW w:w="2561" w:type="dxa"/>
            <w:vAlign w:val="center"/>
          </w:tcPr>
          <w:p w14:paraId="31364B72">
            <w:pPr>
              <w:keepNext w:val="0"/>
              <w:keepLines w:val="0"/>
              <w:widowControl/>
              <w:suppressLineNumbers w:val="0"/>
              <w:adjustRightInd w:val="0"/>
              <w:snapToGrid w:val="0"/>
              <w:spacing w:before="0" w:beforeAutospacing="0" w:after="0" w:afterAutospacing="0" w:line="380" w:lineRule="exact"/>
              <w:ind w:left="0" w:right="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主要技术内容的分析等</w:t>
            </w:r>
          </w:p>
        </w:tc>
      </w:tr>
      <w:tr w14:paraId="6A752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47DFF3C0">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7</w:t>
            </w:r>
          </w:p>
        </w:tc>
        <w:tc>
          <w:tcPr>
            <w:tcW w:w="989" w:type="dxa"/>
            <w:noWrap/>
            <w:vAlign w:val="center"/>
          </w:tcPr>
          <w:p w14:paraId="06207B0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hAnsi="宋体" w:cs="宋体"/>
              </w:rPr>
              <w:t>韦</w:t>
            </w:r>
            <w:r>
              <w:rPr>
                <w:rFonts w:hint="default" w:ascii="宋体" w:hAnsi="宋体" w:cs="宋体"/>
              </w:rPr>
              <w:t xml:space="preserve">  </w:t>
            </w:r>
            <w:r>
              <w:rPr>
                <w:rFonts w:hint="eastAsia" w:ascii="宋体" w:hAnsi="宋体" w:cs="宋体"/>
              </w:rPr>
              <w:t>玮</w:t>
            </w:r>
          </w:p>
        </w:tc>
        <w:tc>
          <w:tcPr>
            <w:tcW w:w="730" w:type="dxa"/>
            <w:noWrap/>
            <w:vAlign w:val="center"/>
          </w:tcPr>
          <w:p w14:paraId="46B02678">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hAnsi="宋体" w:cs="宋体"/>
              </w:rPr>
              <w:t>女</w:t>
            </w:r>
          </w:p>
        </w:tc>
        <w:tc>
          <w:tcPr>
            <w:tcW w:w="1488" w:type="dxa"/>
            <w:noWrap/>
            <w:vAlign w:val="center"/>
          </w:tcPr>
          <w:p w14:paraId="44F5472C">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hAnsi="宋体" w:cs="宋体"/>
              </w:rPr>
              <w:t>高级工程师</w:t>
            </w:r>
          </w:p>
        </w:tc>
        <w:tc>
          <w:tcPr>
            <w:tcW w:w="1893" w:type="dxa"/>
            <w:noWrap/>
            <w:vAlign w:val="center"/>
          </w:tcPr>
          <w:p w14:paraId="1F1D4255">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hAnsi="宋体" w:cs="宋体"/>
              </w:rPr>
              <w:t>桂林市产品质量检验所</w:t>
            </w:r>
          </w:p>
        </w:tc>
        <w:tc>
          <w:tcPr>
            <w:tcW w:w="2561" w:type="dxa"/>
            <w:vAlign w:val="center"/>
          </w:tcPr>
          <w:p w14:paraId="64D10CA0">
            <w:pPr>
              <w:keepNext w:val="0"/>
              <w:keepLines w:val="0"/>
              <w:widowControl/>
              <w:suppressLineNumbers w:val="0"/>
              <w:adjustRightInd w:val="0"/>
              <w:snapToGrid w:val="0"/>
              <w:spacing w:before="0" w:beforeAutospacing="0" w:after="0" w:afterAutospacing="0" w:line="380" w:lineRule="exact"/>
              <w:ind w:left="0" w:right="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主要技术内容的分析等</w:t>
            </w:r>
          </w:p>
        </w:tc>
      </w:tr>
      <w:tr w14:paraId="46259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71F3EFD0">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8</w:t>
            </w:r>
          </w:p>
        </w:tc>
        <w:tc>
          <w:tcPr>
            <w:tcW w:w="989" w:type="dxa"/>
            <w:noWrap/>
            <w:vAlign w:val="center"/>
          </w:tcPr>
          <w:p w14:paraId="700795F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hAnsi="宋体" w:cs="宋体"/>
              </w:rPr>
              <w:t>赵</w:t>
            </w:r>
            <w:r>
              <w:rPr>
                <w:rFonts w:hint="default" w:ascii="宋体" w:hAnsi="宋体" w:cs="宋体"/>
              </w:rPr>
              <w:t xml:space="preserve">  </w:t>
            </w:r>
            <w:r>
              <w:rPr>
                <w:rFonts w:hint="eastAsia" w:ascii="宋体" w:hAnsi="宋体" w:cs="宋体"/>
              </w:rPr>
              <w:t>虹</w:t>
            </w:r>
          </w:p>
        </w:tc>
        <w:tc>
          <w:tcPr>
            <w:tcW w:w="730" w:type="dxa"/>
            <w:noWrap/>
            <w:vAlign w:val="center"/>
          </w:tcPr>
          <w:p w14:paraId="193582DA">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cs="Times New Roman"/>
                <w:lang w:val="en-US" w:eastAsia="zh-CN"/>
              </w:rPr>
              <w:t>女</w:t>
            </w:r>
          </w:p>
        </w:tc>
        <w:tc>
          <w:tcPr>
            <w:tcW w:w="1488" w:type="dxa"/>
            <w:noWrap/>
            <w:vAlign w:val="center"/>
          </w:tcPr>
          <w:p w14:paraId="1D167238">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lang w:val="en-US" w:eastAsia="zh-CN"/>
              </w:rPr>
              <w:t>个体工商户</w:t>
            </w:r>
          </w:p>
        </w:tc>
        <w:tc>
          <w:tcPr>
            <w:tcW w:w="1893" w:type="dxa"/>
            <w:noWrap/>
            <w:vAlign w:val="center"/>
          </w:tcPr>
          <w:p w14:paraId="2DEA8F58">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lang w:val="en-US" w:eastAsia="zh-CN"/>
              </w:rPr>
              <w:t>磊鑫鸡血玉</w:t>
            </w:r>
          </w:p>
        </w:tc>
        <w:tc>
          <w:tcPr>
            <w:tcW w:w="2561" w:type="dxa"/>
            <w:vAlign w:val="center"/>
          </w:tcPr>
          <w:p w14:paraId="6740A94D">
            <w:pPr>
              <w:keepNext w:val="0"/>
              <w:keepLines w:val="0"/>
              <w:widowControl/>
              <w:suppressLineNumbers w:val="0"/>
              <w:adjustRightInd w:val="0"/>
              <w:snapToGrid w:val="0"/>
              <w:spacing w:before="0" w:beforeAutospacing="0" w:after="0" w:afterAutospacing="0" w:line="380" w:lineRule="exact"/>
              <w:ind w:left="0" w:right="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主要技术内容的分析等</w:t>
            </w:r>
          </w:p>
        </w:tc>
      </w:tr>
      <w:tr w14:paraId="60FB2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33CA6A3F">
            <w:pPr>
              <w:keepNext w:val="0"/>
              <w:keepLines w:val="0"/>
              <w:widowControl/>
              <w:suppressLineNumbers w:val="0"/>
              <w:adjustRightInd w:val="0"/>
              <w:snapToGrid w:val="0"/>
              <w:spacing w:before="0" w:beforeAutospacing="0" w:after="0" w:afterAutospacing="0" w:line="380" w:lineRule="exact"/>
              <w:ind w:left="0" w:right="0"/>
              <w:jc w:val="center"/>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9</w:t>
            </w:r>
          </w:p>
        </w:tc>
        <w:tc>
          <w:tcPr>
            <w:tcW w:w="989" w:type="dxa"/>
            <w:noWrap/>
            <w:vAlign w:val="center"/>
          </w:tcPr>
          <w:p w14:paraId="02542CB4">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hAnsi="宋体" w:cs="宋体"/>
              </w:rPr>
              <w:t>运</w:t>
            </w:r>
            <w:r>
              <w:rPr>
                <w:rFonts w:hint="default" w:ascii="宋体" w:hAnsi="宋体" w:cs="宋体"/>
              </w:rPr>
              <w:t xml:space="preserve">  </w:t>
            </w:r>
            <w:r>
              <w:rPr>
                <w:rFonts w:hint="eastAsia" w:ascii="宋体" w:hAnsi="宋体" w:cs="宋体"/>
              </w:rPr>
              <w:t>栋</w:t>
            </w:r>
          </w:p>
        </w:tc>
        <w:tc>
          <w:tcPr>
            <w:tcW w:w="730" w:type="dxa"/>
            <w:noWrap/>
            <w:vAlign w:val="center"/>
          </w:tcPr>
          <w:p w14:paraId="3BEB8E96">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hAnsi="宋体" w:cs="宋体"/>
              </w:rPr>
              <w:t>男</w:t>
            </w:r>
          </w:p>
        </w:tc>
        <w:tc>
          <w:tcPr>
            <w:tcW w:w="1488" w:type="dxa"/>
            <w:noWrap/>
            <w:vAlign w:val="center"/>
          </w:tcPr>
          <w:p w14:paraId="0CA4FF3B">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hAnsi="宋体" w:cs="宋体"/>
              </w:rPr>
              <w:t>高级工程师</w:t>
            </w:r>
          </w:p>
        </w:tc>
        <w:tc>
          <w:tcPr>
            <w:tcW w:w="1893" w:type="dxa"/>
            <w:noWrap/>
            <w:vAlign w:val="center"/>
          </w:tcPr>
          <w:p w14:paraId="25E9FFF5">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hAnsi="宋体" w:cs="宋体"/>
              </w:rPr>
              <w:t>桂林市产品质量检验所</w:t>
            </w:r>
          </w:p>
        </w:tc>
        <w:tc>
          <w:tcPr>
            <w:tcW w:w="2561" w:type="dxa"/>
            <w:shd w:val="clear" w:color="auto" w:fill="auto"/>
            <w:vAlign w:val="center"/>
          </w:tcPr>
          <w:p w14:paraId="3A19CD94">
            <w:pPr>
              <w:keepNext w:val="0"/>
              <w:keepLines w:val="0"/>
              <w:widowControl/>
              <w:suppressLineNumbers w:val="0"/>
              <w:adjustRightInd w:val="0"/>
              <w:snapToGrid w:val="0"/>
              <w:spacing w:before="0" w:beforeAutospacing="0" w:after="0" w:afterAutospacing="0" w:line="380" w:lineRule="exact"/>
              <w:ind w:left="0" w:right="0"/>
              <w:jc w:val="left"/>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rPr>
              <w:t>主要技术内容的分析等</w:t>
            </w:r>
          </w:p>
        </w:tc>
      </w:tr>
      <w:tr w14:paraId="4D4FE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7CBB39F8">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10</w:t>
            </w:r>
          </w:p>
        </w:tc>
        <w:tc>
          <w:tcPr>
            <w:tcW w:w="989" w:type="dxa"/>
            <w:noWrap/>
            <w:vAlign w:val="center"/>
          </w:tcPr>
          <w:p w14:paraId="2A8D98A7">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hAnsi="宋体" w:cs="宋体"/>
              </w:rPr>
              <w:t>罗顺良</w:t>
            </w:r>
          </w:p>
        </w:tc>
        <w:tc>
          <w:tcPr>
            <w:tcW w:w="730" w:type="dxa"/>
            <w:noWrap/>
            <w:vAlign w:val="center"/>
          </w:tcPr>
          <w:p w14:paraId="4CED41CB">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cs="Times New Roman"/>
                <w:lang w:val="en-US" w:eastAsia="zh-CN"/>
              </w:rPr>
              <w:t>男</w:t>
            </w:r>
          </w:p>
        </w:tc>
        <w:tc>
          <w:tcPr>
            <w:tcW w:w="1488" w:type="dxa"/>
            <w:noWrap/>
            <w:vAlign w:val="center"/>
          </w:tcPr>
          <w:p w14:paraId="337BC080">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lang w:val="en-US" w:eastAsia="zh-CN"/>
              </w:rPr>
              <w:t>个体工商户</w:t>
            </w:r>
          </w:p>
        </w:tc>
        <w:tc>
          <w:tcPr>
            <w:tcW w:w="1893" w:type="dxa"/>
            <w:noWrap/>
            <w:vAlign w:val="center"/>
          </w:tcPr>
          <w:p w14:paraId="2B0820C9">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lang w:val="en-US" w:eastAsia="zh-CN"/>
              </w:rPr>
              <w:t>万年红鸡血玉店</w:t>
            </w:r>
          </w:p>
        </w:tc>
        <w:tc>
          <w:tcPr>
            <w:tcW w:w="2561" w:type="dxa"/>
            <w:shd w:val="clear" w:color="auto" w:fill="auto"/>
            <w:vAlign w:val="center"/>
          </w:tcPr>
          <w:p w14:paraId="51F76871">
            <w:pPr>
              <w:keepNext w:val="0"/>
              <w:keepLines w:val="0"/>
              <w:widowControl/>
              <w:suppressLineNumbers w:val="0"/>
              <w:adjustRightInd w:val="0"/>
              <w:snapToGrid w:val="0"/>
              <w:spacing w:before="0" w:beforeAutospacing="0" w:after="0" w:afterAutospacing="0" w:line="380" w:lineRule="exact"/>
              <w:ind w:left="0" w:right="0"/>
              <w:jc w:val="left"/>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rPr>
              <w:t>主要技术内容的分析等</w:t>
            </w:r>
          </w:p>
        </w:tc>
      </w:tr>
      <w:tr w14:paraId="7DB26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5031B415">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11</w:t>
            </w:r>
          </w:p>
        </w:tc>
        <w:tc>
          <w:tcPr>
            <w:tcW w:w="989" w:type="dxa"/>
            <w:noWrap/>
            <w:vAlign w:val="center"/>
          </w:tcPr>
          <w:p w14:paraId="7628CC3D">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hAnsi="宋体" w:cs="宋体"/>
              </w:rPr>
              <w:t>龙</w:t>
            </w:r>
            <w:r>
              <w:rPr>
                <w:rFonts w:hint="default" w:ascii="宋体" w:hAnsi="宋体" w:cs="宋体"/>
              </w:rPr>
              <w:t xml:space="preserve">  </w:t>
            </w:r>
            <w:r>
              <w:rPr>
                <w:rFonts w:hint="eastAsia" w:ascii="宋体" w:hAnsi="宋体" w:cs="宋体"/>
              </w:rPr>
              <w:t>云</w:t>
            </w:r>
          </w:p>
        </w:tc>
        <w:tc>
          <w:tcPr>
            <w:tcW w:w="730" w:type="dxa"/>
            <w:noWrap/>
            <w:vAlign w:val="center"/>
          </w:tcPr>
          <w:p w14:paraId="4859936F">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cs="Times New Roman"/>
                <w:lang w:val="en-US" w:eastAsia="zh-CN"/>
              </w:rPr>
              <w:t>男</w:t>
            </w:r>
          </w:p>
        </w:tc>
        <w:tc>
          <w:tcPr>
            <w:tcW w:w="1488" w:type="dxa"/>
            <w:noWrap/>
            <w:vAlign w:val="center"/>
          </w:tcPr>
          <w:p w14:paraId="2C4AC264">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lang w:val="en-US" w:eastAsia="zh-CN"/>
              </w:rPr>
              <w:t>手艺人</w:t>
            </w:r>
          </w:p>
        </w:tc>
        <w:tc>
          <w:tcPr>
            <w:tcW w:w="1893" w:type="dxa"/>
            <w:noWrap/>
            <w:vAlign w:val="center"/>
          </w:tcPr>
          <w:p w14:paraId="64A10F48">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rPr>
              <w:t>艺术品鉴赏收藏</w:t>
            </w:r>
          </w:p>
        </w:tc>
        <w:tc>
          <w:tcPr>
            <w:tcW w:w="2561" w:type="dxa"/>
            <w:shd w:val="clear" w:color="auto" w:fill="auto"/>
            <w:vAlign w:val="center"/>
          </w:tcPr>
          <w:p w14:paraId="5A1570B6">
            <w:pPr>
              <w:keepNext w:val="0"/>
              <w:keepLines w:val="0"/>
              <w:widowControl/>
              <w:suppressLineNumbers w:val="0"/>
              <w:adjustRightInd w:val="0"/>
              <w:snapToGrid w:val="0"/>
              <w:spacing w:before="0" w:beforeAutospacing="0" w:after="0" w:afterAutospacing="0" w:line="380" w:lineRule="exact"/>
              <w:ind w:left="0" w:right="0"/>
              <w:jc w:val="left"/>
              <w:rPr>
                <w:rFonts w:hint="default" w:ascii="Times New Roman" w:hAnsi="Times New Roman" w:eastAsia="宋体" w:cs="Times New Roman"/>
                <w:color w:val="auto"/>
                <w:sz w:val="21"/>
                <w:szCs w:val="21"/>
                <w:highlight w:val="none"/>
                <w:lang w:val="en-US" w:eastAsia="zh-CN" w:bidi="ar-SA"/>
              </w:rPr>
            </w:pPr>
            <w:r>
              <w:rPr>
                <w:rFonts w:hint="default" w:ascii="Times New Roman" w:hAnsi="Times New Roman" w:eastAsia="宋体" w:cs="Times New Roman"/>
                <w:color w:val="auto"/>
                <w:sz w:val="21"/>
                <w:szCs w:val="21"/>
                <w:highlight w:val="none"/>
              </w:rPr>
              <w:t>主要技术内容的分析等</w:t>
            </w:r>
          </w:p>
        </w:tc>
      </w:tr>
      <w:tr w14:paraId="0C35C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7586E9C9">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12</w:t>
            </w:r>
          </w:p>
        </w:tc>
        <w:tc>
          <w:tcPr>
            <w:tcW w:w="989" w:type="dxa"/>
            <w:noWrap/>
            <w:vAlign w:val="center"/>
          </w:tcPr>
          <w:p w14:paraId="16AE0BC2">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hAnsi="宋体" w:cs="宋体"/>
              </w:rPr>
              <w:t>莫石英</w:t>
            </w:r>
          </w:p>
        </w:tc>
        <w:tc>
          <w:tcPr>
            <w:tcW w:w="730" w:type="dxa"/>
            <w:noWrap/>
            <w:vAlign w:val="center"/>
          </w:tcPr>
          <w:p w14:paraId="6F7C755B">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cs="Times New Roman"/>
                <w:lang w:val="en-US" w:eastAsia="zh-CN"/>
              </w:rPr>
              <w:t>女</w:t>
            </w:r>
          </w:p>
        </w:tc>
        <w:tc>
          <w:tcPr>
            <w:tcW w:w="1488" w:type="dxa"/>
            <w:noWrap/>
            <w:vAlign w:val="center"/>
          </w:tcPr>
          <w:p w14:paraId="34FEF592">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lang w:val="en-US" w:eastAsia="zh-CN"/>
              </w:rPr>
              <w:t>个体工商户户</w:t>
            </w:r>
          </w:p>
        </w:tc>
        <w:tc>
          <w:tcPr>
            <w:tcW w:w="1893" w:type="dxa"/>
            <w:noWrap/>
            <w:vAlign w:val="center"/>
          </w:tcPr>
          <w:p w14:paraId="0D7AA936">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lang w:val="en-US" w:eastAsia="zh-CN"/>
              </w:rPr>
              <w:t>莫姐鸡血玉店</w:t>
            </w:r>
          </w:p>
        </w:tc>
        <w:tc>
          <w:tcPr>
            <w:tcW w:w="2561" w:type="dxa"/>
            <w:vAlign w:val="center"/>
          </w:tcPr>
          <w:p w14:paraId="3997A55A">
            <w:pPr>
              <w:keepNext w:val="0"/>
              <w:keepLines w:val="0"/>
              <w:widowControl/>
              <w:suppressLineNumbers w:val="0"/>
              <w:adjustRightInd w:val="0"/>
              <w:snapToGrid w:val="0"/>
              <w:spacing w:before="0" w:beforeAutospacing="0" w:after="0" w:afterAutospacing="0" w:line="380" w:lineRule="exact"/>
              <w:ind w:left="0" w:right="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主要技术内容的分析等</w:t>
            </w:r>
          </w:p>
        </w:tc>
      </w:tr>
      <w:tr w14:paraId="0163F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713" w:type="dxa"/>
            <w:vAlign w:val="center"/>
          </w:tcPr>
          <w:p w14:paraId="798695FC">
            <w:pPr>
              <w:keepNext w:val="0"/>
              <w:keepLines w:val="0"/>
              <w:widowControl/>
              <w:suppressLineNumbers w:val="0"/>
              <w:adjustRightInd w:val="0"/>
              <w:snapToGrid w:val="0"/>
              <w:spacing w:before="0" w:beforeAutospacing="0" w:after="0" w:afterAutospacing="0" w:line="380" w:lineRule="exact"/>
              <w:ind w:left="0" w:right="0"/>
              <w:jc w:val="center"/>
              <w:rPr>
                <w:rFonts w:hint="default" w:ascii="Times New Roman" w:hAnsi="Times New Roman" w:cs="Times New Roman"/>
                <w:color w:val="auto"/>
                <w:sz w:val="21"/>
                <w:szCs w:val="21"/>
                <w:highlight w:val="none"/>
                <w:lang w:val="en-US" w:eastAsia="zh-CN"/>
              </w:rPr>
            </w:pPr>
            <w:r>
              <w:rPr>
                <w:rFonts w:hint="eastAsia" w:ascii="Times New Roman" w:hAnsi="Times New Roman" w:cs="Times New Roman"/>
                <w:color w:val="auto"/>
                <w:sz w:val="21"/>
                <w:szCs w:val="21"/>
                <w:highlight w:val="none"/>
                <w:lang w:val="en-US" w:eastAsia="zh-CN"/>
              </w:rPr>
              <w:t>13</w:t>
            </w:r>
          </w:p>
        </w:tc>
        <w:tc>
          <w:tcPr>
            <w:tcW w:w="989" w:type="dxa"/>
            <w:noWrap/>
            <w:vAlign w:val="center"/>
          </w:tcPr>
          <w:p w14:paraId="2C20D7B9">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hAnsi="宋体" w:cs="宋体"/>
              </w:rPr>
              <w:t>李发兴</w:t>
            </w:r>
          </w:p>
        </w:tc>
        <w:tc>
          <w:tcPr>
            <w:tcW w:w="730" w:type="dxa"/>
            <w:noWrap/>
            <w:vAlign w:val="center"/>
          </w:tcPr>
          <w:p w14:paraId="62548C23">
            <w:pPr>
              <w:keepNext w:val="0"/>
              <w:keepLines w:val="0"/>
              <w:widowControl/>
              <w:suppressLineNumbers w:val="0"/>
              <w:spacing w:before="0" w:beforeAutospacing="0" w:after="0" w:afterAutospacing="0"/>
              <w:ind w:left="0" w:leftChars="0" w:right="0" w:rightChars="0"/>
              <w:jc w:val="center"/>
              <w:rPr>
                <w:rFonts w:hint="default" w:ascii="Times New Roman" w:hAnsi="Times New Roman" w:eastAsia="宋体" w:cs="Times New Roman"/>
                <w:color w:val="auto"/>
                <w:sz w:val="21"/>
                <w:szCs w:val="21"/>
                <w:highlight w:val="none"/>
              </w:rPr>
            </w:pPr>
            <w:r>
              <w:rPr>
                <w:rFonts w:hint="eastAsia" w:ascii="宋体" w:cs="Times New Roman"/>
                <w:lang w:val="en-US" w:eastAsia="zh-CN"/>
              </w:rPr>
              <w:t>男</w:t>
            </w:r>
          </w:p>
        </w:tc>
        <w:tc>
          <w:tcPr>
            <w:tcW w:w="1488" w:type="dxa"/>
            <w:noWrap/>
            <w:vAlign w:val="center"/>
          </w:tcPr>
          <w:p w14:paraId="4325E39F">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lang w:val="en-US" w:eastAsia="zh-CN"/>
              </w:rPr>
              <w:t>总经理</w:t>
            </w:r>
          </w:p>
        </w:tc>
        <w:tc>
          <w:tcPr>
            <w:tcW w:w="1893" w:type="dxa"/>
            <w:noWrap/>
            <w:vAlign w:val="center"/>
          </w:tcPr>
          <w:p w14:paraId="487ADC2F">
            <w:pPr>
              <w:keepNext w:val="0"/>
              <w:keepLines w:val="0"/>
              <w:widowControl/>
              <w:suppressLineNumbers w:val="0"/>
              <w:spacing w:before="0" w:beforeAutospacing="0" w:after="0" w:afterAutospacing="0"/>
              <w:ind w:left="0" w:leftChars="0" w:right="0" w:rightChars="0"/>
              <w:jc w:val="left"/>
              <w:rPr>
                <w:rFonts w:hint="default" w:ascii="Times New Roman" w:hAnsi="Times New Roman" w:eastAsia="宋体" w:cs="Times New Roman"/>
                <w:color w:val="auto"/>
                <w:sz w:val="21"/>
                <w:szCs w:val="21"/>
                <w:highlight w:val="none"/>
              </w:rPr>
            </w:pPr>
            <w:r>
              <w:rPr>
                <w:rFonts w:hint="eastAsia" w:ascii="宋体" w:cs="Times New Roman"/>
              </w:rPr>
              <w:t>桂林喀斯特地质博物馆</w:t>
            </w:r>
          </w:p>
        </w:tc>
        <w:tc>
          <w:tcPr>
            <w:tcW w:w="2561" w:type="dxa"/>
            <w:vAlign w:val="center"/>
          </w:tcPr>
          <w:p w14:paraId="64D50B53">
            <w:pPr>
              <w:keepNext w:val="0"/>
              <w:keepLines w:val="0"/>
              <w:widowControl/>
              <w:suppressLineNumbers w:val="0"/>
              <w:adjustRightInd w:val="0"/>
              <w:snapToGrid w:val="0"/>
              <w:spacing w:before="0" w:beforeAutospacing="0" w:after="0" w:afterAutospacing="0" w:line="380" w:lineRule="exact"/>
              <w:ind w:left="0" w:right="0"/>
              <w:jc w:val="left"/>
              <w:rPr>
                <w:rFonts w:hint="default" w:ascii="Times New Roman" w:hAnsi="Times New Roman" w:eastAsia="宋体" w:cs="Times New Roman"/>
                <w:color w:val="auto"/>
                <w:sz w:val="21"/>
                <w:szCs w:val="21"/>
                <w:highlight w:val="none"/>
              </w:rPr>
            </w:pPr>
            <w:r>
              <w:rPr>
                <w:rFonts w:hint="default" w:ascii="Times New Roman" w:hAnsi="Times New Roman" w:eastAsia="宋体" w:cs="Times New Roman"/>
                <w:color w:val="auto"/>
                <w:sz w:val="21"/>
                <w:szCs w:val="21"/>
                <w:highlight w:val="none"/>
              </w:rPr>
              <w:t>主要技术内容的分析等</w:t>
            </w:r>
          </w:p>
        </w:tc>
      </w:tr>
    </w:tbl>
    <w:p w14:paraId="7D5E6746">
      <w:pPr>
        <w:keepNext w:val="0"/>
        <w:keepLines w:val="0"/>
        <w:pageBreakBefore w:val="0"/>
        <w:kinsoku/>
        <w:wordWrap/>
        <w:overflowPunct/>
        <w:topLinePunct w:val="0"/>
        <w:bidi w:val="0"/>
        <w:snapToGrid/>
        <w:spacing w:line="240" w:lineRule="auto"/>
        <w:ind w:firstLine="562" w:firstLineChars="200"/>
        <w:textAlignment w:val="auto"/>
        <w:outlineLvl w:val="1"/>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eastAsia="zh-CN"/>
        </w:rPr>
        <w:t>三</w:t>
      </w:r>
      <w:r>
        <w:rPr>
          <w:rFonts w:hint="eastAsia" w:ascii="仿宋_GB2312" w:hAnsi="仿宋_GB2312" w:eastAsia="仿宋_GB2312" w:cs="仿宋_GB2312"/>
          <w:b/>
          <w:sz w:val="28"/>
          <w:szCs w:val="28"/>
        </w:rPr>
        <w:t>）收集整理文献资料</w:t>
      </w:r>
    </w:p>
    <w:p w14:paraId="778A3DC2">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color w:val="FF0000"/>
          <w:sz w:val="28"/>
          <w:szCs w:val="28"/>
        </w:rPr>
      </w:pPr>
      <w:r>
        <w:rPr>
          <w:rFonts w:hint="eastAsia" w:ascii="仿宋_GB2312" w:hAnsi="宋体" w:eastAsia="仿宋_GB2312"/>
          <w:sz w:val="28"/>
          <w:szCs w:val="28"/>
        </w:rPr>
        <w:t>标准编制工作组收集了国内有关</w:t>
      </w:r>
      <w:r>
        <w:rPr>
          <w:rFonts w:hint="eastAsia" w:ascii="仿宋_GB2312" w:eastAsia="仿宋_GB2312"/>
          <w:color w:val="000000"/>
          <w:sz w:val="28"/>
          <w:szCs w:val="28"/>
          <w:lang w:eastAsia="zh-CN"/>
        </w:rPr>
        <w:t>鸡血玉</w:t>
      </w:r>
      <w:r>
        <w:rPr>
          <w:rFonts w:hint="eastAsia" w:ascii="仿宋_GB2312" w:hAnsi="宋体" w:eastAsia="仿宋_GB2312"/>
          <w:sz w:val="28"/>
          <w:szCs w:val="28"/>
        </w:rPr>
        <w:t>相关文献资料。主要有：</w:t>
      </w:r>
    </w:p>
    <w:p w14:paraId="62F71BB8">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GB/T 38821《和田玉 鉴定与分类》</w:t>
      </w:r>
    </w:p>
    <w:p w14:paraId="09BD6BAD">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lang w:val="en-US"/>
        </w:rPr>
      </w:pPr>
      <w:r>
        <w:rPr>
          <w:rFonts w:hint="eastAsia" w:ascii="仿宋_GB2312" w:hAnsi="宋体" w:eastAsia="仿宋_GB2312"/>
          <w:sz w:val="28"/>
          <w:szCs w:val="28"/>
          <w:lang w:val="en-US" w:eastAsia="zh-CN"/>
        </w:rPr>
        <w:t>GB/T 14506.1～GB/T 14506.30 硅酸盐岩石化学分析方法</w:t>
      </w:r>
    </w:p>
    <w:p w14:paraId="76F5D11A">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lang w:val="en-US"/>
        </w:rPr>
      </w:pPr>
      <w:r>
        <w:rPr>
          <w:rFonts w:hint="eastAsia" w:ascii="仿宋_GB2312" w:hAnsi="宋体" w:eastAsia="仿宋_GB2312"/>
          <w:sz w:val="28"/>
          <w:szCs w:val="28"/>
          <w:lang w:val="en-US" w:eastAsia="zh-CN"/>
        </w:rPr>
        <w:t>GB/T 16552  珠宝玉石 名称</w:t>
      </w:r>
    </w:p>
    <w:p w14:paraId="25D07B29">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lang w:val="en-US"/>
        </w:rPr>
      </w:pPr>
      <w:r>
        <w:rPr>
          <w:rFonts w:hint="eastAsia" w:ascii="仿宋_GB2312" w:hAnsi="宋体" w:eastAsia="仿宋_GB2312"/>
          <w:sz w:val="28"/>
          <w:szCs w:val="28"/>
          <w:lang w:val="en-US" w:eastAsia="zh-CN"/>
        </w:rPr>
        <w:t>GB/T 16553  珠宝玉石 鉴定</w:t>
      </w:r>
    </w:p>
    <w:p w14:paraId="1350D0E2">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highlight w:val="none"/>
          <w:lang w:val="en-US"/>
        </w:rPr>
      </w:pPr>
      <w:r>
        <w:rPr>
          <w:rFonts w:hint="eastAsia" w:ascii="仿宋_GB2312" w:hAnsi="宋体" w:eastAsia="仿宋_GB2312"/>
          <w:sz w:val="28"/>
          <w:szCs w:val="28"/>
          <w:highlight w:val="none"/>
          <w:lang w:val="en-US" w:eastAsia="zh-CN"/>
        </w:rPr>
        <w:t>GB/T 17412.1 岩石分类和命名方案 火成岩岩石分类和命名方案</w:t>
      </w:r>
    </w:p>
    <w:p w14:paraId="369B55E8">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highlight w:val="none"/>
          <w:lang w:val="en-US"/>
        </w:rPr>
      </w:pPr>
      <w:r>
        <w:rPr>
          <w:rFonts w:hint="eastAsia" w:ascii="仿宋_GB2312" w:hAnsi="宋体" w:eastAsia="仿宋_GB2312"/>
          <w:sz w:val="28"/>
          <w:szCs w:val="28"/>
          <w:highlight w:val="none"/>
          <w:lang w:val="en-US" w:eastAsia="zh-CN"/>
        </w:rPr>
        <w:t>GB/T 17412.2  岩石分类和命名方案 沉积岩岩石分类和命名方案</w:t>
      </w:r>
    </w:p>
    <w:p w14:paraId="4065F8B0">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highlight w:val="none"/>
          <w:lang w:val="en-US"/>
        </w:rPr>
      </w:pPr>
      <w:r>
        <w:rPr>
          <w:rFonts w:hint="eastAsia" w:ascii="仿宋_GB2312" w:hAnsi="宋体" w:eastAsia="仿宋_GB2312"/>
          <w:sz w:val="28"/>
          <w:szCs w:val="28"/>
          <w:highlight w:val="none"/>
          <w:lang w:val="en-US" w:eastAsia="zh-CN"/>
        </w:rPr>
        <w:t>GB/T 17412.3  岩石分类和命名方案 变质岩岩石的分类和命名方案</w:t>
      </w:r>
    </w:p>
    <w:p w14:paraId="586CA23F">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lang w:val="en-US"/>
        </w:rPr>
      </w:pPr>
      <w:r>
        <w:rPr>
          <w:rFonts w:hint="eastAsia" w:ascii="仿宋_GB2312" w:hAnsi="宋体" w:eastAsia="仿宋_GB2312"/>
          <w:sz w:val="28"/>
          <w:szCs w:val="28"/>
          <w:lang w:val="en-US" w:eastAsia="zh-CN"/>
        </w:rPr>
        <w:t>GB/T 34098  石英质玉 分类与定名</w:t>
      </w:r>
    </w:p>
    <w:p w14:paraId="780812F8">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lang w:val="en-US"/>
        </w:rPr>
      </w:pPr>
      <w:r>
        <w:rPr>
          <w:rFonts w:hint="eastAsia" w:ascii="仿宋_GB2312" w:hAnsi="宋体" w:eastAsia="仿宋_GB2312"/>
          <w:sz w:val="28"/>
          <w:szCs w:val="28"/>
          <w:lang w:val="en-US" w:eastAsia="zh-CN"/>
        </w:rPr>
        <w:t>SY/T 5368  岩石薄片鉴定</w:t>
      </w:r>
    </w:p>
    <w:p w14:paraId="039CE888">
      <w:pPr>
        <w:keepNext w:val="0"/>
        <w:keepLines w:val="0"/>
        <w:pageBreakBefore w:val="0"/>
        <w:kinsoku/>
        <w:wordWrap/>
        <w:overflowPunct/>
        <w:topLinePunct w:val="0"/>
        <w:bidi w:val="0"/>
        <w:snapToGrid/>
        <w:spacing w:line="240" w:lineRule="auto"/>
        <w:ind w:firstLine="562" w:firstLineChars="200"/>
        <w:textAlignment w:val="auto"/>
        <w:outlineLvl w:val="1"/>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eastAsia="zh-CN"/>
        </w:rPr>
        <w:t>四</w:t>
      </w:r>
      <w:r>
        <w:rPr>
          <w:rFonts w:hint="eastAsia" w:ascii="仿宋_GB2312" w:hAnsi="仿宋_GB2312" w:eastAsia="仿宋_GB2312" w:cs="仿宋_GB2312"/>
          <w:b/>
          <w:sz w:val="28"/>
          <w:szCs w:val="28"/>
        </w:rPr>
        <w:t>）研讨确定标准主体内容</w:t>
      </w:r>
    </w:p>
    <w:p w14:paraId="5B48E98B">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标准编制工作组在对收集的资料进行整理研究之后，20</w:t>
      </w:r>
      <w:r>
        <w:rPr>
          <w:rFonts w:hint="eastAsia" w:ascii="仿宋_GB2312" w:hAnsi="宋体" w:eastAsia="仿宋_GB2312"/>
          <w:sz w:val="28"/>
          <w:szCs w:val="28"/>
          <w:lang w:val="en-US" w:eastAsia="zh-CN"/>
        </w:rPr>
        <w:t>2</w:t>
      </w:r>
      <w:r>
        <w:rPr>
          <w:rFonts w:hint="eastAsia" w:ascii="仿宋_GB2312" w:eastAsia="仿宋_GB2312"/>
          <w:sz w:val="28"/>
          <w:szCs w:val="28"/>
          <w:lang w:val="en-US" w:eastAsia="zh-CN"/>
        </w:rPr>
        <w:t>4</w:t>
      </w:r>
      <w:r>
        <w:rPr>
          <w:rFonts w:hint="eastAsia" w:ascii="仿宋_GB2312" w:hAnsi="宋体" w:eastAsia="仿宋_GB2312"/>
          <w:sz w:val="28"/>
          <w:szCs w:val="28"/>
        </w:rPr>
        <w:t>年</w:t>
      </w:r>
      <w:r>
        <w:rPr>
          <w:rFonts w:hint="eastAsia" w:ascii="仿宋_GB2312" w:eastAsia="仿宋_GB2312"/>
          <w:sz w:val="28"/>
          <w:szCs w:val="28"/>
          <w:lang w:val="en-US" w:eastAsia="zh-CN"/>
        </w:rPr>
        <w:t>12</w:t>
      </w:r>
      <w:r>
        <w:rPr>
          <w:rFonts w:hint="eastAsia" w:ascii="仿宋_GB2312" w:hAnsi="宋体" w:eastAsia="仿宋_GB2312"/>
          <w:sz w:val="28"/>
          <w:szCs w:val="28"/>
        </w:rPr>
        <w:t>月，标准编制工作组召开了标准编制会议，对标准的整体框架结构进行了研究，并对标准的关键性内容进行了初步探讨。经过研究，标准的主体内容确定为</w:t>
      </w:r>
      <w:r>
        <w:rPr>
          <w:rFonts w:hint="eastAsia" w:ascii="仿宋_GB2312" w:hAnsi="宋体" w:eastAsia="仿宋_GB2312"/>
          <w:color w:val="000000"/>
          <w:sz w:val="28"/>
          <w:szCs w:val="28"/>
          <w:lang w:eastAsia="zh-CN"/>
        </w:rPr>
        <w:t>鸡血玉的术语和定义、特征、鉴定方法、鉴定规则、分级要求、产品工艺要求、标志包装、运输</w:t>
      </w:r>
      <w:r>
        <w:rPr>
          <w:rFonts w:hint="eastAsia" w:ascii="仿宋_GB2312" w:hAnsi="宋体" w:eastAsia="仿宋_GB2312"/>
          <w:sz w:val="28"/>
          <w:szCs w:val="28"/>
        </w:rPr>
        <w:t>。</w:t>
      </w:r>
    </w:p>
    <w:p w14:paraId="71109EB8">
      <w:pPr>
        <w:keepNext w:val="0"/>
        <w:keepLines w:val="0"/>
        <w:pageBreakBefore w:val="0"/>
        <w:kinsoku/>
        <w:wordWrap/>
        <w:overflowPunct/>
        <w:topLinePunct w:val="0"/>
        <w:bidi w:val="0"/>
        <w:snapToGrid/>
        <w:spacing w:line="240" w:lineRule="auto"/>
        <w:ind w:firstLine="562" w:firstLineChars="200"/>
        <w:textAlignment w:val="auto"/>
        <w:outlineLvl w:val="1"/>
        <w:rPr>
          <w:rFonts w:hint="eastAsia" w:ascii="仿宋_GB2312" w:hAnsi="仿宋_GB2312" w:eastAsia="仿宋_GB2312" w:cs="仿宋_GB2312"/>
          <w:b/>
          <w:sz w:val="28"/>
          <w:szCs w:val="28"/>
          <w:highlight w:val="none"/>
          <w:lang w:eastAsia="zh-CN"/>
        </w:rPr>
      </w:pP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eastAsia="zh-CN"/>
        </w:rPr>
        <w:t>五</w:t>
      </w:r>
      <w:r>
        <w:rPr>
          <w:rFonts w:hint="eastAsia" w:ascii="仿宋_GB2312" w:hAnsi="仿宋_GB2312" w:eastAsia="仿宋_GB2312" w:cs="仿宋_GB2312"/>
          <w:b/>
          <w:sz w:val="28"/>
          <w:szCs w:val="28"/>
        </w:rPr>
        <w:t>）调研、形</w:t>
      </w:r>
      <w:r>
        <w:rPr>
          <w:rFonts w:hint="eastAsia" w:ascii="仿宋_GB2312" w:hAnsi="仿宋_GB2312" w:eastAsia="仿宋_GB2312" w:cs="仿宋_GB2312"/>
          <w:b/>
          <w:sz w:val="28"/>
          <w:szCs w:val="28"/>
          <w:highlight w:val="none"/>
        </w:rPr>
        <w:t>成征求意见稿</w:t>
      </w:r>
    </w:p>
    <w:p w14:paraId="77F4971B">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highlight w:val="none"/>
        </w:rPr>
        <w:t>20</w:t>
      </w:r>
      <w:r>
        <w:rPr>
          <w:rFonts w:hint="eastAsia" w:ascii="仿宋_GB2312" w:hAnsi="宋体" w:eastAsia="仿宋_GB2312"/>
          <w:sz w:val="28"/>
          <w:szCs w:val="28"/>
          <w:highlight w:val="none"/>
          <w:lang w:val="en-US" w:eastAsia="zh-CN"/>
        </w:rPr>
        <w:t>2</w:t>
      </w:r>
      <w:r>
        <w:rPr>
          <w:rFonts w:hint="eastAsia" w:ascii="仿宋_GB2312" w:eastAsia="仿宋_GB2312"/>
          <w:sz w:val="28"/>
          <w:szCs w:val="28"/>
          <w:highlight w:val="none"/>
          <w:lang w:val="en-US" w:eastAsia="zh-CN"/>
        </w:rPr>
        <w:t>5</w:t>
      </w:r>
      <w:r>
        <w:rPr>
          <w:rFonts w:hint="eastAsia" w:ascii="仿宋_GB2312" w:hAnsi="宋体" w:eastAsia="仿宋_GB2312"/>
          <w:sz w:val="28"/>
          <w:szCs w:val="28"/>
          <w:highlight w:val="none"/>
        </w:rPr>
        <w:t>年</w:t>
      </w:r>
      <w:r>
        <w:rPr>
          <w:rFonts w:hint="eastAsia" w:ascii="仿宋_GB2312" w:eastAsia="仿宋_GB2312"/>
          <w:sz w:val="28"/>
          <w:szCs w:val="28"/>
          <w:highlight w:val="none"/>
          <w:lang w:val="en-US" w:eastAsia="zh-CN"/>
        </w:rPr>
        <w:t>1</w:t>
      </w:r>
      <w:r>
        <w:rPr>
          <w:rFonts w:hint="eastAsia" w:ascii="仿宋_GB2312" w:hAnsi="宋体" w:eastAsia="仿宋_GB2312"/>
          <w:sz w:val="28"/>
          <w:szCs w:val="28"/>
          <w:highlight w:val="none"/>
        </w:rPr>
        <w:t>月，标</w:t>
      </w:r>
      <w:r>
        <w:rPr>
          <w:rFonts w:hint="eastAsia" w:ascii="仿宋_GB2312" w:hAnsi="宋体" w:eastAsia="仿宋_GB2312"/>
          <w:sz w:val="28"/>
          <w:szCs w:val="28"/>
        </w:rPr>
        <w:t>准起草工作小组进行了广泛实地调研工作，查阅了大量的国内外文献资料，对</w:t>
      </w:r>
      <w:r>
        <w:rPr>
          <w:rFonts w:hint="eastAsia" w:ascii="仿宋_GB2312" w:eastAsia="仿宋_GB2312"/>
          <w:color w:val="000000"/>
          <w:sz w:val="28"/>
          <w:szCs w:val="28"/>
          <w:lang w:eastAsia="zh-CN"/>
        </w:rPr>
        <w:t>鸡血玉</w:t>
      </w:r>
      <w:r>
        <w:rPr>
          <w:rFonts w:hint="eastAsia" w:ascii="仿宋_GB2312" w:hAnsi="宋体" w:eastAsia="仿宋_GB2312"/>
          <w:sz w:val="28"/>
          <w:szCs w:val="28"/>
        </w:rPr>
        <w:t>的前人研究成果进行系统总结。形成了标准的基本构架，对主要内容进行了讨论并对项目的工作进行了部署和安排。</w:t>
      </w:r>
    </w:p>
    <w:p w14:paraId="6BD0AEB7">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highlight w:val="none"/>
        </w:rPr>
      </w:pPr>
      <w:r>
        <w:rPr>
          <w:rFonts w:hint="eastAsia" w:ascii="仿宋_GB2312" w:hAnsi="宋体" w:eastAsia="仿宋_GB2312"/>
          <w:sz w:val="28"/>
          <w:szCs w:val="28"/>
          <w:highlight w:val="none"/>
        </w:rPr>
        <w:t>20</w:t>
      </w:r>
      <w:r>
        <w:rPr>
          <w:rFonts w:hint="eastAsia" w:ascii="仿宋_GB2312" w:hAnsi="宋体" w:eastAsia="仿宋_GB2312"/>
          <w:sz w:val="28"/>
          <w:szCs w:val="28"/>
          <w:highlight w:val="none"/>
          <w:lang w:val="en-US" w:eastAsia="zh-CN"/>
        </w:rPr>
        <w:t>2</w:t>
      </w:r>
      <w:r>
        <w:rPr>
          <w:rFonts w:hint="eastAsia" w:ascii="仿宋_GB2312" w:eastAsia="仿宋_GB2312"/>
          <w:sz w:val="28"/>
          <w:szCs w:val="28"/>
          <w:highlight w:val="none"/>
          <w:lang w:val="en-US" w:eastAsia="zh-CN"/>
        </w:rPr>
        <w:t>5</w:t>
      </w:r>
      <w:r>
        <w:rPr>
          <w:rFonts w:hint="eastAsia" w:ascii="仿宋_GB2312" w:hAnsi="宋体" w:eastAsia="仿宋_GB2312"/>
          <w:sz w:val="28"/>
          <w:szCs w:val="28"/>
          <w:highlight w:val="none"/>
        </w:rPr>
        <w:t>年</w:t>
      </w:r>
      <w:r>
        <w:rPr>
          <w:rFonts w:hint="eastAsia" w:ascii="仿宋_GB2312" w:eastAsia="仿宋_GB2312"/>
          <w:sz w:val="28"/>
          <w:szCs w:val="28"/>
          <w:highlight w:val="none"/>
          <w:lang w:val="en-US" w:eastAsia="zh-CN"/>
        </w:rPr>
        <w:t>1</w:t>
      </w:r>
      <w:r>
        <w:rPr>
          <w:rFonts w:hint="eastAsia" w:ascii="仿宋_GB2312" w:hAnsi="宋体" w:eastAsia="仿宋_GB2312"/>
          <w:sz w:val="28"/>
          <w:szCs w:val="28"/>
          <w:highlight w:val="none"/>
        </w:rPr>
        <w:t>月，在前期工作的基础之上，通过理清逻辑脉络，整合已有的参考资料中有关</w:t>
      </w:r>
      <w:r>
        <w:rPr>
          <w:rFonts w:hint="eastAsia" w:ascii="仿宋_GB2312" w:eastAsia="仿宋_GB2312"/>
          <w:sz w:val="28"/>
          <w:szCs w:val="28"/>
          <w:highlight w:val="none"/>
          <w:lang w:val="en-US" w:eastAsia="zh-CN"/>
        </w:rPr>
        <w:t>的加工、鉴定、交易、评估等</w:t>
      </w:r>
      <w:r>
        <w:rPr>
          <w:rFonts w:hint="eastAsia" w:ascii="仿宋_GB2312" w:hAnsi="宋体" w:eastAsia="仿宋_GB2312"/>
          <w:sz w:val="28"/>
          <w:szCs w:val="28"/>
          <w:highlight w:val="none"/>
          <w:lang w:eastAsia="zh-CN"/>
        </w:rPr>
        <w:t>方面</w:t>
      </w:r>
      <w:r>
        <w:rPr>
          <w:rFonts w:hint="eastAsia" w:ascii="仿宋_GB2312" w:hAnsi="宋体" w:eastAsia="仿宋_GB2312"/>
          <w:sz w:val="28"/>
          <w:szCs w:val="28"/>
          <w:highlight w:val="none"/>
        </w:rPr>
        <w:t>的具体要求，并结合</w:t>
      </w:r>
      <w:r>
        <w:rPr>
          <w:rFonts w:hint="eastAsia" w:ascii="仿宋_GB2312" w:eastAsia="仿宋_GB2312"/>
          <w:sz w:val="28"/>
          <w:szCs w:val="28"/>
          <w:highlight w:val="none"/>
          <w:lang w:eastAsia="zh-CN"/>
        </w:rPr>
        <w:t>鸡血玉</w:t>
      </w:r>
      <w:r>
        <w:rPr>
          <w:rFonts w:hint="eastAsia" w:ascii="仿宋_GB2312" w:hAnsi="宋体" w:eastAsia="仿宋_GB2312"/>
          <w:sz w:val="28"/>
          <w:szCs w:val="28"/>
          <w:highlight w:val="none"/>
          <w:lang w:eastAsia="zh-CN"/>
        </w:rPr>
        <w:t>销售</w:t>
      </w:r>
      <w:r>
        <w:rPr>
          <w:rFonts w:hint="eastAsia" w:ascii="仿宋_GB2312" w:hAnsi="宋体" w:eastAsia="仿宋_GB2312"/>
          <w:sz w:val="28"/>
          <w:szCs w:val="28"/>
          <w:highlight w:val="none"/>
        </w:rPr>
        <w:t>实际要求的基础上，按照简化、统一等原则编制完成团体标准《</w:t>
      </w:r>
      <w:r>
        <w:rPr>
          <w:rFonts w:hint="eastAsia" w:ascii="仿宋_GB2312" w:eastAsia="仿宋_GB2312"/>
          <w:sz w:val="28"/>
          <w:szCs w:val="28"/>
          <w:highlight w:val="none"/>
          <w:lang w:eastAsia="zh-CN"/>
        </w:rPr>
        <w:t>鸡血玉</w:t>
      </w:r>
      <w:r>
        <w:rPr>
          <w:rFonts w:hint="eastAsia" w:ascii="仿宋_GB2312" w:hAnsi="宋体" w:eastAsia="仿宋_GB2312"/>
          <w:sz w:val="28"/>
          <w:szCs w:val="28"/>
          <w:highlight w:val="none"/>
        </w:rPr>
        <w:t>》（草案）。</w:t>
      </w:r>
    </w:p>
    <w:p w14:paraId="3CCE8FE7">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20</w:t>
      </w:r>
      <w:r>
        <w:rPr>
          <w:rFonts w:hint="eastAsia" w:ascii="仿宋_GB2312" w:hAnsi="宋体" w:eastAsia="仿宋_GB2312"/>
          <w:sz w:val="28"/>
          <w:szCs w:val="28"/>
          <w:lang w:val="en-US" w:eastAsia="zh-CN"/>
        </w:rPr>
        <w:t>2</w:t>
      </w:r>
      <w:r>
        <w:rPr>
          <w:rFonts w:hint="eastAsia" w:ascii="仿宋_GB2312" w:eastAsia="仿宋_GB2312"/>
          <w:sz w:val="28"/>
          <w:szCs w:val="28"/>
          <w:highlight w:val="none"/>
          <w:lang w:val="en-US" w:eastAsia="zh-CN"/>
        </w:rPr>
        <w:t>5</w:t>
      </w:r>
      <w:r>
        <w:rPr>
          <w:rFonts w:hint="eastAsia" w:ascii="仿宋_GB2312" w:hAnsi="宋体" w:eastAsia="仿宋_GB2312"/>
          <w:sz w:val="28"/>
          <w:szCs w:val="28"/>
          <w:highlight w:val="none"/>
        </w:rPr>
        <w:t>年</w:t>
      </w:r>
      <w:r>
        <w:rPr>
          <w:rFonts w:hint="eastAsia" w:ascii="仿宋_GB2312" w:eastAsia="仿宋_GB2312"/>
          <w:sz w:val="28"/>
          <w:szCs w:val="28"/>
          <w:highlight w:val="none"/>
          <w:lang w:val="en-US" w:eastAsia="zh-CN"/>
        </w:rPr>
        <w:t>2</w:t>
      </w:r>
      <w:r>
        <w:rPr>
          <w:rFonts w:hint="eastAsia" w:ascii="仿宋_GB2312" w:hAnsi="宋体" w:eastAsia="仿宋_GB2312"/>
          <w:sz w:val="28"/>
          <w:szCs w:val="28"/>
          <w:highlight w:val="none"/>
        </w:rPr>
        <w:t>月，标准起草工作组深入</w:t>
      </w:r>
      <w:r>
        <w:rPr>
          <w:rFonts w:hint="eastAsia" w:ascii="仿宋_GB2312" w:eastAsia="仿宋_GB2312"/>
          <w:sz w:val="28"/>
          <w:szCs w:val="28"/>
          <w:highlight w:val="none"/>
          <w:lang w:eastAsia="zh-CN"/>
        </w:rPr>
        <w:t>桂林市内</w:t>
      </w:r>
      <w:r>
        <w:rPr>
          <w:rFonts w:hint="eastAsia" w:ascii="仿宋_GB2312" w:hAnsi="宋体" w:eastAsia="仿宋_GB2312"/>
          <w:sz w:val="28"/>
          <w:szCs w:val="28"/>
          <w:highlight w:val="none"/>
        </w:rPr>
        <w:t>涉及</w:t>
      </w:r>
      <w:r>
        <w:rPr>
          <w:rFonts w:hint="eastAsia" w:ascii="仿宋_GB2312" w:eastAsia="仿宋_GB2312"/>
          <w:sz w:val="28"/>
          <w:szCs w:val="28"/>
          <w:highlight w:val="none"/>
          <w:lang w:eastAsia="zh-CN"/>
        </w:rPr>
        <w:t>鸡血玉</w:t>
      </w:r>
      <w:r>
        <w:rPr>
          <w:rFonts w:hint="eastAsia" w:ascii="仿宋_GB2312" w:hAnsi="宋体" w:eastAsia="仿宋_GB2312"/>
          <w:sz w:val="28"/>
          <w:szCs w:val="28"/>
          <w:highlight w:val="none"/>
        </w:rPr>
        <w:t>生产销售的有代表性的</w:t>
      </w:r>
      <w:r>
        <w:rPr>
          <w:rFonts w:hint="eastAsia" w:ascii="仿宋_GB2312" w:eastAsia="仿宋_GB2312"/>
          <w:sz w:val="28"/>
          <w:szCs w:val="28"/>
          <w:highlight w:val="none"/>
          <w:lang w:eastAsia="zh-CN"/>
        </w:rPr>
        <w:t>商户</w:t>
      </w:r>
      <w:r>
        <w:rPr>
          <w:rFonts w:hint="eastAsia" w:ascii="仿宋_GB2312" w:hAnsi="宋体" w:eastAsia="仿宋_GB2312"/>
          <w:sz w:val="28"/>
          <w:szCs w:val="28"/>
          <w:highlight w:val="none"/>
        </w:rPr>
        <w:t>、企业</w:t>
      </w:r>
      <w:r>
        <w:rPr>
          <w:rFonts w:hint="eastAsia" w:ascii="仿宋_GB2312" w:eastAsia="仿宋_GB2312"/>
          <w:sz w:val="28"/>
          <w:szCs w:val="28"/>
          <w:highlight w:val="none"/>
          <w:lang w:eastAsia="zh-CN"/>
        </w:rPr>
        <w:t>、协会</w:t>
      </w: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rPr>
        <w:t>针对</w:t>
      </w:r>
      <w:r>
        <w:rPr>
          <w:rFonts w:hint="eastAsia" w:ascii="仿宋_GB2312" w:eastAsia="仿宋_GB2312"/>
          <w:sz w:val="28"/>
          <w:szCs w:val="28"/>
          <w:highlight w:val="none"/>
          <w:lang w:eastAsia="zh-CN"/>
        </w:rPr>
        <w:t>鸡血玉</w:t>
      </w:r>
      <w:r>
        <w:rPr>
          <w:rFonts w:hint="eastAsia" w:ascii="仿宋_GB2312" w:hAnsi="宋体" w:eastAsia="仿宋_GB2312"/>
          <w:sz w:val="28"/>
          <w:szCs w:val="28"/>
          <w:highlight w:val="none"/>
        </w:rPr>
        <w:t>进行分组实地调研学习。通过实地调研，掌握</w:t>
      </w:r>
      <w:r>
        <w:rPr>
          <w:rFonts w:hint="eastAsia" w:ascii="仿宋_GB2312" w:eastAsia="仿宋_GB2312"/>
          <w:sz w:val="28"/>
          <w:szCs w:val="28"/>
          <w:highlight w:val="none"/>
          <w:lang w:eastAsia="zh-CN"/>
        </w:rPr>
        <w:t>桂林市</w:t>
      </w:r>
      <w:r>
        <w:rPr>
          <w:rFonts w:hint="eastAsia" w:ascii="仿宋_GB2312" w:hAnsi="宋体" w:eastAsia="仿宋_GB2312"/>
          <w:sz w:val="28"/>
          <w:szCs w:val="28"/>
          <w:highlight w:val="none"/>
        </w:rPr>
        <w:t>关于</w:t>
      </w:r>
      <w:r>
        <w:rPr>
          <w:rFonts w:hint="eastAsia" w:ascii="仿宋_GB2312" w:eastAsia="仿宋_GB2312"/>
          <w:sz w:val="28"/>
          <w:szCs w:val="28"/>
          <w:highlight w:val="none"/>
          <w:lang w:eastAsia="zh-CN"/>
        </w:rPr>
        <w:t>鸡血玉</w:t>
      </w:r>
      <w:r>
        <w:rPr>
          <w:rFonts w:hint="eastAsia" w:ascii="仿宋_GB2312" w:eastAsia="仿宋_GB2312"/>
          <w:sz w:val="28"/>
          <w:szCs w:val="28"/>
          <w:highlight w:val="none"/>
          <w:lang w:val="en-US" w:eastAsia="zh-CN"/>
        </w:rPr>
        <w:t>的加工、鉴定、交易、评估等</w:t>
      </w:r>
      <w:r>
        <w:rPr>
          <w:rFonts w:hint="eastAsia" w:ascii="仿宋_GB2312" w:hAnsi="宋体" w:eastAsia="仿宋_GB2312"/>
          <w:sz w:val="28"/>
          <w:szCs w:val="28"/>
          <w:highlight w:val="none"/>
          <w:lang w:eastAsia="zh-CN"/>
        </w:rPr>
        <w:t>方面</w:t>
      </w:r>
      <w:r>
        <w:rPr>
          <w:rFonts w:hint="eastAsia" w:ascii="仿宋_GB2312" w:hAnsi="宋体" w:eastAsia="仿宋_GB2312"/>
          <w:sz w:val="28"/>
          <w:szCs w:val="28"/>
          <w:highlight w:val="none"/>
        </w:rPr>
        <w:t>的具体要求。并实际</w:t>
      </w:r>
      <w:r>
        <w:rPr>
          <w:rFonts w:hint="eastAsia" w:ascii="仿宋_GB2312" w:hAnsi="宋体" w:eastAsia="仿宋_GB2312"/>
          <w:sz w:val="28"/>
          <w:szCs w:val="28"/>
        </w:rPr>
        <w:t>征求意见，通过收集反馈了大量意见，标准编制工作组多次召开会议，对标准草案进行了反复修改和研究讨论。最终形成了团体标准《</w:t>
      </w:r>
      <w:r>
        <w:rPr>
          <w:rFonts w:hint="eastAsia" w:ascii="仿宋_GB2312" w:eastAsia="仿宋_GB2312"/>
          <w:sz w:val="28"/>
          <w:szCs w:val="28"/>
          <w:lang w:eastAsia="zh-CN"/>
        </w:rPr>
        <w:t>鸡血玉</w:t>
      </w:r>
      <w:r>
        <w:rPr>
          <w:rFonts w:hint="eastAsia" w:ascii="仿宋_GB2312" w:hAnsi="宋体" w:eastAsia="仿宋_GB2312"/>
          <w:sz w:val="28"/>
          <w:szCs w:val="28"/>
        </w:rPr>
        <w:t>》（征求意见稿）和（征求意见稿）编制说明。</w:t>
      </w:r>
    </w:p>
    <w:p w14:paraId="0F0CE3C1">
      <w:pPr>
        <w:keepNext w:val="0"/>
        <w:keepLines w:val="0"/>
        <w:pageBreakBefore w:val="0"/>
        <w:kinsoku/>
        <w:wordWrap/>
        <w:overflowPunct/>
        <w:topLinePunct w:val="0"/>
        <w:autoSpaceDE w:val="0"/>
        <w:autoSpaceDN w:val="0"/>
        <w:bidi w:val="0"/>
        <w:adjustRightInd w:val="0"/>
        <w:snapToGrid/>
        <w:spacing w:line="240" w:lineRule="auto"/>
        <w:ind w:firstLine="640" w:firstLineChars="200"/>
        <w:jc w:val="left"/>
        <w:textAlignment w:val="auto"/>
        <w:outlineLvl w:val="0"/>
        <w:rPr>
          <w:rFonts w:hint="eastAsia" w:ascii="黑体" w:hAnsi="黑体" w:eastAsia="黑体" w:cs="仿宋_GB2312"/>
          <w:sz w:val="32"/>
          <w:szCs w:val="32"/>
        </w:rPr>
      </w:pPr>
      <w:bookmarkStart w:id="0" w:name="_Toc526940083"/>
      <w:r>
        <w:rPr>
          <w:rFonts w:hint="eastAsia" w:ascii="黑体" w:hAnsi="黑体" w:eastAsia="黑体" w:cs="仿宋_GB2312"/>
          <w:sz w:val="32"/>
          <w:szCs w:val="32"/>
        </w:rPr>
        <w:t>四、标准制定原则</w:t>
      </w:r>
      <w:bookmarkEnd w:id="0"/>
    </w:p>
    <w:p w14:paraId="395356D1">
      <w:pPr>
        <w:keepNext w:val="0"/>
        <w:keepLines w:val="0"/>
        <w:pageBreakBefore w:val="0"/>
        <w:kinsoku/>
        <w:wordWrap/>
        <w:overflowPunct/>
        <w:topLinePunct w:val="0"/>
        <w:bidi w:val="0"/>
        <w:snapToGrid/>
        <w:spacing w:line="240" w:lineRule="auto"/>
        <w:ind w:firstLine="560" w:firstLineChars="200"/>
        <w:textAlignment w:val="auto"/>
        <w:outlineLvl w:val="1"/>
        <w:rPr>
          <w:rFonts w:hint="eastAsia" w:ascii="仿宋_GB2312" w:hAnsi="宋体" w:eastAsia="仿宋_GB2312"/>
          <w:sz w:val="28"/>
          <w:szCs w:val="28"/>
        </w:rPr>
      </w:pPr>
      <w:r>
        <w:rPr>
          <w:rFonts w:hint="eastAsia" w:ascii="仿宋_GB2312" w:hAnsi="宋体" w:eastAsia="仿宋_GB2312"/>
          <w:sz w:val="28"/>
          <w:szCs w:val="28"/>
          <w:lang w:val="en-US" w:eastAsia="zh-CN"/>
        </w:rPr>
        <w:t>1</w:t>
      </w:r>
      <w:r>
        <w:rPr>
          <w:rFonts w:hint="eastAsia" w:ascii="仿宋_GB2312" w:hAnsi="宋体" w:eastAsia="仿宋_GB2312"/>
          <w:sz w:val="28"/>
          <w:szCs w:val="28"/>
        </w:rPr>
        <w:t>、实用性原则</w:t>
      </w:r>
    </w:p>
    <w:p w14:paraId="4945E637">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rPr>
      </w:pPr>
      <w:r>
        <w:rPr>
          <w:rFonts w:hint="eastAsia" w:ascii="仿宋_GB2312" w:eastAsia="仿宋_GB2312"/>
          <w:sz w:val="28"/>
          <w:szCs w:val="28"/>
          <w:lang w:eastAsia="zh-CN"/>
        </w:rPr>
        <w:t>团体标准</w:t>
      </w:r>
      <w:r>
        <w:rPr>
          <w:rFonts w:hint="eastAsia" w:ascii="仿宋_GB2312" w:hAnsi="宋体" w:eastAsia="仿宋_GB2312"/>
          <w:sz w:val="28"/>
          <w:szCs w:val="28"/>
        </w:rPr>
        <w:t>《</w:t>
      </w:r>
      <w:r>
        <w:rPr>
          <w:rFonts w:hint="eastAsia" w:ascii="仿宋_GB2312" w:eastAsia="仿宋_GB2312"/>
          <w:sz w:val="28"/>
          <w:szCs w:val="28"/>
          <w:lang w:eastAsia="zh-CN"/>
        </w:rPr>
        <w:t>鸡血玉</w:t>
      </w:r>
      <w:r>
        <w:rPr>
          <w:rFonts w:hint="eastAsia" w:ascii="仿宋_GB2312" w:hAnsi="宋体" w:eastAsia="仿宋_GB2312"/>
          <w:sz w:val="28"/>
          <w:szCs w:val="28"/>
        </w:rPr>
        <w:t>》是在充分收集相关资料和文献，分析</w:t>
      </w:r>
      <w:r>
        <w:rPr>
          <w:rFonts w:hint="eastAsia" w:ascii="仿宋_GB2312" w:eastAsia="仿宋_GB2312"/>
          <w:sz w:val="28"/>
          <w:szCs w:val="28"/>
          <w:lang w:eastAsia="zh-CN"/>
        </w:rPr>
        <w:t>鸡血玉</w:t>
      </w:r>
      <w:r>
        <w:rPr>
          <w:rFonts w:hint="eastAsia" w:ascii="仿宋_GB2312" w:hAnsi="宋体" w:eastAsia="仿宋_GB2312"/>
          <w:sz w:val="28"/>
          <w:szCs w:val="28"/>
        </w:rPr>
        <w:t>当前现状，调研</w:t>
      </w:r>
      <w:r>
        <w:rPr>
          <w:rFonts w:hint="eastAsia" w:ascii="仿宋_GB2312" w:eastAsia="仿宋_GB2312"/>
          <w:sz w:val="28"/>
          <w:szCs w:val="28"/>
          <w:lang w:eastAsia="zh-CN"/>
        </w:rPr>
        <w:t>桂林鸡血玉</w:t>
      </w:r>
      <w:r>
        <w:rPr>
          <w:rFonts w:hint="eastAsia" w:ascii="仿宋_GB2312" w:hAnsi="宋体" w:eastAsia="仿宋_GB2312"/>
          <w:sz w:val="28"/>
          <w:szCs w:val="28"/>
        </w:rPr>
        <w:t>市场情况</w:t>
      </w:r>
      <w:r>
        <w:rPr>
          <w:rFonts w:hint="eastAsia"/>
          <w:sz w:val="28"/>
          <w:szCs w:val="28"/>
        </w:rPr>
        <w:t>，</w:t>
      </w:r>
      <w:r>
        <w:rPr>
          <w:rFonts w:hint="eastAsia" w:ascii="仿宋_GB2312" w:hAnsi="宋体" w:eastAsia="仿宋_GB2312"/>
          <w:sz w:val="28"/>
          <w:szCs w:val="28"/>
        </w:rPr>
        <w:t>在现有国家、行业标准相关</w:t>
      </w:r>
      <w:r>
        <w:rPr>
          <w:rFonts w:hint="eastAsia" w:ascii="仿宋_GB2312" w:eastAsia="仿宋_GB2312"/>
          <w:sz w:val="28"/>
          <w:szCs w:val="28"/>
          <w:lang w:eastAsia="zh-CN"/>
        </w:rPr>
        <w:t>鸡血玉</w:t>
      </w:r>
      <w:r>
        <w:rPr>
          <w:rFonts w:hint="eastAsia" w:ascii="仿宋_GB2312" w:hAnsi="宋体" w:eastAsia="仿宋_GB2312"/>
          <w:sz w:val="28"/>
          <w:szCs w:val="28"/>
        </w:rPr>
        <w:t>要求的基础上，结合</w:t>
      </w:r>
      <w:r>
        <w:rPr>
          <w:rFonts w:hint="eastAsia" w:ascii="仿宋_GB2312" w:eastAsia="仿宋_GB2312"/>
          <w:sz w:val="28"/>
          <w:szCs w:val="28"/>
          <w:lang w:eastAsia="zh-CN"/>
        </w:rPr>
        <w:t>鸡血玉的特征、特点</w:t>
      </w:r>
      <w:r>
        <w:rPr>
          <w:rFonts w:hint="eastAsia" w:ascii="仿宋_GB2312" w:hAnsi="宋体" w:eastAsia="仿宋_GB2312"/>
          <w:sz w:val="28"/>
          <w:szCs w:val="28"/>
        </w:rPr>
        <w:t>总结起草的。符合当前</w:t>
      </w:r>
      <w:r>
        <w:rPr>
          <w:rFonts w:hint="eastAsia" w:ascii="仿宋_GB2312" w:eastAsia="仿宋_GB2312"/>
          <w:sz w:val="28"/>
          <w:szCs w:val="28"/>
          <w:lang w:eastAsia="zh-CN"/>
        </w:rPr>
        <w:t>桂林市鸡血玉</w:t>
      </w:r>
      <w:r>
        <w:rPr>
          <w:rFonts w:hint="eastAsia" w:ascii="仿宋_GB2312" w:hAnsi="宋体" w:eastAsia="仿宋_GB2312"/>
          <w:sz w:val="28"/>
          <w:szCs w:val="28"/>
        </w:rPr>
        <w:t>发展的方向与市场需求，有利于行业的长远发展，有利于提高</w:t>
      </w:r>
      <w:r>
        <w:rPr>
          <w:rFonts w:hint="eastAsia" w:ascii="仿宋_GB2312" w:eastAsia="仿宋_GB2312"/>
          <w:sz w:val="28"/>
          <w:szCs w:val="28"/>
          <w:lang w:eastAsia="zh-CN"/>
        </w:rPr>
        <w:t>鸡血玉</w:t>
      </w:r>
      <w:r>
        <w:rPr>
          <w:rFonts w:hint="eastAsia" w:ascii="仿宋_GB2312" w:hAnsi="宋体" w:eastAsia="仿宋_GB2312"/>
          <w:sz w:val="28"/>
          <w:szCs w:val="28"/>
        </w:rPr>
        <w:t>产品质量和商品经济价值，提高农民经济效益，对推动我</w:t>
      </w:r>
      <w:r>
        <w:rPr>
          <w:rFonts w:hint="eastAsia" w:ascii="仿宋_GB2312" w:eastAsia="仿宋_GB2312"/>
          <w:sz w:val="28"/>
          <w:szCs w:val="28"/>
          <w:lang w:eastAsia="zh-CN"/>
        </w:rPr>
        <w:t>市鸡血玉</w:t>
      </w:r>
      <w:r>
        <w:rPr>
          <w:rFonts w:hint="eastAsia" w:ascii="仿宋_GB2312" w:hAnsi="宋体" w:eastAsia="仿宋_GB2312"/>
          <w:sz w:val="28"/>
          <w:szCs w:val="28"/>
        </w:rPr>
        <w:t>产业健康发展，打造</w:t>
      </w:r>
      <w:r>
        <w:rPr>
          <w:rFonts w:hint="eastAsia" w:ascii="仿宋_GB2312" w:eastAsia="仿宋_GB2312"/>
          <w:sz w:val="28"/>
          <w:szCs w:val="28"/>
          <w:lang w:eastAsia="zh-CN"/>
        </w:rPr>
        <w:t>桂林鸡血玉</w:t>
      </w:r>
      <w:r>
        <w:rPr>
          <w:rFonts w:hint="eastAsia" w:ascii="仿宋_GB2312" w:hAnsi="宋体" w:eastAsia="仿宋_GB2312"/>
          <w:sz w:val="28"/>
          <w:szCs w:val="28"/>
        </w:rPr>
        <w:t>品牌，促进</w:t>
      </w:r>
      <w:r>
        <w:rPr>
          <w:rFonts w:hint="eastAsia" w:ascii="仿宋_GB2312" w:eastAsia="仿宋_GB2312"/>
          <w:sz w:val="28"/>
          <w:szCs w:val="28"/>
          <w:lang w:eastAsia="zh-CN"/>
        </w:rPr>
        <w:t>鸡血玉行业增收</w:t>
      </w:r>
      <w:r>
        <w:rPr>
          <w:rFonts w:hint="eastAsia" w:ascii="仿宋_GB2312" w:hAnsi="宋体" w:eastAsia="仿宋_GB2312"/>
          <w:sz w:val="28"/>
          <w:szCs w:val="28"/>
        </w:rPr>
        <w:t>，具有较强的实用性和可操作性。</w:t>
      </w:r>
    </w:p>
    <w:p w14:paraId="3A854B32">
      <w:pPr>
        <w:keepNext w:val="0"/>
        <w:keepLines w:val="0"/>
        <w:pageBreakBefore w:val="0"/>
        <w:kinsoku/>
        <w:wordWrap/>
        <w:overflowPunct/>
        <w:topLinePunct w:val="0"/>
        <w:bidi w:val="0"/>
        <w:snapToGrid/>
        <w:spacing w:line="240" w:lineRule="auto"/>
        <w:ind w:firstLine="560" w:firstLineChars="200"/>
        <w:textAlignment w:val="auto"/>
        <w:outlineLvl w:val="1"/>
        <w:rPr>
          <w:rFonts w:hint="eastAsia" w:ascii="仿宋_GB2312" w:hAnsi="宋体" w:eastAsia="仿宋_GB2312"/>
          <w:sz w:val="28"/>
          <w:szCs w:val="28"/>
        </w:rPr>
      </w:pPr>
      <w:r>
        <w:rPr>
          <w:rFonts w:hint="eastAsia" w:ascii="仿宋_GB2312" w:hAnsi="宋体" w:eastAsia="仿宋_GB2312"/>
          <w:sz w:val="28"/>
          <w:szCs w:val="28"/>
        </w:rPr>
        <w:t>2、协调性原则</w:t>
      </w:r>
    </w:p>
    <w:p w14:paraId="26BB658D">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rPr>
      </w:pPr>
      <w:r>
        <w:rPr>
          <w:rFonts w:hint="eastAsia" w:ascii="仿宋_GB2312" w:eastAsia="仿宋_GB2312"/>
          <w:sz w:val="28"/>
          <w:szCs w:val="28"/>
          <w:lang w:eastAsia="zh-CN"/>
        </w:rPr>
        <w:t>团体标准</w:t>
      </w:r>
      <w:r>
        <w:rPr>
          <w:rFonts w:hint="eastAsia" w:ascii="仿宋_GB2312" w:hAnsi="宋体" w:eastAsia="仿宋_GB2312"/>
          <w:sz w:val="28"/>
          <w:szCs w:val="28"/>
        </w:rPr>
        <w:t>《</w:t>
      </w:r>
      <w:r>
        <w:rPr>
          <w:rFonts w:hint="eastAsia" w:ascii="仿宋_GB2312" w:eastAsia="仿宋_GB2312"/>
          <w:sz w:val="28"/>
          <w:szCs w:val="28"/>
          <w:lang w:eastAsia="zh-CN"/>
        </w:rPr>
        <w:t>鸡血玉</w:t>
      </w:r>
      <w:r>
        <w:rPr>
          <w:rFonts w:hint="eastAsia" w:ascii="仿宋_GB2312" w:hAnsi="宋体" w:eastAsia="仿宋_GB2312"/>
          <w:sz w:val="28"/>
          <w:szCs w:val="28"/>
        </w:rPr>
        <w:t>》编写过程中注意了与</w:t>
      </w:r>
      <w:r>
        <w:rPr>
          <w:rFonts w:hint="eastAsia" w:ascii="仿宋_GB2312" w:eastAsia="仿宋_GB2312"/>
          <w:sz w:val="28"/>
          <w:szCs w:val="28"/>
          <w:lang w:eastAsia="zh-CN"/>
        </w:rPr>
        <w:t>鸡血玉</w:t>
      </w:r>
      <w:r>
        <w:rPr>
          <w:rFonts w:hint="eastAsia" w:ascii="仿宋_GB2312" w:hAnsi="宋体" w:eastAsia="仿宋_GB2312"/>
          <w:sz w:val="28"/>
          <w:szCs w:val="28"/>
        </w:rPr>
        <w:t>相关法律法规的协调问题，在内容上与现行法律法规、标准协调一致。</w:t>
      </w:r>
    </w:p>
    <w:p w14:paraId="60B0E7AD">
      <w:pPr>
        <w:keepNext w:val="0"/>
        <w:keepLines w:val="0"/>
        <w:pageBreakBefore w:val="0"/>
        <w:kinsoku/>
        <w:wordWrap/>
        <w:overflowPunct/>
        <w:topLinePunct w:val="0"/>
        <w:bidi w:val="0"/>
        <w:snapToGrid/>
        <w:spacing w:line="240" w:lineRule="auto"/>
        <w:ind w:firstLine="560" w:firstLineChars="200"/>
        <w:textAlignment w:val="auto"/>
        <w:outlineLvl w:val="1"/>
        <w:rPr>
          <w:rFonts w:hint="eastAsia" w:ascii="仿宋_GB2312" w:hAnsi="宋体" w:eastAsia="仿宋_GB2312"/>
          <w:sz w:val="28"/>
          <w:szCs w:val="28"/>
        </w:rPr>
      </w:pPr>
      <w:r>
        <w:rPr>
          <w:rFonts w:hint="eastAsia" w:ascii="仿宋_GB2312" w:hAnsi="宋体" w:eastAsia="仿宋_GB2312"/>
          <w:sz w:val="28"/>
          <w:szCs w:val="28"/>
        </w:rPr>
        <w:t>3、规范性原则</w:t>
      </w:r>
    </w:p>
    <w:p w14:paraId="235F6C90">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rPr>
      </w:pPr>
      <w:r>
        <w:rPr>
          <w:rFonts w:hint="eastAsia" w:ascii="仿宋_GB2312" w:eastAsia="仿宋_GB2312"/>
          <w:sz w:val="28"/>
          <w:szCs w:val="28"/>
          <w:lang w:eastAsia="zh-CN"/>
        </w:rPr>
        <w:t>团体标准《鸡血玉》</w:t>
      </w:r>
      <w:r>
        <w:rPr>
          <w:rFonts w:hint="eastAsia" w:ascii="仿宋_GB2312" w:hAnsi="宋体" w:eastAsia="仿宋_GB2312"/>
          <w:sz w:val="28"/>
          <w:szCs w:val="28"/>
        </w:rPr>
        <w:t>严格按照</w:t>
      </w:r>
      <w:r>
        <w:rPr>
          <w:rFonts w:hint="eastAsia" w:ascii="仿宋_GB2312" w:hAnsi="宋体" w:eastAsia="仿宋_GB2312"/>
          <w:sz w:val="28"/>
          <w:szCs w:val="28"/>
          <w:lang w:val="en-US" w:eastAsia="zh-CN"/>
        </w:rPr>
        <w:t>1.1</w:t>
      </w:r>
      <w:r>
        <w:rPr>
          <w:rFonts w:hint="eastAsia" w:ascii="仿宋_GB2312" w:hAnsi="宋体" w:eastAsia="仿宋_GB2312"/>
          <w:sz w:val="28"/>
          <w:szCs w:val="28"/>
        </w:rPr>
        <w:t>—20</w:t>
      </w:r>
      <w:r>
        <w:rPr>
          <w:rFonts w:hint="eastAsia" w:ascii="仿宋_GB2312" w:hAnsi="宋体" w:eastAsia="仿宋_GB2312"/>
          <w:sz w:val="28"/>
          <w:szCs w:val="28"/>
          <w:lang w:val="en-US" w:eastAsia="zh-CN"/>
        </w:rPr>
        <w:t>20</w:t>
      </w:r>
      <w:r>
        <w:rPr>
          <w:rFonts w:hint="eastAsia" w:ascii="仿宋_GB2312" w:hAnsi="宋体" w:eastAsia="仿宋_GB2312"/>
          <w:sz w:val="28"/>
          <w:szCs w:val="28"/>
        </w:rPr>
        <w:t>《标准化工作导则 第</w:t>
      </w:r>
      <w:r>
        <w:rPr>
          <w:rFonts w:hint="eastAsia" w:ascii="仿宋_GB2312" w:hAnsi="宋体" w:eastAsia="仿宋_GB2312"/>
          <w:sz w:val="28"/>
          <w:szCs w:val="28"/>
          <w:lang w:val="en-US" w:eastAsia="zh-CN"/>
        </w:rPr>
        <w:t>1</w:t>
      </w:r>
      <w:r>
        <w:rPr>
          <w:rFonts w:hint="eastAsia" w:ascii="仿宋_GB2312" w:hAnsi="宋体" w:eastAsia="仿宋_GB2312"/>
          <w:sz w:val="28"/>
          <w:szCs w:val="28"/>
        </w:rPr>
        <w:t>部分：标准的结构和</w:t>
      </w:r>
      <w:r>
        <w:rPr>
          <w:rFonts w:hint="eastAsia" w:ascii="仿宋_GB2312" w:hAnsi="宋体" w:eastAsia="仿宋_GB2312"/>
          <w:sz w:val="28"/>
          <w:szCs w:val="28"/>
          <w:lang w:val="en-US" w:eastAsia="zh-CN"/>
        </w:rPr>
        <w:t>起草规则</w:t>
      </w:r>
      <w:r>
        <w:rPr>
          <w:rFonts w:hint="eastAsia" w:ascii="仿宋_GB2312" w:hAnsi="宋体" w:eastAsia="仿宋_GB2312"/>
          <w:sz w:val="28"/>
          <w:szCs w:val="28"/>
        </w:rPr>
        <w:t>》的要求和规定编写本标准的内容，保证标准的编写质量。</w:t>
      </w:r>
    </w:p>
    <w:p w14:paraId="6397E08E">
      <w:pPr>
        <w:keepNext w:val="0"/>
        <w:keepLines w:val="0"/>
        <w:pageBreakBefore w:val="0"/>
        <w:kinsoku/>
        <w:wordWrap/>
        <w:overflowPunct/>
        <w:topLinePunct w:val="0"/>
        <w:bidi w:val="0"/>
        <w:snapToGrid/>
        <w:spacing w:line="240" w:lineRule="auto"/>
        <w:ind w:firstLine="560" w:firstLineChars="200"/>
        <w:textAlignment w:val="auto"/>
        <w:outlineLvl w:val="1"/>
        <w:rPr>
          <w:rFonts w:hint="eastAsia" w:ascii="仿宋_GB2312" w:hAnsi="宋体" w:eastAsia="仿宋_GB2312"/>
          <w:sz w:val="28"/>
          <w:szCs w:val="28"/>
        </w:rPr>
      </w:pPr>
      <w:r>
        <w:rPr>
          <w:rFonts w:hint="eastAsia" w:ascii="仿宋_GB2312" w:hAnsi="宋体" w:eastAsia="仿宋_GB2312"/>
          <w:sz w:val="28"/>
          <w:szCs w:val="28"/>
        </w:rPr>
        <w:t>4、前瞻性原则</w:t>
      </w:r>
    </w:p>
    <w:p w14:paraId="6FFCF64F">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rPr>
      </w:pPr>
      <w:r>
        <w:rPr>
          <w:rFonts w:hint="eastAsia" w:ascii="仿宋_GB2312" w:eastAsia="仿宋_GB2312"/>
          <w:sz w:val="28"/>
          <w:szCs w:val="28"/>
          <w:lang w:eastAsia="zh-CN"/>
        </w:rPr>
        <w:t>团体标准</w:t>
      </w:r>
      <w:r>
        <w:rPr>
          <w:rFonts w:hint="eastAsia" w:ascii="仿宋_GB2312" w:hAnsi="宋体" w:eastAsia="仿宋_GB2312"/>
          <w:sz w:val="28"/>
          <w:szCs w:val="28"/>
        </w:rPr>
        <w:t>《</w:t>
      </w:r>
      <w:r>
        <w:rPr>
          <w:rFonts w:hint="eastAsia" w:ascii="仿宋_GB2312" w:eastAsia="仿宋_GB2312"/>
          <w:sz w:val="28"/>
          <w:szCs w:val="28"/>
          <w:lang w:eastAsia="zh-CN"/>
        </w:rPr>
        <w:t>鸡血玉</w:t>
      </w:r>
      <w:r>
        <w:rPr>
          <w:rFonts w:hint="eastAsia" w:ascii="仿宋_GB2312" w:hAnsi="宋体" w:eastAsia="仿宋_GB2312"/>
          <w:sz w:val="28"/>
          <w:szCs w:val="28"/>
        </w:rPr>
        <w:t>》在兼顾当前</w:t>
      </w:r>
      <w:r>
        <w:rPr>
          <w:rFonts w:hint="eastAsia" w:ascii="仿宋_GB2312" w:eastAsia="仿宋_GB2312"/>
          <w:sz w:val="28"/>
          <w:szCs w:val="28"/>
          <w:lang w:eastAsia="zh-CN"/>
        </w:rPr>
        <w:t>桂林鸡血玉</w:t>
      </w:r>
      <w:r>
        <w:rPr>
          <w:rFonts w:hint="eastAsia" w:ascii="仿宋_GB2312" w:hAnsi="宋体" w:eastAsia="仿宋_GB2312"/>
          <w:sz w:val="28"/>
          <w:szCs w:val="28"/>
          <w:lang w:eastAsia="zh-CN"/>
        </w:rPr>
        <w:t>市场质量</w:t>
      </w:r>
      <w:r>
        <w:rPr>
          <w:rFonts w:hint="eastAsia" w:ascii="仿宋_GB2312" w:hAnsi="宋体" w:eastAsia="仿宋_GB2312"/>
          <w:sz w:val="28"/>
          <w:szCs w:val="28"/>
        </w:rPr>
        <w:t>现实情况的同时，还考虑到了</w:t>
      </w:r>
      <w:r>
        <w:rPr>
          <w:rFonts w:hint="eastAsia" w:ascii="仿宋_GB2312" w:eastAsia="仿宋_GB2312"/>
          <w:sz w:val="28"/>
          <w:szCs w:val="28"/>
          <w:lang w:eastAsia="zh-CN"/>
        </w:rPr>
        <w:t>鸡血玉</w:t>
      </w:r>
      <w:r>
        <w:rPr>
          <w:rFonts w:hint="eastAsia" w:ascii="仿宋_GB2312" w:hAnsi="宋体" w:eastAsia="仿宋_GB2312"/>
          <w:sz w:val="28"/>
          <w:szCs w:val="28"/>
        </w:rPr>
        <w:t>产业快速发展的趋势和需要，在标准中体现了个别特色性、前瞻性和先进性条款，作为对</w:t>
      </w:r>
      <w:r>
        <w:rPr>
          <w:rFonts w:hint="eastAsia" w:ascii="仿宋_GB2312" w:eastAsia="仿宋_GB2312"/>
          <w:sz w:val="28"/>
          <w:szCs w:val="28"/>
          <w:lang w:eastAsia="zh-CN"/>
        </w:rPr>
        <w:t>鸡血玉</w:t>
      </w:r>
      <w:r>
        <w:rPr>
          <w:rFonts w:hint="eastAsia" w:ascii="仿宋_GB2312" w:hAnsi="宋体" w:eastAsia="仿宋_GB2312"/>
          <w:sz w:val="28"/>
          <w:szCs w:val="28"/>
        </w:rPr>
        <w:t>发展的指导。</w:t>
      </w:r>
    </w:p>
    <w:p w14:paraId="77F8BC02">
      <w:pPr>
        <w:keepNext w:val="0"/>
        <w:keepLines w:val="0"/>
        <w:pageBreakBefore w:val="0"/>
        <w:numPr>
          <w:ilvl w:val="0"/>
          <w:numId w:val="8"/>
        </w:numPr>
        <w:kinsoku/>
        <w:wordWrap/>
        <w:overflowPunct/>
        <w:topLinePunct w:val="0"/>
        <w:autoSpaceDE w:val="0"/>
        <w:autoSpaceDN w:val="0"/>
        <w:bidi w:val="0"/>
        <w:adjustRightInd w:val="0"/>
        <w:snapToGrid/>
        <w:spacing w:line="240" w:lineRule="auto"/>
        <w:ind w:firstLine="640" w:firstLineChars="200"/>
        <w:jc w:val="left"/>
        <w:textAlignment w:val="auto"/>
        <w:outlineLvl w:val="0"/>
        <w:rPr>
          <w:rFonts w:hint="eastAsia" w:ascii="黑体" w:hAnsi="黑体" w:eastAsia="黑体" w:cs="仿宋_GB2312"/>
          <w:sz w:val="32"/>
          <w:szCs w:val="32"/>
        </w:rPr>
      </w:pPr>
      <w:bookmarkStart w:id="1" w:name="_Toc526940084"/>
      <w:r>
        <w:rPr>
          <w:rFonts w:hint="eastAsia" w:ascii="黑体" w:hAnsi="黑体" w:eastAsia="黑体" w:cs="仿宋_GB2312"/>
          <w:sz w:val="32"/>
          <w:szCs w:val="32"/>
        </w:rPr>
        <w:t>标准主要内容及依据来源</w:t>
      </w:r>
      <w:bookmarkEnd w:id="1"/>
    </w:p>
    <w:p w14:paraId="01428268">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highlight w:val="none"/>
        </w:rPr>
      </w:pPr>
      <w:r>
        <w:rPr>
          <w:rFonts w:hint="eastAsia" w:ascii="仿宋_GB2312" w:hAnsi="宋体" w:eastAsia="仿宋_GB2312"/>
          <w:sz w:val="28"/>
          <w:szCs w:val="28"/>
        </w:rPr>
        <w:t>团体标准《</w:t>
      </w:r>
      <w:r>
        <w:rPr>
          <w:rFonts w:hint="eastAsia" w:ascii="仿宋_GB2312" w:eastAsia="仿宋_GB2312"/>
          <w:sz w:val="28"/>
          <w:szCs w:val="28"/>
          <w:lang w:eastAsia="zh-CN"/>
        </w:rPr>
        <w:t>鸡血玉</w:t>
      </w:r>
      <w:r>
        <w:rPr>
          <w:rFonts w:hint="eastAsia" w:ascii="仿宋_GB2312" w:hAnsi="宋体" w:eastAsia="仿宋_GB2312"/>
          <w:sz w:val="28"/>
          <w:szCs w:val="28"/>
        </w:rPr>
        <w:t>》主要章节内容包括：术语和定义、特征、鉴定方法、鉴定规则、分级要求、产品工艺要求、标志包装、运输</w:t>
      </w:r>
      <w:r>
        <w:rPr>
          <w:rFonts w:hint="eastAsia" w:ascii="仿宋_GB2312" w:hAnsi="宋体" w:eastAsia="仿宋_GB2312"/>
          <w:sz w:val="28"/>
          <w:szCs w:val="28"/>
          <w:highlight w:val="none"/>
        </w:rPr>
        <w:t>。</w:t>
      </w:r>
    </w:p>
    <w:p w14:paraId="1B5CF5E0">
      <w:pPr>
        <w:pStyle w:val="12"/>
        <w:tabs>
          <w:tab w:val="center" w:pos="4201"/>
          <w:tab w:val="right" w:leader="dot" w:pos="9298"/>
        </w:tabs>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eastAsia="zh-CN"/>
        </w:rPr>
        <w:t>（一）</w:t>
      </w:r>
      <w:r>
        <w:rPr>
          <w:rFonts w:hint="eastAsia" w:ascii="仿宋_GB2312" w:hAnsi="宋体" w:eastAsia="仿宋_GB2312"/>
          <w:b/>
          <w:bCs/>
          <w:sz w:val="28"/>
          <w:szCs w:val="28"/>
          <w:highlight w:val="none"/>
        </w:rPr>
        <w:t>术语和定义</w:t>
      </w:r>
      <w:r>
        <w:rPr>
          <w:rFonts w:hint="eastAsia" w:ascii="仿宋_GB2312" w:hAnsi="宋体" w:eastAsia="仿宋_GB2312"/>
          <w:sz w:val="28"/>
          <w:szCs w:val="28"/>
          <w:highlight w:val="none"/>
        </w:rPr>
        <w:t>依据</w:t>
      </w:r>
      <w:r>
        <w:rPr>
          <w:rFonts w:hint="eastAsia" w:ascii="仿宋_GB2312" w:hAnsi="宋体" w:eastAsia="仿宋_GB2312"/>
          <w:sz w:val="28"/>
          <w:szCs w:val="28"/>
          <w:highlight w:val="none"/>
          <w:lang w:val="en-US" w:eastAsia="zh-CN"/>
        </w:rPr>
        <w:t>GB/T 16552、GB/T 6553、GB/T 17412.1、GB/T 17412.2、GB/T 17412.3、GB/T 34098等标准要求及</w:t>
      </w:r>
      <w:r>
        <w:rPr>
          <w:rFonts w:hint="eastAsia" w:ascii="仿宋_GB2312" w:hAnsi="宋体" w:eastAsia="仿宋_GB2312"/>
          <w:sz w:val="28"/>
          <w:szCs w:val="28"/>
          <w:highlight w:val="none"/>
          <w:lang w:eastAsia="zh-CN"/>
        </w:rPr>
        <w:t>鸡血玉特征</w:t>
      </w:r>
      <w:r>
        <w:rPr>
          <w:rFonts w:hint="eastAsia" w:ascii="仿宋_GB2312" w:hAnsi="宋体" w:eastAsia="仿宋_GB2312"/>
          <w:sz w:val="28"/>
          <w:szCs w:val="28"/>
          <w:highlight w:val="none"/>
        </w:rPr>
        <w:t>讨论确定</w:t>
      </w:r>
      <w:r>
        <w:rPr>
          <w:rFonts w:hint="eastAsia" w:ascii="仿宋_GB2312" w:hAnsi="宋体" w:eastAsia="仿宋_GB2312"/>
          <w:sz w:val="28"/>
          <w:szCs w:val="28"/>
          <w:highlight w:val="none"/>
          <w:lang w:eastAsia="zh-CN"/>
        </w:rPr>
        <w:t>，</w:t>
      </w:r>
      <w:r>
        <w:rPr>
          <w:rFonts w:hint="eastAsia" w:ascii="仿宋_GB2312" w:hAnsi="宋体" w:eastAsia="仿宋_GB2312"/>
          <w:sz w:val="28"/>
          <w:szCs w:val="28"/>
          <w:highlight w:val="none"/>
        </w:rPr>
        <w:t>明确了“</w:t>
      </w:r>
      <w:r>
        <w:rPr>
          <w:rFonts w:hint="eastAsia" w:ascii="仿宋_GB2312" w:hAnsi="宋体" w:eastAsia="仿宋_GB2312"/>
          <w:sz w:val="28"/>
          <w:szCs w:val="28"/>
          <w:highlight w:val="none"/>
          <w:lang w:eastAsia="zh-CN"/>
        </w:rPr>
        <w:t>鸡血玉 、</w:t>
      </w:r>
      <w:r>
        <w:rPr>
          <w:rFonts w:hint="eastAsia" w:ascii="仿宋_GB2312" w:hAnsi="宋体" w:eastAsia="仿宋_GB2312"/>
          <w:sz w:val="28"/>
          <w:szCs w:val="28"/>
          <w:highlight w:val="none"/>
          <w:lang w:val="en-US" w:eastAsia="zh-CN"/>
        </w:rPr>
        <w:t>矿物共生组合、鸡血红、玉化、血、地、锅巴、砂眼</w:t>
      </w:r>
      <w:r>
        <w:rPr>
          <w:rFonts w:hint="eastAsia" w:ascii="仿宋_GB2312" w:hAnsi="宋体" w:eastAsia="仿宋_GB2312"/>
          <w:sz w:val="28"/>
          <w:szCs w:val="28"/>
          <w:highlight w:val="none"/>
        </w:rPr>
        <w:t>”</w:t>
      </w:r>
      <w:r>
        <w:rPr>
          <w:rFonts w:hint="eastAsia" w:ascii="仿宋_GB2312" w:hAnsi="宋体" w:eastAsia="仿宋_GB2312"/>
          <w:sz w:val="28"/>
          <w:szCs w:val="28"/>
          <w:highlight w:val="none"/>
          <w:lang w:val="en-US" w:eastAsia="zh-CN"/>
        </w:rPr>
        <w:t>的定义。</w:t>
      </w:r>
    </w:p>
    <w:p w14:paraId="11B3D5E2">
      <w:pPr>
        <w:pStyle w:val="12"/>
        <w:tabs>
          <w:tab w:val="center" w:pos="4201"/>
          <w:tab w:val="right" w:leader="dot" w:pos="9298"/>
        </w:tabs>
        <w:rPr>
          <w:rFonts w:hint="eastAsia" w:ascii="仿宋_GB2312" w:hAnsi="宋体" w:eastAsia="仿宋_GB2312"/>
          <w:sz w:val="28"/>
          <w:szCs w:val="28"/>
          <w:highlight w:val="none"/>
          <w:lang w:val="en-US" w:eastAsia="zh-CN"/>
        </w:rPr>
      </w:pPr>
      <w:r>
        <w:rPr>
          <w:rFonts w:hint="eastAsia" w:ascii="仿宋_GB2312" w:hAnsi="宋体" w:eastAsia="仿宋_GB2312" w:cs="Times New Roman"/>
          <w:b/>
          <w:bCs/>
          <w:sz w:val="28"/>
          <w:szCs w:val="28"/>
          <w:highlight w:val="none"/>
          <w:lang w:eastAsia="zh-CN"/>
        </w:rPr>
        <w:t>（二）特征</w:t>
      </w:r>
      <w:r>
        <w:rPr>
          <w:rFonts w:hint="eastAsia" w:ascii="仿宋_GB2312" w:hAnsi="宋体" w:eastAsia="仿宋_GB2312"/>
          <w:sz w:val="28"/>
          <w:szCs w:val="28"/>
          <w:highlight w:val="none"/>
          <w:lang w:val="en-US" w:eastAsia="zh-CN"/>
        </w:rPr>
        <w:t>根据产品特性及检验数据确定，通过抽取10个样品进行检测，检查项目包括矿物成分及材料性质，检测数据汇总表见表1、表2、表3。</w:t>
      </w:r>
    </w:p>
    <w:p w14:paraId="2E220AA0">
      <w:pPr>
        <w:pStyle w:val="2"/>
        <w:spacing w:after="156"/>
        <w:ind w:firstLine="0" w:firstLineChars="0"/>
        <w:jc w:val="center"/>
        <w:rPr>
          <w:rFonts w:ascii="仿宋" w:hAnsi="仿宋" w:eastAsia="仿宋" w:cs="Calibri"/>
          <w:sz w:val="28"/>
          <w:szCs w:val="28"/>
        </w:rPr>
      </w:pPr>
      <w:r>
        <w:rPr>
          <w:rFonts w:hint="eastAsia" w:ascii="仿宋" w:hAnsi="仿宋" w:eastAsia="仿宋" w:cs="Calibri"/>
          <w:sz w:val="28"/>
          <w:szCs w:val="28"/>
        </w:rPr>
        <w:t xml:space="preserve">表1 </w:t>
      </w:r>
      <w:r>
        <w:rPr>
          <w:rFonts w:hint="eastAsia" w:ascii="仿宋" w:hAnsi="仿宋" w:eastAsia="仿宋" w:cs="Calibri"/>
          <w:sz w:val="28"/>
          <w:szCs w:val="28"/>
          <w:lang w:val="en-US" w:eastAsia="zh-CN"/>
        </w:rPr>
        <w:t>矿物成分</w:t>
      </w:r>
      <w:r>
        <w:rPr>
          <w:rFonts w:hint="eastAsia" w:ascii="仿宋" w:hAnsi="仿宋" w:eastAsia="仿宋" w:cs="Calibri"/>
          <w:sz w:val="28"/>
          <w:szCs w:val="28"/>
        </w:rPr>
        <w:t>抽检情况汇总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3"/>
        <w:gridCol w:w="1070"/>
        <w:gridCol w:w="1143"/>
        <w:gridCol w:w="947"/>
        <w:gridCol w:w="947"/>
        <w:gridCol w:w="947"/>
        <w:gridCol w:w="947"/>
        <w:gridCol w:w="944"/>
        <w:gridCol w:w="954"/>
      </w:tblGrid>
      <w:tr w14:paraId="5F1AF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0A38DA63">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rPr>
              <w:t>抽检样品</w:t>
            </w:r>
          </w:p>
        </w:tc>
        <w:tc>
          <w:tcPr>
            <w:tcW w:w="627" w:type="pct"/>
            <w:vAlign w:val="center"/>
          </w:tcPr>
          <w:p w14:paraId="5DCFE271">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石英（</w:t>
            </w:r>
            <w:r>
              <w:rPr>
                <w:rFonts w:hint="eastAsia" w:ascii="仿宋" w:hAnsi="仿宋" w:eastAsia="仿宋" w:cs="仿宋"/>
                <w:sz w:val="18"/>
                <w:szCs w:val="18"/>
                <w:lang w:val="en-US" w:eastAsia="zh-CN"/>
              </w:rPr>
              <w:t>%</w:t>
            </w:r>
            <w:r>
              <w:rPr>
                <w:rFonts w:hint="eastAsia" w:ascii="仿宋" w:hAnsi="仿宋" w:eastAsia="仿宋" w:cs="仿宋"/>
                <w:sz w:val="18"/>
                <w:szCs w:val="18"/>
                <w:lang w:eastAsia="zh-CN"/>
              </w:rPr>
              <w:t>）</w:t>
            </w:r>
          </w:p>
        </w:tc>
        <w:tc>
          <w:tcPr>
            <w:tcW w:w="670" w:type="pct"/>
            <w:vAlign w:val="center"/>
          </w:tcPr>
          <w:p w14:paraId="34F0FC2E">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赤铁矿（</w:t>
            </w:r>
            <w:r>
              <w:rPr>
                <w:rFonts w:hint="eastAsia" w:ascii="仿宋" w:hAnsi="仿宋" w:eastAsia="仿宋" w:cs="仿宋"/>
                <w:sz w:val="18"/>
                <w:szCs w:val="18"/>
                <w:lang w:val="en-US" w:eastAsia="zh-CN"/>
              </w:rPr>
              <w:t>%</w:t>
            </w:r>
            <w:r>
              <w:rPr>
                <w:rFonts w:hint="eastAsia" w:ascii="仿宋" w:hAnsi="仿宋" w:eastAsia="仿宋" w:cs="仿宋"/>
                <w:sz w:val="18"/>
                <w:szCs w:val="18"/>
                <w:lang w:eastAsia="zh-CN"/>
              </w:rPr>
              <w:t>）</w:t>
            </w:r>
          </w:p>
        </w:tc>
        <w:tc>
          <w:tcPr>
            <w:tcW w:w="555" w:type="pct"/>
            <w:vAlign w:val="center"/>
          </w:tcPr>
          <w:p w14:paraId="5D9643FD">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玉髓（</w:t>
            </w:r>
            <w:r>
              <w:rPr>
                <w:rFonts w:hint="eastAsia" w:ascii="仿宋" w:hAnsi="仿宋" w:eastAsia="仿宋" w:cs="仿宋"/>
                <w:sz w:val="18"/>
                <w:szCs w:val="18"/>
                <w:lang w:val="en-US" w:eastAsia="zh-CN"/>
              </w:rPr>
              <w:t>%</w:t>
            </w:r>
            <w:r>
              <w:rPr>
                <w:rFonts w:hint="eastAsia" w:ascii="仿宋" w:hAnsi="仿宋" w:eastAsia="仿宋" w:cs="仿宋"/>
                <w:sz w:val="18"/>
                <w:szCs w:val="18"/>
                <w:lang w:eastAsia="zh-CN"/>
              </w:rPr>
              <w:t>）</w:t>
            </w:r>
          </w:p>
        </w:tc>
        <w:tc>
          <w:tcPr>
            <w:tcW w:w="555" w:type="pct"/>
            <w:vAlign w:val="center"/>
          </w:tcPr>
          <w:p w14:paraId="41B7747D">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褐铁矿（</w:t>
            </w:r>
            <w:r>
              <w:rPr>
                <w:rFonts w:hint="eastAsia" w:ascii="仿宋" w:hAnsi="仿宋" w:eastAsia="仿宋" w:cs="仿宋"/>
                <w:sz w:val="18"/>
                <w:szCs w:val="18"/>
                <w:lang w:val="en-US" w:eastAsia="zh-CN"/>
              </w:rPr>
              <w:t>%</w:t>
            </w:r>
            <w:r>
              <w:rPr>
                <w:rFonts w:hint="eastAsia" w:ascii="仿宋" w:hAnsi="仿宋" w:eastAsia="仿宋" w:cs="仿宋"/>
                <w:sz w:val="18"/>
                <w:szCs w:val="18"/>
                <w:lang w:eastAsia="zh-CN"/>
              </w:rPr>
              <w:t>）</w:t>
            </w:r>
          </w:p>
        </w:tc>
        <w:tc>
          <w:tcPr>
            <w:tcW w:w="555" w:type="pct"/>
            <w:vAlign w:val="center"/>
          </w:tcPr>
          <w:p w14:paraId="5D9740BE">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绢云母（</w:t>
            </w:r>
            <w:r>
              <w:rPr>
                <w:rFonts w:hint="eastAsia" w:ascii="仿宋" w:hAnsi="仿宋" w:eastAsia="仿宋" w:cs="仿宋"/>
                <w:sz w:val="18"/>
                <w:szCs w:val="18"/>
                <w:lang w:val="en-US" w:eastAsia="zh-CN"/>
              </w:rPr>
              <w:t>%</w:t>
            </w:r>
            <w:r>
              <w:rPr>
                <w:rFonts w:hint="eastAsia" w:ascii="仿宋" w:hAnsi="仿宋" w:eastAsia="仿宋" w:cs="仿宋"/>
                <w:sz w:val="18"/>
                <w:szCs w:val="18"/>
                <w:lang w:eastAsia="zh-CN"/>
              </w:rPr>
              <w:t>）</w:t>
            </w:r>
          </w:p>
        </w:tc>
        <w:tc>
          <w:tcPr>
            <w:tcW w:w="555" w:type="pct"/>
            <w:vAlign w:val="center"/>
          </w:tcPr>
          <w:p w14:paraId="2A589798">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绿泥石（</w:t>
            </w:r>
            <w:r>
              <w:rPr>
                <w:rFonts w:hint="eastAsia" w:ascii="仿宋" w:hAnsi="仿宋" w:eastAsia="仿宋" w:cs="仿宋"/>
                <w:sz w:val="18"/>
                <w:szCs w:val="18"/>
                <w:lang w:val="en-US" w:eastAsia="zh-CN"/>
              </w:rPr>
              <w:t>%</w:t>
            </w:r>
            <w:r>
              <w:rPr>
                <w:rFonts w:hint="eastAsia" w:ascii="仿宋" w:hAnsi="仿宋" w:eastAsia="仿宋" w:cs="仿宋"/>
                <w:sz w:val="18"/>
                <w:szCs w:val="18"/>
                <w:lang w:eastAsia="zh-CN"/>
              </w:rPr>
              <w:t>）</w:t>
            </w:r>
          </w:p>
        </w:tc>
        <w:tc>
          <w:tcPr>
            <w:tcW w:w="553" w:type="pct"/>
            <w:vAlign w:val="center"/>
          </w:tcPr>
          <w:p w14:paraId="6EBC41EA">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金红石（</w:t>
            </w:r>
            <w:r>
              <w:rPr>
                <w:rFonts w:hint="eastAsia" w:ascii="仿宋" w:hAnsi="仿宋" w:eastAsia="仿宋" w:cs="仿宋"/>
                <w:sz w:val="18"/>
                <w:szCs w:val="18"/>
                <w:lang w:val="en-US" w:eastAsia="zh-CN"/>
              </w:rPr>
              <w:t>%</w:t>
            </w:r>
            <w:r>
              <w:rPr>
                <w:rFonts w:hint="eastAsia" w:ascii="仿宋" w:hAnsi="仿宋" w:eastAsia="仿宋" w:cs="仿宋"/>
                <w:sz w:val="18"/>
                <w:szCs w:val="18"/>
                <w:lang w:eastAsia="zh-CN"/>
              </w:rPr>
              <w:t>）</w:t>
            </w:r>
          </w:p>
        </w:tc>
        <w:tc>
          <w:tcPr>
            <w:tcW w:w="559" w:type="pct"/>
            <w:vAlign w:val="center"/>
          </w:tcPr>
          <w:p w14:paraId="0780D69B">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白钛石（</w:t>
            </w:r>
            <w:r>
              <w:rPr>
                <w:rFonts w:hint="eastAsia" w:ascii="仿宋" w:hAnsi="仿宋" w:eastAsia="仿宋" w:cs="仿宋"/>
                <w:sz w:val="18"/>
                <w:szCs w:val="18"/>
                <w:lang w:val="en-US" w:eastAsia="zh-CN"/>
              </w:rPr>
              <w:t>%</w:t>
            </w:r>
            <w:r>
              <w:rPr>
                <w:rFonts w:hint="eastAsia" w:ascii="仿宋" w:hAnsi="仿宋" w:eastAsia="仿宋" w:cs="仿宋"/>
                <w:sz w:val="18"/>
                <w:szCs w:val="18"/>
                <w:lang w:eastAsia="zh-CN"/>
              </w:rPr>
              <w:t>）</w:t>
            </w:r>
          </w:p>
        </w:tc>
      </w:tr>
      <w:tr w14:paraId="26697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2E7D7147">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627" w:type="pct"/>
            <w:vAlign w:val="center"/>
          </w:tcPr>
          <w:p w14:paraId="24750C9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80</w:t>
            </w:r>
          </w:p>
        </w:tc>
        <w:tc>
          <w:tcPr>
            <w:tcW w:w="670" w:type="pct"/>
            <w:vAlign w:val="center"/>
          </w:tcPr>
          <w:p w14:paraId="41C5C818">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16</w:t>
            </w:r>
          </w:p>
        </w:tc>
        <w:tc>
          <w:tcPr>
            <w:tcW w:w="555" w:type="pct"/>
            <w:vAlign w:val="center"/>
          </w:tcPr>
          <w:p w14:paraId="58E2872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vAlign w:val="center"/>
          </w:tcPr>
          <w:p w14:paraId="20A974C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vAlign w:val="center"/>
          </w:tcPr>
          <w:p w14:paraId="579993D3">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tcPr>
          <w:p w14:paraId="5801CD93">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3" w:type="pct"/>
          </w:tcPr>
          <w:p w14:paraId="5D596C89">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9" w:type="pct"/>
          </w:tcPr>
          <w:p w14:paraId="2483CAFB">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w:t>
            </w:r>
          </w:p>
        </w:tc>
      </w:tr>
      <w:tr w14:paraId="2AB8B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1A342C10">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627" w:type="pct"/>
            <w:vAlign w:val="center"/>
          </w:tcPr>
          <w:p w14:paraId="7CA53CBA">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94</w:t>
            </w:r>
          </w:p>
        </w:tc>
        <w:tc>
          <w:tcPr>
            <w:tcW w:w="670" w:type="pct"/>
            <w:vAlign w:val="center"/>
          </w:tcPr>
          <w:p w14:paraId="1417A955">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w:t>
            </w:r>
          </w:p>
        </w:tc>
        <w:tc>
          <w:tcPr>
            <w:tcW w:w="555" w:type="pct"/>
            <w:vAlign w:val="center"/>
          </w:tcPr>
          <w:p w14:paraId="0847EED0">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vAlign w:val="center"/>
          </w:tcPr>
          <w:p w14:paraId="5A22979D">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vAlign w:val="center"/>
          </w:tcPr>
          <w:p w14:paraId="6526CEA2">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tcPr>
          <w:p w14:paraId="3EFBBFCC">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3" w:type="pct"/>
          </w:tcPr>
          <w:p w14:paraId="035A494C">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9" w:type="pct"/>
          </w:tcPr>
          <w:p w14:paraId="773B6908">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r>
      <w:tr w14:paraId="6B374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24A51C4F">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w:t>
            </w:r>
          </w:p>
        </w:tc>
        <w:tc>
          <w:tcPr>
            <w:tcW w:w="627" w:type="pct"/>
            <w:vAlign w:val="center"/>
          </w:tcPr>
          <w:p w14:paraId="50E4668E">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85</w:t>
            </w:r>
          </w:p>
        </w:tc>
        <w:tc>
          <w:tcPr>
            <w:tcW w:w="670" w:type="pct"/>
            <w:vAlign w:val="center"/>
          </w:tcPr>
          <w:p w14:paraId="60C8B088">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rPr>
            </w:pPr>
            <w:r>
              <w:rPr>
                <w:rFonts w:hint="eastAsia" w:ascii="仿宋" w:hAnsi="仿宋" w:eastAsia="仿宋" w:cs="仿宋"/>
                <w:sz w:val="18"/>
                <w:szCs w:val="18"/>
                <w:lang w:val="en-US" w:eastAsia="zh-CN"/>
              </w:rPr>
              <w:t>14</w:t>
            </w:r>
          </w:p>
        </w:tc>
        <w:tc>
          <w:tcPr>
            <w:tcW w:w="555" w:type="pct"/>
            <w:shd w:val="clear" w:color="auto" w:fill="auto"/>
            <w:vAlign w:val="center"/>
          </w:tcPr>
          <w:p w14:paraId="25674B50">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7E11E349">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7E8DA245">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top"/>
          </w:tcPr>
          <w:p w14:paraId="6AFF1C37">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3" w:type="pct"/>
            <w:shd w:val="clear" w:color="auto" w:fill="auto"/>
            <w:vAlign w:val="top"/>
          </w:tcPr>
          <w:p w14:paraId="4AB78E5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9" w:type="pct"/>
            <w:shd w:val="clear" w:color="auto" w:fill="auto"/>
            <w:vAlign w:val="top"/>
          </w:tcPr>
          <w:p w14:paraId="1642D69B">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r>
      <w:tr w14:paraId="3E5AD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6A035E85">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627" w:type="pct"/>
            <w:vAlign w:val="center"/>
          </w:tcPr>
          <w:p w14:paraId="232EA9E8">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99</w:t>
            </w:r>
          </w:p>
        </w:tc>
        <w:tc>
          <w:tcPr>
            <w:tcW w:w="670" w:type="pct"/>
            <w:shd w:val="clear" w:color="auto" w:fill="auto"/>
            <w:vAlign w:val="center"/>
          </w:tcPr>
          <w:p w14:paraId="18F95B9A">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1E84EFB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65BA47F6">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73C0DF6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top"/>
          </w:tcPr>
          <w:p w14:paraId="69C8A241">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3" w:type="pct"/>
            <w:shd w:val="clear" w:color="auto" w:fill="auto"/>
            <w:vAlign w:val="top"/>
          </w:tcPr>
          <w:p w14:paraId="20AFB231">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9" w:type="pct"/>
            <w:shd w:val="clear" w:color="auto" w:fill="auto"/>
            <w:vAlign w:val="top"/>
          </w:tcPr>
          <w:p w14:paraId="2C7A2CC8">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r>
      <w:tr w14:paraId="7F543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08E1957D">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w:t>
            </w:r>
          </w:p>
        </w:tc>
        <w:tc>
          <w:tcPr>
            <w:tcW w:w="627" w:type="pct"/>
            <w:vAlign w:val="center"/>
          </w:tcPr>
          <w:p w14:paraId="5BD1F5C9">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93</w:t>
            </w:r>
          </w:p>
        </w:tc>
        <w:tc>
          <w:tcPr>
            <w:tcW w:w="670" w:type="pct"/>
            <w:vAlign w:val="center"/>
          </w:tcPr>
          <w:p w14:paraId="1B1071BD">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w:t>
            </w:r>
          </w:p>
        </w:tc>
        <w:tc>
          <w:tcPr>
            <w:tcW w:w="555" w:type="pct"/>
            <w:shd w:val="clear" w:color="auto" w:fill="auto"/>
            <w:vAlign w:val="center"/>
          </w:tcPr>
          <w:p w14:paraId="04894A05">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078A6B6C">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1F80EB4A">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top"/>
          </w:tcPr>
          <w:p w14:paraId="1F3B0925">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3" w:type="pct"/>
          </w:tcPr>
          <w:p w14:paraId="75DEF782">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1-2</w:t>
            </w:r>
          </w:p>
        </w:tc>
        <w:tc>
          <w:tcPr>
            <w:tcW w:w="559" w:type="pct"/>
          </w:tcPr>
          <w:p w14:paraId="25D0F46A">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r>
      <w:tr w14:paraId="14905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322732F4">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627" w:type="pct"/>
            <w:vAlign w:val="center"/>
          </w:tcPr>
          <w:p w14:paraId="71131E57">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98</w:t>
            </w:r>
          </w:p>
        </w:tc>
        <w:tc>
          <w:tcPr>
            <w:tcW w:w="670" w:type="pct"/>
            <w:vAlign w:val="center"/>
          </w:tcPr>
          <w:p w14:paraId="27C60390">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7D3D7935">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777C26F1">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66B86D85">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tcPr>
          <w:p w14:paraId="35038771">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3" w:type="pct"/>
          </w:tcPr>
          <w:p w14:paraId="06A49CFA">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9" w:type="pct"/>
          </w:tcPr>
          <w:p w14:paraId="21DA53B4">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1-2</w:t>
            </w:r>
          </w:p>
        </w:tc>
      </w:tr>
      <w:tr w14:paraId="20D36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357A1505">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w:t>
            </w:r>
          </w:p>
        </w:tc>
        <w:tc>
          <w:tcPr>
            <w:tcW w:w="627" w:type="pct"/>
            <w:vAlign w:val="center"/>
          </w:tcPr>
          <w:p w14:paraId="76025848">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97</w:t>
            </w:r>
          </w:p>
        </w:tc>
        <w:tc>
          <w:tcPr>
            <w:tcW w:w="670" w:type="pct"/>
            <w:shd w:val="clear" w:color="auto" w:fill="auto"/>
            <w:vAlign w:val="center"/>
          </w:tcPr>
          <w:p w14:paraId="47E940F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262FCB9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vAlign w:val="center"/>
          </w:tcPr>
          <w:p w14:paraId="4D1F46D6">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1-2</w:t>
            </w:r>
          </w:p>
        </w:tc>
        <w:tc>
          <w:tcPr>
            <w:tcW w:w="555" w:type="pct"/>
            <w:shd w:val="clear" w:color="auto" w:fill="auto"/>
            <w:vAlign w:val="center"/>
          </w:tcPr>
          <w:p w14:paraId="3AD01DA5">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top"/>
          </w:tcPr>
          <w:p w14:paraId="03446E98">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3" w:type="pct"/>
            <w:shd w:val="clear" w:color="auto" w:fill="auto"/>
            <w:vAlign w:val="top"/>
          </w:tcPr>
          <w:p w14:paraId="2FB571CC">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9" w:type="pct"/>
          </w:tcPr>
          <w:p w14:paraId="1436202B">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r>
      <w:tr w14:paraId="01264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446B9B19">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w:t>
            </w:r>
          </w:p>
        </w:tc>
        <w:tc>
          <w:tcPr>
            <w:tcW w:w="627" w:type="pct"/>
            <w:vAlign w:val="center"/>
          </w:tcPr>
          <w:p w14:paraId="1769B4DC">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92</w:t>
            </w:r>
          </w:p>
        </w:tc>
        <w:tc>
          <w:tcPr>
            <w:tcW w:w="670" w:type="pct"/>
            <w:vAlign w:val="center"/>
          </w:tcPr>
          <w:p w14:paraId="09480E9D">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7-8</w:t>
            </w:r>
          </w:p>
        </w:tc>
        <w:tc>
          <w:tcPr>
            <w:tcW w:w="555" w:type="pct"/>
            <w:vAlign w:val="center"/>
          </w:tcPr>
          <w:p w14:paraId="1984CBDE">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vAlign w:val="center"/>
          </w:tcPr>
          <w:p w14:paraId="182C4328">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4901F672">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top"/>
          </w:tcPr>
          <w:p w14:paraId="018551EC">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3" w:type="pct"/>
            <w:shd w:val="clear" w:color="auto" w:fill="auto"/>
            <w:vAlign w:val="top"/>
          </w:tcPr>
          <w:p w14:paraId="6A52BEFD">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9" w:type="pct"/>
            <w:shd w:val="clear" w:color="auto" w:fill="auto"/>
            <w:vAlign w:val="top"/>
          </w:tcPr>
          <w:p w14:paraId="50D6E7D4">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r>
      <w:tr w14:paraId="72F34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466FA882">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w:t>
            </w:r>
          </w:p>
        </w:tc>
        <w:tc>
          <w:tcPr>
            <w:tcW w:w="627" w:type="pct"/>
            <w:vAlign w:val="center"/>
          </w:tcPr>
          <w:p w14:paraId="6DFC61E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98</w:t>
            </w:r>
          </w:p>
        </w:tc>
        <w:tc>
          <w:tcPr>
            <w:tcW w:w="670" w:type="pct"/>
            <w:vAlign w:val="center"/>
          </w:tcPr>
          <w:p w14:paraId="71F882CE">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1AE63018">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7823C34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44306334">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top"/>
          </w:tcPr>
          <w:p w14:paraId="56CC3BC4">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3" w:type="pct"/>
            <w:shd w:val="clear" w:color="auto" w:fill="auto"/>
            <w:vAlign w:val="top"/>
          </w:tcPr>
          <w:p w14:paraId="4EAA02B1">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9" w:type="pct"/>
          </w:tcPr>
          <w:p w14:paraId="2FEA7FE8">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1-2</w:t>
            </w:r>
          </w:p>
        </w:tc>
      </w:tr>
      <w:tr w14:paraId="4088F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 w:type="pct"/>
            <w:vAlign w:val="center"/>
          </w:tcPr>
          <w:p w14:paraId="0C360C0A">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627" w:type="pct"/>
            <w:vAlign w:val="center"/>
          </w:tcPr>
          <w:p w14:paraId="5B4668E4">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90</w:t>
            </w:r>
          </w:p>
        </w:tc>
        <w:tc>
          <w:tcPr>
            <w:tcW w:w="670" w:type="pct"/>
            <w:vAlign w:val="center"/>
          </w:tcPr>
          <w:p w14:paraId="4FB62D89">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555" w:type="pct"/>
            <w:shd w:val="clear" w:color="auto" w:fill="auto"/>
            <w:vAlign w:val="center"/>
          </w:tcPr>
          <w:p w14:paraId="04208B11">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01ED1B83">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center"/>
          </w:tcPr>
          <w:p w14:paraId="51EA1CB6">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5" w:type="pct"/>
            <w:shd w:val="clear" w:color="auto" w:fill="auto"/>
            <w:vAlign w:val="top"/>
          </w:tcPr>
          <w:p w14:paraId="0B82249C">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bidi="ar-SA"/>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c>
          <w:tcPr>
            <w:tcW w:w="553" w:type="pct"/>
          </w:tcPr>
          <w:p w14:paraId="0961644E">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2-3</w:t>
            </w:r>
          </w:p>
        </w:tc>
        <w:tc>
          <w:tcPr>
            <w:tcW w:w="559" w:type="pct"/>
          </w:tcPr>
          <w:p w14:paraId="7DF8A8C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w:t>
            </w:r>
            <w:r>
              <w:rPr>
                <w:rFonts w:hint="eastAsia" w:ascii="仿宋" w:hAnsi="仿宋" w:eastAsia="仿宋" w:cs="仿宋"/>
                <w:sz w:val="18"/>
                <w:szCs w:val="18"/>
                <w:lang w:val="en-US" w:eastAsia="zh-CN"/>
              </w:rPr>
              <w:t>1</w:t>
            </w:r>
          </w:p>
        </w:tc>
      </w:tr>
    </w:tbl>
    <w:p w14:paraId="35DFF607">
      <w:pPr>
        <w:pStyle w:val="12"/>
        <w:tabs>
          <w:tab w:val="center" w:pos="4201"/>
          <w:tab w:val="right" w:leader="dot" w:pos="9298"/>
        </w:tabs>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通过矿物成分的检测发现，鸡血玉的主要成分的石英(二氧化硅(Si02))，部分产品还有少量赤铁矿及其他微量元素，故鸡血玉化学成分：以二氧化硅(Si02)为主，含少量铁元素及微量镁、钙、钛、锰、铝等元素；矿物名称定为：主要矿物为石英、赤铁矿，可有少量玉髓、褐铁矿、绢云母、绿泥石、金红石、白钛石等矿物。</w:t>
      </w:r>
    </w:p>
    <w:p w14:paraId="6C0979F6">
      <w:pPr>
        <w:pStyle w:val="2"/>
        <w:spacing w:after="156"/>
        <w:ind w:firstLine="0" w:firstLineChars="0"/>
        <w:jc w:val="center"/>
        <w:rPr>
          <w:rFonts w:hint="eastAsia" w:ascii="仿宋" w:hAnsi="仿宋" w:eastAsia="仿宋" w:cs="仿宋"/>
          <w:sz w:val="28"/>
          <w:szCs w:val="28"/>
        </w:rPr>
      </w:pPr>
      <w:r>
        <w:rPr>
          <w:rFonts w:hint="eastAsia" w:ascii="仿宋" w:hAnsi="仿宋" w:eastAsia="仿宋" w:cs="仿宋"/>
          <w:sz w:val="28"/>
          <w:szCs w:val="28"/>
        </w:rPr>
        <w:t>表</w:t>
      </w:r>
      <w:r>
        <w:rPr>
          <w:rFonts w:hint="eastAsia" w:ascii="仿宋" w:hAnsi="仿宋" w:eastAsia="仿宋" w:cs="仿宋"/>
          <w:sz w:val="28"/>
          <w:szCs w:val="28"/>
          <w:lang w:val="en-US" w:eastAsia="zh-CN"/>
        </w:rPr>
        <w:t>2</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材料性质</w:t>
      </w:r>
      <w:r>
        <w:rPr>
          <w:rFonts w:hint="eastAsia" w:ascii="仿宋" w:hAnsi="仿宋" w:eastAsia="仿宋" w:cs="仿宋"/>
          <w:sz w:val="28"/>
          <w:szCs w:val="28"/>
        </w:rPr>
        <w:t>指标抽检情况汇总</w:t>
      </w:r>
    </w:p>
    <w:tbl>
      <w:tblPr>
        <w:tblStyle w:val="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0"/>
        <w:gridCol w:w="1053"/>
        <w:gridCol w:w="1055"/>
        <w:gridCol w:w="1055"/>
        <w:gridCol w:w="1145"/>
        <w:gridCol w:w="1055"/>
        <w:gridCol w:w="1408"/>
        <w:gridCol w:w="1064"/>
      </w:tblGrid>
      <w:tr w14:paraId="1A59A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4E5F9854">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rPr>
              <w:t>抽检样品</w:t>
            </w:r>
          </w:p>
        </w:tc>
        <w:tc>
          <w:tcPr>
            <w:tcW w:w="618" w:type="pct"/>
            <w:vAlign w:val="center"/>
          </w:tcPr>
          <w:p w14:paraId="591B219D">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常见颜色</w:t>
            </w:r>
          </w:p>
        </w:tc>
        <w:tc>
          <w:tcPr>
            <w:tcW w:w="619" w:type="pct"/>
            <w:vAlign w:val="center"/>
          </w:tcPr>
          <w:p w14:paraId="434B2CCD">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光泽</w:t>
            </w:r>
          </w:p>
        </w:tc>
        <w:tc>
          <w:tcPr>
            <w:tcW w:w="619" w:type="pct"/>
            <w:vAlign w:val="center"/>
          </w:tcPr>
          <w:p w14:paraId="03D8EA78">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摩氏硬度</w:t>
            </w:r>
          </w:p>
        </w:tc>
        <w:tc>
          <w:tcPr>
            <w:tcW w:w="672" w:type="pct"/>
            <w:vAlign w:val="center"/>
          </w:tcPr>
          <w:p w14:paraId="6B6A55D7">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密度（</w:t>
            </w:r>
            <w:r>
              <w:rPr>
                <w:rFonts w:hint="eastAsia" w:ascii="仿宋" w:hAnsi="仿宋" w:eastAsia="仿宋" w:cs="仿宋"/>
                <w:sz w:val="18"/>
                <w:szCs w:val="18"/>
                <w:lang w:val="en-US" w:eastAsia="zh-CN"/>
              </w:rPr>
              <w:t>g/cm</w:t>
            </w:r>
            <w:r>
              <w:rPr>
                <w:rFonts w:hint="eastAsia" w:ascii="仿宋" w:hAnsi="仿宋" w:eastAsia="仿宋" w:cs="仿宋"/>
                <w:sz w:val="18"/>
                <w:szCs w:val="18"/>
                <w:vertAlign w:val="superscript"/>
                <w:lang w:val="en-US" w:eastAsia="zh-CN"/>
              </w:rPr>
              <w:t>3</w:t>
            </w:r>
            <w:r>
              <w:rPr>
                <w:rFonts w:hint="eastAsia" w:ascii="仿宋" w:hAnsi="仿宋" w:eastAsia="仿宋" w:cs="仿宋"/>
                <w:sz w:val="18"/>
                <w:szCs w:val="18"/>
                <w:lang w:eastAsia="zh-CN"/>
              </w:rPr>
              <w:t>）</w:t>
            </w:r>
          </w:p>
        </w:tc>
        <w:tc>
          <w:tcPr>
            <w:tcW w:w="619" w:type="pct"/>
            <w:vAlign w:val="center"/>
          </w:tcPr>
          <w:p w14:paraId="058A4A2B">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光性特征</w:t>
            </w:r>
          </w:p>
        </w:tc>
        <w:tc>
          <w:tcPr>
            <w:tcW w:w="826" w:type="pct"/>
            <w:vAlign w:val="center"/>
          </w:tcPr>
          <w:p w14:paraId="00D658D9">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折射率（点测）</w:t>
            </w:r>
          </w:p>
        </w:tc>
        <w:tc>
          <w:tcPr>
            <w:tcW w:w="624" w:type="pct"/>
            <w:vAlign w:val="center"/>
          </w:tcPr>
          <w:p w14:paraId="0684D6B7">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荧光观察</w:t>
            </w:r>
          </w:p>
        </w:tc>
      </w:tr>
      <w:tr w14:paraId="290F7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517CB2F3">
            <w:pPr>
              <w:pStyle w:val="2"/>
              <w:keepNext w:val="0"/>
              <w:keepLines w:val="0"/>
              <w:widowControl/>
              <w:numPr>
                <w:ilvl w:val="0"/>
                <w:numId w:val="9"/>
              </w:numPr>
              <w:suppressLineNumbers w:val="0"/>
              <w:spacing w:before="0" w:beforeAutospacing="0" w:after="0" w:afterAutospacing="0" w:line="240" w:lineRule="auto"/>
              <w:ind w:right="0" w:firstLineChars="0"/>
              <w:jc w:val="center"/>
              <w:rPr>
                <w:rFonts w:hint="eastAsia" w:ascii="仿宋" w:hAnsi="仿宋" w:eastAsia="仿宋" w:cs="仿宋"/>
                <w:sz w:val="18"/>
                <w:szCs w:val="18"/>
              </w:rPr>
            </w:pPr>
          </w:p>
        </w:tc>
        <w:tc>
          <w:tcPr>
            <w:tcW w:w="618" w:type="pct"/>
            <w:vAlign w:val="center"/>
          </w:tcPr>
          <w:p w14:paraId="2EADD6DC">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红色，黑色</w:t>
            </w:r>
          </w:p>
        </w:tc>
        <w:tc>
          <w:tcPr>
            <w:tcW w:w="619" w:type="pct"/>
            <w:vAlign w:val="center"/>
          </w:tcPr>
          <w:p w14:paraId="13AC91FE">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玻璃光泽</w:t>
            </w:r>
          </w:p>
        </w:tc>
        <w:tc>
          <w:tcPr>
            <w:tcW w:w="619" w:type="pct"/>
            <w:vAlign w:val="center"/>
          </w:tcPr>
          <w:p w14:paraId="709EFF39">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6.5-7.0</w:t>
            </w:r>
          </w:p>
        </w:tc>
        <w:tc>
          <w:tcPr>
            <w:tcW w:w="672" w:type="pct"/>
            <w:vAlign w:val="center"/>
          </w:tcPr>
          <w:p w14:paraId="00DD89D9">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2.95</w:t>
            </w:r>
          </w:p>
        </w:tc>
        <w:tc>
          <w:tcPr>
            <w:tcW w:w="619" w:type="pct"/>
          </w:tcPr>
          <w:p w14:paraId="6E2EEF34">
            <w:pPr>
              <w:pStyle w:val="2"/>
              <w:keepNext w:val="0"/>
              <w:keepLines w:val="0"/>
              <w:widowControl/>
              <w:suppressLineNumbers w:val="0"/>
              <w:spacing w:before="0" w:beforeAutospacing="0" w:after="0" w:afterAutospacing="0" w:line="240" w:lineRule="auto"/>
              <w:ind w:left="0" w:right="0" w:firstLine="0" w:firstLineChars="0"/>
              <w:jc w:val="both"/>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非均质集合体</w:t>
            </w:r>
          </w:p>
        </w:tc>
        <w:tc>
          <w:tcPr>
            <w:tcW w:w="826" w:type="pct"/>
          </w:tcPr>
          <w:p w14:paraId="1E47B691">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eastAsia="zh-CN"/>
              </w:rPr>
              <w:t>“血”</w:t>
            </w:r>
            <w:r>
              <w:rPr>
                <w:rFonts w:hint="eastAsia" w:ascii="仿宋" w:hAnsi="仿宋" w:eastAsia="仿宋" w:cs="仿宋"/>
                <w:sz w:val="18"/>
                <w:szCs w:val="18"/>
                <w:lang w:val="en-US" w:eastAsia="zh-CN"/>
              </w:rPr>
              <w:t>&gt;1.81</w:t>
            </w:r>
          </w:p>
          <w:p w14:paraId="06142EB6">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“地”1.53-1.54</w:t>
            </w:r>
          </w:p>
        </w:tc>
        <w:tc>
          <w:tcPr>
            <w:tcW w:w="624" w:type="pct"/>
          </w:tcPr>
          <w:p w14:paraId="67F5FDF3">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惰性</w:t>
            </w:r>
          </w:p>
        </w:tc>
      </w:tr>
      <w:tr w14:paraId="0059B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20B6B9EB">
            <w:pPr>
              <w:pStyle w:val="2"/>
              <w:keepNext w:val="0"/>
              <w:keepLines w:val="0"/>
              <w:widowControl/>
              <w:numPr>
                <w:ilvl w:val="0"/>
                <w:numId w:val="9"/>
              </w:numPr>
              <w:suppressLineNumbers w:val="0"/>
              <w:spacing w:before="0" w:beforeAutospacing="0" w:after="0" w:afterAutospacing="0" w:line="240" w:lineRule="auto"/>
              <w:ind w:right="0" w:firstLineChars="0"/>
              <w:jc w:val="center"/>
              <w:rPr>
                <w:rFonts w:hint="eastAsia" w:ascii="仿宋" w:hAnsi="仿宋" w:eastAsia="仿宋" w:cs="仿宋"/>
                <w:sz w:val="18"/>
                <w:szCs w:val="18"/>
              </w:rPr>
            </w:pPr>
          </w:p>
        </w:tc>
        <w:tc>
          <w:tcPr>
            <w:tcW w:w="618" w:type="pct"/>
            <w:vAlign w:val="center"/>
          </w:tcPr>
          <w:p w14:paraId="71B0BD23">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红色，黑色</w:t>
            </w:r>
          </w:p>
        </w:tc>
        <w:tc>
          <w:tcPr>
            <w:tcW w:w="619" w:type="pct"/>
            <w:vAlign w:val="center"/>
          </w:tcPr>
          <w:p w14:paraId="3E8B32F6">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玻璃光泽</w:t>
            </w:r>
          </w:p>
        </w:tc>
        <w:tc>
          <w:tcPr>
            <w:tcW w:w="619" w:type="pct"/>
            <w:vAlign w:val="center"/>
          </w:tcPr>
          <w:p w14:paraId="63B20FDF">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6.5-7.0</w:t>
            </w:r>
          </w:p>
        </w:tc>
        <w:tc>
          <w:tcPr>
            <w:tcW w:w="672" w:type="pct"/>
            <w:vAlign w:val="center"/>
          </w:tcPr>
          <w:p w14:paraId="379B7C20">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2.83</w:t>
            </w:r>
          </w:p>
        </w:tc>
        <w:tc>
          <w:tcPr>
            <w:tcW w:w="619" w:type="pct"/>
          </w:tcPr>
          <w:p w14:paraId="3C8A96C6">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非均质集合体</w:t>
            </w:r>
          </w:p>
        </w:tc>
        <w:tc>
          <w:tcPr>
            <w:tcW w:w="826" w:type="pct"/>
          </w:tcPr>
          <w:p w14:paraId="42B1EBDE">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eastAsia="zh-CN"/>
              </w:rPr>
              <w:t>“血”</w:t>
            </w:r>
            <w:r>
              <w:rPr>
                <w:rFonts w:hint="eastAsia" w:ascii="仿宋" w:hAnsi="仿宋" w:eastAsia="仿宋" w:cs="仿宋"/>
                <w:sz w:val="18"/>
                <w:szCs w:val="18"/>
                <w:lang w:val="en-US" w:eastAsia="zh-CN"/>
              </w:rPr>
              <w:t>&gt;1.81</w:t>
            </w:r>
          </w:p>
          <w:p w14:paraId="4CDBE592">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“地”1.53-1.54</w:t>
            </w:r>
          </w:p>
        </w:tc>
        <w:tc>
          <w:tcPr>
            <w:tcW w:w="624" w:type="pct"/>
          </w:tcPr>
          <w:p w14:paraId="5C2C32C7">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惰性</w:t>
            </w:r>
          </w:p>
        </w:tc>
      </w:tr>
      <w:tr w14:paraId="7FD97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0648C28F">
            <w:pPr>
              <w:pStyle w:val="2"/>
              <w:keepNext w:val="0"/>
              <w:keepLines w:val="0"/>
              <w:widowControl/>
              <w:numPr>
                <w:ilvl w:val="0"/>
                <w:numId w:val="9"/>
              </w:numPr>
              <w:suppressLineNumbers w:val="0"/>
              <w:spacing w:before="0" w:beforeAutospacing="0" w:after="0" w:afterAutospacing="0" w:line="240" w:lineRule="auto"/>
              <w:ind w:right="0" w:firstLineChars="0"/>
              <w:jc w:val="center"/>
              <w:rPr>
                <w:rFonts w:hint="eastAsia" w:ascii="仿宋" w:hAnsi="仿宋" w:eastAsia="仿宋" w:cs="仿宋"/>
                <w:sz w:val="18"/>
                <w:szCs w:val="18"/>
              </w:rPr>
            </w:pPr>
          </w:p>
        </w:tc>
        <w:tc>
          <w:tcPr>
            <w:tcW w:w="618" w:type="pct"/>
            <w:vAlign w:val="center"/>
          </w:tcPr>
          <w:p w14:paraId="2BF9E5FA">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红色，黑色</w:t>
            </w:r>
          </w:p>
        </w:tc>
        <w:tc>
          <w:tcPr>
            <w:tcW w:w="619" w:type="pct"/>
            <w:vAlign w:val="center"/>
          </w:tcPr>
          <w:p w14:paraId="0353EE36">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玻璃光泽</w:t>
            </w:r>
          </w:p>
        </w:tc>
        <w:tc>
          <w:tcPr>
            <w:tcW w:w="619" w:type="pct"/>
            <w:vAlign w:val="center"/>
          </w:tcPr>
          <w:p w14:paraId="11F1AC23">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6.5-7.0</w:t>
            </w:r>
          </w:p>
        </w:tc>
        <w:tc>
          <w:tcPr>
            <w:tcW w:w="672" w:type="pct"/>
            <w:vAlign w:val="center"/>
          </w:tcPr>
          <w:p w14:paraId="3BC99A03">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2.70</w:t>
            </w:r>
          </w:p>
        </w:tc>
        <w:tc>
          <w:tcPr>
            <w:tcW w:w="619" w:type="pct"/>
          </w:tcPr>
          <w:p w14:paraId="058B09C7">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非均质集合体</w:t>
            </w:r>
          </w:p>
        </w:tc>
        <w:tc>
          <w:tcPr>
            <w:tcW w:w="826" w:type="pct"/>
          </w:tcPr>
          <w:p w14:paraId="5449F342">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eastAsia="zh-CN"/>
              </w:rPr>
              <w:t>“血”</w:t>
            </w:r>
            <w:r>
              <w:rPr>
                <w:rFonts w:hint="eastAsia" w:ascii="仿宋" w:hAnsi="仿宋" w:eastAsia="仿宋" w:cs="仿宋"/>
                <w:sz w:val="18"/>
                <w:szCs w:val="18"/>
                <w:lang w:val="en-US" w:eastAsia="zh-CN"/>
              </w:rPr>
              <w:t>&gt;1.81</w:t>
            </w:r>
          </w:p>
          <w:p w14:paraId="338EFE86">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“地”1.53-1.54</w:t>
            </w:r>
          </w:p>
        </w:tc>
        <w:tc>
          <w:tcPr>
            <w:tcW w:w="624" w:type="pct"/>
          </w:tcPr>
          <w:p w14:paraId="0D37ECBE">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惰性</w:t>
            </w:r>
          </w:p>
        </w:tc>
      </w:tr>
      <w:tr w14:paraId="44F1FD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232C4391">
            <w:pPr>
              <w:pStyle w:val="2"/>
              <w:keepNext w:val="0"/>
              <w:keepLines w:val="0"/>
              <w:widowControl/>
              <w:numPr>
                <w:ilvl w:val="0"/>
                <w:numId w:val="9"/>
              </w:numPr>
              <w:suppressLineNumbers w:val="0"/>
              <w:spacing w:before="0" w:beforeAutospacing="0" w:after="0" w:afterAutospacing="0" w:line="240" w:lineRule="auto"/>
              <w:ind w:right="0" w:firstLineChars="0"/>
              <w:jc w:val="center"/>
              <w:rPr>
                <w:rFonts w:hint="eastAsia" w:ascii="仿宋" w:hAnsi="仿宋" w:eastAsia="仿宋" w:cs="仿宋"/>
                <w:sz w:val="18"/>
                <w:szCs w:val="18"/>
              </w:rPr>
            </w:pPr>
          </w:p>
        </w:tc>
        <w:tc>
          <w:tcPr>
            <w:tcW w:w="618" w:type="pct"/>
            <w:vAlign w:val="center"/>
          </w:tcPr>
          <w:p w14:paraId="2DD4FAFD">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红色，黑色</w:t>
            </w:r>
          </w:p>
        </w:tc>
        <w:tc>
          <w:tcPr>
            <w:tcW w:w="619" w:type="pct"/>
            <w:vAlign w:val="center"/>
          </w:tcPr>
          <w:p w14:paraId="2A45ECB8">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玻璃光泽</w:t>
            </w:r>
          </w:p>
        </w:tc>
        <w:tc>
          <w:tcPr>
            <w:tcW w:w="619" w:type="pct"/>
            <w:vAlign w:val="center"/>
          </w:tcPr>
          <w:p w14:paraId="7233ADF2">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6.5-7.0</w:t>
            </w:r>
          </w:p>
        </w:tc>
        <w:tc>
          <w:tcPr>
            <w:tcW w:w="672" w:type="pct"/>
            <w:vAlign w:val="center"/>
          </w:tcPr>
          <w:p w14:paraId="32904DFA">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2.70</w:t>
            </w:r>
          </w:p>
        </w:tc>
        <w:tc>
          <w:tcPr>
            <w:tcW w:w="619" w:type="pct"/>
          </w:tcPr>
          <w:p w14:paraId="597776C9">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非均质集合体</w:t>
            </w:r>
          </w:p>
        </w:tc>
        <w:tc>
          <w:tcPr>
            <w:tcW w:w="826" w:type="pct"/>
          </w:tcPr>
          <w:p w14:paraId="59608022">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eastAsia="zh-CN"/>
              </w:rPr>
              <w:t>“血”</w:t>
            </w:r>
            <w:r>
              <w:rPr>
                <w:rFonts w:hint="eastAsia" w:ascii="仿宋" w:hAnsi="仿宋" w:eastAsia="仿宋" w:cs="仿宋"/>
                <w:sz w:val="18"/>
                <w:szCs w:val="18"/>
                <w:lang w:val="en-US" w:eastAsia="zh-CN"/>
              </w:rPr>
              <w:t>&gt;1.81</w:t>
            </w:r>
          </w:p>
          <w:p w14:paraId="7A4A53CA">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“地”1.53-1.54</w:t>
            </w:r>
          </w:p>
        </w:tc>
        <w:tc>
          <w:tcPr>
            <w:tcW w:w="624" w:type="pct"/>
          </w:tcPr>
          <w:p w14:paraId="2DBF6D05">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惰性</w:t>
            </w:r>
          </w:p>
        </w:tc>
      </w:tr>
      <w:tr w14:paraId="62B71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77257533">
            <w:pPr>
              <w:pStyle w:val="2"/>
              <w:keepNext w:val="0"/>
              <w:keepLines w:val="0"/>
              <w:widowControl/>
              <w:numPr>
                <w:ilvl w:val="0"/>
                <w:numId w:val="9"/>
              </w:numPr>
              <w:suppressLineNumbers w:val="0"/>
              <w:spacing w:before="0" w:beforeAutospacing="0" w:after="0" w:afterAutospacing="0" w:line="240" w:lineRule="auto"/>
              <w:ind w:right="0" w:firstLineChars="0"/>
              <w:jc w:val="center"/>
              <w:rPr>
                <w:rFonts w:hint="eastAsia" w:ascii="仿宋" w:hAnsi="仿宋" w:eastAsia="仿宋" w:cs="仿宋"/>
                <w:sz w:val="18"/>
                <w:szCs w:val="18"/>
              </w:rPr>
            </w:pPr>
          </w:p>
        </w:tc>
        <w:tc>
          <w:tcPr>
            <w:tcW w:w="618" w:type="pct"/>
            <w:vAlign w:val="center"/>
          </w:tcPr>
          <w:p w14:paraId="17BADEA8">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红色，黑色</w:t>
            </w:r>
          </w:p>
        </w:tc>
        <w:tc>
          <w:tcPr>
            <w:tcW w:w="619" w:type="pct"/>
            <w:vAlign w:val="center"/>
          </w:tcPr>
          <w:p w14:paraId="1DBC5D75">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玻璃光泽</w:t>
            </w:r>
          </w:p>
        </w:tc>
        <w:tc>
          <w:tcPr>
            <w:tcW w:w="619" w:type="pct"/>
            <w:vAlign w:val="center"/>
          </w:tcPr>
          <w:p w14:paraId="01AEEC63">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6.5-7.0</w:t>
            </w:r>
          </w:p>
        </w:tc>
        <w:tc>
          <w:tcPr>
            <w:tcW w:w="672" w:type="pct"/>
            <w:vAlign w:val="center"/>
          </w:tcPr>
          <w:p w14:paraId="3689A8B9">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2.73</w:t>
            </w:r>
          </w:p>
        </w:tc>
        <w:tc>
          <w:tcPr>
            <w:tcW w:w="619" w:type="pct"/>
          </w:tcPr>
          <w:p w14:paraId="14F0AC1F">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非均质集合体</w:t>
            </w:r>
          </w:p>
        </w:tc>
        <w:tc>
          <w:tcPr>
            <w:tcW w:w="826" w:type="pct"/>
          </w:tcPr>
          <w:p w14:paraId="79695B82">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eastAsia="zh-CN"/>
              </w:rPr>
              <w:t>“血”</w:t>
            </w:r>
            <w:r>
              <w:rPr>
                <w:rFonts w:hint="eastAsia" w:ascii="仿宋" w:hAnsi="仿宋" w:eastAsia="仿宋" w:cs="仿宋"/>
                <w:sz w:val="18"/>
                <w:szCs w:val="18"/>
                <w:lang w:val="en-US" w:eastAsia="zh-CN"/>
              </w:rPr>
              <w:t>&gt;1.81</w:t>
            </w:r>
          </w:p>
          <w:p w14:paraId="1C06BDF3">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“地”1.53-1.54</w:t>
            </w:r>
          </w:p>
        </w:tc>
        <w:tc>
          <w:tcPr>
            <w:tcW w:w="624" w:type="pct"/>
          </w:tcPr>
          <w:p w14:paraId="4E43A56D">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惰性</w:t>
            </w:r>
          </w:p>
        </w:tc>
      </w:tr>
      <w:tr w14:paraId="6EE03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13930BED">
            <w:pPr>
              <w:pStyle w:val="2"/>
              <w:keepNext w:val="0"/>
              <w:keepLines w:val="0"/>
              <w:widowControl/>
              <w:numPr>
                <w:ilvl w:val="0"/>
                <w:numId w:val="9"/>
              </w:numPr>
              <w:suppressLineNumbers w:val="0"/>
              <w:spacing w:before="0" w:beforeAutospacing="0" w:after="0" w:afterAutospacing="0" w:line="240" w:lineRule="auto"/>
              <w:ind w:right="0" w:firstLineChars="0"/>
              <w:jc w:val="center"/>
              <w:rPr>
                <w:rFonts w:hint="eastAsia" w:ascii="仿宋" w:hAnsi="仿宋" w:eastAsia="仿宋" w:cs="仿宋"/>
                <w:sz w:val="18"/>
                <w:szCs w:val="18"/>
              </w:rPr>
            </w:pPr>
          </w:p>
        </w:tc>
        <w:tc>
          <w:tcPr>
            <w:tcW w:w="618" w:type="pct"/>
            <w:vAlign w:val="center"/>
          </w:tcPr>
          <w:p w14:paraId="4242D552">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红色，黑色</w:t>
            </w:r>
          </w:p>
        </w:tc>
        <w:tc>
          <w:tcPr>
            <w:tcW w:w="619" w:type="pct"/>
            <w:vAlign w:val="center"/>
          </w:tcPr>
          <w:p w14:paraId="4C3957A6">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玻璃光泽</w:t>
            </w:r>
          </w:p>
        </w:tc>
        <w:tc>
          <w:tcPr>
            <w:tcW w:w="619" w:type="pct"/>
            <w:vAlign w:val="center"/>
          </w:tcPr>
          <w:p w14:paraId="4C21C8B1">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6.5-7.0</w:t>
            </w:r>
          </w:p>
        </w:tc>
        <w:tc>
          <w:tcPr>
            <w:tcW w:w="672" w:type="pct"/>
            <w:vAlign w:val="center"/>
          </w:tcPr>
          <w:p w14:paraId="6FFEFB3E">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2.80</w:t>
            </w:r>
          </w:p>
        </w:tc>
        <w:tc>
          <w:tcPr>
            <w:tcW w:w="619" w:type="pct"/>
          </w:tcPr>
          <w:p w14:paraId="57BBE2F5">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非均质集合体</w:t>
            </w:r>
          </w:p>
        </w:tc>
        <w:tc>
          <w:tcPr>
            <w:tcW w:w="826" w:type="pct"/>
          </w:tcPr>
          <w:p w14:paraId="229A5CB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eastAsia="zh-CN"/>
              </w:rPr>
              <w:t>“血”</w:t>
            </w:r>
            <w:r>
              <w:rPr>
                <w:rFonts w:hint="eastAsia" w:ascii="仿宋" w:hAnsi="仿宋" w:eastAsia="仿宋" w:cs="仿宋"/>
                <w:sz w:val="18"/>
                <w:szCs w:val="18"/>
                <w:lang w:val="en-US" w:eastAsia="zh-CN"/>
              </w:rPr>
              <w:t>&gt;1.81</w:t>
            </w:r>
          </w:p>
          <w:p w14:paraId="65B17978">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“地”1.53-1.54</w:t>
            </w:r>
          </w:p>
        </w:tc>
        <w:tc>
          <w:tcPr>
            <w:tcW w:w="624" w:type="pct"/>
          </w:tcPr>
          <w:p w14:paraId="3E4E450D">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惰性</w:t>
            </w:r>
          </w:p>
        </w:tc>
      </w:tr>
      <w:tr w14:paraId="5B33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5FE74BF6">
            <w:pPr>
              <w:pStyle w:val="2"/>
              <w:keepNext w:val="0"/>
              <w:keepLines w:val="0"/>
              <w:widowControl/>
              <w:numPr>
                <w:ilvl w:val="0"/>
                <w:numId w:val="9"/>
              </w:numPr>
              <w:suppressLineNumbers w:val="0"/>
              <w:spacing w:before="0" w:beforeAutospacing="0" w:after="0" w:afterAutospacing="0" w:line="240" w:lineRule="auto"/>
              <w:ind w:right="0" w:firstLineChars="0"/>
              <w:jc w:val="center"/>
              <w:rPr>
                <w:rFonts w:hint="eastAsia" w:ascii="仿宋" w:hAnsi="仿宋" w:eastAsia="仿宋" w:cs="仿宋"/>
                <w:sz w:val="18"/>
                <w:szCs w:val="18"/>
              </w:rPr>
            </w:pPr>
          </w:p>
        </w:tc>
        <w:tc>
          <w:tcPr>
            <w:tcW w:w="618" w:type="pct"/>
            <w:vAlign w:val="center"/>
          </w:tcPr>
          <w:p w14:paraId="641B6EC9">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白色，绿色</w:t>
            </w:r>
          </w:p>
        </w:tc>
        <w:tc>
          <w:tcPr>
            <w:tcW w:w="619" w:type="pct"/>
            <w:vAlign w:val="center"/>
          </w:tcPr>
          <w:p w14:paraId="6E0BFA42">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玻璃光泽，油脂光泽</w:t>
            </w:r>
          </w:p>
        </w:tc>
        <w:tc>
          <w:tcPr>
            <w:tcW w:w="619" w:type="pct"/>
            <w:vAlign w:val="center"/>
          </w:tcPr>
          <w:p w14:paraId="73EB60B3">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6.5-7.0</w:t>
            </w:r>
          </w:p>
        </w:tc>
        <w:tc>
          <w:tcPr>
            <w:tcW w:w="672" w:type="pct"/>
            <w:vAlign w:val="center"/>
          </w:tcPr>
          <w:p w14:paraId="776CCCA7">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2.70</w:t>
            </w:r>
          </w:p>
        </w:tc>
        <w:tc>
          <w:tcPr>
            <w:tcW w:w="619" w:type="pct"/>
          </w:tcPr>
          <w:p w14:paraId="584BA75E">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非均质集合体，隐晶质集合体</w:t>
            </w:r>
          </w:p>
        </w:tc>
        <w:tc>
          <w:tcPr>
            <w:tcW w:w="826" w:type="pct"/>
          </w:tcPr>
          <w:p w14:paraId="57B79252">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1.53-1.54</w:t>
            </w:r>
          </w:p>
        </w:tc>
        <w:tc>
          <w:tcPr>
            <w:tcW w:w="624" w:type="pct"/>
          </w:tcPr>
          <w:p w14:paraId="2A4EFA58">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惰性</w:t>
            </w:r>
          </w:p>
        </w:tc>
      </w:tr>
      <w:tr w14:paraId="4AF0A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3CA4DC0C">
            <w:pPr>
              <w:pStyle w:val="2"/>
              <w:keepNext w:val="0"/>
              <w:keepLines w:val="0"/>
              <w:widowControl/>
              <w:numPr>
                <w:ilvl w:val="0"/>
                <w:numId w:val="9"/>
              </w:numPr>
              <w:suppressLineNumbers w:val="0"/>
              <w:spacing w:before="0" w:beforeAutospacing="0" w:after="0" w:afterAutospacing="0" w:line="240" w:lineRule="auto"/>
              <w:ind w:right="0" w:firstLineChars="0"/>
              <w:jc w:val="center"/>
              <w:rPr>
                <w:rFonts w:hint="eastAsia" w:ascii="仿宋" w:hAnsi="仿宋" w:eastAsia="仿宋" w:cs="仿宋"/>
                <w:sz w:val="18"/>
                <w:szCs w:val="18"/>
              </w:rPr>
            </w:pPr>
          </w:p>
        </w:tc>
        <w:tc>
          <w:tcPr>
            <w:tcW w:w="618" w:type="pct"/>
            <w:vAlign w:val="center"/>
          </w:tcPr>
          <w:p w14:paraId="0818D60D">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白色，红色</w:t>
            </w:r>
          </w:p>
        </w:tc>
        <w:tc>
          <w:tcPr>
            <w:tcW w:w="619" w:type="pct"/>
            <w:vAlign w:val="center"/>
          </w:tcPr>
          <w:p w14:paraId="546EA201">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玻璃光泽，油脂光泽</w:t>
            </w:r>
          </w:p>
        </w:tc>
        <w:tc>
          <w:tcPr>
            <w:tcW w:w="619" w:type="pct"/>
            <w:vAlign w:val="center"/>
          </w:tcPr>
          <w:p w14:paraId="2875CA05">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6.5-7.0</w:t>
            </w:r>
          </w:p>
        </w:tc>
        <w:tc>
          <w:tcPr>
            <w:tcW w:w="672" w:type="pct"/>
            <w:vAlign w:val="center"/>
          </w:tcPr>
          <w:p w14:paraId="25225892">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rPr>
            </w:pPr>
            <w:r>
              <w:rPr>
                <w:rFonts w:hint="eastAsia" w:ascii="仿宋" w:hAnsi="仿宋" w:eastAsia="仿宋" w:cs="仿宋"/>
                <w:sz w:val="18"/>
                <w:szCs w:val="18"/>
                <w:lang w:val="en-US" w:eastAsia="zh-CN"/>
              </w:rPr>
              <w:t>2.69</w:t>
            </w:r>
          </w:p>
        </w:tc>
        <w:tc>
          <w:tcPr>
            <w:tcW w:w="619" w:type="pct"/>
          </w:tcPr>
          <w:p w14:paraId="7FAE8A39">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非均质集合体，隐晶质集合体</w:t>
            </w:r>
          </w:p>
        </w:tc>
        <w:tc>
          <w:tcPr>
            <w:tcW w:w="826" w:type="pct"/>
          </w:tcPr>
          <w:p w14:paraId="73DD0E1E">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1.53-1.54</w:t>
            </w:r>
          </w:p>
        </w:tc>
        <w:tc>
          <w:tcPr>
            <w:tcW w:w="624" w:type="pct"/>
          </w:tcPr>
          <w:p w14:paraId="20450A03">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惰性</w:t>
            </w:r>
          </w:p>
        </w:tc>
      </w:tr>
      <w:tr w14:paraId="26BDB3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0F173915">
            <w:pPr>
              <w:pStyle w:val="2"/>
              <w:keepNext w:val="0"/>
              <w:keepLines w:val="0"/>
              <w:widowControl/>
              <w:numPr>
                <w:ilvl w:val="0"/>
                <w:numId w:val="9"/>
              </w:numPr>
              <w:suppressLineNumbers w:val="0"/>
              <w:spacing w:before="0" w:beforeAutospacing="0" w:after="0" w:afterAutospacing="0" w:line="240" w:lineRule="auto"/>
              <w:ind w:right="0" w:firstLineChars="0"/>
              <w:jc w:val="center"/>
              <w:rPr>
                <w:rFonts w:hint="eastAsia" w:ascii="仿宋" w:hAnsi="仿宋" w:eastAsia="仿宋" w:cs="仿宋"/>
                <w:sz w:val="18"/>
                <w:szCs w:val="18"/>
              </w:rPr>
            </w:pPr>
          </w:p>
        </w:tc>
        <w:tc>
          <w:tcPr>
            <w:tcW w:w="618" w:type="pct"/>
            <w:vAlign w:val="center"/>
          </w:tcPr>
          <w:p w14:paraId="7D9DA063">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白色，黄色</w:t>
            </w:r>
          </w:p>
        </w:tc>
        <w:tc>
          <w:tcPr>
            <w:tcW w:w="619" w:type="pct"/>
            <w:vAlign w:val="center"/>
          </w:tcPr>
          <w:p w14:paraId="6BE53BB6">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玻璃光泽，油脂光泽</w:t>
            </w:r>
          </w:p>
        </w:tc>
        <w:tc>
          <w:tcPr>
            <w:tcW w:w="619" w:type="pct"/>
            <w:vAlign w:val="center"/>
          </w:tcPr>
          <w:p w14:paraId="174ED164">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6.5-7.0</w:t>
            </w:r>
          </w:p>
        </w:tc>
        <w:tc>
          <w:tcPr>
            <w:tcW w:w="672" w:type="pct"/>
            <w:vAlign w:val="center"/>
          </w:tcPr>
          <w:p w14:paraId="5B04F6DC">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rPr>
            </w:pPr>
            <w:r>
              <w:rPr>
                <w:rFonts w:hint="eastAsia" w:ascii="仿宋" w:hAnsi="仿宋" w:eastAsia="仿宋" w:cs="仿宋"/>
                <w:sz w:val="18"/>
                <w:szCs w:val="18"/>
                <w:lang w:val="en-US" w:eastAsia="zh-CN"/>
              </w:rPr>
              <w:t>2.66</w:t>
            </w:r>
          </w:p>
        </w:tc>
        <w:tc>
          <w:tcPr>
            <w:tcW w:w="619" w:type="pct"/>
          </w:tcPr>
          <w:p w14:paraId="12CADCD2">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非均质集合体，隐晶质集合体</w:t>
            </w:r>
          </w:p>
        </w:tc>
        <w:tc>
          <w:tcPr>
            <w:tcW w:w="826" w:type="pct"/>
          </w:tcPr>
          <w:p w14:paraId="0BEDAFE3">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1.53-1.54</w:t>
            </w:r>
          </w:p>
        </w:tc>
        <w:tc>
          <w:tcPr>
            <w:tcW w:w="624" w:type="pct"/>
          </w:tcPr>
          <w:p w14:paraId="0A41ECCC">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惰性</w:t>
            </w:r>
          </w:p>
        </w:tc>
      </w:tr>
      <w:tr w14:paraId="4BED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9" w:type="pct"/>
            <w:vAlign w:val="center"/>
          </w:tcPr>
          <w:p w14:paraId="5AB9940F">
            <w:pPr>
              <w:pStyle w:val="2"/>
              <w:keepNext w:val="0"/>
              <w:keepLines w:val="0"/>
              <w:widowControl/>
              <w:numPr>
                <w:ilvl w:val="0"/>
                <w:numId w:val="9"/>
              </w:numPr>
              <w:suppressLineNumbers w:val="0"/>
              <w:spacing w:before="0" w:beforeAutospacing="0" w:after="0" w:afterAutospacing="0" w:line="240" w:lineRule="auto"/>
              <w:ind w:right="0" w:firstLineChars="0"/>
              <w:jc w:val="center"/>
              <w:rPr>
                <w:rFonts w:hint="eastAsia" w:ascii="仿宋" w:hAnsi="仿宋" w:eastAsia="仿宋" w:cs="仿宋"/>
                <w:sz w:val="18"/>
                <w:szCs w:val="18"/>
              </w:rPr>
            </w:pPr>
          </w:p>
        </w:tc>
        <w:tc>
          <w:tcPr>
            <w:tcW w:w="618" w:type="pct"/>
            <w:vAlign w:val="center"/>
          </w:tcPr>
          <w:p w14:paraId="4D395413">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白色，红色</w:t>
            </w:r>
          </w:p>
        </w:tc>
        <w:tc>
          <w:tcPr>
            <w:tcW w:w="619" w:type="pct"/>
            <w:vAlign w:val="center"/>
          </w:tcPr>
          <w:p w14:paraId="414A10DF">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玻璃光泽，油脂光泽</w:t>
            </w:r>
          </w:p>
        </w:tc>
        <w:tc>
          <w:tcPr>
            <w:tcW w:w="619" w:type="pct"/>
            <w:vAlign w:val="center"/>
          </w:tcPr>
          <w:p w14:paraId="62FFFB1E">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6.5-7.0</w:t>
            </w:r>
          </w:p>
        </w:tc>
        <w:tc>
          <w:tcPr>
            <w:tcW w:w="672" w:type="pct"/>
            <w:vAlign w:val="center"/>
          </w:tcPr>
          <w:p w14:paraId="78E66E37">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2.60</w:t>
            </w:r>
          </w:p>
        </w:tc>
        <w:tc>
          <w:tcPr>
            <w:tcW w:w="619" w:type="pct"/>
          </w:tcPr>
          <w:p w14:paraId="02469C17">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非均质集合体，隐晶质集合体</w:t>
            </w:r>
          </w:p>
        </w:tc>
        <w:tc>
          <w:tcPr>
            <w:tcW w:w="826" w:type="pct"/>
          </w:tcPr>
          <w:p w14:paraId="68FECFDA">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1.53-1.54</w:t>
            </w:r>
          </w:p>
        </w:tc>
        <w:tc>
          <w:tcPr>
            <w:tcW w:w="624" w:type="pct"/>
          </w:tcPr>
          <w:p w14:paraId="3F903174">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惰性</w:t>
            </w:r>
          </w:p>
        </w:tc>
      </w:tr>
    </w:tbl>
    <w:p w14:paraId="4C0BD130">
      <w:pPr>
        <w:pStyle w:val="2"/>
        <w:spacing w:after="156"/>
        <w:ind w:firstLine="0" w:firstLineChars="0"/>
        <w:jc w:val="center"/>
        <w:rPr>
          <w:rFonts w:ascii="仿宋" w:hAnsi="仿宋" w:eastAsia="仿宋" w:cs="Calibri"/>
          <w:sz w:val="28"/>
          <w:szCs w:val="28"/>
        </w:rPr>
      </w:pPr>
      <w:r>
        <w:rPr>
          <w:rFonts w:hint="eastAsia" w:ascii="仿宋" w:hAnsi="仿宋" w:eastAsia="仿宋" w:cs="Calibri"/>
          <w:sz w:val="28"/>
          <w:szCs w:val="28"/>
        </w:rPr>
        <w:t>表</w:t>
      </w:r>
      <w:r>
        <w:rPr>
          <w:rFonts w:hint="eastAsia" w:ascii="仿宋" w:hAnsi="仿宋" w:eastAsia="仿宋" w:cs="Calibri"/>
          <w:sz w:val="28"/>
          <w:szCs w:val="28"/>
          <w:lang w:val="en-US" w:eastAsia="zh-CN"/>
        </w:rPr>
        <w:t>3</w:t>
      </w:r>
      <w:r>
        <w:rPr>
          <w:rFonts w:hint="eastAsia" w:ascii="仿宋" w:hAnsi="仿宋" w:eastAsia="仿宋" w:cs="Calibri"/>
          <w:sz w:val="28"/>
          <w:szCs w:val="28"/>
        </w:rPr>
        <w:t xml:space="preserve"> </w:t>
      </w:r>
      <w:r>
        <w:rPr>
          <w:rFonts w:hint="eastAsia" w:ascii="仿宋" w:hAnsi="仿宋" w:eastAsia="仿宋" w:cs="Calibri"/>
          <w:sz w:val="28"/>
          <w:szCs w:val="28"/>
          <w:lang w:val="en-US" w:eastAsia="zh-CN"/>
        </w:rPr>
        <w:t>材料性质</w:t>
      </w:r>
      <w:r>
        <w:rPr>
          <w:rFonts w:hint="eastAsia" w:ascii="仿宋" w:hAnsi="仿宋" w:eastAsia="仿宋" w:cs="Calibri"/>
          <w:sz w:val="28"/>
          <w:szCs w:val="28"/>
        </w:rPr>
        <w:t>指标抽检情况汇总</w:t>
      </w:r>
    </w:p>
    <w:tbl>
      <w:tblPr>
        <w:tblStyle w:val="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3"/>
        <w:gridCol w:w="1630"/>
        <w:gridCol w:w="1217"/>
        <w:gridCol w:w="1217"/>
        <w:gridCol w:w="1217"/>
        <w:gridCol w:w="1217"/>
        <w:gridCol w:w="1218"/>
      </w:tblGrid>
      <w:tr w14:paraId="776E9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 w:type="pct"/>
            <w:vAlign w:val="center"/>
          </w:tcPr>
          <w:p w14:paraId="6D47AB00">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rPr>
              <w:t>抽检样品</w:t>
            </w:r>
          </w:p>
        </w:tc>
        <w:tc>
          <w:tcPr>
            <w:tcW w:w="956" w:type="pct"/>
            <w:vAlign w:val="center"/>
          </w:tcPr>
          <w:p w14:paraId="30BC3C67">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吸收光谱</w:t>
            </w:r>
          </w:p>
        </w:tc>
        <w:tc>
          <w:tcPr>
            <w:tcW w:w="714" w:type="pct"/>
            <w:vAlign w:val="center"/>
          </w:tcPr>
          <w:p w14:paraId="74B96EC5">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放大检查</w:t>
            </w:r>
          </w:p>
        </w:tc>
        <w:tc>
          <w:tcPr>
            <w:tcW w:w="714" w:type="pct"/>
            <w:vAlign w:val="center"/>
          </w:tcPr>
          <w:p w14:paraId="6C39E1C5">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透明度</w:t>
            </w:r>
          </w:p>
        </w:tc>
        <w:tc>
          <w:tcPr>
            <w:tcW w:w="714" w:type="pct"/>
            <w:vAlign w:val="center"/>
          </w:tcPr>
          <w:p w14:paraId="0632102C">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红外光谱</w:t>
            </w:r>
          </w:p>
        </w:tc>
        <w:tc>
          <w:tcPr>
            <w:tcW w:w="714" w:type="pct"/>
            <w:vAlign w:val="center"/>
          </w:tcPr>
          <w:p w14:paraId="346A3E2A">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特殊性质</w:t>
            </w:r>
          </w:p>
        </w:tc>
        <w:tc>
          <w:tcPr>
            <w:tcW w:w="714" w:type="pct"/>
            <w:vAlign w:val="center"/>
          </w:tcPr>
          <w:p w14:paraId="0B2254E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特殊光学效益</w:t>
            </w:r>
          </w:p>
        </w:tc>
      </w:tr>
      <w:tr w14:paraId="6E3C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 w:type="pct"/>
            <w:vAlign w:val="center"/>
          </w:tcPr>
          <w:p w14:paraId="4F314A8E">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w:t>
            </w:r>
          </w:p>
        </w:tc>
        <w:tc>
          <w:tcPr>
            <w:tcW w:w="956" w:type="pct"/>
            <w:vAlign w:val="center"/>
          </w:tcPr>
          <w:p w14:paraId="075B690F">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w:t>
            </w:r>
          </w:p>
        </w:tc>
        <w:tc>
          <w:tcPr>
            <w:tcW w:w="714" w:type="pct"/>
            <w:vAlign w:val="center"/>
          </w:tcPr>
          <w:p w14:paraId="732A7FE5">
            <w:pPr>
              <w:keepNext w:val="0"/>
              <w:keepLines w:val="0"/>
              <w:widowControl/>
              <w:suppressLineNumbers w:val="0"/>
              <w:spacing w:before="0" w:beforeAutospacing="0" w:after="0" w:afterAutospacing="0"/>
              <w:ind w:left="0" w:right="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粒状结构</w:t>
            </w:r>
          </w:p>
          <w:p w14:paraId="319911B1">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p>
        </w:tc>
        <w:tc>
          <w:tcPr>
            <w:tcW w:w="714" w:type="pct"/>
            <w:vAlign w:val="center"/>
          </w:tcPr>
          <w:p w14:paraId="5E9DE203">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不透明</w:t>
            </w:r>
          </w:p>
        </w:tc>
        <w:tc>
          <w:tcPr>
            <w:tcW w:w="714" w:type="pct"/>
            <w:vAlign w:val="center"/>
          </w:tcPr>
          <w:p w14:paraId="739DED90">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石英特征谱</w:t>
            </w:r>
          </w:p>
        </w:tc>
        <w:tc>
          <w:tcPr>
            <w:tcW w:w="714" w:type="pct"/>
            <w:vAlign w:val="center"/>
          </w:tcPr>
          <w:p w14:paraId="66C7E7C8">
            <w:pPr>
              <w:keepNext w:val="0"/>
              <w:keepLines w:val="0"/>
              <w:widowControl/>
              <w:suppressLineNumbers w:val="0"/>
              <w:spacing w:before="0" w:beforeAutospacing="0" w:after="0" w:afterAutospacing="0"/>
              <w:ind w:left="0" w:right="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赤铁矿条痕及断面表面通常呈红褐色</w:t>
            </w:r>
          </w:p>
        </w:tc>
        <w:tc>
          <w:tcPr>
            <w:tcW w:w="714" w:type="pct"/>
          </w:tcPr>
          <w:p w14:paraId="12E5B135">
            <w:pPr>
              <w:pStyle w:val="2"/>
              <w:keepNext w:val="0"/>
              <w:keepLines w:val="0"/>
              <w:widowControl/>
              <w:suppressLineNumbers w:val="0"/>
              <w:spacing w:before="0" w:beforeAutospacing="0" w:after="0" w:afterAutospacing="0" w:line="240" w:lineRule="auto"/>
              <w:ind w:left="0" w:right="0" w:firstLine="0" w:firstLineChars="0"/>
              <w:jc w:val="both"/>
              <w:rPr>
                <w:rFonts w:hint="eastAsia" w:ascii="仿宋" w:hAnsi="仿宋" w:eastAsia="仿宋" w:cs="仿宋"/>
                <w:sz w:val="18"/>
                <w:szCs w:val="18"/>
                <w:lang w:eastAsia="zh-CN"/>
              </w:rPr>
            </w:pPr>
            <w:r>
              <w:rPr>
                <w:rFonts w:hint="eastAsia" w:ascii="仿宋" w:hAnsi="仿宋" w:eastAsia="仿宋" w:cs="仿宋"/>
                <w:sz w:val="18"/>
                <w:szCs w:val="18"/>
                <w:lang w:eastAsia="zh-CN"/>
              </w:rPr>
              <w:t>可见砂金效应</w:t>
            </w:r>
          </w:p>
        </w:tc>
      </w:tr>
      <w:tr w14:paraId="6C3A3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 w:type="pct"/>
            <w:vAlign w:val="center"/>
          </w:tcPr>
          <w:p w14:paraId="213F18AD">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2</w:t>
            </w:r>
          </w:p>
        </w:tc>
        <w:tc>
          <w:tcPr>
            <w:tcW w:w="956" w:type="pct"/>
            <w:vAlign w:val="center"/>
          </w:tcPr>
          <w:p w14:paraId="0F4BFAFF">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c>
          <w:tcPr>
            <w:tcW w:w="714" w:type="pct"/>
            <w:vAlign w:val="center"/>
          </w:tcPr>
          <w:p w14:paraId="66B6D14D">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粒状结构</w:t>
            </w:r>
          </w:p>
        </w:tc>
        <w:tc>
          <w:tcPr>
            <w:tcW w:w="714" w:type="pct"/>
            <w:vAlign w:val="center"/>
          </w:tcPr>
          <w:p w14:paraId="53E84461">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不透明</w:t>
            </w:r>
          </w:p>
        </w:tc>
        <w:tc>
          <w:tcPr>
            <w:tcW w:w="714" w:type="pct"/>
            <w:vAlign w:val="center"/>
          </w:tcPr>
          <w:p w14:paraId="18F04D48">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石英特征谱</w:t>
            </w:r>
          </w:p>
        </w:tc>
        <w:tc>
          <w:tcPr>
            <w:tcW w:w="714" w:type="pct"/>
            <w:vAlign w:val="center"/>
          </w:tcPr>
          <w:p w14:paraId="56A23977">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赤铁矿条痕及断面表面通常呈红褐色</w:t>
            </w:r>
          </w:p>
        </w:tc>
        <w:tc>
          <w:tcPr>
            <w:tcW w:w="714" w:type="pct"/>
          </w:tcPr>
          <w:p w14:paraId="215CC069">
            <w:pPr>
              <w:pStyle w:val="2"/>
              <w:keepNext w:val="0"/>
              <w:keepLines w:val="0"/>
              <w:widowControl/>
              <w:suppressLineNumbers w:val="0"/>
              <w:spacing w:before="0" w:beforeAutospacing="0" w:after="0" w:afterAutospacing="0" w:line="240" w:lineRule="auto"/>
              <w:ind w:left="0" w:right="0" w:firstLine="0" w:firstLineChars="0"/>
              <w:jc w:val="both"/>
              <w:rPr>
                <w:rFonts w:hint="eastAsia" w:ascii="仿宋" w:hAnsi="仿宋" w:eastAsia="仿宋" w:cs="仿宋"/>
                <w:sz w:val="18"/>
                <w:szCs w:val="18"/>
              </w:rPr>
            </w:pPr>
            <w:r>
              <w:rPr>
                <w:rFonts w:hint="eastAsia" w:ascii="仿宋" w:hAnsi="仿宋" w:eastAsia="仿宋" w:cs="仿宋"/>
                <w:sz w:val="18"/>
                <w:szCs w:val="18"/>
                <w:lang w:eastAsia="zh-CN"/>
              </w:rPr>
              <w:t>可见砂金效应</w:t>
            </w:r>
          </w:p>
        </w:tc>
      </w:tr>
      <w:tr w14:paraId="0B341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 w:type="pct"/>
            <w:vAlign w:val="center"/>
          </w:tcPr>
          <w:p w14:paraId="019B960D">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3</w:t>
            </w:r>
          </w:p>
        </w:tc>
        <w:tc>
          <w:tcPr>
            <w:tcW w:w="956" w:type="pct"/>
            <w:vAlign w:val="center"/>
          </w:tcPr>
          <w:p w14:paraId="7B1E46F6">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c>
          <w:tcPr>
            <w:tcW w:w="714" w:type="pct"/>
            <w:vAlign w:val="center"/>
          </w:tcPr>
          <w:p w14:paraId="2570F947">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粒状结构</w:t>
            </w:r>
          </w:p>
        </w:tc>
        <w:tc>
          <w:tcPr>
            <w:tcW w:w="714" w:type="pct"/>
            <w:vAlign w:val="center"/>
          </w:tcPr>
          <w:p w14:paraId="1A314330">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不透明</w:t>
            </w:r>
          </w:p>
        </w:tc>
        <w:tc>
          <w:tcPr>
            <w:tcW w:w="714" w:type="pct"/>
            <w:vAlign w:val="center"/>
          </w:tcPr>
          <w:p w14:paraId="31A03C86">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石英特征谱</w:t>
            </w:r>
          </w:p>
        </w:tc>
        <w:tc>
          <w:tcPr>
            <w:tcW w:w="714" w:type="pct"/>
            <w:vAlign w:val="center"/>
          </w:tcPr>
          <w:p w14:paraId="5BDBEA03">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赤铁矿条痕及断面表面通常呈红褐色</w:t>
            </w:r>
          </w:p>
        </w:tc>
        <w:tc>
          <w:tcPr>
            <w:tcW w:w="714" w:type="pct"/>
          </w:tcPr>
          <w:p w14:paraId="297A9C5F">
            <w:pPr>
              <w:pStyle w:val="2"/>
              <w:keepNext w:val="0"/>
              <w:keepLines w:val="0"/>
              <w:widowControl/>
              <w:suppressLineNumbers w:val="0"/>
              <w:spacing w:before="0" w:beforeAutospacing="0" w:after="0" w:afterAutospacing="0" w:line="240" w:lineRule="auto"/>
              <w:ind w:left="0" w:right="0" w:firstLine="0" w:firstLineChars="0"/>
              <w:jc w:val="both"/>
              <w:rPr>
                <w:rFonts w:hint="eastAsia" w:ascii="仿宋" w:hAnsi="仿宋" w:eastAsia="仿宋" w:cs="仿宋"/>
                <w:sz w:val="18"/>
                <w:szCs w:val="18"/>
              </w:rPr>
            </w:pPr>
            <w:r>
              <w:rPr>
                <w:rFonts w:hint="eastAsia" w:ascii="仿宋" w:hAnsi="仿宋" w:eastAsia="仿宋" w:cs="仿宋"/>
                <w:sz w:val="18"/>
                <w:szCs w:val="18"/>
                <w:lang w:eastAsia="zh-CN"/>
              </w:rPr>
              <w:t>可见砂金效应</w:t>
            </w:r>
          </w:p>
        </w:tc>
      </w:tr>
      <w:tr w14:paraId="10AD3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 w:type="pct"/>
            <w:vAlign w:val="center"/>
          </w:tcPr>
          <w:p w14:paraId="76E600B9">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4</w:t>
            </w:r>
          </w:p>
        </w:tc>
        <w:tc>
          <w:tcPr>
            <w:tcW w:w="956" w:type="pct"/>
            <w:vAlign w:val="center"/>
          </w:tcPr>
          <w:p w14:paraId="4733DD83">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c>
          <w:tcPr>
            <w:tcW w:w="714" w:type="pct"/>
            <w:vAlign w:val="center"/>
          </w:tcPr>
          <w:p w14:paraId="28AC3F0A">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粒状结构</w:t>
            </w:r>
          </w:p>
        </w:tc>
        <w:tc>
          <w:tcPr>
            <w:tcW w:w="714" w:type="pct"/>
            <w:vAlign w:val="center"/>
          </w:tcPr>
          <w:p w14:paraId="007889F4">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不透明</w:t>
            </w:r>
          </w:p>
        </w:tc>
        <w:tc>
          <w:tcPr>
            <w:tcW w:w="714" w:type="pct"/>
            <w:vAlign w:val="center"/>
          </w:tcPr>
          <w:p w14:paraId="48F5D3BC">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石英特征谱</w:t>
            </w:r>
          </w:p>
        </w:tc>
        <w:tc>
          <w:tcPr>
            <w:tcW w:w="714" w:type="pct"/>
            <w:vAlign w:val="center"/>
          </w:tcPr>
          <w:p w14:paraId="03BECF22">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赤铁矿条痕及断面表面通常呈红褐色</w:t>
            </w:r>
          </w:p>
        </w:tc>
        <w:tc>
          <w:tcPr>
            <w:tcW w:w="714" w:type="pct"/>
          </w:tcPr>
          <w:p w14:paraId="61138FAC">
            <w:pPr>
              <w:keepNext w:val="0"/>
              <w:keepLines w:val="0"/>
              <w:widowControl/>
              <w:suppressLineNumbers w:val="0"/>
              <w:spacing w:before="0" w:beforeAutospacing="0" w:after="0" w:afterAutospacing="0" w:line="240" w:lineRule="auto"/>
              <w:ind w:left="0" w:right="0" w:firstLine="0" w:firstLineChars="0"/>
              <w:jc w:val="both"/>
              <w:rPr>
                <w:rFonts w:hint="eastAsia" w:ascii="仿宋" w:hAnsi="仿宋" w:eastAsia="仿宋" w:cs="仿宋"/>
                <w:sz w:val="18"/>
                <w:szCs w:val="18"/>
              </w:rPr>
            </w:pPr>
            <w:r>
              <w:rPr>
                <w:rFonts w:hint="eastAsia" w:ascii="仿宋" w:hAnsi="仿宋" w:eastAsia="仿宋" w:cs="仿宋"/>
                <w:sz w:val="18"/>
                <w:szCs w:val="18"/>
                <w:lang w:eastAsia="zh-CN"/>
              </w:rPr>
              <w:t>可见砂金效应</w:t>
            </w:r>
          </w:p>
        </w:tc>
      </w:tr>
      <w:tr w14:paraId="010FD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 w:type="pct"/>
            <w:vAlign w:val="center"/>
          </w:tcPr>
          <w:p w14:paraId="260E9C56">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5</w:t>
            </w:r>
          </w:p>
        </w:tc>
        <w:tc>
          <w:tcPr>
            <w:tcW w:w="956" w:type="pct"/>
            <w:vAlign w:val="center"/>
          </w:tcPr>
          <w:p w14:paraId="36B8EB45">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c>
          <w:tcPr>
            <w:tcW w:w="714" w:type="pct"/>
            <w:vAlign w:val="center"/>
          </w:tcPr>
          <w:p w14:paraId="4EE3C78D">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粒状结构</w:t>
            </w:r>
          </w:p>
        </w:tc>
        <w:tc>
          <w:tcPr>
            <w:tcW w:w="714" w:type="pct"/>
            <w:vAlign w:val="center"/>
          </w:tcPr>
          <w:p w14:paraId="2042AD00">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不透明</w:t>
            </w:r>
          </w:p>
        </w:tc>
        <w:tc>
          <w:tcPr>
            <w:tcW w:w="714" w:type="pct"/>
            <w:vAlign w:val="center"/>
          </w:tcPr>
          <w:p w14:paraId="54661FF9">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石英特征谱</w:t>
            </w:r>
          </w:p>
        </w:tc>
        <w:tc>
          <w:tcPr>
            <w:tcW w:w="714" w:type="pct"/>
            <w:vAlign w:val="center"/>
          </w:tcPr>
          <w:p w14:paraId="01FEAD78">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赤铁矿条痕及断面表面通常呈红褐色</w:t>
            </w:r>
          </w:p>
        </w:tc>
        <w:tc>
          <w:tcPr>
            <w:tcW w:w="714" w:type="pct"/>
          </w:tcPr>
          <w:p w14:paraId="0AFA4D12">
            <w:pPr>
              <w:keepNext w:val="0"/>
              <w:keepLines w:val="0"/>
              <w:widowControl/>
              <w:suppressLineNumbers w:val="0"/>
              <w:spacing w:before="0" w:beforeAutospacing="0" w:after="0" w:afterAutospacing="0" w:line="240" w:lineRule="auto"/>
              <w:ind w:left="0" w:right="0" w:firstLine="0" w:firstLineChars="0"/>
              <w:jc w:val="both"/>
              <w:rPr>
                <w:rFonts w:hint="eastAsia" w:ascii="仿宋" w:hAnsi="仿宋" w:eastAsia="仿宋" w:cs="仿宋"/>
                <w:sz w:val="18"/>
                <w:szCs w:val="18"/>
              </w:rPr>
            </w:pPr>
            <w:r>
              <w:rPr>
                <w:rFonts w:hint="eastAsia" w:ascii="仿宋" w:hAnsi="仿宋" w:eastAsia="仿宋" w:cs="仿宋"/>
                <w:sz w:val="18"/>
                <w:szCs w:val="18"/>
                <w:lang w:eastAsia="zh-CN"/>
              </w:rPr>
              <w:t>可见砂金效应</w:t>
            </w:r>
          </w:p>
        </w:tc>
      </w:tr>
      <w:tr w14:paraId="31131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 w:type="pct"/>
            <w:vAlign w:val="center"/>
          </w:tcPr>
          <w:p w14:paraId="58EA3533">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956" w:type="pct"/>
            <w:vAlign w:val="center"/>
          </w:tcPr>
          <w:p w14:paraId="47C24F9A">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c>
          <w:tcPr>
            <w:tcW w:w="714" w:type="pct"/>
            <w:vAlign w:val="center"/>
          </w:tcPr>
          <w:p w14:paraId="4313FAAC">
            <w:pPr>
              <w:keepNext w:val="0"/>
              <w:keepLines w:val="0"/>
              <w:widowControl/>
              <w:suppressLineNumbers w:val="0"/>
              <w:spacing w:before="0" w:beforeAutospacing="0" w:after="0" w:afterAutospacing="0"/>
              <w:ind w:left="0" w:right="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粒状结构，隐晶质结构</w:t>
            </w:r>
          </w:p>
        </w:tc>
        <w:tc>
          <w:tcPr>
            <w:tcW w:w="714" w:type="pct"/>
            <w:vAlign w:val="center"/>
          </w:tcPr>
          <w:p w14:paraId="2F2714C4">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eastAsia="zh-CN"/>
              </w:rPr>
            </w:pPr>
            <w:r>
              <w:rPr>
                <w:rFonts w:hint="eastAsia" w:ascii="仿宋" w:hAnsi="仿宋" w:eastAsia="仿宋" w:cs="仿宋"/>
                <w:sz w:val="18"/>
                <w:szCs w:val="18"/>
                <w:lang w:eastAsia="zh-CN"/>
              </w:rPr>
              <w:t>半透明</w:t>
            </w:r>
          </w:p>
        </w:tc>
        <w:tc>
          <w:tcPr>
            <w:tcW w:w="714" w:type="pct"/>
            <w:vAlign w:val="center"/>
          </w:tcPr>
          <w:p w14:paraId="4FCC0A82">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石英特征谱</w:t>
            </w:r>
          </w:p>
        </w:tc>
        <w:tc>
          <w:tcPr>
            <w:tcW w:w="714" w:type="pct"/>
            <w:vAlign w:val="center"/>
          </w:tcPr>
          <w:p w14:paraId="19DE8EC3">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赤铁矿条痕及断面表面通常呈红褐色</w:t>
            </w:r>
          </w:p>
        </w:tc>
        <w:tc>
          <w:tcPr>
            <w:tcW w:w="714" w:type="pct"/>
          </w:tcPr>
          <w:p w14:paraId="6FCA9465">
            <w:pPr>
              <w:keepNext w:val="0"/>
              <w:keepLines w:val="0"/>
              <w:widowControl/>
              <w:suppressLineNumbers w:val="0"/>
              <w:spacing w:before="0" w:beforeAutospacing="0" w:after="0" w:afterAutospacing="0" w:line="240" w:lineRule="auto"/>
              <w:ind w:left="0" w:right="0" w:firstLine="0" w:firstLineChars="0"/>
              <w:jc w:val="both"/>
              <w:rPr>
                <w:rFonts w:hint="eastAsia" w:ascii="仿宋" w:hAnsi="仿宋" w:eastAsia="仿宋" w:cs="仿宋"/>
                <w:sz w:val="18"/>
                <w:szCs w:val="18"/>
              </w:rPr>
            </w:pPr>
            <w:r>
              <w:rPr>
                <w:rFonts w:hint="eastAsia" w:ascii="仿宋" w:hAnsi="仿宋" w:eastAsia="仿宋" w:cs="仿宋"/>
                <w:sz w:val="18"/>
                <w:szCs w:val="18"/>
                <w:lang w:eastAsia="zh-CN"/>
              </w:rPr>
              <w:t>可见砂金效应</w:t>
            </w:r>
          </w:p>
        </w:tc>
      </w:tr>
      <w:tr w14:paraId="3820D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 w:type="pct"/>
            <w:vAlign w:val="center"/>
          </w:tcPr>
          <w:p w14:paraId="392A3F1E">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7</w:t>
            </w:r>
          </w:p>
        </w:tc>
        <w:tc>
          <w:tcPr>
            <w:tcW w:w="956" w:type="pct"/>
            <w:vAlign w:val="center"/>
          </w:tcPr>
          <w:p w14:paraId="5F6D606B">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c>
          <w:tcPr>
            <w:tcW w:w="714" w:type="pct"/>
            <w:vAlign w:val="center"/>
          </w:tcPr>
          <w:p w14:paraId="3F16CFB0">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状结构，隐晶质结构</w:t>
            </w:r>
          </w:p>
        </w:tc>
        <w:tc>
          <w:tcPr>
            <w:tcW w:w="714" w:type="pct"/>
            <w:vAlign w:val="center"/>
          </w:tcPr>
          <w:p w14:paraId="174750D4">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半透明</w:t>
            </w:r>
          </w:p>
        </w:tc>
        <w:tc>
          <w:tcPr>
            <w:tcW w:w="714" w:type="pct"/>
            <w:vAlign w:val="center"/>
          </w:tcPr>
          <w:p w14:paraId="41DD75B5">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石英特征谱</w:t>
            </w:r>
          </w:p>
        </w:tc>
        <w:tc>
          <w:tcPr>
            <w:tcW w:w="714" w:type="pct"/>
            <w:vAlign w:val="center"/>
          </w:tcPr>
          <w:p w14:paraId="3B88B406">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w:t>
            </w:r>
          </w:p>
        </w:tc>
        <w:tc>
          <w:tcPr>
            <w:tcW w:w="714" w:type="pct"/>
          </w:tcPr>
          <w:p w14:paraId="1F159D00">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r>
      <w:tr w14:paraId="1CEA7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 w:type="pct"/>
            <w:vAlign w:val="center"/>
          </w:tcPr>
          <w:p w14:paraId="5ECE1AF3">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8</w:t>
            </w:r>
          </w:p>
        </w:tc>
        <w:tc>
          <w:tcPr>
            <w:tcW w:w="956" w:type="pct"/>
            <w:vAlign w:val="center"/>
          </w:tcPr>
          <w:p w14:paraId="307B0A08">
            <w:pPr>
              <w:keepNext w:val="0"/>
              <w:keepLines w:val="0"/>
              <w:widowControl/>
              <w:suppressLineNumbers w:val="0"/>
              <w:spacing w:before="0" w:beforeAutospacing="0" w:after="0" w:afterAutospacing="0"/>
              <w:ind w:left="0" w:right="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黄绿区有弱的吸收</w:t>
            </w:r>
          </w:p>
          <w:p w14:paraId="0AF4FCED">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p>
        </w:tc>
        <w:tc>
          <w:tcPr>
            <w:tcW w:w="714" w:type="pct"/>
            <w:vAlign w:val="center"/>
          </w:tcPr>
          <w:p w14:paraId="32D196AF">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状结构，隐晶质结构</w:t>
            </w:r>
          </w:p>
        </w:tc>
        <w:tc>
          <w:tcPr>
            <w:tcW w:w="714" w:type="pct"/>
            <w:vAlign w:val="center"/>
          </w:tcPr>
          <w:p w14:paraId="674F42B1">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半透明</w:t>
            </w:r>
          </w:p>
        </w:tc>
        <w:tc>
          <w:tcPr>
            <w:tcW w:w="714" w:type="pct"/>
            <w:vAlign w:val="center"/>
          </w:tcPr>
          <w:p w14:paraId="67B51207">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石英特征谱</w:t>
            </w:r>
          </w:p>
        </w:tc>
        <w:tc>
          <w:tcPr>
            <w:tcW w:w="714" w:type="pct"/>
            <w:vAlign w:val="center"/>
          </w:tcPr>
          <w:p w14:paraId="7E44FD88">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c>
          <w:tcPr>
            <w:tcW w:w="714" w:type="pct"/>
          </w:tcPr>
          <w:p w14:paraId="5BB5A876">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r>
      <w:tr w14:paraId="4C424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 w:type="pct"/>
            <w:vAlign w:val="center"/>
          </w:tcPr>
          <w:p w14:paraId="77DC6D16">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9</w:t>
            </w:r>
          </w:p>
        </w:tc>
        <w:tc>
          <w:tcPr>
            <w:tcW w:w="956" w:type="pct"/>
            <w:vAlign w:val="center"/>
          </w:tcPr>
          <w:p w14:paraId="14CB63E2">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c>
          <w:tcPr>
            <w:tcW w:w="714" w:type="pct"/>
            <w:vAlign w:val="center"/>
          </w:tcPr>
          <w:p w14:paraId="248A6F4C">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状结构，隐晶质结构</w:t>
            </w:r>
          </w:p>
        </w:tc>
        <w:tc>
          <w:tcPr>
            <w:tcW w:w="714" w:type="pct"/>
            <w:vAlign w:val="center"/>
          </w:tcPr>
          <w:p w14:paraId="06E3E91C">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半透明</w:t>
            </w:r>
          </w:p>
        </w:tc>
        <w:tc>
          <w:tcPr>
            <w:tcW w:w="714" w:type="pct"/>
            <w:vAlign w:val="center"/>
          </w:tcPr>
          <w:p w14:paraId="76B4BE99">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石英特征谱</w:t>
            </w:r>
          </w:p>
        </w:tc>
        <w:tc>
          <w:tcPr>
            <w:tcW w:w="714" w:type="pct"/>
            <w:vAlign w:val="center"/>
          </w:tcPr>
          <w:p w14:paraId="3558DCCE">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c>
          <w:tcPr>
            <w:tcW w:w="714" w:type="pct"/>
          </w:tcPr>
          <w:p w14:paraId="7D7149ED">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r>
      <w:tr w14:paraId="1E7EA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1" w:type="pct"/>
            <w:vAlign w:val="center"/>
          </w:tcPr>
          <w:p w14:paraId="03FD71A6">
            <w:pPr>
              <w:pStyle w:val="2"/>
              <w:keepNext w:val="0"/>
              <w:keepLines w:val="0"/>
              <w:widowControl/>
              <w:numPr>
                <w:ilvl w:val="0"/>
                <w:numId w:val="0"/>
              </w:numPr>
              <w:suppressLineNumbers w:val="0"/>
              <w:spacing w:before="0" w:beforeAutospacing="0" w:after="0" w:afterAutospacing="0" w:line="240" w:lineRule="auto"/>
              <w:ind w:left="0" w:leftChars="0" w:right="0"/>
              <w:jc w:val="center"/>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10</w:t>
            </w:r>
          </w:p>
        </w:tc>
        <w:tc>
          <w:tcPr>
            <w:tcW w:w="956" w:type="pct"/>
            <w:vAlign w:val="center"/>
          </w:tcPr>
          <w:p w14:paraId="309F1401">
            <w:pPr>
              <w:keepNext w:val="0"/>
              <w:keepLines w:val="0"/>
              <w:widowControl/>
              <w:suppressLineNumbers w:val="0"/>
              <w:spacing w:before="0" w:beforeAutospacing="0" w:after="0" w:afterAutospacing="0"/>
              <w:ind w:left="0" w:right="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黄绿区有弱的吸收</w:t>
            </w:r>
          </w:p>
          <w:p w14:paraId="4BED4C7C">
            <w:pPr>
              <w:pStyle w:val="2"/>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p>
        </w:tc>
        <w:tc>
          <w:tcPr>
            <w:tcW w:w="714" w:type="pct"/>
            <w:vAlign w:val="center"/>
          </w:tcPr>
          <w:p w14:paraId="58F574D8">
            <w:pPr>
              <w:keepNext w:val="0"/>
              <w:keepLines w:val="0"/>
              <w:widowControl/>
              <w:suppressLineNumbers w:val="0"/>
              <w:spacing w:before="0" w:beforeAutospacing="0" w:after="0" w:afterAutospacing="0" w:line="240" w:lineRule="auto"/>
              <w:ind w:left="0" w:right="0" w:firstLine="0" w:firstLineChars="0"/>
              <w:jc w:val="left"/>
              <w:rPr>
                <w:rFonts w:hint="eastAsia" w:ascii="仿宋" w:hAnsi="仿宋" w:eastAsia="仿宋" w:cs="仿宋"/>
                <w:sz w:val="18"/>
                <w:szCs w:val="18"/>
              </w:rPr>
            </w:pPr>
            <w:r>
              <w:rPr>
                <w:rFonts w:hint="eastAsia" w:ascii="仿宋" w:hAnsi="仿宋" w:eastAsia="仿宋" w:cs="仿宋"/>
                <w:color w:val="000000"/>
                <w:kern w:val="0"/>
                <w:sz w:val="18"/>
                <w:szCs w:val="18"/>
                <w:lang w:val="en-US" w:eastAsia="zh-CN" w:bidi="ar"/>
              </w:rPr>
              <w:t>状结构，隐晶质结构</w:t>
            </w:r>
          </w:p>
        </w:tc>
        <w:tc>
          <w:tcPr>
            <w:tcW w:w="714" w:type="pct"/>
            <w:vAlign w:val="center"/>
          </w:tcPr>
          <w:p w14:paraId="2DA4F54D">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半透明</w:t>
            </w:r>
          </w:p>
        </w:tc>
        <w:tc>
          <w:tcPr>
            <w:tcW w:w="714" w:type="pct"/>
            <w:vAlign w:val="center"/>
          </w:tcPr>
          <w:p w14:paraId="684F07EF">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eastAsia="zh-CN"/>
              </w:rPr>
              <w:t>石英特征谱</w:t>
            </w:r>
          </w:p>
        </w:tc>
        <w:tc>
          <w:tcPr>
            <w:tcW w:w="714" w:type="pct"/>
            <w:vAlign w:val="center"/>
          </w:tcPr>
          <w:p w14:paraId="7AB7AED3">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c>
          <w:tcPr>
            <w:tcW w:w="714" w:type="pct"/>
          </w:tcPr>
          <w:p w14:paraId="2DF46605">
            <w:pPr>
              <w:keepNext w:val="0"/>
              <w:keepLines w:val="0"/>
              <w:widowControl/>
              <w:suppressLineNumbers w:val="0"/>
              <w:spacing w:before="0" w:beforeAutospacing="0" w:after="0" w:afterAutospacing="0" w:line="240" w:lineRule="auto"/>
              <w:ind w:left="0" w:right="0" w:firstLine="0" w:firstLineChars="0"/>
              <w:jc w:val="center"/>
              <w:rPr>
                <w:rFonts w:hint="eastAsia" w:ascii="仿宋" w:hAnsi="仿宋" w:eastAsia="仿宋" w:cs="仿宋"/>
                <w:sz w:val="18"/>
                <w:szCs w:val="18"/>
              </w:rPr>
            </w:pPr>
            <w:r>
              <w:rPr>
                <w:rFonts w:hint="eastAsia" w:ascii="仿宋" w:hAnsi="仿宋" w:eastAsia="仿宋" w:cs="仿宋"/>
                <w:sz w:val="18"/>
                <w:szCs w:val="18"/>
                <w:lang w:val="en-US" w:eastAsia="zh-CN"/>
              </w:rPr>
              <w:t>/</w:t>
            </w:r>
          </w:p>
        </w:tc>
      </w:tr>
    </w:tbl>
    <w:p w14:paraId="1B92E0D6">
      <w:pPr>
        <w:pStyle w:val="12"/>
        <w:tabs>
          <w:tab w:val="center" w:pos="4201"/>
          <w:tab w:val="right" w:leader="dot" w:pos="9298"/>
        </w:tabs>
        <w:rPr>
          <w:rFonts w:hint="eastAsia" w:ascii="仿宋_GB2312" w:hAnsi="宋体" w:eastAsia="仿宋_GB2312"/>
          <w:sz w:val="28"/>
          <w:szCs w:val="28"/>
          <w:highlight w:val="none"/>
          <w:lang w:val="en-US" w:eastAsia="zh-CN"/>
        </w:rPr>
      </w:pPr>
      <w:r>
        <w:rPr>
          <w:rFonts w:hint="eastAsia" w:ascii="仿宋_GB2312" w:hAnsi="宋体" w:eastAsia="仿宋_GB2312"/>
          <w:sz w:val="28"/>
          <w:szCs w:val="28"/>
          <w:highlight w:val="none"/>
          <w:lang w:val="en-US" w:eastAsia="zh-CN"/>
        </w:rPr>
        <w:t>通过检查数据分析统计并参照GB/T 16553-2017《珠宝玉石 鉴定》来确定《鸡血玉》的特征指标，检测数据得出鸡血玉的常见颜色有红色、黑色、绿色、白色、黄色等，参照GB/T 16553并根据鸡血玉的检测结果及桂林鸡血玉的特征将鸡血玉的常见颜色特征定义为：由“地”和“血”两个部分组成。“地”常呈黑色、黄色、白色、绿色等色；“血”呈鸡血红、鲜红、橙红、枣红、朱红等红色；抽检的样品基本是玻璃光泽或者玻璃光泽和油脂光泽，根据样品检测数据及鸡血玉特征将鸡血玉光泽特征定义为：油脂光泽，玻璃光泽，金属光泽；通过检测数据分析发现摩氏硬度检测结果均为6.5-7.0，密度的最小值为2.60g/cm³，最大值为2.95g/cm³，并参照GB/T 16553将摩氏硬度指标定为6.5-7.0，密度设为2.60g/cm³-2.95g/cm³；通过检测数据统计可见，将鸡血玉中含“血”产品的“血”的折光率设为大于1.81进行检测均能达到要求，故将“血”设为大于1.81既能突出鸡血玉的“血”特征，又能保障产品合格，而根据GB/T 16553及产品特性将“地”的折射率设为1.53～1.54(点测法)，通过检测产品均能达到要求，故而将“地”指标定为1.53～1.54(点测法)。《鸡血玉》中的荧光观察、吸收光谱、放大检查、透明度、红外光谱、特殊性质、特殊光学效应等特征指标均是参照GB/T 16553、产品特性以及调研确定的，并通过检测统计证明这些指标制定是合理的。</w:t>
      </w:r>
    </w:p>
    <w:p w14:paraId="7B7D6977">
      <w:pPr>
        <w:pStyle w:val="12"/>
        <w:tabs>
          <w:tab w:val="center" w:pos="4201"/>
          <w:tab w:val="right" w:leader="dot" w:pos="9298"/>
        </w:tabs>
        <w:rPr>
          <w:rFonts w:hint="eastAsia" w:ascii="仿宋_GB2312" w:hAnsi="宋体" w:eastAsia="仿宋_GB2312"/>
          <w:sz w:val="28"/>
          <w:szCs w:val="28"/>
          <w:highlight w:val="none"/>
          <w:lang w:eastAsia="zh-CN"/>
        </w:rPr>
      </w:pPr>
      <w:r>
        <w:rPr>
          <w:rFonts w:hint="eastAsia" w:ascii="仿宋_GB2312" w:hAnsi="宋体" w:eastAsia="仿宋_GB2312" w:cs="Times New Roman"/>
          <w:b/>
          <w:bCs/>
          <w:sz w:val="28"/>
          <w:szCs w:val="28"/>
          <w:highlight w:val="none"/>
          <w:lang w:val="en-US" w:eastAsia="zh-CN"/>
        </w:rPr>
        <w:t>（三）鉴定方法</w:t>
      </w:r>
      <w:r>
        <w:rPr>
          <w:rFonts w:hint="eastAsia" w:ascii="仿宋_GB2312" w:hAnsi="宋体" w:eastAsia="仿宋_GB2312"/>
          <w:sz w:val="28"/>
          <w:szCs w:val="28"/>
          <w:highlight w:val="none"/>
          <w:lang w:val="en-US" w:eastAsia="zh-CN"/>
        </w:rPr>
        <w:t>包括颜色、光泽、透明度、放大检查、折射率、密度、质量、光性特征、荧光观察、摩氏硬度、无损成分分析、红外光谱分析、紫外课件分光光谱分析、激光拉曼光谱分析等按GB/T 16553规定的方法进行，化学成分分析按GB/T 14506.1～GB/T 14506.30规定的方法进行；</w:t>
      </w:r>
      <w:r>
        <w:rPr>
          <w:rFonts w:hint="eastAsia" w:ascii="仿宋_GB2312" w:hAnsi="宋体" w:eastAsia="仿宋_GB2312"/>
          <w:b/>
          <w:bCs/>
          <w:sz w:val="28"/>
          <w:szCs w:val="28"/>
          <w:highlight w:val="none"/>
          <w:lang w:val="en-US" w:eastAsia="zh-CN"/>
        </w:rPr>
        <w:t>鉴定方法选择</w:t>
      </w:r>
      <w:r>
        <w:rPr>
          <w:rFonts w:hint="eastAsia" w:ascii="仿宋_GB2312" w:hAnsi="宋体" w:eastAsia="仿宋_GB2312"/>
          <w:sz w:val="28"/>
          <w:szCs w:val="28"/>
          <w:highlight w:val="none"/>
          <w:lang w:val="en-US" w:eastAsia="zh-CN"/>
        </w:rPr>
        <w:t>参照GB/T 16553确定；</w:t>
      </w:r>
      <w:r>
        <w:rPr>
          <w:rFonts w:hint="eastAsia" w:ascii="仿宋_GB2312" w:hAnsi="宋体" w:eastAsia="仿宋_GB2312"/>
          <w:b/>
          <w:bCs/>
          <w:sz w:val="28"/>
          <w:szCs w:val="28"/>
          <w:highlight w:val="none"/>
          <w:lang w:val="en-US" w:eastAsia="zh-CN"/>
        </w:rPr>
        <w:t>鉴定项目</w:t>
      </w:r>
      <w:r>
        <w:rPr>
          <w:rFonts w:hint="eastAsia" w:ascii="仿宋_GB2312" w:hAnsi="宋体" w:eastAsia="仿宋_GB2312"/>
          <w:sz w:val="28"/>
          <w:szCs w:val="28"/>
          <w:highlight w:val="none"/>
          <w:lang w:val="en-US" w:eastAsia="zh-CN"/>
        </w:rPr>
        <w:t>根据产品特性制定；</w:t>
      </w:r>
      <w:r>
        <w:rPr>
          <w:rFonts w:hint="eastAsia" w:ascii="仿宋_GB2312" w:hAnsi="宋体" w:eastAsia="仿宋_GB2312"/>
          <w:b/>
          <w:bCs/>
          <w:sz w:val="28"/>
          <w:szCs w:val="28"/>
          <w:highlight w:val="none"/>
          <w:lang w:val="en-US" w:eastAsia="zh-CN"/>
        </w:rPr>
        <w:t>定名规则</w:t>
      </w:r>
      <w:r>
        <w:rPr>
          <w:rFonts w:hint="eastAsia" w:ascii="仿宋_GB2312" w:hAnsi="宋体" w:eastAsia="仿宋_GB2312"/>
          <w:sz w:val="28"/>
          <w:szCs w:val="28"/>
          <w:highlight w:val="none"/>
          <w:lang w:val="en-US" w:eastAsia="zh-CN"/>
        </w:rPr>
        <w:t>根据GB/T 16552制定；</w:t>
      </w:r>
      <w:r>
        <w:rPr>
          <w:rFonts w:hint="eastAsia" w:ascii="仿宋_GB2312" w:hAnsi="宋体" w:eastAsia="仿宋_GB2312"/>
          <w:b/>
          <w:bCs/>
          <w:sz w:val="28"/>
          <w:szCs w:val="28"/>
          <w:highlight w:val="none"/>
          <w:lang w:val="en-US" w:eastAsia="zh-CN"/>
        </w:rPr>
        <w:t>分级要求</w:t>
      </w:r>
      <w:r>
        <w:rPr>
          <w:rFonts w:hint="eastAsia" w:ascii="仿宋_GB2312" w:hAnsi="宋体" w:eastAsia="仿宋_GB2312"/>
          <w:sz w:val="28"/>
          <w:szCs w:val="28"/>
          <w:highlight w:val="none"/>
          <w:lang w:val="en-US" w:eastAsia="zh-CN"/>
        </w:rPr>
        <w:t>根据产品特性制定（鸡血玉质地分级见表1，鸡血玉颜色分级见表2）。产品工艺要求、</w:t>
      </w:r>
      <w:r>
        <w:rPr>
          <w:rFonts w:hint="eastAsia" w:ascii="仿宋_GB2312" w:hAnsi="宋体" w:eastAsia="仿宋_GB2312"/>
          <w:b/>
          <w:bCs/>
          <w:sz w:val="28"/>
          <w:szCs w:val="28"/>
          <w:highlight w:val="none"/>
        </w:rPr>
        <w:t>标志、包装、运输</w:t>
      </w:r>
      <w:r>
        <w:rPr>
          <w:rFonts w:hint="eastAsia" w:ascii="仿宋_GB2312" w:hAnsi="宋体" w:eastAsia="仿宋_GB2312"/>
          <w:sz w:val="28"/>
          <w:szCs w:val="28"/>
          <w:highlight w:val="none"/>
        </w:rPr>
        <w:t>主要依据</w:t>
      </w:r>
      <w:r>
        <w:rPr>
          <w:rFonts w:hint="eastAsia" w:ascii="仿宋_GB2312" w:hAnsi="宋体" w:eastAsia="仿宋_GB2312"/>
          <w:sz w:val="28"/>
          <w:szCs w:val="28"/>
          <w:highlight w:val="none"/>
          <w:lang w:eastAsia="zh-CN"/>
        </w:rPr>
        <w:t>桂林市</w:t>
      </w:r>
      <w:r>
        <w:rPr>
          <w:rFonts w:hint="eastAsia" w:ascii="仿宋_GB2312" w:hAnsi="宋体" w:eastAsia="仿宋_GB2312"/>
          <w:sz w:val="28"/>
          <w:szCs w:val="28"/>
          <w:highlight w:val="none"/>
        </w:rPr>
        <w:t>多年来</w:t>
      </w:r>
      <w:r>
        <w:rPr>
          <w:rFonts w:hint="eastAsia" w:ascii="仿宋_GB2312" w:hAnsi="宋体" w:eastAsia="仿宋_GB2312"/>
          <w:sz w:val="28"/>
          <w:szCs w:val="28"/>
          <w:highlight w:val="none"/>
          <w:lang w:eastAsia="zh-CN"/>
        </w:rPr>
        <w:t>鸡血玉生产实际和销售需求</w:t>
      </w:r>
      <w:r>
        <w:rPr>
          <w:rFonts w:hint="eastAsia" w:ascii="仿宋_GB2312" w:hAnsi="宋体" w:eastAsia="仿宋_GB2312"/>
          <w:sz w:val="28"/>
          <w:szCs w:val="28"/>
          <w:highlight w:val="none"/>
        </w:rPr>
        <w:t>确定</w:t>
      </w:r>
      <w:r>
        <w:rPr>
          <w:rFonts w:hint="eastAsia" w:ascii="仿宋_GB2312" w:hAnsi="宋体" w:eastAsia="仿宋_GB2312"/>
          <w:sz w:val="28"/>
          <w:szCs w:val="28"/>
          <w:highlight w:val="none"/>
          <w:lang w:eastAsia="zh-CN"/>
        </w:rPr>
        <w:t>。</w:t>
      </w:r>
    </w:p>
    <w:p w14:paraId="6D3BB90E">
      <w:pPr>
        <w:pStyle w:val="19"/>
        <w:numPr>
          <w:ilvl w:val="0"/>
          <w:numId w:val="10"/>
        </w:numPr>
        <w:tabs>
          <w:tab w:val="left" w:pos="360"/>
        </w:tabs>
        <w:rPr>
          <w:rFonts w:hint="eastAsia"/>
        </w:rPr>
      </w:pPr>
      <w:r>
        <w:rPr>
          <w:rFonts w:hint="eastAsia"/>
          <w:lang w:eastAsia="zh-CN"/>
        </w:rPr>
        <w:t>鸡血玉质地分级表</w:t>
      </w:r>
    </w:p>
    <w:tbl>
      <w:tblPr>
        <w:tblStyle w:val="7"/>
        <w:tblW w:w="8728"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2516"/>
        <w:gridCol w:w="6212"/>
      </w:tblGrid>
      <w:tr w14:paraId="047F16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0" w:type="dxa"/>
            <w:bottom w:w="0" w:type="dxa"/>
            <w:right w:w="0" w:type="dxa"/>
          </w:tblCellMar>
        </w:tblPrEx>
        <w:trPr>
          <w:tblHeader/>
          <w:jc w:val="center"/>
        </w:trPr>
        <w:tc>
          <w:tcPr>
            <w:tcW w:w="2516" w:type="dxa"/>
            <w:tcBorders>
              <w:top w:val="single" w:color="auto" w:sz="8" w:space="0"/>
              <w:left w:val="single" w:color="auto" w:sz="8" w:space="0"/>
              <w:bottom w:val="single" w:color="auto" w:sz="8" w:space="0"/>
              <w:right w:val="single" w:color="auto" w:sz="4" w:space="0"/>
            </w:tcBorders>
            <w:shd w:val="clear" w:color="auto" w:fill="auto"/>
            <w:vAlign w:val="center"/>
          </w:tcPr>
          <w:p w14:paraId="0C687380">
            <w:pPr>
              <w:pStyle w:val="25"/>
              <w:widowControl/>
              <w:rPr>
                <w:lang w:val="en-US"/>
              </w:rPr>
            </w:pPr>
            <w:r>
              <w:t>分  级</w:t>
            </w:r>
          </w:p>
        </w:tc>
        <w:tc>
          <w:tcPr>
            <w:tcW w:w="6212" w:type="dxa"/>
            <w:tcBorders>
              <w:top w:val="single" w:color="auto" w:sz="8" w:space="0"/>
              <w:left w:val="single" w:color="auto" w:sz="4" w:space="0"/>
              <w:bottom w:val="single" w:color="auto" w:sz="8" w:space="0"/>
              <w:right w:val="single" w:color="auto" w:sz="8" w:space="0"/>
            </w:tcBorders>
            <w:shd w:val="clear" w:color="auto" w:fill="auto"/>
            <w:vAlign w:val="center"/>
          </w:tcPr>
          <w:p w14:paraId="169C0E62">
            <w:pPr>
              <w:pStyle w:val="25"/>
              <w:widowControl/>
              <w:rPr>
                <w:lang w:val="en-US"/>
              </w:rPr>
            </w:pPr>
            <w:r>
              <w:t>质  地</w:t>
            </w:r>
          </w:p>
        </w:tc>
      </w:tr>
      <w:tr w14:paraId="1E5678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16" w:type="dxa"/>
            <w:tcBorders>
              <w:top w:val="single" w:color="auto" w:sz="8" w:space="0"/>
              <w:left w:val="single" w:color="auto" w:sz="8" w:space="0"/>
              <w:bottom w:val="single" w:color="auto" w:sz="4" w:space="0"/>
              <w:right w:val="single" w:color="auto" w:sz="4" w:space="0"/>
            </w:tcBorders>
            <w:shd w:val="clear" w:color="auto" w:fill="auto"/>
            <w:vAlign w:val="center"/>
          </w:tcPr>
          <w:p w14:paraId="741CC890">
            <w:pPr>
              <w:pStyle w:val="25"/>
              <w:widowControl/>
              <w:rPr>
                <w:lang w:val="en-US"/>
              </w:rPr>
            </w:pPr>
            <w:r>
              <w:t>特级</w:t>
            </w:r>
          </w:p>
        </w:tc>
        <w:tc>
          <w:tcPr>
            <w:tcW w:w="6212" w:type="dxa"/>
            <w:tcBorders>
              <w:top w:val="single" w:color="auto" w:sz="8" w:space="0"/>
              <w:left w:val="single" w:color="auto" w:sz="4" w:space="0"/>
              <w:bottom w:val="single" w:color="auto" w:sz="4" w:space="0"/>
              <w:right w:val="single" w:color="auto" w:sz="8" w:space="0"/>
            </w:tcBorders>
            <w:shd w:val="clear" w:color="auto" w:fill="auto"/>
            <w:vAlign w:val="center"/>
          </w:tcPr>
          <w:p w14:paraId="6F8ECB30">
            <w:pPr>
              <w:pStyle w:val="25"/>
              <w:widowControl/>
              <w:jc w:val="left"/>
              <w:rPr>
                <w:lang w:val="en-US"/>
              </w:rPr>
            </w:pPr>
            <w:r>
              <w:t>玉化程度高，密度大，“地”纯净，水头足，玻璃光泽，加工成品不需养护。</w:t>
            </w:r>
          </w:p>
        </w:tc>
      </w:tr>
      <w:tr w14:paraId="38D041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16" w:type="dxa"/>
            <w:tcBorders>
              <w:top w:val="single" w:color="auto" w:sz="4" w:space="0"/>
              <w:left w:val="single" w:color="auto" w:sz="8" w:space="0"/>
              <w:bottom w:val="single" w:color="auto" w:sz="4" w:space="0"/>
              <w:right w:val="single" w:color="auto" w:sz="4" w:space="0"/>
            </w:tcBorders>
            <w:shd w:val="clear" w:color="auto" w:fill="auto"/>
            <w:vAlign w:val="center"/>
          </w:tcPr>
          <w:p w14:paraId="648F242F">
            <w:pPr>
              <w:pStyle w:val="25"/>
              <w:widowControl/>
              <w:rPr>
                <w:lang w:val="en-US"/>
              </w:rPr>
            </w:pPr>
            <w:r>
              <w:t>一级</w:t>
            </w:r>
          </w:p>
        </w:tc>
        <w:tc>
          <w:tcPr>
            <w:tcW w:w="6212" w:type="dxa"/>
            <w:tcBorders>
              <w:top w:val="single" w:color="auto" w:sz="4" w:space="0"/>
              <w:left w:val="single" w:color="auto" w:sz="4" w:space="0"/>
              <w:bottom w:val="single" w:color="auto" w:sz="4" w:space="0"/>
              <w:right w:val="single" w:color="auto" w:sz="8" w:space="0"/>
            </w:tcBorders>
            <w:shd w:val="clear" w:color="auto" w:fill="auto"/>
            <w:vAlign w:val="center"/>
          </w:tcPr>
          <w:p w14:paraId="7643BF28">
            <w:pPr>
              <w:pStyle w:val="25"/>
              <w:widowControl/>
              <w:jc w:val="left"/>
              <w:rPr>
                <w:lang w:val="en-US"/>
              </w:rPr>
            </w:pPr>
            <w:r>
              <w:t>冻体明显，“地”相对纯净。</w:t>
            </w:r>
          </w:p>
        </w:tc>
      </w:tr>
      <w:tr w14:paraId="35A7AA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16" w:type="dxa"/>
            <w:tcBorders>
              <w:top w:val="single" w:color="auto" w:sz="4" w:space="0"/>
              <w:left w:val="single" w:color="auto" w:sz="8" w:space="0"/>
              <w:bottom w:val="single" w:color="auto" w:sz="4" w:space="0"/>
              <w:right w:val="single" w:color="auto" w:sz="4" w:space="0"/>
            </w:tcBorders>
            <w:shd w:val="clear" w:color="auto" w:fill="auto"/>
            <w:vAlign w:val="center"/>
          </w:tcPr>
          <w:p w14:paraId="265E5424">
            <w:pPr>
              <w:pStyle w:val="25"/>
              <w:widowControl/>
              <w:rPr>
                <w:lang w:val="en-US"/>
              </w:rPr>
            </w:pPr>
            <w:r>
              <w:t>二级</w:t>
            </w:r>
          </w:p>
        </w:tc>
        <w:tc>
          <w:tcPr>
            <w:tcW w:w="6212" w:type="dxa"/>
            <w:tcBorders>
              <w:top w:val="single" w:color="auto" w:sz="4" w:space="0"/>
              <w:left w:val="single" w:color="auto" w:sz="4" w:space="0"/>
              <w:bottom w:val="single" w:color="auto" w:sz="4" w:space="0"/>
              <w:right w:val="single" w:color="auto" w:sz="8" w:space="0"/>
            </w:tcBorders>
            <w:shd w:val="clear" w:color="auto" w:fill="auto"/>
            <w:vAlign w:val="center"/>
          </w:tcPr>
          <w:p w14:paraId="20E9BB3F">
            <w:pPr>
              <w:pStyle w:val="25"/>
              <w:widowControl/>
              <w:jc w:val="left"/>
              <w:rPr>
                <w:lang w:val="en-US"/>
              </w:rPr>
            </w:pPr>
            <w:r>
              <w:t>冻体不明显，“地”含有杂质，成品需养护。</w:t>
            </w:r>
          </w:p>
        </w:tc>
      </w:tr>
      <w:tr w14:paraId="13A5E1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516" w:type="dxa"/>
            <w:tcBorders>
              <w:top w:val="single" w:color="auto" w:sz="4" w:space="0"/>
              <w:left w:val="single" w:color="auto" w:sz="8" w:space="0"/>
              <w:bottom w:val="single" w:color="auto" w:sz="8" w:space="0"/>
              <w:right w:val="single" w:color="auto" w:sz="4" w:space="0"/>
            </w:tcBorders>
            <w:shd w:val="clear" w:color="auto" w:fill="auto"/>
            <w:vAlign w:val="center"/>
          </w:tcPr>
          <w:p w14:paraId="52D65F08">
            <w:pPr>
              <w:pStyle w:val="25"/>
              <w:widowControl/>
              <w:rPr>
                <w:lang w:val="en-US"/>
              </w:rPr>
            </w:pPr>
            <w:r>
              <w:t>三级</w:t>
            </w:r>
          </w:p>
        </w:tc>
        <w:tc>
          <w:tcPr>
            <w:tcW w:w="6212" w:type="dxa"/>
            <w:tcBorders>
              <w:top w:val="single" w:color="auto" w:sz="4" w:space="0"/>
              <w:left w:val="single" w:color="auto" w:sz="4" w:space="0"/>
              <w:bottom w:val="single" w:color="auto" w:sz="8" w:space="0"/>
              <w:right w:val="single" w:color="auto" w:sz="8" w:space="0"/>
            </w:tcBorders>
            <w:shd w:val="clear" w:color="auto" w:fill="auto"/>
            <w:vAlign w:val="center"/>
          </w:tcPr>
          <w:p w14:paraId="08899D22">
            <w:pPr>
              <w:pStyle w:val="25"/>
              <w:widowControl/>
              <w:jc w:val="left"/>
              <w:rPr>
                <w:lang w:val="en-US"/>
              </w:rPr>
            </w:pPr>
            <w:r>
              <w:t>碰撞音不清脆，可见锅巴、砂眼需经常养护。</w:t>
            </w:r>
          </w:p>
        </w:tc>
      </w:tr>
    </w:tbl>
    <w:p w14:paraId="3B7416D0">
      <w:pPr>
        <w:pStyle w:val="12"/>
        <w:tabs>
          <w:tab w:val="center" w:pos="4201"/>
          <w:tab w:val="right" w:leader="dot" w:pos="9298"/>
        </w:tabs>
        <w:ind w:left="0" w:leftChars="0" w:firstLine="0" w:firstLineChars="0"/>
        <w:rPr>
          <w:rFonts w:hint="eastAsia"/>
        </w:rPr>
      </w:pPr>
    </w:p>
    <w:p w14:paraId="6F2197D9">
      <w:pPr>
        <w:pStyle w:val="19"/>
        <w:numPr>
          <w:ilvl w:val="0"/>
          <w:numId w:val="10"/>
        </w:numPr>
        <w:tabs>
          <w:tab w:val="left" w:pos="360"/>
        </w:tabs>
        <w:rPr>
          <w:rFonts w:hint="eastAsia"/>
        </w:rPr>
      </w:pPr>
      <w:r>
        <w:rPr>
          <w:rFonts w:hint="eastAsia"/>
          <w:lang w:eastAsia="zh-CN"/>
        </w:rPr>
        <w:t>鸡血玉颜色分级表</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autofit"/>
        <w:tblCellMar>
          <w:top w:w="0" w:type="dxa"/>
          <w:left w:w="0" w:type="dxa"/>
          <w:bottom w:w="0" w:type="dxa"/>
          <w:right w:w="0" w:type="dxa"/>
        </w:tblCellMar>
      </w:tblPr>
      <w:tblGrid>
        <w:gridCol w:w="1515"/>
        <w:gridCol w:w="6811"/>
      </w:tblGrid>
      <w:tr w14:paraId="74923D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0" w:type="dxa"/>
            <w:bottom w:w="0" w:type="dxa"/>
            <w:right w:w="0" w:type="dxa"/>
          </w:tblCellMar>
        </w:tblPrEx>
        <w:trPr>
          <w:tblHeader/>
          <w:jc w:val="center"/>
        </w:trPr>
        <w:tc>
          <w:tcPr>
            <w:tcW w:w="1691" w:type="dxa"/>
            <w:tcBorders>
              <w:top w:val="single" w:color="auto" w:sz="8" w:space="0"/>
              <w:left w:val="single" w:color="auto" w:sz="8" w:space="0"/>
              <w:bottom w:val="single" w:color="auto" w:sz="8" w:space="0"/>
              <w:right w:val="single" w:color="auto" w:sz="4" w:space="0"/>
            </w:tcBorders>
            <w:shd w:val="clear" w:color="auto" w:fill="auto"/>
            <w:vAlign w:val="center"/>
          </w:tcPr>
          <w:p w14:paraId="75443B3D">
            <w:pPr>
              <w:pStyle w:val="5"/>
              <w:keepNext w:val="0"/>
              <w:keepLines w:val="0"/>
              <w:widowControl/>
              <w:suppressLineNumbers w:val="0"/>
              <w:autoSpaceDE w:val="0"/>
              <w:autoSpaceDN w:val="0"/>
              <w:adjustRightInd/>
              <w:spacing w:before="0" w:beforeAutospacing="0" w:after="0" w:afterAutospacing="0" w:line="240" w:lineRule="auto"/>
              <w:ind w:left="0" w:right="0"/>
              <w:jc w:val="center"/>
              <w:rPr>
                <w:rFonts w:hint="default"/>
                <w:lang w:val="en-US"/>
              </w:rPr>
            </w:pPr>
            <w:r>
              <w:rPr>
                <w:rFonts w:hint="eastAsia" w:ascii="宋体" w:hAnsi="Times New Roman" w:eastAsia="宋体" w:cs="Times New Roman"/>
                <w:kern w:val="0"/>
                <w:sz w:val="18"/>
                <w:szCs w:val="20"/>
                <w:lang w:val="en-US" w:eastAsia="zh-CN" w:bidi="ar"/>
              </w:rPr>
              <w:t>分  级</w:t>
            </w:r>
          </w:p>
        </w:tc>
        <w:tc>
          <w:tcPr>
            <w:tcW w:w="7643" w:type="dxa"/>
            <w:tcBorders>
              <w:top w:val="single" w:color="auto" w:sz="8" w:space="0"/>
              <w:left w:val="single" w:color="auto" w:sz="4" w:space="0"/>
              <w:bottom w:val="single" w:color="auto" w:sz="8" w:space="0"/>
              <w:right w:val="single" w:color="auto" w:sz="8" w:space="0"/>
            </w:tcBorders>
            <w:shd w:val="clear" w:color="auto" w:fill="auto"/>
            <w:vAlign w:val="center"/>
          </w:tcPr>
          <w:p w14:paraId="5B908B54">
            <w:pPr>
              <w:pStyle w:val="5"/>
              <w:keepNext w:val="0"/>
              <w:keepLines w:val="0"/>
              <w:widowControl/>
              <w:suppressLineNumbers w:val="0"/>
              <w:autoSpaceDE w:val="0"/>
              <w:autoSpaceDN w:val="0"/>
              <w:adjustRightInd/>
              <w:spacing w:before="0" w:beforeAutospacing="0" w:after="0" w:afterAutospacing="0" w:line="240" w:lineRule="auto"/>
              <w:ind w:left="0" w:right="0"/>
              <w:jc w:val="center"/>
              <w:rPr>
                <w:rFonts w:hint="default"/>
                <w:lang w:val="en-US"/>
              </w:rPr>
            </w:pPr>
            <w:r>
              <w:rPr>
                <w:rFonts w:hint="eastAsia" w:ascii="宋体" w:hAnsi="Times New Roman" w:eastAsia="宋体" w:cs="Times New Roman"/>
                <w:kern w:val="0"/>
                <w:sz w:val="18"/>
                <w:szCs w:val="20"/>
                <w:lang w:val="en-US" w:eastAsia="zh-CN" w:bidi="ar"/>
              </w:rPr>
              <w:t>颜  色</w:t>
            </w:r>
          </w:p>
        </w:tc>
      </w:tr>
      <w:tr w14:paraId="4F6E8DB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left w:val="single" w:color="auto" w:sz="8" w:space="0"/>
              <w:bottom w:val="single" w:color="auto" w:sz="4" w:space="0"/>
              <w:right w:val="single" w:color="auto" w:sz="4" w:space="0"/>
            </w:tcBorders>
            <w:shd w:val="clear" w:color="auto" w:fill="auto"/>
            <w:vAlign w:val="center"/>
          </w:tcPr>
          <w:p w14:paraId="56F8FD3B">
            <w:pPr>
              <w:pStyle w:val="5"/>
              <w:keepNext w:val="0"/>
              <w:keepLines w:val="0"/>
              <w:widowControl/>
              <w:suppressLineNumbers w:val="0"/>
              <w:autoSpaceDE w:val="0"/>
              <w:autoSpaceDN w:val="0"/>
              <w:adjustRightInd/>
              <w:spacing w:before="0" w:beforeAutospacing="0" w:after="0" w:afterAutospacing="0" w:line="240" w:lineRule="auto"/>
              <w:ind w:left="0" w:right="0"/>
              <w:jc w:val="center"/>
              <w:rPr>
                <w:rFonts w:hint="default"/>
                <w:lang w:val="en-US"/>
              </w:rPr>
            </w:pPr>
            <w:r>
              <w:rPr>
                <w:rFonts w:hint="eastAsia" w:ascii="宋体" w:hAnsi="Times New Roman" w:eastAsia="宋体" w:cs="Times New Roman"/>
                <w:kern w:val="0"/>
                <w:sz w:val="18"/>
                <w:szCs w:val="20"/>
                <w:lang w:val="en-US" w:eastAsia="zh-CN" w:bidi="ar"/>
              </w:rPr>
              <w:t>特级</w:t>
            </w:r>
          </w:p>
        </w:tc>
        <w:tc>
          <w:tcPr>
            <w:tcW w:w="7643" w:type="dxa"/>
            <w:tcBorders>
              <w:top w:val="single" w:color="auto" w:sz="8" w:space="0"/>
              <w:left w:val="single" w:color="auto" w:sz="4" w:space="0"/>
              <w:bottom w:val="single" w:color="auto" w:sz="4" w:space="0"/>
              <w:right w:val="single" w:color="auto" w:sz="8" w:space="0"/>
            </w:tcBorders>
            <w:shd w:val="clear" w:color="auto" w:fill="auto"/>
            <w:vAlign w:val="center"/>
          </w:tcPr>
          <w:p w14:paraId="39065661">
            <w:pPr>
              <w:pStyle w:val="5"/>
              <w:keepNext w:val="0"/>
              <w:keepLines w:val="0"/>
              <w:widowControl/>
              <w:suppressLineNumbers w:val="0"/>
              <w:autoSpaceDE w:val="0"/>
              <w:autoSpaceDN w:val="0"/>
              <w:adjustRightInd/>
              <w:spacing w:before="0" w:beforeAutospacing="0" w:after="0" w:afterAutospacing="0" w:line="240" w:lineRule="auto"/>
              <w:ind w:left="0" w:right="0"/>
              <w:jc w:val="left"/>
              <w:rPr>
                <w:rFonts w:hint="default"/>
                <w:lang w:val="en-US"/>
              </w:rPr>
            </w:pPr>
            <w:r>
              <w:rPr>
                <w:rFonts w:hint="eastAsia" w:ascii="宋体" w:hAnsi="Times New Roman" w:eastAsia="宋体" w:cs="Times New Roman"/>
                <w:kern w:val="0"/>
                <w:sz w:val="18"/>
                <w:szCs w:val="20"/>
                <w:lang w:val="en-US" w:eastAsia="zh-CN" w:bidi="ar"/>
              </w:rPr>
              <w:t>鲜红，鸡血红，“地”有黑或白、黄等，无杂色，色泽均匀，色差感强，表现出动感和立体感。</w:t>
            </w:r>
          </w:p>
        </w:tc>
      </w:tr>
      <w:tr w14:paraId="6465C8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4" w:space="0"/>
              <w:left w:val="single" w:color="auto" w:sz="8" w:space="0"/>
              <w:bottom w:val="single" w:color="auto" w:sz="4" w:space="0"/>
              <w:right w:val="single" w:color="auto" w:sz="4" w:space="0"/>
            </w:tcBorders>
            <w:shd w:val="clear" w:color="auto" w:fill="auto"/>
            <w:vAlign w:val="center"/>
          </w:tcPr>
          <w:p w14:paraId="2AB51805">
            <w:pPr>
              <w:pStyle w:val="5"/>
              <w:keepNext w:val="0"/>
              <w:keepLines w:val="0"/>
              <w:widowControl/>
              <w:suppressLineNumbers w:val="0"/>
              <w:autoSpaceDE w:val="0"/>
              <w:autoSpaceDN w:val="0"/>
              <w:adjustRightInd/>
              <w:spacing w:before="0" w:beforeAutospacing="0" w:after="0" w:afterAutospacing="0" w:line="240" w:lineRule="auto"/>
              <w:ind w:left="0" w:right="0"/>
              <w:jc w:val="center"/>
              <w:rPr>
                <w:rFonts w:hint="default"/>
                <w:lang w:val="en-US"/>
              </w:rPr>
            </w:pPr>
            <w:r>
              <w:rPr>
                <w:rFonts w:hint="eastAsia" w:ascii="宋体" w:hAnsi="Times New Roman" w:eastAsia="宋体" w:cs="Times New Roman"/>
                <w:kern w:val="0"/>
                <w:sz w:val="18"/>
                <w:szCs w:val="20"/>
                <w:lang w:val="en-US" w:eastAsia="zh-CN" w:bidi="ar"/>
              </w:rPr>
              <w:t>一级</w:t>
            </w:r>
          </w:p>
        </w:tc>
        <w:tc>
          <w:tcPr>
            <w:tcW w:w="7643" w:type="dxa"/>
            <w:tcBorders>
              <w:top w:val="single" w:color="auto" w:sz="4" w:space="0"/>
              <w:left w:val="single" w:color="auto" w:sz="4" w:space="0"/>
              <w:bottom w:val="single" w:color="auto" w:sz="4" w:space="0"/>
              <w:right w:val="single" w:color="auto" w:sz="8" w:space="0"/>
            </w:tcBorders>
            <w:shd w:val="clear" w:color="auto" w:fill="auto"/>
            <w:vAlign w:val="center"/>
          </w:tcPr>
          <w:p w14:paraId="159A0FCE">
            <w:pPr>
              <w:pStyle w:val="5"/>
              <w:keepNext w:val="0"/>
              <w:keepLines w:val="0"/>
              <w:widowControl/>
              <w:suppressLineNumbers w:val="0"/>
              <w:autoSpaceDE w:val="0"/>
              <w:autoSpaceDN w:val="0"/>
              <w:adjustRightInd/>
              <w:spacing w:before="0" w:beforeAutospacing="0" w:after="0" w:afterAutospacing="0" w:line="240" w:lineRule="auto"/>
              <w:ind w:left="0" w:right="0"/>
              <w:jc w:val="left"/>
              <w:rPr>
                <w:rFonts w:hint="default"/>
                <w:lang w:val="en-US"/>
              </w:rPr>
            </w:pPr>
            <w:r>
              <w:rPr>
                <w:rFonts w:hint="eastAsia" w:ascii="宋体" w:hAnsi="Times New Roman" w:eastAsia="宋体" w:cs="Times New Roman"/>
                <w:kern w:val="0"/>
                <w:sz w:val="18"/>
                <w:szCs w:val="20"/>
                <w:lang w:val="en-US" w:eastAsia="zh-CN" w:bidi="ar"/>
              </w:rPr>
              <w:t>橙红色，比国旗红稍淡，“地”有黑、白、黄，色泽均匀，无杂色。</w:t>
            </w:r>
          </w:p>
        </w:tc>
      </w:tr>
      <w:tr w14:paraId="0F162B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4" w:space="0"/>
              <w:left w:val="single" w:color="auto" w:sz="8" w:space="0"/>
              <w:bottom w:val="single" w:color="auto" w:sz="4" w:space="0"/>
              <w:right w:val="single" w:color="auto" w:sz="4" w:space="0"/>
            </w:tcBorders>
            <w:shd w:val="clear" w:color="auto" w:fill="auto"/>
            <w:vAlign w:val="center"/>
          </w:tcPr>
          <w:p w14:paraId="50A6854B">
            <w:pPr>
              <w:pStyle w:val="5"/>
              <w:keepNext w:val="0"/>
              <w:keepLines w:val="0"/>
              <w:widowControl/>
              <w:suppressLineNumbers w:val="0"/>
              <w:autoSpaceDE w:val="0"/>
              <w:autoSpaceDN w:val="0"/>
              <w:adjustRightInd/>
              <w:spacing w:before="0" w:beforeAutospacing="0" w:after="0" w:afterAutospacing="0" w:line="240" w:lineRule="auto"/>
              <w:ind w:left="0" w:right="0"/>
              <w:jc w:val="center"/>
              <w:rPr>
                <w:rFonts w:hint="default"/>
                <w:lang w:val="en-US"/>
              </w:rPr>
            </w:pPr>
            <w:r>
              <w:rPr>
                <w:rFonts w:hint="eastAsia" w:ascii="宋体" w:hAnsi="Times New Roman" w:eastAsia="宋体" w:cs="Times New Roman"/>
                <w:kern w:val="0"/>
                <w:sz w:val="18"/>
                <w:szCs w:val="20"/>
                <w:lang w:val="en-US" w:eastAsia="zh-CN" w:bidi="ar"/>
              </w:rPr>
              <w:t>二级</w:t>
            </w:r>
          </w:p>
        </w:tc>
        <w:tc>
          <w:tcPr>
            <w:tcW w:w="7643" w:type="dxa"/>
            <w:tcBorders>
              <w:top w:val="single" w:color="auto" w:sz="4" w:space="0"/>
              <w:left w:val="single" w:color="auto" w:sz="4" w:space="0"/>
              <w:bottom w:val="single" w:color="auto" w:sz="4" w:space="0"/>
              <w:right w:val="single" w:color="auto" w:sz="8" w:space="0"/>
            </w:tcBorders>
            <w:shd w:val="clear" w:color="auto" w:fill="auto"/>
            <w:vAlign w:val="center"/>
          </w:tcPr>
          <w:p w14:paraId="6BA2CEA8">
            <w:pPr>
              <w:pStyle w:val="5"/>
              <w:keepNext w:val="0"/>
              <w:keepLines w:val="0"/>
              <w:widowControl/>
              <w:suppressLineNumbers w:val="0"/>
              <w:autoSpaceDE w:val="0"/>
              <w:autoSpaceDN w:val="0"/>
              <w:adjustRightInd/>
              <w:spacing w:before="0" w:beforeAutospacing="0" w:after="0" w:afterAutospacing="0" w:line="240" w:lineRule="auto"/>
              <w:ind w:left="0" w:right="0"/>
              <w:jc w:val="left"/>
              <w:rPr>
                <w:rFonts w:hint="default"/>
                <w:lang w:val="en-US"/>
              </w:rPr>
            </w:pPr>
            <w:r>
              <w:rPr>
                <w:rFonts w:hint="eastAsia" w:ascii="宋体" w:hAnsi="Times New Roman" w:eastAsia="宋体" w:cs="Times New Roman"/>
                <w:kern w:val="0"/>
                <w:sz w:val="18"/>
                <w:szCs w:val="20"/>
                <w:lang w:val="en-US" w:eastAsia="zh-CN" w:bidi="ar"/>
              </w:rPr>
              <w:t>枣红色，红得均匀，“地”黑紫或夹白、夹紫，画面干净。</w:t>
            </w:r>
          </w:p>
        </w:tc>
      </w:tr>
      <w:tr w14:paraId="53F095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4" w:space="0"/>
              <w:left w:val="single" w:color="auto" w:sz="8" w:space="0"/>
              <w:bottom w:val="single" w:color="auto" w:sz="8" w:space="0"/>
              <w:right w:val="single" w:color="auto" w:sz="4" w:space="0"/>
            </w:tcBorders>
            <w:shd w:val="clear" w:color="auto" w:fill="auto"/>
            <w:vAlign w:val="center"/>
          </w:tcPr>
          <w:p w14:paraId="47EB7B41">
            <w:pPr>
              <w:pStyle w:val="5"/>
              <w:keepNext w:val="0"/>
              <w:keepLines w:val="0"/>
              <w:widowControl/>
              <w:suppressLineNumbers w:val="0"/>
              <w:autoSpaceDE w:val="0"/>
              <w:autoSpaceDN w:val="0"/>
              <w:adjustRightInd/>
              <w:spacing w:before="0" w:beforeAutospacing="0" w:after="0" w:afterAutospacing="0" w:line="240" w:lineRule="auto"/>
              <w:ind w:left="0" w:right="0"/>
              <w:jc w:val="center"/>
              <w:rPr>
                <w:rFonts w:hint="default"/>
                <w:lang w:val="en-US"/>
              </w:rPr>
            </w:pPr>
            <w:r>
              <w:rPr>
                <w:rFonts w:hint="eastAsia" w:ascii="宋体" w:hAnsi="Times New Roman" w:eastAsia="宋体" w:cs="Times New Roman"/>
                <w:kern w:val="0"/>
                <w:sz w:val="18"/>
                <w:szCs w:val="20"/>
                <w:lang w:val="en-US" w:eastAsia="zh-CN" w:bidi="ar"/>
              </w:rPr>
              <w:t>三级</w:t>
            </w:r>
          </w:p>
        </w:tc>
        <w:tc>
          <w:tcPr>
            <w:tcW w:w="7643" w:type="dxa"/>
            <w:tcBorders>
              <w:top w:val="single" w:color="auto" w:sz="4" w:space="0"/>
              <w:left w:val="single" w:color="auto" w:sz="4" w:space="0"/>
              <w:bottom w:val="single" w:color="auto" w:sz="8" w:space="0"/>
              <w:right w:val="single" w:color="auto" w:sz="8" w:space="0"/>
            </w:tcBorders>
            <w:shd w:val="clear" w:color="auto" w:fill="auto"/>
            <w:vAlign w:val="center"/>
          </w:tcPr>
          <w:p w14:paraId="3F4CD415">
            <w:pPr>
              <w:pStyle w:val="5"/>
              <w:keepNext w:val="0"/>
              <w:keepLines w:val="0"/>
              <w:widowControl/>
              <w:suppressLineNumbers w:val="0"/>
              <w:autoSpaceDE w:val="0"/>
              <w:autoSpaceDN w:val="0"/>
              <w:adjustRightInd/>
              <w:spacing w:before="0" w:beforeAutospacing="0" w:after="0" w:afterAutospacing="0" w:line="240" w:lineRule="auto"/>
              <w:ind w:left="0" w:right="0"/>
              <w:jc w:val="left"/>
              <w:rPr>
                <w:rFonts w:hint="default"/>
                <w:lang w:val="en-US"/>
              </w:rPr>
            </w:pPr>
            <w:r>
              <w:rPr>
                <w:rFonts w:hint="eastAsia" w:ascii="宋体" w:hAnsi="Times New Roman" w:eastAsia="宋体" w:cs="Times New Roman"/>
                <w:kern w:val="0"/>
                <w:sz w:val="18"/>
                <w:szCs w:val="20"/>
                <w:lang w:val="en-US" w:eastAsia="zh-CN" w:bidi="ar"/>
              </w:rPr>
              <w:t>朱暗红，“地”为紫红、灰白、绿色且杂，色差感不强。</w:t>
            </w:r>
          </w:p>
        </w:tc>
      </w:tr>
    </w:tbl>
    <w:p w14:paraId="565150EE">
      <w:pPr>
        <w:pStyle w:val="22"/>
        <w:keepNext w:val="0"/>
        <w:keepLines w:val="0"/>
        <w:pageBreakBefore w:val="0"/>
        <w:numPr>
          <w:ilvl w:val="0"/>
          <w:numId w:val="0"/>
        </w:numPr>
        <w:kinsoku/>
        <w:wordWrap/>
        <w:overflowPunct/>
        <w:topLinePunct w:val="0"/>
        <w:bidi w:val="0"/>
        <w:snapToGrid/>
        <w:spacing w:before="0" w:beforeLines="0" w:after="0" w:afterLines="0" w:line="240" w:lineRule="auto"/>
        <w:jc w:val="left"/>
        <w:textAlignment w:val="auto"/>
        <w:outlineLvl w:val="0"/>
        <w:rPr>
          <w:rFonts w:hint="eastAsia" w:ascii="黑体" w:hAnsi="黑体" w:eastAsia="黑体" w:cs="仿宋_GB2312"/>
          <w:sz w:val="32"/>
          <w:szCs w:val="32"/>
        </w:rPr>
      </w:pPr>
      <w:r>
        <w:rPr>
          <w:rFonts w:hint="eastAsia"/>
        </w:rPr>
        <w:t xml:space="preserve"> </w:t>
      </w:r>
      <w:r>
        <w:rPr>
          <w:rFonts w:hint="eastAsia" w:ascii="黑体" w:hAnsi="黑体" w:eastAsia="黑体" w:cs="仿宋_GB2312"/>
          <w:sz w:val="32"/>
          <w:szCs w:val="32"/>
        </w:rPr>
        <w:t>六、国内同类标准制修订情况及与法律法规、强制性标准关系</w:t>
      </w:r>
    </w:p>
    <w:p w14:paraId="618E03C3">
      <w:pPr>
        <w:keepNext w:val="0"/>
        <w:keepLines w:val="0"/>
        <w:pageBreakBefore w:val="0"/>
        <w:kinsoku/>
        <w:wordWrap/>
        <w:overflowPunct/>
        <w:topLinePunct w:val="0"/>
        <w:autoSpaceDE w:val="0"/>
        <w:autoSpaceDN w:val="0"/>
        <w:bidi w:val="0"/>
        <w:adjustRightInd w:val="0"/>
        <w:snapToGrid/>
        <w:spacing w:line="240" w:lineRule="auto"/>
        <w:ind w:firstLine="560" w:firstLineChars="200"/>
        <w:jc w:val="left"/>
        <w:textAlignment w:val="auto"/>
        <w:outlineLvl w:val="0"/>
        <w:rPr>
          <w:rFonts w:hint="eastAsia" w:ascii="仿宋_GB2312" w:hAnsi="宋体" w:eastAsia="仿宋_GB2312"/>
          <w:sz w:val="28"/>
          <w:szCs w:val="28"/>
          <w:highlight w:val="none"/>
        </w:rPr>
      </w:pPr>
      <w:bookmarkStart w:id="2" w:name="_Toc526940086"/>
      <w:r>
        <w:rPr>
          <w:rFonts w:hint="eastAsia" w:ascii="仿宋_GB2312" w:hAnsi="宋体" w:eastAsia="仿宋_GB2312"/>
          <w:sz w:val="28"/>
          <w:szCs w:val="28"/>
          <w:highlight w:val="none"/>
        </w:rPr>
        <w:t>经查阅，国内与</w:t>
      </w:r>
      <w:r>
        <w:rPr>
          <w:rFonts w:hint="eastAsia" w:ascii="仿宋_GB2312" w:eastAsia="仿宋_GB2312"/>
          <w:sz w:val="28"/>
          <w:szCs w:val="28"/>
          <w:highlight w:val="none"/>
          <w:lang w:eastAsia="zh-CN"/>
        </w:rPr>
        <w:t>鸡血玉</w:t>
      </w:r>
      <w:r>
        <w:rPr>
          <w:rFonts w:hint="eastAsia" w:ascii="仿宋_GB2312" w:hAnsi="宋体" w:eastAsia="仿宋_GB2312"/>
          <w:sz w:val="28"/>
          <w:szCs w:val="28"/>
          <w:highlight w:val="none"/>
        </w:rPr>
        <w:t>有关的标准有：经查阅，与</w:t>
      </w:r>
      <w:r>
        <w:rPr>
          <w:rFonts w:hint="eastAsia" w:ascii="仿宋_GB2312" w:eastAsia="仿宋_GB2312"/>
          <w:sz w:val="28"/>
          <w:szCs w:val="28"/>
          <w:highlight w:val="none"/>
          <w:lang w:eastAsia="zh-CN"/>
        </w:rPr>
        <w:t>鸡血玉</w:t>
      </w:r>
      <w:r>
        <w:rPr>
          <w:rFonts w:hint="eastAsia" w:ascii="仿宋_GB2312" w:hAnsi="宋体" w:eastAsia="仿宋_GB2312"/>
          <w:sz w:val="28"/>
          <w:szCs w:val="28"/>
          <w:highlight w:val="none"/>
        </w:rPr>
        <w:t>有关的国家及行业、地方标准有：</w:t>
      </w:r>
      <w:r>
        <w:rPr>
          <w:rFonts w:hint="eastAsia" w:ascii="仿宋_GB2312" w:hAnsi="宋体" w:eastAsia="仿宋_GB2312"/>
          <w:sz w:val="28"/>
          <w:szCs w:val="28"/>
          <w:highlight w:val="none"/>
          <w:lang w:val="en-US" w:eastAsia="zh-CN"/>
        </w:rPr>
        <w:t>GB/T 38821-2020《和田玉 鉴定与分类》</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 xml:space="preserve">GB/T 16552  </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珠宝玉石 名称</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GB/T 16553</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珠宝玉石 鉴定</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 xml:space="preserve">GB/T 17412.1 </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岩石分类和命名方案 火成岩岩石分类和命名方案</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 xml:space="preserve">GB/T 17412.2 </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岩石分类和命名方案 沉积岩岩石分类和命名方案</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GB/T 17412.3</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岩石分类和命名方案 变质岩岩石的分类和命名方案</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GB/T 34098</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石英质玉 分类与定名</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 xml:space="preserve">SY/T 5368 </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lang w:val="en-US" w:eastAsia="zh-CN"/>
        </w:rPr>
        <w:t>岩石薄片鉴定</w:t>
      </w:r>
      <w:r>
        <w:rPr>
          <w:rFonts w:hint="eastAsia" w:ascii="仿宋_GB2312" w:eastAsia="仿宋_GB2312"/>
          <w:sz w:val="28"/>
          <w:szCs w:val="28"/>
          <w:highlight w:val="none"/>
          <w:lang w:val="en-US" w:eastAsia="zh-CN"/>
        </w:rPr>
        <w:t>》</w:t>
      </w:r>
      <w:r>
        <w:rPr>
          <w:rFonts w:hint="eastAsia" w:ascii="仿宋_GB2312" w:hAnsi="宋体" w:eastAsia="仿宋_GB2312"/>
          <w:sz w:val="28"/>
          <w:szCs w:val="28"/>
          <w:highlight w:val="none"/>
        </w:rPr>
        <w:t>。</w:t>
      </w:r>
    </w:p>
    <w:p w14:paraId="40B2F6C5">
      <w:pPr>
        <w:keepNext w:val="0"/>
        <w:keepLines w:val="0"/>
        <w:pageBreakBefore w:val="0"/>
        <w:kinsoku/>
        <w:wordWrap/>
        <w:overflowPunct/>
        <w:topLinePunct w:val="0"/>
        <w:autoSpaceDE w:val="0"/>
        <w:autoSpaceDN w:val="0"/>
        <w:bidi w:val="0"/>
        <w:adjustRightInd w:val="0"/>
        <w:snapToGrid/>
        <w:spacing w:line="240" w:lineRule="auto"/>
        <w:jc w:val="left"/>
        <w:textAlignment w:val="auto"/>
        <w:outlineLvl w:val="0"/>
        <w:rPr>
          <w:rFonts w:hint="eastAsia" w:ascii="黑体" w:hAnsi="黑体" w:eastAsia="黑体" w:cs="仿宋_GB2312"/>
          <w:sz w:val="32"/>
          <w:szCs w:val="32"/>
        </w:rPr>
      </w:pPr>
      <w:r>
        <w:rPr>
          <w:rFonts w:hint="eastAsia" w:ascii="黑体" w:hAnsi="黑体" w:eastAsia="黑体" w:cs="仿宋_GB2312"/>
          <w:sz w:val="32"/>
          <w:szCs w:val="32"/>
        </w:rPr>
        <w:t>七、</w:t>
      </w:r>
      <w:bookmarkEnd w:id="2"/>
      <w:r>
        <w:rPr>
          <w:rFonts w:hint="eastAsia" w:ascii="黑体" w:hAnsi="黑体" w:eastAsia="黑体" w:cs="仿宋_GB2312"/>
          <w:sz w:val="32"/>
          <w:szCs w:val="32"/>
        </w:rPr>
        <w:t>重大分歧意见的处理经过和依据</w:t>
      </w:r>
    </w:p>
    <w:p w14:paraId="228F048B">
      <w:pPr>
        <w:keepNext w:val="0"/>
        <w:keepLines w:val="0"/>
        <w:pageBreakBefore w:val="0"/>
        <w:kinsoku/>
        <w:wordWrap/>
        <w:overflowPunct/>
        <w:topLinePunct w:val="0"/>
        <w:bidi w:val="0"/>
        <w:snapToGrid/>
        <w:spacing w:line="240" w:lineRule="auto"/>
        <w:ind w:firstLine="560" w:firstLineChars="200"/>
        <w:textAlignment w:val="auto"/>
        <w:rPr>
          <w:rFonts w:hint="eastAsia" w:ascii="仿宋_GB2312" w:hAnsi="宋体" w:eastAsia="仿宋_GB2312"/>
          <w:sz w:val="28"/>
          <w:szCs w:val="28"/>
        </w:rPr>
      </w:pPr>
      <w:r>
        <w:rPr>
          <w:rFonts w:hint="eastAsia" w:ascii="仿宋_GB2312" w:hAnsi="宋体" w:eastAsia="仿宋_GB2312"/>
          <w:sz w:val="28"/>
          <w:szCs w:val="28"/>
        </w:rPr>
        <w:t>本标准研制过程中无重大分歧意见。</w:t>
      </w:r>
    </w:p>
    <w:p w14:paraId="36DFA99F">
      <w:pPr>
        <w:spacing w:before="156" w:after="156" w:line="520" w:lineRule="exact"/>
        <w:outlineLvl w:val="0"/>
        <w:rPr>
          <w:rFonts w:ascii="黑体" w:eastAsia="黑体"/>
          <w:bCs/>
          <w:sz w:val="32"/>
          <w:szCs w:val="32"/>
        </w:rPr>
      </w:pPr>
      <w:r>
        <w:rPr>
          <w:rFonts w:hint="eastAsia" w:ascii="黑体" w:eastAsia="黑体"/>
          <w:bCs/>
          <w:sz w:val="32"/>
          <w:szCs w:val="32"/>
        </w:rPr>
        <w:t>八、其他应当说明的事项</w:t>
      </w:r>
    </w:p>
    <w:p w14:paraId="3D7B0198">
      <w:pPr>
        <w:spacing w:line="520" w:lineRule="exact"/>
        <w:ind w:firstLine="640" w:firstLineChars="200"/>
        <w:rPr>
          <w:rFonts w:ascii="仿宋" w:hAnsi="仿宋" w:eastAsia="仿宋"/>
          <w:sz w:val="32"/>
          <w:szCs w:val="32"/>
        </w:rPr>
      </w:pPr>
      <w:r>
        <w:rPr>
          <w:rFonts w:hint="eastAsia" w:ascii="仿宋" w:hAnsi="仿宋" w:eastAsia="仿宋"/>
          <w:sz w:val="32"/>
          <w:szCs w:val="32"/>
        </w:rPr>
        <w:t>无。</w:t>
      </w:r>
    </w:p>
    <w:p w14:paraId="32F8ECFA">
      <w:pPr>
        <w:autoSpaceDE w:val="0"/>
        <w:autoSpaceDN w:val="0"/>
        <w:adjustRightInd w:val="0"/>
        <w:spacing w:before="156" w:beforeLines="50" w:after="156" w:afterLines="50" w:line="520" w:lineRule="exact"/>
        <w:outlineLvl w:val="0"/>
        <w:rPr>
          <w:rFonts w:eastAsia="黑体"/>
          <w:sz w:val="32"/>
          <w:szCs w:val="32"/>
        </w:rPr>
      </w:pPr>
      <w:r>
        <w:rPr>
          <w:rFonts w:hint="eastAsia" w:eastAsia="黑体"/>
          <w:sz w:val="32"/>
          <w:szCs w:val="32"/>
        </w:rPr>
        <w:t>九、自我承诺</w:t>
      </w:r>
    </w:p>
    <w:p w14:paraId="12A7F49C">
      <w:pPr>
        <w:spacing w:line="520" w:lineRule="exact"/>
        <w:ind w:firstLine="640" w:firstLineChars="200"/>
        <w:rPr>
          <w:rFonts w:ascii="仿宋" w:hAnsi="仿宋" w:eastAsia="仿宋"/>
          <w:sz w:val="32"/>
          <w:szCs w:val="32"/>
        </w:rPr>
      </w:pPr>
      <w:r>
        <w:rPr>
          <w:rFonts w:ascii="仿宋" w:hAnsi="仿宋" w:eastAsia="仿宋"/>
          <w:sz w:val="32"/>
          <w:szCs w:val="32"/>
          <w:lang w:bidi="en-US"/>
        </w:rPr>
        <w:t>本标准内容与各项指标不低于强制性标准</w:t>
      </w:r>
      <w:r>
        <w:rPr>
          <w:rFonts w:hint="eastAsia" w:ascii="仿宋" w:hAnsi="仿宋" w:eastAsia="仿宋"/>
          <w:sz w:val="32"/>
          <w:szCs w:val="32"/>
          <w:lang w:bidi="en-US"/>
        </w:rPr>
        <w:t>要求</w:t>
      </w:r>
      <w:r>
        <w:rPr>
          <w:rFonts w:hint="eastAsia" w:ascii="仿宋" w:hAnsi="仿宋" w:eastAsia="仿宋"/>
          <w:sz w:val="32"/>
          <w:szCs w:val="32"/>
        </w:rPr>
        <w:t>。</w:t>
      </w:r>
    </w:p>
    <w:p w14:paraId="505FCA94">
      <w:pPr>
        <w:pStyle w:val="26"/>
        <w:rPr>
          <w:rFonts w:ascii="仿宋_GB2312" w:eastAsia="仿宋_GB2312"/>
          <w:sz w:val="28"/>
          <w:szCs w:val="28"/>
        </w:rPr>
      </w:pPr>
    </w:p>
    <w:p w14:paraId="35F3F1D0">
      <w:pPr>
        <w:pStyle w:val="26"/>
        <w:rPr>
          <w:rFonts w:ascii="仿宋_GB2312" w:eastAsia="仿宋_GB2312"/>
          <w:sz w:val="28"/>
          <w:szCs w:val="28"/>
        </w:rPr>
      </w:pPr>
    </w:p>
    <w:p w14:paraId="6A909638">
      <w:pPr>
        <w:spacing w:line="520" w:lineRule="exact"/>
        <w:ind w:firstLine="640" w:firstLineChars="200"/>
        <w:jc w:val="right"/>
        <w:rPr>
          <w:rFonts w:ascii="仿宋" w:hAnsi="仿宋" w:eastAsia="仿宋"/>
          <w:sz w:val="32"/>
          <w:szCs w:val="32"/>
        </w:rPr>
      </w:pPr>
      <w:r>
        <w:rPr>
          <w:rFonts w:hint="eastAsia" w:ascii="仿宋" w:hAnsi="仿宋" w:eastAsia="仿宋"/>
          <w:sz w:val="32"/>
          <w:szCs w:val="32"/>
        </w:rPr>
        <w:t>团体标准《</w:t>
      </w:r>
      <w:r>
        <w:rPr>
          <w:rFonts w:hint="eastAsia" w:ascii="仿宋" w:hAnsi="仿宋" w:eastAsia="仿宋"/>
          <w:sz w:val="32"/>
          <w:szCs w:val="32"/>
          <w:lang w:eastAsia="zh-CN"/>
        </w:rPr>
        <w:t>鸡血玉</w:t>
      </w:r>
      <w:r>
        <w:rPr>
          <w:rFonts w:hint="eastAsia" w:ascii="仿宋" w:hAnsi="仿宋" w:eastAsia="仿宋"/>
          <w:sz w:val="32"/>
          <w:szCs w:val="32"/>
        </w:rPr>
        <w:t>》</w:t>
      </w:r>
    </w:p>
    <w:p w14:paraId="47DFE47E">
      <w:pPr>
        <w:spacing w:line="520" w:lineRule="exact"/>
        <w:ind w:firstLine="640" w:firstLineChars="200"/>
        <w:rPr>
          <w:rFonts w:ascii="仿宋" w:hAnsi="仿宋" w:eastAsia="仿宋"/>
          <w:sz w:val="32"/>
          <w:szCs w:val="32"/>
        </w:rPr>
      </w:pPr>
      <w:r>
        <w:rPr>
          <w:rFonts w:hint="eastAsia" w:ascii="仿宋" w:hAnsi="仿宋" w:eastAsia="仿宋"/>
          <w:sz w:val="32"/>
          <w:szCs w:val="32"/>
        </w:rPr>
        <w:t xml:space="preserve">                                 标准编制工作组</w:t>
      </w:r>
    </w:p>
    <w:p w14:paraId="734DA32A">
      <w:pPr>
        <w:spacing w:line="520" w:lineRule="exact"/>
        <w:ind w:firstLine="640" w:firstLineChars="200"/>
        <w:rPr>
          <w:rFonts w:ascii="仿宋" w:hAnsi="仿宋" w:eastAsia="仿宋"/>
          <w:sz w:val="32"/>
          <w:szCs w:val="32"/>
        </w:rPr>
      </w:pPr>
      <w:r>
        <w:rPr>
          <w:rFonts w:hint="eastAsia" w:ascii="仿宋" w:hAnsi="仿宋" w:eastAsia="仿宋"/>
          <w:sz w:val="32"/>
          <w:szCs w:val="32"/>
        </w:rPr>
        <w:t xml:space="preserve">                               202</w:t>
      </w:r>
      <w:r>
        <w:rPr>
          <w:rFonts w:hint="eastAsia" w:ascii="仿宋" w:hAnsi="仿宋" w:eastAsia="仿宋"/>
          <w:sz w:val="32"/>
          <w:szCs w:val="32"/>
          <w:lang w:val="en-US" w:eastAsia="zh-CN"/>
        </w:rPr>
        <w:t>5</w:t>
      </w:r>
      <w:r>
        <w:rPr>
          <w:rFonts w:hint="eastAsia" w:ascii="仿宋" w:hAnsi="仿宋" w:eastAsia="仿宋"/>
          <w:sz w:val="32"/>
          <w:szCs w:val="32"/>
        </w:rPr>
        <w:t>年</w:t>
      </w:r>
      <w:r>
        <w:rPr>
          <w:rFonts w:hint="eastAsia" w:ascii="仿宋" w:hAnsi="仿宋" w:eastAsia="仿宋"/>
          <w:sz w:val="32"/>
          <w:szCs w:val="32"/>
          <w:lang w:val="en-US" w:eastAsia="zh-CN"/>
        </w:rPr>
        <w:t>01</w:t>
      </w:r>
      <w:r>
        <w:rPr>
          <w:rFonts w:hint="eastAsia" w:ascii="仿宋" w:hAnsi="仿宋" w:eastAsia="仿宋"/>
          <w:sz w:val="32"/>
          <w:szCs w:val="32"/>
        </w:rPr>
        <w:t>月</w:t>
      </w:r>
      <w:r>
        <w:rPr>
          <w:rFonts w:hint="eastAsia" w:ascii="仿宋" w:hAnsi="仿宋" w:eastAsia="仿宋"/>
          <w:sz w:val="32"/>
          <w:szCs w:val="32"/>
          <w:lang w:val="en-US" w:eastAsia="zh-CN"/>
        </w:rPr>
        <w:t>07</w:t>
      </w:r>
      <w:r>
        <w:rPr>
          <w:rFonts w:hint="eastAsia" w:ascii="仿宋" w:hAnsi="仿宋" w:eastAsia="仿宋"/>
          <w:sz w:val="32"/>
          <w:szCs w:val="32"/>
        </w:rPr>
        <w:t>日</w:t>
      </w:r>
    </w:p>
    <w:p w14:paraId="06BF68E2">
      <w:pPr>
        <w:keepNext w:val="0"/>
        <w:keepLines w:val="0"/>
        <w:widowControl/>
        <w:suppressLineNumbers w:val="0"/>
        <w:ind w:firstLine="480" w:firstLineChars="200"/>
        <w:jc w:val="left"/>
        <w:rPr>
          <w:rFonts w:hint="eastAsia" w:ascii="宋体" w:hAnsi="Arial" w:eastAsia="宋体" w:cs="宋体"/>
          <w:color w:val="auto"/>
          <w:kern w:val="2"/>
          <w:sz w:val="24"/>
          <w:szCs w:val="24"/>
          <w:lang w:val="en-US" w:eastAsia="zh-CN" w:bidi="ar"/>
        </w:rPr>
      </w:pPr>
    </w:p>
    <w:p w14:paraId="6FD83F83">
      <w:pPr>
        <w:pStyle w:val="16"/>
        <w:keepNext w:val="0"/>
        <w:keepLines w:val="0"/>
        <w:pageBreakBefore w:val="0"/>
        <w:widowControl/>
        <w:kinsoku/>
        <w:wordWrap/>
        <w:overflowPunct/>
        <w:topLinePunct w:val="0"/>
        <w:autoSpaceDE/>
        <w:autoSpaceDN/>
        <w:bidi w:val="0"/>
        <w:adjustRightInd w:val="0"/>
        <w:snapToGrid w:val="0"/>
        <w:spacing w:line="380" w:lineRule="exact"/>
        <w:ind w:left="480" w:leftChars="0" w:hanging="480" w:hangingChars="200"/>
        <w:jc w:val="both"/>
        <w:textAlignment w:val="auto"/>
        <w:rPr>
          <w:rFonts w:hint="default" w:ascii="Times New Roman" w:hAnsi="Times New Roman" w:eastAsia="宋体" w:cs="Times New Roman"/>
          <w:b w:val="0"/>
          <w:bCs w:val="0"/>
          <w:color w:val="auto"/>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variable"/>
    <w:sig w:usb0="E00002FF" w:usb1="420024FF" w:usb2="00000000" w:usb3="00000000" w:csb0="2000019F" w:csb1="00000000"/>
  </w:font>
  <w:font w:name="@宋体">
    <w:panose1 w:val="02010600030101010101"/>
    <w:charset w:val="86"/>
    <w:family w:val="auto"/>
    <w:pitch w:val="variable"/>
    <w:sig w:usb0="00000003" w:usb1="288F0000" w:usb2="0000000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D4FC37"/>
    <w:multiLevelType w:val="multilevel"/>
    <w:tmpl w:val="9CD4FC37"/>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pStyle w:val="23"/>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85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1">
    <w:nsid w:val="B33E1F8F"/>
    <w:multiLevelType w:val="multilevel"/>
    <w:tmpl w:val="B33E1F8F"/>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24"/>
      <w:suff w:val="nothing"/>
      <w:lvlText w:val="%1%2.%3.%4　"/>
      <w:lvlJc w:val="left"/>
      <w:pPr>
        <w:ind w:left="0" w:firstLine="0"/>
      </w:pPr>
      <w:rPr>
        <w:rFonts w:hint="eastAsia" w:ascii="黑体" w:hAnsi="Times New Roman" w:eastAsia="黑体" w:cs="黑体"/>
        <w:b w:val="0"/>
        <w:i w:val="0"/>
        <w:sz w:val="21"/>
      </w:rPr>
    </w:lvl>
    <w:lvl w:ilvl="4" w:tentative="0">
      <w:start w:val="1"/>
      <w:numFmt w:val="decimal"/>
      <w:suff w:val="nothing"/>
      <w:lvlText w:val="%1%2.%3.%4.%5　"/>
      <w:lvlJc w:val="left"/>
      <w:pPr>
        <w:ind w:left="85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2">
    <w:nsid w:val="BCF73E57"/>
    <w:multiLevelType w:val="singleLevel"/>
    <w:tmpl w:val="BCF73E57"/>
    <w:lvl w:ilvl="0" w:tentative="0">
      <w:start w:val="5"/>
      <w:numFmt w:val="chineseCounting"/>
      <w:suff w:val="nothing"/>
      <w:lvlText w:val="%1、"/>
      <w:lvlJc w:val="left"/>
      <w:rPr>
        <w:rFonts w:hint="eastAsia"/>
      </w:rPr>
    </w:lvl>
  </w:abstractNum>
  <w:abstractNum w:abstractNumId="3">
    <w:nsid w:val="FBA54AFE"/>
    <w:multiLevelType w:val="multilevel"/>
    <w:tmpl w:val="FBA54AFE"/>
    <w:lvl w:ilvl="0" w:tentative="0">
      <w:start w:val="1"/>
      <w:numFmt w:val="none"/>
      <w:suff w:val="nothing"/>
      <w:lvlText w:val="%1"/>
      <w:lvlJc w:val="left"/>
      <w:pPr>
        <w:ind w:left="0" w:firstLine="0"/>
      </w:pPr>
    </w:lvl>
    <w:lvl w:ilvl="1" w:tentative="0">
      <w:start w:val="1"/>
      <w:numFmt w:val="decimal"/>
      <w:suff w:val="nothing"/>
      <w:lvlText w:val="%1%2　"/>
      <w:lvlJc w:val="left"/>
      <w:pPr>
        <w:ind w:left="0" w:firstLine="0"/>
      </w:pPr>
      <w:rPr>
        <w:rFonts w:hint="eastAsia" w:ascii="黑体" w:hAnsi="Times New Roman" w:eastAsia="黑体" w:cs="黑体"/>
        <w:b w:val="0"/>
        <w:i w:val="0"/>
        <w:sz w:val="21"/>
      </w:rPr>
    </w:lvl>
    <w:lvl w:ilvl="2" w:tentative="0">
      <w:start w:val="1"/>
      <w:numFmt w:val="decimal"/>
      <w:suff w:val="nothing"/>
      <w:lvlText w:val="%1%2.%3　"/>
      <w:lvlJc w:val="left"/>
      <w:pPr>
        <w:ind w:left="0" w:firstLine="0"/>
        <w:textAlignment w:val="baseline"/>
      </w:pPr>
      <w:rPr>
        <w:rFonts w:hint="eastAsia" w:ascii="黑体" w:hAnsi="Times New Roman" w:eastAsia="黑体" w:cs="Times New Roman"/>
        <w:b w:val="0"/>
        <w:bCs w:val="0"/>
        <w:i w:val="0"/>
        <w:iCs w:val="0"/>
        <w:caps w:val="0"/>
        <w:strike w:val="0"/>
        <w:dstrike w:val="0"/>
        <w:vanish w:val="0"/>
        <w:color w:val="000000"/>
        <w:spacing w:val="0"/>
        <w:kern w:val="0"/>
        <w:position w:val="0"/>
        <w:sz w:val="21"/>
        <w:u w:val="none"/>
      </w:rPr>
    </w:lvl>
    <w:lvl w:ilvl="3" w:tentative="0">
      <w:start w:val="1"/>
      <w:numFmt w:val="decimal"/>
      <w:pStyle w:val="27"/>
      <w:suff w:val="nothing"/>
      <w:lvlText w:val="%1%2.%3.%4　"/>
      <w:lvlJc w:val="left"/>
      <w:pPr>
        <w:ind w:left="5106" w:firstLine="0"/>
      </w:pPr>
      <w:rPr>
        <w:rFonts w:hint="eastAsia" w:ascii="黑体" w:hAnsi="Times New Roman" w:eastAsia="黑体" w:cs="黑体"/>
        <w:b w:val="0"/>
        <w:i w:val="0"/>
        <w:sz w:val="21"/>
      </w:rPr>
    </w:lvl>
    <w:lvl w:ilvl="4" w:tentative="0">
      <w:start w:val="1"/>
      <w:numFmt w:val="decimal"/>
      <w:suff w:val="nothing"/>
      <w:lvlText w:val="%1%2.%3.%4.%5　"/>
      <w:lvlJc w:val="left"/>
      <w:pPr>
        <w:ind w:left="850" w:firstLine="0"/>
      </w:pPr>
      <w:rPr>
        <w:rFonts w:hint="eastAsia" w:ascii="黑体" w:hAnsi="Times New Roman" w:eastAsia="黑体" w:cs="黑体"/>
        <w:b w:val="0"/>
        <w:i w:val="0"/>
        <w:sz w:val="21"/>
      </w:rPr>
    </w:lvl>
    <w:lvl w:ilvl="5" w:tentative="0">
      <w:start w:val="1"/>
      <w:numFmt w:val="decimal"/>
      <w:suff w:val="nothing"/>
      <w:lvlText w:val="%1%2.%3.%4.%5.%6　"/>
      <w:lvlJc w:val="left"/>
      <w:pPr>
        <w:ind w:left="0" w:firstLine="0"/>
      </w:pPr>
      <w:rPr>
        <w:rFonts w:hint="eastAsia" w:ascii="黑体" w:hAnsi="Times New Roman" w:eastAsia="黑体" w:cs="黑体"/>
        <w:b w:val="0"/>
        <w:i w:val="0"/>
        <w:sz w:val="21"/>
      </w:rPr>
    </w:lvl>
    <w:lvl w:ilvl="6" w:tentative="0">
      <w:start w:val="1"/>
      <w:numFmt w:val="decimal"/>
      <w:suff w:val="nothing"/>
      <w:lvlText w:val="%1%2.%3.%4.%5.%6.%7　"/>
      <w:lvlJc w:val="left"/>
      <w:pPr>
        <w:ind w:left="0" w:firstLine="0"/>
      </w:pPr>
      <w:rPr>
        <w:rFonts w:hint="eastAsia" w:ascii="黑体" w:hAnsi="Times New Roman" w:eastAsia="黑体" w:cs="黑体"/>
        <w:b w:val="0"/>
        <w:i w:val="0"/>
        <w:sz w:val="21"/>
      </w:rPr>
    </w:lvl>
    <w:lvl w:ilvl="7" w:tentative="0">
      <w:start w:val="1"/>
      <w:numFmt w:val="decimal"/>
      <w:lvlText w:val="%1.%2.%3.%4.%5.%6.%7.%8"/>
      <w:lvlJc w:val="left"/>
      <w:pPr>
        <w:tabs>
          <w:tab w:val="left" w:pos="4351"/>
        </w:tabs>
        <w:ind w:left="3972" w:hanging="1418"/>
      </w:pPr>
    </w:lvl>
    <w:lvl w:ilvl="8" w:tentative="0">
      <w:start w:val="1"/>
      <w:numFmt w:val="decimal"/>
      <w:lvlText w:val="%1.%2.%3.%4.%5.%6.%7.%8.%9"/>
      <w:lvlJc w:val="left"/>
      <w:pPr>
        <w:tabs>
          <w:tab w:val="left" w:pos="4777"/>
        </w:tabs>
        <w:ind w:left="4677" w:hanging="1700"/>
      </w:pPr>
    </w:lvl>
  </w:abstractNum>
  <w:abstractNum w:abstractNumId="4">
    <w:nsid w:val="079102AD"/>
    <w:multiLevelType w:val="multilevel"/>
    <w:tmpl w:val="079102AD"/>
    <w:lvl w:ilvl="0" w:tentative="0">
      <w:start w:val="1"/>
      <w:numFmt w:val="decimal"/>
      <w:pStyle w:val="20"/>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5">
    <w:nsid w:val="0DDE2B46"/>
    <w:multiLevelType w:val="multilevel"/>
    <w:tmpl w:val="0DDE2B46"/>
    <w:lvl w:ilvl="0" w:tentative="0">
      <w:start w:val="1"/>
      <w:numFmt w:val="lowerLetter"/>
      <w:pStyle w:val="21"/>
      <w:suff w:val="nothing"/>
      <w:lvlText w:val="%1   "/>
      <w:lvlJc w:val="left"/>
      <w:pPr>
        <w:ind w:left="544" w:hanging="181"/>
      </w:pPr>
      <w:rPr>
        <w:rFonts w:hint="eastAsia" w:ascii="宋体" w:hAns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8346BD6"/>
    <w:multiLevelType w:val="singleLevel"/>
    <w:tmpl w:val="18346BD6"/>
    <w:lvl w:ilvl="0" w:tentative="0">
      <w:start w:val="2"/>
      <w:numFmt w:val="chineseCounting"/>
      <w:suff w:val="nothing"/>
      <w:lvlText w:val="（%1）"/>
      <w:lvlJc w:val="left"/>
      <w:rPr>
        <w:rFonts w:hint="eastAsia"/>
      </w:rPr>
    </w:lvl>
  </w:abstractNum>
  <w:abstractNum w:abstractNumId="7">
    <w:nsid w:val="2A082AD8"/>
    <w:multiLevelType w:val="multilevel"/>
    <w:tmpl w:val="2A082AD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22"/>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9">
    <w:nsid w:val="646260FA"/>
    <w:multiLevelType w:val="multilevel"/>
    <w:tmpl w:val="646260FA"/>
    <w:lvl w:ilvl="0" w:tentative="0">
      <w:start w:val="1"/>
      <w:numFmt w:val="decimal"/>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4"/>
  </w:num>
  <w:num w:numId="2">
    <w:abstractNumId w:val="5"/>
  </w:num>
  <w:num w:numId="3">
    <w:abstractNumId w:val="8"/>
  </w:num>
  <w:num w:numId="4">
    <w:abstractNumId w:val="0"/>
  </w:num>
  <w:num w:numId="5">
    <w:abstractNumId w:val="1"/>
  </w:num>
  <w:num w:numId="6">
    <w:abstractNumId w:val="3"/>
  </w:num>
  <w:num w:numId="7">
    <w:abstractNumId w:val="6"/>
  </w:num>
  <w:num w:numId="8">
    <w:abstractNumId w:val="2"/>
  </w:num>
  <w:num w:numId="9">
    <w:abstractNumId w:val="7"/>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isplayHorizontalDrawingGridEvery w:val="0"/>
  <w:displayVerticalDrawingGridEvery w:val="2"/>
  <w:characterSpacingControl w:val="doNotCompress"/>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NjMTdhZGMyNDNkYmQwOGY2NDJjYjViMDIzZDVhZmYifQ=="/>
  </w:docVars>
  <w:rsids>
    <w:rsidRoot w:val="00E0347E"/>
    <w:rsid w:val="00040998"/>
    <w:rsid w:val="00045A5A"/>
    <w:rsid w:val="00075D68"/>
    <w:rsid w:val="000B62C8"/>
    <w:rsid w:val="000C4E75"/>
    <w:rsid w:val="000C5246"/>
    <w:rsid w:val="00145CD3"/>
    <w:rsid w:val="00154128"/>
    <w:rsid w:val="001C60F7"/>
    <w:rsid w:val="001E41D6"/>
    <w:rsid w:val="00247CA4"/>
    <w:rsid w:val="00262E83"/>
    <w:rsid w:val="00272137"/>
    <w:rsid w:val="00283A35"/>
    <w:rsid w:val="00286B82"/>
    <w:rsid w:val="002C3910"/>
    <w:rsid w:val="00326EE8"/>
    <w:rsid w:val="00327CC9"/>
    <w:rsid w:val="003526AF"/>
    <w:rsid w:val="00365F14"/>
    <w:rsid w:val="00387890"/>
    <w:rsid w:val="003A4AF8"/>
    <w:rsid w:val="003A53CD"/>
    <w:rsid w:val="0042098A"/>
    <w:rsid w:val="00425720"/>
    <w:rsid w:val="0050537B"/>
    <w:rsid w:val="00546683"/>
    <w:rsid w:val="005B2287"/>
    <w:rsid w:val="00655DD2"/>
    <w:rsid w:val="006B23AD"/>
    <w:rsid w:val="00714AFE"/>
    <w:rsid w:val="007E000A"/>
    <w:rsid w:val="0081324A"/>
    <w:rsid w:val="0081423F"/>
    <w:rsid w:val="00840C62"/>
    <w:rsid w:val="00852E98"/>
    <w:rsid w:val="008536E6"/>
    <w:rsid w:val="00857B2B"/>
    <w:rsid w:val="00864434"/>
    <w:rsid w:val="00906A20"/>
    <w:rsid w:val="00926014"/>
    <w:rsid w:val="00A55F8A"/>
    <w:rsid w:val="00A60733"/>
    <w:rsid w:val="00B71F59"/>
    <w:rsid w:val="00B761B2"/>
    <w:rsid w:val="00B94DE7"/>
    <w:rsid w:val="00BF2F81"/>
    <w:rsid w:val="00C06DFF"/>
    <w:rsid w:val="00C15AF9"/>
    <w:rsid w:val="00C60BFE"/>
    <w:rsid w:val="00CC40FB"/>
    <w:rsid w:val="00D1791A"/>
    <w:rsid w:val="00D21BFE"/>
    <w:rsid w:val="00D66DA2"/>
    <w:rsid w:val="00D93A0A"/>
    <w:rsid w:val="00DA4718"/>
    <w:rsid w:val="00DC6297"/>
    <w:rsid w:val="00E0347E"/>
    <w:rsid w:val="00E52BF4"/>
    <w:rsid w:val="00E65370"/>
    <w:rsid w:val="00E94B16"/>
    <w:rsid w:val="00E97EBE"/>
    <w:rsid w:val="00F27EA3"/>
    <w:rsid w:val="00F37282"/>
    <w:rsid w:val="00F952B6"/>
    <w:rsid w:val="00FE078B"/>
    <w:rsid w:val="021A09FD"/>
    <w:rsid w:val="02FA613C"/>
    <w:rsid w:val="05485E21"/>
    <w:rsid w:val="06A91579"/>
    <w:rsid w:val="09383975"/>
    <w:rsid w:val="0A130955"/>
    <w:rsid w:val="0A965F47"/>
    <w:rsid w:val="0C6D2756"/>
    <w:rsid w:val="119B0164"/>
    <w:rsid w:val="12AE0904"/>
    <w:rsid w:val="151076B4"/>
    <w:rsid w:val="15D241DC"/>
    <w:rsid w:val="17C63699"/>
    <w:rsid w:val="193E0C4B"/>
    <w:rsid w:val="1A5B3B12"/>
    <w:rsid w:val="1AA50278"/>
    <w:rsid w:val="1AC17353"/>
    <w:rsid w:val="1AF54E77"/>
    <w:rsid w:val="1C56042C"/>
    <w:rsid w:val="207E094B"/>
    <w:rsid w:val="228049F1"/>
    <w:rsid w:val="258B1167"/>
    <w:rsid w:val="267E061F"/>
    <w:rsid w:val="28341F69"/>
    <w:rsid w:val="309D0472"/>
    <w:rsid w:val="32715B68"/>
    <w:rsid w:val="39BF18AF"/>
    <w:rsid w:val="3A501423"/>
    <w:rsid w:val="3CCC7526"/>
    <w:rsid w:val="3E333D2C"/>
    <w:rsid w:val="40CB0EDD"/>
    <w:rsid w:val="41354774"/>
    <w:rsid w:val="41B4616B"/>
    <w:rsid w:val="44B51B35"/>
    <w:rsid w:val="49092A56"/>
    <w:rsid w:val="4D330192"/>
    <w:rsid w:val="4E0A3E8A"/>
    <w:rsid w:val="4F0905B2"/>
    <w:rsid w:val="4F77774E"/>
    <w:rsid w:val="51B01DB1"/>
    <w:rsid w:val="52534F7A"/>
    <w:rsid w:val="532A43FD"/>
    <w:rsid w:val="56D93B58"/>
    <w:rsid w:val="57B77AEE"/>
    <w:rsid w:val="58D141B4"/>
    <w:rsid w:val="5A1B4BD1"/>
    <w:rsid w:val="5D833EB9"/>
    <w:rsid w:val="62AF32D4"/>
    <w:rsid w:val="642E2363"/>
    <w:rsid w:val="646E05D3"/>
    <w:rsid w:val="658361F5"/>
    <w:rsid w:val="681F52D0"/>
    <w:rsid w:val="6B19752C"/>
    <w:rsid w:val="6BD902BA"/>
    <w:rsid w:val="711E538F"/>
    <w:rsid w:val="73412411"/>
    <w:rsid w:val="73522D24"/>
    <w:rsid w:val="74AD5E25"/>
    <w:rsid w:val="75297A97"/>
    <w:rsid w:val="7D7F39E1"/>
    <w:rsid w:val="7F6A71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rPr>
      <w:rFonts w:ascii="宋体" w:hAnsi="宋体" w:eastAsia="宋体" w:cs="宋体"/>
      <w:sz w:val="24"/>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Calibri"/>
      <w:sz w:val="20"/>
      <w:szCs w:val="20"/>
    </w:rPr>
    <w:tblPr>
      <w:tblCellMar>
        <w:top w:w="0" w:type="dxa"/>
        <w:left w:w="108" w:type="dxa"/>
        <w:bottom w:w="0" w:type="dxa"/>
        <w:right w:w="108" w:type="dxa"/>
      </w:tblCellMar>
    </w:tblPr>
  </w:style>
  <w:style w:type="paragraph" w:customStyle="1" w:styleId="2">
    <w:name w:val="BodyText2"/>
    <w:basedOn w:val="1"/>
    <w:autoRedefine/>
    <w:qFormat/>
    <w:uiPriority w:val="0"/>
    <w:pPr>
      <w:spacing w:after="120" w:line="480" w:lineRule="auto"/>
      <w:ind w:firstLine="640" w:firstLineChars="200"/>
      <w:textAlignment w:val="baseline"/>
    </w:pPr>
    <w:rPr>
      <w:rFonts w:cs="Times New Roman"/>
      <w:sz w:val="32"/>
      <w:szCs w:val="32"/>
    </w:rPr>
  </w:style>
  <w:style w:type="paragraph" w:styleId="3">
    <w:name w:val="footer"/>
    <w:basedOn w:val="1"/>
    <w:link w:val="11"/>
    <w:unhideWhenUsed/>
    <w:qFormat/>
    <w:uiPriority w:val="99"/>
    <w:pPr>
      <w:tabs>
        <w:tab w:val="center" w:pos="4153"/>
        <w:tab w:val="right" w:pos="8306"/>
      </w:tabs>
      <w:snapToGrid w:val="0"/>
    </w:pPr>
    <w:rPr>
      <w:sz w:val="18"/>
      <w:szCs w:val="18"/>
    </w:rPr>
  </w:style>
  <w:style w:type="paragraph" w:styleId="4">
    <w:name w:val="header"/>
    <w:basedOn w:val="1"/>
    <w:link w:val="10"/>
    <w:unhideWhenUsed/>
    <w:qFormat/>
    <w:uiPriority w:val="99"/>
    <w:pPr>
      <w:tabs>
        <w:tab w:val="center" w:pos="4153"/>
        <w:tab w:val="right" w:pos="8306"/>
      </w:tabs>
      <w:snapToGrid w:val="0"/>
      <w:jc w:val="center"/>
    </w:pPr>
    <w:rPr>
      <w:sz w:val="18"/>
      <w:szCs w:val="18"/>
    </w:rPr>
  </w:style>
  <w:style w:type="paragraph" w:styleId="5">
    <w:name w:val="Normal (Web)"/>
    <w:basedOn w:val="1"/>
    <w:link w:val="17"/>
    <w:unhideWhenUsed/>
    <w:qFormat/>
    <w:uiPriority w:val="99"/>
    <w:pPr>
      <w:spacing w:before="100" w:beforeAutospacing="1" w:after="100" w:afterAutospacing="1"/>
    </w:p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22"/>
    <w:rPr>
      <w:b/>
      <w:bCs/>
    </w:rPr>
  </w:style>
  <w:style w:type="character" w:customStyle="1" w:styleId="10">
    <w:name w:val="页眉 字符"/>
    <w:basedOn w:val="8"/>
    <w:link w:val="4"/>
    <w:qFormat/>
    <w:uiPriority w:val="99"/>
    <w:rPr>
      <w:sz w:val="18"/>
      <w:szCs w:val="18"/>
    </w:rPr>
  </w:style>
  <w:style w:type="character" w:customStyle="1" w:styleId="11">
    <w:name w:val="页脚 字符"/>
    <w:basedOn w:val="8"/>
    <w:link w:val="3"/>
    <w:qFormat/>
    <w:uiPriority w:val="99"/>
    <w:rPr>
      <w:sz w:val="18"/>
      <w:szCs w:val="18"/>
    </w:rPr>
  </w:style>
  <w:style w:type="paragraph" w:customStyle="1" w:styleId="12">
    <w:name w:val="段"/>
    <w:link w:val="13"/>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3">
    <w:name w:val="段 Char"/>
    <w:link w:val="12"/>
    <w:qFormat/>
    <w:uiPriority w:val="0"/>
    <w:rPr>
      <w:rFonts w:ascii="宋体" w:hAnsi="Times New Roman" w:eastAsia="宋体" w:cs="Times New Roman"/>
      <w:kern w:val="0"/>
      <w:szCs w:val="20"/>
    </w:rPr>
  </w:style>
  <w:style w:type="paragraph" w:customStyle="1" w:styleId="14">
    <w:name w:val="标准文件_段"/>
    <w:link w:val="1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5">
    <w:name w:val="标准文件_段 Char"/>
    <w:link w:val="14"/>
    <w:qFormat/>
    <w:uiPriority w:val="0"/>
    <w:rPr>
      <w:rFonts w:ascii="宋体" w:hAnsi="Times New Roman" w:eastAsia="宋体" w:cs="Times New Roman"/>
      <w:kern w:val="0"/>
      <w:szCs w:val="20"/>
    </w:rPr>
  </w:style>
  <w:style w:type="paragraph" w:styleId="16">
    <w:name w:val="List Paragraph"/>
    <w:basedOn w:val="1"/>
    <w:qFormat/>
    <w:uiPriority w:val="34"/>
    <w:pPr>
      <w:ind w:firstLine="420" w:firstLineChars="200"/>
    </w:pPr>
  </w:style>
  <w:style w:type="character" w:customStyle="1" w:styleId="17">
    <w:name w:val="普通(网站) 字符"/>
    <w:basedOn w:val="8"/>
    <w:link w:val="5"/>
    <w:qFormat/>
    <w:uiPriority w:val="99"/>
    <w:rPr>
      <w:rFonts w:ascii="宋体" w:hAnsi="宋体" w:cs="宋体"/>
      <w:sz w:val="24"/>
      <w:szCs w:val="24"/>
    </w:rPr>
  </w:style>
  <w:style w:type="character" w:customStyle="1" w:styleId="18">
    <w:name w:val="title-grjjrl"/>
    <w:basedOn w:val="8"/>
    <w:qFormat/>
    <w:uiPriority w:val="0"/>
  </w:style>
  <w:style w:type="paragraph" w:customStyle="1" w:styleId="19">
    <w:name w:val="正文表标题"/>
    <w:next w:val="12"/>
    <w:qFormat/>
    <w:uiPriority w:val="0"/>
    <w:pPr>
      <w:spacing w:before="156" w:beforeLines="50" w:after="156" w:afterLines="50"/>
      <w:jc w:val="center"/>
    </w:pPr>
    <w:rPr>
      <w:rFonts w:ascii="黑体" w:hAnsi="Times New Roman" w:eastAsia="黑体" w:cs="Times New Roman"/>
      <w:sz w:val="21"/>
      <w:lang w:val="en-US" w:eastAsia="zh-CN" w:bidi="ar-SA"/>
    </w:rPr>
  </w:style>
  <w:style w:type="paragraph" w:customStyle="1" w:styleId="20">
    <w:name w:val="注："/>
    <w:next w:val="12"/>
    <w:qFormat/>
    <w:uiPriority w:val="0"/>
    <w:pPr>
      <w:widowControl w:val="0"/>
      <w:numPr>
        <w:ilvl w:val="0"/>
        <w:numId w:val="1"/>
      </w:numPr>
      <w:autoSpaceDE w:val="0"/>
      <w:autoSpaceDN w:val="0"/>
      <w:jc w:val="both"/>
    </w:pPr>
    <w:rPr>
      <w:rFonts w:ascii="宋体" w:hAnsi="Times New Roman" w:eastAsia="宋体" w:cs="Times New Roman"/>
      <w:sz w:val="18"/>
      <w:szCs w:val="18"/>
      <w:lang w:val="en-US" w:eastAsia="zh-CN" w:bidi="ar-SA"/>
    </w:rPr>
  </w:style>
  <w:style w:type="paragraph" w:customStyle="1" w:styleId="21">
    <w:name w:val="图表脚注说明"/>
    <w:basedOn w:val="1"/>
    <w:qFormat/>
    <w:uiPriority w:val="0"/>
    <w:pPr>
      <w:numPr>
        <w:ilvl w:val="0"/>
        <w:numId w:val="2"/>
      </w:numPr>
    </w:pPr>
    <w:rPr>
      <w:rFonts w:ascii="宋体"/>
      <w:sz w:val="18"/>
      <w:szCs w:val="18"/>
    </w:rPr>
  </w:style>
  <w:style w:type="paragraph" w:customStyle="1" w:styleId="22">
    <w:name w:val="附录表标题"/>
    <w:basedOn w:val="1"/>
    <w:next w:val="12"/>
    <w:qFormat/>
    <w:uiPriority w:val="0"/>
    <w:pPr>
      <w:numPr>
        <w:ilvl w:val="1"/>
        <w:numId w:val="3"/>
      </w:numPr>
      <w:tabs>
        <w:tab w:val="left" w:pos="180"/>
      </w:tabs>
      <w:spacing w:before="50" w:beforeLines="50" w:after="50" w:afterLines="50"/>
      <w:ind w:left="0" w:firstLine="0"/>
      <w:jc w:val="center"/>
    </w:pPr>
    <w:rPr>
      <w:rFonts w:ascii="黑体" w:eastAsia="黑体"/>
      <w:szCs w:val="21"/>
    </w:rPr>
  </w:style>
  <w:style w:type="paragraph" w:customStyle="1" w:styleId="23">
    <w:name w:val="标准文件_一级条标题"/>
    <w:next w:val="1"/>
    <w:qFormat/>
    <w:uiPriority w:val="0"/>
    <w:pPr>
      <w:keepNext w:val="0"/>
      <w:keepLines w:val="0"/>
      <w:widowControl/>
      <w:numPr>
        <w:ilvl w:val="2"/>
        <w:numId w:val="4"/>
      </w:numPr>
      <w:suppressLineNumbers w:val="0"/>
      <w:spacing w:before="50" w:beforeLines="50" w:beforeAutospacing="0" w:after="50" w:afterLines="50" w:afterAutospacing="0"/>
      <w:ind w:left="0" w:right="0" w:firstLine="0"/>
      <w:jc w:val="both"/>
      <w:outlineLvl w:val="1"/>
    </w:pPr>
    <w:rPr>
      <w:rFonts w:hint="eastAsia" w:ascii="黑体" w:hAnsi="Times New Roman" w:eastAsia="黑体" w:cs="Times New Roman"/>
      <w:kern w:val="0"/>
      <w:sz w:val="21"/>
      <w:szCs w:val="20"/>
      <w:lang w:val="en-US" w:eastAsia="zh-CN" w:bidi="ar"/>
    </w:rPr>
  </w:style>
  <w:style w:type="paragraph" w:customStyle="1" w:styleId="24">
    <w:name w:val="标准文件_二级条标题"/>
    <w:basedOn w:val="1"/>
    <w:next w:val="1"/>
    <w:qFormat/>
    <w:uiPriority w:val="0"/>
    <w:pPr>
      <w:keepNext w:val="0"/>
      <w:keepLines w:val="0"/>
      <w:widowControl w:val="0"/>
      <w:numPr>
        <w:ilvl w:val="3"/>
        <w:numId w:val="5"/>
      </w:numPr>
      <w:suppressLineNumbers w:val="0"/>
      <w:adjustRightInd/>
      <w:spacing w:before="50" w:beforeLines="50" w:beforeAutospacing="0" w:after="50" w:afterLines="50" w:afterAutospacing="0" w:line="240" w:lineRule="auto"/>
      <w:ind w:left="0" w:right="0" w:firstLine="0"/>
      <w:jc w:val="both"/>
      <w:outlineLvl w:val="2"/>
    </w:pPr>
    <w:rPr>
      <w:rFonts w:hint="eastAsia" w:ascii="黑体" w:hAnsi="Times New Roman" w:eastAsia="黑体" w:cs="Times New Roman"/>
      <w:kern w:val="0"/>
      <w:sz w:val="21"/>
      <w:szCs w:val="20"/>
      <w:lang w:val="en-US" w:eastAsia="zh-CN" w:bidi="ar"/>
    </w:rPr>
  </w:style>
  <w:style w:type="paragraph" w:customStyle="1" w:styleId="25">
    <w:name w:val="标准文件_表格"/>
    <w:basedOn w:val="1"/>
    <w:qFormat/>
    <w:uiPriority w:val="0"/>
    <w:pPr>
      <w:keepNext w:val="0"/>
      <w:keepLines w:val="0"/>
      <w:widowControl/>
      <w:suppressLineNumbers w:val="0"/>
      <w:autoSpaceDE w:val="0"/>
      <w:autoSpaceDN w:val="0"/>
      <w:adjustRightInd/>
      <w:spacing w:before="0" w:beforeAutospacing="0" w:after="0" w:afterAutospacing="0" w:line="240" w:lineRule="auto"/>
      <w:ind w:left="0" w:right="0"/>
      <w:jc w:val="center"/>
    </w:pPr>
    <w:rPr>
      <w:rFonts w:hint="eastAsia" w:ascii="宋体" w:hAnsi="Times New Roman" w:eastAsia="宋体" w:cs="Times New Roman"/>
      <w:kern w:val="0"/>
      <w:sz w:val="18"/>
      <w:szCs w:val="20"/>
      <w:lang w:val="en-US" w:eastAsia="zh-CN" w:bidi="ar"/>
    </w:rPr>
  </w:style>
  <w:style w:type="paragraph" w:customStyle="1" w:styleId="26">
    <w:name w:val="正文-公1"/>
    <w:autoRedefine/>
    <w:qFormat/>
    <w:uiPriority w:val="99"/>
    <w:pPr>
      <w:widowControl w:val="0"/>
      <w:suppressAutoHyphens/>
      <w:jc w:val="both"/>
    </w:pPr>
    <w:rPr>
      <w:rFonts w:ascii="Calibri" w:hAnsi="Calibri" w:eastAsia="宋体" w:cs="Times New Roman"/>
      <w:kern w:val="2"/>
      <w:sz w:val="21"/>
      <w:szCs w:val="24"/>
      <w:lang w:val="en-US" w:eastAsia="zh-CN" w:bidi="ar-SA"/>
    </w:rPr>
  </w:style>
  <w:style w:type="paragraph" w:customStyle="1" w:styleId="27">
    <w:name w:val="标准文件_二级无标题"/>
    <w:qFormat/>
    <w:uiPriority w:val="0"/>
    <w:pPr>
      <w:keepNext w:val="0"/>
      <w:keepLines w:val="0"/>
      <w:widowControl w:val="0"/>
      <w:numPr>
        <w:ilvl w:val="3"/>
        <w:numId w:val="6"/>
      </w:numPr>
      <w:suppressLineNumbers w:val="0"/>
      <w:spacing w:before="0" w:beforeLines="-2147483648" w:beforeAutospacing="0" w:after="0" w:afterLines="-2147483648" w:afterAutospacing="0"/>
      <w:ind w:left="0" w:right="0" w:firstLine="0"/>
      <w:jc w:val="both"/>
      <w:outlineLvl w:val="9"/>
    </w:pPr>
    <w:rPr>
      <w:rFonts w:hint="eastAsia" w:ascii="宋体" w:hAnsi="Times New Roman" w:eastAsia="宋体" w:cs="Times New Roman"/>
      <w:kern w:val="0"/>
      <w:sz w:val="21"/>
      <w:szCs w:val="20"/>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40004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2849</Words>
  <Characters>2950</Characters>
  <Lines>54</Lines>
  <Paragraphs>15</Paragraphs>
  <TotalTime>3</TotalTime>
  <ScaleCrop>false</ScaleCrop>
  <LinksUpToDate>false</LinksUpToDate>
  <CharactersWithSpaces>2963</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2024-10-08T13:40:00Z</dcterms:created>
  <dc:creator>lenovo</dc:creator>
  <cp:lastModifiedBy>元宵</cp:lastModifiedBy>
  <dcterms:modified xsi:type="dcterms:W3CDTF">2025-01-14T01:52:38Z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72B8A458EA6A4DB3AC8180EF217BCCBE_13</vt:lpwstr>
  </property>
  <property fmtid="{D5CDD505-2E9C-101B-9397-08002B2CF9AE}" pid="4" name="KSOTemplateDocerSaveRecord">
    <vt:lpwstr>eyJoZGlkIjoiZDcxNDNmMGIxZGQ3YjRkMTI4ZjBlMjYyMmU1MDRkZWMiLCJ1c2VySWQiOiIzOTAwNjM0MjkifQ==</vt:lpwstr>
  </property>
</Properties>
</file>