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5BFC38">
      <w:pPr>
        <w:spacing w:before="312" w:beforeLines="100" w:after="312" w:afterLines="100"/>
        <w:jc w:val="center"/>
        <w:rPr>
          <w:rFonts w:hint="eastAsia" w:ascii="方正小标宋简体" w:eastAsia="方正小标宋简体"/>
          <w:sz w:val="40"/>
          <w:szCs w:val="40"/>
        </w:rPr>
      </w:pPr>
      <w:r>
        <w:rPr>
          <w:rFonts w:hint="eastAsia" w:ascii="方正小标宋简体" w:eastAsia="方正小标宋简体"/>
          <w:sz w:val="40"/>
          <w:szCs w:val="40"/>
        </w:rPr>
        <w:t>团体标准《</w:t>
      </w:r>
      <w:r>
        <w:rPr>
          <w:rFonts w:hint="eastAsia" w:ascii="方正小标宋简体" w:eastAsia="方正小标宋简体"/>
          <w:sz w:val="40"/>
          <w:szCs w:val="40"/>
          <w:lang w:val="en-US" w:eastAsia="zh-CN"/>
        </w:rPr>
        <w:t>天冬种苗繁殖技术规程</w:t>
      </w:r>
      <w:r>
        <w:rPr>
          <w:rFonts w:hint="eastAsia" w:ascii="方正小标宋简体" w:eastAsia="方正小标宋简体"/>
          <w:sz w:val="40"/>
          <w:szCs w:val="40"/>
        </w:rPr>
        <w:t>》</w:t>
      </w:r>
    </w:p>
    <w:p w14:paraId="0C08C5BE">
      <w:pPr>
        <w:spacing w:before="312" w:beforeLines="100" w:after="312" w:afterLines="100"/>
        <w:jc w:val="center"/>
        <w:rPr>
          <w:rFonts w:ascii="方正小标宋简体" w:eastAsia="方正小标宋简体"/>
          <w:sz w:val="36"/>
          <w:szCs w:val="36"/>
        </w:rPr>
      </w:pPr>
      <w:r>
        <w:rPr>
          <w:rFonts w:hint="eastAsia" w:ascii="方正小标宋简体" w:eastAsia="方正小标宋简体"/>
          <w:sz w:val="40"/>
          <w:szCs w:val="40"/>
          <w:lang w:eastAsia="zh-CN"/>
        </w:rPr>
        <w:t>（征求意见稿）</w:t>
      </w:r>
      <w:r>
        <w:rPr>
          <w:rFonts w:hint="eastAsia" w:ascii="方正小标宋简体" w:eastAsia="方正小标宋简体"/>
          <w:sz w:val="40"/>
          <w:szCs w:val="40"/>
        </w:rPr>
        <w:t>编制说明</w:t>
      </w:r>
    </w:p>
    <w:p w14:paraId="50884C0B">
      <w:pPr>
        <w:spacing w:before="156" w:beforeLines="50" w:after="156" w:afterLines="50"/>
        <w:rPr>
          <w:rFonts w:ascii="黑体" w:hAnsi="黑体" w:eastAsia="黑体"/>
          <w:sz w:val="32"/>
          <w:szCs w:val="32"/>
        </w:rPr>
      </w:pPr>
      <w:r>
        <w:rPr>
          <w:rFonts w:hint="eastAsia" w:ascii="黑体" w:hAnsi="黑体" w:eastAsia="黑体"/>
          <w:sz w:val="32"/>
          <w:szCs w:val="32"/>
        </w:rPr>
        <w:t>一、项目来源、起草单位、主要起草人</w:t>
      </w:r>
    </w:p>
    <w:p w14:paraId="798FAE0C">
      <w:pPr>
        <w:ind w:firstLine="560" w:firstLineChars="200"/>
        <w:rPr>
          <w:rFonts w:hint="eastAsia" w:ascii="Times New Roman" w:hAnsi="Times New Roman" w:eastAsia="仿宋_GB2312"/>
          <w:sz w:val="28"/>
          <w:szCs w:val="28"/>
          <w:lang w:eastAsia="zh-CN"/>
        </w:rPr>
      </w:pPr>
      <w:r>
        <w:rPr>
          <w:rFonts w:hint="eastAsia" w:ascii="Times New Roman" w:hAnsi="Times New Roman" w:eastAsia="仿宋_GB2312"/>
          <w:sz w:val="28"/>
          <w:szCs w:val="28"/>
        </w:rPr>
        <w:t>根据《广西标准化协会关于下达2025年第二十三批团体标准制修订项目计划的通知》（桂标协〔2025〕190号）文件精神</w:t>
      </w:r>
      <w:r>
        <w:rPr>
          <w:rFonts w:hint="eastAsia" w:ascii="Times New Roman" w:hAnsi="Times New Roman" w:eastAsia="仿宋_GB2312"/>
          <w:sz w:val="28"/>
          <w:szCs w:val="28"/>
          <w:lang w:eastAsia="zh-CN"/>
        </w:rPr>
        <w:t>，</w:t>
      </w:r>
      <w:r>
        <w:rPr>
          <w:rFonts w:hint="eastAsia" w:ascii="Times New Roman" w:hAnsi="Times New Roman" w:eastAsia="仿宋_GB2312"/>
          <w:sz w:val="28"/>
          <w:szCs w:val="28"/>
        </w:rPr>
        <w:t>由</w:t>
      </w:r>
      <w:bookmarkStart w:id="0" w:name="_Hlk205452743"/>
      <w:r>
        <w:rPr>
          <w:rFonts w:hint="eastAsia" w:ascii="Times New Roman" w:hAnsi="Times New Roman" w:eastAsia="仿宋_GB2312"/>
          <w:sz w:val="28"/>
          <w:szCs w:val="28"/>
        </w:rPr>
        <w:t>广西壮族自治区国有钦廉林场</w:t>
      </w:r>
      <w:bookmarkEnd w:id="0"/>
      <w:r>
        <w:rPr>
          <w:rFonts w:hint="eastAsia" w:ascii="Times New Roman" w:hAnsi="Times New Roman" w:eastAsia="仿宋_GB2312"/>
          <w:sz w:val="28"/>
          <w:szCs w:val="28"/>
        </w:rPr>
        <w:t>提出，广西壮族自治区药用植物园、</w:t>
      </w:r>
      <w:bookmarkStart w:id="1" w:name="_Hlk205452780"/>
      <w:r>
        <w:rPr>
          <w:rFonts w:hint="eastAsia" w:ascii="Times New Roman" w:hAnsi="Times New Roman" w:eastAsia="仿宋_GB2312"/>
          <w:sz w:val="28"/>
          <w:szCs w:val="28"/>
        </w:rPr>
        <w:t>北海海丝香料有限责任公司</w:t>
      </w:r>
      <w:bookmarkEnd w:id="1"/>
      <w:r>
        <w:rPr>
          <w:rFonts w:hint="eastAsia" w:ascii="Times New Roman" w:hAnsi="Times New Roman" w:eastAsia="仿宋_GB2312"/>
          <w:sz w:val="28"/>
          <w:szCs w:val="28"/>
          <w:lang w:eastAsia="zh-CN"/>
        </w:rPr>
        <w:t>等单位</w:t>
      </w:r>
      <w:r>
        <w:rPr>
          <w:rFonts w:hint="eastAsia" w:ascii="Times New Roman" w:hAnsi="Times New Roman" w:eastAsia="仿宋_GB2312"/>
          <w:sz w:val="28"/>
          <w:szCs w:val="28"/>
        </w:rPr>
        <w:t>共同起草的团体标准</w:t>
      </w:r>
      <w:r>
        <w:rPr>
          <w:rFonts w:ascii="Times New Roman" w:hAnsi="Times New Roman" w:eastAsia="仿宋_GB2312"/>
          <w:sz w:val="28"/>
          <w:szCs w:val="28"/>
        </w:rPr>
        <w:t>《</w:t>
      </w:r>
      <w:bookmarkStart w:id="2" w:name="OLE_LINK1"/>
      <w:r>
        <w:rPr>
          <w:rFonts w:hint="eastAsia" w:ascii="Times New Roman" w:hAnsi="Times New Roman" w:eastAsia="仿宋_GB2312"/>
          <w:sz w:val="28"/>
          <w:szCs w:val="28"/>
          <w:lang w:val="en-US" w:eastAsia="zh-CN"/>
        </w:rPr>
        <w:t>天冬种苗繁殖技术</w:t>
      </w:r>
      <w:bookmarkEnd w:id="2"/>
      <w:r>
        <w:rPr>
          <w:rFonts w:hint="eastAsia" w:ascii="Times New Roman" w:hAnsi="Times New Roman" w:eastAsia="仿宋_GB2312"/>
          <w:sz w:val="28"/>
          <w:szCs w:val="28"/>
          <w:lang w:val="en-US" w:eastAsia="zh-CN"/>
        </w:rPr>
        <w:t>规程</w:t>
      </w:r>
      <w:r>
        <w:rPr>
          <w:rFonts w:ascii="Times New Roman" w:hAnsi="Times New Roman" w:eastAsia="仿宋_GB2312"/>
          <w:sz w:val="28"/>
          <w:szCs w:val="28"/>
        </w:rPr>
        <w:t>》</w:t>
      </w:r>
      <w:r>
        <w:rPr>
          <w:rFonts w:hint="eastAsia" w:ascii="Times New Roman" w:hAnsi="Times New Roman" w:eastAsia="仿宋_GB2312"/>
          <w:sz w:val="28"/>
          <w:szCs w:val="28"/>
        </w:rPr>
        <w:t>（项目编号：2025-2304）</w:t>
      </w:r>
      <w:r>
        <w:rPr>
          <w:rFonts w:hint="eastAsia" w:ascii="Times New Roman" w:hAnsi="Times New Roman" w:eastAsia="仿宋_GB2312"/>
          <w:sz w:val="28"/>
          <w:szCs w:val="28"/>
          <w:lang w:eastAsia="zh-CN"/>
        </w:rPr>
        <w:t>获批立项。</w:t>
      </w:r>
    </w:p>
    <w:p w14:paraId="718E1A1E">
      <w:pPr>
        <w:ind w:firstLine="560" w:firstLineChars="200"/>
        <w:rPr>
          <w:rFonts w:hint="eastAsia" w:ascii="Times New Roman" w:hAnsi="Times New Roman" w:eastAsia="仿宋_GB2312"/>
          <w:sz w:val="28"/>
          <w:szCs w:val="28"/>
          <w:lang w:eastAsia="zh-CN"/>
        </w:rPr>
      </w:pPr>
      <w:r>
        <w:rPr>
          <w:rFonts w:hint="eastAsia" w:ascii="Times New Roman" w:hAnsi="Times New Roman" w:eastAsia="仿宋_GB2312"/>
          <w:sz w:val="28"/>
          <w:szCs w:val="28"/>
          <w:lang w:eastAsia="zh-CN"/>
        </w:rPr>
        <w:t>为高质量编制团体标准《天冬种苗繁殖技术规程》，由起草单位成立标准编制工作组并进行如下分工：</w:t>
      </w:r>
    </w:p>
    <w:tbl>
      <w:tblPr>
        <w:tblStyle w:val="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6"/>
        <w:gridCol w:w="1059"/>
        <w:gridCol w:w="1276"/>
        <w:gridCol w:w="2552"/>
        <w:gridCol w:w="3183"/>
      </w:tblGrid>
      <w:tr w14:paraId="02F98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956" w:type="dxa"/>
            <w:vAlign w:val="center"/>
          </w:tcPr>
          <w:p w14:paraId="3F7277C9">
            <w:pPr>
              <w:jc w:val="center"/>
              <w:rPr>
                <w:rFonts w:ascii="仿宋_GB2312" w:hAnsi="仿宋_GB2312" w:eastAsia="仿宋_GB2312" w:cs="仿宋_GB2312"/>
                <w:b/>
                <w:bCs w:val="0"/>
                <w:sz w:val="24"/>
              </w:rPr>
            </w:pPr>
            <w:r>
              <w:rPr>
                <w:rFonts w:hint="eastAsia" w:ascii="仿宋_GB2312" w:hAnsi="仿宋_GB2312" w:eastAsia="仿宋_GB2312" w:cs="仿宋_GB2312"/>
                <w:b/>
                <w:bCs w:val="0"/>
                <w:spacing w:val="-6"/>
                <w:sz w:val="24"/>
              </w:rPr>
              <w:t>姓名</w:t>
            </w:r>
          </w:p>
        </w:tc>
        <w:tc>
          <w:tcPr>
            <w:tcW w:w="1059" w:type="dxa"/>
            <w:vAlign w:val="center"/>
          </w:tcPr>
          <w:p w14:paraId="7D889392">
            <w:pPr>
              <w:jc w:val="center"/>
              <w:rPr>
                <w:rFonts w:ascii="仿宋_GB2312" w:hAnsi="仿宋_GB2312" w:eastAsia="仿宋_GB2312" w:cs="仿宋_GB2312"/>
                <w:b/>
                <w:bCs w:val="0"/>
                <w:sz w:val="24"/>
              </w:rPr>
            </w:pPr>
            <w:r>
              <w:rPr>
                <w:rFonts w:hint="eastAsia" w:ascii="仿宋_GB2312" w:hAnsi="仿宋_GB2312" w:eastAsia="仿宋_GB2312" w:cs="仿宋_GB2312"/>
                <w:b/>
                <w:bCs w:val="0"/>
                <w:spacing w:val="-6"/>
                <w:sz w:val="24"/>
              </w:rPr>
              <w:t>职务/职称</w:t>
            </w:r>
          </w:p>
        </w:tc>
        <w:tc>
          <w:tcPr>
            <w:tcW w:w="1276" w:type="dxa"/>
            <w:vAlign w:val="center"/>
          </w:tcPr>
          <w:p w14:paraId="63CC2F54">
            <w:pPr>
              <w:jc w:val="center"/>
              <w:rPr>
                <w:rFonts w:ascii="仿宋_GB2312" w:hAnsi="仿宋_GB2312" w:eastAsia="仿宋_GB2312" w:cs="仿宋_GB2312"/>
                <w:b/>
                <w:bCs w:val="0"/>
                <w:sz w:val="24"/>
              </w:rPr>
            </w:pPr>
            <w:r>
              <w:rPr>
                <w:rFonts w:hint="eastAsia" w:ascii="仿宋_GB2312" w:hAnsi="仿宋_GB2312" w:eastAsia="仿宋_GB2312" w:cs="仿宋_GB2312"/>
                <w:b/>
                <w:bCs w:val="0"/>
                <w:spacing w:val="-6"/>
                <w:sz w:val="24"/>
              </w:rPr>
              <w:t>从事专业</w:t>
            </w:r>
          </w:p>
        </w:tc>
        <w:tc>
          <w:tcPr>
            <w:tcW w:w="2552" w:type="dxa"/>
            <w:vAlign w:val="center"/>
          </w:tcPr>
          <w:p w14:paraId="2FBCB000">
            <w:pPr>
              <w:jc w:val="center"/>
              <w:rPr>
                <w:rFonts w:ascii="仿宋_GB2312" w:hAnsi="仿宋_GB2312" w:eastAsia="仿宋_GB2312" w:cs="仿宋_GB2312"/>
                <w:b/>
                <w:bCs w:val="0"/>
                <w:sz w:val="24"/>
              </w:rPr>
            </w:pPr>
            <w:r>
              <w:rPr>
                <w:rFonts w:hint="eastAsia" w:ascii="仿宋_GB2312" w:hAnsi="仿宋_GB2312" w:eastAsia="仿宋_GB2312" w:cs="仿宋_GB2312"/>
                <w:b/>
                <w:bCs w:val="0"/>
                <w:spacing w:val="-6"/>
                <w:sz w:val="24"/>
              </w:rPr>
              <w:t>工作单位</w:t>
            </w:r>
          </w:p>
        </w:tc>
        <w:tc>
          <w:tcPr>
            <w:tcW w:w="3183" w:type="dxa"/>
            <w:vAlign w:val="center"/>
          </w:tcPr>
          <w:p w14:paraId="6D620A51">
            <w:pPr>
              <w:jc w:val="center"/>
              <w:rPr>
                <w:rFonts w:ascii="仿宋_GB2312" w:hAnsi="仿宋_GB2312" w:eastAsia="仿宋_GB2312" w:cs="仿宋_GB2312"/>
                <w:b/>
                <w:bCs w:val="0"/>
                <w:sz w:val="24"/>
              </w:rPr>
            </w:pPr>
            <w:r>
              <w:rPr>
                <w:rFonts w:hint="eastAsia" w:ascii="仿宋_GB2312" w:hAnsi="仿宋_GB2312" w:eastAsia="仿宋_GB2312" w:cs="仿宋_GB2312"/>
                <w:b/>
                <w:bCs w:val="0"/>
                <w:spacing w:val="-6"/>
                <w:sz w:val="24"/>
              </w:rPr>
              <w:t>责任分工</w:t>
            </w:r>
          </w:p>
        </w:tc>
      </w:tr>
      <w:tr w14:paraId="13177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21C11E82">
            <w:pP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陆海燕</w:t>
            </w:r>
          </w:p>
        </w:tc>
        <w:tc>
          <w:tcPr>
            <w:tcW w:w="1059" w:type="dxa"/>
            <w:vAlign w:val="center"/>
          </w:tcPr>
          <w:p w14:paraId="06203F34">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副场长/高级工程师</w:t>
            </w:r>
          </w:p>
        </w:tc>
        <w:tc>
          <w:tcPr>
            <w:tcW w:w="1276" w:type="dxa"/>
            <w:vAlign w:val="center"/>
          </w:tcPr>
          <w:p w14:paraId="0D07DE4B">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1943B7F7">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3C97B9AC">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项目设计、立项申报、组织撰写、专家咨询与评审、验收、发布等。</w:t>
            </w:r>
          </w:p>
        </w:tc>
      </w:tr>
      <w:tr w14:paraId="20FB4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358486FF">
            <w:pP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冯  宇</w:t>
            </w:r>
          </w:p>
        </w:tc>
        <w:tc>
          <w:tcPr>
            <w:tcW w:w="1059" w:type="dxa"/>
            <w:vAlign w:val="center"/>
          </w:tcPr>
          <w:p w14:paraId="795D673D">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副场长/高级工程师</w:t>
            </w:r>
          </w:p>
        </w:tc>
        <w:tc>
          <w:tcPr>
            <w:tcW w:w="1276" w:type="dxa"/>
            <w:vAlign w:val="center"/>
          </w:tcPr>
          <w:p w14:paraId="7383FE1D">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2F833E30">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6B90D465">
            <w:pPr>
              <w:jc w:val="center"/>
              <w:rPr>
                <w:rFonts w:ascii="仿宋_GB2312" w:hAnsi="仿宋_GB2312" w:eastAsia="仿宋_GB2312" w:cs="仿宋_GB2312"/>
                <w:b w:val="0"/>
                <w:bCs/>
                <w:sz w:val="24"/>
                <w:szCs w:val="24"/>
              </w:rPr>
            </w:pPr>
            <w:r>
              <w:rPr>
                <w:rFonts w:hint="eastAsia" w:ascii="仿宋_GB2312" w:hAnsi="Times New Roman" w:eastAsia="仿宋_GB2312" w:cs="Calibri"/>
                <w:sz w:val="24"/>
                <w:szCs w:val="24"/>
              </w:rPr>
              <w:t>指导项目设计、立项申报、组织撰写、验收、发布等。</w:t>
            </w:r>
          </w:p>
        </w:tc>
      </w:tr>
      <w:tr w14:paraId="0DA71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2E9CBB94">
            <w:pPr>
              <w:jc w:val="center"/>
              <w:rPr>
                <w:rFonts w:ascii="仿宋_GB2312" w:hAnsi="仿宋_GB2312" w:eastAsia="仿宋_GB2312" w:cs="仿宋_GB2312"/>
                <w:b w:val="0"/>
                <w:bCs/>
                <w:sz w:val="24"/>
                <w:szCs w:val="24"/>
              </w:rPr>
            </w:pPr>
            <w:r>
              <w:rPr>
                <w:rFonts w:hint="eastAsia" w:ascii="Times New Roman" w:hAnsi="Times New Roman" w:eastAsia="仿宋_GB2312" w:cs="Times New Roman"/>
                <w:b w:val="0"/>
                <w:bCs/>
                <w:sz w:val="24"/>
                <w:lang w:val="en-US" w:eastAsia="zh-CN"/>
              </w:rPr>
              <w:t>苏远玉</w:t>
            </w:r>
          </w:p>
        </w:tc>
        <w:tc>
          <w:tcPr>
            <w:tcW w:w="1059" w:type="dxa"/>
            <w:vAlign w:val="center"/>
          </w:tcPr>
          <w:p w14:paraId="43BBEABF">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主任/高级工程师</w:t>
            </w:r>
          </w:p>
        </w:tc>
        <w:tc>
          <w:tcPr>
            <w:tcW w:w="1276" w:type="dxa"/>
            <w:vAlign w:val="center"/>
          </w:tcPr>
          <w:p w14:paraId="0C0BDDC7">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2C049269">
            <w:pPr>
              <w:jc w:val="center"/>
              <w:rPr>
                <w:rFonts w:ascii="仿宋_GB2312" w:hAnsi="仿宋_GB2312" w:eastAsia="仿宋_GB2312" w:cs="仿宋_GB2312"/>
                <w:b w:val="0"/>
                <w:bCs/>
                <w:sz w:val="24"/>
                <w:szCs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53E7FB8F">
            <w:pPr>
              <w:jc w:val="center"/>
              <w:rPr>
                <w:rFonts w:ascii="仿宋_GB2312" w:hAnsi="仿宋_GB2312" w:eastAsia="仿宋_GB2312" w:cs="仿宋_GB2312"/>
                <w:b w:val="0"/>
                <w:bCs/>
                <w:sz w:val="24"/>
                <w:szCs w:val="24"/>
              </w:rPr>
            </w:pPr>
            <w:r>
              <w:rPr>
                <w:rFonts w:hint="eastAsia" w:ascii="仿宋_GB2312" w:hAnsi="Times New Roman" w:eastAsia="仿宋_GB2312" w:cs="Calibri"/>
                <w:sz w:val="24"/>
                <w:szCs w:val="24"/>
              </w:rPr>
              <w:t>指导项目设计、立项申报、参与撰写等。</w:t>
            </w:r>
          </w:p>
        </w:tc>
      </w:tr>
      <w:tr w14:paraId="5D723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436D4DB4">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李凯军</w:t>
            </w:r>
          </w:p>
        </w:tc>
        <w:tc>
          <w:tcPr>
            <w:tcW w:w="1059" w:type="dxa"/>
            <w:vAlign w:val="center"/>
          </w:tcPr>
          <w:p w14:paraId="6AD22665">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科长/工程师</w:t>
            </w:r>
          </w:p>
        </w:tc>
        <w:tc>
          <w:tcPr>
            <w:tcW w:w="1276" w:type="dxa"/>
            <w:vAlign w:val="center"/>
          </w:tcPr>
          <w:p w14:paraId="0FC2C5F8">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3359E8B1">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5A154DC0">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指导项目设计、立项申报、参与撰写等。</w:t>
            </w:r>
          </w:p>
        </w:tc>
      </w:tr>
      <w:tr w14:paraId="58C78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0D22FF9E">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龙洁琼</w:t>
            </w:r>
          </w:p>
        </w:tc>
        <w:tc>
          <w:tcPr>
            <w:tcW w:w="1059" w:type="dxa"/>
            <w:vAlign w:val="center"/>
          </w:tcPr>
          <w:p w14:paraId="1831B96C">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副主任/工程师</w:t>
            </w:r>
          </w:p>
        </w:tc>
        <w:tc>
          <w:tcPr>
            <w:tcW w:w="1276" w:type="dxa"/>
            <w:vAlign w:val="center"/>
          </w:tcPr>
          <w:p w14:paraId="4AA792CA">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3674F869">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45F8A1FC">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4CAE4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18089432">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刘  婧</w:t>
            </w:r>
          </w:p>
        </w:tc>
        <w:tc>
          <w:tcPr>
            <w:tcW w:w="1059" w:type="dxa"/>
            <w:vAlign w:val="center"/>
          </w:tcPr>
          <w:p w14:paraId="6B9F8B90">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管理人员/助理工程师</w:t>
            </w:r>
          </w:p>
        </w:tc>
        <w:tc>
          <w:tcPr>
            <w:tcW w:w="1276" w:type="dxa"/>
            <w:vAlign w:val="center"/>
          </w:tcPr>
          <w:p w14:paraId="358F11E9">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08D7F564">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24245390">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数据资料收集、标准起草、撰写。</w:t>
            </w:r>
          </w:p>
        </w:tc>
      </w:tr>
      <w:tr w14:paraId="0F69A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7F306FAA">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杨秀敛</w:t>
            </w:r>
          </w:p>
        </w:tc>
        <w:tc>
          <w:tcPr>
            <w:tcW w:w="1059" w:type="dxa"/>
            <w:vAlign w:val="center"/>
          </w:tcPr>
          <w:p w14:paraId="7E8E09A5">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主任/高级工程师</w:t>
            </w:r>
          </w:p>
        </w:tc>
        <w:tc>
          <w:tcPr>
            <w:tcW w:w="1276" w:type="dxa"/>
            <w:vAlign w:val="center"/>
          </w:tcPr>
          <w:p w14:paraId="12110C82">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24DD6CD7">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42E5C0D5">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11778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09D9DA3E">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余玉珠</w:t>
            </w:r>
          </w:p>
        </w:tc>
        <w:tc>
          <w:tcPr>
            <w:tcW w:w="1059" w:type="dxa"/>
            <w:vAlign w:val="center"/>
          </w:tcPr>
          <w:p w14:paraId="277D093B">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林科所所长/高级工程师</w:t>
            </w:r>
          </w:p>
        </w:tc>
        <w:tc>
          <w:tcPr>
            <w:tcW w:w="1276" w:type="dxa"/>
            <w:vAlign w:val="center"/>
          </w:tcPr>
          <w:p w14:paraId="063F3A4A">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55D534ED">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75AC61F3">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4B7A5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65C66607">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蒋冬远</w:t>
            </w:r>
          </w:p>
        </w:tc>
        <w:tc>
          <w:tcPr>
            <w:tcW w:w="1059" w:type="dxa"/>
            <w:vAlign w:val="center"/>
          </w:tcPr>
          <w:p w14:paraId="426E3CF3">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分场场长/工程师</w:t>
            </w:r>
          </w:p>
        </w:tc>
        <w:tc>
          <w:tcPr>
            <w:tcW w:w="1276" w:type="dxa"/>
            <w:vAlign w:val="center"/>
          </w:tcPr>
          <w:p w14:paraId="46A1248D">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3483A271">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74DF49FD">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数据资料收集、标准起草、撰写。</w:t>
            </w:r>
          </w:p>
        </w:tc>
      </w:tr>
      <w:tr w14:paraId="51850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73D4B26A">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张家铭</w:t>
            </w:r>
          </w:p>
        </w:tc>
        <w:tc>
          <w:tcPr>
            <w:tcW w:w="1059" w:type="dxa"/>
            <w:vAlign w:val="center"/>
          </w:tcPr>
          <w:p w14:paraId="6B7A78E2">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副总经理/工程师</w:t>
            </w:r>
          </w:p>
        </w:tc>
        <w:tc>
          <w:tcPr>
            <w:tcW w:w="1276" w:type="dxa"/>
            <w:vAlign w:val="center"/>
          </w:tcPr>
          <w:p w14:paraId="748C6013">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7A15278D">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468D7AEF">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指导项目设计、标准起草、撰写。</w:t>
            </w:r>
          </w:p>
        </w:tc>
      </w:tr>
      <w:tr w14:paraId="0AACA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3619F234">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韩月美</w:t>
            </w:r>
          </w:p>
        </w:tc>
        <w:tc>
          <w:tcPr>
            <w:tcW w:w="1059" w:type="dxa"/>
            <w:vAlign w:val="center"/>
          </w:tcPr>
          <w:p w14:paraId="212B8433">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副科长/工程师</w:t>
            </w:r>
          </w:p>
        </w:tc>
        <w:tc>
          <w:tcPr>
            <w:tcW w:w="1276" w:type="dxa"/>
            <w:vAlign w:val="center"/>
          </w:tcPr>
          <w:p w14:paraId="6A2167C6">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69D18D2C">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4D443A83">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09C94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2D1713B9">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花育宁</w:t>
            </w:r>
          </w:p>
        </w:tc>
        <w:tc>
          <w:tcPr>
            <w:tcW w:w="1059" w:type="dxa"/>
            <w:vAlign w:val="center"/>
          </w:tcPr>
          <w:p w14:paraId="563DB2C6">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17D98A9A">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11307490">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2916B4BF">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09F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20445783">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梁新戊</w:t>
            </w:r>
          </w:p>
        </w:tc>
        <w:tc>
          <w:tcPr>
            <w:tcW w:w="1059" w:type="dxa"/>
            <w:vAlign w:val="center"/>
          </w:tcPr>
          <w:p w14:paraId="0D83A594">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07CF093F">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4DECFB2A">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6EEF960E">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调研、数据资料收集、标准起草、撰写。</w:t>
            </w:r>
          </w:p>
        </w:tc>
      </w:tr>
      <w:tr w14:paraId="7040F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3E3BAA72">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杨时波</w:t>
            </w:r>
          </w:p>
        </w:tc>
        <w:tc>
          <w:tcPr>
            <w:tcW w:w="1059" w:type="dxa"/>
            <w:vAlign w:val="center"/>
          </w:tcPr>
          <w:p w14:paraId="66A5E741">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69413992">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18B8DDE7">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283F40D7">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数据资料收集、标准起草、撰写。</w:t>
            </w:r>
          </w:p>
        </w:tc>
      </w:tr>
      <w:tr w14:paraId="0727C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1BEE05AA">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易玉樱</w:t>
            </w:r>
          </w:p>
        </w:tc>
        <w:tc>
          <w:tcPr>
            <w:tcW w:w="1059" w:type="dxa"/>
            <w:vAlign w:val="center"/>
          </w:tcPr>
          <w:p w14:paraId="30AF3D58">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019BF0F8">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76A066DF">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7B8D691F">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数据资料收集、标准起草、撰写。</w:t>
            </w:r>
          </w:p>
        </w:tc>
      </w:tr>
      <w:tr w14:paraId="7DF72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0EFEB8F5">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罗凤英</w:t>
            </w:r>
          </w:p>
        </w:tc>
        <w:tc>
          <w:tcPr>
            <w:tcW w:w="1059" w:type="dxa"/>
            <w:vAlign w:val="center"/>
          </w:tcPr>
          <w:p w14:paraId="584606A9">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5457EF68">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4E8834E7">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435411FB">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项目设计、立项申报、组织撰写、专家咨询与评审、验收、发布等。</w:t>
            </w:r>
          </w:p>
        </w:tc>
      </w:tr>
      <w:tr w14:paraId="1FDB2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0EADD241">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潘光敏</w:t>
            </w:r>
          </w:p>
        </w:tc>
        <w:tc>
          <w:tcPr>
            <w:tcW w:w="1059" w:type="dxa"/>
            <w:vAlign w:val="center"/>
          </w:tcPr>
          <w:p w14:paraId="5E95C57C">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438DB636">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58C56F6E">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5F8FDBD9">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指导项目设计、立项申报、组织撰写、验收、发布等。</w:t>
            </w:r>
          </w:p>
        </w:tc>
      </w:tr>
      <w:tr w14:paraId="5DF4F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7BAE1039">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杨  翠</w:t>
            </w:r>
          </w:p>
        </w:tc>
        <w:tc>
          <w:tcPr>
            <w:tcW w:w="1059" w:type="dxa"/>
            <w:vAlign w:val="center"/>
          </w:tcPr>
          <w:p w14:paraId="56C757B1">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251887E4">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7662C0D8">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3CB21C74">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指导项目设计、立项申报、参与撰写等。</w:t>
            </w:r>
          </w:p>
        </w:tc>
      </w:tr>
      <w:tr w14:paraId="4256C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6" w:type="dxa"/>
            <w:vAlign w:val="center"/>
          </w:tcPr>
          <w:p w14:paraId="56192D5A">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黄文青</w:t>
            </w:r>
          </w:p>
        </w:tc>
        <w:tc>
          <w:tcPr>
            <w:tcW w:w="1059" w:type="dxa"/>
            <w:vAlign w:val="center"/>
          </w:tcPr>
          <w:p w14:paraId="1028B50A">
            <w:pPr>
              <w:jc w:val="center"/>
              <w:rPr>
                <w:rFonts w:ascii="仿宋_GB2312" w:hAnsi="仿宋_GB2312" w:eastAsia="仿宋_GB2312" w:cs="仿宋_GB2312"/>
                <w:b w:val="0"/>
                <w:bCs/>
                <w:sz w:val="24"/>
              </w:rPr>
            </w:pPr>
            <w:r>
              <w:rPr>
                <w:rFonts w:hint="eastAsia" w:ascii="Times New Roman" w:hAnsi="Times New Roman" w:eastAsia="仿宋_GB2312" w:cs="Times New Roman"/>
                <w:b w:val="0"/>
                <w:bCs/>
                <w:sz w:val="24"/>
                <w:lang w:val="en-US" w:eastAsia="zh-CN"/>
              </w:rPr>
              <w:t>管理人员/工程师</w:t>
            </w:r>
          </w:p>
        </w:tc>
        <w:tc>
          <w:tcPr>
            <w:tcW w:w="1276" w:type="dxa"/>
            <w:vAlign w:val="center"/>
          </w:tcPr>
          <w:p w14:paraId="49D9A572">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林业</w:t>
            </w:r>
          </w:p>
        </w:tc>
        <w:tc>
          <w:tcPr>
            <w:tcW w:w="2552" w:type="dxa"/>
            <w:vAlign w:val="center"/>
          </w:tcPr>
          <w:p w14:paraId="4003078B">
            <w:pPr>
              <w:jc w:val="center"/>
              <w:rPr>
                <w:rFonts w:ascii="仿宋_GB2312" w:hAnsi="仿宋_GB2312" w:eastAsia="仿宋_GB2312" w:cs="仿宋_GB2312"/>
                <w:b w:val="0"/>
                <w:bCs/>
                <w:sz w:val="24"/>
              </w:rPr>
            </w:pPr>
            <w:r>
              <w:rPr>
                <w:rFonts w:hint="eastAsia" w:ascii="仿宋_GB2312" w:hAnsi="仿宋_GB2312" w:eastAsia="仿宋_GB2312" w:cs="仿宋_GB2312"/>
                <w:b w:val="0"/>
                <w:bCs/>
                <w:spacing w:val="-6"/>
                <w:sz w:val="24"/>
                <w:lang w:val="en-US" w:eastAsia="zh-CN"/>
              </w:rPr>
              <w:t>广西国有钦廉林场</w:t>
            </w:r>
          </w:p>
        </w:tc>
        <w:tc>
          <w:tcPr>
            <w:tcW w:w="3183" w:type="dxa"/>
            <w:vAlign w:val="center"/>
          </w:tcPr>
          <w:p w14:paraId="104782C7">
            <w:pPr>
              <w:jc w:val="center"/>
              <w:rPr>
                <w:rFonts w:ascii="仿宋_GB2312" w:hAnsi="仿宋_GB2312" w:eastAsia="仿宋_GB2312" w:cs="仿宋_GB2312"/>
                <w:b w:val="0"/>
                <w:bCs/>
                <w:sz w:val="24"/>
              </w:rPr>
            </w:pPr>
            <w:r>
              <w:rPr>
                <w:rFonts w:hint="eastAsia" w:ascii="仿宋_GB2312" w:hAnsi="Times New Roman" w:eastAsia="仿宋_GB2312" w:cs="Calibri"/>
                <w:sz w:val="24"/>
                <w:szCs w:val="24"/>
              </w:rPr>
              <w:t>指导项目设计、立项申报、参与撰写等。</w:t>
            </w:r>
          </w:p>
        </w:tc>
      </w:tr>
    </w:tbl>
    <w:p w14:paraId="48D34BB0">
      <w:pPr>
        <w:spacing w:before="156" w:beforeLines="50" w:after="156" w:afterLines="50"/>
        <w:rPr>
          <w:rFonts w:ascii="黑体" w:hAnsi="黑体" w:eastAsia="黑体"/>
          <w:sz w:val="32"/>
          <w:szCs w:val="32"/>
        </w:rPr>
      </w:pPr>
      <w:r>
        <w:rPr>
          <w:rFonts w:hint="eastAsia" w:ascii="黑体" w:hAnsi="黑体" w:eastAsia="黑体"/>
          <w:sz w:val="32"/>
          <w:szCs w:val="32"/>
        </w:rPr>
        <w:t>二、项目背景及目的意义</w:t>
      </w:r>
    </w:p>
    <w:p w14:paraId="17646670">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国家标准化发展纲要》要求健全现代农业全产业链标准体系，覆盖种苗繁殖、生产管理等环节。国家出台的《关于林木种苗事业高质量发展的意见》《林草种苗振兴三年行动方案（2023—2025年）》等文件强调，种苗是林业事业发展的重要基础，要推进种质资源调查、收集、保存和利用，着力研发培育抗病虫害、抗逆性强的林草良种，加强标准化建设，积极开展种苗繁殖基地建设，全面提升林草种质资源保护利用能力、育种创新能力、种苗生产供应能力和市场监管能力，提高种苗质量和效益。《关于促进林下经济高质量发展的指导意见》（林改发〔2022〕111号）鼓励发展林下中药材种植，推动标准化、规模化生产。《广西壮族自治自区林木种苗条例》也指出，要重点开展用材林、经济林、防护林、能源林、特种用途林的林木品种选育和推广，支持选育具有自主知识产权的优良林木品种。《中医药发展战略规划纲要（2016—2030年）》明确提出加强中药材资源保护和可持续利用，规范中药材种植技术。此外，自治区农业农村厅印发《广西“十四五”中药材种植业高质量发展专项规划》也指出，要建立优良品种种子种苗繁殖推广体系，加大新品种选繁殖推广力度，提高新品种生产占有率，提升中药材的产量、质量和效益，当前国家和政府高度重视林木种苗的繁殖推广。</w:t>
      </w:r>
    </w:p>
    <w:p w14:paraId="73444E3E">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天冬（</w:t>
      </w:r>
      <w:r>
        <w:rPr>
          <w:rFonts w:hint="eastAsia" w:ascii="Times New Roman" w:hAnsi="Times New Roman" w:eastAsia="仿宋_GB2312" w:cs="Times New Roman"/>
          <w:i/>
          <w:iCs/>
          <w:sz w:val="28"/>
          <w:szCs w:val="28"/>
        </w:rPr>
        <w:t>Asparagus cochinchinensis</w:t>
      </w:r>
      <w:r>
        <w:rPr>
          <w:rFonts w:hint="eastAsia" w:ascii="Times New Roman" w:hAnsi="Times New Roman" w:eastAsia="仿宋_GB2312" w:cs="Times New Roman"/>
          <w:sz w:val="28"/>
          <w:szCs w:val="28"/>
        </w:rPr>
        <w:t>）为百合科(Liliaceae)植物</w:t>
      </w:r>
      <w:r>
        <w:rPr>
          <w:rFonts w:hint="eastAsia" w:ascii="Times New Roman" w:hAnsi="Times New Roman" w:eastAsia="仿宋_GB2312" w:cs="Times New Roman"/>
          <w:sz w:val="28"/>
          <w:szCs w:val="28"/>
          <w:lang w:eastAsia="zh-CN"/>
        </w:rPr>
        <w:t>天冬</w:t>
      </w:r>
      <w:r>
        <w:rPr>
          <w:rFonts w:hint="eastAsia" w:ascii="Times New Roman" w:hAnsi="Times New Roman" w:eastAsia="仿宋_GB2312" w:cs="Times New Roman"/>
          <w:sz w:val="28"/>
          <w:szCs w:val="28"/>
        </w:rPr>
        <w:t>(</w:t>
      </w:r>
      <w:r>
        <w:rPr>
          <w:rFonts w:hint="eastAsia" w:ascii="Times New Roman" w:hAnsi="Times New Roman" w:eastAsia="仿宋_GB2312" w:cs="Times New Roman"/>
          <w:i/>
          <w:iCs/>
          <w:sz w:val="28"/>
          <w:szCs w:val="28"/>
        </w:rPr>
        <w:t xml:space="preserve">Asparaguscochinchinensis </w:t>
      </w:r>
      <w:r>
        <w:rPr>
          <w:rFonts w:hint="eastAsia" w:ascii="Times New Roman" w:hAnsi="Times New Roman" w:eastAsia="仿宋_GB2312" w:cs="Times New Roman"/>
          <w:sz w:val="28"/>
          <w:szCs w:val="28"/>
        </w:rPr>
        <w:t>(Lour.) Merr.)的块根。天冬为传统中药，载于《神农本草经》，列为上品，历代本草均有记载，具有滋阴润燥、清肺生津的功能，用于肺燥干咳、顿咳痰粘、咽干口渴、肠燥便秘等症。全国分布广泛，主产于贵州、广西、云南、甘肃 、安徽、河南 、湖南、湖北、四川等地，江西等地亦产。随着中医药产业的蓬勃发展和“林下经济”模式的广泛推广，利用丰富的林地资源开展天冬林下仿野生种植已成为提升药材品质、增加林地产出、助力乡村振兴的重要途径。然当前天冬产业发展面临的关键瓶颈之一是种苗质量参差不齐、繁殖技术缺乏统一规范。种苗作为中药材生产的源头，其纯度、健壮度及遗传稳定性直接决定了后续林下种植的成活率、生长势、药材产量与质量，更关系到林地资源的有效利用和生态安全。</w:t>
      </w:r>
    </w:p>
    <w:p w14:paraId="1AB00BE9">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我国农业经济正由高速增长阶段转向高质量发展阶段，农业生产模式从使用简单农具、凭借传统经验的农户耕作，转变为机械化、规范化、绿色化及管理集约化的种植模式。种子种苗处于现代农业经济链的最前端，在农作物生产实践中起到了关键性的作用，并制约了产业的发展。作为农作物中的特色农产品资源，中药材与其他作物相比，生产技术研究起步晚，传统的种子种苗繁殖技术相对落后。随着中药材市场需求量的增加及农业技术的巨大变革，优质种质资源繁殖成为中药材产业发展的方向和瓶颈。据编制组前期调研可知，2024年全国天冬种植面积约15万亩，但优质种苗覆盖率不足30%，主要集中在中部到南部地区，如贵港、来宾、北海、南宁等地。广西多地都在采用先进的繁殖技术来提升种苗质量和产量。贵港市众益中药材种植专业合作社的天冬育苗基地目前有350万株天冬苗，可以种植2000亩的天冬，种苗主要发往贵港本地、来宾周边和四川等地。随着天冬市场需求的逐年递增，其价格也较为可观，鲜货可达6000-10000元/吨，干货价格32000-80000元/吨。这吸引了众多企业和种植户投身天冬种植产业。以目前的发展趋势预估，未来2-3年内，广西可能新增多家相关企业参与天冬种苗繁殖和种植业务，种植户数量预计持续增加。像北海市太平岭村在吴远富的带领下，已有8户村民加入天冬种植行列，面积超过300亩 ，未来可能会有更多村民看到效益后参与进来。此外，广西星壹农业有限公司在乐勇村流转600亩土地种植天冬，也为当地农户起到示范作用，吸引更多人关注天冬种植技术及产业发展，通过人工种苗繁殖技术，实现天冬的规模化种植，可以减少对野生天冬的依赖，保护野生天冬资源及其生态环境。</w:t>
      </w:r>
    </w:p>
    <w:p w14:paraId="6F500F17">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制定《天冬种苗繁殖技术</w:t>
      </w:r>
      <w:r>
        <w:rPr>
          <w:rFonts w:hint="eastAsia" w:ascii="Times New Roman" w:hAnsi="Times New Roman" w:eastAsia="仿宋_GB2312" w:cs="Times New Roman"/>
          <w:sz w:val="28"/>
          <w:szCs w:val="28"/>
          <w:lang w:eastAsia="zh-CN"/>
        </w:rPr>
        <w:t>规程</w:t>
      </w:r>
      <w:r>
        <w:rPr>
          <w:rFonts w:hint="eastAsia" w:ascii="Times New Roman" w:hAnsi="Times New Roman" w:eastAsia="仿宋_GB2312" w:cs="Times New Roman"/>
          <w:sz w:val="28"/>
          <w:szCs w:val="28"/>
        </w:rPr>
        <w:t>》团体标准具有重要的现实意义和战略价值。首先，该标准旨在规范天冬种苗的繁殖全过程（包括种子处理、育苗方式、环境控制、病虫害防治、种苗分级等关键环节），为林下中药材天冬的标准化、规模化种植提供源头保障。统一的种苗标准能显著提升林下种植天冬的整齐度和抗逆性，降低种植风险，提高土地利用效率和经济效益。其次，标准化的种苗是实现林下中药材“优质、安全、稳定、可控”生产目标的基础前提。 规范化的种苗繁殖技术有助于从源头上控制药材质量，减少农药化肥使用，保障最终药材产品的有效成分含量稳定和用药安全，符合中药材产业高质量发展和GAP（良好农业规范）的要求。再者，该标准的制定与实施将有力推动林下中药材种植模式的规范化发展。它填补了天冬林下种植在种苗环节的技术标准空白，为种植企业、合作社和农户提供了明确的技术依据和操作指南，有助于整合产业链资源，提升天冬产业的整体竞争力和可持续发展能力，同时促进林地生态保护与经济效益的协同提升（“绿水青山就是金山银山”理念的实践）。</w:t>
      </w:r>
    </w:p>
    <w:p w14:paraId="74DEE8FE">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通过制定团体标准《天冬种苗繁殖技术规程》，以标准为抓手，统一规范天冬种苗繁殖技术要求，用标准化和规范化更好的指导天冬种苗繁殖工作，将为保障中药材有效供给、促进林农增收、服务国家中医药发展战略和大健康产业需求发挥积极作用。</w:t>
      </w:r>
    </w:p>
    <w:p w14:paraId="712431F1">
      <w:pPr>
        <w:spacing w:before="156" w:beforeLines="50" w:after="156" w:afterLines="50"/>
        <w:rPr>
          <w:rFonts w:ascii="黑体" w:hAnsi="黑体" w:eastAsia="黑体"/>
          <w:sz w:val="32"/>
          <w:szCs w:val="32"/>
        </w:rPr>
      </w:pPr>
      <w:r>
        <w:rPr>
          <w:rFonts w:hint="eastAsia" w:ascii="黑体" w:hAnsi="黑体" w:eastAsia="黑体"/>
          <w:sz w:val="32"/>
          <w:szCs w:val="32"/>
        </w:rPr>
        <w:t>三、项目编制过程</w:t>
      </w:r>
    </w:p>
    <w:p w14:paraId="6E6A487E">
      <w:pPr>
        <w:ind w:firstLine="640" w:firstLineChars="200"/>
        <w:rPr>
          <w:rFonts w:ascii="楷体" w:hAnsi="楷体" w:eastAsia="楷体"/>
          <w:sz w:val="32"/>
          <w:szCs w:val="32"/>
        </w:rPr>
      </w:pPr>
      <w:r>
        <w:rPr>
          <w:rFonts w:ascii="楷体" w:hAnsi="楷体" w:eastAsia="楷体"/>
          <w:sz w:val="32"/>
          <w:szCs w:val="32"/>
        </w:rPr>
        <w:t>(一）成立标准编制工作组</w:t>
      </w:r>
    </w:p>
    <w:p w14:paraId="036DA4C9">
      <w:pPr>
        <w:ind w:firstLine="560" w:firstLineChars="200"/>
        <w:rPr>
          <w:rFonts w:hint="eastAsia" w:ascii="Times New Roman" w:hAnsi="Times New Roman" w:eastAsia="仿宋_GB2312"/>
          <w:sz w:val="28"/>
          <w:szCs w:val="28"/>
        </w:rPr>
      </w:pPr>
      <w:r>
        <w:rPr>
          <w:rFonts w:hint="eastAsia" w:ascii="Times New Roman" w:hAnsi="Times New Roman" w:eastAsia="仿宋_GB2312"/>
          <w:sz w:val="28"/>
          <w:szCs w:val="28"/>
        </w:rPr>
        <w:t>团体标准《</w:t>
      </w:r>
      <w:r>
        <w:rPr>
          <w:rFonts w:hint="eastAsia" w:ascii="Times New Roman" w:hAnsi="Times New Roman" w:eastAsia="仿宋_GB2312"/>
          <w:sz w:val="28"/>
          <w:szCs w:val="28"/>
          <w:lang w:val="en-US" w:eastAsia="zh-CN"/>
        </w:rPr>
        <w:t>天冬种苗繁殖技术</w:t>
      </w:r>
      <w:r>
        <w:rPr>
          <w:rFonts w:hint="eastAsia" w:ascii="Times New Roman" w:hAnsi="Times New Roman" w:eastAsia="仿宋_GB2312"/>
          <w:sz w:val="28"/>
          <w:szCs w:val="28"/>
        </w:rPr>
        <w:t>》项目任务下达后，成立了标准编制工作组，制定了标准编写方案，明确任务职责，确定工作技术路线，开展标准研制工作，具体标准编制工作由广西钦廉林场和广西壮族自治区药用植物园的相关人员配合。编制工作组下设三个组，分别是资料收集组、草案编写组、标准实施组。</w:t>
      </w:r>
    </w:p>
    <w:p w14:paraId="09BB4202">
      <w:pPr>
        <w:ind w:firstLine="560" w:firstLineChars="200"/>
        <w:rPr>
          <w:rFonts w:hint="eastAsia" w:ascii="Times New Roman" w:hAnsi="Times New Roman" w:eastAsia="仿宋_GB2312"/>
          <w:sz w:val="28"/>
          <w:szCs w:val="28"/>
        </w:rPr>
      </w:pPr>
      <w:r>
        <w:rPr>
          <w:rFonts w:hint="eastAsia" w:ascii="Times New Roman" w:hAnsi="Times New Roman" w:eastAsia="仿宋_GB2312"/>
          <w:sz w:val="28"/>
          <w:szCs w:val="28"/>
        </w:rPr>
        <w:t>资料收集组负责国内外有关五指毛桃主要病虫害综合防治的文献资料的查询、收集和整理工作，查阅前人对五指毛桃主要病虫害综合防治研究情况和目前科学界对此的研究进展。</w:t>
      </w:r>
    </w:p>
    <w:p w14:paraId="27FE6A65">
      <w:pPr>
        <w:ind w:firstLine="560" w:firstLineChars="200"/>
        <w:rPr>
          <w:rFonts w:hint="eastAsia" w:ascii="Times New Roman" w:hAnsi="Times New Roman" w:eastAsia="仿宋_GB2312"/>
          <w:sz w:val="28"/>
          <w:szCs w:val="28"/>
        </w:rPr>
      </w:pPr>
      <w:r>
        <w:rPr>
          <w:rFonts w:hint="eastAsia" w:ascii="Times New Roman" w:hAnsi="Times New Roman" w:eastAsia="仿宋_GB2312"/>
          <w:sz w:val="28"/>
          <w:szCs w:val="28"/>
        </w:rPr>
        <w:t>草案编写组负责起草标准草案、征求意见稿和标准编制说明、送审稿及编制说明的编写工作，包括后期召开征求意见会、网上征求意见，以及标准的不断修改和完善。</w:t>
      </w:r>
    </w:p>
    <w:p w14:paraId="6B3FB671">
      <w:pPr>
        <w:ind w:firstLine="560" w:firstLineChars="200"/>
        <w:rPr>
          <w:rFonts w:hint="eastAsia" w:ascii="Times New Roman" w:hAnsi="Times New Roman" w:eastAsia="仿宋_GB2312"/>
          <w:sz w:val="28"/>
          <w:szCs w:val="28"/>
        </w:rPr>
      </w:pPr>
      <w:r>
        <w:rPr>
          <w:rFonts w:hint="eastAsia" w:ascii="Times New Roman" w:hAnsi="Times New Roman" w:eastAsia="仿宋_GB2312"/>
          <w:sz w:val="28"/>
          <w:szCs w:val="28"/>
        </w:rPr>
        <w:t>标准实施组负责《五指毛桃主要病虫害综合防治规范》团体标准发布后，组织相关评价机构开展标准宣贯评价会，对标准进行详细解读，让相关人员了解标准，并根据标准对五指毛桃主要病虫害综合防治规范进行规范化操作，并对标准实施情况进行总结分析，不断对团体标准提出修正意见。</w:t>
      </w:r>
    </w:p>
    <w:p w14:paraId="29505CCF">
      <w:pPr>
        <w:ind w:firstLine="640" w:firstLineChars="200"/>
        <w:rPr>
          <w:rFonts w:ascii="楷体" w:hAnsi="楷体" w:eastAsia="楷体"/>
          <w:sz w:val="32"/>
          <w:szCs w:val="32"/>
        </w:rPr>
      </w:pPr>
      <w:r>
        <w:rPr>
          <w:rFonts w:hint="eastAsia" w:ascii="楷体" w:hAnsi="楷体" w:eastAsia="楷体"/>
          <w:sz w:val="32"/>
          <w:szCs w:val="32"/>
        </w:rPr>
        <w:t>（二）收集整理文献资料</w:t>
      </w:r>
    </w:p>
    <w:p w14:paraId="7468E0F3">
      <w:pPr>
        <w:pStyle w:val="8"/>
        <w:numPr>
          <w:ilvl w:val="0"/>
          <w:numId w:val="2"/>
        </w:numPr>
        <w:spacing w:line="560" w:lineRule="exact"/>
        <w:ind w:firstLine="560"/>
        <w:rPr>
          <w:rFonts w:ascii="Times New Roman" w:hAnsi="Times New Roman" w:eastAsia="仿宋_GB2312"/>
          <w:sz w:val="28"/>
          <w:szCs w:val="28"/>
        </w:rPr>
      </w:pPr>
      <w:r>
        <w:rPr>
          <w:rFonts w:hint="eastAsia" w:ascii="Times New Roman" w:hAnsi="Times New Roman" w:eastAsia="仿宋_GB2312"/>
          <w:sz w:val="28"/>
          <w:szCs w:val="28"/>
        </w:rPr>
        <w:t>胡玉霞</w:t>
      </w:r>
      <w:r>
        <w:rPr>
          <w:rFonts w:ascii="Times New Roman" w:hAnsi="Times New Roman" w:eastAsia="仿宋_GB2312"/>
          <w:sz w:val="28"/>
          <w:szCs w:val="28"/>
        </w:rPr>
        <w:t>,李君,王跃武,等.HPLC-MS/MS法同时测定</w:t>
      </w:r>
      <w:r>
        <w:rPr>
          <w:rFonts w:hint="eastAsia" w:ascii="Times New Roman" w:hAnsi="Times New Roman" w:eastAsia="仿宋_GB2312"/>
          <w:sz w:val="28"/>
          <w:szCs w:val="28"/>
          <w:lang w:eastAsia="zh-CN"/>
        </w:rPr>
        <w:t>天冬</w:t>
      </w:r>
      <w:r>
        <w:rPr>
          <w:rFonts w:ascii="Times New Roman" w:hAnsi="Times New Roman" w:eastAsia="仿宋_GB2312"/>
          <w:sz w:val="28"/>
          <w:szCs w:val="28"/>
        </w:rPr>
        <w:t>七味散中12种成分的含量[J/OL].中成药,2024</w:t>
      </w:r>
      <w:r>
        <w:rPr>
          <w:rFonts w:hint="eastAsia" w:ascii="Times New Roman" w:hAnsi="Times New Roman" w:eastAsia="仿宋_GB2312"/>
          <w:sz w:val="28"/>
          <w:szCs w:val="28"/>
        </w:rPr>
        <w:t>,</w:t>
      </w:r>
      <w:r>
        <w:rPr>
          <w:rFonts w:ascii="Times New Roman" w:hAnsi="Times New Roman" w:eastAsia="仿宋_GB2312"/>
          <w:sz w:val="28"/>
          <w:szCs w:val="28"/>
        </w:rPr>
        <w:t>,1-5.</w:t>
      </w:r>
    </w:p>
    <w:p w14:paraId="34BB1923">
      <w:pPr>
        <w:pStyle w:val="8"/>
        <w:numPr>
          <w:ilvl w:val="0"/>
          <w:numId w:val="2"/>
        </w:numPr>
        <w:spacing w:line="560" w:lineRule="exact"/>
        <w:ind w:firstLine="560"/>
        <w:rPr>
          <w:rFonts w:ascii="Times New Roman" w:hAnsi="Times New Roman" w:eastAsia="仿宋_GB2312"/>
          <w:sz w:val="28"/>
          <w:szCs w:val="28"/>
        </w:rPr>
      </w:pPr>
      <w:r>
        <w:rPr>
          <w:rFonts w:hint="eastAsia" w:ascii="Times New Roman" w:hAnsi="Times New Roman" w:eastAsia="仿宋_GB2312"/>
          <w:sz w:val="28"/>
          <w:szCs w:val="28"/>
        </w:rPr>
        <w:t>吴佐斌,陈阳拓,郭永丽.中药天冬的生物学习性及其栽培管理[J].</w:t>
      </w:r>
      <w:r>
        <w:rPr>
          <w:rFonts w:hint="eastAsia" w:ascii="Times New Roman" w:hAnsi="Times New Roman" w:eastAsia="仿宋_GB2312"/>
          <w:sz w:val="28"/>
          <w:szCs w:val="28"/>
          <w:lang w:val="en-US" w:eastAsia="zh-CN"/>
        </w:rPr>
        <w:t xml:space="preserve"> </w:t>
      </w:r>
      <w:r>
        <w:rPr>
          <w:rFonts w:hint="eastAsia" w:ascii="Times New Roman" w:hAnsi="Times New Roman" w:eastAsia="仿宋_GB2312"/>
          <w:sz w:val="28"/>
          <w:szCs w:val="28"/>
        </w:rPr>
        <w:t>陕西农业科学,</w:t>
      </w:r>
      <w:r>
        <w:rPr>
          <w:rFonts w:hint="eastAsia" w:ascii="Times New Roman" w:hAnsi="Times New Roman" w:eastAsia="仿宋_GB2312"/>
          <w:sz w:val="28"/>
          <w:szCs w:val="28"/>
          <w:lang w:val="en-US" w:eastAsia="zh-CN"/>
        </w:rPr>
        <w:t xml:space="preserve"> </w:t>
      </w:r>
      <w:r>
        <w:rPr>
          <w:rFonts w:hint="eastAsia" w:ascii="Times New Roman" w:hAnsi="Times New Roman" w:eastAsia="仿宋_GB2312"/>
          <w:sz w:val="28"/>
          <w:szCs w:val="28"/>
        </w:rPr>
        <w:t>2024,</w:t>
      </w:r>
      <w:r>
        <w:rPr>
          <w:rFonts w:hint="eastAsia" w:ascii="Times New Roman" w:hAnsi="Times New Roman" w:eastAsia="仿宋_GB2312"/>
          <w:sz w:val="28"/>
          <w:szCs w:val="28"/>
          <w:lang w:val="en-US" w:eastAsia="zh-CN"/>
        </w:rPr>
        <w:t xml:space="preserve"> </w:t>
      </w:r>
      <w:r>
        <w:rPr>
          <w:rFonts w:hint="eastAsia" w:ascii="Times New Roman" w:hAnsi="Times New Roman" w:eastAsia="仿宋_GB2312"/>
          <w:sz w:val="28"/>
          <w:szCs w:val="28"/>
        </w:rPr>
        <w:t>70(08):</w:t>
      </w:r>
      <w:r>
        <w:rPr>
          <w:rFonts w:hint="eastAsia" w:ascii="Times New Roman" w:hAnsi="Times New Roman" w:eastAsia="仿宋_GB2312"/>
          <w:sz w:val="28"/>
          <w:szCs w:val="28"/>
          <w:lang w:val="en-US" w:eastAsia="zh-CN"/>
        </w:rPr>
        <w:t xml:space="preserve"> </w:t>
      </w:r>
      <w:r>
        <w:rPr>
          <w:rFonts w:hint="eastAsia" w:ascii="Times New Roman" w:hAnsi="Times New Roman" w:eastAsia="仿宋_GB2312"/>
          <w:sz w:val="28"/>
          <w:szCs w:val="28"/>
        </w:rPr>
        <w:t>49-52+58.</w:t>
      </w:r>
    </w:p>
    <w:p w14:paraId="579C17A3">
      <w:pPr>
        <w:pStyle w:val="8"/>
        <w:numPr>
          <w:ilvl w:val="0"/>
          <w:numId w:val="2"/>
        </w:numPr>
        <w:spacing w:line="560" w:lineRule="exact"/>
        <w:ind w:firstLine="560"/>
        <w:rPr>
          <w:rFonts w:ascii="Times New Roman" w:hAnsi="Times New Roman" w:eastAsia="仿宋_GB2312"/>
          <w:sz w:val="28"/>
          <w:szCs w:val="28"/>
        </w:rPr>
      </w:pPr>
      <w:r>
        <w:rPr>
          <w:rFonts w:ascii="Times New Roman" w:hAnsi="Times New Roman" w:eastAsia="仿宋_GB2312"/>
          <w:sz w:val="28"/>
          <w:szCs w:val="28"/>
        </w:rPr>
        <w:t>杨平飞,罗鸣,刘海,等.</w:t>
      </w:r>
      <w:r>
        <w:rPr>
          <w:rFonts w:hint="eastAsia" w:ascii="Times New Roman" w:hAnsi="Times New Roman" w:eastAsia="仿宋_GB2312"/>
          <w:sz w:val="28"/>
          <w:szCs w:val="28"/>
          <w:lang w:eastAsia="zh-CN"/>
        </w:rPr>
        <w:t>天冬</w:t>
      </w:r>
      <w:r>
        <w:rPr>
          <w:rFonts w:ascii="Times New Roman" w:hAnsi="Times New Roman" w:eastAsia="仿宋_GB2312"/>
          <w:sz w:val="28"/>
          <w:szCs w:val="28"/>
        </w:rPr>
        <w:t>组织培养研究[J].种子,2019,38(05):100-102.</w:t>
      </w:r>
    </w:p>
    <w:p w14:paraId="2A90DDC9">
      <w:pPr>
        <w:pStyle w:val="8"/>
        <w:numPr>
          <w:ilvl w:val="0"/>
          <w:numId w:val="2"/>
        </w:numPr>
        <w:spacing w:line="560" w:lineRule="exact"/>
        <w:ind w:firstLine="560"/>
        <w:rPr>
          <w:rFonts w:ascii="Times New Roman" w:hAnsi="Times New Roman" w:eastAsia="仿宋_GB2312"/>
          <w:sz w:val="28"/>
          <w:szCs w:val="28"/>
        </w:rPr>
      </w:pPr>
      <w:r>
        <w:rPr>
          <w:rFonts w:ascii="Times New Roman" w:hAnsi="Times New Roman" w:eastAsia="仿宋_GB2312"/>
          <w:sz w:val="28"/>
          <w:szCs w:val="28"/>
        </w:rPr>
        <w:t>潘丽梅,马小军,韦树根,等.</w:t>
      </w:r>
      <w:r>
        <w:rPr>
          <w:rFonts w:hint="eastAsia" w:ascii="Times New Roman" w:hAnsi="Times New Roman" w:eastAsia="仿宋_GB2312"/>
          <w:sz w:val="28"/>
          <w:szCs w:val="28"/>
          <w:lang w:eastAsia="zh-CN"/>
        </w:rPr>
        <w:t>天冬</w:t>
      </w:r>
      <w:r>
        <w:rPr>
          <w:rFonts w:ascii="Times New Roman" w:hAnsi="Times New Roman" w:eastAsia="仿宋_GB2312"/>
          <w:sz w:val="28"/>
          <w:szCs w:val="28"/>
        </w:rPr>
        <w:t>组织培养条件的优化[J].湖北农业科学,</w:t>
      </w:r>
      <w:r>
        <w:rPr>
          <w:rFonts w:hint="eastAsia" w:ascii="Times New Roman" w:hAnsi="Times New Roman" w:eastAsia="仿宋_GB2312"/>
          <w:sz w:val="28"/>
          <w:szCs w:val="28"/>
          <w:lang w:val="en-US" w:eastAsia="zh-CN"/>
        </w:rPr>
        <w:t xml:space="preserve"> </w:t>
      </w:r>
      <w:r>
        <w:rPr>
          <w:rFonts w:ascii="Times New Roman" w:hAnsi="Times New Roman" w:eastAsia="仿宋_GB2312"/>
          <w:sz w:val="28"/>
          <w:szCs w:val="28"/>
        </w:rPr>
        <w:t>2012,</w:t>
      </w:r>
      <w:r>
        <w:rPr>
          <w:rFonts w:hint="eastAsia" w:ascii="Times New Roman" w:hAnsi="Times New Roman" w:eastAsia="仿宋_GB2312"/>
          <w:sz w:val="28"/>
          <w:szCs w:val="28"/>
          <w:lang w:val="en-US" w:eastAsia="zh-CN"/>
        </w:rPr>
        <w:t xml:space="preserve"> </w:t>
      </w:r>
      <w:r>
        <w:rPr>
          <w:rFonts w:ascii="Times New Roman" w:hAnsi="Times New Roman" w:eastAsia="仿宋_GB2312"/>
          <w:sz w:val="28"/>
          <w:szCs w:val="28"/>
        </w:rPr>
        <w:t>51(19):</w:t>
      </w:r>
      <w:r>
        <w:rPr>
          <w:rFonts w:hint="eastAsia" w:ascii="Times New Roman" w:hAnsi="Times New Roman" w:eastAsia="仿宋_GB2312"/>
          <w:sz w:val="28"/>
          <w:szCs w:val="28"/>
          <w:lang w:val="en-US" w:eastAsia="zh-CN"/>
        </w:rPr>
        <w:t xml:space="preserve"> </w:t>
      </w:r>
      <w:r>
        <w:rPr>
          <w:rFonts w:ascii="Times New Roman" w:hAnsi="Times New Roman" w:eastAsia="仿宋_GB2312"/>
          <w:sz w:val="28"/>
          <w:szCs w:val="28"/>
        </w:rPr>
        <w:t>4396-4398.</w:t>
      </w:r>
    </w:p>
    <w:p w14:paraId="519FD604">
      <w:pPr>
        <w:pStyle w:val="8"/>
        <w:keepNext w:val="0"/>
        <w:keepLines w:val="0"/>
        <w:pageBreakBefore w:val="0"/>
        <w:widowControl w:val="0"/>
        <w:numPr>
          <w:ilvl w:val="0"/>
          <w:numId w:val="2"/>
        </w:numPr>
        <w:kinsoku/>
        <w:wordWrap w:val="0"/>
        <w:overflowPunct/>
        <w:topLinePunct w:val="0"/>
        <w:autoSpaceDE/>
        <w:autoSpaceDN/>
        <w:bidi w:val="0"/>
        <w:adjustRightInd/>
        <w:snapToGrid/>
        <w:spacing w:line="560" w:lineRule="exact"/>
        <w:ind w:left="420" w:firstLine="560"/>
        <w:textAlignment w:val="auto"/>
        <w:rPr>
          <w:rFonts w:ascii="Times New Roman" w:hAnsi="Times New Roman" w:eastAsia="仿宋_GB2312"/>
          <w:sz w:val="28"/>
          <w:szCs w:val="28"/>
        </w:rPr>
      </w:pPr>
      <w:r>
        <w:rPr>
          <w:rFonts w:ascii="Times New Roman" w:hAnsi="Times New Roman" w:eastAsia="仿宋_GB2312"/>
          <w:sz w:val="28"/>
          <w:szCs w:val="28"/>
        </w:rPr>
        <w:t>李永权.天冬组培苗与实生苗繁殖技术及其药材药效成分差异分析[D].</w:t>
      </w:r>
      <w:r>
        <w:rPr>
          <w:rFonts w:hint="eastAsia" w:ascii="Times New Roman" w:hAnsi="Times New Roman" w:eastAsia="仿宋_GB2312"/>
          <w:sz w:val="28"/>
          <w:szCs w:val="28"/>
          <w:lang w:val="en-US" w:eastAsia="zh-CN"/>
        </w:rPr>
        <w:t xml:space="preserve"> 贵阳，</w:t>
      </w:r>
      <w:r>
        <w:rPr>
          <w:rFonts w:ascii="Times New Roman" w:hAnsi="Times New Roman" w:eastAsia="仿宋_GB2312"/>
          <w:sz w:val="28"/>
          <w:szCs w:val="28"/>
        </w:rPr>
        <w:t>贵州大学,</w:t>
      </w:r>
      <w:r>
        <w:rPr>
          <w:rFonts w:hint="eastAsia" w:ascii="Times New Roman" w:hAnsi="Times New Roman" w:eastAsia="仿宋_GB2312"/>
          <w:sz w:val="28"/>
          <w:szCs w:val="28"/>
          <w:lang w:val="en-US" w:eastAsia="zh-CN"/>
        </w:rPr>
        <w:t xml:space="preserve"> </w:t>
      </w:r>
      <w:r>
        <w:rPr>
          <w:rFonts w:ascii="Times New Roman" w:hAnsi="Times New Roman" w:eastAsia="仿宋_GB2312"/>
          <w:sz w:val="28"/>
          <w:szCs w:val="28"/>
        </w:rPr>
        <w:t>2023.</w:t>
      </w:r>
    </w:p>
    <w:p w14:paraId="752497A5">
      <w:pPr>
        <w:rPr>
          <w:rFonts w:ascii="楷体" w:hAnsi="楷体" w:eastAsia="楷体" w:cs="Times New Roman"/>
          <w:sz w:val="32"/>
          <w:szCs w:val="32"/>
        </w:rPr>
      </w:pPr>
      <w:r>
        <w:rPr>
          <w:rFonts w:ascii="楷体" w:hAnsi="楷体" w:eastAsia="楷体"/>
          <w:sz w:val="32"/>
          <w:szCs w:val="32"/>
        </w:rPr>
        <w:t>(三）</w:t>
      </w:r>
      <w:r>
        <w:rPr>
          <w:rFonts w:hint="eastAsia" w:ascii="楷体" w:hAnsi="楷体" w:eastAsia="楷体" w:cs="Times New Roman"/>
          <w:sz w:val="32"/>
          <w:szCs w:val="32"/>
        </w:rPr>
        <w:t>研讨确定标准特色、创新点和主体内容</w:t>
      </w:r>
    </w:p>
    <w:p w14:paraId="6B1DD65A">
      <w:pPr>
        <w:ind w:firstLine="560" w:firstLineChars="20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1.标准特色、创新点</w:t>
      </w:r>
    </w:p>
    <w:p w14:paraId="4851BC9E">
      <w:pPr>
        <w:ind w:firstLine="560" w:firstLineChars="20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 xml:space="preserve">（1）林下生态适配技术：提出基于林分类型（如杉木林、阔叶混交林）的差异化光照与土壤改良方案，如添加30%椰糠改善透气性。  </w:t>
      </w:r>
    </w:p>
    <w:p w14:paraId="0EDF6E3C">
      <w:pPr>
        <w:ind w:firstLine="560" w:firstLineChars="20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（2）绿色防控集成：建立以生物菌剂（枯草芽孢杆菌）和物理诱杀为核心的病虫害防控体系，减少化学农药使用。</w:t>
      </w:r>
    </w:p>
    <w:p w14:paraId="041599C3">
      <w:pPr>
        <w:ind w:firstLine="560" w:firstLineChars="20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（3）种苗质量分级指标：首次量化林下种苗标准：一级苗根茎粗≥0.8 cm、须根数≥8条，填补行业空白。</w:t>
      </w:r>
    </w:p>
    <w:p w14:paraId="0DE5CA38">
      <w:pPr>
        <w:ind w:firstLine="560" w:firstLineChars="200"/>
        <w:rPr>
          <w:rFonts w:hint="default" w:ascii="Times New Roman" w:hAnsi="Times New Roman" w:eastAsia="仿宋_GB2312"/>
          <w:sz w:val="28"/>
          <w:szCs w:val="28"/>
          <w:lang w:val="en-US" w:eastAsia="zh-CN"/>
        </w:rPr>
      </w:pPr>
      <w:r>
        <w:rPr>
          <w:rFonts w:hint="eastAsia" w:ascii="Times New Roman" w:hAnsi="Times New Roman" w:eastAsia="仿宋_GB2312"/>
          <w:sz w:val="28"/>
          <w:szCs w:val="28"/>
          <w:lang w:val="en-US" w:eastAsia="zh-CN"/>
        </w:rPr>
        <w:t>2.主体内容</w:t>
      </w:r>
    </w:p>
    <w:p w14:paraId="1FA0EA5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标准编制工作组在对收集的资料进行整理研究之后，</w:t>
      </w:r>
      <w:r>
        <w:rPr>
          <w:rFonts w:ascii="Times New Roman" w:hAnsi="Times New Roman" w:eastAsia="仿宋_GB2312"/>
          <w:sz w:val="28"/>
          <w:szCs w:val="28"/>
        </w:rPr>
        <w:t>202</w:t>
      </w:r>
      <w:r>
        <w:rPr>
          <w:rFonts w:hint="eastAsia" w:ascii="Times New Roman" w:hAnsi="Times New Roman" w:eastAsia="仿宋_GB2312"/>
          <w:sz w:val="28"/>
          <w:szCs w:val="28"/>
          <w:lang w:val="en-US" w:eastAsia="zh-CN"/>
        </w:rPr>
        <w:t>5</w:t>
      </w:r>
      <w:r>
        <w:rPr>
          <w:rFonts w:ascii="Times New Roman" w:hAnsi="Times New Roman" w:eastAsia="仿宋_GB2312"/>
          <w:sz w:val="28"/>
          <w:szCs w:val="28"/>
        </w:rPr>
        <w:t>年5月到6月，标准编制工作组召开了标准编制会议，对标准的整体框架结构进行了研究，并对标准的关键性内容进行了初步探讨。经过研究，标准的主体内容确定为范围、规范性引用文件、术语和定义、</w:t>
      </w:r>
      <w:r>
        <w:rPr>
          <w:rFonts w:hint="eastAsia" w:ascii="Times New Roman" w:hAnsi="Times New Roman" w:eastAsia="仿宋_GB2312"/>
          <w:sz w:val="28"/>
          <w:szCs w:val="28"/>
        </w:rPr>
        <w:t>质量要求、检测方法、检验规则及标志、包装运输、贮存等</w:t>
      </w:r>
      <w:r>
        <w:rPr>
          <w:rFonts w:ascii="Times New Roman" w:hAnsi="Times New Roman" w:eastAsia="仿宋_GB2312"/>
          <w:sz w:val="28"/>
          <w:szCs w:val="28"/>
        </w:rPr>
        <w:t>。</w:t>
      </w:r>
    </w:p>
    <w:p w14:paraId="120A90EA">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（四）调研、形成征求意见稿</w:t>
      </w:r>
    </w:p>
    <w:p w14:paraId="13045240">
      <w:pPr>
        <w:ind w:firstLine="560" w:firstLineChars="200"/>
        <w:rPr>
          <w:rFonts w:ascii="Times New Roman" w:hAnsi="Times New Roman" w:eastAsia="仿宋_GB2312"/>
          <w:sz w:val="28"/>
          <w:szCs w:val="28"/>
        </w:rPr>
      </w:pPr>
      <w:r>
        <w:rPr>
          <w:rFonts w:ascii="Times New Roman" w:hAnsi="Times New Roman" w:eastAsia="仿宋_GB2312"/>
          <w:sz w:val="28"/>
          <w:szCs w:val="28"/>
        </w:rPr>
        <w:t>202</w:t>
      </w:r>
      <w:r>
        <w:rPr>
          <w:rFonts w:hint="eastAsia" w:ascii="Times New Roman" w:hAnsi="Times New Roman" w:eastAsia="仿宋_GB2312"/>
          <w:sz w:val="28"/>
          <w:szCs w:val="28"/>
          <w:lang w:val="en-US" w:eastAsia="zh-CN"/>
        </w:rPr>
        <w:t>4</w:t>
      </w:r>
      <w:r>
        <w:rPr>
          <w:rFonts w:ascii="Times New Roman" w:hAnsi="Times New Roman" w:eastAsia="仿宋_GB2312"/>
          <w:sz w:val="28"/>
          <w:szCs w:val="28"/>
        </w:rPr>
        <w:t>年1</w:t>
      </w:r>
      <w:r>
        <w:rPr>
          <w:rFonts w:hint="eastAsia" w:ascii="Times New Roman" w:hAnsi="Times New Roman" w:eastAsia="仿宋_GB2312"/>
          <w:sz w:val="28"/>
          <w:szCs w:val="28"/>
          <w:lang w:val="en-US" w:eastAsia="zh-CN"/>
        </w:rPr>
        <w:t>1</w:t>
      </w:r>
      <w:r>
        <w:rPr>
          <w:rFonts w:ascii="Times New Roman" w:hAnsi="Times New Roman" w:eastAsia="仿宋_GB2312"/>
          <w:sz w:val="28"/>
          <w:szCs w:val="28"/>
        </w:rPr>
        <w:t>月</w:t>
      </w:r>
      <w:r>
        <w:rPr>
          <w:rFonts w:hint="eastAsia" w:ascii="Times New Roman" w:hAnsi="Times New Roman" w:eastAsia="仿宋_GB2312"/>
          <w:sz w:val="28"/>
          <w:szCs w:val="28"/>
          <w:lang w:val="en-US" w:eastAsia="zh-CN"/>
        </w:rPr>
        <w:t>-2025年6月</w:t>
      </w:r>
      <w:r>
        <w:rPr>
          <w:rFonts w:ascii="Times New Roman" w:hAnsi="Times New Roman" w:eastAsia="仿宋_GB2312"/>
          <w:sz w:val="28"/>
          <w:szCs w:val="28"/>
        </w:rPr>
        <w:t>，标准起草工作小组进行了广泛实地调研工作，查阅了大量的国内外文献资料，对</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种苗相关的</w:t>
      </w:r>
      <w:r>
        <w:rPr>
          <w:rFonts w:ascii="Times New Roman" w:hAnsi="Times New Roman" w:eastAsia="仿宋_GB2312"/>
          <w:sz w:val="28"/>
          <w:szCs w:val="28"/>
        </w:rPr>
        <w:t>研究成果进行系统总结。形成了标准的基本构架，对主要内容进行了讨论并对项目的工作进行了部署和安排。</w:t>
      </w:r>
    </w:p>
    <w:p w14:paraId="46122421">
      <w:pPr>
        <w:ind w:firstLine="560" w:firstLineChars="200"/>
        <w:rPr>
          <w:rFonts w:ascii="Times New Roman" w:hAnsi="Times New Roman" w:eastAsia="仿宋_GB2312"/>
          <w:sz w:val="28"/>
          <w:szCs w:val="28"/>
        </w:rPr>
      </w:pPr>
      <w:r>
        <w:rPr>
          <w:rFonts w:ascii="Times New Roman" w:hAnsi="Times New Roman" w:eastAsia="仿宋_GB2312"/>
          <w:sz w:val="28"/>
          <w:szCs w:val="28"/>
        </w:rPr>
        <w:t>202</w:t>
      </w:r>
      <w:r>
        <w:rPr>
          <w:rFonts w:hint="eastAsia" w:ascii="Times New Roman" w:hAnsi="Times New Roman" w:eastAsia="仿宋_GB2312"/>
          <w:sz w:val="28"/>
          <w:szCs w:val="28"/>
          <w:lang w:val="en-US" w:eastAsia="zh-CN"/>
        </w:rPr>
        <w:t>5</w:t>
      </w:r>
      <w:r>
        <w:rPr>
          <w:rFonts w:ascii="Times New Roman" w:hAnsi="Times New Roman" w:eastAsia="仿宋_GB2312"/>
          <w:sz w:val="28"/>
          <w:szCs w:val="28"/>
        </w:rPr>
        <w:t>年</w:t>
      </w:r>
      <w:r>
        <w:rPr>
          <w:rFonts w:hint="eastAsia" w:ascii="Times New Roman" w:hAnsi="Times New Roman" w:eastAsia="仿宋_GB2312"/>
          <w:sz w:val="28"/>
          <w:szCs w:val="28"/>
          <w:lang w:val="en-US" w:eastAsia="zh-CN"/>
        </w:rPr>
        <w:t>7</w:t>
      </w:r>
      <w:r>
        <w:rPr>
          <w:rFonts w:ascii="Times New Roman" w:hAnsi="Times New Roman" w:eastAsia="仿宋_GB2312"/>
          <w:sz w:val="28"/>
          <w:szCs w:val="28"/>
        </w:rPr>
        <w:t>月，在前期工作的基础之上，通过理清逻辑脉络，整合已有的参考资料中有关</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种苗质量</w:t>
      </w:r>
      <w:r>
        <w:rPr>
          <w:rFonts w:ascii="Times New Roman" w:hAnsi="Times New Roman" w:eastAsia="仿宋_GB2312"/>
          <w:sz w:val="28"/>
          <w:szCs w:val="28"/>
        </w:rPr>
        <w:t>的技术要求，并结合</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种苗繁殖</w:t>
      </w:r>
      <w:r>
        <w:rPr>
          <w:rFonts w:ascii="Times New Roman" w:hAnsi="Times New Roman" w:eastAsia="仿宋_GB2312"/>
          <w:sz w:val="28"/>
          <w:szCs w:val="28"/>
        </w:rPr>
        <w:t>的基础上，按照简化、统一等原则编制完成</w:t>
      </w:r>
      <w:r>
        <w:rPr>
          <w:rFonts w:hint="eastAsia" w:ascii="Times New Roman" w:hAnsi="Times New Roman" w:eastAsia="仿宋_GB2312"/>
          <w:sz w:val="28"/>
          <w:szCs w:val="28"/>
        </w:rPr>
        <w:t>团体</w:t>
      </w:r>
      <w:r>
        <w:rPr>
          <w:rFonts w:ascii="Times New Roman" w:hAnsi="Times New Roman" w:eastAsia="仿宋_GB2312"/>
          <w:sz w:val="28"/>
          <w:szCs w:val="28"/>
        </w:rPr>
        <w:t>标准《</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w:t>
      </w:r>
      <w:r>
        <w:rPr>
          <w:rFonts w:hint="eastAsia" w:ascii="Times New Roman" w:hAnsi="Times New Roman" w:eastAsia="仿宋_GB2312"/>
          <w:sz w:val="28"/>
          <w:szCs w:val="28"/>
          <w:lang w:val="en-US" w:eastAsia="zh-CN"/>
        </w:rPr>
        <w:t>繁殖技术</w:t>
      </w:r>
      <w:r>
        <w:rPr>
          <w:rFonts w:ascii="Times New Roman" w:hAnsi="Times New Roman" w:eastAsia="仿宋_GB2312"/>
          <w:sz w:val="28"/>
          <w:szCs w:val="28"/>
        </w:rPr>
        <w:t>》（草案）。</w:t>
      </w:r>
    </w:p>
    <w:p w14:paraId="0093591A">
      <w:pPr>
        <w:ind w:firstLine="560" w:firstLineChars="200"/>
        <w:rPr>
          <w:rFonts w:ascii="Times New Roman" w:hAnsi="Times New Roman" w:eastAsia="仿宋_GB2312"/>
          <w:sz w:val="28"/>
          <w:szCs w:val="28"/>
        </w:rPr>
      </w:pPr>
      <w:r>
        <w:rPr>
          <w:rFonts w:ascii="Times New Roman" w:hAnsi="Times New Roman" w:eastAsia="仿宋_GB2312"/>
          <w:sz w:val="28"/>
          <w:szCs w:val="28"/>
        </w:rPr>
        <w:t>202</w:t>
      </w:r>
      <w:r>
        <w:rPr>
          <w:rFonts w:hint="eastAsia" w:ascii="Times New Roman" w:hAnsi="Times New Roman" w:eastAsia="仿宋_GB2312"/>
          <w:sz w:val="28"/>
          <w:szCs w:val="28"/>
          <w:lang w:val="en-US" w:eastAsia="zh-CN"/>
        </w:rPr>
        <w:t>5</w:t>
      </w:r>
      <w:r>
        <w:rPr>
          <w:rFonts w:ascii="Times New Roman" w:hAnsi="Times New Roman" w:eastAsia="仿宋_GB2312"/>
          <w:sz w:val="28"/>
          <w:szCs w:val="28"/>
        </w:rPr>
        <w:t>年</w:t>
      </w:r>
      <w:r>
        <w:rPr>
          <w:rFonts w:hint="eastAsia" w:ascii="Times New Roman" w:hAnsi="Times New Roman" w:eastAsia="仿宋_GB2312"/>
          <w:sz w:val="28"/>
          <w:szCs w:val="28"/>
          <w:lang w:val="en-US" w:eastAsia="zh-CN"/>
        </w:rPr>
        <w:t>8~9</w:t>
      </w:r>
      <w:r>
        <w:rPr>
          <w:rFonts w:ascii="Times New Roman" w:hAnsi="Times New Roman" w:eastAsia="仿宋_GB2312"/>
          <w:sz w:val="28"/>
          <w:szCs w:val="28"/>
        </w:rPr>
        <w:t>月，标准起草工作组再次深入区内涉及</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种植</w:t>
      </w:r>
      <w:r>
        <w:rPr>
          <w:rFonts w:ascii="Times New Roman" w:hAnsi="Times New Roman" w:eastAsia="仿宋_GB2312"/>
          <w:sz w:val="28"/>
          <w:szCs w:val="28"/>
        </w:rPr>
        <w:t>领域有代表性的企业、团体、个人针对天冬栽培情况进行分组实地调研学习。以实验数据、调查材料为依据，对收集的资料进行分析研究、处理和汇总，掌握关于</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种苗繁殖</w:t>
      </w:r>
      <w:r>
        <w:rPr>
          <w:rFonts w:ascii="Times New Roman" w:hAnsi="Times New Roman" w:eastAsia="仿宋_GB2312"/>
          <w:sz w:val="28"/>
          <w:szCs w:val="28"/>
        </w:rPr>
        <w:t>的具体技术要求，完成了《</w:t>
      </w:r>
      <w:bookmarkStart w:id="3" w:name="OLE_LINK3"/>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w:t>
      </w:r>
      <w:r>
        <w:rPr>
          <w:rFonts w:hint="eastAsia" w:ascii="Times New Roman" w:hAnsi="Times New Roman" w:eastAsia="仿宋_GB2312"/>
          <w:sz w:val="28"/>
          <w:szCs w:val="28"/>
          <w:lang w:val="en-US" w:eastAsia="zh-CN"/>
        </w:rPr>
        <w:t>繁殖技术</w:t>
      </w:r>
      <w:bookmarkEnd w:id="3"/>
      <w:r>
        <w:rPr>
          <w:rFonts w:ascii="Times New Roman" w:hAnsi="Times New Roman" w:eastAsia="仿宋_GB2312"/>
          <w:sz w:val="28"/>
          <w:szCs w:val="28"/>
        </w:rPr>
        <w:t>》工作组讨论稿。标准编制工作组多次召开会议，工作组讨论稿进行了反复修改和研究讨论，并再次实地征求意见，收集反馈的意见，形成标准《</w:t>
      </w:r>
      <w:r>
        <w:rPr>
          <w:rFonts w:hint="eastAsia" w:ascii="Times New Roman" w:hAnsi="Times New Roman" w:eastAsia="仿宋_GB2312"/>
          <w:sz w:val="28"/>
          <w:szCs w:val="28"/>
          <w:lang w:eastAsia="zh-CN"/>
        </w:rPr>
        <w:t>天冬</w:t>
      </w:r>
      <w:r>
        <w:rPr>
          <w:rFonts w:hint="eastAsia" w:ascii="Times New Roman" w:hAnsi="Times New Roman" w:eastAsia="仿宋_GB2312"/>
          <w:sz w:val="28"/>
          <w:szCs w:val="28"/>
        </w:rPr>
        <w:t>种苗</w:t>
      </w:r>
      <w:r>
        <w:rPr>
          <w:rFonts w:hint="eastAsia" w:ascii="Times New Roman" w:hAnsi="Times New Roman" w:eastAsia="仿宋_GB2312"/>
          <w:sz w:val="28"/>
          <w:szCs w:val="28"/>
          <w:lang w:val="en-US" w:eastAsia="zh-CN"/>
        </w:rPr>
        <w:t>繁殖技术</w:t>
      </w:r>
      <w:r>
        <w:rPr>
          <w:rFonts w:ascii="Times New Roman" w:hAnsi="Times New Roman" w:eastAsia="仿宋_GB2312"/>
          <w:sz w:val="28"/>
          <w:szCs w:val="28"/>
        </w:rPr>
        <w:t>》征求意见稿。</w:t>
      </w:r>
    </w:p>
    <w:p w14:paraId="1E74950C">
      <w:pPr>
        <w:keepNext/>
        <w:keepLines/>
        <w:spacing w:before="120" w:after="120" w:line="500" w:lineRule="exact"/>
        <w:ind w:firstLine="562" w:firstLineChars="200"/>
        <w:outlineLvl w:val="0"/>
        <w:rPr>
          <w:rFonts w:ascii="Calibri" w:hAnsi="Calibri" w:eastAsia="黑体" w:cs="Times New Roman"/>
          <w:b/>
          <w:bCs/>
          <w:kern w:val="0"/>
          <w:sz w:val="28"/>
          <w:szCs w:val="44"/>
        </w:rPr>
      </w:pPr>
      <w:r>
        <w:rPr>
          <w:rFonts w:hint="eastAsia" w:ascii="Calibri" w:hAnsi="Calibri" w:eastAsia="黑体" w:cs="Times New Roman"/>
          <w:b/>
          <w:bCs/>
          <w:kern w:val="0"/>
          <w:sz w:val="28"/>
          <w:szCs w:val="44"/>
        </w:rPr>
        <w:t>四、制定标准的原则和依据，与现行法律、法规的关系， 与有关国家标准、行业标准的协调情况</w:t>
      </w:r>
      <w:r>
        <w:rPr>
          <w:rFonts w:hint="eastAsia" w:ascii="仿宋" w:hAnsi="仿宋" w:eastAsia="仿宋" w:cs="Times New Roman"/>
          <w:b/>
          <w:bCs/>
          <w:kern w:val="0"/>
          <w:sz w:val="31"/>
          <w:szCs w:val="31"/>
        </w:rPr>
        <w:t xml:space="preserve"> </w:t>
      </w:r>
    </w:p>
    <w:p w14:paraId="27F07115">
      <w:pPr>
        <w:spacing w:line="500" w:lineRule="exact"/>
        <w:ind w:firstLine="560" w:firstLineChars="200"/>
        <w:rPr>
          <w:rFonts w:hint="eastAsia" w:ascii="Calibri" w:hAnsi="Calibri" w:eastAsia="仿宋_GB2312" w:cs="Times New Roman"/>
          <w:kern w:val="0"/>
          <w:sz w:val="28"/>
          <w:szCs w:val="24"/>
        </w:rPr>
      </w:pPr>
      <w:r>
        <w:rPr>
          <w:rFonts w:hint="eastAsia" w:ascii="Calibri" w:hAnsi="Calibri" w:eastAsia="仿宋_GB2312" w:cs="Times New Roman"/>
          <w:kern w:val="0"/>
          <w:sz w:val="28"/>
          <w:szCs w:val="24"/>
        </w:rPr>
        <w:t>（一）编制原则</w:t>
      </w:r>
    </w:p>
    <w:p w14:paraId="160A5995">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lang w:val="en-US" w:eastAsia="zh-CN"/>
        </w:rPr>
        <w:t>1.</w:t>
      </w:r>
      <w:r>
        <w:rPr>
          <w:rFonts w:hint="eastAsia" w:ascii="Calibri" w:hAnsi="Calibri" w:eastAsia="仿宋_GB2312" w:cs="Times New Roman"/>
          <w:kern w:val="0"/>
          <w:sz w:val="28"/>
          <w:szCs w:val="24"/>
        </w:rPr>
        <w:t>实用性原则</w:t>
      </w:r>
    </w:p>
    <w:p w14:paraId="22AD9852">
      <w:pPr>
        <w:spacing w:line="500" w:lineRule="exact"/>
        <w:ind w:firstLine="560" w:firstLineChars="200"/>
        <w:rPr>
          <w:rFonts w:ascii="Calibri" w:hAnsi="Calibri" w:eastAsia="仿宋_GB2312" w:cs="Times New Roman"/>
          <w:color w:val="FF0000"/>
          <w:kern w:val="0"/>
          <w:sz w:val="28"/>
          <w:szCs w:val="24"/>
        </w:rPr>
      </w:pPr>
      <w:r>
        <w:rPr>
          <w:rFonts w:hint="eastAsia" w:ascii="Calibri" w:hAnsi="Calibri" w:eastAsia="仿宋_GB2312" w:cs="Times New Roman"/>
          <w:kern w:val="0"/>
          <w:sz w:val="28"/>
          <w:szCs w:val="24"/>
        </w:rPr>
        <w:t>本标准是在充分收集相关资料和文献，</w:t>
      </w:r>
      <w:r>
        <w:rPr>
          <w:rFonts w:ascii="Calibri" w:hAnsi="Calibri" w:eastAsia="仿宋_GB2312" w:cs="Times New Roman"/>
          <w:kern w:val="0"/>
          <w:sz w:val="28"/>
          <w:szCs w:val="24"/>
        </w:rPr>
        <w:t>以规范</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w:t>
      </w:r>
      <w:r>
        <w:rPr>
          <w:rFonts w:ascii="Calibri" w:hAnsi="Calibri" w:eastAsia="仿宋_GB2312" w:cs="Times New Roman"/>
          <w:kern w:val="0"/>
          <w:sz w:val="28"/>
          <w:szCs w:val="24"/>
        </w:rPr>
        <w:t>，</w:t>
      </w:r>
      <w:r>
        <w:rPr>
          <w:rFonts w:hint="eastAsia" w:ascii="Calibri" w:hAnsi="Calibri" w:eastAsia="仿宋_GB2312" w:cs="Times New Roman"/>
          <w:kern w:val="0"/>
          <w:sz w:val="28"/>
          <w:szCs w:val="24"/>
        </w:rPr>
        <w:t>在现有国家、行业标准相关</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种苗要求的基础上，结合广西钦廉林场和广西壮族自治区药用植物园多年的</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栽培技术经验、试验结果而总结起草的。符合当前天</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生产发展的方向与实际需求，有利于</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种苗质量的规范化，促进</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中药材高品质发展。</w:t>
      </w:r>
    </w:p>
    <w:p w14:paraId="27FD2819">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lang w:val="en-US" w:eastAsia="zh-CN"/>
        </w:rPr>
        <w:t>2.</w:t>
      </w:r>
      <w:r>
        <w:rPr>
          <w:rFonts w:hint="eastAsia" w:ascii="Calibri" w:hAnsi="Calibri" w:eastAsia="仿宋_GB2312" w:cs="Times New Roman"/>
          <w:kern w:val="0"/>
          <w:sz w:val="28"/>
          <w:szCs w:val="24"/>
        </w:rPr>
        <w:t>协调性原则</w:t>
      </w:r>
    </w:p>
    <w:p w14:paraId="3B1BE9BE">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本标准编写过程中注意了与</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种苗生产相关法律法规的协调问题，在内容上与现行法律法规、标准协调一致。</w:t>
      </w:r>
    </w:p>
    <w:p w14:paraId="7DDAD890">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lang w:val="en-US" w:eastAsia="zh-CN"/>
        </w:rPr>
        <w:t>3.</w:t>
      </w:r>
      <w:r>
        <w:rPr>
          <w:rFonts w:hint="eastAsia" w:ascii="Calibri" w:hAnsi="Calibri" w:eastAsia="仿宋_GB2312" w:cs="Times New Roman"/>
          <w:kern w:val="0"/>
          <w:sz w:val="28"/>
          <w:szCs w:val="24"/>
        </w:rPr>
        <w:t>规范性原则</w:t>
      </w:r>
    </w:p>
    <w:p w14:paraId="3D3A2D62">
      <w:pPr>
        <w:spacing w:line="500" w:lineRule="exact"/>
        <w:ind w:firstLine="560" w:firstLineChars="200"/>
        <w:rPr>
          <w:rFonts w:ascii="Times New Roman" w:hAnsi="Times New Roman" w:eastAsia="仿宋_GB2312" w:cs="Times New Roman"/>
          <w:kern w:val="0"/>
          <w:sz w:val="28"/>
          <w:szCs w:val="24"/>
        </w:rPr>
      </w:pPr>
      <w:r>
        <w:rPr>
          <w:rFonts w:ascii="Times New Roman" w:hAnsi="Times New Roman" w:eastAsia="仿宋_GB2312" w:cs="Times New Roman"/>
          <w:kern w:val="0"/>
          <w:sz w:val="28"/>
          <w:szCs w:val="24"/>
        </w:rPr>
        <w:t>本标准严格按照GB/T 1.1—2020《标准化工作导则第1部分：标准的结构和编写》的要求和规定编写本标准的内容，保证标准的编写质量</w:t>
      </w:r>
      <w:r>
        <w:rPr>
          <w:rFonts w:hint="eastAsia" w:ascii="Times New Roman" w:hAnsi="Times New Roman" w:eastAsia="仿宋_GB2312" w:cs="Times New Roman"/>
          <w:kern w:val="0"/>
          <w:sz w:val="28"/>
          <w:szCs w:val="24"/>
        </w:rPr>
        <w:t>。</w:t>
      </w:r>
    </w:p>
    <w:p w14:paraId="617D6289">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lang w:val="en-US" w:eastAsia="zh-CN"/>
        </w:rPr>
        <w:t>4.</w:t>
      </w:r>
      <w:r>
        <w:rPr>
          <w:rFonts w:hint="eastAsia" w:ascii="Calibri" w:hAnsi="Calibri" w:eastAsia="仿宋_GB2312" w:cs="Times New Roman"/>
          <w:kern w:val="0"/>
          <w:sz w:val="28"/>
          <w:szCs w:val="24"/>
        </w:rPr>
        <w:t>前瞻性原则</w:t>
      </w:r>
    </w:p>
    <w:p w14:paraId="357F4927">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本标准在兼顾当前</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种苗繁殖生产的现实情况，同时还考虑到了</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种植技术需求地快速发展的趋势和需要，在标准主要内容中体现了个别特色性、前瞻性和先进性条款，作为对</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种苗质量要求的指导。</w:t>
      </w:r>
    </w:p>
    <w:p w14:paraId="3E715C6A">
      <w:pPr>
        <w:spacing w:line="500" w:lineRule="exact"/>
        <w:ind w:firstLine="560" w:firstLineChars="200"/>
        <w:rPr>
          <w:rFonts w:hint="eastAsia" w:ascii="Calibri" w:hAnsi="Calibri" w:eastAsia="仿宋_GB2312" w:cs="Times New Roman"/>
          <w:kern w:val="0"/>
          <w:sz w:val="28"/>
          <w:szCs w:val="24"/>
        </w:rPr>
      </w:pPr>
      <w:r>
        <w:rPr>
          <w:rFonts w:hint="eastAsia" w:ascii="Calibri" w:hAnsi="Calibri" w:eastAsia="仿宋_GB2312" w:cs="Times New Roman"/>
          <w:kern w:val="0"/>
          <w:sz w:val="28"/>
          <w:szCs w:val="24"/>
        </w:rPr>
        <w:t>（二）编制依据</w:t>
      </w:r>
    </w:p>
    <w:p w14:paraId="55BEDF4B">
      <w:pPr>
        <w:spacing w:line="500" w:lineRule="exact"/>
        <w:ind w:firstLine="560" w:firstLineChars="200"/>
        <w:rPr>
          <w:rFonts w:hint="eastAsia" w:ascii="Calibri" w:hAnsi="Calibri" w:eastAsia="仿宋_GB2312" w:cs="Times New Roman"/>
          <w:kern w:val="0"/>
          <w:sz w:val="28"/>
          <w:szCs w:val="24"/>
        </w:rPr>
      </w:pPr>
      <w:r>
        <w:rPr>
          <w:rFonts w:hint="eastAsia" w:ascii="Calibri" w:hAnsi="Calibri" w:eastAsia="仿宋_GB2312" w:cs="Times New Roman"/>
          <w:kern w:val="0"/>
          <w:sz w:val="28"/>
          <w:szCs w:val="24"/>
        </w:rPr>
        <w:t>本标准严格按照GB/T 1.1—2020《标准化工作导则  第1部分：标准化文件的结构和起草规则》的规则起草，标准主要内容结合广西壮族自治区国有钦廉林场、广西壮族自治区药用植物园、北海海丝香料有限责任公司这些年对天冬种苗繁殖</w:t>
      </w:r>
      <w:r>
        <w:rPr>
          <w:rFonts w:hint="eastAsia" w:ascii="Calibri" w:hAnsi="Calibri" w:eastAsia="仿宋_GB2312" w:cs="Times New Roman"/>
          <w:kern w:val="0"/>
          <w:sz w:val="28"/>
          <w:szCs w:val="24"/>
          <w:lang w:eastAsia="zh-CN"/>
        </w:rPr>
        <w:t>技术</w:t>
      </w:r>
      <w:r>
        <w:rPr>
          <w:rFonts w:hint="eastAsia" w:ascii="Calibri" w:hAnsi="Calibri" w:eastAsia="仿宋_GB2312" w:cs="Times New Roman"/>
          <w:kern w:val="0"/>
          <w:sz w:val="28"/>
          <w:szCs w:val="24"/>
        </w:rPr>
        <w:t>的经验、试验结果和区域种植试验结果总结起草。</w:t>
      </w:r>
    </w:p>
    <w:p w14:paraId="0CC9F6BB">
      <w:pPr>
        <w:spacing w:line="500" w:lineRule="exact"/>
        <w:ind w:firstLine="560" w:firstLineChars="200"/>
        <w:rPr>
          <w:rFonts w:hint="eastAsia" w:ascii="Calibri" w:hAnsi="Calibri" w:eastAsia="仿宋_GB2312" w:cs="Times New Roman"/>
          <w:kern w:val="0"/>
          <w:sz w:val="28"/>
          <w:szCs w:val="24"/>
        </w:rPr>
      </w:pPr>
      <w:r>
        <w:rPr>
          <w:rFonts w:hint="eastAsia" w:ascii="Calibri" w:hAnsi="Calibri" w:eastAsia="仿宋_GB2312" w:cs="Times New Roman"/>
          <w:kern w:val="0"/>
          <w:sz w:val="28"/>
          <w:szCs w:val="24"/>
        </w:rPr>
        <w:t>（三）与现行法律、法规的关系，与有关国家标准、行业标准的协调情况</w:t>
      </w:r>
    </w:p>
    <w:p w14:paraId="74634E28">
      <w:pPr>
        <w:spacing w:line="560" w:lineRule="exact"/>
        <w:ind w:firstLine="560" w:firstLineChars="200"/>
        <w:rPr>
          <w:rFonts w:hint="eastAsia" w:ascii="Calibri" w:hAnsi="Calibri" w:eastAsia="仿宋_GB2312" w:cs="Times New Roman"/>
          <w:kern w:val="0"/>
          <w:sz w:val="28"/>
          <w:szCs w:val="24"/>
        </w:rPr>
      </w:pPr>
      <w:r>
        <w:rPr>
          <w:rFonts w:hint="eastAsia" w:ascii="Calibri" w:hAnsi="Calibri" w:eastAsia="仿宋_GB2312" w:cs="Times New Roman"/>
          <w:kern w:val="0"/>
          <w:sz w:val="28"/>
          <w:szCs w:val="24"/>
        </w:rPr>
        <w:t>本标准与相关法律法规、强制性标准协调一致，无冲突。</w:t>
      </w:r>
    </w:p>
    <w:p w14:paraId="081CA4D7">
      <w:pPr>
        <w:spacing w:line="560" w:lineRule="exact"/>
        <w:ind w:firstLine="560" w:firstLineChars="200"/>
        <w:rPr>
          <w:rFonts w:hint="eastAsia" w:ascii="Times New Roman" w:hAnsi="Times New Roman" w:eastAsia="仿宋_GB2312" w:cs="Times New Roman"/>
          <w:kern w:val="0"/>
          <w:sz w:val="28"/>
          <w:szCs w:val="24"/>
        </w:rPr>
      </w:pPr>
      <w:r>
        <w:rPr>
          <w:rFonts w:hint="eastAsia" w:ascii="Calibri" w:hAnsi="Calibri" w:eastAsia="仿宋_GB2312" w:cs="Times New Roman"/>
          <w:kern w:val="0"/>
          <w:sz w:val="28"/>
          <w:szCs w:val="24"/>
        </w:rPr>
        <w:t>经查阅，未有与“天冬种苗繁殖技术”标准。与“天冬 种植”相关的标准有：</w:t>
      </w:r>
      <w:r>
        <w:rPr>
          <w:rFonts w:hint="eastAsia" w:ascii="Times New Roman" w:hAnsi="Times New Roman" w:eastAsia="仿宋_GB2312" w:cs="Times New Roman"/>
          <w:kern w:val="0"/>
          <w:sz w:val="28"/>
          <w:szCs w:val="24"/>
        </w:rPr>
        <w:t>《GB/T 23490-2009中药材种子种苗质量标准通则》《DB4415/T 37-2024 天冬种植技术规程》《DB5329/T 68-2021 大理州天冬栽培技术规程》《DB45/T 498-2008 中药材 天冬生产技术规程》《DB 5110/T 66—2024 内江天冬套作玉米栽培技术规程》《广西地方标准立项2023-1048林下天冬种植技术规程》，主要分析如下：</w:t>
      </w:r>
    </w:p>
    <w:p w14:paraId="6BD48FD4">
      <w:pPr>
        <w:spacing w:line="560" w:lineRule="exact"/>
        <w:ind w:firstLine="560" w:firstLineChars="200"/>
        <w:rPr>
          <w:rFonts w:hint="eastAsia" w:ascii="Times New Roman" w:hAnsi="Times New Roman" w:eastAsia="仿宋_GB2312" w:cs="Times New Roman"/>
          <w:kern w:val="0"/>
          <w:sz w:val="28"/>
          <w:szCs w:val="24"/>
        </w:rPr>
      </w:pPr>
      <w:r>
        <w:rPr>
          <w:rFonts w:hint="eastAsia" w:ascii="Times New Roman" w:hAnsi="Times New Roman" w:eastAsia="仿宋_GB2312" w:cs="Times New Roman"/>
          <w:kern w:val="0"/>
          <w:sz w:val="28"/>
          <w:szCs w:val="24"/>
        </w:rPr>
        <w:t>最相近标准为GB/T 23490-2009《中药材种子种苗质量标准通则》、DB45/T 2106-2019《天冬栽培技术规程》，但均未覆盖种苗繁殖关键技术细节。</w:t>
      </w:r>
    </w:p>
    <w:p w14:paraId="07DEF88B">
      <w:pPr>
        <w:spacing w:line="560" w:lineRule="exact"/>
        <w:ind w:firstLine="560" w:firstLineChars="200"/>
        <w:rPr>
          <w:rFonts w:ascii="Calibri" w:hAnsi="Calibri" w:eastAsia="仿宋_GB2312" w:cs="Times New Roman"/>
          <w:kern w:val="0"/>
          <w:sz w:val="28"/>
          <w:szCs w:val="24"/>
        </w:rPr>
      </w:pPr>
      <w:r>
        <w:rPr>
          <w:rFonts w:hint="eastAsia" w:ascii="Times New Roman" w:hAnsi="Times New Roman" w:eastAsia="仿宋_GB2312" w:cs="Times New Roman"/>
          <w:kern w:val="0"/>
          <w:sz w:val="28"/>
          <w:szCs w:val="24"/>
        </w:rPr>
        <w:t>综上所述，本标准与种苗质量指标（如皂苷含量检测）参照《中国药典》天冬项下规定，确保与终端药材质量衔接。病虫害防治条款与NY/T393-2020《绿色食品农药使用准则》一致，避免冲突。在广西、云南等地标基础上，细化育苗环境参数（如湿度控制±5%偏差），提升可操作性</w:t>
      </w:r>
      <w:r>
        <w:rPr>
          <w:rFonts w:ascii="Calibri" w:hAnsi="Calibri" w:eastAsia="仿宋_GB2312" w:cs="Times New Roman"/>
          <w:kern w:val="0"/>
          <w:sz w:val="28"/>
          <w:szCs w:val="24"/>
        </w:rPr>
        <w:t>。</w:t>
      </w:r>
      <w:r>
        <w:rPr>
          <w:rFonts w:hint="eastAsia" w:ascii="Calibri" w:hAnsi="Calibri" w:eastAsia="仿宋_GB2312" w:cs="Times New Roman"/>
          <w:kern w:val="0"/>
          <w:sz w:val="28"/>
          <w:szCs w:val="24"/>
          <w:lang w:eastAsia="zh-CN"/>
        </w:rPr>
        <w:t>此外，</w:t>
      </w:r>
      <w:r>
        <w:rPr>
          <w:rFonts w:hint="eastAsia" w:ascii="Calibri" w:hAnsi="Calibri" w:eastAsia="仿宋_GB2312" w:cs="Times New Roman"/>
          <w:kern w:val="0"/>
          <w:sz w:val="28"/>
          <w:szCs w:val="24"/>
        </w:rPr>
        <w:t>对于上述已经发布实施的标准，本标准主要侧重于</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种苗质量要求。人工栽培首要问题就是种苗问题，其中优质的种苗供应不仅可以减少成本、增加产量，还可推动药材的高品质发展。</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种苗质量要求的确立，为</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种苗质量分级、检验检疫、运输贮藏等提供技术支持，有利于规范区内</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种苗资源，从而提高</w:t>
      </w:r>
      <w:r>
        <w:rPr>
          <w:rFonts w:hint="eastAsia" w:ascii="Calibri" w:hAnsi="Calibri" w:eastAsia="仿宋_GB2312" w:cs="Times New Roman"/>
          <w:kern w:val="0"/>
          <w:sz w:val="28"/>
          <w:szCs w:val="24"/>
          <w:lang w:eastAsia="zh-CN"/>
        </w:rPr>
        <w:t>天冬</w:t>
      </w:r>
      <w:r>
        <w:rPr>
          <w:rFonts w:hint="eastAsia" w:ascii="Calibri" w:hAnsi="Calibri" w:eastAsia="仿宋_GB2312" w:cs="Times New Roman"/>
          <w:kern w:val="0"/>
          <w:sz w:val="28"/>
          <w:szCs w:val="24"/>
        </w:rPr>
        <w:t>生产品质。</w:t>
      </w:r>
    </w:p>
    <w:p w14:paraId="758E9861">
      <w:pPr>
        <w:spacing w:line="560" w:lineRule="exact"/>
        <w:ind w:firstLine="562" w:firstLineChars="200"/>
        <w:rPr>
          <w:rFonts w:ascii="Calibri" w:hAnsi="Calibri" w:eastAsia="黑体" w:cs="Times New Roman"/>
          <w:b/>
          <w:bCs/>
          <w:kern w:val="0"/>
          <w:sz w:val="28"/>
          <w:szCs w:val="44"/>
        </w:rPr>
      </w:pPr>
      <w:r>
        <w:rPr>
          <w:rFonts w:hint="eastAsia" w:ascii="Calibri" w:hAnsi="Calibri" w:eastAsia="黑体" w:cs="Times New Roman"/>
          <w:b/>
          <w:bCs/>
          <w:kern w:val="0"/>
          <w:sz w:val="28"/>
          <w:szCs w:val="44"/>
        </w:rPr>
        <w:t>五、</w:t>
      </w:r>
      <w:r>
        <w:rPr>
          <w:rFonts w:hint="eastAsia" w:ascii="黑体" w:hAnsi="黑体" w:eastAsia="黑体" w:cs="黑体"/>
          <w:b w:val="0"/>
          <w:bCs w:val="0"/>
          <w:kern w:val="0"/>
          <w:sz w:val="28"/>
          <w:szCs w:val="44"/>
        </w:rPr>
        <w:t>标准主要</w:t>
      </w:r>
      <w:r>
        <w:rPr>
          <w:rFonts w:hint="eastAsia" w:ascii="黑体" w:hAnsi="黑体" w:eastAsia="黑体" w:cs="黑体"/>
          <w:b w:val="0"/>
          <w:bCs w:val="0"/>
          <w:sz w:val="28"/>
          <w:szCs w:val="28"/>
        </w:rPr>
        <w:t>内容</w:t>
      </w:r>
      <w:r>
        <w:rPr>
          <w:rFonts w:hint="eastAsia" w:ascii="黑体" w:hAnsi="黑体" w:eastAsia="黑体" w:cs="黑体"/>
          <w:b w:val="0"/>
          <w:bCs w:val="0"/>
          <w:kern w:val="0"/>
          <w:sz w:val="28"/>
          <w:szCs w:val="44"/>
        </w:rPr>
        <w:t>及依据来源</w:t>
      </w:r>
    </w:p>
    <w:p w14:paraId="67D4492D">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ascii="Times New Roman" w:hAnsi="Times New Roman" w:eastAsia="仿宋_GB2312"/>
          <w:color w:val="000000"/>
          <w:sz w:val="28"/>
          <w:szCs w:val="28"/>
        </w:rPr>
      </w:pPr>
      <w:r>
        <w:rPr>
          <w:rFonts w:hint="eastAsia" w:ascii="Times New Roman" w:hAnsi="Times New Roman" w:eastAsia="仿宋_GB2312"/>
          <w:color w:val="000000"/>
          <w:sz w:val="28"/>
          <w:szCs w:val="28"/>
        </w:rPr>
        <w:t>本标准前期依托《</w:t>
      </w:r>
      <w:r>
        <w:rPr>
          <w:rFonts w:hint="eastAsia" w:ascii="Times New Roman" w:hAnsi="Times New Roman" w:eastAsia="仿宋_GB2312"/>
          <w:color w:val="000000"/>
          <w:sz w:val="28"/>
          <w:szCs w:val="28"/>
          <w:lang w:eastAsia="zh-CN"/>
        </w:rPr>
        <w:t>广西天冬药材种质资源评价及优良品种选育研究与示范</w:t>
      </w:r>
      <w:r>
        <w:rPr>
          <w:rFonts w:hint="eastAsia" w:ascii="Times New Roman" w:hAnsi="Times New Roman" w:eastAsia="仿宋_GB2312"/>
          <w:color w:val="000000"/>
          <w:sz w:val="28"/>
          <w:szCs w:val="28"/>
        </w:rPr>
        <w:t>》（合同编号：桂科攻0815005-2</w:t>
      </w:r>
      <w:r>
        <w:rPr>
          <w:rFonts w:ascii="Times New Roman" w:hAnsi="Times New Roman" w:eastAsia="仿宋_GB2312"/>
          <w:color w:val="000000"/>
          <w:sz w:val="28"/>
          <w:szCs w:val="28"/>
        </w:rPr>
        <w:t>）</w:t>
      </w:r>
      <w:r>
        <w:rPr>
          <w:rFonts w:hint="eastAsia" w:ascii="Times New Roman" w:hAnsi="Times New Roman" w:eastAsia="仿宋_GB2312"/>
          <w:color w:val="000000"/>
          <w:sz w:val="28"/>
          <w:szCs w:val="28"/>
          <w:lang w:eastAsia="zh-CN"/>
        </w:rPr>
        <w:t>、</w:t>
      </w:r>
      <w:r>
        <w:rPr>
          <w:rFonts w:hint="eastAsia" w:ascii="Times New Roman" w:hAnsi="Times New Roman" w:eastAsia="仿宋_GB2312"/>
          <w:color w:val="000000"/>
          <w:sz w:val="28"/>
          <w:szCs w:val="28"/>
        </w:rPr>
        <w:t>论文《</w:t>
      </w:r>
      <w:r>
        <w:rPr>
          <w:rFonts w:hint="eastAsia" w:ascii="Times New Roman" w:hAnsi="Times New Roman" w:eastAsia="仿宋_GB2312"/>
          <w:color w:val="000000"/>
          <w:sz w:val="28"/>
          <w:szCs w:val="28"/>
          <w:lang w:val="en-US" w:eastAsia="zh-CN"/>
        </w:rPr>
        <w:t>广西天冬种质资源农艺性状的分析与评价</w:t>
      </w:r>
      <w:r>
        <w:rPr>
          <w:rFonts w:hint="eastAsia" w:ascii="Times New Roman" w:hAnsi="Times New Roman" w:eastAsia="仿宋_GB2312"/>
          <w:color w:val="000000"/>
          <w:sz w:val="28"/>
          <w:szCs w:val="28"/>
        </w:rPr>
        <w:t>》。技术指标主要来源于广西壮族自治区药用植物园和广西钦廉林场联合组成的</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研究团队近几年来对</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资源生长调查、种质收集、种苗繁育等进行了系统研究的实验数据以及积累的经验进行全面汇总和系统的分析总结，同时参考了大量的国内外文献资料，了解</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在国内外的分布范围，重要天气变化对其生长的影响，掌握了育苗环境及设施选择、种子育苗、分株繁殖、组培苗繁育、病虫害防治、苗木出圃等各个环节的栽培技术。</w:t>
      </w:r>
    </w:p>
    <w:p w14:paraId="4F2FE471">
      <w:pPr>
        <w:spacing w:line="560" w:lineRule="exact"/>
        <w:ind w:firstLine="480"/>
        <w:rPr>
          <w:rFonts w:hint="eastAsia" w:ascii="Times New Roman" w:hAnsi="Times New Roman" w:eastAsia="仿宋_GB2312"/>
          <w:b w:val="0"/>
          <w:bCs w:val="0"/>
          <w:color w:val="000000"/>
          <w:sz w:val="28"/>
          <w:szCs w:val="28"/>
          <w:lang w:eastAsia="zh-CN"/>
        </w:rPr>
      </w:pPr>
      <w:bookmarkStart w:id="4" w:name="OLE_LINK2"/>
      <w:r>
        <w:rPr>
          <w:rFonts w:hint="eastAsia" w:ascii="Times New Roman" w:hAnsi="Times New Roman" w:eastAsia="仿宋_GB2312"/>
          <w:b/>
          <w:bCs/>
          <w:color w:val="000000"/>
          <w:sz w:val="28"/>
          <w:szCs w:val="28"/>
          <w:lang w:eastAsia="zh-CN"/>
        </w:rPr>
        <w:t>天冬人工栽培及市场现状</w:t>
      </w:r>
      <w:r>
        <w:rPr>
          <w:rFonts w:hint="eastAsia" w:ascii="Times New Roman" w:hAnsi="Times New Roman" w:eastAsia="仿宋_GB2312"/>
          <w:b w:val="0"/>
          <w:bCs w:val="0"/>
          <w:color w:val="000000"/>
          <w:sz w:val="28"/>
          <w:szCs w:val="28"/>
          <w:lang w:eastAsia="zh-CN"/>
        </w:rPr>
        <w:t>：广西天冬药材栽培主要集中在玉林、贵港、南宁、百色等地，通常在荫蔽的疏林平缓坡地和部分肉桂林地内种植，繁殖方式多以分株繁殖即分根繁殖为主，少量采用种子繁殖，除灌溉排水外，天冬年中耕除草3~4次，追肥2~3次，肥料以人畜粪水、施土杂肥等有机肥为主，无机肥硫酸铵和尿素为补，追肥结合中耕除草进行，天冬病虫害较少，常见有根腐病，虫害有红蜘蛛、短须螨等。天冬现用加工方法有水煮剥皮加工法和蒸后剥皮加工法。天冬产量受栽培管护水平、生长立地条件、种质等因素影响较大，通常4年天冬亩产干货为300~500公斤。由于天冬药材生长周期长，种植加工工序繁琐等原因，部分药农改种粮食或其他经济作物。近年天冬栽培面积在逐渐减少，栽培面积由2004年8700亩降至目前的5000亩左右（图1）。由于栽培面积减少和野外资源供应不足，这几年来天冬药材价格一路走高，市场交易价格由2004年的7元/公斤升至目前36~38元公斤（图1），年交易量约为1000t。</w:t>
      </w:r>
    </w:p>
    <w:p w14:paraId="223D8D6C">
      <w:pPr>
        <w:pStyle w:val="15"/>
        <w:keepNext w:val="0"/>
        <w:keepLines w:val="0"/>
        <w:pageBreakBefore w:val="0"/>
        <w:widowControl w:val="0"/>
        <w:kinsoku/>
        <w:wordWrap/>
        <w:overflowPunct/>
        <w:topLinePunct w:val="0"/>
        <w:autoSpaceDE/>
        <w:autoSpaceDN/>
        <w:bidi w:val="0"/>
        <w:adjustRightInd/>
        <w:snapToGrid/>
        <w:spacing w:line="240" w:lineRule="auto"/>
        <w:jc w:val="both"/>
        <w:textAlignment w:val="baseline"/>
        <w:rPr>
          <w:rFonts w:hint="eastAsia"/>
          <w:lang w:eastAsia="zh-CN"/>
        </w:rPr>
      </w:pPr>
      <w:r>
        <w:drawing>
          <wp:anchor distT="0" distB="0" distL="114300" distR="114300" simplePos="0" relativeHeight="251663360" behindDoc="0" locked="0" layoutInCell="1" allowOverlap="1">
            <wp:simplePos x="0" y="0"/>
            <wp:positionH relativeFrom="column">
              <wp:posOffset>842645</wp:posOffset>
            </wp:positionH>
            <wp:positionV relativeFrom="paragraph">
              <wp:posOffset>552450</wp:posOffset>
            </wp:positionV>
            <wp:extent cx="3956050" cy="2178050"/>
            <wp:effectExtent l="0" t="0" r="6350" b="12700"/>
            <wp:wrapTopAndBottom/>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
                    <a:stretch>
                      <a:fillRect/>
                    </a:stretch>
                  </pic:blipFill>
                  <pic:spPr>
                    <a:xfrm>
                      <a:off x="0" y="0"/>
                      <a:ext cx="3956050" cy="2178050"/>
                    </a:xfrm>
                    <a:prstGeom prst="rect">
                      <a:avLst/>
                    </a:prstGeom>
                    <a:noFill/>
                    <a:ln>
                      <a:noFill/>
                    </a:ln>
                  </pic:spPr>
                </pic:pic>
              </a:graphicData>
            </a:graphic>
          </wp:anchor>
        </w:drawing>
      </w:r>
    </w:p>
    <w:p w14:paraId="7ACD2469">
      <w:pPr>
        <w:pStyle w:val="15"/>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图</w:t>
      </w:r>
      <w:r>
        <w:rPr>
          <w:rFonts w:hint="eastAsia" w:ascii="仿宋_GB2312" w:hAnsi="仿宋_GB2312" w:eastAsia="仿宋_GB2312" w:cs="仿宋_GB2312"/>
          <w:sz w:val="24"/>
          <w:szCs w:val="24"/>
          <w:lang w:val="en-US" w:eastAsia="zh-CN"/>
        </w:rPr>
        <w:t>1</w:t>
      </w:r>
    </w:p>
    <w:p w14:paraId="483A0FB9">
      <w:pPr>
        <w:spacing w:line="560" w:lineRule="exact"/>
        <w:ind w:firstLine="480"/>
        <w:rPr>
          <w:rFonts w:ascii="Times New Roman" w:hAnsi="Times New Roman" w:eastAsia="仿宋_GB2312"/>
          <w:color w:val="000000"/>
          <w:sz w:val="28"/>
          <w:szCs w:val="28"/>
        </w:rPr>
      </w:pPr>
      <w:r>
        <w:rPr>
          <w:rFonts w:hint="eastAsia" w:ascii="Times New Roman" w:hAnsi="Times New Roman" w:eastAsia="仿宋_GB2312"/>
          <w:b/>
          <w:bCs/>
          <w:color w:val="000000"/>
          <w:sz w:val="28"/>
          <w:szCs w:val="28"/>
          <w:lang w:eastAsia="zh-CN"/>
        </w:rPr>
        <w:t>（一）</w:t>
      </w:r>
      <w:r>
        <w:rPr>
          <w:rFonts w:ascii="Times New Roman" w:hAnsi="Times New Roman" w:eastAsia="仿宋_GB2312"/>
          <w:b/>
          <w:bCs/>
          <w:color w:val="000000"/>
          <w:sz w:val="28"/>
          <w:szCs w:val="28"/>
        </w:rPr>
        <w:t>术语和定义</w:t>
      </w:r>
      <w:bookmarkEnd w:id="4"/>
    </w:p>
    <w:p w14:paraId="1BA91EDC">
      <w:pPr>
        <w:spacing w:line="560" w:lineRule="exact"/>
        <w:ind w:firstLine="480"/>
        <w:rPr>
          <w:rFonts w:ascii="Times New Roman" w:hAnsi="Times New Roman" w:eastAsia="仿宋_GB2312"/>
          <w:color w:val="000000"/>
          <w:sz w:val="28"/>
          <w:szCs w:val="28"/>
        </w:rPr>
      </w:pP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：百合科</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属多年生草本植物</w:t>
      </w:r>
      <w:r>
        <w:rPr>
          <w:rFonts w:hint="eastAsia" w:ascii="Times New Roman" w:hAnsi="Times New Roman" w:eastAsia="仿宋_GB2312"/>
          <w:color w:val="000000"/>
          <w:sz w:val="28"/>
          <w:szCs w:val="28"/>
          <w:lang w:eastAsia="zh-CN"/>
        </w:rPr>
        <w:t>（</w:t>
      </w:r>
      <w:r>
        <w:rPr>
          <w:rFonts w:hint="eastAsia" w:ascii="Times New Roman" w:hAnsi="Times New Roman" w:eastAsia="仿宋_GB2312"/>
          <w:i/>
          <w:iCs/>
          <w:color w:val="000000"/>
          <w:sz w:val="28"/>
          <w:szCs w:val="28"/>
        </w:rPr>
        <w:t xml:space="preserve">Asparagus cochinchinensis </w:t>
      </w:r>
      <w:r>
        <w:rPr>
          <w:rFonts w:hint="eastAsia" w:ascii="Times New Roman" w:hAnsi="Times New Roman" w:eastAsia="仿宋_GB2312"/>
          <w:color w:val="000000"/>
          <w:sz w:val="28"/>
          <w:szCs w:val="28"/>
        </w:rPr>
        <w:t>(Lour.) Merr.</w:t>
      </w:r>
      <w:r>
        <w:rPr>
          <w:rFonts w:hint="eastAsia" w:ascii="Times New Roman" w:hAnsi="Times New Roman" w:eastAsia="仿宋_GB2312"/>
          <w:color w:val="000000"/>
          <w:sz w:val="28"/>
          <w:szCs w:val="28"/>
          <w:lang w:eastAsia="zh-CN"/>
        </w:rPr>
        <w:t>）</w:t>
      </w:r>
      <w:r>
        <w:rPr>
          <w:rFonts w:ascii="Times New Roman" w:hAnsi="Times New Roman" w:eastAsia="仿宋_GB2312"/>
          <w:color w:val="000000"/>
          <w:sz w:val="28"/>
          <w:szCs w:val="28"/>
        </w:rPr>
        <w:t>。</w:t>
      </w:r>
    </w:p>
    <w:p w14:paraId="5ACCED43">
      <w:pPr>
        <w:spacing w:line="560" w:lineRule="exact"/>
        <w:ind w:firstLine="480"/>
        <w:jc w:val="left"/>
        <w:rPr>
          <w:rFonts w:hint="default" w:ascii="Times New Roman" w:hAnsi="Times New Roman" w:eastAsia="仿宋_GB2312"/>
          <w:b/>
          <w:bCs/>
          <w:color w:val="000000"/>
          <w:sz w:val="28"/>
          <w:szCs w:val="28"/>
          <w:lang w:val="en-US" w:eastAsia="zh-CN"/>
        </w:rPr>
      </w:pPr>
      <w:r>
        <w:rPr>
          <w:rFonts w:hint="eastAsia" w:ascii="Times New Roman" w:hAnsi="Times New Roman" w:eastAsia="仿宋_GB2312"/>
          <w:b/>
          <w:bCs/>
          <w:color w:val="000000"/>
          <w:sz w:val="28"/>
          <w:szCs w:val="28"/>
          <w:lang w:val="en-US" w:eastAsia="zh-CN"/>
        </w:rPr>
        <w:t>（二）育苗环境及设施选择</w:t>
      </w:r>
    </w:p>
    <w:p w14:paraId="1885EE2B">
      <w:pPr>
        <w:ind w:firstLine="420" w:firstLineChars="150"/>
        <w:rPr>
          <w:rFonts w:hint="eastAsia" w:ascii="Times New Roman" w:hAnsi="Times New Roman" w:eastAsia="仿宋_GB2312" w:cs="Times New Roman"/>
          <w:color w:val="000000"/>
          <w:kern w:val="2"/>
          <w:sz w:val="28"/>
          <w:szCs w:val="28"/>
          <w:lang w:val="en-US" w:eastAsia="zh-CN" w:bidi="ar-SA"/>
        </w:rPr>
      </w:pPr>
      <w:r>
        <w:rPr>
          <w:rFonts w:ascii="Times New Roman" w:hAnsi="Times New Roman" w:eastAsia="仿宋_GB2312" w:cs="Times New Roman"/>
          <w:color w:val="000000"/>
          <w:sz w:val="28"/>
          <w:szCs w:val="28"/>
        </w:rPr>
        <w:t>野生</w:t>
      </w:r>
      <w:r>
        <w:rPr>
          <w:rFonts w:hint="eastAsia" w:ascii="Times New Roman" w:hAnsi="Times New Roman" w:eastAsia="仿宋_GB2312" w:cs="Times New Roman"/>
          <w:color w:val="000000"/>
          <w:sz w:val="28"/>
          <w:szCs w:val="28"/>
          <w:lang w:eastAsia="zh-CN"/>
        </w:rPr>
        <w:t>天冬</w:t>
      </w:r>
      <w:r>
        <w:rPr>
          <w:rFonts w:hint="eastAsia" w:ascii="Times New Roman" w:hAnsi="Times New Roman" w:eastAsia="仿宋_GB2312" w:cs="Times New Roman"/>
          <w:color w:val="000000"/>
          <w:sz w:val="28"/>
          <w:szCs w:val="28"/>
        </w:rPr>
        <w:t>在广西通常分布于海拔1000m以下的</w:t>
      </w:r>
      <w:r>
        <w:rPr>
          <w:rFonts w:ascii="Times New Roman" w:hAnsi="Times New Roman" w:eastAsia="仿宋_GB2312" w:cs="Times New Roman"/>
          <w:color w:val="000000"/>
          <w:sz w:val="28"/>
          <w:szCs w:val="28"/>
        </w:rPr>
        <w:t>阴湿的山野林边、山坡草丛中或丘陵地带灌木</w:t>
      </w:r>
      <w:r>
        <w:rPr>
          <w:rFonts w:hint="eastAsia" w:ascii="Times New Roman" w:hAnsi="Times New Roman" w:eastAsia="仿宋_GB2312" w:cs="Times New Roman"/>
          <w:color w:val="000000"/>
          <w:sz w:val="28"/>
          <w:szCs w:val="28"/>
        </w:rPr>
        <w:t>丛</w:t>
      </w:r>
      <w:r>
        <w:rPr>
          <w:rFonts w:ascii="Times New Roman" w:hAnsi="Times New Roman" w:eastAsia="仿宋_GB2312" w:cs="Times New Roman"/>
          <w:color w:val="000000"/>
          <w:sz w:val="28"/>
          <w:szCs w:val="28"/>
        </w:rPr>
        <w:t>中。</w:t>
      </w:r>
      <w:r>
        <w:rPr>
          <w:rFonts w:hint="eastAsia" w:ascii="Times New Roman" w:hAnsi="Times New Roman" w:eastAsia="仿宋_GB2312" w:cs="Times New Roman"/>
          <w:color w:val="000000"/>
          <w:sz w:val="28"/>
          <w:szCs w:val="28"/>
        </w:rPr>
        <w:t>喜冬暖夏凉的气候环境，</w:t>
      </w:r>
      <w:r>
        <w:rPr>
          <w:rFonts w:ascii="Times New Roman" w:hAnsi="Times New Roman" w:eastAsia="仿宋_GB2312" w:cs="Times New Roman"/>
          <w:color w:val="000000"/>
          <w:sz w:val="28"/>
          <w:szCs w:val="28"/>
        </w:rPr>
        <w:t>不耐严寒</w:t>
      </w:r>
      <w:r>
        <w:rPr>
          <w:rFonts w:hint="eastAsia" w:ascii="Times New Roman" w:hAnsi="Times New Roman" w:eastAsia="仿宋_GB2312" w:cs="Times New Roman"/>
          <w:color w:val="000000"/>
          <w:sz w:val="28"/>
          <w:szCs w:val="28"/>
        </w:rPr>
        <w:t>，适合在</w:t>
      </w:r>
      <w:r>
        <w:rPr>
          <w:rFonts w:ascii="Times New Roman" w:hAnsi="Times New Roman" w:eastAsia="仿宋_GB2312" w:cs="Times New Roman"/>
          <w:color w:val="000000"/>
          <w:sz w:val="28"/>
          <w:szCs w:val="28"/>
        </w:rPr>
        <w:t>年平均气温</w:t>
      </w:r>
      <w:r>
        <w:rPr>
          <w:rFonts w:hint="eastAsia" w:ascii="Times New Roman" w:hAnsi="Times New Roman" w:eastAsia="仿宋_GB2312" w:cs="Times New Roman"/>
          <w:color w:val="000000"/>
          <w:sz w:val="28"/>
          <w:szCs w:val="28"/>
        </w:rPr>
        <w:t>18～20℃</w:t>
      </w:r>
      <w:r>
        <w:rPr>
          <w:rFonts w:ascii="Times New Roman" w:hAnsi="Times New Roman" w:eastAsia="仿宋_GB2312" w:cs="Times New Roman"/>
          <w:color w:val="000000"/>
          <w:sz w:val="28"/>
          <w:szCs w:val="28"/>
        </w:rPr>
        <w:t>的地区生长。</w:t>
      </w:r>
      <w:r>
        <w:rPr>
          <w:rFonts w:hint="eastAsia" w:ascii="Times New Roman" w:hAnsi="Times New Roman" w:eastAsia="仿宋_GB2312" w:cs="Times New Roman"/>
          <w:color w:val="000000"/>
          <w:sz w:val="28"/>
          <w:szCs w:val="28"/>
          <w:lang w:eastAsia="zh-CN"/>
        </w:rPr>
        <w:t>天冬</w:t>
      </w:r>
      <w:r>
        <w:rPr>
          <w:rFonts w:hint="eastAsia" w:ascii="Times New Roman" w:hAnsi="Times New Roman" w:eastAsia="仿宋_GB2312" w:cs="Times New Roman"/>
          <w:color w:val="000000"/>
          <w:sz w:val="28"/>
          <w:szCs w:val="28"/>
        </w:rPr>
        <w:t>苗期</w:t>
      </w:r>
      <w:r>
        <w:rPr>
          <w:rFonts w:ascii="Times New Roman" w:hAnsi="Times New Roman" w:eastAsia="仿宋_GB2312" w:cs="Times New Roman"/>
          <w:color w:val="000000"/>
          <w:sz w:val="28"/>
          <w:szCs w:val="28"/>
        </w:rPr>
        <w:t>应适度遮荫或与</w:t>
      </w:r>
      <w:r>
        <w:rPr>
          <w:rFonts w:hint="eastAsia" w:ascii="Times New Roman" w:hAnsi="Times New Roman" w:eastAsia="仿宋_GB2312" w:cs="Times New Roman"/>
          <w:color w:val="000000"/>
          <w:sz w:val="28"/>
          <w:szCs w:val="28"/>
        </w:rPr>
        <w:t>肉桂</w:t>
      </w:r>
      <w:r>
        <w:rPr>
          <w:rFonts w:ascii="Times New Roman" w:hAnsi="Times New Roman" w:eastAsia="仿宋_GB2312" w:cs="Times New Roman"/>
          <w:color w:val="000000"/>
          <w:sz w:val="28"/>
          <w:szCs w:val="28"/>
        </w:rPr>
        <w:t>、</w:t>
      </w:r>
      <w:r>
        <w:rPr>
          <w:rFonts w:hint="eastAsia" w:ascii="Times New Roman" w:hAnsi="Times New Roman" w:eastAsia="仿宋_GB2312" w:cs="Times New Roman"/>
          <w:color w:val="000000"/>
          <w:sz w:val="28"/>
          <w:szCs w:val="28"/>
        </w:rPr>
        <w:t>八角等</w:t>
      </w:r>
      <w:r>
        <w:rPr>
          <w:rFonts w:ascii="Times New Roman" w:hAnsi="Times New Roman" w:eastAsia="仿宋_GB2312" w:cs="Times New Roman"/>
          <w:color w:val="000000"/>
          <w:sz w:val="28"/>
          <w:szCs w:val="28"/>
        </w:rPr>
        <w:t>药材间作。</w:t>
      </w:r>
      <w:r>
        <w:rPr>
          <w:rFonts w:hint="eastAsia" w:ascii="Times New Roman" w:hAnsi="Times New Roman" w:eastAsia="仿宋_GB2312" w:cs="Times New Roman"/>
          <w:color w:val="000000"/>
          <w:sz w:val="28"/>
          <w:szCs w:val="28"/>
          <w:lang w:eastAsia="zh-CN"/>
        </w:rPr>
        <w:t>天冬</w:t>
      </w:r>
      <w:r>
        <w:rPr>
          <w:rFonts w:hint="eastAsia" w:ascii="Times New Roman" w:hAnsi="Times New Roman" w:eastAsia="仿宋_GB2312" w:cs="Times New Roman"/>
          <w:color w:val="000000"/>
          <w:sz w:val="28"/>
          <w:szCs w:val="28"/>
        </w:rPr>
        <w:t>喜肥，在土层深厚、疏松肥沃、湿润且排水良好的坡地壤土或</w:t>
      </w:r>
      <w:r>
        <w:rPr>
          <w:rFonts w:ascii="Times New Roman" w:hAnsi="Times New Roman" w:eastAsia="仿宋_GB2312" w:cs="Times New Roman"/>
          <w:color w:val="000000"/>
          <w:sz w:val="28"/>
          <w:szCs w:val="28"/>
        </w:rPr>
        <w:t>腐殖土生长</w:t>
      </w:r>
      <w:r>
        <w:rPr>
          <w:rFonts w:hint="eastAsia" w:ascii="Times New Roman" w:hAnsi="Times New Roman" w:eastAsia="仿宋_GB2312" w:cs="Times New Roman"/>
          <w:color w:val="000000"/>
          <w:sz w:val="28"/>
          <w:szCs w:val="28"/>
        </w:rPr>
        <w:t>良好，块根比较发达，</w:t>
      </w:r>
      <w:r>
        <w:rPr>
          <w:rFonts w:ascii="Times New Roman" w:hAnsi="Times New Roman" w:eastAsia="仿宋_GB2312" w:cs="Times New Roman"/>
          <w:color w:val="000000"/>
          <w:sz w:val="28"/>
          <w:szCs w:val="28"/>
        </w:rPr>
        <w:t>入土深达</w:t>
      </w:r>
      <w:r>
        <w:rPr>
          <w:rFonts w:hint="eastAsia" w:ascii="Times New Roman" w:hAnsi="Times New Roman" w:eastAsia="仿宋_GB2312" w:cs="Times New Roman"/>
          <w:color w:val="000000"/>
          <w:sz w:val="28"/>
          <w:szCs w:val="28"/>
        </w:rPr>
        <w:t>40~50</w:t>
      </w:r>
      <w:r>
        <w:rPr>
          <w:rFonts w:ascii="Times New Roman" w:hAnsi="Times New Roman" w:eastAsia="仿宋_GB2312" w:cs="Times New Roman"/>
          <w:color w:val="000000"/>
          <w:sz w:val="28"/>
          <w:szCs w:val="28"/>
        </w:rPr>
        <w:t>cm，过粘、过于瘠薄、排水不良、积水的地方</w:t>
      </w:r>
      <w:r>
        <w:rPr>
          <w:rFonts w:hint="eastAsia" w:ascii="Times New Roman" w:hAnsi="Times New Roman" w:eastAsia="仿宋_GB2312" w:cs="Times New Roman"/>
          <w:color w:val="000000"/>
          <w:sz w:val="28"/>
          <w:szCs w:val="28"/>
        </w:rPr>
        <w:t>生长不良</w:t>
      </w:r>
      <w:r>
        <w:rPr>
          <w:rFonts w:ascii="Times New Roman" w:hAnsi="Times New Roman" w:eastAsia="仿宋_GB2312" w:cs="Times New Roman"/>
          <w:color w:val="000000"/>
          <w:sz w:val="28"/>
          <w:szCs w:val="28"/>
        </w:rPr>
        <w:t>不宜种植。</w:t>
      </w:r>
      <w:r>
        <w:rPr>
          <w:rFonts w:hint="eastAsia" w:ascii="Times New Roman" w:hAnsi="Times New Roman" w:eastAsia="仿宋_GB2312" w:cs="Times New Roman"/>
          <w:color w:val="000000"/>
          <w:sz w:val="28"/>
          <w:szCs w:val="28"/>
          <w:lang w:eastAsia="zh-CN"/>
        </w:rPr>
        <w:t>天冬</w:t>
      </w:r>
      <w:r>
        <w:rPr>
          <w:rFonts w:hint="eastAsia" w:ascii="Times New Roman" w:hAnsi="Times New Roman" w:eastAsia="仿宋_GB2312" w:cs="Times New Roman"/>
          <w:color w:val="000000"/>
          <w:sz w:val="28"/>
          <w:szCs w:val="28"/>
        </w:rPr>
        <w:t>苗期</w:t>
      </w:r>
      <w:r>
        <w:rPr>
          <w:rFonts w:ascii="Times New Roman" w:hAnsi="Times New Roman" w:eastAsia="仿宋_GB2312" w:cs="Times New Roman"/>
          <w:color w:val="000000"/>
          <w:sz w:val="28"/>
          <w:szCs w:val="28"/>
        </w:rPr>
        <w:t>忌阳光直射，</w:t>
      </w:r>
      <w:r>
        <w:rPr>
          <w:rFonts w:hint="eastAsia" w:ascii="Times New Roman" w:hAnsi="Times New Roman" w:eastAsia="仿宋_GB2312" w:cs="Times New Roman"/>
          <w:color w:val="000000"/>
          <w:sz w:val="28"/>
          <w:szCs w:val="28"/>
        </w:rPr>
        <w:t>如受强光直射</w:t>
      </w:r>
      <w:r>
        <w:rPr>
          <w:rFonts w:ascii="Times New Roman" w:hAnsi="Times New Roman" w:eastAsia="仿宋_GB2312" w:cs="Times New Roman"/>
          <w:color w:val="000000"/>
          <w:sz w:val="28"/>
          <w:szCs w:val="28"/>
        </w:rPr>
        <w:t>，</w:t>
      </w:r>
      <w:r>
        <w:rPr>
          <w:rFonts w:hint="eastAsia" w:ascii="Times New Roman" w:hAnsi="Times New Roman" w:eastAsia="仿宋_GB2312" w:cs="Times New Roman"/>
          <w:color w:val="000000"/>
          <w:sz w:val="28"/>
          <w:szCs w:val="28"/>
        </w:rPr>
        <w:t>植株则</w:t>
      </w:r>
      <w:r>
        <w:rPr>
          <w:rFonts w:ascii="Times New Roman" w:hAnsi="Times New Roman" w:eastAsia="仿宋_GB2312" w:cs="Times New Roman"/>
          <w:color w:val="000000"/>
          <w:sz w:val="28"/>
          <w:szCs w:val="28"/>
        </w:rPr>
        <w:t>枯黄，</w:t>
      </w:r>
      <w:r>
        <w:rPr>
          <w:rFonts w:hint="eastAsia" w:ascii="Times New Roman" w:hAnsi="Times New Roman" w:eastAsia="仿宋_GB2312" w:cs="Times New Roman"/>
          <w:color w:val="000000"/>
          <w:sz w:val="28"/>
          <w:szCs w:val="28"/>
        </w:rPr>
        <w:t>所以</w:t>
      </w:r>
      <w:r>
        <w:rPr>
          <w:rFonts w:hint="eastAsia" w:ascii="Times New Roman" w:hAnsi="Times New Roman" w:eastAsia="仿宋_GB2312" w:cs="Times New Roman"/>
          <w:color w:val="000000"/>
          <w:kern w:val="2"/>
          <w:sz w:val="28"/>
          <w:szCs w:val="28"/>
          <w:lang w:val="en-US" w:eastAsia="zh-CN" w:bidi="ar-SA"/>
        </w:rPr>
        <w:t>宜选择海拔在300 m～2 200 m，土层深厚、疏松、有机质丰富、排灌方便的山谷、郁闭度0.4～0.7的乔木林下边界等阴湿的环境，产地环境条件应符合《中药材生产质量管理规范》的要求。或者宜搭建育苗棚，棚高1.8 m～2.2 m，棚顶覆盖无滴薄膜，棚上方用遮阳率为40％～50％（2～3针）的遮阳网遮盖，或棚顶直接采用遮阳率为75％（4针）的遮阳网覆盖。</w:t>
      </w:r>
    </w:p>
    <w:p w14:paraId="6834AB8A">
      <w:pPr>
        <w:ind w:firstLine="420" w:firstLineChars="150"/>
        <w:rPr>
          <w:rFonts w:ascii="Times New Roman" w:hAnsi="Times New Roman" w:eastAsia="仿宋_GB2312" w:cs="Times New Roman"/>
          <w:color w:val="000000"/>
          <w:sz w:val="28"/>
          <w:szCs w:val="28"/>
        </w:rPr>
      </w:pPr>
      <w:r>
        <w:rPr>
          <w:rFonts w:hint="eastAsia" w:ascii="Times New Roman" w:hAnsi="Times New Roman" w:eastAsia="仿宋_GB2312" w:cs="Times New Roman"/>
          <w:color w:val="000000"/>
          <w:sz w:val="28"/>
          <w:szCs w:val="28"/>
          <w:lang w:eastAsia="zh-CN"/>
        </w:rPr>
        <w:t>天冬</w:t>
      </w:r>
      <w:r>
        <w:rPr>
          <w:rFonts w:ascii="Times New Roman" w:hAnsi="Times New Roman" w:eastAsia="仿宋_GB2312" w:cs="Times New Roman"/>
          <w:color w:val="000000"/>
          <w:sz w:val="28"/>
          <w:szCs w:val="28"/>
        </w:rPr>
        <w:t>种子不耐贮藏，宜采收后即播或及时用湿沙贮藏至凉爽低温处，种子寿命约l年，隔年陈种子不宜使用。</w:t>
      </w:r>
    </w:p>
    <w:p w14:paraId="1C38B2E0">
      <w:pPr>
        <w:spacing w:line="560" w:lineRule="exact"/>
        <w:ind w:firstLine="480"/>
        <w:jc w:val="left"/>
        <w:rPr>
          <w:rFonts w:hint="eastAsia" w:ascii="Times New Roman" w:hAnsi="Times New Roman" w:eastAsia="仿宋_GB2312"/>
          <w:b/>
          <w:bCs/>
          <w:color w:val="000000"/>
          <w:sz w:val="28"/>
          <w:szCs w:val="28"/>
          <w:lang w:eastAsia="zh-CN"/>
        </w:rPr>
      </w:pPr>
      <w:r>
        <w:rPr>
          <w:rFonts w:hint="eastAsia" w:ascii="Times New Roman" w:hAnsi="Times New Roman" w:eastAsia="仿宋_GB2312"/>
          <w:b/>
          <w:bCs/>
          <w:color w:val="000000"/>
          <w:sz w:val="28"/>
          <w:szCs w:val="28"/>
          <w:lang w:eastAsia="zh-CN"/>
        </w:rPr>
        <w:t>（三）种子育苗</w:t>
      </w:r>
    </w:p>
    <w:p w14:paraId="1528D347">
      <w:pPr>
        <w:spacing w:line="560" w:lineRule="exact"/>
        <w:ind w:firstLine="560" w:firstLineChars="200"/>
        <w:rPr>
          <w:rFonts w:hint="eastAsia" w:ascii="Times New Roman" w:hAnsi="Times New Roman" w:eastAsia="仿宋_GB2312" w:cs="Times New Roman"/>
          <w:color w:val="000000"/>
          <w:sz w:val="28"/>
          <w:szCs w:val="28"/>
        </w:rPr>
      </w:pPr>
      <w:r>
        <w:rPr>
          <w:rFonts w:hint="eastAsia" w:ascii="Times New Roman" w:hAnsi="Times New Roman" w:eastAsia="仿宋_GB2312" w:cs="Times New Roman"/>
          <w:color w:val="000000"/>
          <w:sz w:val="28"/>
          <w:szCs w:val="28"/>
        </w:rPr>
        <w:t>天冬传统上以种子繁殖为主，但繁殖效率低且对技术与环境条件要求较高。近年来，通过组织培训、田间实地示范和远程在线指导等多种方式，对广西区内多家种植企业及农户进行天冬繁育技术推广。已指导广西天冬生物科技有限公司、南宁市盛禾农业有限公司、广西国有百色林场等企业规模化生产优质种苗超60万株。在南宁、玉林、钦州及百色等地累计推广种植面积达8000余亩，天冬生长周期4–5年，亩产鲜品约12000–15000斤，地头收购价平均每斤5元，亩产值可达6–7.5万元，总产值预计达4800–6000万元，显著促进了地方特色药材产业发展和乡村经济振兴。</w:t>
      </w:r>
    </w:p>
    <w:p w14:paraId="5DBB2E34">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b/>
          <w:sz w:val="28"/>
          <w:szCs w:val="28"/>
          <w:lang w:eastAsia="zh-CN"/>
        </w:rPr>
      </w:pPr>
      <w:r>
        <w:rPr>
          <w:rFonts w:hint="eastAsia" w:ascii="仿宋_GB2312" w:hAnsi="仿宋_GB2312" w:eastAsia="仿宋_GB2312" w:cs="仿宋_GB2312"/>
          <w:b/>
          <w:sz w:val="28"/>
          <w:szCs w:val="28"/>
        </w:rPr>
        <w:t>种子发芽试验</w:t>
      </w:r>
      <w:r>
        <w:rPr>
          <w:rFonts w:hint="eastAsia" w:ascii="仿宋_GB2312" w:hAnsi="仿宋_GB2312" w:eastAsia="仿宋_GB2312" w:cs="仿宋_GB2312"/>
          <w:b/>
          <w:sz w:val="28"/>
          <w:szCs w:val="28"/>
          <w:lang w:eastAsia="zh-CN"/>
        </w:rPr>
        <w:t>：</w:t>
      </w:r>
    </w:p>
    <w:p w14:paraId="7382280F">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1</w:t>
      </w:r>
      <w:r>
        <w:rPr>
          <w:rFonts w:hint="eastAsia" w:ascii="仿宋_GB2312" w:hAnsi="仿宋_GB2312" w:eastAsia="仿宋_GB2312" w:cs="仿宋_GB2312"/>
          <w:b/>
          <w:bCs/>
          <w:sz w:val="28"/>
          <w:szCs w:val="28"/>
          <w:lang w:val="en-US" w:eastAsia="zh-CN"/>
        </w:rPr>
        <w:t>.</w:t>
      </w:r>
      <w:r>
        <w:rPr>
          <w:rFonts w:hint="eastAsia" w:ascii="仿宋_GB2312" w:hAnsi="仿宋_GB2312" w:eastAsia="仿宋_GB2312" w:cs="仿宋_GB2312"/>
          <w:b/>
          <w:bCs/>
          <w:sz w:val="28"/>
          <w:szCs w:val="28"/>
        </w:rPr>
        <w:t>供试种子</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供试种子来源于广西药用植物园天冬种质圃的种子。2009年7月采收，经净度分析后用于发芽试验。</w:t>
      </w:r>
    </w:p>
    <w:p w14:paraId="666D30A4">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2.仪器及试剂</w:t>
      </w:r>
    </w:p>
    <w:p w14:paraId="1B3EF1C2">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发芽箱：LRH-400-G光照培养箱、LRH-250-G光照培养箱。</w:t>
      </w:r>
    </w:p>
    <w:p w14:paraId="318EB02A">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发芽器皿：直径为9 cm的培养皿及硬塑发芽盒。</w:t>
      </w:r>
    </w:p>
    <w:p w14:paraId="6BD47B27">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发芽基质：发芽纸(市售，种子发芽专用，pH6.0～7.5)、过10目的细沙和细土；</w:t>
      </w:r>
    </w:p>
    <w:p w14:paraId="6FBFAC7F">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试剂：高锰酸钾</w:t>
      </w:r>
    </w:p>
    <w:p w14:paraId="0FEA2814">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3</w:t>
      </w:r>
      <w:r>
        <w:rPr>
          <w:rFonts w:hint="eastAsia" w:ascii="仿宋_GB2312" w:hAnsi="仿宋_GB2312" w:eastAsia="仿宋_GB2312" w:cs="仿宋_GB2312"/>
          <w:b/>
          <w:bCs/>
          <w:sz w:val="28"/>
          <w:szCs w:val="28"/>
          <w:lang w:val="en-US" w:eastAsia="zh-CN"/>
        </w:rPr>
        <w:t>.</w:t>
      </w:r>
      <w:r>
        <w:rPr>
          <w:rFonts w:hint="eastAsia" w:ascii="仿宋_GB2312" w:hAnsi="仿宋_GB2312" w:eastAsia="仿宋_GB2312" w:cs="仿宋_GB2312"/>
          <w:b/>
          <w:bCs/>
          <w:sz w:val="28"/>
          <w:szCs w:val="28"/>
        </w:rPr>
        <w:t>方法</w:t>
      </w:r>
    </w:p>
    <w:p w14:paraId="07AB0ACE">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抑茵处理</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自来水(ck)、无菌水、0.5％ 高锰酸钾、1％ 高锰酸钾各浸种2h。</w:t>
      </w:r>
    </w:p>
    <w:p w14:paraId="526BA7F2">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温度设定</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发芽温度分别为l5℃、20℃、25℃、30℃、35℃，恒温进行发芽测定。最长培养45d。</w:t>
      </w:r>
    </w:p>
    <w:p w14:paraId="7106412B">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光照条件</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分为部分光照、黑暗、自然光3种条件。部分光照处理为在每天光照12 h，强度2 000 lx的条件下发芽；黑暗处理为将置床后的发芽盒用黑布包裹，放入小纸箱中进行发芽试验。</w:t>
      </w:r>
    </w:p>
    <w:p w14:paraId="7DEB3667">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sz w:val="28"/>
          <w:szCs w:val="28"/>
        </w:rPr>
        <w:t>发芽床设置</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kern w:val="0"/>
          <w:sz w:val="28"/>
          <w:szCs w:val="28"/>
        </w:rPr>
        <w:t>滤纸：在发芽盒内垫上两层充分吸湿的发芽纸，将种子均匀置床培养；砂中(S)：将拌好的湿砂在发芽盒内铺20mm厚，种子均匀置床，然后加盖一层10 mm厚的松散湿砂。土中：将拌好的细土在发芽盒内铺20mm厚，种子均匀置床，加盖一层10 mm厚的细土，然后喷水湿透土壤。</w:t>
      </w:r>
    </w:p>
    <w:p w14:paraId="4A34447B">
      <w:pPr>
        <w:keepNext w:val="0"/>
        <w:keepLines w:val="0"/>
        <w:pageBreakBefore w:val="0"/>
        <w:widowControl w:val="0"/>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以上试验按《国际种子检验规程》(ISTA)1996版中发芽试验和GB／T 3543.4—1995《农作物种子检验规程》发芽试验观察幼苗发育的规律确定试验持续时间。试验每个处理4次重复，每个重复100粒。除相应的处理外，种子其余的发芽条件为：滤纸为发芽床，发芽温度25℃，每天光照12h ，强度2000 lx培养。各试验观察记录时间为45d。</w:t>
      </w:r>
    </w:p>
    <w:p w14:paraId="425CBD66">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4</w:t>
      </w:r>
      <w:r>
        <w:rPr>
          <w:rFonts w:hint="eastAsia" w:ascii="仿宋_GB2312" w:hAnsi="仿宋_GB2312" w:eastAsia="仿宋_GB2312" w:cs="仿宋_GB2312"/>
          <w:b/>
          <w:bCs/>
          <w:sz w:val="28"/>
          <w:szCs w:val="28"/>
          <w:lang w:val="en-US" w:eastAsia="zh-CN"/>
        </w:rPr>
        <w:t>.</w:t>
      </w:r>
      <w:r>
        <w:rPr>
          <w:rFonts w:hint="eastAsia" w:ascii="仿宋_GB2312" w:hAnsi="仿宋_GB2312" w:eastAsia="仿宋_GB2312" w:cs="仿宋_GB2312"/>
          <w:b/>
          <w:bCs/>
          <w:sz w:val="28"/>
          <w:szCs w:val="28"/>
        </w:rPr>
        <w:t>结果与分析</w:t>
      </w:r>
    </w:p>
    <w:p w14:paraId="056A8098">
      <w:pPr>
        <w:keepNext w:val="0"/>
        <w:keepLines w:val="0"/>
        <w:pageBreakBefore w:val="0"/>
        <w:widowControl w:val="0"/>
        <w:kinsoku/>
        <w:wordWrap/>
        <w:overflowPunct/>
        <w:topLinePunct w:val="0"/>
        <w:bidi w:val="0"/>
        <w:snapToGrid/>
        <w:ind w:firstLine="560" w:firstLineChars="200"/>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不同温度对种子发芽的影响</w:t>
      </w:r>
      <w:r>
        <w:rPr>
          <w:rFonts w:hint="eastAsia" w:ascii="仿宋_GB2312" w:hAnsi="仿宋_GB2312" w:eastAsia="仿宋_GB2312" w:cs="仿宋_GB2312"/>
          <w:sz w:val="28"/>
          <w:szCs w:val="28"/>
          <w:lang w:eastAsia="zh-CN"/>
        </w:rPr>
        <w:t>见表</w:t>
      </w:r>
      <w:r>
        <w:rPr>
          <w:rFonts w:hint="eastAsia" w:ascii="仿宋_GB2312" w:hAnsi="仿宋_GB2312" w:eastAsia="仿宋_GB2312" w:cs="仿宋_GB2312"/>
          <w:sz w:val="28"/>
          <w:szCs w:val="28"/>
          <w:lang w:val="en-US" w:eastAsia="zh-CN"/>
        </w:rPr>
        <w:t>1。</w:t>
      </w:r>
    </w:p>
    <w:p w14:paraId="6FDAB358">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表1不同温度对种子发芽的影响</w:t>
      </w:r>
    </w:p>
    <w:tbl>
      <w:tblPr>
        <w:tblStyle w:val="3"/>
        <w:tblW w:w="0" w:type="auto"/>
        <w:tblInd w:w="648"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800"/>
        <w:gridCol w:w="2160"/>
        <w:gridCol w:w="1800"/>
        <w:gridCol w:w="1800"/>
      </w:tblGrid>
      <w:tr w14:paraId="7111C8D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tcBorders>
              <w:top w:val="single" w:color="auto" w:sz="4" w:space="0"/>
              <w:bottom w:val="single" w:color="auto" w:sz="4" w:space="0"/>
            </w:tcBorders>
            <w:noWrap w:val="0"/>
            <w:vAlign w:val="top"/>
          </w:tcPr>
          <w:p w14:paraId="3CAE8485">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发芽温度（℃）</w:t>
            </w:r>
          </w:p>
        </w:tc>
        <w:tc>
          <w:tcPr>
            <w:tcW w:w="2160" w:type="dxa"/>
            <w:tcBorders>
              <w:top w:val="single" w:color="auto" w:sz="4" w:space="0"/>
              <w:bottom w:val="single" w:color="auto" w:sz="4" w:space="0"/>
            </w:tcBorders>
            <w:noWrap w:val="0"/>
            <w:vAlign w:val="top"/>
          </w:tcPr>
          <w:p w14:paraId="622A2065">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开始发芽时间（d）</w:t>
            </w:r>
          </w:p>
        </w:tc>
        <w:tc>
          <w:tcPr>
            <w:tcW w:w="1800" w:type="dxa"/>
            <w:tcBorders>
              <w:top w:val="single" w:color="auto" w:sz="4" w:space="0"/>
              <w:bottom w:val="single" w:color="auto" w:sz="4" w:space="0"/>
            </w:tcBorders>
            <w:noWrap w:val="0"/>
            <w:vAlign w:val="top"/>
          </w:tcPr>
          <w:p w14:paraId="67E7EB73">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发芽率（%）</w:t>
            </w:r>
          </w:p>
        </w:tc>
        <w:tc>
          <w:tcPr>
            <w:tcW w:w="1800" w:type="dxa"/>
            <w:tcBorders>
              <w:top w:val="single" w:color="auto" w:sz="4" w:space="0"/>
              <w:bottom w:val="single" w:color="auto" w:sz="4" w:space="0"/>
            </w:tcBorders>
            <w:noWrap w:val="0"/>
            <w:vAlign w:val="top"/>
          </w:tcPr>
          <w:p w14:paraId="601E0105">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发芽势（%）</w:t>
            </w:r>
          </w:p>
        </w:tc>
      </w:tr>
      <w:tr w14:paraId="0D318C8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tcBorders>
              <w:top w:val="single" w:color="auto" w:sz="4" w:space="0"/>
            </w:tcBorders>
            <w:noWrap w:val="0"/>
            <w:vAlign w:val="top"/>
          </w:tcPr>
          <w:p w14:paraId="42C863F5">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15</w:t>
            </w:r>
          </w:p>
        </w:tc>
        <w:tc>
          <w:tcPr>
            <w:tcW w:w="2160" w:type="dxa"/>
            <w:tcBorders>
              <w:top w:val="single" w:color="auto" w:sz="4" w:space="0"/>
            </w:tcBorders>
            <w:noWrap w:val="0"/>
            <w:vAlign w:val="top"/>
          </w:tcPr>
          <w:p w14:paraId="1FD37656">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w:t>
            </w:r>
          </w:p>
        </w:tc>
        <w:tc>
          <w:tcPr>
            <w:tcW w:w="1800" w:type="dxa"/>
            <w:tcBorders>
              <w:top w:val="single" w:color="auto" w:sz="4" w:space="0"/>
            </w:tcBorders>
            <w:noWrap w:val="0"/>
            <w:vAlign w:val="top"/>
          </w:tcPr>
          <w:p w14:paraId="208C1FF2">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77</w:t>
            </w:r>
          </w:p>
        </w:tc>
        <w:tc>
          <w:tcPr>
            <w:tcW w:w="1800" w:type="dxa"/>
            <w:tcBorders>
              <w:top w:val="single" w:color="auto" w:sz="4" w:space="0"/>
            </w:tcBorders>
            <w:noWrap w:val="0"/>
            <w:vAlign w:val="top"/>
          </w:tcPr>
          <w:p w14:paraId="698854E9">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55</w:t>
            </w:r>
          </w:p>
        </w:tc>
      </w:tr>
      <w:tr w14:paraId="08120E3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noWrap w:val="0"/>
            <w:vAlign w:val="top"/>
          </w:tcPr>
          <w:p w14:paraId="72B4E08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w:t>
            </w:r>
          </w:p>
        </w:tc>
        <w:tc>
          <w:tcPr>
            <w:tcW w:w="2160" w:type="dxa"/>
            <w:noWrap w:val="0"/>
            <w:vAlign w:val="top"/>
          </w:tcPr>
          <w:p w14:paraId="1E60551F">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16</w:t>
            </w:r>
          </w:p>
        </w:tc>
        <w:tc>
          <w:tcPr>
            <w:tcW w:w="1800" w:type="dxa"/>
            <w:noWrap w:val="0"/>
            <w:vAlign w:val="top"/>
          </w:tcPr>
          <w:p w14:paraId="386C5854">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85</w:t>
            </w:r>
          </w:p>
        </w:tc>
        <w:tc>
          <w:tcPr>
            <w:tcW w:w="1800" w:type="dxa"/>
            <w:noWrap w:val="0"/>
            <w:vAlign w:val="top"/>
          </w:tcPr>
          <w:p w14:paraId="06622693">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w:t>
            </w:r>
          </w:p>
        </w:tc>
      </w:tr>
      <w:tr w14:paraId="5586B26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noWrap w:val="0"/>
            <w:vAlign w:val="top"/>
          </w:tcPr>
          <w:p w14:paraId="3EFC36F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25</w:t>
            </w:r>
          </w:p>
        </w:tc>
        <w:tc>
          <w:tcPr>
            <w:tcW w:w="2160" w:type="dxa"/>
            <w:noWrap w:val="0"/>
            <w:vAlign w:val="top"/>
          </w:tcPr>
          <w:p w14:paraId="764780C9">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14</w:t>
            </w:r>
          </w:p>
        </w:tc>
        <w:tc>
          <w:tcPr>
            <w:tcW w:w="1800" w:type="dxa"/>
            <w:noWrap w:val="0"/>
            <w:vAlign w:val="top"/>
          </w:tcPr>
          <w:p w14:paraId="1773766A">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88</w:t>
            </w:r>
          </w:p>
        </w:tc>
        <w:tc>
          <w:tcPr>
            <w:tcW w:w="1800" w:type="dxa"/>
            <w:noWrap w:val="0"/>
            <w:vAlign w:val="top"/>
          </w:tcPr>
          <w:p w14:paraId="25CA7232">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73</w:t>
            </w:r>
          </w:p>
        </w:tc>
      </w:tr>
      <w:tr w14:paraId="641B674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noWrap w:val="0"/>
            <w:vAlign w:val="top"/>
          </w:tcPr>
          <w:p w14:paraId="363EE48E">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30</w:t>
            </w:r>
          </w:p>
        </w:tc>
        <w:tc>
          <w:tcPr>
            <w:tcW w:w="2160" w:type="dxa"/>
            <w:noWrap w:val="0"/>
            <w:vAlign w:val="top"/>
          </w:tcPr>
          <w:p w14:paraId="5A75BE93">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13</w:t>
            </w:r>
          </w:p>
        </w:tc>
        <w:tc>
          <w:tcPr>
            <w:tcW w:w="1800" w:type="dxa"/>
            <w:noWrap w:val="0"/>
            <w:vAlign w:val="top"/>
          </w:tcPr>
          <w:p w14:paraId="3CCBB0B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83</w:t>
            </w:r>
          </w:p>
        </w:tc>
        <w:tc>
          <w:tcPr>
            <w:tcW w:w="1800" w:type="dxa"/>
            <w:noWrap w:val="0"/>
            <w:vAlign w:val="top"/>
          </w:tcPr>
          <w:p w14:paraId="75FC7779">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w:t>
            </w:r>
          </w:p>
        </w:tc>
      </w:tr>
      <w:tr w14:paraId="10BA119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800" w:type="dxa"/>
            <w:noWrap w:val="0"/>
            <w:vAlign w:val="top"/>
          </w:tcPr>
          <w:p w14:paraId="239E7CCC">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35</w:t>
            </w:r>
          </w:p>
        </w:tc>
        <w:tc>
          <w:tcPr>
            <w:tcW w:w="2160" w:type="dxa"/>
            <w:noWrap w:val="0"/>
            <w:vAlign w:val="top"/>
          </w:tcPr>
          <w:p w14:paraId="1AB6C730">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11</w:t>
            </w:r>
          </w:p>
        </w:tc>
        <w:tc>
          <w:tcPr>
            <w:tcW w:w="1800" w:type="dxa"/>
            <w:noWrap w:val="0"/>
            <w:vAlign w:val="top"/>
          </w:tcPr>
          <w:p w14:paraId="1E41E978">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72</w:t>
            </w:r>
          </w:p>
        </w:tc>
        <w:tc>
          <w:tcPr>
            <w:tcW w:w="1800" w:type="dxa"/>
            <w:noWrap w:val="0"/>
            <w:vAlign w:val="top"/>
          </w:tcPr>
          <w:p w14:paraId="72CB5754">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52</w:t>
            </w:r>
          </w:p>
        </w:tc>
      </w:tr>
    </w:tbl>
    <w:p w14:paraId="34608173">
      <w:pPr>
        <w:autoSpaceDE w:val="0"/>
        <w:autoSpaceDN w:val="0"/>
        <w:adjustRightInd w:val="0"/>
        <w:ind w:firstLine="560" w:firstLineChars="200"/>
        <w:jc w:val="left"/>
        <w:rPr>
          <w:rFonts w:hint="eastAsia" w:ascii="仿宋_GB2312" w:hAnsi="仿宋_GB2312" w:eastAsia="仿宋_GB2312" w:cs="仿宋_GB2312"/>
          <w:b w:val="0"/>
          <w:bCs w:val="0"/>
          <w:kern w:val="0"/>
          <w:sz w:val="28"/>
          <w:szCs w:val="28"/>
        </w:rPr>
      </w:pPr>
      <w:r>
        <w:rPr>
          <w:rFonts w:hint="eastAsia" w:ascii="仿宋_GB2312" w:hAnsi="仿宋_GB2312" w:eastAsia="仿宋_GB2312" w:cs="仿宋_GB2312"/>
          <w:sz w:val="28"/>
          <w:szCs w:val="28"/>
        </w:rPr>
        <w:t>试验设计了5个温度处理，结果见表1。从表1可以看出，天冬种子整体发芽率较高，温度对种子的发芽率影响较大。15℃露白的时间及试验持续的时间均较长；30℃和35℃</w:t>
      </w:r>
      <w:r>
        <w:rPr>
          <w:rFonts w:hint="eastAsia" w:ascii="仿宋_GB2312" w:hAnsi="仿宋_GB2312" w:eastAsia="仿宋_GB2312" w:cs="仿宋_GB2312"/>
          <w:kern w:val="0"/>
          <w:sz w:val="28"/>
          <w:szCs w:val="28"/>
        </w:rPr>
        <w:t>试验持续的时间较短；</w:t>
      </w:r>
      <w:r>
        <w:rPr>
          <w:rFonts w:hint="eastAsia" w:ascii="仿宋_GB2312" w:hAnsi="仿宋_GB2312" w:eastAsia="仿宋_GB2312" w:cs="仿宋_GB2312"/>
          <w:sz w:val="28"/>
          <w:szCs w:val="28"/>
        </w:rPr>
        <w:t>20℃和25℃种</w:t>
      </w:r>
      <w:r>
        <w:rPr>
          <w:rFonts w:hint="eastAsia" w:ascii="仿宋_GB2312" w:hAnsi="仿宋_GB2312" w:eastAsia="仿宋_GB2312" w:cs="仿宋_GB2312"/>
          <w:kern w:val="0"/>
          <w:sz w:val="28"/>
          <w:szCs w:val="28"/>
        </w:rPr>
        <w:t>子有较高且一致的发芽率，二者发芽率差异不明显，是种子发芽的适宜温度。</w:t>
      </w:r>
    </w:p>
    <w:p w14:paraId="4BD31C2D">
      <w:pPr>
        <w:autoSpaceDE w:val="0"/>
        <w:autoSpaceDN w:val="0"/>
        <w:adjustRightInd w:val="0"/>
        <w:ind w:firstLine="560" w:firstLineChars="200"/>
        <w:jc w:val="left"/>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不同光照条件对种子发芽的影响</w:t>
      </w:r>
      <w:r>
        <w:rPr>
          <w:rFonts w:hint="eastAsia" w:ascii="仿宋_GB2312" w:hAnsi="仿宋_GB2312" w:eastAsia="仿宋_GB2312" w:cs="仿宋_GB2312"/>
          <w:sz w:val="28"/>
          <w:szCs w:val="28"/>
          <w:lang w:eastAsia="zh-CN"/>
        </w:rPr>
        <w:t>见表</w:t>
      </w:r>
      <w:r>
        <w:rPr>
          <w:rFonts w:hint="eastAsia" w:ascii="仿宋_GB2312" w:hAnsi="仿宋_GB2312" w:eastAsia="仿宋_GB2312" w:cs="仿宋_GB2312"/>
          <w:sz w:val="28"/>
          <w:szCs w:val="28"/>
          <w:lang w:val="en-US" w:eastAsia="zh-CN"/>
        </w:rPr>
        <w:t>2。</w:t>
      </w:r>
    </w:p>
    <w:p w14:paraId="03BC3A21">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表2不同光照条件对种子发芽的影响</w:t>
      </w:r>
    </w:p>
    <w:tbl>
      <w:tblPr>
        <w:tblStyle w:val="3"/>
        <w:tblW w:w="0" w:type="auto"/>
        <w:tblInd w:w="648"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1800"/>
        <w:gridCol w:w="2340"/>
        <w:gridCol w:w="1800"/>
        <w:gridCol w:w="1800"/>
      </w:tblGrid>
      <w:tr w14:paraId="4F50DB26">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800" w:type="dxa"/>
            <w:tcBorders>
              <w:bottom w:val="single" w:color="auto" w:sz="4" w:space="0"/>
            </w:tcBorders>
            <w:noWrap w:val="0"/>
            <w:vAlign w:val="top"/>
          </w:tcPr>
          <w:p w14:paraId="7C8ACB3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光照处理</w:t>
            </w:r>
          </w:p>
        </w:tc>
        <w:tc>
          <w:tcPr>
            <w:tcW w:w="2340" w:type="dxa"/>
            <w:tcBorders>
              <w:bottom w:val="single" w:color="auto" w:sz="4" w:space="0"/>
            </w:tcBorders>
            <w:noWrap w:val="0"/>
            <w:vAlign w:val="top"/>
          </w:tcPr>
          <w:p w14:paraId="5C60D1F4">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开始发芽时间（d）</w:t>
            </w:r>
          </w:p>
        </w:tc>
        <w:tc>
          <w:tcPr>
            <w:tcW w:w="1800" w:type="dxa"/>
            <w:tcBorders>
              <w:bottom w:val="single" w:color="auto" w:sz="4" w:space="0"/>
            </w:tcBorders>
            <w:noWrap w:val="0"/>
            <w:vAlign w:val="top"/>
          </w:tcPr>
          <w:p w14:paraId="500CAC03">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发芽率（%）</w:t>
            </w:r>
          </w:p>
        </w:tc>
        <w:tc>
          <w:tcPr>
            <w:tcW w:w="1800" w:type="dxa"/>
            <w:tcBorders>
              <w:bottom w:val="single" w:color="auto" w:sz="4" w:space="0"/>
            </w:tcBorders>
            <w:noWrap w:val="0"/>
            <w:vAlign w:val="top"/>
          </w:tcPr>
          <w:p w14:paraId="34DC162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发芽势（%）</w:t>
            </w:r>
          </w:p>
        </w:tc>
      </w:tr>
      <w:tr w14:paraId="70808246">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800" w:type="dxa"/>
            <w:tcBorders>
              <w:bottom w:val="nil"/>
            </w:tcBorders>
            <w:noWrap w:val="0"/>
            <w:vAlign w:val="top"/>
          </w:tcPr>
          <w:p w14:paraId="50DB7EC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光照</w:t>
            </w:r>
          </w:p>
        </w:tc>
        <w:tc>
          <w:tcPr>
            <w:tcW w:w="2340" w:type="dxa"/>
            <w:tcBorders>
              <w:bottom w:val="nil"/>
            </w:tcBorders>
            <w:noWrap w:val="0"/>
            <w:vAlign w:val="top"/>
          </w:tcPr>
          <w:p w14:paraId="5660BCDA">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13</w:t>
            </w:r>
          </w:p>
        </w:tc>
        <w:tc>
          <w:tcPr>
            <w:tcW w:w="1800" w:type="dxa"/>
            <w:tcBorders>
              <w:bottom w:val="nil"/>
            </w:tcBorders>
            <w:noWrap w:val="0"/>
            <w:vAlign w:val="top"/>
          </w:tcPr>
          <w:p w14:paraId="2E6EB437">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82</w:t>
            </w:r>
          </w:p>
        </w:tc>
        <w:tc>
          <w:tcPr>
            <w:tcW w:w="1800" w:type="dxa"/>
            <w:tcBorders>
              <w:bottom w:val="nil"/>
            </w:tcBorders>
            <w:noWrap w:val="0"/>
            <w:vAlign w:val="top"/>
          </w:tcPr>
          <w:p w14:paraId="32C048CA">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65</w:t>
            </w:r>
          </w:p>
        </w:tc>
      </w:tr>
      <w:tr w14:paraId="1AF744F5">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800" w:type="dxa"/>
            <w:tcBorders>
              <w:top w:val="nil"/>
              <w:bottom w:val="nil"/>
            </w:tcBorders>
            <w:noWrap w:val="0"/>
            <w:vAlign w:val="top"/>
          </w:tcPr>
          <w:p w14:paraId="44D91C62">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自然光</w:t>
            </w:r>
          </w:p>
        </w:tc>
        <w:tc>
          <w:tcPr>
            <w:tcW w:w="2340" w:type="dxa"/>
            <w:tcBorders>
              <w:top w:val="nil"/>
              <w:bottom w:val="nil"/>
            </w:tcBorders>
            <w:noWrap w:val="0"/>
            <w:vAlign w:val="top"/>
          </w:tcPr>
          <w:p w14:paraId="375D31C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13</w:t>
            </w:r>
          </w:p>
        </w:tc>
        <w:tc>
          <w:tcPr>
            <w:tcW w:w="1800" w:type="dxa"/>
            <w:tcBorders>
              <w:top w:val="nil"/>
              <w:bottom w:val="nil"/>
            </w:tcBorders>
            <w:noWrap w:val="0"/>
            <w:vAlign w:val="top"/>
          </w:tcPr>
          <w:p w14:paraId="088D0A5C">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79 </w:t>
            </w:r>
          </w:p>
        </w:tc>
        <w:tc>
          <w:tcPr>
            <w:tcW w:w="1800" w:type="dxa"/>
            <w:tcBorders>
              <w:top w:val="nil"/>
              <w:bottom w:val="nil"/>
            </w:tcBorders>
            <w:noWrap w:val="0"/>
            <w:vAlign w:val="top"/>
          </w:tcPr>
          <w:p w14:paraId="737CCC9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63</w:t>
            </w:r>
          </w:p>
        </w:tc>
      </w:tr>
      <w:tr w14:paraId="0BFA417C">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800" w:type="dxa"/>
            <w:tcBorders>
              <w:top w:val="nil"/>
            </w:tcBorders>
            <w:noWrap w:val="0"/>
            <w:vAlign w:val="top"/>
          </w:tcPr>
          <w:p w14:paraId="4D98279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黑暗</w:t>
            </w:r>
          </w:p>
        </w:tc>
        <w:tc>
          <w:tcPr>
            <w:tcW w:w="2340" w:type="dxa"/>
            <w:tcBorders>
              <w:top w:val="nil"/>
            </w:tcBorders>
            <w:noWrap w:val="0"/>
            <w:vAlign w:val="top"/>
          </w:tcPr>
          <w:p w14:paraId="3AED36E7">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17</w:t>
            </w:r>
          </w:p>
        </w:tc>
        <w:tc>
          <w:tcPr>
            <w:tcW w:w="1800" w:type="dxa"/>
            <w:tcBorders>
              <w:top w:val="nil"/>
            </w:tcBorders>
            <w:noWrap w:val="0"/>
            <w:vAlign w:val="top"/>
          </w:tcPr>
          <w:p w14:paraId="5206EE1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82</w:t>
            </w:r>
          </w:p>
        </w:tc>
        <w:tc>
          <w:tcPr>
            <w:tcW w:w="1800" w:type="dxa"/>
            <w:tcBorders>
              <w:top w:val="nil"/>
            </w:tcBorders>
            <w:noWrap w:val="0"/>
            <w:vAlign w:val="top"/>
          </w:tcPr>
          <w:p w14:paraId="7A4803DF">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w:t>
            </w:r>
          </w:p>
        </w:tc>
      </w:tr>
    </w:tbl>
    <w:p w14:paraId="6A286CA1">
      <w:pPr>
        <w:autoSpaceDE w:val="0"/>
        <w:autoSpaceDN w:val="0"/>
        <w:adjustRightInd w:val="0"/>
        <w:ind w:firstLine="560" w:firstLineChars="200"/>
        <w:jc w:val="left"/>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在25℃下，对天冬种子进行不同光照处理，观测其发芽率和发芽势，结果见表2。从表2可以看出，天冬种子发芽对光照不敏感，其发芽率与部分光照处理和自然光处理差异不大，而部分光照处理与自然光处理的发芽势差异不显著，但与黑暗处理的发芽势差异较大</w:t>
      </w:r>
      <w:r>
        <w:rPr>
          <w:rFonts w:hint="eastAsia" w:ascii="仿宋_GB2312" w:hAnsi="仿宋_GB2312" w:eastAsia="仿宋_GB2312" w:cs="仿宋_GB2312"/>
          <w:sz w:val="28"/>
          <w:szCs w:val="28"/>
          <w:lang w:eastAsia="zh-CN"/>
        </w:rPr>
        <w:t>。</w:t>
      </w:r>
    </w:p>
    <w:p w14:paraId="1B354143">
      <w:pPr>
        <w:autoSpaceDE w:val="0"/>
        <w:autoSpaceDN w:val="0"/>
        <w:adjustRightInd w:val="0"/>
        <w:ind w:firstLine="560" w:firstLineChars="200"/>
        <w:jc w:val="left"/>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不同抑菌处理对种子发芽的影响</w:t>
      </w:r>
      <w:r>
        <w:rPr>
          <w:rFonts w:hint="eastAsia" w:ascii="仿宋_GB2312" w:hAnsi="仿宋_GB2312" w:eastAsia="仿宋_GB2312" w:cs="仿宋_GB2312"/>
          <w:sz w:val="28"/>
          <w:szCs w:val="28"/>
          <w:lang w:eastAsia="zh-CN"/>
        </w:rPr>
        <w:t>见表</w:t>
      </w:r>
      <w:r>
        <w:rPr>
          <w:rFonts w:hint="eastAsia" w:ascii="仿宋_GB2312" w:hAnsi="仿宋_GB2312" w:eastAsia="仿宋_GB2312" w:cs="仿宋_GB2312"/>
          <w:sz w:val="28"/>
          <w:szCs w:val="28"/>
          <w:lang w:val="en-US" w:eastAsia="zh-CN"/>
        </w:rPr>
        <w:t>3。</w:t>
      </w:r>
    </w:p>
    <w:p w14:paraId="51045AB6">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表3不同抑菌处理对种子发芽的影响</w:t>
      </w:r>
    </w:p>
    <w:tbl>
      <w:tblPr>
        <w:tblStyle w:val="3"/>
        <w:tblW w:w="0" w:type="auto"/>
        <w:jc w:val="center"/>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1822"/>
        <w:gridCol w:w="1904"/>
        <w:gridCol w:w="1479"/>
        <w:gridCol w:w="1479"/>
        <w:gridCol w:w="1480"/>
      </w:tblGrid>
      <w:tr w14:paraId="18284F0B">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1822" w:type="dxa"/>
            <w:tcBorders>
              <w:bottom w:val="single" w:color="auto" w:sz="4" w:space="0"/>
            </w:tcBorders>
            <w:noWrap w:val="0"/>
            <w:vAlign w:val="top"/>
          </w:tcPr>
          <w:p w14:paraId="75685A62">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消毒处理</w:t>
            </w:r>
          </w:p>
        </w:tc>
        <w:tc>
          <w:tcPr>
            <w:tcW w:w="1904" w:type="dxa"/>
            <w:tcBorders>
              <w:bottom w:val="single" w:color="auto" w:sz="4" w:space="0"/>
            </w:tcBorders>
            <w:noWrap w:val="0"/>
            <w:vAlign w:val="top"/>
          </w:tcPr>
          <w:p w14:paraId="2C6FFDAE">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开始发芽时间（d）</w:t>
            </w:r>
          </w:p>
        </w:tc>
        <w:tc>
          <w:tcPr>
            <w:tcW w:w="1479" w:type="dxa"/>
            <w:tcBorders>
              <w:bottom w:val="single" w:color="auto" w:sz="4" w:space="0"/>
            </w:tcBorders>
            <w:noWrap w:val="0"/>
            <w:vAlign w:val="top"/>
          </w:tcPr>
          <w:p w14:paraId="08F1DC6A">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发芽率（%）</w:t>
            </w:r>
          </w:p>
        </w:tc>
        <w:tc>
          <w:tcPr>
            <w:tcW w:w="1479" w:type="dxa"/>
            <w:tcBorders>
              <w:bottom w:val="single" w:color="auto" w:sz="4" w:space="0"/>
            </w:tcBorders>
            <w:noWrap w:val="0"/>
            <w:vAlign w:val="top"/>
          </w:tcPr>
          <w:p w14:paraId="23556979">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发芽势（%）</w:t>
            </w:r>
          </w:p>
        </w:tc>
        <w:tc>
          <w:tcPr>
            <w:tcW w:w="1480" w:type="dxa"/>
            <w:tcBorders>
              <w:bottom w:val="single" w:color="auto" w:sz="4" w:space="0"/>
            </w:tcBorders>
            <w:noWrap w:val="0"/>
            <w:vAlign w:val="top"/>
          </w:tcPr>
          <w:p w14:paraId="5DA3CD6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发霉种子（粒）</w:t>
            </w:r>
          </w:p>
        </w:tc>
      </w:tr>
      <w:tr w14:paraId="5585E3B1">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1822" w:type="dxa"/>
            <w:tcBorders>
              <w:bottom w:val="nil"/>
            </w:tcBorders>
            <w:noWrap w:val="0"/>
            <w:vAlign w:val="top"/>
          </w:tcPr>
          <w:p w14:paraId="1624429C">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自来水</w:t>
            </w:r>
          </w:p>
        </w:tc>
        <w:tc>
          <w:tcPr>
            <w:tcW w:w="1904" w:type="dxa"/>
            <w:tcBorders>
              <w:bottom w:val="nil"/>
            </w:tcBorders>
            <w:noWrap w:val="0"/>
            <w:vAlign w:val="top"/>
          </w:tcPr>
          <w:p w14:paraId="21F2B563">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14</w:t>
            </w:r>
          </w:p>
        </w:tc>
        <w:tc>
          <w:tcPr>
            <w:tcW w:w="1479" w:type="dxa"/>
            <w:tcBorders>
              <w:bottom w:val="nil"/>
            </w:tcBorders>
            <w:noWrap w:val="0"/>
            <w:vAlign w:val="top"/>
          </w:tcPr>
          <w:p w14:paraId="58B9D0E8">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78</w:t>
            </w:r>
          </w:p>
        </w:tc>
        <w:tc>
          <w:tcPr>
            <w:tcW w:w="1479" w:type="dxa"/>
            <w:tcBorders>
              <w:bottom w:val="nil"/>
            </w:tcBorders>
            <w:noWrap w:val="0"/>
            <w:vAlign w:val="top"/>
          </w:tcPr>
          <w:p w14:paraId="1FCC868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58</w:t>
            </w:r>
          </w:p>
        </w:tc>
        <w:tc>
          <w:tcPr>
            <w:tcW w:w="1480" w:type="dxa"/>
            <w:tcBorders>
              <w:bottom w:val="nil"/>
            </w:tcBorders>
            <w:noWrap w:val="0"/>
            <w:vAlign w:val="top"/>
          </w:tcPr>
          <w:p w14:paraId="71B695FF">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12</w:t>
            </w:r>
          </w:p>
        </w:tc>
      </w:tr>
      <w:tr w14:paraId="34DD562A">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1822" w:type="dxa"/>
            <w:tcBorders>
              <w:top w:val="nil"/>
              <w:bottom w:val="nil"/>
            </w:tcBorders>
            <w:noWrap w:val="0"/>
            <w:vAlign w:val="top"/>
          </w:tcPr>
          <w:p w14:paraId="3BD77708">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无菌水</w:t>
            </w:r>
          </w:p>
        </w:tc>
        <w:tc>
          <w:tcPr>
            <w:tcW w:w="1904" w:type="dxa"/>
            <w:tcBorders>
              <w:top w:val="nil"/>
              <w:bottom w:val="nil"/>
            </w:tcBorders>
            <w:noWrap w:val="0"/>
            <w:vAlign w:val="top"/>
          </w:tcPr>
          <w:p w14:paraId="2DDEE6A9">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14</w:t>
            </w:r>
          </w:p>
        </w:tc>
        <w:tc>
          <w:tcPr>
            <w:tcW w:w="1479" w:type="dxa"/>
            <w:tcBorders>
              <w:top w:val="nil"/>
              <w:bottom w:val="nil"/>
            </w:tcBorders>
            <w:noWrap w:val="0"/>
            <w:vAlign w:val="top"/>
          </w:tcPr>
          <w:p w14:paraId="241766AB">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82</w:t>
            </w:r>
          </w:p>
        </w:tc>
        <w:tc>
          <w:tcPr>
            <w:tcW w:w="1479" w:type="dxa"/>
            <w:tcBorders>
              <w:top w:val="nil"/>
              <w:bottom w:val="nil"/>
            </w:tcBorders>
            <w:noWrap w:val="0"/>
            <w:vAlign w:val="top"/>
          </w:tcPr>
          <w:p w14:paraId="17BB5D62">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w:t>
            </w:r>
          </w:p>
        </w:tc>
        <w:tc>
          <w:tcPr>
            <w:tcW w:w="1480" w:type="dxa"/>
            <w:tcBorders>
              <w:top w:val="nil"/>
              <w:bottom w:val="nil"/>
            </w:tcBorders>
            <w:noWrap w:val="0"/>
            <w:vAlign w:val="top"/>
          </w:tcPr>
          <w:p w14:paraId="162231DE">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w:t>
            </w:r>
          </w:p>
        </w:tc>
      </w:tr>
      <w:tr w14:paraId="78E0F071">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1822" w:type="dxa"/>
            <w:tcBorders>
              <w:top w:val="nil"/>
              <w:bottom w:val="nil"/>
            </w:tcBorders>
            <w:noWrap w:val="0"/>
            <w:vAlign w:val="top"/>
          </w:tcPr>
          <w:p w14:paraId="00B8D63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0.5%高猛酸钾</w:t>
            </w:r>
          </w:p>
        </w:tc>
        <w:tc>
          <w:tcPr>
            <w:tcW w:w="1904" w:type="dxa"/>
            <w:tcBorders>
              <w:top w:val="nil"/>
              <w:bottom w:val="nil"/>
            </w:tcBorders>
            <w:noWrap w:val="0"/>
            <w:vAlign w:val="top"/>
          </w:tcPr>
          <w:p w14:paraId="55D75720">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18</w:t>
            </w:r>
          </w:p>
        </w:tc>
        <w:tc>
          <w:tcPr>
            <w:tcW w:w="1479" w:type="dxa"/>
            <w:tcBorders>
              <w:top w:val="nil"/>
              <w:bottom w:val="nil"/>
            </w:tcBorders>
            <w:noWrap w:val="0"/>
            <w:vAlign w:val="top"/>
          </w:tcPr>
          <w:p w14:paraId="0324A81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75</w:t>
            </w:r>
          </w:p>
        </w:tc>
        <w:tc>
          <w:tcPr>
            <w:tcW w:w="1479" w:type="dxa"/>
            <w:tcBorders>
              <w:top w:val="nil"/>
              <w:bottom w:val="nil"/>
            </w:tcBorders>
            <w:noWrap w:val="0"/>
            <w:vAlign w:val="top"/>
          </w:tcPr>
          <w:p w14:paraId="7F00AE1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52</w:t>
            </w:r>
          </w:p>
        </w:tc>
        <w:tc>
          <w:tcPr>
            <w:tcW w:w="1480" w:type="dxa"/>
            <w:tcBorders>
              <w:top w:val="nil"/>
              <w:bottom w:val="nil"/>
            </w:tcBorders>
            <w:noWrap w:val="0"/>
            <w:vAlign w:val="top"/>
          </w:tcPr>
          <w:p w14:paraId="1FF558C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w:t>
            </w:r>
          </w:p>
        </w:tc>
      </w:tr>
      <w:tr w14:paraId="7FB6AC66">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1822" w:type="dxa"/>
            <w:tcBorders>
              <w:top w:val="nil"/>
            </w:tcBorders>
            <w:noWrap w:val="0"/>
            <w:vAlign w:val="top"/>
          </w:tcPr>
          <w:p w14:paraId="4372B5DE">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1%高猛酸钾</w:t>
            </w:r>
          </w:p>
        </w:tc>
        <w:tc>
          <w:tcPr>
            <w:tcW w:w="1904" w:type="dxa"/>
            <w:tcBorders>
              <w:top w:val="nil"/>
            </w:tcBorders>
            <w:noWrap w:val="0"/>
            <w:vAlign w:val="top"/>
          </w:tcPr>
          <w:p w14:paraId="1CBCEB2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w:t>
            </w:r>
          </w:p>
        </w:tc>
        <w:tc>
          <w:tcPr>
            <w:tcW w:w="1479" w:type="dxa"/>
            <w:tcBorders>
              <w:top w:val="nil"/>
            </w:tcBorders>
            <w:noWrap w:val="0"/>
            <w:vAlign w:val="top"/>
          </w:tcPr>
          <w:p w14:paraId="3E3DEB50">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70</w:t>
            </w:r>
          </w:p>
        </w:tc>
        <w:tc>
          <w:tcPr>
            <w:tcW w:w="1479" w:type="dxa"/>
            <w:tcBorders>
              <w:top w:val="nil"/>
            </w:tcBorders>
            <w:noWrap w:val="0"/>
            <w:vAlign w:val="top"/>
          </w:tcPr>
          <w:p w14:paraId="35BD299B">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1480" w:type="dxa"/>
            <w:tcBorders>
              <w:top w:val="nil"/>
            </w:tcBorders>
            <w:noWrap w:val="0"/>
            <w:vAlign w:val="top"/>
          </w:tcPr>
          <w:p w14:paraId="4E2BEE6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w:t>
            </w:r>
          </w:p>
        </w:tc>
      </w:tr>
    </w:tbl>
    <w:p w14:paraId="06916808">
      <w:pPr>
        <w:autoSpaceDE w:val="0"/>
        <w:autoSpaceDN w:val="0"/>
        <w:adjustRightInd w:val="0"/>
        <w:ind w:firstLine="560" w:firstLineChars="200"/>
        <w:jc w:val="left"/>
        <w:rPr>
          <w:rFonts w:hint="eastAsia" w:ascii="仿宋_GB2312" w:hAnsi="仿宋_GB2312" w:eastAsia="仿宋_GB2312" w:cs="仿宋_GB2312"/>
          <w:sz w:val="28"/>
          <w:szCs w:val="28"/>
        </w:rPr>
      </w:pPr>
      <w:r>
        <w:rPr>
          <w:rFonts w:hint="eastAsia" w:ascii="仿宋_GB2312" w:hAnsi="仿宋_GB2312" w:eastAsia="仿宋_GB2312" w:cs="仿宋_GB2312"/>
          <w:kern w:val="0"/>
          <w:sz w:val="28"/>
          <w:szCs w:val="28"/>
        </w:rPr>
        <w:t>从表3可以看出，以无菌水处理的种子发芽率和发芽势最高，发霉种子也较少，而用</w:t>
      </w:r>
      <w:r>
        <w:rPr>
          <w:rFonts w:hint="eastAsia" w:ascii="仿宋_GB2312" w:hAnsi="仿宋_GB2312" w:eastAsia="仿宋_GB2312" w:cs="仿宋_GB2312"/>
          <w:sz w:val="28"/>
          <w:szCs w:val="28"/>
        </w:rPr>
        <w:t>0.5%和1%高猛酸钾处理的种子，开始发芽时间长，虽然发霉种子最少，但其发芽率和发芽势最低，说明高猛酸钾对天冬种子的发芽有很强的抑制作用。</w:t>
      </w:r>
    </w:p>
    <w:p w14:paraId="6074884D">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不同发芽床种子发芽情况</w:t>
      </w:r>
      <w:r>
        <w:rPr>
          <w:rFonts w:hint="eastAsia" w:ascii="仿宋_GB2312" w:hAnsi="仿宋_GB2312" w:eastAsia="仿宋_GB2312" w:cs="仿宋_GB2312"/>
          <w:sz w:val="28"/>
          <w:szCs w:val="28"/>
          <w:lang w:eastAsia="zh-CN"/>
        </w:rPr>
        <w:t>见</w:t>
      </w:r>
      <w:r>
        <w:rPr>
          <w:rFonts w:hint="eastAsia" w:ascii="仿宋_GB2312" w:hAnsi="仿宋_GB2312" w:eastAsia="仿宋_GB2312" w:cs="仿宋_GB2312"/>
          <w:sz w:val="28"/>
          <w:szCs w:val="28"/>
        </w:rPr>
        <w:t>表4。</w:t>
      </w:r>
    </w:p>
    <w:p w14:paraId="23FFC3DB">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表4不同发芽床种子发芽情况</w:t>
      </w:r>
    </w:p>
    <w:tbl>
      <w:tblPr>
        <w:tblStyle w:val="3"/>
        <w:tblW w:w="0" w:type="auto"/>
        <w:tblInd w:w="288"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40"/>
        <w:gridCol w:w="2430"/>
        <w:gridCol w:w="1935"/>
        <w:gridCol w:w="1935"/>
      </w:tblGrid>
      <w:tr w14:paraId="2FA475C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40" w:type="dxa"/>
            <w:tcBorders>
              <w:top w:val="single" w:color="auto" w:sz="4" w:space="0"/>
              <w:bottom w:val="single" w:color="auto" w:sz="4" w:space="0"/>
            </w:tcBorders>
            <w:noWrap w:val="0"/>
            <w:vAlign w:val="top"/>
          </w:tcPr>
          <w:p w14:paraId="1F3104DB">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发芽床</w:t>
            </w:r>
          </w:p>
        </w:tc>
        <w:tc>
          <w:tcPr>
            <w:tcW w:w="2430" w:type="dxa"/>
            <w:tcBorders>
              <w:top w:val="single" w:color="auto" w:sz="4" w:space="0"/>
              <w:bottom w:val="single" w:color="auto" w:sz="4" w:space="0"/>
            </w:tcBorders>
            <w:noWrap w:val="0"/>
            <w:vAlign w:val="top"/>
          </w:tcPr>
          <w:p w14:paraId="46BCB0F9">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开始发芽时间（d）</w:t>
            </w:r>
          </w:p>
        </w:tc>
        <w:tc>
          <w:tcPr>
            <w:tcW w:w="1935" w:type="dxa"/>
            <w:tcBorders>
              <w:top w:val="single" w:color="auto" w:sz="4" w:space="0"/>
              <w:bottom w:val="single" w:color="auto" w:sz="4" w:space="0"/>
            </w:tcBorders>
            <w:noWrap w:val="0"/>
            <w:vAlign w:val="top"/>
          </w:tcPr>
          <w:p w14:paraId="3F8CCF5F">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发芽率（%）</w:t>
            </w:r>
          </w:p>
        </w:tc>
        <w:tc>
          <w:tcPr>
            <w:tcW w:w="1935" w:type="dxa"/>
            <w:tcBorders>
              <w:top w:val="single" w:color="auto" w:sz="4" w:space="0"/>
              <w:bottom w:val="single" w:color="auto" w:sz="4" w:space="0"/>
            </w:tcBorders>
            <w:noWrap w:val="0"/>
            <w:vAlign w:val="top"/>
          </w:tcPr>
          <w:p w14:paraId="230BC447">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发芽势（%）</w:t>
            </w:r>
          </w:p>
        </w:tc>
      </w:tr>
      <w:tr w14:paraId="3F24763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40" w:type="dxa"/>
            <w:tcBorders>
              <w:top w:val="single" w:color="auto" w:sz="4" w:space="0"/>
            </w:tcBorders>
            <w:noWrap w:val="0"/>
            <w:vAlign w:val="top"/>
          </w:tcPr>
          <w:p w14:paraId="40340C07">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滤纸</w:t>
            </w:r>
          </w:p>
        </w:tc>
        <w:tc>
          <w:tcPr>
            <w:tcW w:w="2430" w:type="dxa"/>
            <w:tcBorders>
              <w:top w:val="single" w:color="auto" w:sz="4" w:space="0"/>
            </w:tcBorders>
            <w:noWrap w:val="0"/>
            <w:vAlign w:val="top"/>
          </w:tcPr>
          <w:p w14:paraId="4353834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12</w:t>
            </w:r>
          </w:p>
        </w:tc>
        <w:tc>
          <w:tcPr>
            <w:tcW w:w="1935" w:type="dxa"/>
            <w:tcBorders>
              <w:top w:val="single" w:color="auto" w:sz="4" w:space="0"/>
            </w:tcBorders>
            <w:noWrap w:val="0"/>
            <w:vAlign w:val="top"/>
          </w:tcPr>
          <w:p w14:paraId="343CC94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85</w:t>
            </w:r>
          </w:p>
        </w:tc>
        <w:tc>
          <w:tcPr>
            <w:tcW w:w="1935" w:type="dxa"/>
            <w:tcBorders>
              <w:top w:val="single" w:color="auto" w:sz="4" w:space="0"/>
            </w:tcBorders>
            <w:noWrap w:val="0"/>
            <w:vAlign w:val="top"/>
          </w:tcPr>
          <w:p w14:paraId="40DAD69D">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61</w:t>
            </w:r>
          </w:p>
        </w:tc>
      </w:tr>
      <w:tr w14:paraId="5243B72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40" w:type="dxa"/>
            <w:noWrap w:val="0"/>
            <w:vAlign w:val="top"/>
          </w:tcPr>
          <w:p w14:paraId="2806D2F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细沙</w:t>
            </w:r>
          </w:p>
        </w:tc>
        <w:tc>
          <w:tcPr>
            <w:tcW w:w="2430" w:type="dxa"/>
            <w:noWrap w:val="0"/>
            <w:vAlign w:val="top"/>
          </w:tcPr>
          <w:p w14:paraId="26A5BDB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15</w:t>
            </w:r>
          </w:p>
        </w:tc>
        <w:tc>
          <w:tcPr>
            <w:tcW w:w="1935" w:type="dxa"/>
            <w:noWrap w:val="0"/>
            <w:vAlign w:val="top"/>
          </w:tcPr>
          <w:p w14:paraId="295172CE">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83</w:t>
            </w:r>
          </w:p>
        </w:tc>
        <w:tc>
          <w:tcPr>
            <w:tcW w:w="1935" w:type="dxa"/>
            <w:noWrap w:val="0"/>
            <w:vAlign w:val="top"/>
          </w:tcPr>
          <w:p w14:paraId="61292454">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62</w:t>
            </w:r>
          </w:p>
        </w:tc>
      </w:tr>
      <w:tr w14:paraId="67D1663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40" w:type="dxa"/>
            <w:noWrap w:val="0"/>
            <w:vAlign w:val="top"/>
          </w:tcPr>
          <w:p w14:paraId="0ECCFBC5">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细土</w:t>
            </w:r>
          </w:p>
        </w:tc>
        <w:tc>
          <w:tcPr>
            <w:tcW w:w="2430" w:type="dxa"/>
            <w:noWrap w:val="0"/>
            <w:vAlign w:val="top"/>
          </w:tcPr>
          <w:p w14:paraId="72E1F87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16</w:t>
            </w:r>
          </w:p>
        </w:tc>
        <w:tc>
          <w:tcPr>
            <w:tcW w:w="1935" w:type="dxa"/>
            <w:noWrap w:val="0"/>
            <w:vAlign w:val="top"/>
          </w:tcPr>
          <w:p w14:paraId="322AAE5C">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76</w:t>
            </w:r>
          </w:p>
        </w:tc>
        <w:tc>
          <w:tcPr>
            <w:tcW w:w="1935" w:type="dxa"/>
            <w:noWrap w:val="0"/>
            <w:vAlign w:val="top"/>
          </w:tcPr>
          <w:p w14:paraId="6A366DFE">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w:t>
            </w:r>
          </w:p>
        </w:tc>
      </w:tr>
    </w:tbl>
    <w:p w14:paraId="2DF9D9D3">
      <w:pPr>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从表4可以看出，滤纸和细沙为发芽床的种子发芽率和发芽势差异不大，与细土的差异较大，而发芽势之间差异不大。</w:t>
      </w:r>
    </w:p>
    <w:p w14:paraId="5A29C62D">
      <w:pPr>
        <w:autoSpaceDE w:val="0"/>
        <w:autoSpaceDN w:val="0"/>
        <w:adjustRightInd w:val="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通过试验</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天冬的发芽技术规定见表5。</w:t>
      </w:r>
    </w:p>
    <w:p w14:paraId="5E799F1F">
      <w:pPr>
        <w:autoSpaceDE w:val="0"/>
        <w:autoSpaceDN w:val="0"/>
        <w:adjustRightInd w:val="0"/>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表5 天冬的发芽技术规定</w:t>
      </w:r>
    </w:p>
    <w:tbl>
      <w:tblPr>
        <w:tblStyle w:val="3"/>
        <w:tblW w:w="0" w:type="auto"/>
        <w:jc w:val="center"/>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2102"/>
        <w:gridCol w:w="1420"/>
        <w:gridCol w:w="1420"/>
        <w:gridCol w:w="1421"/>
        <w:gridCol w:w="1421"/>
      </w:tblGrid>
      <w:tr w14:paraId="047D90F1">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2102" w:type="dxa"/>
            <w:noWrap w:val="0"/>
            <w:vAlign w:val="center"/>
          </w:tcPr>
          <w:p w14:paraId="63F564C8">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种名</w:t>
            </w:r>
          </w:p>
        </w:tc>
        <w:tc>
          <w:tcPr>
            <w:tcW w:w="1420" w:type="dxa"/>
            <w:noWrap w:val="0"/>
            <w:vAlign w:val="center"/>
          </w:tcPr>
          <w:p w14:paraId="0D635C73">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温度（℃）</w:t>
            </w:r>
          </w:p>
        </w:tc>
        <w:tc>
          <w:tcPr>
            <w:tcW w:w="1420" w:type="dxa"/>
            <w:noWrap w:val="0"/>
            <w:vAlign w:val="center"/>
          </w:tcPr>
          <w:p w14:paraId="078EB6A4">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初次计数时间（d）</w:t>
            </w:r>
          </w:p>
        </w:tc>
        <w:tc>
          <w:tcPr>
            <w:tcW w:w="1421" w:type="dxa"/>
            <w:noWrap w:val="0"/>
            <w:vAlign w:val="center"/>
          </w:tcPr>
          <w:p w14:paraId="744B56E8">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末次计数时间（d）</w:t>
            </w:r>
          </w:p>
        </w:tc>
        <w:tc>
          <w:tcPr>
            <w:tcW w:w="1421" w:type="dxa"/>
            <w:noWrap w:val="0"/>
            <w:vAlign w:val="center"/>
          </w:tcPr>
          <w:p w14:paraId="235DF177">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附加说明</w:t>
            </w:r>
          </w:p>
        </w:tc>
      </w:tr>
      <w:tr w14:paraId="291D9CBD">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CellMar>
            <w:top w:w="0" w:type="dxa"/>
            <w:left w:w="108" w:type="dxa"/>
            <w:bottom w:w="0" w:type="dxa"/>
            <w:right w:w="108" w:type="dxa"/>
          </w:tblCellMar>
        </w:tblPrEx>
        <w:trPr>
          <w:jc w:val="center"/>
        </w:trPr>
        <w:tc>
          <w:tcPr>
            <w:tcW w:w="2102" w:type="dxa"/>
            <w:noWrap w:val="0"/>
            <w:vAlign w:val="center"/>
          </w:tcPr>
          <w:p w14:paraId="5B41ECE8">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color w:val="000000"/>
                <w:sz w:val="24"/>
                <w:szCs w:val="24"/>
              </w:rPr>
              <w:t>天冬</w:t>
            </w:r>
          </w:p>
        </w:tc>
        <w:tc>
          <w:tcPr>
            <w:tcW w:w="1420" w:type="dxa"/>
            <w:noWrap w:val="0"/>
            <w:vAlign w:val="center"/>
          </w:tcPr>
          <w:p w14:paraId="3E535C9F">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20或25</w:t>
            </w:r>
          </w:p>
        </w:tc>
        <w:tc>
          <w:tcPr>
            <w:tcW w:w="1420" w:type="dxa"/>
            <w:noWrap w:val="0"/>
            <w:vAlign w:val="center"/>
          </w:tcPr>
          <w:p w14:paraId="18A9F3F8">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12</w:t>
            </w:r>
          </w:p>
        </w:tc>
        <w:tc>
          <w:tcPr>
            <w:tcW w:w="1421" w:type="dxa"/>
            <w:noWrap w:val="0"/>
            <w:vAlign w:val="center"/>
          </w:tcPr>
          <w:p w14:paraId="705338B7">
            <w:pPr>
              <w:autoSpaceDE w:val="0"/>
              <w:autoSpaceDN w:val="0"/>
              <w:adjustRightInd w:val="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45</w:t>
            </w:r>
          </w:p>
        </w:tc>
        <w:tc>
          <w:tcPr>
            <w:tcW w:w="1421" w:type="dxa"/>
            <w:noWrap w:val="0"/>
            <w:vAlign w:val="center"/>
          </w:tcPr>
          <w:p w14:paraId="68B2C930">
            <w:pPr>
              <w:autoSpaceDE w:val="0"/>
              <w:autoSpaceDN w:val="0"/>
              <w:adjustRightInd w:val="0"/>
              <w:jc w:val="center"/>
              <w:rPr>
                <w:rFonts w:hint="eastAsia" w:ascii="仿宋_GB2312" w:hAnsi="仿宋_GB2312" w:eastAsia="仿宋_GB2312" w:cs="仿宋_GB2312"/>
                <w:sz w:val="24"/>
                <w:szCs w:val="24"/>
              </w:rPr>
            </w:pPr>
          </w:p>
        </w:tc>
      </w:tr>
    </w:tbl>
    <w:p w14:paraId="7F7E0486">
      <w:pPr>
        <w:keepNext w:val="0"/>
        <w:keepLines w:val="0"/>
        <w:pageBreakBefore w:val="0"/>
        <w:widowControl w:val="0"/>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温度是天冬种子发芽的最大影响因子，试验结果表明天冬的适宜发芽温度为20℃、25℃ ，与大田在气温较低的2～3月份播种吻合</w:t>
      </w:r>
      <w:r>
        <w:rPr>
          <w:rFonts w:hint="eastAsia" w:ascii="仿宋_GB2312" w:hAnsi="仿宋_GB2312" w:eastAsia="仿宋_GB2312" w:cs="仿宋_GB2312"/>
          <w:sz w:val="28"/>
          <w:szCs w:val="28"/>
          <w:lang w:eastAsia="zh-CN"/>
        </w:rPr>
        <w:t>。</w:t>
      </w:r>
    </w:p>
    <w:p w14:paraId="0971447D">
      <w:pPr>
        <w:keepNext w:val="0"/>
        <w:keepLines w:val="0"/>
        <w:pageBreakBefore w:val="0"/>
        <w:widowControl w:val="0"/>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天冬种子的野性较大，发芽不太整齐，造成其发芽试验持续时间较长，应进行生活力快速测定与发芽结果相关性的研究．以简化检验程序。</w:t>
      </w:r>
    </w:p>
    <w:p w14:paraId="5D6FFA0E">
      <w:pPr>
        <w:keepNext w:val="0"/>
        <w:keepLines w:val="0"/>
        <w:pageBreakBefore w:val="0"/>
        <w:widowControl w:val="0"/>
        <w:numPr>
          <w:ilvl w:val="0"/>
          <w:numId w:val="0"/>
        </w:numPr>
        <w:kinsoku/>
        <w:wordWrap/>
        <w:overflowPunct/>
        <w:topLinePunct w:val="0"/>
        <w:autoSpaceDE w:val="0"/>
        <w:autoSpaceDN w:val="0"/>
        <w:bidi w:val="0"/>
        <w:adjustRightInd w:val="0"/>
        <w:snapToGrid/>
        <w:ind w:firstLine="562" w:firstLineChars="200"/>
        <w:jc w:val="left"/>
        <w:textAlignment w:val="auto"/>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kern w:val="2"/>
          <w:sz w:val="28"/>
          <w:szCs w:val="28"/>
          <w:lang w:val="en-US" w:eastAsia="zh-CN" w:bidi="ar-SA"/>
        </w:rPr>
        <w:t>（四）</w:t>
      </w:r>
      <w:r>
        <w:rPr>
          <w:rFonts w:hint="eastAsia" w:ascii="仿宋_GB2312" w:hAnsi="仿宋_GB2312" w:eastAsia="仿宋_GB2312" w:cs="仿宋_GB2312"/>
          <w:b/>
          <w:bCs/>
          <w:sz w:val="28"/>
          <w:szCs w:val="28"/>
          <w:lang w:eastAsia="zh-CN"/>
        </w:rPr>
        <w:t>分株繁殖</w:t>
      </w:r>
    </w:p>
    <w:p w14:paraId="526EE32E">
      <w:pPr>
        <w:keepNext w:val="0"/>
        <w:keepLines w:val="0"/>
        <w:pageBreakBefore w:val="0"/>
        <w:widowControl w:val="0"/>
        <w:numPr>
          <w:ilvl w:val="0"/>
          <w:numId w:val="0"/>
        </w:numPr>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b w:val="0"/>
          <w:bCs w:val="0"/>
          <w:sz w:val="28"/>
          <w:szCs w:val="28"/>
          <w:lang w:eastAsia="zh-CN"/>
        </w:rPr>
      </w:pPr>
      <w:r>
        <w:rPr>
          <w:rFonts w:hint="eastAsia" w:ascii="仿宋_GB2312" w:hAnsi="仿宋_GB2312" w:eastAsia="仿宋_GB2312" w:cs="仿宋_GB2312"/>
          <w:b w:val="0"/>
          <w:bCs w:val="0"/>
          <w:sz w:val="28"/>
          <w:szCs w:val="28"/>
          <w:lang w:eastAsia="zh-CN"/>
        </w:rPr>
        <w:t>选择当年无病虫害、健壮、块根直径≥2cm，单株小块根≥8个的母株，保留3～5个芽点及须根，切口用草木灰+50％多菌灵（1:1混合剂），阴凉处晾置12 h，将基部置于0.05 g/L ABT 3号生根粉溶液中浸泡2 h～3 h。按株行距5 cm×10 cm规格穿膜斜插入土，留1芽露出地面，压实。顶棚覆盖遮阳率为75％的遮阳网的育苗棚在播种后搭建高50 cm～60 cm无滴膜小拱棚。</w:t>
      </w:r>
    </w:p>
    <w:p w14:paraId="0018D420">
      <w:pPr>
        <w:keepNext w:val="0"/>
        <w:keepLines w:val="0"/>
        <w:pageBreakBefore w:val="0"/>
        <w:widowControl w:val="0"/>
        <w:numPr>
          <w:ilvl w:val="0"/>
          <w:numId w:val="0"/>
        </w:numPr>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b w:val="0"/>
          <w:bCs w:val="0"/>
          <w:sz w:val="28"/>
          <w:szCs w:val="28"/>
          <w:lang w:eastAsia="zh-CN"/>
        </w:rPr>
      </w:pPr>
      <w:r>
        <w:rPr>
          <w:rFonts w:hint="eastAsia" w:ascii="仿宋_GB2312" w:hAnsi="仿宋_GB2312" w:eastAsia="仿宋_GB2312" w:cs="仿宋_GB2312"/>
          <w:b w:val="0"/>
          <w:bCs w:val="0"/>
          <w:sz w:val="28"/>
          <w:szCs w:val="28"/>
          <w:lang w:eastAsia="zh-CN"/>
        </w:rPr>
        <w:t>长出新芽前，棚内温度高于25 ℃时，打开育苗棚或小拱棚两头薄膜降温。苗床保持土壤湿润，棚内湿度大于85％时，打开育苗棚或小拱棚两头薄膜通风降湿。长出新芽后，打开大棚边膜或揭开拱棚薄膜</w:t>
      </w:r>
    </w:p>
    <w:p w14:paraId="0D37D953">
      <w:pPr>
        <w:keepNext w:val="0"/>
        <w:keepLines w:val="0"/>
        <w:pageBreakBefore w:val="0"/>
        <w:widowControl w:val="0"/>
        <w:numPr>
          <w:ilvl w:val="0"/>
          <w:numId w:val="0"/>
        </w:numPr>
        <w:kinsoku/>
        <w:wordWrap/>
        <w:overflowPunct/>
        <w:topLinePunct w:val="0"/>
        <w:autoSpaceDE w:val="0"/>
        <w:autoSpaceDN w:val="0"/>
        <w:bidi w:val="0"/>
        <w:adjustRightInd w:val="0"/>
        <w:snapToGrid/>
        <w:ind w:firstLine="560" w:firstLineChars="200"/>
        <w:jc w:val="left"/>
        <w:textAlignment w:val="auto"/>
        <w:rPr>
          <w:rFonts w:hint="eastAsia" w:ascii="仿宋_GB2312" w:hAnsi="仿宋_GB2312" w:eastAsia="仿宋_GB2312" w:cs="仿宋_GB2312"/>
          <w:b w:val="0"/>
          <w:bCs w:val="0"/>
          <w:sz w:val="28"/>
          <w:szCs w:val="28"/>
          <w:lang w:eastAsia="zh-CN"/>
        </w:rPr>
      </w:pPr>
    </w:p>
    <w:p w14:paraId="17472760">
      <w:pPr>
        <w:spacing w:line="560" w:lineRule="exact"/>
        <w:ind w:firstLine="480"/>
        <w:jc w:val="left"/>
        <w:rPr>
          <w:rFonts w:hint="eastAsia" w:ascii="Times New Roman" w:hAnsi="Times New Roman" w:eastAsia="仿宋_GB2312"/>
          <w:b/>
          <w:bCs/>
          <w:color w:val="000000"/>
          <w:sz w:val="28"/>
          <w:szCs w:val="28"/>
          <w:highlight w:val="none"/>
          <w:lang w:val="en-US" w:eastAsia="zh-CN"/>
        </w:rPr>
      </w:pPr>
      <w:r>
        <w:rPr>
          <w:rFonts w:hint="eastAsia" w:ascii="Times New Roman" w:hAnsi="Times New Roman" w:eastAsia="仿宋_GB2312"/>
          <w:b/>
          <w:bCs/>
          <w:color w:val="000000"/>
          <w:sz w:val="28"/>
          <w:szCs w:val="28"/>
          <w:highlight w:val="none"/>
          <w:lang w:val="en-US" w:eastAsia="zh-CN"/>
        </w:rPr>
        <w:t>（五）组培苗繁育</w:t>
      </w:r>
    </w:p>
    <w:p w14:paraId="0D689BFA">
      <w:pPr>
        <w:spacing w:line="560" w:lineRule="exact"/>
        <w:ind w:firstLine="480"/>
        <w:rPr>
          <w:rFonts w:ascii="Times New Roman" w:hAnsi="Times New Roman" w:eastAsia="仿宋_GB2312"/>
          <w:b w:val="0"/>
          <w:bCs w:val="0"/>
          <w:color w:val="000000"/>
          <w:sz w:val="28"/>
          <w:szCs w:val="28"/>
          <w:highlight w:val="none"/>
        </w:rPr>
      </w:pPr>
      <w:r>
        <w:rPr>
          <w:rFonts w:hint="eastAsia" w:ascii="Times New Roman" w:hAnsi="Times New Roman" w:eastAsia="仿宋_GB2312"/>
          <w:b/>
          <w:bCs/>
          <w:color w:val="000000"/>
          <w:sz w:val="28"/>
          <w:szCs w:val="28"/>
          <w:highlight w:val="none"/>
          <w:lang w:val="en-US" w:eastAsia="zh-CN"/>
        </w:rPr>
        <w:t>1.</w:t>
      </w:r>
      <w:r>
        <w:rPr>
          <w:rFonts w:hint="default" w:ascii="Times New Roman" w:hAnsi="Times New Roman" w:eastAsia="仿宋_GB2312"/>
          <w:b/>
          <w:bCs/>
          <w:color w:val="000000"/>
          <w:sz w:val="28"/>
          <w:szCs w:val="28"/>
          <w:highlight w:val="none"/>
        </w:rPr>
        <w:t>外植体选择与处理</w:t>
      </w:r>
    </w:p>
    <w:p w14:paraId="3856DEA2">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选择标准：明确规定选取“无病虫害、生长健壮植株的幼嫩茎段”。此标准是成功建立无菌体系的基础，能有效降低初期污染率并保证外植体较强的再生能力。</w:t>
      </w:r>
    </w:p>
    <w:p w14:paraId="24E7C24A">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预处理与灭菌：采用“中性洗洁精浸泡+流水冲洗”的物理预处理，可有效去除表面污物和部分微生物。灭菌程序采用“75%乙醇表面消毒+0.1%氯化汞深层灭菌”的化学方法，这是植物组织培养中最为经典和可靠的表面灭菌组合，能最大限度杀灭微生物的同时减轻对外植体的伤害。</w:t>
      </w:r>
    </w:p>
    <w:p w14:paraId="5A1F22F9">
      <w:pPr>
        <w:spacing w:line="560" w:lineRule="exact"/>
        <w:ind w:firstLine="480"/>
        <w:rPr>
          <w:rFonts w:ascii="Times New Roman" w:hAnsi="Times New Roman" w:eastAsia="仿宋_GB2312"/>
          <w:b w:val="0"/>
          <w:bCs w:val="0"/>
          <w:color w:val="000000"/>
          <w:sz w:val="28"/>
          <w:szCs w:val="28"/>
          <w:highlight w:val="none"/>
        </w:rPr>
      </w:pPr>
      <w:r>
        <w:rPr>
          <w:rFonts w:hint="eastAsia" w:ascii="Times New Roman" w:hAnsi="Times New Roman" w:eastAsia="仿宋_GB2312"/>
          <w:b/>
          <w:bCs/>
          <w:color w:val="000000"/>
          <w:sz w:val="28"/>
          <w:szCs w:val="28"/>
          <w:highlight w:val="none"/>
          <w:lang w:val="en-US" w:eastAsia="zh-CN"/>
        </w:rPr>
        <w:t>2.</w:t>
      </w:r>
      <w:r>
        <w:rPr>
          <w:rFonts w:hint="default" w:ascii="Times New Roman" w:hAnsi="Times New Roman" w:eastAsia="仿宋_GB2312"/>
          <w:b/>
          <w:bCs/>
          <w:color w:val="000000"/>
          <w:sz w:val="28"/>
          <w:szCs w:val="28"/>
          <w:highlight w:val="none"/>
        </w:rPr>
        <w:t>培养基配方</w:t>
      </w:r>
    </w:p>
    <w:p w14:paraId="35E70CB1">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初代诱导：采用 MS + 1.5 mg/L 6-BA + 0.05 mg/L NAA + 0.1 mg/L KT。较高浓度的细胞分裂素（6-BA与KT协同）配合低浓度的生长素（NAA），能有效打破顶端优势，促进腋芽萌发和不定芽的形成。</w:t>
      </w:r>
    </w:p>
    <w:p w14:paraId="2C504906">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增殖培养：调整为 MS + 1.0 mg/L 6-BA + 0.05 mg/L NAA + 0.1 mg/L KT。适当降低6-BA浓度有利于诱导产生更多健壮、可用于生根的有效芽，而非过度的玻璃化或丛生芽，从而实现高质量、高系数的扩繁。</w:t>
      </w:r>
    </w:p>
    <w:p w14:paraId="4D38A256">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生根培养：采用 1/2MS + 0.5 mg/L IBA + 0.5 mg/L NAA。1/2MS培养基降低无机盐浓度，有利于根系的诱导和伸长。生长素IBA和NAA等浓度配合，能高效促进不定根的形成，使根系粗壮、发达。</w:t>
      </w:r>
    </w:p>
    <w:p w14:paraId="1448DA6E">
      <w:pPr>
        <w:spacing w:line="560" w:lineRule="exact"/>
        <w:ind w:firstLine="480"/>
        <w:rPr>
          <w:rFonts w:ascii="Times New Roman" w:hAnsi="Times New Roman" w:eastAsia="仿宋_GB2312"/>
          <w:b w:val="0"/>
          <w:bCs w:val="0"/>
          <w:color w:val="000000"/>
          <w:sz w:val="28"/>
          <w:szCs w:val="28"/>
          <w:highlight w:val="none"/>
        </w:rPr>
      </w:pPr>
      <w:r>
        <w:rPr>
          <w:rFonts w:hint="eastAsia" w:ascii="Times New Roman" w:hAnsi="Times New Roman" w:eastAsia="仿宋_GB2312"/>
          <w:b/>
          <w:bCs/>
          <w:color w:val="000000"/>
          <w:sz w:val="28"/>
          <w:szCs w:val="28"/>
          <w:highlight w:val="none"/>
          <w:lang w:val="en-US" w:eastAsia="zh-CN"/>
        </w:rPr>
        <w:t>3.</w:t>
      </w:r>
      <w:r>
        <w:rPr>
          <w:rFonts w:hint="default" w:ascii="Times New Roman" w:hAnsi="Times New Roman" w:eastAsia="仿宋_GB2312"/>
          <w:b/>
          <w:bCs/>
          <w:color w:val="000000"/>
          <w:sz w:val="28"/>
          <w:szCs w:val="28"/>
          <w:highlight w:val="none"/>
        </w:rPr>
        <w:t>培养条件</w:t>
      </w:r>
    </w:p>
    <w:p w14:paraId="78D4801F">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温度（20-25℃）：是天冬植株生长的最适温度范围，能保证组培苗正常的生理代谢活动。</w:t>
      </w:r>
    </w:p>
    <w:p w14:paraId="370275C1">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光照（3000-5000 lx, 12h/d）：此光照强度和时间既能满足组培苗光合作用的需求，避免徒长，又能促进幼苗健壮生长。</w:t>
      </w:r>
    </w:p>
    <w:p w14:paraId="6F28E21D">
      <w:pPr>
        <w:spacing w:line="560" w:lineRule="exact"/>
        <w:ind w:firstLine="480"/>
        <w:rPr>
          <w:rFonts w:ascii="Times New Roman" w:hAnsi="Times New Roman" w:eastAsia="仿宋_GB2312"/>
          <w:b w:val="0"/>
          <w:bCs w:val="0"/>
          <w:color w:val="000000"/>
          <w:sz w:val="28"/>
          <w:szCs w:val="28"/>
          <w:highlight w:val="none"/>
        </w:rPr>
      </w:pPr>
      <w:r>
        <w:rPr>
          <w:rFonts w:hint="eastAsia" w:ascii="Times New Roman" w:hAnsi="Times New Roman" w:eastAsia="仿宋_GB2312"/>
          <w:b w:val="0"/>
          <w:bCs w:val="0"/>
          <w:color w:val="000000"/>
          <w:sz w:val="28"/>
          <w:szCs w:val="28"/>
          <w:highlight w:val="none"/>
          <w:lang w:val="en-US" w:eastAsia="zh-CN"/>
        </w:rPr>
        <w:t>4.</w:t>
      </w:r>
      <w:r>
        <w:rPr>
          <w:rFonts w:hint="default" w:ascii="Times New Roman" w:hAnsi="Times New Roman" w:eastAsia="仿宋_GB2312"/>
          <w:b w:val="0"/>
          <w:bCs w:val="0"/>
          <w:color w:val="000000"/>
          <w:sz w:val="28"/>
          <w:szCs w:val="28"/>
          <w:highlight w:val="none"/>
        </w:rPr>
        <w:t>炼苗与移栽</w:t>
      </w:r>
    </w:p>
    <w:p w14:paraId="095735BE">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炼苗流程：设计了“闭瓶炼苗（6d）→开瓶炼苗（3d）”的渐进式适应过程。此步骤至关重要，能使组培苗逐步适应外界环境的湿度、光照和温度变化，促进叶片角质层和气孔功能的恢复，显著提高移栽成活率。</w:t>
      </w:r>
    </w:p>
    <w:p w14:paraId="341F776F">
      <w:pPr>
        <w:spacing w:line="560" w:lineRule="exact"/>
        <w:ind w:firstLine="480"/>
        <w:rPr>
          <w:rFonts w:ascii="Times New Roman" w:hAnsi="Times New Roman" w:eastAsia="仿宋_GB2312"/>
          <w:b w:val="0"/>
          <w:bCs w:val="0"/>
          <w:color w:val="000000"/>
          <w:sz w:val="28"/>
          <w:szCs w:val="28"/>
          <w:highlight w:val="none"/>
        </w:rPr>
      </w:pPr>
      <w:r>
        <w:rPr>
          <w:rFonts w:hint="default" w:ascii="Times New Roman" w:hAnsi="Times New Roman" w:eastAsia="仿宋_GB2312"/>
          <w:b w:val="0"/>
          <w:bCs w:val="0"/>
          <w:color w:val="000000"/>
          <w:sz w:val="28"/>
          <w:szCs w:val="28"/>
          <w:highlight w:val="none"/>
        </w:rPr>
        <w:t>移栽基质：指定使用灭菌的塘泥:河沙=1:1混合物。该基质疏松透气、保水保肥且具有一定的营养，能为幼苗提供良好的生根环境，防止烂根。</w:t>
      </w:r>
    </w:p>
    <w:p w14:paraId="1F042DCA">
      <w:pPr>
        <w:spacing w:line="560" w:lineRule="exact"/>
        <w:ind w:firstLine="480"/>
        <w:jc w:val="center"/>
        <w:rPr>
          <w:rFonts w:ascii="Times New Roman" w:hAnsi="Times New Roman" w:eastAsia="仿宋_GB2312"/>
          <w:b/>
          <w:bCs/>
          <w:color w:val="000000"/>
          <w:sz w:val="24"/>
          <w:szCs w:val="24"/>
          <w:highlight w:val="none"/>
        </w:rPr>
      </w:pPr>
      <w:r>
        <w:rPr>
          <w:rFonts w:hint="eastAsia" w:ascii="Times New Roman" w:hAnsi="Times New Roman" w:eastAsia="仿宋_GB2312"/>
          <w:color w:val="000000"/>
          <w:sz w:val="24"/>
          <w:szCs w:val="24"/>
          <w:highlight w:val="none"/>
          <w:lang w:eastAsia="zh-CN"/>
        </w:rPr>
        <w:drawing>
          <wp:anchor distT="0" distB="0" distL="114300" distR="114300" simplePos="0" relativeHeight="251659264" behindDoc="1" locked="0" layoutInCell="1" allowOverlap="1">
            <wp:simplePos x="0" y="0"/>
            <wp:positionH relativeFrom="column">
              <wp:posOffset>58420</wp:posOffset>
            </wp:positionH>
            <wp:positionV relativeFrom="paragraph">
              <wp:posOffset>102235</wp:posOffset>
            </wp:positionV>
            <wp:extent cx="5268595" cy="1525270"/>
            <wp:effectExtent l="0" t="0" r="1905" b="11430"/>
            <wp:wrapTight wrapText="bothSides">
              <wp:wrapPolygon>
                <wp:start x="0" y="0"/>
                <wp:lineTo x="0" y="21402"/>
                <wp:lineTo x="21556" y="21402"/>
                <wp:lineTo x="21556" y="0"/>
                <wp:lineTo x="0" y="0"/>
              </wp:wrapPolygon>
            </wp:wrapTight>
            <wp:docPr id="5" name="图片 5" descr="实生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实生苗"/>
                    <pic:cNvPicPr>
                      <a:picLocks noChangeAspect="1"/>
                    </pic:cNvPicPr>
                  </pic:nvPicPr>
                  <pic:blipFill>
                    <a:blip r:embed="rId5"/>
                    <a:stretch>
                      <a:fillRect/>
                    </a:stretch>
                  </pic:blipFill>
                  <pic:spPr>
                    <a:xfrm>
                      <a:off x="0" y="0"/>
                      <a:ext cx="5268595" cy="1525270"/>
                    </a:xfrm>
                    <a:prstGeom prst="rect">
                      <a:avLst/>
                    </a:prstGeom>
                  </pic:spPr>
                </pic:pic>
              </a:graphicData>
            </a:graphic>
          </wp:anchor>
        </w:drawing>
      </w:r>
      <w:r>
        <w:rPr>
          <w:rFonts w:hint="eastAsia" w:ascii="Times New Roman" w:hAnsi="Times New Roman" w:eastAsia="仿宋_GB2312"/>
          <w:color w:val="000000"/>
          <w:sz w:val="24"/>
          <w:szCs w:val="24"/>
          <w:lang w:val="en-US" w:eastAsia="zh-CN"/>
        </w:rPr>
        <w:t xml:space="preserve">图2 </w:t>
      </w:r>
      <w:r>
        <w:rPr>
          <w:rFonts w:hint="default" w:ascii="Times New Roman" w:hAnsi="Times New Roman" w:eastAsia="仿宋_GB2312"/>
          <w:color w:val="000000"/>
          <w:sz w:val="24"/>
          <w:szCs w:val="24"/>
        </w:rPr>
        <w:t xml:space="preserve">A. </w:t>
      </w:r>
      <w:r>
        <w:rPr>
          <w:rFonts w:hint="eastAsia" w:ascii="Times New Roman" w:hAnsi="Times New Roman" w:eastAsia="仿宋_GB2312"/>
          <w:color w:val="000000"/>
          <w:sz w:val="24"/>
          <w:szCs w:val="24"/>
        </w:rPr>
        <w:t>天冬实生苗植株</w:t>
      </w:r>
      <w:r>
        <w:rPr>
          <w:rFonts w:hint="default" w:ascii="Times New Roman" w:hAnsi="Times New Roman" w:eastAsia="仿宋_GB2312"/>
          <w:color w:val="000000"/>
          <w:sz w:val="24"/>
          <w:szCs w:val="24"/>
        </w:rPr>
        <w:t xml:space="preserve">; B. </w:t>
      </w:r>
      <w:r>
        <w:rPr>
          <w:rFonts w:hint="eastAsia" w:ascii="Times New Roman" w:hAnsi="Times New Roman" w:eastAsia="仿宋_GB2312"/>
          <w:color w:val="000000"/>
          <w:sz w:val="24"/>
          <w:szCs w:val="24"/>
        </w:rPr>
        <w:t>天冬实生苗根系扫描图</w:t>
      </w:r>
    </w:p>
    <w:p w14:paraId="3FC4BDF6">
      <w:pPr>
        <w:spacing w:line="560" w:lineRule="exact"/>
        <w:ind w:firstLine="480"/>
        <w:jc w:val="center"/>
        <w:rPr>
          <w:rFonts w:hint="eastAsia" w:ascii="Times New Roman" w:hAnsi="Times New Roman" w:eastAsia="仿宋_GB2312"/>
          <w:color w:val="000000"/>
          <w:sz w:val="24"/>
          <w:szCs w:val="24"/>
          <w:highlight w:val="none"/>
          <w:lang w:eastAsia="zh-CN"/>
        </w:rPr>
      </w:pPr>
      <w:r>
        <w:rPr>
          <w:rFonts w:hint="eastAsia" w:ascii="Times New Roman" w:hAnsi="Times New Roman" w:eastAsia="仿宋_GB2312"/>
          <w:color w:val="000000"/>
          <w:sz w:val="24"/>
          <w:szCs w:val="24"/>
          <w:highlight w:val="none"/>
          <w:lang w:val="en-US" w:eastAsia="zh-CN"/>
        </w:rPr>
        <w:t xml:space="preserve">图3 </w:t>
      </w:r>
      <w:r>
        <w:rPr>
          <w:rFonts w:hint="eastAsia" w:ascii="Times New Roman" w:hAnsi="Times New Roman" w:eastAsia="仿宋_GB2312"/>
          <w:color w:val="000000"/>
          <w:sz w:val="24"/>
          <w:szCs w:val="24"/>
          <w:highlight w:val="none"/>
        </w:rPr>
        <w:t>从生芽诱导</w:t>
      </w:r>
      <w:r>
        <w:rPr>
          <w:rFonts w:hint="eastAsia" w:ascii="Times New Roman" w:hAnsi="Times New Roman" w:eastAsia="仿宋_GB2312"/>
          <w:color w:val="000000"/>
          <w:sz w:val="24"/>
          <w:szCs w:val="24"/>
          <w:highlight w:val="none"/>
          <w:lang w:eastAsia="zh-CN"/>
        </w:rPr>
        <w:drawing>
          <wp:anchor distT="0" distB="0" distL="114300" distR="114300" simplePos="0" relativeHeight="251661312" behindDoc="1" locked="0" layoutInCell="1" allowOverlap="1">
            <wp:simplePos x="0" y="0"/>
            <wp:positionH relativeFrom="column">
              <wp:posOffset>156845</wp:posOffset>
            </wp:positionH>
            <wp:positionV relativeFrom="paragraph">
              <wp:posOffset>67945</wp:posOffset>
            </wp:positionV>
            <wp:extent cx="5268595" cy="1637665"/>
            <wp:effectExtent l="0" t="0" r="1905" b="635"/>
            <wp:wrapTight wrapText="bothSides">
              <wp:wrapPolygon>
                <wp:start x="0" y="0"/>
                <wp:lineTo x="0" y="21441"/>
                <wp:lineTo x="21556" y="21441"/>
                <wp:lineTo x="21556" y="0"/>
                <wp:lineTo x="0" y="0"/>
              </wp:wrapPolygon>
            </wp:wrapTight>
            <wp:docPr id="8" name="图片 8" descr="芽诱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芽诱导"/>
                    <pic:cNvPicPr>
                      <a:picLocks noChangeAspect="1"/>
                    </pic:cNvPicPr>
                  </pic:nvPicPr>
                  <pic:blipFill>
                    <a:blip r:embed="rId6"/>
                    <a:stretch>
                      <a:fillRect/>
                    </a:stretch>
                  </pic:blipFill>
                  <pic:spPr>
                    <a:xfrm>
                      <a:off x="0" y="0"/>
                      <a:ext cx="5268595" cy="1637665"/>
                    </a:xfrm>
                    <a:prstGeom prst="rect">
                      <a:avLst/>
                    </a:prstGeom>
                  </pic:spPr>
                </pic:pic>
              </a:graphicData>
            </a:graphic>
          </wp:anchor>
        </w:drawing>
      </w:r>
    </w:p>
    <w:p w14:paraId="570CF579">
      <w:pPr>
        <w:spacing w:line="560" w:lineRule="exact"/>
        <w:ind w:firstLine="480"/>
        <w:jc w:val="center"/>
        <w:rPr>
          <w:rFonts w:hint="default" w:ascii="Times New Roman" w:hAnsi="Times New Roman" w:eastAsia="仿宋_GB2312"/>
          <w:color w:val="000000"/>
          <w:sz w:val="24"/>
          <w:szCs w:val="24"/>
          <w:highlight w:val="none"/>
          <w:lang w:val="en-US" w:eastAsia="zh-CN"/>
        </w:rPr>
      </w:pPr>
      <w:r>
        <w:rPr>
          <w:rFonts w:hint="eastAsia" w:ascii="Times New Roman" w:hAnsi="Times New Roman" w:eastAsia="仿宋_GB2312"/>
          <w:color w:val="000000"/>
          <w:sz w:val="24"/>
          <w:szCs w:val="24"/>
          <w:highlight w:val="none"/>
          <w:lang w:val="en-US" w:eastAsia="zh-CN"/>
        </w:rPr>
        <w:drawing>
          <wp:anchor distT="0" distB="0" distL="114300" distR="114300" simplePos="0" relativeHeight="251660288" behindDoc="0" locked="0" layoutInCell="1" allowOverlap="1">
            <wp:simplePos x="0" y="0"/>
            <wp:positionH relativeFrom="column">
              <wp:posOffset>157480</wp:posOffset>
            </wp:positionH>
            <wp:positionV relativeFrom="paragraph">
              <wp:posOffset>28575</wp:posOffset>
            </wp:positionV>
            <wp:extent cx="5266690" cy="2889250"/>
            <wp:effectExtent l="0" t="0" r="3810" b="6350"/>
            <wp:wrapSquare wrapText="bothSides"/>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
                    <a:stretch>
                      <a:fillRect/>
                    </a:stretch>
                  </pic:blipFill>
                  <pic:spPr>
                    <a:xfrm>
                      <a:off x="0" y="0"/>
                      <a:ext cx="5266690" cy="2889250"/>
                    </a:xfrm>
                    <a:prstGeom prst="rect">
                      <a:avLst/>
                    </a:prstGeom>
                    <a:noFill/>
                    <a:ln>
                      <a:noFill/>
                    </a:ln>
                  </pic:spPr>
                </pic:pic>
              </a:graphicData>
            </a:graphic>
          </wp:anchor>
        </w:drawing>
      </w:r>
      <w:r>
        <w:rPr>
          <w:rFonts w:hint="eastAsia" w:ascii="Times New Roman" w:hAnsi="Times New Roman" w:eastAsia="仿宋_GB2312"/>
          <w:color w:val="000000"/>
          <w:sz w:val="24"/>
          <w:szCs w:val="24"/>
          <w:highlight w:val="none"/>
          <w:lang w:val="en-US" w:eastAsia="zh-CN"/>
        </w:rPr>
        <w:t>图4 丛生芽增</w:t>
      </w:r>
    </w:p>
    <w:p w14:paraId="16DB6F48">
      <w:pPr>
        <w:keepNext w:val="0"/>
        <w:keepLines w:val="0"/>
        <w:pageBreakBefore w:val="0"/>
        <w:widowControl w:val="0"/>
        <w:kinsoku/>
        <w:wordWrap/>
        <w:overflowPunct/>
        <w:topLinePunct w:val="0"/>
        <w:bidi w:val="0"/>
        <w:snapToGrid/>
        <w:ind w:firstLine="562" w:firstLineChars="200"/>
        <w:textAlignment w:val="auto"/>
        <w:rPr>
          <w:rFonts w:hint="eastAsia" w:ascii="仿宋_GB2312" w:hAnsi="仿宋_GB2312" w:eastAsia="仿宋_GB2312" w:cs="仿宋_GB2312"/>
          <w:b/>
          <w:sz w:val="28"/>
          <w:szCs w:val="28"/>
          <w:lang w:eastAsia="zh-CN"/>
        </w:rPr>
      </w:pPr>
      <w:r>
        <w:rPr>
          <w:rFonts w:hint="eastAsia" w:ascii="仿宋_GB2312" w:hAnsi="仿宋_GB2312" w:eastAsia="仿宋_GB2312" w:cs="仿宋_GB2312"/>
          <w:b/>
          <w:sz w:val="28"/>
          <w:szCs w:val="28"/>
        </w:rPr>
        <w:t>组培苗繁育试验</w:t>
      </w:r>
      <w:r>
        <w:rPr>
          <w:rFonts w:hint="eastAsia" w:ascii="仿宋_GB2312" w:hAnsi="仿宋_GB2312" w:eastAsia="仿宋_GB2312" w:cs="仿宋_GB2312"/>
          <w:b/>
          <w:sz w:val="28"/>
          <w:szCs w:val="28"/>
          <w:lang w:eastAsia="zh-CN"/>
        </w:rPr>
        <w:t>：</w:t>
      </w:r>
    </w:p>
    <w:p w14:paraId="2D06A20B">
      <w:pPr>
        <w:keepNext w:val="0"/>
        <w:keepLines w:val="0"/>
        <w:pageBreakBefore w:val="0"/>
        <w:widowControl w:val="0"/>
        <w:numPr>
          <w:ilvl w:val="0"/>
          <w:numId w:val="0"/>
        </w:numPr>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kern w:val="2"/>
          <w:sz w:val="28"/>
          <w:szCs w:val="28"/>
          <w:lang w:val="en-US" w:eastAsia="zh-CN" w:bidi="ar-SA"/>
        </w:rPr>
        <w:t>1.</w:t>
      </w:r>
      <w:r>
        <w:rPr>
          <w:rFonts w:hint="eastAsia" w:ascii="仿宋_GB2312" w:hAnsi="仿宋_GB2312" w:eastAsia="仿宋_GB2312" w:cs="仿宋_GB2312"/>
          <w:sz w:val="28"/>
          <w:szCs w:val="28"/>
        </w:rPr>
        <w:t>试验材料</w:t>
      </w:r>
    </w:p>
    <w:p w14:paraId="067E1B94">
      <w:pPr>
        <w:keepNext w:val="0"/>
        <w:keepLines w:val="0"/>
        <w:pageBreakBefore w:val="0"/>
        <w:widowControl w:val="0"/>
        <w:numPr>
          <w:ilvl w:val="0"/>
          <w:numId w:val="0"/>
        </w:numPr>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采自广西药用植物园种质资源圃</w:t>
      </w:r>
      <w:r>
        <w:rPr>
          <w:rFonts w:hint="eastAsia" w:ascii="仿宋_GB2312" w:hAnsi="仿宋_GB2312" w:eastAsia="仿宋_GB2312" w:cs="仿宋_GB2312"/>
          <w:sz w:val="28"/>
          <w:szCs w:val="28"/>
          <w:lang w:eastAsia="zh-CN"/>
        </w:rPr>
        <w:t>天冬</w:t>
      </w:r>
      <w:r>
        <w:rPr>
          <w:rFonts w:hint="eastAsia" w:ascii="仿宋_GB2312" w:hAnsi="仿宋_GB2312" w:eastAsia="仿宋_GB2312" w:cs="仿宋_GB2312"/>
          <w:sz w:val="28"/>
          <w:szCs w:val="28"/>
        </w:rPr>
        <w:t>植株的幼嫩茎段</w:t>
      </w:r>
      <w:r>
        <w:rPr>
          <w:rFonts w:hint="eastAsia" w:ascii="仿宋_GB2312" w:hAnsi="仿宋_GB2312" w:eastAsia="仿宋_GB2312" w:cs="仿宋_GB2312"/>
          <w:sz w:val="28"/>
          <w:szCs w:val="28"/>
          <w:lang w:val="en-US" w:eastAsia="zh-CN"/>
        </w:rPr>
        <w:t>。</w:t>
      </w:r>
    </w:p>
    <w:p w14:paraId="43FEB072">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rPr>
        <w:t>试验方法</w:t>
      </w:r>
    </w:p>
    <w:p w14:paraId="09DF4198">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sz w:val="28"/>
          <w:szCs w:val="28"/>
        </w:rPr>
        <w:t>外植体灭菌</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kern w:val="0"/>
          <w:sz w:val="28"/>
          <w:szCs w:val="28"/>
        </w:rPr>
        <w:t>取</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的幼嫩茎段，在加有1%洗衣粉的洗涤液中浸泡5~8 min，在自来水下冲洗20min。在超净工作台上用75% 酒精消毒10~40 s，无菌水冲洗3次，0.1%升汞灭菌5、7、10min，无菌水冲洗5次。用无菌滤纸吸干材料上的水分, 供接种用。</w:t>
      </w:r>
    </w:p>
    <w:p w14:paraId="39B5C16E">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不同灭菌时间对外植体的影响</w:t>
      </w:r>
      <w:r>
        <w:rPr>
          <w:rFonts w:hint="eastAsia" w:ascii="仿宋_GB2312" w:hAnsi="仿宋_GB2312" w:eastAsia="仿宋_GB2312" w:cs="仿宋_GB2312"/>
          <w:kern w:val="0"/>
          <w:sz w:val="28"/>
          <w:szCs w:val="28"/>
          <w:lang w:eastAsia="zh-CN"/>
        </w:rPr>
        <w:t>：</w:t>
      </w:r>
      <w:r>
        <w:rPr>
          <w:rFonts w:hint="eastAsia" w:ascii="仿宋_GB2312" w:hAnsi="仿宋_GB2312" w:eastAsia="仿宋_GB2312" w:cs="仿宋_GB2312"/>
          <w:kern w:val="0"/>
          <w:sz w:val="28"/>
          <w:szCs w:val="28"/>
        </w:rPr>
        <w:t>将经不同灭菌时间处理的不变色、无褐化的茎段横切成面积约0.5cm×1.0 cm的小块，接入MS+1.5mg／L 6-BA+0.05 mg／L NAA+0.1 mg／L</w:t>
      </w:r>
      <w:r>
        <w:rPr>
          <w:rFonts w:hint="eastAsia" w:ascii="仿宋_GB2312" w:hAnsi="仿宋_GB2312" w:eastAsia="仿宋_GB2312" w:cs="仿宋_GB2312"/>
          <w:kern w:val="0"/>
          <w:sz w:val="28"/>
          <w:szCs w:val="28"/>
          <w:lang w:val="en-US" w:eastAsia="zh-CN"/>
        </w:rPr>
        <w:t xml:space="preserve"> </w:t>
      </w:r>
      <w:r>
        <w:rPr>
          <w:rFonts w:hint="eastAsia" w:ascii="仿宋_GB2312" w:hAnsi="仿宋_GB2312" w:eastAsia="仿宋_GB2312" w:cs="仿宋_GB2312"/>
          <w:kern w:val="0"/>
          <w:sz w:val="28"/>
          <w:szCs w:val="28"/>
        </w:rPr>
        <w:t>KT培养基中进行培养，3周后统计各处理外植体的污染率和褐化情况，获得的无菌芽用于后续试验。</w:t>
      </w:r>
    </w:p>
    <w:p w14:paraId="35973A8D">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不同激素组合对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愈伤组织和芽诱导的影响</w:t>
      </w:r>
      <w:r>
        <w:rPr>
          <w:rFonts w:hint="eastAsia" w:ascii="仿宋_GB2312" w:hAnsi="仿宋_GB2312" w:eastAsia="仿宋_GB2312" w:cs="仿宋_GB2312"/>
          <w:kern w:val="0"/>
          <w:sz w:val="28"/>
          <w:szCs w:val="28"/>
          <w:lang w:eastAsia="zh-CN"/>
        </w:rPr>
        <w:t>：</w:t>
      </w:r>
      <w:r>
        <w:rPr>
          <w:rFonts w:hint="eastAsia" w:ascii="仿宋_GB2312" w:hAnsi="仿宋_GB2312" w:eastAsia="仿宋_GB2312" w:cs="仿宋_GB2312"/>
          <w:kern w:val="0"/>
          <w:sz w:val="28"/>
          <w:szCs w:val="28"/>
        </w:rPr>
        <w:t>以MS为基本培养基，分别添加不同浓度6-BA和KT、NAA，将获得的无菌外植体接种于不同培养基中培养3周后，调查各处理对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茎段的诱导效果。将获得的诱导芽在MS+1.0 mg／L 6-BA+0.05 mg／L NAA+0.1 mg／L KT增殖培养基中进行增殖培养。</w:t>
      </w:r>
    </w:p>
    <w:p w14:paraId="57CD58DA">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不同激素组合对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生根诱导的效果</w:t>
      </w:r>
      <w:r>
        <w:rPr>
          <w:rFonts w:hint="eastAsia" w:ascii="仿宋_GB2312" w:hAnsi="仿宋_GB2312" w:eastAsia="仿宋_GB2312" w:cs="仿宋_GB2312"/>
          <w:kern w:val="0"/>
          <w:sz w:val="28"/>
          <w:szCs w:val="28"/>
          <w:lang w:eastAsia="zh-CN"/>
        </w:rPr>
        <w:t>：</w:t>
      </w:r>
      <w:r>
        <w:rPr>
          <w:rFonts w:hint="eastAsia" w:ascii="仿宋_GB2312" w:hAnsi="仿宋_GB2312" w:eastAsia="仿宋_GB2312" w:cs="仿宋_GB2312"/>
          <w:kern w:val="0"/>
          <w:sz w:val="28"/>
          <w:szCs w:val="28"/>
        </w:rPr>
        <w:t>以1/2MS为生根培养基，分别附加不同浓度的IBA和NAA，进行生根培养。</w:t>
      </w:r>
    </w:p>
    <w:p w14:paraId="11C19725">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lang w:val="en-US" w:eastAsia="zh-CN"/>
        </w:rPr>
        <w:t>3.</w:t>
      </w:r>
      <w:r>
        <w:rPr>
          <w:rFonts w:hint="eastAsia" w:ascii="仿宋_GB2312" w:hAnsi="仿宋_GB2312" w:eastAsia="仿宋_GB2312" w:cs="仿宋_GB2312"/>
          <w:kern w:val="0"/>
          <w:sz w:val="28"/>
          <w:szCs w:val="28"/>
        </w:rPr>
        <w:t>结果与分析</w:t>
      </w:r>
    </w:p>
    <w:p w14:paraId="25F1B82C">
      <w:pPr>
        <w:keepNext w:val="0"/>
        <w:keepLines w:val="0"/>
        <w:pageBreakBefore w:val="0"/>
        <w:widowControl w:val="0"/>
        <w:kinsoku/>
        <w:wordWrap/>
        <w:overflowPunct/>
        <w:topLinePunct w:val="0"/>
        <w:autoSpaceDE/>
        <w:autoSpaceDN/>
        <w:bidi w:val="0"/>
        <w:adjustRightInd/>
        <w:snapToGrid/>
        <w:spacing w:line="700" w:lineRule="exact"/>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从表</w:t>
      </w:r>
      <w:r>
        <w:rPr>
          <w:rFonts w:hint="eastAsia" w:ascii="仿宋_GB2312" w:hAnsi="仿宋_GB2312" w:eastAsia="仿宋_GB2312" w:cs="仿宋_GB2312"/>
          <w:kern w:val="0"/>
          <w:sz w:val="28"/>
          <w:szCs w:val="28"/>
          <w:lang w:val="en-US" w:eastAsia="zh-CN"/>
        </w:rPr>
        <w:t>6</w:t>
      </w:r>
      <w:r>
        <w:rPr>
          <w:rFonts w:hint="eastAsia" w:ascii="仿宋_GB2312" w:hAnsi="仿宋_GB2312" w:eastAsia="仿宋_GB2312" w:cs="仿宋_GB2312"/>
          <w:kern w:val="0"/>
          <w:sz w:val="28"/>
          <w:szCs w:val="28"/>
        </w:rPr>
        <w:t>可知，</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外植体经0.1％ HgC1</w:t>
      </w:r>
      <w:r>
        <w:rPr>
          <w:rFonts w:hint="eastAsia" w:ascii="仿宋_GB2312" w:hAnsi="仿宋_GB2312" w:eastAsia="仿宋_GB2312" w:cs="仿宋_GB2312"/>
          <w:kern w:val="0"/>
          <w:sz w:val="28"/>
          <w:szCs w:val="28"/>
          <w:vertAlign w:val="subscript"/>
        </w:rPr>
        <w:t>2</w:t>
      </w:r>
      <w:r>
        <w:rPr>
          <w:rFonts w:hint="eastAsia" w:ascii="仿宋_GB2312" w:hAnsi="仿宋_GB2312" w:eastAsia="仿宋_GB2312" w:cs="仿宋_GB2312"/>
          <w:kern w:val="0"/>
          <w:sz w:val="28"/>
          <w:szCs w:val="28"/>
        </w:rPr>
        <w:t>不同时间处理后，其污染率逐渐降低，当灭菌5 min时，外植体污染率高达87.5%；只有几个极幼嫩的茎尖未出现污染，灭菌10 min时，灭菌效果最好，污染率大大降低，但诱导效果明显下降，并出现褐变；灭菌7min时，虽然污染率仍达17.5%，但诱导效果提高，腋芽萌发整齐。此外，随着灭菌时间的延长，外植体的褐变数量不断增加，而外植体发生褐变将会影响腋芽的诱导效果，因此，综合以上因素，</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外植体的最佳灭菌时间宜采用7 min。</w:t>
      </w:r>
    </w:p>
    <w:p w14:paraId="5888F57A">
      <w:pPr>
        <w:jc w:val="center"/>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表</w:t>
      </w:r>
      <w:r>
        <w:rPr>
          <w:rFonts w:hint="eastAsia" w:ascii="仿宋_GB2312" w:hAnsi="仿宋_GB2312" w:eastAsia="仿宋_GB2312" w:cs="仿宋_GB2312"/>
          <w:kern w:val="0"/>
          <w:sz w:val="28"/>
          <w:szCs w:val="28"/>
          <w:lang w:val="en-US" w:eastAsia="zh-CN"/>
        </w:rPr>
        <w:t>6</w:t>
      </w:r>
      <w:r>
        <w:rPr>
          <w:rFonts w:hint="eastAsia" w:ascii="仿宋_GB2312" w:hAnsi="仿宋_GB2312" w:eastAsia="仿宋_GB2312" w:cs="仿宋_GB2312"/>
          <w:kern w:val="0"/>
          <w:sz w:val="28"/>
          <w:szCs w:val="28"/>
        </w:rPr>
        <w:t xml:space="preserve">  0.1％ HgC1</w:t>
      </w:r>
      <w:r>
        <w:rPr>
          <w:rFonts w:hint="eastAsia" w:ascii="仿宋_GB2312" w:hAnsi="仿宋_GB2312" w:eastAsia="仿宋_GB2312" w:cs="仿宋_GB2312"/>
          <w:kern w:val="0"/>
          <w:sz w:val="28"/>
          <w:szCs w:val="28"/>
          <w:vertAlign w:val="subscript"/>
        </w:rPr>
        <w:t>2</w:t>
      </w:r>
      <w:r>
        <w:rPr>
          <w:rFonts w:hint="eastAsia" w:ascii="仿宋_GB2312" w:hAnsi="仿宋_GB2312" w:eastAsia="仿宋_GB2312" w:cs="仿宋_GB2312"/>
          <w:kern w:val="0"/>
          <w:sz w:val="28"/>
          <w:szCs w:val="28"/>
        </w:rPr>
        <w:t xml:space="preserve"> 不同处理时间对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外植体培养效果的影响</w:t>
      </w:r>
    </w:p>
    <w:tbl>
      <w:tblPr>
        <w:tblStyle w:val="3"/>
        <w:tblW w:w="8748" w:type="dxa"/>
        <w:tblInd w:w="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4"/>
        <w:gridCol w:w="1704"/>
        <w:gridCol w:w="1704"/>
        <w:gridCol w:w="1705"/>
        <w:gridCol w:w="1931"/>
      </w:tblGrid>
      <w:tr w14:paraId="5D5CA70A">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4" w:hRule="atLeast"/>
        </w:trPr>
        <w:tc>
          <w:tcPr>
            <w:tcW w:w="1704" w:type="dxa"/>
            <w:tcBorders>
              <w:top w:val="single" w:color="auto" w:sz="2" w:space="0"/>
              <w:bottom w:val="single" w:color="auto" w:sz="6" w:space="0"/>
            </w:tcBorders>
            <w:shd w:val="clear" w:color="auto" w:fill="auto"/>
            <w:noWrap w:val="0"/>
            <w:vAlign w:val="top"/>
          </w:tcPr>
          <w:p w14:paraId="6DD6DA59">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处理时间</w:t>
            </w:r>
          </w:p>
          <w:p w14:paraId="3B4C241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（min）</w:t>
            </w:r>
          </w:p>
        </w:tc>
        <w:tc>
          <w:tcPr>
            <w:tcW w:w="1704" w:type="dxa"/>
            <w:tcBorders>
              <w:top w:val="single" w:color="auto" w:sz="2" w:space="0"/>
              <w:bottom w:val="single" w:color="auto" w:sz="6" w:space="0"/>
            </w:tcBorders>
            <w:shd w:val="clear" w:color="auto" w:fill="auto"/>
            <w:noWrap w:val="0"/>
            <w:vAlign w:val="top"/>
          </w:tcPr>
          <w:p w14:paraId="30EB0B0C">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外植体数</w:t>
            </w:r>
          </w:p>
          <w:p w14:paraId="3CA38CFC">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（个）</w:t>
            </w:r>
          </w:p>
        </w:tc>
        <w:tc>
          <w:tcPr>
            <w:tcW w:w="1704" w:type="dxa"/>
            <w:tcBorders>
              <w:top w:val="single" w:color="auto" w:sz="2" w:space="0"/>
              <w:bottom w:val="single" w:color="auto" w:sz="6" w:space="0"/>
            </w:tcBorders>
            <w:shd w:val="clear" w:color="auto" w:fill="auto"/>
            <w:noWrap w:val="0"/>
            <w:vAlign w:val="top"/>
          </w:tcPr>
          <w:p w14:paraId="3E0B17E9">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污染外植体数（个）</w:t>
            </w:r>
          </w:p>
        </w:tc>
        <w:tc>
          <w:tcPr>
            <w:tcW w:w="1705" w:type="dxa"/>
            <w:tcBorders>
              <w:top w:val="single" w:color="auto" w:sz="2" w:space="0"/>
              <w:bottom w:val="single" w:color="auto" w:sz="6" w:space="0"/>
            </w:tcBorders>
            <w:shd w:val="clear" w:color="auto" w:fill="auto"/>
            <w:noWrap w:val="0"/>
            <w:vAlign w:val="top"/>
          </w:tcPr>
          <w:p w14:paraId="05526AC7">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污染率</w:t>
            </w:r>
          </w:p>
          <w:p w14:paraId="444B16C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p>
        </w:tc>
        <w:tc>
          <w:tcPr>
            <w:tcW w:w="1931" w:type="dxa"/>
            <w:tcBorders>
              <w:top w:val="single" w:color="auto" w:sz="2" w:space="0"/>
              <w:bottom w:val="single" w:color="auto" w:sz="6" w:space="0"/>
            </w:tcBorders>
            <w:shd w:val="clear" w:color="auto" w:fill="auto"/>
            <w:noWrap w:val="0"/>
            <w:vAlign w:val="top"/>
          </w:tcPr>
          <w:p w14:paraId="7E20276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无菌褐化外植体数（个）</w:t>
            </w:r>
          </w:p>
        </w:tc>
      </w:tr>
      <w:tr w14:paraId="5843665C">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top w:val="single" w:color="auto" w:sz="6" w:space="0"/>
            </w:tcBorders>
            <w:shd w:val="clear" w:color="auto" w:fill="auto"/>
            <w:noWrap w:val="0"/>
            <w:vAlign w:val="top"/>
          </w:tcPr>
          <w:p w14:paraId="71CA3CF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5</w:t>
            </w:r>
          </w:p>
        </w:tc>
        <w:tc>
          <w:tcPr>
            <w:tcW w:w="1704" w:type="dxa"/>
            <w:tcBorders>
              <w:top w:val="single" w:color="auto" w:sz="6" w:space="0"/>
            </w:tcBorders>
            <w:shd w:val="clear" w:color="auto" w:fill="auto"/>
            <w:noWrap w:val="0"/>
            <w:vAlign w:val="top"/>
          </w:tcPr>
          <w:p w14:paraId="34B17ED2">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40</w:t>
            </w:r>
          </w:p>
        </w:tc>
        <w:tc>
          <w:tcPr>
            <w:tcW w:w="1704" w:type="dxa"/>
            <w:tcBorders>
              <w:top w:val="single" w:color="auto" w:sz="6" w:space="0"/>
            </w:tcBorders>
            <w:shd w:val="clear" w:color="auto" w:fill="auto"/>
            <w:noWrap w:val="0"/>
            <w:vAlign w:val="top"/>
          </w:tcPr>
          <w:p w14:paraId="388179E7">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35</w:t>
            </w:r>
          </w:p>
        </w:tc>
        <w:tc>
          <w:tcPr>
            <w:tcW w:w="1705" w:type="dxa"/>
            <w:tcBorders>
              <w:top w:val="single" w:color="auto" w:sz="6" w:space="0"/>
            </w:tcBorders>
            <w:shd w:val="clear" w:color="auto" w:fill="auto"/>
            <w:noWrap w:val="0"/>
            <w:vAlign w:val="top"/>
          </w:tcPr>
          <w:p w14:paraId="0185629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87.5</w:t>
            </w:r>
          </w:p>
        </w:tc>
        <w:tc>
          <w:tcPr>
            <w:tcW w:w="1931" w:type="dxa"/>
            <w:tcBorders>
              <w:top w:val="single" w:color="auto" w:sz="6" w:space="0"/>
            </w:tcBorders>
            <w:shd w:val="clear" w:color="auto" w:fill="auto"/>
            <w:noWrap w:val="0"/>
            <w:vAlign w:val="top"/>
          </w:tcPr>
          <w:p w14:paraId="542BAC23">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5</w:t>
            </w:r>
          </w:p>
        </w:tc>
      </w:tr>
      <w:tr w14:paraId="50251BB7">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shd w:val="clear" w:color="auto" w:fill="auto"/>
            <w:noWrap w:val="0"/>
            <w:vAlign w:val="top"/>
          </w:tcPr>
          <w:p w14:paraId="427EDFCD">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7</w:t>
            </w:r>
          </w:p>
        </w:tc>
        <w:tc>
          <w:tcPr>
            <w:tcW w:w="1704" w:type="dxa"/>
            <w:shd w:val="clear" w:color="auto" w:fill="auto"/>
            <w:noWrap w:val="0"/>
            <w:vAlign w:val="top"/>
          </w:tcPr>
          <w:p w14:paraId="52BA8100">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40</w:t>
            </w:r>
          </w:p>
        </w:tc>
        <w:tc>
          <w:tcPr>
            <w:tcW w:w="1704" w:type="dxa"/>
            <w:shd w:val="clear" w:color="auto" w:fill="auto"/>
            <w:noWrap w:val="0"/>
            <w:vAlign w:val="top"/>
          </w:tcPr>
          <w:p w14:paraId="7BA34571">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7</w:t>
            </w:r>
          </w:p>
        </w:tc>
        <w:tc>
          <w:tcPr>
            <w:tcW w:w="1705" w:type="dxa"/>
            <w:shd w:val="clear" w:color="auto" w:fill="auto"/>
            <w:noWrap w:val="0"/>
            <w:vAlign w:val="top"/>
          </w:tcPr>
          <w:p w14:paraId="25A2A1E0">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17.5</w:t>
            </w:r>
          </w:p>
        </w:tc>
        <w:tc>
          <w:tcPr>
            <w:tcW w:w="1931" w:type="dxa"/>
            <w:shd w:val="clear" w:color="auto" w:fill="auto"/>
            <w:noWrap w:val="0"/>
            <w:vAlign w:val="top"/>
          </w:tcPr>
          <w:p w14:paraId="50D350A4">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12</w:t>
            </w:r>
          </w:p>
        </w:tc>
      </w:tr>
      <w:tr w14:paraId="13BBD215">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bottom w:val="single" w:color="auto" w:sz="2" w:space="0"/>
            </w:tcBorders>
            <w:shd w:val="clear" w:color="auto" w:fill="auto"/>
            <w:noWrap w:val="0"/>
            <w:vAlign w:val="top"/>
          </w:tcPr>
          <w:p w14:paraId="014A930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10</w:t>
            </w:r>
          </w:p>
        </w:tc>
        <w:tc>
          <w:tcPr>
            <w:tcW w:w="1704" w:type="dxa"/>
            <w:tcBorders>
              <w:bottom w:val="single" w:color="auto" w:sz="2" w:space="0"/>
            </w:tcBorders>
            <w:shd w:val="clear" w:color="auto" w:fill="auto"/>
            <w:noWrap w:val="0"/>
            <w:vAlign w:val="top"/>
          </w:tcPr>
          <w:p w14:paraId="01911DC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40</w:t>
            </w:r>
          </w:p>
        </w:tc>
        <w:tc>
          <w:tcPr>
            <w:tcW w:w="1704" w:type="dxa"/>
            <w:tcBorders>
              <w:bottom w:val="single" w:color="auto" w:sz="2" w:space="0"/>
            </w:tcBorders>
            <w:shd w:val="clear" w:color="auto" w:fill="auto"/>
            <w:noWrap w:val="0"/>
            <w:vAlign w:val="top"/>
          </w:tcPr>
          <w:p w14:paraId="1870AF49">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5</w:t>
            </w:r>
          </w:p>
        </w:tc>
        <w:tc>
          <w:tcPr>
            <w:tcW w:w="1705" w:type="dxa"/>
            <w:tcBorders>
              <w:bottom w:val="single" w:color="auto" w:sz="2" w:space="0"/>
            </w:tcBorders>
            <w:shd w:val="clear" w:color="auto" w:fill="auto"/>
            <w:noWrap w:val="0"/>
            <w:vAlign w:val="top"/>
          </w:tcPr>
          <w:p w14:paraId="2CF731A8">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12.5</w:t>
            </w:r>
          </w:p>
        </w:tc>
        <w:tc>
          <w:tcPr>
            <w:tcW w:w="1931" w:type="dxa"/>
            <w:tcBorders>
              <w:bottom w:val="single" w:color="auto" w:sz="2" w:space="0"/>
            </w:tcBorders>
            <w:shd w:val="clear" w:color="auto" w:fill="auto"/>
            <w:noWrap w:val="0"/>
            <w:vAlign w:val="top"/>
          </w:tcPr>
          <w:p w14:paraId="5FB8D9A1">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29</w:t>
            </w:r>
          </w:p>
        </w:tc>
      </w:tr>
    </w:tbl>
    <w:p w14:paraId="0D17F22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从表</w:t>
      </w:r>
      <w:r>
        <w:rPr>
          <w:rFonts w:hint="eastAsia" w:ascii="仿宋_GB2312" w:hAnsi="仿宋_GB2312" w:eastAsia="仿宋_GB2312" w:cs="仿宋_GB2312"/>
          <w:kern w:val="0"/>
          <w:sz w:val="28"/>
          <w:szCs w:val="28"/>
          <w:lang w:val="en-US" w:eastAsia="zh-CN"/>
        </w:rPr>
        <w:t>7</w:t>
      </w:r>
      <w:r>
        <w:rPr>
          <w:rFonts w:hint="eastAsia" w:ascii="仿宋_GB2312" w:hAnsi="仿宋_GB2312" w:eastAsia="仿宋_GB2312" w:cs="仿宋_GB2312"/>
          <w:kern w:val="0"/>
          <w:sz w:val="28"/>
          <w:szCs w:val="28"/>
        </w:rPr>
        <w:t>结果可知不同激素组合对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茎段愈伤组织和芽诱导的影响，含不同激素组合的MS培养基除了对照培养基（不添加任何激素）外，均可诱导</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茎段产生愈伤组织，愈伤诱导率为4%~36%，其中以MS+0.5 mg／L 6-BA+1.0 mg／L NAA+0.2 mg／L KT培养基中的愈伤生长量最大，说明NAA诱导愈伤组织的作用较6-BA明显。以6-BA为基础激素，分别单独添加不同浓度的KT或NAA，其诱导效果不理想，出芽率仅在30%左右，而三者混合使用诱导效果最好，其中以MS+1.0 mg／L 6-BA+0.2 mg／L NAA+0.2 mg／L KT培养基中的出芽率最高，达到了92%，说明6-BA能大幅度提高</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茎段芽的出芽率，改善诱导效果。</w:t>
      </w:r>
    </w:p>
    <w:p w14:paraId="329E6781">
      <w:pPr>
        <w:jc w:val="center"/>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表</w:t>
      </w:r>
      <w:r>
        <w:rPr>
          <w:rFonts w:hint="eastAsia" w:ascii="仿宋_GB2312" w:hAnsi="仿宋_GB2312" w:eastAsia="仿宋_GB2312" w:cs="仿宋_GB2312"/>
          <w:kern w:val="0"/>
          <w:sz w:val="28"/>
          <w:szCs w:val="28"/>
          <w:lang w:val="en-US" w:eastAsia="zh-CN"/>
        </w:rPr>
        <w:t>7</w:t>
      </w:r>
      <w:r>
        <w:rPr>
          <w:rFonts w:hint="eastAsia" w:ascii="仿宋_GB2312" w:hAnsi="仿宋_GB2312" w:eastAsia="仿宋_GB2312" w:cs="仿宋_GB2312"/>
          <w:kern w:val="0"/>
          <w:sz w:val="28"/>
          <w:szCs w:val="28"/>
        </w:rPr>
        <w:t xml:space="preserve"> 不同激素组合对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茎段愈伤组织和芽诱导的效果</w:t>
      </w:r>
    </w:p>
    <w:tbl>
      <w:tblPr>
        <w:tblStyle w:val="3"/>
        <w:tblW w:w="10265" w:type="dxa"/>
        <w:jc w:val="center"/>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40"/>
        <w:gridCol w:w="2340"/>
        <w:gridCol w:w="1230"/>
        <w:gridCol w:w="1231"/>
        <w:gridCol w:w="1231"/>
        <w:gridCol w:w="1231"/>
        <w:gridCol w:w="1231"/>
        <w:gridCol w:w="1231"/>
      </w:tblGrid>
      <w:tr w14:paraId="1B432D8C">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1" w:hRule="atLeast"/>
          <w:jc w:val="center"/>
        </w:trPr>
        <w:tc>
          <w:tcPr>
            <w:tcW w:w="540" w:type="dxa"/>
            <w:vMerge w:val="restart"/>
            <w:tcBorders>
              <w:top w:val="single" w:color="auto" w:sz="2" w:space="0"/>
              <w:bottom w:val="single" w:color="008000" w:sz="6" w:space="0"/>
              <w:right w:val="nil"/>
            </w:tcBorders>
            <w:shd w:val="clear" w:color="auto" w:fill="auto"/>
            <w:noWrap w:val="0"/>
            <w:vAlign w:val="top"/>
          </w:tcPr>
          <w:p w14:paraId="3B9314A5">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编号</w:t>
            </w:r>
          </w:p>
        </w:tc>
        <w:tc>
          <w:tcPr>
            <w:tcW w:w="2340" w:type="dxa"/>
            <w:tcBorders>
              <w:top w:val="single" w:color="auto" w:sz="2" w:space="0"/>
              <w:left w:val="nil"/>
              <w:bottom w:val="single" w:color="auto" w:sz="4" w:space="0"/>
            </w:tcBorders>
            <w:shd w:val="clear" w:color="auto" w:fill="auto"/>
            <w:noWrap w:val="0"/>
            <w:vAlign w:val="top"/>
          </w:tcPr>
          <w:p w14:paraId="0BB3A7DB">
            <w:pPr>
              <w:ind w:left="510"/>
              <w:jc w:val="center"/>
              <w:rPr>
                <w:rFonts w:hint="eastAsia" w:ascii="仿宋_GB2312" w:hAnsi="仿宋_GB2312" w:eastAsia="仿宋_GB2312" w:cs="仿宋_GB2312"/>
                <w:szCs w:val="21"/>
              </w:rPr>
            </w:pPr>
            <w:r>
              <w:rPr>
                <w:rFonts w:hint="eastAsia" w:ascii="仿宋_GB2312" w:hAnsi="仿宋_GB2312" w:eastAsia="仿宋_GB2312" w:cs="仿宋_GB2312"/>
                <w:szCs w:val="21"/>
              </w:rPr>
              <w:t>激素(mg/L</w:t>
            </w:r>
            <w:r>
              <w:rPr>
                <w:rFonts w:hint="eastAsia" w:ascii="仿宋_GB2312" w:hAnsi="仿宋_GB2312" w:eastAsia="仿宋_GB2312" w:cs="仿宋_GB2312"/>
                <w:szCs w:val="21"/>
                <w:vertAlign w:val="superscript"/>
              </w:rPr>
              <w:t>-1</w:t>
            </w:r>
            <w:r>
              <w:rPr>
                <w:rFonts w:hint="eastAsia" w:ascii="仿宋_GB2312" w:hAnsi="仿宋_GB2312" w:eastAsia="仿宋_GB2312" w:cs="仿宋_GB2312"/>
                <w:szCs w:val="21"/>
              </w:rPr>
              <w:t>)</w:t>
            </w:r>
          </w:p>
        </w:tc>
        <w:tc>
          <w:tcPr>
            <w:tcW w:w="1230" w:type="dxa"/>
            <w:vMerge w:val="restart"/>
            <w:tcBorders>
              <w:top w:val="single" w:color="auto" w:sz="2" w:space="0"/>
              <w:bottom w:val="single" w:color="008000" w:sz="6" w:space="0"/>
            </w:tcBorders>
            <w:shd w:val="clear" w:color="auto" w:fill="auto"/>
            <w:noWrap w:val="0"/>
            <w:vAlign w:val="top"/>
          </w:tcPr>
          <w:p w14:paraId="491730AE">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外植体数（个）</w:t>
            </w:r>
          </w:p>
        </w:tc>
        <w:tc>
          <w:tcPr>
            <w:tcW w:w="1231" w:type="dxa"/>
            <w:vMerge w:val="restart"/>
            <w:tcBorders>
              <w:top w:val="single" w:color="auto" w:sz="2" w:space="0"/>
              <w:bottom w:val="single" w:color="008000" w:sz="6" w:space="0"/>
            </w:tcBorders>
            <w:shd w:val="clear" w:color="auto" w:fill="auto"/>
            <w:noWrap w:val="0"/>
            <w:vAlign w:val="top"/>
          </w:tcPr>
          <w:p w14:paraId="4BDA478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形成愈伤外植体数（个）</w:t>
            </w:r>
          </w:p>
        </w:tc>
        <w:tc>
          <w:tcPr>
            <w:tcW w:w="1231" w:type="dxa"/>
            <w:vMerge w:val="restart"/>
            <w:tcBorders>
              <w:top w:val="single" w:color="auto" w:sz="2" w:space="0"/>
              <w:bottom w:val="single" w:color="008000" w:sz="6" w:space="0"/>
            </w:tcBorders>
            <w:shd w:val="clear" w:color="auto" w:fill="auto"/>
            <w:noWrap w:val="0"/>
            <w:vAlign w:val="top"/>
          </w:tcPr>
          <w:p w14:paraId="70F2AFE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愈伤诱导率（%）</w:t>
            </w:r>
          </w:p>
        </w:tc>
        <w:tc>
          <w:tcPr>
            <w:tcW w:w="1231" w:type="dxa"/>
            <w:vMerge w:val="restart"/>
            <w:tcBorders>
              <w:top w:val="single" w:color="auto" w:sz="2" w:space="0"/>
              <w:bottom w:val="single" w:color="008000" w:sz="6" w:space="0"/>
            </w:tcBorders>
            <w:shd w:val="clear" w:color="auto" w:fill="auto"/>
            <w:noWrap w:val="0"/>
            <w:vAlign w:val="top"/>
          </w:tcPr>
          <w:p w14:paraId="0C876619">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愈伤生长量</w:t>
            </w:r>
          </w:p>
        </w:tc>
        <w:tc>
          <w:tcPr>
            <w:tcW w:w="1231" w:type="dxa"/>
            <w:vMerge w:val="restart"/>
            <w:tcBorders>
              <w:top w:val="single" w:color="auto" w:sz="2" w:space="0"/>
              <w:bottom w:val="single" w:color="008000" w:sz="6" w:space="0"/>
            </w:tcBorders>
            <w:shd w:val="clear" w:color="auto" w:fill="auto"/>
            <w:noWrap w:val="0"/>
            <w:vAlign w:val="top"/>
          </w:tcPr>
          <w:p w14:paraId="302AABBE">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出芽外植体数(个)</w:t>
            </w:r>
          </w:p>
        </w:tc>
        <w:tc>
          <w:tcPr>
            <w:tcW w:w="1231" w:type="dxa"/>
            <w:vMerge w:val="restart"/>
            <w:tcBorders>
              <w:top w:val="single" w:color="auto" w:sz="2" w:space="0"/>
              <w:bottom w:val="single" w:color="008000" w:sz="6" w:space="0"/>
            </w:tcBorders>
            <w:shd w:val="clear" w:color="auto" w:fill="auto"/>
            <w:noWrap w:val="0"/>
            <w:vAlign w:val="top"/>
          </w:tcPr>
          <w:p w14:paraId="50C26273">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出芽率（%）</w:t>
            </w:r>
          </w:p>
        </w:tc>
      </w:tr>
      <w:tr w14:paraId="1B9E420F">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jc w:val="center"/>
        </w:trPr>
        <w:tc>
          <w:tcPr>
            <w:tcW w:w="540" w:type="dxa"/>
            <w:vMerge w:val="continue"/>
            <w:tcBorders>
              <w:bottom w:val="single" w:color="auto" w:sz="2" w:space="0"/>
              <w:right w:val="nil"/>
            </w:tcBorders>
            <w:shd w:val="clear" w:color="auto" w:fill="auto"/>
            <w:noWrap w:val="0"/>
            <w:vAlign w:val="top"/>
          </w:tcPr>
          <w:p w14:paraId="33054014">
            <w:pPr>
              <w:jc w:val="center"/>
              <w:rPr>
                <w:rFonts w:hint="eastAsia" w:ascii="仿宋_GB2312" w:hAnsi="仿宋_GB2312" w:eastAsia="仿宋_GB2312" w:cs="仿宋_GB2312"/>
                <w:szCs w:val="21"/>
              </w:rPr>
            </w:pPr>
          </w:p>
        </w:tc>
        <w:tc>
          <w:tcPr>
            <w:tcW w:w="2340" w:type="dxa"/>
            <w:tcBorders>
              <w:top w:val="single" w:color="auto" w:sz="4" w:space="0"/>
              <w:left w:val="nil"/>
              <w:bottom w:val="single" w:color="auto" w:sz="2" w:space="0"/>
            </w:tcBorders>
            <w:shd w:val="clear" w:color="auto" w:fill="auto"/>
            <w:noWrap w:val="0"/>
            <w:vAlign w:val="top"/>
          </w:tcPr>
          <w:p w14:paraId="05F8AB83">
            <w:pPr>
              <w:rPr>
                <w:rFonts w:hint="eastAsia" w:ascii="仿宋_GB2312" w:hAnsi="仿宋_GB2312" w:eastAsia="仿宋_GB2312" w:cs="仿宋_GB2312"/>
                <w:szCs w:val="21"/>
              </w:rPr>
            </w:pPr>
            <w:r>
              <w:rPr>
                <w:rFonts w:hint="eastAsia" w:ascii="仿宋_GB2312" w:hAnsi="仿宋_GB2312" w:eastAsia="仿宋_GB2312" w:cs="仿宋_GB2312"/>
                <w:szCs w:val="21"/>
              </w:rPr>
              <w:t>6-BA    KT    NAA</w:t>
            </w:r>
          </w:p>
        </w:tc>
        <w:tc>
          <w:tcPr>
            <w:tcW w:w="1230" w:type="dxa"/>
            <w:vMerge w:val="continue"/>
            <w:tcBorders>
              <w:bottom w:val="single" w:color="auto" w:sz="2" w:space="0"/>
            </w:tcBorders>
            <w:shd w:val="clear" w:color="auto" w:fill="auto"/>
            <w:noWrap w:val="0"/>
            <w:vAlign w:val="top"/>
          </w:tcPr>
          <w:p w14:paraId="70619951">
            <w:pPr>
              <w:rPr>
                <w:rFonts w:hint="eastAsia" w:ascii="仿宋_GB2312" w:hAnsi="仿宋_GB2312" w:eastAsia="仿宋_GB2312" w:cs="仿宋_GB2312"/>
                <w:kern w:val="0"/>
                <w:szCs w:val="21"/>
              </w:rPr>
            </w:pPr>
          </w:p>
        </w:tc>
        <w:tc>
          <w:tcPr>
            <w:tcW w:w="1231" w:type="dxa"/>
            <w:vMerge w:val="continue"/>
            <w:tcBorders>
              <w:bottom w:val="single" w:color="auto" w:sz="2" w:space="0"/>
            </w:tcBorders>
            <w:shd w:val="clear" w:color="auto" w:fill="auto"/>
            <w:noWrap w:val="0"/>
            <w:vAlign w:val="top"/>
          </w:tcPr>
          <w:p w14:paraId="758770C8">
            <w:pPr>
              <w:rPr>
                <w:rFonts w:hint="eastAsia" w:ascii="仿宋_GB2312" w:hAnsi="仿宋_GB2312" w:eastAsia="仿宋_GB2312" w:cs="仿宋_GB2312"/>
                <w:kern w:val="0"/>
                <w:szCs w:val="21"/>
              </w:rPr>
            </w:pPr>
          </w:p>
        </w:tc>
        <w:tc>
          <w:tcPr>
            <w:tcW w:w="1231" w:type="dxa"/>
            <w:vMerge w:val="continue"/>
            <w:tcBorders>
              <w:bottom w:val="single" w:color="auto" w:sz="2" w:space="0"/>
            </w:tcBorders>
            <w:shd w:val="clear" w:color="auto" w:fill="auto"/>
            <w:noWrap w:val="0"/>
            <w:vAlign w:val="top"/>
          </w:tcPr>
          <w:p w14:paraId="551D0676">
            <w:pPr>
              <w:rPr>
                <w:rFonts w:hint="eastAsia" w:ascii="仿宋_GB2312" w:hAnsi="仿宋_GB2312" w:eastAsia="仿宋_GB2312" w:cs="仿宋_GB2312"/>
                <w:kern w:val="0"/>
                <w:szCs w:val="21"/>
              </w:rPr>
            </w:pPr>
          </w:p>
        </w:tc>
        <w:tc>
          <w:tcPr>
            <w:tcW w:w="1231" w:type="dxa"/>
            <w:vMerge w:val="continue"/>
            <w:tcBorders>
              <w:bottom w:val="single" w:color="auto" w:sz="2" w:space="0"/>
            </w:tcBorders>
            <w:shd w:val="clear" w:color="auto" w:fill="auto"/>
            <w:noWrap w:val="0"/>
            <w:vAlign w:val="top"/>
          </w:tcPr>
          <w:p w14:paraId="23921F4D">
            <w:pPr>
              <w:rPr>
                <w:rFonts w:hint="eastAsia" w:ascii="仿宋_GB2312" w:hAnsi="仿宋_GB2312" w:eastAsia="仿宋_GB2312" w:cs="仿宋_GB2312"/>
                <w:kern w:val="0"/>
                <w:szCs w:val="21"/>
              </w:rPr>
            </w:pPr>
          </w:p>
        </w:tc>
        <w:tc>
          <w:tcPr>
            <w:tcW w:w="1231" w:type="dxa"/>
            <w:vMerge w:val="continue"/>
            <w:tcBorders>
              <w:bottom w:val="single" w:color="auto" w:sz="2" w:space="0"/>
            </w:tcBorders>
            <w:shd w:val="clear" w:color="auto" w:fill="auto"/>
            <w:noWrap w:val="0"/>
            <w:vAlign w:val="top"/>
          </w:tcPr>
          <w:p w14:paraId="27AD482B">
            <w:pPr>
              <w:rPr>
                <w:rFonts w:hint="eastAsia" w:ascii="仿宋_GB2312" w:hAnsi="仿宋_GB2312" w:eastAsia="仿宋_GB2312" w:cs="仿宋_GB2312"/>
                <w:kern w:val="0"/>
                <w:szCs w:val="21"/>
              </w:rPr>
            </w:pPr>
          </w:p>
        </w:tc>
        <w:tc>
          <w:tcPr>
            <w:tcW w:w="1231" w:type="dxa"/>
            <w:vMerge w:val="continue"/>
            <w:tcBorders>
              <w:bottom w:val="single" w:color="auto" w:sz="2" w:space="0"/>
            </w:tcBorders>
            <w:shd w:val="clear" w:color="auto" w:fill="auto"/>
            <w:noWrap w:val="0"/>
            <w:vAlign w:val="top"/>
          </w:tcPr>
          <w:p w14:paraId="4B454343">
            <w:pPr>
              <w:rPr>
                <w:rFonts w:hint="eastAsia" w:ascii="仿宋_GB2312" w:hAnsi="仿宋_GB2312" w:eastAsia="仿宋_GB2312" w:cs="仿宋_GB2312"/>
                <w:kern w:val="0"/>
                <w:szCs w:val="21"/>
              </w:rPr>
            </w:pPr>
          </w:p>
        </w:tc>
      </w:tr>
      <w:tr w14:paraId="02BF1B18">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tcBorders>
              <w:top w:val="single" w:color="auto" w:sz="2" w:space="0"/>
            </w:tcBorders>
            <w:shd w:val="clear" w:color="auto" w:fill="auto"/>
            <w:noWrap w:val="0"/>
            <w:vAlign w:val="top"/>
          </w:tcPr>
          <w:p w14:paraId="77216A72">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w:t>
            </w:r>
          </w:p>
        </w:tc>
        <w:tc>
          <w:tcPr>
            <w:tcW w:w="2340" w:type="dxa"/>
            <w:tcBorders>
              <w:top w:val="single" w:color="auto" w:sz="2" w:space="0"/>
            </w:tcBorders>
            <w:shd w:val="clear" w:color="auto" w:fill="auto"/>
            <w:noWrap w:val="0"/>
            <w:vAlign w:val="top"/>
          </w:tcPr>
          <w:p w14:paraId="4D55E5DE">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0.5     0.2      0.0</w:t>
            </w:r>
          </w:p>
        </w:tc>
        <w:tc>
          <w:tcPr>
            <w:tcW w:w="1230" w:type="dxa"/>
            <w:tcBorders>
              <w:top w:val="single" w:color="auto" w:sz="2" w:space="0"/>
            </w:tcBorders>
            <w:shd w:val="clear" w:color="auto" w:fill="auto"/>
            <w:noWrap w:val="0"/>
            <w:vAlign w:val="top"/>
          </w:tcPr>
          <w:p w14:paraId="1B0AF67F">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tcBorders>
              <w:top w:val="single" w:color="auto" w:sz="2" w:space="0"/>
            </w:tcBorders>
            <w:shd w:val="clear" w:color="auto" w:fill="auto"/>
            <w:noWrap w:val="0"/>
            <w:vAlign w:val="top"/>
          </w:tcPr>
          <w:p w14:paraId="36FF3BB1">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w:t>
            </w:r>
          </w:p>
        </w:tc>
        <w:tc>
          <w:tcPr>
            <w:tcW w:w="1231" w:type="dxa"/>
            <w:tcBorders>
              <w:top w:val="single" w:color="auto" w:sz="2" w:space="0"/>
            </w:tcBorders>
            <w:shd w:val="clear" w:color="auto" w:fill="auto"/>
            <w:noWrap w:val="0"/>
            <w:vAlign w:val="top"/>
          </w:tcPr>
          <w:p w14:paraId="492388D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w:t>
            </w:r>
          </w:p>
        </w:tc>
        <w:tc>
          <w:tcPr>
            <w:tcW w:w="1231" w:type="dxa"/>
            <w:tcBorders>
              <w:top w:val="single" w:color="auto" w:sz="2" w:space="0"/>
            </w:tcBorders>
            <w:shd w:val="clear" w:color="auto" w:fill="auto"/>
            <w:noWrap w:val="0"/>
            <w:vAlign w:val="top"/>
          </w:tcPr>
          <w:p w14:paraId="187A378E">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很小</w:t>
            </w:r>
          </w:p>
        </w:tc>
        <w:tc>
          <w:tcPr>
            <w:tcW w:w="1231" w:type="dxa"/>
            <w:tcBorders>
              <w:top w:val="single" w:color="auto" w:sz="2" w:space="0"/>
            </w:tcBorders>
            <w:shd w:val="clear" w:color="auto" w:fill="auto"/>
            <w:noWrap w:val="0"/>
            <w:vAlign w:val="top"/>
          </w:tcPr>
          <w:p w14:paraId="204D85BC">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8</w:t>
            </w:r>
          </w:p>
        </w:tc>
        <w:tc>
          <w:tcPr>
            <w:tcW w:w="1231" w:type="dxa"/>
            <w:tcBorders>
              <w:top w:val="single" w:color="auto" w:sz="2" w:space="0"/>
            </w:tcBorders>
            <w:shd w:val="clear" w:color="auto" w:fill="auto"/>
            <w:noWrap w:val="0"/>
            <w:vAlign w:val="top"/>
          </w:tcPr>
          <w:p w14:paraId="162C8323">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32</w:t>
            </w:r>
          </w:p>
        </w:tc>
      </w:tr>
      <w:tr w14:paraId="52007DD3">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shd w:val="clear" w:color="auto" w:fill="auto"/>
            <w:noWrap w:val="0"/>
            <w:vAlign w:val="top"/>
          </w:tcPr>
          <w:p w14:paraId="06044AD9">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w:t>
            </w:r>
          </w:p>
        </w:tc>
        <w:tc>
          <w:tcPr>
            <w:tcW w:w="2340" w:type="dxa"/>
            <w:shd w:val="clear" w:color="auto" w:fill="auto"/>
            <w:noWrap w:val="0"/>
            <w:vAlign w:val="top"/>
          </w:tcPr>
          <w:p w14:paraId="120F4106">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0.5     0.0      0.2</w:t>
            </w:r>
          </w:p>
        </w:tc>
        <w:tc>
          <w:tcPr>
            <w:tcW w:w="1230" w:type="dxa"/>
            <w:shd w:val="clear" w:color="auto" w:fill="auto"/>
            <w:noWrap w:val="0"/>
            <w:vAlign w:val="top"/>
          </w:tcPr>
          <w:p w14:paraId="005B3AB9">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shd w:val="clear" w:color="auto" w:fill="auto"/>
            <w:noWrap w:val="0"/>
            <w:vAlign w:val="top"/>
          </w:tcPr>
          <w:p w14:paraId="0BD0F9A8">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5</w:t>
            </w:r>
          </w:p>
        </w:tc>
        <w:tc>
          <w:tcPr>
            <w:tcW w:w="1231" w:type="dxa"/>
            <w:shd w:val="clear" w:color="auto" w:fill="auto"/>
            <w:noWrap w:val="0"/>
            <w:vAlign w:val="top"/>
          </w:tcPr>
          <w:p w14:paraId="1157D764">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20</w:t>
            </w:r>
          </w:p>
        </w:tc>
        <w:tc>
          <w:tcPr>
            <w:tcW w:w="1231" w:type="dxa"/>
            <w:shd w:val="clear" w:color="auto" w:fill="auto"/>
            <w:noWrap w:val="0"/>
            <w:vAlign w:val="top"/>
          </w:tcPr>
          <w:p w14:paraId="602346D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小</w:t>
            </w:r>
          </w:p>
        </w:tc>
        <w:tc>
          <w:tcPr>
            <w:tcW w:w="1231" w:type="dxa"/>
            <w:shd w:val="clear" w:color="auto" w:fill="auto"/>
            <w:noWrap w:val="0"/>
            <w:vAlign w:val="top"/>
          </w:tcPr>
          <w:p w14:paraId="365E70E2">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7</w:t>
            </w:r>
          </w:p>
        </w:tc>
        <w:tc>
          <w:tcPr>
            <w:tcW w:w="1231" w:type="dxa"/>
            <w:shd w:val="clear" w:color="auto" w:fill="auto"/>
            <w:noWrap w:val="0"/>
            <w:vAlign w:val="top"/>
          </w:tcPr>
          <w:p w14:paraId="4FFA1CDD">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28</w:t>
            </w:r>
          </w:p>
        </w:tc>
      </w:tr>
      <w:tr w14:paraId="653D65A9">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shd w:val="clear" w:color="auto" w:fill="auto"/>
            <w:noWrap w:val="0"/>
            <w:vAlign w:val="top"/>
          </w:tcPr>
          <w:p w14:paraId="6CB660C3">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w:t>
            </w:r>
          </w:p>
        </w:tc>
        <w:tc>
          <w:tcPr>
            <w:tcW w:w="2340" w:type="dxa"/>
            <w:shd w:val="clear" w:color="auto" w:fill="auto"/>
            <w:noWrap w:val="0"/>
            <w:vAlign w:val="top"/>
          </w:tcPr>
          <w:p w14:paraId="2A2ABF4C">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0.5     0.2      0.2</w:t>
            </w:r>
          </w:p>
        </w:tc>
        <w:tc>
          <w:tcPr>
            <w:tcW w:w="1230" w:type="dxa"/>
            <w:shd w:val="clear" w:color="auto" w:fill="auto"/>
            <w:noWrap w:val="0"/>
            <w:vAlign w:val="top"/>
          </w:tcPr>
          <w:p w14:paraId="5BDC5975">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shd w:val="clear" w:color="auto" w:fill="auto"/>
            <w:noWrap w:val="0"/>
            <w:vAlign w:val="top"/>
          </w:tcPr>
          <w:p w14:paraId="48BA5B84">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5</w:t>
            </w:r>
          </w:p>
        </w:tc>
        <w:tc>
          <w:tcPr>
            <w:tcW w:w="1231" w:type="dxa"/>
            <w:shd w:val="clear" w:color="auto" w:fill="auto"/>
            <w:noWrap w:val="0"/>
            <w:vAlign w:val="top"/>
          </w:tcPr>
          <w:p w14:paraId="56B0C65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20</w:t>
            </w:r>
          </w:p>
        </w:tc>
        <w:tc>
          <w:tcPr>
            <w:tcW w:w="1231" w:type="dxa"/>
            <w:shd w:val="clear" w:color="auto" w:fill="auto"/>
            <w:noWrap w:val="0"/>
            <w:vAlign w:val="top"/>
          </w:tcPr>
          <w:p w14:paraId="24F2FCA4">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中</w:t>
            </w:r>
          </w:p>
        </w:tc>
        <w:tc>
          <w:tcPr>
            <w:tcW w:w="1231" w:type="dxa"/>
            <w:shd w:val="clear" w:color="auto" w:fill="auto"/>
            <w:noWrap w:val="0"/>
            <w:vAlign w:val="top"/>
          </w:tcPr>
          <w:p w14:paraId="37E6ABDD">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17</w:t>
            </w:r>
          </w:p>
        </w:tc>
        <w:tc>
          <w:tcPr>
            <w:tcW w:w="1231" w:type="dxa"/>
            <w:shd w:val="clear" w:color="auto" w:fill="auto"/>
            <w:noWrap w:val="0"/>
            <w:vAlign w:val="top"/>
          </w:tcPr>
          <w:p w14:paraId="7872FB9C">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68</w:t>
            </w:r>
          </w:p>
        </w:tc>
      </w:tr>
      <w:tr w14:paraId="317F104B">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shd w:val="clear" w:color="auto" w:fill="auto"/>
            <w:noWrap w:val="0"/>
            <w:vAlign w:val="top"/>
          </w:tcPr>
          <w:p w14:paraId="5E9F1286">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w:t>
            </w:r>
          </w:p>
        </w:tc>
        <w:tc>
          <w:tcPr>
            <w:tcW w:w="2340" w:type="dxa"/>
            <w:shd w:val="clear" w:color="auto" w:fill="auto"/>
            <w:noWrap w:val="0"/>
            <w:vAlign w:val="top"/>
          </w:tcPr>
          <w:p w14:paraId="7D67CB18">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1.0     0.2      0.2</w:t>
            </w:r>
          </w:p>
        </w:tc>
        <w:tc>
          <w:tcPr>
            <w:tcW w:w="1230" w:type="dxa"/>
            <w:shd w:val="clear" w:color="auto" w:fill="auto"/>
            <w:noWrap w:val="0"/>
            <w:vAlign w:val="top"/>
          </w:tcPr>
          <w:p w14:paraId="5CB0B4A5">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shd w:val="clear" w:color="auto" w:fill="auto"/>
            <w:noWrap w:val="0"/>
            <w:vAlign w:val="top"/>
          </w:tcPr>
          <w:p w14:paraId="23458D99">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7</w:t>
            </w:r>
          </w:p>
        </w:tc>
        <w:tc>
          <w:tcPr>
            <w:tcW w:w="1231" w:type="dxa"/>
            <w:shd w:val="clear" w:color="auto" w:fill="auto"/>
            <w:noWrap w:val="0"/>
            <w:vAlign w:val="top"/>
          </w:tcPr>
          <w:p w14:paraId="58C7F477">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28</w:t>
            </w:r>
          </w:p>
        </w:tc>
        <w:tc>
          <w:tcPr>
            <w:tcW w:w="1231" w:type="dxa"/>
            <w:shd w:val="clear" w:color="auto" w:fill="auto"/>
            <w:noWrap w:val="0"/>
            <w:vAlign w:val="top"/>
          </w:tcPr>
          <w:p w14:paraId="0410C446">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中</w:t>
            </w:r>
          </w:p>
        </w:tc>
        <w:tc>
          <w:tcPr>
            <w:tcW w:w="1231" w:type="dxa"/>
            <w:shd w:val="clear" w:color="auto" w:fill="auto"/>
            <w:noWrap w:val="0"/>
            <w:vAlign w:val="top"/>
          </w:tcPr>
          <w:p w14:paraId="67FCEE63">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23</w:t>
            </w:r>
          </w:p>
        </w:tc>
        <w:tc>
          <w:tcPr>
            <w:tcW w:w="1231" w:type="dxa"/>
            <w:shd w:val="clear" w:color="auto" w:fill="auto"/>
            <w:noWrap w:val="0"/>
            <w:vAlign w:val="top"/>
          </w:tcPr>
          <w:p w14:paraId="6250388F">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92</w:t>
            </w:r>
          </w:p>
        </w:tc>
      </w:tr>
      <w:tr w14:paraId="3D0F3761">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shd w:val="clear" w:color="auto" w:fill="auto"/>
            <w:noWrap w:val="0"/>
            <w:vAlign w:val="top"/>
          </w:tcPr>
          <w:p w14:paraId="4D909657">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5</w:t>
            </w:r>
          </w:p>
        </w:tc>
        <w:tc>
          <w:tcPr>
            <w:tcW w:w="2340" w:type="dxa"/>
            <w:shd w:val="clear" w:color="auto" w:fill="auto"/>
            <w:noWrap w:val="0"/>
            <w:vAlign w:val="top"/>
          </w:tcPr>
          <w:p w14:paraId="30D0267C">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0.5     1.0      0.2</w:t>
            </w:r>
          </w:p>
        </w:tc>
        <w:tc>
          <w:tcPr>
            <w:tcW w:w="1230" w:type="dxa"/>
            <w:shd w:val="clear" w:color="auto" w:fill="auto"/>
            <w:noWrap w:val="0"/>
            <w:vAlign w:val="top"/>
          </w:tcPr>
          <w:p w14:paraId="2E62C20A">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shd w:val="clear" w:color="auto" w:fill="auto"/>
            <w:noWrap w:val="0"/>
            <w:vAlign w:val="top"/>
          </w:tcPr>
          <w:p w14:paraId="352D25F7">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6</w:t>
            </w:r>
          </w:p>
        </w:tc>
        <w:tc>
          <w:tcPr>
            <w:tcW w:w="1231" w:type="dxa"/>
            <w:shd w:val="clear" w:color="auto" w:fill="auto"/>
            <w:noWrap w:val="0"/>
            <w:vAlign w:val="top"/>
          </w:tcPr>
          <w:p w14:paraId="2706EA6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24</w:t>
            </w:r>
          </w:p>
        </w:tc>
        <w:tc>
          <w:tcPr>
            <w:tcW w:w="1231" w:type="dxa"/>
            <w:shd w:val="clear" w:color="auto" w:fill="auto"/>
            <w:noWrap w:val="0"/>
            <w:vAlign w:val="top"/>
          </w:tcPr>
          <w:p w14:paraId="5291CA3A">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中</w:t>
            </w:r>
          </w:p>
        </w:tc>
        <w:tc>
          <w:tcPr>
            <w:tcW w:w="1231" w:type="dxa"/>
            <w:shd w:val="clear" w:color="auto" w:fill="auto"/>
            <w:noWrap w:val="0"/>
            <w:vAlign w:val="top"/>
          </w:tcPr>
          <w:p w14:paraId="2B51CA2D">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15</w:t>
            </w:r>
          </w:p>
        </w:tc>
        <w:tc>
          <w:tcPr>
            <w:tcW w:w="1231" w:type="dxa"/>
            <w:shd w:val="clear" w:color="auto" w:fill="auto"/>
            <w:noWrap w:val="0"/>
            <w:vAlign w:val="top"/>
          </w:tcPr>
          <w:p w14:paraId="704BE92A">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60</w:t>
            </w:r>
          </w:p>
        </w:tc>
      </w:tr>
      <w:tr w14:paraId="1802CC0C">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shd w:val="clear" w:color="auto" w:fill="auto"/>
            <w:noWrap w:val="0"/>
            <w:vAlign w:val="top"/>
          </w:tcPr>
          <w:p w14:paraId="1CF27491">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6</w:t>
            </w:r>
          </w:p>
        </w:tc>
        <w:tc>
          <w:tcPr>
            <w:tcW w:w="2340" w:type="dxa"/>
            <w:shd w:val="clear" w:color="auto" w:fill="auto"/>
            <w:noWrap w:val="0"/>
            <w:vAlign w:val="top"/>
          </w:tcPr>
          <w:p w14:paraId="18742FB6">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0.5     0.2      1.0</w:t>
            </w:r>
          </w:p>
        </w:tc>
        <w:tc>
          <w:tcPr>
            <w:tcW w:w="1230" w:type="dxa"/>
            <w:shd w:val="clear" w:color="auto" w:fill="auto"/>
            <w:noWrap w:val="0"/>
            <w:vAlign w:val="top"/>
          </w:tcPr>
          <w:p w14:paraId="10DA8CB1">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shd w:val="clear" w:color="auto" w:fill="auto"/>
            <w:noWrap w:val="0"/>
            <w:vAlign w:val="top"/>
          </w:tcPr>
          <w:p w14:paraId="72D70185">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9</w:t>
            </w:r>
          </w:p>
        </w:tc>
        <w:tc>
          <w:tcPr>
            <w:tcW w:w="1231" w:type="dxa"/>
            <w:shd w:val="clear" w:color="auto" w:fill="auto"/>
            <w:noWrap w:val="0"/>
            <w:vAlign w:val="top"/>
          </w:tcPr>
          <w:p w14:paraId="47AB5BC3">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1231" w:type="dxa"/>
            <w:shd w:val="clear" w:color="auto" w:fill="auto"/>
            <w:noWrap w:val="0"/>
            <w:vAlign w:val="top"/>
          </w:tcPr>
          <w:p w14:paraId="4711BC3D">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大</w:t>
            </w:r>
          </w:p>
        </w:tc>
        <w:tc>
          <w:tcPr>
            <w:tcW w:w="1231" w:type="dxa"/>
            <w:shd w:val="clear" w:color="auto" w:fill="auto"/>
            <w:noWrap w:val="0"/>
            <w:vAlign w:val="top"/>
          </w:tcPr>
          <w:p w14:paraId="203E33D0">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11</w:t>
            </w:r>
          </w:p>
        </w:tc>
        <w:tc>
          <w:tcPr>
            <w:tcW w:w="1231" w:type="dxa"/>
            <w:shd w:val="clear" w:color="auto" w:fill="auto"/>
            <w:noWrap w:val="0"/>
            <w:vAlign w:val="top"/>
          </w:tcPr>
          <w:p w14:paraId="5A16E12B">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44</w:t>
            </w:r>
          </w:p>
        </w:tc>
      </w:tr>
      <w:tr w14:paraId="6BE5A602">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40" w:type="dxa"/>
            <w:tcBorders>
              <w:bottom w:val="single" w:color="auto" w:sz="2" w:space="0"/>
            </w:tcBorders>
            <w:shd w:val="clear" w:color="auto" w:fill="auto"/>
            <w:noWrap w:val="0"/>
            <w:vAlign w:val="top"/>
          </w:tcPr>
          <w:p w14:paraId="36619221">
            <w:pPr>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7</w:t>
            </w:r>
          </w:p>
        </w:tc>
        <w:tc>
          <w:tcPr>
            <w:tcW w:w="2340" w:type="dxa"/>
            <w:tcBorders>
              <w:bottom w:val="single" w:color="auto" w:sz="2" w:space="0"/>
            </w:tcBorders>
            <w:shd w:val="clear" w:color="auto" w:fill="auto"/>
            <w:noWrap w:val="0"/>
            <w:vAlign w:val="top"/>
          </w:tcPr>
          <w:p w14:paraId="67F9A316">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0.0     0.0      0.0</w:t>
            </w:r>
          </w:p>
        </w:tc>
        <w:tc>
          <w:tcPr>
            <w:tcW w:w="1230" w:type="dxa"/>
            <w:tcBorders>
              <w:bottom w:val="single" w:color="auto" w:sz="2" w:space="0"/>
            </w:tcBorders>
            <w:shd w:val="clear" w:color="auto" w:fill="auto"/>
            <w:noWrap w:val="0"/>
            <w:vAlign w:val="top"/>
          </w:tcPr>
          <w:p w14:paraId="12245C4A">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25</w:t>
            </w:r>
          </w:p>
        </w:tc>
        <w:tc>
          <w:tcPr>
            <w:tcW w:w="1231" w:type="dxa"/>
            <w:tcBorders>
              <w:bottom w:val="single" w:color="auto" w:sz="2" w:space="0"/>
            </w:tcBorders>
            <w:shd w:val="clear" w:color="auto" w:fill="auto"/>
            <w:noWrap w:val="0"/>
            <w:vAlign w:val="top"/>
          </w:tcPr>
          <w:p w14:paraId="4A6F7B8C">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w:t>
            </w:r>
          </w:p>
        </w:tc>
        <w:tc>
          <w:tcPr>
            <w:tcW w:w="1231" w:type="dxa"/>
            <w:tcBorders>
              <w:bottom w:val="single" w:color="auto" w:sz="2" w:space="0"/>
            </w:tcBorders>
            <w:shd w:val="clear" w:color="auto" w:fill="auto"/>
            <w:noWrap w:val="0"/>
            <w:vAlign w:val="top"/>
          </w:tcPr>
          <w:p w14:paraId="6912D651">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0</w:t>
            </w:r>
          </w:p>
        </w:tc>
        <w:tc>
          <w:tcPr>
            <w:tcW w:w="1231" w:type="dxa"/>
            <w:tcBorders>
              <w:bottom w:val="single" w:color="auto" w:sz="2" w:space="0"/>
            </w:tcBorders>
            <w:shd w:val="clear" w:color="auto" w:fill="auto"/>
            <w:noWrap w:val="0"/>
            <w:vAlign w:val="top"/>
          </w:tcPr>
          <w:p w14:paraId="33911FC8">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无</w:t>
            </w:r>
          </w:p>
        </w:tc>
        <w:tc>
          <w:tcPr>
            <w:tcW w:w="1231" w:type="dxa"/>
            <w:tcBorders>
              <w:bottom w:val="single" w:color="auto" w:sz="2" w:space="0"/>
            </w:tcBorders>
            <w:shd w:val="clear" w:color="auto" w:fill="auto"/>
            <w:noWrap w:val="0"/>
            <w:vAlign w:val="top"/>
          </w:tcPr>
          <w:p w14:paraId="7160A0CA">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w:t>
            </w:r>
          </w:p>
        </w:tc>
        <w:tc>
          <w:tcPr>
            <w:tcW w:w="1231" w:type="dxa"/>
            <w:tcBorders>
              <w:bottom w:val="single" w:color="auto" w:sz="2" w:space="0"/>
            </w:tcBorders>
            <w:shd w:val="clear" w:color="auto" w:fill="auto"/>
            <w:noWrap w:val="0"/>
            <w:vAlign w:val="top"/>
          </w:tcPr>
          <w:p w14:paraId="528A50BB">
            <w:pP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12</w:t>
            </w:r>
          </w:p>
        </w:tc>
      </w:tr>
    </w:tbl>
    <w:p w14:paraId="1EA383DF">
      <w:pPr>
        <w:rPr>
          <w:rFonts w:hint="eastAsia" w:ascii="仿宋_GB2312" w:hAnsi="仿宋_GB2312" w:eastAsia="仿宋_GB2312" w:cs="仿宋_GB2312"/>
          <w:kern w:val="0"/>
          <w:szCs w:val="21"/>
        </w:rPr>
      </w:pPr>
    </w:p>
    <w:p w14:paraId="454D38E2">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诱导芽增殖培养</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诱导芽在MS+1.0 mg／L 6-BA+0.05 mg／L NAA+0.1 mg／L KT的增殖培养基中培养20d左右，即可获得4～5倍的增殖系数，通过多次继代培养，就可获得大量的</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继代组培苗。</w:t>
      </w:r>
    </w:p>
    <w:p w14:paraId="26F7F4C9">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无菌芽的生根诱导</w:t>
      </w:r>
      <w:r>
        <w:rPr>
          <w:rFonts w:hint="eastAsia" w:ascii="仿宋_GB2312" w:hAnsi="仿宋_GB2312" w:eastAsia="仿宋_GB2312" w:cs="仿宋_GB2312"/>
          <w:kern w:val="0"/>
          <w:sz w:val="28"/>
          <w:szCs w:val="28"/>
          <w:lang w:eastAsia="zh-CN"/>
        </w:rPr>
        <w:t>：</w:t>
      </w:r>
      <w:r>
        <w:rPr>
          <w:rFonts w:hint="eastAsia" w:ascii="仿宋_GB2312" w:hAnsi="仿宋_GB2312" w:eastAsia="仿宋_GB2312" w:cs="仿宋_GB2312"/>
          <w:kern w:val="0"/>
          <w:sz w:val="28"/>
          <w:szCs w:val="28"/>
        </w:rPr>
        <w:t>将长约2cm 左右的无菌芽剪下接种到8～13号生根培养基中诱导生根，接种培养25 d左右，</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无菌芽基部皮层形成不定根4～6条，根长约1～3 cm。从表</w:t>
      </w:r>
      <w:r>
        <w:rPr>
          <w:rFonts w:hint="eastAsia" w:ascii="仿宋_GB2312" w:hAnsi="仿宋_GB2312" w:eastAsia="仿宋_GB2312" w:cs="仿宋_GB2312"/>
          <w:kern w:val="0"/>
          <w:sz w:val="28"/>
          <w:szCs w:val="28"/>
          <w:lang w:val="en-US" w:eastAsia="zh-CN"/>
        </w:rPr>
        <w:t>8</w:t>
      </w:r>
      <w:r>
        <w:rPr>
          <w:rFonts w:hint="eastAsia" w:ascii="仿宋_GB2312" w:hAnsi="仿宋_GB2312" w:eastAsia="仿宋_GB2312" w:cs="仿宋_GB2312"/>
          <w:kern w:val="0"/>
          <w:sz w:val="28"/>
          <w:szCs w:val="28"/>
        </w:rPr>
        <w:t>结果看出，不添加任何生长调节剂的MS培养基不能诱导</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无菌芽生根，分别添加生长调节剂IBA或NAA时，其生根率均较低，为25%～49%，当IBA和NAA以适当浓度混合使用时，对其生根有明显的促进作用，生根率达到76%，且生根速度也加快。因此诱导</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无菌芽生根时，生长调节剂组合以IBA 0.5 mg/L+ NAA 0.5 mg/L为佳。</w:t>
      </w:r>
    </w:p>
    <w:p w14:paraId="551571D9">
      <w:pPr>
        <w:jc w:val="center"/>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表</w:t>
      </w:r>
      <w:r>
        <w:rPr>
          <w:rFonts w:hint="eastAsia" w:ascii="仿宋_GB2312" w:hAnsi="仿宋_GB2312" w:eastAsia="仿宋_GB2312" w:cs="仿宋_GB2312"/>
          <w:kern w:val="0"/>
          <w:sz w:val="28"/>
          <w:szCs w:val="28"/>
          <w:lang w:val="en-US" w:eastAsia="zh-CN"/>
        </w:rPr>
        <w:t>8</w:t>
      </w:r>
      <w:r>
        <w:rPr>
          <w:rFonts w:hint="eastAsia" w:ascii="仿宋_GB2312" w:hAnsi="仿宋_GB2312" w:eastAsia="仿宋_GB2312" w:cs="仿宋_GB2312"/>
          <w:kern w:val="0"/>
          <w:sz w:val="28"/>
          <w:szCs w:val="28"/>
        </w:rPr>
        <w:t xml:space="preserve">  不同激素组合对</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试管苗生根的影响</w:t>
      </w:r>
    </w:p>
    <w:tbl>
      <w:tblPr>
        <w:tblStyle w:val="3"/>
        <w:tblW w:w="8568" w:type="dxa"/>
        <w:jc w:val="center"/>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8"/>
        <w:gridCol w:w="1620"/>
        <w:gridCol w:w="1398"/>
        <w:gridCol w:w="1482"/>
        <w:gridCol w:w="1980"/>
        <w:gridCol w:w="1260"/>
      </w:tblGrid>
      <w:tr w14:paraId="180D07F6">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828" w:type="dxa"/>
            <w:vMerge w:val="restart"/>
            <w:tcBorders>
              <w:top w:val="single" w:color="auto" w:sz="2" w:space="0"/>
              <w:bottom w:val="single" w:color="008000" w:sz="6" w:space="0"/>
            </w:tcBorders>
            <w:shd w:val="clear" w:color="auto" w:fill="auto"/>
            <w:noWrap w:val="0"/>
            <w:vAlign w:val="top"/>
          </w:tcPr>
          <w:p w14:paraId="6E1C7D09">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编号.</w:t>
            </w:r>
          </w:p>
        </w:tc>
        <w:tc>
          <w:tcPr>
            <w:tcW w:w="3018" w:type="dxa"/>
            <w:gridSpan w:val="2"/>
            <w:tcBorders>
              <w:top w:val="single" w:color="auto" w:sz="2" w:space="0"/>
              <w:bottom w:val="single" w:color="auto" w:sz="4" w:space="0"/>
            </w:tcBorders>
            <w:shd w:val="clear" w:color="auto" w:fill="auto"/>
            <w:noWrap w:val="0"/>
            <w:vAlign w:val="top"/>
          </w:tcPr>
          <w:p w14:paraId="7E1F50EB">
            <w:pPr>
              <w:ind w:firstLine="480" w:firstLineChars="20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激素(mg/L</w:t>
            </w:r>
            <w:r>
              <w:rPr>
                <w:rFonts w:hint="eastAsia" w:ascii="仿宋_GB2312" w:hAnsi="仿宋_GB2312" w:eastAsia="仿宋_GB2312" w:cs="仿宋_GB2312"/>
                <w:sz w:val="24"/>
                <w:szCs w:val="24"/>
                <w:vertAlign w:val="superscript"/>
              </w:rPr>
              <w:t>-1</w:t>
            </w:r>
            <w:r>
              <w:rPr>
                <w:rFonts w:hint="eastAsia" w:ascii="仿宋_GB2312" w:hAnsi="仿宋_GB2312" w:eastAsia="仿宋_GB2312" w:cs="仿宋_GB2312"/>
                <w:sz w:val="24"/>
                <w:szCs w:val="24"/>
              </w:rPr>
              <w:t>)</w:t>
            </w:r>
          </w:p>
        </w:tc>
        <w:tc>
          <w:tcPr>
            <w:tcW w:w="1482" w:type="dxa"/>
            <w:vMerge w:val="restart"/>
            <w:tcBorders>
              <w:top w:val="single" w:color="auto" w:sz="2" w:space="0"/>
              <w:bottom w:val="single" w:color="008000" w:sz="6" w:space="0"/>
            </w:tcBorders>
            <w:shd w:val="clear" w:color="auto" w:fill="auto"/>
            <w:noWrap w:val="0"/>
            <w:vAlign w:val="top"/>
          </w:tcPr>
          <w:p w14:paraId="46F72C4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接种芽数</w:t>
            </w:r>
          </w:p>
          <w:p w14:paraId="4AF7F9A3">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（个）</w:t>
            </w:r>
          </w:p>
        </w:tc>
        <w:tc>
          <w:tcPr>
            <w:tcW w:w="1980" w:type="dxa"/>
            <w:vMerge w:val="restart"/>
            <w:tcBorders>
              <w:top w:val="single" w:color="auto" w:sz="2" w:space="0"/>
              <w:bottom w:val="single" w:color="008000" w:sz="6" w:space="0"/>
            </w:tcBorders>
            <w:shd w:val="clear" w:color="auto" w:fill="auto"/>
            <w:noWrap w:val="0"/>
            <w:vAlign w:val="top"/>
          </w:tcPr>
          <w:p w14:paraId="7BCEF05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平均生根数</w:t>
            </w:r>
          </w:p>
          <w:p w14:paraId="417CB5F1">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（条）</w:t>
            </w:r>
          </w:p>
        </w:tc>
        <w:tc>
          <w:tcPr>
            <w:tcW w:w="1260" w:type="dxa"/>
            <w:vMerge w:val="restart"/>
            <w:tcBorders>
              <w:top w:val="single" w:color="auto" w:sz="2" w:space="0"/>
              <w:bottom w:val="single" w:color="008000" w:sz="6" w:space="0"/>
            </w:tcBorders>
            <w:shd w:val="clear" w:color="auto" w:fill="auto"/>
            <w:noWrap w:val="0"/>
            <w:vAlign w:val="top"/>
          </w:tcPr>
          <w:p w14:paraId="728B15EC">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生根率</w:t>
            </w:r>
          </w:p>
          <w:p w14:paraId="33208CA0">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p>
        </w:tc>
      </w:tr>
      <w:tr w14:paraId="63032521">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jc w:val="center"/>
        </w:trPr>
        <w:tc>
          <w:tcPr>
            <w:tcW w:w="828" w:type="dxa"/>
            <w:vMerge w:val="continue"/>
            <w:tcBorders>
              <w:bottom w:val="single" w:color="auto" w:sz="2" w:space="0"/>
            </w:tcBorders>
            <w:shd w:val="clear" w:color="auto" w:fill="auto"/>
            <w:noWrap w:val="0"/>
            <w:vAlign w:val="top"/>
          </w:tcPr>
          <w:p w14:paraId="46FAB913">
            <w:pPr>
              <w:jc w:val="center"/>
              <w:rPr>
                <w:rFonts w:hint="eastAsia" w:ascii="仿宋_GB2312" w:hAnsi="仿宋_GB2312" w:eastAsia="仿宋_GB2312" w:cs="仿宋_GB2312"/>
                <w:kern w:val="0"/>
                <w:sz w:val="24"/>
                <w:szCs w:val="24"/>
              </w:rPr>
            </w:pPr>
          </w:p>
        </w:tc>
        <w:tc>
          <w:tcPr>
            <w:tcW w:w="3018" w:type="dxa"/>
            <w:gridSpan w:val="2"/>
            <w:tcBorders>
              <w:top w:val="single" w:color="auto" w:sz="4" w:space="0"/>
              <w:bottom w:val="single" w:color="auto" w:sz="2" w:space="0"/>
            </w:tcBorders>
            <w:shd w:val="clear" w:color="auto" w:fill="auto"/>
            <w:noWrap w:val="0"/>
            <w:vAlign w:val="top"/>
          </w:tcPr>
          <w:p w14:paraId="1FD7C13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IBA         NAA</w:t>
            </w:r>
          </w:p>
        </w:tc>
        <w:tc>
          <w:tcPr>
            <w:tcW w:w="1482" w:type="dxa"/>
            <w:vMerge w:val="continue"/>
            <w:tcBorders>
              <w:bottom w:val="single" w:color="auto" w:sz="2" w:space="0"/>
            </w:tcBorders>
            <w:shd w:val="clear" w:color="auto" w:fill="auto"/>
            <w:noWrap w:val="0"/>
            <w:vAlign w:val="top"/>
          </w:tcPr>
          <w:p w14:paraId="6BE6F511">
            <w:pPr>
              <w:jc w:val="center"/>
              <w:rPr>
                <w:rFonts w:hint="eastAsia" w:ascii="仿宋_GB2312" w:hAnsi="仿宋_GB2312" w:eastAsia="仿宋_GB2312" w:cs="仿宋_GB2312"/>
                <w:kern w:val="0"/>
                <w:sz w:val="24"/>
                <w:szCs w:val="24"/>
              </w:rPr>
            </w:pPr>
          </w:p>
        </w:tc>
        <w:tc>
          <w:tcPr>
            <w:tcW w:w="1980" w:type="dxa"/>
            <w:vMerge w:val="continue"/>
            <w:tcBorders>
              <w:bottom w:val="single" w:color="auto" w:sz="2" w:space="0"/>
            </w:tcBorders>
            <w:shd w:val="clear" w:color="auto" w:fill="auto"/>
            <w:noWrap w:val="0"/>
            <w:vAlign w:val="top"/>
          </w:tcPr>
          <w:p w14:paraId="5B47AEF4">
            <w:pPr>
              <w:jc w:val="center"/>
              <w:rPr>
                <w:rFonts w:hint="eastAsia" w:ascii="仿宋_GB2312" w:hAnsi="仿宋_GB2312" w:eastAsia="仿宋_GB2312" w:cs="仿宋_GB2312"/>
                <w:kern w:val="0"/>
                <w:sz w:val="24"/>
                <w:szCs w:val="24"/>
              </w:rPr>
            </w:pPr>
          </w:p>
        </w:tc>
        <w:tc>
          <w:tcPr>
            <w:tcW w:w="1260" w:type="dxa"/>
            <w:vMerge w:val="continue"/>
            <w:tcBorders>
              <w:bottom w:val="single" w:color="auto" w:sz="2" w:space="0"/>
            </w:tcBorders>
            <w:shd w:val="clear" w:color="auto" w:fill="auto"/>
            <w:noWrap w:val="0"/>
            <w:vAlign w:val="top"/>
          </w:tcPr>
          <w:p w14:paraId="09E488C7">
            <w:pPr>
              <w:jc w:val="center"/>
              <w:rPr>
                <w:rFonts w:hint="eastAsia" w:ascii="仿宋_GB2312" w:hAnsi="仿宋_GB2312" w:eastAsia="仿宋_GB2312" w:cs="仿宋_GB2312"/>
                <w:kern w:val="0"/>
                <w:sz w:val="24"/>
                <w:szCs w:val="24"/>
              </w:rPr>
            </w:pPr>
          </w:p>
        </w:tc>
      </w:tr>
      <w:tr w14:paraId="36B772C8">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tcBorders>
              <w:top w:val="single" w:color="auto" w:sz="2" w:space="0"/>
            </w:tcBorders>
            <w:shd w:val="clear" w:color="auto" w:fill="auto"/>
            <w:noWrap w:val="0"/>
            <w:vAlign w:val="top"/>
          </w:tcPr>
          <w:p w14:paraId="7970E08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8</w:t>
            </w:r>
          </w:p>
        </w:tc>
        <w:tc>
          <w:tcPr>
            <w:tcW w:w="1620" w:type="dxa"/>
            <w:tcBorders>
              <w:top w:val="single" w:color="auto" w:sz="2" w:space="0"/>
            </w:tcBorders>
            <w:shd w:val="clear" w:color="auto" w:fill="auto"/>
            <w:noWrap w:val="0"/>
            <w:vAlign w:val="top"/>
          </w:tcPr>
          <w:p w14:paraId="1BD597B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398" w:type="dxa"/>
            <w:tcBorders>
              <w:top w:val="single" w:color="auto" w:sz="2" w:space="0"/>
            </w:tcBorders>
            <w:shd w:val="clear" w:color="auto" w:fill="auto"/>
            <w:noWrap w:val="0"/>
            <w:vAlign w:val="top"/>
          </w:tcPr>
          <w:p w14:paraId="384AF653">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482" w:type="dxa"/>
            <w:tcBorders>
              <w:top w:val="single" w:color="auto" w:sz="2" w:space="0"/>
            </w:tcBorders>
            <w:shd w:val="clear" w:color="auto" w:fill="auto"/>
            <w:noWrap w:val="0"/>
            <w:vAlign w:val="top"/>
          </w:tcPr>
          <w:p w14:paraId="498821EC">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tcBorders>
              <w:top w:val="single" w:color="auto" w:sz="2" w:space="0"/>
            </w:tcBorders>
            <w:shd w:val="clear" w:color="auto" w:fill="auto"/>
            <w:noWrap w:val="0"/>
            <w:vAlign w:val="top"/>
          </w:tcPr>
          <w:p w14:paraId="4723666B">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260" w:type="dxa"/>
            <w:tcBorders>
              <w:top w:val="single" w:color="auto" w:sz="2" w:space="0"/>
            </w:tcBorders>
            <w:shd w:val="clear" w:color="auto" w:fill="auto"/>
            <w:noWrap w:val="0"/>
            <w:vAlign w:val="top"/>
          </w:tcPr>
          <w:p w14:paraId="1B154F3D">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r>
      <w:tr w14:paraId="509A90E7">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shd w:val="clear" w:color="auto" w:fill="auto"/>
            <w:noWrap w:val="0"/>
            <w:vAlign w:val="top"/>
          </w:tcPr>
          <w:p w14:paraId="027F8C2A">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9</w:t>
            </w:r>
          </w:p>
        </w:tc>
        <w:tc>
          <w:tcPr>
            <w:tcW w:w="1620" w:type="dxa"/>
            <w:shd w:val="clear" w:color="auto" w:fill="auto"/>
            <w:noWrap w:val="0"/>
            <w:vAlign w:val="top"/>
          </w:tcPr>
          <w:p w14:paraId="2A6B0F53">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0.5</w:t>
            </w:r>
          </w:p>
        </w:tc>
        <w:tc>
          <w:tcPr>
            <w:tcW w:w="1398" w:type="dxa"/>
            <w:shd w:val="clear" w:color="auto" w:fill="auto"/>
            <w:noWrap w:val="0"/>
            <w:vAlign w:val="top"/>
          </w:tcPr>
          <w:p w14:paraId="5EA932B8">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482" w:type="dxa"/>
            <w:shd w:val="clear" w:color="auto" w:fill="auto"/>
            <w:noWrap w:val="0"/>
            <w:vAlign w:val="top"/>
          </w:tcPr>
          <w:p w14:paraId="729113A7">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shd w:val="clear" w:color="auto" w:fill="auto"/>
            <w:noWrap w:val="0"/>
            <w:vAlign w:val="top"/>
          </w:tcPr>
          <w:p w14:paraId="13C1B93F">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1.9</w:t>
            </w:r>
          </w:p>
        </w:tc>
        <w:tc>
          <w:tcPr>
            <w:tcW w:w="1260" w:type="dxa"/>
            <w:shd w:val="clear" w:color="auto" w:fill="auto"/>
            <w:noWrap w:val="0"/>
            <w:vAlign w:val="top"/>
          </w:tcPr>
          <w:p w14:paraId="7DD5FF2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r>
      <w:tr w14:paraId="5ED6AC3F">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shd w:val="clear" w:color="auto" w:fill="auto"/>
            <w:noWrap w:val="0"/>
            <w:vAlign w:val="top"/>
          </w:tcPr>
          <w:p w14:paraId="2797408B">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10</w:t>
            </w:r>
          </w:p>
        </w:tc>
        <w:tc>
          <w:tcPr>
            <w:tcW w:w="1620" w:type="dxa"/>
            <w:shd w:val="clear" w:color="auto" w:fill="auto"/>
            <w:noWrap w:val="0"/>
            <w:vAlign w:val="top"/>
          </w:tcPr>
          <w:p w14:paraId="193EEBB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1.0</w:t>
            </w:r>
          </w:p>
        </w:tc>
        <w:tc>
          <w:tcPr>
            <w:tcW w:w="1398" w:type="dxa"/>
            <w:shd w:val="clear" w:color="auto" w:fill="auto"/>
            <w:noWrap w:val="0"/>
            <w:vAlign w:val="top"/>
          </w:tcPr>
          <w:p w14:paraId="299C55B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482" w:type="dxa"/>
            <w:shd w:val="clear" w:color="auto" w:fill="auto"/>
            <w:noWrap w:val="0"/>
            <w:vAlign w:val="top"/>
          </w:tcPr>
          <w:p w14:paraId="3937B6A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shd w:val="clear" w:color="auto" w:fill="auto"/>
            <w:noWrap w:val="0"/>
            <w:vAlign w:val="top"/>
          </w:tcPr>
          <w:p w14:paraId="6C358C30">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2.1</w:t>
            </w:r>
          </w:p>
        </w:tc>
        <w:tc>
          <w:tcPr>
            <w:tcW w:w="1260" w:type="dxa"/>
            <w:shd w:val="clear" w:color="auto" w:fill="auto"/>
            <w:noWrap w:val="0"/>
            <w:vAlign w:val="top"/>
          </w:tcPr>
          <w:p w14:paraId="578B28A1">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32</w:t>
            </w:r>
          </w:p>
        </w:tc>
      </w:tr>
      <w:tr w14:paraId="5B4067DC">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shd w:val="clear" w:color="auto" w:fill="auto"/>
            <w:noWrap w:val="0"/>
            <w:vAlign w:val="top"/>
          </w:tcPr>
          <w:p w14:paraId="3FECF21D">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11</w:t>
            </w:r>
          </w:p>
        </w:tc>
        <w:tc>
          <w:tcPr>
            <w:tcW w:w="1620" w:type="dxa"/>
            <w:shd w:val="clear" w:color="auto" w:fill="auto"/>
            <w:noWrap w:val="0"/>
            <w:vAlign w:val="top"/>
          </w:tcPr>
          <w:p w14:paraId="0D19BED2">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398" w:type="dxa"/>
            <w:shd w:val="clear" w:color="auto" w:fill="auto"/>
            <w:noWrap w:val="0"/>
            <w:vAlign w:val="top"/>
          </w:tcPr>
          <w:p w14:paraId="6ACF184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0.5</w:t>
            </w:r>
          </w:p>
        </w:tc>
        <w:tc>
          <w:tcPr>
            <w:tcW w:w="1482" w:type="dxa"/>
            <w:shd w:val="clear" w:color="auto" w:fill="auto"/>
            <w:noWrap w:val="0"/>
            <w:vAlign w:val="top"/>
          </w:tcPr>
          <w:p w14:paraId="6CE72CD8">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shd w:val="clear" w:color="auto" w:fill="auto"/>
            <w:noWrap w:val="0"/>
            <w:vAlign w:val="top"/>
          </w:tcPr>
          <w:p w14:paraId="1CAE53D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2.2</w:t>
            </w:r>
          </w:p>
        </w:tc>
        <w:tc>
          <w:tcPr>
            <w:tcW w:w="1260" w:type="dxa"/>
            <w:shd w:val="clear" w:color="auto" w:fill="auto"/>
            <w:noWrap w:val="0"/>
            <w:vAlign w:val="top"/>
          </w:tcPr>
          <w:p w14:paraId="6ED48FF4">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44</w:t>
            </w:r>
          </w:p>
        </w:tc>
      </w:tr>
      <w:tr w14:paraId="725F70C7">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shd w:val="clear" w:color="auto" w:fill="auto"/>
            <w:noWrap w:val="0"/>
            <w:vAlign w:val="top"/>
          </w:tcPr>
          <w:p w14:paraId="3B1B905F">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12</w:t>
            </w:r>
          </w:p>
        </w:tc>
        <w:tc>
          <w:tcPr>
            <w:tcW w:w="1620" w:type="dxa"/>
            <w:shd w:val="clear" w:color="auto" w:fill="auto"/>
            <w:noWrap w:val="0"/>
            <w:vAlign w:val="top"/>
          </w:tcPr>
          <w:p w14:paraId="149A71A8">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w:t>
            </w:r>
          </w:p>
        </w:tc>
        <w:tc>
          <w:tcPr>
            <w:tcW w:w="1398" w:type="dxa"/>
            <w:shd w:val="clear" w:color="auto" w:fill="auto"/>
            <w:noWrap w:val="0"/>
            <w:vAlign w:val="top"/>
          </w:tcPr>
          <w:p w14:paraId="08FF8208">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1.0</w:t>
            </w:r>
          </w:p>
        </w:tc>
        <w:tc>
          <w:tcPr>
            <w:tcW w:w="1482" w:type="dxa"/>
            <w:shd w:val="clear" w:color="auto" w:fill="auto"/>
            <w:noWrap w:val="0"/>
            <w:vAlign w:val="top"/>
          </w:tcPr>
          <w:p w14:paraId="6DE3C2C7">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shd w:val="clear" w:color="auto" w:fill="auto"/>
            <w:noWrap w:val="0"/>
            <w:vAlign w:val="top"/>
          </w:tcPr>
          <w:p w14:paraId="691D070C">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2.4</w:t>
            </w:r>
          </w:p>
        </w:tc>
        <w:tc>
          <w:tcPr>
            <w:tcW w:w="1260" w:type="dxa"/>
            <w:shd w:val="clear" w:color="auto" w:fill="auto"/>
            <w:noWrap w:val="0"/>
            <w:vAlign w:val="top"/>
          </w:tcPr>
          <w:p w14:paraId="2B721549">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49</w:t>
            </w:r>
          </w:p>
        </w:tc>
      </w:tr>
      <w:tr w14:paraId="7B10EA7D">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8" w:type="dxa"/>
            <w:tcBorders>
              <w:bottom w:val="single" w:color="auto" w:sz="2" w:space="0"/>
            </w:tcBorders>
            <w:shd w:val="clear" w:color="auto" w:fill="auto"/>
            <w:noWrap w:val="0"/>
            <w:vAlign w:val="top"/>
          </w:tcPr>
          <w:p w14:paraId="54F9317D">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13</w:t>
            </w:r>
          </w:p>
        </w:tc>
        <w:tc>
          <w:tcPr>
            <w:tcW w:w="1620" w:type="dxa"/>
            <w:tcBorders>
              <w:bottom w:val="single" w:color="auto" w:sz="2" w:space="0"/>
            </w:tcBorders>
            <w:shd w:val="clear" w:color="auto" w:fill="auto"/>
            <w:noWrap w:val="0"/>
            <w:vAlign w:val="top"/>
          </w:tcPr>
          <w:p w14:paraId="12C0D9E6">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0.5</w:t>
            </w:r>
          </w:p>
        </w:tc>
        <w:tc>
          <w:tcPr>
            <w:tcW w:w="1398" w:type="dxa"/>
            <w:tcBorders>
              <w:bottom w:val="single" w:color="auto" w:sz="2" w:space="0"/>
            </w:tcBorders>
            <w:shd w:val="clear" w:color="auto" w:fill="auto"/>
            <w:noWrap w:val="0"/>
            <w:vAlign w:val="top"/>
          </w:tcPr>
          <w:p w14:paraId="04709695">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0.5</w:t>
            </w:r>
          </w:p>
        </w:tc>
        <w:tc>
          <w:tcPr>
            <w:tcW w:w="1482" w:type="dxa"/>
            <w:tcBorders>
              <w:bottom w:val="single" w:color="auto" w:sz="2" w:space="0"/>
            </w:tcBorders>
            <w:shd w:val="clear" w:color="auto" w:fill="auto"/>
            <w:noWrap w:val="0"/>
            <w:vAlign w:val="top"/>
          </w:tcPr>
          <w:p w14:paraId="60CDC39E">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25</w:t>
            </w:r>
          </w:p>
        </w:tc>
        <w:tc>
          <w:tcPr>
            <w:tcW w:w="1980" w:type="dxa"/>
            <w:tcBorders>
              <w:bottom w:val="single" w:color="auto" w:sz="2" w:space="0"/>
            </w:tcBorders>
            <w:shd w:val="clear" w:color="auto" w:fill="auto"/>
            <w:noWrap w:val="0"/>
            <w:vAlign w:val="top"/>
          </w:tcPr>
          <w:p w14:paraId="73A6D4EA">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5.6</w:t>
            </w:r>
          </w:p>
        </w:tc>
        <w:tc>
          <w:tcPr>
            <w:tcW w:w="1260" w:type="dxa"/>
            <w:tcBorders>
              <w:bottom w:val="single" w:color="auto" w:sz="2" w:space="0"/>
            </w:tcBorders>
            <w:shd w:val="clear" w:color="auto" w:fill="auto"/>
            <w:noWrap w:val="0"/>
            <w:vAlign w:val="top"/>
          </w:tcPr>
          <w:p w14:paraId="547670A2">
            <w:pPr>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76</w:t>
            </w:r>
          </w:p>
        </w:tc>
      </w:tr>
    </w:tbl>
    <w:p w14:paraId="1B9BAB37">
      <w:pPr>
        <w:autoSpaceDE w:val="0"/>
        <w:autoSpaceDN w:val="0"/>
        <w:adjustRightInd w:val="0"/>
        <w:ind w:firstLine="700" w:firstLineChars="250"/>
        <w:jc w:val="left"/>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炼苗、移栽基质和光强度对瓶苗移栽成活率都有很大的影响。苗高约5 cm时开始炼苗。移栽前先闭瓶炼苗6 d，再将培养瓶盖打开, 放到全天自然光照，温度25℃的通风条件下炼苗3 d，移栽时用镊子将试管苗从培养瓶中取出，洗干净根部培养基, 移栽入已灭过菌的基质中(塘泥:河沙=1:1)，移栽后7～10d 用塑料薄膜保湿，光照强度以遮光率为60%左右最为适宜，保持空气湿度85%以上，每天喷雾1次， 14d左右长出新根，移栽成活率达82.3%以上。</w:t>
      </w:r>
    </w:p>
    <w:p w14:paraId="52AB14E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结论</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作为中成药、化妆品、饮料及食品等的重要原料被广泛应用，采用组培快繁技术，可在短期内获得大量种苗。而在组培快繁过程中，HgCl</w:t>
      </w:r>
      <w:r>
        <w:rPr>
          <w:rFonts w:hint="eastAsia" w:ascii="仿宋_GB2312" w:hAnsi="仿宋_GB2312" w:eastAsia="仿宋_GB2312" w:cs="仿宋_GB2312"/>
          <w:kern w:val="0"/>
          <w:sz w:val="28"/>
          <w:szCs w:val="28"/>
          <w:vertAlign w:val="subscript"/>
        </w:rPr>
        <w:t>2</w:t>
      </w:r>
      <w:r>
        <w:rPr>
          <w:rFonts w:hint="eastAsia" w:ascii="仿宋_GB2312" w:hAnsi="仿宋_GB2312" w:eastAsia="仿宋_GB2312" w:cs="仿宋_GB2312"/>
          <w:kern w:val="0"/>
          <w:sz w:val="28"/>
          <w:szCs w:val="28"/>
        </w:rPr>
        <w:t>处理时间是影响</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茎段培养效果的一个重要因素，HgCl</w:t>
      </w:r>
      <w:r>
        <w:rPr>
          <w:rFonts w:hint="eastAsia" w:ascii="仿宋_GB2312" w:hAnsi="仿宋_GB2312" w:eastAsia="仿宋_GB2312" w:cs="仿宋_GB2312"/>
          <w:kern w:val="0"/>
          <w:sz w:val="28"/>
          <w:szCs w:val="28"/>
          <w:vertAlign w:val="subscript"/>
        </w:rPr>
        <w:t>2</w:t>
      </w:r>
      <w:r>
        <w:rPr>
          <w:rFonts w:hint="eastAsia" w:ascii="仿宋_GB2312" w:hAnsi="仿宋_GB2312" w:eastAsia="仿宋_GB2312" w:cs="仿宋_GB2312"/>
          <w:kern w:val="0"/>
          <w:sz w:val="28"/>
          <w:szCs w:val="28"/>
        </w:rPr>
        <w:t>处理时间越长，灭菌越彻底，但是随着灭菌时间延长也会使外植体受毒害增加从而发生褐变，使茎段腋芽难以诱导萌动，所以，为了尽量减少外植体褐化并获得较佳灭菌效果，0.1%HgCl</w:t>
      </w:r>
      <w:r>
        <w:rPr>
          <w:rFonts w:hint="eastAsia" w:ascii="仿宋_GB2312" w:hAnsi="仿宋_GB2312" w:eastAsia="仿宋_GB2312" w:cs="仿宋_GB2312"/>
          <w:kern w:val="0"/>
          <w:sz w:val="28"/>
          <w:szCs w:val="28"/>
          <w:vertAlign w:val="subscript"/>
        </w:rPr>
        <w:t>2</w:t>
      </w:r>
      <w:r>
        <w:rPr>
          <w:rFonts w:hint="eastAsia" w:ascii="仿宋_GB2312" w:hAnsi="仿宋_GB2312" w:eastAsia="仿宋_GB2312" w:cs="仿宋_GB2312"/>
          <w:kern w:val="0"/>
          <w:sz w:val="28"/>
          <w:szCs w:val="28"/>
        </w:rPr>
        <w:t>处理时间宜采用7 min。本研究结果表明，6-BA能大幅度提高</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茎段芽的出芽率，改善诱导效果，在添加6-BA的基础上，单独添加KT或NAA其愈伤组诱导率及出芽率均较低，最佳的诱导培养基为MS+1.0 mg／L 6-BA+0.2 mg／L NAA+0.2 mg／L KT培养基。</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无菌芽的生根以IBA和NAA混合使用效果最好，最佳培养基为1/2MS +IBA 0.5 mg/L+ NAA 0.5 mg/L培养基。</w:t>
      </w:r>
    </w:p>
    <w:p w14:paraId="08BF78EA">
      <w:pPr>
        <w:ind w:firstLine="420" w:firstLineChars="150"/>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组培苗生产的关键是瓶苗的移栽成活率，如果做不好，就会前功尽弃。因为瓶苗在培养室内有人工提供的适宜温度和丰富的养分与充足的水分，组培苗一旦脱离这些优越的条件，去接受外界自然生长环境，外界环境的温度、湿度变化大，因此移栽措施不当就会造成组培苗的死亡。而瓶内生根能大大提高其移栽成活率，当根长为1cm左右时移栽最佳，根过长容易折断，影响成活率。</w:t>
      </w:r>
      <w:r>
        <w:rPr>
          <w:rFonts w:hint="eastAsia" w:ascii="仿宋_GB2312" w:hAnsi="仿宋_GB2312" w:eastAsia="仿宋_GB2312" w:cs="仿宋_GB2312"/>
          <w:kern w:val="0"/>
          <w:sz w:val="28"/>
          <w:szCs w:val="28"/>
          <w:lang w:eastAsia="zh-CN"/>
        </w:rPr>
        <w:t>天冬</w:t>
      </w:r>
      <w:r>
        <w:rPr>
          <w:rFonts w:hint="eastAsia" w:ascii="仿宋_GB2312" w:hAnsi="仿宋_GB2312" w:eastAsia="仿宋_GB2312" w:cs="仿宋_GB2312"/>
          <w:kern w:val="0"/>
          <w:sz w:val="28"/>
          <w:szCs w:val="28"/>
        </w:rPr>
        <w:t>采用其他方式繁殖（分株繁殖、种子繁殖）存在繁殖系数低以及发芽率低的困难，组织培养是其种苗繁育的新兴途径，而提高组培苗的移栽成活率就显得至关重要。</w:t>
      </w:r>
    </w:p>
    <w:p w14:paraId="0076EDFF">
      <w:pPr>
        <w:spacing w:line="560" w:lineRule="exact"/>
        <w:ind w:firstLine="480"/>
        <w:rPr>
          <w:rFonts w:hint="eastAsia" w:ascii="Times New Roman" w:hAnsi="Times New Roman" w:eastAsia="仿宋_GB2312"/>
          <w:b/>
          <w:bCs/>
          <w:color w:val="000000"/>
          <w:sz w:val="28"/>
          <w:szCs w:val="28"/>
          <w:lang w:val="en-US" w:eastAsia="zh-CN"/>
        </w:rPr>
      </w:pPr>
      <w:r>
        <w:rPr>
          <w:rFonts w:hint="eastAsia" w:ascii="Times New Roman" w:hAnsi="Times New Roman" w:eastAsia="仿宋_GB2312"/>
          <w:b/>
          <w:bCs/>
          <w:color w:val="000000"/>
          <w:sz w:val="28"/>
          <w:szCs w:val="28"/>
          <w:lang w:val="en-US" w:eastAsia="zh-CN"/>
        </w:rPr>
        <w:t>（六）病虫害防治</w:t>
      </w:r>
    </w:p>
    <w:p w14:paraId="2BBECEAE">
      <w:pPr>
        <w:spacing w:line="560" w:lineRule="exact"/>
        <w:ind w:firstLine="480"/>
        <w:rPr>
          <w:rFonts w:hint="eastAsia" w:ascii="Times New Roman" w:hAnsi="Times New Roman" w:eastAsia="仿宋_GB2312"/>
          <w:b w:val="0"/>
          <w:bCs w:val="0"/>
          <w:color w:val="000000"/>
          <w:sz w:val="28"/>
          <w:szCs w:val="28"/>
          <w:lang w:val="en-US" w:eastAsia="zh-CN"/>
        </w:rPr>
      </w:pPr>
      <w:r>
        <w:rPr>
          <w:rFonts w:hint="eastAsia" w:ascii="Times New Roman" w:hAnsi="Times New Roman" w:eastAsia="仿宋_GB2312"/>
          <w:b w:val="0"/>
          <w:bCs w:val="0"/>
          <w:color w:val="000000"/>
          <w:sz w:val="28"/>
          <w:szCs w:val="28"/>
          <w:lang w:val="en-US" w:eastAsia="zh-CN"/>
        </w:rPr>
        <w:t>主要结合天冬种苗主要病虫害实际防治情况，按照“预防为主，综合防治”的植保方针，坚持“农业防治、物理防治为主，化学防治为辅”的防治原则，达到有效、安全、经济和环保的目的。病害以根腐病、立枯病等为主，虫害以蚜虫、红蜘蛛等为主，依据多年的繁殖经验并结合实际，分别对物理防治、生物防治、化学防治方法做出要求。其中，化学防治使用的化学药剂及安全间隔期要符合《NY/T 393  绿色食品  农药使用准则》的规定。及时清理杂草、病残植株和枯枝落叶；加强水肥管理。每亩悬挂20～30张可降解黄色粘板，挂放1盏诱虫灯。每亩释放异色瓢虫200头，直接捕食蚜虫若虫。根腐病发病初期用50％多菌灵1 000倍液或58％甲霜灵锰锌800倍液灌根，每7 d～10 d一次，共喷2～3次。立枯病发病初期喷50％多菌灵800～1000倍液，，每7 d～10 d一次，共喷2～3次。</w:t>
      </w:r>
    </w:p>
    <w:p w14:paraId="78A57982">
      <w:pPr>
        <w:spacing w:line="560" w:lineRule="exact"/>
        <w:ind w:firstLine="480"/>
        <w:rPr>
          <w:rFonts w:hint="eastAsia" w:ascii="Times New Roman" w:hAnsi="Times New Roman" w:eastAsia="仿宋_GB2312"/>
          <w:b w:val="0"/>
          <w:bCs w:val="0"/>
          <w:color w:val="000000"/>
          <w:sz w:val="28"/>
          <w:szCs w:val="28"/>
          <w:lang w:val="en-US" w:eastAsia="zh-CN"/>
        </w:rPr>
      </w:pPr>
      <w:r>
        <w:rPr>
          <w:rFonts w:hint="eastAsia" w:ascii="Times New Roman" w:hAnsi="Times New Roman" w:eastAsia="仿宋_GB2312"/>
          <w:b/>
          <w:bCs/>
          <w:color w:val="000000"/>
          <w:sz w:val="28"/>
          <w:szCs w:val="28"/>
          <w:lang w:val="en-US" w:eastAsia="zh-CN"/>
        </w:rPr>
        <w:t>（七）苗木出圃</w:t>
      </w:r>
    </w:p>
    <w:p w14:paraId="7C5A9516">
      <w:pPr>
        <w:spacing w:line="560" w:lineRule="exact"/>
        <w:ind w:firstLine="480"/>
        <w:rPr>
          <w:rFonts w:hint="eastAsia" w:ascii="Times New Roman" w:hAnsi="Times New Roman" w:eastAsia="仿宋_GB2312"/>
          <w:color w:val="000000"/>
          <w:sz w:val="28"/>
          <w:szCs w:val="28"/>
        </w:rPr>
      </w:pPr>
      <w:r>
        <w:rPr>
          <w:rFonts w:hint="eastAsia" w:ascii="Times New Roman" w:hAnsi="Times New Roman" w:eastAsia="仿宋_GB2312"/>
          <w:b/>
          <w:bCs/>
          <w:color w:val="000000"/>
          <w:sz w:val="28"/>
          <w:szCs w:val="28"/>
          <w:lang w:val="en-US" w:eastAsia="zh-CN"/>
        </w:rPr>
        <w:t>种质资源评价：</w:t>
      </w:r>
      <w:r>
        <w:rPr>
          <w:rFonts w:hint="eastAsia" w:ascii="Times New Roman" w:hAnsi="Times New Roman" w:eastAsia="仿宋_GB2312"/>
          <w:color w:val="000000"/>
          <w:sz w:val="28"/>
          <w:szCs w:val="28"/>
        </w:rPr>
        <w:t>在玉林、贵港、南宁、百色等地，进行</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资源的调查及种质收集，共收集种质</w:t>
      </w:r>
      <w:r>
        <w:rPr>
          <w:rFonts w:hint="eastAsia" w:ascii="Times New Roman" w:hAnsi="Times New Roman" w:eastAsia="仿宋_GB2312"/>
          <w:color w:val="000000"/>
          <w:sz w:val="28"/>
          <w:szCs w:val="28"/>
          <w:lang w:val="en-US" w:eastAsia="zh-CN"/>
        </w:rPr>
        <w:t>32</w:t>
      </w:r>
      <w:r>
        <w:rPr>
          <w:rFonts w:hint="eastAsia" w:ascii="Times New Roman" w:hAnsi="Times New Roman" w:eastAsia="仿宋_GB2312"/>
          <w:color w:val="000000"/>
          <w:sz w:val="28"/>
          <w:szCs w:val="28"/>
        </w:rPr>
        <w:t>份。</w:t>
      </w:r>
      <w:bookmarkStart w:id="5" w:name="OLE_LINK7"/>
      <w:r>
        <w:rPr>
          <w:rFonts w:hint="eastAsia" w:ascii="Times New Roman" w:hAnsi="Times New Roman" w:eastAsia="仿宋_GB2312"/>
          <w:color w:val="000000"/>
          <w:sz w:val="28"/>
          <w:szCs w:val="28"/>
        </w:rPr>
        <w:t>试验采用随机区组设计，重复3次，每小区3m2株，种植密度为30cm×40cm；2011年2月采收，每小区随机采挖1m2，每株随机选择10个块根测量块根长、最大直径、重量等指标，统计每株的块根数量、鲜重、药材干重等；浸出物含量测定方法参照2010版《中国药典》附录X A（水溶性浸出物测定法）项下热浸法测定，在试剂均为分析纯(AR)，水为超纯水；样品测定在广西药用植物园国家中医药管理局三级实验室——中药材良种选育与繁育实验室进行。</w:t>
      </w:r>
      <w:bookmarkEnd w:id="5"/>
    </w:p>
    <w:p w14:paraId="61262ACD">
      <w:pPr>
        <w:spacing w:line="560" w:lineRule="exact"/>
        <w:ind w:firstLine="480"/>
        <w:rPr>
          <w:rFonts w:ascii="Times New Roman" w:hAnsi="Times New Roman" w:eastAsia="仿宋_GB2312"/>
          <w:color w:val="000000"/>
          <w:sz w:val="28"/>
          <w:szCs w:val="28"/>
        </w:rPr>
      </w:pPr>
      <w:r>
        <w:rPr>
          <w:rFonts w:hint="eastAsia" w:ascii="Times New Roman" w:hAnsi="Times New Roman" w:eastAsia="仿宋_GB2312"/>
          <w:color w:val="000000"/>
          <w:sz w:val="28"/>
          <w:szCs w:val="28"/>
        </w:rPr>
        <w:t>实生苗：通过天冬种子直接播种培育的幼苗，具有完整主根系统，生育周期较长，通常需2年以上方可达到出圃标准。</w:t>
      </w:r>
    </w:p>
    <w:p w14:paraId="33B5EE4E">
      <w:pPr>
        <w:spacing w:line="560" w:lineRule="exact"/>
        <w:ind w:firstLine="480"/>
        <w:rPr>
          <w:rFonts w:hint="eastAsia" w:ascii="Times New Roman" w:hAnsi="Times New Roman" w:eastAsia="仿宋_GB2312"/>
          <w:color w:val="000000"/>
          <w:sz w:val="28"/>
          <w:szCs w:val="28"/>
          <w:lang w:eastAsia="zh-CN"/>
        </w:rPr>
      </w:pPr>
      <w:r>
        <w:rPr>
          <w:rFonts w:hint="eastAsia" w:ascii="Times New Roman" w:hAnsi="Times New Roman" w:eastAsia="仿宋_GB2312"/>
          <w:color w:val="000000"/>
          <w:sz w:val="28"/>
          <w:szCs w:val="28"/>
        </w:rPr>
        <w:t>营养杯苗：在容器（如塑料杯、无纺布袋）内培育的天冬幼苗，采用基质栽培，具有移栽成活率高、根系损伤少的特点，适宜规模化生产</w:t>
      </w:r>
      <w:r>
        <w:rPr>
          <w:rFonts w:hint="eastAsia" w:ascii="Times New Roman" w:hAnsi="Times New Roman" w:eastAsia="仿宋_GB2312"/>
          <w:color w:val="000000"/>
          <w:sz w:val="28"/>
          <w:szCs w:val="28"/>
          <w:lang w:eastAsia="zh-CN"/>
        </w:rPr>
        <w:t>。</w:t>
      </w:r>
    </w:p>
    <w:p w14:paraId="31ABC7D8">
      <w:pPr>
        <w:spacing w:line="560" w:lineRule="exact"/>
        <w:ind w:firstLine="480"/>
        <w:rPr>
          <w:rFonts w:hint="eastAsia" w:ascii="Times New Roman" w:hAnsi="Times New Roman" w:eastAsia="仿宋_GB2312"/>
          <w:color w:val="000000"/>
          <w:sz w:val="28"/>
          <w:szCs w:val="28"/>
          <w:lang w:eastAsia="zh-CN"/>
        </w:rPr>
      </w:pPr>
      <w:r>
        <w:rPr>
          <w:rFonts w:hint="eastAsia" w:ascii="Times New Roman" w:hAnsi="Times New Roman" w:eastAsia="仿宋_GB2312"/>
          <w:color w:val="000000"/>
          <w:sz w:val="28"/>
          <w:szCs w:val="28"/>
        </w:rPr>
        <w:t>苗高：自基质表面或根茎基部至幼苗顶端自然伸展状态的垂直高度，常规出圃苗高应≥15cm（具体标准需结合品种特性）</w:t>
      </w:r>
      <w:r>
        <w:rPr>
          <w:rFonts w:hint="eastAsia" w:ascii="Times New Roman" w:hAnsi="Times New Roman" w:eastAsia="仿宋_GB2312"/>
          <w:color w:val="000000"/>
          <w:sz w:val="28"/>
          <w:szCs w:val="28"/>
          <w:lang w:eastAsia="zh-CN"/>
        </w:rPr>
        <w:t>。</w:t>
      </w:r>
    </w:p>
    <w:p w14:paraId="63917D2B">
      <w:pPr>
        <w:spacing w:line="560" w:lineRule="exact"/>
        <w:ind w:firstLine="480"/>
        <w:rPr>
          <w:rFonts w:hint="eastAsia" w:ascii="Times New Roman" w:hAnsi="Times New Roman" w:eastAsia="仿宋_GB2312"/>
          <w:color w:val="000000"/>
          <w:sz w:val="28"/>
          <w:szCs w:val="28"/>
          <w:lang w:eastAsia="zh-CN"/>
        </w:rPr>
      </w:pPr>
      <w:r>
        <w:rPr>
          <w:rFonts w:hint="eastAsia" w:ascii="Times New Roman" w:hAnsi="Times New Roman" w:eastAsia="仿宋_GB2312"/>
          <w:color w:val="000000"/>
          <w:sz w:val="28"/>
          <w:szCs w:val="28"/>
          <w:lang w:eastAsia="zh-CN"/>
        </w:rPr>
        <w:t>分蘖株：由天冬母株根茎部萌发的侧生新植株，具备独立根系，可作为分株繁殖材料。优质分蘖株应具3条以上须根及2片展开真叶。</w:t>
      </w:r>
    </w:p>
    <w:p w14:paraId="39A5FE95">
      <w:pPr>
        <w:spacing w:line="560" w:lineRule="exact"/>
        <w:ind w:firstLine="480"/>
        <w:rPr>
          <w:rFonts w:ascii="Times New Roman" w:hAnsi="Times New Roman" w:eastAsia="仿宋_GB2312"/>
          <w:color w:val="000000"/>
          <w:sz w:val="28"/>
          <w:szCs w:val="28"/>
        </w:rPr>
      </w:pPr>
      <w:r>
        <w:rPr>
          <w:rFonts w:hint="eastAsia" w:ascii="Times New Roman" w:hAnsi="Times New Roman" w:eastAsia="仿宋_GB2312"/>
          <w:color w:val="000000"/>
          <w:sz w:val="28"/>
          <w:szCs w:val="28"/>
        </w:rPr>
        <w:t>根茎</w:t>
      </w:r>
      <w:r>
        <w:rPr>
          <w:rFonts w:ascii="Times New Roman" w:hAnsi="Times New Roman" w:eastAsia="仿宋_GB2312"/>
          <w:color w:val="000000"/>
          <w:sz w:val="28"/>
          <w:szCs w:val="28"/>
        </w:rPr>
        <w:t>(rhizome)：</w:t>
      </w:r>
      <w:r>
        <w:rPr>
          <w:rFonts w:hint="eastAsia" w:ascii="Times New Roman" w:hAnsi="Times New Roman" w:eastAsia="仿宋_GB2312"/>
          <w:color w:val="000000"/>
          <w:sz w:val="28"/>
          <w:szCs w:val="28"/>
        </w:rPr>
        <w:t>天冬地下横向生长的变态茎结构，具节和芽眼，能储存养分并产生不定根与分蘖株，是营养繁殖的重要器官</w:t>
      </w:r>
      <w:r>
        <w:rPr>
          <w:rFonts w:ascii="Times New Roman" w:hAnsi="Times New Roman" w:eastAsia="仿宋_GB2312"/>
          <w:color w:val="000000"/>
          <w:sz w:val="28"/>
          <w:szCs w:val="28"/>
        </w:rPr>
        <w:t>。</w:t>
      </w:r>
    </w:p>
    <w:p w14:paraId="22151F0F">
      <w:pPr>
        <w:spacing w:line="560" w:lineRule="exact"/>
        <w:ind w:firstLine="480"/>
        <w:rPr>
          <w:rFonts w:ascii="Times New Roman" w:hAnsi="Times New Roman" w:eastAsia="仿宋_GB2312"/>
          <w:color w:val="000000"/>
          <w:sz w:val="28"/>
          <w:szCs w:val="28"/>
        </w:rPr>
      </w:pPr>
      <w:r>
        <w:rPr>
          <w:rFonts w:hint="eastAsia" w:ascii="Times New Roman" w:hAnsi="Times New Roman" w:eastAsia="仿宋_GB2312"/>
          <w:color w:val="000000"/>
          <w:sz w:val="28"/>
          <w:szCs w:val="28"/>
        </w:rPr>
        <w:t>出圃：天冬幼苗达到既定质量标准（包括苗高、根系发育、病虫害等指标）</w:t>
      </w:r>
      <w:r>
        <w:rPr>
          <w:rFonts w:hint="eastAsia" w:ascii="Times New Roman" w:hAnsi="Times New Roman" w:eastAsia="仿宋_GB2312"/>
          <w:color w:val="000000"/>
          <w:sz w:val="28"/>
          <w:szCs w:val="28"/>
          <w:lang w:eastAsia="zh-CN"/>
        </w:rPr>
        <w:t>，</w:t>
      </w:r>
      <w:r>
        <w:rPr>
          <w:rFonts w:hint="eastAsia" w:ascii="Times New Roman" w:hAnsi="Times New Roman" w:eastAsia="仿宋_GB2312"/>
          <w:color w:val="000000"/>
          <w:sz w:val="28"/>
          <w:szCs w:val="28"/>
        </w:rPr>
        <w:t>可脱离育苗环境进行大田定植或市场流通的生产环节。</w:t>
      </w:r>
    </w:p>
    <w:p w14:paraId="2E7B5418">
      <w:pPr>
        <w:numPr>
          <w:ilvl w:val="0"/>
          <w:numId w:val="3"/>
        </w:numPr>
        <w:spacing w:line="560" w:lineRule="exact"/>
        <w:ind w:firstLine="480"/>
        <w:rPr>
          <w:rFonts w:ascii="Times New Roman" w:hAnsi="Times New Roman" w:eastAsia="仿宋_GB2312"/>
          <w:color w:val="000000"/>
          <w:sz w:val="28"/>
          <w:szCs w:val="28"/>
        </w:rPr>
      </w:pPr>
      <w:r>
        <w:rPr>
          <w:rFonts w:ascii="Times New Roman" w:hAnsi="Times New Roman" w:eastAsia="仿宋_GB2312"/>
          <w:color w:val="000000"/>
          <w:sz w:val="28"/>
          <w:szCs w:val="28"/>
        </w:rPr>
        <w:t>种苗质量要求</w:t>
      </w:r>
    </w:p>
    <w:p w14:paraId="14453B0B">
      <w:pPr>
        <w:numPr>
          <w:ilvl w:val="0"/>
          <w:numId w:val="0"/>
        </w:numPr>
        <w:spacing w:before="156" w:beforeLines="50" w:after="156" w:afterLines="50"/>
        <w:ind w:leftChars="0" w:firstLine="560" w:firstLineChars="200"/>
        <w:jc w:val="left"/>
        <w:rPr>
          <w:rFonts w:hint="eastAsia" w:ascii="Times New Roman" w:hAnsi="Times New Roman" w:eastAsia="仿宋_GB2312" w:cs="Times New Roman"/>
          <w:color w:val="000000"/>
          <w:sz w:val="28"/>
          <w:szCs w:val="28"/>
          <w:lang w:val="en-US" w:eastAsia="zh-CN" w:bidi="ar-SA"/>
        </w:rPr>
      </w:pPr>
      <w:r>
        <w:rPr>
          <w:rFonts w:ascii="Times New Roman" w:hAnsi="Times New Roman" w:eastAsia="仿宋_GB2312" w:cs="Times New Roman"/>
          <w:color w:val="000000"/>
          <w:sz w:val="28"/>
          <w:szCs w:val="28"/>
          <w:lang w:val="en-US" w:eastAsia="zh-CN" w:bidi="ar-SA"/>
        </w:rPr>
        <w:t>健康的</w:t>
      </w:r>
      <w:r>
        <w:rPr>
          <w:rFonts w:hint="eastAsia" w:ascii="Times New Roman" w:hAnsi="Times New Roman" w:eastAsia="仿宋_GB2312" w:cs="Times New Roman"/>
          <w:color w:val="000000"/>
          <w:sz w:val="28"/>
          <w:szCs w:val="28"/>
          <w:lang w:val="en-US" w:eastAsia="zh-CN" w:bidi="ar-SA"/>
        </w:rPr>
        <w:t>天冬</w:t>
      </w:r>
      <w:r>
        <w:rPr>
          <w:rFonts w:ascii="Times New Roman" w:hAnsi="Times New Roman" w:eastAsia="仿宋_GB2312" w:cs="Times New Roman"/>
          <w:color w:val="000000"/>
          <w:sz w:val="28"/>
          <w:szCs w:val="28"/>
          <w:lang w:val="en-US" w:eastAsia="zh-CN" w:bidi="ar-SA"/>
        </w:rPr>
        <w:t>种苗茎平滑弯曲, 分枝有纵棱</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叶状枝锐三棱形</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色泽鲜绿</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鳞片状叶基部有硬刺;根在中部或近末端成纺锤状膨大。从表</w:t>
      </w:r>
      <w:r>
        <w:rPr>
          <w:rFonts w:hint="eastAsia" w:ascii="Times New Roman" w:hAnsi="Times New Roman" w:eastAsia="仿宋_GB2312" w:cs="Times New Roman"/>
          <w:color w:val="000000"/>
          <w:sz w:val="28"/>
          <w:szCs w:val="28"/>
          <w:lang w:val="en-US" w:eastAsia="zh-CN" w:bidi="ar-SA"/>
        </w:rPr>
        <w:t>9</w:t>
      </w:r>
      <w:r>
        <w:rPr>
          <w:rFonts w:ascii="Times New Roman" w:hAnsi="Times New Roman" w:eastAsia="仿宋_GB2312" w:cs="Times New Roman"/>
          <w:color w:val="000000"/>
          <w:sz w:val="28"/>
          <w:szCs w:val="28"/>
          <w:lang w:val="en-US" w:eastAsia="zh-CN" w:bidi="ar-SA"/>
        </w:rPr>
        <w:t>可知</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 xml:space="preserve"> </w:t>
      </w:r>
      <w:r>
        <w:rPr>
          <w:rFonts w:hint="eastAsia" w:ascii="Times New Roman" w:hAnsi="Times New Roman" w:eastAsia="仿宋_GB2312" w:cs="Times New Roman"/>
          <w:color w:val="000000"/>
          <w:sz w:val="28"/>
          <w:szCs w:val="28"/>
          <w:lang w:val="en-US" w:eastAsia="zh-CN" w:bidi="ar-SA"/>
        </w:rPr>
        <w:t>天冬</w:t>
      </w:r>
      <w:r>
        <w:rPr>
          <w:rFonts w:ascii="Times New Roman" w:hAnsi="Times New Roman" w:eastAsia="仿宋_GB2312" w:cs="Times New Roman"/>
          <w:color w:val="000000"/>
          <w:sz w:val="28"/>
          <w:szCs w:val="28"/>
          <w:lang w:val="en-US" w:eastAsia="zh-CN" w:bidi="ar-SA"/>
        </w:rPr>
        <w:t>种苗株高在1</w:t>
      </w:r>
      <w:r>
        <w:rPr>
          <w:rFonts w:hint="eastAsia" w:ascii="Times New Roman" w:hAnsi="Times New Roman" w:eastAsia="仿宋_GB2312" w:cs="Times New Roman"/>
          <w:color w:val="000000"/>
          <w:sz w:val="28"/>
          <w:szCs w:val="28"/>
          <w:lang w:val="en-US" w:eastAsia="zh-CN" w:bidi="ar-SA"/>
        </w:rPr>
        <w:t>0.9</w:t>
      </w:r>
      <w:r>
        <w:rPr>
          <w:rFonts w:ascii="Times New Roman" w:hAnsi="Times New Roman" w:eastAsia="仿宋_GB2312" w:cs="Times New Roman"/>
          <w:color w:val="000000"/>
          <w:sz w:val="28"/>
          <w:szCs w:val="28"/>
          <w:lang w:val="en-US" w:eastAsia="zh-CN" w:bidi="ar-SA"/>
        </w:rPr>
        <w:t>～</w:t>
      </w:r>
      <w:r>
        <w:rPr>
          <w:rFonts w:hint="eastAsia" w:ascii="Times New Roman" w:hAnsi="Times New Roman" w:eastAsia="仿宋_GB2312" w:cs="Times New Roman"/>
          <w:color w:val="000000"/>
          <w:sz w:val="28"/>
          <w:szCs w:val="28"/>
          <w:lang w:val="en-US" w:eastAsia="zh-CN" w:bidi="ar-SA"/>
        </w:rPr>
        <w:t>25.5</w:t>
      </w:r>
      <w:r>
        <w:rPr>
          <w:rFonts w:ascii="Times New Roman" w:hAnsi="Times New Roman" w:eastAsia="仿宋_GB2312" w:cs="Times New Roman"/>
          <w:color w:val="000000"/>
          <w:sz w:val="28"/>
          <w:szCs w:val="28"/>
          <w:lang w:val="en-US" w:eastAsia="zh-CN" w:bidi="ar-SA"/>
        </w:rPr>
        <w:t>cm</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分枝数在</w:t>
      </w:r>
      <w:r>
        <w:rPr>
          <w:rFonts w:hint="eastAsia" w:ascii="Times New Roman" w:hAnsi="Times New Roman" w:eastAsia="仿宋_GB2312" w:cs="Times New Roman"/>
          <w:color w:val="000000"/>
          <w:sz w:val="28"/>
          <w:szCs w:val="28"/>
          <w:lang w:val="en-US" w:eastAsia="zh-CN" w:bidi="ar-SA"/>
        </w:rPr>
        <w:t>4</w:t>
      </w:r>
      <w:r>
        <w:rPr>
          <w:rFonts w:ascii="Times New Roman" w:hAnsi="Times New Roman" w:eastAsia="仿宋_GB2312" w:cs="Times New Roman"/>
          <w:color w:val="000000"/>
          <w:sz w:val="28"/>
          <w:szCs w:val="28"/>
          <w:lang w:val="en-US" w:eastAsia="zh-CN" w:bidi="ar-SA"/>
        </w:rPr>
        <w:t>～1</w:t>
      </w:r>
      <w:r>
        <w:rPr>
          <w:rFonts w:hint="eastAsia" w:ascii="Times New Roman" w:hAnsi="Times New Roman" w:eastAsia="仿宋_GB2312" w:cs="Times New Roman"/>
          <w:color w:val="000000"/>
          <w:sz w:val="28"/>
          <w:szCs w:val="28"/>
          <w:lang w:val="en-US" w:eastAsia="zh-CN" w:bidi="ar-SA"/>
        </w:rPr>
        <w:t>4</w:t>
      </w:r>
      <w:r>
        <w:rPr>
          <w:rFonts w:ascii="Times New Roman" w:hAnsi="Times New Roman" w:eastAsia="仿宋_GB2312" w:cs="Times New Roman"/>
          <w:color w:val="000000"/>
          <w:sz w:val="28"/>
          <w:szCs w:val="28"/>
          <w:lang w:val="en-US" w:eastAsia="zh-CN" w:bidi="ar-SA"/>
        </w:rPr>
        <w:t>株</w:t>
      </w:r>
      <w:r>
        <w:rPr>
          <w:rFonts w:hint="eastAsia" w:ascii="Times New Roman" w:hAnsi="Times New Roman" w:eastAsia="仿宋_GB2312" w:cs="Times New Roman"/>
          <w:color w:val="000000"/>
          <w:sz w:val="28"/>
          <w:szCs w:val="28"/>
          <w:lang w:val="en-US" w:eastAsia="zh-CN" w:bidi="ar-SA"/>
        </w:rPr>
        <w:t>，基</w:t>
      </w:r>
      <w:r>
        <w:rPr>
          <w:rFonts w:ascii="Times New Roman" w:hAnsi="Times New Roman" w:eastAsia="仿宋_GB2312" w:cs="Times New Roman"/>
          <w:color w:val="000000"/>
          <w:sz w:val="28"/>
          <w:szCs w:val="28"/>
          <w:lang w:val="en-US" w:eastAsia="zh-CN" w:bidi="ar-SA"/>
        </w:rPr>
        <w:t>径在</w:t>
      </w:r>
      <w:r>
        <w:rPr>
          <w:rFonts w:hint="eastAsia" w:ascii="Times New Roman" w:hAnsi="Times New Roman" w:eastAsia="仿宋_GB2312" w:cs="Times New Roman"/>
          <w:color w:val="000000"/>
          <w:sz w:val="28"/>
          <w:szCs w:val="28"/>
          <w:lang w:val="en-US" w:eastAsia="zh-CN" w:bidi="ar-SA"/>
        </w:rPr>
        <w:t>2.34</w:t>
      </w:r>
      <w:r>
        <w:rPr>
          <w:rFonts w:ascii="Times New Roman" w:hAnsi="Times New Roman" w:eastAsia="仿宋_GB2312" w:cs="Times New Roman"/>
          <w:color w:val="000000"/>
          <w:sz w:val="28"/>
          <w:szCs w:val="28"/>
          <w:lang w:val="en-US" w:eastAsia="zh-CN" w:bidi="ar-SA"/>
        </w:rPr>
        <w:t>～</w:t>
      </w:r>
      <w:r>
        <w:rPr>
          <w:rFonts w:hint="eastAsia" w:ascii="Times New Roman" w:hAnsi="Times New Roman" w:eastAsia="仿宋_GB2312" w:cs="Times New Roman"/>
          <w:color w:val="000000"/>
          <w:sz w:val="28"/>
          <w:szCs w:val="28"/>
          <w:lang w:val="en-US" w:eastAsia="zh-CN" w:bidi="ar-SA"/>
        </w:rPr>
        <w:t>4.02</w:t>
      </w:r>
      <w:r>
        <w:rPr>
          <w:rFonts w:ascii="Times New Roman" w:hAnsi="Times New Roman" w:eastAsia="仿宋_GB2312" w:cs="Times New Roman"/>
          <w:color w:val="000000"/>
          <w:sz w:val="28"/>
          <w:szCs w:val="28"/>
          <w:lang w:val="en-US" w:eastAsia="zh-CN" w:bidi="ar-SA"/>
        </w:rPr>
        <w:t xml:space="preserve"> mm</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 xml:space="preserve"> 根数在</w:t>
      </w:r>
      <w:r>
        <w:rPr>
          <w:rFonts w:hint="eastAsia" w:ascii="Times New Roman" w:hAnsi="Times New Roman" w:eastAsia="仿宋_GB2312" w:cs="Times New Roman"/>
          <w:color w:val="000000"/>
          <w:sz w:val="28"/>
          <w:szCs w:val="28"/>
          <w:lang w:val="en-US" w:eastAsia="zh-CN" w:bidi="ar-SA"/>
        </w:rPr>
        <w:t>4</w:t>
      </w:r>
      <w:r>
        <w:rPr>
          <w:rFonts w:ascii="Times New Roman" w:hAnsi="Times New Roman" w:eastAsia="仿宋_GB2312" w:cs="Times New Roman"/>
          <w:color w:val="000000"/>
          <w:sz w:val="28"/>
          <w:szCs w:val="28"/>
          <w:lang w:val="en-US" w:eastAsia="zh-CN" w:bidi="ar-SA"/>
        </w:rPr>
        <w:t>～1</w:t>
      </w:r>
      <w:r>
        <w:rPr>
          <w:rFonts w:hint="eastAsia" w:ascii="Times New Roman" w:hAnsi="Times New Roman" w:eastAsia="仿宋_GB2312" w:cs="Times New Roman"/>
          <w:color w:val="000000"/>
          <w:sz w:val="28"/>
          <w:szCs w:val="28"/>
          <w:lang w:val="en-US" w:eastAsia="zh-CN" w:bidi="ar-SA"/>
        </w:rPr>
        <w:t>4</w:t>
      </w:r>
      <w:r>
        <w:rPr>
          <w:rFonts w:ascii="Times New Roman" w:hAnsi="Times New Roman" w:eastAsia="仿宋_GB2312" w:cs="Times New Roman"/>
          <w:color w:val="000000"/>
          <w:sz w:val="28"/>
          <w:szCs w:val="28"/>
          <w:lang w:val="en-US" w:eastAsia="zh-CN" w:bidi="ar-SA"/>
        </w:rPr>
        <w:t>根</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块根数在3～13个</w:t>
      </w:r>
      <w:r>
        <w:rPr>
          <w:rFonts w:hint="eastAsia" w:ascii="Times New Roman" w:hAnsi="Times New Roman" w:eastAsia="仿宋_GB2312" w:cs="Times New Roman"/>
          <w:color w:val="000000"/>
          <w:sz w:val="28"/>
          <w:szCs w:val="28"/>
          <w:lang w:val="en-US" w:eastAsia="zh-CN" w:bidi="ar-SA"/>
        </w:rPr>
        <w:t>等，天冬</w:t>
      </w:r>
      <w:r>
        <w:rPr>
          <w:rFonts w:ascii="Times New Roman" w:hAnsi="Times New Roman" w:eastAsia="仿宋_GB2312" w:cs="Times New Roman"/>
          <w:color w:val="000000"/>
          <w:sz w:val="28"/>
          <w:szCs w:val="28"/>
          <w:lang w:val="en-US" w:eastAsia="zh-CN" w:bidi="ar-SA"/>
        </w:rPr>
        <w:t>种苗各农艺性状间数值差异较大</w:t>
      </w:r>
      <w:r>
        <w:rPr>
          <w:rFonts w:hint="eastAsia" w:ascii="Times New Roman" w:hAnsi="Times New Roman" w:eastAsia="仿宋_GB2312" w:cs="Times New Roman"/>
          <w:color w:val="000000"/>
          <w:sz w:val="28"/>
          <w:szCs w:val="28"/>
          <w:lang w:val="en-US" w:eastAsia="zh-CN" w:bidi="ar-SA"/>
        </w:rPr>
        <w:t>，</w:t>
      </w:r>
      <w:r>
        <w:rPr>
          <w:rFonts w:ascii="Times New Roman" w:hAnsi="Times New Roman" w:eastAsia="仿宋_GB2312" w:cs="Times New Roman"/>
          <w:color w:val="000000"/>
          <w:sz w:val="28"/>
          <w:szCs w:val="28"/>
          <w:lang w:val="en-US" w:eastAsia="zh-CN" w:bidi="ar-SA"/>
        </w:rPr>
        <w:t>这为种苗分级提供可行性和必要性</w:t>
      </w:r>
      <w:r>
        <w:rPr>
          <w:rFonts w:hint="eastAsia" w:ascii="Times New Roman" w:hAnsi="Times New Roman" w:eastAsia="仿宋_GB2312" w:cs="Times New Roman"/>
          <w:color w:val="000000"/>
          <w:sz w:val="28"/>
          <w:szCs w:val="28"/>
          <w:lang w:val="en-US" w:eastAsia="zh-CN" w:bidi="ar-SA"/>
        </w:rPr>
        <w:t>。</w:t>
      </w:r>
    </w:p>
    <w:p w14:paraId="3EA5C37B">
      <w:pPr>
        <w:spacing w:line="360" w:lineRule="auto"/>
        <w:jc w:val="center"/>
        <w:outlineLvl w:val="0"/>
        <w:rPr>
          <w:rFonts w:hint="eastAsia" w:ascii="宋体" w:hAnsi="宋体" w:eastAsia="宋体" w:cs="Times New Roman"/>
          <w:sz w:val="28"/>
          <w:szCs w:val="28"/>
        </w:rPr>
      </w:pPr>
      <w:r>
        <w:rPr>
          <w:rFonts w:hint="eastAsia" w:ascii="宋体" w:hAnsi="宋体" w:eastAsia="宋体" w:cs="Times New Roman"/>
          <w:sz w:val="28"/>
          <w:szCs w:val="28"/>
        </w:rPr>
        <w:t>表</w:t>
      </w:r>
      <w:r>
        <w:rPr>
          <w:rFonts w:hint="eastAsia" w:ascii="宋体" w:hAnsi="宋体" w:eastAsia="宋体" w:cs="Times New Roman"/>
          <w:sz w:val="28"/>
          <w:szCs w:val="28"/>
          <w:lang w:val="en-US" w:eastAsia="zh-CN"/>
        </w:rPr>
        <w:t>9</w:t>
      </w:r>
      <w:r>
        <w:rPr>
          <w:rFonts w:hint="eastAsia" w:ascii="宋体" w:hAnsi="宋体" w:eastAsia="宋体" w:cs="Times New Roman"/>
          <w:sz w:val="28"/>
          <w:szCs w:val="28"/>
        </w:rPr>
        <w:t>不同种质资源农艺性状</w:t>
      </w:r>
    </w:p>
    <w:tbl>
      <w:tblPr>
        <w:tblStyle w:val="3"/>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0"/>
        <w:gridCol w:w="936"/>
        <w:gridCol w:w="990"/>
        <w:gridCol w:w="1070"/>
        <w:gridCol w:w="1064"/>
        <w:gridCol w:w="1064"/>
        <w:gridCol w:w="910"/>
        <w:gridCol w:w="889"/>
        <w:gridCol w:w="1039"/>
      </w:tblGrid>
      <w:tr w14:paraId="7ED3949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blHeader/>
        </w:trPr>
        <w:tc>
          <w:tcPr>
            <w:tcW w:w="571" w:type="dxa"/>
            <w:tcBorders>
              <w:top w:val="single" w:color="auto" w:sz="4" w:space="0"/>
              <w:bottom w:val="single" w:color="auto" w:sz="4" w:space="0"/>
            </w:tcBorders>
            <w:noWrap w:val="0"/>
            <w:vAlign w:val="top"/>
          </w:tcPr>
          <w:p w14:paraId="7BC0E6CE">
            <w:pPr>
              <w:rPr>
                <w:rFonts w:hint="default" w:ascii="Times New Roman" w:hAnsi="Times New Roman" w:eastAsia="宋体" w:cs="Times New Roman"/>
                <w:sz w:val="24"/>
                <w:szCs w:val="24"/>
              </w:rPr>
            </w:pPr>
            <w:bookmarkStart w:id="6" w:name="OLE_LINK5" w:colFirst="0" w:colLast="8"/>
            <w:r>
              <w:rPr>
                <w:rFonts w:hint="default" w:ascii="Times New Roman" w:hAnsi="Times New Roman" w:eastAsia="宋体" w:cs="Times New Roman"/>
                <w:sz w:val="24"/>
                <w:szCs w:val="24"/>
              </w:rPr>
              <w:t>编号</w:t>
            </w:r>
          </w:p>
        </w:tc>
        <w:tc>
          <w:tcPr>
            <w:tcW w:w="936" w:type="dxa"/>
            <w:tcBorders>
              <w:top w:val="single" w:color="auto" w:sz="4" w:space="0"/>
              <w:bottom w:val="single" w:color="auto" w:sz="4" w:space="0"/>
            </w:tcBorders>
            <w:noWrap w:val="0"/>
            <w:vAlign w:val="top"/>
          </w:tcPr>
          <w:p w14:paraId="7A27A92C">
            <w:pP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根数</w:t>
            </w:r>
            <w:r>
              <w:rPr>
                <w:rFonts w:hint="default" w:ascii="Times New Roman" w:hAnsi="Times New Roman" w:eastAsia="宋体" w:cs="Times New Roman"/>
                <w:sz w:val="24"/>
                <w:szCs w:val="24"/>
              </w:rPr>
              <w:t>（条）</w:t>
            </w:r>
          </w:p>
        </w:tc>
        <w:tc>
          <w:tcPr>
            <w:tcW w:w="936" w:type="dxa"/>
            <w:tcBorders>
              <w:top w:val="single" w:color="auto" w:sz="4" w:space="0"/>
              <w:bottom w:val="single" w:color="auto" w:sz="4" w:space="0"/>
            </w:tcBorders>
            <w:noWrap w:val="0"/>
            <w:vAlign w:val="top"/>
          </w:tcPr>
          <w:p w14:paraId="2F5A4E18">
            <w:pPr>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val="en-US" w:eastAsia="zh-CN"/>
              </w:rPr>
              <w:t>株高</w:t>
            </w:r>
          </w:p>
          <w:p w14:paraId="709243A4">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（cm）</w:t>
            </w:r>
          </w:p>
        </w:tc>
        <w:tc>
          <w:tcPr>
            <w:tcW w:w="993" w:type="dxa"/>
            <w:tcBorders>
              <w:top w:val="single" w:color="auto" w:sz="4" w:space="0"/>
              <w:bottom w:val="single" w:color="auto" w:sz="4" w:space="0"/>
            </w:tcBorders>
            <w:noWrap w:val="0"/>
            <w:vAlign w:val="top"/>
          </w:tcPr>
          <w:p w14:paraId="180A44AE">
            <w:pP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基径</w:t>
            </w:r>
            <w:r>
              <w:rPr>
                <w:rFonts w:hint="default" w:ascii="Times New Roman" w:hAnsi="Times New Roman" w:eastAsia="宋体" w:cs="Times New Roman"/>
                <w:sz w:val="24"/>
                <w:szCs w:val="24"/>
              </w:rPr>
              <w:t>（mm）</w:t>
            </w:r>
          </w:p>
        </w:tc>
        <w:tc>
          <w:tcPr>
            <w:tcW w:w="1089" w:type="dxa"/>
            <w:tcBorders>
              <w:top w:val="single" w:color="auto" w:sz="4" w:space="0"/>
              <w:bottom w:val="single" w:color="auto" w:sz="4" w:space="0"/>
            </w:tcBorders>
            <w:noWrap w:val="0"/>
            <w:vAlign w:val="top"/>
          </w:tcPr>
          <w:p w14:paraId="129373B2">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块根长(cm）</w:t>
            </w:r>
          </w:p>
        </w:tc>
        <w:tc>
          <w:tcPr>
            <w:tcW w:w="1097" w:type="dxa"/>
            <w:tcBorders>
              <w:top w:val="single" w:color="auto" w:sz="4" w:space="0"/>
              <w:bottom w:val="single" w:color="auto" w:sz="4" w:space="0"/>
            </w:tcBorders>
            <w:noWrap w:val="0"/>
            <w:vAlign w:val="top"/>
          </w:tcPr>
          <w:p w14:paraId="29A55877">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块根直径(mm)</w:t>
            </w:r>
          </w:p>
        </w:tc>
        <w:tc>
          <w:tcPr>
            <w:tcW w:w="926" w:type="dxa"/>
            <w:tcBorders>
              <w:top w:val="single" w:color="auto" w:sz="4" w:space="0"/>
              <w:bottom w:val="single" w:color="auto" w:sz="4" w:space="0"/>
            </w:tcBorders>
            <w:noWrap w:val="0"/>
            <w:vAlign w:val="top"/>
          </w:tcPr>
          <w:p w14:paraId="14059F71">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单个块根重(g)</w:t>
            </w:r>
          </w:p>
        </w:tc>
        <w:tc>
          <w:tcPr>
            <w:tcW w:w="918" w:type="dxa"/>
            <w:tcBorders>
              <w:top w:val="single" w:color="auto" w:sz="4" w:space="0"/>
              <w:bottom w:val="single" w:color="auto" w:sz="4" w:space="0"/>
            </w:tcBorders>
            <w:noWrap w:val="0"/>
            <w:vAlign w:val="top"/>
          </w:tcPr>
          <w:p w14:paraId="4B6CC2C9">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单株块根数量(个)</w:t>
            </w:r>
          </w:p>
        </w:tc>
        <w:tc>
          <w:tcPr>
            <w:tcW w:w="1056" w:type="dxa"/>
            <w:tcBorders>
              <w:top w:val="single" w:color="auto" w:sz="4" w:space="0"/>
              <w:bottom w:val="single" w:color="auto" w:sz="4" w:space="0"/>
            </w:tcBorders>
            <w:noWrap w:val="0"/>
            <w:vAlign w:val="top"/>
          </w:tcPr>
          <w:p w14:paraId="02808E65">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单株块根重量(g)</w:t>
            </w:r>
          </w:p>
        </w:tc>
      </w:tr>
      <w:tr w14:paraId="55F8D5B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tcBorders>
              <w:top w:val="single" w:color="auto" w:sz="4" w:space="0"/>
            </w:tcBorders>
            <w:noWrap w:val="0"/>
            <w:vAlign w:val="center"/>
          </w:tcPr>
          <w:p w14:paraId="3761A89C">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01</w:t>
            </w:r>
          </w:p>
        </w:tc>
        <w:tc>
          <w:tcPr>
            <w:tcW w:w="936" w:type="dxa"/>
            <w:tcBorders>
              <w:top w:val="single" w:color="auto" w:sz="4" w:space="0"/>
            </w:tcBorders>
            <w:noWrap w:val="0"/>
            <w:vAlign w:val="top"/>
          </w:tcPr>
          <w:p w14:paraId="3B6E335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tcBorders>
              <w:top w:val="single" w:color="auto" w:sz="4" w:space="0"/>
            </w:tcBorders>
            <w:noWrap w:val="0"/>
            <w:vAlign w:val="top"/>
          </w:tcPr>
          <w:p w14:paraId="674A956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237</w:t>
            </w:r>
          </w:p>
        </w:tc>
        <w:tc>
          <w:tcPr>
            <w:tcW w:w="993" w:type="dxa"/>
            <w:tcBorders>
              <w:top w:val="single" w:color="auto" w:sz="4" w:space="0"/>
            </w:tcBorders>
            <w:noWrap w:val="0"/>
            <w:vAlign w:val="top"/>
          </w:tcPr>
          <w:p w14:paraId="64C7DA0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3.65</w:t>
            </w:r>
          </w:p>
        </w:tc>
        <w:tc>
          <w:tcPr>
            <w:tcW w:w="1089" w:type="dxa"/>
            <w:tcBorders>
              <w:top w:val="single" w:color="auto" w:sz="4" w:space="0"/>
            </w:tcBorders>
            <w:noWrap w:val="0"/>
            <w:vAlign w:val="top"/>
          </w:tcPr>
          <w:p w14:paraId="03A6EB1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17.32</w:t>
            </w:r>
          </w:p>
        </w:tc>
        <w:tc>
          <w:tcPr>
            <w:tcW w:w="1097" w:type="dxa"/>
            <w:tcBorders>
              <w:top w:val="single" w:color="auto" w:sz="4" w:space="0"/>
            </w:tcBorders>
            <w:noWrap w:val="0"/>
            <w:vAlign w:val="top"/>
          </w:tcPr>
          <w:p w14:paraId="795F87C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14.15</w:t>
            </w:r>
          </w:p>
        </w:tc>
        <w:tc>
          <w:tcPr>
            <w:tcW w:w="926" w:type="dxa"/>
            <w:tcBorders>
              <w:top w:val="single" w:color="auto" w:sz="4" w:space="0"/>
            </w:tcBorders>
            <w:noWrap w:val="0"/>
            <w:vAlign w:val="top"/>
          </w:tcPr>
          <w:p w14:paraId="3141E00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19.68</w:t>
            </w:r>
          </w:p>
        </w:tc>
        <w:tc>
          <w:tcPr>
            <w:tcW w:w="918" w:type="dxa"/>
            <w:tcBorders>
              <w:top w:val="single" w:color="auto" w:sz="4" w:space="0"/>
            </w:tcBorders>
            <w:noWrap w:val="0"/>
            <w:vAlign w:val="top"/>
          </w:tcPr>
          <w:p w14:paraId="392FDED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43</w:t>
            </w:r>
          </w:p>
        </w:tc>
        <w:tc>
          <w:tcPr>
            <w:tcW w:w="1056" w:type="dxa"/>
            <w:tcBorders>
              <w:top w:val="single" w:color="auto" w:sz="4" w:space="0"/>
            </w:tcBorders>
            <w:noWrap w:val="0"/>
            <w:vAlign w:val="top"/>
          </w:tcPr>
          <w:p w14:paraId="2106EBA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440.6</w:t>
            </w:r>
          </w:p>
        </w:tc>
      </w:tr>
      <w:tr w14:paraId="34DD83C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A993C50">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02</w:t>
            </w:r>
          </w:p>
        </w:tc>
        <w:tc>
          <w:tcPr>
            <w:tcW w:w="936" w:type="dxa"/>
            <w:noWrap w:val="0"/>
            <w:vAlign w:val="top"/>
          </w:tcPr>
          <w:p w14:paraId="0A34CC0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w:t>
            </w:r>
          </w:p>
        </w:tc>
        <w:tc>
          <w:tcPr>
            <w:tcW w:w="936" w:type="dxa"/>
            <w:noWrap w:val="0"/>
            <w:vAlign w:val="top"/>
          </w:tcPr>
          <w:p w14:paraId="7527D40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175</w:t>
            </w:r>
          </w:p>
        </w:tc>
        <w:tc>
          <w:tcPr>
            <w:tcW w:w="993" w:type="dxa"/>
            <w:noWrap w:val="0"/>
            <w:vAlign w:val="top"/>
          </w:tcPr>
          <w:p w14:paraId="1E0C7F3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3.21</w:t>
            </w:r>
          </w:p>
        </w:tc>
        <w:tc>
          <w:tcPr>
            <w:tcW w:w="1089" w:type="dxa"/>
            <w:noWrap w:val="0"/>
            <w:vAlign w:val="top"/>
          </w:tcPr>
          <w:p w14:paraId="5D82A6B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5.95</w:t>
            </w:r>
          </w:p>
        </w:tc>
        <w:tc>
          <w:tcPr>
            <w:tcW w:w="1097" w:type="dxa"/>
            <w:noWrap w:val="0"/>
            <w:vAlign w:val="top"/>
          </w:tcPr>
          <w:p w14:paraId="4B2E8D6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14.48</w:t>
            </w:r>
          </w:p>
        </w:tc>
        <w:tc>
          <w:tcPr>
            <w:tcW w:w="926" w:type="dxa"/>
            <w:noWrap w:val="0"/>
            <w:vAlign w:val="top"/>
          </w:tcPr>
          <w:p w14:paraId="5876A3B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7.56</w:t>
            </w:r>
          </w:p>
        </w:tc>
        <w:tc>
          <w:tcPr>
            <w:tcW w:w="918" w:type="dxa"/>
            <w:noWrap w:val="0"/>
            <w:vAlign w:val="top"/>
          </w:tcPr>
          <w:p w14:paraId="049CA60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168</w:t>
            </w:r>
          </w:p>
        </w:tc>
        <w:tc>
          <w:tcPr>
            <w:tcW w:w="1056" w:type="dxa"/>
            <w:noWrap w:val="0"/>
            <w:vAlign w:val="top"/>
          </w:tcPr>
          <w:p w14:paraId="23CF7F2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787.8</w:t>
            </w:r>
          </w:p>
        </w:tc>
      </w:tr>
      <w:tr w14:paraId="2DBC68B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3E1F4228">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03</w:t>
            </w:r>
          </w:p>
        </w:tc>
        <w:tc>
          <w:tcPr>
            <w:tcW w:w="936" w:type="dxa"/>
            <w:noWrap w:val="0"/>
            <w:vAlign w:val="top"/>
          </w:tcPr>
          <w:p w14:paraId="2261CC4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w:t>
            </w:r>
          </w:p>
        </w:tc>
        <w:tc>
          <w:tcPr>
            <w:tcW w:w="936" w:type="dxa"/>
            <w:noWrap w:val="0"/>
            <w:vAlign w:val="top"/>
          </w:tcPr>
          <w:p w14:paraId="6A8A097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w:t>
            </w:r>
          </w:p>
        </w:tc>
        <w:tc>
          <w:tcPr>
            <w:tcW w:w="993" w:type="dxa"/>
            <w:noWrap w:val="0"/>
            <w:vAlign w:val="top"/>
          </w:tcPr>
          <w:p w14:paraId="743B8FB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3.69</w:t>
            </w:r>
          </w:p>
        </w:tc>
        <w:tc>
          <w:tcPr>
            <w:tcW w:w="1089" w:type="dxa"/>
            <w:noWrap w:val="0"/>
            <w:vAlign w:val="top"/>
          </w:tcPr>
          <w:p w14:paraId="422FA5C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16.24</w:t>
            </w:r>
          </w:p>
        </w:tc>
        <w:tc>
          <w:tcPr>
            <w:tcW w:w="1097" w:type="dxa"/>
            <w:noWrap w:val="0"/>
            <w:vAlign w:val="top"/>
          </w:tcPr>
          <w:p w14:paraId="353B4C8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8.69</w:t>
            </w:r>
          </w:p>
        </w:tc>
        <w:tc>
          <w:tcPr>
            <w:tcW w:w="926" w:type="dxa"/>
            <w:noWrap w:val="0"/>
            <w:vAlign w:val="top"/>
          </w:tcPr>
          <w:p w14:paraId="7B821E3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15.56</w:t>
            </w:r>
          </w:p>
        </w:tc>
        <w:tc>
          <w:tcPr>
            <w:tcW w:w="918" w:type="dxa"/>
            <w:noWrap w:val="0"/>
            <w:vAlign w:val="top"/>
          </w:tcPr>
          <w:p w14:paraId="068A5B5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52</w:t>
            </w:r>
          </w:p>
        </w:tc>
        <w:tc>
          <w:tcPr>
            <w:tcW w:w="1056" w:type="dxa"/>
            <w:noWrap w:val="0"/>
            <w:vAlign w:val="top"/>
          </w:tcPr>
          <w:p w14:paraId="65DBDD5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299.7</w:t>
            </w:r>
          </w:p>
        </w:tc>
      </w:tr>
      <w:tr w14:paraId="423782E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87E2EDB">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04</w:t>
            </w:r>
          </w:p>
        </w:tc>
        <w:tc>
          <w:tcPr>
            <w:tcW w:w="936" w:type="dxa"/>
            <w:noWrap w:val="0"/>
            <w:vAlign w:val="top"/>
          </w:tcPr>
          <w:p w14:paraId="045FB85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685BD32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193</w:t>
            </w:r>
          </w:p>
        </w:tc>
        <w:tc>
          <w:tcPr>
            <w:tcW w:w="993" w:type="dxa"/>
            <w:noWrap w:val="0"/>
            <w:vAlign w:val="top"/>
          </w:tcPr>
          <w:p w14:paraId="2F0A8D4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3.78</w:t>
            </w:r>
          </w:p>
        </w:tc>
        <w:tc>
          <w:tcPr>
            <w:tcW w:w="1089" w:type="dxa"/>
            <w:noWrap w:val="0"/>
            <w:vAlign w:val="top"/>
          </w:tcPr>
          <w:p w14:paraId="56D7E60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8.65</w:t>
            </w:r>
          </w:p>
        </w:tc>
        <w:tc>
          <w:tcPr>
            <w:tcW w:w="1097" w:type="dxa"/>
            <w:noWrap w:val="0"/>
            <w:vAlign w:val="top"/>
          </w:tcPr>
          <w:p w14:paraId="28C4F05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10.97</w:t>
            </w:r>
          </w:p>
        </w:tc>
        <w:tc>
          <w:tcPr>
            <w:tcW w:w="926" w:type="dxa"/>
            <w:noWrap w:val="0"/>
            <w:vAlign w:val="top"/>
          </w:tcPr>
          <w:p w14:paraId="45144A6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11.43</w:t>
            </w:r>
          </w:p>
        </w:tc>
        <w:tc>
          <w:tcPr>
            <w:tcW w:w="918" w:type="dxa"/>
            <w:noWrap w:val="0"/>
            <w:vAlign w:val="top"/>
          </w:tcPr>
          <w:p w14:paraId="4BA3830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88</w:t>
            </w:r>
          </w:p>
        </w:tc>
        <w:tc>
          <w:tcPr>
            <w:tcW w:w="1056" w:type="dxa"/>
            <w:noWrap w:val="0"/>
            <w:vAlign w:val="top"/>
          </w:tcPr>
          <w:p w14:paraId="58D4498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389.6</w:t>
            </w:r>
          </w:p>
        </w:tc>
      </w:tr>
      <w:tr w14:paraId="39D1DC9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65619A81">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05</w:t>
            </w:r>
          </w:p>
        </w:tc>
        <w:tc>
          <w:tcPr>
            <w:tcW w:w="936" w:type="dxa"/>
            <w:noWrap w:val="0"/>
            <w:vAlign w:val="top"/>
          </w:tcPr>
          <w:p w14:paraId="173D664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w:t>
            </w:r>
          </w:p>
        </w:tc>
        <w:tc>
          <w:tcPr>
            <w:tcW w:w="936" w:type="dxa"/>
            <w:noWrap w:val="0"/>
            <w:vAlign w:val="top"/>
          </w:tcPr>
          <w:p w14:paraId="663097E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168</w:t>
            </w:r>
          </w:p>
        </w:tc>
        <w:tc>
          <w:tcPr>
            <w:tcW w:w="993" w:type="dxa"/>
            <w:noWrap w:val="0"/>
            <w:vAlign w:val="top"/>
          </w:tcPr>
          <w:p w14:paraId="3A35E89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3.24</w:t>
            </w:r>
          </w:p>
        </w:tc>
        <w:tc>
          <w:tcPr>
            <w:tcW w:w="1089" w:type="dxa"/>
            <w:noWrap w:val="0"/>
            <w:vAlign w:val="top"/>
          </w:tcPr>
          <w:p w14:paraId="4655C0C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7.26</w:t>
            </w:r>
          </w:p>
        </w:tc>
        <w:tc>
          <w:tcPr>
            <w:tcW w:w="1097" w:type="dxa"/>
            <w:noWrap w:val="0"/>
            <w:vAlign w:val="top"/>
          </w:tcPr>
          <w:p w14:paraId="33222F9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12.87</w:t>
            </w:r>
          </w:p>
        </w:tc>
        <w:tc>
          <w:tcPr>
            <w:tcW w:w="926" w:type="dxa"/>
            <w:noWrap w:val="0"/>
            <w:vAlign w:val="top"/>
          </w:tcPr>
          <w:p w14:paraId="58E4FD2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10.06</w:t>
            </w:r>
          </w:p>
        </w:tc>
        <w:tc>
          <w:tcPr>
            <w:tcW w:w="918" w:type="dxa"/>
            <w:noWrap w:val="0"/>
            <w:vAlign w:val="top"/>
          </w:tcPr>
          <w:p w14:paraId="758A2AC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105</w:t>
            </w:r>
          </w:p>
        </w:tc>
        <w:tc>
          <w:tcPr>
            <w:tcW w:w="1056" w:type="dxa"/>
            <w:noWrap w:val="0"/>
            <w:vAlign w:val="top"/>
          </w:tcPr>
          <w:p w14:paraId="0EF8770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695.7</w:t>
            </w:r>
          </w:p>
        </w:tc>
      </w:tr>
      <w:tr w14:paraId="7080808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933D29E">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06</w:t>
            </w:r>
          </w:p>
        </w:tc>
        <w:tc>
          <w:tcPr>
            <w:tcW w:w="936" w:type="dxa"/>
            <w:noWrap w:val="0"/>
            <w:vAlign w:val="top"/>
          </w:tcPr>
          <w:p w14:paraId="4B31EB1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w:t>
            </w:r>
          </w:p>
        </w:tc>
        <w:tc>
          <w:tcPr>
            <w:tcW w:w="936" w:type="dxa"/>
            <w:noWrap w:val="0"/>
            <w:vAlign w:val="top"/>
          </w:tcPr>
          <w:p w14:paraId="3EB8DA6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178</w:t>
            </w:r>
          </w:p>
        </w:tc>
        <w:tc>
          <w:tcPr>
            <w:tcW w:w="993" w:type="dxa"/>
            <w:noWrap w:val="0"/>
            <w:vAlign w:val="top"/>
          </w:tcPr>
          <w:p w14:paraId="6F88A79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3.88</w:t>
            </w:r>
          </w:p>
        </w:tc>
        <w:tc>
          <w:tcPr>
            <w:tcW w:w="1089" w:type="dxa"/>
            <w:noWrap w:val="0"/>
            <w:vAlign w:val="top"/>
          </w:tcPr>
          <w:p w14:paraId="1141904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11.32</w:t>
            </w:r>
          </w:p>
        </w:tc>
        <w:tc>
          <w:tcPr>
            <w:tcW w:w="1097" w:type="dxa"/>
            <w:noWrap w:val="0"/>
            <w:vAlign w:val="top"/>
          </w:tcPr>
          <w:p w14:paraId="5360855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16.22</w:t>
            </w:r>
          </w:p>
        </w:tc>
        <w:tc>
          <w:tcPr>
            <w:tcW w:w="926" w:type="dxa"/>
            <w:noWrap w:val="0"/>
            <w:vAlign w:val="top"/>
          </w:tcPr>
          <w:p w14:paraId="52C68CA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19.81</w:t>
            </w:r>
          </w:p>
        </w:tc>
        <w:tc>
          <w:tcPr>
            <w:tcW w:w="918" w:type="dxa"/>
            <w:noWrap w:val="0"/>
            <w:vAlign w:val="top"/>
          </w:tcPr>
          <w:p w14:paraId="384D33D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145</w:t>
            </w:r>
          </w:p>
        </w:tc>
        <w:tc>
          <w:tcPr>
            <w:tcW w:w="1056" w:type="dxa"/>
            <w:noWrap w:val="0"/>
            <w:vAlign w:val="top"/>
          </w:tcPr>
          <w:p w14:paraId="35EC7AF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956.3</w:t>
            </w:r>
          </w:p>
        </w:tc>
      </w:tr>
      <w:tr w14:paraId="0EF0040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021520F5">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07</w:t>
            </w:r>
          </w:p>
        </w:tc>
        <w:tc>
          <w:tcPr>
            <w:tcW w:w="936" w:type="dxa"/>
            <w:noWrap w:val="0"/>
            <w:vAlign w:val="top"/>
          </w:tcPr>
          <w:p w14:paraId="2618713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w:t>
            </w:r>
          </w:p>
        </w:tc>
        <w:tc>
          <w:tcPr>
            <w:tcW w:w="936" w:type="dxa"/>
            <w:noWrap w:val="0"/>
            <w:vAlign w:val="top"/>
          </w:tcPr>
          <w:p w14:paraId="4EB9638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245</w:t>
            </w:r>
          </w:p>
        </w:tc>
        <w:tc>
          <w:tcPr>
            <w:tcW w:w="993" w:type="dxa"/>
            <w:noWrap w:val="0"/>
            <w:vAlign w:val="top"/>
          </w:tcPr>
          <w:p w14:paraId="746DC9B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3.36</w:t>
            </w:r>
          </w:p>
        </w:tc>
        <w:tc>
          <w:tcPr>
            <w:tcW w:w="1089" w:type="dxa"/>
            <w:noWrap w:val="0"/>
            <w:vAlign w:val="top"/>
          </w:tcPr>
          <w:p w14:paraId="1BFCC69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18.96</w:t>
            </w:r>
          </w:p>
        </w:tc>
        <w:tc>
          <w:tcPr>
            <w:tcW w:w="1097" w:type="dxa"/>
            <w:noWrap w:val="0"/>
            <w:vAlign w:val="top"/>
          </w:tcPr>
          <w:p w14:paraId="2CC9812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16.65</w:t>
            </w:r>
          </w:p>
        </w:tc>
        <w:tc>
          <w:tcPr>
            <w:tcW w:w="926" w:type="dxa"/>
            <w:noWrap w:val="0"/>
            <w:vAlign w:val="top"/>
          </w:tcPr>
          <w:p w14:paraId="141F8CA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21.63</w:t>
            </w:r>
          </w:p>
        </w:tc>
        <w:tc>
          <w:tcPr>
            <w:tcW w:w="918" w:type="dxa"/>
            <w:noWrap w:val="0"/>
            <w:vAlign w:val="top"/>
          </w:tcPr>
          <w:p w14:paraId="3D94D77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48</w:t>
            </w:r>
          </w:p>
        </w:tc>
        <w:tc>
          <w:tcPr>
            <w:tcW w:w="1056" w:type="dxa"/>
            <w:noWrap w:val="0"/>
            <w:vAlign w:val="top"/>
          </w:tcPr>
          <w:p w14:paraId="180FA7F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473.5</w:t>
            </w:r>
          </w:p>
        </w:tc>
      </w:tr>
      <w:tr w14:paraId="1C5AF1E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56B2E450">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08</w:t>
            </w:r>
          </w:p>
        </w:tc>
        <w:tc>
          <w:tcPr>
            <w:tcW w:w="936" w:type="dxa"/>
            <w:noWrap w:val="0"/>
            <w:vAlign w:val="top"/>
          </w:tcPr>
          <w:p w14:paraId="506D71A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noWrap w:val="0"/>
            <w:vAlign w:val="top"/>
          </w:tcPr>
          <w:p w14:paraId="36E968A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228</w:t>
            </w:r>
          </w:p>
        </w:tc>
        <w:tc>
          <w:tcPr>
            <w:tcW w:w="993" w:type="dxa"/>
            <w:noWrap w:val="0"/>
            <w:vAlign w:val="top"/>
          </w:tcPr>
          <w:p w14:paraId="6AB4EDF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3.21</w:t>
            </w:r>
          </w:p>
        </w:tc>
        <w:tc>
          <w:tcPr>
            <w:tcW w:w="1089" w:type="dxa"/>
            <w:noWrap w:val="0"/>
            <w:vAlign w:val="top"/>
          </w:tcPr>
          <w:p w14:paraId="1EBCC8B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18.65</w:t>
            </w:r>
          </w:p>
        </w:tc>
        <w:tc>
          <w:tcPr>
            <w:tcW w:w="1097" w:type="dxa"/>
            <w:noWrap w:val="0"/>
            <w:vAlign w:val="top"/>
          </w:tcPr>
          <w:p w14:paraId="1E088CB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17.23</w:t>
            </w:r>
          </w:p>
        </w:tc>
        <w:tc>
          <w:tcPr>
            <w:tcW w:w="926" w:type="dxa"/>
            <w:noWrap w:val="0"/>
            <w:vAlign w:val="top"/>
          </w:tcPr>
          <w:p w14:paraId="2D3C096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20.76</w:t>
            </w:r>
          </w:p>
        </w:tc>
        <w:tc>
          <w:tcPr>
            <w:tcW w:w="918" w:type="dxa"/>
            <w:noWrap w:val="0"/>
            <w:vAlign w:val="top"/>
          </w:tcPr>
          <w:p w14:paraId="39C4E20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40</w:t>
            </w:r>
          </w:p>
        </w:tc>
        <w:tc>
          <w:tcPr>
            <w:tcW w:w="1056" w:type="dxa"/>
            <w:noWrap w:val="0"/>
            <w:vAlign w:val="top"/>
          </w:tcPr>
          <w:p w14:paraId="3E720E9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432.9</w:t>
            </w:r>
          </w:p>
        </w:tc>
      </w:tr>
      <w:tr w14:paraId="4D8A7F7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7518B8A1">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09</w:t>
            </w:r>
          </w:p>
        </w:tc>
        <w:tc>
          <w:tcPr>
            <w:tcW w:w="936" w:type="dxa"/>
            <w:noWrap w:val="0"/>
            <w:vAlign w:val="top"/>
          </w:tcPr>
          <w:p w14:paraId="6404445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w:t>
            </w:r>
          </w:p>
        </w:tc>
        <w:tc>
          <w:tcPr>
            <w:tcW w:w="936" w:type="dxa"/>
            <w:noWrap w:val="0"/>
            <w:vAlign w:val="top"/>
          </w:tcPr>
          <w:p w14:paraId="35CE6B1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238</w:t>
            </w:r>
          </w:p>
        </w:tc>
        <w:tc>
          <w:tcPr>
            <w:tcW w:w="993" w:type="dxa"/>
            <w:noWrap w:val="0"/>
            <w:vAlign w:val="top"/>
          </w:tcPr>
          <w:p w14:paraId="3CE6F2F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3.43</w:t>
            </w:r>
          </w:p>
        </w:tc>
        <w:tc>
          <w:tcPr>
            <w:tcW w:w="1089" w:type="dxa"/>
            <w:noWrap w:val="0"/>
            <w:vAlign w:val="top"/>
          </w:tcPr>
          <w:p w14:paraId="360FF18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7.73</w:t>
            </w:r>
          </w:p>
        </w:tc>
        <w:tc>
          <w:tcPr>
            <w:tcW w:w="1097" w:type="dxa"/>
            <w:noWrap w:val="0"/>
            <w:vAlign w:val="top"/>
          </w:tcPr>
          <w:p w14:paraId="2621127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13.67</w:t>
            </w:r>
          </w:p>
        </w:tc>
        <w:tc>
          <w:tcPr>
            <w:tcW w:w="926" w:type="dxa"/>
            <w:noWrap w:val="0"/>
            <w:vAlign w:val="top"/>
          </w:tcPr>
          <w:p w14:paraId="3B5B7A2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12.95</w:t>
            </w:r>
          </w:p>
        </w:tc>
        <w:tc>
          <w:tcPr>
            <w:tcW w:w="918" w:type="dxa"/>
            <w:noWrap w:val="0"/>
            <w:vAlign w:val="top"/>
          </w:tcPr>
          <w:p w14:paraId="1E7E31C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45</w:t>
            </w:r>
          </w:p>
        </w:tc>
        <w:tc>
          <w:tcPr>
            <w:tcW w:w="1056" w:type="dxa"/>
            <w:noWrap w:val="0"/>
            <w:vAlign w:val="top"/>
          </w:tcPr>
          <w:p w14:paraId="2AC79C0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278.6</w:t>
            </w:r>
          </w:p>
        </w:tc>
      </w:tr>
      <w:tr w14:paraId="2970D8D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29B9B7F9">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w:t>
            </w:r>
          </w:p>
        </w:tc>
        <w:tc>
          <w:tcPr>
            <w:tcW w:w="936" w:type="dxa"/>
            <w:noWrap w:val="0"/>
            <w:vAlign w:val="top"/>
          </w:tcPr>
          <w:p w14:paraId="0F2FD79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noWrap w:val="0"/>
            <w:vAlign w:val="top"/>
          </w:tcPr>
          <w:p w14:paraId="469F14D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255</w:t>
            </w:r>
          </w:p>
        </w:tc>
        <w:tc>
          <w:tcPr>
            <w:tcW w:w="993" w:type="dxa"/>
            <w:noWrap w:val="0"/>
            <w:vAlign w:val="top"/>
          </w:tcPr>
          <w:p w14:paraId="0EA88C1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3.89</w:t>
            </w:r>
          </w:p>
        </w:tc>
        <w:tc>
          <w:tcPr>
            <w:tcW w:w="1089" w:type="dxa"/>
            <w:noWrap w:val="0"/>
            <w:vAlign w:val="top"/>
          </w:tcPr>
          <w:p w14:paraId="731671A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17.56</w:t>
            </w:r>
          </w:p>
        </w:tc>
        <w:tc>
          <w:tcPr>
            <w:tcW w:w="1097" w:type="dxa"/>
            <w:noWrap w:val="0"/>
            <w:vAlign w:val="top"/>
          </w:tcPr>
          <w:p w14:paraId="210A060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16.55</w:t>
            </w:r>
          </w:p>
        </w:tc>
        <w:tc>
          <w:tcPr>
            <w:tcW w:w="926" w:type="dxa"/>
            <w:noWrap w:val="0"/>
            <w:vAlign w:val="top"/>
          </w:tcPr>
          <w:p w14:paraId="5ACC205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18.92</w:t>
            </w:r>
          </w:p>
        </w:tc>
        <w:tc>
          <w:tcPr>
            <w:tcW w:w="918" w:type="dxa"/>
            <w:noWrap w:val="0"/>
            <w:vAlign w:val="top"/>
          </w:tcPr>
          <w:p w14:paraId="384C51C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w:t>
            </w:r>
          </w:p>
        </w:tc>
        <w:tc>
          <w:tcPr>
            <w:tcW w:w="1056" w:type="dxa"/>
            <w:noWrap w:val="0"/>
            <w:vAlign w:val="top"/>
          </w:tcPr>
          <w:p w14:paraId="44AD52A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394.8</w:t>
            </w:r>
          </w:p>
        </w:tc>
      </w:tr>
      <w:tr w14:paraId="39BF1CA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69ACE151">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w:t>
            </w:r>
          </w:p>
        </w:tc>
        <w:tc>
          <w:tcPr>
            <w:tcW w:w="936" w:type="dxa"/>
            <w:noWrap w:val="0"/>
            <w:vAlign w:val="top"/>
          </w:tcPr>
          <w:p w14:paraId="63FDA17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w:t>
            </w:r>
          </w:p>
        </w:tc>
        <w:tc>
          <w:tcPr>
            <w:tcW w:w="936" w:type="dxa"/>
            <w:noWrap w:val="0"/>
            <w:vAlign w:val="top"/>
          </w:tcPr>
          <w:p w14:paraId="683DE98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218</w:t>
            </w:r>
          </w:p>
        </w:tc>
        <w:tc>
          <w:tcPr>
            <w:tcW w:w="993" w:type="dxa"/>
            <w:noWrap w:val="0"/>
            <w:vAlign w:val="top"/>
          </w:tcPr>
          <w:p w14:paraId="4862361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4.02</w:t>
            </w:r>
          </w:p>
        </w:tc>
        <w:tc>
          <w:tcPr>
            <w:tcW w:w="1089" w:type="dxa"/>
            <w:noWrap w:val="0"/>
            <w:vAlign w:val="top"/>
          </w:tcPr>
          <w:p w14:paraId="5D41D50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8.85</w:t>
            </w:r>
          </w:p>
        </w:tc>
        <w:tc>
          <w:tcPr>
            <w:tcW w:w="1097" w:type="dxa"/>
            <w:noWrap w:val="0"/>
            <w:vAlign w:val="top"/>
          </w:tcPr>
          <w:p w14:paraId="4461EEB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15.62</w:t>
            </w:r>
          </w:p>
        </w:tc>
        <w:tc>
          <w:tcPr>
            <w:tcW w:w="926" w:type="dxa"/>
            <w:noWrap w:val="0"/>
            <w:vAlign w:val="top"/>
          </w:tcPr>
          <w:p w14:paraId="1078EB3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14.67</w:t>
            </w:r>
          </w:p>
        </w:tc>
        <w:tc>
          <w:tcPr>
            <w:tcW w:w="918" w:type="dxa"/>
            <w:noWrap w:val="0"/>
            <w:vAlign w:val="top"/>
          </w:tcPr>
          <w:p w14:paraId="5F59A47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198</w:t>
            </w:r>
          </w:p>
        </w:tc>
        <w:tc>
          <w:tcPr>
            <w:tcW w:w="1056" w:type="dxa"/>
            <w:noWrap w:val="0"/>
            <w:vAlign w:val="top"/>
          </w:tcPr>
          <w:p w14:paraId="7004F2C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1055.8</w:t>
            </w:r>
          </w:p>
        </w:tc>
      </w:tr>
      <w:tr w14:paraId="5974442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 w:hRule="atLeast"/>
        </w:trPr>
        <w:tc>
          <w:tcPr>
            <w:tcW w:w="571" w:type="dxa"/>
            <w:noWrap w:val="0"/>
            <w:vAlign w:val="center"/>
          </w:tcPr>
          <w:p w14:paraId="427203B3">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w:t>
            </w:r>
          </w:p>
        </w:tc>
        <w:tc>
          <w:tcPr>
            <w:tcW w:w="936" w:type="dxa"/>
            <w:noWrap w:val="0"/>
            <w:vAlign w:val="top"/>
          </w:tcPr>
          <w:p w14:paraId="5781DED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1ACEFC6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200</w:t>
            </w:r>
          </w:p>
        </w:tc>
        <w:tc>
          <w:tcPr>
            <w:tcW w:w="993" w:type="dxa"/>
            <w:noWrap w:val="0"/>
            <w:vAlign w:val="top"/>
          </w:tcPr>
          <w:p w14:paraId="003F549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2.98</w:t>
            </w:r>
          </w:p>
        </w:tc>
        <w:tc>
          <w:tcPr>
            <w:tcW w:w="1089" w:type="dxa"/>
            <w:noWrap w:val="0"/>
            <w:vAlign w:val="top"/>
          </w:tcPr>
          <w:p w14:paraId="4FB9A77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5.27</w:t>
            </w:r>
          </w:p>
        </w:tc>
        <w:tc>
          <w:tcPr>
            <w:tcW w:w="1097" w:type="dxa"/>
            <w:noWrap w:val="0"/>
            <w:vAlign w:val="top"/>
          </w:tcPr>
          <w:p w14:paraId="44383A6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11.34</w:t>
            </w:r>
          </w:p>
        </w:tc>
        <w:tc>
          <w:tcPr>
            <w:tcW w:w="926" w:type="dxa"/>
            <w:noWrap w:val="0"/>
            <w:vAlign w:val="top"/>
          </w:tcPr>
          <w:p w14:paraId="2C35C8A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7.13</w:t>
            </w:r>
          </w:p>
        </w:tc>
        <w:tc>
          <w:tcPr>
            <w:tcW w:w="918" w:type="dxa"/>
            <w:noWrap w:val="0"/>
            <w:vAlign w:val="top"/>
          </w:tcPr>
          <w:p w14:paraId="25D6862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51</w:t>
            </w:r>
          </w:p>
        </w:tc>
        <w:tc>
          <w:tcPr>
            <w:tcW w:w="1056" w:type="dxa"/>
            <w:noWrap w:val="0"/>
            <w:vAlign w:val="top"/>
          </w:tcPr>
          <w:p w14:paraId="1C77D6F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178.7</w:t>
            </w:r>
          </w:p>
        </w:tc>
      </w:tr>
      <w:tr w14:paraId="5B4AF42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35EBCA03">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w:t>
            </w:r>
          </w:p>
        </w:tc>
        <w:tc>
          <w:tcPr>
            <w:tcW w:w="936" w:type="dxa"/>
            <w:noWrap w:val="0"/>
            <w:vAlign w:val="top"/>
          </w:tcPr>
          <w:p w14:paraId="63F8FCC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noWrap w:val="0"/>
            <w:vAlign w:val="top"/>
          </w:tcPr>
          <w:p w14:paraId="08B7CDF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245</w:t>
            </w:r>
          </w:p>
        </w:tc>
        <w:tc>
          <w:tcPr>
            <w:tcW w:w="993" w:type="dxa"/>
            <w:noWrap w:val="0"/>
            <w:vAlign w:val="top"/>
          </w:tcPr>
          <w:p w14:paraId="71A913D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3.56</w:t>
            </w:r>
          </w:p>
        </w:tc>
        <w:tc>
          <w:tcPr>
            <w:tcW w:w="1089" w:type="dxa"/>
            <w:noWrap w:val="0"/>
            <w:vAlign w:val="top"/>
          </w:tcPr>
          <w:p w14:paraId="39F9183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16.32</w:t>
            </w:r>
          </w:p>
        </w:tc>
        <w:tc>
          <w:tcPr>
            <w:tcW w:w="1097" w:type="dxa"/>
            <w:noWrap w:val="0"/>
            <w:vAlign w:val="top"/>
          </w:tcPr>
          <w:p w14:paraId="60DD7D3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14.05</w:t>
            </w:r>
          </w:p>
        </w:tc>
        <w:tc>
          <w:tcPr>
            <w:tcW w:w="926" w:type="dxa"/>
            <w:noWrap w:val="0"/>
            <w:vAlign w:val="top"/>
          </w:tcPr>
          <w:p w14:paraId="089EFD2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18.90</w:t>
            </w:r>
          </w:p>
        </w:tc>
        <w:tc>
          <w:tcPr>
            <w:tcW w:w="918" w:type="dxa"/>
            <w:noWrap w:val="0"/>
            <w:vAlign w:val="top"/>
          </w:tcPr>
          <w:p w14:paraId="5D5552D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41</w:t>
            </w:r>
          </w:p>
        </w:tc>
        <w:tc>
          <w:tcPr>
            <w:tcW w:w="1056" w:type="dxa"/>
            <w:noWrap w:val="0"/>
            <w:vAlign w:val="top"/>
          </w:tcPr>
          <w:p w14:paraId="35A0D3C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410.6</w:t>
            </w:r>
          </w:p>
        </w:tc>
      </w:tr>
      <w:tr w14:paraId="5ECD45B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026298D5">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w:t>
            </w:r>
          </w:p>
        </w:tc>
        <w:tc>
          <w:tcPr>
            <w:tcW w:w="936" w:type="dxa"/>
            <w:noWrap w:val="0"/>
            <w:vAlign w:val="top"/>
          </w:tcPr>
          <w:p w14:paraId="19B3111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59949D6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170</w:t>
            </w:r>
          </w:p>
        </w:tc>
        <w:tc>
          <w:tcPr>
            <w:tcW w:w="993" w:type="dxa"/>
            <w:noWrap w:val="0"/>
            <w:vAlign w:val="top"/>
          </w:tcPr>
          <w:p w14:paraId="0FF88C5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3.62</w:t>
            </w:r>
          </w:p>
        </w:tc>
        <w:tc>
          <w:tcPr>
            <w:tcW w:w="1089" w:type="dxa"/>
            <w:noWrap w:val="0"/>
            <w:vAlign w:val="top"/>
          </w:tcPr>
          <w:p w14:paraId="333CA10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7.51</w:t>
            </w:r>
          </w:p>
        </w:tc>
        <w:tc>
          <w:tcPr>
            <w:tcW w:w="1097" w:type="dxa"/>
            <w:noWrap w:val="0"/>
            <w:vAlign w:val="top"/>
          </w:tcPr>
          <w:p w14:paraId="5607B78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12.45</w:t>
            </w:r>
          </w:p>
        </w:tc>
        <w:tc>
          <w:tcPr>
            <w:tcW w:w="926" w:type="dxa"/>
            <w:noWrap w:val="0"/>
            <w:vAlign w:val="top"/>
          </w:tcPr>
          <w:p w14:paraId="2CFB731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10.05</w:t>
            </w:r>
          </w:p>
        </w:tc>
        <w:tc>
          <w:tcPr>
            <w:tcW w:w="918" w:type="dxa"/>
            <w:noWrap w:val="0"/>
            <w:vAlign w:val="top"/>
          </w:tcPr>
          <w:p w14:paraId="06B3649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w:t>
            </w:r>
          </w:p>
        </w:tc>
        <w:tc>
          <w:tcPr>
            <w:tcW w:w="1056" w:type="dxa"/>
            <w:noWrap w:val="0"/>
            <w:vAlign w:val="top"/>
          </w:tcPr>
          <w:p w14:paraId="4145078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156.8</w:t>
            </w:r>
          </w:p>
        </w:tc>
      </w:tr>
      <w:tr w14:paraId="2B72E88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5B367D2C">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w:t>
            </w:r>
          </w:p>
        </w:tc>
        <w:tc>
          <w:tcPr>
            <w:tcW w:w="936" w:type="dxa"/>
            <w:noWrap w:val="0"/>
            <w:vAlign w:val="top"/>
          </w:tcPr>
          <w:p w14:paraId="225BBE2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w:t>
            </w:r>
          </w:p>
        </w:tc>
        <w:tc>
          <w:tcPr>
            <w:tcW w:w="936" w:type="dxa"/>
            <w:noWrap w:val="0"/>
            <w:vAlign w:val="top"/>
          </w:tcPr>
          <w:p w14:paraId="295AE14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180</w:t>
            </w:r>
          </w:p>
        </w:tc>
        <w:tc>
          <w:tcPr>
            <w:tcW w:w="993" w:type="dxa"/>
            <w:noWrap w:val="0"/>
            <w:vAlign w:val="top"/>
          </w:tcPr>
          <w:p w14:paraId="7D5691F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3.51</w:t>
            </w:r>
          </w:p>
        </w:tc>
        <w:tc>
          <w:tcPr>
            <w:tcW w:w="1089" w:type="dxa"/>
            <w:noWrap w:val="0"/>
            <w:vAlign w:val="top"/>
          </w:tcPr>
          <w:p w14:paraId="4178444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6.61</w:t>
            </w:r>
          </w:p>
        </w:tc>
        <w:tc>
          <w:tcPr>
            <w:tcW w:w="1097" w:type="dxa"/>
            <w:noWrap w:val="0"/>
            <w:vAlign w:val="top"/>
          </w:tcPr>
          <w:p w14:paraId="5A664B8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10.38</w:t>
            </w:r>
          </w:p>
        </w:tc>
        <w:tc>
          <w:tcPr>
            <w:tcW w:w="926" w:type="dxa"/>
            <w:noWrap w:val="0"/>
            <w:vAlign w:val="top"/>
          </w:tcPr>
          <w:p w14:paraId="16F7AD9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5.3</w:t>
            </w:r>
          </w:p>
        </w:tc>
        <w:tc>
          <w:tcPr>
            <w:tcW w:w="918" w:type="dxa"/>
            <w:noWrap w:val="0"/>
            <w:vAlign w:val="top"/>
          </w:tcPr>
          <w:p w14:paraId="10ED2AB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75</w:t>
            </w:r>
          </w:p>
        </w:tc>
        <w:tc>
          <w:tcPr>
            <w:tcW w:w="1056" w:type="dxa"/>
            <w:noWrap w:val="0"/>
            <w:vAlign w:val="top"/>
          </w:tcPr>
          <w:p w14:paraId="734649F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230.1</w:t>
            </w:r>
          </w:p>
        </w:tc>
      </w:tr>
      <w:tr w14:paraId="6457A45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457467E8">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w:t>
            </w:r>
          </w:p>
        </w:tc>
        <w:tc>
          <w:tcPr>
            <w:tcW w:w="936" w:type="dxa"/>
            <w:noWrap w:val="0"/>
            <w:vAlign w:val="top"/>
          </w:tcPr>
          <w:p w14:paraId="13A0FF0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39E3573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185</w:t>
            </w:r>
          </w:p>
        </w:tc>
        <w:tc>
          <w:tcPr>
            <w:tcW w:w="993" w:type="dxa"/>
            <w:noWrap w:val="0"/>
            <w:vAlign w:val="top"/>
          </w:tcPr>
          <w:p w14:paraId="5122578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3.44</w:t>
            </w:r>
          </w:p>
        </w:tc>
        <w:tc>
          <w:tcPr>
            <w:tcW w:w="1089" w:type="dxa"/>
            <w:noWrap w:val="0"/>
            <w:vAlign w:val="top"/>
          </w:tcPr>
          <w:p w14:paraId="6BC60C2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5.87</w:t>
            </w:r>
          </w:p>
        </w:tc>
        <w:tc>
          <w:tcPr>
            <w:tcW w:w="1097" w:type="dxa"/>
            <w:noWrap w:val="0"/>
            <w:vAlign w:val="top"/>
          </w:tcPr>
          <w:p w14:paraId="0864C25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11.80</w:t>
            </w:r>
          </w:p>
        </w:tc>
        <w:tc>
          <w:tcPr>
            <w:tcW w:w="926" w:type="dxa"/>
            <w:noWrap w:val="0"/>
            <w:vAlign w:val="top"/>
          </w:tcPr>
          <w:p w14:paraId="2B43152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6.2</w:t>
            </w:r>
          </w:p>
        </w:tc>
        <w:tc>
          <w:tcPr>
            <w:tcW w:w="918" w:type="dxa"/>
            <w:noWrap w:val="0"/>
            <w:vAlign w:val="top"/>
          </w:tcPr>
          <w:p w14:paraId="3C9F29C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83</w:t>
            </w:r>
          </w:p>
        </w:tc>
        <w:tc>
          <w:tcPr>
            <w:tcW w:w="1056" w:type="dxa"/>
            <w:noWrap w:val="0"/>
            <w:vAlign w:val="top"/>
          </w:tcPr>
          <w:p w14:paraId="7BE8D8C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245.7</w:t>
            </w:r>
          </w:p>
        </w:tc>
      </w:tr>
      <w:tr w14:paraId="020DC51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D575AE2">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w:t>
            </w:r>
          </w:p>
        </w:tc>
        <w:tc>
          <w:tcPr>
            <w:tcW w:w="936" w:type="dxa"/>
            <w:noWrap w:val="0"/>
            <w:vAlign w:val="top"/>
          </w:tcPr>
          <w:p w14:paraId="51D217D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w:t>
            </w:r>
          </w:p>
        </w:tc>
        <w:tc>
          <w:tcPr>
            <w:tcW w:w="936" w:type="dxa"/>
            <w:noWrap w:val="0"/>
            <w:vAlign w:val="top"/>
          </w:tcPr>
          <w:p w14:paraId="7E2C0A7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213</w:t>
            </w:r>
          </w:p>
        </w:tc>
        <w:tc>
          <w:tcPr>
            <w:tcW w:w="993" w:type="dxa"/>
            <w:noWrap w:val="0"/>
            <w:vAlign w:val="top"/>
          </w:tcPr>
          <w:p w14:paraId="0BBC4B1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3.12</w:t>
            </w:r>
          </w:p>
        </w:tc>
        <w:tc>
          <w:tcPr>
            <w:tcW w:w="1089" w:type="dxa"/>
            <w:noWrap w:val="0"/>
            <w:vAlign w:val="top"/>
          </w:tcPr>
          <w:p w14:paraId="5335676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6.13</w:t>
            </w:r>
          </w:p>
        </w:tc>
        <w:tc>
          <w:tcPr>
            <w:tcW w:w="1097" w:type="dxa"/>
            <w:noWrap w:val="0"/>
            <w:vAlign w:val="top"/>
          </w:tcPr>
          <w:p w14:paraId="18D591B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13.32</w:t>
            </w:r>
          </w:p>
        </w:tc>
        <w:tc>
          <w:tcPr>
            <w:tcW w:w="926" w:type="dxa"/>
            <w:noWrap w:val="0"/>
            <w:vAlign w:val="top"/>
          </w:tcPr>
          <w:p w14:paraId="0F722A6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8.32</w:t>
            </w:r>
          </w:p>
        </w:tc>
        <w:tc>
          <w:tcPr>
            <w:tcW w:w="918" w:type="dxa"/>
            <w:noWrap w:val="0"/>
            <w:vAlign w:val="top"/>
          </w:tcPr>
          <w:p w14:paraId="4CC8BC4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85</w:t>
            </w:r>
          </w:p>
        </w:tc>
        <w:tc>
          <w:tcPr>
            <w:tcW w:w="1056" w:type="dxa"/>
            <w:noWrap w:val="0"/>
            <w:vAlign w:val="top"/>
          </w:tcPr>
          <w:p w14:paraId="06F5150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567.3</w:t>
            </w:r>
          </w:p>
        </w:tc>
      </w:tr>
      <w:tr w14:paraId="24579E5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6E4DBDCD">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w:t>
            </w:r>
          </w:p>
        </w:tc>
        <w:tc>
          <w:tcPr>
            <w:tcW w:w="936" w:type="dxa"/>
            <w:noWrap w:val="0"/>
            <w:vAlign w:val="top"/>
          </w:tcPr>
          <w:p w14:paraId="23ACDE5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w:t>
            </w:r>
          </w:p>
        </w:tc>
        <w:tc>
          <w:tcPr>
            <w:tcW w:w="936" w:type="dxa"/>
            <w:noWrap w:val="0"/>
            <w:vAlign w:val="top"/>
          </w:tcPr>
          <w:p w14:paraId="4A0D7EB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w:t>
            </w:r>
          </w:p>
        </w:tc>
        <w:tc>
          <w:tcPr>
            <w:tcW w:w="993" w:type="dxa"/>
            <w:noWrap w:val="0"/>
            <w:vAlign w:val="top"/>
          </w:tcPr>
          <w:p w14:paraId="4E093AB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3.45</w:t>
            </w:r>
          </w:p>
        </w:tc>
        <w:tc>
          <w:tcPr>
            <w:tcW w:w="1089" w:type="dxa"/>
            <w:noWrap w:val="0"/>
            <w:vAlign w:val="top"/>
          </w:tcPr>
          <w:p w14:paraId="1772884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5.98</w:t>
            </w:r>
          </w:p>
        </w:tc>
        <w:tc>
          <w:tcPr>
            <w:tcW w:w="1097" w:type="dxa"/>
            <w:noWrap w:val="0"/>
            <w:vAlign w:val="top"/>
          </w:tcPr>
          <w:p w14:paraId="57E6FAA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12.78</w:t>
            </w:r>
          </w:p>
        </w:tc>
        <w:tc>
          <w:tcPr>
            <w:tcW w:w="926" w:type="dxa"/>
            <w:noWrap w:val="0"/>
            <w:vAlign w:val="top"/>
          </w:tcPr>
          <w:p w14:paraId="362D7B7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8.16</w:t>
            </w:r>
          </w:p>
        </w:tc>
        <w:tc>
          <w:tcPr>
            <w:tcW w:w="918" w:type="dxa"/>
            <w:noWrap w:val="0"/>
            <w:vAlign w:val="top"/>
          </w:tcPr>
          <w:p w14:paraId="5FAFB3A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75</w:t>
            </w:r>
          </w:p>
        </w:tc>
        <w:tc>
          <w:tcPr>
            <w:tcW w:w="1056" w:type="dxa"/>
            <w:noWrap w:val="0"/>
            <w:vAlign w:val="top"/>
          </w:tcPr>
          <w:p w14:paraId="6C84F49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489.7</w:t>
            </w:r>
          </w:p>
        </w:tc>
      </w:tr>
      <w:tr w14:paraId="5EE314F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717A04DC">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w:t>
            </w:r>
          </w:p>
        </w:tc>
        <w:tc>
          <w:tcPr>
            <w:tcW w:w="936" w:type="dxa"/>
            <w:noWrap w:val="0"/>
            <w:vAlign w:val="top"/>
          </w:tcPr>
          <w:p w14:paraId="519AD44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noWrap w:val="0"/>
            <w:vAlign w:val="top"/>
          </w:tcPr>
          <w:p w14:paraId="325C244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253</w:t>
            </w:r>
          </w:p>
        </w:tc>
        <w:tc>
          <w:tcPr>
            <w:tcW w:w="993" w:type="dxa"/>
            <w:noWrap w:val="0"/>
            <w:vAlign w:val="top"/>
          </w:tcPr>
          <w:p w14:paraId="3378BFB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3.65</w:t>
            </w:r>
          </w:p>
        </w:tc>
        <w:tc>
          <w:tcPr>
            <w:tcW w:w="1089" w:type="dxa"/>
            <w:noWrap w:val="0"/>
            <w:vAlign w:val="top"/>
          </w:tcPr>
          <w:p w14:paraId="5985F39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16.34</w:t>
            </w:r>
          </w:p>
        </w:tc>
        <w:tc>
          <w:tcPr>
            <w:tcW w:w="1097" w:type="dxa"/>
            <w:noWrap w:val="0"/>
            <w:vAlign w:val="top"/>
          </w:tcPr>
          <w:p w14:paraId="28F2F8E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14.67</w:t>
            </w:r>
          </w:p>
        </w:tc>
        <w:tc>
          <w:tcPr>
            <w:tcW w:w="926" w:type="dxa"/>
            <w:noWrap w:val="0"/>
            <w:vAlign w:val="top"/>
          </w:tcPr>
          <w:p w14:paraId="1E6A38F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19.23</w:t>
            </w:r>
          </w:p>
        </w:tc>
        <w:tc>
          <w:tcPr>
            <w:tcW w:w="918" w:type="dxa"/>
            <w:noWrap w:val="0"/>
            <w:vAlign w:val="top"/>
          </w:tcPr>
          <w:p w14:paraId="556FBC1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45</w:t>
            </w:r>
          </w:p>
        </w:tc>
        <w:tc>
          <w:tcPr>
            <w:tcW w:w="1056" w:type="dxa"/>
            <w:noWrap w:val="0"/>
            <w:vAlign w:val="top"/>
          </w:tcPr>
          <w:p w14:paraId="20B904A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543.1</w:t>
            </w:r>
          </w:p>
        </w:tc>
      </w:tr>
      <w:tr w14:paraId="49EA00A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5B775A13">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20</w:t>
            </w:r>
          </w:p>
        </w:tc>
        <w:tc>
          <w:tcPr>
            <w:tcW w:w="936" w:type="dxa"/>
            <w:noWrap w:val="0"/>
            <w:vAlign w:val="top"/>
          </w:tcPr>
          <w:p w14:paraId="79B2875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c>
          <w:tcPr>
            <w:tcW w:w="936" w:type="dxa"/>
            <w:noWrap w:val="0"/>
            <w:vAlign w:val="top"/>
          </w:tcPr>
          <w:p w14:paraId="4112D53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215</w:t>
            </w:r>
          </w:p>
        </w:tc>
        <w:tc>
          <w:tcPr>
            <w:tcW w:w="993" w:type="dxa"/>
            <w:noWrap w:val="0"/>
            <w:vAlign w:val="top"/>
          </w:tcPr>
          <w:p w14:paraId="10BF5EB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3.26</w:t>
            </w:r>
          </w:p>
        </w:tc>
        <w:tc>
          <w:tcPr>
            <w:tcW w:w="1089" w:type="dxa"/>
            <w:noWrap w:val="0"/>
            <w:vAlign w:val="top"/>
          </w:tcPr>
          <w:p w14:paraId="2C01A44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17.41</w:t>
            </w:r>
          </w:p>
        </w:tc>
        <w:tc>
          <w:tcPr>
            <w:tcW w:w="1097" w:type="dxa"/>
            <w:noWrap w:val="0"/>
            <w:vAlign w:val="top"/>
          </w:tcPr>
          <w:p w14:paraId="71DB312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15.11</w:t>
            </w:r>
          </w:p>
        </w:tc>
        <w:tc>
          <w:tcPr>
            <w:tcW w:w="926" w:type="dxa"/>
            <w:noWrap w:val="0"/>
            <w:vAlign w:val="top"/>
          </w:tcPr>
          <w:p w14:paraId="179A1EC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19.25</w:t>
            </w:r>
          </w:p>
        </w:tc>
        <w:tc>
          <w:tcPr>
            <w:tcW w:w="918" w:type="dxa"/>
            <w:noWrap w:val="0"/>
            <w:vAlign w:val="top"/>
          </w:tcPr>
          <w:p w14:paraId="6B03535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39</w:t>
            </w:r>
          </w:p>
        </w:tc>
        <w:tc>
          <w:tcPr>
            <w:tcW w:w="1056" w:type="dxa"/>
            <w:noWrap w:val="0"/>
            <w:vAlign w:val="top"/>
          </w:tcPr>
          <w:p w14:paraId="1F5C6B3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436.2</w:t>
            </w:r>
          </w:p>
        </w:tc>
      </w:tr>
      <w:tr w14:paraId="6EAE1F4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A56BBED">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21</w:t>
            </w:r>
          </w:p>
        </w:tc>
        <w:tc>
          <w:tcPr>
            <w:tcW w:w="936" w:type="dxa"/>
            <w:noWrap w:val="0"/>
            <w:vAlign w:val="top"/>
          </w:tcPr>
          <w:p w14:paraId="40FBC66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w:t>
            </w:r>
          </w:p>
        </w:tc>
        <w:tc>
          <w:tcPr>
            <w:tcW w:w="936" w:type="dxa"/>
            <w:noWrap w:val="0"/>
            <w:vAlign w:val="top"/>
          </w:tcPr>
          <w:p w14:paraId="445A252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198</w:t>
            </w:r>
          </w:p>
        </w:tc>
        <w:tc>
          <w:tcPr>
            <w:tcW w:w="993" w:type="dxa"/>
            <w:noWrap w:val="0"/>
            <w:vAlign w:val="top"/>
          </w:tcPr>
          <w:p w14:paraId="7A9264B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3.47</w:t>
            </w:r>
          </w:p>
        </w:tc>
        <w:tc>
          <w:tcPr>
            <w:tcW w:w="1089" w:type="dxa"/>
            <w:noWrap w:val="0"/>
            <w:vAlign w:val="top"/>
          </w:tcPr>
          <w:p w14:paraId="773D0AA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5.20</w:t>
            </w:r>
          </w:p>
        </w:tc>
        <w:tc>
          <w:tcPr>
            <w:tcW w:w="1097" w:type="dxa"/>
            <w:noWrap w:val="0"/>
            <w:vAlign w:val="top"/>
          </w:tcPr>
          <w:p w14:paraId="482192D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15.62</w:t>
            </w:r>
          </w:p>
        </w:tc>
        <w:tc>
          <w:tcPr>
            <w:tcW w:w="926" w:type="dxa"/>
            <w:noWrap w:val="0"/>
            <w:vAlign w:val="top"/>
          </w:tcPr>
          <w:p w14:paraId="3DC87DF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10.88</w:t>
            </w:r>
          </w:p>
        </w:tc>
        <w:tc>
          <w:tcPr>
            <w:tcW w:w="918" w:type="dxa"/>
            <w:noWrap w:val="0"/>
            <w:vAlign w:val="top"/>
          </w:tcPr>
          <w:p w14:paraId="7D6944D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156</w:t>
            </w:r>
          </w:p>
        </w:tc>
        <w:tc>
          <w:tcPr>
            <w:tcW w:w="1056" w:type="dxa"/>
            <w:noWrap w:val="0"/>
            <w:vAlign w:val="top"/>
          </w:tcPr>
          <w:p w14:paraId="08BE742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895.6</w:t>
            </w:r>
          </w:p>
        </w:tc>
      </w:tr>
      <w:tr w14:paraId="134387E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2E076208">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22</w:t>
            </w:r>
          </w:p>
        </w:tc>
        <w:tc>
          <w:tcPr>
            <w:tcW w:w="936" w:type="dxa"/>
            <w:noWrap w:val="0"/>
            <w:vAlign w:val="top"/>
          </w:tcPr>
          <w:p w14:paraId="6893FCC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w:t>
            </w:r>
          </w:p>
        </w:tc>
        <w:tc>
          <w:tcPr>
            <w:tcW w:w="936" w:type="dxa"/>
            <w:noWrap w:val="0"/>
            <w:vAlign w:val="top"/>
          </w:tcPr>
          <w:p w14:paraId="2DBA3A9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175</w:t>
            </w:r>
          </w:p>
        </w:tc>
        <w:tc>
          <w:tcPr>
            <w:tcW w:w="993" w:type="dxa"/>
            <w:noWrap w:val="0"/>
            <w:vAlign w:val="top"/>
          </w:tcPr>
          <w:p w14:paraId="7A18A1E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2.98</w:t>
            </w:r>
          </w:p>
        </w:tc>
        <w:tc>
          <w:tcPr>
            <w:tcW w:w="1089" w:type="dxa"/>
            <w:noWrap w:val="0"/>
            <w:vAlign w:val="top"/>
          </w:tcPr>
          <w:p w14:paraId="54FE79D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5.34</w:t>
            </w:r>
          </w:p>
        </w:tc>
        <w:tc>
          <w:tcPr>
            <w:tcW w:w="1097" w:type="dxa"/>
            <w:noWrap w:val="0"/>
            <w:vAlign w:val="top"/>
          </w:tcPr>
          <w:p w14:paraId="054BF31C">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14.54</w:t>
            </w:r>
          </w:p>
        </w:tc>
        <w:tc>
          <w:tcPr>
            <w:tcW w:w="926" w:type="dxa"/>
            <w:noWrap w:val="0"/>
            <w:vAlign w:val="top"/>
          </w:tcPr>
          <w:p w14:paraId="096F8E8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12.13</w:t>
            </w:r>
          </w:p>
        </w:tc>
        <w:tc>
          <w:tcPr>
            <w:tcW w:w="918" w:type="dxa"/>
            <w:noWrap w:val="0"/>
            <w:vAlign w:val="top"/>
          </w:tcPr>
          <w:p w14:paraId="1F3176B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148</w:t>
            </w:r>
          </w:p>
        </w:tc>
        <w:tc>
          <w:tcPr>
            <w:tcW w:w="1056" w:type="dxa"/>
            <w:noWrap w:val="0"/>
            <w:vAlign w:val="top"/>
          </w:tcPr>
          <w:p w14:paraId="7020B2E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817.4</w:t>
            </w:r>
          </w:p>
        </w:tc>
      </w:tr>
      <w:tr w14:paraId="076606D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80499B7">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23</w:t>
            </w:r>
          </w:p>
        </w:tc>
        <w:tc>
          <w:tcPr>
            <w:tcW w:w="936" w:type="dxa"/>
            <w:noWrap w:val="0"/>
            <w:vAlign w:val="top"/>
          </w:tcPr>
          <w:p w14:paraId="4ED34EA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w:t>
            </w:r>
          </w:p>
        </w:tc>
        <w:tc>
          <w:tcPr>
            <w:tcW w:w="936" w:type="dxa"/>
            <w:noWrap w:val="0"/>
            <w:vAlign w:val="top"/>
          </w:tcPr>
          <w:p w14:paraId="379EF20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188</w:t>
            </w:r>
          </w:p>
        </w:tc>
        <w:tc>
          <w:tcPr>
            <w:tcW w:w="993" w:type="dxa"/>
            <w:noWrap w:val="0"/>
            <w:vAlign w:val="top"/>
          </w:tcPr>
          <w:p w14:paraId="249C9E6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3.45</w:t>
            </w:r>
          </w:p>
        </w:tc>
        <w:tc>
          <w:tcPr>
            <w:tcW w:w="1089" w:type="dxa"/>
            <w:noWrap w:val="0"/>
            <w:vAlign w:val="top"/>
          </w:tcPr>
          <w:p w14:paraId="242D939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5.48</w:t>
            </w:r>
          </w:p>
        </w:tc>
        <w:tc>
          <w:tcPr>
            <w:tcW w:w="1097" w:type="dxa"/>
            <w:noWrap w:val="0"/>
            <w:vAlign w:val="top"/>
          </w:tcPr>
          <w:p w14:paraId="6554D3A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14.87</w:t>
            </w:r>
          </w:p>
        </w:tc>
        <w:tc>
          <w:tcPr>
            <w:tcW w:w="926" w:type="dxa"/>
            <w:noWrap w:val="0"/>
            <w:vAlign w:val="top"/>
          </w:tcPr>
          <w:p w14:paraId="095F451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11.86</w:t>
            </w:r>
          </w:p>
        </w:tc>
        <w:tc>
          <w:tcPr>
            <w:tcW w:w="918" w:type="dxa"/>
            <w:noWrap w:val="0"/>
            <w:vAlign w:val="top"/>
          </w:tcPr>
          <w:p w14:paraId="771C2A7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137</w:t>
            </w:r>
          </w:p>
        </w:tc>
        <w:tc>
          <w:tcPr>
            <w:tcW w:w="1056" w:type="dxa"/>
            <w:noWrap w:val="0"/>
            <w:vAlign w:val="top"/>
          </w:tcPr>
          <w:p w14:paraId="5A41157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845.8</w:t>
            </w:r>
          </w:p>
        </w:tc>
      </w:tr>
      <w:tr w14:paraId="23D952B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663ABB97">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24</w:t>
            </w:r>
          </w:p>
        </w:tc>
        <w:tc>
          <w:tcPr>
            <w:tcW w:w="936" w:type="dxa"/>
            <w:noWrap w:val="0"/>
            <w:vAlign w:val="top"/>
          </w:tcPr>
          <w:p w14:paraId="6796FF0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w:t>
            </w:r>
          </w:p>
        </w:tc>
        <w:tc>
          <w:tcPr>
            <w:tcW w:w="936" w:type="dxa"/>
            <w:noWrap w:val="0"/>
            <w:vAlign w:val="top"/>
          </w:tcPr>
          <w:p w14:paraId="7A8B9C2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168</w:t>
            </w:r>
          </w:p>
        </w:tc>
        <w:tc>
          <w:tcPr>
            <w:tcW w:w="993" w:type="dxa"/>
            <w:noWrap w:val="0"/>
            <w:vAlign w:val="top"/>
          </w:tcPr>
          <w:p w14:paraId="15C443A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2.75</w:t>
            </w:r>
          </w:p>
        </w:tc>
        <w:tc>
          <w:tcPr>
            <w:tcW w:w="1089" w:type="dxa"/>
            <w:noWrap w:val="0"/>
            <w:vAlign w:val="top"/>
          </w:tcPr>
          <w:p w14:paraId="64E1458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5.12</w:t>
            </w:r>
          </w:p>
        </w:tc>
        <w:tc>
          <w:tcPr>
            <w:tcW w:w="1097" w:type="dxa"/>
            <w:noWrap w:val="0"/>
            <w:vAlign w:val="top"/>
          </w:tcPr>
          <w:p w14:paraId="0ECFEEA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11.84</w:t>
            </w:r>
          </w:p>
        </w:tc>
        <w:tc>
          <w:tcPr>
            <w:tcW w:w="926" w:type="dxa"/>
            <w:noWrap w:val="0"/>
            <w:vAlign w:val="top"/>
          </w:tcPr>
          <w:p w14:paraId="5C35D40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10.6</w:t>
            </w:r>
          </w:p>
        </w:tc>
        <w:tc>
          <w:tcPr>
            <w:tcW w:w="918" w:type="dxa"/>
            <w:noWrap w:val="0"/>
            <w:vAlign w:val="top"/>
          </w:tcPr>
          <w:p w14:paraId="03FF1AD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53</w:t>
            </w:r>
          </w:p>
        </w:tc>
        <w:tc>
          <w:tcPr>
            <w:tcW w:w="1056" w:type="dxa"/>
            <w:noWrap w:val="0"/>
            <w:vAlign w:val="top"/>
          </w:tcPr>
          <w:p w14:paraId="5B05E6A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267.5</w:t>
            </w:r>
          </w:p>
        </w:tc>
      </w:tr>
      <w:tr w14:paraId="1013097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68586A57">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25</w:t>
            </w:r>
          </w:p>
        </w:tc>
        <w:tc>
          <w:tcPr>
            <w:tcW w:w="936" w:type="dxa"/>
            <w:noWrap w:val="0"/>
            <w:vAlign w:val="top"/>
          </w:tcPr>
          <w:p w14:paraId="1E211C4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w:t>
            </w:r>
          </w:p>
        </w:tc>
        <w:tc>
          <w:tcPr>
            <w:tcW w:w="936" w:type="dxa"/>
            <w:noWrap w:val="0"/>
            <w:vAlign w:val="top"/>
          </w:tcPr>
          <w:p w14:paraId="466F993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185</w:t>
            </w:r>
          </w:p>
        </w:tc>
        <w:tc>
          <w:tcPr>
            <w:tcW w:w="993" w:type="dxa"/>
            <w:noWrap w:val="0"/>
            <w:vAlign w:val="top"/>
          </w:tcPr>
          <w:p w14:paraId="52F630B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3.87</w:t>
            </w:r>
          </w:p>
        </w:tc>
        <w:tc>
          <w:tcPr>
            <w:tcW w:w="1089" w:type="dxa"/>
            <w:noWrap w:val="0"/>
            <w:vAlign w:val="top"/>
          </w:tcPr>
          <w:p w14:paraId="03A0F73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7.82</w:t>
            </w:r>
          </w:p>
        </w:tc>
        <w:tc>
          <w:tcPr>
            <w:tcW w:w="1097" w:type="dxa"/>
            <w:noWrap w:val="0"/>
            <w:vAlign w:val="top"/>
          </w:tcPr>
          <w:p w14:paraId="6402017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14.57</w:t>
            </w:r>
          </w:p>
        </w:tc>
        <w:tc>
          <w:tcPr>
            <w:tcW w:w="926" w:type="dxa"/>
            <w:noWrap w:val="0"/>
            <w:vAlign w:val="top"/>
          </w:tcPr>
          <w:p w14:paraId="7CDDD7A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9.4</w:t>
            </w:r>
          </w:p>
        </w:tc>
        <w:tc>
          <w:tcPr>
            <w:tcW w:w="918" w:type="dxa"/>
            <w:noWrap w:val="0"/>
            <w:vAlign w:val="top"/>
          </w:tcPr>
          <w:p w14:paraId="05A7387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145</w:t>
            </w:r>
          </w:p>
        </w:tc>
        <w:tc>
          <w:tcPr>
            <w:tcW w:w="1056" w:type="dxa"/>
            <w:noWrap w:val="0"/>
            <w:vAlign w:val="top"/>
          </w:tcPr>
          <w:p w14:paraId="3AC2B3A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912.3</w:t>
            </w:r>
          </w:p>
        </w:tc>
      </w:tr>
      <w:tr w14:paraId="0D37BCC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3B47A4F1">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26</w:t>
            </w:r>
          </w:p>
        </w:tc>
        <w:tc>
          <w:tcPr>
            <w:tcW w:w="936" w:type="dxa"/>
            <w:noWrap w:val="0"/>
            <w:vAlign w:val="top"/>
          </w:tcPr>
          <w:p w14:paraId="2168A6F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w:t>
            </w:r>
          </w:p>
        </w:tc>
        <w:tc>
          <w:tcPr>
            <w:tcW w:w="936" w:type="dxa"/>
            <w:noWrap w:val="0"/>
            <w:vAlign w:val="top"/>
          </w:tcPr>
          <w:p w14:paraId="4356AEC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173</w:t>
            </w:r>
          </w:p>
        </w:tc>
        <w:tc>
          <w:tcPr>
            <w:tcW w:w="993" w:type="dxa"/>
            <w:noWrap w:val="0"/>
            <w:vAlign w:val="top"/>
          </w:tcPr>
          <w:p w14:paraId="61C55AB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3.11</w:t>
            </w:r>
          </w:p>
        </w:tc>
        <w:tc>
          <w:tcPr>
            <w:tcW w:w="1089" w:type="dxa"/>
            <w:noWrap w:val="0"/>
            <w:vAlign w:val="top"/>
          </w:tcPr>
          <w:p w14:paraId="2751F66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4.78</w:t>
            </w:r>
          </w:p>
        </w:tc>
        <w:tc>
          <w:tcPr>
            <w:tcW w:w="1097" w:type="dxa"/>
            <w:noWrap w:val="0"/>
            <w:vAlign w:val="top"/>
          </w:tcPr>
          <w:p w14:paraId="18B6FEF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16.75</w:t>
            </w:r>
          </w:p>
        </w:tc>
        <w:tc>
          <w:tcPr>
            <w:tcW w:w="926" w:type="dxa"/>
            <w:noWrap w:val="0"/>
            <w:vAlign w:val="top"/>
          </w:tcPr>
          <w:p w14:paraId="1065D3FA">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8.95</w:t>
            </w:r>
          </w:p>
        </w:tc>
        <w:tc>
          <w:tcPr>
            <w:tcW w:w="918" w:type="dxa"/>
            <w:noWrap w:val="0"/>
            <w:vAlign w:val="top"/>
          </w:tcPr>
          <w:p w14:paraId="1B52331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64</w:t>
            </w:r>
          </w:p>
        </w:tc>
        <w:tc>
          <w:tcPr>
            <w:tcW w:w="1056" w:type="dxa"/>
            <w:noWrap w:val="0"/>
            <w:vAlign w:val="top"/>
          </w:tcPr>
          <w:p w14:paraId="0186C8B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467.5</w:t>
            </w:r>
          </w:p>
        </w:tc>
      </w:tr>
      <w:tr w14:paraId="2A0B750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56EAFB0C">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27</w:t>
            </w:r>
          </w:p>
        </w:tc>
        <w:tc>
          <w:tcPr>
            <w:tcW w:w="936" w:type="dxa"/>
            <w:noWrap w:val="0"/>
            <w:vAlign w:val="top"/>
          </w:tcPr>
          <w:p w14:paraId="0E1146A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3A1B9F3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168</w:t>
            </w:r>
          </w:p>
        </w:tc>
        <w:tc>
          <w:tcPr>
            <w:tcW w:w="993" w:type="dxa"/>
            <w:noWrap w:val="0"/>
            <w:vAlign w:val="top"/>
          </w:tcPr>
          <w:p w14:paraId="6489DEA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3.65</w:t>
            </w:r>
          </w:p>
        </w:tc>
        <w:tc>
          <w:tcPr>
            <w:tcW w:w="1089" w:type="dxa"/>
            <w:noWrap w:val="0"/>
            <w:vAlign w:val="top"/>
          </w:tcPr>
          <w:p w14:paraId="220DBD5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5.72</w:t>
            </w:r>
          </w:p>
        </w:tc>
        <w:tc>
          <w:tcPr>
            <w:tcW w:w="1097" w:type="dxa"/>
            <w:noWrap w:val="0"/>
            <w:vAlign w:val="top"/>
          </w:tcPr>
          <w:p w14:paraId="6A79DBC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13.39</w:t>
            </w:r>
          </w:p>
        </w:tc>
        <w:tc>
          <w:tcPr>
            <w:tcW w:w="926" w:type="dxa"/>
            <w:noWrap w:val="0"/>
            <w:vAlign w:val="top"/>
          </w:tcPr>
          <w:p w14:paraId="67A3742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8.34</w:t>
            </w:r>
          </w:p>
        </w:tc>
        <w:tc>
          <w:tcPr>
            <w:tcW w:w="918" w:type="dxa"/>
            <w:noWrap w:val="0"/>
            <w:vAlign w:val="top"/>
          </w:tcPr>
          <w:p w14:paraId="6B21220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88</w:t>
            </w:r>
          </w:p>
        </w:tc>
        <w:tc>
          <w:tcPr>
            <w:tcW w:w="1056" w:type="dxa"/>
            <w:noWrap w:val="0"/>
            <w:vAlign w:val="top"/>
          </w:tcPr>
          <w:p w14:paraId="70DDD41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512.3</w:t>
            </w:r>
          </w:p>
        </w:tc>
      </w:tr>
      <w:tr w14:paraId="7F12CC8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234D5353">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28</w:t>
            </w:r>
          </w:p>
        </w:tc>
        <w:tc>
          <w:tcPr>
            <w:tcW w:w="936" w:type="dxa"/>
            <w:noWrap w:val="0"/>
            <w:vAlign w:val="top"/>
          </w:tcPr>
          <w:p w14:paraId="59DCBF6B">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w:t>
            </w:r>
          </w:p>
        </w:tc>
        <w:tc>
          <w:tcPr>
            <w:tcW w:w="936" w:type="dxa"/>
            <w:noWrap w:val="0"/>
            <w:vAlign w:val="top"/>
          </w:tcPr>
          <w:p w14:paraId="1912B9F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189</w:t>
            </w:r>
          </w:p>
        </w:tc>
        <w:tc>
          <w:tcPr>
            <w:tcW w:w="993" w:type="dxa"/>
            <w:noWrap w:val="0"/>
            <w:vAlign w:val="top"/>
          </w:tcPr>
          <w:p w14:paraId="2B5D4EF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3.12</w:t>
            </w:r>
          </w:p>
        </w:tc>
        <w:tc>
          <w:tcPr>
            <w:tcW w:w="1089" w:type="dxa"/>
            <w:noWrap w:val="0"/>
            <w:vAlign w:val="top"/>
          </w:tcPr>
          <w:p w14:paraId="7487BC1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5.58</w:t>
            </w:r>
          </w:p>
        </w:tc>
        <w:tc>
          <w:tcPr>
            <w:tcW w:w="1097" w:type="dxa"/>
            <w:noWrap w:val="0"/>
            <w:vAlign w:val="top"/>
          </w:tcPr>
          <w:p w14:paraId="0F3F729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13.55</w:t>
            </w:r>
          </w:p>
        </w:tc>
        <w:tc>
          <w:tcPr>
            <w:tcW w:w="926" w:type="dxa"/>
            <w:noWrap w:val="0"/>
            <w:vAlign w:val="top"/>
          </w:tcPr>
          <w:p w14:paraId="6013FC6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7.6</w:t>
            </w:r>
          </w:p>
        </w:tc>
        <w:tc>
          <w:tcPr>
            <w:tcW w:w="918" w:type="dxa"/>
            <w:noWrap w:val="0"/>
            <w:vAlign w:val="top"/>
          </w:tcPr>
          <w:p w14:paraId="40C37D5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56</w:t>
            </w:r>
          </w:p>
        </w:tc>
        <w:tc>
          <w:tcPr>
            <w:tcW w:w="1056" w:type="dxa"/>
            <w:noWrap w:val="0"/>
            <w:vAlign w:val="top"/>
          </w:tcPr>
          <w:p w14:paraId="7581137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395</w:t>
            </w:r>
          </w:p>
        </w:tc>
      </w:tr>
      <w:tr w14:paraId="15FF400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04D57D7E">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29</w:t>
            </w:r>
          </w:p>
        </w:tc>
        <w:tc>
          <w:tcPr>
            <w:tcW w:w="936" w:type="dxa"/>
            <w:noWrap w:val="0"/>
            <w:vAlign w:val="top"/>
          </w:tcPr>
          <w:p w14:paraId="2EF1098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2271DEBD">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176</w:t>
            </w:r>
          </w:p>
        </w:tc>
        <w:tc>
          <w:tcPr>
            <w:tcW w:w="993" w:type="dxa"/>
            <w:noWrap w:val="0"/>
            <w:vAlign w:val="top"/>
          </w:tcPr>
          <w:p w14:paraId="07710EE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2.95</w:t>
            </w:r>
          </w:p>
        </w:tc>
        <w:tc>
          <w:tcPr>
            <w:tcW w:w="1089" w:type="dxa"/>
            <w:noWrap w:val="0"/>
            <w:vAlign w:val="top"/>
          </w:tcPr>
          <w:p w14:paraId="374D9E9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6.12</w:t>
            </w:r>
          </w:p>
        </w:tc>
        <w:tc>
          <w:tcPr>
            <w:tcW w:w="1097" w:type="dxa"/>
            <w:noWrap w:val="0"/>
            <w:vAlign w:val="top"/>
          </w:tcPr>
          <w:p w14:paraId="29CA6E9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12.12</w:t>
            </w:r>
          </w:p>
        </w:tc>
        <w:tc>
          <w:tcPr>
            <w:tcW w:w="926" w:type="dxa"/>
            <w:noWrap w:val="0"/>
            <w:vAlign w:val="top"/>
          </w:tcPr>
          <w:p w14:paraId="2189150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7.2</w:t>
            </w:r>
          </w:p>
        </w:tc>
        <w:tc>
          <w:tcPr>
            <w:tcW w:w="918" w:type="dxa"/>
            <w:noWrap w:val="0"/>
            <w:vAlign w:val="top"/>
          </w:tcPr>
          <w:p w14:paraId="5FD2720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73</w:t>
            </w:r>
          </w:p>
        </w:tc>
        <w:tc>
          <w:tcPr>
            <w:tcW w:w="1056" w:type="dxa"/>
            <w:noWrap w:val="0"/>
            <w:vAlign w:val="top"/>
          </w:tcPr>
          <w:p w14:paraId="639EDDC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456</w:t>
            </w:r>
          </w:p>
        </w:tc>
      </w:tr>
      <w:tr w14:paraId="1DBB0AD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413628FF">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30</w:t>
            </w:r>
          </w:p>
        </w:tc>
        <w:tc>
          <w:tcPr>
            <w:tcW w:w="936" w:type="dxa"/>
            <w:noWrap w:val="0"/>
            <w:vAlign w:val="top"/>
          </w:tcPr>
          <w:p w14:paraId="72B73DF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w:t>
            </w:r>
          </w:p>
        </w:tc>
        <w:tc>
          <w:tcPr>
            <w:tcW w:w="936" w:type="dxa"/>
            <w:noWrap w:val="0"/>
            <w:vAlign w:val="top"/>
          </w:tcPr>
          <w:p w14:paraId="2D9EAA9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170</w:t>
            </w:r>
          </w:p>
        </w:tc>
        <w:tc>
          <w:tcPr>
            <w:tcW w:w="993" w:type="dxa"/>
            <w:noWrap w:val="0"/>
            <w:vAlign w:val="top"/>
          </w:tcPr>
          <w:p w14:paraId="05CBC471">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3.34</w:t>
            </w:r>
          </w:p>
        </w:tc>
        <w:tc>
          <w:tcPr>
            <w:tcW w:w="1089" w:type="dxa"/>
            <w:noWrap w:val="0"/>
            <w:vAlign w:val="top"/>
          </w:tcPr>
          <w:p w14:paraId="07A0E08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5.86</w:t>
            </w:r>
          </w:p>
        </w:tc>
        <w:tc>
          <w:tcPr>
            <w:tcW w:w="1097" w:type="dxa"/>
            <w:noWrap w:val="0"/>
            <w:vAlign w:val="top"/>
          </w:tcPr>
          <w:p w14:paraId="3E729C0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11.67</w:t>
            </w:r>
          </w:p>
        </w:tc>
        <w:tc>
          <w:tcPr>
            <w:tcW w:w="926" w:type="dxa"/>
            <w:noWrap w:val="0"/>
            <w:vAlign w:val="top"/>
          </w:tcPr>
          <w:p w14:paraId="1038773E">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6.9</w:t>
            </w:r>
          </w:p>
        </w:tc>
        <w:tc>
          <w:tcPr>
            <w:tcW w:w="918" w:type="dxa"/>
            <w:noWrap w:val="0"/>
            <w:vAlign w:val="top"/>
          </w:tcPr>
          <w:p w14:paraId="169BF87F">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65</w:t>
            </w:r>
          </w:p>
        </w:tc>
        <w:tc>
          <w:tcPr>
            <w:tcW w:w="1056" w:type="dxa"/>
            <w:noWrap w:val="0"/>
            <w:vAlign w:val="top"/>
          </w:tcPr>
          <w:p w14:paraId="26B5D61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412</w:t>
            </w:r>
          </w:p>
        </w:tc>
      </w:tr>
      <w:tr w14:paraId="16DEECC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49CF0488">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w:t>
            </w:r>
          </w:p>
        </w:tc>
        <w:tc>
          <w:tcPr>
            <w:tcW w:w="936" w:type="dxa"/>
            <w:noWrap w:val="0"/>
            <w:vAlign w:val="top"/>
          </w:tcPr>
          <w:p w14:paraId="62358AE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w:t>
            </w:r>
          </w:p>
        </w:tc>
        <w:tc>
          <w:tcPr>
            <w:tcW w:w="936" w:type="dxa"/>
            <w:noWrap w:val="0"/>
            <w:vAlign w:val="top"/>
          </w:tcPr>
          <w:p w14:paraId="7324BDE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124</w:t>
            </w:r>
          </w:p>
        </w:tc>
        <w:tc>
          <w:tcPr>
            <w:tcW w:w="993" w:type="dxa"/>
            <w:noWrap w:val="0"/>
            <w:vAlign w:val="top"/>
          </w:tcPr>
          <w:p w14:paraId="18FF2DB4">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2.63</w:t>
            </w:r>
          </w:p>
        </w:tc>
        <w:tc>
          <w:tcPr>
            <w:tcW w:w="1089" w:type="dxa"/>
            <w:noWrap w:val="0"/>
            <w:vAlign w:val="top"/>
          </w:tcPr>
          <w:p w14:paraId="63F690D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4.5</w:t>
            </w:r>
          </w:p>
        </w:tc>
        <w:tc>
          <w:tcPr>
            <w:tcW w:w="1097" w:type="dxa"/>
            <w:noWrap w:val="0"/>
            <w:vAlign w:val="top"/>
          </w:tcPr>
          <w:p w14:paraId="107F835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11.37</w:t>
            </w:r>
          </w:p>
        </w:tc>
        <w:tc>
          <w:tcPr>
            <w:tcW w:w="926" w:type="dxa"/>
            <w:noWrap w:val="0"/>
            <w:vAlign w:val="top"/>
          </w:tcPr>
          <w:p w14:paraId="678F2F4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3.15</w:t>
            </w:r>
          </w:p>
        </w:tc>
        <w:tc>
          <w:tcPr>
            <w:tcW w:w="918" w:type="dxa"/>
            <w:noWrap w:val="0"/>
            <w:vAlign w:val="top"/>
          </w:tcPr>
          <w:p w14:paraId="51CE1098">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95</w:t>
            </w:r>
          </w:p>
        </w:tc>
        <w:tc>
          <w:tcPr>
            <w:tcW w:w="1056" w:type="dxa"/>
            <w:noWrap w:val="0"/>
            <w:vAlign w:val="top"/>
          </w:tcPr>
          <w:p w14:paraId="265CFB2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496.8</w:t>
            </w:r>
          </w:p>
        </w:tc>
      </w:tr>
      <w:tr w14:paraId="438F963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571" w:type="dxa"/>
            <w:noWrap w:val="0"/>
            <w:vAlign w:val="center"/>
          </w:tcPr>
          <w:p w14:paraId="1B38B938">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w:t>
            </w:r>
          </w:p>
        </w:tc>
        <w:tc>
          <w:tcPr>
            <w:tcW w:w="936" w:type="dxa"/>
            <w:noWrap w:val="0"/>
            <w:vAlign w:val="top"/>
          </w:tcPr>
          <w:p w14:paraId="52B73346">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w:t>
            </w:r>
          </w:p>
        </w:tc>
        <w:tc>
          <w:tcPr>
            <w:tcW w:w="936" w:type="dxa"/>
            <w:noWrap w:val="0"/>
            <w:vAlign w:val="top"/>
          </w:tcPr>
          <w:p w14:paraId="0729731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109</w:t>
            </w:r>
          </w:p>
        </w:tc>
        <w:tc>
          <w:tcPr>
            <w:tcW w:w="993" w:type="dxa"/>
            <w:noWrap w:val="0"/>
            <w:vAlign w:val="top"/>
          </w:tcPr>
          <w:p w14:paraId="54270652">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2.34</w:t>
            </w:r>
          </w:p>
        </w:tc>
        <w:tc>
          <w:tcPr>
            <w:tcW w:w="1089" w:type="dxa"/>
            <w:noWrap w:val="0"/>
            <w:vAlign w:val="top"/>
          </w:tcPr>
          <w:p w14:paraId="34BBE340">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4.1</w:t>
            </w:r>
          </w:p>
        </w:tc>
        <w:tc>
          <w:tcPr>
            <w:tcW w:w="1097" w:type="dxa"/>
            <w:noWrap w:val="0"/>
            <w:vAlign w:val="top"/>
          </w:tcPr>
          <w:p w14:paraId="291827E9">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10.56</w:t>
            </w:r>
          </w:p>
        </w:tc>
        <w:tc>
          <w:tcPr>
            <w:tcW w:w="926" w:type="dxa"/>
            <w:noWrap w:val="0"/>
            <w:vAlign w:val="top"/>
          </w:tcPr>
          <w:p w14:paraId="04DCD0A7">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2.88</w:t>
            </w:r>
          </w:p>
        </w:tc>
        <w:tc>
          <w:tcPr>
            <w:tcW w:w="918" w:type="dxa"/>
            <w:noWrap w:val="0"/>
            <w:vAlign w:val="top"/>
          </w:tcPr>
          <w:p w14:paraId="0434A373">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67</w:t>
            </w:r>
          </w:p>
        </w:tc>
        <w:tc>
          <w:tcPr>
            <w:tcW w:w="1056" w:type="dxa"/>
            <w:noWrap w:val="0"/>
            <w:vAlign w:val="top"/>
          </w:tcPr>
          <w:p w14:paraId="267825D5">
            <w:pPr>
              <w:spacing w:line="360" w:lineRule="auto"/>
              <w:outlineLvl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312.6</w:t>
            </w:r>
          </w:p>
        </w:tc>
      </w:tr>
      <w:bookmarkEnd w:id="6"/>
    </w:tbl>
    <w:p w14:paraId="1BC66BE1">
      <w:pPr>
        <w:spacing w:line="360" w:lineRule="auto"/>
        <w:jc w:val="center"/>
        <w:rPr>
          <w:rFonts w:hint="eastAsia" w:ascii="宋体" w:hAnsi="宋体" w:eastAsia="宋体" w:cs="Times New Roman"/>
          <w:sz w:val="24"/>
          <w:szCs w:val="24"/>
        </w:rPr>
      </w:pPr>
    </w:p>
    <w:p w14:paraId="3F214E24">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表</w:t>
      </w:r>
      <w:r>
        <w:rPr>
          <w:rFonts w:hint="eastAsia" w:ascii="宋体" w:hAnsi="宋体" w:eastAsia="宋体" w:cs="Times New Roman"/>
          <w:sz w:val="24"/>
          <w:szCs w:val="24"/>
          <w:lang w:val="en-US" w:eastAsia="zh-CN"/>
        </w:rPr>
        <w:t>10</w:t>
      </w:r>
      <w:r>
        <w:rPr>
          <w:rFonts w:hint="eastAsia" w:ascii="宋体" w:hAnsi="宋体" w:eastAsia="宋体" w:cs="Times New Roman"/>
          <w:sz w:val="24"/>
          <w:szCs w:val="24"/>
        </w:rPr>
        <w:t xml:space="preserve"> 不同性状的平均数分析</w:t>
      </w:r>
    </w:p>
    <w:tbl>
      <w:tblPr>
        <w:tblStyle w:val="3"/>
        <w:tblW w:w="0" w:type="auto"/>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91"/>
        <w:gridCol w:w="1029"/>
        <w:gridCol w:w="979"/>
        <w:gridCol w:w="1027"/>
        <w:gridCol w:w="1169"/>
        <w:gridCol w:w="1111"/>
        <w:gridCol w:w="1616"/>
      </w:tblGrid>
      <w:tr w14:paraId="4ADE116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blHeader/>
          <w:jc w:val="center"/>
        </w:trPr>
        <w:tc>
          <w:tcPr>
            <w:tcW w:w="1827" w:type="dxa"/>
            <w:tcBorders>
              <w:top w:val="single" w:color="auto" w:sz="4" w:space="0"/>
              <w:bottom w:val="single" w:color="auto" w:sz="4" w:space="0"/>
            </w:tcBorders>
            <w:noWrap w:val="0"/>
            <w:vAlign w:val="center"/>
          </w:tcPr>
          <w:p w14:paraId="65200D90">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性状</w:t>
            </w:r>
          </w:p>
        </w:tc>
        <w:tc>
          <w:tcPr>
            <w:tcW w:w="1048" w:type="dxa"/>
            <w:tcBorders>
              <w:top w:val="single" w:color="auto" w:sz="4" w:space="0"/>
              <w:bottom w:val="single" w:color="auto" w:sz="4" w:space="0"/>
            </w:tcBorders>
            <w:noWrap w:val="0"/>
            <w:vAlign w:val="center"/>
          </w:tcPr>
          <w:p w14:paraId="642351AA">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极大值</w:t>
            </w:r>
          </w:p>
        </w:tc>
        <w:tc>
          <w:tcPr>
            <w:tcW w:w="1013" w:type="dxa"/>
            <w:tcBorders>
              <w:top w:val="single" w:color="auto" w:sz="4" w:space="0"/>
              <w:bottom w:val="single" w:color="auto" w:sz="4" w:space="0"/>
            </w:tcBorders>
            <w:noWrap w:val="0"/>
            <w:vAlign w:val="center"/>
          </w:tcPr>
          <w:p w14:paraId="561E7489">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极小值</w:t>
            </w:r>
          </w:p>
        </w:tc>
        <w:tc>
          <w:tcPr>
            <w:tcW w:w="1071" w:type="dxa"/>
            <w:tcBorders>
              <w:top w:val="single" w:color="auto" w:sz="4" w:space="0"/>
              <w:bottom w:val="single" w:color="auto" w:sz="4" w:space="0"/>
            </w:tcBorders>
            <w:noWrap w:val="0"/>
            <w:vAlign w:val="center"/>
          </w:tcPr>
          <w:p w14:paraId="2A3653D9">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极差</w:t>
            </w:r>
          </w:p>
        </w:tc>
        <w:tc>
          <w:tcPr>
            <w:tcW w:w="1218" w:type="dxa"/>
            <w:tcBorders>
              <w:top w:val="single" w:color="auto" w:sz="4" w:space="0"/>
              <w:bottom w:val="single" w:color="auto" w:sz="4" w:space="0"/>
            </w:tcBorders>
            <w:noWrap w:val="0"/>
            <w:vAlign w:val="center"/>
          </w:tcPr>
          <w:p w14:paraId="27333101">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平均值</w:t>
            </w:r>
          </w:p>
        </w:tc>
        <w:tc>
          <w:tcPr>
            <w:tcW w:w="1148" w:type="dxa"/>
            <w:tcBorders>
              <w:top w:val="single" w:color="auto" w:sz="4" w:space="0"/>
              <w:bottom w:val="single" w:color="auto" w:sz="4" w:space="0"/>
            </w:tcBorders>
            <w:noWrap w:val="0"/>
            <w:vAlign w:val="center"/>
          </w:tcPr>
          <w:p w14:paraId="10B4A34F">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标准差</w:t>
            </w:r>
          </w:p>
        </w:tc>
        <w:tc>
          <w:tcPr>
            <w:tcW w:w="1765" w:type="dxa"/>
            <w:tcBorders>
              <w:top w:val="single" w:color="auto" w:sz="4" w:space="0"/>
              <w:bottom w:val="single" w:color="auto" w:sz="4" w:space="0"/>
            </w:tcBorders>
            <w:noWrap w:val="0"/>
            <w:vAlign w:val="center"/>
          </w:tcPr>
          <w:p w14:paraId="26FA0963">
            <w:pPr>
              <w:spacing w:line="360" w:lineRule="auto"/>
              <w:jc w:val="center"/>
              <w:rPr>
                <w:rFonts w:hint="eastAsia" w:ascii="Times New Roman" w:hAnsi="Times New Roman" w:eastAsia="宋体" w:cs="Times New Roman"/>
                <w:bCs/>
                <w:kern w:val="0"/>
                <w:sz w:val="24"/>
                <w:szCs w:val="24"/>
              </w:rPr>
            </w:pPr>
            <w:r>
              <w:rPr>
                <w:rFonts w:hint="eastAsia" w:ascii="Times New Roman" w:hAnsi="Times New Roman" w:eastAsia="宋体" w:cs="Times New Roman"/>
                <w:bCs/>
                <w:kern w:val="0"/>
                <w:sz w:val="24"/>
                <w:szCs w:val="24"/>
              </w:rPr>
              <w:t>变异系数（%）</w:t>
            </w:r>
          </w:p>
        </w:tc>
      </w:tr>
      <w:tr w14:paraId="4CE9A4F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tcBorders>
              <w:top w:val="single" w:color="auto" w:sz="4" w:space="0"/>
            </w:tcBorders>
            <w:noWrap w:val="0"/>
            <w:vAlign w:val="top"/>
          </w:tcPr>
          <w:p w14:paraId="55AB4532">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lang w:val="en-US" w:eastAsia="zh-CN"/>
              </w:rPr>
              <w:t>根</w:t>
            </w:r>
            <w:r>
              <w:rPr>
                <w:rFonts w:hint="eastAsia" w:ascii="宋体" w:hAnsi="宋体" w:eastAsia="宋体" w:cs="Times New Roman"/>
                <w:sz w:val="24"/>
                <w:szCs w:val="24"/>
              </w:rPr>
              <w:t>数</w:t>
            </w:r>
          </w:p>
        </w:tc>
        <w:tc>
          <w:tcPr>
            <w:tcW w:w="1048" w:type="dxa"/>
            <w:tcBorders>
              <w:top w:val="single" w:color="auto" w:sz="4" w:space="0"/>
            </w:tcBorders>
            <w:noWrap w:val="0"/>
            <w:vAlign w:val="top"/>
          </w:tcPr>
          <w:p w14:paraId="19ED691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14</w:t>
            </w:r>
          </w:p>
        </w:tc>
        <w:tc>
          <w:tcPr>
            <w:tcW w:w="1013" w:type="dxa"/>
            <w:tcBorders>
              <w:top w:val="single" w:color="auto" w:sz="4" w:space="0"/>
            </w:tcBorders>
            <w:noWrap w:val="0"/>
            <w:vAlign w:val="top"/>
          </w:tcPr>
          <w:p w14:paraId="4E433D3D">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w:t>
            </w:r>
          </w:p>
        </w:tc>
        <w:tc>
          <w:tcPr>
            <w:tcW w:w="1071" w:type="dxa"/>
            <w:tcBorders>
              <w:top w:val="single" w:color="auto" w:sz="4" w:space="0"/>
            </w:tcBorders>
            <w:noWrap w:val="0"/>
            <w:vAlign w:val="top"/>
          </w:tcPr>
          <w:p w14:paraId="0264F6A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10</w:t>
            </w:r>
          </w:p>
        </w:tc>
        <w:tc>
          <w:tcPr>
            <w:tcW w:w="1218" w:type="dxa"/>
            <w:tcBorders>
              <w:top w:val="single" w:color="auto" w:sz="4" w:space="0"/>
            </w:tcBorders>
            <w:noWrap w:val="0"/>
            <w:vAlign w:val="top"/>
          </w:tcPr>
          <w:p w14:paraId="1A490865">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8</w:t>
            </w:r>
          </w:p>
        </w:tc>
        <w:tc>
          <w:tcPr>
            <w:tcW w:w="1148" w:type="dxa"/>
            <w:tcBorders>
              <w:top w:val="single" w:color="auto" w:sz="4" w:space="0"/>
            </w:tcBorders>
            <w:noWrap w:val="0"/>
            <w:vAlign w:val="top"/>
          </w:tcPr>
          <w:p w14:paraId="72A4079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2.65</w:t>
            </w:r>
          </w:p>
        </w:tc>
        <w:tc>
          <w:tcPr>
            <w:tcW w:w="1765" w:type="dxa"/>
            <w:tcBorders>
              <w:top w:val="single" w:color="auto" w:sz="4" w:space="0"/>
            </w:tcBorders>
            <w:noWrap w:val="0"/>
            <w:vAlign w:val="top"/>
          </w:tcPr>
          <w:p w14:paraId="475AE51F">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33．13</w:t>
            </w:r>
          </w:p>
        </w:tc>
      </w:tr>
      <w:tr w14:paraId="640038E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32EF0406">
            <w:pPr>
              <w:spacing w:line="360" w:lineRule="auto"/>
              <w:jc w:val="center"/>
              <w:rPr>
                <w:rFonts w:hint="eastAsia" w:ascii="宋体" w:hAnsi="宋体" w:eastAsia="宋体" w:cs="Times New Roman"/>
                <w:sz w:val="24"/>
                <w:szCs w:val="24"/>
                <w:lang w:eastAsia="zh-CN"/>
              </w:rPr>
            </w:pPr>
            <w:r>
              <w:rPr>
                <w:rFonts w:hint="eastAsia" w:ascii="宋体" w:hAnsi="宋体" w:eastAsia="宋体" w:cs="Times New Roman"/>
                <w:sz w:val="24"/>
                <w:szCs w:val="24"/>
                <w:lang w:val="en-US" w:eastAsia="zh-CN"/>
              </w:rPr>
              <w:t>株高</w:t>
            </w:r>
          </w:p>
        </w:tc>
        <w:tc>
          <w:tcPr>
            <w:tcW w:w="1048" w:type="dxa"/>
            <w:noWrap w:val="0"/>
            <w:vAlign w:val="top"/>
          </w:tcPr>
          <w:p w14:paraId="71EFE316">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255</w:t>
            </w:r>
          </w:p>
        </w:tc>
        <w:tc>
          <w:tcPr>
            <w:tcW w:w="1013" w:type="dxa"/>
            <w:noWrap w:val="0"/>
            <w:vAlign w:val="top"/>
          </w:tcPr>
          <w:p w14:paraId="57CD8032">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109</w:t>
            </w:r>
          </w:p>
        </w:tc>
        <w:tc>
          <w:tcPr>
            <w:tcW w:w="1071" w:type="dxa"/>
            <w:noWrap w:val="0"/>
            <w:vAlign w:val="top"/>
          </w:tcPr>
          <w:p w14:paraId="41352AEF">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146</w:t>
            </w:r>
          </w:p>
        </w:tc>
        <w:tc>
          <w:tcPr>
            <w:tcW w:w="1218" w:type="dxa"/>
            <w:noWrap w:val="0"/>
            <w:vAlign w:val="top"/>
          </w:tcPr>
          <w:p w14:paraId="2A4419E3">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193.66</w:t>
            </w:r>
          </w:p>
        </w:tc>
        <w:tc>
          <w:tcPr>
            <w:tcW w:w="1148" w:type="dxa"/>
            <w:noWrap w:val="0"/>
            <w:vAlign w:val="top"/>
          </w:tcPr>
          <w:p w14:paraId="7560785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34.21</w:t>
            </w:r>
          </w:p>
        </w:tc>
        <w:tc>
          <w:tcPr>
            <w:tcW w:w="1765" w:type="dxa"/>
            <w:noWrap w:val="0"/>
            <w:vAlign w:val="top"/>
          </w:tcPr>
          <w:p w14:paraId="40E34C60">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17.66</w:t>
            </w:r>
          </w:p>
        </w:tc>
      </w:tr>
      <w:tr w14:paraId="1706E48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5DB73782">
            <w:pPr>
              <w:spacing w:line="360" w:lineRule="auto"/>
              <w:jc w:val="center"/>
              <w:rPr>
                <w:rFonts w:hint="eastAsia" w:ascii="宋体" w:hAnsi="宋体" w:eastAsia="宋体" w:cs="Times New Roman"/>
                <w:sz w:val="24"/>
                <w:szCs w:val="24"/>
              </w:rPr>
            </w:pPr>
            <w:r>
              <w:rPr>
                <w:rFonts w:hint="eastAsia" w:ascii="Times New Roman" w:hAnsi="Times New Roman" w:eastAsia="宋体" w:cs="Times New Roman"/>
                <w:sz w:val="24"/>
                <w:szCs w:val="24"/>
                <w:lang w:val="en-US" w:eastAsia="zh-CN"/>
              </w:rPr>
              <w:t>基径</w:t>
            </w:r>
          </w:p>
        </w:tc>
        <w:tc>
          <w:tcPr>
            <w:tcW w:w="1048" w:type="dxa"/>
            <w:noWrap w:val="0"/>
            <w:vAlign w:val="top"/>
          </w:tcPr>
          <w:p w14:paraId="3568AB5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4.02</w:t>
            </w:r>
          </w:p>
        </w:tc>
        <w:tc>
          <w:tcPr>
            <w:tcW w:w="1013" w:type="dxa"/>
            <w:noWrap w:val="0"/>
            <w:vAlign w:val="top"/>
          </w:tcPr>
          <w:p w14:paraId="4ADF7CE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2．34</w:t>
            </w:r>
          </w:p>
        </w:tc>
        <w:tc>
          <w:tcPr>
            <w:tcW w:w="1071" w:type="dxa"/>
            <w:noWrap w:val="0"/>
            <w:vAlign w:val="top"/>
          </w:tcPr>
          <w:p w14:paraId="034F880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1.68</w:t>
            </w:r>
          </w:p>
        </w:tc>
        <w:tc>
          <w:tcPr>
            <w:tcW w:w="1218" w:type="dxa"/>
            <w:noWrap w:val="0"/>
            <w:vAlign w:val="top"/>
          </w:tcPr>
          <w:p w14:paraId="3DAF3918">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3.36</w:t>
            </w:r>
          </w:p>
        </w:tc>
        <w:tc>
          <w:tcPr>
            <w:tcW w:w="1148" w:type="dxa"/>
            <w:noWrap w:val="0"/>
            <w:vAlign w:val="top"/>
          </w:tcPr>
          <w:p w14:paraId="2A5B5541">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0.39</w:t>
            </w:r>
          </w:p>
        </w:tc>
        <w:tc>
          <w:tcPr>
            <w:tcW w:w="1765" w:type="dxa"/>
            <w:noWrap w:val="0"/>
            <w:vAlign w:val="top"/>
          </w:tcPr>
          <w:p w14:paraId="3D1D9FF6">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11.61</w:t>
            </w:r>
          </w:p>
        </w:tc>
      </w:tr>
      <w:tr w14:paraId="0FA3E6A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62A4670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块根长</w:t>
            </w:r>
          </w:p>
        </w:tc>
        <w:tc>
          <w:tcPr>
            <w:tcW w:w="1048" w:type="dxa"/>
            <w:noWrap w:val="0"/>
            <w:vAlign w:val="top"/>
          </w:tcPr>
          <w:p w14:paraId="017D9BFE">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18.96</w:t>
            </w:r>
          </w:p>
        </w:tc>
        <w:tc>
          <w:tcPr>
            <w:tcW w:w="1013" w:type="dxa"/>
            <w:noWrap w:val="0"/>
            <w:vAlign w:val="top"/>
          </w:tcPr>
          <w:p w14:paraId="701F52B2">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4.1</w:t>
            </w:r>
          </w:p>
        </w:tc>
        <w:tc>
          <w:tcPr>
            <w:tcW w:w="1071" w:type="dxa"/>
            <w:noWrap w:val="0"/>
            <w:vAlign w:val="top"/>
          </w:tcPr>
          <w:p w14:paraId="5B8FEB4E">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14.86</w:t>
            </w:r>
          </w:p>
        </w:tc>
        <w:tc>
          <w:tcPr>
            <w:tcW w:w="1218" w:type="dxa"/>
            <w:noWrap w:val="0"/>
            <w:vAlign w:val="top"/>
          </w:tcPr>
          <w:p w14:paraId="7D0CB62E">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9.11</w:t>
            </w:r>
          </w:p>
        </w:tc>
        <w:tc>
          <w:tcPr>
            <w:tcW w:w="1148" w:type="dxa"/>
            <w:noWrap w:val="0"/>
            <w:vAlign w:val="top"/>
          </w:tcPr>
          <w:p w14:paraId="25A95782">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5.02</w:t>
            </w:r>
          </w:p>
        </w:tc>
        <w:tc>
          <w:tcPr>
            <w:tcW w:w="1765" w:type="dxa"/>
            <w:noWrap w:val="0"/>
            <w:vAlign w:val="top"/>
          </w:tcPr>
          <w:p w14:paraId="6E48A1F0">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55.10</w:t>
            </w:r>
          </w:p>
        </w:tc>
      </w:tr>
      <w:tr w14:paraId="14175AB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241505E3">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块根直径</w:t>
            </w:r>
          </w:p>
        </w:tc>
        <w:tc>
          <w:tcPr>
            <w:tcW w:w="1048" w:type="dxa"/>
            <w:noWrap w:val="0"/>
            <w:vAlign w:val="top"/>
          </w:tcPr>
          <w:p w14:paraId="0615E874">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14.23</w:t>
            </w:r>
          </w:p>
        </w:tc>
        <w:tc>
          <w:tcPr>
            <w:tcW w:w="1013" w:type="dxa"/>
            <w:noWrap w:val="0"/>
            <w:vAlign w:val="top"/>
          </w:tcPr>
          <w:p w14:paraId="299238A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8.69</w:t>
            </w:r>
          </w:p>
        </w:tc>
        <w:tc>
          <w:tcPr>
            <w:tcW w:w="1071" w:type="dxa"/>
            <w:noWrap w:val="0"/>
            <w:vAlign w:val="top"/>
          </w:tcPr>
          <w:p w14:paraId="0276E090">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8.54</w:t>
            </w:r>
          </w:p>
        </w:tc>
        <w:tc>
          <w:tcPr>
            <w:tcW w:w="1218" w:type="dxa"/>
            <w:noWrap w:val="0"/>
            <w:vAlign w:val="top"/>
          </w:tcPr>
          <w:p w14:paraId="4EA790D3">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13.56</w:t>
            </w:r>
          </w:p>
        </w:tc>
        <w:tc>
          <w:tcPr>
            <w:tcW w:w="1148" w:type="dxa"/>
            <w:noWrap w:val="0"/>
            <w:vAlign w:val="top"/>
          </w:tcPr>
          <w:p w14:paraId="3B0A359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2.12</w:t>
            </w:r>
          </w:p>
        </w:tc>
        <w:tc>
          <w:tcPr>
            <w:tcW w:w="1765" w:type="dxa"/>
            <w:noWrap w:val="0"/>
            <w:vAlign w:val="top"/>
          </w:tcPr>
          <w:p w14:paraId="056FAFB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15.63</w:t>
            </w:r>
          </w:p>
        </w:tc>
      </w:tr>
      <w:tr w14:paraId="3790C76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534D06ED">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单个块根重</w:t>
            </w:r>
          </w:p>
        </w:tc>
        <w:tc>
          <w:tcPr>
            <w:tcW w:w="1048" w:type="dxa"/>
            <w:noWrap w:val="0"/>
            <w:vAlign w:val="top"/>
          </w:tcPr>
          <w:p w14:paraId="5FE8699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21.63</w:t>
            </w:r>
          </w:p>
        </w:tc>
        <w:tc>
          <w:tcPr>
            <w:tcW w:w="1013" w:type="dxa"/>
            <w:noWrap w:val="0"/>
            <w:vAlign w:val="top"/>
          </w:tcPr>
          <w:p w14:paraId="7BDF3FC8">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2.88</w:t>
            </w:r>
          </w:p>
        </w:tc>
        <w:tc>
          <w:tcPr>
            <w:tcW w:w="1071" w:type="dxa"/>
            <w:noWrap w:val="0"/>
            <w:vAlign w:val="top"/>
          </w:tcPr>
          <w:p w14:paraId="57B4EDA1">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18.75</w:t>
            </w:r>
          </w:p>
        </w:tc>
        <w:tc>
          <w:tcPr>
            <w:tcW w:w="1218" w:type="dxa"/>
            <w:noWrap w:val="0"/>
            <w:vAlign w:val="top"/>
          </w:tcPr>
          <w:p w14:paraId="574583E1">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11.73</w:t>
            </w:r>
          </w:p>
        </w:tc>
        <w:tc>
          <w:tcPr>
            <w:tcW w:w="1148" w:type="dxa"/>
            <w:noWrap w:val="0"/>
            <w:vAlign w:val="top"/>
          </w:tcPr>
          <w:p w14:paraId="4B30133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5.47</w:t>
            </w:r>
          </w:p>
        </w:tc>
        <w:tc>
          <w:tcPr>
            <w:tcW w:w="1765" w:type="dxa"/>
            <w:noWrap w:val="0"/>
            <w:vAlign w:val="top"/>
          </w:tcPr>
          <w:p w14:paraId="26A3768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46.63</w:t>
            </w:r>
          </w:p>
        </w:tc>
      </w:tr>
      <w:tr w14:paraId="365AC37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513048AE">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每株块根数量</w:t>
            </w:r>
          </w:p>
        </w:tc>
        <w:tc>
          <w:tcPr>
            <w:tcW w:w="1048" w:type="dxa"/>
            <w:noWrap w:val="0"/>
            <w:vAlign w:val="top"/>
          </w:tcPr>
          <w:p w14:paraId="27404A83">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198</w:t>
            </w:r>
          </w:p>
        </w:tc>
        <w:tc>
          <w:tcPr>
            <w:tcW w:w="1013" w:type="dxa"/>
            <w:noWrap w:val="0"/>
            <w:vAlign w:val="top"/>
          </w:tcPr>
          <w:p w14:paraId="7119643C">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38</w:t>
            </w:r>
          </w:p>
        </w:tc>
        <w:tc>
          <w:tcPr>
            <w:tcW w:w="1071" w:type="dxa"/>
            <w:noWrap w:val="0"/>
            <w:vAlign w:val="top"/>
          </w:tcPr>
          <w:p w14:paraId="5DAF118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160</w:t>
            </w:r>
          </w:p>
        </w:tc>
        <w:tc>
          <w:tcPr>
            <w:tcW w:w="1218" w:type="dxa"/>
            <w:noWrap w:val="0"/>
            <w:vAlign w:val="top"/>
          </w:tcPr>
          <w:p w14:paraId="25FAC2B6">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82.78</w:t>
            </w:r>
          </w:p>
        </w:tc>
        <w:tc>
          <w:tcPr>
            <w:tcW w:w="1148" w:type="dxa"/>
            <w:noWrap w:val="0"/>
            <w:vAlign w:val="top"/>
          </w:tcPr>
          <w:p w14:paraId="003A1E6F">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44.50</w:t>
            </w:r>
          </w:p>
        </w:tc>
        <w:tc>
          <w:tcPr>
            <w:tcW w:w="1765" w:type="dxa"/>
            <w:noWrap w:val="0"/>
            <w:vAlign w:val="top"/>
          </w:tcPr>
          <w:p w14:paraId="52B5702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53.76</w:t>
            </w:r>
          </w:p>
        </w:tc>
      </w:tr>
      <w:tr w14:paraId="6E8721C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827" w:type="dxa"/>
            <w:noWrap w:val="0"/>
            <w:vAlign w:val="top"/>
          </w:tcPr>
          <w:p w14:paraId="0668A608">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每株块根重量</w:t>
            </w:r>
          </w:p>
        </w:tc>
        <w:tc>
          <w:tcPr>
            <w:tcW w:w="1048" w:type="dxa"/>
            <w:noWrap w:val="0"/>
            <w:vAlign w:val="top"/>
          </w:tcPr>
          <w:p w14:paraId="1C70832B">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1055.8</w:t>
            </w:r>
          </w:p>
        </w:tc>
        <w:tc>
          <w:tcPr>
            <w:tcW w:w="1013" w:type="dxa"/>
            <w:noWrap w:val="0"/>
            <w:vAlign w:val="top"/>
          </w:tcPr>
          <w:p w14:paraId="0C4FA2A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156.8</w:t>
            </w:r>
          </w:p>
        </w:tc>
        <w:tc>
          <w:tcPr>
            <w:tcW w:w="1071" w:type="dxa"/>
            <w:noWrap w:val="0"/>
            <w:vAlign w:val="top"/>
          </w:tcPr>
          <w:p w14:paraId="5771BA38">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899</w:t>
            </w:r>
          </w:p>
        </w:tc>
        <w:tc>
          <w:tcPr>
            <w:tcW w:w="1218" w:type="dxa"/>
            <w:noWrap w:val="0"/>
            <w:vAlign w:val="top"/>
          </w:tcPr>
          <w:p w14:paraId="4EB6199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507.95</w:t>
            </w:r>
          </w:p>
        </w:tc>
        <w:tc>
          <w:tcPr>
            <w:tcW w:w="1148" w:type="dxa"/>
            <w:noWrap w:val="0"/>
            <w:vAlign w:val="top"/>
          </w:tcPr>
          <w:p w14:paraId="12832995">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240.45</w:t>
            </w:r>
          </w:p>
        </w:tc>
        <w:tc>
          <w:tcPr>
            <w:tcW w:w="1765" w:type="dxa"/>
            <w:noWrap w:val="0"/>
            <w:vAlign w:val="top"/>
          </w:tcPr>
          <w:p w14:paraId="0870F7FD">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47.34</w:t>
            </w:r>
          </w:p>
        </w:tc>
      </w:tr>
    </w:tbl>
    <w:p w14:paraId="6AADF1E2">
      <w:pPr>
        <w:numPr>
          <w:ilvl w:val="0"/>
          <w:numId w:val="0"/>
        </w:numPr>
        <w:spacing w:before="156" w:beforeLines="50" w:after="156" w:afterLines="50"/>
        <w:ind w:left="3360" w:leftChars="0"/>
        <w:jc w:val="both"/>
        <w:rPr>
          <w:rFonts w:hint="default"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表11 苗木质量要求</w:t>
      </w:r>
    </w:p>
    <w:tbl>
      <w:tblPr>
        <w:tblStyle w:val="14"/>
        <w:tblW w:w="0" w:type="auto"/>
        <w:jc w:val="center"/>
        <w:tblBorders>
          <w:top w:val="single" w:color="000000" w:sz="8" w:space="0"/>
          <w:left w:val="none" w:color="auto" w:sz="0" w:space="0"/>
          <w:bottom w:val="single" w:color="000000" w:sz="8"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152"/>
        <w:gridCol w:w="1192"/>
        <w:gridCol w:w="1192"/>
        <w:gridCol w:w="1193"/>
        <w:gridCol w:w="1192"/>
        <w:gridCol w:w="1192"/>
        <w:gridCol w:w="1193"/>
      </w:tblGrid>
      <w:tr w14:paraId="1222797C">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0" w:type="dxa"/>
            <w:bottom w:w="0" w:type="dxa"/>
            <w:right w:w="0" w:type="dxa"/>
          </w:tblCellMar>
        </w:tblPrEx>
        <w:trPr>
          <w:trHeight w:val="510" w:hRule="atLeast"/>
          <w:jc w:val="center"/>
        </w:trPr>
        <w:tc>
          <w:tcPr>
            <w:tcW w:w="1332" w:type="dxa"/>
            <w:tcBorders>
              <w:bottom w:val="single" w:color="000000" w:sz="4" w:space="0"/>
            </w:tcBorders>
            <w:vAlign w:val="center"/>
          </w:tcPr>
          <w:p w14:paraId="6B788EB5">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项目名称</w:t>
            </w:r>
          </w:p>
        </w:tc>
        <w:tc>
          <w:tcPr>
            <w:tcW w:w="1332" w:type="dxa"/>
            <w:tcBorders>
              <w:bottom w:val="single" w:color="000000" w:sz="4" w:space="0"/>
            </w:tcBorders>
            <w:vAlign w:val="center"/>
          </w:tcPr>
          <w:p w14:paraId="33739EF0">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苗高(cm)</w:t>
            </w:r>
          </w:p>
        </w:tc>
        <w:tc>
          <w:tcPr>
            <w:tcW w:w="1332" w:type="dxa"/>
            <w:tcBorders>
              <w:bottom w:val="single" w:color="000000" w:sz="4" w:space="0"/>
            </w:tcBorders>
            <w:vAlign w:val="center"/>
          </w:tcPr>
          <w:p w14:paraId="2468B2A4">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芽长(mm)</w:t>
            </w:r>
          </w:p>
        </w:tc>
        <w:tc>
          <w:tcPr>
            <w:tcW w:w="1333" w:type="dxa"/>
            <w:tcBorders>
              <w:bottom w:val="single" w:color="000000" w:sz="4" w:space="0"/>
            </w:tcBorders>
            <w:vAlign w:val="center"/>
          </w:tcPr>
          <w:p w14:paraId="12C1924A">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芽数(个)</w:t>
            </w:r>
          </w:p>
        </w:tc>
        <w:tc>
          <w:tcPr>
            <w:tcW w:w="1332" w:type="dxa"/>
            <w:tcBorders>
              <w:bottom w:val="single" w:color="000000" w:sz="4" w:space="0"/>
            </w:tcBorders>
            <w:vAlign w:val="center"/>
          </w:tcPr>
          <w:p w14:paraId="05D5993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块根直径(mm)</w:t>
            </w:r>
          </w:p>
        </w:tc>
        <w:tc>
          <w:tcPr>
            <w:tcW w:w="1332" w:type="dxa"/>
            <w:tcBorders>
              <w:bottom w:val="single" w:color="000000" w:sz="4" w:space="0"/>
            </w:tcBorders>
            <w:vAlign w:val="center"/>
          </w:tcPr>
          <w:p w14:paraId="4AFA3DEB">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块根数(个)</w:t>
            </w:r>
          </w:p>
        </w:tc>
        <w:tc>
          <w:tcPr>
            <w:tcW w:w="1333" w:type="dxa"/>
            <w:tcBorders>
              <w:bottom w:val="single" w:color="000000" w:sz="4" w:space="0"/>
            </w:tcBorders>
            <w:vAlign w:val="center"/>
          </w:tcPr>
          <w:p w14:paraId="5FA556A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块根</w:t>
            </w:r>
          </w:p>
        </w:tc>
      </w:tr>
      <w:tr w14:paraId="7383D4AE">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1332" w:type="dxa"/>
            <w:tcBorders>
              <w:top w:val="single" w:color="000000" w:sz="4" w:space="0"/>
              <w:tl2br w:val="nil"/>
              <w:tr2bl w:val="nil"/>
            </w:tcBorders>
            <w:vAlign w:val="center"/>
          </w:tcPr>
          <w:p w14:paraId="7EB75959">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实生苗</w:t>
            </w:r>
          </w:p>
        </w:tc>
        <w:tc>
          <w:tcPr>
            <w:tcW w:w="1332" w:type="dxa"/>
            <w:tcBorders>
              <w:top w:val="single" w:color="000000" w:sz="4" w:space="0"/>
              <w:tl2br w:val="nil"/>
              <w:tr2bl w:val="nil"/>
            </w:tcBorders>
            <w:vAlign w:val="center"/>
          </w:tcPr>
          <w:p w14:paraId="557B32A5">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w:t>
            </w:r>
          </w:p>
        </w:tc>
        <w:tc>
          <w:tcPr>
            <w:tcW w:w="1332" w:type="dxa"/>
            <w:tcBorders>
              <w:top w:val="single" w:color="000000" w:sz="4" w:space="0"/>
              <w:tl2br w:val="nil"/>
              <w:tr2bl w:val="nil"/>
            </w:tcBorders>
            <w:vAlign w:val="center"/>
          </w:tcPr>
          <w:p w14:paraId="589AC035">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w:t>
            </w:r>
          </w:p>
        </w:tc>
        <w:tc>
          <w:tcPr>
            <w:tcW w:w="1333" w:type="dxa"/>
            <w:tcBorders>
              <w:top w:val="single" w:color="000000" w:sz="4" w:space="0"/>
              <w:tl2br w:val="nil"/>
              <w:tr2bl w:val="nil"/>
            </w:tcBorders>
            <w:vAlign w:val="center"/>
          </w:tcPr>
          <w:p w14:paraId="7B264A1D">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w:t>
            </w:r>
          </w:p>
        </w:tc>
        <w:tc>
          <w:tcPr>
            <w:tcW w:w="1332" w:type="dxa"/>
            <w:tcBorders>
              <w:top w:val="single" w:color="000000" w:sz="4" w:space="0"/>
              <w:tl2br w:val="nil"/>
              <w:tr2bl w:val="nil"/>
            </w:tcBorders>
            <w:vAlign w:val="center"/>
          </w:tcPr>
          <w:p w14:paraId="4103B497">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w:t>
            </w:r>
          </w:p>
        </w:tc>
        <w:tc>
          <w:tcPr>
            <w:tcW w:w="1332" w:type="dxa"/>
            <w:tcBorders>
              <w:top w:val="single" w:color="000000" w:sz="4" w:space="0"/>
              <w:tl2br w:val="nil"/>
              <w:tr2bl w:val="nil"/>
            </w:tcBorders>
            <w:vAlign w:val="center"/>
          </w:tcPr>
          <w:p w14:paraId="32A9AE3B">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w:t>
            </w:r>
          </w:p>
        </w:tc>
        <w:tc>
          <w:tcPr>
            <w:tcW w:w="1333" w:type="dxa"/>
            <w:tcBorders>
              <w:top w:val="single" w:color="000000" w:sz="4" w:space="0"/>
              <w:tl2br w:val="nil"/>
              <w:tr2bl w:val="nil"/>
            </w:tcBorders>
            <w:vAlign w:val="center"/>
          </w:tcPr>
          <w:p w14:paraId="1D17FCD4">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良好，块根损伤率小于10％</w:t>
            </w:r>
          </w:p>
        </w:tc>
      </w:tr>
      <w:tr w14:paraId="0A9E4DD0">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1332" w:type="dxa"/>
            <w:tcBorders>
              <w:tl2br w:val="nil"/>
              <w:tr2bl w:val="nil"/>
            </w:tcBorders>
            <w:vAlign w:val="center"/>
          </w:tcPr>
          <w:p w14:paraId="5A87DA04">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分株苗</w:t>
            </w:r>
          </w:p>
        </w:tc>
        <w:tc>
          <w:tcPr>
            <w:tcW w:w="1332" w:type="dxa"/>
            <w:tcBorders>
              <w:tl2br w:val="nil"/>
              <w:tr2bl w:val="nil"/>
            </w:tcBorders>
            <w:vAlign w:val="center"/>
          </w:tcPr>
          <w:p w14:paraId="507868FB">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w:t>
            </w:r>
          </w:p>
        </w:tc>
        <w:tc>
          <w:tcPr>
            <w:tcW w:w="1332" w:type="dxa"/>
            <w:tcBorders>
              <w:tl2br w:val="nil"/>
              <w:tr2bl w:val="nil"/>
            </w:tcBorders>
            <w:vAlign w:val="center"/>
          </w:tcPr>
          <w:p w14:paraId="5810A381">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5～50</w:t>
            </w:r>
          </w:p>
        </w:tc>
        <w:tc>
          <w:tcPr>
            <w:tcW w:w="1333" w:type="dxa"/>
            <w:tcBorders>
              <w:tl2br w:val="nil"/>
              <w:tr2bl w:val="nil"/>
            </w:tcBorders>
            <w:vAlign w:val="center"/>
          </w:tcPr>
          <w:p w14:paraId="15D31EC2">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≥2</w:t>
            </w:r>
          </w:p>
        </w:tc>
        <w:tc>
          <w:tcPr>
            <w:tcW w:w="1332" w:type="dxa"/>
            <w:tcBorders>
              <w:tl2br w:val="nil"/>
              <w:tr2bl w:val="nil"/>
            </w:tcBorders>
            <w:vAlign w:val="center"/>
          </w:tcPr>
          <w:p w14:paraId="181D43A8">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≥5</w:t>
            </w:r>
          </w:p>
        </w:tc>
        <w:tc>
          <w:tcPr>
            <w:tcW w:w="1332" w:type="dxa"/>
            <w:tcBorders>
              <w:tl2br w:val="nil"/>
              <w:tr2bl w:val="nil"/>
            </w:tcBorders>
            <w:vAlign w:val="center"/>
          </w:tcPr>
          <w:p w14:paraId="0369A1CD">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≥3</w:t>
            </w:r>
          </w:p>
        </w:tc>
        <w:tc>
          <w:tcPr>
            <w:tcW w:w="1333" w:type="dxa"/>
            <w:tcBorders>
              <w:tl2br w:val="nil"/>
              <w:tr2bl w:val="nil"/>
            </w:tcBorders>
            <w:vAlign w:val="center"/>
          </w:tcPr>
          <w:p w14:paraId="6CEBB611">
            <w:pPr>
              <w:spacing w:line="360" w:lineRule="auto"/>
              <w:jc w:val="center"/>
              <w:rPr>
                <w:rFonts w:hint="eastAsia" w:ascii="宋体" w:hAnsi="宋体" w:eastAsia="宋体" w:cs="Times New Roman"/>
                <w:sz w:val="24"/>
                <w:szCs w:val="24"/>
              </w:rPr>
            </w:pPr>
            <w:r>
              <w:rPr>
                <w:rFonts w:hint="eastAsia" w:ascii="宋体" w:hAnsi="宋体" w:eastAsia="宋体" w:cs="Times New Roman"/>
                <w:sz w:val="24"/>
                <w:szCs w:val="24"/>
              </w:rPr>
              <w:t>良好，块根损伤率小于20％</w:t>
            </w:r>
          </w:p>
        </w:tc>
      </w:tr>
    </w:tbl>
    <w:p w14:paraId="1A95D1F5">
      <w:pPr>
        <w:spacing w:line="560" w:lineRule="exact"/>
        <w:rPr>
          <w:rFonts w:ascii="Times New Roman" w:hAnsi="Times New Roman" w:eastAsia="仿宋_GB2312"/>
          <w:color w:val="000000"/>
          <w:sz w:val="28"/>
          <w:szCs w:val="28"/>
        </w:rPr>
      </w:pPr>
    </w:p>
    <w:p w14:paraId="4C3383D9">
      <w:pPr>
        <w:spacing w:line="560" w:lineRule="exact"/>
        <w:rPr>
          <w:rFonts w:ascii="Times New Roman" w:hAnsi="Times New Roman" w:eastAsia="仿宋_GB2312"/>
          <w:color w:val="000000"/>
          <w:sz w:val="28"/>
          <w:szCs w:val="28"/>
        </w:rPr>
      </w:pPr>
      <w:r>
        <w:rPr>
          <w:rFonts w:hint="eastAsia" w:ascii="Times New Roman" w:hAnsi="Times New Roman" w:eastAsia="仿宋_GB2312"/>
          <w:color w:val="000000"/>
          <w:sz w:val="28"/>
          <w:szCs w:val="28"/>
          <w:lang w:eastAsia="zh-CN"/>
        </w:rPr>
        <w:drawing>
          <wp:anchor distT="0" distB="0" distL="114300" distR="114300" simplePos="0" relativeHeight="251662336" behindDoc="0" locked="0" layoutInCell="1" allowOverlap="1">
            <wp:simplePos x="0" y="0"/>
            <wp:positionH relativeFrom="column">
              <wp:posOffset>5715</wp:posOffset>
            </wp:positionH>
            <wp:positionV relativeFrom="paragraph">
              <wp:posOffset>182880</wp:posOffset>
            </wp:positionV>
            <wp:extent cx="5270500" cy="3954145"/>
            <wp:effectExtent l="0" t="0" r="6350" b="8255"/>
            <wp:wrapSquare wrapText="bothSides"/>
            <wp:docPr id="1" name="图片 1" descr="天冬膨大根分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天冬膨大根分级"/>
                    <pic:cNvPicPr>
                      <a:picLocks noChangeAspect="1"/>
                    </pic:cNvPicPr>
                  </pic:nvPicPr>
                  <pic:blipFill>
                    <a:blip r:embed="rId8"/>
                    <a:stretch>
                      <a:fillRect/>
                    </a:stretch>
                  </pic:blipFill>
                  <pic:spPr>
                    <a:xfrm>
                      <a:off x="0" y="0"/>
                      <a:ext cx="5270500" cy="3954145"/>
                    </a:xfrm>
                    <a:prstGeom prst="rect">
                      <a:avLst/>
                    </a:prstGeom>
                  </pic:spPr>
                </pic:pic>
              </a:graphicData>
            </a:graphic>
          </wp:anchor>
        </w:drawing>
      </w:r>
    </w:p>
    <w:p w14:paraId="6BD0303B">
      <w:pPr>
        <w:spacing w:line="560" w:lineRule="exact"/>
        <w:ind w:firstLine="480"/>
        <w:jc w:val="center"/>
        <w:rPr>
          <w:rFonts w:hint="default" w:ascii="Times New Roman" w:hAnsi="Times New Roman" w:eastAsia="仿宋_GB2312"/>
          <w:color w:val="000000"/>
          <w:sz w:val="28"/>
          <w:szCs w:val="28"/>
          <w:lang w:val="en-US" w:eastAsia="zh-CN"/>
        </w:rPr>
      </w:pPr>
      <w:r>
        <w:rPr>
          <w:rFonts w:hint="eastAsia" w:ascii="Times New Roman" w:hAnsi="Times New Roman" w:eastAsia="仿宋_GB2312"/>
          <w:color w:val="000000"/>
          <w:sz w:val="28"/>
          <w:szCs w:val="28"/>
        </w:rPr>
        <w:t>图</w:t>
      </w:r>
      <w:r>
        <w:rPr>
          <w:rFonts w:hint="eastAsia" w:ascii="Times New Roman" w:hAnsi="Times New Roman" w:eastAsia="仿宋_GB2312"/>
          <w:color w:val="000000"/>
          <w:sz w:val="28"/>
          <w:szCs w:val="28"/>
          <w:lang w:val="en-US" w:eastAsia="zh-CN"/>
        </w:rPr>
        <w:t>5</w:t>
      </w:r>
      <w:r>
        <w:rPr>
          <w:rFonts w:ascii="Times New Roman" w:hAnsi="Times New Roman" w:eastAsia="仿宋_GB2312"/>
          <w:color w:val="000000"/>
          <w:sz w:val="28"/>
          <w:szCs w:val="28"/>
        </w:rPr>
        <w:t xml:space="preserve"> </w:t>
      </w:r>
      <w:r>
        <w:rPr>
          <w:rFonts w:hint="eastAsia" w:ascii="Times New Roman" w:hAnsi="Times New Roman" w:eastAsia="仿宋_GB2312"/>
          <w:color w:val="000000"/>
          <w:sz w:val="28"/>
          <w:szCs w:val="28"/>
          <w:lang w:eastAsia="zh-CN"/>
        </w:rPr>
        <w:t>天冬</w:t>
      </w:r>
      <w:r>
        <w:rPr>
          <w:rFonts w:hint="eastAsia" w:ascii="Times New Roman" w:hAnsi="Times New Roman" w:eastAsia="仿宋_GB2312"/>
          <w:color w:val="000000"/>
          <w:sz w:val="28"/>
          <w:szCs w:val="28"/>
        </w:rPr>
        <w:t>一级、二级、三级</w:t>
      </w:r>
      <w:r>
        <w:rPr>
          <w:rFonts w:hint="eastAsia" w:ascii="Times New Roman" w:hAnsi="Times New Roman" w:eastAsia="仿宋_GB2312"/>
          <w:color w:val="000000"/>
          <w:sz w:val="28"/>
          <w:szCs w:val="28"/>
          <w:lang w:val="en-US" w:eastAsia="zh-CN"/>
        </w:rPr>
        <w:t>种质</w:t>
      </w:r>
    </w:p>
    <w:p w14:paraId="62047F27">
      <w:pPr>
        <w:keepNext w:val="0"/>
        <w:keepLines w:val="0"/>
        <w:pageBreakBefore w:val="0"/>
        <w:widowControl w:val="0"/>
        <w:kinsoku/>
        <w:wordWrap/>
        <w:overflowPunct/>
        <w:topLinePunct w:val="0"/>
        <w:autoSpaceDE/>
        <w:autoSpaceDN/>
        <w:bidi w:val="0"/>
        <w:adjustRightInd/>
        <w:snapToGrid/>
        <w:spacing w:line="560" w:lineRule="exact"/>
        <w:ind w:firstLine="562" w:firstLineChars="200"/>
        <w:textAlignment w:val="auto"/>
        <w:rPr>
          <w:rFonts w:ascii="Times New Roman" w:hAnsi="Times New Roman" w:eastAsia="仿宋_GB2312" w:cs="Times New Roman"/>
          <w:b/>
          <w:color w:val="000000"/>
          <w:sz w:val="28"/>
          <w:szCs w:val="28"/>
        </w:rPr>
      </w:pPr>
      <w:r>
        <w:rPr>
          <w:rFonts w:hint="eastAsia" w:ascii="Times New Roman" w:hAnsi="Times New Roman" w:eastAsia="仿宋_GB2312" w:cs="Times New Roman"/>
          <w:b/>
          <w:color w:val="000000"/>
          <w:sz w:val="28"/>
          <w:szCs w:val="28"/>
          <w:lang w:eastAsia="zh-CN"/>
        </w:rPr>
        <w:t>（八）</w:t>
      </w:r>
      <w:r>
        <w:rPr>
          <w:rFonts w:ascii="Times New Roman" w:hAnsi="Times New Roman" w:eastAsia="仿宋_GB2312" w:cs="Times New Roman"/>
          <w:b/>
          <w:color w:val="000000"/>
          <w:sz w:val="28"/>
          <w:szCs w:val="28"/>
        </w:rPr>
        <w:t>包装、运输</w:t>
      </w:r>
    </w:p>
    <w:p w14:paraId="4821D0B6">
      <w:pPr>
        <w:spacing w:line="560" w:lineRule="exact"/>
        <w:ind w:firstLine="560" w:firstLineChars="200"/>
        <w:rPr>
          <w:rFonts w:ascii="Times New Roman" w:hAnsi="Times New Roman" w:eastAsia="仿宋_GB2312" w:cs="Times New Roman"/>
          <w:color w:val="000000"/>
          <w:sz w:val="28"/>
          <w:szCs w:val="28"/>
        </w:rPr>
      </w:pPr>
      <w:r>
        <w:rPr>
          <w:rFonts w:hint="eastAsia" w:ascii="Times New Roman" w:hAnsi="Times New Roman" w:eastAsia="仿宋_GB2312" w:cs="Times New Roman"/>
          <w:color w:val="000000"/>
          <w:sz w:val="28"/>
          <w:szCs w:val="28"/>
        </w:rPr>
        <w:t>种苗以10～20株扎成一捆，然后装入透气性好的编织袋，每袋1 000～1 500株。每捆或每袋均应挂好标签。运输时保湿透气、防雨淋、防暴晒、防挤压，运输时间宜在5 d内；长途运输应有防风、防晒、防雨措施</w:t>
      </w:r>
      <w:r>
        <w:rPr>
          <w:rFonts w:ascii="Times New Roman" w:hAnsi="Times New Roman" w:eastAsia="仿宋_GB2312" w:cs="Times New Roman"/>
          <w:color w:val="000000"/>
          <w:sz w:val="28"/>
          <w:szCs w:val="28"/>
        </w:rPr>
        <w:t>。</w:t>
      </w:r>
    </w:p>
    <w:p w14:paraId="3C03DAB0">
      <w:pPr>
        <w:pStyle w:val="15"/>
        <w:keepNext w:val="0"/>
        <w:keepLines w:val="0"/>
        <w:pageBreakBefore w:val="0"/>
        <w:widowControl w:val="0"/>
        <w:numPr>
          <w:ilvl w:val="0"/>
          <w:numId w:val="0"/>
        </w:numPr>
        <w:kinsoku/>
        <w:wordWrap/>
        <w:overflowPunct/>
        <w:topLinePunct w:val="0"/>
        <w:autoSpaceDE/>
        <w:autoSpaceDN/>
        <w:bidi w:val="0"/>
        <w:adjustRightInd/>
        <w:snapToGrid/>
        <w:ind w:firstLine="562" w:firstLineChars="200"/>
        <w:textAlignment w:val="baseline"/>
        <w:rPr>
          <w:rFonts w:hint="eastAsia" w:ascii="仿宋_GB2312" w:hAnsi="宋体" w:eastAsia="仿宋_GB2312"/>
          <w:b/>
          <w:bCs/>
          <w:color w:val="000000"/>
          <w:sz w:val="28"/>
          <w:szCs w:val="28"/>
        </w:rPr>
      </w:pPr>
      <w:r>
        <w:rPr>
          <w:rFonts w:hint="eastAsia" w:ascii="仿宋_GB2312" w:hAnsi="宋体" w:eastAsia="仿宋_GB2312" w:cs="Calibri"/>
          <w:b/>
          <w:bCs/>
          <w:color w:val="000000"/>
          <w:kern w:val="2"/>
          <w:sz w:val="28"/>
          <w:szCs w:val="28"/>
          <w:lang w:val="en-US" w:eastAsia="zh-CN" w:bidi="ar-SA"/>
        </w:rPr>
        <w:t>（九）</w:t>
      </w:r>
      <w:r>
        <w:rPr>
          <w:rFonts w:hint="eastAsia" w:ascii="仿宋_GB2312" w:hAnsi="宋体" w:eastAsia="仿宋_GB2312"/>
          <w:b/>
          <w:bCs/>
          <w:color w:val="000000"/>
          <w:sz w:val="28"/>
          <w:szCs w:val="28"/>
        </w:rPr>
        <w:t>生产档案</w:t>
      </w:r>
    </w:p>
    <w:p w14:paraId="79F93BA6">
      <w:pPr>
        <w:pStyle w:val="15"/>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baseline"/>
        <w:rPr>
          <w:rFonts w:hint="eastAsia" w:eastAsia="仿宋_GB2312"/>
          <w:lang w:eastAsia="zh-CN"/>
        </w:rPr>
      </w:pPr>
      <w:r>
        <w:rPr>
          <w:rFonts w:hint="eastAsia" w:ascii="仿宋_GB2312" w:hAnsi="宋体" w:eastAsia="仿宋_GB2312"/>
          <w:color w:val="000000"/>
          <w:sz w:val="28"/>
          <w:szCs w:val="28"/>
        </w:rPr>
        <w:t>按《中药材生产质量管理规范》的规定执行</w:t>
      </w:r>
      <w:r>
        <w:rPr>
          <w:rFonts w:hint="eastAsia" w:ascii="仿宋_GB2312" w:hAnsi="宋体" w:eastAsia="仿宋_GB2312"/>
          <w:color w:val="000000"/>
          <w:sz w:val="28"/>
          <w:szCs w:val="28"/>
          <w:lang w:eastAsia="zh-CN"/>
        </w:rPr>
        <w:t>。</w:t>
      </w:r>
    </w:p>
    <w:p w14:paraId="5984E352">
      <w:pPr>
        <w:spacing w:before="240" w:after="60"/>
        <w:ind w:firstLine="560" w:firstLineChars="200"/>
        <w:outlineLvl w:val="0"/>
        <w:rPr>
          <w:rFonts w:hint="eastAsia" w:ascii="黑体" w:hAnsi="宋体" w:eastAsia="黑体" w:cs="黑体"/>
          <w:bCs/>
          <w:sz w:val="28"/>
          <w:szCs w:val="28"/>
          <w:lang w:bidi="ar"/>
        </w:rPr>
      </w:pPr>
      <w:r>
        <w:rPr>
          <w:rFonts w:hint="eastAsia" w:ascii="黑体" w:hAnsi="宋体" w:eastAsia="黑体" w:cs="黑体"/>
          <w:bCs/>
          <w:sz w:val="28"/>
          <w:szCs w:val="28"/>
          <w:lang w:bidi="ar"/>
        </w:rPr>
        <w:t>六、重大意见分歧的处理依据和结果</w:t>
      </w:r>
    </w:p>
    <w:p w14:paraId="7ED22C39">
      <w:pPr>
        <w:ind w:firstLine="560" w:firstLineChars="20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本标准研制过程中无重大分歧意见。</w:t>
      </w:r>
    </w:p>
    <w:p w14:paraId="56B68FC9">
      <w:pPr>
        <w:spacing w:before="240" w:after="60"/>
        <w:ind w:firstLine="560" w:firstLineChars="200"/>
        <w:outlineLvl w:val="0"/>
        <w:rPr>
          <w:rFonts w:hint="eastAsia" w:ascii="黑体" w:hAnsi="宋体" w:eastAsia="黑体" w:cs="黑体"/>
          <w:bCs/>
          <w:sz w:val="28"/>
          <w:szCs w:val="28"/>
        </w:rPr>
      </w:pPr>
      <w:r>
        <w:rPr>
          <w:rFonts w:hint="eastAsia" w:ascii="黑体" w:hAnsi="宋体" w:eastAsia="黑体" w:cs="黑体"/>
          <w:bCs/>
          <w:sz w:val="28"/>
          <w:szCs w:val="28"/>
          <w:lang w:bidi="ar"/>
        </w:rPr>
        <w:t>七、贯彻标准的措施和建议</w:t>
      </w:r>
    </w:p>
    <w:p w14:paraId="48832EEB">
      <w:pPr>
        <w:spacing w:line="560" w:lineRule="exact"/>
        <w:ind w:firstLine="560" w:firstLineChars="200"/>
        <w:rPr>
          <w:rFonts w:hint="eastAsia" w:ascii="仿宋" w:hAnsi="仿宋" w:eastAsia="仿宋" w:cs="仿宋"/>
          <w:kern w:val="0"/>
          <w:sz w:val="24"/>
          <w:szCs w:val="28"/>
        </w:rPr>
      </w:pPr>
      <w:r>
        <w:rPr>
          <w:rFonts w:hint="eastAsia" w:ascii="仿宋_GB2312" w:hAnsi="宋体" w:eastAsia="仿宋_GB2312" w:cs="Calibri"/>
          <w:sz w:val="28"/>
          <w:szCs w:val="28"/>
        </w:rPr>
        <w:t>（一）标准报批发布后，成立标准宣贯工作组</w:t>
      </w:r>
    </w:p>
    <w:p w14:paraId="4A19A0B7">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本标准发布后，成立以主要起草人为成员的标准宣贯工作组，主要负责标准的宣贯实施</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计划制定、标准实施交流会策划、标准实施信息反馈收集和标准实施效果评估等工作，并根据标准实施信息反馈和标准实施效果评估情况，及时组织标准复审修订。</w:t>
      </w:r>
    </w:p>
    <w:p w14:paraId="0989FACA">
      <w:pPr>
        <w:spacing w:line="560" w:lineRule="exact"/>
        <w:ind w:firstLine="560" w:firstLineChars="200"/>
        <w:rPr>
          <w:rFonts w:hint="eastAsia" w:ascii="仿宋_GB2312" w:hAnsi="宋体" w:eastAsia="仿宋_GB2312" w:cs="Calibri"/>
          <w:sz w:val="28"/>
          <w:szCs w:val="28"/>
          <w:lang w:eastAsia="zh-CN"/>
        </w:rPr>
      </w:pPr>
      <w:r>
        <w:rPr>
          <w:rFonts w:hint="eastAsia" w:ascii="仿宋_GB2312" w:hAnsi="宋体" w:eastAsia="仿宋_GB2312" w:cs="Calibri"/>
          <w:sz w:val="28"/>
          <w:szCs w:val="28"/>
        </w:rPr>
        <w:t>（二）组织开展标准宣贯</w:t>
      </w:r>
      <w:r>
        <w:rPr>
          <w:rFonts w:hint="eastAsia" w:ascii="仿宋_GB2312" w:hAnsi="宋体" w:eastAsia="仿宋_GB2312" w:cs="Calibri"/>
          <w:sz w:val="28"/>
          <w:szCs w:val="28"/>
          <w:lang w:eastAsia="zh-CN"/>
        </w:rPr>
        <w:t>评价</w:t>
      </w:r>
    </w:p>
    <w:p w14:paraId="504B5A36">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标准发布实施后，标准宣贯工作小组制作标准解读宣贯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PPT课件和标准核心技术明白书，并按标准宣贯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计划深入各有关</w:t>
      </w:r>
      <w:r>
        <w:rPr>
          <w:rFonts w:hint="eastAsia" w:ascii="仿宋_GB2312" w:hAnsi="宋体" w:eastAsia="仿宋_GB2312" w:cs="Calibri"/>
          <w:sz w:val="28"/>
          <w:szCs w:val="28"/>
          <w:lang w:eastAsia="zh-CN"/>
        </w:rPr>
        <w:t>单位</w:t>
      </w:r>
      <w:r>
        <w:rPr>
          <w:rFonts w:hint="eastAsia" w:ascii="仿宋_GB2312" w:hAnsi="宋体" w:eastAsia="仿宋_GB2312" w:cs="Calibri"/>
          <w:sz w:val="28"/>
          <w:szCs w:val="28"/>
        </w:rPr>
        <w:t>开展标准宣贯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，对标准进行逐条解读，让</w:t>
      </w:r>
      <w:r>
        <w:rPr>
          <w:rFonts w:hint="eastAsia" w:ascii="仿宋_GB2312" w:hAnsi="宋体" w:eastAsia="仿宋_GB2312" w:cs="Calibri"/>
          <w:sz w:val="28"/>
          <w:szCs w:val="28"/>
          <w:lang w:eastAsia="zh-CN"/>
        </w:rPr>
        <w:t>技术人员</w:t>
      </w:r>
      <w:r>
        <w:rPr>
          <w:rFonts w:hint="eastAsia" w:ascii="仿宋_GB2312" w:hAnsi="宋体" w:eastAsia="仿宋_GB2312" w:cs="Calibri"/>
          <w:sz w:val="28"/>
          <w:szCs w:val="28"/>
        </w:rPr>
        <w:t>掌握标准核心护理内容，助力标准实施落地。</w:t>
      </w:r>
    </w:p>
    <w:p w14:paraId="17E0899E">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（三）开展标准实施交流会，收集标准实施反馈信息</w:t>
      </w:r>
    </w:p>
    <w:p w14:paraId="4E81F314">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标准起草小组深入各有关</w:t>
      </w:r>
      <w:r>
        <w:rPr>
          <w:rFonts w:hint="eastAsia" w:ascii="仿宋_GB2312" w:hAnsi="宋体" w:eastAsia="仿宋_GB2312" w:cs="Calibri"/>
          <w:sz w:val="28"/>
          <w:szCs w:val="28"/>
          <w:lang w:eastAsia="zh-CN"/>
        </w:rPr>
        <w:t>单位</w:t>
      </w:r>
      <w:r>
        <w:rPr>
          <w:rFonts w:hint="eastAsia" w:ascii="仿宋_GB2312" w:hAnsi="宋体" w:eastAsia="仿宋_GB2312" w:cs="Calibri"/>
          <w:sz w:val="28"/>
          <w:szCs w:val="28"/>
        </w:rPr>
        <w:t>机构组织</w:t>
      </w:r>
      <w:r>
        <w:rPr>
          <w:rFonts w:hint="eastAsia" w:ascii="仿宋_GB2312" w:hAnsi="宋体" w:eastAsia="仿宋_GB2312" w:cs="Calibri"/>
          <w:sz w:val="28"/>
          <w:szCs w:val="28"/>
          <w:lang w:eastAsia="zh-CN"/>
        </w:rPr>
        <w:t>技术人员</w:t>
      </w:r>
      <w:r>
        <w:rPr>
          <w:rFonts w:hint="eastAsia" w:ascii="仿宋_GB2312" w:hAnsi="宋体" w:eastAsia="仿宋_GB2312" w:cs="Calibri"/>
          <w:sz w:val="28"/>
          <w:szCs w:val="28"/>
        </w:rPr>
        <w:t>召开标准实施交流会，听取标准实施过程中存在的问题并做好记录和解答，对存在的问题组织专家团队进行研讨，为标准的复审修订做准备。</w:t>
      </w:r>
    </w:p>
    <w:p w14:paraId="1B254823">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（四）开展标准实施效果评估</w:t>
      </w:r>
    </w:p>
    <w:p w14:paraId="26C0261E">
      <w:pPr>
        <w:spacing w:line="560" w:lineRule="exact"/>
        <w:ind w:firstLine="560" w:firstLineChars="200"/>
        <w:rPr>
          <w:rFonts w:hint="eastAsia" w:ascii="仿宋_GB2312" w:hAnsi="仿宋" w:eastAsia="仿宋_GB2312" w:cs="仿宋_GB2312"/>
          <w:sz w:val="24"/>
          <w:szCs w:val="24"/>
        </w:rPr>
      </w:pPr>
      <w:r>
        <w:rPr>
          <w:rFonts w:hint="eastAsia" w:ascii="仿宋_GB2312" w:hAnsi="宋体" w:eastAsia="仿宋_GB2312" w:cs="Calibri"/>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67B9CF24">
      <w:pPr>
        <w:spacing w:before="240" w:after="60"/>
        <w:ind w:firstLine="560" w:firstLineChars="200"/>
        <w:outlineLvl w:val="0"/>
        <w:rPr>
          <w:rFonts w:hint="eastAsia" w:ascii="黑体" w:hAnsi="宋体" w:eastAsia="黑体" w:cs="黑体"/>
          <w:bCs/>
          <w:sz w:val="28"/>
          <w:szCs w:val="28"/>
        </w:rPr>
      </w:pPr>
      <w:r>
        <w:rPr>
          <w:rFonts w:hint="eastAsia" w:ascii="黑体" w:hAnsi="宋体" w:eastAsia="黑体" w:cs="黑体"/>
          <w:bCs/>
          <w:sz w:val="28"/>
          <w:szCs w:val="28"/>
          <w:lang w:bidi="ar"/>
        </w:rPr>
        <w:t>八、其他应当说明的事项</w:t>
      </w:r>
    </w:p>
    <w:p w14:paraId="4A5CA192">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无。</w:t>
      </w:r>
    </w:p>
    <w:p w14:paraId="01E634F8">
      <w:pPr>
        <w:spacing w:line="500" w:lineRule="exact"/>
        <w:ind w:firstLine="3920" w:firstLineChars="1400"/>
        <w:rPr>
          <w:rFonts w:ascii="宋体" w:hAnsi="Calibri" w:eastAsia="仿宋_GB2312" w:cs="Times New Roman"/>
          <w:sz w:val="28"/>
          <w:szCs w:val="24"/>
        </w:rPr>
      </w:pPr>
      <w:r>
        <w:rPr>
          <w:rFonts w:hint="eastAsia" w:ascii="Calibri" w:hAnsi="Calibri" w:eastAsia="仿宋" w:cs="Times New Roman"/>
          <w:sz w:val="28"/>
          <w:szCs w:val="24"/>
        </w:rPr>
        <w:t>团体标准《</w:t>
      </w:r>
      <w:r>
        <w:rPr>
          <w:rFonts w:hint="eastAsia" w:ascii="Calibri" w:hAnsi="Calibri" w:eastAsia="仿宋" w:cs="Times New Roman"/>
          <w:sz w:val="28"/>
          <w:szCs w:val="24"/>
          <w:lang w:eastAsia="zh-CN"/>
        </w:rPr>
        <w:t>天冬</w:t>
      </w:r>
      <w:r>
        <w:rPr>
          <w:rFonts w:hint="eastAsia" w:ascii="Calibri" w:hAnsi="Calibri" w:eastAsia="仿宋" w:cs="Times New Roman"/>
          <w:sz w:val="28"/>
          <w:szCs w:val="24"/>
          <w:lang w:val="en-US" w:eastAsia="zh-CN"/>
        </w:rPr>
        <w:t>种苗繁殖技术</w:t>
      </w:r>
      <w:r>
        <w:rPr>
          <w:rFonts w:hint="eastAsia" w:ascii="Calibri" w:hAnsi="Calibri" w:eastAsia="仿宋" w:cs="Times New Roman"/>
          <w:sz w:val="28"/>
          <w:szCs w:val="24"/>
        </w:rPr>
        <w:t>》</w:t>
      </w:r>
    </w:p>
    <w:p w14:paraId="72347742">
      <w:pPr>
        <w:spacing w:line="500" w:lineRule="exact"/>
        <w:ind w:firstLine="5040" w:firstLineChars="1800"/>
        <w:rPr>
          <w:rFonts w:ascii="Times New Roman" w:hAnsi="Times New Roman" w:eastAsia="仿宋" w:cs="Times New Roman"/>
          <w:sz w:val="28"/>
          <w:szCs w:val="24"/>
        </w:rPr>
      </w:pPr>
      <w:r>
        <w:rPr>
          <w:rFonts w:hint="eastAsia" w:ascii="Calibri" w:hAnsi="Calibri" w:eastAsia="仿宋" w:cs="Times New Roman"/>
          <w:sz w:val="28"/>
          <w:szCs w:val="24"/>
        </w:rPr>
        <w:t>标准编制工作组</w:t>
      </w:r>
    </w:p>
    <w:p w14:paraId="0F5D95D7">
      <w:pPr>
        <w:spacing w:line="500" w:lineRule="exact"/>
        <w:ind w:firstLine="4200" w:firstLineChars="1500"/>
        <w:rPr>
          <w:rFonts w:ascii="Times New Roman" w:hAnsi="Times New Roman" w:eastAsia="仿宋_GB2312"/>
          <w:color w:val="FF0000"/>
          <w:sz w:val="28"/>
          <w:szCs w:val="28"/>
        </w:rPr>
      </w:pPr>
      <w:r>
        <w:rPr>
          <w:rFonts w:hint="eastAsia" w:ascii="Times New Roman" w:hAnsi="Times New Roman" w:eastAsia="仿宋" w:cs="Times New Roman"/>
          <w:sz w:val="28"/>
          <w:szCs w:val="24"/>
        </w:rPr>
        <w:t xml:space="preserve">   </w:t>
      </w:r>
      <w:r>
        <w:rPr>
          <w:rFonts w:ascii="Times New Roman" w:hAnsi="Times New Roman" w:eastAsia="仿宋" w:cs="Times New Roman"/>
          <w:sz w:val="28"/>
          <w:szCs w:val="24"/>
        </w:rPr>
        <w:t xml:space="preserve">  202</w:t>
      </w:r>
      <w:r>
        <w:rPr>
          <w:rFonts w:hint="eastAsia" w:ascii="Times New Roman" w:hAnsi="Times New Roman" w:eastAsia="仿宋" w:cs="Times New Roman"/>
          <w:sz w:val="28"/>
          <w:szCs w:val="24"/>
          <w:lang w:val="en-US" w:eastAsia="zh-CN"/>
        </w:rPr>
        <w:t>5</w:t>
      </w:r>
      <w:r>
        <w:rPr>
          <w:rFonts w:ascii="Times New Roman" w:hAnsi="Times New Roman" w:eastAsia="仿宋" w:cs="Times New Roman"/>
          <w:sz w:val="28"/>
          <w:szCs w:val="24"/>
        </w:rPr>
        <w:t>年</w:t>
      </w:r>
      <w:r>
        <w:rPr>
          <w:rFonts w:hint="eastAsia" w:ascii="Times New Roman" w:hAnsi="Times New Roman" w:eastAsia="仿宋" w:cs="Times New Roman"/>
          <w:sz w:val="28"/>
          <w:szCs w:val="24"/>
          <w:lang w:val="en-US" w:eastAsia="zh-CN"/>
        </w:rPr>
        <w:t>9</w:t>
      </w:r>
      <w:r>
        <w:rPr>
          <w:rFonts w:ascii="Times New Roman" w:hAnsi="Times New Roman" w:eastAsia="仿宋" w:cs="Times New Roman"/>
          <w:sz w:val="28"/>
          <w:szCs w:val="24"/>
        </w:rPr>
        <w:t>月</w:t>
      </w:r>
      <w:r>
        <w:rPr>
          <w:rFonts w:hint="eastAsia" w:ascii="Times New Roman" w:hAnsi="Times New Roman" w:eastAsia="仿宋" w:cs="Times New Roman"/>
          <w:sz w:val="28"/>
          <w:szCs w:val="24"/>
          <w:lang w:val="en-US" w:eastAsia="zh-CN"/>
        </w:rPr>
        <w:t>10</w:t>
      </w:r>
      <w:r>
        <w:rPr>
          <w:rFonts w:ascii="Times New Roman" w:hAnsi="Times New Roman" w:eastAsia="仿宋" w:cs="Times New Roman"/>
          <w:sz w:val="28"/>
          <w:szCs w:val="24"/>
        </w:rPr>
        <w:t>日</w:t>
      </w:r>
      <w:bookmarkStart w:id="7" w:name="_GoBack"/>
      <w:bookmarkEnd w:id="7"/>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altName w:val="Arial Unicode MS"/>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EDC0E57"/>
    <w:multiLevelType w:val="singleLevel"/>
    <w:tmpl w:val="FEDC0E57"/>
    <w:lvl w:ilvl="0" w:tentative="0">
      <w:start w:val="2"/>
      <w:numFmt w:val="decimal"/>
      <w:lvlText w:val="%1."/>
      <w:lvlJc w:val="left"/>
      <w:pPr>
        <w:tabs>
          <w:tab w:val="left" w:pos="312"/>
        </w:tabs>
      </w:pPr>
    </w:lvl>
  </w:abstractNum>
  <w:abstractNum w:abstractNumId="1">
    <w:nsid w:val="646260FA"/>
    <w:multiLevelType w:val="multilevel"/>
    <w:tmpl w:val="646260FA"/>
    <w:lvl w:ilvl="0" w:tentative="0">
      <w:start w:val="1"/>
      <w:numFmt w:val="decimal"/>
      <w:pStyle w:val="13"/>
      <w:suff w:val="nothing"/>
      <w:lvlText w:val="表%1　"/>
      <w:lvlJc w:val="left"/>
      <w:pPr>
        <w:ind w:left="3360" w:firstLine="0"/>
      </w:pPr>
      <w:rPr>
        <w:rFonts w:hint="eastAsia" w:ascii="黑体" w:hAnsi="Times New Roman" w:eastAsia="黑体"/>
        <w:b w:val="0"/>
        <w:i w:val="0"/>
        <w:sz w:val="21"/>
      </w:rPr>
    </w:lvl>
    <w:lvl w:ilvl="1" w:tentative="0">
      <w:start w:val="1"/>
      <w:numFmt w:val="decimal"/>
      <w:lvlText w:val="%1.%2"/>
      <w:lvlJc w:val="left"/>
      <w:pPr>
        <w:tabs>
          <w:tab w:val="left" w:pos="992"/>
        </w:tabs>
        <w:ind w:left="4352" w:hanging="567"/>
      </w:pPr>
      <w:rPr>
        <w:rFonts w:hint="eastAsia"/>
      </w:rPr>
    </w:lvl>
    <w:lvl w:ilvl="2" w:tentative="0">
      <w:start w:val="1"/>
      <w:numFmt w:val="decimal"/>
      <w:lvlText w:val="%1.%2.%3"/>
      <w:lvlJc w:val="left"/>
      <w:pPr>
        <w:tabs>
          <w:tab w:val="left" w:pos="1418"/>
        </w:tabs>
        <w:ind w:left="4778" w:hanging="567"/>
      </w:pPr>
      <w:rPr>
        <w:rFonts w:hint="eastAsia"/>
      </w:rPr>
    </w:lvl>
    <w:lvl w:ilvl="3" w:tentative="0">
      <w:start w:val="1"/>
      <w:numFmt w:val="decimal"/>
      <w:lvlText w:val="%1.%2.%3.%4"/>
      <w:lvlJc w:val="left"/>
      <w:pPr>
        <w:tabs>
          <w:tab w:val="left" w:pos="1984"/>
        </w:tabs>
        <w:ind w:left="5344" w:hanging="708"/>
      </w:pPr>
      <w:rPr>
        <w:rFonts w:hint="eastAsia"/>
      </w:rPr>
    </w:lvl>
    <w:lvl w:ilvl="4" w:tentative="0">
      <w:start w:val="1"/>
      <w:numFmt w:val="decimal"/>
      <w:lvlText w:val="%1.%2.%3.%4.%5"/>
      <w:lvlJc w:val="left"/>
      <w:pPr>
        <w:tabs>
          <w:tab w:val="left" w:pos="2551"/>
        </w:tabs>
        <w:ind w:left="5911" w:hanging="850"/>
      </w:pPr>
      <w:rPr>
        <w:rFonts w:hint="eastAsia"/>
      </w:rPr>
    </w:lvl>
    <w:lvl w:ilvl="5" w:tentative="0">
      <w:start w:val="1"/>
      <w:numFmt w:val="decimal"/>
      <w:lvlText w:val="%1.%2.%3.%4.%5.%6"/>
      <w:lvlJc w:val="left"/>
      <w:pPr>
        <w:tabs>
          <w:tab w:val="left" w:pos="3260"/>
        </w:tabs>
        <w:ind w:left="6620" w:hanging="1134"/>
      </w:pPr>
      <w:rPr>
        <w:rFonts w:hint="eastAsia"/>
      </w:rPr>
    </w:lvl>
    <w:lvl w:ilvl="6" w:tentative="0">
      <w:start w:val="1"/>
      <w:numFmt w:val="decimal"/>
      <w:lvlText w:val="%1.%2.%3.%4.%5.%6.%7"/>
      <w:lvlJc w:val="left"/>
      <w:pPr>
        <w:tabs>
          <w:tab w:val="left" w:pos="3827"/>
        </w:tabs>
        <w:ind w:left="7187" w:hanging="1276"/>
      </w:pPr>
      <w:rPr>
        <w:rFonts w:hint="eastAsia"/>
      </w:rPr>
    </w:lvl>
    <w:lvl w:ilvl="7" w:tentative="0">
      <w:start w:val="1"/>
      <w:numFmt w:val="decimal"/>
      <w:lvlText w:val="%1.%2.%3.%4.%5.%6.%7.%8"/>
      <w:lvlJc w:val="left"/>
      <w:pPr>
        <w:tabs>
          <w:tab w:val="left" w:pos="4394"/>
        </w:tabs>
        <w:ind w:left="7754" w:hanging="1418"/>
      </w:pPr>
      <w:rPr>
        <w:rFonts w:hint="eastAsia"/>
      </w:rPr>
    </w:lvl>
    <w:lvl w:ilvl="8" w:tentative="0">
      <w:start w:val="1"/>
      <w:numFmt w:val="decimal"/>
      <w:lvlText w:val="%1.%2.%3.%4.%5.%6.%7.%8.%9"/>
      <w:lvlJc w:val="left"/>
      <w:pPr>
        <w:tabs>
          <w:tab w:val="left" w:pos="5102"/>
        </w:tabs>
        <w:ind w:left="8462" w:hanging="1700"/>
      </w:pPr>
      <w:rPr>
        <w:rFonts w:hint="eastAsia"/>
      </w:rPr>
    </w:lvl>
  </w:abstractNum>
  <w:abstractNum w:abstractNumId="2">
    <w:nsid w:val="7D71339C"/>
    <w:multiLevelType w:val="multilevel"/>
    <w:tmpl w:val="7D71339C"/>
    <w:lvl w:ilvl="0" w:tentative="0">
      <w:start w:val="1"/>
      <w:numFmt w:val="decimal"/>
      <w:lvlText w:val="[%1] "/>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BjNDA1OGU5NzlkYWNmMDQ1ZTc5YTI5MDc3NzI1YmEifQ=="/>
    <w:docVar w:name="KSO_WPS_MARK_KEY" w:val="27051add-76a1-4f50-94d2-caf83a799762"/>
  </w:docVars>
  <w:rsids>
    <w:rsidRoot w:val="00172A27"/>
    <w:rsid w:val="000254A9"/>
    <w:rsid w:val="00052819"/>
    <w:rsid w:val="00057356"/>
    <w:rsid w:val="00096F60"/>
    <w:rsid w:val="000C5007"/>
    <w:rsid w:val="00102987"/>
    <w:rsid w:val="001946C1"/>
    <w:rsid w:val="001A0A8D"/>
    <w:rsid w:val="001D0417"/>
    <w:rsid w:val="002C723D"/>
    <w:rsid w:val="002E5ED2"/>
    <w:rsid w:val="0032299F"/>
    <w:rsid w:val="00347CEE"/>
    <w:rsid w:val="0036367B"/>
    <w:rsid w:val="003943A0"/>
    <w:rsid w:val="003F2FC4"/>
    <w:rsid w:val="00435F47"/>
    <w:rsid w:val="00437A15"/>
    <w:rsid w:val="004F22E1"/>
    <w:rsid w:val="00527FD4"/>
    <w:rsid w:val="005C62AB"/>
    <w:rsid w:val="00675B01"/>
    <w:rsid w:val="00724501"/>
    <w:rsid w:val="00747FC1"/>
    <w:rsid w:val="007561C8"/>
    <w:rsid w:val="007634A7"/>
    <w:rsid w:val="007C73F4"/>
    <w:rsid w:val="00865FDC"/>
    <w:rsid w:val="0087593E"/>
    <w:rsid w:val="008D2A5A"/>
    <w:rsid w:val="00946977"/>
    <w:rsid w:val="00A85235"/>
    <w:rsid w:val="00AD6A53"/>
    <w:rsid w:val="00AF39AC"/>
    <w:rsid w:val="00AF3BF8"/>
    <w:rsid w:val="00B53164"/>
    <w:rsid w:val="00BD7EB5"/>
    <w:rsid w:val="00C8589E"/>
    <w:rsid w:val="00C926C9"/>
    <w:rsid w:val="00D45689"/>
    <w:rsid w:val="00DD4D44"/>
    <w:rsid w:val="00DF075B"/>
    <w:rsid w:val="00E15631"/>
    <w:rsid w:val="00E853B4"/>
    <w:rsid w:val="00E863C4"/>
    <w:rsid w:val="00E874D0"/>
    <w:rsid w:val="00EF4DF4"/>
    <w:rsid w:val="00F47DAB"/>
    <w:rsid w:val="00F52993"/>
    <w:rsid w:val="05A47C83"/>
    <w:rsid w:val="05D61187"/>
    <w:rsid w:val="06CD0AD1"/>
    <w:rsid w:val="07DE47E5"/>
    <w:rsid w:val="081165D5"/>
    <w:rsid w:val="08910D56"/>
    <w:rsid w:val="09CD1D10"/>
    <w:rsid w:val="0C3C05DB"/>
    <w:rsid w:val="0C73097D"/>
    <w:rsid w:val="0CEB7D7B"/>
    <w:rsid w:val="0E910675"/>
    <w:rsid w:val="0F9A5518"/>
    <w:rsid w:val="115A0D90"/>
    <w:rsid w:val="14212338"/>
    <w:rsid w:val="15DB38A5"/>
    <w:rsid w:val="17585FF4"/>
    <w:rsid w:val="19C56C70"/>
    <w:rsid w:val="1B6F6CC3"/>
    <w:rsid w:val="1FCD6C57"/>
    <w:rsid w:val="20A0490C"/>
    <w:rsid w:val="217113D2"/>
    <w:rsid w:val="240C6B8B"/>
    <w:rsid w:val="24C93D4F"/>
    <w:rsid w:val="25F57E06"/>
    <w:rsid w:val="2B9D40A0"/>
    <w:rsid w:val="2E413632"/>
    <w:rsid w:val="2F425F26"/>
    <w:rsid w:val="2F4552CD"/>
    <w:rsid w:val="30703E6E"/>
    <w:rsid w:val="31FC2BAB"/>
    <w:rsid w:val="368E62C3"/>
    <w:rsid w:val="3AAA52BA"/>
    <w:rsid w:val="3B020D8C"/>
    <w:rsid w:val="3B304812"/>
    <w:rsid w:val="3E25738F"/>
    <w:rsid w:val="3EB23FE3"/>
    <w:rsid w:val="40F33E3C"/>
    <w:rsid w:val="43CF3201"/>
    <w:rsid w:val="4709163F"/>
    <w:rsid w:val="4A44752A"/>
    <w:rsid w:val="4B121F84"/>
    <w:rsid w:val="4BA75B8A"/>
    <w:rsid w:val="4D287F2B"/>
    <w:rsid w:val="4F327103"/>
    <w:rsid w:val="50A05670"/>
    <w:rsid w:val="522B0169"/>
    <w:rsid w:val="530F7BA3"/>
    <w:rsid w:val="553838CB"/>
    <w:rsid w:val="56865079"/>
    <w:rsid w:val="59A24811"/>
    <w:rsid w:val="5B6304F6"/>
    <w:rsid w:val="5BBA1B16"/>
    <w:rsid w:val="643D19DF"/>
    <w:rsid w:val="64BE3423"/>
    <w:rsid w:val="64CB67C2"/>
    <w:rsid w:val="66173E6E"/>
    <w:rsid w:val="667310A2"/>
    <w:rsid w:val="66CB4718"/>
    <w:rsid w:val="66DB2397"/>
    <w:rsid w:val="689A52B4"/>
    <w:rsid w:val="68BB5E68"/>
    <w:rsid w:val="6C4B3AED"/>
    <w:rsid w:val="6C5642D1"/>
    <w:rsid w:val="6E7A604B"/>
    <w:rsid w:val="71221911"/>
    <w:rsid w:val="72D61480"/>
    <w:rsid w:val="74515AE9"/>
    <w:rsid w:val="74DB71A5"/>
    <w:rsid w:val="763C1E15"/>
    <w:rsid w:val="77422D39"/>
    <w:rsid w:val="779A2B8F"/>
    <w:rsid w:val="7859644F"/>
    <w:rsid w:val="7CAF5E23"/>
    <w:rsid w:val="7DB52379"/>
    <w:rsid w:val="7FAC14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4">
    <w:name w:val="Table Grid"/>
    <w:basedOn w:val="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Strong"/>
    <w:basedOn w:val="5"/>
    <w:qFormat/>
    <w:uiPriority w:val="22"/>
    <w:rPr>
      <w:b/>
    </w:rPr>
  </w:style>
  <w:style w:type="paragraph" w:customStyle="1" w:styleId="7">
    <w:name w:val="Table Text"/>
    <w:basedOn w:val="1"/>
    <w:semiHidden/>
    <w:qFormat/>
    <w:uiPriority w:val="0"/>
    <w:pPr>
      <w:widowControl/>
      <w:kinsoku w:val="0"/>
      <w:autoSpaceDE w:val="0"/>
      <w:autoSpaceDN w:val="0"/>
      <w:adjustRightInd w:val="0"/>
      <w:snapToGrid w:val="0"/>
      <w:jc w:val="left"/>
      <w:textAlignment w:val="baseline"/>
    </w:pPr>
    <w:rPr>
      <w:rFonts w:ascii="仿宋" w:hAnsi="仿宋" w:eastAsia="仿宋" w:cs="仿宋"/>
      <w:snapToGrid w:val="0"/>
      <w:color w:val="000000"/>
      <w:kern w:val="0"/>
      <w:sz w:val="24"/>
      <w:szCs w:val="24"/>
      <w:lang w:eastAsia="en-US"/>
    </w:rPr>
  </w:style>
  <w:style w:type="paragraph" w:styleId="8">
    <w:name w:val="List Paragraph"/>
    <w:basedOn w:val="1"/>
    <w:qFormat/>
    <w:uiPriority w:val="34"/>
    <w:pPr>
      <w:ind w:firstLine="420" w:firstLineChars="200"/>
    </w:pPr>
  </w:style>
  <w:style w:type="paragraph" w:customStyle="1" w:styleId="9">
    <w:name w:val="标准文件_段"/>
    <w:link w:val="10"/>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character" w:customStyle="1" w:styleId="10">
    <w:name w:val="标准文件_段 Char"/>
    <w:link w:val="9"/>
    <w:qFormat/>
    <w:uiPriority w:val="0"/>
    <w:rPr>
      <w:rFonts w:ascii="宋体" w:hAnsi="Times New Roman" w:eastAsia="宋体" w:cs="Times New Roman"/>
      <w:kern w:val="0"/>
      <w:szCs w:val="20"/>
    </w:rPr>
  </w:style>
  <w:style w:type="paragraph" w:customStyle="1" w:styleId="11">
    <w:name w:val="正文表标题"/>
    <w:next w:val="12"/>
    <w:qFormat/>
    <w:uiPriority w:val="0"/>
    <w:pPr>
      <w:numPr>
        <w:ilvl w:val="0"/>
        <w:numId w:val="1"/>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2">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标准文件_正文表标题"/>
    <w:next w:val="9"/>
    <w:qFormat/>
    <w:uiPriority w:val="0"/>
    <w:pPr>
      <w:numPr>
        <w:ilvl w:val="0"/>
        <w:numId w:val="1"/>
      </w:numPr>
      <w:tabs>
        <w:tab w:val="left" w:pos="0"/>
      </w:tabs>
      <w:spacing w:beforeLines="50" w:afterLines="50"/>
      <w:jc w:val="center"/>
    </w:pPr>
    <w:rPr>
      <w:rFonts w:ascii="黑体" w:hAnsi="Times New Roman" w:eastAsia="黑体" w:cs="Times New Roman"/>
      <w:sz w:val="21"/>
      <w:lang w:val="en-US" w:eastAsia="zh-CN" w:bidi="ar-SA"/>
    </w:rPr>
  </w:style>
  <w:style w:type="table" w:customStyle="1" w:styleId="14">
    <w:name w:val="网格型1"/>
    <w:basedOn w:val="3"/>
    <w:unhideWhenUsed/>
    <w:qFormat/>
    <w:uiPriority w:val="99"/>
    <w:rPr>
      <w:rFonts w:ascii="宋体" w:hAns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5">
    <w:name w:val="BodyText2"/>
    <w:qFormat/>
    <w:uiPriority w:val="0"/>
    <w:pPr>
      <w:widowControl w:val="0"/>
      <w:spacing w:after="120" w:line="480" w:lineRule="auto"/>
      <w:jc w:val="both"/>
      <w:textAlignment w:val="baseline"/>
    </w:pPr>
    <w:rPr>
      <w:rFonts w:ascii="Calibri" w:hAnsi="Calibri" w:eastAsia="宋体" w:cs="Calibri"/>
      <w:kern w:val="2"/>
      <w:sz w:val="32"/>
      <w:szCs w:val="3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CF69337-3A25-4BDB-A624-1900D735F6B5}">
  <ds:schemaRefs/>
</ds:datastoreItem>
</file>

<file path=docProps/app.xml><?xml version="1.0" encoding="utf-8"?>
<Properties xmlns="http://schemas.openxmlformats.org/officeDocument/2006/extended-properties" xmlns:vt="http://schemas.openxmlformats.org/officeDocument/2006/docPropsVTypes">
  <Template>Normal</Template>
  <Company>神州网信技术有限公司</Company>
  <Pages>29</Pages>
  <Words>8073</Words>
  <Characters>8731</Characters>
  <Lines>78</Lines>
  <Paragraphs>22</Paragraphs>
  <TotalTime>0</TotalTime>
  <ScaleCrop>false</ScaleCrop>
  <LinksUpToDate>false</LinksUpToDate>
  <CharactersWithSpaces>8796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2024-04-18T00:10:00Z</dcterms:created>
  <dc:creator>HP</dc:creator>
  <cp:lastModifiedBy>冯流莹</cp:lastModifiedBy>
  <dcterms:modified xsi:type="dcterms:W3CDTF">2025-09-12T07:05:12Z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C5DBD5EE68B7489C83B1F7FA57EDE65A</vt:lpwstr>
  </property>
  <property fmtid="{D5CDD505-2E9C-101B-9397-08002B2CF9AE}" pid="4" name="KSOTemplateDocerSaveRecord">
    <vt:lpwstr>eyJoZGlkIjoiOGFkZjVhNDJiMGExNWUxMjVmMmMwZDU4OWJmZWEzNzAiLCJ1c2VySWQiOiIyNDQ0MTQwMzQifQ==</vt:lpwstr>
  </property>
</Properties>
</file>