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17FE15">
      <w:pPr>
        <w:spacing w:before="312" w:beforeLines="100" w:after="312" w:afterLines="100"/>
        <w:jc w:val="center"/>
        <w:rPr>
          <w:rFonts w:ascii="方正小标宋简体" w:eastAsia="方正小标宋简体"/>
          <w:sz w:val="36"/>
          <w:szCs w:val="36"/>
        </w:rPr>
      </w:pPr>
      <w:r>
        <w:rPr>
          <w:rFonts w:hint="eastAsia" w:ascii="方正小标宋简体" w:eastAsia="方正小标宋简体"/>
          <w:sz w:val="36"/>
          <w:szCs w:val="36"/>
        </w:rPr>
        <w:t>团体标准《</w:t>
      </w:r>
      <w:bookmarkStart w:id="0" w:name="_Hlk200094767"/>
      <w:r>
        <w:rPr>
          <w:rFonts w:hint="eastAsia" w:ascii="方正小标宋简体" w:eastAsia="方正小标宋简体"/>
          <w:sz w:val="36"/>
          <w:szCs w:val="36"/>
        </w:rPr>
        <w:t>五指毛桃主要病虫害综合防治技术规程</w:t>
      </w:r>
      <w:bookmarkEnd w:id="0"/>
      <w:r>
        <w:rPr>
          <w:rFonts w:hint="eastAsia" w:ascii="方正小标宋简体" w:eastAsia="方正小标宋简体"/>
          <w:sz w:val="36"/>
          <w:szCs w:val="36"/>
        </w:rPr>
        <w:t>》（征求意见稿）编制说明</w:t>
      </w:r>
    </w:p>
    <w:p w14:paraId="2E1A6968">
      <w:pPr>
        <w:spacing w:before="156" w:beforeLines="50" w:after="156" w:afterLines="50"/>
        <w:rPr>
          <w:rFonts w:ascii="黑体" w:hAnsi="黑体" w:eastAsia="黑体"/>
          <w:sz w:val="32"/>
          <w:szCs w:val="32"/>
        </w:rPr>
      </w:pPr>
      <w:r>
        <w:rPr>
          <w:rFonts w:hint="eastAsia" w:ascii="黑体" w:hAnsi="黑体" w:eastAsia="黑体"/>
          <w:sz w:val="32"/>
          <w:szCs w:val="32"/>
        </w:rPr>
        <w:t>一、项目来源、起草单位、主要起草人</w:t>
      </w:r>
    </w:p>
    <w:p w14:paraId="2362DC10">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根据《广西标准化协会关于下达2025年第二十三批团体标准制修订项目计划的通知》（桂标协〔2025〕190号）文件精神，由广西壮族自治区国有钦廉林场提出，广西壮族自治区国有钦廉林场、广西壮族自治区药用植物园、北海海丝香料有限责任公司等单位共同起草的团体标准《五指毛桃主要病虫害综合防治技术规程》（项目编号：2025-2304）获批立项。</w:t>
      </w:r>
    </w:p>
    <w:p w14:paraId="21E111C2">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为高质量编制团体标准《五指毛桃主要病虫害综合防治技术规程》，由起草单位成立标准编制工作组并进行如下分工：</w:t>
      </w:r>
    </w:p>
    <w:tbl>
      <w:tblPr>
        <w:tblStyle w:val="5"/>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66"/>
        <w:gridCol w:w="1371"/>
        <w:gridCol w:w="1922"/>
        <w:gridCol w:w="2589"/>
        <w:gridCol w:w="1574"/>
      </w:tblGrid>
      <w:tr w14:paraId="06A982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8" w:space="0"/>
              <w:bottom w:val="single" w:color="auto" w:sz="8" w:space="0"/>
            </w:tcBorders>
            <w:vAlign w:val="center"/>
          </w:tcPr>
          <w:p w14:paraId="49D8BDE4">
            <w:pPr>
              <w:jc w:val="center"/>
              <w:rPr>
                <w:rFonts w:ascii="仿宋_GB2312" w:hAnsi="Times New Roman" w:eastAsia="仿宋_GB2312" w:cs="Calibri"/>
                <w:b/>
                <w:sz w:val="24"/>
                <w:szCs w:val="24"/>
              </w:rPr>
            </w:pPr>
            <w:r>
              <w:rPr>
                <w:rFonts w:hint="eastAsia" w:ascii="仿宋_GB2312" w:hAnsi="Times New Roman" w:eastAsia="仿宋_GB2312" w:cs="Calibri"/>
                <w:b/>
                <w:sz w:val="24"/>
                <w:szCs w:val="24"/>
              </w:rPr>
              <w:t>姓名</w:t>
            </w:r>
          </w:p>
        </w:tc>
        <w:tc>
          <w:tcPr>
            <w:tcW w:w="804" w:type="pct"/>
            <w:tcBorders>
              <w:top w:val="single" w:color="auto" w:sz="8" w:space="0"/>
              <w:bottom w:val="single" w:color="auto" w:sz="8" w:space="0"/>
            </w:tcBorders>
            <w:vAlign w:val="center"/>
          </w:tcPr>
          <w:p w14:paraId="3395A215">
            <w:pPr>
              <w:jc w:val="center"/>
              <w:rPr>
                <w:rFonts w:ascii="仿宋_GB2312" w:hAnsi="Times New Roman" w:eastAsia="仿宋_GB2312" w:cs="Calibri"/>
                <w:b/>
                <w:sz w:val="24"/>
                <w:szCs w:val="24"/>
              </w:rPr>
            </w:pPr>
            <w:r>
              <w:rPr>
                <w:rFonts w:hint="eastAsia" w:ascii="仿宋_GB2312" w:hAnsi="Times New Roman" w:eastAsia="仿宋_GB2312" w:cs="Calibri"/>
                <w:b/>
                <w:sz w:val="24"/>
                <w:szCs w:val="24"/>
              </w:rPr>
              <w:t>职务/职称</w:t>
            </w:r>
          </w:p>
        </w:tc>
        <w:tc>
          <w:tcPr>
            <w:tcW w:w="1127" w:type="pct"/>
            <w:tcBorders>
              <w:top w:val="single" w:color="auto" w:sz="8" w:space="0"/>
              <w:bottom w:val="single" w:color="auto" w:sz="8" w:space="0"/>
            </w:tcBorders>
            <w:vAlign w:val="center"/>
          </w:tcPr>
          <w:p w14:paraId="7739A7E6">
            <w:pPr>
              <w:jc w:val="center"/>
              <w:rPr>
                <w:rFonts w:ascii="仿宋_GB2312" w:hAnsi="Times New Roman" w:eastAsia="仿宋_GB2312" w:cs="Calibri"/>
                <w:b/>
                <w:sz w:val="24"/>
                <w:szCs w:val="24"/>
              </w:rPr>
            </w:pPr>
            <w:r>
              <w:rPr>
                <w:rFonts w:hint="eastAsia" w:ascii="仿宋_GB2312" w:hAnsi="Times New Roman" w:eastAsia="仿宋_GB2312" w:cs="Calibri"/>
                <w:b/>
                <w:sz w:val="24"/>
                <w:szCs w:val="24"/>
              </w:rPr>
              <w:t>从事专业</w:t>
            </w:r>
          </w:p>
        </w:tc>
        <w:tc>
          <w:tcPr>
            <w:tcW w:w="1518" w:type="pct"/>
            <w:tcBorders>
              <w:top w:val="single" w:color="auto" w:sz="8" w:space="0"/>
              <w:bottom w:val="single" w:color="auto" w:sz="8" w:space="0"/>
            </w:tcBorders>
            <w:vAlign w:val="center"/>
          </w:tcPr>
          <w:p w14:paraId="6F58214F">
            <w:pPr>
              <w:jc w:val="center"/>
              <w:rPr>
                <w:rFonts w:ascii="仿宋_GB2312" w:hAnsi="Times New Roman" w:eastAsia="仿宋_GB2312" w:cs="Calibri"/>
                <w:b/>
                <w:sz w:val="24"/>
                <w:szCs w:val="24"/>
              </w:rPr>
            </w:pPr>
            <w:r>
              <w:rPr>
                <w:rFonts w:hint="eastAsia" w:ascii="仿宋_GB2312" w:hAnsi="Times New Roman" w:eastAsia="仿宋_GB2312" w:cs="Calibri"/>
                <w:b/>
                <w:sz w:val="24"/>
                <w:szCs w:val="24"/>
              </w:rPr>
              <w:t>工作单位</w:t>
            </w:r>
          </w:p>
        </w:tc>
        <w:tc>
          <w:tcPr>
            <w:tcW w:w="923" w:type="pct"/>
            <w:tcBorders>
              <w:top w:val="single" w:color="auto" w:sz="8" w:space="0"/>
              <w:bottom w:val="single" w:color="auto" w:sz="8" w:space="0"/>
            </w:tcBorders>
            <w:vAlign w:val="center"/>
          </w:tcPr>
          <w:p w14:paraId="7E229DF6">
            <w:pPr>
              <w:jc w:val="center"/>
              <w:rPr>
                <w:rFonts w:ascii="仿宋_GB2312" w:hAnsi="Times New Roman" w:eastAsia="仿宋_GB2312" w:cs="Calibri"/>
                <w:b/>
                <w:sz w:val="24"/>
                <w:szCs w:val="24"/>
              </w:rPr>
            </w:pPr>
            <w:r>
              <w:rPr>
                <w:rFonts w:hint="eastAsia" w:ascii="仿宋_GB2312" w:hAnsi="Times New Roman" w:eastAsia="仿宋_GB2312" w:cs="Calibri"/>
                <w:b/>
                <w:sz w:val="24"/>
                <w:szCs w:val="24"/>
              </w:rPr>
              <w:t>责任分工</w:t>
            </w:r>
          </w:p>
        </w:tc>
      </w:tr>
      <w:tr w14:paraId="78816A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1066" w:type="dxa"/>
            <w:tcBorders>
              <w:top w:val="single" w:color="auto" w:sz="8" w:space="0"/>
              <w:bottom w:val="single" w:color="auto" w:sz="4" w:space="0"/>
            </w:tcBorders>
            <w:vAlign w:val="center"/>
          </w:tcPr>
          <w:p w14:paraId="36E2A5DB">
            <w:pPr>
              <w:rPr>
                <w:rFonts w:ascii="仿宋_GB2312" w:hAnsi="Times New Roman" w:eastAsia="仿宋_GB2312" w:cs="Calibri"/>
                <w:sz w:val="24"/>
                <w:szCs w:val="24"/>
              </w:rPr>
            </w:pPr>
            <w:r>
              <w:rPr>
                <w:rFonts w:hint="eastAsia" w:ascii="仿宋_GB2312" w:hAnsi="仿宋_GB2312" w:eastAsia="仿宋_GB2312" w:cs="仿宋_GB2312"/>
                <w:bCs/>
                <w:spacing w:val="-6"/>
                <w:sz w:val="24"/>
              </w:rPr>
              <w:t>陈卫国</w:t>
            </w:r>
          </w:p>
        </w:tc>
        <w:tc>
          <w:tcPr>
            <w:tcW w:w="1371" w:type="dxa"/>
            <w:tcBorders>
              <w:top w:val="single" w:color="auto" w:sz="8" w:space="0"/>
              <w:bottom w:val="single" w:color="auto" w:sz="4" w:space="0"/>
            </w:tcBorders>
            <w:vAlign w:val="center"/>
          </w:tcPr>
          <w:p w14:paraId="0B2BB9D6">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书记/正高级高级工程师</w:t>
            </w:r>
          </w:p>
        </w:tc>
        <w:tc>
          <w:tcPr>
            <w:tcW w:w="1922" w:type="dxa"/>
            <w:tcBorders>
              <w:top w:val="single" w:color="auto" w:sz="8" w:space="0"/>
              <w:bottom w:val="single" w:color="auto" w:sz="4" w:space="0"/>
            </w:tcBorders>
            <w:vAlign w:val="center"/>
          </w:tcPr>
          <w:p w14:paraId="311EA5B7">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8" w:space="0"/>
              <w:bottom w:val="single" w:color="auto" w:sz="4" w:space="0"/>
            </w:tcBorders>
            <w:vAlign w:val="center"/>
          </w:tcPr>
          <w:p w14:paraId="72C8BB1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8" w:space="0"/>
              <w:bottom w:val="single" w:color="auto" w:sz="4" w:space="0"/>
            </w:tcBorders>
            <w:vAlign w:val="center"/>
          </w:tcPr>
          <w:p w14:paraId="7A62E5BC">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项目设计、立项申报、组织撰写、专家咨询与评审、验收、发布等。</w:t>
            </w:r>
          </w:p>
        </w:tc>
      </w:tr>
      <w:tr w14:paraId="77EFB7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320713F0">
            <w:pPr>
              <w:rPr>
                <w:rFonts w:ascii="仿宋_GB2312" w:hAnsi="Times New Roman" w:eastAsia="仿宋_GB2312" w:cs="Calibri"/>
                <w:sz w:val="24"/>
                <w:szCs w:val="24"/>
              </w:rPr>
            </w:pPr>
            <w:r>
              <w:rPr>
                <w:rFonts w:hint="eastAsia" w:ascii="仿宋_GB2312" w:hAnsi="仿宋_GB2312" w:eastAsia="仿宋_GB2312" w:cs="仿宋_GB2312"/>
                <w:bCs/>
                <w:spacing w:val="-6"/>
                <w:sz w:val="24"/>
              </w:rPr>
              <w:t>冯  宇</w:t>
            </w:r>
          </w:p>
        </w:tc>
        <w:tc>
          <w:tcPr>
            <w:tcW w:w="1371" w:type="dxa"/>
            <w:tcBorders>
              <w:top w:val="single" w:color="auto" w:sz="4" w:space="0"/>
              <w:bottom w:val="single" w:color="auto" w:sz="4" w:space="0"/>
            </w:tcBorders>
            <w:vAlign w:val="center"/>
          </w:tcPr>
          <w:p w14:paraId="7E0D08F7">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副场长/高级工程师</w:t>
            </w:r>
          </w:p>
        </w:tc>
        <w:tc>
          <w:tcPr>
            <w:tcW w:w="1922" w:type="dxa"/>
            <w:tcBorders>
              <w:top w:val="single" w:color="auto" w:sz="4" w:space="0"/>
              <w:bottom w:val="single" w:color="auto" w:sz="4" w:space="0"/>
            </w:tcBorders>
            <w:vAlign w:val="center"/>
          </w:tcPr>
          <w:p w14:paraId="606CAFD0">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5C84E848">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5627603C">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指导项目设计、立项申报、组织撰写、验收、发布等。</w:t>
            </w:r>
          </w:p>
        </w:tc>
      </w:tr>
      <w:tr w14:paraId="6B0933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5F3C1359">
            <w:pPr>
              <w:rPr>
                <w:rFonts w:ascii="仿宋_GB2312" w:hAnsi="Times New Roman" w:eastAsia="仿宋_GB2312" w:cs="Calibri"/>
                <w:sz w:val="24"/>
                <w:szCs w:val="24"/>
              </w:rPr>
            </w:pPr>
            <w:r>
              <w:rPr>
                <w:rFonts w:hint="eastAsia" w:ascii="仿宋_GB2312" w:hAnsi="仿宋_GB2312" w:eastAsia="仿宋_GB2312" w:cs="仿宋_GB2312"/>
                <w:bCs/>
                <w:spacing w:val="-6"/>
                <w:sz w:val="24"/>
              </w:rPr>
              <w:t>陆海燕</w:t>
            </w:r>
          </w:p>
        </w:tc>
        <w:tc>
          <w:tcPr>
            <w:tcW w:w="1371" w:type="dxa"/>
            <w:tcBorders>
              <w:top w:val="single" w:color="auto" w:sz="4" w:space="0"/>
              <w:bottom w:val="single" w:color="auto" w:sz="4" w:space="0"/>
            </w:tcBorders>
            <w:vAlign w:val="center"/>
          </w:tcPr>
          <w:p w14:paraId="5E95D7F6">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副场长/高级工程师</w:t>
            </w:r>
          </w:p>
        </w:tc>
        <w:tc>
          <w:tcPr>
            <w:tcW w:w="1922" w:type="dxa"/>
            <w:tcBorders>
              <w:top w:val="single" w:color="auto" w:sz="4" w:space="0"/>
              <w:bottom w:val="single" w:color="auto" w:sz="4" w:space="0"/>
            </w:tcBorders>
            <w:vAlign w:val="center"/>
          </w:tcPr>
          <w:p w14:paraId="490C7941">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75EA4868">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4F4036AD">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指导项目设计、立项申报、参与撰写等。</w:t>
            </w:r>
          </w:p>
        </w:tc>
      </w:tr>
      <w:tr w14:paraId="5A3FE0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4120BA5C">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苏远玉</w:t>
            </w:r>
          </w:p>
        </w:tc>
        <w:tc>
          <w:tcPr>
            <w:tcW w:w="1371" w:type="dxa"/>
            <w:tcBorders>
              <w:top w:val="single" w:color="auto" w:sz="4" w:space="0"/>
              <w:bottom w:val="single" w:color="auto" w:sz="4" w:space="0"/>
            </w:tcBorders>
            <w:vAlign w:val="center"/>
          </w:tcPr>
          <w:p w14:paraId="6DBC0A70">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主任/高级工程师</w:t>
            </w:r>
          </w:p>
        </w:tc>
        <w:tc>
          <w:tcPr>
            <w:tcW w:w="1922" w:type="dxa"/>
            <w:tcBorders>
              <w:top w:val="single" w:color="auto" w:sz="4" w:space="0"/>
              <w:bottom w:val="single" w:color="auto" w:sz="4" w:space="0"/>
            </w:tcBorders>
            <w:vAlign w:val="center"/>
          </w:tcPr>
          <w:p w14:paraId="20413609">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640C74D0">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68971BC0">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指导项目设计、立项申报、参与撰写等。</w:t>
            </w:r>
          </w:p>
        </w:tc>
      </w:tr>
      <w:tr w14:paraId="365D0C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16C67F60">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龙洁琼</w:t>
            </w:r>
          </w:p>
        </w:tc>
        <w:tc>
          <w:tcPr>
            <w:tcW w:w="1371" w:type="dxa"/>
            <w:tcBorders>
              <w:top w:val="single" w:color="auto" w:sz="4" w:space="0"/>
              <w:bottom w:val="single" w:color="auto" w:sz="4" w:space="0"/>
            </w:tcBorders>
            <w:vAlign w:val="center"/>
          </w:tcPr>
          <w:p w14:paraId="04E9E3C6">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副主任/工程师</w:t>
            </w:r>
          </w:p>
        </w:tc>
        <w:tc>
          <w:tcPr>
            <w:tcW w:w="1922" w:type="dxa"/>
            <w:tcBorders>
              <w:top w:val="single" w:color="auto" w:sz="4" w:space="0"/>
              <w:bottom w:val="single" w:color="auto" w:sz="4" w:space="0"/>
            </w:tcBorders>
            <w:vAlign w:val="center"/>
          </w:tcPr>
          <w:p w14:paraId="1E4718A7">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6915D270">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41954E47">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42DA68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1735ADEE">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刘  婧</w:t>
            </w:r>
          </w:p>
        </w:tc>
        <w:tc>
          <w:tcPr>
            <w:tcW w:w="1371" w:type="dxa"/>
            <w:tcBorders>
              <w:top w:val="single" w:color="auto" w:sz="4" w:space="0"/>
              <w:bottom w:val="single" w:color="auto" w:sz="4" w:space="0"/>
            </w:tcBorders>
            <w:vAlign w:val="center"/>
          </w:tcPr>
          <w:p w14:paraId="0BF00C3B">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管理人员/助理工程师</w:t>
            </w:r>
          </w:p>
        </w:tc>
        <w:tc>
          <w:tcPr>
            <w:tcW w:w="1922" w:type="dxa"/>
            <w:tcBorders>
              <w:top w:val="single" w:color="auto" w:sz="4" w:space="0"/>
              <w:bottom w:val="single" w:color="auto" w:sz="4" w:space="0"/>
            </w:tcBorders>
            <w:vAlign w:val="center"/>
          </w:tcPr>
          <w:p w14:paraId="1CFFCCC7">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30C47D1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4006EC17">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0AD6B5C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10F7109A">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朱振文</w:t>
            </w:r>
          </w:p>
        </w:tc>
        <w:tc>
          <w:tcPr>
            <w:tcW w:w="1371" w:type="dxa"/>
            <w:tcBorders>
              <w:top w:val="single" w:color="auto" w:sz="4" w:space="0"/>
              <w:bottom w:val="single" w:color="auto" w:sz="4" w:space="0"/>
            </w:tcBorders>
            <w:vAlign w:val="center"/>
          </w:tcPr>
          <w:p w14:paraId="7CF3BCFE">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分场场长/工程师</w:t>
            </w:r>
          </w:p>
        </w:tc>
        <w:tc>
          <w:tcPr>
            <w:tcW w:w="1922" w:type="dxa"/>
            <w:tcBorders>
              <w:top w:val="single" w:color="auto" w:sz="4" w:space="0"/>
              <w:bottom w:val="single" w:color="auto" w:sz="4" w:space="0"/>
            </w:tcBorders>
            <w:vAlign w:val="center"/>
          </w:tcPr>
          <w:p w14:paraId="2BA97723">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1CEEF4C3">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49C3646C">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0C77AF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0722D072">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苏勇贤</w:t>
            </w:r>
          </w:p>
        </w:tc>
        <w:tc>
          <w:tcPr>
            <w:tcW w:w="1371" w:type="dxa"/>
            <w:tcBorders>
              <w:top w:val="single" w:color="auto" w:sz="4" w:space="0"/>
              <w:bottom w:val="single" w:color="auto" w:sz="4" w:space="0"/>
            </w:tcBorders>
            <w:vAlign w:val="center"/>
          </w:tcPr>
          <w:p w14:paraId="39E0F8BF">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分场场长/工程师</w:t>
            </w:r>
          </w:p>
        </w:tc>
        <w:tc>
          <w:tcPr>
            <w:tcW w:w="1922" w:type="dxa"/>
            <w:tcBorders>
              <w:top w:val="single" w:color="auto" w:sz="4" w:space="0"/>
              <w:bottom w:val="single" w:color="auto" w:sz="4" w:space="0"/>
            </w:tcBorders>
            <w:vAlign w:val="center"/>
          </w:tcPr>
          <w:p w14:paraId="71B8171B">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5039B841">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0A5C4B60">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0249C0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6A8F9B3A">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钟德进</w:t>
            </w:r>
          </w:p>
        </w:tc>
        <w:tc>
          <w:tcPr>
            <w:tcW w:w="1371" w:type="dxa"/>
            <w:tcBorders>
              <w:top w:val="single" w:color="auto" w:sz="4" w:space="0"/>
              <w:bottom w:val="single" w:color="auto" w:sz="4" w:space="0"/>
            </w:tcBorders>
            <w:vAlign w:val="center"/>
          </w:tcPr>
          <w:p w14:paraId="674E7913">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总经理/工程师</w:t>
            </w:r>
          </w:p>
        </w:tc>
        <w:tc>
          <w:tcPr>
            <w:tcW w:w="1922" w:type="dxa"/>
            <w:tcBorders>
              <w:top w:val="single" w:color="auto" w:sz="4" w:space="0"/>
              <w:bottom w:val="single" w:color="auto" w:sz="4" w:space="0"/>
            </w:tcBorders>
            <w:vAlign w:val="center"/>
          </w:tcPr>
          <w:p w14:paraId="1B356A13">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70ABF23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北海海丝香料有限责任公司</w:t>
            </w:r>
          </w:p>
        </w:tc>
        <w:tc>
          <w:tcPr>
            <w:tcW w:w="923" w:type="pct"/>
            <w:tcBorders>
              <w:top w:val="single" w:color="auto" w:sz="4" w:space="0"/>
              <w:bottom w:val="single" w:color="auto" w:sz="4" w:space="0"/>
            </w:tcBorders>
            <w:vAlign w:val="center"/>
          </w:tcPr>
          <w:p w14:paraId="6100E070">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11378E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234D7AF4">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陈小红</w:t>
            </w:r>
          </w:p>
        </w:tc>
        <w:tc>
          <w:tcPr>
            <w:tcW w:w="1371" w:type="dxa"/>
            <w:tcBorders>
              <w:top w:val="single" w:color="auto" w:sz="4" w:space="0"/>
              <w:bottom w:val="single" w:color="auto" w:sz="4" w:space="0"/>
            </w:tcBorders>
            <w:vAlign w:val="center"/>
          </w:tcPr>
          <w:p w14:paraId="657D0121">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副主任/工程师</w:t>
            </w:r>
          </w:p>
        </w:tc>
        <w:tc>
          <w:tcPr>
            <w:tcW w:w="1922" w:type="dxa"/>
            <w:tcBorders>
              <w:top w:val="single" w:color="auto" w:sz="4" w:space="0"/>
              <w:bottom w:val="single" w:color="auto" w:sz="4" w:space="0"/>
            </w:tcBorders>
            <w:vAlign w:val="center"/>
          </w:tcPr>
          <w:p w14:paraId="7F26C8DA">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06DFFE37">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49D249AB">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指导项目设计、标准起草、撰写。</w:t>
            </w:r>
          </w:p>
        </w:tc>
      </w:tr>
      <w:tr w14:paraId="7E0169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003A163E">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卢  凯</w:t>
            </w:r>
          </w:p>
        </w:tc>
        <w:tc>
          <w:tcPr>
            <w:tcW w:w="1371" w:type="dxa"/>
            <w:tcBorders>
              <w:top w:val="single" w:color="auto" w:sz="4" w:space="0"/>
              <w:bottom w:val="single" w:color="auto" w:sz="4" w:space="0"/>
            </w:tcBorders>
            <w:vAlign w:val="center"/>
          </w:tcPr>
          <w:p w14:paraId="19037DF1">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分场副场长/工程师</w:t>
            </w:r>
          </w:p>
        </w:tc>
        <w:tc>
          <w:tcPr>
            <w:tcW w:w="1922" w:type="dxa"/>
            <w:tcBorders>
              <w:top w:val="single" w:color="auto" w:sz="4" w:space="0"/>
              <w:bottom w:val="single" w:color="auto" w:sz="4" w:space="0"/>
            </w:tcBorders>
            <w:vAlign w:val="center"/>
          </w:tcPr>
          <w:p w14:paraId="43F55804">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4826AB24">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1CD75BC2">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7AB88F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430E684E">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石国欢</w:t>
            </w:r>
          </w:p>
        </w:tc>
        <w:tc>
          <w:tcPr>
            <w:tcW w:w="1371" w:type="dxa"/>
            <w:tcBorders>
              <w:top w:val="single" w:color="auto" w:sz="4" w:space="0"/>
              <w:bottom w:val="single" w:color="auto" w:sz="4" w:space="0"/>
            </w:tcBorders>
            <w:vAlign w:val="center"/>
          </w:tcPr>
          <w:p w14:paraId="631B7B9D">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分场副场长/高级工程师</w:t>
            </w:r>
          </w:p>
        </w:tc>
        <w:tc>
          <w:tcPr>
            <w:tcW w:w="1922" w:type="dxa"/>
            <w:tcBorders>
              <w:top w:val="single" w:color="auto" w:sz="4" w:space="0"/>
              <w:bottom w:val="single" w:color="auto" w:sz="4" w:space="0"/>
            </w:tcBorders>
            <w:vAlign w:val="center"/>
          </w:tcPr>
          <w:p w14:paraId="0F37418A">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51AD90D6">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099F30F6">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205D2C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3CD80D08">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冯家梁</w:t>
            </w:r>
          </w:p>
        </w:tc>
        <w:tc>
          <w:tcPr>
            <w:tcW w:w="1371" w:type="dxa"/>
            <w:tcBorders>
              <w:top w:val="single" w:color="auto" w:sz="4" w:space="0"/>
              <w:bottom w:val="single" w:color="auto" w:sz="4" w:space="0"/>
            </w:tcBorders>
            <w:vAlign w:val="center"/>
          </w:tcPr>
          <w:p w14:paraId="03D7AD0C">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副主任/工程师</w:t>
            </w:r>
          </w:p>
        </w:tc>
        <w:tc>
          <w:tcPr>
            <w:tcW w:w="1922" w:type="dxa"/>
            <w:tcBorders>
              <w:top w:val="single" w:color="auto" w:sz="4" w:space="0"/>
              <w:bottom w:val="single" w:color="auto" w:sz="4" w:space="0"/>
            </w:tcBorders>
            <w:vAlign w:val="center"/>
          </w:tcPr>
          <w:p w14:paraId="6121AFEB">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7D853109">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55E7111B">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09C123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0ECF1972">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黄耀雄</w:t>
            </w:r>
          </w:p>
        </w:tc>
        <w:tc>
          <w:tcPr>
            <w:tcW w:w="1371" w:type="dxa"/>
            <w:tcBorders>
              <w:top w:val="single" w:color="auto" w:sz="4" w:space="0"/>
              <w:bottom w:val="single" w:color="auto" w:sz="4" w:space="0"/>
            </w:tcBorders>
            <w:vAlign w:val="center"/>
          </w:tcPr>
          <w:p w14:paraId="786F8E56">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支部书记/工程师</w:t>
            </w:r>
          </w:p>
        </w:tc>
        <w:tc>
          <w:tcPr>
            <w:tcW w:w="1922" w:type="dxa"/>
            <w:tcBorders>
              <w:top w:val="single" w:color="auto" w:sz="4" w:space="0"/>
              <w:bottom w:val="single" w:color="auto" w:sz="4" w:space="0"/>
            </w:tcBorders>
            <w:vAlign w:val="center"/>
          </w:tcPr>
          <w:p w14:paraId="5290EE22">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2D085E94">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3EA7AFE6">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7BAD85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1A4DC62F">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黄晨光</w:t>
            </w:r>
          </w:p>
        </w:tc>
        <w:tc>
          <w:tcPr>
            <w:tcW w:w="1371" w:type="dxa"/>
            <w:tcBorders>
              <w:top w:val="single" w:color="auto" w:sz="4" w:space="0"/>
              <w:bottom w:val="single" w:color="auto" w:sz="4" w:space="0"/>
            </w:tcBorders>
            <w:vAlign w:val="center"/>
          </w:tcPr>
          <w:p w14:paraId="5D3CE797">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分场副场长/工程师</w:t>
            </w:r>
          </w:p>
        </w:tc>
        <w:tc>
          <w:tcPr>
            <w:tcW w:w="1922" w:type="dxa"/>
            <w:tcBorders>
              <w:top w:val="single" w:color="auto" w:sz="4" w:space="0"/>
              <w:bottom w:val="single" w:color="auto" w:sz="4" w:space="0"/>
            </w:tcBorders>
            <w:vAlign w:val="center"/>
          </w:tcPr>
          <w:p w14:paraId="61DF13E2">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2A222967">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6F71565F">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4D8A25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2A27E593">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项翠芳</w:t>
            </w:r>
          </w:p>
        </w:tc>
        <w:tc>
          <w:tcPr>
            <w:tcW w:w="1371" w:type="dxa"/>
            <w:tcBorders>
              <w:top w:val="single" w:color="auto" w:sz="4" w:space="0"/>
              <w:bottom w:val="single" w:color="auto" w:sz="4" w:space="0"/>
            </w:tcBorders>
            <w:vAlign w:val="center"/>
          </w:tcPr>
          <w:p w14:paraId="405CA26B">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管理人员/工程师</w:t>
            </w:r>
          </w:p>
        </w:tc>
        <w:tc>
          <w:tcPr>
            <w:tcW w:w="1922" w:type="dxa"/>
            <w:tcBorders>
              <w:top w:val="single" w:color="auto" w:sz="4" w:space="0"/>
              <w:bottom w:val="single" w:color="auto" w:sz="4" w:space="0"/>
            </w:tcBorders>
            <w:vAlign w:val="center"/>
          </w:tcPr>
          <w:p w14:paraId="6747568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3FD56003">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744519D6">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3EA3E4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3724954D">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颜荣燕</w:t>
            </w:r>
          </w:p>
        </w:tc>
        <w:tc>
          <w:tcPr>
            <w:tcW w:w="1371" w:type="dxa"/>
            <w:tcBorders>
              <w:top w:val="single" w:color="auto" w:sz="4" w:space="0"/>
              <w:bottom w:val="single" w:color="auto" w:sz="4" w:space="0"/>
            </w:tcBorders>
            <w:vAlign w:val="center"/>
          </w:tcPr>
          <w:p w14:paraId="5C545FA7">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管理人员/工程师</w:t>
            </w:r>
          </w:p>
        </w:tc>
        <w:tc>
          <w:tcPr>
            <w:tcW w:w="1922" w:type="dxa"/>
            <w:tcBorders>
              <w:top w:val="single" w:color="auto" w:sz="4" w:space="0"/>
              <w:bottom w:val="single" w:color="auto" w:sz="4" w:space="0"/>
            </w:tcBorders>
            <w:vAlign w:val="center"/>
          </w:tcPr>
          <w:p w14:paraId="686E65E6">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06D1BDE8">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7DB9412D">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68FA25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74051267">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黄  羚</w:t>
            </w:r>
          </w:p>
        </w:tc>
        <w:tc>
          <w:tcPr>
            <w:tcW w:w="1371" w:type="dxa"/>
            <w:tcBorders>
              <w:top w:val="single" w:color="auto" w:sz="4" w:space="0"/>
              <w:bottom w:val="single" w:color="auto" w:sz="4" w:space="0"/>
            </w:tcBorders>
            <w:vAlign w:val="center"/>
          </w:tcPr>
          <w:p w14:paraId="105D02B0">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副主任/工程师</w:t>
            </w:r>
          </w:p>
        </w:tc>
        <w:tc>
          <w:tcPr>
            <w:tcW w:w="1922" w:type="dxa"/>
            <w:tcBorders>
              <w:top w:val="single" w:color="auto" w:sz="4" w:space="0"/>
              <w:bottom w:val="single" w:color="auto" w:sz="4" w:space="0"/>
            </w:tcBorders>
            <w:vAlign w:val="center"/>
          </w:tcPr>
          <w:p w14:paraId="1DA8AADA">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7BD0F404">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923" w:type="pct"/>
            <w:tcBorders>
              <w:top w:val="single" w:color="auto" w:sz="4" w:space="0"/>
              <w:bottom w:val="single" w:color="auto" w:sz="4" w:space="0"/>
            </w:tcBorders>
            <w:vAlign w:val="center"/>
          </w:tcPr>
          <w:p w14:paraId="6AF32FEC">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241F21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06FA42ED">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何丽莎</w:t>
            </w:r>
          </w:p>
        </w:tc>
        <w:tc>
          <w:tcPr>
            <w:tcW w:w="1371" w:type="dxa"/>
            <w:tcBorders>
              <w:top w:val="single" w:color="auto" w:sz="4" w:space="0"/>
              <w:bottom w:val="single" w:color="auto" w:sz="4" w:space="0"/>
            </w:tcBorders>
            <w:vAlign w:val="center"/>
          </w:tcPr>
          <w:p w14:paraId="651E8653">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管理人员/工程师</w:t>
            </w:r>
          </w:p>
        </w:tc>
        <w:tc>
          <w:tcPr>
            <w:tcW w:w="1922" w:type="dxa"/>
            <w:tcBorders>
              <w:top w:val="single" w:color="auto" w:sz="4" w:space="0"/>
              <w:bottom w:val="single" w:color="auto" w:sz="4" w:space="0"/>
            </w:tcBorders>
            <w:vAlign w:val="center"/>
          </w:tcPr>
          <w:p w14:paraId="4E38B756">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2721D582">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1574" w:type="dxa"/>
            <w:tcBorders>
              <w:top w:val="single" w:color="auto" w:sz="4" w:space="0"/>
              <w:bottom w:val="single" w:color="auto" w:sz="4" w:space="0"/>
            </w:tcBorders>
            <w:vAlign w:val="center"/>
          </w:tcPr>
          <w:p w14:paraId="47376601">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50E08C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365CAD52">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陈礼兴</w:t>
            </w:r>
          </w:p>
        </w:tc>
        <w:tc>
          <w:tcPr>
            <w:tcW w:w="1371" w:type="dxa"/>
            <w:tcBorders>
              <w:top w:val="single" w:color="auto" w:sz="4" w:space="0"/>
              <w:bottom w:val="single" w:color="auto" w:sz="4" w:space="0"/>
            </w:tcBorders>
            <w:vAlign w:val="center"/>
          </w:tcPr>
          <w:p w14:paraId="5A1F5447">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管理人员/工程师</w:t>
            </w:r>
          </w:p>
        </w:tc>
        <w:tc>
          <w:tcPr>
            <w:tcW w:w="1922" w:type="dxa"/>
            <w:tcBorders>
              <w:top w:val="single" w:color="auto" w:sz="4" w:space="0"/>
              <w:bottom w:val="single" w:color="auto" w:sz="4" w:space="0"/>
            </w:tcBorders>
            <w:vAlign w:val="center"/>
          </w:tcPr>
          <w:p w14:paraId="7D77914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02C95208">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1574" w:type="dxa"/>
            <w:tcBorders>
              <w:top w:val="single" w:color="auto" w:sz="4" w:space="0"/>
              <w:bottom w:val="single" w:color="auto" w:sz="4" w:space="0"/>
            </w:tcBorders>
            <w:vAlign w:val="center"/>
          </w:tcPr>
          <w:p w14:paraId="57227F6B">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1EF5BE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69A0EC38">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蒋  婷</w:t>
            </w:r>
          </w:p>
        </w:tc>
        <w:tc>
          <w:tcPr>
            <w:tcW w:w="1371" w:type="dxa"/>
            <w:tcBorders>
              <w:top w:val="single" w:color="auto" w:sz="4" w:space="0"/>
              <w:bottom w:val="single" w:color="auto" w:sz="4" w:space="0"/>
            </w:tcBorders>
            <w:vAlign w:val="center"/>
          </w:tcPr>
          <w:p w14:paraId="4E40C223">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管理人员/工程师</w:t>
            </w:r>
          </w:p>
        </w:tc>
        <w:tc>
          <w:tcPr>
            <w:tcW w:w="1922" w:type="dxa"/>
            <w:tcBorders>
              <w:top w:val="single" w:color="auto" w:sz="4" w:space="0"/>
              <w:bottom w:val="single" w:color="auto" w:sz="4" w:space="0"/>
            </w:tcBorders>
            <w:vAlign w:val="center"/>
          </w:tcPr>
          <w:p w14:paraId="6AF197B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22A509B5">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广西国有钦廉林场</w:t>
            </w:r>
          </w:p>
        </w:tc>
        <w:tc>
          <w:tcPr>
            <w:tcW w:w="1574" w:type="dxa"/>
            <w:tcBorders>
              <w:top w:val="single" w:color="auto" w:sz="4" w:space="0"/>
              <w:bottom w:val="single" w:color="auto" w:sz="4" w:space="0"/>
            </w:tcBorders>
            <w:vAlign w:val="center"/>
          </w:tcPr>
          <w:p w14:paraId="1DFC2669">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7B75E4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16FA9B64">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张家铭</w:t>
            </w:r>
          </w:p>
        </w:tc>
        <w:tc>
          <w:tcPr>
            <w:tcW w:w="1371" w:type="dxa"/>
            <w:tcBorders>
              <w:top w:val="single" w:color="auto" w:sz="4" w:space="0"/>
              <w:bottom w:val="single" w:color="auto" w:sz="4" w:space="0"/>
            </w:tcBorders>
            <w:vAlign w:val="center"/>
          </w:tcPr>
          <w:p w14:paraId="0B274381">
            <w:pPr>
              <w:jc w:val="center"/>
              <w:rPr>
                <w:rFonts w:ascii="仿宋_GB2312" w:hAnsi="Times New Roman" w:eastAsia="仿宋_GB2312" w:cs="Calibri"/>
                <w:sz w:val="24"/>
                <w:szCs w:val="24"/>
              </w:rPr>
            </w:pPr>
            <w:r>
              <w:rPr>
                <w:rFonts w:hint="eastAsia" w:ascii="Times New Roman" w:hAnsi="Times New Roman" w:eastAsia="仿宋_GB2312" w:cs="Times New Roman"/>
                <w:bCs/>
                <w:sz w:val="24"/>
              </w:rPr>
              <w:t>副总经理/工程师</w:t>
            </w:r>
          </w:p>
        </w:tc>
        <w:tc>
          <w:tcPr>
            <w:tcW w:w="1922" w:type="dxa"/>
            <w:tcBorders>
              <w:top w:val="single" w:color="auto" w:sz="4" w:space="0"/>
              <w:bottom w:val="single" w:color="auto" w:sz="4" w:space="0"/>
            </w:tcBorders>
            <w:vAlign w:val="center"/>
          </w:tcPr>
          <w:p w14:paraId="3AFF0282">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林业</w:t>
            </w:r>
          </w:p>
        </w:tc>
        <w:tc>
          <w:tcPr>
            <w:tcW w:w="2589" w:type="dxa"/>
            <w:tcBorders>
              <w:top w:val="single" w:color="auto" w:sz="4" w:space="0"/>
              <w:bottom w:val="single" w:color="auto" w:sz="4" w:space="0"/>
            </w:tcBorders>
            <w:vAlign w:val="center"/>
          </w:tcPr>
          <w:p w14:paraId="41E457C3">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北海海丝香料有限责任公司</w:t>
            </w:r>
          </w:p>
        </w:tc>
        <w:tc>
          <w:tcPr>
            <w:tcW w:w="1574" w:type="dxa"/>
            <w:tcBorders>
              <w:top w:val="single" w:color="auto" w:sz="4" w:space="0"/>
              <w:bottom w:val="single" w:color="auto" w:sz="4" w:space="0"/>
            </w:tcBorders>
            <w:vAlign w:val="center"/>
          </w:tcPr>
          <w:p w14:paraId="3D3ADF75">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数据资料收集、标准起草、撰写。</w:t>
            </w:r>
          </w:p>
        </w:tc>
      </w:tr>
      <w:tr w14:paraId="579343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33C8FBBB">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宋利沙</w:t>
            </w:r>
          </w:p>
        </w:tc>
        <w:tc>
          <w:tcPr>
            <w:tcW w:w="1371" w:type="dxa"/>
            <w:tcBorders>
              <w:top w:val="single" w:color="auto" w:sz="4" w:space="0"/>
              <w:bottom w:val="single" w:color="auto" w:sz="4" w:space="0"/>
            </w:tcBorders>
            <w:vAlign w:val="center"/>
          </w:tcPr>
          <w:p w14:paraId="58168AC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副研究员</w:t>
            </w:r>
          </w:p>
        </w:tc>
        <w:tc>
          <w:tcPr>
            <w:tcW w:w="1922" w:type="dxa"/>
            <w:tcBorders>
              <w:top w:val="single" w:color="auto" w:sz="4" w:space="0"/>
              <w:bottom w:val="single" w:color="auto" w:sz="4" w:space="0"/>
            </w:tcBorders>
            <w:vAlign w:val="center"/>
          </w:tcPr>
          <w:p w14:paraId="452641E8">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植物病理学</w:t>
            </w:r>
          </w:p>
        </w:tc>
        <w:tc>
          <w:tcPr>
            <w:tcW w:w="2589" w:type="dxa"/>
            <w:tcBorders>
              <w:top w:val="single" w:color="auto" w:sz="4" w:space="0"/>
              <w:bottom w:val="single" w:color="auto" w:sz="4" w:space="0"/>
            </w:tcBorders>
            <w:vAlign w:val="center"/>
          </w:tcPr>
          <w:p w14:paraId="33E57BA5">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广西壮族自治区药用植物园</w:t>
            </w:r>
          </w:p>
        </w:tc>
        <w:tc>
          <w:tcPr>
            <w:tcW w:w="1574" w:type="dxa"/>
            <w:tcBorders>
              <w:top w:val="single" w:color="auto" w:sz="4" w:space="0"/>
              <w:bottom w:val="single" w:color="auto" w:sz="4" w:space="0"/>
            </w:tcBorders>
            <w:vAlign w:val="center"/>
          </w:tcPr>
          <w:p w14:paraId="2BFDB510">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1CF368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013314AC">
            <w:pPr>
              <w:jc w:val="center"/>
              <w:rPr>
                <w:rFonts w:ascii="仿宋_GB2312" w:hAnsi="Times New Roman" w:eastAsia="仿宋_GB2312" w:cs="Calibri"/>
                <w:sz w:val="24"/>
                <w:szCs w:val="24"/>
              </w:rPr>
            </w:pPr>
            <w:r>
              <w:rPr>
                <w:rFonts w:hint="eastAsia" w:ascii="Times New Roman" w:hAnsi="Times New Roman" w:eastAsia="仿宋_GB2312" w:cs="Times New Roman"/>
                <w:sz w:val="24"/>
              </w:rPr>
              <w:t>詹鑫婕</w:t>
            </w:r>
          </w:p>
        </w:tc>
        <w:tc>
          <w:tcPr>
            <w:tcW w:w="1371" w:type="dxa"/>
            <w:tcBorders>
              <w:top w:val="single" w:color="auto" w:sz="4" w:space="0"/>
              <w:bottom w:val="single" w:color="auto" w:sz="4" w:space="0"/>
            </w:tcBorders>
            <w:vAlign w:val="center"/>
          </w:tcPr>
          <w:p w14:paraId="1004A60C">
            <w:pPr>
              <w:jc w:val="center"/>
              <w:rPr>
                <w:rFonts w:ascii="仿宋_GB2312" w:hAnsi="Times New Roman" w:eastAsia="仿宋_GB2312" w:cs="Calibri"/>
                <w:sz w:val="24"/>
                <w:szCs w:val="24"/>
              </w:rPr>
            </w:pPr>
            <w:r>
              <w:rPr>
                <w:rFonts w:hint="eastAsia" w:ascii="Times New Roman" w:hAnsi="Times New Roman" w:eastAsia="仿宋_GB2312" w:cs="Times New Roman"/>
                <w:sz w:val="24"/>
              </w:rPr>
              <w:t>工程师</w:t>
            </w:r>
          </w:p>
        </w:tc>
        <w:tc>
          <w:tcPr>
            <w:tcW w:w="1922" w:type="dxa"/>
            <w:tcBorders>
              <w:top w:val="single" w:color="auto" w:sz="4" w:space="0"/>
              <w:bottom w:val="single" w:color="auto" w:sz="4" w:space="0"/>
            </w:tcBorders>
            <w:vAlign w:val="center"/>
          </w:tcPr>
          <w:p w14:paraId="258B83DA">
            <w:pPr>
              <w:jc w:val="center"/>
              <w:rPr>
                <w:rFonts w:ascii="仿宋_GB2312" w:hAnsi="Times New Roman" w:eastAsia="仿宋_GB2312" w:cs="Calibri"/>
                <w:sz w:val="24"/>
                <w:szCs w:val="24"/>
              </w:rPr>
            </w:pPr>
            <w:r>
              <w:rPr>
                <w:rFonts w:hint="eastAsia" w:ascii="Times New Roman" w:hAnsi="Times New Roman" w:eastAsia="仿宋_GB2312" w:cs="Times New Roman"/>
                <w:sz w:val="24"/>
              </w:rPr>
              <w:t>微生物与化学</w:t>
            </w:r>
          </w:p>
        </w:tc>
        <w:tc>
          <w:tcPr>
            <w:tcW w:w="2589" w:type="dxa"/>
            <w:tcBorders>
              <w:top w:val="single" w:color="auto" w:sz="4" w:space="0"/>
              <w:bottom w:val="single" w:color="auto" w:sz="4" w:space="0"/>
            </w:tcBorders>
            <w:vAlign w:val="center"/>
          </w:tcPr>
          <w:p w14:paraId="351DFC3D">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广西壮族自治区药用植物园</w:t>
            </w:r>
          </w:p>
        </w:tc>
        <w:tc>
          <w:tcPr>
            <w:tcW w:w="1574" w:type="dxa"/>
            <w:tcBorders>
              <w:top w:val="single" w:color="auto" w:sz="4" w:space="0"/>
              <w:bottom w:val="single" w:color="auto" w:sz="4" w:space="0"/>
            </w:tcBorders>
            <w:vAlign w:val="center"/>
          </w:tcPr>
          <w:p w14:paraId="3290CCC3">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r w14:paraId="10B0F1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66" w:type="dxa"/>
            <w:tcBorders>
              <w:top w:val="single" w:color="auto" w:sz="4" w:space="0"/>
              <w:bottom w:val="single" w:color="auto" w:sz="4" w:space="0"/>
            </w:tcBorders>
            <w:vAlign w:val="center"/>
          </w:tcPr>
          <w:p w14:paraId="2C7ACE88">
            <w:pPr>
              <w:jc w:val="center"/>
              <w:rPr>
                <w:rFonts w:ascii="仿宋_GB2312" w:hAnsi="Times New Roman" w:eastAsia="仿宋_GB2312" w:cs="Calibri"/>
                <w:sz w:val="24"/>
                <w:szCs w:val="24"/>
              </w:rPr>
            </w:pPr>
            <w:r>
              <w:rPr>
                <w:rFonts w:hint="eastAsia" w:ascii="Times New Roman" w:hAnsi="Times New Roman" w:eastAsia="仿宋_GB2312" w:cs="Times New Roman"/>
                <w:sz w:val="24"/>
              </w:rPr>
              <w:t>杨东昱</w:t>
            </w:r>
          </w:p>
        </w:tc>
        <w:tc>
          <w:tcPr>
            <w:tcW w:w="1371" w:type="dxa"/>
            <w:tcBorders>
              <w:top w:val="single" w:color="auto" w:sz="4" w:space="0"/>
              <w:bottom w:val="single" w:color="auto" w:sz="4" w:space="0"/>
            </w:tcBorders>
            <w:vAlign w:val="center"/>
          </w:tcPr>
          <w:p w14:paraId="69D829E0">
            <w:pPr>
              <w:jc w:val="center"/>
              <w:rPr>
                <w:rFonts w:ascii="仿宋_GB2312" w:hAnsi="Times New Roman" w:eastAsia="仿宋_GB2312" w:cs="Calibri"/>
                <w:sz w:val="24"/>
                <w:szCs w:val="24"/>
              </w:rPr>
            </w:pPr>
            <w:r>
              <w:rPr>
                <w:rFonts w:hint="eastAsia" w:ascii="Times New Roman" w:hAnsi="Times New Roman" w:eastAsia="仿宋_GB2312" w:cs="Times New Roman"/>
                <w:sz w:val="24"/>
              </w:rPr>
              <w:t>无</w:t>
            </w:r>
          </w:p>
        </w:tc>
        <w:tc>
          <w:tcPr>
            <w:tcW w:w="1922" w:type="dxa"/>
            <w:tcBorders>
              <w:top w:val="single" w:color="auto" w:sz="4" w:space="0"/>
              <w:bottom w:val="single" w:color="auto" w:sz="4" w:space="0"/>
            </w:tcBorders>
            <w:vAlign w:val="center"/>
          </w:tcPr>
          <w:p w14:paraId="481E8139">
            <w:pPr>
              <w:jc w:val="center"/>
              <w:rPr>
                <w:rFonts w:ascii="仿宋_GB2312" w:hAnsi="Times New Roman" w:eastAsia="仿宋_GB2312" w:cs="Calibri"/>
                <w:sz w:val="24"/>
                <w:szCs w:val="24"/>
              </w:rPr>
            </w:pPr>
            <w:r>
              <w:rPr>
                <w:rFonts w:hint="eastAsia" w:ascii="Times New Roman" w:hAnsi="Times New Roman" w:eastAsia="仿宋_GB2312" w:cs="Times New Roman"/>
                <w:sz w:val="24"/>
              </w:rPr>
              <w:t>资源利用与植物保护</w:t>
            </w:r>
          </w:p>
        </w:tc>
        <w:tc>
          <w:tcPr>
            <w:tcW w:w="2589" w:type="dxa"/>
            <w:tcBorders>
              <w:top w:val="single" w:color="auto" w:sz="4" w:space="0"/>
              <w:bottom w:val="single" w:color="auto" w:sz="4" w:space="0"/>
            </w:tcBorders>
            <w:vAlign w:val="center"/>
          </w:tcPr>
          <w:p w14:paraId="37A49FFA">
            <w:pPr>
              <w:jc w:val="center"/>
              <w:rPr>
                <w:rFonts w:ascii="仿宋_GB2312" w:hAnsi="Times New Roman" w:eastAsia="仿宋_GB2312" w:cs="Calibri"/>
                <w:sz w:val="24"/>
                <w:szCs w:val="24"/>
              </w:rPr>
            </w:pPr>
            <w:r>
              <w:rPr>
                <w:rFonts w:hint="eastAsia" w:ascii="仿宋_GB2312" w:hAnsi="仿宋_GB2312" w:eastAsia="仿宋_GB2312" w:cs="仿宋_GB2312"/>
                <w:bCs/>
                <w:spacing w:val="-6"/>
                <w:sz w:val="24"/>
              </w:rPr>
              <w:t>广西壮族自治区药用植物园</w:t>
            </w:r>
          </w:p>
        </w:tc>
        <w:tc>
          <w:tcPr>
            <w:tcW w:w="1574" w:type="dxa"/>
            <w:tcBorders>
              <w:top w:val="single" w:color="auto" w:sz="4" w:space="0"/>
              <w:bottom w:val="single" w:color="auto" w:sz="4" w:space="0"/>
            </w:tcBorders>
            <w:vAlign w:val="center"/>
          </w:tcPr>
          <w:p w14:paraId="64D0F00F">
            <w:pPr>
              <w:jc w:val="center"/>
              <w:rPr>
                <w:rFonts w:ascii="仿宋_GB2312" w:hAnsi="Times New Roman" w:eastAsia="仿宋_GB2312" w:cs="Calibri"/>
                <w:sz w:val="24"/>
                <w:szCs w:val="24"/>
              </w:rPr>
            </w:pPr>
            <w:r>
              <w:rPr>
                <w:rFonts w:hint="eastAsia" w:ascii="仿宋_GB2312" w:hAnsi="Times New Roman" w:eastAsia="仿宋_GB2312" w:cs="Calibri"/>
                <w:sz w:val="24"/>
                <w:szCs w:val="24"/>
              </w:rPr>
              <w:t>调研、数据资料收集、标准起草、撰写。</w:t>
            </w:r>
          </w:p>
        </w:tc>
      </w:tr>
    </w:tbl>
    <w:p w14:paraId="22E1548C">
      <w:pPr>
        <w:spacing w:before="156" w:beforeLines="50" w:after="156" w:afterLines="50"/>
        <w:rPr>
          <w:rFonts w:ascii="黑体" w:hAnsi="黑体" w:eastAsia="黑体"/>
          <w:sz w:val="32"/>
          <w:szCs w:val="32"/>
        </w:rPr>
      </w:pPr>
      <w:r>
        <w:rPr>
          <w:rFonts w:hint="eastAsia" w:ascii="黑体" w:hAnsi="黑体" w:eastAsia="黑体"/>
          <w:sz w:val="32"/>
          <w:szCs w:val="32"/>
        </w:rPr>
        <w:t>二、项目背景及目的意义</w:t>
      </w:r>
    </w:p>
    <w:p w14:paraId="0C8EF154">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国家持续推行《中药材生产质量管理规范》（GAP），推动常用中药材规范化种植，推行订单生产、定制药园等模式。《国务院办公厅关于提升中药质量促进中医药产业高质量发展的意见（国办发〔2025〕11号）》提出加强中药资源保护利用和提升中药材产业发展水平，推进中药材生态种植，推进用于药用作物的农药登记，推行病虫害绿色防控和安全用药。《国家标准化发展纲要》要求健全现代农业全产业链标准体系，加大种养和绿色优质高效标准推广力度。</w:t>
      </w:r>
    </w:p>
    <w:p w14:paraId="22702020">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五指毛桃（</w:t>
      </w:r>
      <w:r>
        <w:rPr>
          <w:rFonts w:hint="eastAsia" w:ascii="Times New Roman" w:hAnsi="Times New Roman" w:eastAsia="仿宋_GB2312"/>
          <w:i/>
          <w:sz w:val="28"/>
          <w:szCs w:val="28"/>
        </w:rPr>
        <w:t>Ficus hirta</w:t>
      </w:r>
      <w:r>
        <w:rPr>
          <w:rFonts w:hint="eastAsia" w:ascii="Times New Roman" w:hAnsi="Times New Roman" w:eastAsia="仿宋_GB2312"/>
          <w:sz w:val="28"/>
          <w:szCs w:val="28"/>
        </w:rPr>
        <w:t xml:space="preserve"> Vahl）是桑科榕属的木本植物，又名粗叶榕、五指牛奶、土黄芪，因其叶片形状像五指而得名。五指毛桃是传统的道地中药材，具有丰富的药用和食用价值，常用于煲汤、药膳，具有健脾补肺、益气补虚等功效，此外， 它还具有舒展筋骨等功效，对人体的很多器官都有好处，被认为是一种健康养生的食源性药材，是广西壮瑶药重点发展品种，在全面推进中医药发展和健康中国建设的背景下，广西不断推出中医药壮瑶药产业高质量发展和振兴发展的相关政策文件，给予了高度重视。</w:t>
      </w:r>
    </w:p>
    <w:p w14:paraId="2CF4D88E">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随着大健康产业的发展以及人们对五指毛桃药食效用认识的提高，五指毛桃野生资源被大量采挖，蕴藏量不断减少，市场需求不断增加，人工种植五指毛桃随之兴起。广西五指毛桃产业在近几年也得以迅速形成和发展，取得一定成效，目前种植五指毛桃已成为了广西地区乡村振兴和农民增收的新途径，成功打造出“一村一品”示范村镇，打响了区域特色产业品牌，具有良好的发展前景。然而，关于五指毛桃研究进展、药理作用、繁育技术等方面的研究报道较多，主要开展了药理研究及常规栽培技术方面的研究，但对病虫害防治、水肥管理等方面的研究较少。</w:t>
      </w:r>
    </w:p>
    <w:p w14:paraId="75C277F2">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据编制组前期调研可知，五指毛桃主要分布在广东、广西、福建、江西、湖南、云南、贵州等南方地区。其中，广东河源市源城区种植面积近2万亩，广西区内种植面积已突破2万亩，玉林规划种植从3000余亩扩大至1.6万亩，东兴市截至2024年，五指毛桃种植面积达6476多亩，钦州伯劳镇种植4500亩，钟山县两安瑶族乡有1000余亩，宁明县板棍乡有800亩，上杭县通贤镇岭头村有50亩，柳州市柳江区百朋镇龙泉村有260亩。广西五指毛桃病虫害综合防治技术在广西普遍应用，在大面积种植地区，如钦州、合浦、玉林等地都需要此技术。随着政策扶持深化、企业示范带动及市场需求升级，该技术将覆盖超70%的规模化种植户和企业，成为保障药材品质与产业可持续发展的核心支撑。</w:t>
      </w:r>
    </w:p>
    <w:p w14:paraId="0DE26136">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五指毛桃在生长过程中易受炭疽病、卷叶蛾、黏虫等病虫害侵袭。若不加以有效防治，病虫害会严重破坏植株的叶片、枝干等，影响光合作用和养分积累，导致产量大幅下降。例如炭疽病会使叶片出现病斑，影响光合面积，进而使根部生长受限，降低产量。病虫害还可能影响五指毛桃的品质，如导致根部腐烂、变质，使有效成分含量降低，影响其药用价值和市场价值。制定防治规程，能及时控制病虫害，保证五指毛桃的根部完整、无病虫害，提高其商品质量和药用功效。此外，五指毛桃作为重要的药食两用植物，市场需求较大。通过制定防治规程，有效控制病虫害，可确保五指毛桃的稳定供应，满足市场对五指毛桃的需求，避免因病虫害导致的产量波动而影响市场供应和价格稳定。</w:t>
      </w:r>
    </w:p>
    <w:p w14:paraId="19D93B21">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通过制定团体标准《五指毛桃主要病虫害综合防治技术规程》，以标准为抓手，统一规范五指毛桃主要病虫害综合防治技术要求，用标准化和规范化更好的指导五指毛桃主要病虫害综合防治工作，对促进林药产业的有机结合，协调药材生产与生态环境保护，同时增加农民收入，促进乡村振兴发展具有重要意义。</w:t>
      </w:r>
    </w:p>
    <w:p w14:paraId="5F52D1CC">
      <w:pPr>
        <w:spacing w:before="156" w:beforeLines="50" w:after="156" w:afterLines="50"/>
        <w:rPr>
          <w:rFonts w:ascii="黑体" w:hAnsi="黑体" w:eastAsia="黑体"/>
          <w:sz w:val="32"/>
          <w:szCs w:val="32"/>
        </w:rPr>
      </w:pPr>
      <w:r>
        <w:rPr>
          <w:rFonts w:hint="eastAsia" w:ascii="黑体" w:hAnsi="黑体" w:eastAsia="黑体"/>
          <w:sz w:val="32"/>
          <w:szCs w:val="32"/>
        </w:rPr>
        <w:t>三、项目编制过程</w:t>
      </w:r>
    </w:p>
    <w:p w14:paraId="763C1915">
      <w:pPr>
        <w:ind w:firstLine="640" w:firstLineChars="200"/>
        <w:rPr>
          <w:rFonts w:ascii="楷体" w:hAnsi="楷体" w:eastAsia="楷体"/>
          <w:sz w:val="32"/>
          <w:szCs w:val="32"/>
        </w:rPr>
      </w:pPr>
      <w:r>
        <w:rPr>
          <w:rFonts w:hint="eastAsia" w:ascii="楷体" w:hAnsi="楷体" w:eastAsia="楷体"/>
          <w:sz w:val="32"/>
          <w:szCs w:val="32"/>
        </w:rPr>
        <w:t>(一）成立标准编制工作组</w:t>
      </w:r>
    </w:p>
    <w:p w14:paraId="715D2B31">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团体标准《五指毛桃主要病虫害综合防治技术规程》项目任务下达后，成立了标准编制工作组，制定了标准编写方案，明确任务职责，确定工作技术路线，开展标准研制工作，具体标准编制工作由广西壮族自治区国有钦廉林场、广西壮族自治区药用植物园和北海海丝香料有限责任公司的相关人员配合。编制工作组下设三个组，分别是资料收集组、草案编写组、标准实施组。</w:t>
      </w:r>
    </w:p>
    <w:p w14:paraId="6F9C6338">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资料收集组负责国内外有关五指毛桃主要病虫害综合防治的文献资料的查询、收集和整理工作，查阅前人对五指毛桃主要病虫害综合防治研究情况和目前科学界对此的研究进展。</w:t>
      </w:r>
    </w:p>
    <w:p w14:paraId="68D68CE8">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草案编写组负责起草标准草案、征求意见稿和标准编制说明、送审稿及编制说明的编写工作，包括后期召开征求意见会、网上征求意见，以及标准的不断修改和完善。</w:t>
      </w:r>
    </w:p>
    <w:p w14:paraId="0C4F3A3A">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标准实施组负责《五指毛桃主要病虫害综合防治规范》团体标准发布后，组织相关评价机构开展标准宣贯评价会，对标准进行详细解读，让相关人员了解标准，并根据标准对五指毛桃主要病虫害综合防治规范进行规范化操作，并对标准实施情况进行总结分析，不断对团体标准提出修正意见。</w:t>
      </w:r>
    </w:p>
    <w:p w14:paraId="77A1D531">
      <w:pPr>
        <w:ind w:firstLine="640" w:firstLineChars="200"/>
        <w:rPr>
          <w:rFonts w:ascii="楷体" w:hAnsi="楷体" w:eastAsia="楷体"/>
          <w:sz w:val="32"/>
          <w:szCs w:val="32"/>
        </w:rPr>
      </w:pPr>
      <w:r>
        <w:rPr>
          <w:rFonts w:hint="eastAsia" w:ascii="楷体" w:hAnsi="楷体" w:eastAsia="楷体"/>
          <w:sz w:val="32"/>
          <w:szCs w:val="32"/>
        </w:rPr>
        <w:t>（二）收集整理文献资料</w:t>
      </w:r>
    </w:p>
    <w:p w14:paraId="66E01055">
      <w:pPr>
        <w:ind w:firstLine="640" w:firstLineChars="200"/>
        <w:rPr>
          <w:rFonts w:ascii="楷体" w:hAnsi="楷体" w:eastAsia="楷体"/>
          <w:sz w:val="32"/>
          <w:szCs w:val="32"/>
        </w:rPr>
      </w:pPr>
      <w:r>
        <w:rPr>
          <w:rFonts w:hint="eastAsia" w:ascii="楷体" w:hAnsi="楷体" w:eastAsia="楷体"/>
          <w:sz w:val="32"/>
          <w:szCs w:val="32"/>
        </w:rPr>
        <w:t>标准编制工作组收集了近二十年国内关于五指毛桃栽培技术等文献资料。主要有：</w:t>
      </w:r>
    </w:p>
    <w:p w14:paraId="20290578">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w:t>
      </w:r>
      <w:r>
        <w:rPr>
          <w:rFonts w:hint="eastAsia"/>
        </w:rPr>
        <w:t xml:space="preserve"> </w:t>
      </w:r>
      <w:r>
        <w:rPr>
          <w:rFonts w:hint="eastAsia" w:ascii="Times New Roman" w:hAnsi="Times New Roman" w:eastAsia="仿宋_GB2312"/>
          <w:sz w:val="28"/>
          <w:szCs w:val="28"/>
        </w:rPr>
        <w:t>陈庆梅.</w:t>
      </w:r>
      <w:r>
        <w:rPr>
          <w:rFonts w:hint="eastAsia"/>
        </w:rPr>
        <w:t xml:space="preserve"> </w:t>
      </w:r>
      <w:r>
        <w:rPr>
          <w:rFonts w:hint="eastAsia" w:ascii="Times New Roman" w:hAnsi="Times New Roman" w:eastAsia="仿宋_GB2312"/>
          <w:sz w:val="28"/>
          <w:szCs w:val="28"/>
        </w:rPr>
        <w:t>广西农户五指毛桃种植意愿影响因素研究[D].广西大学,2024.</w:t>
      </w:r>
    </w:p>
    <w:p w14:paraId="4333B98D">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w:t>
      </w:r>
      <w:r>
        <w:rPr>
          <w:rFonts w:hint="eastAsia"/>
        </w:rPr>
        <w:t xml:space="preserve"> </w:t>
      </w:r>
      <w:r>
        <w:rPr>
          <w:rFonts w:hint="eastAsia" w:ascii="Times New Roman" w:hAnsi="Times New Roman" w:eastAsia="仿宋_GB2312"/>
          <w:sz w:val="28"/>
          <w:szCs w:val="28"/>
        </w:rPr>
        <w:t>马留辉, 黄少军, 粟华生, 等.</w:t>
      </w:r>
      <w:r>
        <w:rPr>
          <w:rFonts w:hint="eastAsia"/>
        </w:rPr>
        <w:t xml:space="preserve"> </w:t>
      </w:r>
      <w:r>
        <w:rPr>
          <w:rFonts w:hint="eastAsia" w:ascii="Times New Roman" w:hAnsi="Times New Roman" w:eastAsia="仿宋_GB2312"/>
          <w:sz w:val="28"/>
          <w:szCs w:val="28"/>
        </w:rPr>
        <w:t>岭南道地药材五指毛桃栽培技术[J].</w:t>
      </w:r>
      <w:r>
        <w:rPr>
          <w:rFonts w:hint="eastAsia"/>
        </w:rPr>
        <w:t xml:space="preserve"> </w:t>
      </w:r>
      <w:r>
        <w:rPr>
          <w:rFonts w:hint="eastAsia" w:ascii="Times New Roman" w:hAnsi="Times New Roman" w:eastAsia="仿宋_GB2312"/>
          <w:sz w:val="28"/>
          <w:szCs w:val="28"/>
        </w:rPr>
        <w:t>现代农业科技, 2024, 6:213-216.</w:t>
      </w:r>
    </w:p>
    <w:p w14:paraId="018DE8B5">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[3]</w:t>
      </w:r>
      <w:r>
        <w:rPr>
          <w:rFonts w:hint="eastAsia"/>
        </w:rPr>
        <w:t xml:space="preserve"> </w:t>
      </w:r>
      <w:r>
        <w:rPr>
          <w:rFonts w:hint="eastAsia" w:ascii="Times New Roman" w:hAnsi="Times New Roman" w:eastAsia="仿宋_GB2312"/>
          <w:sz w:val="28"/>
          <w:szCs w:val="28"/>
        </w:rPr>
        <w:t>劳景莉, 方艺, 杜明, 等.</w:t>
      </w:r>
      <w:r>
        <w:rPr>
          <w:rFonts w:hint="eastAsia"/>
        </w:rPr>
        <w:t xml:space="preserve"> </w:t>
      </w:r>
      <w:r>
        <w:rPr>
          <w:rFonts w:hint="eastAsia" w:ascii="Times New Roman" w:hAnsi="Times New Roman" w:eastAsia="仿宋_GB2312"/>
          <w:sz w:val="28"/>
          <w:szCs w:val="28"/>
        </w:rPr>
        <w:t>五指毛桃繁殖技术的研究进展[J].</w:t>
      </w:r>
      <w:r>
        <w:rPr>
          <w:rFonts w:hint="eastAsia"/>
        </w:rPr>
        <w:t xml:space="preserve"> </w:t>
      </w:r>
      <w:r>
        <w:rPr>
          <w:rFonts w:hint="eastAsia" w:ascii="Times New Roman" w:hAnsi="Times New Roman" w:eastAsia="仿宋_GB2312"/>
          <w:sz w:val="28"/>
          <w:szCs w:val="28"/>
        </w:rPr>
        <w:t>热带农业科学, 2017, 37(7): 80-84.</w:t>
      </w:r>
    </w:p>
    <w:p w14:paraId="1D0DFF4D">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[4]</w:t>
      </w:r>
      <w:r>
        <w:rPr>
          <w:rFonts w:hint="eastAsia"/>
        </w:rPr>
        <w:t xml:space="preserve"> </w:t>
      </w:r>
      <w:r>
        <w:rPr>
          <w:rFonts w:hint="eastAsia" w:ascii="Times New Roman" w:hAnsi="Times New Roman" w:eastAsia="仿宋_GB2312"/>
          <w:sz w:val="28"/>
          <w:szCs w:val="28"/>
        </w:rPr>
        <w:t>邹榕先. 五指毛桃仿野生栽培管理技术[J].</w:t>
      </w:r>
      <w:r>
        <w:rPr>
          <w:rFonts w:hint="eastAsia"/>
        </w:rPr>
        <w:t xml:space="preserve"> </w:t>
      </w:r>
      <w:r>
        <w:rPr>
          <w:rFonts w:hint="eastAsia" w:ascii="Times New Roman" w:hAnsi="Times New Roman" w:eastAsia="仿宋_GB2312"/>
          <w:sz w:val="28"/>
          <w:szCs w:val="28"/>
        </w:rPr>
        <w:t>园艺与种苗, 2020,6: 11-13.</w:t>
      </w:r>
    </w:p>
    <w:p w14:paraId="6DCC1EE2">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[5]</w:t>
      </w:r>
      <w:r>
        <w:rPr>
          <w:rFonts w:hint="eastAsia"/>
        </w:rPr>
        <w:t xml:space="preserve"> </w:t>
      </w:r>
      <w:r>
        <w:rPr>
          <w:rFonts w:hint="eastAsia" w:ascii="Times New Roman" w:hAnsi="Times New Roman" w:eastAsia="仿宋_GB2312"/>
          <w:sz w:val="28"/>
          <w:szCs w:val="28"/>
        </w:rPr>
        <w:t>钟珍秀, 黄应宗.</w:t>
      </w:r>
      <w:r>
        <w:rPr>
          <w:rFonts w:hint="eastAsia"/>
        </w:rPr>
        <w:t xml:space="preserve"> </w:t>
      </w:r>
      <w:r>
        <w:rPr>
          <w:rFonts w:hint="eastAsia" w:ascii="Times New Roman" w:hAnsi="Times New Roman" w:eastAsia="仿宋_GB2312"/>
          <w:sz w:val="28"/>
          <w:szCs w:val="28"/>
        </w:rPr>
        <w:t>五指毛桃人工栽培技术[J].</w:t>
      </w:r>
      <w:r>
        <w:rPr>
          <w:rFonts w:hint="eastAsia"/>
        </w:rPr>
        <w:t xml:space="preserve"> </w:t>
      </w:r>
      <w:r>
        <w:rPr>
          <w:rFonts w:hint="eastAsia" w:ascii="Times New Roman" w:hAnsi="Times New Roman" w:eastAsia="仿宋_GB2312"/>
          <w:sz w:val="28"/>
          <w:szCs w:val="28"/>
        </w:rPr>
        <w:t>中国农技推广, 39(10):55-57.</w:t>
      </w:r>
    </w:p>
    <w:p w14:paraId="0DE48337">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[6]</w:t>
      </w:r>
      <w:r>
        <w:rPr>
          <w:rFonts w:hint="eastAsia"/>
        </w:rPr>
        <w:t xml:space="preserve"> </w:t>
      </w:r>
      <w:r>
        <w:rPr>
          <w:rFonts w:hint="eastAsia" w:ascii="Times New Roman" w:hAnsi="Times New Roman" w:eastAsia="仿宋_GB2312"/>
          <w:sz w:val="28"/>
          <w:szCs w:val="28"/>
        </w:rPr>
        <w:t>董青松, 欧彪, 陈乾平.</w:t>
      </w:r>
      <w:r>
        <w:rPr>
          <w:rFonts w:hint="eastAsia"/>
        </w:rPr>
        <w:t xml:space="preserve"> </w:t>
      </w:r>
      <w:r>
        <w:rPr>
          <w:rFonts w:hint="eastAsia" w:ascii="Times New Roman" w:hAnsi="Times New Roman" w:eastAsia="仿宋_GB2312"/>
          <w:sz w:val="28"/>
          <w:szCs w:val="28"/>
        </w:rPr>
        <w:t>五指毛桃研究进展[J].广西医学, 2006, 28(6): 950-952.</w:t>
      </w:r>
    </w:p>
    <w:p w14:paraId="40432DF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[8] 钟小清.五指毛桃药材质量的研究[D].广州中医药大学, 2001.</w:t>
      </w:r>
    </w:p>
    <w:p w14:paraId="6EE56C3D">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[9]</w:t>
      </w:r>
      <w:r>
        <w:rPr>
          <w:rFonts w:hint="eastAsia"/>
        </w:rPr>
        <w:t xml:space="preserve"> </w:t>
      </w:r>
      <w:r>
        <w:rPr>
          <w:rFonts w:hint="eastAsia" w:ascii="Times New Roman" w:hAnsi="Times New Roman" w:eastAsia="仿宋_GB2312"/>
          <w:sz w:val="28"/>
          <w:szCs w:val="28"/>
        </w:rPr>
        <w:t>李超萍, 卢凯, 廖云娥, 等.</w:t>
      </w:r>
      <w:r>
        <w:rPr>
          <w:rFonts w:hint="eastAsia"/>
        </w:rPr>
        <w:t xml:space="preserve"> </w:t>
      </w:r>
      <w:r>
        <w:rPr>
          <w:rFonts w:hint="eastAsia" w:ascii="Times New Roman" w:hAnsi="Times New Roman" w:eastAsia="仿宋_GB2312"/>
          <w:sz w:val="28"/>
          <w:szCs w:val="28"/>
        </w:rPr>
        <w:t>五指毛桃栽培及精准施肥技术[J].</w:t>
      </w:r>
      <w:r>
        <w:rPr>
          <w:rFonts w:hint="eastAsia"/>
        </w:rPr>
        <w:t xml:space="preserve"> </w:t>
      </w:r>
      <w:r>
        <w:rPr>
          <w:rFonts w:hint="eastAsia" w:ascii="Times New Roman" w:hAnsi="Times New Roman" w:eastAsia="仿宋_GB2312"/>
          <w:sz w:val="28"/>
          <w:szCs w:val="28"/>
        </w:rPr>
        <w:t>现代农业科技, 2023,12: 84-86.</w:t>
      </w:r>
    </w:p>
    <w:p w14:paraId="52612329">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 xml:space="preserve">[10] 钟小清, 徐鸿华, 陈安琴. 五指毛桃栽培技术[J].中药研究与信息, 2000, 2(7):11-12. </w:t>
      </w:r>
    </w:p>
    <w:p w14:paraId="009F09E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[11]</w:t>
      </w:r>
      <w:r>
        <w:rPr>
          <w:rFonts w:hint="eastAsia"/>
        </w:rPr>
        <w:t xml:space="preserve"> </w:t>
      </w:r>
      <w:r>
        <w:rPr>
          <w:rFonts w:hint="eastAsia" w:ascii="Times New Roman" w:hAnsi="Times New Roman" w:eastAsia="仿宋_GB2312"/>
          <w:sz w:val="28"/>
          <w:szCs w:val="28"/>
        </w:rPr>
        <w:t>韦荣昌.</w:t>
      </w:r>
      <w:r>
        <w:rPr>
          <w:rFonts w:hint="eastAsia"/>
        </w:rPr>
        <w:t xml:space="preserve"> </w:t>
      </w:r>
      <w:r>
        <w:rPr>
          <w:rFonts w:hint="eastAsia" w:ascii="Times New Roman" w:hAnsi="Times New Roman" w:eastAsia="仿宋_GB2312"/>
          <w:sz w:val="28"/>
          <w:szCs w:val="28"/>
        </w:rPr>
        <w:t>五指毛桃种植关键技术[J].</w:t>
      </w:r>
      <w:r>
        <w:rPr>
          <w:rFonts w:hint="eastAsia"/>
        </w:rPr>
        <w:t xml:space="preserve"> </w:t>
      </w:r>
      <w:r>
        <w:rPr>
          <w:rFonts w:hint="eastAsia" w:ascii="Times New Roman" w:hAnsi="Times New Roman" w:eastAsia="仿宋_GB2312"/>
          <w:sz w:val="28"/>
          <w:szCs w:val="28"/>
        </w:rPr>
        <w:t>农业研究与应用, 2016,2:63-65.</w:t>
      </w:r>
    </w:p>
    <w:p w14:paraId="0D5AF48E">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[12]</w:t>
      </w:r>
      <w:r>
        <w:rPr>
          <w:rFonts w:hint="eastAsia"/>
        </w:rPr>
        <w:t xml:space="preserve"> </w:t>
      </w:r>
      <w:r>
        <w:rPr>
          <w:rFonts w:hint="eastAsia" w:ascii="Times New Roman" w:hAnsi="Times New Roman" w:eastAsia="仿宋_GB2312"/>
          <w:sz w:val="28"/>
          <w:szCs w:val="28"/>
        </w:rPr>
        <w:t>张添, 梁新戊, 蒋冬远, 等.</w:t>
      </w:r>
      <w:r>
        <w:rPr>
          <w:rFonts w:hint="eastAsia"/>
        </w:rPr>
        <w:t xml:space="preserve"> </w:t>
      </w:r>
      <w:r>
        <w:rPr>
          <w:rFonts w:hint="eastAsia" w:ascii="Times New Roman" w:hAnsi="Times New Roman" w:eastAsia="仿宋_GB2312"/>
          <w:sz w:val="28"/>
          <w:szCs w:val="28"/>
        </w:rPr>
        <w:t>桉树林下套种五指毛桃复合经营模式探讨[J].</w:t>
      </w:r>
      <w:r>
        <w:rPr>
          <w:rFonts w:hint="eastAsia"/>
        </w:rPr>
        <w:t xml:space="preserve"> </w:t>
      </w:r>
      <w:r>
        <w:rPr>
          <w:rFonts w:hint="eastAsia" w:ascii="Times New Roman" w:hAnsi="Times New Roman" w:eastAsia="仿宋_GB2312"/>
          <w:sz w:val="28"/>
          <w:szCs w:val="28"/>
        </w:rPr>
        <w:t>农村科学实验, 2025, 13: 118-120.</w:t>
      </w:r>
    </w:p>
    <w:p w14:paraId="797D2F61">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[13]</w:t>
      </w:r>
      <w:r>
        <w:rPr>
          <w:rFonts w:hint="eastAsia"/>
        </w:rPr>
        <w:t xml:space="preserve"> </w:t>
      </w:r>
      <w:r>
        <w:rPr>
          <w:rFonts w:hint="eastAsia" w:ascii="Times New Roman" w:hAnsi="Times New Roman" w:eastAsia="仿宋_GB2312"/>
          <w:sz w:val="28"/>
          <w:szCs w:val="28"/>
        </w:rPr>
        <w:t>罗晓锋,</w:t>
      </w:r>
      <w:r>
        <w:rPr>
          <w:rFonts w:ascii="Times New Roman" w:hAnsi="Times New Roman" w:eastAsia="仿宋_GB2312"/>
          <w:sz w:val="28"/>
          <w:szCs w:val="28"/>
        </w:rPr>
        <w:t xml:space="preserve"> </w:t>
      </w:r>
      <w:r>
        <w:rPr>
          <w:rFonts w:hint="eastAsia" w:ascii="Times New Roman" w:hAnsi="Times New Roman" w:eastAsia="仿宋_GB2312"/>
          <w:sz w:val="28"/>
          <w:szCs w:val="28"/>
        </w:rPr>
        <w:t>周建金,</w:t>
      </w:r>
      <w:r>
        <w:rPr>
          <w:rFonts w:ascii="Times New Roman" w:hAnsi="Times New Roman" w:eastAsia="仿宋_GB2312"/>
          <w:sz w:val="28"/>
          <w:szCs w:val="28"/>
        </w:rPr>
        <w:t xml:space="preserve"> </w:t>
      </w:r>
      <w:r>
        <w:rPr>
          <w:rFonts w:hint="eastAsia" w:ascii="Times New Roman" w:hAnsi="Times New Roman" w:eastAsia="仿宋_GB2312"/>
          <w:sz w:val="28"/>
          <w:szCs w:val="28"/>
        </w:rPr>
        <w:t>郭位贤, 等.</w:t>
      </w:r>
      <w:r>
        <w:rPr>
          <w:rFonts w:ascii="Times New Roman" w:hAnsi="Times New Roman" w:eastAsia="仿宋_GB2312"/>
          <w:sz w:val="28"/>
          <w:szCs w:val="28"/>
        </w:rPr>
        <w:t xml:space="preserve"> </w:t>
      </w:r>
      <w:r>
        <w:rPr>
          <w:rFonts w:hint="eastAsia" w:ascii="Times New Roman" w:hAnsi="Times New Roman" w:eastAsia="仿宋_GB2312"/>
          <w:sz w:val="28"/>
          <w:szCs w:val="28"/>
        </w:rPr>
        <w:t>五指毛桃生产技术规程[J].</w:t>
      </w:r>
      <w:r>
        <w:rPr>
          <w:rFonts w:ascii="Times New Roman" w:hAnsi="Times New Roman" w:eastAsia="仿宋_GB2312"/>
          <w:sz w:val="28"/>
          <w:szCs w:val="28"/>
        </w:rPr>
        <w:t xml:space="preserve"> </w:t>
      </w:r>
      <w:r>
        <w:rPr>
          <w:rFonts w:hint="eastAsia" w:ascii="Times New Roman" w:hAnsi="Times New Roman" w:eastAsia="仿宋_GB2312"/>
          <w:sz w:val="28"/>
          <w:szCs w:val="28"/>
        </w:rPr>
        <w:t>福建农业科技,</w:t>
      </w:r>
      <w:bookmarkStart w:id="1" w:name="OLE_LINK1"/>
      <w:r>
        <w:rPr>
          <w:rFonts w:ascii="Times New Roman" w:hAnsi="Times New Roman" w:eastAsia="仿宋_GB2312"/>
          <w:sz w:val="28"/>
          <w:szCs w:val="28"/>
        </w:rPr>
        <w:t xml:space="preserve"> 2024, 55(6): </w:t>
      </w:r>
      <w:bookmarkEnd w:id="1"/>
      <w:r>
        <w:rPr>
          <w:rFonts w:ascii="Times New Roman" w:hAnsi="Times New Roman" w:eastAsia="仿宋_GB2312"/>
          <w:sz w:val="28"/>
          <w:szCs w:val="28"/>
        </w:rPr>
        <w:t>60-63.</w:t>
      </w:r>
    </w:p>
    <w:p w14:paraId="724D764A">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[14]</w:t>
      </w:r>
      <w:r>
        <w:rPr>
          <w:rFonts w:hint="eastAsia"/>
        </w:rPr>
        <w:t xml:space="preserve"> </w:t>
      </w:r>
      <w:r>
        <w:rPr>
          <w:rFonts w:hint="eastAsia" w:ascii="Times New Roman" w:hAnsi="Times New Roman" w:eastAsia="仿宋_GB2312"/>
          <w:sz w:val="28"/>
          <w:szCs w:val="28"/>
        </w:rPr>
        <w:t>钟珍秀, 黄应宗.</w:t>
      </w:r>
      <w:r>
        <w:rPr>
          <w:rFonts w:hint="eastAsia"/>
        </w:rPr>
        <w:t xml:space="preserve"> </w:t>
      </w:r>
      <w:r>
        <w:rPr>
          <w:rFonts w:hint="eastAsia" w:ascii="Times New Roman" w:hAnsi="Times New Roman" w:eastAsia="仿宋_GB2312"/>
          <w:sz w:val="28"/>
          <w:szCs w:val="28"/>
        </w:rPr>
        <w:t>五指毛桃人工栽培技术[J].</w:t>
      </w:r>
      <w:r>
        <w:rPr>
          <w:rFonts w:hint="eastAsia"/>
        </w:rPr>
        <w:t xml:space="preserve"> </w:t>
      </w:r>
      <w:r>
        <w:rPr>
          <w:rFonts w:hint="eastAsia" w:ascii="Times New Roman" w:hAnsi="Times New Roman" w:eastAsia="仿宋_GB2312"/>
          <w:sz w:val="28"/>
          <w:szCs w:val="28"/>
        </w:rPr>
        <w:t>中国农技推广,</w:t>
      </w:r>
      <w:r>
        <w:rPr>
          <w:rFonts w:ascii="Times New Roman" w:hAnsi="Times New Roman" w:eastAsia="仿宋_GB2312"/>
          <w:sz w:val="28"/>
          <w:szCs w:val="28"/>
        </w:rPr>
        <w:t xml:space="preserve"> 2023, 39(10):55-57.</w:t>
      </w:r>
    </w:p>
    <w:p w14:paraId="621175E2">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[15]</w:t>
      </w:r>
      <w:r>
        <w:rPr>
          <w:rFonts w:hint="eastAsia"/>
        </w:rPr>
        <w:t xml:space="preserve"> </w:t>
      </w:r>
      <w:r>
        <w:rPr>
          <w:rFonts w:hint="eastAsia" w:ascii="Times New Roman" w:hAnsi="Times New Roman" w:eastAsia="仿宋_GB2312"/>
          <w:sz w:val="28"/>
          <w:szCs w:val="28"/>
        </w:rPr>
        <w:t>施力军, 潘宇, 陈路, 等.</w:t>
      </w:r>
      <w:r>
        <w:rPr>
          <w:rFonts w:hint="eastAsia"/>
        </w:rPr>
        <w:t xml:space="preserve"> </w:t>
      </w:r>
      <w:r>
        <w:rPr>
          <w:rFonts w:hint="eastAsia" w:ascii="Times New Roman" w:hAnsi="Times New Roman" w:eastAsia="仿宋_GB2312"/>
          <w:sz w:val="28"/>
          <w:szCs w:val="28"/>
        </w:rPr>
        <w:t>五指毛桃不同部位有效成分的比较[J].</w:t>
      </w:r>
      <w:r>
        <w:rPr>
          <w:rFonts w:hint="eastAsia"/>
        </w:rPr>
        <w:t xml:space="preserve"> </w:t>
      </w:r>
      <w:r>
        <w:rPr>
          <w:rFonts w:hint="eastAsia" w:ascii="Times New Roman" w:hAnsi="Times New Roman" w:eastAsia="仿宋_GB2312"/>
          <w:sz w:val="28"/>
          <w:szCs w:val="28"/>
        </w:rPr>
        <w:t>中南农业科技,</w:t>
      </w:r>
      <w:r>
        <w:rPr>
          <w:rFonts w:ascii="Times New Roman" w:hAnsi="Times New Roman" w:eastAsia="仿宋_GB2312"/>
          <w:sz w:val="28"/>
          <w:szCs w:val="28"/>
        </w:rPr>
        <w:t xml:space="preserve"> 2024, 45(12): 56-58</w:t>
      </w:r>
      <w:r>
        <w:rPr>
          <w:rFonts w:hint="eastAsia" w:ascii="Times New Roman" w:hAnsi="Times New Roman" w:eastAsia="仿宋_GB2312"/>
          <w:sz w:val="28"/>
          <w:szCs w:val="28"/>
        </w:rPr>
        <w:t>,</w:t>
      </w:r>
      <w:r>
        <w:rPr>
          <w:rFonts w:ascii="Times New Roman" w:hAnsi="Times New Roman" w:eastAsia="仿宋_GB2312"/>
          <w:sz w:val="28"/>
          <w:szCs w:val="28"/>
        </w:rPr>
        <w:t xml:space="preserve"> 69.</w:t>
      </w:r>
    </w:p>
    <w:p w14:paraId="6EF5221E">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[16]</w:t>
      </w:r>
      <w:r>
        <w:rPr>
          <w:rFonts w:hint="eastAsia"/>
        </w:rPr>
        <w:t xml:space="preserve"> </w:t>
      </w:r>
      <w:r>
        <w:rPr>
          <w:rFonts w:hint="eastAsia" w:ascii="Times New Roman" w:hAnsi="Times New Roman" w:eastAsia="仿宋_GB2312"/>
          <w:sz w:val="28"/>
          <w:szCs w:val="28"/>
        </w:rPr>
        <w:t>黄文全,</w:t>
      </w:r>
      <w:r>
        <w:rPr>
          <w:rFonts w:ascii="Times New Roman" w:hAnsi="Times New Roman" w:eastAsia="仿宋_GB2312"/>
          <w:sz w:val="28"/>
          <w:szCs w:val="28"/>
        </w:rPr>
        <w:t xml:space="preserve"> </w:t>
      </w:r>
      <w:r>
        <w:rPr>
          <w:rFonts w:hint="eastAsia" w:ascii="Times New Roman" w:hAnsi="Times New Roman" w:eastAsia="仿宋_GB2312"/>
          <w:sz w:val="28"/>
          <w:szCs w:val="28"/>
        </w:rPr>
        <w:t>李</w:t>
      </w:r>
      <w:r>
        <w:rPr>
          <w:rFonts w:hint="eastAsia" w:ascii="微软雅黑" w:hAnsi="微软雅黑" w:eastAsia="微软雅黑" w:cs="微软雅黑"/>
          <w:sz w:val="28"/>
          <w:szCs w:val="28"/>
        </w:rPr>
        <w:t>祎旻</w:t>
      </w:r>
      <w:r>
        <w:rPr>
          <w:rFonts w:hint="eastAsia" w:ascii="Times New Roman" w:hAnsi="Times New Roman" w:eastAsia="仿宋_GB2312"/>
          <w:sz w:val="28"/>
          <w:szCs w:val="28"/>
        </w:rPr>
        <w:t>,</w:t>
      </w:r>
      <w:r>
        <w:rPr>
          <w:rFonts w:ascii="Times New Roman" w:hAnsi="Times New Roman" w:eastAsia="仿宋_GB2312"/>
          <w:sz w:val="28"/>
          <w:szCs w:val="28"/>
        </w:rPr>
        <w:t xml:space="preserve"> </w:t>
      </w:r>
      <w:r>
        <w:rPr>
          <w:rFonts w:hint="eastAsia" w:ascii="Times New Roman" w:hAnsi="Times New Roman" w:eastAsia="仿宋_GB2312"/>
          <w:sz w:val="28"/>
          <w:szCs w:val="28"/>
        </w:rPr>
        <w:t>文清岚, 等.</w:t>
      </w:r>
      <w:r>
        <w:rPr>
          <w:rFonts w:hint="eastAsia"/>
        </w:rPr>
        <w:t xml:space="preserve"> </w:t>
      </w:r>
      <w:r>
        <w:rPr>
          <w:rFonts w:hint="eastAsia" w:ascii="Times New Roman" w:hAnsi="Times New Roman" w:eastAsia="仿宋_GB2312"/>
          <w:sz w:val="28"/>
          <w:szCs w:val="28"/>
        </w:rPr>
        <w:t>桂北地区五指毛桃种质资源调查与分析[J].</w:t>
      </w:r>
      <w:r>
        <w:rPr>
          <w:rFonts w:ascii="Times New Roman" w:hAnsi="Times New Roman" w:eastAsia="仿宋_GB2312"/>
          <w:sz w:val="28"/>
          <w:szCs w:val="28"/>
        </w:rPr>
        <w:t xml:space="preserve"> </w:t>
      </w:r>
      <w:r>
        <w:rPr>
          <w:rFonts w:hint="eastAsia" w:ascii="Times New Roman" w:hAnsi="Times New Roman" w:eastAsia="仿宋_GB2312"/>
          <w:sz w:val="28"/>
          <w:szCs w:val="28"/>
        </w:rPr>
        <w:t>特产研究,</w:t>
      </w:r>
      <w:r>
        <w:rPr>
          <w:rFonts w:ascii="Times New Roman" w:hAnsi="Times New Roman" w:eastAsia="仿宋_GB2312"/>
          <w:sz w:val="28"/>
          <w:szCs w:val="28"/>
        </w:rPr>
        <w:t xml:space="preserve"> 2024, 46(5): 179-186.</w:t>
      </w:r>
    </w:p>
    <w:p w14:paraId="6358DA2E">
      <w:pPr>
        <w:ind w:firstLine="560" w:firstLineChars="200"/>
      </w:pPr>
      <w:r>
        <w:rPr>
          <w:rFonts w:hint="eastAsia" w:ascii="Times New Roman" w:hAnsi="Times New Roman" w:eastAsia="仿宋_GB2312"/>
          <w:sz w:val="28"/>
          <w:szCs w:val="28"/>
        </w:rPr>
        <w:t>[17]</w:t>
      </w:r>
      <w:r>
        <w:rPr>
          <w:rFonts w:hint="eastAsia"/>
        </w:rPr>
        <w:t xml:space="preserve"> </w:t>
      </w:r>
      <w:r>
        <w:rPr>
          <w:rFonts w:hint="eastAsia" w:ascii="Times New Roman" w:hAnsi="Times New Roman" w:eastAsia="仿宋_GB2312"/>
          <w:sz w:val="28"/>
          <w:szCs w:val="28"/>
        </w:rPr>
        <w:t>陈宝玲,</w:t>
      </w:r>
      <w:r>
        <w:rPr>
          <w:rFonts w:ascii="Times New Roman" w:hAnsi="Times New Roman" w:eastAsia="仿宋_GB2312"/>
          <w:sz w:val="28"/>
          <w:szCs w:val="28"/>
        </w:rPr>
        <w:t xml:space="preserve"> </w:t>
      </w:r>
      <w:r>
        <w:rPr>
          <w:rFonts w:hint="eastAsia" w:ascii="Times New Roman" w:hAnsi="Times New Roman" w:eastAsia="仿宋_GB2312"/>
          <w:sz w:val="28"/>
          <w:szCs w:val="28"/>
        </w:rPr>
        <w:t>杨开太,</w:t>
      </w:r>
      <w:r>
        <w:rPr>
          <w:rFonts w:ascii="Times New Roman" w:hAnsi="Times New Roman" w:eastAsia="仿宋_GB2312"/>
          <w:sz w:val="28"/>
          <w:szCs w:val="28"/>
        </w:rPr>
        <w:t xml:space="preserve"> </w:t>
      </w:r>
      <w:r>
        <w:rPr>
          <w:rFonts w:hint="eastAsia" w:ascii="Times New Roman" w:hAnsi="Times New Roman" w:eastAsia="仿宋_GB2312"/>
          <w:sz w:val="28"/>
          <w:szCs w:val="28"/>
        </w:rPr>
        <w:t>唐春红, 等.</w:t>
      </w:r>
      <w:r>
        <w:rPr>
          <w:rFonts w:ascii="Times New Roman" w:hAnsi="Times New Roman" w:eastAsia="仿宋_GB2312"/>
          <w:sz w:val="28"/>
          <w:szCs w:val="28"/>
        </w:rPr>
        <w:t xml:space="preserve"> </w:t>
      </w:r>
      <w:bookmarkStart w:id="2" w:name="OLE_LINK2"/>
      <w:r>
        <w:rPr>
          <w:rFonts w:hint="eastAsia" w:ascii="Times New Roman" w:hAnsi="Times New Roman" w:eastAsia="仿宋_GB2312"/>
          <w:sz w:val="28"/>
          <w:szCs w:val="28"/>
        </w:rPr>
        <w:t>广西低丘松树林下</w:t>
      </w:r>
      <w:r>
        <w:rPr>
          <w:rFonts w:ascii="Times New Roman" w:hAnsi="Times New Roman" w:eastAsia="仿宋_GB2312"/>
          <w:sz w:val="28"/>
          <w:szCs w:val="28"/>
        </w:rPr>
        <w:t>16</w:t>
      </w:r>
      <w:r>
        <w:rPr>
          <w:rFonts w:hint="eastAsia" w:ascii="Times New Roman" w:hAnsi="Times New Roman" w:eastAsia="仿宋_GB2312"/>
          <w:sz w:val="28"/>
          <w:szCs w:val="28"/>
        </w:rPr>
        <w:t>种</w:t>
      </w:r>
      <w:bookmarkEnd w:id="2"/>
      <w:r>
        <w:rPr>
          <w:rFonts w:hint="eastAsia" w:ascii="Times New Roman" w:hAnsi="Times New Roman" w:eastAsia="仿宋_GB2312"/>
          <w:sz w:val="28"/>
          <w:szCs w:val="28"/>
        </w:rPr>
        <w:t>中药材生态栽培模式筛选与综合价[J].</w:t>
      </w:r>
      <w:r>
        <w:rPr>
          <w:rFonts w:hint="eastAsia"/>
        </w:rPr>
        <w:t xml:space="preserve"> </w:t>
      </w:r>
      <w:r>
        <w:rPr>
          <w:rFonts w:hint="eastAsia" w:ascii="Times New Roman" w:hAnsi="Times New Roman" w:eastAsia="仿宋_GB2312"/>
          <w:sz w:val="28"/>
          <w:szCs w:val="28"/>
        </w:rPr>
        <w:t>广西林业科学,</w:t>
      </w:r>
      <w:r>
        <w:rPr>
          <w:rFonts w:ascii="Times New Roman" w:hAnsi="Times New Roman" w:eastAsia="仿宋_GB2312"/>
          <w:sz w:val="28"/>
          <w:szCs w:val="28"/>
        </w:rPr>
        <w:t xml:space="preserve"> 2024,53(6):819-828.</w:t>
      </w:r>
    </w:p>
    <w:p w14:paraId="51ADAB1D">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[19] 黄艳萍,</w:t>
      </w:r>
      <w:r>
        <w:rPr>
          <w:rFonts w:ascii="Times New Roman" w:hAnsi="Times New Roman" w:eastAsia="仿宋_GB2312"/>
          <w:sz w:val="28"/>
          <w:szCs w:val="28"/>
        </w:rPr>
        <w:t xml:space="preserve"> </w:t>
      </w:r>
      <w:r>
        <w:rPr>
          <w:rFonts w:hint="eastAsia" w:ascii="Times New Roman" w:hAnsi="Times New Roman" w:eastAsia="仿宋_GB2312"/>
          <w:sz w:val="28"/>
          <w:szCs w:val="28"/>
        </w:rPr>
        <w:t>黄春燕,王丽媛, 等.</w:t>
      </w:r>
      <w:r>
        <w:rPr>
          <w:rFonts w:ascii="Times New Roman" w:hAnsi="Times New Roman" w:eastAsia="仿宋_GB2312"/>
          <w:sz w:val="28"/>
          <w:szCs w:val="28"/>
        </w:rPr>
        <w:t xml:space="preserve"> </w:t>
      </w:r>
      <w:r>
        <w:rPr>
          <w:rFonts w:hint="eastAsia" w:ascii="Times New Roman" w:hAnsi="Times New Roman" w:eastAsia="仿宋_GB2312"/>
          <w:sz w:val="28"/>
          <w:szCs w:val="28"/>
        </w:rPr>
        <w:t>广西不同产地五指毛桃的质量分析[J].</w:t>
      </w:r>
      <w:r>
        <w:rPr>
          <w:rFonts w:ascii="Times New Roman" w:hAnsi="Times New Roman" w:eastAsia="仿宋_GB2312"/>
          <w:sz w:val="28"/>
          <w:szCs w:val="28"/>
        </w:rPr>
        <w:t xml:space="preserve"> </w:t>
      </w:r>
      <w:r>
        <w:rPr>
          <w:rFonts w:hint="eastAsia" w:ascii="Times New Roman" w:hAnsi="Times New Roman" w:eastAsia="仿宋_GB2312"/>
          <w:sz w:val="28"/>
          <w:szCs w:val="28"/>
        </w:rPr>
        <w:t>广州化工,</w:t>
      </w:r>
      <w:r>
        <w:rPr>
          <w:rFonts w:ascii="Times New Roman" w:hAnsi="Times New Roman" w:eastAsia="仿宋_GB2312"/>
          <w:sz w:val="28"/>
          <w:szCs w:val="28"/>
        </w:rPr>
        <w:t xml:space="preserve"> 2025, 53(10): 139-141.</w:t>
      </w:r>
    </w:p>
    <w:p w14:paraId="50CF7294">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[20]</w:t>
      </w:r>
      <w:r>
        <w:rPr>
          <w:rFonts w:ascii="Times New Roman" w:hAnsi="Times New Roman" w:eastAsia="仿宋_GB2312"/>
          <w:sz w:val="28"/>
          <w:szCs w:val="28"/>
        </w:rPr>
        <w:t xml:space="preserve"> </w:t>
      </w:r>
      <w:r>
        <w:rPr>
          <w:rFonts w:hint="eastAsia" w:ascii="Times New Roman" w:hAnsi="Times New Roman" w:eastAsia="仿宋_GB2312"/>
          <w:sz w:val="28"/>
          <w:szCs w:val="28"/>
        </w:rPr>
        <w:t>林飞娟,</w:t>
      </w:r>
      <w:r>
        <w:rPr>
          <w:rFonts w:ascii="Times New Roman" w:hAnsi="Times New Roman" w:eastAsia="仿宋_GB2312"/>
          <w:sz w:val="28"/>
          <w:szCs w:val="28"/>
        </w:rPr>
        <w:t xml:space="preserve"> </w:t>
      </w:r>
      <w:r>
        <w:rPr>
          <w:rFonts w:hint="eastAsia" w:ascii="Times New Roman" w:hAnsi="Times New Roman" w:eastAsia="仿宋_GB2312"/>
          <w:sz w:val="28"/>
          <w:szCs w:val="28"/>
        </w:rPr>
        <w:t>康素娟.</w:t>
      </w:r>
      <w:r>
        <w:rPr>
          <w:rFonts w:ascii="Times New Roman" w:hAnsi="Times New Roman" w:eastAsia="仿宋_GB2312"/>
          <w:sz w:val="28"/>
          <w:szCs w:val="28"/>
        </w:rPr>
        <w:t xml:space="preserve"> </w:t>
      </w:r>
      <w:r>
        <w:rPr>
          <w:rFonts w:hint="eastAsia" w:ascii="Times New Roman" w:hAnsi="Times New Roman" w:eastAsia="仿宋_GB2312"/>
          <w:sz w:val="28"/>
          <w:szCs w:val="28"/>
        </w:rPr>
        <w:t>大桂山林场林下五指毛桃种植技术探析[J].</w:t>
      </w:r>
      <w:r>
        <w:rPr>
          <w:rFonts w:ascii="Times New Roman" w:hAnsi="Times New Roman" w:eastAsia="仿宋_GB2312"/>
          <w:sz w:val="28"/>
          <w:szCs w:val="28"/>
        </w:rPr>
        <w:t xml:space="preserve"> </w:t>
      </w:r>
      <w:r>
        <w:rPr>
          <w:rFonts w:hint="eastAsia" w:ascii="Times New Roman" w:hAnsi="Times New Roman" w:eastAsia="仿宋_GB2312"/>
          <w:sz w:val="28"/>
          <w:szCs w:val="28"/>
        </w:rPr>
        <w:t>南方农业,</w:t>
      </w:r>
      <w:r>
        <w:rPr>
          <w:rFonts w:ascii="Times New Roman" w:hAnsi="Times New Roman" w:eastAsia="仿宋_GB2312"/>
          <w:sz w:val="28"/>
          <w:szCs w:val="28"/>
        </w:rPr>
        <w:t xml:space="preserve"> 2024, 18(24): 10-12.</w:t>
      </w:r>
    </w:p>
    <w:p w14:paraId="5F8E645D">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[21] 张凤, 黄浩, 黄锦荣, 等.</w:t>
      </w:r>
      <w:r>
        <w:rPr>
          <w:rFonts w:ascii="Times New Roman" w:hAnsi="Times New Roman" w:eastAsia="仿宋_GB2312"/>
          <w:sz w:val="28"/>
          <w:szCs w:val="28"/>
        </w:rPr>
        <w:t xml:space="preserve"> </w:t>
      </w:r>
      <w:r>
        <w:rPr>
          <w:rFonts w:hint="eastAsia" w:ascii="Times New Roman" w:hAnsi="Times New Roman" w:eastAsia="仿宋_GB2312"/>
          <w:sz w:val="28"/>
          <w:szCs w:val="28"/>
        </w:rPr>
        <w:t>澳洲坚果林下间种五指毛桃的生长分析[J].林业与环境科学,</w:t>
      </w:r>
      <w:r>
        <w:rPr>
          <w:rFonts w:ascii="Times New Roman" w:hAnsi="Times New Roman" w:eastAsia="仿宋_GB2312"/>
          <w:sz w:val="28"/>
          <w:szCs w:val="28"/>
        </w:rPr>
        <w:t xml:space="preserve"> 2025,41(3):143-147.</w:t>
      </w:r>
    </w:p>
    <w:p w14:paraId="25A177F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[22]</w:t>
      </w:r>
      <w:r>
        <w:rPr>
          <w:rFonts w:hint="eastAsia"/>
        </w:rPr>
        <w:t xml:space="preserve"> </w:t>
      </w:r>
      <w:r>
        <w:rPr>
          <w:rFonts w:hint="eastAsia" w:ascii="Times New Roman" w:hAnsi="Times New Roman" w:eastAsia="仿宋_GB2312"/>
          <w:sz w:val="28"/>
          <w:szCs w:val="28"/>
        </w:rPr>
        <w:t>蒙圆沅.</w:t>
      </w:r>
      <w:r>
        <w:rPr>
          <w:rFonts w:ascii="Times New Roman" w:hAnsi="Times New Roman" w:eastAsia="仿宋_GB2312"/>
          <w:sz w:val="28"/>
          <w:szCs w:val="28"/>
        </w:rPr>
        <w:t xml:space="preserve"> </w:t>
      </w:r>
      <w:bookmarkStart w:id="3" w:name="OLE_LINK3"/>
      <w:r>
        <w:rPr>
          <w:rFonts w:hint="eastAsia" w:ascii="Times New Roman" w:hAnsi="Times New Roman" w:eastAsia="仿宋_GB2312"/>
          <w:sz w:val="28"/>
          <w:szCs w:val="28"/>
        </w:rPr>
        <w:t>桉树套种五指毛桃高效</w:t>
      </w:r>
      <w:bookmarkEnd w:id="3"/>
      <w:r>
        <w:rPr>
          <w:rFonts w:hint="eastAsia" w:ascii="Times New Roman" w:hAnsi="Times New Roman" w:eastAsia="仿宋_GB2312"/>
          <w:sz w:val="28"/>
          <w:szCs w:val="28"/>
        </w:rPr>
        <w:t>栽培模式及精准施肥技术应用策略详述[J].</w:t>
      </w:r>
      <w:r>
        <w:rPr>
          <w:rFonts w:ascii="Times New Roman" w:hAnsi="Times New Roman" w:eastAsia="仿宋_GB2312"/>
          <w:sz w:val="28"/>
          <w:szCs w:val="28"/>
        </w:rPr>
        <w:t xml:space="preserve"> </w:t>
      </w:r>
      <w:r>
        <w:rPr>
          <w:rFonts w:hint="eastAsia" w:ascii="Times New Roman" w:hAnsi="Times New Roman" w:eastAsia="仿宋_GB2312"/>
          <w:sz w:val="28"/>
          <w:szCs w:val="28"/>
        </w:rPr>
        <w:t>种子世界,</w:t>
      </w:r>
      <w:r>
        <w:rPr>
          <w:rFonts w:ascii="Times New Roman" w:hAnsi="Times New Roman" w:eastAsia="仿宋_GB2312"/>
          <w:sz w:val="28"/>
          <w:szCs w:val="28"/>
        </w:rPr>
        <w:t xml:space="preserve"> 6: 153-155.</w:t>
      </w:r>
    </w:p>
    <w:p w14:paraId="16B90ADB">
      <w:pPr>
        <w:rPr>
          <w:rFonts w:ascii="楷体" w:hAnsi="楷体" w:eastAsia="楷体"/>
          <w:sz w:val="32"/>
          <w:szCs w:val="32"/>
        </w:rPr>
      </w:pPr>
      <w:r>
        <w:rPr>
          <w:rFonts w:hint="eastAsia" w:ascii="楷体" w:hAnsi="楷体" w:eastAsia="楷体"/>
          <w:sz w:val="32"/>
          <w:szCs w:val="32"/>
        </w:rPr>
        <w:t>（三）研讨确定标准特色、创新点和主体内容</w:t>
      </w:r>
    </w:p>
    <w:p w14:paraId="6FB70AE6">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1.标准特色、创新点</w:t>
      </w:r>
    </w:p>
    <w:p w14:paraId="6DCDB145">
      <w:pPr>
        <w:ind w:firstLine="560" w:firstLineChars="200"/>
        <w:rPr>
          <w:rFonts w:ascii="Times New Roman" w:hAnsi="Times New Roman" w:eastAsia="仿宋_GB2312"/>
          <w:color w:val="000000" w:themeColor="text1"/>
          <w:sz w:val="28"/>
          <w:szCs w:val="28"/>
          <w14:textFill>
            <w14:solidFill>
              <w14:schemeClr w14:val="tx1"/>
            </w14:solidFill>
          </w14:textFill>
        </w:rPr>
      </w:pPr>
      <w:r>
        <w:rPr>
          <w:rFonts w:hint="eastAsia" w:ascii="Times New Roman" w:hAnsi="Times New Roman" w:eastAsia="仿宋_GB2312"/>
          <w:sz w:val="28"/>
          <w:szCs w:val="28"/>
        </w:rPr>
        <w:t>本标准针对五指毛桃的主要病虫害的发生种类和发生规律进行了调查总结。筛选出了主要病虫害高效低毒的化学药剂，以解决当前五指毛桃在种植中急需解决的重要问题。</w:t>
      </w:r>
      <w:r>
        <w:rPr>
          <w:rFonts w:hint="eastAsia" w:ascii="Times New Roman" w:hAnsi="Times New Roman" w:eastAsia="仿宋_GB2312"/>
          <w:color w:val="000000" w:themeColor="text1"/>
          <w:sz w:val="28"/>
          <w:szCs w:val="28"/>
          <w14:textFill>
            <w14:solidFill>
              <w14:schemeClr w14:val="tx1"/>
            </w14:solidFill>
          </w14:textFill>
        </w:rPr>
        <w:t>项目成员会定期去基地进行病虫害调查，掌握其发生规律，采集样品带到实验室进行分离和鉴定，以及室内药剂筛选后推广应用于田间，达到精准防控。</w:t>
      </w:r>
    </w:p>
    <w:p w14:paraId="1689AB8E">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2.主体内容</w:t>
      </w:r>
    </w:p>
    <w:p w14:paraId="6C5824E9">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标准编制工作组在对收集的资料进行整理研究之后，2025年6月到7月，标准编制工作组召开了多次标准编制会议，对标准的整体框架结构进行了研究，并对标准的关键性内容进行了初步探讨。经过研究，标准的主体内容确定为</w:t>
      </w:r>
      <w:bookmarkStart w:id="4" w:name="OLE_LINK5"/>
      <w:r>
        <w:rPr>
          <w:rFonts w:hint="eastAsia" w:ascii="Times New Roman" w:hAnsi="Times New Roman" w:eastAsia="仿宋_GB2312"/>
          <w:sz w:val="28"/>
          <w:szCs w:val="28"/>
        </w:rPr>
        <w:t>农业防治、物理防治、化学防治、生物防治</w:t>
      </w:r>
      <w:bookmarkEnd w:id="4"/>
      <w:r>
        <w:rPr>
          <w:rFonts w:hint="eastAsia" w:ascii="Times New Roman" w:hAnsi="Times New Roman" w:eastAsia="仿宋_GB2312"/>
          <w:sz w:val="28"/>
          <w:szCs w:val="28"/>
        </w:rPr>
        <w:t>要求的技术指导。</w:t>
      </w:r>
    </w:p>
    <w:p w14:paraId="08A15672">
      <w:pPr>
        <w:rPr>
          <w:rFonts w:ascii="楷体" w:hAnsi="楷体" w:eastAsia="楷体"/>
          <w:sz w:val="32"/>
          <w:szCs w:val="32"/>
        </w:rPr>
      </w:pPr>
      <w:r>
        <w:rPr>
          <w:rFonts w:hint="eastAsia" w:ascii="楷体" w:hAnsi="楷体" w:eastAsia="楷体"/>
          <w:sz w:val="32"/>
          <w:szCs w:val="32"/>
        </w:rPr>
        <w:t>（四）调研、形成征求意见稿</w:t>
      </w:r>
    </w:p>
    <w:p w14:paraId="2C963529">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202</w:t>
      </w:r>
      <w:r>
        <w:rPr>
          <w:rFonts w:ascii="Times New Roman" w:hAnsi="Times New Roman" w:eastAsia="仿宋_GB2312"/>
          <w:sz w:val="28"/>
          <w:szCs w:val="28"/>
        </w:rPr>
        <w:t>5</w:t>
      </w:r>
      <w:r>
        <w:rPr>
          <w:rFonts w:hint="eastAsia" w:ascii="Times New Roman" w:hAnsi="Times New Roman" w:eastAsia="仿宋_GB2312"/>
          <w:sz w:val="28"/>
          <w:szCs w:val="28"/>
        </w:rPr>
        <w:t>年4~5月，标准起草工作小组深入开展了广泛的实地调研，并查阅和梳理大量的国内外文献资料，对五指毛桃病虫害相关研究成果进行了系统总结。基于此，形成了标准的基本构架，对主要内容进行了讨论并对项目的后续工作进行了部署和安排。</w:t>
      </w:r>
    </w:p>
    <w:p w14:paraId="7E74EE34">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202</w:t>
      </w:r>
      <w:r>
        <w:rPr>
          <w:rFonts w:ascii="Times New Roman" w:hAnsi="Times New Roman" w:eastAsia="仿宋_GB2312"/>
          <w:sz w:val="28"/>
          <w:szCs w:val="28"/>
        </w:rPr>
        <w:t>5</w:t>
      </w:r>
      <w:r>
        <w:rPr>
          <w:rFonts w:hint="eastAsia" w:ascii="Times New Roman" w:hAnsi="Times New Roman" w:eastAsia="仿宋_GB2312"/>
          <w:sz w:val="28"/>
          <w:szCs w:val="28"/>
        </w:rPr>
        <w:t>年6~8月，在前期工作的基础之上，通过理清逻辑脉络，整合已有的参考资料中有关林下五指毛桃病虫害防治的技术要求，并结合五指毛桃规范化种植的基础上，按照“简化、统一、协调、优化”的原则编制完成团体标准《五指毛桃主要病虫害综合防治技术规程》（草案）。</w:t>
      </w:r>
    </w:p>
    <w:p w14:paraId="2DD6B4D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202</w:t>
      </w:r>
      <w:r>
        <w:rPr>
          <w:rFonts w:ascii="Times New Roman" w:hAnsi="Times New Roman" w:eastAsia="仿宋_GB2312"/>
          <w:sz w:val="28"/>
          <w:szCs w:val="28"/>
        </w:rPr>
        <w:t>5</w:t>
      </w:r>
      <w:r>
        <w:rPr>
          <w:rFonts w:hint="eastAsia" w:ascii="Times New Roman" w:hAnsi="Times New Roman" w:eastAsia="仿宋_GB2312"/>
          <w:sz w:val="28"/>
          <w:szCs w:val="28"/>
        </w:rPr>
        <w:t>年9月，标准起草工作组再次深入调查区内涉及五指毛桃病虫害防治领域有代表性的企业、团体、个人，针对五指毛桃栽培以及病虫害防治情况进行分组实地调研学习。以实验数据、调查材料为依据，对收集的资料进行分析研究、处理和汇总，掌握关于五指毛桃病虫害防治的具体技术要求，完成了《五指毛桃主要病虫害综合防治技术规程》工作组讨论稿。标准编制工作组多次召开会议，工作组讨论稿进行了反复修改和研究讨论，并再次实地征求意见，收集反馈的意见，形成标准《五指毛桃主要病虫害综合防治技术规程》征求意见稿。</w:t>
      </w:r>
    </w:p>
    <w:p w14:paraId="121CFE4C">
      <w:pPr>
        <w:ind w:firstLine="562" w:firstLineChars="200"/>
        <w:rPr>
          <w:rFonts w:ascii="Calibri" w:hAnsi="Calibri" w:eastAsia="黑体" w:cs="Times New Roman"/>
          <w:b/>
          <w:bCs/>
          <w:kern w:val="0"/>
          <w:sz w:val="28"/>
          <w:szCs w:val="44"/>
        </w:rPr>
      </w:pPr>
      <w:r>
        <w:rPr>
          <w:rFonts w:hint="eastAsia" w:ascii="Calibri" w:hAnsi="Calibri" w:eastAsia="黑体" w:cs="Times New Roman"/>
          <w:b/>
          <w:bCs/>
          <w:kern w:val="0"/>
          <w:sz w:val="28"/>
          <w:szCs w:val="44"/>
        </w:rPr>
        <w:t>四、制定标准的原则和依据，与现行法律、法规的关系， 与有关国家标准、行业标准的协调情况</w:t>
      </w:r>
    </w:p>
    <w:p w14:paraId="52BB9E8E">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（一）编制原则</w:t>
      </w:r>
    </w:p>
    <w:p w14:paraId="36D7A857">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1.实用性原则</w:t>
      </w:r>
    </w:p>
    <w:p w14:paraId="1D4F8F18">
      <w:pPr>
        <w:spacing w:line="500" w:lineRule="exact"/>
        <w:ind w:firstLine="560" w:firstLineChars="200"/>
        <w:rPr>
          <w:rFonts w:ascii="Calibri" w:hAnsi="Calibri" w:eastAsia="仿宋_GB2312" w:cs="Times New Roman"/>
          <w:color w:val="FF0000"/>
          <w:kern w:val="0"/>
          <w:sz w:val="28"/>
          <w:szCs w:val="24"/>
        </w:rPr>
      </w:pPr>
      <w:r>
        <w:rPr>
          <w:rFonts w:hint="eastAsia" w:ascii="Calibri" w:hAnsi="Calibri" w:eastAsia="仿宋_GB2312" w:cs="Times New Roman"/>
          <w:kern w:val="0"/>
          <w:sz w:val="28"/>
          <w:szCs w:val="24"/>
        </w:rPr>
        <w:t>本标准是在充分收集相关资料和文献，</w:t>
      </w:r>
      <w:r>
        <w:rPr>
          <w:rFonts w:ascii="Calibri" w:hAnsi="Calibri" w:eastAsia="仿宋_GB2312" w:cs="Times New Roman"/>
          <w:kern w:val="0"/>
          <w:sz w:val="28"/>
          <w:szCs w:val="24"/>
        </w:rPr>
        <w:t>以规范</w:t>
      </w:r>
      <w:r>
        <w:rPr>
          <w:rFonts w:hint="eastAsia" w:ascii="Calibri" w:hAnsi="Calibri" w:eastAsia="仿宋_GB2312" w:cs="Times New Roman"/>
          <w:kern w:val="0"/>
          <w:sz w:val="28"/>
          <w:szCs w:val="24"/>
        </w:rPr>
        <w:t>五指毛桃病虫害综合防治技术</w:t>
      </w:r>
      <w:r>
        <w:rPr>
          <w:rFonts w:ascii="Calibri" w:hAnsi="Calibri" w:eastAsia="仿宋_GB2312" w:cs="Times New Roman"/>
          <w:kern w:val="0"/>
          <w:sz w:val="28"/>
          <w:szCs w:val="24"/>
        </w:rPr>
        <w:t>，</w:t>
      </w:r>
      <w:r>
        <w:rPr>
          <w:rFonts w:hint="eastAsia" w:ascii="Calibri" w:hAnsi="Calibri" w:eastAsia="仿宋_GB2312" w:cs="Times New Roman"/>
          <w:kern w:val="0"/>
          <w:sz w:val="28"/>
          <w:szCs w:val="24"/>
        </w:rPr>
        <w:t>在现有国家、行业标准相关五指毛桃种植技术要求的基础上，结合</w:t>
      </w:r>
      <w:r>
        <w:rPr>
          <w:rFonts w:hint="eastAsia" w:ascii="Times New Roman" w:hAnsi="Times New Roman" w:eastAsia="仿宋_GB2312"/>
          <w:sz w:val="28"/>
          <w:szCs w:val="28"/>
        </w:rPr>
        <w:t>广西壮族自治区国有钦廉林场、广西壮族自治区药用植物园、北海海丝香料有限责任公司</w:t>
      </w:r>
      <w:r>
        <w:rPr>
          <w:rFonts w:hint="eastAsia" w:ascii="Calibri" w:hAnsi="Calibri" w:eastAsia="仿宋_GB2312" w:cs="Times New Roman"/>
          <w:kern w:val="0"/>
          <w:sz w:val="28"/>
          <w:szCs w:val="24"/>
        </w:rPr>
        <w:t>这些年对五指毛桃种植技术的经验、试验结果和区域种植试验结果总结起草的。符合当前中药材的发展方向与实际需求，有利于规范五指毛桃病虫害综合防治技术，为</w:t>
      </w:r>
      <w:bookmarkStart w:id="5" w:name="OLE_LINK4"/>
      <w:r>
        <w:rPr>
          <w:rFonts w:hint="eastAsia" w:ascii="Calibri" w:hAnsi="Calibri" w:eastAsia="仿宋_GB2312" w:cs="Times New Roman"/>
          <w:kern w:val="0"/>
          <w:sz w:val="28"/>
          <w:szCs w:val="24"/>
        </w:rPr>
        <w:t>五指毛桃</w:t>
      </w:r>
      <w:bookmarkEnd w:id="5"/>
      <w:r>
        <w:rPr>
          <w:rFonts w:hint="eastAsia" w:ascii="Calibri" w:hAnsi="Calibri" w:eastAsia="仿宋_GB2312" w:cs="Times New Roman"/>
          <w:kern w:val="0"/>
          <w:sz w:val="28"/>
          <w:szCs w:val="24"/>
        </w:rPr>
        <w:t>药材资源供应以及林下区域有效利用提供新思路、新模式。</w:t>
      </w:r>
    </w:p>
    <w:p w14:paraId="451FC9BA">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2.协调性原则</w:t>
      </w:r>
    </w:p>
    <w:p w14:paraId="165CC78C">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本标准编写过程中注意了与五指毛桃生产相关法律法规的协调问题，在内容上与现行法律法规、标准协调一致。</w:t>
      </w:r>
    </w:p>
    <w:p w14:paraId="2C9FFDD4">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3.规范性原则</w:t>
      </w:r>
    </w:p>
    <w:p w14:paraId="16593F84">
      <w:pPr>
        <w:spacing w:line="500" w:lineRule="exact"/>
        <w:ind w:firstLine="560" w:firstLineChars="200"/>
        <w:rPr>
          <w:rFonts w:ascii="Times New Roman" w:hAnsi="Times New Roman" w:eastAsia="仿宋_GB2312" w:cs="Times New Roman"/>
          <w:kern w:val="0"/>
          <w:sz w:val="28"/>
          <w:szCs w:val="24"/>
        </w:rPr>
      </w:pPr>
      <w:r>
        <w:rPr>
          <w:rFonts w:ascii="Times New Roman" w:hAnsi="Times New Roman" w:eastAsia="仿宋_GB2312" w:cs="Times New Roman"/>
          <w:kern w:val="0"/>
          <w:sz w:val="28"/>
          <w:szCs w:val="24"/>
        </w:rPr>
        <w:t>本标准严格按照GB/T 1.1—2020《标准化工作导则第1部分：标准的结构和编写》的要求和规定编写本标准的内容，保证标准的编写质量</w:t>
      </w:r>
      <w:r>
        <w:rPr>
          <w:rFonts w:hint="eastAsia" w:ascii="Times New Roman" w:hAnsi="Times New Roman" w:eastAsia="仿宋_GB2312" w:cs="Times New Roman"/>
          <w:kern w:val="0"/>
          <w:sz w:val="28"/>
          <w:szCs w:val="24"/>
        </w:rPr>
        <w:t>。</w:t>
      </w:r>
    </w:p>
    <w:p w14:paraId="6103284F">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4.前瞻性原则</w:t>
      </w:r>
    </w:p>
    <w:p w14:paraId="4105255C">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本标准在兼顾当前五指毛桃栽培生产的实际情况，同时还考虑到林下中药材套种模式的发展趋势和实际效益，在标准主要内容中体现了个别特色性、前瞻性和先进性条款，作为对林下五指毛桃主要病虫害综合防治技术的指导。</w:t>
      </w:r>
    </w:p>
    <w:p w14:paraId="019400FB">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（二）编制依据</w:t>
      </w:r>
    </w:p>
    <w:p w14:paraId="419B3ED7">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本标准严格按照GB/T 1.1—2020《标准化工作导则  第1部分：标准化文件的结构和起草规则》的规则起草，标准主要内容结合广西壮族自治区国有钦廉林场、广西壮族自治区药用植物园、北海海丝香料有限责任公司这些年对五指毛桃种植技术的经验、试验结果和区域种植试验结果总结起草。</w:t>
      </w:r>
    </w:p>
    <w:p w14:paraId="5E5F15E2">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（三）与现行法律、法规的关系，与有关国家标准、行业标准的协调情况</w:t>
      </w:r>
    </w:p>
    <w:p w14:paraId="729AE412">
      <w:pPr>
        <w:spacing w:line="500" w:lineRule="exact"/>
        <w:ind w:firstLine="560" w:firstLineChars="200"/>
        <w:rPr>
          <w:rFonts w:ascii="Calibri" w:hAnsi="Calibri" w:eastAsia="仿宋_GB2312" w:cs="Times New Roman"/>
          <w:kern w:val="0"/>
          <w:sz w:val="28"/>
          <w:szCs w:val="24"/>
        </w:rPr>
      </w:pPr>
      <w:r>
        <w:rPr>
          <w:rFonts w:hint="eastAsia" w:ascii="Calibri" w:hAnsi="Calibri" w:eastAsia="仿宋_GB2312" w:cs="Times New Roman"/>
          <w:kern w:val="0"/>
          <w:sz w:val="28"/>
          <w:szCs w:val="24"/>
        </w:rPr>
        <w:t>本标准与相关法律法规、强制性标准协调一致，无冲突。</w:t>
      </w:r>
    </w:p>
    <w:p w14:paraId="313AB256">
      <w:pPr>
        <w:spacing w:line="560" w:lineRule="exact"/>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经查阅，未有与“五指毛桃主要病虫害综合防治”标准。与“五指毛桃  种植”相关的标准有：DB44/T 2323-2021《五指毛桃组织培养育苗技术规程》、DB45/T 1731-2018《五指毛桃种子检验规程》、DB46/T 552-2021 《橡胶林下南芪（五指毛桃）栽培技术规程》、DB45/T 2536-2022《五指毛桃组培苗生产技术规程》、T/GDSMM 0027-2022 《五指毛桃标准化种植规程》等。主要分析如下：</w:t>
      </w:r>
    </w:p>
    <w:p w14:paraId="430A11A2">
      <w:pPr>
        <w:spacing w:line="560" w:lineRule="exact"/>
        <w:ind w:firstLine="560" w:firstLineChars="200"/>
        <w:rPr>
          <w:rFonts w:ascii="Calibri" w:hAnsi="Calibri" w:eastAsia="仿宋_GB2312" w:cs="Times New Roman"/>
          <w:kern w:val="0"/>
          <w:sz w:val="28"/>
          <w:szCs w:val="24"/>
        </w:rPr>
      </w:pPr>
      <w:r>
        <w:rPr>
          <w:rFonts w:hint="eastAsia" w:ascii="Times New Roman" w:hAnsi="Times New Roman" w:eastAsia="仿宋_GB2312"/>
          <w:sz w:val="28"/>
          <w:szCs w:val="28"/>
        </w:rPr>
        <w:t>上述标准均未盖病虫害综合防治的关键技术细节。与DB4416/T 11-2021《五指毛桃种植技术规程》和T/GXAS525—2023《五指毛桃栽培技术规程》主要区别在于，对于发生病害和虫害的具体病原分类地位不清，为害症状不全面，发生规律不明确和不详细，比如病原体的越冬位置、通过什么方式传播病原，刚开始发病的时间，再到发病的高峰期等；化学防控没有在实验室室内进行药剂筛选的初筛，直接按照其他植物发生类似病虫害的农药来使用，用药不科学、不规范，没有达到精准防控。</w:t>
      </w:r>
      <w:r>
        <w:rPr>
          <w:rFonts w:hint="eastAsia" w:ascii="Calibri" w:hAnsi="Calibri" w:eastAsia="仿宋_GB2312" w:cs="Times New Roman"/>
          <w:kern w:val="0"/>
          <w:sz w:val="28"/>
          <w:szCs w:val="24"/>
        </w:rPr>
        <w:t>本文件确立了五指毛桃主要病虫害综合防治技术规程，规定了</w:t>
      </w:r>
      <w:r>
        <w:rPr>
          <w:rFonts w:hint="eastAsia" w:ascii="Times New Roman" w:hAnsi="Times New Roman" w:eastAsia="仿宋_GB2312"/>
          <w:sz w:val="28"/>
          <w:szCs w:val="28"/>
        </w:rPr>
        <w:t>农业防治、物理防治、化学防治、生物防治</w:t>
      </w:r>
      <w:r>
        <w:rPr>
          <w:rFonts w:hint="eastAsia" w:ascii="Calibri" w:hAnsi="Calibri" w:eastAsia="仿宋_GB2312" w:cs="Times New Roman"/>
          <w:kern w:val="0"/>
          <w:sz w:val="28"/>
          <w:szCs w:val="24"/>
        </w:rPr>
        <w:t>等技术要点，</w:t>
      </w:r>
      <w:r>
        <w:rPr>
          <w:rFonts w:ascii="Calibri" w:hAnsi="Calibri" w:eastAsia="仿宋_GB2312" w:cs="Times New Roman"/>
          <w:kern w:val="0"/>
          <w:sz w:val="28"/>
          <w:szCs w:val="24"/>
        </w:rPr>
        <w:t>在培育</w:t>
      </w:r>
      <w:r>
        <w:rPr>
          <w:rFonts w:hint="eastAsia" w:ascii="Calibri" w:hAnsi="Calibri" w:eastAsia="仿宋_GB2312" w:cs="Times New Roman"/>
          <w:kern w:val="0"/>
          <w:sz w:val="28"/>
          <w:szCs w:val="24"/>
        </w:rPr>
        <w:t>经济树种或珍稀濒危树种</w:t>
      </w:r>
      <w:r>
        <w:rPr>
          <w:rFonts w:ascii="Calibri" w:hAnsi="Calibri" w:eastAsia="仿宋_GB2312" w:cs="Times New Roman"/>
          <w:kern w:val="0"/>
          <w:sz w:val="28"/>
          <w:szCs w:val="24"/>
        </w:rPr>
        <w:t>过程中，发展</w:t>
      </w:r>
      <w:r>
        <w:rPr>
          <w:rFonts w:hint="eastAsia" w:ascii="Calibri" w:hAnsi="Calibri" w:eastAsia="仿宋_GB2312" w:cs="Times New Roman"/>
          <w:kern w:val="0"/>
          <w:sz w:val="28"/>
          <w:szCs w:val="24"/>
        </w:rPr>
        <w:t>五指毛桃的</w:t>
      </w:r>
      <w:r>
        <w:rPr>
          <w:rFonts w:ascii="Calibri" w:hAnsi="Calibri" w:eastAsia="仿宋_GB2312" w:cs="Times New Roman"/>
          <w:kern w:val="0"/>
          <w:sz w:val="28"/>
          <w:szCs w:val="24"/>
        </w:rPr>
        <w:t>种植</w:t>
      </w:r>
      <w:r>
        <w:rPr>
          <w:rFonts w:hint="eastAsia" w:ascii="Calibri" w:hAnsi="Calibri" w:eastAsia="仿宋_GB2312" w:cs="Times New Roman"/>
          <w:kern w:val="0"/>
          <w:sz w:val="28"/>
          <w:szCs w:val="24"/>
        </w:rPr>
        <w:t>提供了技术支持。</w:t>
      </w:r>
    </w:p>
    <w:p w14:paraId="7C6AAC60">
      <w:pPr>
        <w:ind w:firstLine="560" w:firstLineChars="200"/>
        <w:rPr>
          <w:rFonts w:ascii="黑体" w:hAnsi="黑体" w:eastAsia="黑体" w:cs="黑体"/>
          <w:kern w:val="0"/>
          <w:sz w:val="28"/>
          <w:szCs w:val="44"/>
          <w:highlight w:val="yellow"/>
        </w:rPr>
      </w:pPr>
      <w:r>
        <w:rPr>
          <w:rFonts w:hint="eastAsia" w:ascii="黑体" w:hAnsi="黑体" w:eastAsia="黑体" w:cs="黑体"/>
          <w:kern w:val="0"/>
          <w:sz w:val="28"/>
          <w:szCs w:val="44"/>
        </w:rPr>
        <w:t>五、标准主要</w:t>
      </w:r>
      <w:r>
        <w:rPr>
          <w:rFonts w:hint="eastAsia" w:ascii="黑体" w:hAnsi="黑体" w:eastAsia="黑体" w:cs="黑体"/>
          <w:sz w:val="28"/>
          <w:szCs w:val="28"/>
        </w:rPr>
        <w:t>内容</w:t>
      </w:r>
      <w:r>
        <w:rPr>
          <w:rFonts w:hint="eastAsia" w:ascii="黑体" w:hAnsi="黑体" w:eastAsia="黑体" w:cs="黑体"/>
          <w:kern w:val="0"/>
          <w:sz w:val="28"/>
          <w:szCs w:val="44"/>
        </w:rPr>
        <w:t>及依据来源</w:t>
      </w:r>
    </w:p>
    <w:p w14:paraId="089FCFC8">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团体标准《五指毛桃主要病虫害综合防治技术规程》的主体内容为：</w:t>
      </w:r>
      <w:bookmarkStart w:id="6" w:name="OLE_LINK6"/>
      <w:r>
        <w:rPr>
          <w:rFonts w:hint="eastAsia" w:ascii="Times New Roman" w:hAnsi="Times New Roman" w:eastAsia="仿宋_GB2312"/>
          <w:sz w:val="28"/>
          <w:szCs w:val="28"/>
        </w:rPr>
        <w:t>范围、规范性引用文件、术语和定义、主要病虫害防治、防治原则、综合防治技术、禁止使用的农药、文件记录和档案管理</w:t>
      </w:r>
      <w:bookmarkEnd w:id="6"/>
      <w:r>
        <w:rPr>
          <w:rFonts w:hint="eastAsia" w:ascii="Times New Roman" w:hAnsi="Times New Roman" w:eastAsia="仿宋_GB2312"/>
          <w:sz w:val="28"/>
          <w:szCs w:val="28"/>
        </w:rPr>
        <w:t>等。</w:t>
      </w:r>
    </w:p>
    <w:p w14:paraId="12D7F797">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本标准的各项技术指标确定的依据，主要来源于广西壮族自治区国有钦廉林场、广西壮族自治区药用植物园和北海海丝香料有限责任公司联合组成的五指毛桃研究团队，近几年来对五指毛桃进行病虫害调查、病虫害防治、为害症状、发生规律、形态鉴定等进行了系统研究的实验数据以及积累的经验进行全面汇总和系统的分析总结，同时参考了大量的国内外文献资料，了解五指毛桃在国内外的分布范围，重要天气变化对其生长的影响，掌握了病虫害种类、为害症状、发生规律、防治原则、综合防治方法、文件记录和档案管理等各个环节的防治技术。</w:t>
      </w:r>
    </w:p>
    <w:p w14:paraId="235BFE29">
      <w:pPr>
        <w:ind w:firstLine="562" w:firstLineChars="200"/>
        <w:rPr>
          <w:rFonts w:ascii="Times New Roman" w:hAnsi="Times New Roman" w:eastAsia="仿宋_GB2312"/>
          <w:sz w:val="28"/>
          <w:szCs w:val="28"/>
        </w:rPr>
      </w:pPr>
      <w:r>
        <w:rPr>
          <w:rFonts w:hint="eastAsia" w:ascii="Times New Roman" w:hAnsi="Times New Roman" w:eastAsia="仿宋_GB2312"/>
          <w:b/>
          <w:bCs/>
          <w:sz w:val="28"/>
          <w:szCs w:val="28"/>
        </w:rPr>
        <w:t>（一）术语和定义</w:t>
      </w:r>
    </w:p>
    <w:p w14:paraId="2AFBA0C9">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五指毛桃是桑科榕属的木本植物（</w:t>
      </w:r>
      <w:r>
        <w:rPr>
          <w:rFonts w:ascii="Times New Roman" w:hAnsi="Times New Roman" w:eastAsia="仿宋_GB2312"/>
          <w:i/>
          <w:sz w:val="28"/>
          <w:szCs w:val="28"/>
        </w:rPr>
        <w:t>Ficus hirta</w:t>
      </w:r>
      <w:r>
        <w:rPr>
          <w:rFonts w:ascii="Times New Roman" w:hAnsi="Times New Roman" w:eastAsia="仿宋_GB2312"/>
          <w:sz w:val="28"/>
          <w:szCs w:val="28"/>
        </w:rPr>
        <w:t xml:space="preserve"> Vahl</w:t>
      </w:r>
      <w:r>
        <w:rPr>
          <w:rFonts w:hint="eastAsia" w:ascii="Times New Roman" w:hAnsi="Times New Roman" w:eastAsia="仿宋_GB2312"/>
          <w:sz w:val="28"/>
          <w:szCs w:val="28"/>
        </w:rPr>
        <w:t>）的干燥根。</w:t>
      </w:r>
    </w:p>
    <w:p w14:paraId="7C205357">
      <w:pPr>
        <w:ind w:firstLine="562" w:firstLineChars="200"/>
        <w:rPr>
          <w:rFonts w:ascii="Times New Roman" w:hAnsi="Times New Roman" w:eastAsia="仿宋_GB2312"/>
          <w:b/>
          <w:bCs/>
          <w:sz w:val="28"/>
          <w:szCs w:val="28"/>
        </w:rPr>
      </w:pPr>
      <w:r>
        <w:rPr>
          <w:rFonts w:hint="eastAsia" w:ascii="Times New Roman" w:hAnsi="Times New Roman" w:eastAsia="仿宋_GB2312"/>
          <w:b/>
          <w:bCs/>
          <w:sz w:val="28"/>
          <w:szCs w:val="28"/>
        </w:rPr>
        <w:t>（二）主要病虫害</w:t>
      </w:r>
    </w:p>
    <w:p w14:paraId="09374401">
      <w:pPr>
        <w:pStyle w:val="2"/>
        <w:ind w:firstLine="560" w:firstLineChars="200"/>
        <w:rPr>
          <w:rFonts w:ascii="Times New Roman" w:hAnsi="Times New Roman" w:eastAsia="仿宋_GB2312" w:cstheme="minorBidi"/>
          <w:sz w:val="28"/>
          <w:szCs w:val="28"/>
        </w:rPr>
      </w:pPr>
      <w:r>
        <w:rPr>
          <w:rFonts w:ascii="Times New Roman" w:hAnsi="Times New Roman" w:eastAsia="仿宋_GB2312" w:cstheme="minorBidi"/>
          <w:sz w:val="28"/>
          <w:szCs w:val="28"/>
        </w:rPr>
        <w:t>主要病害有炭疽病（Colletotrichum sp.）、藻斑病（Cephaleuros sp.）。主要害虫有粘虫、卷叶蛾、铜绿异丽金龟、红蜘蛛、短须螨。</w:t>
      </w:r>
    </w:p>
    <w:p w14:paraId="7EA37AFB">
      <w:pPr>
        <w:ind w:firstLine="562" w:firstLineChars="200"/>
        <w:rPr>
          <w:rFonts w:ascii="Times New Roman" w:hAnsi="Times New Roman" w:eastAsia="仿宋_GB2312"/>
          <w:b/>
          <w:bCs/>
          <w:sz w:val="28"/>
          <w:szCs w:val="28"/>
        </w:rPr>
      </w:pPr>
      <w:r>
        <w:rPr>
          <w:rFonts w:hint="eastAsia" w:ascii="Times New Roman" w:hAnsi="Times New Roman" w:eastAsia="仿宋_GB2312"/>
          <w:b/>
          <w:bCs/>
          <w:sz w:val="28"/>
          <w:szCs w:val="28"/>
        </w:rPr>
        <w:t>（三）防治措施</w:t>
      </w:r>
    </w:p>
    <w:p w14:paraId="703D817C">
      <w:pPr>
        <w:ind w:firstLine="560" w:firstLineChars="200"/>
        <w:rPr>
          <w:rFonts w:ascii="Times New Roman" w:hAnsi="Times New Roman" w:eastAsia="仿宋_GB2312"/>
          <w:sz w:val="28"/>
          <w:szCs w:val="28"/>
        </w:rPr>
      </w:pPr>
      <w:bookmarkStart w:id="36" w:name="_GoBack"/>
      <w:bookmarkEnd w:id="36"/>
      <w:r>
        <w:rPr>
          <w:rFonts w:hint="eastAsia" w:ascii="Times New Roman" w:hAnsi="Times New Roman" w:eastAsia="仿宋_GB2312"/>
          <w:sz w:val="28"/>
          <w:szCs w:val="28"/>
        </w:rPr>
        <w:t>1</w:t>
      </w:r>
      <w:r>
        <w:rPr>
          <w:rFonts w:ascii="Times New Roman" w:hAnsi="Times New Roman" w:eastAsia="仿宋_GB2312"/>
          <w:sz w:val="28"/>
          <w:szCs w:val="28"/>
        </w:rPr>
        <w:t>.</w:t>
      </w:r>
      <w:r>
        <w:rPr>
          <w:rFonts w:hint="eastAsia" w:ascii="Times New Roman" w:hAnsi="Times New Roman" w:eastAsia="仿宋_GB2312"/>
          <w:sz w:val="28"/>
          <w:szCs w:val="28"/>
        </w:rPr>
        <w:t>五指毛桃炭疽病及其防治研究</w:t>
      </w:r>
    </w:p>
    <w:p w14:paraId="64631977">
      <w:pPr>
        <w:ind w:firstLine="560" w:firstLineChars="200"/>
        <w:rPr>
          <w:rFonts w:ascii="Times New Roman" w:hAnsi="Times New Roman" w:eastAsia="仿宋_GB2312"/>
          <w:sz w:val="28"/>
          <w:szCs w:val="28"/>
        </w:rPr>
      </w:pPr>
      <w:bookmarkStart w:id="7" w:name="OLE_LINK7"/>
      <w:bookmarkStart w:id="8" w:name="OLE_LINK8"/>
      <w:r>
        <w:rPr>
          <w:rFonts w:ascii="Times New Roman" w:hAnsi="Times New Roman" w:eastAsia="仿宋_GB2312"/>
          <w:sz w:val="28"/>
          <w:szCs w:val="28"/>
        </w:rPr>
        <w:t>【症状】</w:t>
      </w:r>
      <w:bookmarkEnd w:id="7"/>
      <w:bookmarkEnd w:id="8"/>
      <w:r>
        <w:rPr>
          <w:rFonts w:ascii="Times New Roman" w:hAnsi="Times New Roman" w:eastAsia="仿宋_GB2312"/>
          <w:sz w:val="28"/>
          <w:szCs w:val="28"/>
        </w:rPr>
        <w:t>主要为害五指毛桃的叶片。发病初期，叶片上会出现针尖大小的褐色小点，周围褪绿，随着病情发展逐渐扩大。中期病斑扩大后直径可达</w:t>
      </w:r>
      <w:r>
        <w:rPr>
          <w:rFonts w:hint="eastAsia" w:ascii="Times New Roman" w:hAnsi="Times New Roman" w:eastAsia="仿宋_GB2312"/>
          <w:sz w:val="28"/>
          <w:szCs w:val="28"/>
        </w:rPr>
        <w:t>2</w:t>
      </w:r>
      <w:r>
        <w:rPr>
          <w:rFonts w:ascii="Times New Roman" w:hAnsi="Times New Roman" w:eastAsia="仿宋_GB2312"/>
          <w:sz w:val="28"/>
          <w:szCs w:val="28"/>
        </w:rPr>
        <w:t>～5 毫米，病斑中央呈深褐色，边缘颜色稍浅，病健交界处有黄色晕圈。后期多个病斑会相互融合，导致叶片大面积坏死，严重时叶片会卷曲、脱落。</w:t>
      </w:r>
    </w:p>
    <w:p w14:paraId="20BFCC81">
      <w:pPr>
        <w:spacing w:line="360" w:lineRule="auto"/>
        <w:jc w:val="center"/>
        <w:rPr>
          <w:rFonts w:ascii="Times New Roman" w:hAnsi="Times New Roman" w:eastAsia="仿宋_GB2312"/>
          <w:sz w:val="28"/>
          <w:szCs w:val="28"/>
        </w:rPr>
      </w:pPr>
      <w:r>
        <w:rPr>
          <w:rFonts w:ascii="Times New Roman" w:hAnsi="Times New Roman" w:eastAsia="仿宋_GB2312"/>
          <w:sz w:val="28"/>
          <w:szCs w:val="28"/>
        </w:rPr>
        <w:drawing>
          <wp:inline distT="0" distB="0" distL="0" distR="0">
            <wp:extent cx="1812925" cy="2418715"/>
            <wp:effectExtent l="0" t="0" r="0" b="635"/>
            <wp:docPr id="12" name="图片 12" descr="D:\QQ聊天记录等/IMG20250220103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QQ聊天记录等/IMG20250220103914.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817465" cy="2424442"/>
                    </a:xfrm>
                    <a:prstGeom prst="rect">
                      <a:avLst/>
                    </a:prstGeom>
                    <a:noFill/>
                    <a:ln>
                      <a:noFill/>
                    </a:ln>
                  </pic:spPr>
                </pic:pic>
              </a:graphicData>
            </a:graphic>
          </wp:inline>
        </w:drawing>
      </w:r>
      <w:r>
        <w:rPr>
          <w:rFonts w:hint="eastAsia" w:ascii="Times New Roman" w:hAnsi="Times New Roman" w:eastAsia="仿宋_GB2312"/>
          <w:sz w:val="28"/>
          <w:szCs w:val="28"/>
        </w:rPr>
        <w:t xml:space="preserve"> </w:t>
      </w:r>
      <w:r>
        <w:rPr>
          <w:rFonts w:ascii="Times New Roman" w:hAnsi="Times New Roman" w:eastAsia="仿宋_GB2312"/>
          <w:sz w:val="28"/>
          <w:szCs w:val="28"/>
        </w:rPr>
        <w:drawing>
          <wp:inline distT="0" distB="0" distL="0" distR="0">
            <wp:extent cx="1828800" cy="2439035"/>
            <wp:effectExtent l="0" t="0" r="0" b="0"/>
            <wp:docPr id="13" name="图片 13" descr="D:\QQ聊天记录等\IMG20250612102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QQ聊天记录等\IMG20250612102632.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831924" cy="2443278"/>
                    </a:xfrm>
                    <a:prstGeom prst="rect">
                      <a:avLst/>
                    </a:prstGeom>
                    <a:noFill/>
                    <a:ln>
                      <a:noFill/>
                    </a:ln>
                  </pic:spPr>
                </pic:pic>
              </a:graphicData>
            </a:graphic>
          </wp:inline>
        </w:drawing>
      </w:r>
    </w:p>
    <w:p w14:paraId="70DEA9D9">
      <w:pPr>
        <w:spacing w:line="360" w:lineRule="auto"/>
        <w:jc w:val="center"/>
        <w:rPr>
          <w:rFonts w:ascii="Times New Roman" w:hAnsi="Times New Roman" w:eastAsia="仿宋_GB2312"/>
          <w:sz w:val="28"/>
          <w:szCs w:val="28"/>
        </w:rPr>
      </w:pPr>
      <w:r>
        <w:rPr>
          <w:rFonts w:hint="eastAsia" w:ascii="Times New Roman" w:hAnsi="Times New Roman" w:eastAsia="仿宋_GB2312"/>
          <w:sz w:val="28"/>
          <w:szCs w:val="28"/>
        </w:rPr>
        <w:t>五指毛桃炭疽病田间发病症状</w:t>
      </w:r>
    </w:p>
    <w:p w14:paraId="7D777DD9">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114300" distR="114300">
            <wp:extent cx="5259705" cy="5130800"/>
            <wp:effectExtent l="0" t="0" r="17145" b="12700"/>
            <wp:docPr id="294" name="图片 294" descr="微信图片_202410220905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微信图片_20241022090501 (1)"/>
                    <pic:cNvPicPr>
                      <a:picLocks noChangeAspect="1"/>
                    </pic:cNvPicPr>
                  </pic:nvPicPr>
                  <pic:blipFill>
                    <a:blip r:embed="rId6"/>
                    <a:stretch>
                      <a:fillRect/>
                    </a:stretch>
                  </pic:blipFill>
                  <pic:spPr>
                    <a:xfrm>
                      <a:off x="0" y="0"/>
                      <a:ext cx="5259705" cy="5130800"/>
                    </a:xfrm>
                    <a:prstGeom prst="rect">
                      <a:avLst/>
                    </a:prstGeom>
                  </pic:spPr>
                </pic:pic>
              </a:graphicData>
            </a:graphic>
          </wp:inline>
        </w:drawing>
      </w:r>
    </w:p>
    <w:p w14:paraId="25541BA7">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t>五指毛桃炭疽病叶片发病症状</w:t>
      </w:r>
    </w:p>
    <w:p w14:paraId="72CF8930">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114300" distR="114300">
            <wp:extent cx="5247005" cy="6995795"/>
            <wp:effectExtent l="0" t="0" r="10795" b="14605"/>
            <wp:docPr id="94" name="图片 94" descr="微信图片_2024102209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微信图片_20241022090426"/>
                    <pic:cNvPicPr>
                      <a:picLocks noChangeAspect="1"/>
                    </pic:cNvPicPr>
                  </pic:nvPicPr>
                  <pic:blipFill>
                    <a:blip r:embed="rId7"/>
                    <a:stretch>
                      <a:fillRect/>
                    </a:stretch>
                  </pic:blipFill>
                  <pic:spPr>
                    <a:xfrm>
                      <a:off x="0" y="0"/>
                      <a:ext cx="5247005" cy="6995795"/>
                    </a:xfrm>
                    <a:prstGeom prst="rect">
                      <a:avLst/>
                    </a:prstGeom>
                  </pic:spPr>
                </pic:pic>
              </a:graphicData>
            </a:graphic>
          </wp:inline>
        </w:drawing>
      </w:r>
    </w:p>
    <w:p w14:paraId="63D9B028">
      <w:pPr>
        <w:spacing w:line="360" w:lineRule="auto"/>
        <w:jc w:val="center"/>
        <w:rPr>
          <w:rFonts w:ascii="Times New Roman" w:hAnsi="Times New Roman" w:eastAsia="仿宋_GB2312"/>
          <w:sz w:val="28"/>
          <w:szCs w:val="28"/>
        </w:rPr>
      </w:pPr>
      <w:r>
        <w:rPr>
          <w:rFonts w:ascii="Times New Roman" w:hAnsi="Times New Roman" w:eastAsia="仿宋_GB2312"/>
          <w:sz w:val="28"/>
          <w:szCs w:val="28"/>
        </w:rPr>
        <w:t>五指毛桃炭疽病叶片病斑</w:t>
      </w:r>
    </w:p>
    <w:p w14:paraId="3FC089E7">
      <w:pPr>
        <w:spacing w:line="360" w:lineRule="auto"/>
        <w:jc w:val="left"/>
        <w:rPr>
          <w:rFonts w:ascii="Times New Roman" w:hAnsi="Times New Roman" w:eastAsia="仿宋_GB2312"/>
          <w:sz w:val="28"/>
          <w:szCs w:val="28"/>
        </w:rPr>
      </w:pPr>
      <w:r>
        <w:rPr>
          <w:rFonts w:ascii="Times New Roman" w:hAnsi="Times New Roman" w:eastAsia="仿宋_GB2312"/>
          <w:sz w:val="28"/>
          <w:szCs w:val="28"/>
        </w:rPr>
        <w:t>【病原】</w:t>
      </w:r>
      <w:bookmarkStart w:id="9" w:name="_Hlk205459404"/>
      <w:r>
        <w:rPr>
          <w:rFonts w:ascii="Times New Roman" w:hAnsi="Times New Roman" w:eastAsia="仿宋_GB2312"/>
          <w:i/>
          <w:sz w:val="28"/>
          <w:szCs w:val="28"/>
        </w:rPr>
        <w:t>Colletotrichum</w:t>
      </w:r>
      <w:r>
        <w:rPr>
          <w:rFonts w:ascii="Times New Roman" w:hAnsi="Times New Roman" w:eastAsia="仿宋_GB2312"/>
          <w:sz w:val="28"/>
          <w:szCs w:val="28"/>
        </w:rPr>
        <w:t xml:space="preserve"> sp.</w:t>
      </w:r>
      <w:bookmarkEnd w:id="9"/>
      <w:r>
        <w:rPr>
          <w:rFonts w:ascii="Times New Roman" w:hAnsi="Times New Roman" w:eastAsia="仿宋_GB2312"/>
          <w:sz w:val="28"/>
          <w:szCs w:val="28"/>
        </w:rPr>
        <w:t>，为炭疽属真菌。菌落圆形较扁平，气生菌丝发达，呈灰色或灰黑色。</w:t>
      </w:r>
    </w:p>
    <w:p w14:paraId="232D6C96">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114300" distR="114300">
            <wp:extent cx="5255260" cy="5114290"/>
            <wp:effectExtent l="0" t="0" r="2540" b="10160"/>
            <wp:docPr id="95" name="图片 95" descr="EBC8AB68FAA062DD05C283C9F3859A8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EBC8AB68FAA062DD05C283C9F3859A8D (1)"/>
                    <pic:cNvPicPr>
                      <a:picLocks noChangeAspect="1"/>
                    </pic:cNvPicPr>
                  </pic:nvPicPr>
                  <pic:blipFill>
                    <a:blip r:embed="rId8"/>
                    <a:stretch>
                      <a:fillRect/>
                    </a:stretch>
                  </pic:blipFill>
                  <pic:spPr>
                    <a:xfrm>
                      <a:off x="0" y="0"/>
                      <a:ext cx="5255260" cy="5114290"/>
                    </a:xfrm>
                    <a:prstGeom prst="rect">
                      <a:avLst/>
                    </a:prstGeom>
                  </pic:spPr>
                </pic:pic>
              </a:graphicData>
            </a:graphic>
          </wp:inline>
        </w:drawing>
      </w:r>
    </w:p>
    <w:p w14:paraId="58868037">
      <w:pPr>
        <w:spacing w:line="360" w:lineRule="auto"/>
        <w:jc w:val="center"/>
        <w:rPr>
          <w:rFonts w:ascii="Times New Roman" w:hAnsi="Times New Roman" w:eastAsia="仿宋_GB2312"/>
          <w:sz w:val="28"/>
          <w:szCs w:val="28"/>
        </w:rPr>
      </w:pPr>
      <w:r>
        <w:rPr>
          <w:rFonts w:ascii="Times New Roman" w:hAnsi="Times New Roman" w:eastAsia="仿宋_GB2312"/>
          <w:sz w:val="28"/>
          <w:szCs w:val="28"/>
        </w:rPr>
        <w:t>五指毛桃炭疽病病原菌菌落形态（正面）</w:t>
      </w:r>
    </w:p>
    <w:p w14:paraId="721B4137">
      <w:pPr>
        <w:spacing w:line="360" w:lineRule="auto"/>
        <w:jc w:val="left"/>
        <w:rPr>
          <w:rFonts w:ascii="Times New Roman" w:hAnsi="Times New Roman" w:eastAsia="仿宋_GB2312"/>
          <w:sz w:val="28"/>
          <w:szCs w:val="28"/>
        </w:rPr>
      </w:pPr>
      <w:r>
        <w:rPr>
          <w:rFonts w:ascii="Times New Roman" w:hAnsi="Times New Roman" w:eastAsia="仿宋_GB2312"/>
          <w:sz w:val="28"/>
          <w:szCs w:val="28"/>
        </w:rPr>
        <w:t>【发生规律】五指毛桃炭疽病在温暖的环境下容易发生，一般温度在</w:t>
      </w:r>
      <w:r>
        <w:rPr>
          <w:rFonts w:hint="eastAsia" w:ascii="Times New Roman" w:hAnsi="Times New Roman" w:eastAsia="仿宋_GB2312"/>
          <w:sz w:val="28"/>
          <w:szCs w:val="28"/>
        </w:rPr>
        <w:t>2</w:t>
      </w:r>
      <w:r>
        <w:rPr>
          <w:rFonts w:ascii="Times New Roman" w:hAnsi="Times New Roman" w:eastAsia="仿宋_GB2312"/>
          <w:sz w:val="28"/>
          <w:szCs w:val="28"/>
        </w:rPr>
        <w:t>5～28</w:t>
      </w:r>
      <w:r>
        <w:rPr>
          <w:rFonts w:hint="eastAsia" w:ascii="Times New Roman" w:hAnsi="Times New Roman" w:eastAsia="仿宋_GB2312"/>
          <w:sz w:val="28"/>
          <w:szCs w:val="28"/>
        </w:rPr>
        <w:t xml:space="preserve"> ℃</w:t>
      </w:r>
      <w:r>
        <w:rPr>
          <w:rFonts w:ascii="Times New Roman" w:hAnsi="Times New Roman" w:eastAsia="仿宋_GB2312"/>
          <w:sz w:val="28"/>
          <w:szCs w:val="28"/>
        </w:rPr>
        <w:t>，相对湿度在</w:t>
      </w:r>
      <w:r>
        <w:rPr>
          <w:rFonts w:hint="eastAsia" w:ascii="Times New Roman" w:hAnsi="Times New Roman" w:eastAsia="仿宋_GB2312"/>
          <w:sz w:val="28"/>
          <w:szCs w:val="28"/>
        </w:rPr>
        <w:t>8</w:t>
      </w:r>
      <w:r>
        <w:rPr>
          <w:rFonts w:ascii="Times New Roman" w:hAnsi="Times New Roman" w:eastAsia="仿宋_GB2312"/>
          <w:sz w:val="28"/>
          <w:szCs w:val="28"/>
        </w:rPr>
        <w:t>5</w:t>
      </w:r>
      <w:r>
        <w:rPr>
          <w:rFonts w:hint="eastAsia" w:ascii="Times New Roman" w:hAnsi="Times New Roman" w:eastAsia="仿宋_GB2312"/>
          <w:sz w:val="28"/>
          <w:szCs w:val="28"/>
        </w:rPr>
        <w:t>%</w:t>
      </w:r>
      <w:r>
        <w:rPr>
          <w:rFonts w:ascii="Times New Roman" w:hAnsi="Times New Roman" w:eastAsia="仿宋_GB2312"/>
          <w:sz w:val="28"/>
          <w:szCs w:val="28"/>
        </w:rPr>
        <w:t>以上时发病较为严重。</w:t>
      </w:r>
    </w:p>
    <w:p w14:paraId="6DA69479">
      <w:pPr>
        <w:spacing w:line="360" w:lineRule="auto"/>
        <w:jc w:val="left"/>
        <w:rPr>
          <w:rFonts w:ascii="Times New Roman" w:hAnsi="Times New Roman" w:eastAsia="仿宋_GB2312"/>
          <w:sz w:val="28"/>
          <w:szCs w:val="28"/>
        </w:rPr>
      </w:pPr>
      <w:bookmarkStart w:id="10" w:name="OLE_LINK11"/>
      <w:r>
        <w:rPr>
          <w:rFonts w:ascii="Times New Roman" w:hAnsi="Times New Roman" w:eastAsia="仿宋_GB2312"/>
          <w:sz w:val="28"/>
          <w:szCs w:val="28"/>
        </w:rPr>
        <w:t>【防治方法】</w:t>
      </w:r>
    </w:p>
    <w:bookmarkEnd w:id="10"/>
    <w:p w14:paraId="064050BC">
      <w:pPr>
        <w:spacing w:line="360" w:lineRule="auto"/>
        <w:jc w:val="left"/>
        <w:rPr>
          <w:rFonts w:ascii="Times New Roman" w:hAnsi="Times New Roman" w:eastAsia="仿宋_GB2312"/>
          <w:sz w:val="28"/>
          <w:szCs w:val="28"/>
        </w:rPr>
      </w:pPr>
      <w:r>
        <w:rPr>
          <w:rFonts w:hint="eastAsia" w:ascii="Times New Roman" w:hAnsi="Times New Roman" w:eastAsia="仿宋_GB2312"/>
          <w:sz w:val="28"/>
          <w:szCs w:val="28"/>
        </w:rPr>
        <w:t>（1）农业防治：</w:t>
      </w:r>
      <w:r>
        <w:rPr>
          <w:rFonts w:ascii="Times New Roman" w:hAnsi="Times New Roman" w:eastAsia="仿宋_GB2312"/>
          <w:sz w:val="28"/>
          <w:szCs w:val="28"/>
        </w:rPr>
        <w:t>及时清除病叶，集中烧毁或深埋，防止病原菌在田间残留和传播。合理</w:t>
      </w:r>
      <w:r>
        <w:rPr>
          <w:rFonts w:hint="eastAsia" w:ascii="Times New Roman" w:hAnsi="Times New Roman" w:eastAsia="仿宋_GB2312"/>
          <w:sz w:val="28"/>
          <w:szCs w:val="28"/>
        </w:rPr>
        <w:t>密植</w:t>
      </w:r>
      <w:r>
        <w:rPr>
          <w:rFonts w:ascii="Times New Roman" w:hAnsi="Times New Roman" w:eastAsia="仿宋_GB2312"/>
          <w:sz w:val="28"/>
          <w:szCs w:val="28"/>
        </w:rPr>
        <w:t>，一般株距可为</w:t>
      </w:r>
      <w:r>
        <w:rPr>
          <w:rFonts w:hint="eastAsia" w:ascii="Times New Roman" w:hAnsi="Times New Roman" w:eastAsia="仿宋_GB2312"/>
          <w:sz w:val="28"/>
          <w:szCs w:val="28"/>
        </w:rPr>
        <w:t>3</w:t>
      </w:r>
      <w:r>
        <w:rPr>
          <w:rFonts w:ascii="Times New Roman" w:hAnsi="Times New Roman" w:eastAsia="仿宋_GB2312"/>
          <w:sz w:val="28"/>
          <w:szCs w:val="28"/>
        </w:rPr>
        <w:t>0～5</w:t>
      </w:r>
      <w:r>
        <w:rPr>
          <w:rFonts w:hint="eastAsia" w:ascii="Times New Roman" w:hAnsi="Times New Roman" w:eastAsia="仿宋_GB2312"/>
          <w:sz w:val="28"/>
          <w:szCs w:val="28"/>
        </w:rPr>
        <w:t>0</w:t>
      </w:r>
      <w:r>
        <w:rPr>
          <w:rFonts w:ascii="Times New Roman" w:hAnsi="Times New Roman" w:eastAsia="仿宋_GB2312"/>
          <w:sz w:val="28"/>
          <w:szCs w:val="28"/>
        </w:rPr>
        <w:t>厘米，行距为</w:t>
      </w:r>
      <w:r>
        <w:rPr>
          <w:rFonts w:hint="eastAsia" w:ascii="Times New Roman" w:hAnsi="Times New Roman" w:eastAsia="仿宋_GB2312"/>
          <w:sz w:val="28"/>
          <w:szCs w:val="28"/>
        </w:rPr>
        <w:t>4</w:t>
      </w:r>
      <w:r>
        <w:rPr>
          <w:rFonts w:ascii="Times New Roman" w:hAnsi="Times New Roman" w:eastAsia="仿宋_GB2312"/>
          <w:sz w:val="28"/>
          <w:szCs w:val="28"/>
        </w:rPr>
        <w:t>0～6</w:t>
      </w:r>
      <w:r>
        <w:rPr>
          <w:rFonts w:hint="eastAsia" w:ascii="Times New Roman" w:hAnsi="Times New Roman" w:eastAsia="仿宋_GB2312"/>
          <w:sz w:val="28"/>
          <w:szCs w:val="28"/>
        </w:rPr>
        <w:t>0</w:t>
      </w:r>
      <w:r>
        <w:rPr>
          <w:rFonts w:ascii="Times New Roman" w:hAnsi="Times New Roman" w:eastAsia="仿宋_GB2312"/>
          <w:sz w:val="28"/>
          <w:szCs w:val="28"/>
        </w:rPr>
        <w:t>厘米，可有效降低田间湿度，抑制病原菌的生长和传播。</w:t>
      </w:r>
    </w:p>
    <w:p w14:paraId="020DB208">
      <w:pPr>
        <w:spacing w:line="360" w:lineRule="auto"/>
        <w:jc w:val="left"/>
        <w:rPr>
          <w:rFonts w:ascii="Times New Roman" w:hAnsi="Times New Roman" w:eastAsia="仿宋_GB2312"/>
          <w:sz w:val="28"/>
          <w:szCs w:val="28"/>
        </w:rPr>
      </w:pPr>
      <w:r>
        <w:rPr>
          <w:rFonts w:hint="eastAsia" w:ascii="Times New Roman" w:hAnsi="Times New Roman" w:eastAsia="仿宋_GB2312"/>
          <w:sz w:val="28"/>
          <w:szCs w:val="28"/>
        </w:rPr>
        <w:t>（2）</w:t>
      </w:r>
      <w:r>
        <w:rPr>
          <w:rFonts w:ascii="Times New Roman" w:hAnsi="Times New Roman" w:eastAsia="仿宋_GB2312"/>
          <w:sz w:val="28"/>
          <w:szCs w:val="28"/>
        </w:rPr>
        <w:t>化学防治：发病初期，及时选用有效的杀菌剂进行喷雾防治。可用50</w:t>
      </w:r>
      <w:r>
        <w:rPr>
          <w:rFonts w:hint="eastAsia" w:ascii="Times New Roman" w:hAnsi="Times New Roman" w:eastAsia="仿宋_GB2312"/>
          <w:sz w:val="28"/>
          <w:szCs w:val="28"/>
        </w:rPr>
        <w:t>%</w:t>
      </w:r>
      <w:r>
        <w:rPr>
          <w:rFonts w:ascii="Times New Roman" w:hAnsi="Times New Roman" w:eastAsia="仿宋_GB2312"/>
          <w:sz w:val="28"/>
          <w:szCs w:val="28"/>
        </w:rPr>
        <w:t>多菌灵可湿性粉剂时，需</w:t>
      </w:r>
      <w:bookmarkStart w:id="11" w:name="OLE_LINK25"/>
      <w:bookmarkStart w:id="12" w:name="OLE_LINK24"/>
      <w:r>
        <w:rPr>
          <w:rFonts w:ascii="Times New Roman" w:hAnsi="Times New Roman" w:eastAsia="仿宋_GB2312"/>
          <w:sz w:val="28"/>
          <w:szCs w:val="28"/>
        </w:rPr>
        <w:t>稀释</w:t>
      </w:r>
      <w:r>
        <w:rPr>
          <w:rFonts w:hint="eastAsia" w:ascii="Times New Roman" w:hAnsi="Times New Roman" w:eastAsia="仿宋_GB2312"/>
          <w:sz w:val="28"/>
          <w:szCs w:val="28"/>
        </w:rPr>
        <w:t>5</w:t>
      </w:r>
      <w:r>
        <w:rPr>
          <w:rFonts w:ascii="Times New Roman" w:hAnsi="Times New Roman" w:eastAsia="仿宋_GB2312"/>
          <w:sz w:val="28"/>
          <w:szCs w:val="28"/>
        </w:rPr>
        <w:t>00～80</w:t>
      </w:r>
      <w:r>
        <w:rPr>
          <w:rFonts w:hint="eastAsia" w:ascii="Times New Roman" w:hAnsi="Times New Roman" w:eastAsia="仿宋_GB2312"/>
          <w:sz w:val="28"/>
          <w:szCs w:val="28"/>
        </w:rPr>
        <w:t>0</w:t>
      </w:r>
      <w:r>
        <w:rPr>
          <w:rFonts w:ascii="Times New Roman" w:hAnsi="Times New Roman" w:eastAsia="仿宋_GB2312"/>
          <w:sz w:val="28"/>
          <w:szCs w:val="28"/>
        </w:rPr>
        <w:t>倍液</w:t>
      </w:r>
      <w:bookmarkEnd w:id="11"/>
      <w:bookmarkEnd w:id="12"/>
      <w:r>
        <w:rPr>
          <w:rFonts w:ascii="Times New Roman" w:hAnsi="Times New Roman" w:eastAsia="仿宋_GB2312"/>
          <w:sz w:val="28"/>
          <w:szCs w:val="28"/>
        </w:rPr>
        <w:t>，或</w:t>
      </w:r>
      <w:r>
        <w:rPr>
          <w:rFonts w:hint="eastAsia" w:ascii="Times New Roman" w:hAnsi="Times New Roman" w:eastAsia="仿宋_GB2312"/>
          <w:sz w:val="28"/>
          <w:szCs w:val="28"/>
        </w:rPr>
        <w:t>7</w:t>
      </w:r>
      <w:r>
        <w:rPr>
          <w:rFonts w:ascii="Times New Roman" w:hAnsi="Times New Roman" w:eastAsia="仿宋_GB2312"/>
          <w:sz w:val="28"/>
          <w:szCs w:val="28"/>
        </w:rPr>
        <w:t>5</w:t>
      </w:r>
      <w:r>
        <w:rPr>
          <w:rFonts w:hint="eastAsia" w:ascii="Times New Roman" w:hAnsi="Times New Roman" w:eastAsia="仿宋_GB2312"/>
          <w:sz w:val="28"/>
          <w:szCs w:val="28"/>
        </w:rPr>
        <w:t>%</w:t>
      </w:r>
      <w:r>
        <w:rPr>
          <w:rFonts w:ascii="Times New Roman" w:hAnsi="Times New Roman" w:eastAsia="仿宋_GB2312"/>
          <w:sz w:val="28"/>
          <w:szCs w:val="28"/>
        </w:rPr>
        <w:t>百菌清可湿性粉剂</w:t>
      </w:r>
      <w:r>
        <w:rPr>
          <w:rFonts w:hint="eastAsia" w:ascii="Times New Roman" w:hAnsi="Times New Roman" w:eastAsia="仿宋_GB2312"/>
          <w:sz w:val="28"/>
          <w:szCs w:val="28"/>
        </w:rPr>
        <w:t>5</w:t>
      </w:r>
      <w:r>
        <w:rPr>
          <w:rFonts w:ascii="Times New Roman" w:hAnsi="Times New Roman" w:eastAsia="仿宋_GB2312"/>
          <w:sz w:val="28"/>
          <w:szCs w:val="28"/>
        </w:rPr>
        <w:t>00～70</w:t>
      </w:r>
      <w:r>
        <w:rPr>
          <w:rFonts w:hint="eastAsia" w:ascii="Times New Roman" w:hAnsi="Times New Roman" w:eastAsia="仿宋_GB2312"/>
          <w:sz w:val="28"/>
          <w:szCs w:val="28"/>
        </w:rPr>
        <w:t>0</w:t>
      </w:r>
      <w:r>
        <w:rPr>
          <w:rFonts w:ascii="Times New Roman" w:hAnsi="Times New Roman" w:eastAsia="仿宋_GB2312"/>
          <w:sz w:val="28"/>
          <w:szCs w:val="28"/>
        </w:rPr>
        <w:t>倍液进行喷雾，</w:t>
      </w:r>
      <w:r>
        <w:rPr>
          <w:rFonts w:hint="eastAsia" w:ascii="Times New Roman" w:hAnsi="Times New Roman" w:eastAsia="仿宋_GB2312"/>
          <w:sz w:val="28"/>
          <w:szCs w:val="28"/>
        </w:rPr>
        <w:t>每7</w:t>
      </w:r>
      <w:r>
        <w:rPr>
          <w:rFonts w:ascii="Times New Roman" w:hAnsi="Times New Roman" w:eastAsia="仿宋_GB2312"/>
          <w:sz w:val="28"/>
          <w:szCs w:val="28"/>
        </w:rPr>
        <w:t>～1</w:t>
      </w:r>
      <w:r>
        <w:rPr>
          <w:rFonts w:hint="eastAsia" w:ascii="Times New Roman" w:hAnsi="Times New Roman" w:eastAsia="仿宋_GB2312"/>
          <w:sz w:val="28"/>
          <w:szCs w:val="28"/>
        </w:rPr>
        <w:t>0</w:t>
      </w:r>
      <w:r>
        <w:rPr>
          <w:rFonts w:ascii="Times New Roman" w:hAnsi="Times New Roman" w:eastAsia="仿宋_GB2312"/>
          <w:sz w:val="28"/>
          <w:szCs w:val="28"/>
        </w:rPr>
        <w:t>天喷一次，连续喷</w:t>
      </w:r>
      <w:r>
        <w:rPr>
          <w:rFonts w:hint="eastAsia" w:ascii="Times New Roman" w:hAnsi="Times New Roman" w:eastAsia="仿宋_GB2312"/>
          <w:sz w:val="28"/>
          <w:szCs w:val="28"/>
        </w:rPr>
        <w:t>2</w:t>
      </w:r>
      <w:r>
        <w:rPr>
          <w:rFonts w:ascii="Times New Roman" w:hAnsi="Times New Roman" w:eastAsia="仿宋_GB2312"/>
          <w:sz w:val="28"/>
          <w:szCs w:val="28"/>
        </w:rPr>
        <w:t>～3 次。</w:t>
      </w:r>
    </w:p>
    <w:p w14:paraId="38039FF8">
      <w:pPr>
        <w:spacing w:line="360" w:lineRule="auto"/>
        <w:ind w:firstLine="560" w:firstLineChars="200"/>
        <w:jc w:val="left"/>
        <w:rPr>
          <w:rFonts w:ascii="Times New Roman" w:hAnsi="Times New Roman" w:eastAsia="仿宋_GB2312"/>
          <w:sz w:val="28"/>
          <w:szCs w:val="28"/>
        </w:rPr>
      </w:pPr>
      <w:r>
        <w:rPr>
          <w:rFonts w:hint="eastAsia" w:ascii="Times New Roman" w:hAnsi="Times New Roman" w:eastAsia="仿宋_GB2312"/>
          <w:sz w:val="28"/>
          <w:szCs w:val="28"/>
        </w:rPr>
        <w:t>2</w:t>
      </w:r>
      <w:r>
        <w:rPr>
          <w:rFonts w:ascii="Times New Roman" w:hAnsi="Times New Roman" w:eastAsia="仿宋_GB2312"/>
          <w:sz w:val="28"/>
          <w:szCs w:val="28"/>
        </w:rPr>
        <w:t xml:space="preserve">. </w:t>
      </w:r>
      <w:r>
        <w:rPr>
          <w:rFonts w:hint="eastAsia" w:ascii="Times New Roman" w:hAnsi="Times New Roman" w:eastAsia="仿宋_GB2312"/>
          <w:sz w:val="28"/>
          <w:szCs w:val="28"/>
        </w:rPr>
        <w:t>五指毛桃藻斑病及其防治研究</w:t>
      </w:r>
    </w:p>
    <w:p w14:paraId="139EAAF3">
      <w:pPr>
        <w:spacing w:line="360" w:lineRule="auto"/>
        <w:ind w:firstLine="560" w:firstLineChars="200"/>
        <w:jc w:val="left"/>
        <w:rPr>
          <w:rFonts w:ascii="Times New Roman" w:hAnsi="Times New Roman" w:eastAsia="仿宋_GB2312"/>
          <w:sz w:val="28"/>
          <w:szCs w:val="28"/>
        </w:rPr>
      </w:pPr>
      <w:r>
        <w:rPr>
          <w:rFonts w:ascii="Times New Roman" w:hAnsi="Times New Roman" w:eastAsia="仿宋_GB2312"/>
          <w:sz w:val="28"/>
          <w:szCs w:val="28"/>
        </w:rPr>
        <w:t>【症状】</w:t>
      </w:r>
      <w:r>
        <w:rPr>
          <w:rFonts w:hint="eastAsia" w:ascii="Times New Roman" w:hAnsi="Times New Roman" w:eastAsia="仿宋_GB2312"/>
          <w:sz w:val="28"/>
          <w:szCs w:val="28"/>
        </w:rPr>
        <w:t>五指毛桃主要为害枝条和嫩枝，初期在枝条出现黄色细小圆形病斑；随后扩展成圆形或近圆形病斑，直径为</w:t>
      </w:r>
      <w:r>
        <w:rPr>
          <w:rFonts w:ascii="Times New Roman" w:hAnsi="Times New Roman" w:eastAsia="仿宋_GB2312"/>
          <w:sz w:val="28"/>
          <w:szCs w:val="28"/>
        </w:rPr>
        <w:t>2</w:t>
      </w:r>
      <w:r>
        <w:rPr>
          <w:rFonts w:hint="eastAsia" w:ascii="Times New Roman" w:hAnsi="Times New Roman" w:eastAsia="仿宋_GB2312"/>
          <w:sz w:val="28"/>
          <w:szCs w:val="28"/>
        </w:rPr>
        <w:t>～</w:t>
      </w:r>
      <w:r>
        <w:rPr>
          <w:rFonts w:ascii="Times New Roman" w:hAnsi="Times New Roman" w:eastAsia="仿宋_GB2312"/>
          <w:sz w:val="28"/>
          <w:szCs w:val="28"/>
        </w:rPr>
        <w:t xml:space="preserve">5 </w:t>
      </w:r>
      <w:r>
        <w:rPr>
          <w:rFonts w:hint="eastAsia" w:ascii="Times New Roman" w:hAnsi="Times New Roman" w:eastAsia="仿宋_GB2312"/>
          <w:sz w:val="28"/>
          <w:szCs w:val="28"/>
        </w:rPr>
        <w:t>c</w:t>
      </w:r>
      <w:r>
        <w:rPr>
          <w:rFonts w:ascii="Times New Roman" w:hAnsi="Times New Roman" w:eastAsia="仿宋_GB2312"/>
          <w:sz w:val="28"/>
          <w:szCs w:val="28"/>
        </w:rPr>
        <w:t>m</w:t>
      </w:r>
      <w:r>
        <w:rPr>
          <w:rFonts w:hint="eastAsia" w:ascii="Times New Roman" w:hAnsi="Times New Roman" w:eastAsia="仿宋_GB2312"/>
          <w:sz w:val="28"/>
          <w:szCs w:val="28"/>
        </w:rPr>
        <w:t>，肉眼可见病斑上附有黄褐色或红褐色细条状毛毡状物，为藻斑病病原物的营养体；后期发展为黑褐色病斑（图1</w:t>
      </w:r>
      <w:r>
        <w:rPr>
          <w:rFonts w:ascii="Times New Roman" w:hAnsi="Times New Roman" w:eastAsia="仿宋_GB2312"/>
          <w:sz w:val="28"/>
          <w:szCs w:val="28"/>
        </w:rPr>
        <w:t>A-</w:t>
      </w:r>
      <w:r>
        <w:rPr>
          <w:rFonts w:hint="eastAsia" w:ascii="Times New Roman" w:hAnsi="Times New Roman" w:eastAsia="仿宋_GB2312"/>
          <w:sz w:val="28"/>
          <w:szCs w:val="28"/>
        </w:rPr>
        <w:t>B）。</w:t>
      </w:r>
    </w:p>
    <w:p w14:paraId="41BB6C8F">
      <w:pPr>
        <w:spacing w:line="360" w:lineRule="auto"/>
        <w:ind w:firstLine="560" w:firstLineChars="200"/>
        <w:jc w:val="left"/>
        <w:rPr>
          <w:rFonts w:ascii="Times New Roman" w:hAnsi="Times New Roman" w:eastAsia="仿宋_GB2312"/>
          <w:sz w:val="28"/>
          <w:szCs w:val="28"/>
        </w:rPr>
      </w:pPr>
      <w:r>
        <w:rPr>
          <w:rFonts w:ascii="Times New Roman" w:hAnsi="Times New Roman" w:eastAsia="仿宋_GB2312"/>
          <w:sz w:val="28"/>
          <w:szCs w:val="28"/>
        </w:rPr>
        <w:t>【病原】</w:t>
      </w:r>
      <w:r>
        <w:rPr>
          <w:rFonts w:hint="eastAsia" w:ascii="Times New Roman" w:hAnsi="Times New Roman" w:eastAsia="仿宋_GB2312"/>
          <w:sz w:val="28"/>
          <w:szCs w:val="28"/>
        </w:rPr>
        <w:t>该病是由头</w:t>
      </w:r>
      <w:bookmarkStart w:id="13" w:name="OLE_LINK10"/>
      <w:bookmarkStart w:id="14" w:name="OLE_LINK9"/>
      <w:r>
        <w:rPr>
          <w:rFonts w:hint="eastAsia" w:ascii="Times New Roman" w:hAnsi="Times New Roman" w:eastAsia="仿宋_GB2312"/>
          <w:sz w:val="28"/>
          <w:szCs w:val="28"/>
        </w:rPr>
        <w:t>孢藻属的藻类</w:t>
      </w:r>
      <w:bookmarkEnd w:id="13"/>
      <w:bookmarkEnd w:id="14"/>
      <w:r>
        <w:rPr>
          <w:rFonts w:hint="eastAsia" w:ascii="Times New Roman" w:hAnsi="Times New Roman" w:eastAsia="仿宋_GB2312"/>
          <w:sz w:val="28"/>
          <w:szCs w:val="28"/>
        </w:rPr>
        <w:t>引起的（</w:t>
      </w:r>
      <w:bookmarkStart w:id="15" w:name="_Hlk205459456"/>
      <w:r>
        <w:rPr>
          <w:rFonts w:ascii="Times New Roman" w:hAnsi="Times New Roman" w:eastAsia="仿宋_GB2312"/>
          <w:i/>
          <w:sz w:val="28"/>
          <w:szCs w:val="28"/>
        </w:rPr>
        <w:t>Cephaleuros</w:t>
      </w:r>
      <w:r>
        <w:rPr>
          <w:rFonts w:ascii="Times New Roman" w:hAnsi="Times New Roman" w:eastAsia="仿宋_GB2312"/>
          <w:sz w:val="28"/>
          <w:szCs w:val="28"/>
        </w:rPr>
        <w:t xml:space="preserve"> sp.</w:t>
      </w:r>
      <w:bookmarkEnd w:id="15"/>
      <w:r>
        <w:rPr>
          <w:rFonts w:hint="eastAsia" w:ascii="Times New Roman" w:hAnsi="Times New Roman" w:eastAsia="仿宋_GB2312"/>
          <w:sz w:val="28"/>
          <w:szCs w:val="28"/>
        </w:rPr>
        <w:t>），形态观察发现，藻斑病病原物的营养体在枝条上，在分支顶端着生一个或多个分隔的孢囊梗，其顶部膨大成为孢子囊，孢子囊内含多个椭圆形的游动孢子（见图</w:t>
      </w:r>
      <w:r>
        <w:rPr>
          <w:rFonts w:ascii="Times New Roman" w:hAnsi="Times New Roman" w:eastAsia="仿宋_GB2312"/>
          <w:sz w:val="28"/>
          <w:szCs w:val="28"/>
        </w:rPr>
        <w:t>1C-D</w:t>
      </w:r>
      <w:r>
        <w:rPr>
          <w:rFonts w:hint="eastAsia" w:ascii="Times New Roman" w:hAnsi="Times New Roman" w:eastAsia="仿宋_GB2312"/>
          <w:sz w:val="28"/>
          <w:szCs w:val="28"/>
        </w:rPr>
        <w:t>）。孢囊梗长度在</w:t>
      </w:r>
      <w:r>
        <w:rPr>
          <w:rFonts w:ascii="Times New Roman" w:hAnsi="Times New Roman" w:eastAsia="仿宋_GB2312"/>
          <w:sz w:val="28"/>
          <w:szCs w:val="28"/>
        </w:rPr>
        <w:t>235</w:t>
      </w:r>
      <w:r>
        <w:rPr>
          <w:rFonts w:hint="eastAsia" w:ascii="Times New Roman" w:hAnsi="Times New Roman" w:eastAsia="仿宋_GB2312"/>
          <w:sz w:val="28"/>
          <w:szCs w:val="28"/>
        </w:rPr>
        <w:t>～</w:t>
      </w:r>
      <w:r>
        <w:rPr>
          <w:rFonts w:ascii="Times New Roman" w:hAnsi="Times New Roman" w:eastAsia="仿宋_GB2312"/>
          <w:sz w:val="28"/>
          <w:szCs w:val="28"/>
        </w:rPr>
        <w:t>445 μm</w:t>
      </w:r>
      <w:r>
        <w:rPr>
          <w:rFonts w:hint="eastAsia" w:ascii="Times New Roman" w:hAnsi="Times New Roman" w:eastAsia="仿宋_GB2312"/>
          <w:sz w:val="28"/>
          <w:szCs w:val="28"/>
        </w:rPr>
        <w:t>之间，顶端附生</w:t>
      </w:r>
      <w:r>
        <w:rPr>
          <w:rFonts w:ascii="Times New Roman" w:hAnsi="Times New Roman" w:eastAsia="仿宋_GB2312"/>
          <w:sz w:val="28"/>
          <w:szCs w:val="28"/>
        </w:rPr>
        <w:t>5</w:t>
      </w:r>
      <w:r>
        <w:rPr>
          <w:rFonts w:hint="eastAsia" w:ascii="Times New Roman" w:hAnsi="Times New Roman" w:eastAsia="仿宋_GB2312"/>
          <w:sz w:val="28"/>
          <w:szCs w:val="28"/>
        </w:rPr>
        <w:t>～</w:t>
      </w:r>
      <w:r>
        <w:rPr>
          <w:rFonts w:ascii="Times New Roman" w:hAnsi="Times New Roman" w:eastAsia="仿宋_GB2312"/>
          <w:sz w:val="28"/>
          <w:szCs w:val="28"/>
        </w:rPr>
        <w:t>9</w:t>
      </w:r>
      <w:r>
        <w:rPr>
          <w:rFonts w:hint="eastAsia" w:ascii="Times New Roman" w:hAnsi="Times New Roman" w:eastAsia="仿宋_GB2312"/>
          <w:sz w:val="28"/>
          <w:szCs w:val="28"/>
        </w:rPr>
        <w:t xml:space="preserve">个黄褐色近圆形的孢子囊，单个孢囊梗顶端孢子囊合计宽度在 </w:t>
      </w:r>
      <w:r>
        <w:rPr>
          <w:rFonts w:ascii="Times New Roman" w:hAnsi="Times New Roman" w:eastAsia="仿宋_GB2312"/>
          <w:sz w:val="28"/>
          <w:szCs w:val="28"/>
        </w:rPr>
        <w:t>13.7</w:t>
      </w:r>
      <w:r>
        <w:rPr>
          <w:rFonts w:hint="eastAsia" w:ascii="Times New Roman" w:hAnsi="Times New Roman" w:eastAsia="仿宋_GB2312"/>
          <w:sz w:val="28"/>
          <w:szCs w:val="28"/>
        </w:rPr>
        <w:t>～</w:t>
      </w:r>
      <w:r>
        <w:rPr>
          <w:rFonts w:ascii="Times New Roman" w:hAnsi="Times New Roman" w:eastAsia="仿宋_GB2312"/>
          <w:sz w:val="28"/>
          <w:szCs w:val="28"/>
        </w:rPr>
        <w:t>20.5 μm</w:t>
      </w:r>
      <w:r>
        <w:rPr>
          <w:rFonts w:hint="eastAsia" w:ascii="Times New Roman" w:hAnsi="Times New Roman" w:eastAsia="仿宋_GB2312"/>
          <w:sz w:val="28"/>
          <w:szCs w:val="28"/>
        </w:rPr>
        <w:t>之间。</w:t>
      </w:r>
    </w:p>
    <w:p w14:paraId="01DCDF36">
      <w:pPr>
        <w:spacing w:line="360" w:lineRule="auto"/>
        <w:ind w:firstLine="560" w:firstLineChars="200"/>
        <w:jc w:val="left"/>
        <w:rPr>
          <w:rFonts w:ascii="Times New Roman" w:hAnsi="Times New Roman" w:eastAsia="仿宋_GB2312"/>
          <w:sz w:val="28"/>
          <w:szCs w:val="28"/>
        </w:rPr>
      </w:pPr>
      <w:r>
        <w:rPr>
          <w:rFonts w:ascii="Times New Roman" w:hAnsi="Times New Roman" w:eastAsia="仿宋_GB2312"/>
          <w:sz w:val="28"/>
          <w:szCs w:val="28"/>
        </w:rPr>
        <w:t>【发生规律】</w:t>
      </w:r>
      <w:r>
        <w:rPr>
          <w:rFonts w:hint="eastAsia" w:ascii="Times New Roman" w:hAnsi="Times New Roman" w:eastAsia="仿宋_GB2312"/>
          <w:sz w:val="28"/>
          <w:szCs w:val="28"/>
        </w:rPr>
        <w:t>孢藻属的藻类以营养体在五指毛桃枝条组织中越冬，条件适宜时产生孢子囊，散出游动孢子，借水传播，温暖高湿的天气和降雨频繁、雨量充沛的季节有利于孢子囊的形成和传播，此时病害发展迅速。</w:t>
      </w:r>
    </w:p>
    <w:p w14:paraId="217DBF37">
      <w:pPr>
        <w:spacing w:line="360" w:lineRule="auto"/>
        <w:ind w:firstLine="560" w:firstLineChars="200"/>
        <w:jc w:val="left"/>
        <w:rPr>
          <w:rFonts w:ascii="Times New Roman" w:hAnsi="Times New Roman" w:eastAsia="仿宋_GB2312"/>
          <w:sz w:val="28"/>
          <w:szCs w:val="28"/>
        </w:rPr>
      </w:pPr>
      <w:r>
        <w:rPr>
          <w:rFonts w:ascii="Times New Roman" w:hAnsi="Times New Roman" w:eastAsia="仿宋_GB2312"/>
          <w:sz w:val="28"/>
          <w:szCs w:val="28"/>
        </w:rPr>
        <w:t>【防治方法】</w:t>
      </w:r>
    </w:p>
    <w:p w14:paraId="445201D2">
      <w:pPr>
        <w:spacing w:line="360" w:lineRule="auto"/>
        <w:ind w:firstLine="560" w:firstLineChars="200"/>
        <w:jc w:val="left"/>
        <w:rPr>
          <w:rFonts w:ascii="Times New Roman" w:hAnsi="Times New Roman" w:eastAsia="仿宋_GB2312"/>
          <w:sz w:val="28"/>
          <w:szCs w:val="28"/>
        </w:rPr>
      </w:pPr>
      <w:r>
        <w:rPr>
          <w:rFonts w:hint="eastAsia" w:ascii="Times New Roman" w:hAnsi="Times New Roman" w:eastAsia="仿宋_GB2312"/>
          <w:sz w:val="28"/>
          <w:szCs w:val="28"/>
        </w:rPr>
        <w:t>以含铜的药剂如</w:t>
      </w:r>
      <w:r>
        <w:rPr>
          <w:rFonts w:ascii="Times New Roman" w:hAnsi="Times New Roman" w:eastAsia="仿宋_GB2312"/>
          <w:sz w:val="28"/>
          <w:szCs w:val="28"/>
        </w:rPr>
        <w:t>28</w:t>
      </w:r>
      <w:r>
        <w:rPr>
          <w:rFonts w:hint="eastAsia" w:ascii="Times New Roman" w:hAnsi="Times New Roman" w:eastAsia="仿宋_GB2312"/>
          <w:sz w:val="28"/>
          <w:szCs w:val="28"/>
        </w:rPr>
        <w:t>％波尔多液悬浮剂稀释1</w:t>
      </w:r>
      <w:r>
        <w:rPr>
          <w:rFonts w:ascii="Times New Roman" w:hAnsi="Times New Roman" w:eastAsia="仿宋_GB2312"/>
          <w:sz w:val="28"/>
          <w:szCs w:val="28"/>
        </w:rPr>
        <w:t>00</w:t>
      </w:r>
      <w:r>
        <w:rPr>
          <w:rFonts w:hint="eastAsia" w:ascii="Times New Roman" w:hAnsi="Times New Roman" w:eastAsia="仿宋_GB2312"/>
          <w:sz w:val="28"/>
          <w:szCs w:val="28"/>
        </w:rPr>
        <w:t>～150倍液、7</w:t>
      </w:r>
      <w:r>
        <w:rPr>
          <w:rFonts w:ascii="Times New Roman" w:hAnsi="Times New Roman" w:eastAsia="仿宋_GB2312"/>
          <w:sz w:val="28"/>
          <w:szCs w:val="28"/>
        </w:rPr>
        <w:t>7</w:t>
      </w:r>
      <w:r>
        <w:rPr>
          <w:rFonts w:hint="eastAsia" w:ascii="Times New Roman" w:hAnsi="Times New Roman" w:eastAsia="仿宋_GB2312"/>
          <w:sz w:val="28"/>
          <w:szCs w:val="28"/>
        </w:rPr>
        <w:t>%氢氧化铜可湿性粉剂</w:t>
      </w:r>
      <w:r>
        <w:rPr>
          <w:rFonts w:ascii="Times New Roman" w:hAnsi="Times New Roman" w:eastAsia="仿宋_GB2312"/>
          <w:sz w:val="28"/>
          <w:szCs w:val="28"/>
        </w:rPr>
        <w:t>400</w:t>
      </w:r>
      <w:r>
        <w:rPr>
          <w:rFonts w:hint="eastAsia" w:ascii="Times New Roman" w:hAnsi="Times New Roman" w:eastAsia="仿宋_GB2312"/>
          <w:sz w:val="28"/>
          <w:szCs w:val="28"/>
        </w:rPr>
        <w:t>～</w:t>
      </w:r>
      <w:r>
        <w:rPr>
          <w:rFonts w:ascii="Times New Roman" w:hAnsi="Times New Roman" w:eastAsia="仿宋_GB2312"/>
          <w:sz w:val="28"/>
          <w:szCs w:val="28"/>
        </w:rPr>
        <w:t>60</w:t>
      </w:r>
      <w:r>
        <w:rPr>
          <w:rFonts w:hint="eastAsia" w:ascii="Times New Roman" w:hAnsi="Times New Roman" w:eastAsia="仿宋_GB2312"/>
          <w:sz w:val="28"/>
          <w:szCs w:val="28"/>
        </w:rPr>
        <w:t>0倍液及有机铜等有防治效果。通常果园适度通风，适度修建，避免使用过多的磷肥，对于果园藻斑病的防治也有良好作用。</w:t>
      </w:r>
    </w:p>
    <w:p w14:paraId="091A971E">
      <w:pPr>
        <w:rPr>
          <w:rFonts w:ascii="Times New Roman" w:hAnsi="Times New Roman" w:eastAsia="仿宋_GB2312"/>
          <w:sz w:val="28"/>
          <w:szCs w:val="28"/>
        </w:rPr>
      </w:pPr>
      <w:r>
        <w:rPr>
          <w:rFonts w:ascii="Times New Roman" w:hAnsi="Times New Roman" w:eastAsia="仿宋_GB2312"/>
          <w:sz w:val="28"/>
          <w:szCs w:val="28"/>
        </w:rPr>
        <mc:AlternateContent>
          <mc:Choice Requires="wps">
            <w:drawing>
              <wp:anchor distT="0" distB="0" distL="114300" distR="114300" simplePos="0" relativeHeight="251666432" behindDoc="0" locked="0" layoutInCell="1" allowOverlap="1">
                <wp:simplePos x="0" y="0"/>
                <wp:positionH relativeFrom="column">
                  <wp:posOffset>3124200</wp:posOffset>
                </wp:positionH>
                <wp:positionV relativeFrom="paragraph">
                  <wp:posOffset>7258050</wp:posOffset>
                </wp:positionV>
                <wp:extent cx="295275" cy="333375"/>
                <wp:effectExtent l="0" t="0" r="28575" b="28575"/>
                <wp:wrapNone/>
                <wp:docPr id="9" name="文本框 9"/>
                <wp:cNvGraphicFramePr/>
                <a:graphic xmlns:a="http://schemas.openxmlformats.org/drawingml/2006/main">
                  <a:graphicData uri="http://schemas.microsoft.com/office/word/2010/wordprocessingShape">
                    <wps:wsp>
                      <wps:cNvSpPr txBox="1"/>
                      <wps:spPr>
                        <a:xfrm>
                          <a:off x="0" y="0"/>
                          <a:ext cx="295275" cy="333375"/>
                        </a:xfrm>
                        <a:prstGeom prst="rect">
                          <a:avLst/>
                        </a:prstGeom>
                        <a:solidFill>
                          <a:schemeClr val="lt1"/>
                        </a:solidFill>
                        <a:ln w="6350">
                          <a:solidFill>
                            <a:prstClr val="black"/>
                          </a:solidFill>
                        </a:ln>
                      </wps:spPr>
                      <wps:txbx>
                        <w:txbxContent>
                          <w:p w14:paraId="6F87FE43">
                            <w:pPr>
                              <w:rPr>
                                <w:b/>
                              </w:rPr>
                            </w:pPr>
                            <w:r>
                              <w:rPr>
                                <w:rFonts w:hint="eastAsia"/>
                                <w:b/>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6pt;margin-top:571.5pt;height:26.25pt;width:23.25pt;z-index:251666432;mso-width-relative:page;mso-height-relative:page;" fillcolor="#CCE8CF [3201]" filled="t" stroked="t" coordsize="21600,21600" o:gfxdata="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L&#10;Kmnn3AAAAA0BAAAPAAAAAAAAAAEAIAAAACIAAABkcnMvZG93bnJldi54bWxQSwECFAAUAAAACACH&#10;TuJAbdThSFkCAAC2BAAADgAAAAAAAAABACAAAAArAQAAZHJzL2Uyb0RvYy54bWxQSwUGAAAAAAYA&#10;BgBZAQAA9gUAAAAA&#10;">
                <v:fill on="t" focussize="0,0"/>
                <v:stroke weight="0.5pt" color="#000000" joinstyle="round"/>
                <v:imagedata o:title=""/>
                <o:lock v:ext="edit" aspectratio="f"/>
                <v:textbox>
                  <w:txbxContent>
                    <w:p w14:paraId="6F87FE43">
                      <w:pPr>
                        <w:rPr>
                          <w:b/>
                        </w:rPr>
                      </w:pPr>
                      <w:r>
                        <w:rPr>
                          <w:rFonts w:hint="eastAsia"/>
                          <w:b/>
                        </w:rPr>
                        <w:t>D</w:t>
                      </w:r>
                    </w:p>
                  </w:txbxContent>
                </v:textbox>
              </v:shape>
            </w:pict>
          </mc:Fallback>
        </mc:AlternateContent>
      </w:r>
      <w:r>
        <w:rPr>
          <w:rFonts w:ascii="Times New Roman" w:hAnsi="Times New Roman" w:eastAsia="仿宋_GB2312"/>
          <w:sz w:val="28"/>
          <w:szCs w:val="28"/>
        </w:rPr>
        <w:drawing>
          <wp:anchor distT="0" distB="0" distL="114300" distR="114300" simplePos="0" relativeHeight="251661312" behindDoc="0" locked="0" layoutInCell="1" allowOverlap="1">
            <wp:simplePos x="0" y="0"/>
            <wp:positionH relativeFrom="margin">
              <wp:posOffset>3067050</wp:posOffset>
            </wp:positionH>
            <wp:positionV relativeFrom="paragraph">
              <wp:posOffset>4076065</wp:posOffset>
            </wp:positionV>
            <wp:extent cx="2705100" cy="3590925"/>
            <wp:effectExtent l="0" t="0" r="0" b="9525"/>
            <wp:wrapSquare wrapText="bothSides"/>
            <wp:docPr id="4" name="图片 4" descr="C:\Users\dell\AppData\Local\Temp\QQ_1754443471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dell\AppData\Local\Temp\QQ_175444347118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05100" cy="3590925"/>
                    </a:xfrm>
                    <a:prstGeom prst="rect">
                      <a:avLst/>
                    </a:prstGeom>
                    <a:noFill/>
                    <a:ln>
                      <a:noFill/>
                    </a:ln>
                  </pic:spPr>
                </pic:pic>
              </a:graphicData>
            </a:graphic>
          </wp:anchor>
        </w:drawing>
      </w:r>
      <w:r>
        <w:rPr>
          <w:rFonts w:ascii="Times New Roman" w:hAnsi="Times New Roman" w:eastAsia="仿宋_GB2312"/>
          <w:sz w:val="28"/>
          <w:szCs w:val="28"/>
        </w:rPr>
        <mc:AlternateContent>
          <mc:Choice Requires="wps">
            <w:drawing>
              <wp:anchor distT="0" distB="0" distL="114300" distR="114300" simplePos="0" relativeHeight="251665408" behindDoc="0" locked="0" layoutInCell="1" allowOverlap="1">
                <wp:simplePos x="0" y="0"/>
                <wp:positionH relativeFrom="column">
                  <wp:posOffset>285750</wp:posOffset>
                </wp:positionH>
                <wp:positionV relativeFrom="paragraph">
                  <wp:posOffset>7334250</wp:posOffset>
                </wp:positionV>
                <wp:extent cx="285750" cy="285750"/>
                <wp:effectExtent l="0" t="0" r="19050" b="19050"/>
                <wp:wrapNone/>
                <wp:docPr id="8" name="文本框 8"/>
                <wp:cNvGraphicFramePr/>
                <a:graphic xmlns:a="http://schemas.openxmlformats.org/drawingml/2006/main">
                  <a:graphicData uri="http://schemas.microsoft.com/office/word/2010/wordprocessingShape">
                    <wps:wsp>
                      <wps:cNvSpPr txBox="1"/>
                      <wps:spPr>
                        <a:xfrm>
                          <a:off x="0" y="0"/>
                          <a:ext cx="285750" cy="285750"/>
                        </a:xfrm>
                        <a:prstGeom prst="rect">
                          <a:avLst/>
                        </a:prstGeom>
                        <a:solidFill>
                          <a:schemeClr val="lt1"/>
                        </a:solidFill>
                        <a:ln w="6350">
                          <a:solidFill>
                            <a:prstClr val="black"/>
                          </a:solidFill>
                        </a:ln>
                      </wps:spPr>
                      <wps:txbx>
                        <w:txbxContent>
                          <w:p w14:paraId="7A2B84AF">
                            <w:pPr>
                              <w:rPr>
                                <w:b/>
                              </w:rPr>
                            </w:pPr>
                            <w:r>
                              <w:rPr>
                                <w:rFonts w:hint="eastAsia"/>
                                <w:b/>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pt;margin-top:577.5pt;height:22.5pt;width:22.5pt;z-index:251665408;mso-width-relative:page;mso-height-relative:page;" fillcolor="#CCE8CF [3201]" filled="t" stroked="t" coordsize="21600,21600" o:gfxdata="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G2m1eHXAAAACwEA&#10;AA8AAAAAAAAAAQAgAAAAIgAAAGRycy9kb3ducmV2LnhtbFBLAQIUABQAAAAIAIdO4kD/YWtTVAIA&#10;ALYEAAAOAAAAAAAAAAEAIAAAACYBAABkcnMvZTJvRG9jLnhtbFBLBQYAAAAABgAGAFkBAADsBQAA&#10;AAA=&#10;">
                <v:fill on="t" focussize="0,0"/>
                <v:stroke weight="0.5pt" color="#000000" joinstyle="round"/>
                <v:imagedata o:title=""/>
                <o:lock v:ext="edit" aspectratio="f"/>
                <v:textbox>
                  <w:txbxContent>
                    <w:p w14:paraId="7A2B84AF">
                      <w:pPr>
                        <w:rPr>
                          <w:b/>
                        </w:rPr>
                      </w:pPr>
                      <w:r>
                        <w:rPr>
                          <w:rFonts w:hint="eastAsia"/>
                          <w:b/>
                        </w:rPr>
                        <w:t>C</w:t>
                      </w:r>
                    </w:p>
                  </w:txbxContent>
                </v:textbox>
              </v:shape>
            </w:pict>
          </mc:Fallback>
        </mc:AlternateContent>
      </w:r>
      <w:r>
        <w:rPr>
          <w:rFonts w:ascii="Times New Roman" w:hAnsi="Times New Roman" w:eastAsia="仿宋_GB2312"/>
          <w:sz w:val="28"/>
          <w:szCs w:val="28"/>
        </w:rPr>
        <mc:AlternateContent>
          <mc:Choice Requires="wps">
            <w:drawing>
              <wp:anchor distT="0" distB="0" distL="114300" distR="114300" simplePos="0" relativeHeight="251663360" behindDoc="0" locked="0" layoutInCell="1" allowOverlap="1">
                <wp:simplePos x="0" y="0"/>
                <wp:positionH relativeFrom="column">
                  <wp:posOffset>266700</wp:posOffset>
                </wp:positionH>
                <wp:positionV relativeFrom="paragraph">
                  <wp:posOffset>3619500</wp:posOffset>
                </wp:positionV>
                <wp:extent cx="276225" cy="266700"/>
                <wp:effectExtent l="0" t="0" r="28575" b="19050"/>
                <wp:wrapNone/>
                <wp:docPr id="6" name="文本框 6"/>
                <wp:cNvGraphicFramePr/>
                <a:graphic xmlns:a="http://schemas.openxmlformats.org/drawingml/2006/main">
                  <a:graphicData uri="http://schemas.microsoft.com/office/word/2010/wordprocessingShape">
                    <wps:wsp>
                      <wps:cNvSpPr txBox="1"/>
                      <wps:spPr>
                        <a:xfrm>
                          <a:off x="0" y="0"/>
                          <a:ext cx="276225" cy="266700"/>
                        </a:xfrm>
                        <a:prstGeom prst="rect">
                          <a:avLst/>
                        </a:prstGeom>
                        <a:solidFill>
                          <a:schemeClr val="lt1"/>
                        </a:solidFill>
                        <a:ln w="6350">
                          <a:solidFill>
                            <a:prstClr val="black"/>
                          </a:solidFill>
                        </a:ln>
                      </wps:spPr>
                      <wps:txbx>
                        <w:txbxContent>
                          <w:p w14:paraId="0079337C">
                            <w:pPr>
                              <w:rPr>
                                <w:b/>
                              </w:rPr>
                            </w:pPr>
                            <w:r>
                              <w:rPr>
                                <w:b/>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pt;margin-top:285pt;height:21pt;width:21.75pt;z-index:251663360;mso-width-relative:page;mso-height-relative:page;" fillcolor="#CCE8CF [3201]" filled="t" stroked="t" coordsize="21600,21600" o:gfxdata="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4&#10;pQIO2QAAAAkBAAAPAAAAAAAAAAEAIAAAACIAAABkcnMvZG93bnJldi54bWxQSwECFAAUAAAACACH&#10;TuJAyu/aTlwCAAC2BAAADgAAAAAAAAABACAAAAAoAQAAZHJzL2Uyb0RvYy54bWxQSwUGAAAAAAYA&#10;BgBZAQAA9gUAAAAA&#10;">
                <v:fill on="t" focussize="0,0"/>
                <v:stroke weight="0.5pt" color="#000000" joinstyle="round"/>
                <v:imagedata o:title=""/>
                <o:lock v:ext="edit" aspectratio="f"/>
                <v:textbox>
                  <w:txbxContent>
                    <w:p w14:paraId="0079337C">
                      <w:pPr>
                        <w:rPr>
                          <w:b/>
                        </w:rPr>
                      </w:pPr>
                      <w:r>
                        <w:rPr>
                          <w:b/>
                        </w:rPr>
                        <w:t>A</w:t>
                      </w:r>
                    </w:p>
                  </w:txbxContent>
                </v:textbox>
              </v:shape>
            </w:pict>
          </mc:Fallback>
        </mc:AlternateContent>
      </w:r>
      <w:r>
        <w:rPr>
          <w:rFonts w:ascii="Times New Roman" w:hAnsi="Times New Roman" w:eastAsia="仿宋_GB2312"/>
          <w:sz w:val="28"/>
          <w:szCs w:val="28"/>
        </w:rPr>
        <mc:AlternateContent>
          <mc:Choice Requires="wps">
            <w:drawing>
              <wp:anchor distT="0" distB="0" distL="114300" distR="114300" simplePos="0" relativeHeight="251664384" behindDoc="0" locked="0" layoutInCell="1" allowOverlap="1">
                <wp:simplePos x="0" y="0"/>
                <wp:positionH relativeFrom="column">
                  <wp:posOffset>3105150</wp:posOffset>
                </wp:positionH>
                <wp:positionV relativeFrom="paragraph">
                  <wp:posOffset>3628390</wp:posOffset>
                </wp:positionV>
                <wp:extent cx="285750" cy="257175"/>
                <wp:effectExtent l="0" t="0" r="19050" b="28575"/>
                <wp:wrapNone/>
                <wp:docPr id="7" name="文本框 7"/>
                <wp:cNvGraphicFramePr/>
                <a:graphic xmlns:a="http://schemas.openxmlformats.org/drawingml/2006/main">
                  <a:graphicData uri="http://schemas.microsoft.com/office/word/2010/wordprocessingShape">
                    <wps:wsp>
                      <wps:cNvSpPr txBox="1"/>
                      <wps:spPr>
                        <a:xfrm>
                          <a:off x="0" y="0"/>
                          <a:ext cx="285750" cy="257175"/>
                        </a:xfrm>
                        <a:prstGeom prst="rect">
                          <a:avLst/>
                        </a:prstGeom>
                        <a:solidFill>
                          <a:schemeClr val="lt1"/>
                        </a:solidFill>
                        <a:ln w="6350">
                          <a:solidFill>
                            <a:prstClr val="black"/>
                          </a:solidFill>
                        </a:ln>
                      </wps:spPr>
                      <wps:txbx>
                        <w:txbxContent>
                          <w:p w14:paraId="159FFFD6">
                            <w:pPr>
                              <w:rPr>
                                <w:b/>
                              </w:rPr>
                            </w:pPr>
                            <w:r>
                              <w:rPr>
                                <w:rFonts w:hint="eastAsia"/>
                                <w:b/>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5pt;margin-top:285.7pt;height:20.25pt;width:22.5pt;z-index:251664384;mso-width-relative:page;mso-height-relative:page;" fillcolor="#CCE8CF [3201]" filled="t" stroked="t" coordsize="21600,21600" o:gfxdata="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wX1L&#10;k9sAAAALAQAADwAAAAAAAAABACAAAAAiAAAAZHJzL2Rvd25yZXYueG1sUEsBAhQAFAAAAAgAh07i&#10;QL0HsmBYAgAAtgQAAA4AAAAAAAAAAQAgAAAAKgEAAGRycy9lMm9Eb2MueG1sUEsFBgAAAAAGAAYA&#10;WQEAAPQFAAAAAA==&#10;">
                <v:fill on="t" focussize="0,0"/>
                <v:stroke weight="0.5pt" color="#000000" joinstyle="round"/>
                <v:imagedata o:title=""/>
                <o:lock v:ext="edit" aspectratio="f"/>
                <v:textbox>
                  <w:txbxContent>
                    <w:p w14:paraId="159FFFD6">
                      <w:pPr>
                        <w:rPr>
                          <w:b/>
                        </w:rPr>
                      </w:pPr>
                      <w:r>
                        <w:rPr>
                          <w:rFonts w:hint="eastAsia"/>
                          <w:b/>
                        </w:rPr>
                        <w:t>B</w:t>
                      </w:r>
                    </w:p>
                  </w:txbxContent>
                </v:textbox>
              </v:shape>
            </w:pict>
          </mc:Fallback>
        </mc:AlternateContent>
      </w:r>
      <w:r>
        <w:rPr>
          <w:rFonts w:ascii="Times New Roman" w:hAnsi="Times New Roman" w:eastAsia="仿宋_GB2312"/>
          <w:sz w:val="28"/>
          <w:szCs w:val="28"/>
        </w:rPr>
        <w:drawing>
          <wp:anchor distT="0" distB="0" distL="114300" distR="114300" simplePos="0" relativeHeight="251662336" behindDoc="0" locked="0" layoutInCell="1" allowOverlap="1">
            <wp:simplePos x="0" y="0"/>
            <wp:positionH relativeFrom="column">
              <wp:posOffset>219075</wp:posOffset>
            </wp:positionH>
            <wp:positionV relativeFrom="paragraph">
              <wp:posOffset>4076700</wp:posOffset>
            </wp:positionV>
            <wp:extent cx="2743200" cy="3629660"/>
            <wp:effectExtent l="0" t="0" r="0" b="8890"/>
            <wp:wrapSquare wrapText="bothSides"/>
            <wp:docPr id="5" name="图片 5" descr="C:\Users\dell\AppData\Local\Temp\QQ_1754443622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dell\AppData\Local\Temp\QQ_1754443622380.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43200" cy="3629660"/>
                    </a:xfrm>
                    <a:prstGeom prst="rect">
                      <a:avLst/>
                    </a:prstGeom>
                    <a:noFill/>
                    <a:ln>
                      <a:noFill/>
                    </a:ln>
                  </pic:spPr>
                </pic:pic>
              </a:graphicData>
            </a:graphic>
          </wp:anchor>
        </w:drawing>
      </w:r>
      <w:r>
        <w:rPr>
          <w:rFonts w:ascii="Times New Roman" w:hAnsi="Times New Roman" w:eastAsia="仿宋_GB2312"/>
          <w:sz w:val="28"/>
          <w:szCs w:val="28"/>
        </w:rPr>
        <w:drawing>
          <wp:anchor distT="0" distB="0" distL="114300" distR="114300" simplePos="0" relativeHeight="251660288" behindDoc="0" locked="0" layoutInCell="1" allowOverlap="1">
            <wp:simplePos x="0" y="0"/>
            <wp:positionH relativeFrom="margin">
              <wp:posOffset>3048000</wp:posOffset>
            </wp:positionH>
            <wp:positionV relativeFrom="paragraph">
              <wp:posOffset>295275</wp:posOffset>
            </wp:positionV>
            <wp:extent cx="2738120" cy="3676650"/>
            <wp:effectExtent l="0" t="0" r="5080" b="0"/>
            <wp:wrapSquare wrapText="bothSides"/>
            <wp:docPr id="2" name="图片 2" descr="D:\QQ聊天记录等/IMG20250627101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QQ聊天记录等/IMG2025062710170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38120" cy="3676650"/>
                    </a:xfrm>
                    <a:prstGeom prst="rect">
                      <a:avLst/>
                    </a:prstGeom>
                    <a:noFill/>
                    <a:ln>
                      <a:noFill/>
                    </a:ln>
                  </pic:spPr>
                </pic:pic>
              </a:graphicData>
            </a:graphic>
          </wp:anchor>
        </w:drawing>
      </w:r>
      <w:r>
        <w:rPr>
          <w:rFonts w:ascii="Times New Roman" w:hAnsi="Times New Roman" w:eastAsia="仿宋_GB2312"/>
          <w:sz w:val="28"/>
          <w:szCs w:val="28"/>
        </w:rPr>
        <w:drawing>
          <wp:anchor distT="0" distB="0" distL="114300" distR="114300" simplePos="0" relativeHeight="251659264" behindDoc="0" locked="0" layoutInCell="1" allowOverlap="1">
            <wp:simplePos x="0" y="0"/>
            <wp:positionH relativeFrom="margin">
              <wp:posOffset>190500</wp:posOffset>
            </wp:positionH>
            <wp:positionV relativeFrom="paragraph">
              <wp:posOffset>254000</wp:posOffset>
            </wp:positionV>
            <wp:extent cx="2795270" cy="3726180"/>
            <wp:effectExtent l="0" t="0" r="5080" b="7620"/>
            <wp:wrapTopAndBottom/>
            <wp:docPr id="1" name="图片 1" descr="D:\QQ聊天记录等/IMG_20250806_0836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QQ聊天记录等/IMG_20250806_08365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95270" cy="3726180"/>
                    </a:xfrm>
                    <a:prstGeom prst="rect">
                      <a:avLst/>
                    </a:prstGeom>
                    <a:noFill/>
                    <a:ln>
                      <a:noFill/>
                    </a:ln>
                  </pic:spPr>
                </pic:pic>
              </a:graphicData>
            </a:graphic>
          </wp:anchor>
        </w:drawing>
      </w:r>
    </w:p>
    <w:p w14:paraId="756714C7">
      <w:pPr>
        <w:ind w:firstLine="560" w:firstLineChars="200"/>
        <w:jc w:val="center"/>
        <w:rPr>
          <w:rFonts w:ascii="Times New Roman" w:hAnsi="Times New Roman" w:eastAsia="仿宋_GB2312"/>
          <w:sz w:val="28"/>
          <w:szCs w:val="28"/>
        </w:rPr>
      </w:pPr>
      <w:r>
        <w:rPr>
          <w:rFonts w:hint="eastAsia" w:ascii="Times New Roman" w:hAnsi="Times New Roman" w:eastAsia="仿宋_GB2312"/>
          <w:sz w:val="28"/>
          <w:szCs w:val="28"/>
        </w:rPr>
        <w:t>五指毛桃藻斑病及病原特征</w:t>
      </w:r>
    </w:p>
    <w:p w14:paraId="0CF95EA5">
      <w:pPr>
        <w:ind w:firstLine="560" w:firstLineChars="200"/>
        <w:jc w:val="center"/>
        <w:rPr>
          <w:rFonts w:ascii="Times New Roman" w:hAnsi="Times New Roman" w:eastAsia="仿宋_GB2312"/>
          <w:sz w:val="28"/>
          <w:szCs w:val="28"/>
        </w:rPr>
      </w:pPr>
      <w:r>
        <w:rPr>
          <w:rFonts w:hint="eastAsia" w:ascii="Times New Roman" w:hAnsi="Times New Roman" w:eastAsia="仿宋_GB2312"/>
          <w:sz w:val="28"/>
          <w:szCs w:val="28"/>
        </w:rPr>
        <w:t>注：A-</w:t>
      </w:r>
      <w:r>
        <w:rPr>
          <w:rFonts w:ascii="Times New Roman" w:hAnsi="Times New Roman" w:eastAsia="仿宋_GB2312"/>
          <w:sz w:val="28"/>
          <w:szCs w:val="28"/>
        </w:rPr>
        <w:t>B</w:t>
      </w:r>
      <w:r>
        <w:rPr>
          <w:rFonts w:hint="eastAsia" w:ascii="Times New Roman" w:hAnsi="Times New Roman" w:eastAsia="仿宋_GB2312"/>
          <w:sz w:val="28"/>
          <w:szCs w:val="28"/>
        </w:rPr>
        <w:t>：藻斑病发生症状；</w:t>
      </w:r>
      <w:r>
        <w:rPr>
          <w:rFonts w:ascii="Times New Roman" w:hAnsi="Times New Roman" w:eastAsia="仿宋_GB2312"/>
          <w:sz w:val="28"/>
          <w:szCs w:val="28"/>
        </w:rPr>
        <w:t>C</w:t>
      </w:r>
      <w:r>
        <w:rPr>
          <w:rFonts w:hint="eastAsia" w:ascii="Times New Roman" w:hAnsi="Times New Roman" w:eastAsia="仿宋_GB2312"/>
          <w:sz w:val="28"/>
          <w:szCs w:val="28"/>
        </w:rPr>
        <w:t>-</w:t>
      </w:r>
      <w:r>
        <w:rPr>
          <w:rFonts w:ascii="Times New Roman" w:hAnsi="Times New Roman" w:eastAsia="仿宋_GB2312"/>
          <w:sz w:val="28"/>
          <w:szCs w:val="28"/>
        </w:rPr>
        <w:t>D</w:t>
      </w:r>
      <w:r>
        <w:rPr>
          <w:rFonts w:hint="eastAsia" w:ascii="Times New Roman" w:hAnsi="Times New Roman" w:eastAsia="仿宋_GB2312"/>
          <w:sz w:val="28"/>
          <w:szCs w:val="28"/>
        </w:rPr>
        <w:t>：孢子囊和孢囊梗</w:t>
      </w:r>
    </w:p>
    <w:p w14:paraId="7A839837">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3</w:t>
      </w:r>
      <w:r>
        <w:rPr>
          <w:rFonts w:ascii="Times New Roman" w:hAnsi="Times New Roman" w:eastAsia="仿宋_GB2312"/>
          <w:sz w:val="28"/>
          <w:szCs w:val="28"/>
        </w:rPr>
        <w:t>.</w:t>
      </w:r>
      <w:r>
        <w:rPr>
          <w:rFonts w:hint="eastAsia" w:ascii="Times New Roman" w:hAnsi="Times New Roman" w:eastAsia="仿宋_GB2312"/>
          <w:sz w:val="28"/>
          <w:szCs w:val="28"/>
        </w:rPr>
        <w:t>五指毛桃主要虫害发生及防治研究</w:t>
      </w:r>
    </w:p>
    <w:p w14:paraId="64928BE0">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（1）粘虫和卷叶蛾的发生及防治</w:t>
      </w:r>
    </w:p>
    <w:p w14:paraId="3545392F">
      <w:pPr>
        <w:ind w:firstLine="560" w:firstLineChars="200"/>
        <w:rPr>
          <w:rFonts w:ascii="Times New Roman" w:hAnsi="Times New Roman" w:eastAsia="仿宋_GB2312"/>
          <w:sz w:val="28"/>
          <w:szCs w:val="28"/>
        </w:rPr>
      </w:pPr>
      <w:bookmarkStart w:id="16" w:name="_Hlk205460181"/>
      <w:r>
        <w:rPr>
          <w:rFonts w:hint="eastAsia" w:ascii="Times New Roman" w:hAnsi="Times New Roman" w:eastAsia="仿宋_GB2312"/>
          <w:sz w:val="28"/>
          <w:szCs w:val="28"/>
        </w:rPr>
        <w:t>粘虫</w:t>
      </w:r>
      <w:bookmarkEnd w:id="16"/>
      <w:r>
        <w:rPr>
          <w:rFonts w:hint="eastAsia" w:ascii="Times New Roman" w:hAnsi="Times New Roman" w:eastAsia="仿宋_GB2312"/>
          <w:sz w:val="28"/>
          <w:szCs w:val="28"/>
        </w:rPr>
        <w:t>：主要为害嫩枝及树梢。防治方法：可用40%的乐果1000倍液，每隔7天喷1次，连续2~3次。</w:t>
      </w:r>
    </w:p>
    <w:p w14:paraId="252B97A5">
      <w:pPr>
        <w:ind w:firstLine="560" w:firstLineChars="200"/>
        <w:rPr>
          <w:rFonts w:ascii="Times New Roman" w:hAnsi="Times New Roman" w:eastAsia="仿宋_GB2312"/>
          <w:sz w:val="28"/>
          <w:szCs w:val="28"/>
        </w:rPr>
      </w:pPr>
      <w:bookmarkStart w:id="17" w:name="_Hlk205460198"/>
      <w:r>
        <w:rPr>
          <w:rFonts w:hint="eastAsia" w:ascii="Times New Roman" w:hAnsi="Times New Roman" w:eastAsia="仿宋_GB2312"/>
          <w:sz w:val="28"/>
          <w:szCs w:val="28"/>
        </w:rPr>
        <w:t>卷叶蛾</w:t>
      </w:r>
      <w:bookmarkEnd w:id="17"/>
      <w:r>
        <w:rPr>
          <w:rFonts w:hint="eastAsia" w:ascii="Times New Roman" w:hAnsi="Times New Roman" w:eastAsia="仿宋_GB2312"/>
          <w:sz w:val="28"/>
          <w:szCs w:val="28"/>
        </w:rPr>
        <w:t>：幼虫为害嫩叶和嫩芽。虫龄较小时，仅食叶肉，留下表皮。虫龄较大后，蚕食叶片，仅留叶脉，而且可抖几张叶片卷曲成团。防治方法：①清除园内落叶、杂草，消灭越冬成虫，减少来年发生的虫源。②幼虫孵化后，用90%的敌百虫稀释1000倍液喷杀。卷叶蛾、黏虫同时发生时，初期可亩用</w:t>
      </w:r>
      <w:r>
        <w:rPr>
          <w:rFonts w:ascii="Times New Roman" w:hAnsi="Times New Roman" w:eastAsia="仿宋_GB2312"/>
          <w:sz w:val="28"/>
          <w:szCs w:val="28"/>
        </w:rPr>
        <w:t>90%</w:t>
      </w:r>
      <w:r>
        <w:rPr>
          <w:rFonts w:hint="eastAsia" w:ascii="Times New Roman" w:hAnsi="Times New Roman" w:eastAsia="仿宋_GB2312"/>
          <w:sz w:val="28"/>
          <w:szCs w:val="28"/>
        </w:rPr>
        <w:t>敌百虫原药</w:t>
      </w:r>
      <w:r>
        <w:rPr>
          <w:rFonts w:ascii="Times New Roman" w:hAnsi="Times New Roman" w:eastAsia="仿宋_GB2312"/>
          <w:sz w:val="28"/>
          <w:szCs w:val="28"/>
        </w:rPr>
        <w:t>30g+5%</w:t>
      </w:r>
      <w:r>
        <w:rPr>
          <w:rFonts w:hint="eastAsia" w:ascii="Times New Roman" w:hAnsi="Times New Roman" w:eastAsia="仿宋_GB2312"/>
          <w:sz w:val="28"/>
          <w:szCs w:val="28"/>
        </w:rPr>
        <w:t>溴氰菊酯乳油</w:t>
      </w:r>
      <w:r>
        <w:rPr>
          <w:rFonts w:ascii="Times New Roman" w:hAnsi="Times New Roman" w:eastAsia="仿宋_GB2312"/>
          <w:sz w:val="28"/>
          <w:szCs w:val="28"/>
        </w:rPr>
        <w:t xml:space="preserve">30 m L </w:t>
      </w:r>
      <w:r>
        <w:rPr>
          <w:rFonts w:hint="eastAsia" w:ascii="Times New Roman" w:hAnsi="Times New Roman" w:eastAsia="仿宋_GB2312"/>
          <w:sz w:val="28"/>
          <w:szCs w:val="28"/>
        </w:rPr>
        <w:t>对水</w:t>
      </w:r>
      <w:r>
        <w:rPr>
          <w:rFonts w:ascii="Times New Roman" w:hAnsi="Times New Roman" w:eastAsia="仿宋_GB2312"/>
          <w:sz w:val="28"/>
          <w:szCs w:val="28"/>
        </w:rPr>
        <w:t>60 kg</w:t>
      </w:r>
      <w:r>
        <w:rPr>
          <w:rFonts w:hint="eastAsia" w:ascii="Times New Roman" w:hAnsi="Times New Roman" w:eastAsia="仿宋_GB2312"/>
          <w:sz w:val="28"/>
          <w:szCs w:val="28"/>
        </w:rPr>
        <w:t>喷施防治，间隔7～10天</w:t>
      </w:r>
      <w:r>
        <w:rPr>
          <w:rFonts w:ascii="Times New Roman" w:hAnsi="Times New Roman" w:eastAsia="仿宋_GB2312"/>
          <w:sz w:val="28"/>
          <w:szCs w:val="28"/>
        </w:rPr>
        <w:t>1</w:t>
      </w:r>
      <w:r>
        <w:rPr>
          <w:rFonts w:hint="eastAsia" w:ascii="Times New Roman" w:hAnsi="Times New Roman" w:eastAsia="仿宋_GB2312"/>
          <w:sz w:val="28"/>
          <w:szCs w:val="28"/>
        </w:rPr>
        <w:t>次，连续2～3次。</w:t>
      </w:r>
    </w:p>
    <w:p w14:paraId="43EF2A03">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w:t>
      </w:r>
      <w:bookmarkStart w:id="18" w:name="_Hlk205460211"/>
      <w:r>
        <w:rPr>
          <w:rFonts w:hint="eastAsia" w:ascii="Times New Roman" w:hAnsi="Times New Roman" w:eastAsia="仿宋_GB2312"/>
          <w:sz w:val="28"/>
          <w:szCs w:val="28"/>
        </w:rPr>
        <w:t>红蜘蛛和短须螨</w:t>
      </w:r>
      <w:bookmarkEnd w:id="18"/>
      <w:r>
        <w:rPr>
          <w:rFonts w:hint="eastAsia" w:ascii="Times New Roman" w:hAnsi="Times New Roman" w:eastAsia="仿宋_GB2312"/>
          <w:sz w:val="28"/>
          <w:szCs w:val="28"/>
        </w:rPr>
        <w:t>的发生及防治</w:t>
      </w:r>
    </w:p>
    <w:p w14:paraId="6978EC4A">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五指毛桃由于其特殊的生理特点（根、叶、果都有大量的毛），病虫害发生较少，有时于</w:t>
      </w:r>
      <w:r>
        <w:rPr>
          <w:rFonts w:ascii="Times New Roman" w:hAnsi="Times New Roman" w:eastAsia="仿宋_GB2312"/>
          <w:sz w:val="28"/>
          <w:szCs w:val="28"/>
        </w:rPr>
        <w:t>5</w:t>
      </w:r>
      <w:r>
        <w:rPr>
          <w:rFonts w:hint="eastAsia" w:ascii="Times New Roman" w:hAnsi="Times New Roman" w:eastAsia="仿宋_GB2312"/>
          <w:sz w:val="28"/>
          <w:szCs w:val="28"/>
        </w:rPr>
        <w:t>—</w:t>
      </w:r>
      <w:r>
        <w:rPr>
          <w:rFonts w:ascii="Times New Roman" w:hAnsi="Times New Roman" w:eastAsia="仿宋_GB2312"/>
          <w:sz w:val="28"/>
          <w:szCs w:val="28"/>
        </w:rPr>
        <w:t xml:space="preserve">6 </w:t>
      </w:r>
      <w:r>
        <w:rPr>
          <w:rFonts w:hint="eastAsia" w:ascii="Times New Roman" w:hAnsi="Times New Roman" w:eastAsia="仿宋_GB2312"/>
          <w:sz w:val="28"/>
          <w:szCs w:val="28"/>
        </w:rPr>
        <w:t>月可见</w:t>
      </w:r>
      <w:bookmarkStart w:id="19" w:name="OLE_LINK13"/>
      <w:bookmarkStart w:id="20" w:name="OLE_LINK12"/>
      <w:r>
        <w:rPr>
          <w:rFonts w:hint="eastAsia" w:ascii="Times New Roman" w:hAnsi="Times New Roman" w:eastAsia="仿宋_GB2312"/>
          <w:sz w:val="28"/>
          <w:szCs w:val="28"/>
        </w:rPr>
        <w:t>红蜘蛛或短须螨</w:t>
      </w:r>
      <w:bookmarkEnd w:id="19"/>
      <w:bookmarkEnd w:id="20"/>
      <w:r>
        <w:rPr>
          <w:rFonts w:hint="eastAsia" w:ascii="Times New Roman" w:hAnsi="Times New Roman" w:eastAsia="仿宋_GB2312"/>
          <w:sz w:val="28"/>
          <w:szCs w:val="28"/>
        </w:rPr>
        <w:t>为害叶部，危害程度较轻，可以不用药，也可选用杀螨类药物防治，或进行生物防治。此外，短须螨还可用</w:t>
      </w:r>
      <w:r>
        <w:rPr>
          <w:rFonts w:ascii="Times New Roman" w:hAnsi="Times New Roman" w:eastAsia="仿宋_GB2312"/>
          <w:sz w:val="28"/>
          <w:szCs w:val="28"/>
        </w:rPr>
        <w:t>2%</w:t>
      </w:r>
      <w:r>
        <w:rPr>
          <w:rFonts w:hint="eastAsia" w:ascii="Times New Roman" w:hAnsi="Times New Roman" w:eastAsia="仿宋_GB2312"/>
          <w:sz w:val="28"/>
          <w:szCs w:val="28"/>
        </w:rPr>
        <w:t>阿维菌素</w:t>
      </w:r>
      <w:r>
        <w:rPr>
          <w:rFonts w:ascii="Times New Roman" w:hAnsi="Times New Roman" w:eastAsia="仿宋_GB2312"/>
          <w:sz w:val="28"/>
          <w:szCs w:val="28"/>
        </w:rPr>
        <w:t>1 000~2 000</w:t>
      </w:r>
      <w:r>
        <w:rPr>
          <w:rFonts w:hint="eastAsia" w:ascii="Times New Roman" w:hAnsi="Times New Roman" w:eastAsia="仿宋_GB2312"/>
          <w:sz w:val="28"/>
          <w:szCs w:val="28"/>
        </w:rPr>
        <w:t>倍液，或</w:t>
      </w:r>
      <w:r>
        <w:rPr>
          <w:rFonts w:ascii="Times New Roman" w:hAnsi="Times New Roman" w:eastAsia="仿宋_GB2312"/>
          <w:sz w:val="28"/>
          <w:szCs w:val="28"/>
        </w:rPr>
        <w:t>40%</w:t>
      </w:r>
      <w:r>
        <w:rPr>
          <w:rFonts w:hint="eastAsia" w:ascii="Times New Roman" w:hAnsi="Times New Roman" w:eastAsia="仿宋_GB2312"/>
          <w:sz w:val="28"/>
          <w:szCs w:val="28"/>
        </w:rPr>
        <w:t>水胺硫磷</w:t>
      </w:r>
      <w:r>
        <w:rPr>
          <w:rFonts w:ascii="Times New Roman" w:hAnsi="Times New Roman" w:eastAsia="仿宋_GB2312"/>
          <w:sz w:val="28"/>
          <w:szCs w:val="28"/>
        </w:rPr>
        <w:t>1 500</w:t>
      </w:r>
      <w:r>
        <w:rPr>
          <w:rFonts w:hint="eastAsia" w:ascii="Times New Roman" w:hAnsi="Times New Roman" w:eastAsia="仿宋_GB2312"/>
          <w:sz w:val="28"/>
          <w:szCs w:val="28"/>
        </w:rPr>
        <w:t>倍液，或</w:t>
      </w:r>
      <w:r>
        <w:rPr>
          <w:rFonts w:ascii="Times New Roman" w:hAnsi="Times New Roman" w:eastAsia="仿宋_GB2312"/>
          <w:sz w:val="28"/>
          <w:szCs w:val="28"/>
        </w:rPr>
        <w:t>20%</w:t>
      </w:r>
      <w:r>
        <w:rPr>
          <w:rFonts w:hint="eastAsia" w:ascii="Times New Roman" w:hAnsi="Times New Roman" w:eastAsia="仿宋_GB2312"/>
          <w:sz w:val="28"/>
          <w:szCs w:val="28"/>
        </w:rPr>
        <w:t>双甲脒乳油</w:t>
      </w:r>
      <w:r>
        <w:rPr>
          <w:rFonts w:ascii="Times New Roman" w:hAnsi="Times New Roman" w:eastAsia="仿宋_GB2312"/>
          <w:sz w:val="28"/>
          <w:szCs w:val="28"/>
        </w:rPr>
        <w:t>100</w:t>
      </w:r>
      <w:r>
        <w:rPr>
          <w:rFonts w:hint="eastAsia" w:ascii="Times New Roman" w:hAnsi="Times New Roman" w:eastAsia="仿宋_GB2312"/>
          <w:sz w:val="28"/>
          <w:szCs w:val="28"/>
        </w:rPr>
        <w:t>倍液喷雾防治。</w:t>
      </w:r>
    </w:p>
    <w:p w14:paraId="7DC842F0">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（3）</w:t>
      </w:r>
      <w:bookmarkStart w:id="21" w:name="_Hlk205460236"/>
      <w:bookmarkStart w:id="22" w:name="OLE_LINK20"/>
      <w:bookmarkStart w:id="23" w:name="OLE_LINK15"/>
      <w:bookmarkStart w:id="24" w:name="OLE_LINK14"/>
      <w:r>
        <w:rPr>
          <w:rFonts w:hint="eastAsia" w:ascii="Times New Roman" w:hAnsi="Times New Roman" w:eastAsia="仿宋_GB2312"/>
          <w:sz w:val="28"/>
          <w:szCs w:val="28"/>
        </w:rPr>
        <w:t>铜绿异丽金龟</w:t>
      </w:r>
      <w:bookmarkEnd w:id="21"/>
      <w:bookmarkEnd w:id="22"/>
      <w:r>
        <w:rPr>
          <w:rFonts w:hint="eastAsia" w:ascii="Times New Roman" w:hAnsi="Times New Roman" w:eastAsia="仿宋_GB2312"/>
          <w:sz w:val="28"/>
          <w:szCs w:val="28"/>
        </w:rPr>
        <w:t>的发生及防治</w:t>
      </w:r>
      <w:bookmarkEnd w:id="23"/>
      <w:bookmarkEnd w:id="24"/>
    </w:p>
    <w:p w14:paraId="5AF6FBC1">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成虫：体长18-21 mm，体背铜绿色具金属光泽，触角鳃片状，复眼黑色。幼虫（蛴螬）乳白色，呈C形弯曲，体长约40 mm。</w:t>
      </w:r>
      <w:bookmarkStart w:id="25" w:name="OLE_LINK21"/>
      <w:bookmarkStart w:id="26" w:name="OLE_LINK19"/>
      <w:r>
        <w:rPr>
          <w:rFonts w:hint="eastAsia" w:ascii="Times New Roman" w:hAnsi="Times New Roman" w:eastAsia="仿宋_GB2312"/>
          <w:sz w:val="28"/>
          <w:szCs w:val="28"/>
        </w:rPr>
        <w:t>1年1代，以3龄幼虫在土壤中越冬（深约20-30 cm）。翌年4月化蛹，5月底至6月中旬成虫羽化，6-8月为危害盛期。成虫寿命约30天，卵多产于植物根际土壤（深5-6 cm），卵期7-11天。</w:t>
      </w:r>
      <w:bookmarkEnd w:id="25"/>
      <w:bookmarkEnd w:id="26"/>
      <w:r>
        <w:rPr>
          <w:rFonts w:hint="eastAsia" w:ascii="Times New Roman" w:hAnsi="Times New Roman" w:eastAsia="仿宋_GB2312"/>
          <w:sz w:val="28"/>
          <w:szCs w:val="28"/>
        </w:rPr>
        <w:t>成虫主要啃食叶片、嫩芽，叶片残缺仅留叶脉，幼苗可致死。</w:t>
      </w:r>
    </w:p>
    <w:p w14:paraId="685CC0AE">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幼虫：地下蛀食根系、根颈、种子、幼苗及成株根系，导致植株萎蔫枯死，易引发土传病害。</w:t>
      </w:r>
    </w:p>
    <w:p w14:paraId="6193C922">
      <w:pPr>
        <w:spacing w:line="360" w:lineRule="auto"/>
        <w:ind w:firstLine="560" w:firstLineChars="200"/>
        <w:jc w:val="left"/>
        <w:rPr>
          <w:rFonts w:ascii="Times New Roman" w:hAnsi="Times New Roman" w:eastAsia="仿宋_GB2312"/>
          <w:sz w:val="28"/>
          <w:szCs w:val="28"/>
        </w:rPr>
      </w:pPr>
      <w:r>
        <w:rPr>
          <w:rFonts w:ascii="Times New Roman" w:hAnsi="Times New Roman" w:eastAsia="仿宋_GB2312"/>
          <w:sz w:val="28"/>
          <w:szCs w:val="28"/>
        </w:rPr>
        <w:t>【防治方法】</w:t>
      </w:r>
    </w:p>
    <w:p w14:paraId="2CFDA70A">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（1）物理防治</w:t>
      </w:r>
    </w:p>
    <w:p w14:paraId="371A91C9">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灯光诱杀：</w:t>
      </w:r>
      <w:bookmarkStart w:id="27" w:name="_Hlk205480714"/>
      <w:r>
        <w:rPr>
          <w:rFonts w:hint="eastAsia" w:ascii="Times New Roman" w:hAnsi="Times New Roman" w:eastAsia="仿宋_GB2312"/>
          <w:sz w:val="28"/>
          <w:szCs w:val="28"/>
        </w:rPr>
        <w:t>利用趋光性，使用400 nm单波长太阳能灯或黑光灯，最佳诱杀时段20:30-21:30。</w:t>
      </w:r>
      <w:bookmarkEnd w:id="27"/>
    </w:p>
    <w:p w14:paraId="2710A752">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人工捕杀：</w:t>
      </w:r>
      <w:bookmarkStart w:id="28" w:name="_Hlk205480747"/>
      <w:r>
        <w:rPr>
          <w:rFonts w:hint="eastAsia" w:ascii="Times New Roman" w:hAnsi="Times New Roman" w:eastAsia="仿宋_GB2312"/>
          <w:sz w:val="28"/>
          <w:szCs w:val="28"/>
        </w:rPr>
        <w:t>利用假死性，傍晚摇动树枝震落成虫，树下铺设塑料布收集销毁。</w:t>
      </w:r>
    </w:p>
    <w:bookmarkEnd w:id="28"/>
    <w:p w14:paraId="4492B7C5">
      <w:pPr>
        <w:ind w:firstLine="560" w:firstLineChars="200"/>
        <w:rPr>
          <w:rFonts w:ascii="Times New Roman" w:hAnsi="Times New Roman" w:eastAsia="仿宋_GB2312"/>
          <w:sz w:val="28"/>
          <w:szCs w:val="28"/>
        </w:rPr>
      </w:pPr>
      <w:bookmarkStart w:id="29" w:name="_Hlk205480770"/>
      <w:r>
        <w:rPr>
          <w:rFonts w:hint="eastAsia" w:ascii="Times New Roman" w:hAnsi="Times New Roman" w:eastAsia="仿宋_GB2312"/>
          <w:sz w:val="28"/>
          <w:szCs w:val="28"/>
        </w:rPr>
        <w:t>糖醋液诱杀</w:t>
      </w:r>
      <w:bookmarkEnd w:id="29"/>
      <w:r>
        <w:rPr>
          <w:rFonts w:hint="eastAsia" w:ascii="Times New Roman" w:hAnsi="Times New Roman" w:eastAsia="仿宋_GB2312"/>
          <w:sz w:val="28"/>
          <w:szCs w:val="28"/>
        </w:rPr>
        <w:t>：</w:t>
      </w:r>
      <w:bookmarkStart w:id="30" w:name="_Hlk205480788"/>
      <w:bookmarkStart w:id="31" w:name="OLE_LINK22"/>
      <w:r>
        <w:rPr>
          <w:rFonts w:hint="eastAsia" w:ascii="Times New Roman" w:hAnsi="Times New Roman" w:eastAsia="仿宋_GB2312"/>
          <w:sz w:val="28"/>
          <w:szCs w:val="28"/>
        </w:rPr>
        <w:t>红糖：醋：水=5：20：80配比，放置诱杀盆（需防雨水）。</w:t>
      </w:r>
    </w:p>
    <w:bookmarkEnd w:id="30"/>
    <w:bookmarkEnd w:id="31"/>
    <w:p w14:paraId="0030C0A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（2）生物防治</w:t>
      </w:r>
    </w:p>
    <w:p w14:paraId="4838C540">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微生物制剂：</w:t>
      </w:r>
      <w:bookmarkStart w:id="32" w:name="_Hlk205480930"/>
      <w:r>
        <w:rPr>
          <w:rFonts w:hint="eastAsia" w:ascii="Times New Roman" w:hAnsi="Times New Roman" w:eastAsia="仿宋_GB2312"/>
          <w:sz w:val="28"/>
          <w:szCs w:val="28"/>
        </w:rPr>
        <w:t>苏云金芽孢杆菌（Bt）或白僵菌拌土根施，靶向幼虫。绿僵菌喷洒土壤，抑制蛴螬种群。</w:t>
      </w:r>
      <w:bookmarkEnd w:id="32"/>
    </w:p>
    <w:p w14:paraId="4A7FB77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保护天敌：</w:t>
      </w:r>
      <w:bookmarkStart w:id="33" w:name="_Hlk205481017"/>
      <w:bookmarkStart w:id="34" w:name="OLE_LINK23"/>
      <w:r>
        <w:rPr>
          <w:rFonts w:hint="eastAsia" w:ascii="Times New Roman" w:hAnsi="Times New Roman" w:eastAsia="仿宋_GB2312"/>
          <w:sz w:val="28"/>
          <w:szCs w:val="28"/>
        </w:rPr>
        <w:t>招引益鸟（杜鹃、大山雀）、步甲、青蛙等捕食成虫及幼虫。</w:t>
      </w:r>
    </w:p>
    <w:bookmarkEnd w:id="33"/>
    <w:bookmarkEnd w:id="34"/>
    <w:p w14:paraId="5E87DC8F">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3. 化学防治</w:t>
      </w:r>
    </w:p>
    <w:p w14:paraId="6DA873F3">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成虫化学防治：树冠喷施50%辛硫磷乳油1000倍液、35%氯虫苯甲酰胺2000倍液；幼虫化学防治：灌根40%毒死蜱乳油1500倍液、5%辛硫磷颗粒剂（30kg/公顷），也可用1.8%阿维菌素+毒死蜱混合喷雾，减少残留。</w:t>
      </w:r>
    </w:p>
    <w:p w14:paraId="6F57A62F">
      <w:pPr>
        <w:ind w:firstLine="560" w:firstLineChars="200"/>
        <w:jc w:val="center"/>
      </w:pPr>
      <w:r>
        <w:rPr>
          <w:rFonts w:ascii="Times New Roman" w:hAnsi="Times New Roman" w:eastAsia="仿宋_GB2312"/>
          <w:sz w:val="28"/>
          <w:szCs w:val="28"/>
        </w:rPr>
        <w:drawing>
          <wp:inline distT="0" distB="0" distL="0" distR="0">
            <wp:extent cx="1656080" cy="2208530"/>
            <wp:effectExtent l="0" t="0" r="1270" b="1270"/>
            <wp:docPr id="11" name="图片 11" descr="D:\QQ聊天记录等/IMG20250612100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QQ聊天记录等/IMG2025061210052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56080" cy="2208530"/>
                    </a:xfrm>
                    <a:prstGeom prst="rect">
                      <a:avLst/>
                    </a:prstGeom>
                    <a:noFill/>
                    <a:ln>
                      <a:noFill/>
                    </a:ln>
                  </pic:spPr>
                </pic:pic>
              </a:graphicData>
            </a:graphic>
          </wp:inline>
        </w:drawing>
      </w:r>
      <w:r>
        <w:rPr>
          <w:rFonts w:hint="eastAsia"/>
        </w:rPr>
        <w:t xml:space="preserve"> </w:t>
      </w:r>
      <w:r>
        <w:drawing>
          <wp:inline distT="0" distB="0" distL="0" distR="0">
            <wp:extent cx="1660525" cy="2214245"/>
            <wp:effectExtent l="0" t="0" r="0" b="0"/>
            <wp:docPr id="10" name="图片 10" descr="D:\QQ聊天记录等\Tencent Files\2941727787\nt_qq\nt_data\Pic\2025-08\Ori\605d3f6a9b6042bf0d8296cefe3431f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QQ聊天记录等\Tencent Files\2941727787\nt_qq\nt_data\Pic\2025-08\Ori\605d3f6a9b6042bf0d8296cefe3431ff.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662606" cy="2216917"/>
                    </a:xfrm>
                    <a:prstGeom prst="rect">
                      <a:avLst/>
                    </a:prstGeom>
                    <a:noFill/>
                    <a:ln>
                      <a:noFill/>
                    </a:ln>
                  </pic:spPr>
                </pic:pic>
              </a:graphicData>
            </a:graphic>
          </wp:inline>
        </w:drawing>
      </w:r>
    </w:p>
    <w:p w14:paraId="17D10E69">
      <w:pPr>
        <w:ind w:firstLine="560" w:firstLineChars="200"/>
        <w:jc w:val="center"/>
      </w:pPr>
      <w:r>
        <w:rPr>
          <w:rFonts w:hint="eastAsia" w:ascii="Times New Roman" w:hAnsi="Times New Roman" w:eastAsia="仿宋_GB2312"/>
          <w:sz w:val="28"/>
          <w:szCs w:val="28"/>
        </w:rPr>
        <w:t>铜绿异丽金龟成虫形态及为害特征</w:t>
      </w:r>
    </w:p>
    <w:p w14:paraId="47E0F1B3">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中药材生产禁止使用的农药按国家中药材 GAP 生产中禁止使用的农药种类的要求执行。</w:t>
      </w:r>
    </w:p>
    <w:p w14:paraId="627199F8">
      <w:pPr>
        <w:ind w:firstLine="560" w:firstLineChars="200"/>
        <w:rPr>
          <w:rFonts w:ascii="Times New Roman" w:hAnsi="Times New Roman" w:eastAsia="仿宋_GB2312"/>
          <w:sz w:val="28"/>
          <w:szCs w:val="28"/>
        </w:rPr>
      </w:pPr>
      <w:bookmarkStart w:id="35" w:name="OLE_LINK16"/>
      <w:r>
        <w:rPr>
          <w:rFonts w:hint="eastAsia" w:ascii="Times New Roman" w:hAnsi="Times New Roman" w:eastAsia="仿宋_GB2312"/>
          <w:sz w:val="28"/>
          <w:szCs w:val="28"/>
        </w:rPr>
        <w:t>（三）档案管理</w:t>
      </w:r>
      <w:bookmarkEnd w:id="35"/>
    </w:p>
    <w:p w14:paraId="026345B6">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对发生量大于防治指标的病虫名称、防治时间、防治措施、天气情况及操作人等进行详细记录，等各环节所采取的措施进行详细记录，建立生产档案和记录表。生产档案应专人记载，年终系统整理，负责人审查存档，长期保存。</w:t>
      </w:r>
    </w:p>
    <w:p w14:paraId="4FBB5AA1">
      <w:pPr>
        <w:spacing w:before="240" w:after="60"/>
        <w:ind w:firstLine="560" w:firstLineChars="200"/>
        <w:outlineLvl w:val="0"/>
        <w:rPr>
          <w:rFonts w:ascii="黑体" w:hAnsi="宋体" w:eastAsia="黑体" w:cs="黑体"/>
          <w:bCs/>
          <w:sz w:val="28"/>
          <w:szCs w:val="28"/>
          <w:lang w:bidi="ar"/>
        </w:rPr>
      </w:pPr>
      <w:r>
        <w:rPr>
          <w:rFonts w:hint="eastAsia" w:ascii="黑体" w:hAnsi="宋体" w:eastAsia="黑体" w:cs="黑体"/>
          <w:bCs/>
          <w:sz w:val="28"/>
          <w:szCs w:val="28"/>
          <w:lang w:bidi="ar"/>
        </w:rPr>
        <w:t>六、重大意见分歧的处理依据和结果</w:t>
      </w:r>
    </w:p>
    <w:p w14:paraId="1879EA0E">
      <w:pPr>
        <w:ind w:firstLine="560" w:firstLineChars="200"/>
        <w:rPr>
          <w:rFonts w:ascii="Times New Roman" w:hAnsi="Times New Roman" w:eastAsia="仿宋_GB2312"/>
          <w:sz w:val="28"/>
          <w:szCs w:val="28"/>
        </w:rPr>
      </w:pPr>
      <w:r>
        <w:rPr>
          <w:rFonts w:hint="eastAsia" w:ascii="Times New Roman" w:hAnsi="Times New Roman" w:eastAsia="仿宋_GB2312"/>
          <w:sz w:val="28"/>
          <w:szCs w:val="28"/>
        </w:rPr>
        <w:t>本标准研制过程中无重大分歧意见。</w:t>
      </w:r>
    </w:p>
    <w:p w14:paraId="680827DC">
      <w:pPr>
        <w:spacing w:before="240" w:after="60"/>
        <w:ind w:firstLine="560" w:firstLineChars="200"/>
        <w:outlineLvl w:val="0"/>
        <w:rPr>
          <w:rFonts w:ascii="黑体" w:hAnsi="宋体" w:eastAsia="黑体" w:cs="黑体"/>
          <w:bCs/>
          <w:sz w:val="28"/>
          <w:szCs w:val="28"/>
        </w:rPr>
      </w:pPr>
      <w:r>
        <w:rPr>
          <w:rFonts w:hint="eastAsia" w:ascii="黑体" w:hAnsi="宋体" w:eastAsia="黑体" w:cs="黑体"/>
          <w:bCs/>
          <w:sz w:val="28"/>
          <w:szCs w:val="28"/>
          <w:lang w:bidi="ar"/>
        </w:rPr>
        <w:t>七、贯彻标准的措施和建议</w:t>
      </w:r>
    </w:p>
    <w:p w14:paraId="5E3EF595">
      <w:pPr>
        <w:spacing w:line="560" w:lineRule="exact"/>
        <w:ind w:firstLine="560" w:firstLineChars="200"/>
        <w:rPr>
          <w:rFonts w:ascii="仿宋" w:hAnsi="仿宋" w:eastAsia="仿宋" w:cs="仿宋"/>
          <w:kern w:val="0"/>
          <w:sz w:val="24"/>
          <w:szCs w:val="28"/>
        </w:rPr>
      </w:pPr>
      <w:r>
        <w:rPr>
          <w:rFonts w:hint="eastAsia" w:ascii="仿宋_GB2312" w:hAnsi="宋体" w:eastAsia="仿宋_GB2312" w:cs="Calibri"/>
          <w:sz w:val="28"/>
          <w:szCs w:val="28"/>
        </w:rPr>
        <w:t>（一）标准报批发布后，成立标准宣贯工作组</w:t>
      </w:r>
    </w:p>
    <w:p w14:paraId="2E7BE3B8">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本标准发布后，成立以主要起草人为成员的标准宣贯工作组，主要负责标准的宣贯实施评价计划制定、标准实施交流会策划、标准实施信息反馈收集和标准实施效果评估等工作，并根据标准实施信息反馈和标准实施效果评估情况，及时组织标准复审修订。</w:t>
      </w:r>
    </w:p>
    <w:p w14:paraId="5A2F6293">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（二）组织开展标准宣贯评价</w:t>
      </w:r>
    </w:p>
    <w:p w14:paraId="183AF709">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标准发布实施后，标准宣贯工作小组制作标准解读宣贯评价PPT课件和标准核心技术明白书，并按标准宣贯评价计划深入各有关单位开展标准宣贯评价，对标准进行逐条解读，让技术人员掌握标准核心护理内容，助力标准实施落地。</w:t>
      </w:r>
    </w:p>
    <w:p w14:paraId="744908B8">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（三）开展标准实施交流会，收集标准实施反馈信息</w:t>
      </w:r>
    </w:p>
    <w:p w14:paraId="7474094A">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标准起草小组深入各有关单位机构组织技术人员召开标准实施交流会，听取标准实施过程中存在的问题并做好记录和解答，对存在的问题组织专家团队进行研讨，为标准的复审修订做准备。</w:t>
      </w:r>
    </w:p>
    <w:p w14:paraId="3457385F">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（四）开展标准实施效果评估</w:t>
      </w:r>
    </w:p>
    <w:p w14:paraId="223BDC6E">
      <w:pPr>
        <w:spacing w:line="560" w:lineRule="exact"/>
        <w:ind w:firstLine="560" w:firstLineChars="200"/>
        <w:rPr>
          <w:rFonts w:ascii="仿宋_GB2312" w:hAnsi="仿宋" w:eastAsia="仿宋_GB2312" w:cs="仿宋_GB2312"/>
          <w:sz w:val="24"/>
          <w:szCs w:val="24"/>
        </w:rPr>
      </w:pPr>
      <w:r>
        <w:rPr>
          <w:rFonts w:hint="eastAsia" w:ascii="仿宋_GB2312" w:hAnsi="宋体" w:eastAsia="仿宋_GB2312" w:cs="Calibri"/>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42E70035">
      <w:pPr>
        <w:spacing w:before="240" w:after="60"/>
        <w:ind w:firstLine="560" w:firstLineChars="200"/>
        <w:outlineLvl w:val="0"/>
        <w:rPr>
          <w:rFonts w:ascii="黑体" w:hAnsi="宋体" w:eastAsia="黑体" w:cs="黑体"/>
          <w:bCs/>
          <w:sz w:val="28"/>
          <w:szCs w:val="28"/>
        </w:rPr>
      </w:pPr>
      <w:r>
        <w:rPr>
          <w:rFonts w:hint="eastAsia" w:ascii="黑体" w:hAnsi="宋体" w:eastAsia="黑体" w:cs="黑体"/>
          <w:bCs/>
          <w:sz w:val="28"/>
          <w:szCs w:val="28"/>
          <w:lang w:bidi="ar"/>
        </w:rPr>
        <w:t>八、其他应当说明的事项</w:t>
      </w:r>
    </w:p>
    <w:p w14:paraId="74DF33D5">
      <w:pPr>
        <w:spacing w:line="560" w:lineRule="exact"/>
        <w:ind w:firstLine="560" w:firstLineChars="200"/>
        <w:rPr>
          <w:rFonts w:ascii="仿宋_GB2312" w:hAnsi="宋体" w:eastAsia="仿宋_GB2312" w:cs="Calibri"/>
          <w:sz w:val="28"/>
          <w:szCs w:val="28"/>
        </w:rPr>
      </w:pPr>
      <w:r>
        <w:rPr>
          <w:rFonts w:hint="eastAsia" w:ascii="仿宋_GB2312" w:hAnsi="宋体" w:eastAsia="仿宋_GB2312" w:cs="Calibri"/>
          <w:sz w:val="28"/>
          <w:szCs w:val="28"/>
        </w:rPr>
        <w:t>无。</w:t>
      </w:r>
    </w:p>
    <w:p w14:paraId="4A5B1775">
      <w:pPr>
        <w:spacing w:line="500" w:lineRule="exact"/>
        <w:ind w:firstLine="560" w:firstLineChars="200"/>
        <w:rPr>
          <w:rFonts w:ascii="Calibri" w:hAnsi="Calibri" w:eastAsia="仿宋_GB2312" w:cs="Times New Roman"/>
          <w:sz w:val="28"/>
          <w:szCs w:val="24"/>
        </w:rPr>
      </w:pPr>
    </w:p>
    <w:p w14:paraId="6124AD89">
      <w:pPr>
        <w:spacing w:line="500" w:lineRule="exact"/>
        <w:ind w:firstLine="2240" w:firstLineChars="800"/>
        <w:rPr>
          <w:rFonts w:ascii="宋体" w:hAnsi="Calibri" w:eastAsia="仿宋_GB2312" w:cs="Times New Roman"/>
          <w:sz w:val="28"/>
          <w:szCs w:val="24"/>
        </w:rPr>
      </w:pPr>
      <w:r>
        <w:rPr>
          <w:rFonts w:hint="eastAsia" w:ascii="Calibri" w:hAnsi="Calibri" w:eastAsia="仿宋" w:cs="Times New Roman"/>
          <w:sz w:val="28"/>
          <w:szCs w:val="24"/>
        </w:rPr>
        <w:t>团体标准《五指毛桃主要病虫害综合防治技术规程》</w:t>
      </w:r>
    </w:p>
    <w:p w14:paraId="55D8B67C">
      <w:pPr>
        <w:spacing w:line="500" w:lineRule="exact"/>
        <w:ind w:firstLine="4760" w:firstLineChars="1700"/>
        <w:rPr>
          <w:rFonts w:ascii="Times New Roman" w:hAnsi="Times New Roman" w:eastAsia="仿宋" w:cs="Times New Roman"/>
          <w:sz w:val="28"/>
          <w:szCs w:val="24"/>
        </w:rPr>
      </w:pPr>
      <w:r>
        <w:rPr>
          <w:rFonts w:hint="eastAsia" w:ascii="Calibri" w:hAnsi="Calibri" w:eastAsia="仿宋" w:cs="Times New Roman"/>
          <w:sz w:val="28"/>
          <w:szCs w:val="24"/>
        </w:rPr>
        <w:t>标准编制工作组</w:t>
      </w:r>
    </w:p>
    <w:p w14:paraId="1EA10F95">
      <w:pPr>
        <w:spacing w:line="500" w:lineRule="exact"/>
        <w:ind w:firstLine="4200" w:firstLineChars="1500"/>
        <w:rPr>
          <w:rFonts w:ascii="Calibri" w:hAnsi="Calibri" w:eastAsia="仿宋_GB2312" w:cs="Times New Roman"/>
          <w:sz w:val="28"/>
          <w:szCs w:val="24"/>
        </w:rPr>
      </w:pPr>
      <w:r>
        <w:rPr>
          <w:rFonts w:hint="eastAsia" w:ascii="Times New Roman" w:hAnsi="Times New Roman" w:eastAsia="仿宋" w:cs="Times New Roman"/>
          <w:sz w:val="28"/>
          <w:szCs w:val="24"/>
        </w:rPr>
        <w:t xml:space="preserve">   </w:t>
      </w:r>
      <w:r>
        <w:rPr>
          <w:rFonts w:ascii="Times New Roman" w:hAnsi="Times New Roman" w:eastAsia="仿宋" w:cs="Times New Roman"/>
          <w:sz w:val="28"/>
          <w:szCs w:val="24"/>
        </w:rPr>
        <w:t xml:space="preserve"> 2025年</w:t>
      </w:r>
      <w:r>
        <w:rPr>
          <w:rFonts w:hint="eastAsia" w:ascii="Times New Roman" w:hAnsi="Times New Roman" w:eastAsia="仿宋" w:cs="Times New Roman"/>
          <w:sz w:val="28"/>
          <w:szCs w:val="24"/>
        </w:rPr>
        <w:t>9</w:t>
      </w:r>
      <w:r>
        <w:rPr>
          <w:rFonts w:ascii="Times New Roman" w:hAnsi="Times New Roman" w:eastAsia="仿宋" w:cs="Times New Roman"/>
          <w:sz w:val="28"/>
          <w:szCs w:val="24"/>
        </w:rPr>
        <w:t>月</w:t>
      </w:r>
      <w:r>
        <w:rPr>
          <w:rFonts w:hint="eastAsia" w:ascii="Times New Roman" w:hAnsi="Times New Roman" w:eastAsia="仿宋" w:cs="Times New Roman"/>
          <w:sz w:val="28"/>
          <w:szCs w:val="24"/>
        </w:rPr>
        <w:t>10</w:t>
      </w:r>
      <w:r>
        <w:rPr>
          <w:rFonts w:ascii="Times New Roman" w:hAnsi="Times New Roman" w:eastAsia="仿宋" w:cs="Times New Roman"/>
          <w:sz w:val="28"/>
          <w:szCs w:val="24"/>
        </w:rPr>
        <w:t>日</w:t>
      </w:r>
    </w:p>
    <w:p w14:paraId="1D6964CC">
      <w:pPr>
        <w:ind w:firstLine="560" w:firstLineChars="200"/>
        <w:rPr>
          <w:rFonts w:ascii="Times New Roman" w:hAnsi="Times New Roman" w:eastAsia="仿宋_GB2312"/>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80F3C52" w:usb2="00000016" w:usb3="00000000" w:csb0="0004001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1BF"/>
    <w:rsid w:val="00024807"/>
    <w:rsid w:val="00025041"/>
    <w:rsid w:val="00030447"/>
    <w:rsid w:val="000321D0"/>
    <w:rsid w:val="000341F2"/>
    <w:rsid w:val="00037497"/>
    <w:rsid w:val="0004264A"/>
    <w:rsid w:val="00075A6E"/>
    <w:rsid w:val="00080C91"/>
    <w:rsid w:val="0008330D"/>
    <w:rsid w:val="0008438A"/>
    <w:rsid w:val="000C7743"/>
    <w:rsid w:val="000F3858"/>
    <w:rsid w:val="00103EB6"/>
    <w:rsid w:val="00120BB4"/>
    <w:rsid w:val="001319DA"/>
    <w:rsid w:val="00153926"/>
    <w:rsid w:val="00161712"/>
    <w:rsid w:val="0016659E"/>
    <w:rsid w:val="0017749C"/>
    <w:rsid w:val="001A292E"/>
    <w:rsid w:val="001A5BA2"/>
    <w:rsid w:val="001B1B86"/>
    <w:rsid w:val="001D36E3"/>
    <w:rsid w:val="001D52AC"/>
    <w:rsid w:val="001E4EAD"/>
    <w:rsid w:val="00233B64"/>
    <w:rsid w:val="00250A03"/>
    <w:rsid w:val="002744E4"/>
    <w:rsid w:val="002829FC"/>
    <w:rsid w:val="0028505A"/>
    <w:rsid w:val="00295299"/>
    <w:rsid w:val="002A3DDB"/>
    <w:rsid w:val="002C3F7B"/>
    <w:rsid w:val="002F0A09"/>
    <w:rsid w:val="002F1A7F"/>
    <w:rsid w:val="003005D5"/>
    <w:rsid w:val="00313E8B"/>
    <w:rsid w:val="00316244"/>
    <w:rsid w:val="00323C81"/>
    <w:rsid w:val="00341C40"/>
    <w:rsid w:val="00341C7E"/>
    <w:rsid w:val="003423A8"/>
    <w:rsid w:val="0037523C"/>
    <w:rsid w:val="003754B0"/>
    <w:rsid w:val="003804D3"/>
    <w:rsid w:val="00383F76"/>
    <w:rsid w:val="00385062"/>
    <w:rsid w:val="003A18A8"/>
    <w:rsid w:val="003A3B8A"/>
    <w:rsid w:val="003C06C0"/>
    <w:rsid w:val="003C0A30"/>
    <w:rsid w:val="003D4176"/>
    <w:rsid w:val="003D7590"/>
    <w:rsid w:val="003E638E"/>
    <w:rsid w:val="003F5847"/>
    <w:rsid w:val="003F5EF8"/>
    <w:rsid w:val="00413119"/>
    <w:rsid w:val="00415B66"/>
    <w:rsid w:val="00426862"/>
    <w:rsid w:val="00436D5A"/>
    <w:rsid w:val="004409BD"/>
    <w:rsid w:val="00467781"/>
    <w:rsid w:val="004836DB"/>
    <w:rsid w:val="004864D4"/>
    <w:rsid w:val="00487DA7"/>
    <w:rsid w:val="00493C7A"/>
    <w:rsid w:val="004A51D5"/>
    <w:rsid w:val="004C6101"/>
    <w:rsid w:val="004C6997"/>
    <w:rsid w:val="004C6BAF"/>
    <w:rsid w:val="004F57E4"/>
    <w:rsid w:val="00501D01"/>
    <w:rsid w:val="00531A67"/>
    <w:rsid w:val="00545B4C"/>
    <w:rsid w:val="00574D30"/>
    <w:rsid w:val="00577A6D"/>
    <w:rsid w:val="005839F3"/>
    <w:rsid w:val="005C40B0"/>
    <w:rsid w:val="005C71C6"/>
    <w:rsid w:val="005D0E82"/>
    <w:rsid w:val="005D22AC"/>
    <w:rsid w:val="005E0C2A"/>
    <w:rsid w:val="005E3DB4"/>
    <w:rsid w:val="005E6FAA"/>
    <w:rsid w:val="005F761C"/>
    <w:rsid w:val="005F7A65"/>
    <w:rsid w:val="00635462"/>
    <w:rsid w:val="00637CB8"/>
    <w:rsid w:val="00654039"/>
    <w:rsid w:val="00662175"/>
    <w:rsid w:val="00674EA8"/>
    <w:rsid w:val="00686A6E"/>
    <w:rsid w:val="006872CD"/>
    <w:rsid w:val="00692B09"/>
    <w:rsid w:val="00696799"/>
    <w:rsid w:val="006E514C"/>
    <w:rsid w:val="006E66F1"/>
    <w:rsid w:val="006F2511"/>
    <w:rsid w:val="006F2A5D"/>
    <w:rsid w:val="00700376"/>
    <w:rsid w:val="0070560B"/>
    <w:rsid w:val="00713D52"/>
    <w:rsid w:val="00714831"/>
    <w:rsid w:val="007151DE"/>
    <w:rsid w:val="00715889"/>
    <w:rsid w:val="00717735"/>
    <w:rsid w:val="0072026C"/>
    <w:rsid w:val="00721ACE"/>
    <w:rsid w:val="00723E65"/>
    <w:rsid w:val="00724BCA"/>
    <w:rsid w:val="007338B7"/>
    <w:rsid w:val="00750EBC"/>
    <w:rsid w:val="00765023"/>
    <w:rsid w:val="00774AFC"/>
    <w:rsid w:val="00776D98"/>
    <w:rsid w:val="007853AC"/>
    <w:rsid w:val="00792D89"/>
    <w:rsid w:val="007B4096"/>
    <w:rsid w:val="007C26EF"/>
    <w:rsid w:val="007D0E85"/>
    <w:rsid w:val="007D2DD5"/>
    <w:rsid w:val="007D6A04"/>
    <w:rsid w:val="007F342B"/>
    <w:rsid w:val="00807CF3"/>
    <w:rsid w:val="00836E00"/>
    <w:rsid w:val="00865EBA"/>
    <w:rsid w:val="008917A6"/>
    <w:rsid w:val="008A5419"/>
    <w:rsid w:val="008C0818"/>
    <w:rsid w:val="008C5A0F"/>
    <w:rsid w:val="008E1C28"/>
    <w:rsid w:val="00931205"/>
    <w:rsid w:val="0093127C"/>
    <w:rsid w:val="0095041A"/>
    <w:rsid w:val="00961EB5"/>
    <w:rsid w:val="00963974"/>
    <w:rsid w:val="0097166B"/>
    <w:rsid w:val="009C2315"/>
    <w:rsid w:val="009C7CAA"/>
    <w:rsid w:val="009E1AB2"/>
    <w:rsid w:val="00A0379A"/>
    <w:rsid w:val="00A158EB"/>
    <w:rsid w:val="00A217D3"/>
    <w:rsid w:val="00A218FD"/>
    <w:rsid w:val="00A93582"/>
    <w:rsid w:val="00AA44BA"/>
    <w:rsid w:val="00AC0E27"/>
    <w:rsid w:val="00AC25AB"/>
    <w:rsid w:val="00AF0FB5"/>
    <w:rsid w:val="00AF1DA7"/>
    <w:rsid w:val="00B0068B"/>
    <w:rsid w:val="00B00A96"/>
    <w:rsid w:val="00B10146"/>
    <w:rsid w:val="00B15DA1"/>
    <w:rsid w:val="00B24D93"/>
    <w:rsid w:val="00B323CB"/>
    <w:rsid w:val="00B3356D"/>
    <w:rsid w:val="00B34AAA"/>
    <w:rsid w:val="00B354A4"/>
    <w:rsid w:val="00B60E28"/>
    <w:rsid w:val="00B6685C"/>
    <w:rsid w:val="00B85BB8"/>
    <w:rsid w:val="00BD41C5"/>
    <w:rsid w:val="00BD6591"/>
    <w:rsid w:val="00BF599B"/>
    <w:rsid w:val="00C15C06"/>
    <w:rsid w:val="00C21F49"/>
    <w:rsid w:val="00C22123"/>
    <w:rsid w:val="00C2276D"/>
    <w:rsid w:val="00C30295"/>
    <w:rsid w:val="00C44085"/>
    <w:rsid w:val="00C44C51"/>
    <w:rsid w:val="00C541BB"/>
    <w:rsid w:val="00C5749F"/>
    <w:rsid w:val="00C73923"/>
    <w:rsid w:val="00C80502"/>
    <w:rsid w:val="00C950B4"/>
    <w:rsid w:val="00CB4D18"/>
    <w:rsid w:val="00CB533D"/>
    <w:rsid w:val="00CC7015"/>
    <w:rsid w:val="00CD0BF8"/>
    <w:rsid w:val="00D00448"/>
    <w:rsid w:val="00D076EE"/>
    <w:rsid w:val="00D11728"/>
    <w:rsid w:val="00D250A3"/>
    <w:rsid w:val="00D259F8"/>
    <w:rsid w:val="00D43587"/>
    <w:rsid w:val="00D630E8"/>
    <w:rsid w:val="00D670ED"/>
    <w:rsid w:val="00D80968"/>
    <w:rsid w:val="00D92A27"/>
    <w:rsid w:val="00DB3D98"/>
    <w:rsid w:val="00DB3EAE"/>
    <w:rsid w:val="00DC2C45"/>
    <w:rsid w:val="00DE4E29"/>
    <w:rsid w:val="00DE5988"/>
    <w:rsid w:val="00DE652F"/>
    <w:rsid w:val="00E05325"/>
    <w:rsid w:val="00E13DF8"/>
    <w:rsid w:val="00E175FD"/>
    <w:rsid w:val="00E21A8E"/>
    <w:rsid w:val="00E43E76"/>
    <w:rsid w:val="00E53F3B"/>
    <w:rsid w:val="00E6388F"/>
    <w:rsid w:val="00E64AF5"/>
    <w:rsid w:val="00E76595"/>
    <w:rsid w:val="00EB6308"/>
    <w:rsid w:val="00ED137B"/>
    <w:rsid w:val="00ED3FE0"/>
    <w:rsid w:val="00EE410F"/>
    <w:rsid w:val="00EF5D78"/>
    <w:rsid w:val="00F1010A"/>
    <w:rsid w:val="00F16C51"/>
    <w:rsid w:val="00F22E44"/>
    <w:rsid w:val="00F24343"/>
    <w:rsid w:val="00F27345"/>
    <w:rsid w:val="00F27FC5"/>
    <w:rsid w:val="00F45A68"/>
    <w:rsid w:val="00F527AC"/>
    <w:rsid w:val="00F541E4"/>
    <w:rsid w:val="00F638E3"/>
    <w:rsid w:val="00F66CDE"/>
    <w:rsid w:val="00F671BF"/>
    <w:rsid w:val="00F97803"/>
    <w:rsid w:val="00FA6A93"/>
    <w:rsid w:val="00FB0E72"/>
    <w:rsid w:val="00FC380F"/>
    <w:rsid w:val="00FC7F3B"/>
    <w:rsid w:val="00FE0186"/>
    <w:rsid w:val="00FF102C"/>
    <w:rsid w:val="00FF4209"/>
    <w:rsid w:val="00FF50D4"/>
    <w:rsid w:val="035E700F"/>
    <w:rsid w:val="0FB67FD8"/>
    <w:rsid w:val="12397680"/>
    <w:rsid w:val="14784D03"/>
    <w:rsid w:val="170830C2"/>
    <w:rsid w:val="27ED5FAB"/>
    <w:rsid w:val="2A8B4B12"/>
    <w:rsid w:val="31A155DF"/>
    <w:rsid w:val="33183ECC"/>
    <w:rsid w:val="398C5731"/>
    <w:rsid w:val="48420D80"/>
    <w:rsid w:val="4A3B59BF"/>
    <w:rsid w:val="52553680"/>
    <w:rsid w:val="58F522B5"/>
    <w:rsid w:val="5D4E6BDB"/>
    <w:rsid w:val="67090C60"/>
    <w:rsid w:val="67EB5E5E"/>
    <w:rsid w:val="728F43F7"/>
    <w:rsid w:val="75B65F94"/>
    <w:rsid w:val="77B76F16"/>
    <w:rsid w:val="7A1D5F14"/>
    <w:rsid w:val="7A9E2BA2"/>
    <w:rsid w:val="7D6C09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customStyle="1" w:styleId="2">
    <w:name w:val="BodyText2"/>
    <w:qFormat/>
    <w:uiPriority w:val="0"/>
    <w:pPr>
      <w:widowControl w:val="0"/>
      <w:spacing w:after="120" w:line="480" w:lineRule="auto"/>
      <w:jc w:val="both"/>
      <w:textAlignment w:val="baseline"/>
    </w:pPr>
    <w:rPr>
      <w:rFonts w:ascii="Calibri" w:hAnsi="Calibri" w:eastAsia="宋体" w:cs="Calibri"/>
      <w:kern w:val="2"/>
      <w:sz w:val="32"/>
      <w:szCs w:val="32"/>
      <w:lang w:val="en-US" w:eastAsia="zh-CN" w:bidi="ar-SA"/>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qFormat/>
    <w:uiPriority w:val="99"/>
    <w:rPr>
      <w:sz w:val="18"/>
      <w:szCs w:val="18"/>
    </w:rPr>
  </w:style>
  <w:style w:type="character" w:customStyle="1" w:styleId="8">
    <w:name w:val="页脚 字符"/>
    <w:basedOn w:val="6"/>
    <w:link w:val="3"/>
    <w:qFormat/>
    <w:uiPriority w:val="99"/>
    <w:rPr>
      <w:sz w:val="18"/>
      <w:szCs w:val="18"/>
    </w:rPr>
  </w:style>
  <w:style w:type="paragraph" w:styleId="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21</Pages>
  <Words>1176</Words>
  <Characters>1192</Characters>
  <Lines>71</Lines>
  <Paragraphs>20</Paragraphs>
  <TotalTime>13</TotalTime>
  <ScaleCrop>false</ScaleCrop>
  <LinksUpToDate>false</LinksUpToDate>
  <CharactersWithSpaces>1202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2025-06-05T08:04:00Z</dcterms:created>
  <dc:creator>dell</dc:creator>
  <cp:lastModifiedBy>冯流莹</cp:lastModifiedBy>
  <dcterms:modified xsi:type="dcterms:W3CDTF">2025-09-18T00:45:26Z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eyJoZGlkIjoiOGFkZjVhNDJiMGExNWUxMjVmMmMwZDU4OWJmZWEzNzAiLCJ1c2VySWQiOiIyNDQ0MTQwMzQifQ==</vt:lpwstr>
  </property>
  <property fmtid="{D5CDD505-2E9C-101B-9397-08002B2CF9AE}" pid="3" name="KSOProductBuildVer">
    <vt:lpwstr>2052-12.1.0.22529</vt:lpwstr>
  </property>
  <property fmtid="{D5CDD505-2E9C-101B-9397-08002B2CF9AE}" pid="4" name="ICV">
    <vt:lpwstr>37009A34AD9B46F88442089CA36DFE91_12</vt:lpwstr>
  </property>
</Properties>
</file>