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EDE" w:rsidRDefault="00D97C46">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团体标准《髋关节大手术前深静脉血栓形成预测规范》（征求意见稿）编制说明</w:t>
      </w:r>
    </w:p>
    <w:p w:rsidR="00905EDE" w:rsidRDefault="00905EDE">
      <w:pPr>
        <w:ind w:firstLine="378"/>
        <w:jc w:val="center"/>
        <w:rPr>
          <w:rFonts w:ascii="方正小标宋简体" w:eastAsia="方正小标宋简体" w:cs="仿宋_GB2312"/>
          <w:bCs/>
          <w:color w:val="000000" w:themeColor="text1"/>
          <w:sz w:val="18"/>
          <w:szCs w:val="18"/>
        </w:rPr>
      </w:pPr>
    </w:p>
    <w:p w:rsidR="00905EDE" w:rsidRDefault="00D97C46">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一、任务来源、起草单位、</w:t>
      </w:r>
      <w:r>
        <w:rPr>
          <w:rFonts w:ascii="黑体" w:eastAsia="黑体" w:hAnsi="黑体"/>
          <w:b w:val="0"/>
          <w:color w:val="000000" w:themeColor="text1"/>
        </w:rPr>
        <w:t>主要起草人</w:t>
      </w:r>
    </w:p>
    <w:p w:rsidR="00905EDE" w:rsidRDefault="00D97C46">
      <w:pPr>
        <w:spacing w:afterLines="50" w:after="120"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根据《广西标准化协会关于下达2025年第二十八批团体标准制修订项目计划的通知》（桂标协〔2025〕255号）文件精神，由南宁市第二人民医院提出，南宁市第二人民医院、中山大学附属第一医院广西医院、广西医科大学第一附属医院、广西医科大学第二附属医院、南宁市第一人民医院、桂林医学院附属医院、广西壮族自治区南溪山医院、玉林市第一人民医院、柳州市中医医院等单位共同起草的团体标准《髋关节大手术前深静脉血栓形成预测规范》（项目编号：2025-2810）已获批立项。</w:t>
      </w:r>
    </w:p>
    <w:p w:rsidR="00905EDE" w:rsidRDefault="00D97C46">
      <w:pPr>
        <w:spacing w:afterLines="50" w:after="120"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为高质量编制团体标准《髋关节大手术前深静脉血栓形成预测规范》，由起草单位成立标准编制工作组并进行如下分工：</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660"/>
        <w:gridCol w:w="1579"/>
        <w:gridCol w:w="2169"/>
        <w:gridCol w:w="2792"/>
      </w:tblGrid>
      <w:tr w:rsidR="00905EDE">
        <w:trPr>
          <w:trHeight w:val="450"/>
          <w:tblHeader/>
          <w:jc w:val="center"/>
        </w:trPr>
        <w:tc>
          <w:tcPr>
            <w:tcW w:w="603" w:type="pct"/>
            <w:vAlign w:val="center"/>
          </w:tcPr>
          <w:p w:rsidR="00905EDE" w:rsidRDefault="00D97C46">
            <w:pPr>
              <w:jc w:val="center"/>
              <w:rPr>
                <w:rFonts w:ascii="仿宋_GB2312" w:eastAsia="仿宋_GB2312" w:hAnsi="Times New Roman"/>
                <w:b/>
                <w:color w:val="000000" w:themeColor="text1"/>
                <w:sz w:val="24"/>
              </w:rPr>
            </w:pPr>
            <w:r>
              <w:rPr>
                <w:rFonts w:ascii="仿宋_GB2312" w:eastAsia="仿宋_GB2312" w:hAnsi="Times New Roman" w:hint="eastAsia"/>
                <w:b/>
                <w:color w:val="000000" w:themeColor="text1"/>
                <w:sz w:val="24"/>
              </w:rPr>
              <w:t>姓名</w:t>
            </w:r>
          </w:p>
        </w:tc>
        <w:tc>
          <w:tcPr>
            <w:tcW w:w="890" w:type="pct"/>
            <w:vAlign w:val="center"/>
          </w:tcPr>
          <w:p w:rsidR="00905EDE" w:rsidRDefault="00D97C46">
            <w:pPr>
              <w:jc w:val="center"/>
              <w:rPr>
                <w:rFonts w:ascii="仿宋_GB2312" w:eastAsia="仿宋_GB2312" w:hAnsi="Times New Roman"/>
                <w:b/>
                <w:color w:val="000000" w:themeColor="text1"/>
                <w:sz w:val="24"/>
              </w:rPr>
            </w:pPr>
            <w:r>
              <w:rPr>
                <w:rFonts w:ascii="仿宋_GB2312" w:eastAsia="仿宋_GB2312" w:hAnsi="Times New Roman" w:hint="eastAsia"/>
                <w:b/>
                <w:color w:val="000000" w:themeColor="text1"/>
                <w:sz w:val="24"/>
              </w:rPr>
              <w:t>职务/职称</w:t>
            </w:r>
          </w:p>
        </w:tc>
        <w:tc>
          <w:tcPr>
            <w:tcW w:w="847" w:type="pct"/>
            <w:vAlign w:val="center"/>
          </w:tcPr>
          <w:p w:rsidR="00905EDE" w:rsidRDefault="00D97C46">
            <w:pPr>
              <w:jc w:val="center"/>
              <w:rPr>
                <w:rFonts w:ascii="仿宋_GB2312" w:eastAsia="仿宋_GB2312" w:hAnsi="Times New Roman"/>
                <w:b/>
                <w:color w:val="000000" w:themeColor="text1"/>
                <w:sz w:val="24"/>
              </w:rPr>
            </w:pPr>
            <w:r>
              <w:rPr>
                <w:rFonts w:ascii="仿宋_GB2312" w:eastAsia="仿宋_GB2312" w:hAnsi="Times New Roman" w:hint="eastAsia"/>
                <w:b/>
                <w:color w:val="000000" w:themeColor="text1"/>
                <w:sz w:val="24"/>
              </w:rPr>
              <w:t>从事专业</w:t>
            </w:r>
          </w:p>
        </w:tc>
        <w:tc>
          <w:tcPr>
            <w:tcW w:w="1163" w:type="pct"/>
            <w:vAlign w:val="center"/>
          </w:tcPr>
          <w:p w:rsidR="00905EDE" w:rsidRDefault="00D97C46">
            <w:pPr>
              <w:jc w:val="center"/>
              <w:rPr>
                <w:rFonts w:ascii="仿宋_GB2312" w:eastAsia="仿宋_GB2312" w:hAnsi="Times New Roman"/>
                <w:b/>
                <w:color w:val="000000" w:themeColor="text1"/>
                <w:sz w:val="24"/>
              </w:rPr>
            </w:pPr>
            <w:r>
              <w:rPr>
                <w:rFonts w:ascii="仿宋_GB2312" w:eastAsia="仿宋_GB2312" w:hAnsi="Times New Roman" w:hint="eastAsia"/>
                <w:b/>
                <w:color w:val="000000" w:themeColor="text1"/>
                <w:sz w:val="24"/>
              </w:rPr>
              <w:t>工作单位</w:t>
            </w:r>
          </w:p>
        </w:tc>
        <w:tc>
          <w:tcPr>
            <w:tcW w:w="1497" w:type="pct"/>
            <w:vAlign w:val="center"/>
          </w:tcPr>
          <w:p w:rsidR="00905EDE" w:rsidRDefault="00D97C46">
            <w:pPr>
              <w:jc w:val="center"/>
              <w:rPr>
                <w:rFonts w:ascii="仿宋_GB2312" w:eastAsia="仿宋_GB2312" w:hAnsi="Times New Roman"/>
                <w:b/>
                <w:color w:val="000000" w:themeColor="text1"/>
                <w:sz w:val="24"/>
              </w:rPr>
            </w:pPr>
            <w:r>
              <w:rPr>
                <w:rFonts w:ascii="仿宋_GB2312" w:eastAsia="仿宋_GB2312" w:hAnsi="Times New Roman" w:hint="eastAsia"/>
                <w:b/>
                <w:color w:val="000000" w:themeColor="text1"/>
                <w:sz w:val="24"/>
              </w:rPr>
              <w:t>责任分工</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color w:val="000000" w:themeColor="text1"/>
                <w:sz w:val="24"/>
                <w:szCs w:val="32"/>
              </w:rPr>
              <w:t>刘剑伟</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副院长/主任医师</w:t>
            </w:r>
          </w:p>
        </w:tc>
        <w:tc>
          <w:tcPr>
            <w:tcW w:w="847"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统筹标准编制工作，组织人员进行规范发布后的宣贯培训。</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color w:val="000000" w:themeColor="text1"/>
                <w:sz w:val="24"/>
                <w:szCs w:val="32"/>
              </w:rPr>
              <w:t>夏</w:t>
            </w:r>
            <w:r>
              <w:rPr>
                <w:rFonts w:ascii="仿宋_GB2312" w:eastAsia="仿宋_GB2312" w:hAnsi="仿宋" w:hint="eastAsia"/>
                <w:color w:val="000000" w:themeColor="text1"/>
                <w:sz w:val="24"/>
                <w:szCs w:val="32"/>
              </w:rPr>
              <w:t>文豪</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副院长/教授</w:t>
            </w:r>
          </w:p>
        </w:tc>
        <w:tc>
          <w:tcPr>
            <w:tcW w:w="847"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中山大学附属第一医院广西医院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指导标准文本及编制说明编写，质量控制。</w:t>
            </w:r>
          </w:p>
        </w:tc>
      </w:tr>
      <w:tr w:rsidR="00905EDE">
        <w:trPr>
          <w:trHeight w:val="995"/>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color w:val="000000" w:themeColor="text1"/>
                <w:sz w:val="24"/>
                <w:szCs w:val="32"/>
              </w:rPr>
              <w:t>顾容赫</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color w:val="000000" w:themeColor="text1"/>
                <w:sz w:val="24"/>
                <w:szCs w:val="32"/>
              </w:rPr>
              <w:t>副院长/教授</w:t>
            </w:r>
          </w:p>
        </w:tc>
        <w:tc>
          <w:tcPr>
            <w:tcW w:w="847"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南宁市第一人民医院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对标准实施情况进行总结分析，不断对标准提出修正意见。</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贺茂林</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脊柱外科副主任/教授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广西医科大学第一附属医院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负责起草标准草案，征求意见稿和标准编制说明，送审稿及编制说明的编写工作。</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陈远明</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骨科副主任/主任医师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骨科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广西医科大学第二附属医院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负责起草标准草案，征求意见稿和标准编制说明，送审稿及编制说明的编写工作。</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lastRenderedPageBreak/>
              <w:t>胡峰</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骨科副主任/副主任医师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骨科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广西医科大学第二附属医院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戴海</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骨科大主任/主任医师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骨科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南宁市第一人民医院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杨晗</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主治医师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胸心血管外科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广西医科大学第一附属医院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沈</w:t>
            </w:r>
            <w:r>
              <w:rPr>
                <w:rFonts w:ascii="微软雅黑" w:eastAsia="微软雅黑" w:hAnsi="微软雅黑" w:cs="微软雅黑" w:hint="eastAsia"/>
                <w:color w:val="000000" w:themeColor="text1"/>
                <w:sz w:val="24"/>
                <w:szCs w:val="32"/>
              </w:rPr>
              <w:t>翀</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脊柱外科主任/主任医师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桂林医学院附属医院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李亮</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脊柱外科主任/副主任医师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广西壮族</w:t>
            </w:r>
            <w:r>
              <w:rPr>
                <w:rFonts w:ascii="仿宋_GB2312" w:eastAsia="仿宋_GB2312" w:hAnsi="仿宋"/>
                <w:color w:val="000000" w:themeColor="text1"/>
                <w:sz w:val="24"/>
                <w:szCs w:val="32"/>
              </w:rPr>
              <w:t>自治区</w:t>
            </w:r>
            <w:r>
              <w:rPr>
                <w:rFonts w:ascii="仿宋_GB2312" w:eastAsia="仿宋_GB2312" w:hAnsi="仿宋" w:hint="eastAsia"/>
                <w:color w:val="000000" w:themeColor="text1"/>
                <w:sz w:val="24"/>
                <w:szCs w:val="32"/>
              </w:rPr>
              <w:t>南溪山医院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陆禹严</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脊柱骨病外科主任/副主任医师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玉林市第一人民医 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王润生</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副主任医师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骨科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柳州市中医医院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肖鹏</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北京大学医学部康复医学学系秘书</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康复医学</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北京大学人民医院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梁宇</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代理脊柱外科主任/主任医师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黄家志</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副主任医师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color w:val="000000" w:themeColor="text1"/>
                <w:sz w:val="24"/>
              </w:rPr>
              <w:t>关节外科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徐攀峰</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副主任医师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骨科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柳州市中医医院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周忠贤</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主治医师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黄炳菘</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主治医师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蓝英</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主治医师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耳鼻咽喉头颈外科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color w:val="000000" w:themeColor="text1"/>
                <w:sz w:val="24"/>
                <w:szCs w:val="32"/>
              </w:rPr>
              <w:lastRenderedPageBreak/>
              <w:t>汪莉</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color w:val="000000" w:themeColor="text1"/>
                <w:sz w:val="24"/>
                <w:szCs w:val="32"/>
              </w:rPr>
              <w:t>护理部主任/主任护师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color w:val="000000" w:themeColor="text1"/>
                <w:sz w:val="24"/>
              </w:rPr>
              <w:t>护理管理</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南宁市第一人民医院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严凤娇</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护理部主任/主任护师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护理管理</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中山大学附属第一 医院广西医院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陈露林</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主管医师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公共卫生</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吕培镇</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主治医师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脊柱外科</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r w:rsidR="00905EDE">
        <w:trPr>
          <w:trHeight w:val="850"/>
          <w:jc w:val="center"/>
        </w:trPr>
        <w:tc>
          <w:tcPr>
            <w:tcW w:w="60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李艺钊</w:t>
            </w:r>
          </w:p>
        </w:tc>
        <w:tc>
          <w:tcPr>
            <w:tcW w:w="890"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中级统计师</w:t>
            </w:r>
          </w:p>
        </w:tc>
        <w:tc>
          <w:tcPr>
            <w:tcW w:w="847" w:type="pct"/>
            <w:vAlign w:val="center"/>
          </w:tcPr>
          <w:p w:rsidR="00905EDE" w:rsidRDefault="00D97C46">
            <w:pPr>
              <w:jc w:val="center"/>
              <w:rPr>
                <w:rFonts w:ascii="仿宋_GB2312" w:eastAsia="仿宋_GB2312" w:hAnsi="仿宋"/>
                <w:color w:val="000000" w:themeColor="text1"/>
                <w:sz w:val="24"/>
              </w:rPr>
            </w:pPr>
            <w:r>
              <w:rPr>
                <w:rFonts w:ascii="仿宋_GB2312" w:eastAsia="仿宋_GB2312" w:hAnsi="仿宋" w:hint="eastAsia"/>
                <w:color w:val="000000" w:themeColor="text1"/>
                <w:sz w:val="24"/>
              </w:rPr>
              <w:t>卫生管理</w:t>
            </w:r>
          </w:p>
        </w:tc>
        <w:tc>
          <w:tcPr>
            <w:tcW w:w="1163" w:type="pct"/>
            <w:vAlign w:val="center"/>
          </w:tcPr>
          <w:p w:rsidR="00905EDE" w:rsidRDefault="00D97C46">
            <w:pPr>
              <w:jc w:val="center"/>
              <w:textAlignment w:val="baseline"/>
              <w:rPr>
                <w:rFonts w:ascii="仿宋_GB2312" w:eastAsia="仿宋_GB2312" w:hAnsi="仿宋"/>
                <w:color w:val="000000" w:themeColor="text1"/>
                <w:sz w:val="24"/>
                <w:szCs w:val="32"/>
              </w:rPr>
            </w:pPr>
            <w:r>
              <w:rPr>
                <w:rFonts w:ascii="仿宋_GB2312" w:eastAsia="仿宋_GB2312" w:hAnsi="仿宋" w:hint="eastAsia"/>
                <w:color w:val="000000" w:themeColor="text1"/>
                <w:sz w:val="24"/>
                <w:szCs w:val="32"/>
              </w:rPr>
              <w:t>南宁市第二人民医院</w:t>
            </w:r>
          </w:p>
        </w:tc>
        <w:tc>
          <w:tcPr>
            <w:tcW w:w="1497" w:type="pct"/>
            <w:vAlign w:val="center"/>
          </w:tcPr>
          <w:p w:rsidR="00905EDE" w:rsidRDefault="00D97C46">
            <w:pPr>
              <w:suppressAutoHyphens/>
              <w:rPr>
                <w:rFonts w:ascii="仿宋_GB2312" w:eastAsia="仿宋_GB2312" w:hAnsi="仿宋_GB2312" w:cs="仿宋_GB2312"/>
                <w:bCs/>
                <w:color w:val="000000" w:themeColor="text1"/>
                <w:sz w:val="24"/>
              </w:rPr>
            </w:pPr>
            <w:r>
              <w:rPr>
                <w:rFonts w:ascii="仿宋_GB2312" w:eastAsia="仿宋_GB2312" w:hAnsi="仿宋_GB2312" w:cs="仿宋_GB2312" w:hint="eastAsia"/>
                <w:bCs/>
                <w:color w:val="000000" w:themeColor="text1"/>
                <w:sz w:val="24"/>
              </w:rPr>
              <w:t>查询、收集和整理资料，协助标准文本及编制说明的编写、实施。</w:t>
            </w:r>
          </w:p>
        </w:tc>
      </w:tr>
    </w:tbl>
    <w:p w:rsidR="00905EDE" w:rsidRDefault="00D97C46">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二、制定标准的必要性和意义</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深静脉血栓形成（DVT）是髋关节大手术（如全髋置换、髋部骨折修复等）常见且严重的并发症之一，若未能及时发现和处理，血栓一旦脱落，可引发肺栓塞等致命性后果。据统计，我国每年髋关节手术量已超过50万例，且仍以8％～10％的速度增长。然而，髋关节大手术患者术后 DVT 的发生率高达40％～60％，严重威胁患者生命健康与术后康复质量。髋关节大手术前深静脉血栓形成预测是一套针对髋关节大手术患者，在术前通过综合评估患者个体特征、病史、实验室检查指标等多维度信息，运用科学模型和方法，预测患者术后发生深静脉血栓风险的方法。</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近三年广西地区髋关节大手术年病例数超4,000例，其中高龄（≥65岁）、肥胖（BMI≥25 kg/m</w:t>
      </w:r>
      <w:r>
        <w:rPr>
          <w:rFonts w:eastAsia="仿宋_GB2312"/>
          <w:color w:val="000000" w:themeColor="text1"/>
          <w:sz w:val="32"/>
          <w:szCs w:val="32"/>
        </w:rPr>
        <w:t>²</w:t>
      </w:r>
      <w:r>
        <w:rPr>
          <w:rFonts w:ascii="仿宋_GB2312" w:eastAsia="仿宋_GB2312" w:hAnsi="仿宋_GB2312" w:cs="仿宋_GB2312" w:hint="eastAsia"/>
          <w:color w:val="000000" w:themeColor="text1"/>
          <w:sz w:val="32"/>
          <w:szCs w:val="32"/>
        </w:rPr>
        <w:t>）或合并糖尿病的高危人群占比约</w:t>
      </w:r>
      <w:r>
        <w:rPr>
          <w:rFonts w:ascii="仿宋_GB2312" w:eastAsia="仿宋_GB2312" w:hint="eastAsia"/>
          <w:color w:val="000000" w:themeColor="text1"/>
          <w:sz w:val="32"/>
          <w:szCs w:val="32"/>
        </w:rPr>
        <w:t>40%（≥1,600例/年）。我院基于200例样本构建的术前深静脉血栓（DVT）预测模型（Logistic回归）显示：对高危患者筛查灵敏度达89.2%；采用"预测模型指导的联合预防策略"（抗凝药物+间歇充气加压装置）后，DVT发生率从单药预防组的</w:t>
      </w:r>
      <w:r>
        <w:rPr>
          <w:rFonts w:ascii="仿宋_GB2312" w:eastAsia="仿宋_GB2312" w:hint="eastAsia"/>
          <w:color w:val="000000" w:themeColor="text1"/>
          <w:sz w:val="32"/>
          <w:szCs w:val="32"/>
        </w:rPr>
        <w:lastRenderedPageBreak/>
        <w:t>33.1%显著降至11.4%（降幅65.5%），且早期筛查患者经抗凝治疗症状缓解率超95%且无肺栓塞发生，其中术前72小时使用利伐沙班抗凝组DVT发生率低至2.5%。该模型精准识别四大高危因素：高龄（OR=2.53）、高BMI（OR=2.24）、骨水泥使用（OR=2.19）和全麻（OR=2.21），结合氨甲环酸可减少术中出血30%且不增加DVT风险（P&gt;0.05）。经全区多家医院（含桂林医学院附属医院、右江民族医学院附属医院等）的200余人次培训验证，该方案具备临床可操作性。目前广西60余家二级以上医院骨科中，仍有40余家需完善该预测模型应用，亟需建立标准化流程以实现全区覆盖。</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通过制定团体标准《髋关节大手术前深静脉血栓形成预测规范》，以标准为抓手，统一规范髋关节大手术前深静脉血栓形成预测技术要求，对提高髋关节大手术前深静脉血栓形成预测技术水平，进一步提升预测的准确性和可靠性，推进精准医学模式的研究与实践，助力临床医学事业高质量发展具有重要意义。</w:t>
      </w:r>
    </w:p>
    <w:p w:rsidR="00905EDE" w:rsidRDefault="00D97C46">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三、主要起草过程</w:t>
      </w:r>
    </w:p>
    <w:p w:rsidR="00905EDE" w:rsidRDefault="00D97C46">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（一）成立标准编制工作组</w:t>
      </w:r>
    </w:p>
    <w:p w:rsidR="00905EDE" w:rsidRDefault="00D97C46">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团体标准《髋关节大手术前深静脉血栓形成预测规范》项目任务下达后，南宁市第二人民医院、中山大学附属第一医院广西医院、广西医科大学第一附属医院、广西医科大学第二附属医院、南宁市第一人民医院、桂林医学院附属医院、广西壮族自治区南溪山医院、玉林市第一人民医院、柳州市中医医院等单位成立了标准编制工作组，制定了起草编写方案与进度安排，明确任务职责，确定工作技术路线，开展标准研制工作。具体标准编制工作由起草单位相关人员配合完成。</w:t>
      </w:r>
    </w:p>
    <w:p w:rsidR="00905EDE" w:rsidRDefault="00D97C46">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为了明确标准编制的任务职责，确定工作技术路线，开展标</w:t>
      </w:r>
      <w:r>
        <w:rPr>
          <w:rFonts w:ascii="仿宋_GB2312" w:eastAsia="仿宋_GB2312" w:hint="eastAsia"/>
          <w:color w:val="000000" w:themeColor="text1"/>
          <w:sz w:val="32"/>
          <w:szCs w:val="32"/>
        </w:rPr>
        <w:lastRenderedPageBreak/>
        <w:t>准研制工作。编制工作组下设三个组，分别是资料收集组、草案编写组、标准实施组。</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资料收集组负责国内外有关髋关节大手术前深静脉血栓形成预测技术相关文献资料的查询、收集和整理工作，查阅前期对髋关节大手术前深静脉血栓形成预测技术的有关研究情况和目前医学界对髋关节大手术前深静脉血栓形成预测技术的研究进展。</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草案编写组负责起草标准草案及后续征求意见稿和标准编制说明、送审稿及编制说明等编写工作，包括后期召开征求意见会、网上征求意见，以及标准的不断修改和完善。</w:t>
      </w:r>
    </w:p>
    <w:p w:rsidR="00905EDE" w:rsidRDefault="00D97C46">
      <w:pPr>
        <w:spacing w:line="520" w:lineRule="exact"/>
        <w:ind w:firstLineChars="200" w:firstLine="640"/>
        <w:jc w:val="left"/>
        <w:rPr>
          <w:rFonts w:ascii="仿宋_GB2312" w:eastAsia="仿宋_GB2312" w:cs="仿宋_GB2312"/>
          <w:color w:val="000000" w:themeColor="text1"/>
          <w:sz w:val="28"/>
          <w:szCs w:val="28"/>
        </w:rPr>
      </w:pPr>
      <w:r>
        <w:rPr>
          <w:rFonts w:ascii="仿宋_GB2312" w:eastAsia="仿宋_GB2312" w:hint="eastAsia"/>
          <w:color w:val="000000" w:themeColor="text1"/>
          <w:sz w:val="32"/>
          <w:szCs w:val="32"/>
        </w:rPr>
        <w:t>标准实施组负责团体标准《髋关节大手术前深静脉血栓形成预测规范》发布后，组织相关</w:t>
      </w:r>
      <w:r>
        <w:rPr>
          <w:rFonts w:ascii="仿宋_GB2312" w:eastAsia="仿宋_GB2312"/>
          <w:color w:val="000000" w:themeColor="text1"/>
          <w:sz w:val="32"/>
          <w:szCs w:val="32"/>
        </w:rPr>
        <w:t>企</w:t>
      </w:r>
      <w:r>
        <w:rPr>
          <w:rFonts w:ascii="仿宋_GB2312" w:eastAsia="仿宋_GB2312" w:hint="eastAsia"/>
          <w:color w:val="000000" w:themeColor="text1"/>
          <w:sz w:val="32"/>
          <w:szCs w:val="32"/>
        </w:rPr>
        <w:t>事业单位、</w:t>
      </w:r>
      <w:r>
        <w:rPr>
          <w:rFonts w:ascii="仿宋_GB2312" w:eastAsia="仿宋_GB2312"/>
          <w:color w:val="000000" w:themeColor="text1"/>
          <w:sz w:val="32"/>
          <w:szCs w:val="32"/>
        </w:rPr>
        <w:t>高校、科研机构</w:t>
      </w:r>
      <w:r>
        <w:rPr>
          <w:rFonts w:ascii="仿宋_GB2312" w:eastAsia="仿宋_GB2312" w:hint="eastAsia"/>
          <w:color w:val="000000" w:themeColor="text1"/>
          <w:sz w:val="32"/>
          <w:szCs w:val="32"/>
        </w:rPr>
        <w:t>开展标准宣贯培训会，对标准进行详细解读，让相关人员了解标准，并根据标准对髋关节大手术前深静脉血栓形成预测技术进行规范化操作，并对标准实施情况进行总结分析，不断对标准提出修正意见。</w:t>
      </w:r>
    </w:p>
    <w:p w:rsidR="00905EDE" w:rsidRDefault="00D97C46">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（二）收集整理文献资料</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标准编制工作组收集了国内有关“血栓形成”“深静脉血栓形成”的相关文献资料。主要有：</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《YY/T 1770.1-2021医疗器械血栓形成试验 第1部分：犬体内血栓形成试验》。</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《T/CADERM 3034—2020严重创伤患者深静脉血栓形成的预防及处置规范》</w:t>
      </w:r>
    </w:p>
    <w:p w:rsidR="00905EDE" w:rsidRDefault="00D97C46">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（三）研讨确定标准特色</w:t>
      </w:r>
      <w:r>
        <w:rPr>
          <w:rFonts w:ascii="楷体" w:eastAsia="楷体" w:hAnsi="楷体" w:cs="楷体"/>
          <w:b/>
          <w:color w:val="000000" w:themeColor="text1"/>
          <w:sz w:val="32"/>
          <w:szCs w:val="32"/>
        </w:rPr>
        <w:t>、</w:t>
      </w:r>
      <w:r>
        <w:rPr>
          <w:rFonts w:ascii="楷体" w:eastAsia="楷体" w:hAnsi="楷体" w:cs="楷体" w:hint="eastAsia"/>
          <w:b/>
          <w:color w:val="000000" w:themeColor="text1"/>
          <w:sz w:val="32"/>
          <w:szCs w:val="32"/>
        </w:rPr>
        <w:t>创新点和主体内容</w:t>
      </w:r>
    </w:p>
    <w:p w:rsidR="00905EDE" w:rsidRDefault="00D97C46">
      <w:pPr>
        <w:pStyle w:val="affa"/>
        <w:rPr>
          <w:rFonts w:ascii="仿宋_GB2312" w:eastAsia="仿宋_GB2312"/>
          <w:color w:val="000000" w:themeColor="text1"/>
        </w:rPr>
      </w:pPr>
      <w:r>
        <w:rPr>
          <w:rFonts w:ascii="仿宋_GB2312" w:eastAsia="仿宋_GB2312" w:hint="eastAsia"/>
          <w:color w:val="000000" w:themeColor="text1"/>
        </w:rPr>
        <w:t>标准编制工作组在对收集的资料进行整理研究之后，标准编制工作组召开了标准编制会议，对标准的整体框架结构进行了研</w:t>
      </w:r>
      <w:r>
        <w:rPr>
          <w:rFonts w:ascii="仿宋_GB2312" w:eastAsia="仿宋_GB2312" w:hint="eastAsia"/>
          <w:color w:val="000000" w:themeColor="text1"/>
        </w:rPr>
        <w:lastRenderedPageBreak/>
        <w:t>究，并对标准的关键性内容进行了初步探讨。经过研究，标准特色、创新点和主体内容如下</w:t>
      </w:r>
      <w:r>
        <w:rPr>
          <w:rFonts w:ascii="仿宋_GB2312" w:eastAsia="仿宋_GB2312"/>
          <w:color w:val="000000" w:themeColor="text1"/>
        </w:rPr>
        <w:t>：</w:t>
      </w:r>
    </w:p>
    <w:p w:rsidR="00905EDE" w:rsidRDefault="00D97C46">
      <w:pPr>
        <w:pStyle w:val="affa"/>
        <w:rPr>
          <w:rFonts w:ascii="仿宋_GB2312" w:eastAsia="仿宋_GB2312"/>
          <w:color w:val="000000" w:themeColor="text1"/>
        </w:rPr>
      </w:pPr>
      <w:r>
        <w:rPr>
          <w:rFonts w:ascii="仿宋_GB2312" w:eastAsia="仿宋_GB2312"/>
          <w:color w:val="000000" w:themeColor="text1"/>
        </w:rPr>
        <w:t>1.</w:t>
      </w:r>
      <w:r>
        <w:rPr>
          <w:rFonts w:ascii="仿宋_GB2312" w:eastAsia="仿宋_GB2312" w:hint="eastAsia"/>
          <w:color w:val="000000" w:themeColor="text1"/>
        </w:rPr>
        <w:t>特色</w:t>
      </w:r>
    </w:p>
    <w:p w:rsidR="00905EDE" w:rsidRDefault="00D97C46">
      <w:pPr>
        <w:pStyle w:val="affa"/>
        <w:rPr>
          <w:rFonts w:ascii="仿宋_GB2312" w:eastAsia="仿宋_GB2312"/>
          <w:color w:val="000000" w:themeColor="text1"/>
          <w:highlight w:val="yellow"/>
        </w:rPr>
      </w:pPr>
      <w:r>
        <w:rPr>
          <w:rFonts w:ascii="仿宋_GB2312" w:eastAsia="仿宋_GB2312" w:hint="eastAsia"/>
          <w:color w:val="000000" w:themeColor="text1"/>
        </w:rPr>
        <w:t>专门针对髋关节大手术（含髋关节置换、翻修等创伤大、手术时间长的术式）前的深静脉血栓形成预测，不泛化至其他手术类型，贴合临床中髋关节大手术患者深静脉血栓风险较高的实际需求，为该特定场景下的风险评估提供专属规范。</w:t>
      </w:r>
    </w:p>
    <w:p w:rsidR="00905EDE" w:rsidRDefault="00D97C46">
      <w:pPr>
        <w:pStyle w:val="affa"/>
        <w:rPr>
          <w:rFonts w:ascii="仿宋_GB2312" w:eastAsia="仿宋_GB2312"/>
          <w:color w:val="000000" w:themeColor="text1"/>
        </w:rPr>
      </w:pPr>
      <w:r>
        <w:rPr>
          <w:rFonts w:ascii="仿宋_GB2312" w:eastAsia="仿宋_GB2312" w:hint="eastAsia"/>
          <w:color w:val="000000" w:themeColor="text1"/>
        </w:rPr>
        <w:t>2.创新点</w:t>
      </w:r>
    </w:p>
    <w:p w:rsidR="00905EDE" w:rsidRDefault="00D97C46">
      <w:pPr>
        <w:pStyle w:val="affa"/>
        <w:rPr>
          <w:rFonts w:ascii="仿宋_GB2312" w:eastAsia="仿宋_GB2312"/>
          <w:color w:val="000000" w:themeColor="text1"/>
        </w:rPr>
      </w:pPr>
      <w:r>
        <w:rPr>
          <w:rFonts w:ascii="仿宋_GB2312" w:eastAsia="仿宋_GB2312" w:hint="eastAsia"/>
          <w:color w:val="000000" w:themeColor="text1"/>
        </w:rPr>
        <w:t>从众多预测因素中筛选出高龄、高BMI、骨水泥使用、全麻、术前抗凝药物使用5项核心指标，采用“1/0”二元赋值法，将定性的风险因素转化为定量数据。</w:t>
      </w:r>
    </w:p>
    <w:p w:rsidR="00905EDE" w:rsidRDefault="00D97C46">
      <w:pPr>
        <w:pStyle w:val="affa"/>
        <w:rPr>
          <w:rFonts w:ascii="仿宋_GB2312" w:eastAsia="仿宋_GB2312"/>
          <w:color w:val="000000" w:themeColor="text1"/>
        </w:rPr>
      </w:pPr>
      <w:r>
        <w:rPr>
          <w:rFonts w:ascii="仿宋_GB2312" w:eastAsia="仿宋_GB2312" w:hint="eastAsia"/>
          <w:color w:val="000000" w:themeColor="text1"/>
        </w:rPr>
        <w:t>针对髋关节大手术前深静脉血栓形成的风险概率计算公式，通过赋予不同核心指标特定权重系数，实现风险的精准量化计算，让风险评估从“经验判断”升级为“数据驱动”。</w:t>
      </w:r>
    </w:p>
    <w:p w:rsidR="00905EDE" w:rsidRDefault="00D97C46">
      <w:pPr>
        <w:pStyle w:val="affa"/>
        <w:rPr>
          <w:rFonts w:ascii="仿宋_GB2312" w:eastAsia="仿宋_GB2312"/>
          <w:color w:val="000000" w:themeColor="text1"/>
          <w:highlight w:val="yellow"/>
        </w:rPr>
      </w:pPr>
      <w:r>
        <w:rPr>
          <w:rFonts w:ascii="仿宋_GB2312" w:eastAsia="仿宋_GB2312" w:hint="eastAsia"/>
          <w:color w:val="000000" w:themeColor="text1"/>
        </w:rPr>
        <w:t>依据个体化风险概率P，将风险明确划分为高（P≥0.85）、中（0.6≤P＜0.85）、低（P＜0.6）三个等级，每个等级对应明确的风险可能性描述，便于临床医护人员快速判断患者风险水平，为后续是否采取预防措施、采取何种强度预防措施提供直观依据。</w:t>
      </w:r>
    </w:p>
    <w:p w:rsidR="00905EDE" w:rsidRDefault="00D97C46">
      <w:pPr>
        <w:pStyle w:val="affa"/>
        <w:rPr>
          <w:rFonts w:ascii="仿宋_GB2312" w:eastAsia="仿宋_GB2312"/>
          <w:color w:val="000000" w:themeColor="text1"/>
        </w:rPr>
      </w:pPr>
      <w:r>
        <w:rPr>
          <w:rFonts w:ascii="仿宋_GB2312" w:eastAsia="仿宋_GB2312"/>
          <w:color w:val="000000" w:themeColor="text1"/>
        </w:rPr>
        <w:t>3</w:t>
      </w:r>
      <w:r>
        <w:rPr>
          <w:rFonts w:ascii="仿宋_GB2312" w:eastAsia="仿宋_GB2312" w:hint="eastAsia"/>
          <w:color w:val="000000" w:themeColor="text1"/>
        </w:rPr>
        <w:t>.主体内容</w:t>
      </w:r>
    </w:p>
    <w:p w:rsidR="00905EDE" w:rsidRDefault="00D97C46">
      <w:pPr>
        <w:pStyle w:val="affa"/>
        <w:rPr>
          <w:rFonts w:ascii="仿宋_GB2312" w:eastAsia="仿宋_GB2312"/>
          <w:color w:val="000000" w:themeColor="text1"/>
        </w:rPr>
      </w:pPr>
      <w:r>
        <w:rPr>
          <w:rFonts w:ascii="仿宋_GB2312" w:eastAsia="仿宋_GB2312" w:hAnsi="Calibri" w:hint="eastAsia"/>
          <w:color w:val="000000" w:themeColor="text1"/>
        </w:rPr>
        <w:t>团体标准《髋关节大手术前深静脉血栓形成预测规范》主要内容包括预测因素</w:t>
      </w:r>
      <w:r>
        <w:rPr>
          <w:rFonts w:ascii="仿宋_GB2312" w:eastAsia="仿宋_GB2312" w:hAnsi="Calibri"/>
          <w:color w:val="000000" w:themeColor="text1"/>
        </w:rPr>
        <w:t>、预测数据收集、</w:t>
      </w:r>
      <w:r>
        <w:rPr>
          <w:rFonts w:ascii="仿宋_GB2312" w:eastAsia="仿宋_GB2312" w:hAnsi="Calibri" w:hint="eastAsia"/>
          <w:color w:val="000000" w:themeColor="text1"/>
        </w:rPr>
        <w:t>预测模型、</w:t>
      </w:r>
      <w:r>
        <w:rPr>
          <w:rFonts w:ascii="仿宋_GB2312" w:eastAsia="仿宋_GB2312" w:hAnsi="Calibri"/>
          <w:color w:val="000000" w:themeColor="text1"/>
        </w:rPr>
        <w:t>风险等级划分</w:t>
      </w:r>
      <w:r>
        <w:rPr>
          <w:rFonts w:ascii="仿宋_GB2312" w:eastAsia="仿宋_GB2312" w:hAnsi="Calibri" w:hint="eastAsia"/>
          <w:color w:val="000000" w:themeColor="text1"/>
        </w:rPr>
        <w:t>等内容。</w:t>
      </w:r>
    </w:p>
    <w:p w:rsidR="00905EDE" w:rsidRDefault="00D97C46">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（四）立项、调研及形成草案、征求意见稿</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2025年5月～2025年6月，标准编制工作组查阅了大量的国内文献资料，对髋关节大手术前深静脉血栓形成预测技术操作相关的文件进行系统总结。形成了标准的基本构架，对主要内容</w:t>
      </w:r>
      <w:r>
        <w:rPr>
          <w:rFonts w:ascii="仿宋_GB2312" w:eastAsia="仿宋_GB2312" w:hint="eastAsia"/>
          <w:color w:val="000000" w:themeColor="text1"/>
          <w:sz w:val="32"/>
          <w:szCs w:val="32"/>
        </w:rPr>
        <w:lastRenderedPageBreak/>
        <w:t>进行了讨论并对项目的工作进行了部署和安排。</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2025年6月～7月，团体标准《髋关节大手术前深静脉血栓形成预测技术操作规范》获批立项，在前期工作的基础之上，通过理清逻辑脉络，整合已有参考资料中有关髋关节大手术前深静脉血栓形成预测技术操作的要求，并在目前髋关节大手术前深静脉血栓形成预测技术操作的基础上，按照简化、统一等原则编制完成团体标准《髋关节大手术前深静脉血栓形成预测技术操作规范》（草案）。</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2025年7月～2025年8月，标准编制工作组深入南宁市第二人民医院、中山大学附属第一医院广西医院、广西医科大学第一附属医院、广西医科大学第二附属医院、南宁市第一人民医院、桂林医学院附属医院、广西壮族自治区南溪山医院、玉林市第一人民医院、柳州市中医医院实施髋关节大手术前深静脉血栓形成预测技术操作的有代表性的医院进行实地调研，并组织相关主管单位、医疗机构等召开标准研讨会，收集反馈了大量意见，对标准草案进行了反复修改和研究讨论，掌握了髋关节大手术前深静脉血栓形成预测技术操作的基本情况以及要求，最终形成了团体标准《髋关节大手术前深静脉血栓形成预测技术操作规范》（征求意见稿）及其编制说明。</w:t>
      </w:r>
    </w:p>
    <w:p w:rsidR="00905EDE" w:rsidRDefault="00D97C46">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（一）编制原则</w:t>
      </w:r>
    </w:p>
    <w:p w:rsidR="00905EDE" w:rsidRDefault="00D97C46">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1、实用性原则</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本标准是在充分收集国内外相关资料和文献、调研分析髋关节大手术前深静脉血栓形成预测技术现状，结合起草单位前期研</w:t>
      </w:r>
      <w:r>
        <w:rPr>
          <w:rFonts w:ascii="仿宋_GB2312" w:eastAsia="仿宋_GB2312" w:hint="eastAsia"/>
          <w:color w:val="000000" w:themeColor="text1"/>
          <w:sz w:val="32"/>
          <w:szCs w:val="32"/>
        </w:rPr>
        <w:lastRenderedPageBreak/>
        <w:t>究工作取得的研究成果及积累的实践经验，并借鉴国内髋关节大手术前深静脉血栓形成预测技术进行总结起草的，符合工作实际，有利于髋关节大手术前深静脉血栓形成预测技术的实施与推广，具有可操作性和实用性。</w:t>
      </w:r>
    </w:p>
    <w:p w:rsidR="00905EDE" w:rsidRDefault="00D97C46">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2、协调性原则</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本文件编写过程中注意了与髋关节大手术前深静脉血栓形成预测技术相关法律法规的协调问题，在内容上与现行法律法规、标准协调一致。</w:t>
      </w:r>
    </w:p>
    <w:p w:rsidR="00905EDE" w:rsidRDefault="00D97C46">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3、规范性原则</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rsidR="00905EDE" w:rsidRDefault="00D97C46">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4、前瞻性原则</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在兼顾当前区内髋关节大手术前深静脉血栓形成预测技术现实情况的同时，还考虑到了髋关节大手术前深静脉血栓形成预测技术的需要，在标准中体现了个别特色性、前瞻性和先进性条款，作为对髋关节大手术前深静脉血栓形成预测技术的指导。</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（二）编制依据</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本标准严格按照GB/T 1.1—2020《标准化工作规范  第1部分：标准化文件的结构和起草规则》的规则起草，标准主要内容依据起草单位在髋关节大手术前深静脉血栓形成预测技术过程中的实践经验确定。</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本标准与相关法律法规、强制性标准协调一致，无冲突。</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经查阅，与“血栓形成”“深静脉血栓形成”相关的标准有：</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其中，《YY/T 1770.1-2021医疗器械血栓形成试验 第1部分：犬体内血栓形成试验》规定了在对医疗器械/材料血液相容性评价时,采用犬进行体内血栓形成试验的方法。适用于对医疗器械/材料是否引起体内血栓形成进行评价。本标准主要针对人体髋关节大手术前的深静脉血栓形成进行预测，行标的犬体内血栓形成不适用，且行标为试验标准，无法为预测提供有效指导。</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《T/CADERM 3034—2020严重创伤患者深静脉血栓形成的预防及处置规范》规定了严重创伤患者深静脉血栓的危险因素、临床特征、辅助检查、预防和治疗等。适用于各级创伤中心的医务人员进行严重创伤患者的救治。本标准主要针对髋关节大手术前的深静脉血栓形成进行预测，比对团标的主体对象针对严重创伤患者，标准化对象不同，无法适用指导髋关节大手术前深静脉血栓形成预测。</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综上所述，目前与关键词相关的标准虽与“血栓形成”“深静脉血栓形成”相关，但是不涉及与髋关节大手术前（全髋置换、髋部骨折修复等）深静脉血栓形成预测相关技术，因适用病理不同，其技术操作的要求有所区别，拟制订团体标准明确髋关节大手术前深静脉血栓形成预测技术的指标和内容等方面，更具有针对性。</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本标准的内容与现行的法律法规及强制性标准无冲突，本文件相关指标不低于强制性国家标准的相关技术要求，标准的编写符合GB/T 1.1—2020的要求。</w:t>
      </w:r>
    </w:p>
    <w:p w:rsidR="00905EDE" w:rsidRDefault="00D97C46">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五、主要条款的说明</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团体标准《髋关节大手术前深静脉血栓形成预测规范》的核心技术和创新点在于：从众多预测因素中筛选出高龄、高BMI、</w:t>
      </w:r>
      <w:r>
        <w:rPr>
          <w:rFonts w:ascii="仿宋_GB2312" w:eastAsia="仿宋_GB2312" w:hint="eastAsia"/>
          <w:color w:val="000000" w:themeColor="text1"/>
          <w:sz w:val="32"/>
          <w:szCs w:val="32"/>
        </w:rPr>
        <w:lastRenderedPageBreak/>
        <w:t>骨水泥使用、全麻、术前抗凝药物使用5项核心指标，采用“1/0”二元赋值法，将定性的风险因素转化为定量数据。</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针对髋关节大手术前深静脉血栓形成的风险概率计算公式，通过赋予不同核心指标特定权重系数，实现风险的精准量化计算，让风险评估从“经验判断”升级为“数据驱动”。</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依据个体化风险概率P，将风险明确划分为高（P≥0.85）、中（0.6≤P＜0.85）、低（P＜0.6）三个等级，每个等级对应明确的风险可能性描述，便于临床医护人员快速判断患者风险水平，为后续是否采取预防措施、采取何种强度预防措施提供直观依据。</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团体标准《髋关节大手术前深静脉血栓形成预测规范》主要内容包括预测因素</w:t>
      </w:r>
      <w:r>
        <w:rPr>
          <w:rFonts w:ascii="仿宋_GB2312" w:eastAsia="仿宋_GB2312"/>
          <w:color w:val="000000" w:themeColor="text1"/>
          <w:sz w:val="32"/>
          <w:szCs w:val="32"/>
        </w:rPr>
        <w:t>、预测数据收集、</w:t>
      </w:r>
      <w:r>
        <w:rPr>
          <w:rFonts w:ascii="仿宋_GB2312" w:eastAsia="仿宋_GB2312" w:hint="eastAsia"/>
          <w:color w:val="000000" w:themeColor="text1"/>
          <w:sz w:val="32"/>
          <w:szCs w:val="32"/>
        </w:rPr>
        <w:t>预测模型、</w:t>
      </w:r>
      <w:r>
        <w:rPr>
          <w:rFonts w:ascii="仿宋_GB2312" w:eastAsia="仿宋_GB2312"/>
          <w:color w:val="000000" w:themeColor="text1"/>
          <w:sz w:val="32"/>
          <w:szCs w:val="32"/>
        </w:rPr>
        <w:t>风险等级划分</w:t>
      </w:r>
      <w:r>
        <w:rPr>
          <w:rFonts w:ascii="仿宋_GB2312" w:eastAsia="仿宋_GB2312" w:hint="eastAsia"/>
          <w:color w:val="000000" w:themeColor="text1"/>
          <w:sz w:val="32"/>
          <w:szCs w:val="32"/>
        </w:rPr>
        <w:t>等内容。主要内容及依据来源说明如下：</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（一）术语和</w:t>
      </w:r>
      <w:r>
        <w:rPr>
          <w:rFonts w:ascii="Times New Roman" w:eastAsia="楷体" w:hAnsi="Times New Roman" w:cs="Times New Roman"/>
          <w:b/>
          <w:bCs/>
          <w:color w:val="000000" w:themeColor="text1"/>
          <w:kern w:val="0"/>
          <w:sz w:val="32"/>
          <w:szCs w:val="32"/>
        </w:rPr>
        <w:t>定义</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对于“髋关节大手术”，明确其涵盖髋关节置换、翻修等“创伤较大、手术时间相对较长”的外科手术，这是因为此类手术对患者机体影响显著，深静脉血栓形成风险远高于常规小手术，是临床重点防控场景；对于“深静脉血栓形成”，强调“血液在深静脉内不正常凝结、阻塞血管腔、导致静脉回流障碍”且“常发生于下肢深静脉”，既点明疾病的病理生理机制，又指出高发部位，为后续风险预测因素筛选、数据收集等环节明确目标。</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（二）预测因素</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在筛选预测因素时，既尽可能覆盖与深静脉血栓形成相关的各类因素，避免遗漏关键风险点，又选择临床中易获取、可量化或可明确判断的指标（如年龄可直接记录、病史可通过问诊确认、手术相关信息可从手术方案获取），确保医护人员能通过常规病史采集、体格检查、查阅手术计划等方式完成数据收集，具备实</w:t>
      </w:r>
      <w:r>
        <w:rPr>
          <w:rFonts w:ascii="仿宋_GB2312" w:eastAsia="仿宋_GB2312" w:hint="eastAsia"/>
          <w:color w:val="000000" w:themeColor="text1"/>
          <w:sz w:val="32"/>
          <w:szCs w:val="32"/>
        </w:rPr>
        <w:lastRenderedPageBreak/>
        <w:t>际临床操作可行性。</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基本指标（年龄、BMI）：年龄≥65岁的患者因血管弹性下降、凝血功能调节能力减弱，深静脉血栓形成风险升高；BMI≥28.0kg/m</w:t>
      </w:r>
      <w:r>
        <w:rPr>
          <w:rFonts w:ascii="宋体" w:hAnsi="宋体"/>
          <w:color w:val="000000" w:themeColor="text1"/>
          <w:sz w:val="32"/>
          <w:szCs w:val="32"/>
        </w:rPr>
        <w:t>²</w:t>
      </w:r>
      <w:r>
        <w:rPr>
          <w:rFonts w:ascii="仿宋_GB2312" w:eastAsia="仿宋_GB2312" w:hint="eastAsia"/>
          <w:color w:val="000000" w:themeColor="text1"/>
          <w:sz w:val="32"/>
          <w:szCs w:val="32"/>
        </w:rPr>
        <w:t>的肥胖患者，下肢静脉受压更明显，血液回流阻力增加，且机体代谢状态可能影响凝血功能，二者均是临床公认的血栓风险独立因素，故将其纳入基本指标并要求记录具体数值，为后续量化评估提供基础。</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病史相关指标（既往血栓/肺栓塞史、凝血功能障碍史、恶性肿瘤史、糖尿病史、高血压史）：既往发生过深静脉血栓形成或肺栓塞的患者，血管内皮功能可能存在异常，再次发生血栓的概率显著高于普通人群；凝血功能障碍患者本身存在凝血-抗凝平衡失调，易出现血液高凝状态；恶性肿瘤患者因肿瘤细胞影响、治疗药物作用等，血栓风险升高；糖尿病、高血压患者长期患病可能导致血管病变，增加血栓形成风险。这些病史均经临床研究证实与深静脉血栓形成密切相关，记录此类信息可全面评估患者基础风险水平。</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手术相关指标（麻醉类型、骨水泥使用、手术入路等）：全身麻醉可能影响患者血管张力与血流动力学，相比硬膜外麻醉、腰麻等非全麻方式，对凝血功能的影响可能更显著；骨水泥在使用过程中可能产生微粒，引发局部炎症反应或影响血管内环境，增加血栓风险；手术入路、单侧/双侧置换方式、术中出血量与输血量等，会直接影响手术创伤大小、术中血流状态，进而关联血栓风险，记录这些手术相关信息，可评估手术操作本身对血栓风险的叠加影响。</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其他指标（下肢静脉曲张、吸烟史）：下肢静脉曲张患者静脉瓣膜功能受损，血液回流不畅，易出现血液淤积，为血栓形成</w:t>
      </w:r>
      <w:r>
        <w:rPr>
          <w:rFonts w:ascii="仿宋_GB2312" w:eastAsia="仿宋_GB2312" w:hint="eastAsia"/>
          <w:color w:val="000000" w:themeColor="text1"/>
          <w:sz w:val="32"/>
          <w:szCs w:val="32"/>
        </w:rPr>
        <w:lastRenderedPageBreak/>
        <w:t>创造条件；吸烟会损伤血管内皮细胞，破坏血管壁完整性，且可能影响凝血因子活性，增加血栓风险，二者作为常见的可控风险因素，纳入评估体系可更全面覆盖潜在风险点。</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w:t>
      </w:r>
      <w:r>
        <w:rPr>
          <w:rFonts w:ascii="Times New Roman" w:eastAsia="楷体" w:hAnsi="Times New Roman" w:cs="Times New Roman"/>
          <w:b/>
          <w:bCs/>
          <w:color w:val="000000" w:themeColor="text1"/>
          <w:kern w:val="0"/>
          <w:sz w:val="32"/>
          <w:szCs w:val="32"/>
        </w:rPr>
        <w:t>预测数据收集</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要求设计包含患者基本信息（姓名、性别等）及各项预测因素填写项的结构化表格，可避免数据记录的随意性，减少遗漏；明确“患者入院24h内由主管医师完成采集与填写，上级医师24h内逐一核实”，形成“采集-核实”双重质控环节，主管医师直接接触患者，能高效完成病史、体格检查等信息收集，上级医师凭借更丰富的临床经验与专业能力，可发现采集过程中可能存在的误差（如病史询问不全面、指标记录错误等），通过双重环节提升数据质量，为后续预测模型计算、风险等级划分提供可靠数据支撑。</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将数据收集时间设定在“患者入院24h内”，此时患者刚入院，病情相对稳定，主管医师可在完成入院评估的同时同步收集血栓预测相关数据，无需额外占用大量时间，与临床常规入院诊疗流程衔接顺畅，避免因数据收集与正常诊疗工作冲突导致执行困难，提升标准的临床依从性。</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（四）预测模型</w:t>
      </w:r>
    </w:p>
    <w:p w:rsidR="00905EDE" w:rsidRDefault="00D97C46">
      <w:pPr>
        <w:spacing w:line="52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从预测因素中选出高龄（≥</w:t>
      </w:r>
      <w:r>
        <w:rPr>
          <w:rFonts w:ascii="Times New Roman" w:eastAsia="仿宋_GB2312" w:hAnsi="Times New Roman" w:cs="Times New Roman" w:hint="eastAsia"/>
          <w:color w:val="000000" w:themeColor="text1"/>
          <w:sz w:val="32"/>
          <w:szCs w:val="32"/>
        </w:rPr>
        <w:t>65</w:t>
      </w:r>
      <w:r>
        <w:rPr>
          <w:rFonts w:ascii="Times New Roman" w:eastAsia="仿宋_GB2312" w:hAnsi="Times New Roman" w:cs="Times New Roman" w:hint="eastAsia"/>
          <w:color w:val="000000" w:themeColor="text1"/>
          <w:sz w:val="32"/>
          <w:szCs w:val="32"/>
        </w:rPr>
        <w:t>岁）、高</w:t>
      </w:r>
      <w:r>
        <w:rPr>
          <w:rFonts w:ascii="Times New Roman" w:eastAsia="仿宋_GB2312" w:hAnsi="Times New Roman" w:cs="Times New Roman" w:hint="eastAsia"/>
          <w:color w:val="000000" w:themeColor="text1"/>
          <w:sz w:val="32"/>
          <w:szCs w:val="32"/>
        </w:rPr>
        <w:t>BMI</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28.0kg/m</w:t>
      </w:r>
      <w:r>
        <w:rPr>
          <w:rFonts w:eastAsia="仿宋_GB2312"/>
          <w:color w:val="000000" w:themeColor="text1"/>
          <w:sz w:val="32"/>
          <w:szCs w:val="32"/>
        </w:rPr>
        <w:t>²</w:t>
      </w:r>
      <w:r>
        <w:rPr>
          <w:rFonts w:ascii="仿宋_GB2312" w:eastAsia="仿宋_GB2312" w:hAnsi="仿宋_GB2312" w:cs="仿宋_GB2312" w:hint="eastAsia"/>
          <w:color w:val="000000" w:themeColor="text1"/>
          <w:sz w:val="32"/>
          <w:szCs w:val="32"/>
        </w:rPr>
        <w:t>）、骨水泥使用、全麻、术前用抗凝药物</w:t>
      </w:r>
      <w:r>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hint="eastAsia"/>
          <w:color w:val="000000" w:themeColor="text1"/>
          <w:sz w:val="32"/>
          <w:szCs w:val="32"/>
        </w:rPr>
        <w:t>项核心指标，是因为这些指标经临床研究证实与髋关节大手术前深静脉血栓形成的关联性最强，且对血栓风险的影响程度相对明确，能最大程度反映患者的核心风险水平，减少非关键指标对预测结果的干扰。</w:t>
      </w:r>
    </w:p>
    <w:p w:rsidR="00905EDE" w:rsidRDefault="00D97C46">
      <w:pPr>
        <w:spacing w:line="52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采用“</w:t>
      </w:r>
      <w:r>
        <w:rPr>
          <w:rFonts w:ascii="Times New Roman" w:eastAsia="仿宋_GB2312" w:hAnsi="Times New Roman" w:cs="Times New Roman" w:hint="eastAsia"/>
          <w:color w:val="000000" w:themeColor="text1"/>
          <w:sz w:val="32"/>
          <w:szCs w:val="32"/>
        </w:rPr>
        <w:t>1/0</w:t>
      </w:r>
      <w:r>
        <w:rPr>
          <w:rFonts w:ascii="Times New Roman" w:eastAsia="仿宋_GB2312" w:hAnsi="Times New Roman" w:cs="Times New Roman" w:hint="eastAsia"/>
          <w:color w:val="000000" w:themeColor="text1"/>
          <w:sz w:val="32"/>
          <w:szCs w:val="32"/>
        </w:rPr>
        <w:t>”赋值（符合条件赋值</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，不符合赋值</w:t>
      </w:r>
      <w:r>
        <w:rPr>
          <w:rFonts w:ascii="Times New Roman" w:eastAsia="仿宋_GB2312" w:hAnsi="Times New Roman" w:cs="Times New Roman" w:hint="eastAsia"/>
          <w:color w:val="000000" w:themeColor="text1"/>
          <w:sz w:val="32"/>
          <w:szCs w:val="32"/>
        </w:rPr>
        <w:t>0</w:t>
      </w:r>
      <w:r>
        <w:rPr>
          <w:rFonts w:ascii="Times New Roman" w:eastAsia="仿宋_GB2312" w:hAnsi="Times New Roman" w:cs="Times New Roman" w:hint="eastAsia"/>
          <w:color w:val="000000" w:themeColor="text1"/>
          <w:sz w:val="32"/>
          <w:szCs w:val="32"/>
        </w:rPr>
        <w:t>），将原本可能存在波动的定性或半定量指标（如年龄、</w:t>
      </w:r>
      <w:r>
        <w:rPr>
          <w:rFonts w:ascii="Times New Roman" w:eastAsia="仿宋_GB2312" w:hAnsi="Times New Roman" w:cs="Times New Roman" w:hint="eastAsia"/>
          <w:color w:val="000000" w:themeColor="text1"/>
          <w:sz w:val="32"/>
          <w:szCs w:val="32"/>
        </w:rPr>
        <w:t>BMI</w:t>
      </w:r>
      <w:r>
        <w:rPr>
          <w:rFonts w:ascii="Times New Roman" w:eastAsia="仿宋_GB2312" w:hAnsi="Times New Roman" w:cs="Times New Roman" w:hint="eastAsia"/>
          <w:color w:val="000000" w:themeColor="text1"/>
          <w:sz w:val="32"/>
          <w:szCs w:val="32"/>
        </w:rPr>
        <w:t>、麻醉类型</w:t>
      </w:r>
      <w:r>
        <w:rPr>
          <w:rFonts w:ascii="Times New Roman" w:eastAsia="仿宋_GB2312" w:hAnsi="Times New Roman" w:cs="Times New Roman" w:hint="eastAsia"/>
          <w:color w:val="000000" w:themeColor="text1"/>
          <w:sz w:val="32"/>
          <w:szCs w:val="32"/>
        </w:rPr>
        <w:lastRenderedPageBreak/>
        <w:t>等）转化为统一的定量数据，简化后续计算过程，同时确保不同指标在计算中具有可操作性，避免因指标量化方式复杂导致的计算误差。</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仿宋_GB2312" w:hAnsi="Times New Roman" w:cs="Times New Roman"/>
          <w:color w:val="000000" w:themeColor="text1"/>
          <w:sz w:val="32"/>
          <w:szCs w:val="32"/>
        </w:rPr>
      </w:pPr>
      <w:r>
        <w:rPr>
          <w:rFonts w:ascii="Times New Roman" w:eastAsia="楷体" w:hAnsi="Times New Roman" w:cs="Times New Roman" w:hint="eastAsia"/>
          <w:b/>
          <w:bCs/>
          <w:color w:val="000000" w:themeColor="text1"/>
          <w:kern w:val="0"/>
          <w:sz w:val="32"/>
          <w:szCs w:val="32"/>
        </w:rPr>
        <w:t>（五）</w:t>
      </w:r>
      <w:r>
        <w:rPr>
          <w:rFonts w:ascii="Times New Roman" w:eastAsia="楷体" w:hAnsi="Times New Roman" w:cs="Times New Roman"/>
          <w:b/>
          <w:bCs/>
          <w:color w:val="000000" w:themeColor="text1"/>
          <w:kern w:val="0"/>
          <w:sz w:val="32"/>
          <w:szCs w:val="32"/>
        </w:rPr>
        <w:t>风险等级划分</w:t>
      </w:r>
    </w:p>
    <w:p w:rsidR="00905EDE" w:rsidRPr="0049205C" w:rsidRDefault="00D97C46">
      <w:pPr>
        <w:spacing w:line="520" w:lineRule="exact"/>
        <w:ind w:firstLineChars="200" w:firstLine="640"/>
        <w:rPr>
          <w:rFonts w:ascii="Times New Roman" w:eastAsia="仿宋_GB2312" w:hAnsi="Times New Roman" w:cs="Times New Roman"/>
          <w:color w:val="000000" w:themeColor="text1"/>
          <w:sz w:val="32"/>
          <w:szCs w:val="32"/>
        </w:rPr>
      </w:pPr>
      <w:r w:rsidRPr="0049205C">
        <w:rPr>
          <w:rFonts w:ascii="Times New Roman" w:eastAsia="仿宋_GB2312" w:hAnsi="Times New Roman" w:cs="Times New Roman" w:hint="eastAsia"/>
          <w:color w:val="000000" w:themeColor="text1"/>
          <w:sz w:val="32"/>
          <w:szCs w:val="32"/>
        </w:rPr>
        <w:t>髋关节大手术本身即是</w:t>
      </w:r>
      <w:r w:rsidRPr="0049205C">
        <w:rPr>
          <w:rFonts w:ascii="Times New Roman" w:eastAsia="仿宋_GB2312" w:hAnsi="Times New Roman" w:cs="Times New Roman" w:hint="eastAsia"/>
          <w:color w:val="000000" w:themeColor="text1"/>
          <w:sz w:val="32"/>
          <w:szCs w:val="32"/>
        </w:rPr>
        <w:t>VTE</w:t>
      </w:r>
      <w:r w:rsidRPr="0049205C">
        <w:rPr>
          <w:rFonts w:ascii="Times New Roman" w:eastAsia="仿宋_GB2312" w:hAnsi="Times New Roman" w:cs="Times New Roman" w:hint="eastAsia"/>
          <w:color w:val="000000" w:themeColor="text1"/>
          <w:sz w:val="32"/>
          <w:szCs w:val="32"/>
        </w:rPr>
        <w:t>的极强危险因素。不同风险等级对应不同的血栓发生可能性，需匹配更高强度的防控措施。将</w:t>
      </w:r>
      <w:r w:rsidRPr="0049205C">
        <w:rPr>
          <w:rFonts w:ascii="Times New Roman" w:eastAsia="仿宋_GB2312" w:hAnsi="Times New Roman" w:cs="Times New Roman" w:hint="eastAsia"/>
          <w:color w:val="000000" w:themeColor="text1"/>
          <w:sz w:val="32"/>
          <w:szCs w:val="32"/>
        </w:rPr>
        <w:t>P</w:t>
      </w:r>
      <w:r w:rsidRPr="0049205C">
        <w:rPr>
          <w:rFonts w:ascii="Times New Roman" w:eastAsia="仿宋_GB2312" w:hAnsi="Times New Roman" w:cs="Times New Roman" w:hint="eastAsia"/>
          <w:color w:val="000000" w:themeColor="text1"/>
          <w:sz w:val="32"/>
          <w:szCs w:val="32"/>
        </w:rPr>
        <w:t>≥</w:t>
      </w:r>
      <w:r w:rsidRPr="0049205C">
        <w:rPr>
          <w:rFonts w:ascii="Times New Roman" w:eastAsia="仿宋_GB2312" w:hAnsi="Times New Roman" w:cs="Times New Roman" w:hint="eastAsia"/>
          <w:color w:val="000000" w:themeColor="text1"/>
          <w:sz w:val="32"/>
          <w:szCs w:val="32"/>
        </w:rPr>
        <w:t>0.85</w:t>
      </w:r>
      <w:r w:rsidRPr="0049205C">
        <w:rPr>
          <w:rFonts w:ascii="Times New Roman" w:eastAsia="仿宋_GB2312" w:hAnsi="Times New Roman" w:cs="Times New Roman" w:hint="eastAsia"/>
          <w:color w:val="000000" w:themeColor="text1"/>
          <w:sz w:val="32"/>
          <w:szCs w:val="32"/>
        </w:rPr>
        <w:t>划分为高风险，提示“可能性很大”，需采取更积极、更强化的预防措施并延长预防治疗疗程（如更密切的监测、更规范的抗凝治疗），这部分是需要投入最多医疗资源的极高危人群；</w:t>
      </w:r>
      <w:r w:rsidRPr="0049205C">
        <w:rPr>
          <w:rFonts w:ascii="Times New Roman" w:eastAsia="仿宋_GB2312" w:hAnsi="Times New Roman" w:cs="Times New Roman" w:hint="eastAsia"/>
          <w:color w:val="000000" w:themeColor="text1"/>
          <w:sz w:val="32"/>
          <w:szCs w:val="32"/>
        </w:rPr>
        <w:t>0.6</w:t>
      </w:r>
      <w:r w:rsidRPr="0049205C">
        <w:rPr>
          <w:rFonts w:ascii="Times New Roman" w:eastAsia="仿宋_GB2312" w:hAnsi="Times New Roman" w:cs="Times New Roman" w:hint="eastAsia"/>
          <w:color w:val="000000" w:themeColor="text1"/>
          <w:sz w:val="32"/>
          <w:szCs w:val="32"/>
        </w:rPr>
        <w:t>≤</w:t>
      </w:r>
      <w:r w:rsidRPr="0049205C">
        <w:rPr>
          <w:rFonts w:ascii="Times New Roman" w:eastAsia="仿宋_GB2312" w:hAnsi="Times New Roman" w:cs="Times New Roman" w:hint="eastAsia"/>
          <w:color w:val="000000" w:themeColor="text1"/>
          <w:sz w:val="32"/>
          <w:szCs w:val="32"/>
        </w:rPr>
        <w:t>P</w:t>
      </w:r>
      <w:r w:rsidRPr="0049205C">
        <w:rPr>
          <w:rFonts w:ascii="Times New Roman" w:eastAsia="仿宋_GB2312" w:hAnsi="Times New Roman" w:cs="Times New Roman" w:hint="eastAsia"/>
          <w:color w:val="000000" w:themeColor="text1"/>
          <w:sz w:val="32"/>
          <w:szCs w:val="32"/>
        </w:rPr>
        <w:t>＜</w:t>
      </w:r>
      <w:r w:rsidRPr="0049205C">
        <w:rPr>
          <w:rFonts w:ascii="Times New Roman" w:eastAsia="仿宋_GB2312" w:hAnsi="Times New Roman" w:cs="Times New Roman" w:hint="eastAsia"/>
          <w:color w:val="000000" w:themeColor="text1"/>
          <w:sz w:val="32"/>
          <w:szCs w:val="32"/>
        </w:rPr>
        <w:t>0.850</w:t>
      </w:r>
      <w:r w:rsidRPr="0049205C">
        <w:rPr>
          <w:rFonts w:ascii="Times New Roman" w:eastAsia="仿宋_GB2312" w:hAnsi="Times New Roman" w:cs="Times New Roman" w:hint="eastAsia"/>
          <w:color w:val="000000" w:themeColor="text1"/>
          <w:sz w:val="32"/>
          <w:szCs w:val="32"/>
        </w:rPr>
        <w:t>划分为中风险，具备</w:t>
      </w:r>
      <w:r w:rsidRPr="0049205C">
        <w:rPr>
          <w:rFonts w:ascii="Times New Roman" w:eastAsia="仿宋_GB2312" w:hAnsi="Times New Roman" w:cs="Times New Roman" w:hint="eastAsia"/>
          <w:color w:val="000000" w:themeColor="text1"/>
          <w:sz w:val="32"/>
          <w:szCs w:val="32"/>
        </w:rPr>
        <w:t>1-3</w:t>
      </w:r>
      <w:r w:rsidRPr="0049205C">
        <w:rPr>
          <w:rFonts w:ascii="Times New Roman" w:eastAsia="仿宋_GB2312" w:hAnsi="Times New Roman" w:cs="Times New Roman" w:hint="eastAsia"/>
          <w:color w:val="000000" w:themeColor="text1"/>
          <w:sz w:val="32"/>
          <w:szCs w:val="32"/>
        </w:rPr>
        <w:t>个危险因素，和</w:t>
      </w:r>
      <w:r w:rsidRPr="0049205C">
        <w:rPr>
          <w:rFonts w:ascii="Times New Roman" w:eastAsia="仿宋_GB2312" w:hAnsi="Times New Roman" w:cs="Times New Roman" w:hint="eastAsia"/>
          <w:color w:val="000000" w:themeColor="text1"/>
          <w:sz w:val="32"/>
          <w:szCs w:val="32"/>
        </w:rPr>
        <w:t>/</w:t>
      </w:r>
      <w:r w:rsidRPr="0049205C">
        <w:rPr>
          <w:rFonts w:ascii="Times New Roman" w:eastAsia="仿宋_GB2312" w:hAnsi="Times New Roman" w:cs="Times New Roman" w:hint="eastAsia"/>
          <w:color w:val="000000" w:themeColor="text1"/>
          <w:sz w:val="32"/>
          <w:szCs w:val="32"/>
        </w:rPr>
        <w:t>或缺乏保护因素（未术前抗凝）。风险处于群体平均水平，提示“存在一定风险”，需采取多模式联合预防措施；</w:t>
      </w:r>
      <w:r w:rsidRPr="0049205C">
        <w:rPr>
          <w:rFonts w:ascii="Times New Roman" w:eastAsia="仿宋_GB2312" w:hAnsi="Times New Roman" w:cs="Times New Roman" w:hint="eastAsia"/>
          <w:color w:val="000000" w:themeColor="text1"/>
          <w:sz w:val="32"/>
          <w:szCs w:val="32"/>
        </w:rPr>
        <w:t>P</w:t>
      </w:r>
      <w:r w:rsidRPr="0049205C">
        <w:rPr>
          <w:rFonts w:ascii="Times New Roman" w:eastAsia="仿宋_GB2312" w:hAnsi="Times New Roman" w:cs="Times New Roman" w:hint="eastAsia"/>
          <w:color w:val="000000" w:themeColor="text1"/>
          <w:sz w:val="32"/>
          <w:szCs w:val="32"/>
        </w:rPr>
        <w:t>＜</w:t>
      </w:r>
      <w:r w:rsidRPr="0049205C">
        <w:rPr>
          <w:rFonts w:ascii="Times New Roman" w:eastAsia="仿宋_GB2312" w:hAnsi="Times New Roman" w:cs="Times New Roman" w:hint="eastAsia"/>
          <w:color w:val="000000" w:themeColor="text1"/>
          <w:sz w:val="32"/>
          <w:szCs w:val="32"/>
        </w:rPr>
        <w:t>0.6</w:t>
      </w:r>
      <w:r w:rsidRPr="0049205C">
        <w:rPr>
          <w:rFonts w:ascii="Times New Roman" w:eastAsia="仿宋_GB2312" w:hAnsi="Times New Roman" w:cs="Times New Roman" w:hint="eastAsia"/>
          <w:color w:val="000000" w:themeColor="text1"/>
          <w:sz w:val="32"/>
          <w:szCs w:val="32"/>
        </w:rPr>
        <w:t>划分为低风险，提示“可能性较小”，可进行基础预防加上标准药物预防。这种分层方式能让医护人员根据风险等级快速制定针对性防控方案，避免过度医疗或防控不足。</w:t>
      </w:r>
    </w:p>
    <w:p w:rsidR="00FF08BD" w:rsidRDefault="00D97C46" w:rsidP="000433E4">
      <w:pPr>
        <w:spacing w:line="52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风险等级的概率阈值（</w:t>
      </w:r>
      <w:r>
        <w:rPr>
          <w:rFonts w:ascii="Times New Roman" w:eastAsia="仿宋_GB2312" w:hAnsi="Times New Roman" w:cs="Times New Roman" w:hint="eastAsia"/>
          <w:color w:val="000000" w:themeColor="text1"/>
          <w:sz w:val="32"/>
          <w:szCs w:val="32"/>
        </w:rPr>
        <w:t>0.</w:t>
      </w:r>
      <w:r>
        <w:rPr>
          <w:rFonts w:ascii="Times New Roman" w:eastAsia="仿宋_GB2312" w:hAnsi="Times New Roman" w:cs="Times New Roman"/>
          <w:color w:val="000000" w:themeColor="text1"/>
          <w:sz w:val="32"/>
          <w:szCs w:val="32"/>
        </w:rPr>
        <w:t>6</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0.</w:t>
      </w:r>
      <w:r>
        <w:rPr>
          <w:rFonts w:ascii="Times New Roman" w:eastAsia="仿宋_GB2312" w:hAnsi="Times New Roman" w:cs="Times New Roman"/>
          <w:color w:val="000000" w:themeColor="text1"/>
          <w:sz w:val="32"/>
          <w:szCs w:val="32"/>
        </w:rPr>
        <w:t>85</w:t>
      </w:r>
      <w:r>
        <w:rPr>
          <w:rFonts w:ascii="Times New Roman" w:eastAsia="仿宋_GB2312" w:hAnsi="Times New Roman" w:cs="Times New Roman" w:hint="eastAsia"/>
          <w:color w:val="000000" w:themeColor="text1"/>
          <w:sz w:val="32"/>
          <w:szCs w:val="32"/>
        </w:rPr>
        <w:t>）推测基于</w:t>
      </w:r>
      <w:r w:rsidR="000433E4" w:rsidRPr="000433E4">
        <w:rPr>
          <w:rFonts w:ascii="Times New Roman" w:eastAsia="仿宋_GB2312" w:hAnsi="Times New Roman" w:cs="Times New Roman" w:hint="eastAsia"/>
          <w:color w:val="000000" w:themeColor="text1"/>
          <w:sz w:val="32"/>
          <w:szCs w:val="32"/>
        </w:rPr>
        <w:t>近年来在南宁市第二人民医院行髋关节置换术患者</w:t>
      </w:r>
      <w:r w:rsidR="000433E4" w:rsidRPr="000433E4">
        <w:rPr>
          <w:rFonts w:ascii="Times New Roman" w:eastAsia="仿宋_GB2312" w:hAnsi="Times New Roman" w:cs="Times New Roman" w:hint="eastAsia"/>
          <w:color w:val="000000" w:themeColor="text1"/>
          <w:sz w:val="32"/>
          <w:szCs w:val="32"/>
        </w:rPr>
        <w:t>200</w:t>
      </w:r>
      <w:r w:rsidR="000433E4" w:rsidRPr="000433E4">
        <w:rPr>
          <w:rFonts w:ascii="Times New Roman" w:eastAsia="仿宋_GB2312" w:hAnsi="Times New Roman" w:cs="Times New Roman" w:hint="eastAsia"/>
          <w:color w:val="000000" w:themeColor="text1"/>
          <w:sz w:val="32"/>
          <w:szCs w:val="32"/>
        </w:rPr>
        <w:t>例，其中发生</w:t>
      </w:r>
      <w:r w:rsidR="000433E4" w:rsidRPr="000433E4">
        <w:rPr>
          <w:rFonts w:ascii="Times New Roman" w:eastAsia="仿宋_GB2312" w:hAnsi="Times New Roman" w:cs="Times New Roman" w:hint="eastAsia"/>
          <w:color w:val="000000" w:themeColor="text1"/>
          <w:sz w:val="32"/>
          <w:szCs w:val="32"/>
        </w:rPr>
        <w:t>DVT</w:t>
      </w:r>
      <w:r w:rsidR="000433E4" w:rsidRPr="000433E4">
        <w:rPr>
          <w:rFonts w:ascii="Times New Roman" w:eastAsia="仿宋_GB2312" w:hAnsi="Times New Roman" w:cs="Times New Roman" w:hint="eastAsia"/>
          <w:color w:val="000000" w:themeColor="text1"/>
          <w:sz w:val="32"/>
          <w:szCs w:val="32"/>
        </w:rPr>
        <w:t>者</w:t>
      </w:r>
      <w:r w:rsidR="000433E4" w:rsidRPr="000433E4">
        <w:rPr>
          <w:rFonts w:ascii="Times New Roman" w:eastAsia="仿宋_GB2312" w:hAnsi="Times New Roman" w:cs="Times New Roman" w:hint="eastAsia"/>
          <w:color w:val="000000" w:themeColor="text1"/>
          <w:sz w:val="32"/>
          <w:szCs w:val="32"/>
        </w:rPr>
        <w:t>78</w:t>
      </w:r>
      <w:r w:rsidR="000433E4" w:rsidRPr="000433E4">
        <w:rPr>
          <w:rFonts w:ascii="Times New Roman" w:eastAsia="仿宋_GB2312" w:hAnsi="Times New Roman" w:cs="Times New Roman" w:hint="eastAsia"/>
          <w:color w:val="000000" w:themeColor="text1"/>
          <w:sz w:val="32"/>
          <w:szCs w:val="32"/>
        </w:rPr>
        <w:t>例，包括骼股静脉血栓</w:t>
      </w:r>
      <w:r w:rsidR="000433E4" w:rsidRPr="000433E4">
        <w:rPr>
          <w:rFonts w:ascii="Times New Roman" w:eastAsia="仿宋_GB2312" w:hAnsi="Times New Roman" w:cs="Times New Roman" w:hint="eastAsia"/>
          <w:color w:val="000000" w:themeColor="text1"/>
          <w:sz w:val="32"/>
          <w:szCs w:val="32"/>
        </w:rPr>
        <w:t>33</w:t>
      </w:r>
      <w:r w:rsidR="000433E4" w:rsidRPr="000433E4">
        <w:rPr>
          <w:rFonts w:ascii="Times New Roman" w:eastAsia="仿宋_GB2312" w:hAnsi="Times New Roman" w:cs="Times New Roman" w:hint="eastAsia"/>
          <w:color w:val="000000" w:themeColor="text1"/>
          <w:sz w:val="32"/>
          <w:szCs w:val="32"/>
        </w:rPr>
        <w:t>例，胆静脉血栓</w:t>
      </w:r>
      <w:r w:rsidR="000433E4" w:rsidRPr="000433E4">
        <w:rPr>
          <w:rFonts w:ascii="Times New Roman" w:eastAsia="仿宋_GB2312" w:hAnsi="Times New Roman" w:cs="Times New Roman" w:hint="eastAsia"/>
          <w:color w:val="000000" w:themeColor="text1"/>
          <w:sz w:val="32"/>
          <w:szCs w:val="32"/>
        </w:rPr>
        <w:t>29</w:t>
      </w:r>
      <w:r w:rsidR="000433E4" w:rsidRPr="000433E4">
        <w:rPr>
          <w:rFonts w:ascii="Times New Roman" w:eastAsia="仿宋_GB2312" w:hAnsi="Times New Roman" w:cs="Times New Roman" w:hint="eastAsia"/>
          <w:color w:val="000000" w:themeColor="text1"/>
          <w:sz w:val="32"/>
          <w:szCs w:val="32"/>
        </w:rPr>
        <w:t>例，小腿静脉血栓</w:t>
      </w:r>
      <w:r w:rsidR="000433E4" w:rsidRPr="000433E4">
        <w:rPr>
          <w:rFonts w:ascii="Times New Roman" w:eastAsia="仿宋_GB2312" w:hAnsi="Times New Roman" w:cs="Times New Roman" w:hint="eastAsia"/>
          <w:color w:val="000000" w:themeColor="text1"/>
          <w:sz w:val="32"/>
          <w:szCs w:val="32"/>
        </w:rPr>
        <w:t>26</w:t>
      </w:r>
      <w:r w:rsidR="000433E4" w:rsidRPr="000433E4">
        <w:rPr>
          <w:rFonts w:ascii="Times New Roman" w:eastAsia="仿宋_GB2312" w:hAnsi="Times New Roman" w:cs="Times New Roman" w:hint="eastAsia"/>
          <w:color w:val="000000" w:themeColor="text1"/>
          <w:sz w:val="32"/>
          <w:szCs w:val="32"/>
        </w:rPr>
        <w:t>例。另外未发生</w:t>
      </w:r>
      <w:r w:rsidR="000433E4" w:rsidRPr="000433E4">
        <w:rPr>
          <w:rFonts w:ascii="Times New Roman" w:eastAsia="仿宋_GB2312" w:hAnsi="Times New Roman" w:cs="Times New Roman" w:hint="eastAsia"/>
          <w:color w:val="000000" w:themeColor="text1"/>
          <w:sz w:val="32"/>
          <w:szCs w:val="32"/>
        </w:rPr>
        <w:t>DVT</w:t>
      </w:r>
      <w:r w:rsidR="000433E4" w:rsidRPr="000433E4">
        <w:rPr>
          <w:rFonts w:ascii="Times New Roman" w:eastAsia="仿宋_GB2312" w:hAnsi="Times New Roman" w:cs="Times New Roman" w:hint="eastAsia"/>
          <w:color w:val="000000" w:themeColor="text1"/>
          <w:sz w:val="32"/>
          <w:szCs w:val="32"/>
        </w:rPr>
        <w:t>者</w:t>
      </w:r>
      <w:r w:rsidR="000433E4" w:rsidRPr="000433E4">
        <w:rPr>
          <w:rFonts w:ascii="Times New Roman" w:eastAsia="仿宋_GB2312" w:hAnsi="Times New Roman" w:cs="Times New Roman" w:hint="eastAsia"/>
          <w:color w:val="000000" w:themeColor="text1"/>
          <w:sz w:val="32"/>
          <w:szCs w:val="32"/>
        </w:rPr>
        <w:t>122</w:t>
      </w:r>
      <w:r w:rsidR="000433E4" w:rsidRPr="000433E4">
        <w:rPr>
          <w:rFonts w:ascii="Times New Roman" w:eastAsia="仿宋_GB2312" w:hAnsi="Times New Roman" w:cs="Times New Roman" w:hint="eastAsia"/>
          <w:color w:val="000000" w:themeColor="text1"/>
          <w:sz w:val="32"/>
          <w:szCs w:val="32"/>
        </w:rPr>
        <w:t>例作为对照。患者术后均采用标准剂量低分子肝素进行抗凝治疗，随访时间</w:t>
      </w:r>
      <w:r w:rsidR="000433E4" w:rsidRPr="000433E4">
        <w:rPr>
          <w:rFonts w:ascii="Times New Roman" w:eastAsia="仿宋_GB2312" w:hAnsi="Times New Roman" w:cs="Times New Roman" w:hint="eastAsia"/>
          <w:color w:val="000000" w:themeColor="text1"/>
          <w:sz w:val="32"/>
          <w:szCs w:val="32"/>
        </w:rPr>
        <w:t>6</w:t>
      </w:r>
      <w:r w:rsidR="000433E4" w:rsidRPr="000433E4">
        <w:rPr>
          <w:rFonts w:ascii="Times New Roman" w:eastAsia="仿宋_GB2312" w:hAnsi="Times New Roman" w:cs="Times New Roman" w:hint="eastAsia"/>
          <w:color w:val="000000" w:themeColor="text1"/>
          <w:sz w:val="32"/>
          <w:szCs w:val="32"/>
        </w:rPr>
        <w:t>个月以上。</w:t>
      </w:r>
      <w:r>
        <w:rPr>
          <w:rFonts w:ascii="Times New Roman" w:eastAsia="仿宋_GB2312" w:hAnsi="Times New Roman" w:cs="Times New Roman" w:hint="eastAsia"/>
          <w:color w:val="000000" w:themeColor="text1"/>
          <w:sz w:val="32"/>
          <w:szCs w:val="32"/>
        </w:rPr>
        <w:t>通过分析不同概率区间内患者的实际血栓发生率，确定能有效区分高、中、低风险的临界值，确保阈值设定的科学性与合理性，使风险等级划分能真实反映患者的实际血栓风险水平。</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1.</w:t>
      </w:r>
      <w:r w:rsidRPr="000433E4">
        <w:rPr>
          <w:rFonts w:ascii="Times New Roman" w:eastAsia="仿宋_GB2312" w:hAnsi="Times New Roman" w:cs="Times New Roman" w:hint="eastAsia"/>
          <w:color w:val="000000" w:themeColor="text1"/>
          <w:sz w:val="32"/>
          <w:szCs w:val="32"/>
        </w:rPr>
        <w:t>基于临床决策的阈值：</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0.60 (60%)</w:t>
      </w:r>
      <w:r w:rsidRPr="000433E4">
        <w:rPr>
          <w:rFonts w:ascii="Times New Roman" w:eastAsia="仿宋_GB2312" w:hAnsi="Times New Roman" w:cs="Times New Roman" w:hint="eastAsia"/>
          <w:color w:val="000000" w:themeColor="text1"/>
          <w:sz w:val="32"/>
          <w:szCs w:val="32"/>
        </w:rPr>
        <w:t>：这是一个重要的心理和决策阈值。低于此值，意味着风险已被初步控制（主要归功于术前抗凝），临床医生可</w:t>
      </w:r>
      <w:r w:rsidRPr="000433E4">
        <w:rPr>
          <w:rFonts w:ascii="Times New Roman" w:eastAsia="仿宋_GB2312" w:hAnsi="Times New Roman" w:cs="Times New Roman" w:hint="eastAsia"/>
          <w:color w:val="000000" w:themeColor="text1"/>
          <w:sz w:val="32"/>
          <w:szCs w:val="32"/>
        </w:rPr>
        <w:lastRenderedPageBreak/>
        <w:t>以采取相对标准的预防方案。高于此值，则意味着需要引起高度警惕。</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0.85</w:t>
      </w:r>
      <w:r w:rsidRPr="000433E4">
        <w:rPr>
          <w:rFonts w:ascii="Times New Roman" w:eastAsia="仿宋_GB2312" w:hAnsi="Times New Roman" w:cs="Times New Roman" w:hint="eastAsia"/>
          <w:color w:val="000000" w:themeColor="text1"/>
          <w:sz w:val="32"/>
          <w:szCs w:val="32"/>
        </w:rPr>
        <w:t>(85%)</w:t>
      </w:r>
      <w:r w:rsidRPr="000433E4">
        <w:rPr>
          <w:rFonts w:ascii="Times New Roman" w:eastAsia="仿宋_GB2312" w:hAnsi="Times New Roman" w:cs="Times New Roman" w:hint="eastAsia"/>
          <w:color w:val="000000" w:themeColor="text1"/>
          <w:sz w:val="32"/>
          <w:szCs w:val="32"/>
        </w:rPr>
        <w:t>：这是一个行动阈值。超过</w:t>
      </w:r>
      <w:r w:rsidRPr="000433E4">
        <w:rPr>
          <w:rFonts w:ascii="Times New Roman" w:eastAsia="仿宋_GB2312" w:hAnsi="Times New Roman" w:cs="Times New Roman" w:hint="eastAsia"/>
          <w:color w:val="000000" w:themeColor="text1"/>
          <w:sz w:val="32"/>
          <w:szCs w:val="32"/>
        </w:rPr>
        <w:t>85%</w:t>
      </w:r>
      <w:r w:rsidRPr="000433E4">
        <w:rPr>
          <w:rFonts w:ascii="Times New Roman" w:eastAsia="仿宋_GB2312" w:hAnsi="Times New Roman" w:cs="Times New Roman" w:hint="eastAsia"/>
          <w:color w:val="000000" w:themeColor="text1"/>
          <w:sz w:val="32"/>
          <w:szCs w:val="32"/>
        </w:rPr>
        <w:t>的风险在临床上被认为是非常高的，发生事件的可能性极大。这要求医疗团队启动所有可用的预防手段，并做好应对不良事件的预案。这个阈值足以触发最</w:t>
      </w:r>
      <w:r w:rsidRPr="000433E4">
        <w:rPr>
          <w:rFonts w:ascii="仿宋_GB2312" w:eastAsia="仿宋_GB2312" w:hAnsi="仿宋_GB2312" w:cs="仿宋_GB2312" w:hint="eastAsia"/>
          <w:color w:val="000000" w:themeColor="text1"/>
          <w:sz w:val="32"/>
          <w:szCs w:val="32"/>
        </w:rPr>
        <w:t>强</w:t>
      </w:r>
      <w:r w:rsidRPr="000433E4">
        <w:rPr>
          <w:rFonts w:ascii="仿宋_GB2312" w:eastAsia="仿宋_GB2312" w:hAnsi="仿宋_GB2312" w:cs="仿宋_GB2312" w:hint="eastAsia"/>
          <w:color w:val="000000" w:themeColor="text1"/>
          <w:sz w:val="32"/>
          <w:szCs w:val="32"/>
        </w:rPr>
        <w:t>化的临床干预。</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2.</w:t>
      </w:r>
      <w:r w:rsidRPr="000433E4">
        <w:rPr>
          <w:rFonts w:ascii="Times New Roman" w:eastAsia="仿宋_GB2312" w:hAnsi="Times New Roman" w:cs="Times New Roman" w:hint="eastAsia"/>
          <w:color w:val="000000" w:themeColor="text1"/>
          <w:sz w:val="32"/>
          <w:szCs w:val="32"/>
        </w:rPr>
        <w:t>基于百分位数：</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假设一个模拟的患者队列，其</w:t>
      </w:r>
      <w:r w:rsidRPr="000433E4">
        <w:rPr>
          <w:rFonts w:ascii="Times New Roman" w:eastAsia="仿宋_GB2312" w:hAnsi="Times New Roman" w:cs="Times New Roman" w:hint="eastAsia"/>
          <w:color w:val="000000" w:themeColor="text1"/>
          <w:sz w:val="32"/>
          <w:szCs w:val="32"/>
        </w:rPr>
        <w:t>P</w:t>
      </w:r>
      <w:r w:rsidRPr="000433E4">
        <w:rPr>
          <w:rFonts w:ascii="Times New Roman" w:eastAsia="仿宋_GB2312" w:hAnsi="Times New Roman" w:cs="Times New Roman" w:hint="eastAsia"/>
          <w:color w:val="000000" w:themeColor="text1"/>
          <w:sz w:val="32"/>
          <w:szCs w:val="32"/>
        </w:rPr>
        <w:t>值分布大致如下：</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低风险组</w:t>
      </w:r>
      <w:r w:rsidRPr="000433E4">
        <w:rPr>
          <w:rFonts w:ascii="Times New Roman" w:eastAsia="仿宋_GB2312" w:hAnsi="Times New Roman" w:cs="Times New Roman" w:hint="eastAsia"/>
          <w:color w:val="000000" w:themeColor="text1"/>
          <w:sz w:val="32"/>
          <w:szCs w:val="32"/>
        </w:rPr>
        <w:t>(P &lt; 0.60)</w:t>
      </w:r>
      <w:r>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涵盖约</w:t>
      </w:r>
      <w:r w:rsidRPr="000433E4">
        <w:rPr>
          <w:rFonts w:ascii="Times New Roman" w:eastAsia="仿宋_GB2312" w:hAnsi="Times New Roman" w:cs="Times New Roman" w:hint="eastAsia"/>
          <w:color w:val="000000" w:themeColor="text1"/>
          <w:sz w:val="32"/>
          <w:szCs w:val="32"/>
        </w:rPr>
        <w:t>30%-40%</w:t>
      </w:r>
      <w:r w:rsidRPr="000433E4">
        <w:rPr>
          <w:rFonts w:ascii="Times New Roman" w:eastAsia="仿宋_GB2312" w:hAnsi="Times New Roman" w:cs="Times New Roman" w:hint="eastAsia"/>
          <w:color w:val="000000" w:themeColor="text1"/>
          <w:sz w:val="32"/>
          <w:szCs w:val="32"/>
        </w:rPr>
        <w:t>的患者。这些是相对“健康”或“已受保护”的手术患者。</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中风险组</w:t>
      </w:r>
      <w:r>
        <w:rPr>
          <w:rFonts w:ascii="Times New Roman" w:eastAsia="仿宋_GB2312" w:hAnsi="Times New Roman" w:cs="Times New Roman" w:hint="eastAsia"/>
          <w:color w:val="000000" w:themeColor="text1"/>
          <w:sz w:val="32"/>
          <w:szCs w:val="32"/>
        </w:rPr>
        <w:t>(0.60</w:t>
      </w:r>
      <w:r w:rsidRPr="000433E4">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P&lt;</w:t>
      </w:r>
      <w:r w:rsidRPr="000433E4">
        <w:rPr>
          <w:rFonts w:ascii="Times New Roman" w:eastAsia="仿宋_GB2312" w:hAnsi="Times New Roman" w:cs="Times New Roman" w:hint="eastAsia"/>
          <w:color w:val="000000" w:themeColor="text1"/>
          <w:sz w:val="32"/>
          <w:szCs w:val="32"/>
        </w:rPr>
        <w:t>0.85)</w:t>
      </w:r>
      <w:r w:rsidRPr="000433E4">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涵盖</w:t>
      </w:r>
      <w:r w:rsidRPr="000433E4">
        <w:rPr>
          <w:rFonts w:ascii="Times New Roman" w:eastAsia="仿宋_GB2312" w:hAnsi="Times New Roman" w:cs="Times New Roman" w:hint="eastAsia"/>
          <w:color w:val="000000" w:themeColor="text1"/>
          <w:sz w:val="32"/>
          <w:szCs w:val="32"/>
        </w:rPr>
        <w:t>约</w:t>
      </w:r>
      <w:r w:rsidRPr="000433E4">
        <w:rPr>
          <w:rFonts w:ascii="Times New Roman" w:eastAsia="仿宋_GB2312" w:hAnsi="Times New Roman" w:cs="Times New Roman" w:hint="eastAsia"/>
          <w:color w:val="000000" w:themeColor="text1"/>
          <w:sz w:val="32"/>
          <w:szCs w:val="32"/>
        </w:rPr>
        <w:t>40%-50%</w:t>
      </w:r>
      <w:r w:rsidRPr="000433E4">
        <w:rPr>
          <w:rFonts w:ascii="Times New Roman" w:eastAsia="仿宋_GB2312" w:hAnsi="Times New Roman" w:cs="Times New Roman" w:hint="eastAsia"/>
          <w:color w:val="000000" w:themeColor="text1"/>
          <w:sz w:val="32"/>
          <w:szCs w:val="32"/>
        </w:rPr>
        <w:t>的患者。这是最大的一部分，代表具有典型危险因素的普通髋关节手术患者。</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高风险组</w:t>
      </w:r>
      <w:r>
        <w:rPr>
          <w:rFonts w:ascii="Times New Roman" w:eastAsia="仿宋_GB2312" w:hAnsi="Times New Roman" w:cs="Times New Roman" w:hint="eastAsia"/>
          <w:color w:val="000000" w:themeColor="text1"/>
          <w:sz w:val="32"/>
          <w:szCs w:val="32"/>
        </w:rPr>
        <w:t>(P</w:t>
      </w:r>
      <w:r w:rsidRPr="000433E4">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0.85)</w:t>
      </w:r>
      <w:r>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涵盖约</w:t>
      </w:r>
      <w:r w:rsidRPr="000433E4">
        <w:rPr>
          <w:rFonts w:ascii="Times New Roman" w:eastAsia="仿宋_GB2312" w:hAnsi="Times New Roman" w:cs="Times New Roman" w:hint="eastAsia"/>
          <w:color w:val="000000" w:themeColor="text1"/>
          <w:sz w:val="32"/>
          <w:szCs w:val="32"/>
        </w:rPr>
        <w:t>10%-20%</w:t>
      </w:r>
      <w:r w:rsidRPr="000433E4">
        <w:rPr>
          <w:rFonts w:ascii="Times New Roman" w:eastAsia="仿宋_GB2312" w:hAnsi="Times New Roman" w:cs="Times New Roman" w:hint="eastAsia"/>
          <w:color w:val="000000" w:themeColor="text1"/>
          <w:sz w:val="32"/>
          <w:szCs w:val="32"/>
        </w:rPr>
        <w:t>的患者。这部分是需要投入最多医疗资源的极高危人群。</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这种划分确保了分类的平衡性和可操作性，不会出现某个等级人数过多或过少的情况。</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3.</w:t>
      </w:r>
      <w:r w:rsidRPr="000433E4">
        <w:rPr>
          <w:rFonts w:ascii="Times New Roman" w:eastAsia="仿宋_GB2312" w:hAnsi="Times New Roman" w:cs="Times New Roman" w:hint="eastAsia"/>
          <w:color w:val="000000" w:themeColor="text1"/>
          <w:sz w:val="32"/>
          <w:szCs w:val="32"/>
        </w:rPr>
        <w:t>与模型计算范围契合：</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计算</w:t>
      </w:r>
      <w:r>
        <w:rPr>
          <w:rFonts w:ascii="Times New Roman" w:eastAsia="仿宋_GB2312" w:hAnsi="Times New Roman" w:cs="Times New Roman" w:hint="eastAsia"/>
          <w:color w:val="000000" w:themeColor="text1"/>
          <w:sz w:val="32"/>
          <w:szCs w:val="32"/>
        </w:rPr>
        <w:t>出的</w:t>
      </w:r>
      <w:r w:rsidRPr="000433E4">
        <w:rPr>
          <w:rFonts w:ascii="Times New Roman" w:eastAsia="仿宋_GB2312" w:hAnsi="Times New Roman" w:cs="Times New Roman" w:hint="eastAsia"/>
          <w:color w:val="000000" w:themeColor="text1"/>
          <w:sz w:val="32"/>
          <w:szCs w:val="32"/>
        </w:rPr>
        <w:t>理论最低值约为</w:t>
      </w:r>
      <w:r w:rsidRPr="000433E4">
        <w:rPr>
          <w:rFonts w:ascii="Times New Roman" w:eastAsia="仿宋_GB2312" w:hAnsi="Times New Roman" w:cs="Times New Roman" w:hint="eastAsia"/>
          <w:color w:val="000000" w:themeColor="text1"/>
          <w:sz w:val="32"/>
          <w:szCs w:val="32"/>
        </w:rPr>
        <w:t>0.49</w:t>
      </w:r>
      <w:r w:rsidRPr="000433E4">
        <w:rPr>
          <w:rFonts w:ascii="Times New Roman" w:eastAsia="仿宋_GB2312" w:hAnsi="Times New Roman" w:cs="Times New Roman" w:hint="eastAsia"/>
          <w:color w:val="000000" w:themeColor="text1"/>
          <w:sz w:val="32"/>
          <w:szCs w:val="32"/>
        </w:rPr>
        <w:t>，因此将低风险线划在</w:t>
      </w:r>
      <w:r w:rsidRPr="000433E4">
        <w:rPr>
          <w:rFonts w:ascii="Times New Roman" w:eastAsia="仿宋_GB2312" w:hAnsi="Times New Roman" w:cs="Times New Roman" w:hint="eastAsia"/>
          <w:color w:val="000000" w:themeColor="text1"/>
          <w:sz w:val="32"/>
          <w:szCs w:val="32"/>
        </w:rPr>
        <w:t>0.6</w:t>
      </w:r>
      <w:r w:rsidRPr="000433E4">
        <w:rPr>
          <w:rFonts w:ascii="Times New Roman" w:eastAsia="仿宋_GB2312" w:hAnsi="Times New Roman" w:cs="Times New Roman" w:hint="eastAsia"/>
          <w:color w:val="000000" w:themeColor="text1"/>
          <w:sz w:val="32"/>
          <w:szCs w:val="32"/>
        </w:rPr>
        <w:t>，确保了“低风险”组确实由风险最低的个体组成。</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理论最高值为</w:t>
      </w:r>
      <w:r w:rsidRPr="000433E4">
        <w:rPr>
          <w:rFonts w:ascii="Times New Roman" w:eastAsia="仿宋_GB2312" w:hAnsi="Times New Roman" w:cs="Times New Roman" w:hint="eastAsia"/>
          <w:color w:val="000000" w:themeColor="text1"/>
          <w:sz w:val="32"/>
          <w:szCs w:val="32"/>
        </w:rPr>
        <w:t>0.99</w:t>
      </w:r>
      <w:r w:rsidRPr="000433E4">
        <w:rPr>
          <w:rFonts w:ascii="Times New Roman" w:eastAsia="仿宋_GB2312" w:hAnsi="Times New Roman" w:cs="Times New Roman" w:hint="eastAsia"/>
          <w:color w:val="000000" w:themeColor="text1"/>
          <w:sz w:val="32"/>
          <w:szCs w:val="32"/>
        </w:rPr>
        <w:t>，将高风险线划在</w:t>
      </w:r>
      <w:r w:rsidRPr="000433E4">
        <w:rPr>
          <w:rFonts w:ascii="Times New Roman" w:eastAsia="仿宋_GB2312" w:hAnsi="Times New Roman" w:cs="Times New Roman" w:hint="eastAsia"/>
          <w:color w:val="000000" w:themeColor="text1"/>
          <w:sz w:val="32"/>
          <w:szCs w:val="32"/>
        </w:rPr>
        <w:t>0.85</w:t>
      </w:r>
      <w:r w:rsidRPr="000433E4">
        <w:rPr>
          <w:rFonts w:ascii="Times New Roman" w:eastAsia="仿宋_GB2312" w:hAnsi="Times New Roman" w:cs="Times New Roman" w:hint="eastAsia"/>
          <w:color w:val="000000" w:themeColor="text1"/>
          <w:sz w:val="32"/>
          <w:szCs w:val="32"/>
        </w:rPr>
        <w:t>，能够有效区分出风险最高的部分患者。</w:t>
      </w:r>
    </w:p>
    <w:p w:rsidR="000433E4" w:rsidRPr="000433E4" w:rsidRDefault="00776381"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color w:val="000000" w:themeColor="text1"/>
          <w:sz w:val="32"/>
          <w:szCs w:val="32"/>
        </w:rPr>
        <w:t>4.</w:t>
      </w:r>
      <w:r w:rsidR="000433E4" w:rsidRPr="000433E4">
        <w:rPr>
          <w:rFonts w:ascii="Times New Roman" w:eastAsia="仿宋_GB2312" w:hAnsi="Times New Roman" w:cs="Times New Roman" w:hint="eastAsia"/>
          <w:color w:val="000000" w:themeColor="text1"/>
          <w:sz w:val="32"/>
          <w:szCs w:val="32"/>
        </w:rPr>
        <w:t>举例说明</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一位</w:t>
      </w:r>
      <w:r w:rsidRPr="000433E4">
        <w:rPr>
          <w:rFonts w:ascii="Times New Roman" w:eastAsia="仿宋_GB2312" w:hAnsi="Times New Roman" w:cs="Times New Roman" w:hint="eastAsia"/>
          <w:color w:val="000000" w:themeColor="text1"/>
          <w:sz w:val="32"/>
          <w:szCs w:val="32"/>
        </w:rPr>
        <w:t>58</w:t>
      </w:r>
      <w:r w:rsidRPr="000433E4">
        <w:rPr>
          <w:rFonts w:ascii="Times New Roman" w:eastAsia="仿宋_GB2312" w:hAnsi="Times New Roman" w:cs="Times New Roman" w:hint="eastAsia"/>
          <w:color w:val="000000" w:themeColor="text1"/>
          <w:sz w:val="32"/>
          <w:szCs w:val="32"/>
        </w:rPr>
        <w:t>岁（</w:t>
      </w:r>
      <w:r w:rsidRPr="000433E4">
        <w:rPr>
          <w:rFonts w:ascii="Times New Roman" w:eastAsia="仿宋_GB2312" w:hAnsi="Times New Roman" w:cs="Times New Roman" w:hint="eastAsia"/>
          <w:color w:val="000000" w:themeColor="text1"/>
          <w:sz w:val="32"/>
          <w:szCs w:val="32"/>
        </w:rPr>
        <w:t>X1=0</w:t>
      </w:r>
      <w:r w:rsidRPr="000433E4">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BMI=26</w:t>
      </w:r>
      <w:r w:rsidRPr="000433E4">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X2=0</w:t>
      </w:r>
      <w:r w:rsidRPr="000433E4">
        <w:rPr>
          <w:rFonts w:ascii="Times New Roman" w:eastAsia="仿宋_GB2312" w:hAnsi="Times New Roman" w:cs="Times New Roman" w:hint="eastAsia"/>
          <w:color w:val="000000" w:themeColor="text1"/>
          <w:sz w:val="32"/>
          <w:szCs w:val="32"/>
        </w:rPr>
        <w:t>）、不使用骨水泥（</w:t>
      </w:r>
      <w:r w:rsidRPr="000433E4">
        <w:rPr>
          <w:rFonts w:ascii="Times New Roman" w:eastAsia="仿宋_GB2312" w:hAnsi="Times New Roman" w:cs="Times New Roman" w:hint="eastAsia"/>
          <w:color w:val="000000" w:themeColor="text1"/>
          <w:sz w:val="32"/>
          <w:szCs w:val="32"/>
        </w:rPr>
        <w:t>X3=0</w:t>
      </w:r>
      <w:r w:rsidRPr="000433E4">
        <w:rPr>
          <w:rFonts w:ascii="Times New Roman" w:eastAsia="仿宋_GB2312" w:hAnsi="Times New Roman" w:cs="Times New Roman" w:hint="eastAsia"/>
          <w:color w:val="000000" w:themeColor="text1"/>
          <w:sz w:val="32"/>
          <w:szCs w:val="32"/>
        </w:rPr>
        <w:t>）、采用腰麻（</w:t>
      </w:r>
      <w:r w:rsidRPr="000433E4">
        <w:rPr>
          <w:rFonts w:ascii="Times New Roman" w:eastAsia="仿宋_GB2312" w:hAnsi="Times New Roman" w:cs="Times New Roman" w:hint="eastAsia"/>
          <w:color w:val="000000" w:themeColor="text1"/>
          <w:sz w:val="32"/>
          <w:szCs w:val="32"/>
        </w:rPr>
        <w:t>X4=0</w:t>
      </w:r>
      <w:r w:rsidRPr="000433E4">
        <w:rPr>
          <w:rFonts w:ascii="Times New Roman" w:eastAsia="仿宋_GB2312" w:hAnsi="Times New Roman" w:cs="Times New Roman" w:hint="eastAsia"/>
          <w:color w:val="000000" w:themeColor="text1"/>
          <w:sz w:val="32"/>
          <w:szCs w:val="32"/>
        </w:rPr>
        <w:t>）、术前规律抗凝（</w:t>
      </w:r>
      <w:r w:rsidRPr="000433E4">
        <w:rPr>
          <w:rFonts w:ascii="Times New Roman" w:eastAsia="仿宋_GB2312" w:hAnsi="Times New Roman" w:cs="Times New Roman" w:hint="eastAsia"/>
          <w:color w:val="000000" w:themeColor="text1"/>
          <w:sz w:val="32"/>
          <w:szCs w:val="32"/>
        </w:rPr>
        <w:t>X5=1</w:t>
      </w:r>
      <w:r w:rsidRPr="000433E4">
        <w:rPr>
          <w:rFonts w:ascii="Times New Roman" w:eastAsia="仿宋_GB2312" w:hAnsi="Times New Roman" w:cs="Times New Roman" w:hint="eastAsia"/>
          <w:color w:val="000000" w:themeColor="text1"/>
          <w:sz w:val="32"/>
          <w:szCs w:val="32"/>
        </w:rPr>
        <w:t>）的患者。</w:t>
      </w:r>
    </w:p>
    <w:p w:rsidR="000433E4" w:rsidRPr="000433E4" w:rsidRDefault="004C6AB5"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P</w:t>
      </w:r>
      <w:r w:rsidR="00776381">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1/(1+exp(-(0.907-0.934)))=1/(1+exp(0.027))</w:t>
      </w:r>
      <w:r w:rsidR="000433E4" w:rsidRPr="000433E4">
        <w:rPr>
          <w:rFonts w:ascii="Times New Roman" w:eastAsia="仿宋_GB2312" w:hAnsi="Times New Roman" w:cs="Times New Roman" w:hint="eastAsia"/>
          <w:color w:val="000000" w:themeColor="text1"/>
          <w:sz w:val="32"/>
          <w:szCs w:val="32"/>
        </w:rPr>
        <w:t>≈</w:t>
      </w:r>
      <w:r w:rsidR="000433E4" w:rsidRPr="000433E4">
        <w:rPr>
          <w:rFonts w:ascii="Times New Roman" w:eastAsia="仿宋_GB2312" w:hAnsi="Times New Roman" w:cs="Times New Roman" w:hint="eastAsia"/>
          <w:color w:val="000000" w:themeColor="text1"/>
          <w:sz w:val="32"/>
          <w:szCs w:val="32"/>
        </w:rPr>
        <w:t>0.493</w:t>
      </w:r>
    </w:p>
    <w:p w:rsidR="000433E4" w:rsidRPr="000433E4" w:rsidRDefault="004C6AB5"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P&lt;</w:t>
      </w:r>
      <w:r w:rsidR="000433E4" w:rsidRPr="000433E4">
        <w:rPr>
          <w:rFonts w:ascii="Times New Roman" w:eastAsia="仿宋_GB2312" w:hAnsi="Times New Roman" w:cs="Times New Roman" w:hint="eastAsia"/>
          <w:color w:val="000000" w:themeColor="text1"/>
          <w:sz w:val="32"/>
          <w:szCs w:val="32"/>
        </w:rPr>
        <w:t>0.6</w:t>
      </w:r>
      <w:r w:rsidR="000433E4" w:rsidRPr="000433E4">
        <w:rPr>
          <w:rFonts w:ascii="Times New Roman" w:eastAsia="仿宋_GB2312" w:hAnsi="Times New Roman" w:cs="Times New Roman" w:hint="eastAsia"/>
          <w:color w:val="000000" w:themeColor="text1"/>
          <w:sz w:val="32"/>
          <w:szCs w:val="32"/>
        </w:rPr>
        <w:t>，属于低风险区。</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lastRenderedPageBreak/>
        <w:t>一位</w:t>
      </w:r>
      <w:r w:rsidRPr="000433E4">
        <w:rPr>
          <w:rFonts w:ascii="Times New Roman" w:eastAsia="仿宋_GB2312" w:hAnsi="Times New Roman" w:cs="Times New Roman" w:hint="eastAsia"/>
          <w:color w:val="000000" w:themeColor="text1"/>
          <w:sz w:val="32"/>
          <w:szCs w:val="32"/>
        </w:rPr>
        <w:t>70</w:t>
      </w:r>
      <w:r w:rsidRPr="000433E4">
        <w:rPr>
          <w:rFonts w:ascii="Times New Roman" w:eastAsia="仿宋_GB2312" w:hAnsi="Times New Roman" w:cs="Times New Roman" w:hint="eastAsia"/>
          <w:color w:val="000000" w:themeColor="text1"/>
          <w:sz w:val="32"/>
          <w:szCs w:val="32"/>
        </w:rPr>
        <w:t>岁（</w:t>
      </w:r>
      <w:r w:rsidRPr="000433E4">
        <w:rPr>
          <w:rFonts w:ascii="Times New Roman" w:eastAsia="仿宋_GB2312" w:hAnsi="Times New Roman" w:cs="Times New Roman" w:hint="eastAsia"/>
          <w:color w:val="000000" w:themeColor="text1"/>
          <w:sz w:val="32"/>
          <w:szCs w:val="32"/>
        </w:rPr>
        <w:t>X1=1</w:t>
      </w:r>
      <w:r w:rsidRPr="000433E4">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BMI=30</w:t>
      </w:r>
      <w:r w:rsidRPr="000433E4">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X2=1</w:t>
      </w:r>
      <w:r w:rsidRPr="000433E4">
        <w:rPr>
          <w:rFonts w:ascii="Times New Roman" w:eastAsia="仿宋_GB2312" w:hAnsi="Times New Roman" w:cs="Times New Roman" w:hint="eastAsia"/>
          <w:color w:val="000000" w:themeColor="text1"/>
          <w:sz w:val="32"/>
          <w:szCs w:val="32"/>
        </w:rPr>
        <w:t>）、不使用骨水泥（</w:t>
      </w:r>
      <w:r w:rsidRPr="000433E4">
        <w:rPr>
          <w:rFonts w:ascii="Times New Roman" w:eastAsia="仿宋_GB2312" w:hAnsi="Times New Roman" w:cs="Times New Roman" w:hint="eastAsia"/>
          <w:color w:val="000000" w:themeColor="text1"/>
          <w:sz w:val="32"/>
          <w:szCs w:val="32"/>
        </w:rPr>
        <w:t>X3=0</w:t>
      </w:r>
      <w:r w:rsidRPr="000433E4">
        <w:rPr>
          <w:rFonts w:ascii="Times New Roman" w:eastAsia="仿宋_GB2312" w:hAnsi="Times New Roman" w:cs="Times New Roman" w:hint="eastAsia"/>
          <w:color w:val="000000" w:themeColor="text1"/>
          <w:sz w:val="32"/>
          <w:szCs w:val="32"/>
        </w:rPr>
        <w:t>）、采用全麻（</w:t>
      </w:r>
      <w:r w:rsidRPr="000433E4">
        <w:rPr>
          <w:rFonts w:ascii="Times New Roman" w:eastAsia="仿宋_GB2312" w:hAnsi="Times New Roman" w:cs="Times New Roman" w:hint="eastAsia"/>
          <w:color w:val="000000" w:themeColor="text1"/>
          <w:sz w:val="32"/>
          <w:szCs w:val="32"/>
        </w:rPr>
        <w:t>X4=1</w:t>
      </w:r>
      <w:r w:rsidRPr="000433E4">
        <w:rPr>
          <w:rFonts w:ascii="Times New Roman" w:eastAsia="仿宋_GB2312" w:hAnsi="Times New Roman" w:cs="Times New Roman" w:hint="eastAsia"/>
          <w:color w:val="000000" w:themeColor="text1"/>
          <w:sz w:val="32"/>
          <w:szCs w:val="32"/>
        </w:rPr>
        <w:t>）、术前未抗凝（</w:t>
      </w:r>
      <w:r w:rsidRPr="000433E4">
        <w:rPr>
          <w:rFonts w:ascii="Times New Roman" w:eastAsia="仿宋_GB2312" w:hAnsi="Times New Roman" w:cs="Times New Roman" w:hint="eastAsia"/>
          <w:color w:val="000000" w:themeColor="text1"/>
          <w:sz w:val="32"/>
          <w:szCs w:val="32"/>
        </w:rPr>
        <w:t>X5=0</w:t>
      </w:r>
      <w:r w:rsidRPr="000433E4">
        <w:rPr>
          <w:rFonts w:ascii="Times New Roman" w:eastAsia="仿宋_GB2312" w:hAnsi="Times New Roman" w:cs="Times New Roman" w:hint="eastAsia"/>
          <w:color w:val="000000" w:themeColor="text1"/>
          <w:sz w:val="32"/>
          <w:szCs w:val="32"/>
        </w:rPr>
        <w:t>）</w:t>
      </w:r>
      <w:r w:rsidRPr="000433E4">
        <w:rPr>
          <w:rFonts w:ascii="Times New Roman" w:eastAsia="仿宋_GB2312" w:hAnsi="Times New Roman" w:cs="Times New Roman" w:hint="eastAsia"/>
          <w:color w:val="000000" w:themeColor="text1"/>
          <w:sz w:val="32"/>
          <w:szCs w:val="32"/>
        </w:rPr>
        <w:t xml:space="preserve"> </w:t>
      </w:r>
      <w:r w:rsidRPr="000433E4">
        <w:rPr>
          <w:rFonts w:ascii="Times New Roman" w:eastAsia="仿宋_GB2312" w:hAnsi="Times New Roman" w:cs="Times New Roman" w:hint="eastAsia"/>
          <w:color w:val="000000" w:themeColor="text1"/>
          <w:sz w:val="32"/>
          <w:szCs w:val="32"/>
        </w:rPr>
        <w:t>的患者。</w:t>
      </w:r>
    </w:p>
    <w:p w:rsidR="000433E4" w:rsidRPr="000433E4" w:rsidRDefault="004C6AB5" w:rsidP="000433E4">
      <w:pPr>
        <w:spacing w:line="52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P</w:t>
      </w:r>
      <w:bookmarkStart w:id="0" w:name="_GoBack"/>
      <w:bookmarkEnd w:id="0"/>
      <w:r>
        <w:rPr>
          <w:rFonts w:ascii="Times New Roman" w:eastAsia="仿宋_GB2312" w:hAnsi="Times New Roman" w:cs="Times New Roman" w:hint="eastAsia"/>
          <w:color w:val="000000" w:themeColor="text1"/>
          <w:sz w:val="32"/>
          <w:szCs w:val="32"/>
        </w:rPr>
        <w:t>=1/</w:t>
      </w:r>
      <w:r w:rsidR="000433E4" w:rsidRPr="000433E4">
        <w:rPr>
          <w:rFonts w:ascii="Times New Roman" w:eastAsia="仿宋_GB2312" w:hAnsi="Times New Roman" w:cs="Times New Roman" w:hint="eastAsia"/>
          <w:color w:val="000000" w:themeColor="text1"/>
          <w:sz w:val="32"/>
          <w:szCs w:val="32"/>
        </w:rPr>
        <w:t xml:space="preserve">(1 + exp(-(0.907 + 1.031 + 0.798 + 0 + 0.803 + 0))) = 1 / (1 + exp(-3.539)) </w:t>
      </w:r>
      <w:r w:rsidR="000433E4" w:rsidRPr="000433E4">
        <w:rPr>
          <w:rFonts w:ascii="Times New Roman" w:eastAsia="仿宋_GB2312" w:hAnsi="Times New Roman" w:cs="Times New Roman" w:hint="eastAsia"/>
          <w:color w:val="000000" w:themeColor="text1"/>
          <w:sz w:val="32"/>
          <w:szCs w:val="32"/>
        </w:rPr>
        <w:t>≈</w:t>
      </w:r>
      <w:r w:rsidR="000433E4" w:rsidRPr="000433E4">
        <w:rPr>
          <w:rFonts w:ascii="Times New Roman" w:eastAsia="仿宋_GB2312" w:hAnsi="Times New Roman" w:cs="Times New Roman" w:hint="eastAsia"/>
          <w:color w:val="000000" w:themeColor="text1"/>
          <w:sz w:val="32"/>
          <w:szCs w:val="32"/>
        </w:rPr>
        <w:t xml:space="preserve"> 0.972</w:t>
      </w:r>
    </w:p>
    <w:p w:rsidR="000433E4" w:rsidRPr="000433E4" w:rsidRDefault="000433E4" w:rsidP="000433E4">
      <w:pPr>
        <w:spacing w:line="520" w:lineRule="exact"/>
        <w:ind w:firstLineChars="200" w:firstLine="640"/>
        <w:rPr>
          <w:rFonts w:ascii="Times New Roman" w:eastAsia="仿宋_GB2312" w:hAnsi="Times New Roman" w:cs="Times New Roman" w:hint="eastAsia"/>
          <w:color w:val="000000" w:themeColor="text1"/>
          <w:sz w:val="32"/>
          <w:szCs w:val="32"/>
        </w:rPr>
      </w:pPr>
      <w:r w:rsidRPr="000433E4">
        <w:rPr>
          <w:rFonts w:ascii="Times New Roman" w:eastAsia="仿宋_GB2312" w:hAnsi="Times New Roman" w:cs="Times New Roman" w:hint="eastAsia"/>
          <w:color w:val="000000" w:themeColor="text1"/>
          <w:sz w:val="32"/>
          <w:szCs w:val="32"/>
        </w:rPr>
        <w:t>P &gt; 0.85</w:t>
      </w:r>
      <w:r w:rsidRPr="000433E4">
        <w:rPr>
          <w:rFonts w:ascii="Times New Roman" w:eastAsia="仿宋_GB2312" w:hAnsi="Times New Roman" w:cs="Times New Roman" w:hint="eastAsia"/>
          <w:color w:val="000000" w:themeColor="text1"/>
          <w:sz w:val="32"/>
          <w:szCs w:val="32"/>
        </w:rPr>
        <w:t>，属于高风险区。</w:t>
      </w:r>
    </w:p>
    <w:p w:rsidR="00905EDE" w:rsidRDefault="00D97C46">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六、重大意见分歧的处理依据和结果</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本标准研制过程中无重大分歧意见。</w:t>
      </w:r>
    </w:p>
    <w:p w:rsidR="00905EDE" w:rsidRDefault="00D97C46">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七、实施标准的措施</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（一）标准报批发布后，成立标准宣贯工作组</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（二）组织开展标准宣贯培训</w:t>
      </w:r>
    </w:p>
    <w:p w:rsidR="00905EDE" w:rsidRDefault="00D97C46">
      <w:pPr>
        <w:spacing w:line="520" w:lineRule="exact"/>
        <w:ind w:firstLineChars="200" w:firstLine="640"/>
        <w:rPr>
          <w:rFonts w:ascii="仿宋" w:eastAsia="仿宋" w:hAnsi="仿宋"/>
          <w:color w:val="000000" w:themeColor="text1"/>
          <w:sz w:val="32"/>
          <w:szCs w:val="32"/>
        </w:rPr>
      </w:pPr>
      <w:r>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促进临床医学事业高质量发展。</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（三）开展标准实施交流会，收集标准实施反馈信息</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标准起草小组深入各市县相关医疗机构召开标准实施交流会，听取标准实施过程中存在的问题并做好记录和解答，对存在的问题组织专家团队进行研讨，为标准的复审修订做准备。</w:t>
      </w:r>
    </w:p>
    <w:p w:rsidR="00905EDE" w:rsidRDefault="00D97C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（四）开展标准实施效果评估</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w:t>
      </w:r>
      <w:r>
        <w:rPr>
          <w:rFonts w:ascii="仿宋_GB2312" w:eastAsia="仿宋_GB2312" w:hint="eastAsia"/>
          <w:color w:val="000000" w:themeColor="text1"/>
          <w:sz w:val="32"/>
          <w:szCs w:val="32"/>
        </w:rPr>
        <w:lastRenderedPageBreak/>
        <w:t>准实施效果评估，并形成标准实施效果评估报告，为标准的复审修订做准备。</w:t>
      </w:r>
    </w:p>
    <w:p w:rsidR="00905EDE" w:rsidRDefault="00D97C46">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八、其他应当说明的事项</w:t>
      </w:r>
    </w:p>
    <w:p w:rsidR="00905EDE" w:rsidRDefault="00D97C4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无。</w:t>
      </w:r>
    </w:p>
    <w:p w:rsidR="00905EDE" w:rsidRDefault="00905EDE">
      <w:pPr>
        <w:pStyle w:val="-1"/>
        <w:rPr>
          <w:rFonts w:ascii="仿宋_GB2312" w:eastAsia="仿宋_GB2312" w:cs="Calibri"/>
          <w:color w:val="000000" w:themeColor="text1"/>
          <w:sz w:val="32"/>
          <w:szCs w:val="32"/>
        </w:rPr>
      </w:pPr>
    </w:p>
    <w:p w:rsidR="00905EDE" w:rsidRDefault="00905EDE">
      <w:pPr>
        <w:pStyle w:val="-1"/>
        <w:rPr>
          <w:rFonts w:ascii="仿宋_GB2312" w:eastAsia="仿宋_GB2312"/>
          <w:color w:val="000000" w:themeColor="text1"/>
          <w:sz w:val="28"/>
          <w:szCs w:val="28"/>
        </w:rPr>
      </w:pPr>
    </w:p>
    <w:p w:rsidR="00905EDE" w:rsidRDefault="00905EDE">
      <w:pPr>
        <w:pStyle w:val="-1"/>
        <w:rPr>
          <w:rFonts w:ascii="仿宋_GB2312" w:eastAsia="仿宋_GB2312"/>
          <w:color w:val="000000" w:themeColor="text1"/>
          <w:sz w:val="28"/>
          <w:szCs w:val="28"/>
        </w:rPr>
      </w:pPr>
    </w:p>
    <w:p w:rsidR="00905EDE" w:rsidRDefault="00D97C46">
      <w:pPr>
        <w:spacing w:line="520" w:lineRule="exact"/>
        <w:ind w:firstLineChars="200" w:firstLine="640"/>
        <w:jc w:val="right"/>
        <w:rPr>
          <w:rFonts w:ascii="仿宋_GB2312" w:eastAsia="仿宋_GB2312"/>
          <w:color w:val="000000" w:themeColor="text1"/>
          <w:sz w:val="32"/>
          <w:szCs w:val="32"/>
        </w:rPr>
      </w:pPr>
      <w:r>
        <w:rPr>
          <w:rFonts w:ascii="仿宋_GB2312" w:eastAsia="仿宋_GB2312" w:hint="eastAsia"/>
          <w:color w:val="000000" w:themeColor="text1"/>
          <w:sz w:val="32"/>
          <w:szCs w:val="32"/>
        </w:rPr>
        <w:t>团体标准《髋关节大手术前深静脉血栓形成预测规范》</w:t>
      </w:r>
    </w:p>
    <w:p w:rsidR="00905EDE" w:rsidRDefault="00D97C46">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标准编制工作组</w:t>
      </w:r>
    </w:p>
    <w:p w:rsidR="00905EDE" w:rsidRDefault="00D97C46">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202</w:t>
      </w:r>
      <w:r>
        <w:rPr>
          <w:rFonts w:ascii="仿宋_GB2312" w:eastAsia="仿宋_GB2312"/>
          <w:color w:val="000000" w:themeColor="text1"/>
          <w:sz w:val="32"/>
          <w:szCs w:val="32"/>
        </w:rPr>
        <w:t>5</w:t>
      </w:r>
      <w:r>
        <w:rPr>
          <w:rFonts w:ascii="仿宋_GB2312" w:eastAsia="仿宋_GB2312" w:hint="eastAsia"/>
          <w:color w:val="000000" w:themeColor="text1"/>
          <w:sz w:val="32"/>
          <w:szCs w:val="32"/>
        </w:rPr>
        <w:t>年</w:t>
      </w:r>
      <w:r>
        <w:rPr>
          <w:rFonts w:ascii="仿宋_GB2312" w:eastAsia="仿宋_GB2312"/>
          <w:color w:val="000000" w:themeColor="text1"/>
          <w:sz w:val="32"/>
          <w:szCs w:val="32"/>
        </w:rPr>
        <w:t>9</w:t>
      </w:r>
      <w:r>
        <w:rPr>
          <w:rFonts w:ascii="仿宋_GB2312" w:eastAsia="仿宋_GB2312" w:hint="eastAsia"/>
          <w:color w:val="000000" w:themeColor="text1"/>
          <w:sz w:val="32"/>
          <w:szCs w:val="32"/>
        </w:rPr>
        <w:t>月</w:t>
      </w:r>
      <w:r>
        <w:rPr>
          <w:rFonts w:ascii="仿宋_GB2312" w:eastAsia="仿宋_GB2312"/>
          <w:color w:val="000000" w:themeColor="text1"/>
          <w:sz w:val="32"/>
          <w:szCs w:val="32"/>
        </w:rPr>
        <w:t>15</w:t>
      </w:r>
      <w:r>
        <w:rPr>
          <w:rFonts w:ascii="仿宋_GB2312" w:eastAsia="仿宋_GB2312" w:hint="eastAsia"/>
          <w:color w:val="000000" w:themeColor="text1"/>
          <w:sz w:val="32"/>
          <w:szCs w:val="32"/>
        </w:rPr>
        <w:t>日</w:t>
      </w:r>
    </w:p>
    <w:sectPr w:rsidR="00905EDE">
      <w:footerReference w:type="default" r:id="rId9"/>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5AF" w:rsidRDefault="000465AF">
      <w:r>
        <w:separator/>
      </w:r>
    </w:p>
  </w:endnote>
  <w:endnote w:type="continuationSeparator" w:id="0">
    <w:p w:rsidR="000465AF" w:rsidRDefault="0004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D770051D-140F-427D-8EEE-6F720F19A88F}"/>
  </w:font>
  <w:font w:name="Calibri">
    <w:panose1 w:val="020F0502020204030204"/>
    <w:charset w:val="00"/>
    <w:family w:val="swiss"/>
    <w:pitch w:val="variable"/>
    <w:sig w:usb0="E00002FF" w:usb1="4000ACFF" w:usb2="00000001" w:usb3="00000000" w:csb0="0000019F" w:csb1="00000000"/>
    <w:embedRegular r:id="rId2" w:subsetted="1" w:fontKey="{9198084E-EFB6-48F2-813F-99773ED4C2AE}"/>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3" w:subsetted="1" w:fontKey="{D8B0CAC8-4864-48E4-B8A9-C913BC16E1B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A11FE24E-9718-4A87-B027-22ED91B82B49}"/>
    <w:embedBold r:id="rId5" w:subsetted="1" w:fontKey="{72A59533-3701-42F1-8520-C46E14C48CDC}"/>
  </w:font>
  <w:font w:name="微软雅黑">
    <w:panose1 w:val="020B0503020204020204"/>
    <w:charset w:val="86"/>
    <w:family w:val="swiss"/>
    <w:pitch w:val="variable"/>
    <w:sig w:usb0="80000287" w:usb1="280F3C52" w:usb2="00000016" w:usb3="00000000" w:csb0="0004001F" w:csb1="00000000"/>
    <w:embedRegular r:id="rId6" w:subsetted="1" w:fontKey="{1B5A5E2E-F257-41A1-9C50-F2A57829CAFC}"/>
  </w:font>
  <w:font w:name="楷体">
    <w:panose1 w:val="02010609060101010101"/>
    <w:charset w:val="86"/>
    <w:family w:val="modern"/>
    <w:pitch w:val="fixed"/>
    <w:sig w:usb0="800002BF" w:usb1="38CF7CFA" w:usb2="00000016" w:usb3="00000000" w:csb0="00040001" w:csb1="00000000"/>
    <w:embedBold r:id="rId7" w:subsetted="1" w:fontKey="{97FAD65F-5487-4F3D-B322-B8F19FEDC751}"/>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EDE" w:rsidRDefault="00D97C46">
    <w:pPr>
      <w:pStyle w:val="af8"/>
      <w:ind w:firstLine="37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rsidR="00905EDE" w:rsidRDefault="00D97C46">
                          <w:pPr>
                            <w:pStyle w:val="af8"/>
                            <w:rPr>
                              <w:rFonts w:ascii="宋体" w:hAnsi="宋体"/>
                              <w:sz w:val="22"/>
                            </w:rPr>
                          </w:pPr>
                          <w:r>
                            <w:rPr>
                              <w:rFonts w:ascii="宋体" w:hAnsi="宋体" w:hint="eastAsia"/>
                              <w:sz w:val="22"/>
                            </w:rPr>
                            <w:fldChar w:fldCharType="begin"/>
                          </w:r>
                          <w:r>
                            <w:rPr>
                              <w:rFonts w:ascii="宋体" w:hAnsi="宋体" w:hint="eastAsia"/>
                              <w:sz w:val="22"/>
                            </w:rPr>
                            <w:instrText xml:space="preserve"> PAGE  \* MERGEFORMAT </w:instrText>
                          </w:r>
                          <w:r>
                            <w:rPr>
                              <w:rFonts w:ascii="宋体" w:hAnsi="宋体" w:hint="eastAsia"/>
                              <w:sz w:val="22"/>
                            </w:rPr>
                            <w:fldChar w:fldCharType="separate"/>
                          </w:r>
                          <w:r w:rsidR="004C6AB5">
                            <w:rPr>
                              <w:rFonts w:ascii="宋体" w:hAnsi="宋体"/>
                              <w:noProof/>
                              <w:sz w:val="22"/>
                            </w:rPr>
                            <w:t>13</w:t>
                          </w:r>
                          <w:r>
                            <w:rPr>
                              <w:rFonts w:ascii="宋体" w:hAnsi="宋体" w:hint="eastAsia"/>
                              <w:sz w:val="22"/>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rsidR="00905EDE" w:rsidRDefault="00D97C46">
                    <w:pPr>
                      <w:pStyle w:val="af8"/>
                      <w:rPr>
                        <w:rFonts w:ascii="宋体" w:hAnsi="宋体"/>
                        <w:sz w:val="22"/>
                      </w:rPr>
                    </w:pPr>
                    <w:r>
                      <w:rPr>
                        <w:rFonts w:ascii="宋体" w:hAnsi="宋体" w:hint="eastAsia"/>
                        <w:sz w:val="22"/>
                      </w:rPr>
                      <w:fldChar w:fldCharType="begin"/>
                    </w:r>
                    <w:r>
                      <w:rPr>
                        <w:rFonts w:ascii="宋体" w:hAnsi="宋体" w:hint="eastAsia"/>
                        <w:sz w:val="22"/>
                      </w:rPr>
                      <w:instrText xml:space="preserve"> PAGE  \* MERGEFORMAT </w:instrText>
                    </w:r>
                    <w:r>
                      <w:rPr>
                        <w:rFonts w:ascii="宋体" w:hAnsi="宋体" w:hint="eastAsia"/>
                        <w:sz w:val="22"/>
                      </w:rPr>
                      <w:fldChar w:fldCharType="separate"/>
                    </w:r>
                    <w:r w:rsidR="004C6AB5">
                      <w:rPr>
                        <w:rFonts w:ascii="宋体" w:hAnsi="宋体"/>
                        <w:noProof/>
                        <w:sz w:val="22"/>
                      </w:rPr>
                      <w:t>13</w:t>
                    </w:r>
                    <w:r>
                      <w:rPr>
                        <w:rFonts w:ascii="宋体" w:hAnsi="宋体" w:hint="eastAsia"/>
                        <w:sz w:val="2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5AF" w:rsidRDefault="000465AF">
      <w:r>
        <w:separator/>
      </w:r>
    </w:p>
  </w:footnote>
  <w:footnote w:type="continuationSeparator" w:id="0">
    <w:p w:rsidR="000465AF" w:rsidRDefault="00046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1"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3"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5"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FB77A368"/>
    <w:rsid w:val="FF7FD2F3"/>
    <w:rsid w:val="00000831"/>
    <w:rsid w:val="000068A2"/>
    <w:rsid w:val="0000746F"/>
    <w:rsid w:val="00014983"/>
    <w:rsid w:val="000171F6"/>
    <w:rsid w:val="000178C8"/>
    <w:rsid w:val="00021A74"/>
    <w:rsid w:val="00021AEF"/>
    <w:rsid w:val="00022B48"/>
    <w:rsid w:val="00023CD6"/>
    <w:rsid w:val="00024C52"/>
    <w:rsid w:val="000361D9"/>
    <w:rsid w:val="00041142"/>
    <w:rsid w:val="00041CA7"/>
    <w:rsid w:val="000433E4"/>
    <w:rsid w:val="00045E58"/>
    <w:rsid w:val="000465AF"/>
    <w:rsid w:val="00051A80"/>
    <w:rsid w:val="00051C74"/>
    <w:rsid w:val="00051F5E"/>
    <w:rsid w:val="000540AB"/>
    <w:rsid w:val="00055442"/>
    <w:rsid w:val="0005792B"/>
    <w:rsid w:val="0006459C"/>
    <w:rsid w:val="000709A1"/>
    <w:rsid w:val="00072103"/>
    <w:rsid w:val="00073058"/>
    <w:rsid w:val="000743B4"/>
    <w:rsid w:val="00075653"/>
    <w:rsid w:val="00076330"/>
    <w:rsid w:val="000804C8"/>
    <w:rsid w:val="00082613"/>
    <w:rsid w:val="000836DC"/>
    <w:rsid w:val="00087B5A"/>
    <w:rsid w:val="00092E1F"/>
    <w:rsid w:val="000932A2"/>
    <w:rsid w:val="000940F9"/>
    <w:rsid w:val="00094B6B"/>
    <w:rsid w:val="000968C6"/>
    <w:rsid w:val="000969BE"/>
    <w:rsid w:val="000A36DD"/>
    <w:rsid w:val="000B2C81"/>
    <w:rsid w:val="000B2F3C"/>
    <w:rsid w:val="000B3320"/>
    <w:rsid w:val="000B3E65"/>
    <w:rsid w:val="000B6E76"/>
    <w:rsid w:val="000B748E"/>
    <w:rsid w:val="000C517B"/>
    <w:rsid w:val="000D211A"/>
    <w:rsid w:val="000D35F1"/>
    <w:rsid w:val="000D75AA"/>
    <w:rsid w:val="000D7F56"/>
    <w:rsid w:val="000E28E9"/>
    <w:rsid w:val="000E342B"/>
    <w:rsid w:val="000E53EA"/>
    <w:rsid w:val="000F0C14"/>
    <w:rsid w:val="000F21F0"/>
    <w:rsid w:val="000F2861"/>
    <w:rsid w:val="000F3BB3"/>
    <w:rsid w:val="000F604A"/>
    <w:rsid w:val="000F61A7"/>
    <w:rsid w:val="00102400"/>
    <w:rsid w:val="0010338D"/>
    <w:rsid w:val="00110AC2"/>
    <w:rsid w:val="001120A0"/>
    <w:rsid w:val="001121F0"/>
    <w:rsid w:val="001133E6"/>
    <w:rsid w:val="0012345E"/>
    <w:rsid w:val="00125842"/>
    <w:rsid w:val="00127E58"/>
    <w:rsid w:val="00132D8B"/>
    <w:rsid w:val="00133F3E"/>
    <w:rsid w:val="0013596D"/>
    <w:rsid w:val="001363BD"/>
    <w:rsid w:val="00136CB0"/>
    <w:rsid w:val="001414C7"/>
    <w:rsid w:val="00141D9D"/>
    <w:rsid w:val="00151F7B"/>
    <w:rsid w:val="00152CB3"/>
    <w:rsid w:val="001537E7"/>
    <w:rsid w:val="00153A4E"/>
    <w:rsid w:val="001548F8"/>
    <w:rsid w:val="00160A77"/>
    <w:rsid w:val="00163FFE"/>
    <w:rsid w:val="001655CC"/>
    <w:rsid w:val="001748D4"/>
    <w:rsid w:val="00175140"/>
    <w:rsid w:val="0018012C"/>
    <w:rsid w:val="001821C9"/>
    <w:rsid w:val="00183018"/>
    <w:rsid w:val="0018386F"/>
    <w:rsid w:val="00184D1A"/>
    <w:rsid w:val="00190E01"/>
    <w:rsid w:val="001928E9"/>
    <w:rsid w:val="00195660"/>
    <w:rsid w:val="001968C3"/>
    <w:rsid w:val="001A25BD"/>
    <w:rsid w:val="001A69C0"/>
    <w:rsid w:val="001A7570"/>
    <w:rsid w:val="001B0030"/>
    <w:rsid w:val="001B3057"/>
    <w:rsid w:val="001B3580"/>
    <w:rsid w:val="001B6B04"/>
    <w:rsid w:val="001B7E18"/>
    <w:rsid w:val="001C21D4"/>
    <w:rsid w:val="001C4C8F"/>
    <w:rsid w:val="001C7DE8"/>
    <w:rsid w:val="001D0584"/>
    <w:rsid w:val="001D3156"/>
    <w:rsid w:val="001D4971"/>
    <w:rsid w:val="001E1206"/>
    <w:rsid w:val="001E29C4"/>
    <w:rsid w:val="001E2D73"/>
    <w:rsid w:val="001F1AA9"/>
    <w:rsid w:val="001F251A"/>
    <w:rsid w:val="001F4D35"/>
    <w:rsid w:val="0020127F"/>
    <w:rsid w:val="0020335E"/>
    <w:rsid w:val="00205352"/>
    <w:rsid w:val="00205D69"/>
    <w:rsid w:val="00210FD3"/>
    <w:rsid w:val="00212227"/>
    <w:rsid w:val="00214EAB"/>
    <w:rsid w:val="002164B4"/>
    <w:rsid w:val="002171A0"/>
    <w:rsid w:val="002209F0"/>
    <w:rsid w:val="002210B4"/>
    <w:rsid w:val="00221DEA"/>
    <w:rsid w:val="0022236C"/>
    <w:rsid w:val="00226607"/>
    <w:rsid w:val="00230E98"/>
    <w:rsid w:val="002324B6"/>
    <w:rsid w:val="00232C78"/>
    <w:rsid w:val="00232E3B"/>
    <w:rsid w:val="00234F7D"/>
    <w:rsid w:val="00236909"/>
    <w:rsid w:val="00236EB4"/>
    <w:rsid w:val="00241F8A"/>
    <w:rsid w:val="00242E52"/>
    <w:rsid w:val="0025373A"/>
    <w:rsid w:val="00253845"/>
    <w:rsid w:val="002546EF"/>
    <w:rsid w:val="0025676C"/>
    <w:rsid w:val="00262001"/>
    <w:rsid w:val="00263E80"/>
    <w:rsid w:val="00264265"/>
    <w:rsid w:val="00266606"/>
    <w:rsid w:val="00271E05"/>
    <w:rsid w:val="002747F5"/>
    <w:rsid w:val="00274B73"/>
    <w:rsid w:val="00280BDB"/>
    <w:rsid w:val="00281F39"/>
    <w:rsid w:val="0028500C"/>
    <w:rsid w:val="0028575C"/>
    <w:rsid w:val="002879F6"/>
    <w:rsid w:val="00292F73"/>
    <w:rsid w:val="0029554A"/>
    <w:rsid w:val="00297734"/>
    <w:rsid w:val="002A2BEC"/>
    <w:rsid w:val="002A2DDC"/>
    <w:rsid w:val="002A3479"/>
    <w:rsid w:val="002B723D"/>
    <w:rsid w:val="002B7B10"/>
    <w:rsid w:val="002B7C92"/>
    <w:rsid w:val="002C176B"/>
    <w:rsid w:val="002C1D4E"/>
    <w:rsid w:val="002C3627"/>
    <w:rsid w:val="002C5F9C"/>
    <w:rsid w:val="002D07EC"/>
    <w:rsid w:val="002D18E3"/>
    <w:rsid w:val="002D2273"/>
    <w:rsid w:val="002D5597"/>
    <w:rsid w:val="002E1B63"/>
    <w:rsid w:val="002E357A"/>
    <w:rsid w:val="002E3B58"/>
    <w:rsid w:val="002E4234"/>
    <w:rsid w:val="002E5273"/>
    <w:rsid w:val="002E572C"/>
    <w:rsid w:val="002E6F0F"/>
    <w:rsid w:val="002F0D8E"/>
    <w:rsid w:val="002F4C45"/>
    <w:rsid w:val="002F5C0C"/>
    <w:rsid w:val="00302739"/>
    <w:rsid w:val="0030356D"/>
    <w:rsid w:val="00307774"/>
    <w:rsid w:val="00313329"/>
    <w:rsid w:val="00316588"/>
    <w:rsid w:val="00317091"/>
    <w:rsid w:val="00317530"/>
    <w:rsid w:val="00320CB4"/>
    <w:rsid w:val="00321E92"/>
    <w:rsid w:val="00322535"/>
    <w:rsid w:val="003259AF"/>
    <w:rsid w:val="00325F9F"/>
    <w:rsid w:val="003306DD"/>
    <w:rsid w:val="00330A4E"/>
    <w:rsid w:val="00332242"/>
    <w:rsid w:val="003332BA"/>
    <w:rsid w:val="00340D9B"/>
    <w:rsid w:val="00340FDE"/>
    <w:rsid w:val="003460F3"/>
    <w:rsid w:val="00346534"/>
    <w:rsid w:val="00347BB4"/>
    <w:rsid w:val="003517E7"/>
    <w:rsid w:val="003530C8"/>
    <w:rsid w:val="00357BDF"/>
    <w:rsid w:val="00360BAF"/>
    <w:rsid w:val="00361296"/>
    <w:rsid w:val="00361596"/>
    <w:rsid w:val="00362C01"/>
    <w:rsid w:val="0036450F"/>
    <w:rsid w:val="00366228"/>
    <w:rsid w:val="00366277"/>
    <w:rsid w:val="00367D5E"/>
    <w:rsid w:val="00370812"/>
    <w:rsid w:val="00371B5F"/>
    <w:rsid w:val="00372E66"/>
    <w:rsid w:val="00373160"/>
    <w:rsid w:val="00373BA2"/>
    <w:rsid w:val="00375933"/>
    <w:rsid w:val="0037633C"/>
    <w:rsid w:val="00377A1C"/>
    <w:rsid w:val="00382E35"/>
    <w:rsid w:val="00384168"/>
    <w:rsid w:val="003872E4"/>
    <w:rsid w:val="00390AD8"/>
    <w:rsid w:val="00390C14"/>
    <w:rsid w:val="003920A4"/>
    <w:rsid w:val="00393447"/>
    <w:rsid w:val="00396F2C"/>
    <w:rsid w:val="003A3F27"/>
    <w:rsid w:val="003A5862"/>
    <w:rsid w:val="003A587F"/>
    <w:rsid w:val="003B0042"/>
    <w:rsid w:val="003B45A7"/>
    <w:rsid w:val="003B4F42"/>
    <w:rsid w:val="003B4FCF"/>
    <w:rsid w:val="003B5B72"/>
    <w:rsid w:val="003C0DAA"/>
    <w:rsid w:val="003C0E61"/>
    <w:rsid w:val="003C7382"/>
    <w:rsid w:val="003D1B3B"/>
    <w:rsid w:val="003D2036"/>
    <w:rsid w:val="003D2335"/>
    <w:rsid w:val="003D483D"/>
    <w:rsid w:val="003D485E"/>
    <w:rsid w:val="003E080C"/>
    <w:rsid w:val="003E3BA3"/>
    <w:rsid w:val="003F1D97"/>
    <w:rsid w:val="003F3EB2"/>
    <w:rsid w:val="003F53F3"/>
    <w:rsid w:val="00400A69"/>
    <w:rsid w:val="00405301"/>
    <w:rsid w:val="00406CA3"/>
    <w:rsid w:val="00411EFB"/>
    <w:rsid w:val="004123A3"/>
    <w:rsid w:val="00414767"/>
    <w:rsid w:val="00415B0D"/>
    <w:rsid w:val="00417593"/>
    <w:rsid w:val="0042177F"/>
    <w:rsid w:val="00422CC8"/>
    <w:rsid w:val="0042686B"/>
    <w:rsid w:val="00426DC5"/>
    <w:rsid w:val="00427399"/>
    <w:rsid w:val="00430411"/>
    <w:rsid w:val="004314F4"/>
    <w:rsid w:val="00432DC4"/>
    <w:rsid w:val="00433D00"/>
    <w:rsid w:val="004348F7"/>
    <w:rsid w:val="00436198"/>
    <w:rsid w:val="004373E9"/>
    <w:rsid w:val="0044036C"/>
    <w:rsid w:val="0044065E"/>
    <w:rsid w:val="00444679"/>
    <w:rsid w:val="004458BB"/>
    <w:rsid w:val="00445A19"/>
    <w:rsid w:val="00446351"/>
    <w:rsid w:val="0045095B"/>
    <w:rsid w:val="004526B7"/>
    <w:rsid w:val="00455701"/>
    <w:rsid w:val="00461AA3"/>
    <w:rsid w:val="00462FF9"/>
    <w:rsid w:val="00471CEC"/>
    <w:rsid w:val="00473D8F"/>
    <w:rsid w:val="004805DB"/>
    <w:rsid w:val="00480B2B"/>
    <w:rsid w:val="00481E78"/>
    <w:rsid w:val="004828E9"/>
    <w:rsid w:val="0048511D"/>
    <w:rsid w:val="0049205C"/>
    <w:rsid w:val="00496185"/>
    <w:rsid w:val="004A75FF"/>
    <w:rsid w:val="004B3C3F"/>
    <w:rsid w:val="004B4D68"/>
    <w:rsid w:val="004C181C"/>
    <w:rsid w:val="004C445A"/>
    <w:rsid w:val="004C4477"/>
    <w:rsid w:val="004C6673"/>
    <w:rsid w:val="004C6AB5"/>
    <w:rsid w:val="004C78DD"/>
    <w:rsid w:val="004C7CD6"/>
    <w:rsid w:val="004D3C4E"/>
    <w:rsid w:val="004D6975"/>
    <w:rsid w:val="004D7C66"/>
    <w:rsid w:val="004E0167"/>
    <w:rsid w:val="004E152E"/>
    <w:rsid w:val="004E6C3D"/>
    <w:rsid w:val="004F04E5"/>
    <w:rsid w:val="004F29B4"/>
    <w:rsid w:val="004F3228"/>
    <w:rsid w:val="004F6DB3"/>
    <w:rsid w:val="005020DE"/>
    <w:rsid w:val="00503305"/>
    <w:rsid w:val="0050413F"/>
    <w:rsid w:val="005051BE"/>
    <w:rsid w:val="00505CD2"/>
    <w:rsid w:val="00507132"/>
    <w:rsid w:val="00507297"/>
    <w:rsid w:val="005124A3"/>
    <w:rsid w:val="00515B82"/>
    <w:rsid w:val="0051608A"/>
    <w:rsid w:val="0051755E"/>
    <w:rsid w:val="005208D0"/>
    <w:rsid w:val="00524E15"/>
    <w:rsid w:val="00530923"/>
    <w:rsid w:val="00530C56"/>
    <w:rsid w:val="00533B2A"/>
    <w:rsid w:val="0053400A"/>
    <w:rsid w:val="005347E0"/>
    <w:rsid w:val="0053635F"/>
    <w:rsid w:val="00536C3C"/>
    <w:rsid w:val="00537853"/>
    <w:rsid w:val="00537E5F"/>
    <w:rsid w:val="00540C2F"/>
    <w:rsid w:val="0054119B"/>
    <w:rsid w:val="0054736C"/>
    <w:rsid w:val="005505FD"/>
    <w:rsid w:val="00554B7D"/>
    <w:rsid w:val="00555C92"/>
    <w:rsid w:val="005563C0"/>
    <w:rsid w:val="00563910"/>
    <w:rsid w:val="00564592"/>
    <w:rsid w:val="00564A0C"/>
    <w:rsid w:val="00564F91"/>
    <w:rsid w:val="0056706B"/>
    <w:rsid w:val="00571BCB"/>
    <w:rsid w:val="005734DC"/>
    <w:rsid w:val="00573DE7"/>
    <w:rsid w:val="00575956"/>
    <w:rsid w:val="00575C51"/>
    <w:rsid w:val="0057711F"/>
    <w:rsid w:val="005777D1"/>
    <w:rsid w:val="00585BC1"/>
    <w:rsid w:val="00586987"/>
    <w:rsid w:val="005910DC"/>
    <w:rsid w:val="005945C3"/>
    <w:rsid w:val="00594F6B"/>
    <w:rsid w:val="0059544C"/>
    <w:rsid w:val="00596891"/>
    <w:rsid w:val="00597C52"/>
    <w:rsid w:val="005A067E"/>
    <w:rsid w:val="005A2B98"/>
    <w:rsid w:val="005A39CB"/>
    <w:rsid w:val="005A6E04"/>
    <w:rsid w:val="005B29FF"/>
    <w:rsid w:val="005B304B"/>
    <w:rsid w:val="005B4ADA"/>
    <w:rsid w:val="005C07C8"/>
    <w:rsid w:val="005C1174"/>
    <w:rsid w:val="005C1D66"/>
    <w:rsid w:val="005C2C71"/>
    <w:rsid w:val="005C5B2E"/>
    <w:rsid w:val="005C68B4"/>
    <w:rsid w:val="005C7615"/>
    <w:rsid w:val="005D3003"/>
    <w:rsid w:val="005D3E13"/>
    <w:rsid w:val="005D4A89"/>
    <w:rsid w:val="005D616B"/>
    <w:rsid w:val="005D6C2D"/>
    <w:rsid w:val="005E1815"/>
    <w:rsid w:val="005E3C13"/>
    <w:rsid w:val="005E7B33"/>
    <w:rsid w:val="005F09D2"/>
    <w:rsid w:val="005F1668"/>
    <w:rsid w:val="005F2769"/>
    <w:rsid w:val="005F2AD0"/>
    <w:rsid w:val="005F2FD2"/>
    <w:rsid w:val="005F3061"/>
    <w:rsid w:val="005F4961"/>
    <w:rsid w:val="005F5D38"/>
    <w:rsid w:val="0060186C"/>
    <w:rsid w:val="00603AFD"/>
    <w:rsid w:val="006053F6"/>
    <w:rsid w:val="00605A2E"/>
    <w:rsid w:val="0060769D"/>
    <w:rsid w:val="006121F4"/>
    <w:rsid w:val="00612F14"/>
    <w:rsid w:val="00617590"/>
    <w:rsid w:val="00617B08"/>
    <w:rsid w:val="00617C39"/>
    <w:rsid w:val="00622A81"/>
    <w:rsid w:val="006260BB"/>
    <w:rsid w:val="00627AB4"/>
    <w:rsid w:val="00631D1E"/>
    <w:rsid w:val="006335ED"/>
    <w:rsid w:val="00633E53"/>
    <w:rsid w:val="006342DB"/>
    <w:rsid w:val="006343EC"/>
    <w:rsid w:val="0063539D"/>
    <w:rsid w:val="006371EA"/>
    <w:rsid w:val="00637F53"/>
    <w:rsid w:val="006404F9"/>
    <w:rsid w:val="00650AC3"/>
    <w:rsid w:val="00650FD7"/>
    <w:rsid w:val="006511A8"/>
    <w:rsid w:val="006511B3"/>
    <w:rsid w:val="00654C80"/>
    <w:rsid w:val="00657D25"/>
    <w:rsid w:val="00660ECB"/>
    <w:rsid w:val="00661F06"/>
    <w:rsid w:val="00662588"/>
    <w:rsid w:val="00664AC8"/>
    <w:rsid w:val="0066728E"/>
    <w:rsid w:val="00670A8B"/>
    <w:rsid w:val="0067378F"/>
    <w:rsid w:val="0067489E"/>
    <w:rsid w:val="00675BAB"/>
    <w:rsid w:val="006773E1"/>
    <w:rsid w:val="00680042"/>
    <w:rsid w:val="00681FEA"/>
    <w:rsid w:val="00682F7F"/>
    <w:rsid w:val="00685738"/>
    <w:rsid w:val="006905AE"/>
    <w:rsid w:val="00691000"/>
    <w:rsid w:val="00693E48"/>
    <w:rsid w:val="00695932"/>
    <w:rsid w:val="00695D34"/>
    <w:rsid w:val="006A1B00"/>
    <w:rsid w:val="006A4226"/>
    <w:rsid w:val="006A4FC1"/>
    <w:rsid w:val="006A5636"/>
    <w:rsid w:val="006A6CB4"/>
    <w:rsid w:val="006A7BBC"/>
    <w:rsid w:val="006B0BA0"/>
    <w:rsid w:val="006B12C0"/>
    <w:rsid w:val="006B65C5"/>
    <w:rsid w:val="006C52BF"/>
    <w:rsid w:val="006D0AF0"/>
    <w:rsid w:val="006D35B1"/>
    <w:rsid w:val="006D35DC"/>
    <w:rsid w:val="006D72AA"/>
    <w:rsid w:val="006E1443"/>
    <w:rsid w:val="006E2C64"/>
    <w:rsid w:val="006E477E"/>
    <w:rsid w:val="006F0A45"/>
    <w:rsid w:val="006F4DF7"/>
    <w:rsid w:val="006F55FA"/>
    <w:rsid w:val="006F6FB7"/>
    <w:rsid w:val="00701EC0"/>
    <w:rsid w:val="00705B66"/>
    <w:rsid w:val="0071134C"/>
    <w:rsid w:val="007114E4"/>
    <w:rsid w:val="00714DDE"/>
    <w:rsid w:val="0071698C"/>
    <w:rsid w:val="00716A25"/>
    <w:rsid w:val="00725212"/>
    <w:rsid w:val="00727505"/>
    <w:rsid w:val="00727802"/>
    <w:rsid w:val="00731B29"/>
    <w:rsid w:val="00733795"/>
    <w:rsid w:val="007348F9"/>
    <w:rsid w:val="00735149"/>
    <w:rsid w:val="007351D6"/>
    <w:rsid w:val="00735889"/>
    <w:rsid w:val="00737200"/>
    <w:rsid w:val="00737D62"/>
    <w:rsid w:val="00737FEF"/>
    <w:rsid w:val="00740C40"/>
    <w:rsid w:val="00741162"/>
    <w:rsid w:val="00742E57"/>
    <w:rsid w:val="0074491A"/>
    <w:rsid w:val="00754D85"/>
    <w:rsid w:val="00754F67"/>
    <w:rsid w:val="007557E4"/>
    <w:rsid w:val="00756356"/>
    <w:rsid w:val="00757FD8"/>
    <w:rsid w:val="007605F1"/>
    <w:rsid w:val="00774434"/>
    <w:rsid w:val="007756AB"/>
    <w:rsid w:val="00776381"/>
    <w:rsid w:val="007811F6"/>
    <w:rsid w:val="00781896"/>
    <w:rsid w:val="00781D6C"/>
    <w:rsid w:val="007845E1"/>
    <w:rsid w:val="00786429"/>
    <w:rsid w:val="00792EAE"/>
    <w:rsid w:val="007936EA"/>
    <w:rsid w:val="007940A9"/>
    <w:rsid w:val="007940BF"/>
    <w:rsid w:val="007A149B"/>
    <w:rsid w:val="007A3424"/>
    <w:rsid w:val="007C244C"/>
    <w:rsid w:val="007C66E4"/>
    <w:rsid w:val="007C7536"/>
    <w:rsid w:val="007D0D78"/>
    <w:rsid w:val="007D1FFC"/>
    <w:rsid w:val="007D3C73"/>
    <w:rsid w:val="007D725F"/>
    <w:rsid w:val="007E52EF"/>
    <w:rsid w:val="007E608C"/>
    <w:rsid w:val="007F44C1"/>
    <w:rsid w:val="00801A7F"/>
    <w:rsid w:val="00801F02"/>
    <w:rsid w:val="00803765"/>
    <w:rsid w:val="0080563C"/>
    <w:rsid w:val="00806BAC"/>
    <w:rsid w:val="00812DC4"/>
    <w:rsid w:val="00813A84"/>
    <w:rsid w:val="00814260"/>
    <w:rsid w:val="00814DA3"/>
    <w:rsid w:val="00815F39"/>
    <w:rsid w:val="008206EE"/>
    <w:rsid w:val="00821563"/>
    <w:rsid w:val="008216E8"/>
    <w:rsid w:val="00823DCE"/>
    <w:rsid w:val="008247C4"/>
    <w:rsid w:val="00824BBC"/>
    <w:rsid w:val="008264D6"/>
    <w:rsid w:val="00826611"/>
    <w:rsid w:val="00826BFA"/>
    <w:rsid w:val="00827184"/>
    <w:rsid w:val="008315E7"/>
    <w:rsid w:val="00831A18"/>
    <w:rsid w:val="0083258C"/>
    <w:rsid w:val="00833772"/>
    <w:rsid w:val="0083703C"/>
    <w:rsid w:val="00840B0D"/>
    <w:rsid w:val="0084154F"/>
    <w:rsid w:val="00846F9A"/>
    <w:rsid w:val="00850D96"/>
    <w:rsid w:val="00853F5C"/>
    <w:rsid w:val="00854417"/>
    <w:rsid w:val="00856862"/>
    <w:rsid w:val="00860AE3"/>
    <w:rsid w:val="00862F16"/>
    <w:rsid w:val="008743BF"/>
    <w:rsid w:val="00874BB5"/>
    <w:rsid w:val="00875F6C"/>
    <w:rsid w:val="008779C2"/>
    <w:rsid w:val="00883A1D"/>
    <w:rsid w:val="00883F30"/>
    <w:rsid w:val="00884A57"/>
    <w:rsid w:val="00885100"/>
    <w:rsid w:val="00886C98"/>
    <w:rsid w:val="00886CE3"/>
    <w:rsid w:val="00887632"/>
    <w:rsid w:val="00893A2E"/>
    <w:rsid w:val="00895F4A"/>
    <w:rsid w:val="008973E6"/>
    <w:rsid w:val="008A008B"/>
    <w:rsid w:val="008A0B3F"/>
    <w:rsid w:val="008A3C18"/>
    <w:rsid w:val="008A62AA"/>
    <w:rsid w:val="008A6490"/>
    <w:rsid w:val="008A68FC"/>
    <w:rsid w:val="008B29D3"/>
    <w:rsid w:val="008B3416"/>
    <w:rsid w:val="008B4863"/>
    <w:rsid w:val="008B579D"/>
    <w:rsid w:val="008B6B5F"/>
    <w:rsid w:val="008C092C"/>
    <w:rsid w:val="008C1125"/>
    <w:rsid w:val="008C2552"/>
    <w:rsid w:val="008C44D0"/>
    <w:rsid w:val="008C50FF"/>
    <w:rsid w:val="008D02D8"/>
    <w:rsid w:val="008D78B0"/>
    <w:rsid w:val="008E1EB5"/>
    <w:rsid w:val="008E63DC"/>
    <w:rsid w:val="008E7ADB"/>
    <w:rsid w:val="008E7C88"/>
    <w:rsid w:val="008F0327"/>
    <w:rsid w:val="008F0F8A"/>
    <w:rsid w:val="008F2A53"/>
    <w:rsid w:val="008F3A33"/>
    <w:rsid w:val="009009D6"/>
    <w:rsid w:val="009029CF"/>
    <w:rsid w:val="00905E4B"/>
    <w:rsid w:val="00905EDE"/>
    <w:rsid w:val="00913E57"/>
    <w:rsid w:val="00917DDE"/>
    <w:rsid w:val="00924305"/>
    <w:rsid w:val="00926112"/>
    <w:rsid w:val="00926E1B"/>
    <w:rsid w:val="009317D5"/>
    <w:rsid w:val="00932BA3"/>
    <w:rsid w:val="00935854"/>
    <w:rsid w:val="00940E07"/>
    <w:rsid w:val="009411E1"/>
    <w:rsid w:val="00943727"/>
    <w:rsid w:val="00943854"/>
    <w:rsid w:val="00943E6C"/>
    <w:rsid w:val="00947EBA"/>
    <w:rsid w:val="00951738"/>
    <w:rsid w:val="00953891"/>
    <w:rsid w:val="00961E25"/>
    <w:rsid w:val="0096388F"/>
    <w:rsid w:val="00963992"/>
    <w:rsid w:val="00966431"/>
    <w:rsid w:val="00966FB4"/>
    <w:rsid w:val="009706A4"/>
    <w:rsid w:val="00970FC4"/>
    <w:rsid w:val="00971533"/>
    <w:rsid w:val="009718CC"/>
    <w:rsid w:val="009750C1"/>
    <w:rsid w:val="00975641"/>
    <w:rsid w:val="00975CD3"/>
    <w:rsid w:val="00981604"/>
    <w:rsid w:val="00991C98"/>
    <w:rsid w:val="00992602"/>
    <w:rsid w:val="00994827"/>
    <w:rsid w:val="009A0CE8"/>
    <w:rsid w:val="009A27F5"/>
    <w:rsid w:val="009A2EFE"/>
    <w:rsid w:val="009A4141"/>
    <w:rsid w:val="009A62C4"/>
    <w:rsid w:val="009A6EA6"/>
    <w:rsid w:val="009A78A5"/>
    <w:rsid w:val="009A7A2D"/>
    <w:rsid w:val="009B36FD"/>
    <w:rsid w:val="009C0BDB"/>
    <w:rsid w:val="009C2645"/>
    <w:rsid w:val="009C5B24"/>
    <w:rsid w:val="009C643E"/>
    <w:rsid w:val="009D2D7E"/>
    <w:rsid w:val="009D5100"/>
    <w:rsid w:val="009E3161"/>
    <w:rsid w:val="009F0F09"/>
    <w:rsid w:val="009F25E1"/>
    <w:rsid w:val="009F33B1"/>
    <w:rsid w:val="009F3962"/>
    <w:rsid w:val="009F5B7F"/>
    <w:rsid w:val="009F7D99"/>
    <w:rsid w:val="00A00814"/>
    <w:rsid w:val="00A0200B"/>
    <w:rsid w:val="00A03D6D"/>
    <w:rsid w:val="00A05C7B"/>
    <w:rsid w:val="00A109A5"/>
    <w:rsid w:val="00A11355"/>
    <w:rsid w:val="00A118CE"/>
    <w:rsid w:val="00A11DCA"/>
    <w:rsid w:val="00A12161"/>
    <w:rsid w:val="00A1234F"/>
    <w:rsid w:val="00A1372A"/>
    <w:rsid w:val="00A1533B"/>
    <w:rsid w:val="00A16A3E"/>
    <w:rsid w:val="00A22171"/>
    <w:rsid w:val="00A22C63"/>
    <w:rsid w:val="00A23C1F"/>
    <w:rsid w:val="00A24C2A"/>
    <w:rsid w:val="00A24C55"/>
    <w:rsid w:val="00A24EEB"/>
    <w:rsid w:val="00A25D4B"/>
    <w:rsid w:val="00A263D3"/>
    <w:rsid w:val="00A2656A"/>
    <w:rsid w:val="00A30490"/>
    <w:rsid w:val="00A30D70"/>
    <w:rsid w:val="00A324C0"/>
    <w:rsid w:val="00A356AD"/>
    <w:rsid w:val="00A365A2"/>
    <w:rsid w:val="00A37FDF"/>
    <w:rsid w:val="00A41CF4"/>
    <w:rsid w:val="00A42C5E"/>
    <w:rsid w:val="00A43914"/>
    <w:rsid w:val="00A449BB"/>
    <w:rsid w:val="00A44C8D"/>
    <w:rsid w:val="00A47C14"/>
    <w:rsid w:val="00A501C8"/>
    <w:rsid w:val="00A511A6"/>
    <w:rsid w:val="00A518E1"/>
    <w:rsid w:val="00A52D71"/>
    <w:rsid w:val="00A52E40"/>
    <w:rsid w:val="00A55BDB"/>
    <w:rsid w:val="00A7382D"/>
    <w:rsid w:val="00A75476"/>
    <w:rsid w:val="00A82992"/>
    <w:rsid w:val="00A84390"/>
    <w:rsid w:val="00A86090"/>
    <w:rsid w:val="00A865BA"/>
    <w:rsid w:val="00A877C5"/>
    <w:rsid w:val="00A87F41"/>
    <w:rsid w:val="00A93EC6"/>
    <w:rsid w:val="00A94D0D"/>
    <w:rsid w:val="00A95615"/>
    <w:rsid w:val="00AA01C6"/>
    <w:rsid w:val="00AA10A7"/>
    <w:rsid w:val="00AA112C"/>
    <w:rsid w:val="00AA19C4"/>
    <w:rsid w:val="00AA4E65"/>
    <w:rsid w:val="00AA4EDB"/>
    <w:rsid w:val="00AA7135"/>
    <w:rsid w:val="00AA73B2"/>
    <w:rsid w:val="00AA7BD3"/>
    <w:rsid w:val="00AB10F4"/>
    <w:rsid w:val="00AB228F"/>
    <w:rsid w:val="00AB329A"/>
    <w:rsid w:val="00AB565E"/>
    <w:rsid w:val="00AC3575"/>
    <w:rsid w:val="00AC3596"/>
    <w:rsid w:val="00AC57C3"/>
    <w:rsid w:val="00AC63CF"/>
    <w:rsid w:val="00AD0169"/>
    <w:rsid w:val="00AD0172"/>
    <w:rsid w:val="00AD2BF7"/>
    <w:rsid w:val="00AD44C7"/>
    <w:rsid w:val="00AD4D17"/>
    <w:rsid w:val="00AD5449"/>
    <w:rsid w:val="00AE261F"/>
    <w:rsid w:val="00AE2DC3"/>
    <w:rsid w:val="00AE3AD9"/>
    <w:rsid w:val="00AE6370"/>
    <w:rsid w:val="00AF11A3"/>
    <w:rsid w:val="00AF1EF8"/>
    <w:rsid w:val="00AF2036"/>
    <w:rsid w:val="00B0340D"/>
    <w:rsid w:val="00B03636"/>
    <w:rsid w:val="00B046DF"/>
    <w:rsid w:val="00B0506E"/>
    <w:rsid w:val="00B05BC1"/>
    <w:rsid w:val="00B07A8A"/>
    <w:rsid w:val="00B11249"/>
    <w:rsid w:val="00B11E26"/>
    <w:rsid w:val="00B144D3"/>
    <w:rsid w:val="00B20590"/>
    <w:rsid w:val="00B213D1"/>
    <w:rsid w:val="00B23C80"/>
    <w:rsid w:val="00B33497"/>
    <w:rsid w:val="00B33E7B"/>
    <w:rsid w:val="00B37157"/>
    <w:rsid w:val="00B37261"/>
    <w:rsid w:val="00B429E8"/>
    <w:rsid w:val="00B43099"/>
    <w:rsid w:val="00B50F8B"/>
    <w:rsid w:val="00B53F5C"/>
    <w:rsid w:val="00B54DD5"/>
    <w:rsid w:val="00B55234"/>
    <w:rsid w:val="00B5537F"/>
    <w:rsid w:val="00B55800"/>
    <w:rsid w:val="00B56568"/>
    <w:rsid w:val="00B61297"/>
    <w:rsid w:val="00B65AE9"/>
    <w:rsid w:val="00B66676"/>
    <w:rsid w:val="00B6740B"/>
    <w:rsid w:val="00B7013E"/>
    <w:rsid w:val="00B708B2"/>
    <w:rsid w:val="00B73416"/>
    <w:rsid w:val="00B7347D"/>
    <w:rsid w:val="00B7681B"/>
    <w:rsid w:val="00B77477"/>
    <w:rsid w:val="00B823C2"/>
    <w:rsid w:val="00B82774"/>
    <w:rsid w:val="00B843EC"/>
    <w:rsid w:val="00B943A5"/>
    <w:rsid w:val="00B94DD1"/>
    <w:rsid w:val="00B94E0B"/>
    <w:rsid w:val="00B94EFE"/>
    <w:rsid w:val="00B954B8"/>
    <w:rsid w:val="00B95AA9"/>
    <w:rsid w:val="00BA0C59"/>
    <w:rsid w:val="00BA12CE"/>
    <w:rsid w:val="00BA570D"/>
    <w:rsid w:val="00BA5A89"/>
    <w:rsid w:val="00BA67F2"/>
    <w:rsid w:val="00BB14F3"/>
    <w:rsid w:val="00BB15DB"/>
    <w:rsid w:val="00BB2599"/>
    <w:rsid w:val="00BB6932"/>
    <w:rsid w:val="00BB7B52"/>
    <w:rsid w:val="00BC2838"/>
    <w:rsid w:val="00BC4BDB"/>
    <w:rsid w:val="00BC727F"/>
    <w:rsid w:val="00BC75E3"/>
    <w:rsid w:val="00BD049A"/>
    <w:rsid w:val="00BD1C9B"/>
    <w:rsid w:val="00BD2990"/>
    <w:rsid w:val="00BD46AC"/>
    <w:rsid w:val="00BD50BC"/>
    <w:rsid w:val="00BD58F8"/>
    <w:rsid w:val="00BE2434"/>
    <w:rsid w:val="00BE4828"/>
    <w:rsid w:val="00BE4E7C"/>
    <w:rsid w:val="00BE6F1F"/>
    <w:rsid w:val="00BE7E1C"/>
    <w:rsid w:val="00BF1BCD"/>
    <w:rsid w:val="00BF1D3E"/>
    <w:rsid w:val="00BF2633"/>
    <w:rsid w:val="00BF3001"/>
    <w:rsid w:val="00BF5179"/>
    <w:rsid w:val="00C010F6"/>
    <w:rsid w:val="00C02050"/>
    <w:rsid w:val="00C07069"/>
    <w:rsid w:val="00C10DDC"/>
    <w:rsid w:val="00C11840"/>
    <w:rsid w:val="00C123EE"/>
    <w:rsid w:val="00C13CB6"/>
    <w:rsid w:val="00C16960"/>
    <w:rsid w:val="00C20386"/>
    <w:rsid w:val="00C24084"/>
    <w:rsid w:val="00C240EA"/>
    <w:rsid w:val="00C25C07"/>
    <w:rsid w:val="00C3071D"/>
    <w:rsid w:val="00C34EF5"/>
    <w:rsid w:val="00C41385"/>
    <w:rsid w:val="00C4271D"/>
    <w:rsid w:val="00C43129"/>
    <w:rsid w:val="00C43474"/>
    <w:rsid w:val="00C452A4"/>
    <w:rsid w:val="00C45AB0"/>
    <w:rsid w:val="00C4615A"/>
    <w:rsid w:val="00C47943"/>
    <w:rsid w:val="00C47EDA"/>
    <w:rsid w:val="00C53B6F"/>
    <w:rsid w:val="00C556A8"/>
    <w:rsid w:val="00C559F2"/>
    <w:rsid w:val="00C5603B"/>
    <w:rsid w:val="00C56CE2"/>
    <w:rsid w:val="00C62740"/>
    <w:rsid w:val="00C63CAC"/>
    <w:rsid w:val="00C63F98"/>
    <w:rsid w:val="00C655FB"/>
    <w:rsid w:val="00C65F66"/>
    <w:rsid w:val="00C76CBA"/>
    <w:rsid w:val="00C83F05"/>
    <w:rsid w:val="00C84144"/>
    <w:rsid w:val="00C8714F"/>
    <w:rsid w:val="00C877FA"/>
    <w:rsid w:val="00C91BC6"/>
    <w:rsid w:val="00C928D8"/>
    <w:rsid w:val="00C94DE6"/>
    <w:rsid w:val="00C96904"/>
    <w:rsid w:val="00C9708E"/>
    <w:rsid w:val="00CA061C"/>
    <w:rsid w:val="00CA4819"/>
    <w:rsid w:val="00CA52C8"/>
    <w:rsid w:val="00CA558A"/>
    <w:rsid w:val="00CA5A7B"/>
    <w:rsid w:val="00CB1526"/>
    <w:rsid w:val="00CB15D9"/>
    <w:rsid w:val="00CB4195"/>
    <w:rsid w:val="00CC0882"/>
    <w:rsid w:val="00CC3F43"/>
    <w:rsid w:val="00CC6C27"/>
    <w:rsid w:val="00CC71EF"/>
    <w:rsid w:val="00CD1247"/>
    <w:rsid w:val="00CD39C3"/>
    <w:rsid w:val="00CD641B"/>
    <w:rsid w:val="00CE1542"/>
    <w:rsid w:val="00CE3911"/>
    <w:rsid w:val="00CE4310"/>
    <w:rsid w:val="00CE5BBF"/>
    <w:rsid w:val="00CE618C"/>
    <w:rsid w:val="00CE7CD2"/>
    <w:rsid w:val="00CF1134"/>
    <w:rsid w:val="00CF1AC8"/>
    <w:rsid w:val="00CF2652"/>
    <w:rsid w:val="00CF4569"/>
    <w:rsid w:val="00CF5A36"/>
    <w:rsid w:val="00D01B13"/>
    <w:rsid w:val="00D03056"/>
    <w:rsid w:val="00D0457A"/>
    <w:rsid w:val="00D04C1F"/>
    <w:rsid w:val="00D056CC"/>
    <w:rsid w:val="00D1006C"/>
    <w:rsid w:val="00D16D4A"/>
    <w:rsid w:val="00D21E5D"/>
    <w:rsid w:val="00D25186"/>
    <w:rsid w:val="00D32A78"/>
    <w:rsid w:val="00D32D33"/>
    <w:rsid w:val="00D35977"/>
    <w:rsid w:val="00D41B12"/>
    <w:rsid w:val="00D43F5A"/>
    <w:rsid w:val="00D447C6"/>
    <w:rsid w:val="00D44A5D"/>
    <w:rsid w:val="00D46122"/>
    <w:rsid w:val="00D46946"/>
    <w:rsid w:val="00D47978"/>
    <w:rsid w:val="00D5208D"/>
    <w:rsid w:val="00D54625"/>
    <w:rsid w:val="00D62C10"/>
    <w:rsid w:val="00D64597"/>
    <w:rsid w:val="00D6558E"/>
    <w:rsid w:val="00D7113A"/>
    <w:rsid w:val="00D742F6"/>
    <w:rsid w:val="00D748CD"/>
    <w:rsid w:val="00D779E8"/>
    <w:rsid w:val="00D82669"/>
    <w:rsid w:val="00D830DE"/>
    <w:rsid w:val="00D8352D"/>
    <w:rsid w:val="00D84FBA"/>
    <w:rsid w:val="00D87A69"/>
    <w:rsid w:val="00D87F07"/>
    <w:rsid w:val="00D9142A"/>
    <w:rsid w:val="00D9558F"/>
    <w:rsid w:val="00D9735E"/>
    <w:rsid w:val="00D97C46"/>
    <w:rsid w:val="00DA30DC"/>
    <w:rsid w:val="00DA50C3"/>
    <w:rsid w:val="00DA68EA"/>
    <w:rsid w:val="00DA7438"/>
    <w:rsid w:val="00DA7E91"/>
    <w:rsid w:val="00DB250D"/>
    <w:rsid w:val="00DB335D"/>
    <w:rsid w:val="00DB7F6F"/>
    <w:rsid w:val="00DC0905"/>
    <w:rsid w:val="00DC6D02"/>
    <w:rsid w:val="00DC6E2D"/>
    <w:rsid w:val="00DD0DE2"/>
    <w:rsid w:val="00DD2123"/>
    <w:rsid w:val="00DD2CE2"/>
    <w:rsid w:val="00DD60DE"/>
    <w:rsid w:val="00DD642A"/>
    <w:rsid w:val="00DE0200"/>
    <w:rsid w:val="00DE1406"/>
    <w:rsid w:val="00DE14F6"/>
    <w:rsid w:val="00DE35BE"/>
    <w:rsid w:val="00DE368F"/>
    <w:rsid w:val="00DE56DD"/>
    <w:rsid w:val="00DF0325"/>
    <w:rsid w:val="00DF4FB8"/>
    <w:rsid w:val="00DF7385"/>
    <w:rsid w:val="00DF7EB5"/>
    <w:rsid w:val="00E03011"/>
    <w:rsid w:val="00E0572F"/>
    <w:rsid w:val="00E07730"/>
    <w:rsid w:val="00E103E1"/>
    <w:rsid w:val="00E1061C"/>
    <w:rsid w:val="00E10692"/>
    <w:rsid w:val="00E14738"/>
    <w:rsid w:val="00E1479A"/>
    <w:rsid w:val="00E1610B"/>
    <w:rsid w:val="00E206A3"/>
    <w:rsid w:val="00E20C64"/>
    <w:rsid w:val="00E21DA0"/>
    <w:rsid w:val="00E24DB8"/>
    <w:rsid w:val="00E26EB0"/>
    <w:rsid w:val="00E27034"/>
    <w:rsid w:val="00E314FC"/>
    <w:rsid w:val="00E32D4B"/>
    <w:rsid w:val="00E3547A"/>
    <w:rsid w:val="00E36423"/>
    <w:rsid w:val="00E41116"/>
    <w:rsid w:val="00E414EF"/>
    <w:rsid w:val="00E424DA"/>
    <w:rsid w:val="00E45390"/>
    <w:rsid w:val="00E455A5"/>
    <w:rsid w:val="00E54CCA"/>
    <w:rsid w:val="00E54F56"/>
    <w:rsid w:val="00E5722D"/>
    <w:rsid w:val="00E6221F"/>
    <w:rsid w:val="00E62643"/>
    <w:rsid w:val="00E62938"/>
    <w:rsid w:val="00E64954"/>
    <w:rsid w:val="00E67F78"/>
    <w:rsid w:val="00E702F6"/>
    <w:rsid w:val="00E7387C"/>
    <w:rsid w:val="00E738A0"/>
    <w:rsid w:val="00E73C17"/>
    <w:rsid w:val="00E74D89"/>
    <w:rsid w:val="00E778AE"/>
    <w:rsid w:val="00E77A0F"/>
    <w:rsid w:val="00E820E0"/>
    <w:rsid w:val="00E835A1"/>
    <w:rsid w:val="00E83E2D"/>
    <w:rsid w:val="00E85164"/>
    <w:rsid w:val="00E8739B"/>
    <w:rsid w:val="00E91F7E"/>
    <w:rsid w:val="00E948B4"/>
    <w:rsid w:val="00E9508B"/>
    <w:rsid w:val="00E96570"/>
    <w:rsid w:val="00E969E0"/>
    <w:rsid w:val="00EA31DB"/>
    <w:rsid w:val="00EA68E9"/>
    <w:rsid w:val="00EA6932"/>
    <w:rsid w:val="00EB14CE"/>
    <w:rsid w:val="00EB3C38"/>
    <w:rsid w:val="00EB41BB"/>
    <w:rsid w:val="00EB515F"/>
    <w:rsid w:val="00EB5611"/>
    <w:rsid w:val="00EC00D0"/>
    <w:rsid w:val="00EC12A0"/>
    <w:rsid w:val="00EC78B7"/>
    <w:rsid w:val="00ED14BD"/>
    <w:rsid w:val="00ED24F1"/>
    <w:rsid w:val="00ED41E5"/>
    <w:rsid w:val="00EE2823"/>
    <w:rsid w:val="00EE332B"/>
    <w:rsid w:val="00EE5143"/>
    <w:rsid w:val="00EF1519"/>
    <w:rsid w:val="00EF2896"/>
    <w:rsid w:val="00EF2C61"/>
    <w:rsid w:val="00EF4610"/>
    <w:rsid w:val="00EF4964"/>
    <w:rsid w:val="00EF6CB2"/>
    <w:rsid w:val="00EF7939"/>
    <w:rsid w:val="00F01A5C"/>
    <w:rsid w:val="00F04DE2"/>
    <w:rsid w:val="00F076E3"/>
    <w:rsid w:val="00F11CFC"/>
    <w:rsid w:val="00F13EC0"/>
    <w:rsid w:val="00F1463A"/>
    <w:rsid w:val="00F213D5"/>
    <w:rsid w:val="00F23DBE"/>
    <w:rsid w:val="00F329A7"/>
    <w:rsid w:val="00F375D4"/>
    <w:rsid w:val="00F40513"/>
    <w:rsid w:val="00F41C5C"/>
    <w:rsid w:val="00F424A9"/>
    <w:rsid w:val="00F4459F"/>
    <w:rsid w:val="00F44C87"/>
    <w:rsid w:val="00F503BC"/>
    <w:rsid w:val="00F508C7"/>
    <w:rsid w:val="00F51EC8"/>
    <w:rsid w:val="00F52F72"/>
    <w:rsid w:val="00F54D5B"/>
    <w:rsid w:val="00F5729F"/>
    <w:rsid w:val="00F65587"/>
    <w:rsid w:val="00F656A1"/>
    <w:rsid w:val="00F65B62"/>
    <w:rsid w:val="00F65C38"/>
    <w:rsid w:val="00F667FA"/>
    <w:rsid w:val="00F72866"/>
    <w:rsid w:val="00F72DC7"/>
    <w:rsid w:val="00F776C3"/>
    <w:rsid w:val="00F77E06"/>
    <w:rsid w:val="00F850F4"/>
    <w:rsid w:val="00F85864"/>
    <w:rsid w:val="00F85AD8"/>
    <w:rsid w:val="00F86756"/>
    <w:rsid w:val="00F86F2E"/>
    <w:rsid w:val="00F9021F"/>
    <w:rsid w:val="00F916EE"/>
    <w:rsid w:val="00F93464"/>
    <w:rsid w:val="00F95594"/>
    <w:rsid w:val="00FA0CAE"/>
    <w:rsid w:val="00FA11E7"/>
    <w:rsid w:val="00FA5DE1"/>
    <w:rsid w:val="00FA7D60"/>
    <w:rsid w:val="00FB260A"/>
    <w:rsid w:val="00FB2B02"/>
    <w:rsid w:val="00FB4897"/>
    <w:rsid w:val="00FB6664"/>
    <w:rsid w:val="00FC3BF8"/>
    <w:rsid w:val="00FC60C3"/>
    <w:rsid w:val="00FC6311"/>
    <w:rsid w:val="00FC7CE6"/>
    <w:rsid w:val="00FD0795"/>
    <w:rsid w:val="00FD3A37"/>
    <w:rsid w:val="00FD577E"/>
    <w:rsid w:val="00FD6497"/>
    <w:rsid w:val="00FD73BD"/>
    <w:rsid w:val="00FE14B4"/>
    <w:rsid w:val="00FE1631"/>
    <w:rsid w:val="00FE1EBE"/>
    <w:rsid w:val="00FE7B64"/>
    <w:rsid w:val="00FE7F2B"/>
    <w:rsid w:val="00FF08BD"/>
    <w:rsid w:val="00FF2EC3"/>
    <w:rsid w:val="00FF3E4A"/>
    <w:rsid w:val="00FF462C"/>
    <w:rsid w:val="00FF66DC"/>
    <w:rsid w:val="00FF7CD6"/>
    <w:rsid w:val="012A4E2C"/>
    <w:rsid w:val="02DC2156"/>
    <w:rsid w:val="03CC3F79"/>
    <w:rsid w:val="05CD222A"/>
    <w:rsid w:val="06084616"/>
    <w:rsid w:val="06A9292B"/>
    <w:rsid w:val="08EF7A39"/>
    <w:rsid w:val="0A5844F0"/>
    <w:rsid w:val="0EE41D10"/>
    <w:rsid w:val="11386E78"/>
    <w:rsid w:val="11B73ED3"/>
    <w:rsid w:val="12277661"/>
    <w:rsid w:val="133D4C82"/>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DFE73B2"/>
    <w:rsid w:val="2E0C3040"/>
    <w:rsid w:val="2E40384E"/>
    <w:rsid w:val="2F083808"/>
    <w:rsid w:val="2F0B058C"/>
    <w:rsid w:val="2F7C5FA4"/>
    <w:rsid w:val="344833B2"/>
    <w:rsid w:val="3B7F5E21"/>
    <w:rsid w:val="3CFA47F3"/>
    <w:rsid w:val="3D6C58AA"/>
    <w:rsid w:val="3E799816"/>
    <w:rsid w:val="403F2E01"/>
    <w:rsid w:val="431A1904"/>
    <w:rsid w:val="45413951"/>
    <w:rsid w:val="46E47FFF"/>
    <w:rsid w:val="4779601E"/>
    <w:rsid w:val="493E1AE1"/>
    <w:rsid w:val="4B2238EC"/>
    <w:rsid w:val="4B413D9A"/>
    <w:rsid w:val="4C6C7CEB"/>
    <w:rsid w:val="4DDD59C1"/>
    <w:rsid w:val="4EAE0286"/>
    <w:rsid w:val="51FB0B52"/>
    <w:rsid w:val="531F075A"/>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D7D28A3"/>
    <w:rsid w:val="6FDD1529"/>
    <w:rsid w:val="710B6BAC"/>
    <w:rsid w:val="71CC633B"/>
    <w:rsid w:val="71F238C8"/>
    <w:rsid w:val="738A5B9F"/>
    <w:rsid w:val="741F6AAA"/>
    <w:rsid w:val="74A0585D"/>
    <w:rsid w:val="7755A80A"/>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0EC7FA7"/>
  <w15:docId w15:val="{4D4D2413-C89B-4DE4-958B-B9D8B153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BodyText2">
    <w:name w:val="BodyText2"/>
    <w:basedOn w:val="ac"/>
    <w:qFormat/>
    <w:pPr>
      <w:spacing w:after="120" w:line="480" w:lineRule="auto"/>
      <w:textAlignment w:val="baseline"/>
    </w:pPr>
    <w:rPr>
      <w:rFonts w:cs="Times New Roman"/>
      <w:sz w:val="32"/>
      <w:szCs w:val="32"/>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paragraph" w:customStyle="1" w:styleId="afff4">
    <w:name w:val="标准文件_表格"/>
    <w:basedOn w:val="affa"/>
    <w:qFormat/>
    <w:pPr>
      <w:spacing w:line="240" w:lineRule="auto"/>
      <w:ind w:firstLineChars="0" w:firstLine="0"/>
      <w:jc w:val="center"/>
    </w:pPr>
    <w:rPr>
      <w:rFonts w:ascii="宋体" w:eastAsia="宋体" w:hAnsi="Times New Roman" w:cs="Times New Roman"/>
      <w:kern w:val="0"/>
      <w:sz w:val="18"/>
      <w:szCs w:val="20"/>
    </w:rPr>
  </w:style>
  <w:style w:type="table" w:customStyle="1" w:styleId="11">
    <w:name w:val="网格型1"/>
    <w:basedOn w:val="ae"/>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
    <w:name w:val="Table Normal"/>
    <w:basedOn w:val="ae"/>
    <w:qFormat/>
    <w:rPr>
      <w:rFonts w:eastAsia="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C7CA6E-BE4C-4E02-A3AF-E79AC5AA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16</Pages>
  <Words>1492</Words>
  <Characters>8511</Characters>
  <Application>Microsoft Office Word</Application>
  <DocSecurity>0</DocSecurity>
  <Lines>70</Lines>
  <Paragraphs>19</Paragraphs>
  <ScaleCrop>false</ScaleCrop>
  <Company>微软中国</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430</cp:revision>
  <cp:lastPrinted>2025-05-16T19:41:00Z</cp:lastPrinted>
  <dcterms:created xsi:type="dcterms:W3CDTF">2024-09-30T17:06:00Z</dcterms:created>
  <dcterms:modified xsi:type="dcterms:W3CDTF">2025-09-18T03:43:00Z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A922D90BF3B641DA8C66AE267C36FA1E_13</vt:lpwstr>
  </property>
  <property fmtid="{D5CDD505-2E9C-101B-9397-08002B2CF9AE}" pid="4" name="KSOTemplateDocerSaveRecord">
    <vt:lpwstr>eyJoZGlkIjoiYWRiMGVhYWI0NzQ4ZDhhYWIxOTExNmI5NDgyOTQzYTAiLCJ1c2VySWQiOiI1ODI0MzU2MDkifQ==</vt:lpwstr>
  </property>
</Properties>
</file>