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3140AC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9" w:type="dxa"/>
          </w:tcPr>
          <w:p w14:paraId="454B00CC">
            <w:pPr>
              <w:pStyle w:val="18"/>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696A620E">
            <w:pPr>
              <w:pStyle w:val="18"/>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hint="eastAsia" w:ascii="黑体" w:hAnsi="黑体" w:eastAsia="黑体"/>
                <w:sz w:val="21"/>
                <w:szCs w:val="21"/>
              </w:rPr>
              <w:t>11.020</w:t>
            </w:r>
          </w:p>
        </w:tc>
      </w:tr>
      <w:tr w14:paraId="3178EE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19141C1A">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7"/>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56962860">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113" w:type="dxa"/>
                </w:tblCellMar>
              </w:tblPrEx>
              <w:trPr>
                <w:trHeight w:val="1021" w:hRule="exact"/>
              </w:trPr>
              <w:tc>
                <w:tcPr>
                  <w:tcW w:w="9242" w:type="dxa"/>
                  <w:vAlign w:val="center"/>
                </w:tcPr>
                <w:p w14:paraId="3386D495">
                  <w:pPr>
                    <w:pStyle w:val="49"/>
                    <w:framePr w:wrap="notBeside" w:vAnchor="page" w:hAnchor="page" w:x="1372" w:y="568"/>
                    <w:ind w:left="420" w:right="624"/>
                    <w:rPr>
                      <w:rFonts w:hint="eastAsia"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0" w:name="c1"/>
                  <w:r>
                    <w:instrText xml:space="preserve"> FORMTEXT </w:instrText>
                  </w:r>
                  <w:r>
                    <w:fldChar w:fldCharType="separate"/>
                  </w:r>
                  <w:r>
                    <w:rPr>
                      <w:rFonts w:hint="eastAsia"/>
                    </w:rPr>
                    <w:t>GXAS</w:t>
                  </w:r>
                  <w:r>
                    <w:fldChar w:fldCharType="end"/>
                  </w:r>
                  <w:bookmarkEnd w:id="0"/>
                </w:p>
              </w:tc>
            </w:tr>
          </w:tbl>
          <w:p w14:paraId="5997D951">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C 05</w:t>
            </w:r>
            <w:r>
              <w:rPr>
                <w:rFonts w:ascii="黑体" w:hAnsi="黑体" w:eastAsia="黑体"/>
                <w:sz w:val="21"/>
                <w:szCs w:val="21"/>
              </w:rPr>
              <w:fldChar w:fldCharType="end"/>
            </w:r>
            <w:bookmarkEnd w:id="1"/>
          </w:p>
        </w:tc>
      </w:tr>
    </w:tbl>
    <w:p w14:paraId="0765DB7E">
      <w:pPr>
        <w:pStyle w:val="50"/>
        <w:framePr w:w="9639" w:h="624" w:hRule="exact" w:hSpace="181" w:vSpace="181" w:wrap="around" w:hAnchor="page" w:x="1305" w:y="2269"/>
        <w:rPr>
          <w:rFonts w:hint="eastAsia" w:ascii="黑体" w:hAnsi="黑体" w:eastAsia="黑体"/>
          <w:b w:val="0"/>
          <w:bCs w:val="0"/>
          <w:w w:val="100"/>
          <w:sz w:val="48"/>
          <w:szCs w:val="48"/>
        </w:rPr>
      </w:pPr>
      <w:bookmarkStart w:id="2" w:name="_Hlk26473981"/>
      <w:r>
        <w:rPr>
          <w:rFonts w:hint="eastAsia" w:ascii="黑体" w:eastAsia="黑体"/>
          <w:b w:val="0"/>
          <w:w w:val="100"/>
          <w:sz w:val="48"/>
        </w:rPr>
        <w:t>团体</w:t>
      </w:r>
      <w:r>
        <w:rPr>
          <w:rFonts w:hint="eastAsia" w:ascii="黑体" w:hAnsi="黑体" w:eastAsia="黑体"/>
          <w:b w:val="0"/>
          <w:bCs w:val="0"/>
          <w:w w:val="100"/>
          <w:sz w:val="48"/>
          <w:szCs w:val="48"/>
        </w:rPr>
        <w:t>标准</w:t>
      </w:r>
    </w:p>
    <w:bookmarkEnd w:id="2"/>
    <w:p w14:paraId="69A232EF">
      <w:pPr>
        <w:pStyle w:val="195"/>
      </w:pPr>
      <w:r>
        <w:t>T/</w:t>
      </w:r>
      <w:r>
        <w:fldChar w:fldCharType="begin">
          <w:ffData>
            <w:name w:val="文字1"/>
            <w:enabled/>
            <w:calcOnExit w:val="0"/>
            <w:textInput>
              <w:default w:val="XXX"/>
            </w:textInput>
          </w:ffData>
        </w:fldChar>
      </w:r>
      <w:bookmarkStart w:id="3" w:name="文字1"/>
      <w:r>
        <w:instrText xml:space="preserve"> FORMTEXT </w:instrText>
      </w:r>
      <w:r>
        <w:fldChar w:fldCharType="separate"/>
      </w:r>
      <w:r>
        <w:rPr>
          <w:rFonts w:hint="eastAsia"/>
        </w:rPr>
        <w:t>GXAS</w:t>
      </w:r>
      <w:r>
        <w:fldChar w:fldCharType="end"/>
      </w:r>
      <w:bookmarkEnd w:id="3"/>
      <w:r>
        <w:t xml:space="preserve"> </w:t>
      </w:r>
      <w:r>
        <w:fldChar w:fldCharType="begin">
          <w:ffData>
            <w:name w:val="NSTD_CODE_F"/>
            <w:enabled/>
            <w:calcOnExit w:val="0"/>
            <w:textInput>
              <w:default w:val="XXXX"/>
            </w:textInput>
          </w:ffData>
        </w:fldChar>
      </w:r>
      <w:bookmarkStart w:id="4" w:name="NSTD_CODE_F"/>
      <w:r>
        <w:instrText xml:space="preserve"> FORMTEXT </w:instrText>
      </w:r>
      <w:r>
        <w:fldChar w:fldCharType="separate"/>
      </w:r>
      <w:r>
        <w:t>XXXX</w:t>
      </w:r>
      <w:r>
        <w:fldChar w:fldCharType="end"/>
      </w:r>
      <w:bookmarkEnd w:id="4"/>
      <w:r>
        <w:rPr>
          <w:rFonts w:hAnsi="黑体"/>
        </w:rPr>
        <w:t>—</w:t>
      </w:r>
      <w:r>
        <w:fldChar w:fldCharType="begin">
          <w:ffData>
            <w:name w:val="NSTD_CODE_B"/>
            <w:enabled/>
            <w:calcOnExit w:val="0"/>
            <w:textInput>
              <w:default w:val="XXXX"/>
            </w:textInput>
          </w:ffData>
        </w:fldChar>
      </w:r>
      <w:bookmarkStart w:id="5" w:name="NSTD_CODE_B"/>
      <w:r>
        <w:instrText xml:space="preserve"> FORMTEXT </w:instrText>
      </w:r>
      <w:r>
        <w:fldChar w:fldCharType="separate"/>
      </w:r>
      <w:r>
        <w:t>XXXX</w:t>
      </w:r>
      <w:r>
        <w:fldChar w:fldCharType="end"/>
      </w:r>
      <w:bookmarkEnd w:id="5"/>
    </w:p>
    <w:p w14:paraId="0E88E394">
      <w:pPr>
        <w:pStyle w:val="196"/>
        <w:rPr>
          <w:rFonts w:hint="eastAsia" w:hAnsi="黑体"/>
        </w:rPr>
      </w:pPr>
      <w:r>
        <w:rPr>
          <w:rFonts w:hAnsi="黑体"/>
        </w:rPr>
        <w:fldChar w:fldCharType="begin">
          <w:ffData>
            <w:name w:val="OSTD_CODE"/>
            <w:enabled/>
            <w:calcOnExit w:val="0"/>
            <w:textInput/>
          </w:ffData>
        </w:fldChar>
      </w:r>
      <w:bookmarkStart w:id="6"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6"/>
    </w:p>
    <w:p w14:paraId="348F55B2">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79D75897">
      <w:pPr>
        <w:pStyle w:val="50"/>
        <w:framePr w:w="9639" w:h="6976" w:hRule="exact" w:hSpace="0" w:vSpace="0" w:wrap="around" w:hAnchor="page" w:y="6408"/>
        <w:jc w:val="center"/>
        <w:rPr>
          <w:rFonts w:hint="eastAsia" w:ascii="黑体" w:hAnsi="黑体" w:eastAsia="黑体"/>
          <w:b w:val="0"/>
          <w:bCs w:val="0"/>
          <w:w w:val="100"/>
        </w:rPr>
      </w:pPr>
    </w:p>
    <w:p w14:paraId="556E8B45">
      <w:pPr>
        <w:pStyle w:val="197"/>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7" w:name="CSTD_NAME"/>
      <w:r>
        <w:instrText xml:space="preserve"> FORMTEXT </w:instrText>
      </w:r>
      <w:r>
        <w:fldChar w:fldCharType="separate"/>
      </w:r>
      <w:r>
        <w:rPr>
          <w:rFonts w:hint="eastAsia"/>
        </w:rPr>
        <w:t>医疗护理员辅助偏瘫患者翻身技术操作规范</w:t>
      </w:r>
      <w:r>
        <w:fldChar w:fldCharType="end"/>
      </w:r>
      <w:bookmarkEnd w:id="7"/>
    </w:p>
    <w:p w14:paraId="0CE1BDFF">
      <w:pPr>
        <w:framePr w:w="9639" w:h="6974" w:hRule="exact" w:wrap="around" w:vAnchor="page" w:hAnchor="page" w:x="1419" w:y="6408" w:anchorLock="1"/>
        <w:ind w:left="-1418"/>
      </w:pPr>
    </w:p>
    <w:p w14:paraId="4B4290A4">
      <w:pPr>
        <w:pStyle w:val="125"/>
        <w:framePr w:w="9639" w:h="6974" w:hRule="exact" w:wrap="around" w:vAnchor="page" w:hAnchor="page" w:x="1419" w:y="6408" w:anchorLock="1"/>
        <w:textAlignment w:val="bottom"/>
        <w:rPr>
          <w:rFonts w:hint="eastAsia" w:ascii="黑体" w:hAnsi="黑体"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8" w:name="ESTD_NAME"/>
      <w:r>
        <w:rPr>
          <w:rFonts w:eastAsia="黑体"/>
          <w:szCs w:val="28"/>
        </w:rPr>
        <w:instrText xml:space="preserve"> FORMTEXT </w:instrText>
      </w:r>
      <w:r>
        <w:rPr>
          <w:rFonts w:eastAsia="黑体"/>
          <w:szCs w:val="28"/>
        </w:rPr>
        <w:fldChar w:fldCharType="separate"/>
      </w:r>
      <w:r>
        <w:rPr>
          <w:rFonts w:hint="eastAsia" w:ascii="黑体" w:hAnsi="黑体" w:eastAsia="黑体"/>
          <w:szCs w:val="28"/>
        </w:rPr>
        <w:t>Technical specification for hemiplegic patients with turning over</w:t>
      </w:r>
    </w:p>
    <w:p w14:paraId="53B3B579">
      <w:pPr>
        <w:pStyle w:val="125"/>
        <w:framePr w:w="9639" w:h="6974" w:hRule="exact" w:wrap="around" w:vAnchor="page" w:hAnchor="page" w:x="1419" w:y="6408" w:anchorLock="1"/>
        <w:textAlignment w:val="bottom"/>
        <w:rPr>
          <w:rFonts w:eastAsia="黑体"/>
          <w:szCs w:val="28"/>
        </w:rPr>
      </w:pPr>
      <w:r>
        <w:rPr>
          <w:rFonts w:hint="eastAsia" w:ascii="黑体" w:hAnsi="黑体" w:eastAsia="黑体"/>
          <w:szCs w:val="28"/>
        </w:rPr>
        <w:t xml:space="preserve"> of medical nursing assistants</w:t>
      </w:r>
      <w:r>
        <w:rPr>
          <w:rFonts w:hint="eastAsia" w:eastAsia="黑体"/>
          <w:szCs w:val="28"/>
        </w:rPr>
        <w:t xml:space="preserve"> </w:t>
      </w:r>
      <w:r>
        <w:rPr>
          <w:rFonts w:eastAsia="黑体"/>
          <w:szCs w:val="28"/>
        </w:rPr>
        <w:fldChar w:fldCharType="end"/>
      </w:r>
      <w:bookmarkEnd w:id="8"/>
    </w:p>
    <w:p w14:paraId="3045D141">
      <w:pPr>
        <w:framePr w:w="9639" w:h="6974" w:hRule="exact" w:wrap="around" w:vAnchor="page" w:hAnchor="page" w:x="1419" w:y="6408" w:anchorLock="1"/>
        <w:spacing w:line="760" w:lineRule="exact"/>
        <w:ind w:left="-1418"/>
      </w:pPr>
    </w:p>
    <w:p w14:paraId="01796C7B">
      <w:pPr>
        <w:pStyle w:val="125"/>
        <w:framePr w:w="9639" w:h="6974" w:hRule="exact" w:wrap="around" w:vAnchor="page" w:hAnchor="page" w:x="1419" w:y="6408" w:anchorLock="1"/>
        <w:textAlignment w:val="bottom"/>
        <w:rPr>
          <w:rFonts w:eastAsia="黑体"/>
          <w:szCs w:val="28"/>
        </w:rPr>
      </w:pPr>
    </w:p>
    <w:p w14:paraId="2A435133">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9" w:name="下拉1"/>
      <w:r>
        <w:rPr>
          <w:sz w:val="24"/>
          <w:szCs w:val="28"/>
        </w:rPr>
        <w:instrText xml:space="preserve"> FORMDROPDOWN </w:instrText>
      </w:r>
      <w:r>
        <w:rPr>
          <w:sz w:val="24"/>
          <w:szCs w:val="28"/>
        </w:rPr>
        <w:fldChar w:fldCharType="separate"/>
      </w:r>
      <w:r>
        <w:rPr>
          <w:sz w:val="24"/>
          <w:szCs w:val="28"/>
        </w:rPr>
        <w:fldChar w:fldCharType="end"/>
      </w:r>
      <w:bookmarkEnd w:id="9"/>
    </w:p>
    <w:p w14:paraId="738ED2F0">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0"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0"/>
    </w:p>
    <w:p w14:paraId="493F3C7B">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1" w:name="下拉2"/>
      <w:r>
        <w:rPr>
          <w:b/>
          <w:sz w:val="21"/>
          <w:szCs w:val="28"/>
        </w:rPr>
        <w:instrText xml:space="preserve"> FORMDROPDOWN </w:instrText>
      </w:r>
      <w:r>
        <w:rPr>
          <w:b/>
          <w:sz w:val="21"/>
          <w:szCs w:val="28"/>
        </w:rPr>
        <w:fldChar w:fldCharType="separate"/>
      </w:r>
      <w:r>
        <w:rPr>
          <w:b/>
          <w:sz w:val="21"/>
          <w:szCs w:val="28"/>
        </w:rPr>
        <w:fldChar w:fldCharType="end"/>
      </w:r>
      <w:bookmarkEnd w:id="11"/>
    </w:p>
    <w:p w14:paraId="1A002383">
      <w:pPr>
        <w:pStyle w:val="193"/>
        <w:framePr w:wrap="around" w:y="14176"/>
      </w:pPr>
      <w:r>
        <w:rPr>
          <w:rFonts w:ascii="黑体"/>
        </w:rPr>
        <w:fldChar w:fldCharType="begin">
          <w:ffData>
            <w:name w:val="PLSH_DATE_Y"/>
            <w:enabled/>
            <w:calcOnExit w:val="0"/>
            <w:textInput>
              <w:default w:val="XXXX"/>
              <w:maxLength w:val="4"/>
            </w:textInput>
          </w:ffData>
        </w:fldChar>
      </w:r>
      <w:bookmarkStart w:id="12"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2"/>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3"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3"/>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4"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4"/>
      <w:r>
        <w:rPr>
          <w:rFonts w:hint="eastAsia"/>
        </w:rPr>
        <w:t>发布</w:t>
      </w:r>
    </w:p>
    <w:p w14:paraId="125F107D">
      <w:pPr>
        <w:pStyle w:val="194"/>
        <w:framePr w:wrap="around" w:y="14176"/>
      </w:pPr>
      <w:r>
        <w:rPr>
          <w:rFonts w:ascii="黑体"/>
        </w:rPr>
        <w:fldChar w:fldCharType="begin">
          <w:ffData>
            <w:name w:val="CROT_DATE_Y"/>
            <w:enabled/>
            <w:calcOnExit w:val="0"/>
            <w:textInput>
              <w:default w:val="XXXX"/>
              <w:maxLength w:val="4"/>
            </w:textInput>
          </w:ffData>
        </w:fldChar>
      </w:r>
      <w:bookmarkStart w:id="15"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5"/>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6"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7"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7"/>
      <w:r>
        <w:rPr>
          <w:rFonts w:hint="eastAsia"/>
        </w:rPr>
        <w:t>实施</w:t>
      </w:r>
    </w:p>
    <w:p w14:paraId="64085237">
      <w:pPr>
        <w:pStyle w:val="151"/>
        <w:framePr w:h="584" w:hRule="exact" w:hSpace="181" w:vSpace="181" w:wrap="around" w:y="14800"/>
        <w:rPr>
          <w:rFonts w:hint="eastAsia" w:hAnsi="黑体"/>
        </w:rPr>
      </w:pPr>
      <w:r>
        <w:rPr>
          <w:rFonts w:hAnsi="黑体"/>
          <w:w w:val="100"/>
          <w:sz w:val="28"/>
        </w:rPr>
        <w:fldChar w:fldCharType="begin">
          <w:ffData>
            <w:name w:val="fm"/>
            <w:enabled/>
            <w:calcOnExit w:val="0"/>
            <w:textInput/>
          </w:ffData>
        </w:fldChar>
      </w:r>
      <w:bookmarkStart w:id="18" w:name="fm"/>
      <w:r>
        <w:rPr>
          <w:rFonts w:hAnsi="黑体"/>
          <w:w w:val="100"/>
          <w:sz w:val="28"/>
        </w:rPr>
        <w:instrText xml:space="preserve"> FORMTEXT </w:instrText>
      </w:r>
      <w:r>
        <w:rPr>
          <w:rFonts w:hAnsi="黑体"/>
          <w:w w:val="100"/>
          <w:sz w:val="28"/>
        </w:rPr>
        <w:fldChar w:fldCharType="separate"/>
      </w:r>
      <w:r>
        <w:rPr>
          <w:rFonts w:hint="eastAsia" w:hAnsi="黑体"/>
          <w:w w:val="100"/>
          <w:sz w:val="28"/>
        </w:rPr>
        <w:t>广西标准化协会</w:t>
      </w:r>
      <w:r>
        <w:rPr>
          <w:rFonts w:hAnsi="黑体"/>
          <w:w w:val="100"/>
          <w:sz w:val="28"/>
        </w:rPr>
        <w:fldChar w:fldCharType="end"/>
      </w:r>
      <w:bookmarkEnd w:id="18"/>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2E46FAC6">
      <w:pPr>
        <w:rPr>
          <w:rFonts w:hint="eastAsia"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740F3BE4">
      <w:pPr>
        <w:pStyle w:val="89"/>
        <w:spacing w:before="900" w:after="360"/>
      </w:pPr>
      <w:bookmarkStart w:id="19" w:name="BookMark2"/>
      <w:r>
        <w:rPr>
          <w:rFonts w:hint="eastAsia"/>
          <w:spacing w:val="320"/>
        </w:rPr>
        <w:t>前</w:t>
      </w:r>
      <w:r>
        <w:rPr>
          <w:rFonts w:hint="eastAsia"/>
        </w:rPr>
        <w:t>言</w:t>
      </w:r>
    </w:p>
    <w:p w14:paraId="0779A25A">
      <w:pPr>
        <w:pStyle w:val="56"/>
        <w:ind w:firstLine="420"/>
      </w:pPr>
      <w:r>
        <w:rPr>
          <w:rFonts w:hint="eastAsia"/>
        </w:rPr>
        <w:t>本文件参照GB/T 1.1—2020《标准化工作导则  第1部分：标准化文件的结构和起草规则》的规定起草。</w:t>
      </w:r>
    </w:p>
    <w:p w14:paraId="6056085F">
      <w:pPr>
        <w:pStyle w:val="56"/>
        <w:ind w:firstLine="420"/>
      </w:pPr>
      <w:r>
        <w:rPr>
          <w:rFonts w:hint="eastAsia"/>
        </w:rPr>
        <w:t>请注意本文件的某些内容可能涉及专利。本文件的发布机构不承担识别专利的责任。</w:t>
      </w:r>
    </w:p>
    <w:p w14:paraId="5F8C0EC2">
      <w:pPr>
        <w:pStyle w:val="56"/>
        <w:ind w:firstLine="420"/>
      </w:pPr>
      <w:r>
        <w:rPr>
          <w:rFonts w:hint="eastAsia"/>
        </w:rPr>
        <w:t>本文件由广西护理学会提出、归口并宣贯。</w:t>
      </w:r>
    </w:p>
    <w:p w14:paraId="1B1F180C">
      <w:pPr>
        <w:pStyle w:val="56"/>
        <w:ind w:firstLine="420"/>
      </w:pPr>
      <w:r>
        <w:rPr>
          <w:rFonts w:hint="eastAsia"/>
        </w:rPr>
        <w:t>本文件起草单位：广西中医药大学附属瑞康医院、深圳市罗湖区中医院、中山大学附属第一医院广西医院（广西壮族自治区人民医院东院）、广西壮族自治区江滨医院、广西医科大学第一附属医院、柳州市人民医院、南宁市第二人民医院。</w:t>
      </w:r>
    </w:p>
    <w:p w14:paraId="41161FC4">
      <w:pPr>
        <w:pStyle w:val="56"/>
        <w:ind w:firstLine="420"/>
        <w:rPr>
          <w:rFonts w:hint="eastAsia" w:eastAsia="宋体"/>
          <w:lang w:eastAsia="zh-CN"/>
        </w:rPr>
        <w:sectPr>
          <w:headerReference r:id="rId11" w:type="default"/>
          <w:footerReference r:id="rId13" w:type="default"/>
          <w:headerReference r:id="rId12" w:type="even"/>
          <w:pgSz w:w="11906" w:h="16838"/>
          <w:pgMar w:top="1928" w:right="1134" w:bottom="1134" w:left="1134" w:header="1418" w:footer="1134" w:gutter="284"/>
          <w:pgNumType w:fmt="upperRoman" w:start="1"/>
          <w:cols w:space="425" w:num="1"/>
          <w:formProt w:val="0"/>
          <w:docGrid w:linePitch="312" w:charSpace="0"/>
        </w:sectPr>
      </w:pPr>
      <w:r>
        <w:rPr>
          <w:rFonts w:hint="eastAsia"/>
        </w:rPr>
        <w:t>本文件主要起草人：涂惠琼</w:t>
      </w:r>
      <w:r>
        <w:rPr>
          <w:rFonts w:hint="eastAsia"/>
          <w:lang w:eastAsia="zh-CN"/>
        </w:rPr>
        <w:t>、</w:t>
      </w:r>
      <w:r>
        <w:rPr>
          <w:rFonts w:hint="eastAsia"/>
        </w:rPr>
        <w:t>凌艳燕</w:t>
      </w:r>
      <w:r>
        <w:rPr>
          <w:rFonts w:hint="eastAsia"/>
          <w:lang w:eastAsia="zh-CN"/>
        </w:rPr>
        <w:t>、</w:t>
      </w:r>
      <w:r>
        <w:rPr>
          <w:rFonts w:hint="eastAsia"/>
        </w:rPr>
        <w:t>蒋娟</w:t>
      </w:r>
      <w:r>
        <w:rPr>
          <w:rFonts w:hint="eastAsia"/>
          <w:lang w:eastAsia="zh-CN"/>
        </w:rPr>
        <w:t>、</w:t>
      </w:r>
      <w:r>
        <w:rPr>
          <w:rFonts w:hint="eastAsia"/>
        </w:rPr>
        <w:t>杨甜甜</w:t>
      </w:r>
      <w:r>
        <w:rPr>
          <w:rFonts w:hint="eastAsia"/>
          <w:lang w:eastAsia="zh-CN"/>
        </w:rPr>
        <w:t>、</w:t>
      </w:r>
      <w:r>
        <w:rPr>
          <w:rFonts w:hint="eastAsia"/>
        </w:rPr>
        <w:t>赵婷婷</w:t>
      </w:r>
      <w:r>
        <w:rPr>
          <w:rFonts w:hint="eastAsia"/>
          <w:lang w:eastAsia="zh-CN"/>
        </w:rPr>
        <w:t>、</w:t>
      </w:r>
      <w:r>
        <w:rPr>
          <w:rFonts w:hint="eastAsia"/>
        </w:rPr>
        <w:t>周晓燕</w:t>
      </w:r>
      <w:r>
        <w:rPr>
          <w:rFonts w:hint="eastAsia"/>
          <w:lang w:eastAsia="zh-CN"/>
        </w:rPr>
        <w:t>、</w:t>
      </w:r>
      <w:r>
        <w:rPr>
          <w:rFonts w:hint="eastAsia"/>
        </w:rPr>
        <w:t>李雪娟</w:t>
      </w:r>
      <w:r>
        <w:rPr>
          <w:rFonts w:hint="eastAsia"/>
          <w:lang w:eastAsia="zh-CN"/>
        </w:rPr>
        <w:t>、</w:t>
      </w:r>
      <w:r>
        <w:rPr>
          <w:rFonts w:hint="eastAsia"/>
        </w:rPr>
        <w:t>马梦晖</w:t>
      </w:r>
      <w:r>
        <w:rPr>
          <w:rFonts w:hint="eastAsia"/>
          <w:lang w:eastAsia="zh-CN"/>
        </w:rPr>
        <w:t>、</w:t>
      </w:r>
      <w:r>
        <w:rPr>
          <w:rFonts w:hint="eastAsia"/>
        </w:rPr>
        <w:t>唐富平</w:t>
      </w:r>
      <w:r>
        <w:rPr>
          <w:rFonts w:hint="eastAsia"/>
          <w:lang w:eastAsia="zh-CN"/>
        </w:rPr>
        <w:t>、</w:t>
      </w:r>
      <w:r>
        <w:rPr>
          <w:rFonts w:hint="eastAsia"/>
        </w:rPr>
        <w:t>邱小芩</w:t>
      </w:r>
      <w:r>
        <w:rPr>
          <w:rFonts w:hint="eastAsia"/>
          <w:lang w:eastAsia="zh-CN"/>
        </w:rPr>
        <w:t>、</w:t>
      </w:r>
      <w:r>
        <w:rPr>
          <w:rFonts w:hint="eastAsia"/>
        </w:rPr>
        <w:t>张琰</w:t>
      </w:r>
      <w:r>
        <w:rPr>
          <w:rFonts w:hint="eastAsia"/>
          <w:lang w:eastAsia="zh-CN"/>
        </w:rPr>
        <w:t>、</w:t>
      </w:r>
      <w:r>
        <w:rPr>
          <w:rFonts w:hint="eastAsia"/>
        </w:rPr>
        <w:t>韦瑞丽</w:t>
      </w:r>
      <w:r>
        <w:rPr>
          <w:rFonts w:hint="eastAsia"/>
          <w:lang w:eastAsia="zh-CN"/>
        </w:rPr>
        <w:t>、</w:t>
      </w:r>
      <w:r>
        <w:rPr>
          <w:rFonts w:hint="eastAsia"/>
        </w:rPr>
        <w:t>唐山丹</w:t>
      </w:r>
      <w:r>
        <w:rPr>
          <w:rFonts w:hint="eastAsia"/>
          <w:lang w:eastAsia="zh-CN"/>
        </w:rPr>
        <w:t>、</w:t>
      </w:r>
      <w:r>
        <w:rPr>
          <w:rFonts w:hint="eastAsia"/>
        </w:rPr>
        <w:t>梁黎黎</w:t>
      </w:r>
      <w:r>
        <w:rPr>
          <w:rFonts w:hint="eastAsia"/>
          <w:lang w:eastAsia="zh-CN"/>
        </w:rPr>
        <w:t>、</w:t>
      </w:r>
      <w:r>
        <w:rPr>
          <w:rFonts w:hint="eastAsia"/>
        </w:rPr>
        <w:t>银星凤</w:t>
      </w:r>
      <w:r>
        <w:rPr>
          <w:rFonts w:hint="eastAsia"/>
          <w:lang w:eastAsia="zh-CN"/>
        </w:rPr>
        <w:t>、</w:t>
      </w:r>
      <w:r>
        <w:rPr>
          <w:rFonts w:hint="eastAsia"/>
        </w:rPr>
        <w:t>黄美迁</w:t>
      </w:r>
      <w:r>
        <w:rPr>
          <w:rFonts w:hint="eastAsia"/>
          <w:lang w:eastAsia="zh-CN"/>
        </w:rPr>
        <w:t>、</w:t>
      </w:r>
      <w:r>
        <w:rPr>
          <w:rFonts w:hint="eastAsia"/>
        </w:rPr>
        <w:t>范葵玉</w:t>
      </w:r>
      <w:r>
        <w:rPr>
          <w:rFonts w:hint="eastAsia"/>
          <w:lang w:eastAsia="zh-CN"/>
        </w:rPr>
        <w:t>、</w:t>
      </w:r>
      <w:r>
        <w:rPr>
          <w:rFonts w:hint="eastAsia"/>
        </w:rPr>
        <w:t>李江兰</w:t>
      </w:r>
      <w:r>
        <w:rPr>
          <w:rFonts w:hint="eastAsia"/>
          <w:lang w:eastAsia="zh-CN"/>
        </w:rPr>
        <w:t>、</w:t>
      </w:r>
      <w:r>
        <w:rPr>
          <w:rFonts w:hint="eastAsia"/>
        </w:rPr>
        <w:t>黎瑜</w:t>
      </w:r>
      <w:r>
        <w:rPr>
          <w:rFonts w:hint="eastAsia"/>
          <w:lang w:eastAsia="zh-CN"/>
        </w:rPr>
        <w:t>、</w:t>
      </w:r>
      <w:r>
        <w:rPr>
          <w:rFonts w:hint="eastAsia"/>
        </w:rPr>
        <w:t>高春霞</w:t>
      </w:r>
      <w:r>
        <w:rPr>
          <w:rFonts w:hint="eastAsia"/>
          <w:lang w:eastAsia="zh-CN"/>
        </w:rPr>
        <w:t>、</w:t>
      </w:r>
      <w:r>
        <w:rPr>
          <w:rFonts w:hint="eastAsia"/>
        </w:rPr>
        <w:t>谭智容</w:t>
      </w:r>
      <w:r>
        <w:rPr>
          <w:rFonts w:hint="eastAsia"/>
          <w:lang w:eastAsia="zh-CN"/>
        </w:rPr>
        <w:t>、</w:t>
      </w:r>
      <w:r>
        <w:rPr>
          <w:rFonts w:hint="eastAsia"/>
        </w:rPr>
        <w:t>王观丽</w:t>
      </w:r>
      <w:r>
        <w:rPr>
          <w:rFonts w:hint="eastAsia"/>
          <w:lang w:eastAsia="zh-CN"/>
        </w:rPr>
        <w:t>。</w:t>
      </w:r>
    </w:p>
    <w:bookmarkEnd w:id="19"/>
    <w:p w14:paraId="08CD69FD">
      <w:pPr>
        <w:spacing w:line="20" w:lineRule="exact"/>
        <w:jc w:val="center"/>
        <w:rPr>
          <w:rFonts w:hint="eastAsia" w:ascii="黑体" w:hAnsi="黑体" w:eastAsia="黑体"/>
          <w:sz w:val="32"/>
          <w:szCs w:val="32"/>
        </w:rPr>
      </w:pPr>
      <w:bookmarkStart w:id="20" w:name="BookMark4"/>
      <w:r>
        <w:rPr>
          <w:rFonts w:hint="eastAsia" w:ascii="黑体" w:hAnsi="黑体" w:eastAsia="黑体"/>
          <w:sz w:val="32"/>
          <w:szCs w:val="32"/>
        </w:rPr>
        <w:t xml:space="preserve"> </w:t>
      </w:r>
    </w:p>
    <w:p w14:paraId="4B67C2D6">
      <w:pPr>
        <w:spacing w:line="20" w:lineRule="exact"/>
        <w:jc w:val="center"/>
        <w:rPr>
          <w:rFonts w:hint="eastAsia" w:ascii="黑体" w:hAnsi="黑体" w:eastAsia="黑体"/>
          <w:sz w:val="32"/>
          <w:szCs w:val="32"/>
        </w:rPr>
      </w:pPr>
    </w:p>
    <w:sdt>
      <w:sdtPr>
        <w:tag w:val="NEW_STAND_NAME"/>
        <w:id w:val="595910757"/>
        <w:lock w:val="sdtLocked"/>
        <w:placeholder>
          <w:docPart w:val="E18A259B3A0B4DFE8602C521A977E7DD"/>
        </w:placeholder>
      </w:sdtPr>
      <w:sdtContent>
        <w:p w14:paraId="66AA60DC">
          <w:pPr>
            <w:pStyle w:val="177"/>
            <w:spacing w:before="2" w:beforeLines="1" w:after="528" w:afterLines="220"/>
            <w:rPr>
              <w:rFonts w:hint="eastAsia"/>
            </w:rPr>
          </w:pPr>
          <w:bookmarkStart w:id="21" w:name="NEW_STAND_NAME"/>
          <w:r>
            <w:rPr>
              <w:rFonts w:hint="eastAsia"/>
            </w:rPr>
            <w:t>医疗护理员辅助偏瘫患者翻身技术操作规范</w:t>
          </w:r>
        </w:p>
      </w:sdtContent>
    </w:sdt>
    <w:bookmarkEnd w:id="21"/>
    <w:p w14:paraId="3152BEF3">
      <w:pPr>
        <w:pStyle w:val="104"/>
        <w:spacing w:before="240" w:after="240"/>
      </w:pPr>
      <w:bookmarkStart w:id="22" w:name="_Toc97192964"/>
      <w:bookmarkStart w:id="23" w:name="_Toc17233333"/>
      <w:bookmarkStart w:id="24" w:name="_Toc26718930"/>
      <w:bookmarkStart w:id="25" w:name="_Toc17233325"/>
      <w:bookmarkStart w:id="26" w:name="_Toc26986530"/>
      <w:bookmarkStart w:id="27" w:name="_Toc26648465"/>
      <w:bookmarkStart w:id="28" w:name="_Toc24884211"/>
      <w:bookmarkStart w:id="29" w:name="_Toc26986771"/>
      <w:bookmarkStart w:id="30" w:name="_Toc24884218"/>
      <w:r>
        <w:rPr>
          <w:rFonts w:hint="eastAsia"/>
        </w:rPr>
        <w:t>范围</w:t>
      </w:r>
      <w:bookmarkEnd w:id="22"/>
      <w:bookmarkEnd w:id="23"/>
      <w:bookmarkEnd w:id="24"/>
      <w:bookmarkEnd w:id="25"/>
      <w:bookmarkEnd w:id="26"/>
      <w:bookmarkEnd w:id="27"/>
      <w:bookmarkEnd w:id="28"/>
      <w:bookmarkEnd w:id="29"/>
      <w:bookmarkEnd w:id="30"/>
    </w:p>
    <w:p w14:paraId="4E7440C0">
      <w:pPr>
        <w:pStyle w:val="56"/>
        <w:ind w:firstLine="420"/>
      </w:pPr>
      <w:bookmarkStart w:id="31" w:name="_Toc24884212"/>
      <w:bookmarkStart w:id="32" w:name="_Toc17233326"/>
      <w:bookmarkStart w:id="33" w:name="_Toc17233334"/>
      <w:bookmarkStart w:id="34" w:name="_Toc24884219"/>
      <w:bookmarkStart w:id="35" w:name="_Toc26648466"/>
      <w:r>
        <w:rPr>
          <w:rFonts w:hint="eastAsia"/>
        </w:rPr>
        <w:t>本文件界定了医疗护理员辅助偏瘫患者翻身技术操作涉及的术语和定义，规定了医疗护理员辅助偏瘫患者翻身技术操作的评估、操作前准备、操作方法、注意事项的要求。</w:t>
      </w:r>
    </w:p>
    <w:p w14:paraId="5CE4E2BC">
      <w:pPr>
        <w:pStyle w:val="56"/>
        <w:ind w:firstLine="420"/>
      </w:pPr>
      <w:r>
        <w:rPr>
          <w:rFonts w:hint="eastAsia"/>
        </w:rPr>
        <w:t>本文件适用于医疗护理员辅助偏瘫患者翻身技术操作。</w:t>
      </w:r>
    </w:p>
    <w:p w14:paraId="53DB3018">
      <w:pPr>
        <w:pStyle w:val="104"/>
        <w:spacing w:before="240" w:after="240"/>
      </w:pPr>
      <w:bookmarkStart w:id="36" w:name="_Toc26986772"/>
      <w:bookmarkStart w:id="37" w:name="_Toc97192965"/>
      <w:bookmarkStart w:id="38" w:name="_Toc26718931"/>
      <w:bookmarkStart w:id="39" w:name="_Toc26986531"/>
      <w:r>
        <w:rPr>
          <w:rFonts w:hint="eastAsia"/>
        </w:rPr>
        <w:t>规范性引用文件</w:t>
      </w:r>
      <w:bookmarkEnd w:id="31"/>
      <w:bookmarkEnd w:id="32"/>
      <w:bookmarkEnd w:id="33"/>
      <w:bookmarkEnd w:id="34"/>
      <w:bookmarkEnd w:id="35"/>
      <w:bookmarkEnd w:id="36"/>
      <w:bookmarkEnd w:id="37"/>
      <w:bookmarkEnd w:id="38"/>
      <w:bookmarkEnd w:id="39"/>
    </w:p>
    <w:sdt>
      <w:sdtPr>
        <w:rPr>
          <w:rFonts w:hint="eastAsia"/>
        </w:rPr>
        <w:id w:val="715848253"/>
        <w:placeholder>
          <w:docPart w:val="710D30392F7C4D9F904B4827BE9FDAFD"/>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1AD0F4D8">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5D4DBA10">
      <w:pPr>
        <w:pStyle w:val="56"/>
        <w:ind w:firstLine="420"/>
      </w:pPr>
      <w:r>
        <w:rPr>
          <w:rFonts w:hint="eastAsia"/>
        </w:rPr>
        <w:t>WS/T 313  医务人员手卫生规范</w:t>
      </w:r>
    </w:p>
    <w:p w14:paraId="09E7EF7A">
      <w:pPr>
        <w:pStyle w:val="104"/>
        <w:spacing w:before="240" w:after="240"/>
      </w:pPr>
      <w:bookmarkStart w:id="40" w:name="_Toc97192966"/>
      <w:r>
        <w:rPr>
          <w:rFonts w:hint="eastAsia"/>
          <w:szCs w:val="21"/>
        </w:rPr>
        <w:t>术语和定义</w:t>
      </w:r>
      <w:bookmarkEnd w:id="40"/>
    </w:p>
    <w:sdt>
      <w:sdtPr>
        <w:id w:val="-1909835108"/>
        <w:placeholder>
          <w:docPart w:val="EEEB39D83F0540CEA407F2520062D957"/>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21DAD1DF">
          <w:pPr>
            <w:pStyle w:val="56"/>
            <w:ind w:firstLine="420"/>
          </w:pPr>
          <w:bookmarkStart w:id="41" w:name="_Toc26986532"/>
          <w:bookmarkEnd w:id="41"/>
          <w:r>
            <w:t>下列术语和定义适用于本文件。</w:t>
          </w:r>
        </w:p>
      </w:sdtContent>
    </w:sdt>
    <w:p w14:paraId="62B2147A">
      <w:pPr>
        <w:pStyle w:val="223"/>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 xml:space="preserve">偏瘫  </w:t>
      </w:r>
      <w:r>
        <w:rPr>
          <w:rFonts w:ascii="黑体" w:hAnsi="黑体" w:eastAsia="黑体"/>
        </w:rPr>
        <w:t>hemiplegic</w:t>
      </w:r>
    </w:p>
    <w:p w14:paraId="64C87C90">
      <w:pPr>
        <w:pStyle w:val="56"/>
        <w:ind w:firstLine="420"/>
      </w:pPr>
      <w:r>
        <w:rPr>
          <w:rFonts w:hint="eastAsia"/>
        </w:rPr>
        <w:t>因脑血管疾病（如脑梗死、脑出血）、脑外伤、脑部肿瘤等原因，导致身体对侧上下肢、躯干及面部肌肉出现不同程度的运动功能障碍。</w:t>
      </w:r>
    </w:p>
    <w:p w14:paraId="7A5F7DE5">
      <w:pPr>
        <w:pStyle w:val="223"/>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健侧卧位  lateral decubitus position on the healthy side</w:t>
      </w:r>
    </w:p>
    <w:p w14:paraId="3C6DB560">
      <w:pPr>
        <w:pStyle w:val="56"/>
        <w:ind w:firstLine="420"/>
      </w:pPr>
      <w:r>
        <w:rPr>
          <w:rFonts w:hint="eastAsia"/>
        </w:rPr>
        <w:t>让患者朝向身体功能正常一侧（健侧）侧卧的体位，是偏瘫患者常用的基础护理体位之一。</w:t>
      </w:r>
    </w:p>
    <w:p w14:paraId="57D3EF07">
      <w:pPr>
        <w:pStyle w:val="223"/>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 xml:space="preserve">患侧卧位  </w:t>
      </w:r>
      <w:r>
        <w:rPr>
          <w:rFonts w:ascii="黑体" w:hAnsi="黑体" w:eastAsia="黑体"/>
        </w:rPr>
        <w:t xml:space="preserve">lateral decubitus position on the </w:t>
      </w:r>
      <w:r>
        <w:rPr>
          <w:rFonts w:hint="eastAsia" w:ascii="黑体" w:hAnsi="黑体" w:eastAsia="黑体"/>
        </w:rPr>
        <w:t>affected</w:t>
      </w:r>
      <w:r>
        <w:rPr>
          <w:rFonts w:ascii="黑体" w:hAnsi="黑体" w:eastAsia="黑体"/>
        </w:rPr>
        <w:t xml:space="preserve"> side</w:t>
      </w:r>
    </w:p>
    <w:p w14:paraId="7885C07F">
      <w:pPr>
        <w:pStyle w:val="56"/>
        <w:ind w:firstLine="420"/>
      </w:pPr>
      <w:r>
        <w:rPr>
          <w:rFonts w:hint="eastAsia"/>
        </w:rPr>
        <w:t>让患者朝向身体功能障碍一侧（患侧）侧卧的体位，需在护理员指导与协助下完成。</w:t>
      </w:r>
    </w:p>
    <w:p w14:paraId="3E36C9FD">
      <w:pPr>
        <w:pStyle w:val="104"/>
        <w:spacing w:before="240" w:after="240"/>
      </w:pPr>
      <w:r>
        <w:rPr>
          <w:rFonts w:hint="eastAsia"/>
        </w:rPr>
        <w:t>评估</w:t>
      </w:r>
    </w:p>
    <w:p w14:paraId="56EFC082">
      <w:pPr>
        <w:pStyle w:val="162"/>
      </w:pPr>
      <w:r>
        <w:rPr>
          <w:rFonts w:hint="eastAsia"/>
        </w:rPr>
        <w:t>评估患者的精神状态、理解能力、进食时间、偏瘫肢体及肢体活动度、皮肤情况、有无导管、翻身需求等。</w:t>
      </w:r>
    </w:p>
    <w:p w14:paraId="46B90DA6">
      <w:pPr>
        <w:pStyle w:val="162"/>
      </w:pPr>
      <w:r>
        <w:rPr>
          <w:rFonts w:hint="eastAsia"/>
        </w:rPr>
        <w:t>评估床的制动情况。</w:t>
      </w:r>
    </w:p>
    <w:p w14:paraId="444D6BA7">
      <w:pPr>
        <w:pStyle w:val="104"/>
        <w:spacing w:before="240" w:after="240"/>
      </w:pPr>
      <w:r>
        <w:rPr>
          <w:rFonts w:hint="eastAsia"/>
        </w:rPr>
        <w:t>操作前准备</w:t>
      </w:r>
    </w:p>
    <w:p w14:paraId="6927B10B">
      <w:pPr>
        <w:pStyle w:val="105"/>
        <w:spacing w:before="120" w:after="120"/>
      </w:pPr>
      <w:bookmarkStart w:id="42" w:name="_Toc1794286249"/>
      <w:r>
        <w:rPr>
          <w:rFonts w:hint="eastAsia"/>
        </w:rPr>
        <w:t>用物准备</w:t>
      </w:r>
      <w:bookmarkEnd w:id="42"/>
    </w:p>
    <w:p w14:paraId="32BFE8DC">
      <w:pPr>
        <w:pStyle w:val="56"/>
        <w:ind w:firstLine="420"/>
      </w:pPr>
      <w:r>
        <w:rPr>
          <w:rFonts w:hint="eastAsia"/>
        </w:rPr>
        <w:t>主要包括楔形垫、软枕大中小型号各1</w:t>
      </w:r>
      <w:r>
        <w:rPr>
          <w:rFonts w:hint="eastAsia" w:hAnsi="宋体"/>
        </w:rPr>
        <w:t>～</w:t>
      </w:r>
      <w:r>
        <w:rPr>
          <w:rFonts w:hint="eastAsia"/>
        </w:rPr>
        <w:t>3个。</w:t>
      </w:r>
    </w:p>
    <w:p w14:paraId="07550F0D">
      <w:pPr>
        <w:pStyle w:val="105"/>
        <w:spacing w:before="120" w:after="120" w:line="278" w:lineRule="auto"/>
      </w:pPr>
      <w:bookmarkStart w:id="43" w:name="_Toc2066572895"/>
      <w:r>
        <w:rPr>
          <w:rFonts w:hint="eastAsia"/>
        </w:rPr>
        <w:t>医疗护理员准备</w:t>
      </w:r>
      <w:bookmarkEnd w:id="43"/>
    </w:p>
    <w:p w14:paraId="652F1201">
      <w:pPr>
        <w:pStyle w:val="56"/>
        <w:ind w:firstLine="420"/>
      </w:pPr>
      <w:r>
        <w:rPr>
          <w:rFonts w:hint="eastAsia"/>
        </w:rPr>
        <w:t>手卫生应符合WS/T 313。</w:t>
      </w:r>
    </w:p>
    <w:p w14:paraId="59D2979D">
      <w:pPr>
        <w:pStyle w:val="104"/>
        <w:spacing w:before="240" w:after="240"/>
      </w:pPr>
      <w:bookmarkStart w:id="44" w:name="_Toc361098978"/>
      <w:r>
        <w:rPr>
          <w:rFonts w:hint="eastAsia"/>
        </w:rPr>
        <w:t>操作方法</w:t>
      </w:r>
      <w:bookmarkEnd w:id="44"/>
    </w:p>
    <w:p w14:paraId="7F0F4769">
      <w:pPr>
        <w:pStyle w:val="105"/>
        <w:spacing w:before="120" w:after="120"/>
      </w:pPr>
      <w:bookmarkStart w:id="45" w:name="_Toc367947879"/>
      <w:r>
        <w:rPr>
          <w:rFonts w:hint="eastAsia"/>
        </w:rPr>
        <w:t>翻身取仰卧位</w:t>
      </w:r>
    </w:p>
    <w:p w14:paraId="08337E22">
      <w:pPr>
        <w:pStyle w:val="65"/>
        <w:spacing w:before="120" w:after="120"/>
      </w:pPr>
      <w:r>
        <w:rPr>
          <w:rFonts w:hint="eastAsia"/>
        </w:rPr>
        <w:t>从健侧卧位翻身至仰卧位</w:t>
      </w:r>
    </w:p>
    <w:p w14:paraId="3A7AA2E9">
      <w:pPr>
        <w:pStyle w:val="56"/>
        <w:ind w:firstLine="420"/>
        <w:rPr>
          <w:b/>
          <w:bCs/>
          <w:color w:val="0000FF"/>
        </w:rPr>
      </w:pPr>
      <w:r>
        <w:rPr>
          <w:rFonts w:hint="eastAsia"/>
        </w:rPr>
        <w:t>操作方法如下：</w:t>
      </w:r>
      <w:r>
        <w:rPr>
          <w:b/>
          <w:bCs/>
          <w:color w:val="0000FF"/>
        </w:rPr>
        <w:t xml:space="preserve"> </w:t>
      </w:r>
    </w:p>
    <w:p w14:paraId="0DC8A634">
      <w:pPr>
        <w:pStyle w:val="174"/>
      </w:pPr>
      <w:r>
        <w:rPr>
          <w:rFonts w:hint="eastAsia"/>
        </w:rPr>
        <w:t>站于患者患侧；</w:t>
      </w:r>
    </w:p>
    <w:p w14:paraId="659CDF65">
      <w:pPr>
        <w:pStyle w:val="174"/>
      </w:pPr>
      <w:r>
        <w:rPr>
          <w:rFonts w:hint="eastAsia"/>
        </w:rPr>
        <w:t>协助患者将患侧上肢交叉放于胸前，取出腰背部及下肢垫枕，健侧腿屈膝，脚平放于床面；</w:t>
      </w:r>
    </w:p>
    <w:p w14:paraId="4E3322F9">
      <w:pPr>
        <w:pStyle w:val="174"/>
      </w:pPr>
      <w:r>
        <w:rPr>
          <w:rFonts w:hint="eastAsia"/>
        </w:rPr>
        <w:t>一手扶住患侧肩部，另一手托住患侧髋部，缓慢将患者身体转向患侧方调整为仰卧位，同时引导患者头部随身体转动；</w:t>
      </w:r>
    </w:p>
    <w:p w14:paraId="1AD178E9">
      <w:pPr>
        <w:pStyle w:val="174"/>
      </w:pPr>
      <w:r>
        <w:rPr>
          <w:rFonts w:hint="eastAsia"/>
        </w:rPr>
        <w:t>患侧肩胛和上肢下垫一长枕，上臂旋后，肘与腕均伸直，掌心向上，手指伸展位，整个上肢平放于枕上；患侧髋下、臀部、大腿外侧放垫枕；膝下稍垫起,保持伸展微屈，见图A.1。</w:t>
      </w:r>
    </w:p>
    <w:p w14:paraId="71183CF0">
      <w:pPr>
        <w:pStyle w:val="65"/>
        <w:spacing w:before="120" w:after="120"/>
      </w:pPr>
      <w:r>
        <w:rPr>
          <w:rFonts w:hint="eastAsia"/>
        </w:rPr>
        <w:t>从患侧卧位翻身至仰卧位</w:t>
      </w:r>
    </w:p>
    <w:p w14:paraId="49E6A92A">
      <w:pPr>
        <w:pStyle w:val="56"/>
        <w:ind w:firstLine="420"/>
      </w:pPr>
      <w:r>
        <w:rPr>
          <w:rFonts w:hint="eastAsia"/>
        </w:rPr>
        <w:t>操作方法如下：</w:t>
      </w:r>
    </w:p>
    <w:p w14:paraId="30F49257">
      <w:pPr>
        <w:pStyle w:val="174"/>
        <w:numPr>
          <w:ilvl w:val="0"/>
          <w:numId w:val="32"/>
        </w:numPr>
      </w:pPr>
      <w:r>
        <w:rPr>
          <w:rFonts w:hint="eastAsia"/>
        </w:rPr>
        <w:t>站于患者患侧；</w:t>
      </w:r>
    </w:p>
    <w:p w14:paraId="319EE487">
      <w:pPr>
        <w:pStyle w:val="174"/>
      </w:pPr>
      <w:r>
        <w:rPr>
          <w:rFonts w:hint="eastAsia"/>
        </w:rPr>
        <w:t>取出腰背部及下肢垫枕；</w:t>
      </w:r>
    </w:p>
    <w:p w14:paraId="37B1EF7A">
      <w:pPr>
        <w:pStyle w:val="174"/>
      </w:pPr>
      <w:r>
        <w:rPr>
          <w:rFonts w:hint="eastAsia"/>
        </w:rPr>
        <w:t>一手扶住患者健侧肩部，另一手托住健侧髋部缓慢将患者身体转向健侧方调整为仰卧位，同时引导患者头部随身体转动；</w:t>
      </w:r>
    </w:p>
    <w:p w14:paraId="403CEC65">
      <w:pPr>
        <w:pStyle w:val="174"/>
      </w:pPr>
      <w:r>
        <w:rPr>
          <w:rFonts w:hint="eastAsia"/>
        </w:rPr>
        <w:t>同6.1.1 d)。</w:t>
      </w:r>
    </w:p>
    <w:p w14:paraId="7C45A6B2">
      <w:pPr>
        <w:pStyle w:val="105"/>
        <w:spacing w:before="120" w:after="120"/>
      </w:pPr>
      <w:r>
        <w:rPr>
          <w:rFonts w:hint="eastAsia"/>
        </w:rPr>
        <w:t>翻身取健侧卧位</w:t>
      </w:r>
      <w:bookmarkEnd w:id="45"/>
    </w:p>
    <w:p w14:paraId="1718E9DC">
      <w:pPr>
        <w:pStyle w:val="56"/>
        <w:ind w:firstLine="420"/>
      </w:pPr>
      <w:r>
        <w:rPr>
          <w:rFonts w:hint="eastAsia"/>
        </w:rPr>
        <w:t>操作方法如下：</w:t>
      </w:r>
    </w:p>
    <w:p w14:paraId="31D065AE">
      <w:pPr>
        <w:pStyle w:val="174"/>
        <w:numPr>
          <w:ilvl w:val="0"/>
          <w:numId w:val="33"/>
        </w:numPr>
      </w:pPr>
      <w:r>
        <w:rPr>
          <w:rFonts w:hint="eastAsia"/>
        </w:rPr>
        <w:t>固定病床，根据病情调节床高度，拉上对侧床栏，如有导管应妥善固定，操作者站于近侧床栏，移枕、松被，协助患者取仰卧位；</w:t>
      </w:r>
      <w:r>
        <w:t xml:space="preserve"> </w:t>
      </w:r>
    </w:p>
    <w:p w14:paraId="22D98600">
      <w:pPr>
        <w:pStyle w:val="174"/>
      </w:pPr>
      <w:r>
        <w:rPr>
          <w:rFonts w:hint="eastAsia"/>
        </w:rPr>
        <w:t>指导患者健侧下肢屈髋屈膝，用健足从患侧腘窝处（见图B.1）插入并沿患侧小腿下滑至患侧踝关节（见图B.2），借助健侧力量移动患侧下肢到患侧床沿（见图B.3），健手屈肘撑于床面，协助患者抬起骨盆、肩胛，移动臀部及头部到患侧床沿（见图B.4）；</w:t>
      </w:r>
    </w:p>
    <w:p w14:paraId="0DF673E9">
      <w:pPr>
        <w:pStyle w:val="174"/>
      </w:pPr>
      <w:r>
        <w:rPr>
          <w:rFonts w:hint="eastAsia"/>
        </w:rPr>
        <w:t>健侧腿屈膝，脚平放于床面，协助患者十指交叉相握，患侧拇指在上，借助健侧手臂力量使双上肢前伸80°</w:t>
      </w:r>
      <w:r>
        <w:rPr>
          <w:rFonts w:hint="eastAsia" w:hAnsi="宋体"/>
        </w:rPr>
        <w:t>～</w:t>
      </w:r>
      <w:r>
        <w:rPr>
          <w:rFonts w:hint="eastAsia"/>
        </w:rPr>
        <w:t>90°，头转向健侧方（见图B.5）；</w:t>
      </w:r>
    </w:p>
    <w:p w14:paraId="42C9772E">
      <w:pPr>
        <w:pStyle w:val="174"/>
      </w:pPr>
      <w:r>
        <w:rPr>
          <w:rFonts w:hint="eastAsia"/>
        </w:rPr>
        <w:t>用健侧上肢的力量借助惯性作用，带动患侧上肢来回摆动2～3次后，借助双上肢摆动的惯性翻身至健侧（见图B.6）；</w:t>
      </w:r>
    </w:p>
    <w:p w14:paraId="45EDE8C4">
      <w:pPr>
        <w:pStyle w:val="174"/>
      </w:pPr>
      <w:r>
        <w:rPr>
          <w:rFonts w:hint="eastAsia"/>
        </w:rPr>
        <w:t>查看患者皮肤；</w:t>
      </w:r>
    </w:p>
    <w:p w14:paraId="530784DD">
      <w:pPr>
        <w:pStyle w:val="174"/>
      </w:pPr>
      <w:r>
        <w:rPr>
          <w:rFonts w:hint="eastAsia"/>
        </w:rPr>
        <w:t>背后用楔形垫枕支撑，患侧上肢伸展，掌心向下，下垫1个大软枕，患侧下肢微屈，垫1</w:t>
      </w:r>
      <w:r>
        <w:rPr>
          <w:rFonts w:hint="eastAsia" w:hAnsi="宋体"/>
        </w:rPr>
        <w:t>～</w:t>
      </w:r>
      <w:r>
        <w:rPr>
          <w:rFonts w:hint="eastAsia"/>
        </w:rPr>
        <w:t>2个软枕，患侧足踝关节不应悬空（见图B.7）。</w:t>
      </w:r>
    </w:p>
    <w:p w14:paraId="6280EE12">
      <w:pPr>
        <w:pStyle w:val="105"/>
        <w:spacing w:before="120" w:after="120"/>
        <w:rPr>
          <w:color w:val="0000FF"/>
        </w:rPr>
      </w:pPr>
      <w:r>
        <w:rPr>
          <w:rFonts w:hint="eastAsia"/>
        </w:rPr>
        <w:t>翻身取患侧卧位</w:t>
      </w:r>
    </w:p>
    <w:p w14:paraId="073A15F0">
      <w:pPr>
        <w:pStyle w:val="56"/>
        <w:ind w:firstLine="420"/>
      </w:pPr>
      <w:r>
        <w:rPr>
          <w:rFonts w:hint="eastAsia"/>
        </w:rPr>
        <w:t>操作方法如下：</w:t>
      </w:r>
    </w:p>
    <w:p w14:paraId="5A685328">
      <w:pPr>
        <w:pStyle w:val="174"/>
        <w:numPr>
          <w:ilvl w:val="0"/>
          <w:numId w:val="34"/>
        </w:numPr>
      </w:pPr>
      <w:r>
        <w:rPr>
          <w:rFonts w:hint="eastAsia"/>
        </w:rPr>
        <w:t>同6.2 a）；</w:t>
      </w:r>
    </w:p>
    <w:p w14:paraId="6F4AFD7F">
      <w:pPr>
        <w:pStyle w:val="174"/>
      </w:pPr>
      <w:r>
        <w:rPr>
          <w:rFonts w:hint="eastAsia"/>
        </w:rPr>
        <w:t>协助患侧上肢放于胸前，健侧下肢屈髋屈膝，用健足从患侧腘窝处插入并沿患侧小腿下滑至患侧踝关节，借助健侧力量移动患侧下肢到健侧床沿，健手屈肘撑于床面，协助患者抬起骨盆、肩胛，移动臀部及头部到健侧床沿；</w:t>
      </w:r>
    </w:p>
    <w:p w14:paraId="2AEBD46B">
      <w:pPr>
        <w:pStyle w:val="174"/>
      </w:pPr>
      <w:r>
        <w:rPr>
          <w:rFonts w:hint="eastAsia"/>
        </w:rPr>
        <w:t>健侧腿屈膝，脚平放于床面，协助患者十指交叉相握，患侧拇指在上，借助健侧手臂力量使双上肢前伸80°～90°，头转向患侧方；</w:t>
      </w:r>
    </w:p>
    <w:p w14:paraId="3440DA46">
      <w:pPr>
        <w:pStyle w:val="174"/>
      </w:pPr>
      <w:r>
        <w:rPr>
          <w:rFonts w:hint="eastAsia"/>
        </w:rPr>
        <w:t>用健侧上肢的力量借助惯性作用，带动患侧上肢来回摆动2～3次后，借助双上肢摆动的惯性翻身至患侧；</w:t>
      </w:r>
    </w:p>
    <w:p w14:paraId="37027B42">
      <w:pPr>
        <w:pStyle w:val="174"/>
      </w:pPr>
      <w:r>
        <w:rPr>
          <w:rFonts w:hint="eastAsia"/>
        </w:rPr>
        <w:t>查看患者皮肤；</w:t>
      </w:r>
    </w:p>
    <w:p w14:paraId="753F65EB">
      <w:pPr>
        <w:pStyle w:val="174"/>
      </w:pPr>
      <w:r>
        <w:rPr>
          <w:rFonts w:hint="eastAsia"/>
        </w:rPr>
        <w:t>整理头部垫枕，背后垫楔形枕1～2个，使躯干稍后靠侧卧；</w:t>
      </w:r>
    </w:p>
    <w:p w14:paraId="1C35EB80">
      <w:pPr>
        <w:pStyle w:val="174"/>
      </w:pPr>
      <w:r>
        <w:rPr>
          <w:rFonts w:hint="eastAsia"/>
        </w:rPr>
        <w:t>患臂外展向前伸，掌心向上，轻托出患肩向前伸展，肘与腕均伸直；</w:t>
      </w:r>
    </w:p>
    <w:p w14:paraId="5B983C2E">
      <w:pPr>
        <w:pStyle w:val="174"/>
      </w:pPr>
      <w:r>
        <w:rPr>
          <w:rFonts w:hint="eastAsia"/>
        </w:rPr>
        <w:t>患侧下肢轻度屈曲位放于床上，健腿屈髋屈膝向前放于大软枕上；</w:t>
      </w:r>
    </w:p>
    <w:p w14:paraId="7A4990C4">
      <w:pPr>
        <w:pStyle w:val="174"/>
      </w:pPr>
      <w:r>
        <w:rPr>
          <w:rFonts w:hint="eastAsia"/>
        </w:rPr>
        <w:t>健侧上肢放松，自由放在胸前的枕上或躯干舒适的位置（见图C.1）。</w:t>
      </w:r>
    </w:p>
    <w:p w14:paraId="7343AA28">
      <w:pPr>
        <w:pStyle w:val="104"/>
        <w:spacing w:before="240" w:after="240"/>
      </w:pPr>
      <w:bookmarkStart w:id="46" w:name="_Toc836904421"/>
      <w:r>
        <w:rPr>
          <w:rFonts w:hint="eastAsia"/>
        </w:rPr>
        <w:t>注意事项</w:t>
      </w:r>
      <w:bookmarkEnd w:id="46"/>
    </w:p>
    <w:p w14:paraId="05E3C396">
      <w:pPr>
        <w:pStyle w:val="162"/>
      </w:pPr>
      <w:r>
        <w:rPr>
          <w:rFonts w:hint="eastAsia"/>
        </w:rPr>
        <w:t>同一卧位不应保持超过2</w:t>
      </w:r>
      <w:r>
        <w:rPr>
          <w:rFonts w:hint="eastAsia"/>
          <w:vertAlign w:val="superscript"/>
        </w:rPr>
        <w:t xml:space="preserve"> </w:t>
      </w:r>
      <w:r>
        <w:rPr>
          <w:rFonts w:hint="eastAsia"/>
        </w:rPr>
        <w:t>h。</w:t>
      </w:r>
    </w:p>
    <w:p w14:paraId="0DD2F922">
      <w:pPr>
        <w:pStyle w:val="162"/>
      </w:pPr>
      <w:r>
        <w:rPr>
          <w:rFonts w:hint="eastAsia"/>
        </w:rPr>
        <w:t>不宜在进食后半小时内翻身。</w:t>
      </w:r>
    </w:p>
    <w:p w14:paraId="71AC4432">
      <w:pPr>
        <w:pStyle w:val="162"/>
      </w:pPr>
      <w:r>
        <w:rPr>
          <w:rFonts w:hint="eastAsia"/>
        </w:rPr>
        <w:t>翻身前应确认床边有足够的空间翻身。</w:t>
      </w:r>
    </w:p>
    <w:p w14:paraId="78C130DD">
      <w:pPr>
        <w:pStyle w:val="162"/>
      </w:pPr>
      <w:r>
        <w:rPr>
          <w:rFonts w:hint="eastAsia"/>
        </w:rPr>
        <w:t>翻身动作应轻柔，不应拖、拉、拽患侧肢体。</w:t>
      </w:r>
    </w:p>
    <w:p w14:paraId="267C947C">
      <w:pPr>
        <w:pStyle w:val="162"/>
      </w:pPr>
      <w:r>
        <w:rPr>
          <w:rFonts w:hint="eastAsia"/>
        </w:rPr>
        <w:t>翻身过程中，检查患者皮肤情况，如有异常，应及时报告医务人员。</w:t>
      </w:r>
    </w:p>
    <w:p w14:paraId="145918D0">
      <w:pPr>
        <w:pStyle w:val="162"/>
      </w:pPr>
      <w:r>
        <w:rPr>
          <w:rFonts w:hint="eastAsia"/>
        </w:rPr>
        <w:t>翻身后，如有导管应检查导管通畅情况。</w:t>
      </w:r>
    </w:p>
    <w:p w14:paraId="3919AD25">
      <w:pPr>
        <w:pStyle w:val="56"/>
        <w:ind w:firstLine="420"/>
      </w:pPr>
    </w:p>
    <w:p w14:paraId="29142628">
      <w:pPr>
        <w:pStyle w:val="56"/>
        <w:ind w:firstLine="420"/>
      </w:pPr>
    </w:p>
    <w:p w14:paraId="05088B7A">
      <w:pPr>
        <w:pStyle w:val="56"/>
        <w:ind w:firstLine="420"/>
      </w:pPr>
    </w:p>
    <w:p w14:paraId="33DB6A9D">
      <w:pPr>
        <w:pStyle w:val="56"/>
        <w:ind w:firstLine="420"/>
      </w:pPr>
    </w:p>
    <w:p w14:paraId="6081C48E">
      <w:pPr>
        <w:pStyle w:val="56"/>
        <w:ind w:firstLine="420"/>
        <w:sectPr>
          <w:pgSz w:w="11906" w:h="16838"/>
          <w:pgMar w:top="1928" w:right="1134" w:bottom="1134" w:left="1134" w:header="1418" w:footer="1134" w:gutter="284"/>
          <w:pgNumType w:start="1"/>
          <w:cols w:space="425" w:num="1"/>
          <w:formProt w:val="0"/>
          <w:docGrid w:linePitch="312" w:charSpace="0"/>
        </w:sectPr>
      </w:pPr>
    </w:p>
    <w:bookmarkEnd w:id="20"/>
    <w:p w14:paraId="28E5A4AD">
      <w:pPr>
        <w:pStyle w:val="198"/>
        <w:rPr>
          <w:vanish w:val="0"/>
        </w:rPr>
      </w:pPr>
      <w:bookmarkStart w:id="47" w:name="BookMark5"/>
    </w:p>
    <w:p w14:paraId="5125AA26">
      <w:pPr>
        <w:pStyle w:val="199"/>
        <w:rPr>
          <w:vanish w:val="0"/>
        </w:rPr>
      </w:pPr>
    </w:p>
    <w:p w14:paraId="704DE03D">
      <w:pPr>
        <w:pStyle w:val="76"/>
        <w:spacing w:after="120"/>
      </w:pPr>
      <w:r>
        <w:br w:type="textWrapping"/>
      </w:r>
      <w:r>
        <w:rPr>
          <w:rFonts w:hint="eastAsia"/>
        </w:rPr>
        <w:t>（资料性）</w:t>
      </w:r>
      <w:r>
        <w:br w:type="textWrapping"/>
      </w:r>
      <w:r>
        <w:rPr>
          <w:rFonts w:hint="eastAsia"/>
        </w:rPr>
        <w:t>仰卧位示意图</w:t>
      </w:r>
    </w:p>
    <w:p w14:paraId="15C80C59">
      <w:pPr>
        <w:pStyle w:val="56"/>
        <w:ind w:firstLine="420"/>
        <w:rPr>
          <w:rFonts w:hint="eastAsia"/>
        </w:rPr>
      </w:pPr>
      <w:r>
        <w:rPr>
          <w:rFonts w:hint="eastAsia"/>
        </w:rPr>
        <w:t>仰卧位示意图见图A.1。</w:t>
      </w:r>
    </w:p>
    <w:p w14:paraId="4A8022D8">
      <w:pPr>
        <w:pStyle w:val="56"/>
        <w:ind w:firstLine="420"/>
        <w:jc w:val="center"/>
      </w:pPr>
      <w:r>
        <w:drawing>
          <wp:inline distT="0" distB="0" distL="0" distR="0">
            <wp:extent cx="4396105" cy="5864860"/>
            <wp:effectExtent l="0" t="0" r="10795" b="2540"/>
            <wp:docPr id="12245739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573919" name="图片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398182" cy="5868004"/>
                    </a:xfrm>
                    <a:prstGeom prst="rect">
                      <a:avLst/>
                    </a:prstGeom>
                    <a:noFill/>
                    <a:ln>
                      <a:noFill/>
                    </a:ln>
                  </pic:spPr>
                </pic:pic>
              </a:graphicData>
            </a:graphic>
          </wp:inline>
        </w:drawing>
      </w:r>
    </w:p>
    <w:p w14:paraId="1E018FCD">
      <w:pPr>
        <w:pStyle w:val="83"/>
        <w:spacing w:before="120" w:after="120"/>
      </w:pPr>
      <w:r>
        <w:rPr>
          <w:rFonts w:hint="eastAsia"/>
        </w:rPr>
        <w:t>仰卧位</w:t>
      </w:r>
    </w:p>
    <w:p w14:paraId="06B8CD57">
      <w:pPr>
        <w:widowControl/>
        <w:adjustRightInd/>
        <w:spacing w:line="240" w:lineRule="auto"/>
        <w:jc w:val="left"/>
        <w:rPr>
          <w:rFonts w:hint="eastAsia" w:ascii="宋体" w:hAnsi="Times New Roman"/>
          <w:kern w:val="0"/>
          <w:szCs w:val="20"/>
        </w:rPr>
        <w:sectPr>
          <w:pgSz w:w="11906" w:h="16838"/>
          <w:pgMar w:top="1928" w:right="1134" w:bottom="1134" w:left="1134" w:header="1418" w:footer="1134" w:gutter="284"/>
          <w:cols w:space="425" w:num="1"/>
          <w:formProt w:val="0"/>
          <w:docGrid w:linePitch="312" w:charSpace="0"/>
        </w:sectPr>
      </w:pPr>
    </w:p>
    <w:p w14:paraId="22820BA9">
      <w:pPr>
        <w:pStyle w:val="198"/>
      </w:pPr>
      <w:r>
        <w:br w:type="page"/>
      </w:r>
    </w:p>
    <w:p w14:paraId="259B3AAA">
      <w:pPr>
        <w:pStyle w:val="198"/>
        <w:rPr>
          <w:rFonts w:hint="eastAsia"/>
        </w:rPr>
      </w:pPr>
      <w:r>
        <w:rPr>
          <w:rFonts w:hint="eastAsia"/>
        </w:rPr>
        <w:t>参考文献</w:t>
      </w:r>
    </w:p>
    <w:p w14:paraId="1281A4CF">
      <w:pPr>
        <w:pStyle w:val="198"/>
        <w:rPr>
          <w:vanish w:val="0"/>
        </w:rPr>
      </w:pPr>
    </w:p>
    <w:p w14:paraId="538A4677">
      <w:pPr>
        <w:pStyle w:val="76"/>
        <w:spacing w:after="120"/>
        <w:rPr>
          <w:rFonts w:hint="eastAsia"/>
        </w:rPr>
      </w:pPr>
      <w:r>
        <w:br w:type="textWrapping"/>
      </w:r>
      <w:r>
        <w:rPr>
          <w:rFonts w:hint="eastAsia"/>
        </w:rPr>
        <w:t>（资料性）</w:t>
      </w:r>
      <w:r>
        <w:br w:type="textWrapping"/>
      </w:r>
      <w:r>
        <w:rPr>
          <w:rFonts w:hint="eastAsia"/>
        </w:rPr>
        <w:t>翻身到健侧卧位</w:t>
      </w:r>
    </w:p>
    <w:tbl>
      <w:tblPr>
        <w:tblStyle w:val="2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673"/>
        <w:gridCol w:w="4671"/>
      </w:tblGrid>
      <w:tr w14:paraId="44B648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3" w:type="dxa"/>
          </w:tcPr>
          <w:p w14:paraId="4BBAFBA0">
            <w:pPr>
              <w:pStyle w:val="83"/>
              <w:numPr>
                <w:ilvl w:val="0"/>
                <w:numId w:val="0"/>
              </w:numPr>
              <w:spacing w:before="120" w:after="120"/>
              <w:jc w:val="both"/>
            </w:pPr>
            <w:r>
              <w:drawing>
                <wp:inline distT="0" distB="0" distL="0" distR="0">
                  <wp:extent cx="2790825" cy="2091690"/>
                  <wp:effectExtent l="0" t="0" r="0" b="3810"/>
                  <wp:docPr id="11615773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577350" name="图片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96292" cy="2095874"/>
                          </a:xfrm>
                          <a:prstGeom prst="rect">
                            <a:avLst/>
                          </a:prstGeom>
                          <a:noFill/>
                          <a:ln>
                            <a:noFill/>
                          </a:ln>
                        </pic:spPr>
                      </pic:pic>
                    </a:graphicData>
                  </a:graphic>
                </wp:inline>
              </w:drawing>
            </w:r>
          </w:p>
          <w:p w14:paraId="5F5416D2">
            <w:pPr>
              <w:pStyle w:val="83"/>
              <w:numPr>
                <w:ilvl w:val="0"/>
                <w:numId w:val="0"/>
              </w:numPr>
              <w:spacing w:before="120" w:after="120"/>
              <w:rPr>
                <w:rFonts w:hint="eastAsia"/>
              </w:rPr>
            </w:pPr>
            <w:r>
              <w:rPr>
                <w:rFonts w:hint="eastAsia"/>
              </w:rPr>
              <w:t>图B.1指导患者健侧下肢屈髋屈膝，用健足从患侧腘窝处</w:t>
            </w:r>
          </w:p>
        </w:tc>
        <w:tc>
          <w:tcPr>
            <w:tcW w:w="4671" w:type="dxa"/>
          </w:tcPr>
          <w:p w14:paraId="37FC4D22">
            <w:pPr>
              <w:pStyle w:val="83"/>
              <w:numPr>
                <w:ilvl w:val="0"/>
                <w:numId w:val="0"/>
              </w:numPr>
              <w:spacing w:before="120" w:after="120"/>
              <w:jc w:val="both"/>
            </w:pPr>
            <w:bookmarkStart w:id="50" w:name="_GoBack"/>
            <w:r>
              <w:drawing>
                <wp:inline distT="0" distB="0" distL="0" distR="0">
                  <wp:extent cx="2781935" cy="2086610"/>
                  <wp:effectExtent l="0" t="0" r="0" b="8890"/>
                  <wp:docPr id="201757856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578563" name="图片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08810" cy="2106757"/>
                          </a:xfrm>
                          <a:prstGeom prst="rect">
                            <a:avLst/>
                          </a:prstGeom>
                          <a:noFill/>
                          <a:ln>
                            <a:noFill/>
                          </a:ln>
                        </pic:spPr>
                      </pic:pic>
                    </a:graphicData>
                  </a:graphic>
                </wp:inline>
              </w:drawing>
            </w:r>
            <w:bookmarkEnd w:id="50"/>
          </w:p>
          <w:p w14:paraId="6527D8D5">
            <w:pPr>
              <w:pStyle w:val="56"/>
              <w:ind w:firstLine="420"/>
              <w:rPr>
                <w:rFonts w:hint="eastAsia" w:ascii="黑体" w:eastAsia="黑体"/>
              </w:rPr>
            </w:pPr>
            <w:r>
              <w:rPr>
                <w:rFonts w:hint="eastAsia" w:ascii="黑体" w:eastAsia="黑体"/>
              </w:rPr>
              <w:t>图B.2 插入并沿患侧小腿下滑至患侧踝关节</w:t>
            </w:r>
          </w:p>
        </w:tc>
      </w:tr>
      <w:tr w14:paraId="6D6FA9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3" w:type="dxa"/>
          </w:tcPr>
          <w:p w14:paraId="1FFB0C23">
            <w:pPr>
              <w:pStyle w:val="83"/>
              <w:numPr>
                <w:ilvl w:val="0"/>
                <w:numId w:val="0"/>
              </w:numPr>
              <w:spacing w:before="120" w:after="120"/>
            </w:pPr>
            <w:r>
              <w:drawing>
                <wp:inline distT="0" distB="0" distL="0" distR="0">
                  <wp:extent cx="2798445" cy="2098675"/>
                  <wp:effectExtent l="0" t="0" r="1905" b="0"/>
                  <wp:docPr id="525328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32820" name="图片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812339" cy="2109404"/>
                          </a:xfrm>
                          <a:prstGeom prst="rect">
                            <a:avLst/>
                          </a:prstGeom>
                          <a:noFill/>
                          <a:ln>
                            <a:noFill/>
                          </a:ln>
                        </pic:spPr>
                      </pic:pic>
                    </a:graphicData>
                  </a:graphic>
                </wp:inline>
              </w:drawing>
            </w:r>
          </w:p>
          <w:p w14:paraId="7D0D59E0">
            <w:pPr>
              <w:pStyle w:val="56"/>
              <w:ind w:firstLine="210" w:firstLineChars="100"/>
              <w:jc w:val="center"/>
              <w:rPr>
                <w:rFonts w:hint="eastAsia" w:ascii="黑体" w:eastAsia="黑体"/>
              </w:rPr>
            </w:pPr>
            <w:r>
              <w:rPr>
                <w:rFonts w:hint="eastAsia" w:ascii="黑体" w:eastAsia="黑体"/>
              </w:rPr>
              <w:t>图B.3 借助健侧力量移动患侧下肢到患侧床沿</w:t>
            </w:r>
          </w:p>
        </w:tc>
        <w:tc>
          <w:tcPr>
            <w:tcW w:w="4671" w:type="dxa"/>
          </w:tcPr>
          <w:p w14:paraId="043DEB4D">
            <w:pPr>
              <w:pStyle w:val="83"/>
              <w:numPr>
                <w:ilvl w:val="0"/>
                <w:numId w:val="0"/>
              </w:numPr>
              <w:spacing w:before="120" w:after="120"/>
            </w:pPr>
            <w:r>
              <w:drawing>
                <wp:inline distT="0" distB="0" distL="0" distR="0">
                  <wp:extent cx="2809240" cy="2106930"/>
                  <wp:effectExtent l="0" t="0" r="0" b="7620"/>
                  <wp:docPr id="16535790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579091" name="图片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816367" cy="2112425"/>
                          </a:xfrm>
                          <a:prstGeom prst="rect">
                            <a:avLst/>
                          </a:prstGeom>
                          <a:noFill/>
                          <a:ln>
                            <a:noFill/>
                          </a:ln>
                        </pic:spPr>
                      </pic:pic>
                    </a:graphicData>
                  </a:graphic>
                </wp:inline>
              </w:drawing>
            </w:r>
          </w:p>
          <w:p w14:paraId="5678A570">
            <w:pPr>
              <w:pStyle w:val="56"/>
              <w:ind w:firstLine="0" w:firstLineChars="0"/>
              <w:jc w:val="center"/>
              <w:rPr>
                <w:rFonts w:hint="eastAsia" w:ascii="黑体" w:eastAsia="黑体"/>
              </w:rPr>
            </w:pPr>
            <w:r>
              <w:rPr>
                <w:rFonts w:hint="eastAsia" w:ascii="黑体" w:eastAsia="黑体"/>
              </w:rPr>
              <w:t>图B.4 健手屈肘撑于床面，协助患者抬起骨盆、肩胛，移动臀部及头部到患侧床沿</w:t>
            </w:r>
          </w:p>
        </w:tc>
      </w:tr>
      <w:tr w14:paraId="6B0621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3" w:type="dxa"/>
          </w:tcPr>
          <w:p w14:paraId="6FD6ED0B">
            <w:pPr>
              <w:pStyle w:val="83"/>
              <w:numPr>
                <w:ilvl w:val="0"/>
                <w:numId w:val="0"/>
              </w:numPr>
              <w:spacing w:before="120" w:after="120"/>
              <w:rPr>
                <w:rFonts w:hint="eastAsia"/>
              </w:rPr>
            </w:pPr>
            <w:r>
              <w:drawing>
                <wp:inline distT="0" distB="0" distL="0" distR="0">
                  <wp:extent cx="2774950" cy="2079625"/>
                  <wp:effectExtent l="0" t="0" r="6350" b="0"/>
                  <wp:docPr id="4877414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741413" name="图片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789284" cy="2090622"/>
                          </a:xfrm>
                          <a:prstGeom prst="rect">
                            <a:avLst/>
                          </a:prstGeom>
                          <a:noFill/>
                          <a:ln>
                            <a:noFill/>
                          </a:ln>
                        </pic:spPr>
                      </pic:pic>
                    </a:graphicData>
                  </a:graphic>
                </wp:inline>
              </w:drawing>
            </w:r>
            <w:r>
              <w:rPr>
                <w:rFonts w:hint="eastAsia"/>
              </w:rPr>
              <w:t>图B.5 健侧腿屈膝，脚平放于床面，协助患者十指交叉相握，患侧拇指在上，借助健侧手臂力量使双上肢前伸80°～90°，头转向健侧方</w:t>
            </w:r>
          </w:p>
        </w:tc>
        <w:tc>
          <w:tcPr>
            <w:tcW w:w="4671" w:type="dxa"/>
          </w:tcPr>
          <w:p w14:paraId="2350BA41">
            <w:pPr>
              <w:pStyle w:val="83"/>
              <w:numPr>
                <w:ilvl w:val="0"/>
                <w:numId w:val="0"/>
              </w:numPr>
              <w:spacing w:before="120" w:after="120"/>
              <w:jc w:val="both"/>
              <w:rPr>
                <w:rFonts w:hint="eastAsia"/>
              </w:rPr>
            </w:pPr>
            <w:r>
              <w:drawing>
                <wp:inline distT="0" distB="0" distL="0" distR="0">
                  <wp:extent cx="2814320" cy="2110740"/>
                  <wp:effectExtent l="0" t="0" r="5080" b="3810"/>
                  <wp:docPr id="2097407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40782" name="图片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820593" cy="2115595"/>
                          </a:xfrm>
                          <a:prstGeom prst="rect">
                            <a:avLst/>
                          </a:prstGeom>
                          <a:noFill/>
                          <a:ln>
                            <a:noFill/>
                          </a:ln>
                        </pic:spPr>
                      </pic:pic>
                    </a:graphicData>
                  </a:graphic>
                </wp:inline>
              </w:drawing>
            </w:r>
            <w:r>
              <w:rPr>
                <w:rFonts w:hint="eastAsia"/>
              </w:rPr>
              <w:t>图B.6  用健侧上肢的力量借助惯性作用，带动患侧上肢来回摆动2～3次后，借助双上肢摆动的惯性翻身至健侧</w:t>
            </w:r>
          </w:p>
        </w:tc>
      </w:tr>
      <w:tr w14:paraId="07E2B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3" w:type="dxa"/>
          </w:tcPr>
          <w:p w14:paraId="654BE600">
            <w:pPr>
              <w:pStyle w:val="83"/>
              <w:numPr>
                <w:ilvl w:val="0"/>
                <w:numId w:val="0"/>
              </w:numPr>
              <w:spacing w:before="120" w:after="120"/>
              <w:rPr>
                <w:rFonts w:hint="eastAsia"/>
              </w:rPr>
            </w:pPr>
            <w:r>
              <w:drawing>
                <wp:inline distT="0" distB="0" distL="0" distR="0">
                  <wp:extent cx="2838450" cy="2128520"/>
                  <wp:effectExtent l="0" t="0" r="0" b="5080"/>
                  <wp:docPr id="84316175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161752" name="图片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46906" cy="2135332"/>
                          </a:xfrm>
                          <a:prstGeom prst="rect">
                            <a:avLst/>
                          </a:prstGeom>
                          <a:noFill/>
                          <a:ln>
                            <a:noFill/>
                          </a:ln>
                        </pic:spPr>
                      </pic:pic>
                    </a:graphicData>
                  </a:graphic>
                </wp:inline>
              </w:drawing>
            </w:r>
            <w:r>
              <w:rPr>
                <w:rFonts w:hint="eastAsia"/>
              </w:rPr>
              <w:t>图B.7 背后用楔形垫枕支撑，患侧上肢伸展，掌心向下，下垫1个大软枕，患侧下肢微屈，垫1～2个软枕，患侧足踝关节不应悬空</w:t>
            </w:r>
          </w:p>
        </w:tc>
        <w:tc>
          <w:tcPr>
            <w:tcW w:w="4671" w:type="dxa"/>
          </w:tcPr>
          <w:p w14:paraId="2BC38C1B">
            <w:pPr>
              <w:pStyle w:val="83"/>
              <w:numPr>
                <w:ilvl w:val="0"/>
                <w:numId w:val="0"/>
              </w:numPr>
              <w:spacing w:before="120" w:after="120"/>
            </w:pPr>
          </w:p>
        </w:tc>
      </w:tr>
    </w:tbl>
    <w:p w14:paraId="45FCE26D">
      <w:pPr>
        <w:pStyle w:val="56"/>
        <w:ind w:firstLine="420"/>
      </w:pPr>
    </w:p>
    <w:p w14:paraId="1D516214">
      <w:pPr>
        <w:pStyle w:val="56"/>
        <w:ind w:firstLine="420"/>
        <w:sectPr>
          <w:pgSz w:w="11906" w:h="16838"/>
          <w:pgMar w:top="1928" w:right="1134" w:bottom="1134" w:left="1134" w:header="1418" w:footer="1134" w:gutter="284"/>
          <w:cols w:space="425" w:num="1"/>
          <w:formProt w:val="0"/>
          <w:docGrid w:linePitch="312" w:charSpace="0"/>
        </w:sectPr>
      </w:pPr>
    </w:p>
    <w:p w14:paraId="5BDF4C72">
      <w:pPr>
        <w:pStyle w:val="198"/>
        <w:rPr>
          <w:vanish w:val="0"/>
        </w:rPr>
      </w:pPr>
    </w:p>
    <w:p w14:paraId="22B23BEF">
      <w:pPr>
        <w:pStyle w:val="199"/>
        <w:rPr>
          <w:vanish w:val="0"/>
        </w:rPr>
      </w:pPr>
    </w:p>
    <w:p w14:paraId="047257DA">
      <w:pPr>
        <w:pStyle w:val="76"/>
        <w:spacing w:after="120"/>
      </w:pPr>
      <w:r>
        <w:br w:type="textWrapping"/>
      </w:r>
      <w:r>
        <w:rPr>
          <w:rFonts w:hint="eastAsia"/>
        </w:rPr>
        <w:t>（资料性）</w:t>
      </w:r>
      <w:r>
        <w:br w:type="textWrapping"/>
      </w:r>
      <w:r>
        <w:rPr>
          <w:rFonts w:hint="eastAsia"/>
        </w:rPr>
        <w:t>患侧卧位示意图</w:t>
      </w:r>
    </w:p>
    <w:p w14:paraId="76704694">
      <w:pPr>
        <w:pStyle w:val="56"/>
        <w:ind w:firstLine="420"/>
        <w:rPr>
          <w:rFonts w:hint="eastAsia"/>
        </w:rPr>
      </w:pPr>
      <w:r>
        <w:rPr>
          <w:rFonts w:hint="eastAsia"/>
        </w:rPr>
        <w:t>患侧卧位示意图见图C.1。</w:t>
      </w:r>
    </w:p>
    <w:p w14:paraId="022667BD">
      <w:pPr>
        <w:pStyle w:val="56"/>
        <w:ind w:firstLine="0" w:firstLineChars="0"/>
      </w:pPr>
      <w:r>
        <w:drawing>
          <wp:inline distT="0" distB="0" distL="0" distR="0">
            <wp:extent cx="5939790" cy="4455160"/>
            <wp:effectExtent l="0" t="0" r="3810" b="2540"/>
            <wp:docPr id="13768401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840152" name="图片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939790" cy="4455160"/>
                    </a:xfrm>
                    <a:prstGeom prst="rect">
                      <a:avLst/>
                    </a:prstGeom>
                    <a:noFill/>
                    <a:ln>
                      <a:noFill/>
                    </a:ln>
                  </pic:spPr>
                </pic:pic>
              </a:graphicData>
            </a:graphic>
          </wp:inline>
        </w:drawing>
      </w:r>
    </w:p>
    <w:p w14:paraId="2DAD3911">
      <w:pPr>
        <w:pStyle w:val="83"/>
        <w:numPr>
          <w:ilvl w:val="0"/>
          <w:numId w:val="0"/>
        </w:numPr>
        <w:spacing w:before="120" w:after="120"/>
      </w:pPr>
      <w:r>
        <w:rPr>
          <w:rFonts w:hint="eastAsia"/>
        </w:rPr>
        <w:t>图C.1 患侧卧位示意图</w:t>
      </w:r>
    </w:p>
    <w:p w14:paraId="0F4F8E89">
      <w:pPr>
        <w:pStyle w:val="56"/>
        <w:ind w:firstLine="420"/>
      </w:pPr>
    </w:p>
    <w:p w14:paraId="072CB1F2">
      <w:pPr>
        <w:pStyle w:val="56"/>
        <w:ind w:firstLine="420"/>
      </w:pPr>
    </w:p>
    <w:p w14:paraId="742FCB66">
      <w:pPr>
        <w:pStyle w:val="56"/>
        <w:ind w:firstLine="420"/>
      </w:pPr>
    </w:p>
    <w:bookmarkEnd w:id="47"/>
    <w:p w14:paraId="49CE2AEA">
      <w:pPr>
        <w:pStyle w:val="56"/>
        <w:ind w:firstLine="420"/>
        <w:sectPr>
          <w:pgSz w:w="11906" w:h="16838"/>
          <w:pgMar w:top="1928" w:right="1134" w:bottom="1134" w:left="1134" w:header="1418" w:footer="1134" w:gutter="284"/>
          <w:cols w:space="425" w:num="1"/>
          <w:formProt w:val="0"/>
          <w:docGrid w:linePitch="312" w:charSpace="0"/>
        </w:sectPr>
      </w:pPr>
      <w:bookmarkStart w:id="48" w:name="BookMark6"/>
    </w:p>
    <w:p w14:paraId="2F2D0F53">
      <w:pPr>
        <w:pStyle w:val="63"/>
        <w:spacing w:after="120"/>
        <w:rPr>
          <w:rFonts w:hint="eastAsia"/>
        </w:rPr>
      </w:pPr>
      <w:r>
        <w:rPr>
          <w:rFonts w:hint="eastAsia"/>
          <w:spacing w:val="105"/>
        </w:rPr>
        <w:t>参考文</w:t>
      </w:r>
      <w:r>
        <w:rPr>
          <w:rFonts w:hint="eastAsia"/>
        </w:rPr>
        <w:t>献</w:t>
      </w:r>
    </w:p>
    <w:p w14:paraId="5D4777E3">
      <w:pPr>
        <w:pStyle w:val="56"/>
        <w:ind w:firstLine="420"/>
        <w:rPr>
          <w:rFonts w:hint="eastAsia"/>
        </w:rPr>
      </w:pPr>
      <w:r>
        <w:rPr>
          <w:rFonts w:hint="eastAsia"/>
        </w:rPr>
        <w:t>[1]  沈建英,计丽燕,涂曼丽,等. Bobath翻身训练在老年脑梗死致偏瘫患者中的应用[J]. 齐鲁护理杂志,2012,18(36):56-57.</w:t>
      </w:r>
    </w:p>
    <w:p w14:paraId="19CF1ABB">
      <w:pPr>
        <w:pStyle w:val="56"/>
        <w:ind w:firstLine="420"/>
        <w:rPr>
          <w:rFonts w:hint="eastAsia"/>
        </w:rPr>
      </w:pPr>
      <w:r>
        <w:rPr>
          <w:rFonts w:hint="eastAsia"/>
        </w:rPr>
        <w:t>[2]  奚铁新. 不同的翻身护理法用于神经内科偏瘫患者预防压疮中的应用效果观察[J]. 实用临床医药杂志,2010,14(22):55-56.</w:t>
      </w:r>
    </w:p>
    <w:p w14:paraId="5B318391">
      <w:pPr>
        <w:pStyle w:val="56"/>
        <w:ind w:firstLine="420"/>
      </w:pPr>
      <w:r>
        <w:rPr>
          <w:rFonts w:hint="eastAsia"/>
        </w:rPr>
        <w:t>[3]  蒋鹏. 翻身训练——偏瘫患者康复的起跑线[J]. 中国社区医师,2012,28(30):27.</w:t>
      </w:r>
    </w:p>
    <w:bookmarkEnd w:id="48"/>
    <w:p w14:paraId="4615D19F">
      <w:pPr>
        <w:pStyle w:val="56"/>
        <w:ind w:firstLine="0" w:firstLineChars="0"/>
        <w:jc w:val="center"/>
      </w:pPr>
      <w:bookmarkStart w:id="49" w:name="BookMark8"/>
      <w:r>
        <w:drawing>
          <wp:inline distT="0" distB="0" distL="0" distR="0">
            <wp:extent cx="1485900" cy="317500"/>
            <wp:effectExtent l="0" t="0" r="0" b="6350"/>
            <wp:docPr id="948266623" name="图片 15"/>
            <wp:cNvGraphicFramePr/>
            <a:graphic xmlns:a="http://schemas.openxmlformats.org/drawingml/2006/main">
              <a:graphicData uri="http://schemas.openxmlformats.org/drawingml/2006/picture">
                <pic:pic xmlns:pic="http://schemas.openxmlformats.org/drawingml/2006/picture">
                  <pic:nvPicPr>
                    <pic:cNvPr id="948266623" name="图片 15"/>
                    <pic:cNvPicPr/>
                  </pic:nvPicPr>
                  <pic:blipFill>
                    <a:blip r:embed="rId26">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9"/>
    </w:p>
    <w:sectPr>
      <w:pgSz w:w="11906" w:h="16838"/>
      <w:pgMar w:top="1928"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CFACEB">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E930F9">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0F6F76">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2C2257">
    <w:pPr>
      <w:pStyle w:val="52"/>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858411">
    <w:pPr>
      <w:pStyle w:val="18"/>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62173F">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C87414">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C56018">
    <w:pPr>
      <w:pStyle w:val="61"/>
      <w:rPr>
        <w:rFonts w:hint="eastAsia"/>
      </w:rPr>
    </w:pPr>
    <w:r>
      <w:fldChar w:fldCharType="begin"/>
    </w:r>
    <w:r>
      <w:instrText xml:space="preserve"> STYLEREF  标准文件_文件编号  \* MERGEFORMAT </w:instrText>
    </w:r>
    <w:r>
      <w:fldChar w:fldCharType="separate"/>
    </w:r>
    <w:r>
      <w:t>T/GXAS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BD0939">
    <w:pPr>
      <w:pStyle w:val="18"/>
      <w:jc w:val="right"/>
    </w:pPr>
    <w:r>
      <w:fldChar w:fldCharType="begin"/>
    </w:r>
    <w:r>
      <w:instrText xml:space="preserve"> STYLEREF  标准文件_文件编号  \* MERGEFORMAT </w:instrText>
    </w:r>
    <w:r>
      <w:fldChar w:fldCharType="separate"/>
    </w:r>
    <w:r>
      <w:t>T/GXAS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46"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attachedTemplate r:id="rId1"/>
  <w:documentProtection w:edit="forms"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16F7"/>
    <w:rsid w:val="00000265"/>
    <w:rsid w:val="0000040A"/>
    <w:rsid w:val="00000A94"/>
    <w:rsid w:val="00001972"/>
    <w:rsid w:val="00001D9A"/>
    <w:rsid w:val="00002260"/>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77F3A"/>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85F"/>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3C78"/>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4A13"/>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9F3"/>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2A93"/>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36D10"/>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B530B"/>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16F7"/>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95B0B"/>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0CBB"/>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0C2"/>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4AB8"/>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2A57"/>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2370"/>
    <w:rsid w:val="00B049AF"/>
    <w:rsid w:val="00B07242"/>
    <w:rsid w:val="00B10534"/>
    <w:rsid w:val="00B113DB"/>
    <w:rsid w:val="00B11D8A"/>
    <w:rsid w:val="00B12981"/>
    <w:rsid w:val="00B147DD"/>
    <w:rsid w:val="00B156FD"/>
    <w:rsid w:val="00B21F61"/>
    <w:rsid w:val="00B261F1"/>
    <w:rsid w:val="00B265BC"/>
    <w:rsid w:val="00B267BD"/>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45DF7"/>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22F"/>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64F"/>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70C3"/>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59E"/>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4D97749"/>
    <w:rsid w:val="0CD01AD1"/>
    <w:rsid w:val="0F46179A"/>
    <w:rsid w:val="0F9F1B8E"/>
    <w:rsid w:val="1056044D"/>
    <w:rsid w:val="112A2687"/>
    <w:rsid w:val="3A1C650A"/>
    <w:rsid w:val="3DB84D61"/>
    <w:rsid w:val="3EC3774B"/>
    <w:rsid w:val="45E16709"/>
    <w:rsid w:val="49E870DE"/>
    <w:rsid w:val="50AE22ED"/>
    <w:rsid w:val="614E0BA2"/>
    <w:rsid w:val="64E17CB2"/>
    <w:rsid w:val="6E1740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footnote reference"/>
    <w:semiHidden/>
    <w:qFormat/>
    <w:uiPriority w:val="0"/>
    <w:rPr>
      <w:rFonts w:ascii="宋体" w:hAnsi="宋体" w:eastAsia="宋体" w:cs="Times New Roman"/>
      <w:spacing w:val="0"/>
      <w:sz w:val="18"/>
      <w:vertAlign w:val="superscript"/>
    </w:rPr>
  </w:style>
  <w:style w:type="character" w:customStyle="1" w:styleId="34">
    <w:name w:val="标题 1 字符"/>
    <w:link w:val="2"/>
    <w:qFormat/>
    <w:uiPriority w:val="0"/>
    <w:rPr>
      <w:b/>
      <w:bCs/>
      <w:kern w:val="44"/>
      <w:sz w:val="44"/>
      <w:szCs w:val="44"/>
    </w:rPr>
  </w:style>
  <w:style w:type="character" w:customStyle="1" w:styleId="35">
    <w:name w:val="标题 2 字符"/>
    <w:link w:val="3"/>
    <w:qFormat/>
    <w:uiPriority w:val="0"/>
    <w:rPr>
      <w:rFonts w:ascii="Arial" w:hAnsi="Arial" w:eastAsia="黑体"/>
      <w:b/>
      <w:bCs/>
      <w:kern w:val="2"/>
      <w:sz w:val="32"/>
      <w:szCs w:val="32"/>
    </w:rPr>
  </w:style>
  <w:style w:type="character" w:customStyle="1" w:styleId="36">
    <w:name w:val="标题 3 字符"/>
    <w:link w:val="4"/>
    <w:qFormat/>
    <w:uiPriority w:val="0"/>
    <w:rPr>
      <w:b/>
      <w:bCs/>
      <w:kern w:val="2"/>
      <w:sz w:val="32"/>
      <w:szCs w:val="32"/>
    </w:rPr>
  </w:style>
  <w:style w:type="character" w:customStyle="1" w:styleId="37">
    <w:name w:val="标题 4 字符"/>
    <w:link w:val="5"/>
    <w:qFormat/>
    <w:uiPriority w:val="0"/>
    <w:rPr>
      <w:rFonts w:ascii="Arial" w:hAnsi="Arial" w:eastAsia="黑体"/>
      <w:b/>
      <w:bCs/>
      <w:kern w:val="2"/>
      <w:sz w:val="28"/>
      <w:szCs w:val="28"/>
    </w:rPr>
  </w:style>
  <w:style w:type="character" w:customStyle="1" w:styleId="38">
    <w:name w:val="标题 5 字符"/>
    <w:link w:val="6"/>
    <w:qFormat/>
    <w:uiPriority w:val="0"/>
    <w:rPr>
      <w:b/>
      <w:bCs/>
      <w:kern w:val="2"/>
      <w:sz w:val="28"/>
      <w:szCs w:val="28"/>
    </w:rPr>
  </w:style>
  <w:style w:type="character" w:customStyle="1" w:styleId="39">
    <w:name w:val="标题 6 字符"/>
    <w:link w:val="7"/>
    <w:qFormat/>
    <w:uiPriority w:val="0"/>
    <w:rPr>
      <w:rFonts w:ascii="Arial" w:hAnsi="Arial" w:eastAsia="黑体"/>
      <w:b/>
      <w:bCs/>
      <w:kern w:val="2"/>
      <w:sz w:val="24"/>
      <w:szCs w:val="24"/>
    </w:rPr>
  </w:style>
  <w:style w:type="character" w:customStyle="1" w:styleId="40">
    <w:name w:val="标题 7 字符"/>
    <w:link w:val="8"/>
    <w:qFormat/>
    <w:uiPriority w:val="0"/>
    <w:rPr>
      <w:b/>
      <w:bCs/>
      <w:kern w:val="2"/>
      <w:sz w:val="24"/>
      <w:szCs w:val="24"/>
    </w:rPr>
  </w:style>
  <w:style w:type="character" w:customStyle="1" w:styleId="41">
    <w:name w:val="标题 8 字符"/>
    <w:link w:val="9"/>
    <w:qFormat/>
    <w:uiPriority w:val="0"/>
    <w:rPr>
      <w:rFonts w:ascii="Arial" w:hAnsi="Arial" w:eastAsia="黑体"/>
      <w:kern w:val="2"/>
      <w:sz w:val="24"/>
      <w:szCs w:val="24"/>
    </w:rPr>
  </w:style>
  <w:style w:type="character" w:customStyle="1" w:styleId="42">
    <w:name w:val="标题 9 字符"/>
    <w:link w:val="10"/>
    <w:qFormat/>
    <w:uiPriority w:val="0"/>
    <w:rPr>
      <w:rFonts w:ascii="Arial" w:hAnsi="Arial" w:eastAsia="黑体"/>
      <w:kern w:val="2"/>
      <w:sz w:val="21"/>
      <w:szCs w:val="21"/>
    </w:rPr>
  </w:style>
  <w:style w:type="character" w:customStyle="1" w:styleId="43">
    <w:name w:val="页眉 字符"/>
    <w:link w:val="18"/>
    <w:qFormat/>
    <w:uiPriority w:val="99"/>
    <w:rPr>
      <w:kern w:val="2"/>
      <w:sz w:val="18"/>
      <w:szCs w:val="18"/>
    </w:rPr>
  </w:style>
  <w:style w:type="character" w:customStyle="1" w:styleId="44">
    <w:name w:val="页脚 字符"/>
    <w:link w:val="17"/>
    <w:qFormat/>
    <w:uiPriority w:val="99"/>
    <w:rPr>
      <w:rFonts w:ascii="宋体"/>
      <w:kern w:val="2"/>
      <w:sz w:val="18"/>
      <w:szCs w:val="18"/>
    </w:rPr>
  </w:style>
  <w:style w:type="character" w:customStyle="1" w:styleId="45">
    <w:name w:val="批注框文本 字符"/>
    <w:link w:val="16"/>
    <w:semiHidden/>
    <w:qFormat/>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字符"/>
    <w:link w:val="46"/>
    <w:qFormat/>
    <w:uiPriority w:val="29"/>
    <w:rPr>
      <w:i/>
      <w:iCs/>
      <w:color w:val="000000"/>
      <w:kern w:val="2"/>
      <w:sz w:val="21"/>
      <w:szCs w:val="21"/>
    </w:rPr>
  </w:style>
  <w:style w:type="character" w:customStyle="1" w:styleId="48">
    <w:name w:val="标题 字符"/>
    <w:link w:val="25"/>
    <w:qFormat/>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qFormat/>
    <w:uiPriority w:val="0"/>
    <w:pPr>
      <w:spacing w:line="310" w:lineRule="exact"/>
      <w:jc w:val="right"/>
    </w:pPr>
    <w:rPr>
      <w:rFonts w:ascii="宋体" w:hAnsi="宋体"/>
      <w:kern w:val="0"/>
    </w:rPr>
  </w:style>
  <w:style w:type="paragraph" w:customStyle="1" w:styleId="60">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qFormat/>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qFormat/>
    <w:uiPriority w:val="0"/>
    <w:rPr>
      <w:kern w:val="2"/>
      <w:sz w:val="21"/>
      <w:szCs w:val="21"/>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qFormat/>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qFormat/>
    <w:uiPriority w:val="0"/>
    <w:pPr>
      <w:spacing w:line="460" w:lineRule="exact"/>
      <w:ind w:left="0" w:firstLine="0"/>
    </w:pPr>
  </w:style>
  <w:style w:type="paragraph" w:customStyle="1" w:styleId="91">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pPr>
  </w:style>
  <w:style w:type="paragraph" w:customStyle="1" w:styleId="94">
    <w:name w:val="标准文件_三级条标题"/>
    <w:basedOn w:val="65"/>
    <w:next w:val="56"/>
    <w:qFormat/>
    <w:uiPriority w:val="0"/>
    <w:pPr>
      <w:widowControl/>
      <w:numPr>
        <w:ilvl w:val="4"/>
      </w:numPr>
      <w:outlineLvl w:val="3"/>
    </w:pPr>
  </w:style>
  <w:style w:type="character" w:customStyle="1" w:styleId="95">
    <w:name w:val="不明显参考1"/>
    <w:qFormat/>
    <w:uiPriority w:val="31"/>
    <w:rPr>
      <w:smallCaps/>
      <w:color w:val="C0504D"/>
      <w:u w:val="single"/>
    </w:rPr>
  </w:style>
  <w:style w:type="paragraph" w:customStyle="1" w:styleId="96">
    <w:name w:val="标准文件_示例后续"/>
    <w:basedOn w:val="1"/>
    <w:qFormat/>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semiHidden/>
    <w:qFormat/>
    <w:uiPriority w:val="0"/>
    <w:rPr>
      <w:rFonts w:ascii="宋体"/>
      <w:kern w:val="2"/>
      <w:sz w:val="18"/>
      <w:szCs w:val="18"/>
    </w:rPr>
  </w:style>
  <w:style w:type="paragraph" w:customStyle="1" w:styleId="100">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2">
    <w:name w:val="标准文件_图表脚注内容"/>
    <w:qFormat/>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50" w:beforeLines="50" w:after="50" w:afterLines="50"/>
      <w:outlineLvl w:val="1"/>
    </w:pPr>
  </w:style>
  <w:style w:type="paragraph" w:customStyle="1" w:styleId="106">
    <w:name w:val="标准文件_一致程度"/>
    <w:basedOn w:val="1"/>
    <w:qFormat/>
    <w:uiPriority w:val="0"/>
    <w:pPr>
      <w:spacing w:line="440" w:lineRule="exact"/>
      <w:jc w:val="center"/>
    </w:pPr>
    <w:rPr>
      <w:sz w:val="28"/>
    </w:rPr>
  </w:style>
  <w:style w:type="paragraph" w:customStyle="1" w:styleId="10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qFormat/>
    <w:uiPriority w:val="0"/>
    <w:pPr>
      <w:numPr>
        <w:ilvl w:val="3"/>
        <w:numId w:val="20"/>
      </w:numPr>
      <w:adjustRightInd/>
      <w:spacing w:line="240" w:lineRule="auto"/>
    </w:pPr>
    <w:rPr>
      <w:rFonts w:ascii="宋体" w:hAnsi="宋体"/>
      <w:szCs w:val="24"/>
    </w:rPr>
  </w:style>
  <w:style w:type="paragraph" w:customStyle="1" w:styleId="119">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qFormat/>
    <w:uiPriority w:val="0"/>
    <w:pPr>
      <w:outlineLvl w:val="4"/>
    </w:pPr>
  </w:style>
  <w:style w:type="paragraph" w:customStyle="1" w:styleId="130">
    <w:name w:val="附录四级无标题条"/>
    <w:basedOn w:val="129"/>
    <w:next w:val="56"/>
    <w:qFormat/>
    <w:uiPriority w:val="0"/>
    <w:pPr>
      <w:outlineLvl w:val="5"/>
    </w:pPr>
  </w:style>
  <w:style w:type="paragraph" w:customStyle="1" w:styleId="131">
    <w:name w:val="附录图"/>
    <w:next w:val="56"/>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qFormat/>
    <w:uiPriority w:val="0"/>
    <w:pPr>
      <w:outlineLvl w:val="6"/>
    </w:pPr>
  </w:style>
  <w:style w:type="paragraph" w:customStyle="1" w:styleId="134">
    <w:name w:val="附录性质"/>
    <w:basedOn w:val="1"/>
    <w:qFormat/>
    <w:uiPriority w:val="0"/>
    <w:pPr>
      <w:widowControl/>
      <w:adjustRightInd/>
      <w:jc w:val="center"/>
    </w:pPr>
    <w:rPr>
      <w:rFonts w:ascii="黑体" w:eastAsia="黑体"/>
    </w:rPr>
  </w:style>
  <w:style w:type="paragraph" w:customStyle="1" w:styleId="135">
    <w:name w:val="附录一级无标题条"/>
    <w:basedOn w:val="87"/>
    <w:next w:val="56"/>
    <w:qFormat/>
    <w:uiPriority w:val="0"/>
    <w:pPr>
      <w:autoSpaceDN w:val="0"/>
      <w:outlineLvl w:val="2"/>
    </w:pPr>
    <w:rPr>
      <w:rFonts w:ascii="宋体" w:hAnsi="宋体" w:eastAsia="宋体"/>
    </w:rPr>
  </w:style>
  <w:style w:type="character" w:customStyle="1" w:styleId="136">
    <w:name w:val="个人答复风格"/>
    <w:qFormat/>
    <w:uiPriority w:val="0"/>
    <w:rPr>
      <w:rFonts w:ascii="Arial" w:hAnsi="Arial" w:eastAsia="宋体" w:cs="Arial"/>
      <w:color w:val="auto"/>
      <w:spacing w:val="0"/>
      <w:sz w:val="20"/>
    </w:rPr>
  </w:style>
  <w:style w:type="character" w:customStyle="1" w:styleId="137">
    <w:name w:val="个人撰写风格"/>
    <w:qFormat/>
    <w:uiPriority w:val="0"/>
    <w:rPr>
      <w:rFonts w:ascii="Arial" w:hAnsi="Arial" w:eastAsia="宋体" w:cs="Arial"/>
      <w:color w:val="auto"/>
      <w:spacing w:val="0"/>
      <w:sz w:val="20"/>
    </w:rPr>
  </w:style>
  <w:style w:type="paragraph" w:customStyle="1" w:styleId="138">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qFormat/>
    <w:uiPriority w:val="0"/>
    <w:pPr>
      <w:tabs>
        <w:tab w:val="left" w:pos="840"/>
      </w:tabs>
    </w:pPr>
  </w:style>
  <w:style w:type="paragraph" w:customStyle="1" w:styleId="141">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qFormat/>
    <w:uiPriority w:val="0"/>
    <w:pPr>
      <w:adjustRightInd/>
      <w:spacing w:line="240" w:lineRule="auto"/>
      <w:jc w:val="left"/>
    </w:pPr>
    <w:rPr>
      <w:bCs/>
      <w:iCs/>
    </w:rPr>
  </w:style>
  <w:style w:type="paragraph" w:customStyle="1" w:styleId="143">
    <w:name w:val="目录 31"/>
    <w:basedOn w:val="1"/>
    <w:next w:val="1"/>
    <w:autoRedefine/>
    <w:semiHidden/>
    <w:qFormat/>
    <w:uiPriority w:val="0"/>
    <w:pPr>
      <w:spacing w:line="240" w:lineRule="auto"/>
    </w:pPr>
    <w:rPr>
      <w:rFonts w:ascii="宋体" w:hAnsi="宋体"/>
      <w:iCs/>
    </w:rPr>
  </w:style>
  <w:style w:type="paragraph" w:customStyle="1" w:styleId="144">
    <w:name w:val="目录 41"/>
    <w:basedOn w:val="1"/>
    <w:next w:val="1"/>
    <w:autoRedefine/>
    <w:semiHidden/>
    <w:qFormat/>
    <w:uiPriority w:val="0"/>
    <w:pPr>
      <w:adjustRightInd/>
      <w:spacing w:line="240" w:lineRule="auto"/>
      <w:jc w:val="left"/>
    </w:pPr>
  </w:style>
  <w:style w:type="paragraph" w:customStyle="1" w:styleId="145">
    <w:name w:val="目录 51"/>
    <w:basedOn w:val="1"/>
    <w:next w:val="1"/>
    <w:autoRedefine/>
    <w:semiHidden/>
    <w:qFormat/>
    <w:uiPriority w:val="0"/>
    <w:pPr>
      <w:spacing w:line="240" w:lineRule="auto"/>
    </w:pPr>
    <w:rPr>
      <w:rFonts w:ascii="宋体" w:hAnsi="宋体"/>
    </w:rPr>
  </w:style>
  <w:style w:type="paragraph" w:customStyle="1" w:styleId="146">
    <w:name w:val="目录 61"/>
    <w:basedOn w:val="1"/>
    <w:next w:val="1"/>
    <w:autoRedefine/>
    <w:semiHidden/>
    <w:qFormat/>
    <w:uiPriority w:val="0"/>
    <w:pPr>
      <w:adjustRightInd/>
      <w:spacing w:line="240" w:lineRule="auto"/>
      <w:jc w:val="left"/>
    </w:pPr>
  </w:style>
  <w:style w:type="paragraph" w:customStyle="1" w:styleId="147">
    <w:name w:val="目录 71"/>
    <w:basedOn w:val="146"/>
    <w:autoRedefine/>
    <w:semiHidden/>
    <w:qFormat/>
    <w:uiPriority w:val="0"/>
    <w:pPr>
      <w:ind w:left="1260"/>
    </w:pPr>
  </w:style>
  <w:style w:type="paragraph" w:customStyle="1" w:styleId="148">
    <w:name w:val="目录 81"/>
    <w:basedOn w:val="147"/>
    <w:autoRedefine/>
    <w:semiHidden/>
    <w:qFormat/>
    <w:uiPriority w:val="0"/>
    <w:pPr>
      <w:ind w:left="1470"/>
    </w:pPr>
  </w:style>
  <w:style w:type="paragraph" w:customStyle="1" w:styleId="149">
    <w:name w:val="目录 91"/>
    <w:basedOn w:val="148"/>
    <w:autoRedefine/>
    <w:semiHidden/>
    <w:qFormat/>
    <w:uiPriority w:val="0"/>
    <w:pPr>
      <w:ind w:left="1680"/>
    </w:pPr>
  </w:style>
  <w:style w:type="paragraph" w:customStyle="1" w:styleId="1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qFormat/>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rPr>
      <w:rFonts w:ascii="Times New Roman"/>
    </w:rPr>
  </w:style>
  <w:style w:type="paragraph" w:customStyle="1" w:styleId="189">
    <w:name w:val="标准文件_一级项2"/>
    <w:basedOn w:val="56"/>
    <w:qFormat/>
    <w:uiPriority w:val="0"/>
    <w:pPr>
      <w:numPr>
        <w:ilvl w:val="0"/>
        <w:numId w:val="31"/>
      </w:numPr>
      <w:spacing w:line="300" w:lineRule="exact"/>
      <w:ind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qFormat/>
    <w:uiPriority w:val="0"/>
    <w:pPr>
      <w:framePr w:w="3997" w:h="471" w:hRule="exact" w:hSpace="0" w:vSpace="181" w:wrap="around" w:vAnchor="page" w:hAnchor="page" w:x="1419" w:y="14097"/>
    </w:pPr>
  </w:style>
  <w:style w:type="paragraph" w:customStyle="1" w:styleId="194">
    <w:name w:val="其他实施日期"/>
    <w:basedOn w:val="154"/>
    <w:qFormat/>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qFormat/>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1" Type="http://schemas.openxmlformats.org/officeDocument/2006/relationships/glossaryDocument" Target="glossary/document.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customXml" Target="../customXml/item2.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2.jpeg"/><Relationship Id="rId25" Type="http://schemas.openxmlformats.org/officeDocument/2006/relationships/image" Target="media/image11.jpeg"/><Relationship Id="rId24" Type="http://schemas.openxmlformats.org/officeDocument/2006/relationships/image" Target="media/image10.jpeg"/><Relationship Id="rId23" Type="http://schemas.openxmlformats.org/officeDocument/2006/relationships/image" Target="media/image9.jpeg"/><Relationship Id="rId22" Type="http://schemas.openxmlformats.org/officeDocument/2006/relationships/image" Target="media/image8.jpeg"/><Relationship Id="rId21" Type="http://schemas.openxmlformats.org/officeDocument/2006/relationships/image" Target="media/image7.jpeg"/><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image" Target="media/image5.jpeg"/><Relationship Id="rId18" Type="http://schemas.openxmlformats.org/officeDocument/2006/relationships/image" Target="media/image4.jpeg"/><Relationship Id="rId17" Type="http://schemas.openxmlformats.org/officeDocument/2006/relationships/image" Target="media/image3.jpe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E18A259B3A0B4DFE8602C521A977E7DD"/>
        <w:style w:val=""/>
        <w:category>
          <w:name w:val="常规"/>
          <w:gallery w:val="placeholder"/>
        </w:category>
        <w:types>
          <w:type w:val="bbPlcHdr"/>
        </w:types>
        <w:behaviors>
          <w:behavior w:val="content"/>
        </w:behaviors>
        <w:description w:val=""/>
        <w:guid w:val="{54E022CC-C2E7-42FC-B488-B69C4EB9A11C}"/>
      </w:docPartPr>
      <w:docPartBody>
        <w:p w14:paraId="51902DD3">
          <w:pPr>
            <w:pStyle w:val="5"/>
            <w:rPr>
              <w:rFonts w:hint="eastAsia"/>
            </w:rPr>
          </w:pPr>
          <w:r>
            <w:rPr>
              <w:rStyle w:val="4"/>
              <w:rFonts w:hint="eastAsia"/>
            </w:rPr>
            <w:t>单击或点击此处输入文字。</w:t>
          </w:r>
        </w:p>
      </w:docPartBody>
    </w:docPart>
    <w:docPart>
      <w:docPartPr>
        <w:name w:val="710D30392F7C4D9F904B4827BE9FDAFD"/>
        <w:style w:val=""/>
        <w:category>
          <w:name w:val="常规"/>
          <w:gallery w:val="placeholder"/>
        </w:category>
        <w:types>
          <w:type w:val="bbPlcHdr"/>
        </w:types>
        <w:behaviors>
          <w:behavior w:val="content"/>
        </w:behaviors>
        <w:description w:val=""/>
        <w:guid w:val="{8F1DE812-85CF-4D03-8996-493FDDA407C8}"/>
      </w:docPartPr>
      <w:docPartBody>
        <w:p w14:paraId="68F8ACD5">
          <w:pPr>
            <w:pStyle w:val="6"/>
            <w:rPr>
              <w:rFonts w:hint="eastAsia"/>
            </w:rPr>
          </w:pPr>
          <w:r>
            <w:rPr>
              <w:rStyle w:val="4"/>
              <w:rFonts w:hint="eastAsia"/>
            </w:rPr>
            <w:t>选择一项。</w:t>
          </w:r>
        </w:p>
      </w:docPartBody>
    </w:docPart>
    <w:docPart>
      <w:docPartPr>
        <w:name w:val="EEEB39D83F0540CEA407F2520062D957"/>
        <w:style w:val=""/>
        <w:category>
          <w:name w:val="常规"/>
          <w:gallery w:val="placeholder"/>
        </w:category>
        <w:types>
          <w:type w:val="bbPlcHdr"/>
        </w:types>
        <w:behaviors>
          <w:behavior w:val="content"/>
        </w:behaviors>
        <w:description w:val=""/>
        <w:guid w:val="{EB83BE3B-ABD1-4DF6-BECA-441808343ECB}"/>
      </w:docPartPr>
      <w:docPartBody>
        <w:p w14:paraId="47222118">
          <w:pPr>
            <w:pStyle w:val="7"/>
            <w:rPr>
              <w:rFonts w:hint="eastAsia"/>
            </w:rPr>
          </w:pPr>
          <w:r>
            <w:rPr>
              <w:rStyle w:val="4"/>
              <w:rFonts w:hint="eastAsia"/>
            </w:rPr>
            <w:t>选择一项。</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5F51"/>
    <w:rsid w:val="0024373C"/>
    <w:rsid w:val="00333880"/>
    <w:rsid w:val="004B530B"/>
    <w:rsid w:val="00661755"/>
    <w:rsid w:val="00695B0B"/>
    <w:rsid w:val="008E5F51"/>
    <w:rsid w:val="00B267BD"/>
    <w:rsid w:val="00D80EA9"/>
    <w:rsid w:val="00DA164F"/>
    <w:rsid w:val="00E515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E18A259B3A0B4DFE8602C521A977E7D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
    <w:name w:val="710D30392F7C4D9F904B4827BE9FDAF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
    <w:name w:val="EEEB39D83F0540CEA407F2520062D95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E0F809-F1B0-47A2-BF3F-77BC97C7211C}">
  <ds:schemaRefs/>
</ds:datastoreItem>
</file>

<file path=docProps/app.xml><?xml version="1.0" encoding="utf-8"?>
<Properties xmlns="http://schemas.openxmlformats.org/officeDocument/2006/extended-properties" xmlns:vt="http://schemas.openxmlformats.org/officeDocument/2006/docPropsVTypes">
  <Template>团体标准</Template>
  <Company>PCMI</Company>
  <Pages>10</Pages>
  <Words>2457</Words>
  <Characters>2788</Characters>
  <Lines>22</Lines>
  <Paragraphs>6</Paragraphs>
  <TotalTime>0</TotalTime>
  <ScaleCrop>false</ScaleCrop>
  <LinksUpToDate>false</LinksUpToDate>
  <CharactersWithSpaces>2866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2025-09-23T01:12:00Z</dcterms:created>
  <dc:creator>Acer</dc:creator>
  <dc:description>&lt;config cover="true" show_menu="true" version="1.0.0" doctype="SDKXY"&gt;_x000d_
&lt;/config&gt;</dc:description>
  <cp:lastModifiedBy>覃思颖</cp:lastModifiedBy>
  <cp:lastPrinted>2021-02-02T08:22:00Z</cp:lastPrinted>
  <dcterms:modified xsi:type="dcterms:W3CDTF">2025-09-26T04:04:01Z</dcterms:modified>
  <dc:title>团体标准</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eyJoZGlkIjoiZDU4MDczMzcyYmJkMTU0Yzk3Y2Q1OWEyNGVlYzBmODAiLCJ1c2VySWQiOiI2NTgwMDU1NDYifQ==</vt:lpwstr>
  </property>
  <property fmtid="{D5CDD505-2E9C-101B-9397-08002B2CF9AE}" pid="15" name="KSOProductBuildVer">
    <vt:lpwstr>2052-12.1.0.22529</vt:lpwstr>
  </property>
  <property fmtid="{D5CDD505-2E9C-101B-9397-08002B2CF9AE}" pid="16" name="ICV">
    <vt:lpwstr>7BA843EEF8A64119A30B1AD4844E9A69_13</vt:lpwstr>
  </property>
</Properties>
</file>