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689CB">
      <w:pPr>
        <w:jc w:val="center"/>
        <w:rPr>
          <w:rFonts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lang w:eastAsia="zh-CN"/>
        </w:rPr>
        <w:t>团体标准</w:t>
      </w:r>
      <w:r>
        <w:rPr>
          <w:rFonts w:hint="eastAsia" w:ascii="方正小标宋简体" w:eastAsia="方正小标宋简体" w:cs="仿宋_GB2312"/>
          <w:bCs/>
          <w:color w:val="auto"/>
          <w:sz w:val="36"/>
          <w:szCs w:val="32"/>
        </w:rPr>
        <w:t>《</w:t>
      </w:r>
      <w:r>
        <w:rPr>
          <w:rFonts w:hint="eastAsia" w:ascii="方正小标宋简体" w:eastAsia="方正小标宋简体" w:cs="仿宋_GB2312"/>
          <w:bCs/>
          <w:color w:val="auto"/>
          <w:sz w:val="36"/>
          <w:szCs w:val="32"/>
          <w:lang w:val="en-US" w:eastAsia="zh-CN"/>
        </w:rPr>
        <w:t>医疗护理员辅助偏瘫患者翻身技术操作规范</w:t>
      </w:r>
      <w:r>
        <w:rPr>
          <w:rFonts w:hint="eastAsia" w:ascii="方正小标宋简体" w:eastAsia="方正小标宋简体" w:cs="仿宋_GB2312"/>
          <w:bCs/>
          <w:color w:val="auto"/>
          <w:sz w:val="36"/>
          <w:szCs w:val="32"/>
        </w:rPr>
        <w:t>》</w:t>
      </w:r>
    </w:p>
    <w:p w14:paraId="42228E0F">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rPr>
        <w:t>（征求意见稿）编制说明</w:t>
      </w:r>
    </w:p>
    <w:p w14:paraId="27738F3B">
      <w:pPr>
        <w:jc w:val="center"/>
        <w:rPr>
          <w:rFonts w:hint="eastAsia" w:ascii="方正小标宋简体" w:eastAsia="方正小标宋简体" w:cs="仿宋_GB2312"/>
          <w:bCs/>
          <w:color w:val="auto"/>
          <w:sz w:val="18"/>
          <w:szCs w:val="18"/>
        </w:rPr>
      </w:pPr>
    </w:p>
    <w:p w14:paraId="2AF57CC4">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32E16927">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w:t>
      </w:r>
      <w:r>
        <w:rPr>
          <w:rFonts w:hint="eastAsia" w:ascii="仿宋_GB2312" w:eastAsia="仿宋_GB2312"/>
          <w:color w:val="auto"/>
          <w:sz w:val="28"/>
          <w:szCs w:val="28"/>
          <w:lang w:eastAsia="zh-CN"/>
        </w:rPr>
        <w:t>广西标准化协会</w:t>
      </w:r>
      <w:r>
        <w:rPr>
          <w:rFonts w:hint="eastAsia" w:ascii="仿宋_GB2312" w:eastAsia="仿宋_GB2312"/>
          <w:color w:val="auto"/>
          <w:sz w:val="28"/>
          <w:szCs w:val="28"/>
        </w:rPr>
        <w:t>关于下达202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年第</w:t>
      </w:r>
      <w:r>
        <w:rPr>
          <w:rFonts w:hint="eastAsia" w:ascii="仿宋_GB2312" w:eastAsia="仿宋_GB2312"/>
          <w:color w:val="auto"/>
          <w:sz w:val="28"/>
          <w:szCs w:val="28"/>
          <w:lang w:eastAsia="zh-CN"/>
        </w:rPr>
        <w:t>一</w:t>
      </w:r>
      <w:r>
        <w:rPr>
          <w:rFonts w:hint="eastAsia" w:ascii="仿宋_GB2312" w:eastAsia="仿宋_GB2312"/>
          <w:color w:val="auto"/>
          <w:sz w:val="28"/>
          <w:szCs w:val="28"/>
        </w:rPr>
        <w:t>批团体标准制修订项目计划的通知》（桂标协〔202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8</w:t>
      </w:r>
      <w:r>
        <w:rPr>
          <w:rFonts w:hint="eastAsia" w:ascii="仿宋_GB2312" w:eastAsia="仿宋_GB2312"/>
          <w:color w:val="auto"/>
          <w:sz w:val="28"/>
          <w:szCs w:val="28"/>
        </w:rPr>
        <w:t>号）精神，由广西护理学会提出，广西中医药大学附属瑞康医院</w:t>
      </w:r>
      <w:r>
        <w:rPr>
          <w:rFonts w:hint="eastAsia" w:ascii="仿宋_GB2312" w:eastAsia="仿宋_GB2312"/>
          <w:color w:val="auto"/>
          <w:sz w:val="28"/>
          <w:szCs w:val="28"/>
          <w:lang w:eastAsia="zh-CN"/>
        </w:rPr>
        <w:t>、</w:t>
      </w:r>
      <w:r>
        <w:rPr>
          <w:rFonts w:hint="eastAsia" w:ascii="仿宋_GB2312" w:eastAsia="仿宋_GB2312"/>
          <w:color w:val="auto"/>
          <w:sz w:val="28"/>
          <w:szCs w:val="28"/>
        </w:rPr>
        <w:t>深圳市罗湖区中医院</w:t>
      </w:r>
      <w:r>
        <w:rPr>
          <w:rFonts w:hint="eastAsia" w:ascii="仿宋_GB2312" w:eastAsia="仿宋_GB2312"/>
          <w:color w:val="auto"/>
          <w:sz w:val="28"/>
          <w:szCs w:val="28"/>
          <w:lang w:eastAsia="zh-CN"/>
        </w:rPr>
        <w:t>、</w:t>
      </w:r>
      <w:r>
        <w:rPr>
          <w:rFonts w:hint="eastAsia" w:ascii="仿宋_GB2312" w:eastAsia="仿宋_GB2312"/>
          <w:color w:val="auto"/>
          <w:sz w:val="28"/>
          <w:szCs w:val="28"/>
        </w:rPr>
        <w:t>中山大学附属第一医院广西医院（广西壮族自治区人民医院东院）</w:t>
      </w:r>
      <w:r>
        <w:rPr>
          <w:rFonts w:hint="eastAsia" w:ascii="仿宋_GB2312" w:eastAsia="仿宋_GB2312"/>
          <w:color w:val="auto"/>
          <w:sz w:val="28"/>
          <w:szCs w:val="28"/>
          <w:lang w:eastAsia="zh-CN"/>
        </w:rPr>
        <w:t>、</w:t>
      </w:r>
      <w:r>
        <w:rPr>
          <w:rFonts w:hint="eastAsia" w:ascii="仿宋_GB2312" w:eastAsia="仿宋_GB2312"/>
          <w:color w:val="auto"/>
          <w:sz w:val="28"/>
          <w:szCs w:val="28"/>
        </w:rPr>
        <w:t>广西壮族自治区江滨医院</w:t>
      </w:r>
      <w:r>
        <w:rPr>
          <w:rFonts w:hint="eastAsia" w:ascii="仿宋_GB2312" w:eastAsia="仿宋_GB2312"/>
          <w:color w:val="auto"/>
          <w:sz w:val="28"/>
          <w:szCs w:val="28"/>
          <w:lang w:eastAsia="zh-CN"/>
        </w:rPr>
        <w:t>、</w:t>
      </w:r>
      <w:r>
        <w:rPr>
          <w:rFonts w:hint="eastAsia" w:ascii="仿宋_GB2312" w:eastAsia="仿宋_GB2312"/>
          <w:color w:val="auto"/>
          <w:sz w:val="28"/>
          <w:szCs w:val="28"/>
        </w:rPr>
        <w:t>广西医科大学第一附属医院</w:t>
      </w:r>
      <w:r>
        <w:rPr>
          <w:rFonts w:hint="eastAsia" w:ascii="仿宋_GB2312" w:eastAsia="仿宋_GB2312"/>
          <w:color w:val="auto"/>
          <w:sz w:val="28"/>
          <w:szCs w:val="28"/>
          <w:lang w:eastAsia="zh-CN"/>
        </w:rPr>
        <w:t>、</w:t>
      </w:r>
      <w:r>
        <w:rPr>
          <w:rFonts w:hint="eastAsia" w:ascii="仿宋_GB2312" w:eastAsia="仿宋_GB2312"/>
          <w:color w:val="auto"/>
          <w:sz w:val="28"/>
          <w:szCs w:val="28"/>
        </w:rPr>
        <w:t>柳州市人民医院</w:t>
      </w:r>
      <w:r>
        <w:rPr>
          <w:rFonts w:hint="eastAsia" w:ascii="仿宋_GB2312" w:eastAsia="仿宋_GB2312"/>
          <w:color w:val="auto"/>
          <w:sz w:val="28"/>
          <w:szCs w:val="28"/>
          <w:lang w:eastAsia="zh-CN"/>
        </w:rPr>
        <w:t>、</w:t>
      </w:r>
      <w:r>
        <w:rPr>
          <w:rFonts w:hint="eastAsia" w:ascii="仿宋_GB2312" w:eastAsia="仿宋_GB2312"/>
          <w:color w:val="auto"/>
          <w:sz w:val="28"/>
          <w:szCs w:val="28"/>
        </w:rPr>
        <w:t>南宁市第二人民医院等单位共同起草的团体标准《医疗护理员辅助偏瘫患者翻身技术操作规范》（项目编号</w:t>
      </w:r>
      <w:r>
        <w:rPr>
          <w:rFonts w:hint="eastAsia" w:ascii="仿宋_GB2312" w:eastAsia="仿宋_GB2312"/>
          <w:color w:val="auto"/>
          <w:sz w:val="28"/>
          <w:szCs w:val="28"/>
          <w:lang w:eastAsia="zh-CN"/>
        </w:rPr>
        <w:t>：</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0120</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6D01F69B">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标准《医疗护理员辅助偏瘫患者翻身技术操作规范》，由起草单位成立标准编制工作组并进行如下分工：</w:t>
      </w:r>
    </w:p>
    <w:tbl>
      <w:tblPr>
        <w:tblStyle w:val="13"/>
        <w:tblW w:w="90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1778"/>
        <w:gridCol w:w="1267"/>
        <w:gridCol w:w="2413"/>
        <w:gridCol w:w="2656"/>
      </w:tblGrid>
      <w:tr w14:paraId="1EC68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74" w:type="dxa"/>
            <w:tcBorders>
              <w:top w:val="single" w:color="auto" w:sz="4" w:space="0"/>
              <w:left w:val="single" w:color="auto" w:sz="4" w:space="0"/>
              <w:bottom w:val="single" w:color="auto" w:sz="4" w:space="0"/>
              <w:right w:val="single" w:color="auto" w:sz="4" w:space="0"/>
            </w:tcBorders>
            <w:noWrap w:val="0"/>
            <w:vAlign w:val="center"/>
          </w:tcPr>
          <w:p w14:paraId="685D3F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
                <w:color w:val="auto"/>
                <w:sz w:val="24"/>
              </w:rPr>
            </w:pPr>
            <w:r>
              <w:rPr>
                <w:rFonts w:hint="eastAsia" w:ascii="仿宋" w:hAnsi="仿宋" w:eastAsia="仿宋" w:cs="仿宋"/>
                <w:b/>
                <w:color w:val="auto"/>
                <w:sz w:val="24"/>
              </w:rPr>
              <w:t>姓名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E6D26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
                <w:color w:val="auto"/>
                <w:sz w:val="24"/>
              </w:rPr>
            </w:pPr>
            <w:r>
              <w:rPr>
                <w:rFonts w:hint="eastAsia" w:ascii="仿宋" w:hAnsi="仿宋" w:eastAsia="仿宋" w:cs="仿宋"/>
                <w:b/>
                <w:color w:val="auto"/>
                <w:sz w:val="24"/>
              </w:rPr>
              <w:t>职务/职称</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3CFAA9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
                <w:color w:val="auto"/>
                <w:sz w:val="24"/>
              </w:rPr>
            </w:pPr>
            <w:r>
              <w:rPr>
                <w:rFonts w:hint="eastAsia" w:ascii="仿宋" w:hAnsi="仿宋" w:eastAsia="仿宋" w:cs="仿宋"/>
                <w:b/>
                <w:color w:val="auto"/>
                <w:sz w:val="24"/>
              </w:rPr>
              <w:t>从事</w:t>
            </w:r>
          </w:p>
          <w:p w14:paraId="3F02D4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
                <w:color w:val="auto"/>
                <w:sz w:val="24"/>
              </w:rPr>
            </w:pPr>
            <w:r>
              <w:rPr>
                <w:rFonts w:hint="eastAsia" w:ascii="仿宋" w:hAnsi="仿宋" w:eastAsia="仿宋" w:cs="仿宋"/>
                <w:b/>
                <w:color w:val="auto"/>
                <w:sz w:val="24"/>
              </w:rPr>
              <w:t>专业</w:t>
            </w:r>
          </w:p>
        </w:tc>
        <w:tc>
          <w:tcPr>
            <w:tcW w:w="2413" w:type="dxa"/>
            <w:tcBorders>
              <w:top w:val="single" w:color="auto" w:sz="4" w:space="0"/>
              <w:left w:val="single" w:color="auto" w:sz="4" w:space="0"/>
              <w:bottom w:val="single" w:color="auto" w:sz="4" w:space="0"/>
              <w:right w:val="single" w:color="auto" w:sz="4" w:space="0"/>
            </w:tcBorders>
            <w:noWrap w:val="0"/>
            <w:vAlign w:val="center"/>
          </w:tcPr>
          <w:p w14:paraId="07DB39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
                <w:color w:val="auto"/>
                <w:sz w:val="24"/>
              </w:rPr>
            </w:pPr>
            <w:r>
              <w:rPr>
                <w:rFonts w:hint="eastAsia" w:ascii="仿宋" w:hAnsi="仿宋" w:eastAsia="仿宋" w:cs="仿宋"/>
                <w:b/>
                <w:color w:val="auto"/>
                <w:sz w:val="24"/>
              </w:rPr>
              <w:t>工作单位</w:t>
            </w:r>
          </w:p>
        </w:tc>
        <w:tc>
          <w:tcPr>
            <w:tcW w:w="2656" w:type="dxa"/>
            <w:tcBorders>
              <w:top w:val="single" w:color="auto" w:sz="4" w:space="0"/>
              <w:left w:val="single" w:color="auto" w:sz="4" w:space="0"/>
              <w:bottom w:val="single" w:color="auto" w:sz="4" w:space="0"/>
              <w:right w:val="single" w:color="auto" w:sz="4" w:space="0"/>
            </w:tcBorders>
            <w:noWrap w:val="0"/>
            <w:vAlign w:val="center"/>
          </w:tcPr>
          <w:p w14:paraId="58860C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 w:hAnsi="仿宋" w:eastAsia="仿宋" w:cs="仿宋"/>
                <w:b/>
                <w:color w:val="auto"/>
                <w:sz w:val="24"/>
              </w:rPr>
            </w:pPr>
            <w:r>
              <w:rPr>
                <w:rFonts w:hint="eastAsia" w:ascii="仿宋" w:hAnsi="仿宋" w:eastAsia="仿宋" w:cs="仿宋"/>
                <w:b/>
                <w:color w:val="auto"/>
                <w:sz w:val="24"/>
              </w:rPr>
              <w:t>主要负责工作</w:t>
            </w:r>
          </w:p>
        </w:tc>
      </w:tr>
      <w:tr w14:paraId="42E7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D9B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涂惠琼</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54B5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护理部副主任（主持工作）/主任护师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B0F3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5BFE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center"/>
          </w:tcPr>
          <w:p w14:paraId="3B6E46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统筹主持标准编制工作</w:t>
            </w:r>
          </w:p>
        </w:tc>
      </w:tr>
      <w:tr w14:paraId="2CB5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7648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凌艳燕</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2417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护理质量督导/主任护师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D6EC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0F0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center"/>
          </w:tcPr>
          <w:p w14:paraId="6AE720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参与标准编制工作，组织人员进行标准发布后的宣贯培训</w:t>
            </w:r>
          </w:p>
        </w:tc>
      </w:tr>
      <w:tr w14:paraId="1A48D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1326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蒋娟</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1114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副院长（扶绥院区）/主任护师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B99C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EE7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center"/>
          </w:tcPr>
          <w:p w14:paraId="39F427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参与标准文本及编制说明编写，质量控制</w:t>
            </w:r>
          </w:p>
        </w:tc>
      </w:tr>
      <w:tr w14:paraId="388AC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1954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杨甜甜</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1E29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护士长/主管护师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17FD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A600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center"/>
          </w:tcPr>
          <w:p w14:paraId="38A8F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1014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3C3B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赵婷婷</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1B2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护士长/副主任护师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3359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BF7E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74277E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7835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D6C7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周晓燕</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05DE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护士长/副主任护师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85E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D9D1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350260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0CCA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768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李雪娟</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B842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护士长/副主任护师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C99F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4056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4D0877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参与标准文本及编制说明的编写；组织开展标准征求意见会；对标准实施情况进行总结分析，不断对标准提出修正意见</w:t>
            </w:r>
          </w:p>
        </w:tc>
      </w:tr>
      <w:tr w14:paraId="15FB0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9376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马梦晖</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39C9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护理部主任/副主任护师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8C18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74B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深圳市罗湖区中医院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11FC9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0622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993F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唐富平</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5180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护理部副主任/副主任护师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4C4B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B46D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1D2C58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2844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1A5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邱小芩</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AD24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护理部主任/主任护师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6D0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DEA2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中山大学附属第一医院广西医院（广西壮族自治区人民医院东院）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09990C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4CA9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0FF4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张琰</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F22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护理部主任/主任护师</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1C8CE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9A5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广西壮族自治区江滨医院</w:t>
            </w:r>
          </w:p>
        </w:tc>
        <w:tc>
          <w:tcPr>
            <w:tcW w:w="2656" w:type="dxa"/>
            <w:tcBorders>
              <w:top w:val="single" w:color="auto" w:sz="4" w:space="0"/>
              <w:left w:val="single" w:color="auto" w:sz="4" w:space="0"/>
              <w:bottom w:val="single" w:color="auto" w:sz="4" w:space="0"/>
              <w:right w:val="single" w:color="auto" w:sz="4" w:space="0"/>
            </w:tcBorders>
            <w:noWrap w:val="0"/>
            <w:vAlign w:val="top"/>
          </w:tcPr>
          <w:p w14:paraId="0947E1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5782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36833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韦瑞丽</w:t>
            </w:r>
          </w:p>
        </w:tc>
        <w:tc>
          <w:tcPr>
            <w:tcW w:w="1778" w:type="dxa"/>
            <w:shd w:val="clear" w:color="auto" w:fill="auto"/>
            <w:vAlign w:val="center"/>
          </w:tcPr>
          <w:p w14:paraId="606A1E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护士长/主任护师</w:t>
            </w:r>
          </w:p>
        </w:tc>
        <w:tc>
          <w:tcPr>
            <w:tcW w:w="1267" w:type="dxa"/>
            <w:shd w:val="clear" w:color="auto" w:fill="auto"/>
            <w:vAlign w:val="center"/>
          </w:tcPr>
          <w:p w14:paraId="0A5834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389D7A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广西医科大学第一附属医院</w:t>
            </w:r>
          </w:p>
        </w:tc>
        <w:tc>
          <w:tcPr>
            <w:tcW w:w="2656" w:type="dxa"/>
          </w:tcPr>
          <w:p w14:paraId="7512E3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4947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298890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唐山丹</w:t>
            </w:r>
          </w:p>
        </w:tc>
        <w:tc>
          <w:tcPr>
            <w:tcW w:w="1778" w:type="dxa"/>
            <w:shd w:val="clear" w:color="auto" w:fill="auto"/>
            <w:vAlign w:val="center"/>
          </w:tcPr>
          <w:p w14:paraId="5C7EC2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护理部副主任/副主任护师</w:t>
            </w:r>
          </w:p>
        </w:tc>
        <w:tc>
          <w:tcPr>
            <w:tcW w:w="1267" w:type="dxa"/>
            <w:shd w:val="clear" w:color="auto" w:fill="auto"/>
            <w:vAlign w:val="center"/>
          </w:tcPr>
          <w:p w14:paraId="6192F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50DCA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柳州市人民医院</w:t>
            </w:r>
          </w:p>
        </w:tc>
        <w:tc>
          <w:tcPr>
            <w:tcW w:w="2656" w:type="dxa"/>
          </w:tcPr>
          <w:p w14:paraId="136004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14AFA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4DF0B2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梁黎黎</w:t>
            </w:r>
          </w:p>
        </w:tc>
        <w:tc>
          <w:tcPr>
            <w:tcW w:w="1778" w:type="dxa"/>
            <w:shd w:val="clear" w:color="auto" w:fill="auto"/>
            <w:vAlign w:val="center"/>
          </w:tcPr>
          <w:p w14:paraId="5D2DF7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护士长/副主任护师</w:t>
            </w:r>
          </w:p>
        </w:tc>
        <w:tc>
          <w:tcPr>
            <w:tcW w:w="1267" w:type="dxa"/>
            <w:shd w:val="clear" w:color="auto" w:fill="auto"/>
            <w:vAlign w:val="center"/>
          </w:tcPr>
          <w:p w14:paraId="4ECC1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53870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南宁市第二人民医院</w:t>
            </w:r>
          </w:p>
        </w:tc>
        <w:tc>
          <w:tcPr>
            <w:tcW w:w="2656" w:type="dxa"/>
          </w:tcPr>
          <w:p w14:paraId="6D30B0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56CB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3016FB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银星凤</w:t>
            </w:r>
          </w:p>
        </w:tc>
        <w:tc>
          <w:tcPr>
            <w:tcW w:w="1778" w:type="dxa"/>
            <w:shd w:val="clear" w:color="auto" w:fill="auto"/>
            <w:vAlign w:val="center"/>
          </w:tcPr>
          <w:p w14:paraId="7E9954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副护士长/副主任护师</w:t>
            </w:r>
          </w:p>
        </w:tc>
        <w:tc>
          <w:tcPr>
            <w:tcW w:w="1267" w:type="dxa"/>
            <w:shd w:val="clear" w:color="auto" w:fill="auto"/>
            <w:vAlign w:val="center"/>
          </w:tcPr>
          <w:p w14:paraId="377FAA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78976A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Pr>
          <w:p w14:paraId="329EE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496A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1C5FC3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黄美迁</w:t>
            </w:r>
          </w:p>
        </w:tc>
        <w:tc>
          <w:tcPr>
            <w:tcW w:w="1778" w:type="dxa"/>
            <w:shd w:val="clear" w:color="auto" w:fill="auto"/>
            <w:vAlign w:val="center"/>
          </w:tcPr>
          <w:p w14:paraId="2FF71D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护士长/副主任护师</w:t>
            </w:r>
          </w:p>
        </w:tc>
        <w:tc>
          <w:tcPr>
            <w:tcW w:w="1267" w:type="dxa"/>
            <w:shd w:val="clear" w:color="auto" w:fill="auto"/>
            <w:vAlign w:val="center"/>
          </w:tcPr>
          <w:p w14:paraId="308AE4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114ACE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Pr>
          <w:p w14:paraId="6E2B4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14D7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31D956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范葵玉</w:t>
            </w:r>
          </w:p>
        </w:tc>
        <w:tc>
          <w:tcPr>
            <w:tcW w:w="1778" w:type="dxa"/>
            <w:shd w:val="clear" w:color="auto" w:fill="auto"/>
            <w:vAlign w:val="center"/>
          </w:tcPr>
          <w:p w14:paraId="319C8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护士长/副主任护师</w:t>
            </w:r>
          </w:p>
        </w:tc>
        <w:tc>
          <w:tcPr>
            <w:tcW w:w="1267" w:type="dxa"/>
            <w:shd w:val="clear" w:color="auto" w:fill="auto"/>
            <w:vAlign w:val="center"/>
          </w:tcPr>
          <w:p w14:paraId="1DD04C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487B55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Pr>
          <w:p w14:paraId="4A9EA9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6973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1A2A14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李江兰</w:t>
            </w:r>
          </w:p>
        </w:tc>
        <w:tc>
          <w:tcPr>
            <w:tcW w:w="1778" w:type="dxa"/>
            <w:shd w:val="clear" w:color="auto" w:fill="auto"/>
            <w:vAlign w:val="center"/>
          </w:tcPr>
          <w:p w14:paraId="3B7544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副护士长/副主任护师</w:t>
            </w:r>
          </w:p>
        </w:tc>
        <w:tc>
          <w:tcPr>
            <w:tcW w:w="1267" w:type="dxa"/>
            <w:shd w:val="clear" w:color="auto" w:fill="auto"/>
            <w:vAlign w:val="center"/>
          </w:tcPr>
          <w:p w14:paraId="5FEB8C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16EDC1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Pr>
          <w:p w14:paraId="4877B3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39B2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620CB5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黎瑜</w:t>
            </w:r>
          </w:p>
        </w:tc>
        <w:tc>
          <w:tcPr>
            <w:tcW w:w="1778" w:type="dxa"/>
            <w:shd w:val="clear" w:color="auto" w:fill="auto"/>
            <w:vAlign w:val="center"/>
          </w:tcPr>
          <w:p w14:paraId="12E044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无/副主任护师</w:t>
            </w:r>
          </w:p>
        </w:tc>
        <w:tc>
          <w:tcPr>
            <w:tcW w:w="1267" w:type="dxa"/>
            <w:shd w:val="clear" w:color="auto" w:fill="auto"/>
            <w:vAlign w:val="center"/>
          </w:tcPr>
          <w:p w14:paraId="503DFE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护理</w:t>
            </w:r>
          </w:p>
        </w:tc>
        <w:tc>
          <w:tcPr>
            <w:tcW w:w="2413" w:type="dxa"/>
            <w:shd w:val="clear" w:color="auto" w:fill="auto"/>
            <w:vAlign w:val="center"/>
          </w:tcPr>
          <w:p w14:paraId="4AF7F4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广西中医药大学附属瑞康医院</w:t>
            </w:r>
          </w:p>
        </w:tc>
        <w:tc>
          <w:tcPr>
            <w:tcW w:w="2656" w:type="dxa"/>
          </w:tcPr>
          <w:p w14:paraId="14C802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2B4E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06F68B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高春霞</w:t>
            </w:r>
          </w:p>
        </w:tc>
        <w:tc>
          <w:tcPr>
            <w:tcW w:w="1778" w:type="dxa"/>
            <w:shd w:val="clear" w:color="auto" w:fill="auto"/>
            <w:vAlign w:val="center"/>
          </w:tcPr>
          <w:p w14:paraId="6C4A1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无/副主任护师</w:t>
            </w:r>
          </w:p>
        </w:tc>
        <w:tc>
          <w:tcPr>
            <w:tcW w:w="1267" w:type="dxa"/>
            <w:shd w:val="clear" w:color="auto" w:fill="auto"/>
            <w:vAlign w:val="center"/>
          </w:tcPr>
          <w:p w14:paraId="116D27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护理</w:t>
            </w:r>
          </w:p>
        </w:tc>
        <w:tc>
          <w:tcPr>
            <w:tcW w:w="2413" w:type="dxa"/>
            <w:shd w:val="clear" w:color="auto" w:fill="auto"/>
            <w:vAlign w:val="center"/>
          </w:tcPr>
          <w:p w14:paraId="5CD25E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color w:val="auto"/>
                <w:kern w:val="2"/>
                <w:sz w:val="24"/>
                <w:szCs w:val="24"/>
                <w:lang w:val="en-US" w:eastAsia="zh-CN" w:bidi="ar-SA"/>
              </w:rPr>
            </w:pPr>
            <w:r>
              <w:rPr>
                <w:rFonts w:hint="eastAsia" w:ascii="仿宋_GB2312" w:hAnsi="宋体" w:eastAsia="仿宋_GB2312"/>
                <w:color w:val="auto"/>
                <w:sz w:val="24"/>
                <w:szCs w:val="24"/>
                <w:lang w:val="en-US" w:eastAsia="zh-CN"/>
              </w:rPr>
              <w:t>广西中医药大学附属瑞康医院</w:t>
            </w:r>
          </w:p>
        </w:tc>
        <w:tc>
          <w:tcPr>
            <w:tcW w:w="2656" w:type="dxa"/>
          </w:tcPr>
          <w:p w14:paraId="366AB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4E58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1999CF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谭智容</w:t>
            </w:r>
          </w:p>
        </w:tc>
        <w:tc>
          <w:tcPr>
            <w:tcW w:w="1778" w:type="dxa"/>
            <w:shd w:val="clear" w:color="auto" w:fill="auto"/>
            <w:vAlign w:val="center"/>
          </w:tcPr>
          <w:p w14:paraId="7F217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无/主管护师</w:t>
            </w:r>
          </w:p>
        </w:tc>
        <w:tc>
          <w:tcPr>
            <w:tcW w:w="1267" w:type="dxa"/>
            <w:shd w:val="clear" w:color="auto" w:fill="auto"/>
            <w:vAlign w:val="center"/>
          </w:tcPr>
          <w:p w14:paraId="74E2AE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6119CB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广西中医药大学附属瑞康医院</w:t>
            </w:r>
          </w:p>
        </w:tc>
        <w:tc>
          <w:tcPr>
            <w:tcW w:w="2656" w:type="dxa"/>
          </w:tcPr>
          <w:p w14:paraId="4BC44E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0746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74" w:type="dxa"/>
            <w:shd w:val="clear" w:color="auto" w:fill="auto"/>
            <w:vAlign w:val="center"/>
          </w:tcPr>
          <w:p w14:paraId="07313E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王观丽</w:t>
            </w:r>
          </w:p>
        </w:tc>
        <w:tc>
          <w:tcPr>
            <w:tcW w:w="1778" w:type="dxa"/>
            <w:shd w:val="clear" w:color="auto" w:fill="auto"/>
            <w:vAlign w:val="center"/>
          </w:tcPr>
          <w:p w14:paraId="19F41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无/主管护师</w:t>
            </w:r>
          </w:p>
        </w:tc>
        <w:tc>
          <w:tcPr>
            <w:tcW w:w="1267" w:type="dxa"/>
            <w:shd w:val="clear" w:color="auto" w:fill="auto"/>
            <w:vAlign w:val="center"/>
          </w:tcPr>
          <w:p w14:paraId="6A21CD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护理</w:t>
            </w:r>
          </w:p>
        </w:tc>
        <w:tc>
          <w:tcPr>
            <w:tcW w:w="2413" w:type="dxa"/>
            <w:shd w:val="clear" w:color="auto" w:fill="auto"/>
            <w:vAlign w:val="center"/>
          </w:tcPr>
          <w:p w14:paraId="54FE8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宋体" w:eastAsia="仿宋_GB2312" w:cs="Calibri"/>
                <w:kern w:val="2"/>
                <w:sz w:val="24"/>
                <w:szCs w:val="24"/>
                <w:lang w:val="en-US" w:eastAsia="zh-CN" w:bidi="ar-SA"/>
              </w:rPr>
            </w:pPr>
            <w:r>
              <w:rPr>
                <w:rFonts w:hint="eastAsia" w:ascii="仿宋_GB2312" w:hAnsi="宋体" w:eastAsia="仿宋_GB2312"/>
                <w:sz w:val="24"/>
                <w:szCs w:val="24"/>
                <w:lang w:val="en-US" w:eastAsia="zh-CN"/>
              </w:rPr>
              <w:t>广西医科大学第一附属医院</w:t>
            </w:r>
          </w:p>
        </w:tc>
        <w:tc>
          <w:tcPr>
            <w:tcW w:w="2656" w:type="dxa"/>
          </w:tcPr>
          <w:p w14:paraId="0C6A50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bl>
    <w:p w14:paraId="61F6725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7BFB8BE1">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医疗护理员直接服务于患者，关系到医疗质量和患者安全，关系到人民群众的身体健康和就医感受。加强医疗机构护理工作是推动医疗机构高质量发展和卫生健康事业发展的基础性工作，是实施健康中国战略、增进全民健康福祉的重要举措。</w:t>
      </w:r>
    </w:p>
    <w:p w14:paraId="541998DA">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2023年，国家卫生健康委、国家中医药局发布关于印发进一步改善护理服务行动计划（2023—2025年）的通知(国卫医政发﹝2023﹞16号文)提出，提高护理质量，促进护理服务贴近临床，保障护理质量安全。2024年，自治区人力资源社会保障厅、卫生健康委、财政厅、市场监管局、中医药局等5部门联合印发《加强医疗护理员培训和规范管理试点方案》提出开展加强医疗护理员培训和规范管理试点工作，增加护理服务业人力资源供给，扩大社会就业岗位，不断满足人民群众多样化、差异化的健康服务需求。</w:t>
      </w:r>
    </w:p>
    <w:p w14:paraId="5D02E473">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充分认识进一步加强医疗机构护理工作的重要性，坚持“以患者为中心”的理念，夯实基础护理，通过对医疗护理员辅助偏瘫患者翻身进行规范，提高照护质量，促进医疗机构护理工作贴近患者、贴近临床、贴近社会。通过制定团体标准《医疗护理员辅助偏瘫患者翻身技术操作规范》，以标准为抓手，对提升医疗护理员辅助偏瘫患者翻身技术，推动医务社会工作开展，进一步改善医疗服务，构建和谐医患关系。</w:t>
      </w:r>
    </w:p>
    <w:p w14:paraId="5909C799">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医疗机构医疗护理员是医疗辅助服务人员，主要从事辅助护理等工作。医疗护理员的工作更接近于当前护工的工作，从业范围广泛，但技能要求更为专业。医疗护理员不仅可以从事养老、家庭护理服务工作，还可以从事临床辅助护理服务、护理管理服务、健康管理服务、社区健康服务、医疗机构内的护理服务等。但医疗护理员不属于医疗机构卫生专业技术人员，更多的是侧重于从事生活照护等服务。</w:t>
      </w:r>
    </w:p>
    <w:p w14:paraId="76C48815">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偏瘫，俗称半身不遂，是一种身体一侧完全失去活动能力的疾病。主要由于控制运动的中枢神经（大脑和脊髓的核心部分）受损导致，患者通常会出现同一侧上下肢无法自主活动，有时还会伴随同侧面部肌肉控制困难。我国偏瘫患者基数庞大，护理需求迫切。全国脑卒中患者超1300万（《中国脑卒中防治报告2023》），其中约70%遗留不同程度偏瘫（约910万人）。每年新发脑卒中约300万例，发病率逐年上升且呈现年轻化趋势（40-64岁占比达35%）。除脑卒中外，脊髓损伤、脑外伤、神经系统疾病等同样导致偏瘫，全国偏瘫患者总数预计超1000万。</w:t>
      </w:r>
    </w:p>
    <w:p w14:paraId="3093EF1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广西脑卒中发病率居全国前列（年龄标准化发病率约345/10万），推算全区偏瘫患者超50万人（广西卫健委，2022）。年轻患者比例高：广西因高血压、糖尿病等基础疾病控制不佳，40岁以下卒中患者占比达15%（高于全国平均水平）。特定地方病种加重偏瘫负担：地中海贫血（地贫）：广西是全球地贫高发区（携带率约20%），重型地贫患者可能因脑出血或血栓导致偏瘫（年新增病例约50例）。外伤性偏瘫：广西山区多、交通伤及工伤高发，脊髓损伤致残率约18%（广西残联，2021）。传染病后遗症：如结核性脑膜炎、HIV相关神经系统病变，亦可导致偏瘫（广西年报告相关病例约200例）</w:t>
      </w:r>
      <w:r>
        <w:rPr>
          <w:rFonts w:hint="eastAsia" w:ascii="仿宋_GB2312" w:eastAsia="仿宋_GB2312"/>
          <w:color w:val="auto"/>
          <w:sz w:val="28"/>
          <w:szCs w:val="28"/>
        </w:rPr>
        <w:t>。为规范医疗护理员辅助偏瘫患者翻身技术操作的要求，促进医疗护理员辅助偏瘫患者翻身技术操作的科学化、系统化、规范化，以获得促进医疗护理员操作规范、有序发展的结果，通过制定团体标准《医疗护理员辅助偏瘫患者翻身技术操作规范》十分必要。</w:t>
      </w:r>
    </w:p>
    <w:p w14:paraId="4824789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73DFAF73">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7596B4F7">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医疗护理员辅助偏瘫患者翻身技术操作规范</w:t>
      </w:r>
      <w:r>
        <w:rPr>
          <w:rFonts w:hint="eastAsia" w:ascii="仿宋_GB2312" w:eastAsia="仿宋_GB2312"/>
          <w:color w:val="auto"/>
          <w:sz w:val="28"/>
          <w:szCs w:val="28"/>
        </w:rPr>
        <w:t>》项目任务下达后，广西中医药大学附属瑞康医院、深圳市罗湖区中医院、中山大学附属第一医院广西医院（广西壮族自治区人民医院东院）、广西壮族自治区江滨医院、广西医科大学第一附属医院、柳州市人民医院、南宁市第二人民医院成立了标准编制工作组，制定了起草编写方案与进度安排，明确任务职责，确定工作技术路线，开展标准研制工作。具体标准编制工作由起草单位相关人员配合完成。</w:t>
      </w:r>
    </w:p>
    <w:p w14:paraId="30898590">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医疗护理员辅助偏瘫患者翻身技术操作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eastAsia="zh-CN"/>
        </w:rPr>
        <w:t>医疗护理员辅助偏瘫患者翻身技术操作</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eastAsia="zh-CN"/>
        </w:rPr>
        <w:t>医疗护理员辅助偏瘫患者翻身技术操作</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33AF838D">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437C060D">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标准编制工作组收集了国内有关医疗护理员辅助偏瘫患者翻身技术操作的相关文献资料。主要有：</w:t>
      </w:r>
    </w:p>
    <w:p w14:paraId="003467F7">
      <w:pPr>
        <w:spacing w:line="520" w:lineRule="exact"/>
        <w:ind w:firstLine="560" w:firstLineChars="200"/>
        <w:rPr>
          <w:rFonts w:hint="eastAsia" w:ascii="仿宋_GB2312" w:eastAsia="仿宋_GB2312" w:cs="仿宋"/>
          <w:bCs/>
          <w:color w:val="auto"/>
          <w:sz w:val="28"/>
          <w:szCs w:val="28"/>
        </w:rPr>
      </w:pPr>
      <w:r>
        <w:rPr>
          <w:rFonts w:hint="eastAsia" w:ascii="仿宋_GB2312" w:eastAsia="仿宋_GB2312" w:cs="仿宋"/>
          <w:bCs/>
          <w:color w:val="auto"/>
          <w:sz w:val="28"/>
          <w:szCs w:val="28"/>
        </w:rPr>
        <w:t xml:space="preserve">[1]  沈建英,计丽燕,涂曼丽,等. Bobath翻身训练在老年脑梗死致偏瘫患者中的应用[J]. 齐鲁护理杂志,2012,18(36):56-57. </w:t>
      </w:r>
    </w:p>
    <w:p w14:paraId="674CE8A5">
      <w:pPr>
        <w:spacing w:line="520" w:lineRule="exact"/>
        <w:ind w:firstLine="560" w:firstLineChars="200"/>
        <w:rPr>
          <w:rFonts w:hint="eastAsia" w:ascii="仿宋_GB2312" w:eastAsia="仿宋_GB2312" w:cs="仿宋"/>
          <w:bCs/>
          <w:color w:val="auto"/>
          <w:sz w:val="28"/>
          <w:szCs w:val="28"/>
        </w:rPr>
      </w:pPr>
      <w:r>
        <w:rPr>
          <w:rFonts w:hint="eastAsia" w:ascii="仿宋_GB2312" w:eastAsia="仿宋_GB2312" w:cs="仿宋"/>
          <w:bCs/>
          <w:color w:val="auto"/>
          <w:sz w:val="28"/>
          <w:szCs w:val="28"/>
        </w:rPr>
        <w:t>[2]  奚铁新. 不同的翻身护理法用于神经内科偏瘫患者预防压疮中的应用效果观察[J]. 实用临床医药杂志,2010,14(22):55-56.</w:t>
      </w:r>
    </w:p>
    <w:p w14:paraId="2E81E3D5">
      <w:pPr>
        <w:spacing w:line="520" w:lineRule="exact"/>
        <w:ind w:firstLine="560" w:firstLineChars="200"/>
        <w:rPr>
          <w:rFonts w:hint="eastAsia" w:ascii="仿宋_GB2312" w:eastAsia="仿宋_GB2312" w:cs="仿宋"/>
          <w:bCs/>
          <w:color w:val="auto"/>
          <w:sz w:val="28"/>
          <w:szCs w:val="28"/>
        </w:rPr>
      </w:pPr>
      <w:r>
        <w:rPr>
          <w:rFonts w:hint="eastAsia" w:ascii="仿宋_GB2312" w:eastAsia="仿宋_GB2312" w:cs="仿宋"/>
          <w:bCs/>
          <w:color w:val="auto"/>
          <w:sz w:val="28"/>
          <w:szCs w:val="28"/>
        </w:rPr>
        <w:t>[3]  蒋鹏. 翻身训练——偏瘫患者康复的起跑线[J]. 中国社区医师,2012,28(30):27.</w:t>
      </w:r>
    </w:p>
    <w:p w14:paraId="1CA15C79">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（三）研讨确定标准特色、创新点和主体内容</w:t>
      </w:r>
    </w:p>
    <w:p w14:paraId="29C80831">
      <w:pPr>
        <w:pStyle w:val="29"/>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eastAsia="zh-CN"/>
        </w:rPr>
        <w:t>医疗护理员辅助偏瘫患者翻身技术操作的评估、操作前准备、操作方法、注意事项的要求</w:t>
      </w:r>
      <w:r>
        <w:rPr>
          <w:rFonts w:hint="eastAsia" w:ascii="仿宋_GB2312" w:eastAsia="仿宋_GB2312"/>
          <w:color w:val="auto"/>
          <w:sz w:val="28"/>
          <w:szCs w:val="28"/>
        </w:rPr>
        <w:t>。</w:t>
      </w:r>
    </w:p>
    <w:p w14:paraId="3408F4F7">
      <w:pPr>
        <w:pStyle w:val="29"/>
        <w:spacing w:line="520" w:lineRule="exact"/>
        <w:ind w:firstLine="560"/>
        <w:rPr>
          <w:rFonts w:hint="eastAsia" w:ascii="仿宋_GB2312" w:eastAsia="仿宋_GB2312"/>
          <w:color w:val="auto"/>
          <w:sz w:val="28"/>
          <w:szCs w:val="28"/>
          <w:lang w:val="en-US" w:eastAsia="zh-CN"/>
        </w:rPr>
      </w:pPr>
      <w:r>
        <w:rPr>
          <w:rFonts w:hint="eastAsia" w:ascii="仿宋_GB2312" w:eastAsia="仿宋_GB2312"/>
          <w:sz w:val="28"/>
          <w:szCs w:val="28"/>
          <w:lang w:eastAsia="zh-CN"/>
        </w:rPr>
        <w:t>核心技术在于</w:t>
      </w:r>
      <w:r>
        <w:rPr>
          <w:rFonts w:hint="eastAsia" w:ascii="仿宋_GB2312" w:eastAsia="仿宋_GB2312"/>
          <w:sz w:val="28"/>
          <w:szCs w:val="28"/>
          <w:lang w:val="en-US" w:eastAsia="zh-CN"/>
        </w:rPr>
        <w:t>1、将翻身操作分为翻身取仰卧位（从健侧卧位翻身至仰卧位、从患侧卧位翻身至仰卧位）、翻身取健侧卧位、翻身取患侧卧位，目前相关教材和文献中，没有详细的说明翻身取仰卧位（从健侧卧位翻身至仰卧位、从患侧卧位翻身至仰卧位）从健侧/患侧进行操作区别，本标准分为从健侧卧位翻身至仰卧位、从患侧卧位翻身至仰卧位，如明确了从健侧卧位翻身至仰卧位需站于患者患</w:t>
      </w:r>
      <w:r>
        <w:rPr>
          <w:rFonts w:hint="eastAsia" w:ascii="仿宋_GB2312" w:eastAsia="仿宋_GB2312"/>
          <w:color w:val="auto"/>
          <w:sz w:val="28"/>
          <w:szCs w:val="28"/>
          <w:lang w:val="en-US" w:eastAsia="zh-CN"/>
        </w:rPr>
        <w:t>侧便于操作，检查患者的患侧肢体位置以免拉扯患侧肢体造成二次伤害等；2、针对翻身后患者卧位姿势，为避免出现</w:t>
      </w:r>
      <w:r>
        <w:rPr>
          <w:rFonts w:hint="eastAsia" w:ascii="仿宋_GB2312" w:eastAsia="仿宋_GB2312"/>
          <w:color w:val="auto"/>
          <w:sz w:val="28"/>
          <w:szCs w:val="28"/>
          <w:lang w:eastAsia="zh-CN"/>
        </w:rPr>
        <w:t>长期卧床患者因体位不当、压疮发生，明确了翻身后枕头个数、大小、类型以及摆放位置，如翻身取健侧卧位后背后用楔形垫枕支撑，患侧上肢伸展，掌心向下，下垫1个大软枕，患侧下肢微屈，垫1～2个软枕以起到减少患者患侧压力的作用，从而压疮发生率可降低</w:t>
      </w:r>
      <w:r>
        <w:rPr>
          <w:rFonts w:hint="eastAsia" w:ascii="仿宋_GB2312" w:eastAsia="仿宋_GB2312"/>
          <w:color w:val="auto"/>
          <w:sz w:val="28"/>
          <w:szCs w:val="28"/>
          <w:lang w:val="en-US" w:eastAsia="zh-CN"/>
        </w:rPr>
        <w:t>5%。</w:t>
      </w:r>
    </w:p>
    <w:p w14:paraId="2E290435">
      <w:pPr>
        <w:pStyle w:val="29"/>
        <w:spacing w:line="520" w:lineRule="exact"/>
        <w:ind w:left="0" w:leftChars="0" w:firstLine="420" w:firstLineChars="200"/>
        <w:rPr>
          <w:rFonts w:hint="eastAsia" w:ascii="仿宋_GB2312" w:eastAsia="仿宋_GB2312"/>
          <w:color w:val="auto"/>
          <w:sz w:val="28"/>
          <w:szCs w:val="28"/>
          <w:lang w:val="en-US" w:eastAsia="zh-CN"/>
        </w:rPr>
      </w:pPr>
      <w:r>
        <w:rPr>
          <w:rFonts w:hint="eastAsia" w:ascii="宋体" w:hAnsi="宋体" w:cs="宋体"/>
          <w:color w:val="auto"/>
          <w:highlight w:val="none"/>
          <w:lang w:val="en-US" w:eastAsia="zh-CN"/>
        </w:rPr>
        <w:t>起</w:t>
      </w:r>
      <w:r>
        <w:rPr>
          <w:rFonts w:hint="eastAsia" w:ascii="仿宋_GB2312" w:eastAsia="仿宋_GB2312"/>
          <w:color w:val="auto"/>
          <w:sz w:val="28"/>
          <w:szCs w:val="28"/>
          <w:lang w:val="en-US" w:eastAsia="zh-CN"/>
        </w:rPr>
        <w:t>草单位目前有870多名医疗护理员，服务满意度达到95%以上，有开展医疗护理员辅助患者翻身技术操作培训；培训地点分别为15家试点医疗机构，有广西中医药大学附属瑞康医院、广西医科大学第一附属医院、广西壮族自治区江滨医院等，宣教培训人次达3000多人次。</w:t>
      </w:r>
    </w:p>
    <w:p w14:paraId="2F867BA0">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（四）调研及形成草案、征求意见稿</w:t>
      </w:r>
    </w:p>
    <w:p w14:paraId="1CB2A139">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月～202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C389868">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w:t>
      </w:r>
      <w:r>
        <w:rPr>
          <w:rFonts w:hint="default" w:ascii="仿宋_GB2312" w:eastAsia="仿宋_GB2312"/>
          <w:color w:val="auto"/>
          <w:kern w:val="0"/>
          <w:sz w:val="28"/>
          <w:szCs w:val="28"/>
          <w:lang w:val="en"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lang w:eastAsia="zh-CN"/>
        </w:rPr>
        <w:t>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lang w:eastAsia="zh-CN"/>
        </w:rPr>
        <w:t>规范</w:t>
      </w:r>
      <w:r>
        <w:rPr>
          <w:rFonts w:hint="eastAsia" w:ascii="仿宋_GB2312" w:eastAsia="仿宋_GB2312"/>
          <w:color w:val="auto"/>
          <w:kern w:val="0"/>
          <w:sz w:val="28"/>
          <w:szCs w:val="28"/>
        </w:rPr>
        <w:t>》（草案）。</w:t>
      </w:r>
    </w:p>
    <w:p w14:paraId="2F5E0610">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lang w:val="en-US" w:eastAsia="zh-CN"/>
        </w:rPr>
        <w:t>年</w:t>
      </w:r>
      <w:r>
        <w:rPr>
          <w:rFonts w:hint="default" w:ascii="仿宋_GB2312" w:eastAsia="仿宋_GB2312"/>
          <w:color w:val="auto"/>
          <w:kern w:val="0"/>
          <w:sz w:val="28"/>
          <w:szCs w:val="28"/>
          <w:lang w:val="en" w:eastAsia="zh-CN"/>
        </w:rPr>
        <w:t>8</w:t>
      </w:r>
      <w:r>
        <w:rPr>
          <w:rFonts w:hint="eastAsia" w:ascii="仿宋_GB2312" w:eastAsia="仿宋_GB2312"/>
          <w:color w:val="auto"/>
          <w:kern w:val="0"/>
          <w:sz w:val="28"/>
          <w:szCs w:val="28"/>
        </w:rPr>
        <w:t>月，标准编制工作组深入</w:t>
      </w:r>
      <w:r>
        <w:rPr>
          <w:rFonts w:hint="eastAsia" w:ascii="仿宋_GB2312" w:eastAsia="仿宋_GB2312"/>
          <w:color w:val="auto"/>
          <w:sz w:val="28"/>
          <w:szCs w:val="28"/>
        </w:rPr>
        <w:t>广西中医药大学附属瑞康医院、深圳市罗湖区中医院、中山大学附属第一医院广西医院（广西壮族自治区人民医院东院）、广西壮族自治区江滨医院、广西医科大学第一附属医院、柳州市人民医院、南宁市第二人民医院</w:t>
      </w:r>
      <w:r>
        <w:rPr>
          <w:rFonts w:hint="eastAsia" w:ascii="仿宋_GB2312" w:eastAsia="仿宋_GB2312"/>
          <w:color w:val="auto"/>
          <w:kern w:val="0"/>
          <w:sz w:val="28"/>
          <w:szCs w:val="28"/>
          <w:lang w:eastAsia="zh-CN"/>
        </w:rPr>
        <w:t>实施</w:t>
      </w:r>
      <w:r>
        <w:rPr>
          <w:rFonts w:hint="eastAsia" w:ascii="仿宋_GB2312" w:eastAsia="仿宋_GB2312"/>
          <w:color w:val="auto"/>
          <w:sz w:val="28"/>
          <w:szCs w:val="28"/>
        </w:rPr>
        <w:t>医疗护理员辅助偏瘫患者翻身技术操作</w:t>
      </w:r>
      <w:r>
        <w:rPr>
          <w:rFonts w:hint="eastAsia" w:ascii="仿宋_GB2312" w:hAnsi="宋体" w:eastAsia="仿宋_GB2312"/>
          <w:color w:val="auto"/>
          <w:sz w:val="28"/>
          <w:szCs w:val="28"/>
        </w:rPr>
        <w:t>的有代表性的医院</w:t>
      </w:r>
      <w:r>
        <w:rPr>
          <w:rFonts w:hint="eastAsia" w:ascii="仿宋_GB2312" w:eastAsia="仿宋_GB2312"/>
          <w:color w:val="auto"/>
          <w:kern w:val="0"/>
          <w:sz w:val="28"/>
          <w:szCs w:val="28"/>
        </w:rPr>
        <w:t>进行实地调研，并组织相关主管单位、医疗机构等召开标准研讨会，收集反馈了大量意见，对标准草案进行了反复修改和研究讨论，掌握了</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0"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sz w:val="28"/>
          <w:szCs w:val="28"/>
        </w:rPr>
        <w:t>医疗护理员辅助偏瘫患者翻身技术操作</w:t>
      </w:r>
      <w:r>
        <w:rPr>
          <w:rFonts w:hint="eastAsia" w:ascii="仿宋_GB2312" w:eastAsia="仿宋_GB2312"/>
          <w:color w:val="auto"/>
          <w:kern w:val="0"/>
          <w:sz w:val="28"/>
          <w:szCs w:val="28"/>
          <w:lang w:eastAsia="zh-CN"/>
        </w:rPr>
        <w:t>规范</w:t>
      </w:r>
      <w:r>
        <w:rPr>
          <w:rFonts w:hint="eastAsia" w:ascii="仿宋_GB2312" w:eastAsia="仿宋_GB2312"/>
          <w:color w:val="auto"/>
          <w:kern w:val="0"/>
          <w:sz w:val="28"/>
          <w:szCs w:val="28"/>
        </w:rPr>
        <w:t>》（征求意见稿）及其编制说明。</w:t>
      </w:r>
      <w:bookmarkEnd w:id="0"/>
    </w:p>
    <w:p w14:paraId="734A3710">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6D8B80EE">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00EBBED1">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0543BBCE">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sz w:val="28"/>
          <w:szCs w:val="28"/>
        </w:rPr>
        <w:t>医疗护理员辅助偏瘫患者翻身技术操作</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eastAsia="zh-CN"/>
        </w:rPr>
        <w:t>护理</w:t>
      </w:r>
      <w:r>
        <w:rPr>
          <w:rFonts w:hint="eastAsia" w:ascii="仿宋_GB2312" w:eastAsia="仿宋_GB2312" w:cs="仿宋"/>
          <w:color w:val="auto"/>
          <w:sz w:val="28"/>
          <w:szCs w:val="28"/>
        </w:rPr>
        <w:t>实践经验，并借鉴国内</w:t>
      </w:r>
      <w:r>
        <w:rPr>
          <w:rFonts w:hint="eastAsia" w:ascii="仿宋_GB2312" w:eastAsia="仿宋_GB2312"/>
          <w:color w:val="auto"/>
          <w:sz w:val="28"/>
          <w:szCs w:val="28"/>
        </w:rPr>
        <w:t>医疗护理员辅助偏瘫患者翻身技术操作</w:t>
      </w:r>
      <w:r>
        <w:rPr>
          <w:rFonts w:hint="eastAsia" w:ascii="仿宋_GB2312" w:eastAsia="仿宋_GB2312" w:cs="仿宋"/>
          <w:color w:val="auto"/>
          <w:sz w:val="28"/>
          <w:szCs w:val="28"/>
        </w:rPr>
        <w:t>进行总结起草的，符合工作实际，利于</w:t>
      </w:r>
      <w:r>
        <w:rPr>
          <w:rFonts w:hint="eastAsia" w:ascii="仿宋_GB2312" w:eastAsia="仿宋_GB2312"/>
          <w:color w:val="auto"/>
          <w:sz w:val="28"/>
          <w:szCs w:val="28"/>
        </w:rPr>
        <w:t>医疗护理员辅助偏瘫患者翻身技术操作</w:t>
      </w:r>
      <w:r>
        <w:rPr>
          <w:rFonts w:hint="eastAsia" w:ascii="仿宋_GB2312" w:eastAsia="仿宋_GB2312" w:cs="仿宋"/>
          <w:color w:val="auto"/>
          <w:sz w:val="28"/>
          <w:szCs w:val="28"/>
        </w:rPr>
        <w:t>的实施与推广，具有可操作性和实用性。</w:t>
      </w:r>
    </w:p>
    <w:p w14:paraId="17B2E0C2">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4AEC0E8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本文件编写过程中注意了与医疗护理员辅助偏瘫患者翻身技术操作相关法律法规的协调问题，在内容上与现行法律法规、标准协调一致。</w:t>
      </w:r>
    </w:p>
    <w:p w14:paraId="1B56373B">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0D7F86C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1A7A756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66AE864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医疗护理员辅助偏瘫患者翻身技术操作现实情况的同时，还考虑到了医疗护理员辅助偏瘫患者翻身技术操作的需要，在标准中体现了个别特色性、前瞻性和先进性条款，作为对医疗护理员辅助偏瘫患者翻身技术操作发展的指导。</w:t>
      </w:r>
    </w:p>
    <w:p w14:paraId="4C5D5428">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108E298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第1部分：标准化文件的结构和起草规则》的规则起草，标准主要内容依据起草单位在医疗护理员辅助偏瘫患者翻身技术操作研究应用过程中的实践经验确定。</w:t>
      </w:r>
    </w:p>
    <w:p w14:paraId="00E6C26F">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73315D9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6C7CCBBC">
      <w:pPr>
        <w:adjustRightInd w:val="0"/>
        <w:snapToGrid w:val="0"/>
        <w:spacing w:line="520" w:lineRule="exact"/>
        <w:ind w:firstLine="560" w:firstLineChars="200"/>
        <w:rPr>
          <w:rFonts w:hint="eastAsia"/>
          <w:color w:val="auto"/>
          <w:lang w:eastAsia="zh-CN"/>
        </w:rPr>
      </w:pPr>
      <w:r>
        <w:rPr>
          <w:rFonts w:hint="eastAsia" w:ascii="仿宋_GB2312" w:eastAsia="仿宋_GB2312"/>
          <w:color w:val="auto"/>
          <w:sz w:val="28"/>
          <w:szCs w:val="28"/>
          <w:lang w:eastAsia="zh-CN"/>
        </w:rPr>
        <w:t>经查询，国内暂无与“</w:t>
      </w:r>
      <w:r>
        <w:rPr>
          <w:rFonts w:hint="eastAsia" w:ascii="仿宋_GB2312" w:eastAsia="仿宋_GB2312"/>
          <w:color w:val="auto"/>
          <w:sz w:val="28"/>
          <w:szCs w:val="28"/>
        </w:rPr>
        <w:t>医疗护理员辅助偏瘫</w:t>
      </w:r>
      <w:r>
        <w:rPr>
          <w:rFonts w:hint="eastAsia" w:ascii="仿宋_GB2312" w:eastAsia="仿宋_GB2312"/>
          <w:color w:val="auto"/>
          <w:sz w:val="28"/>
          <w:szCs w:val="28"/>
          <w:lang w:eastAsia="zh-CN"/>
        </w:rPr>
        <w:t>”“</w:t>
      </w:r>
      <w:r>
        <w:rPr>
          <w:rFonts w:hint="eastAsia" w:ascii="仿宋_GB2312" w:eastAsia="仿宋_GB2312"/>
          <w:color w:val="auto"/>
          <w:sz w:val="28"/>
          <w:szCs w:val="28"/>
        </w:rPr>
        <w:t>翻身技术操作</w:t>
      </w:r>
      <w:r>
        <w:rPr>
          <w:rFonts w:hint="eastAsia" w:ascii="仿宋_GB2312" w:eastAsia="仿宋_GB2312"/>
          <w:color w:val="auto"/>
          <w:sz w:val="28"/>
          <w:szCs w:val="28"/>
          <w:lang w:eastAsia="zh-CN"/>
        </w:rPr>
        <w:t>”相关的国标、行标、地标、团标</w:t>
      </w:r>
      <w:r>
        <w:rPr>
          <w:rFonts w:hint="eastAsia" w:ascii="仿宋_GB2312" w:eastAsia="仿宋_GB2312" w:cs="仿宋"/>
          <w:bCs/>
          <w:color w:val="auto"/>
          <w:sz w:val="28"/>
          <w:szCs w:val="28"/>
          <w:lang w:val="en-US" w:eastAsia="zh-CN"/>
        </w:rPr>
        <w:t>。</w:t>
      </w:r>
    </w:p>
    <w:p w14:paraId="5EFB3E11">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393ACEAE">
      <w:pPr>
        <w:pStyle w:val="29"/>
        <w:spacing w:line="520" w:lineRule="exact"/>
        <w:ind w:firstLine="562"/>
        <w:rPr>
          <w:rFonts w:hint="eastAsia" w:ascii="仿宋_GB2312" w:eastAsia="仿宋_GB2312" w:cs="仿宋"/>
          <w:bCs/>
          <w:color w:val="auto"/>
          <w:sz w:val="28"/>
          <w:szCs w:val="28"/>
        </w:rPr>
      </w:pPr>
      <w:r>
        <w:rPr>
          <w:rFonts w:hint="eastAsia" w:ascii="仿宋_GB2312" w:eastAsia="仿宋_GB2312" w:cs="仿宋"/>
          <w:b w:val="0"/>
          <w:bCs w:val="0"/>
          <w:color w:val="auto"/>
          <w:sz w:val="28"/>
          <w:szCs w:val="28"/>
        </w:rPr>
        <w:t>本文件界定了医疗护理员辅助偏瘫患者翻身技术操作涉及的术语和定义，规定了医疗护理员辅助偏瘫患者翻身技术操作的评估、操作前准备、操作方法、注意事项的要求。本文件适用于医疗护理员辅助偏瘫患者翻身技术操作</w:t>
      </w:r>
      <w:r>
        <w:rPr>
          <w:rFonts w:hint="eastAsia" w:ascii="仿宋_GB2312" w:eastAsia="仿宋_GB2312"/>
          <w:sz w:val="28"/>
          <w:szCs w:val="28"/>
          <w:lang w:eastAsia="zh-CN"/>
        </w:rPr>
        <w:t>。</w:t>
      </w:r>
    </w:p>
    <w:p w14:paraId="4FBA7DFB">
      <w:pPr>
        <w:pStyle w:val="29"/>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（一）</w:t>
      </w:r>
      <w:r>
        <w:rPr>
          <w:rFonts w:hint="eastAsia" w:ascii="仿宋_GB2312" w:eastAsia="仿宋_GB2312" w:cs="仿宋"/>
          <w:b/>
          <w:bCs/>
          <w:color w:val="auto"/>
          <w:sz w:val="28"/>
          <w:szCs w:val="28"/>
        </w:rPr>
        <w:t>术语和定义</w:t>
      </w:r>
    </w:p>
    <w:p w14:paraId="1A7E488B">
      <w:pPr>
        <w:pStyle w:val="29"/>
        <w:spacing w:line="520" w:lineRule="exact"/>
        <w:ind w:firstLine="562"/>
        <w:rPr>
          <w:rFonts w:hint="eastAsia" w:ascii="仿宋_GB2312" w:hAnsi="Calibri" w:eastAsia="仿宋_GB2312" w:cs="仿宋"/>
          <w:b/>
          <w:bCs w:val="0"/>
          <w:color w:val="auto"/>
          <w:sz w:val="28"/>
          <w:szCs w:val="28"/>
        </w:rPr>
      </w:pPr>
      <w:r>
        <w:rPr>
          <w:rFonts w:hint="eastAsia" w:ascii="仿宋_GB2312" w:hAnsi="Calibri" w:eastAsia="仿宋_GB2312" w:cs="仿宋"/>
          <w:b/>
          <w:bCs w:val="0"/>
          <w:color w:val="auto"/>
          <w:sz w:val="28"/>
          <w:szCs w:val="28"/>
        </w:rPr>
        <w:t>偏瘫</w:t>
      </w:r>
    </w:p>
    <w:p w14:paraId="1C085488">
      <w:pPr>
        <w:pStyle w:val="29"/>
        <w:spacing w:line="520" w:lineRule="exact"/>
        <w:ind w:left="0" w:leftChars="0" w:firstLine="560" w:firstLineChars="200"/>
        <w:rPr>
          <w:rFonts w:hint="eastAsia" w:ascii="仿宋_GB2312" w:hAnsi="Calibri" w:eastAsia="仿宋_GB2312" w:cs="仿宋"/>
          <w:bCs/>
          <w:color w:val="auto"/>
          <w:sz w:val="28"/>
          <w:szCs w:val="28"/>
          <w:lang w:val="en-US" w:eastAsia="zh-CN"/>
        </w:rPr>
      </w:pPr>
      <w:r>
        <w:rPr>
          <w:rFonts w:hint="eastAsia" w:ascii="仿宋_GB2312" w:hAnsi="Calibri" w:eastAsia="仿宋_GB2312" w:cs="仿宋"/>
          <w:bCs/>
          <w:color w:val="auto"/>
          <w:sz w:val="28"/>
          <w:szCs w:val="28"/>
          <w:lang w:val="en-US" w:eastAsia="zh-CN"/>
        </w:rPr>
        <w:t>因脑血管疾病（如脑梗死、脑出血）、脑外伤、脑部肿瘤等原因，导致身体对侧上下肢、躯干及面部肌肉出现不同程度的运动功能障碍。</w:t>
      </w:r>
    </w:p>
    <w:p w14:paraId="3D5520A0">
      <w:pPr>
        <w:pStyle w:val="29"/>
        <w:spacing w:line="520" w:lineRule="exact"/>
        <w:ind w:left="0" w:leftChars="0" w:firstLine="560" w:firstLineChars="200"/>
        <w:rPr>
          <w:rFonts w:hint="eastAsia" w:ascii="仿宋_GB2312" w:eastAsia="仿宋_GB2312" w:cs="仿宋"/>
          <w:bCs/>
          <w:color w:val="auto"/>
          <w:sz w:val="28"/>
          <w:szCs w:val="28"/>
          <w:lang w:eastAsia="zh-CN"/>
        </w:rPr>
      </w:pPr>
      <w:r>
        <w:rPr>
          <w:rFonts w:hint="eastAsia" w:ascii="仿宋_GB2312" w:eastAsia="仿宋_GB2312" w:cs="仿宋"/>
          <w:bCs/>
          <w:color w:val="auto"/>
          <w:sz w:val="28"/>
          <w:szCs w:val="28"/>
          <w:lang w:val="en-US" w:eastAsia="zh-CN"/>
        </w:rPr>
        <w:t>结合编制组工作经验，目前书籍给出的不易于医疗护理员理解，并结合实际进行改写</w:t>
      </w:r>
      <w:r>
        <w:rPr>
          <w:rFonts w:hint="eastAsia" w:ascii="仿宋_GB2312" w:eastAsia="仿宋_GB2312" w:cs="仿宋"/>
          <w:bCs/>
          <w:color w:val="auto"/>
          <w:sz w:val="28"/>
          <w:szCs w:val="28"/>
          <w:lang w:eastAsia="zh-CN"/>
        </w:rPr>
        <w:t>。</w:t>
      </w:r>
    </w:p>
    <w:p w14:paraId="0FF6AC9E">
      <w:pPr>
        <w:pStyle w:val="29"/>
        <w:spacing w:line="520" w:lineRule="exact"/>
        <w:ind w:left="0" w:leftChars="0" w:firstLine="560" w:firstLineChars="200"/>
        <w:rPr>
          <w:rFonts w:hint="eastAsia" w:ascii="仿宋_GB2312" w:hAnsi="Calibri" w:eastAsia="仿宋_GB2312" w:cs="仿宋"/>
          <w:bCs/>
          <w:color w:val="auto"/>
          <w:sz w:val="28"/>
          <w:szCs w:val="28"/>
          <w:lang w:val="en-US" w:eastAsia="zh-CN"/>
        </w:rPr>
      </w:pPr>
      <w:r>
        <w:rPr>
          <w:rFonts w:hint="eastAsia" w:ascii="仿宋_GB2312" w:hAnsi="Calibri" w:eastAsia="仿宋_GB2312" w:cs="仿宋"/>
          <w:bCs/>
          <w:color w:val="auto"/>
          <w:sz w:val="28"/>
          <w:szCs w:val="28"/>
          <w:lang w:val="en-US" w:eastAsia="zh-CN"/>
        </w:rPr>
        <w:t>主要参考：黄人健 李秀华.内科护理学高级教程[</w:t>
      </w:r>
      <w:r>
        <w:rPr>
          <w:rFonts w:hint="eastAsia" w:ascii="仿宋_GB2312" w:eastAsia="仿宋_GB2312" w:cs="仿宋"/>
          <w:bCs/>
          <w:color w:val="auto"/>
          <w:sz w:val="28"/>
          <w:szCs w:val="28"/>
          <w:lang w:val="en-US" w:eastAsia="zh-CN"/>
        </w:rPr>
        <w:t>M</w:t>
      </w:r>
      <w:r>
        <w:rPr>
          <w:rFonts w:hint="eastAsia" w:ascii="仿宋_GB2312" w:hAnsi="Calibri" w:eastAsia="仿宋_GB2312" w:cs="仿宋"/>
          <w:bCs/>
          <w:color w:val="auto"/>
          <w:sz w:val="28"/>
          <w:szCs w:val="28"/>
          <w:lang w:val="en-US" w:eastAsia="zh-CN"/>
        </w:rPr>
        <w:t>].中华医学电子音像出版社</w:t>
      </w:r>
      <w:r>
        <w:rPr>
          <w:rFonts w:hint="eastAsia" w:ascii="仿宋_GB2312" w:eastAsia="仿宋_GB2312" w:cs="仿宋"/>
          <w:bCs/>
          <w:color w:val="auto"/>
          <w:sz w:val="28"/>
          <w:szCs w:val="28"/>
          <w:lang w:val="en-US" w:eastAsia="zh-CN"/>
        </w:rPr>
        <w:t>，</w:t>
      </w:r>
      <w:r>
        <w:rPr>
          <w:rFonts w:hint="eastAsia" w:ascii="仿宋_GB2312" w:hAnsi="Calibri" w:eastAsia="仿宋_GB2312" w:cs="仿宋"/>
          <w:bCs/>
          <w:color w:val="auto"/>
          <w:sz w:val="28"/>
          <w:szCs w:val="28"/>
          <w:lang w:val="en-US" w:eastAsia="zh-CN"/>
        </w:rPr>
        <w:t>2016年5月并根据实际操作要求确定。</w:t>
      </w:r>
    </w:p>
    <w:p w14:paraId="71AEAAC6">
      <w:pPr>
        <w:pStyle w:val="29"/>
        <w:spacing w:line="520" w:lineRule="exact"/>
        <w:ind w:firstLine="562"/>
        <w:rPr>
          <w:rFonts w:hint="eastAsia" w:ascii="仿宋_GB2312" w:hAnsi="Calibri" w:eastAsia="仿宋_GB2312" w:cs="仿宋"/>
          <w:b/>
          <w:bCs w:val="0"/>
          <w:color w:val="auto"/>
          <w:sz w:val="28"/>
          <w:szCs w:val="28"/>
          <w:lang w:val="en-US" w:eastAsia="zh-CN"/>
        </w:rPr>
      </w:pPr>
      <w:r>
        <w:rPr>
          <w:rFonts w:hint="eastAsia" w:ascii="仿宋_GB2312" w:hAnsi="Calibri" w:eastAsia="仿宋_GB2312" w:cs="仿宋"/>
          <w:b/>
          <w:bCs w:val="0"/>
          <w:color w:val="auto"/>
          <w:sz w:val="28"/>
          <w:szCs w:val="28"/>
          <w:lang w:val="en-US" w:eastAsia="zh-CN"/>
        </w:rPr>
        <w:t>健侧卧位</w:t>
      </w:r>
    </w:p>
    <w:p w14:paraId="375E2412">
      <w:pPr>
        <w:pStyle w:val="29"/>
        <w:spacing w:line="520" w:lineRule="exact"/>
        <w:ind w:left="0" w:leftChars="0" w:firstLine="560" w:firstLineChars="200"/>
        <w:rPr>
          <w:rFonts w:hint="eastAsia" w:ascii="仿宋_GB2312" w:hAnsi="Calibri" w:eastAsia="仿宋_GB2312" w:cs="仿宋"/>
          <w:bCs/>
          <w:color w:val="auto"/>
          <w:sz w:val="28"/>
          <w:szCs w:val="28"/>
          <w:lang w:val="en-US" w:eastAsia="zh-CN"/>
        </w:rPr>
      </w:pPr>
      <w:r>
        <w:rPr>
          <w:rFonts w:hint="eastAsia" w:ascii="仿宋_GB2312" w:hAnsi="Calibri" w:eastAsia="仿宋_GB2312" w:cs="仿宋"/>
          <w:bCs/>
          <w:color w:val="auto"/>
          <w:sz w:val="28"/>
          <w:szCs w:val="28"/>
          <w:lang w:val="en-US" w:eastAsia="zh-CN"/>
        </w:rPr>
        <w:t>让患者朝向身体功能正常一侧（健侧）侧卧的体位，是偏瘫患者常用的基础护理体位之一。</w:t>
      </w:r>
    </w:p>
    <w:p w14:paraId="11F5D4B6">
      <w:pPr>
        <w:pStyle w:val="29"/>
        <w:spacing w:line="520" w:lineRule="exact"/>
        <w:ind w:firstLine="562"/>
        <w:rPr>
          <w:rFonts w:hint="eastAsia" w:ascii="仿宋_GB2312" w:hAnsi="Calibri" w:eastAsia="仿宋_GB2312" w:cs="仿宋"/>
          <w:b/>
          <w:bCs w:val="0"/>
          <w:color w:val="auto"/>
          <w:sz w:val="28"/>
          <w:szCs w:val="28"/>
          <w:lang w:val="en-US" w:eastAsia="zh-CN"/>
        </w:rPr>
      </w:pPr>
      <w:r>
        <w:rPr>
          <w:rFonts w:hint="eastAsia" w:ascii="仿宋_GB2312" w:hAnsi="Calibri" w:eastAsia="仿宋_GB2312" w:cs="仿宋"/>
          <w:b/>
          <w:bCs w:val="0"/>
          <w:color w:val="auto"/>
          <w:sz w:val="28"/>
          <w:szCs w:val="28"/>
          <w:lang w:val="en-US" w:eastAsia="zh-CN"/>
        </w:rPr>
        <w:t>患侧卧位</w:t>
      </w:r>
    </w:p>
    <w:p w14:paraId="65C90330">
      <w:pPr>
        <w:pStyle w:val="29"/>
        <w:spacing w:line="520" w:lineRule="exact"/>
        <w:ind w:left="0" w:leftChars="0" w:firstLine="560" w:firstLineChars="200"/>
        <w:rPr>
          <w:rFonts w:hint="eastAsia" w:ascii="仿宋_GB2312" w:hAnsi="Calibri" w:eastAsia="仿宋_GB2312" w:cs="仿宋"/>
          <w:bCs/>
          <w:color w:val="auto"/>
          <w:sz w:val="28"/>
          <w:szCs w:val="28"/>
          <w:lang w:val="en-US" w:eastAsia="zh-CN"/>
        </w:rPr>
      </w:pPr>
      <w:r>
        <w:rPr>
          <w:rFonts w:hint="eastAsia" w:ascii="仿宋_GB2312" w:hAnsi="Calibri" w:eastAsia="仿宋_GB2312" w:cs="仿宋"/>
          <w:bCs/>
          <w:color w:val="auto"/>
          <w:sz w:val="28"/>
          <w:szCs w:val="28"/>
          <w:lang w:val="en-US" w:eastAsia="zh-CN"/>
        </w:rPr>
        <w:t>让患者朝向身体功能障碍一侧（患侧）侧卧的体位，需在护理员指导与协助下完成。</w:t>
      </w:r>
    </w:p>
    <w:p w14:paraId="6E404049">
      <w:pPr>
        <w:pStyle w:val="29"/>
        <w:spacing w:line="520" w:lineRule="exact"/>
        <w:ind w:left="0" w:leftChars="0" w:firstLine="560" w:firstLineChars="200"/>
        <w:rPr>
          <w:rFonts w:hint="eastAsia" w:ascii="仿宋_GB2312" w:hAnsi="Calibri"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结合编制组工作经验，目前护理学实际操作要求进行改写</w:t>
      </w:r>
      <w:r>
        <w:rPr>
          <w:rFonts w:hint="eastAsia" w:ascii="仿宋_GB2312" w:eastAsia="仿宋_GB2312" w:cs="仿宋"/>
          <w:bCs/>
          <w:color w:val="auto"/>
          <w:sz w:val="28"/>
          <w:szCs w:val="28"/>
          <w:lang w:eastAsia="zh-CN"/>
        </w:rPr>
        <w:t>。</w:t>
      </w:r>
    </w:p>
    <w:p w14:paraId="4DEF1A74">
      <w:pPr>
        <w:pStyle w:val="29"/>
        <w:numPr>
          <w:ilvl w:val="0"/>
          <w:numId w:val="7"/>
        </w:numPr>
        <w:spacing w:line="520" w:lineRule="exact"/>
        <w:ind w:left="0" w:leftChars="0" w:firstLine="0" w:firstLineChars="0"/>
        <w:rPr>
          <w:rFonts w:hint="eastAsia" w:ascii="仿宋_GB2312" w:eastAsia="仿宋_GB2312" w:cs="仿宋"/>
          <w:b/>
          <w:bCs w:val="0"/>
          <w:color w:val="auto"/>
          <w:sz w:val="28"/>
          <w:szCs w:val="28"/>
          <w:lang w:val="en-US" w:eastAsia="zh-CN"/>
        </w:rPr>
      </w:pPr>
      <w:bookmarkStart w:id="1" w:name="_Toc130001562"/>
      <w:bookmarkStart w:id="2" w:name="_Toc130001592"/>
      <w:bookmarkStart w:id="3" w:name="_Toc129855049"/>
      <w:bookmarkStart w:id="4" w:name="_Toc130001751"/>
      <w:bookmarkStart w:id="5" w:name="_Toc129855215"/>
      <w:r>
        <w:rPr>
          <w:rFonts w:hint="eastAsia" w:ascii="仿宋_GB2312" w:eastAsia="仿宋_GB2312" w:cs="仿宋"/>
          <w:b/>
          <w:bCs w:val="0"/>
          <w:color w:val="auto"/>
          <w:sz w:val="28"/>
          <w:szCs w:val="28"/>
          <w:lang w:val="en-US" w:eastAsia="zh-CN"/>
        </w:rPr>
        <w:t>评估</w:t>
      </w:r>
      <w:bookmarkEnd w:id="1"/>
      <w:bookmarkEnd w:id="2"/>
      <w:bookmarkEnd w:id="3"/>
      <w:bookmarkEnd w:id="4"/>
      <w:bookmarkEnd w:id="5"/>
    </w:p>
    <w:p w14:paraId="4264AC4F">
      <w:pPr>
        <w:pStyle w:val="29"/>
        <w:spacing w:line="520" w:lineRule="exact"/>
        <w:ind w:left="0" w:leftChars="0" w:firstLine="560" w:firstLineChars="200"/>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协助患者翻身的目的是为了变换姿势，增进患者舒适度，满足治疗和护理的需要，预防压力性损伤、坠积性肺炎等并发症。需评估患者的精神状态、理解能力、进食时间、偏瘫肢体及肢体活动度、皮肤情况、有无导管、翻身需求等。床的制动情况，主要是为了确保患者在翻身过程中的安全和舒适，同时减少护理人员在操作过程中可能面临的物理压力和风险。</w:t>
      </w:r>
    </w:p>
    <w:p w14:paraId="2D9ECF84">
      <w:pPr>
        <w:pStyle w:val="29"/>
        <w:numPr>
          <w:ilvl w:val="0"/>
          <w:numId w:val="7"/>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操作前准备</w:t>
      </w:r>
    </w:p>
    <w:p w14:paraId="08DFD494">
      <w:pPr>
        <w:pStyle w:val="33"/>
        <w:numPr>
          <w:ilvl w:val="0"/>
          <w:numId w:val="0"/>
        </w:numPr>
        <w:spacing w:before="0" w:after="0" w:line="520" w:lineRule="exact"/>
        <w:ind w:left="0" w:leftChars="0" w:firstLine="560" w:firstLineChars="200"/>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准备楔形垫枕是因为楔形垫枕可以减轻背部、颈部和肩部的压力，缓解疼痛和不适感。软枕大中小型号各1～3个用于抬高患侧肢体或者减轻患者局部压力。</w:t>
      </w:r>
    </w:p>
    <w:p w14:paraId="0044373C">
      <w:pPr>
        <w:pStyle w:val="33"/>
        <w:numPr>
          <w:ilvl w:val="0"/>
          <w:numId w:val="0"/>
        </w:numPr>
        <w:spacing w:before="0" w:after="0" w:line="520" w:lineRule="exact"/>
        <w:ind w:left="0" w:leftChars="0" w:firstLine="560" w:firstLineChars="200"/>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在协助患者翻身的过程中，护理员需要频繁接触患者，可能接触到患者的体液、分泌物或被污染的物品，因此手卫生应符合WS/T 313是防止医院感染传播的重要措施。</w:t>
      </w:r>
    </w:p>
    <w:p w14:paraId="12FE61E6">
      <w:pPr>
        <w:pStyle w:val="29"/>
        <w:jc w:val="center"/>
        <w:rPr>
          <w:rFonts w:hint="eastAsia" w:ascii="黑体" w:hAnsi="黑体" w:eastAsia="黑体" w:cs="黑体"/>
          <w:bCs/>
          <w:color w:val="auto"/>
          <w:sz w:val="21"/>
          <w:szCs w:val="21"/>
          <w:lang w:val="en-US" w:eastAsia="zh-CN"/>
        </w:rPr>
      </w:pPr>
    </w:p>
    <w:p w14:paraId="02B25F6D">
      <w:pPr>
        <w:pStyle w:val="29"/>
        <w:numPr>
          <w:ilvl w:val="0"/>
          <w:numId w:val="7"/>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操作方法</w:t>
      </w:r>
    </w:p>
    <w:p w14:paraId="147AADAD">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（1）</w:t>
      </w:r>
      <w:bookmarkStart w:id="6" w:name="OLE_LINK1"/>
      <w:r>
        <w:rPr>
          <w:rFonts w:hint="eastAsia" w:ascii="仿宋_GB2312" w:eastAsia="仿宋_GB2312" w:cs="仿宋"/>
          <w:b/>
          <w:bCs w:val="0"/>
          <w:color w:val="auto"/>
          <w:sz w:val="28"/>
          <w:szCs w:val="28"/>
          <w:highlight w:val="none"/>
          <w:lang w:val="en-US" w:eastAsia="zh-CN"/>
        </w:rPr>
        <w:t>翻身取仰卧位</w:t>
      </w:r>
    </w:p>
    <w:p w14:paraId="7092A72B">
      <w:pPr>
        <w:pStyle w:val="29"/>
        <w:numPr>
          <w:ilvl w:val="0"/>
          <w:numId w:val="0"/>
        </w:numPr>
        <w:spacing w:line="520" w:lineRule="exact"/>
        <w:ind w:firstLine="560" w:firstLineChars="200"/>
        <w:rPr>
          <w:rFonts w:hint="eastAsia" w:ascii="仿宋_GB2312" w:hAnsi="Calibri" w:eastAsia="仿宋_GB2312" w:cs="仿宋"/>
          <w:bCs/>
          <w:color w:val="auto"/>
          <w:sz w:val="28"/>
          <w:szCs w:val="28"/>
          <w:lang w:val="en-US" w:eastAsia="zh-CN" w:bidi="ar"/>
        </w:rPr>
      </w:pPr>
      <w:r>
        <w:rPr>
          <w:rFonts w:hint="eastAsia" w:ascii="仿宋_GB2312" w:eastAsia="仿宋_GB2312" w:cs="仿宋"/>
          <w:bCs/>
          <w:color w:val="auto"/>
          <w:sz w:val="28"/>
          <w:szCs w:val="28"/>
          <w:highlight w:val="none"/>
          <w:lang w:val="en-US" w:eastAsia="zh-CN" w:bidi="ar"/>
        </w:rPr>
        <w:t>分为从健侧卧位翻身至仰卧位、从患侧卧位翻身至仰卧位</w:t>
      </w:r>
      <w:r>
        <w:rPr>
          <w:rFonts w:hint="eastAsia" w:ascii="仿宋_GB2312" w:hAnsi="Calibri" w:eastAsia="仿宋_GB2312" w:cs="仿宋"/>
          <w:bCs/>
          <w:color w:val="auto"/>
          <w:sz w:val="28"/>
          <w:szCs w:val="28"/>
          <w:lang w:val="en-US" w:eastAsia="zh-CN" w:bidi="ar"/>
        </w:rPr>
        <w:t>。</w:t>
      </w:r>
    </w:p>
    <w:p w14:paraId="79F0CB82">
      <w:pPr>
        <w:pStyle w:val="29"/>
        <w:numPr>
          <w:ilvl w:val="0"/>
          <w:numId w:val="0"/>
        </w:numPr>
        <w:spacing w:line="240" w:lineRule="auto"/>
        <w:ind w:firstLine="420" w:firstLineChars="200"/>
        <w:jc w:val="center"/>
        <w:rPr>
          <w:rFonts w:hint="eastAsia" w:ascii="仿宋_GB2312" w:hAnsi="Calibri" w:eastAsia="仿宋_GB2312" w:cs="仿宋"/>
          <w:bCs/>
          <w:color w:val="auto"/>
          <w:sz w:val="28"/>
          <w:szCs w:val="28"/>
          <w:lang w:val="en-US" w:eastAsia="zh-CN" w:bidi="ar"/>
        </w:rPr>
      </w:pPr>
      <w:r>
        <w:drawing>
          <wp:inline distT="0" distB="0" distL="0" distR="0">
            <wp:extent cx="2794635" cy="3728085"/>
            <wp:effectExtent l="0" t="0" r="12065" b="5715"/>
            <wp:docPr id="12245739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573919"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94635" cy="3728085"/>
                    </a:xfrm>
                    <a:prstGeom prst="rect">
                      <a:avLst/>
                    </a:prstGeom>
                    <a:noFill/>
                    <a:ln>
                      <a:noFill/>
                    </a:ln>
                  </pic:spPr>
                </pic:pic>
              </a:graphicData>
            </a:graphic>
          </wp:inline>
        </w:drawing>
      </w:r>
    </w:p>
    <w:p w14:paraId="0592963A">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bidi="ar"/>
        </w:rPr>
      </w:pPr>
      <w:r>
        <w:rPr>
          <w:rFonts w:hint="eastAsia" w:ascii="仿宋_GB2312" w:eastAsia="仿宋_GB2312" w:cs="仿宋"/>
          <w:b/>
          <w:bCs w:val="0"/>
          <w:color w:val="auto"/>
          <w:sz w:val="28"/>
          <w:szCs w:val="28"/>
          <w:highlight w:val="none"/>
          <w:lang w:val="en-US" w:eastAsia="zh-CN" w:bidi="ar"/>
        </w:rPr>
        <w:t>从健侧卧位翻身至仰卧位：</w:t>
      </w:r>
    </w:p>
    <w:p w14:paraId="1056330A">
      <w:pPr>
        <w:pStyle w:val="29"/>
        <w:numPr>
          <w:ilvl w:val="0"/>
          <w:numId w:val="0"/>
        </w:numPr>
        <w:spacing w:line="520" w:lineRule="exact"/>
        <w:ind w:firstLine="560" w:firstLineChars="200"/>
        <w:rPr>
          <w:rFonts w:hint="eastAsia" w:ascii="仿宋_GB2312" w:eastAsia="仿宋_GB2312" w:cs="仿宋"/>
          <w:b w:val="0"/>
          <w:bCs/>
          <w:color w:val="auto"/>
          <w:sz w:val="28"/>
          <w:szCs w:val="28"/>
          <w:highlight w:val="none"/>
          <w:lang w:val="en-US" w:eastAsia="zh-CN" w:bidi="ar"/>
        </w:rPr>
      </w:pPr>
      <w:r>
        <w:rPr>
          <w:rFonts w:hint="eastAsia" w:ascii="仿宋_GB2312" w:eastAsia="仿宋_GB2312" w:cs="仿宋"/>
          <w:b w:val="0"/>
          <w:bCs/>
          <w:color w:val="auto"/>
          <w:sz w:val="28"/>
          <w:szCs w:val="28"/>
          <w:highlight w:val="none"/>
          <w:lang w:val="en-US" w:eastAsia="zh-CN" w:bidi="ar"/>
        </w:rPr>
        <w:t>a)站于患者患侧，主要是便于医疗护理员操作；</w:t>
      </w:r>
    </w:p>
    <w:p w14:paraId="45E92572">
      <w:pPr>
        <w:pStyle w:val="29"/>
        <w:numPr>
          <w:ilvl w:val="0"/>
          <w:numId w:val="0"/>
        </w:numPr>
        <w:spacing w:line="520" w:lineRule="exact"/>
        <w:ind w:firstLine="560" w:firstLineChars="200"/>
        <w:rPr>
          <w:rFonts w:hint="eastAsia" w:ascii="仿宋_GB2312" w:eastAsia="仿宋_GB2312" w:cs="仿宋"/>
          <w:b w:val="0"/>
          <w:bCs/>
          <w:color w:val="auto"/>
          <w:sz w:val="28"/>
          <w:szCs w:val="28"/>
          <w:highlight w:val="none"/>
          <w:lang w:val="en-US" w:eastAsia="zh-CN" w:bidi="ar"/>
        </w:rPr>
      </w:pPr>
      <w:r>
        <w:rPr>
          <w:rFonts w:hint="eastAsia" w:ascii="仿宋_GB2312" w:eastAsia="仿宋_GB2312" w:cs="仿宋"/>
          <w:b w:val="0"/>
          <w:bCs/>
          <w:color w:val="auto"/>
          <w:sz w:val="28"/>
          <w:szCs w:val="28"/>
          <w:highlight w:val="none"/>
          <w:lang w:val="en-US" w:eastAsia="zh-CN" w:bidi="ar"/>
        </w:rPr>
        <w:t>b)协助患者将患侧上肢交叉放于胸前（掌心朝向健侧），健侧腿屈膝，脚平放于床面；</w:t>
      </w:r>
    </w:p>
    <w:p w14:paraId="777558EA">
      <w:pPr>
        <w:pStyle w:val="29"/>
        <w:numPr>
          <w:ilvl w:val="0"/>
          <w:numId w:val="0"/>
        </w:numPr>
        <w:spacing w:line="520" w:lineRule="exact"/>
        <w:ind w:firstLine="560" w:firstLineChars="200"/>
        <w:rPr>
          <w:rFonts w:hint="eastAsia" w:ascii="仿宋_GB2312" w:eastAsia="仿宋_GB2312" w:cs="仿宋"/>
          <w:b w:val="0"/>
          <w:bCs/>
          <w:color w:val="auto"/>
          <w:sz w:val="28"/>
          <w:szCs w:val="28"/>
          <w:highlight w:val="none"/>
          <w:lang w:val="en-US" w:eastAsia="zh-CN" w:bidi="ar"/>
        </w:rPr>
      </w:pPr>
      <w:r>
        <w:rPr>
          <w:rFonts w:hint="eastAsia" w:ascii="仿宋_GB2312" w:eastAsia="仿宋_GB2312" w:cs="仿宋"/>
          <w:b w:val="0"/>
          <w:bCs/>
          <w:color w:val="auto"/>
          <w:sz w:val="28"/>
          <w:szCs w:val="28"/>
          <w:highlight w:val="none"/>
          <w:lang w:val="en-US" w:eastAsia="zh-CN" w:bidi="ar"/>
        </w:rPr>
        <w:t>c)一手扶住患者患侧肩部，防止肩关节脱位，另一手托住患侧髋部，避免躯干扭转，缓慢将患者身体转向患侧方调整为仰卧位，同时引导患者头部随身体转动</w:t>
      </w:r>
    </w:p>
    <w:p w14:paraId="15237A5F">
      <w:pPr>
        <w:pStyle w:val="29"/>
        <w:numPr>
          <w:ilvl w:val="0"/>
          <w:numId w:val="0"/>
        </w:numPr>
        <w:spacing w:line="520" w:lineRule="exact"/>
        <w:ind w:firstLine="560" w:firstLineChars="200"/>
        <w:rPr>
          <w:rFonts w:hint="default" w:ascii="仿宋_GB2312" w:eastAsia="仿宋_GB2312" w:cs="仿宋"/>
          <w:b w:val="0"/>
          <w:bCs/>
          <w:color w:val="auto"/>
          <w:sz w:val="28"/>
          <w:szCs w:val="28"/>
          <w:highlight w:val="none"/>
          <w:lang w:val="en-US" w:eastAsia="zh-CN" w:bidi="ar"/>
        </w:rPr>
      </w:pPr>
      <w:r>
        <w:rPr>
          <w:rFonts w:hint="eastAsia" w:ascii="仿宋_GB2312" w:eastAsia="仿宋_GB2312" w:cs="仿宋"/>
          <w:b w:val="0"/>
          <w:bCs/>
          <w:color w:val="auto"/>
          <w:sz w:val="28"/>
          <w:szCs w:val="28"/>
          <w:highlight w:val="none"/>
          <w:lang w:val="en-US" w:eastAsia="zh-CN" w:bidi="ar"/>
        </w:rPr>
        <w:t>d)患侧肩胛和上肢下垫一长枕，上臂旋后，肘与腕均伸直，掌心向上，手指伸展位，整个上肢平放于枕上；患侧髋下、臀部、大腿外侧放垫枕；膝下稍垫起,保持伸展微屈。</w:t>
      </w:r>
    </w:p>
    <w:bookmarkEnd w:id="6"/>
    <w:p w14:paraId="5836E84C">
      <w:pPr>
        <w:pStyle w:val="29"/>
        <w:numPr>
          <w:ilvl w:val="0"/>
          <w:numId w:val="0"/>
        </w:numPr>
        <w:spacing w:line="520" w:lineRule="exact"/>
        <w:jc w:val="center"/>
        <w:rPr>
          <w:rFonts w:hint="eastAsia" w:ascii="黑体" w:hAnsi="黑体" w:eastAsia="黑体" w:cs="黑体"/>
          <w:bCs/>
          <w:color w:val="auto"/>
          <w:sz w:val="24"/>
          <w:szCs w:val="24"/>
          <w:highlight w:val="none"/>
          <w:lang w:val="en-US" w:eastAsia="zh-CN"/>
        </w:rPr>
      </w:pPr>
      <w:r>
        <w:rPr>
          <w:rFonts w:hint="eastAsia" w:ascii="黑体" w:hAnsi="黑体" w:eastAsia="黑体" w:cs="黑体"/>
          <w:bCs/>
          <w:color w:val="auto"/>
          <w:sz w:val="24"/>
          <w:szCs w:val="24"/>
          <w:highlight w:val="none"/>
          <w:lang w:val="en-US" w:eastAsia="zh-CN"/>
        </w:rPr>
        <w:t>从健侧卧位翻身至仰卧位病例以及操作记录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28FC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7FD8D0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7AF4021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AB7DD5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5C1A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8DDC37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bookmarkStart w:id="7" w:name="OLE_LINK37"/>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6E263A1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a)站于患者患侧；</w:t>
            </w:r>
          </w:p>
          <w:p w14:paraId="56878D4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b)协助患者将患侧上肢交叉放于胸前，取出腰背部及下肢垫枕，健侧腿屈膝，脚平放于床面；</w:t>
            </w:r>
          </w:p>
          <w:p w14:paraId="1E33887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c)一手扶住患侧肩部，另一手托住患侧髋部，缓慢将患者身体转向患侧方调整为仰卧位，同时引导患者头部随身体转动；</w:t>
            </w:r>
          </w:p>
          <w:p w14:paraId="1546FFE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d）患侧肩胛和上肢下垫一长枕，上臂旋后，肘与腕均伸直，掌心向上，手指伸展位，整个上肢平放于枕上；患侧髋下、臀部、大腿外侧放垫枕；膝下稍垫起,保持伸展微屈。</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6BFB1D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4000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1982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5005C4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75EF10E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7632E6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5100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2AE8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8FFA7E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A2E048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77D8DF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5700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bookmarkEnd w:id="7"/>
        </w:tc>
      </w:tr>
    </w:tbl>
    <w:p w14:paraId="0B4255EE">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bidi="ar"/>
        </w:rPr>
      </w:pPr>
      <w:r>
        <w:rPr>
          <w:rFonts w:hint="eastAsia" w:ascii="仿宋_GB2312" w:eastAsia="仿宋_GB2312" w:cs="仿宋"/>
          <w:b/>
          <w:bCs w:val="0"/>
          <w:color w:val="auto"/>
          <w:sz w:val="28"/>
          <w:szCs w:val="28"/>
          <w:highlight w:val="none"/>
          <w:lang w:val="en-US" w:eastAsia="zh-CN" w:bidi="ar"/>
        </w:rPr>
        <w:t>从患侧卧位翻身至仰卧位：</w:t>
      </w:r>
    </w:p>
    <w:p w14:paraId="63977542">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a)站于患者健侧</w:t>
      </w:r>
      <w:r>
        <w:rPr>
          <w:rFonts w:hint="eastAsia" w:ascii="仿宋_GB2312" w:eastAsia="仿宋_GB2312" w:cs="仿宋"/>
          <w:b w:val="0"/>
          <w:bCs/>
          <w:color w:val="auto"/>
          <w:sz w:val="28"/>
          <w:szCs w:val="28"/>
          <w:highlight w:val="none"/>
          <w:lang w:val="en-US" w:eastAsia="zh-CN" w:bidi="ar"/>
        </w:rPr>
        <w:t>，主要是便于医疗护理员操作；</w:t>
      </w:r>
    </w:p>
    <w:p w14:paraId="13E145C4">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b)将患者健侧上肢轻柔放置；</w:t>
      </w:r>
    </w:p>
    <w:p w14:paraId="252D0AAE">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c)一手扶住患者健侧肩部，另一手托住健侧髋部，避免躯干扭转，缓慢将患者身体转向健侧方调整为仰卧位，同时引导患者头部随身体转动。</w:t>
      </w:r>
    </w:p>
    <w:p w14:paraId="3176F7CF">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从患侧卧位翻身至仰卧位病例以及操作记录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3BD5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FE1F96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65D6C8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F4E31D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2424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333FB0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479C466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a)站于患者健侧；</w:t>
            </w:r>
          </w:p>
          <w:p w14:paraId="27D30DA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b)将患者健侧上肢轻柔放置；</w:t>
            </w:r>
          </w:p>
          <w:p w14:paraId="21D08C4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c)一手扶住患者健侧肩部，另一手托住健侧髋部缓慢将患者身体转向健侧方调整为仰卧位，同时引导患者头部随身体转动。</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F1328D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4000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06B7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204BD4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23CB09D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6C36DB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5100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47DB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D83267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6520962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E59FD2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5700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687308D0">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hAnsi="Calibri" w:eastAsia="仿宋_GB2312" w:cs="仿宋"/>
          <w:b/>
          <w:bCs w:val="0"/>
          <w:color w:val="auto"/>
          <w:sz w:val="28"/>
          <w:szCs w:val="28"/>
          <w:lang w:val="en-US" w:eastAsia="zh-CN" w:bidi="ar-SA"/>
        </w:rPr>
        <w:t>（</w:t>
      </w:r>
      <w:r>
        <w:rPr>
          <w:rFonts w:hint="eastAsia" w:ascii="仿宋_GB2312" w:eastAsia="仿宋_GB2312" w:cs="仿宋"/>
          <w:b/>
          <w:bCs w:val="0"/>
          <w:color w:val="auto"/>
          <w:sz w:val="28"/>
          <w:szCs w:val="28"/>
          <w:lang w:val="en-US" w:eastAsia="zh-CN" w:bidi="ar-SA"/>
        </w:rPr>
        <w:t>2</w:t>
      </w:r>
      <w:r>
        <w:rPr>
          <w:rFonts w:hint="eastAsia" w:ascii="仿宋_GB2312" w:hAnsi="Calibri" w:eastAsia="仿宋_GB2312" w:cs="仿宋"/>
          <w:b/>
          <w:bCs w:val="0"/>
          <w:color w:val="auto"/>
          <w:sz w:val="28"/>
          <w:szCs w:val="28"/>
          <w:lang w:val="en-US" w:eastAsia="zh-CN" w:bidi="ar-SA"/>
        </w:rPr>
        <w:t>）</w:t>
      </w:r>
      <w:bookmarkStart w:id="8" w:name="OLE_LINK4"/>
      <w:r>
        <w:rPr>
          <w:rFonts w:hint="eastAsia" w:ascii="仿宋_GB2312" w:eastAsia="仿宋_GB2312" w:cs="仿宋"/>
          <w:b/>
          <w:bCs w:val="0"/>
          <w:color w:val="auto"/>
          <w:sz w:val="28"/>
          <w:szCs w:val="28"/>
          <w:highlight w:val="none"/>
          <w:lang w:val="en-US" w:eastAsia="zh-CN"/>
        </w:rPr>
        <w:t>翻身取健侧卧位</w:t>
      </w:r>
    </w:p>
    <w:p w14:paraId="7ABB42EF">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 xml:space="preserve">a)固定病床，根据病情调节床、床头及床尾高度，拉对侧床栏，如有导管应妥善固定，操作者站于近侧床栏，移枕、松被，协助患者取仰卧位； </w:t>
      </w:r>
    </w:p>
    <w:p w14:paraId="4F478DC0">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b)协助患者健侧下肢屈髋屈膝，健侧足背插入患侧踝关节，借助健侧力量移动患侧下肢到患侧床沿，协助抬起患者肩胛、骨盆，移动臀部及头部到患侧床沿；</w:t>
      </w:r>
    </w:p>
    <w:p w14:paraId="28D31977">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c)协助患者十指交叉相握，患侧拇指在上，借助健侧手臂力量使双上肢前伸80°～90°（参考《康复护理技术操作规程》“肩上举约90°”，结合实践给出范围80°～90°），头转向健侧方；</w:t>
      </w:r>
    </w:p>
    <w:p w14:paraId="23CC733E">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d)用健侧上肢的力量借助惯性作用，带动患侧上肢来回摆动2～3次（结合实践来回摆动2～3次患者可借助惯性翻身，摆动过少接力不足，过多接力过大宜发生事故）后，借助双上肢摆动的惯性翻身至健侧；</w:t>
      </w:r>
    </w:p>
    <w:p w14:paraId="2DD750CA">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e)查看患者皮肤；</w:t>
      </w:r>
    </w:p>
    <w:p w14:paraId="6F660F6E">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f)背后用楔形垫枕支撑，患侧上肢伸展，掌心向下，为减轻患侧压力预防压疮下垫1个大软枕，患侧下肢微屈，垫1～2个软枕也是为了减轻压力，患侧足踝关节不应悬空，是因为足踝关节悬空可能会有足下垂的风险。</w:t>
      </w:r>
    </w:p>
    <w:p w14:paraId="7E5DF26F">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主要参考：郑彩娥</w:t>
      </w:r>
      <w:r>
        <w:rPr>
          <w:rFonts w:hint="default" w:ascii="仿宋_GB2312" w:eastAsia="仿宋_GB2312" w:cs="仿宋"/>
          <w:bCs/>
          <w:color w:val="auto"/>
          <w:sz w:val="28"/>
          <w:szCs w:val="28"/>
          <w:highlight w:val="none"/>
          <w:lang w:val="en-US" w:eastAsia="zh-CN"/>
        </w:rPr>
        <w:t>、李秀云</w:t>
      </w:r>
      <w:r>
        <w:rPr>
          <w:rFonts w:hint="eastAsia" w:ascii="仿宋_GB2312" w:eastAsia="仿宋_GB2312" w:cs="仿宋"/>
          <w:bCs/>
          <w:color w:val="auto"/>
          <w:sz w:val="28"/>
          <w:szCs w:val="28"/>
          <w:highlight w:val="none"/>
          <w:lang w:val="en-US" w:eastAsia="zh-CN"/>
        </w:rPr>
        <w:t>，康复护理技术操作规程[M]，人民卫生出版社，2018年</w:t>
      </w:r>
    </w:p>
    <w:p w14:paraId="2487B472">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翻身取健侧卧位病例以及操作记录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564C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1FF5F9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77EA0F2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46387D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778AD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F312F4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38D1B39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 xml:space="preserve">a)固定病床，根据病情调节床高度，拉上对侧床栏，如有导管应妥善固定，操作者站于近侧床栏，移枕、松被，协助患者取仰卧位； </w:t>
            </w:r>
          </w:p>
          <w:p w14:paraId="6C12BB4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b)指导患者健侧下肢屈髋屈膝，用健足从患侧腘窝处插入并沿患侧小腿下滑至患侧踝关节，借助健侧力量移动患侧下肢到患侧床沿，健手屈肘撑于床面，协助患者抬起骨盆、肩胛，移动臀部及头部到患侧床沿；</w:t>
            </w:r>
          </w:p>
          <w:p w14:paraId="0F4812A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c)健侧腿屈膝，脚平放于床面，协助患者十指交叉相握，患侧拇指在上，借助健侧手臂力量使双上肢前伸80°～90°，头转向健侧方；</w:t>
            </w:r>
          </w:p>
          <w:p w14:paraId="60575BE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d)用健侧上肢的力量借助惯性作用，带动患侧上肢来回摆动2～3次后，借助双上肢摆动的惯性翻身至健侧；</w:t>
            </w:r>
          </w:p>
          <w:p w14:paraId="1392061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e)查看患者皮肤；</w:t>
            </w:r>
          </w:p>
          <w:p w14:paraId="3E882DF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背后用楔形垫枕支撑，患侧上肢伸展，掌心向下，下垫1个大软枕，患侧下肢微屈，垫1～2个软枕，患侧足踝关节不应悬空。</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575D47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4000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6DD9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40FCB1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424422F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883308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5100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6DEA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5E2A25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394DBE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F9654D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5700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bookmarkEnd w:id="8"/>
    </w:tbl>
    <w:p w14:paraId="69B0FF1E">
      <w:pPr>
        <w:pStyle w:val="12"/>
        <w:keepNext w:val="0"/>
        <w:keepLines w:val="0"/>
        <w:widowControl/>
        <w:numPr>
          <w:ilvl w:val="0"/>
          <w:numId w:val="8"/>
        </w:numPr>
        <w:suppressLineNumbers w:val="0"/>
        <w:autoSpaceDE w:val="0"/>
        <w:autoSpaceDN w:val="0"/>
        <w:adjustRightInd/>
        <w:spacing w:before="0" w:beforeAutospacing="0" w:after="0" w:afterAutospacing="0" w:line="240" w:lineRule="auto"/>
        <w:ind w:left="0" w:right="0" w:firstLine="562" w:firstLineChars="200"/>
        <w:jc w:val="both"/>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翻身取患侧卧位</w:t>
      </w:r>
    </w:p>
    <w:p w14:paraId="7D6E1B9A">
      <w:pPr>
        <w:pStyle w:val="12"/>
        <w:keepNext w:val="0"/>
        <w:keepLines w:val="0"/>
        <w:widowControl/>
        <w:numPr>
          <w:numId w:val="0"/>
        </w:numPr>
        <w:suppressLineNumbers w:val="0"/>
        <w:autoSpaceDE w:val="0"/>
        <w:autoSpaceDN w:val="0"/>
        <w:adjustRightInd/>
        <w:spacing w:before="0" w:beforeAutospacing="0" w:after="0" w:afterAutospacing="0" w:line="240" w:lineRule="auto"/>
        <w:ind w:leftChars="200" w:right="0" w:rightChars="0"/>
        <w:jc w:val="center"/>
        <w:rPr>
          <w:rFonts w:hint="eastAsia" w:ascii="仿宋_GB2312" w:eastAsia="仿宋_GB2312" w:cs="仿宋"/>
          <w:b/>
          <w:bCs w:val="0"/>
          <w:color w:val="auto"/>
          <w:sz w:val="28"/>
          <w:szCs w:val="28"/>
          <w:highlight w:val="none"/>
          <w:lang w:val="en-US" w:eastAsia="zh-CN"/>
        </w:rPr>
      </w:pPr>
      <w:r>
        <w:drawing>
          <wp:inline distT="0" distB="0" distL="0" distR="0">
            <wp:extent cx="2179955" cy="1633855"/>
            <wp:effectExtent l="0" t="0" r="4445" b="4445"/>
            <wp:docPr id="11615773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577350"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179955" cy="1633855"/>
                    </a:xfrm>
                    <a:prstGeom prst="rect">
                      <a:avLst/>
                    </a:prstGeom>
                    <a:noFill/>
                    <a:ln>
                      <a:noFill/>
                    </a:ln>
                  </pic:spPr>
                </pic:pic>
              </a:graphicData>
            </a:graphic>
          </wp:inline>
        </w:drawing>
      </w:r>
      <w:r>
        <w:drawing>
          <wp:inline distT="0" distB="0" distL="0" distR="0">
            <wp:extent cx="2174240" cy="1630680"/>
            <wp:effectExtent l="0" t="0" r="10160" b="7620"/>
            <wp:docPr id="2017578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578563"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74240" cy="1630680"/>
                    </a:xfrm>
                    <a:prstGeom prst="rect">
                      <a:avLst/>
                    </a:prstGeom>
                    <a:noFill/>
                    <a:ln>
                      <a:noFill/>
                    </a:ln>
                  </pic:spPr>
                </pic:pic>
              </a:graphicData>
            </a:graphic>
          </wp:inline>
        </w:drawing>
      </w:r>
    </w:p>
    <w:p w14:paraId="137A7D61">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a)同6.2 a）；</w:t>
      </w:r>
      <w:bookmarkStart w:id="9" w:name="_GoBack"/>
      <w:bookmarkEnd w:id="9"/>
    </w:p>
    <w:p w14:paraId="1F497708">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b)协助患者健侧下肢屈髋屈膝，健侧足背插入患侧踝关节，借助健侧力量移动患侧下肢到患侧床沿，协助抬起患者肩胛、骨盆，移动臀部及头部到健侧床沿；</w:t>
      </w:r>
    </w:p>
    <w:p w14:paraId="6C2727D2">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c)协助患者十指交叉相握，患侧拇指在上，借助健侧手臂力量使双上肢前伸80°～90°（参考《康复护理技术操作规程》“肩上举约90°”，结合实践给出范围80°～90°），头转向患侧方；</w:t>
      </w:r>
    </w:p>
    <w:p w14:paraId="7A030784">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d)用健侧上肢的力量借助惯性作用，带动患侧上肢来回摆动2～3次后，借助双上肢摆动的惯性翻身至患侧；</w:t>
      </w:r>
    </w:p>
    <w:p w14:paraId="77B1A1AB">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e)查看病人皮肤；</w:t>
      </w:r>
    </w:p>
    <w:p w14:paraId="326BB4A2">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f)整理头部垫枕，背后楔形垫枕1～2个，使躯干稍后靠侧卧；</w:t>
      </w:r>
    </w:p>
    <w:p w14:paraId="3BE36769">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g)患臂外展向前伸，掌心向上，轻托出患肩向前伸展，前臂旋后，肘与腕均伸直；</w:t>
      </w:r>
    </w:p>
    <w:p w14:paraId="1A40C11D">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h)患侧下肢髋部稍后伸、膝关节轻度屈曲位放于床上，足背80°～90°（结合实践经验，部分患者无法达到90度，可给出范围足背80°～90°），健腿屈髋屈膝向前放于大软枕上；</w:t>
      </w:r>
    </w:p>
    <w:p w14:paraId="7D7E4FD6">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i)健侧上肢放松，自由放在胸前的枕上或躯干舒适的位置。</w:t>
      </w:r>
    </w:p>
    <w:p w14:paraId="496365D5">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主要参考：郑彩娥</w:t>
      </w:r>
      <w:r>
        <w:rPr>
          <w:rFonts w:hint="default" w:ascii="仿宋_GB2312" w:eastAsia="仿宋_GB2312" w:cs="仿宋"/>
          <w:bCs/>
          <w:color w:val="auto"/>
          <w:sz w:val="28"/>
          <w:szCs w:val="28"/>
          <w:highlight w:val="none"/>
          <w:lang w:val="en-US" w:eastAsia="zh-CN"/>
        </w:rPr>
        <w:t>、李秀云</w:t>
      </w:r>
      <w:r>
        <w:rPr>
          <w:rFonts w:hint="eastAsia" w:ascii="仿宋_GB2312" w:eastAsia="仿宋_GB2312" w:cs="仿宋"/>
          <w:bCs/>
          <w:color w:val="auto"/>
          <w:sz w:val="28"/>
          <w:szCs w:val="28"/>
          <w:highlight w:val="none"/>
          <w:lang w:val="en-US" w:eastAsia="zh-CN"/>
        </w:rPr>
        <w:t>，康复护理技术操作规程[M]，人民卫生出版社，2018年。</w:t>
      </w:r>
    </w:p>
    <w:p w14:paraId="7A95777A">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翻身取健侧卧位病例以及操作记录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5DC0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87602C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616EBC2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497B76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72B8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1651C9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315F05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a)同6.2 a）；</w:t>
            </w:r>
          </w:p>
          <w:p w14:paraId="1447945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b)协助患者健侧下肢屈髋屈膝，健侧足背插入患侧踝关节，借助健侧力量移动患侧下肢到患侧床沿，协助抬起患者肩胛、骨盆，移动臀部及头部到健侧床沿；</w:t>
            </w:r>
          </w:p>
          <w:p w14:paraId="1571306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c)协助患者十指交叉相握，患侧拇指在上，借助健侧手臂力量使双上肢前伸80°～90°，头转向患侧方；</w:t>
            </w:r>
          </w:p>
          <w:p w14:paraId="38B3C3D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d)用健侧上肢的力量借助惯性作用，带动患侧上肢来回摆动2～3次后，借助双上肢摆动的惯性翻身至患侧；</w:t>
            </w:r>
          </w:p>
          <w:p w14:paraId="30110B2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e)查看病人皮肤；</w:t>
            </w:r>
          </w:p>
          <w:p w14:paraId="7ED59B8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f)整理头部垫枕，背后楔形垫枕1～2个，使躯干稍后靠侧卧；</w:t>
            </w:r>
          </w:p>
          <w:p w14:paraId="3C1B2E2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g)患臂外展向前伸，掌心向上，轻托出患肩向前伸展，前臂旋后，肘与腕均伸直；</w:t>
            </w:r>
          </w:p>
          <w:p w14:paraId="2229487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h)患侧下肢髋部稍后伸、膝关节轻度屈曲位放于床上，足背80°～90°，健腿屈髋屈膝向前放于大软枕上；</w:t>
            </w:r>
          </w:p>
          <w:p w14:paraId="2C2BCBB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i)健侧上肢放松，自由放在胸前的枕上或躯干舒适的位置。</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68E91F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4000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27CCA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793DB0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688AFAB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C248E1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5100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23EB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EF19A0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4551AE5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7066C2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5700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（如压疮、坠床等）发生率</w:t>
            </w:r>
            <w:r>
              <w:rPr>
                <w:rFonts w:hint="default" w:ascii="仿宋_GB2312" w:eastAsia="仿宋_GB2312" w:cs="仿宋"/>
                <w:bCs/>
                <w:color w:val="auto"/>
                <w:sz w:val="21"/>
                <w:szCs w:val="21"/>
                <w:highlight w:val="none"/>
                <w:lang w:val="en" w:eastAsia="zh-CN"/>
              </w:rPr>
              <w:t>0</w:t>
            </w:r>
            <w:r>
              <w:rPr>
                <w:rFonts w:hint="eastAsia" w:ascii="仿宋_GB2312" w:eastAsia="仿宋_GB2312" w:cs="仿宋"/>
                <w:bCs/>
                <w:color w:val="auto"/>
                <w:sz w:val="21"/>
                <w:szCs w:val="21"/>
                <w:highlight w:val="none"/>
                <w:lang w:val="en-US" w:eastAsia="zh-CN"/>
              </w:rPr>
              <w:t>%</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100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4B6FA95D">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（五）注意事项</w:t>
      </w:r>
    </w:p>
    <w:p w14:paraId="6A73614F">
      <w:pPr>
        <w:pStyle w:val="29"/>
        <w:spacing w:line="520" w:lineRule="exact"/>
        <w:ind w:left="0" w:leftChars="0" w:firstLine="560" w:firstLineChars="200"/>
        <w:rPr>
          <w:rFonts w:hint="eastAsia" w:ascii="仿宋_GB2312" w:eastAsia="仿宋_GB2312" w:cs="仿宋"/>
          <w:b w:val="0"/>
          <w:bCs/>
          <w:color w:val="auto"/>
          <w:sz w:val="28"/>
          <w:szCs w:val="28"/>
          <w:lang w:val="en-US" w:eastAsia="zh-CN"/>
        </w:rPr>
      </w:pPr>
      <w:r>
        <w:rPr>
          <w:rFonts w:hint="default" w:ascii="仿宋_GB2312" w:eastAsia="仿宋_GB2312" w:cs="仿宋"/>
          <w:bCs/>
          <w:color w:val="auto"/>
          <w:sz w:val="28"/>
          <w:szCs w:val="28"/>
          <w:lang w:val="en-US" w:eastAsia="zh-CN"/>
        </w:rPr>
        <w:t>注意事项如下：</w:t>
      </w:r>
      <w:r>
        <w:rPr>
          <w:rFonts w:hint="eastAsia" w:ascii="仿宋_GB2312" w:eastAsia="仿宋_GB2312" w:cs="仿宋"/>
          <w:bCs/>
          <w:color w:val="auto"/>
          <w:sz w:val="28"/>
          <w:szCs w:val="28"/>
          <w:lang w:val="en-US" w:eastAsia="zh-CN"/>
        </w:rPr>
        <w:t>（1）</w:t>
      </w:r>
      <w:r>
        <w:rPr>
          <w:rFonts w:hint="eastAsia" w:ascii="仿宋_GB2312" w:hAnsi="Calibri" w:eastAsia="仿宋_GB2312" w:cs="仿宋"/>
          <w:bCs/>
          <w:color w:val="auto"/>
          <w:sz w:val="28"/>
          <w:szCs w:val="28"/>
          <w:lang w:val="en-US" w:eastAsia="zh-CN" w:bidi="ar-SA"/>
        </w:rPr>
        <w:t>一卧位不应保持超过2h</w:t>
      </w:r>
      <w:r>
        <w:rPr>
          <w:rFonts w:hint="eastAsia" w:ascii="仿宋_GB2312" w:eastAsia="仿宋_GB2312" w:cs="仿宋"/>
          <w:bCs/>
          <w:color w:val="auto"/>
          <w:sz w:val="28"/>
          <w:szCs w:val="28"/>
          <w:lang w:val="en-US" w:eastAsia="zh-CN" w:bidi="ar-SA"/>
        </w:rPr>
        <w:t>，超过2h易引起压疮</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（2）</w:t>
      </w:r>
      <w:r>
        <w:rPr>
          <w:rFonts w:hint="eastAsia" w:ascii="仿宋_GB2312" w:hAnsi="Calibri" w:eastAsia="仿宋_GB2312" w:cs="仿宋"/>
          <w:bCs/>
          <w:color w:val="auto"/>
          <w:sz w:val="28"/>
          <w:szCs w:val="28"/>
          <w:lang w:val="en-US" w:eastAsia="zh-CN" w:bidi="ar-SA"/>
        </w:rPr>
        <w:t>不宜在进食后半小时内翻身</w:t>
      </w:r>
      <w:r>
        <w:rPr>
          <w:rFonts w:hint="eastAsia" w:ascii="仿宋_GB2312" w:eastAsia="仿宋_GB2312" w:cs="仿宋"/>
          <w:bCs/>
          <w:color w:val="auto"/>
          <w:sz w:val="28"/>
          <w:szCs w:val="28"/>
          <w:lang w:val="en-US" w:eastAsia="zh-CN" w:bidi="ar-SA"/>
        </w:rPr>
        <w:t>，半小时内翻身可能会导致患者恶心呕吐</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（3）</w:t>
      </w:r>
      <w:r>
        <w:rPr>
          <w:rFonts w:hint="eastAsia" w:ascii="仿宋_GB2312" w:hAnsi="Calibri" w:eastAsia="仿宋_GB2312" w:cs="仿宋"/>
          <w:bCs/>
          <w:color w:val="auto"/>
          <w:sz w:val="28"/>
          <w:szCs w:val="28"/>
          <w:lang w:val="en-US" w:eastAsia="zh-CN" w:bidi="ar-SA"/>
        </w:rPr>
        <w:t>翻身前应确认床边有足够的空间翻身。</w:t>
      </w:r>
      <w:r>
        <w:rPr>
          <w:rFonts w:hint="eastAsia" w:ascii="仿宋_GB2312" w:eastAsia="仿宋_GB2312" w:cs="仿宋"/>
          <w:bCs/>
          <w:color w:val="auto"/>
          <w:sz w:val="28"/>
          <w:szCs w:val="28"/>
          <w:lang w:val="en-US" w:eastAsia="zh-CN" w:bidi="ar-SA"/>
        </w:rPr>
        <w:t>（4）</w:t>
      </w:r>
      <w:r>
        <w:rPr>
          <w:rFonts w:hint="eastAsia" w:ascii="仿宋_GB2312" w:hAnsi="Calibri" w:eastAsia="仿宋_GB2312" w:cs="仿宋"/>
          <w:bCs/>
          <w:color w:val="auto"/>
          <w:sz w:val="28"/>
          <w:szCs w:val="28"/>
          <w:lang w:val="en-US" w:eastAsia="zh-CN" w:bidi="ar-SA"/>
        </w:rPr>
        <w:t>翻身动作应轻柔，不应拖、拉、拽患侧肢体。</w:t>
      </w:r>
      <w:r>
        <w:rPr>
          <w:rFonts w:hint="eastAsia" w:ascii="仿宋_GB2312" w:eastAsia="仿宋_GB2312" w:cs="仿宋"/>
          <w:bCs/>
          <w:color w:val="auto"/>
          <w:sz w:val="28"/>
          <w:szCs w:val="28"/>
          <w:lang w:val="en-US" w:eastAsia="zh-CN" w:bidi="ar-SA"/>
        </w:rPr>
        <w:t>（5）</w:t>
      </w:r>
      <w:r>
        <w:rPr>
          <w:rFonts w:hint="eastAsia" w:ascii="仿宋_GB2312" w:hAnsi="Calibri" w:eastAsia="仿宋_GB2312" w:cs="仿宋"/>
          <w:bCs/>
          <w:color w:val="auto"/>
          <w:sz w:val="28"/>
          <w:szCs w:val="28"/>
          <w:lang w:val="en-US" w:eastAsia="zh-CN" w:bidi="ar-SA"/>
        </w:rPr>
        <w:t>翻身过程中，检查患者皮肤情况，如有异常，应及时报告医务人员。</w:t>
      </w:r>
      <w:r>
        <w:rPr>
          <w:rFonts w:hint="eastAsia" w:ascii="仿宋_GB2312" w:eastAsia="仿宋_GB2312" w:cs="仿宋"/>
          <w:bCs/>
          <w:color w:val="auto"/>
          <w:sz w:val="28"/>
          <w:szCs w:val="28"/>
          <w:lang w:val="en-US" w:eastAsia="zh-CN" w:bidi="ar-SA"/>
        </w:rPr>
        <w:t>（6）</w:t>
      </w:r>
      <w:r>
        <w:rPr>
          <w:rFonts w:hint="eastAsia" w:ascii="仿宋_GB2312" w:hAnsi="Calibri" w:eastAsia="仿宋_GB2312" w:cs="仿宋"/>
          <w:bCs/>
          <w:color w:val="auto"/>
          <w:sz w:val="28"/>
          <w:szCs w:val="28"/>
          <w:lang w:val="en-US" w:eastAsia="zh-CN" w:bidi="ar-SA"/>
        </w:rPr>
        <w:t>翻身后，如有导管应检查导管通畅情况</w:t>
      </w:r>
      <w:r>
        <w:rPr>
          <w:rFonts w:hint="eastAsia" w:ascii="仿宋_GB2312" w:eastAsia="仿宋_GB2312" w:cs="仿宋"/>
          <w:bCs/>
          <w:color w:val="auto"/>
          <w:sz w:val="28"/>
          <w:szCs w:val="28"/>
        </w:rPr>
        <w:t>。</w:t>
      </w:r>
    </w:p>
    <w:p w14:paraId="079B336D">
      <w:pPr>
        <w:pStyle w:val="31"/>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654069B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03BCA858">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6ED2D3E1">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3EEDA1A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67499E7B">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54264523">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6324F1B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67A879FF">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2B6999A5">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146E7D6E">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1CC57E8A">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07E74FD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79C5D62A">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428DA01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0108D452">
      <w:pPr>
        <w:pStyle w:val="22"/>
        <w:rPr>
          <w:rFonts w:hint="eastAsia" w:ascii="仿宋_GB2312" w:eastAsia="仿宋_GB2312"/>
          <w:color w:val="auto"/>
          <w:sz w:val="28"/>
          <w:szCs w:val="28"/>
        </w:rPr>
      </w:pPr>
    </w:p>
    <w:p w14:paraId="3AE3C27E">
      <w:pPr>
        <w:pStyle w:val="22"/>
        <w:rPr>
          <w:rFonts w:hint="eastAsia" w:ascii="仿宋_GB2312" w:eastAsia="仿宋_GB2312"/>
          <w:color w:val="auto"/>
          <w:sz w:val="28"/>
          <w:szCs w:val="28"/>
        </w:rPr>
      </w:pPr>
    </w:p>
    <w:p w14:paraId="00DFBCBB">
      <w:pPr>
        <w:pStyle w:val="22"/>
        <w:rPr>
          <w:rFonts w:hint="eastAsia" w:ascii="仿宋_GB2312" w:eastAsia="仿宋_GB2312"/>
          <w:color w:val="auto"/>
          <w:sz w:val="28"/>
          <w:szCs w:val="28"/>
        </w:rPr>
      </w:pPr>
    </w:p>
    <w:p w14:paraId="139F783D">
      <w:pPr>
        <w:spacing w:before="240" w:after="60" w:line="520" w:lineRule="exact"/>
        <w:ind w:firstLine="1680" w:firstLineChars="6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医疗护理员辅助偏瘫患者翻身技术操作规范</w:t>
      </w:r>
      <w:r>
        <w:rPr>
          <w:rFonts w:hint="eastAsia" w:ascii="仿宋_GB2312" w:eastAsia="仿宋_GB2312"/>
          <w:color w:val="auto"/>
          <w:sz w:val="28"/>
          <w:szCs w:val="28"/>
        </w:rPr>
        <w:t>》</w:t>
      </w:r>
    </w:p>
    <w:p w14:paraId="67BBEB67">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DF3AC57">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8</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28</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C63758-A338-4D82-A021-6F807D5805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869FB8D-5B89-4E1E-A03D-162EBF69EDED}"/>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3" w:fontKey="{74C5FF80-C365-46F9-820C-1692D33361A9}"/>
  </w:font>
  <w:font w:name="仿宋_GB2312">
    <w:panose1 w:val="02010609030101010101"/>
    <w:charset w:val="86"/>
    <w:family w:val="modern"/>
    <w:pitch w:val="default"/>
    <w:sig w:usb0="00000001" w:usb1="080E0000" w:usb2="00000000" w:usb3="00000000" w:csb0="00040000" w:csb1="00000000"/>
    <w:embedRegular r:id="rId4" w:fontKey="{6B53E676-8737-498F-B8FB-94A528BEA3E7}"/>
  </w:font>
  <w:font w:name="仿宋">
    <w:panose1 w:val="02010609060101010101"/>
    <w:charset w:val="86"/>
    <w:family w:val="modern"/>
    <w:pitch w:val="default"/>
    <w:sig w:usb0="800002BF" w:usb1="38CF7CFA" w:usb2="00000016" w:usb3="00000000" w:csb0="00040001" w:csb1="00000000"/>
    <w:embedRegular r:id="rId5" w:fontKey="{E722C819-3F2E-49EC-AC75-6548361634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4EB9A">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71C92CAC">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71C92CAC">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FFEE46E6"/>
    <w:multiLevelType w:val="singleLevel"/>
    <w:tmpl w:val="FFEE46E6"/>
    <w:lvl w:ilvl="0" w:tentative="0">
      <w:start w:val="2"/>
      <w:numFmt w:val="chineseCounting"/>
      <w:suff w:val="nothing"/>
      <w:lvlText w:val="（%1）"/>
      <w:lvlJc w:val="left"/>
      <w:rPr>
        <w:rFonts w:hint="eastAsia"/>
      </w:rPr>
    </w:lvl>
  </w:abstractNum>
  <w:abstractNum w:abstractNumId="2">
    <w:nsid w:val="0FFFFF7E"/>
    <w:multiLevelType w:val="singleLevel"/>
    <w:tmpl w:val="0FFFFF7E"/>
    <w:lvl w:ilvl="0" w:tentative="0">
      <w:start w:val="1"/>
      <w:numFmt w:val="decimal"/>
      <w:lvlText w:val="%1."/>
      <w:lvlJc w:val="left"/>
      <w:pPr>
        <w:tabs>
          <w:tab w:val="left" w:pos="1200"/>
        </w:tabs>
        <w:ind w:left="1200" w:hanging="360"/>
      </w:pPr>
    </w:lvl>
  </w:abstractNum>
  <w:abstractNum w:abstractNumId="3">
    <w:nsid w:val="0FFFFF7F"/>
    <w:multiLevelType w:val="singleLevel"/>
    <w:tmpl w:val="0FFFFF7F"/>
    <w:lvl w:ilvl="0" w:tentative="0">
      <w:start w:val="1"/>
      <w:numFmt w:val="decimal"/>
      <w:lvlText w:val="%1."/>
      <w:lvlJc w:val="left"/>
      <w:pPr>
        <w:tabs>
          <w:tab w:val="left" w:pos="780"/>
        </w:tabs>
        <w:ind w:left="780" w:hanging="360"/>
      </w:pPr>
    </w:lvl>
  </w:abstractNum>
  <w:abstractNum w:abstractNumId="4">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5">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3"/>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7">
    <w:nsid w:val="7F8C2534"/>
    <w:multiLevelType w:val="singleLevel"/>
    <w:tmpl w:val="7F8C2534"/>
    <w:lvl w:ilvl="0" w:tentative="0">
      <w:start w:val="3"/>
      <w:numFmt w:val="decimal"/>
      <w:suff w:val="nothing"/>
      <w:lvlText w:val="（%1）"/>
      <w:lvlJc w:val="left"/>
    </w:lvl>
  </w:abstractNum>
  <w:num w:numId="1">
    <w:abstractNumId w:val="6"/>
  </w:num>
  <w:num w:numId="2">
    <w:abstractNumId w:val="0"/>
  </w:num>
  <w:num w:numId="3">
    <w:abstractNumId w:val="3"/>
  </w:num>
  <w:num w:numId="4">
    <w:abstractNumId w:val="2"/>
  </w:num>
  <w:num w:numId="5">
    <w:abstractNumId w:val="5"/>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5CD222A"/>
    <w:rsid w:val="06084616"/>
    <w:rsid w:val="06A9292B"/>
    <w:rsid w:val="08EF7A39"/>
    <w:rsid w:val="0A5844F0"/>
    <w:rsid w:val="0EE41D10"/>
    <w:rsid w:val="11386E78"/>
    <w:rsid w:val="11B73ED3"/>
    <w:rsid w:val="11DF729D"/>
    <w:rsid w:val="12277661"/>
    <w:rsid w:val="133D4C82"/>
    <w:rsid w:val="13D12EE6"/>
    <w:rsid w:val="13EE1CEA"/>
    <w:rsid w:val="13F37300"/>
    <w:rsid w:val="174D6D27"/>
    <w:rsid w:val="18CE5C46"/>
    <w:rsid w:val="1A2A2D28"/>
    <w:rsid w:val="1A611AD4"/>
    <w:rsid w:val="1B9C64CF"/>
    <w:rsid w:val="1E4A1472"/>
    <w:rsid w:val="1E6C7E3E"/>
    <w:rsid w:val="20346CD6"/>
    <w:rsid w:val="206E043A"/>
    <w:rsid w:val="21B75E11"/>
    <w:rsid w:val="2443573A"/>
    <w:rsid w:val="25496D80"/>
    <w:rsid w:val="27095D8A"/>
    <w:rsid w:val="277B51EB"/>
    <w:rsid w:val="279E6744"/>
    <w:rsid w:val="2AB253C7"/>
    <w:rsid w:val="2BAD2B02"/>
    <w:rsid w:val="2C6C6F3C"/>
    <w:rsid w:val="2E0C3040"/>
    <w:rsid w:val="2E40384E"/>
    <w:rsid w:val="2E826991"/>
    <w:rsid w:val="2F083808"/>
    <w:rsid w:val="2F0B058C"/>
    <w:rsid w:val="2F7C5FA4"/>
    <w:rsid w:val="2FDD0EDC"/>
    <w:rsid w:val="344833B2"/>
    <w:rsid w:val="35146A33"/>
    <w:rsid w:val="39CD7B28"/>
    <w:rsid w:val="3D6C58AA"/>
    <w:rsid w:val="403F2E01"/>
    <w:rsid w:val="431A1904"/>
    <w:rsid w:val="45413951"/>
    <w:rsid w:val="46E47FFF"/>
    <w:rsid w:val="4779601E"/>
    <w:rsid w:val="493E1AE1"/>
    <w:rsid w:val="4B2238EC"/>
    <w:rsid w:val="4C6C7CEB"/>
    <w:rsid w:val="4DDD59C1"/>
    <w:rsid w:val="50370ABF"/>
    <w:rsid w:val="51FB0B52"/>
    <w:rsid w:val="52FDF3F3"/>
    <w:rsid w:val="531F075A"/>
    <w:rsid w:val="53F87A3F"/>
    <w:rsid w:val="56DA342C"/>
    <w:rsid w:val="5708A920"/>
    <w:rsid w:val="57A01936"/>
    <w:rsid w:val="57A57FD6"/>
    <w:rsid w:val="57F01F2D"/>
    <w:rsid w:val="58D367F3"/>
    <w:rsid w:val="592B4413"/>
    <w:rsid w:val="592C1295"/>
    <w:rsid w:val="59DD74BB"/>
    <w:rsid w:val="5A8C449C"/>
    <w:rsid w:val="5B571FFB"/>
    <w:rsid w:val="5BD06662"/>
    <w:rsid w:val="5BFB00CD"/>
    <w:rsid w:val="5C452F47"/>
    <w:rsid w:val="5D086F45"/>
    <w:rsid w:val="5D4D6706"/>
    <w:rsid w:val="60252B89"/>
    <w:rsid w:val="613750A2"/>
    <w:rsid w:val="61486329"/>
    <w:rsid w:val="616C2448"/>
    <w:rsid w:val="63057E95"/>
    <w:rsid w:val="63DF2082"/>
    <w:rsid w:val="654A16B4"/>
    <w:rsid w:val="660F1D12"/>
    <w:rsid w:val="67277FC8"/>
    <w:rsid w:val="677C2407"/>
    <w:rsid w:val="68C47A98"/>
    <w:rsid w:val="68C53F3C"/>
    <w:rsid w:val="6CC80E6D"/>
    <w:rsid w:val="6CF41A69"/>
    <w:rsid w:val="70F16C98"/>
    <w:rsid w:val="710B6BAC"/>
    <w:rsid w:val="71525B1E"/>
    <w:rsid w:val="716444DA"/>
    <w:rsid w:val="71CC633B"/>
    <w:rsid w:val="71F238C8"/>
    <w:rsid w:val="738A5B9F"/>
    <w:rsid w:val="741F6AAA"/>
    <w:rsid w:val="74A0585D"/>
    <w:rsid w:val="763864CA"/>
    <w:rsid w:val="764D461B"/>
    <w:rsid w:val="77A7157C"/>
    <w:rsid w:val="77D048EE"/>
    <w:rsid w:val="78B143BF"/>
    <w:rsid w:val="7A035425"/>
    <w:rsid w:val="7AB465B7"/>
    <w:rsid w:val="7B215011"/>
    <w:rsid w:val="7CB63E70"/>
    <w:rsid w:val="7D221505"/>
    <w:rsid w:val="7E2B6198"/>
    <w:rsid w:val="7EF26A8C"/>
    <w:rsid w:val="B8CFA9F0"/>
    <w:rsid w:val="BDFFEC67"/>
    <w:rsid w:val="DFFD0EE9"/>
    <w:rsid w:val="FBFFF8E5"/>
    <w:rsid w:val="FDAB63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paragraph" w:styleId="5">
    <w:name w:val="heading 7"/>
    <w:basedOn w:val="1"/>
    <w:next w:val="1"/>
    <w:link w:val="23"/>
    <w:qFormat/>
    <w:uiPriority w:val="9"/>
    <w:pPr>
      <w:keepNext/>
      <w:keepLines/>
      <w:spacing w:before="240" w:after="64" w:line="320" w:lineRule="auto"/>
      <w:outlineLvl w:val="6"/>
    </w:pPr>
    <w:rPr>
      <w:b/>
      <w:bCs/>
      <w:sz w:val="24"/>
    </w:rPr>
  </w:style>
  <w:style w:type="character" w:default="1" w:styleId="15">
    <w:name w:val="Default Paragraph Font"/>
    <w:qFormat/>
    <w:uiPriority w:val="0"/>
  </w:style>
  <w:style w:type="table" w:default="1" w:styleId="13">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link w:val="24"/>
    <w:unhideWhenUsed/>
    <w:qFormat/>
    <w:uiPriority w:val="99"/>
    <w:pPr>
      <w:adjustRightInd w:val="0"/>
      <w:spacing w:line="400" w:lineRule="exact"/>
      <w:jc w:val="left"/>
    </w:pPr>
    <w:rPr>
      <w:rFonts w:ascii="Calibri" w:hAnsi="Calibri"/>
      <w:szCs w:val="21"/>
    </w:rPr>
  </w:style>
  <w:style w:type="paragraph" w:styleId="7">
    <w:name w:val="Balloon Text"/>
    <w:basedOn w:val="1"/>
    <w:link w:val="25"/>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Times New Roman" w:hAnsi="Times New Roman"/>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tabs>
        <w:tab w:val="right" w:leader="dot" w:pos="9344"/>
      </w:tabs>
      <w:adjustRightInd w:val="0"/>
      <w:spacing w:line="300" w:lineRule="exact"/>
      <w:ind w:left="629"/>
    </w:pPr>
    <w:rPr>
      <w:rFonts w:ascii="宋体" w:hAnsi="Calibri"/>
      <w:szCs w:val="21"/>
    </w:rPr>
  </w:style>
  <w:style w:type="paragraph" w:styleId="12">
    <w:name w:val="Normal (Web)"/>
    <w:basedOn w:val="1"/>
    <w:semiHidden/>
    <w:unhideWhenUsed/>
    <w:qFormat/>
    <w:uiPriority w:val="99"/>
    <w:rPr>
      <w:sz w:val="24"/>
    </w:rPr>
  </w:style>
  <w:style w:type="table" w:styleId="14">
    <w:name w:val="Table Grid"/>
    <w:basedOn w:val="13"/>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6">
    <w:name w:val="Strong"/>
    <w:basedOn w:val="15"/>
    <w:qFormat/>
    <w:uiPriority w:val="22"/>
    <w:rPr>
      <w:b/>
    </w:rPr>
  </w:style>
  <w:style w:type="character" w:styleId="17">
    <w:name w:val="line number"/>
    <w:qFormat/>
    <w:uiPriority w:val="0"/>
  </w:style>
  <w:style w:type="character" w:styleId="18">
    <w:name w:val="Hyperlink"/>
    <w:qFormat/>
    <w:uiPriority w:val="0"/>
    <w:rPr>
      <w:rFonts w:ascii="宋体" w:eastAsia="宋体"/>
      <w:color w:val="auto"/>
      <w:spacing w:val="0"/>
      <w:w w:val="100"/>
      <w:position w:val="0"/>
      <w:sz w:val="21"/>
      <w:u w:val="none"/>
      <w:vertAlign w:val="baseline"/>
    </w:rPr>
  </w:style>
  <w:style w:type="character" w:styleId="19">
    <w:name w:val="annotation reference"/>
    <w:qFormat/>
    <w:uiPriority w:val="99"/>
    <w:rPr>
      <w:sz w:val="21"/>
    </w:rPr>
  </w:style>
  <w:style w:type="character" w:styleId="20">
    <w:name w:val="footnote reference"/>
    <w:qFormat/>
    <w:uiPriority w:val="0"/>
    <w:rPr>
      <w:vertAlign w:val="superscript"/>
    </w:rPr>
  </w:style>
  <w:style w:type="paragraph" w:customStyle="1" w:styleId="21">
    <w:name w:val="BodyText2"/>
    <w:basedOn w:val="1"/>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2">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字符"/>
    <w:link w:val="5"/>
    <w:qFormat/>
    <w:uiPriority w:val="0"/>
    <w:rPr>
      <w:rFonts w:eastAsia="宋体"/>
      <w:b/>
      <w:bCs/>
      <w:kern w:val="2"/>
      <w:sz w:val="24"/>
      <w:szCs w:val="24"/>
    </w:rPr>
  </w:style>
  <w:style w:type="character" w:customStyle="1" w:styleId="24">
    <w:name w:val="批注文字 字符"/>
    <w:link w:val="6"/>
    <w:semiHidden/>
    <w:qFormat/>
    <w:uiPriority w:val="99"/>
    <w:rPr>
      <w:rFonts w:ascii="Calibri" w:hAnsi="Calibri" w:eastAsia="宋体"/>
      <w:kern w:val="2"/>
      <w:sz w:val="21"/>
      <w:szCs w:val="21"/>
    </w:rPr>
  </w:style>
  <w:style w:type="character" w:customStyle="1" w:styleId="25">
    <w:name w:val="批注框文本 字符"/>
    <w:link w:val="7"/>
    <w:semiHidden/>
    <w:qFormat/>
    <w:uiPriority w:val="99"/>
    <w:rPr>
      <w:rFonts w:eastAsia="宋体"/>
      <w:kern w:val="2"/>
      <w:sz w:val="18"/>
      <w:szCs w:val="18"/>
    </w:rPr>
  </w:style>
  <w:style w:type="character" w:customStyle="1" w:styleId="26">
    <w:name w:val="页脚 字符"/>
    <w:link w:val="8"/>
    <w:qFormat/>
    <w:locked/>
    <w:uiPriority w:val="99"/>
    <w:rPr>
      <w:rFonts w:eastAsia="宋体"/>
      <w:kern w:val="2"/>
      <w:sz w:val="18"/>
      <w:szCs w:val="18"/>
    </w:rPr>
  </w:style>
  <w:style w:type="paragraph" w:customStyle="1" w:styleId="27">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qFormat/>
    <w:uiPriority w:val="0"/>
    <w:rPr>
      <w:rFonts w:ascii="宋体" w:eastAsia="宋体"/>
      <w:sz w:val="21"/>
    </w:rPr>
  </w:style>
  <w:style w:type="paragraph" w:customStyle="1" w:styleId="31">
    <w:name w:val="标准文件_章标题"/>
    <w:next w:val="29"/>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qFormat/>
    <w:uiPriority w:val="0"/>
    <w:pPr>
      <w:numPr>
        <w:ilvl w:val="2"/>
        <w:numId w:val="1"/>
      </w:numPr>
      <w:spacing w:before="50" w:beforeLines="0" w:after="50" w:afterLines="0"/>
      <w:outlineLvl w:val="1"/>
    </w:pPr>
  </w:style>
  <w:style w:type="paragraph" w:customStyle="1" w:styleId="34">
    <w:name w:val="标准文件_三级条标题"/>
    <w:basedOn w:val="32"/>
    <w:next w:val="29"/>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5">
    <w:name w:val="标准文件_四级条标题"/>
    <w:next w:val="29"/>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39">
    <w:name w:val="标准文件_三级无标题"/>
    <w:basedOn w:val="34"/>
    <w:qFormat/>
    <w:uiPriority w:val="0"/>
    <w:pPr>
      <w:numPr>
        <w:ilvl w:val="4"/>
        <w:numId w:val="1"/>
      </w:numPr>
      <w:spacing w:before="50" w:after="50"/>
      <w:jc w:val="both"/>
    </w:pPr>
    <w:rPr>
      <w:rFonts w:ascii="宋体" w:eastAsia="宋体"/>
      <w:sz w:val="21"/>
      <w:lang w:val="en-US" w:eastAsia="zh-CN" w:bidi="ar-SA"/>
    </w:rPr>
  </w:style>
  <w:style w:type="paragraph" w:customStyle="1" w:styleId="40">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qFormat/>
    <w:uiPriority w:val="0"/>
    <w:rPr>
      <w:rFonts w:ascii="等线" w:eastAsia="等线"/>
      <w:b/>
      <w:bCs/>
      <w:color w:val="FF0000"/>
      <w:sz w:val="22"/>
      <w:szCs w:val="22"/>
      <w:u w:val="none"/>
    </w:rPr>
  </w:style>
  <w:style w:type="character" w:customStyle="1" w:styleId="42">
    <w:name w:val="font01"/>
    <w:qFormat/>
    <w:uiPriority w:val="0"/>
    <w:rPr>
      <w:rFonts w:ascii="等线" w:eastAsia="等线"/>
      <w:color w:val="000000"/>
      <w:sz w:val="22"/>
      <w:szCs w:val="22"/>
      <w:u w:val="none"/>
    </w:rPr>
  </w:style>
  <w:style w:type="paragraph" w:customStyle="1" w:styleId="4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qFormat/>
    <w:uiPriority w:val="0"/>
    <w:pPr>
      <w:widowControl/>
      <w:numPr>
        <w:ilvl w:val="2"/>
        <w:numId w:val="3"/>
      </w:numPr>
      <w:tabs>
        <w:tab w:val="left" w:pos="780"/>
      </w:tabs>
      <w:jc w:val="left"/>
      <w:outlineLvl w:val="3"/>
    </w:pPr>
    <w:rPr>
      <w:rFonts w:ascii="宋体"/>
      <w:kern w:val="0"/>
      <w:szCs w:val="21"/>
    </w:rPr>
  </w:style>
  <w:style w:type="paragraph" w:customStyle="1" w:styleId="45">
    <w:name w:val="标准文件_二级无标题"/>
    <w:basedOn w:val="32"/>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6">
    <w:name w:val="Char Char Char Char"/>
    <w:basedOn w:val="1"/>
    <w:qFormat/>
    <w:uiPriority w:val="0"/>
  </w:style>
  <w:style w:type="paragraph" w:customStyle="1" w:styleId="47">
    <w:name w:val="标准文件_数字编号列项（二级）"/>
    <w:qFormat/>
    <w:uiPriority w:val="0"/>
    <w:pPr>
      <w:numPr>
        <w:ilvl w:val="1"/>
        <w:numId w:val="5"/>
      </w:numPr>
      <w:jc w:val="both"/>
    </w:pPr>
    <w:rPr>
      <w:rFonts w:ascii="宋体" w:hAnsi="Calibri" w:eastAsia="宋体" w:cs="Calibri"/>
      <w:sz w:val="21"/>
      <w:lang w:val="en-US" w:eastAsia="zh-CN" w:bidi="ar-SA"/>
    </w:rPr>
  </w:style>
  <w:style w:type="paragraph" w:customStyle="1" w:styleId="48">
    <w:name w:val="标准文件_编号列项（三级）"/>
    <w:qFormat/>
    <w:uiPriority w:val="0"/>
    <w:pPr>
      <w:numPr>
        <w:ilvl w:val="2"/>
        <w:numId w:val="5"/>
      </w:numPr>
    </w:pPr>
    <w:rPr>
      <w:rFonts w:ascii="宋体" w:hAnsi="Calibri" w:eastAsia="宋体" w:cs="Calibri"/>
      <w:sz w:val="21"/>
      <w:lang w:val="en-US" w:eastAsia="zh-CN" w:bidi="ar-SA"/>
    </w:rPr>
  </w:style>
  <w:style w:type="paragraph" w:customStyle="1" w:styleId="49">
    <w:name w:val="标准文件_字母编号列项（一级）"/>
    <w:qFormat/>
    <w:uiPriority w:val="0"/>
    <w:pPr>
      <w:numPr>
        <w:ilvl w:val="0"/>
        <w:numId w:val="5"/>
      </w:numPr>
      <w:jc w:val="both"/>
    </w:pPr>
    <w:rPr>
      <w:rFonts w:ascii="宋体" w:hAnsi="Calibri" w:eastAsia="宋体" w:cs="Calibri"/>
      <w:sz w:val="21"/>
      <w:lang w:val="en-US" w:eastAsia="zh-CN" w:bidi="ar-SA"/>
    </w:rPr>
  </w:style>
  <w:style w:type="paragraph" w:customStyle="1" w:styleId="50">
    <w:name w:val="标准文件_术语条一"/>
    <w:basedOn w:val="1"/>
    <w:next w:val="29"/>
    <w:qFormat/>
    <w:uiPriority w:val="0"/>
    <w:pPr>
      <w:widowControl/>
    </w:pPr>
    <w:rPr>
      <w:rFonts w:ascii="宋体"/>
      <w:kern w:val="0"/>
      <w:szCs w:val="20"/>
    </w:rPr>
  </w:style>
  <w:style w:type="paragraph" w:customStyle="1" w:styleId="51">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styleId="53">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qFormat/>
    <w:uiPriority w:val="0"/>
    <w:pPr>
      <w:numPr>
        <w:ilvl w:val="0"/>
        <w:numId w:val="6"/>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6891</Words>
  <Characters>7105</Characters>
  <Lines>140</Lines>
  <Paragraphs>39</Paragraphs>
  <TotalTime>0</TotalTime>
  <ScaleCrop>false</ScaleCrop>
  <LinksUpToDate>false</LinksUpToDate>
  <CharactersWithSpaces>7126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2023-11-08T15:48:00Z</dcterms:created>
  <dc:creator>Administrator</dc:creator>
  <cp:lastModifiedBy>覃思颖</cp:lastModifiedBy>
  <dcterms:modified xsi:type="dcterms:W3CDTF">2025-09-26T04:04:04Z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A922D90BF3B641DA8C66AE267C36FA1E_13</vt:lpwstr>
  </property>
  <property fmtid="{D5CDD505-2E9C-101B-9397-08002B2CF9AE}" pid="4" name="KSOTemplateDocerSaveRecord">
    <vt:lpwstr>eyJoZGlkIjoiZDU4MDczMzcyYmJkMTU0Yzk3Y2Q1OWEyNGVlYzBmODAiLCJ1c2VySWQiOiI2NTgwMDU1NDYifQ==</vt:lpwstr>
  </property>
</Properties>
</file>