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5C64D">
      <w:pPr>
        <w:spacing w:line="600" w:lineRule="exact"/>
        <w:jc w:val="center"/>
        <w:rPr>
          <w:rFonts w:ascii="方正小标宋简体" w:hAnsi="黑体" w:eastAsia="方正小标宋简体" w:cs="黑体"/>
          <w:color w:val="000000"/>
          <w:sz w:val="44"/>
          <w:szCs w:val="44"/>
        </w:rPr>
      </w:pPr>
      <w:bookmarkStart w:id="0" w:name="_Hlk132269986"/>
      <w:bookmarkEnd w:id="0"/>
      <w:r>
        <w:rPr>
          <w:rFonts w:hint="eastAsia" w:ascii="方正小标宋简体" w:hAnsi="黑体" w:eastAsia="方正小标宋简体" w:cs="黑体"/>
          <w:color w:val="000000"/>
          <w:sz w:val="44"/>
          <w:szCs w:val="44"/>
        </w:rPr>
        <w:t>团体标准《</w:t>
      </w:r>
      <w:r>
        <w:rPr>
          <w:rFonts w:hint="eastAsia" w:ascii="方正小标宋简体" w:hAnsi="黑体" w:eastAsia="方正小标宋简体" w:cs="黑体"/>
          <w:color w:val="000000"/>
          <w:sz w:val="44"/>
          <w:szCs w:val="44"/>
          <w:lang w:eastAsia="zh-CN"/>
        </w:rPr>
        <w:t>风力发电设施安装</w:t>
      </w:r>
      <w:r>
        <w:rPr>
          <w:rFonts w:hint="eastAsia" w:ascii="方正小标宋简体" w:hAnsi="黑体" w:eastAsia="方正小标宋简体" w:cs="黑体"/>
          <w:color w:val="000000"/>
          <w:sz w:val="44"/>
          <w:szCs w:val="44"/>
        </w:rPr>
        <w:t>气象服务规范》</w:t>
      </w:r>
    </w:p>
    <w:p w14:paraId="3C09A1F3">
      <w:pPr>
        <w:spacing w:line="600" w:lineRule="exact"/>
        <w:jc w:val="center"/>
        <w:rPr>
          <w:rFonts w:ascii="方正小标宋简体" w:hAnsi="黑体" w:eastAsia="方正小标宋简体" w:cs="黑体"/>
          <w:color w:val="000000"/>
          <w:sz w:val="44"/>
          <w:szCs w:val="44"/>
        </w:rPr>
      </w:pPr>
      <w:r>
        <w:rPr>
          <w:rFonts w:hint="eastAsia" w:ascii="方正小标宋简体" w:hAnsi="黑体" w:eastAsia="方正小标宋简体" w:cs="黑体"/>
          <w:color w:val="000000"/>
          <w:sz w:val="44"/>
          <w:szCs w:val="44"/>
        </w:rPr>
        <w:t>（</w:t>
      </w:r>
      <w:r>
        <w:rPr>
          <w:rFonts w:hint="eastAsia" w:ascii="方正小标宋简体" w:hAnsi="黑体" w:eastAsia="方正小标宋简体" w:cs="黑体"/>
          <w:color w:val="000000"/>
          <w:sz w:val="44"/>
          <w:szCs w:val="44"/>
          <w:lang w:eastAsia="zh-CN"/>
        </w:rPr>
        <w:t>征求意见</w:t>
      </w:r>
      <w:r>
        <w:rPr>
          <w:rFonts w:hint="eastAsia" w:ascii="方正小标宋简体" w:hAnsi="黑体" w:eastAsia="方正小标宋简体" w:cs="黑体"/>
          <w:color w:val="000000"/>
          <w:sz w:val="44"/>
          <w:szCs w:val="44"/>
        </w:rPr>
        <w:t>稿）编制说明</w:t>
      </w:r>
    </w:p>
    <w:p w14:paraId="7631CD85">
      <w:pPr>
        <w:tabs>
          <w:tab w:val="left" w:pos="3828"/>
        </w:tabs>
        <w:autoSpaceDE w:val="0"/>
        <w:autoSpaceDN w:val="0"/>
        <w:adjustRightInd w:val="0"/>
        <w:spacing w:before="156" w:beforeLines="50" w:after="156" w:afterLines="50" w:line="56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一、项目来源</w:t>
      </w:r>
    </w:p>
    <w:p w14:paraId="0A705F56">
      <w:pPr>
        <w:spacing w:line="560" w:lineRule="exact"/>
        <w:ind w:firstLine="640" w:firstLineChars="200"/>
        <w:rPr>
          <w:rFonts w:hint="eastAsia" w:ascii="仿宋_GB2312" w:hAnsi="仿宋" w:eastAsia="仿宋_GB2312"/>
          <w:sz w:val="32"/>
          <w:szCs w:val="32"/>
          <w:lang w:eastAsia="zh-CN"/>
        </w:rPr>
      </w:pPr>
      <w:r>
        <w:rPr>
          <w:rFonts w:hint="eastAsia" w:ascii="仿宋_GB2312" w:hAnsi="Calibri" w:eastAsia="仿宋_GB2312"/>
          <w:sz w:val="32"/>
          <w:szCs w:val="32"/>
        </w:rPr>
        <w:t>根据《广西标准化协会关于下达2025年第二十七批团体标准制修订项目计划的通知》（桂标协〔2025〕251号），由来宾市气象局提出，来宾市气象局、广西广投桂中新能源有限公司、广西科技师范学院等单位共同起草的团体标准《风力发电设施安装气象服务规范》（项目编号2025-2707）</w:t>
      </w:r>
      <w:r>
        <w:rPr>
          <w:rFonts w:hint="eastAsia" w:ascii="仿宋_GB2312" w:hAnsi="仿宋" w:eastAsia="仿宋_GB2312"/>
          <w:sz w:val="32"/>
          <w:szCs w:val="32"/>
        </w:rPr>
        <w:t>已获批立项。主要起草人姓名及分工情况如下：</w:t>
      </w:r>
    </w:p>
    <w:tbl>
      <w:tblPr>
        <w:tblStyle w:val="11"/>
        <w:tblW w:w="5000" w:type="pct"/>
        <w:tblInd w:w="0" w:type="dxa"/>
        <w:tblLayout w:type="autofit"/>
        <w:tblCellMar>
          <w:top w:w="0" w:type="dxa"/>
          <w:left w:w="108" w:type="dxa"/>
          <w:bottom w:w="0" w:type="dxa"/>
          <w:right w:w="108" w:type="dxa"/>
        </w:tblCellMar>
      </w:tblPr>
      <w:tblGrid>
        <w:gridCol w:w="706"/>
        <w:gridCol w:w="1421"/>
        <w:gridCol w:w="1485"/>
        <w:gridCol w:w="1879"/>
        <w:gridCol w:w="3031"/>
      </w:tblGrid>
      <w:tr w14:paraId="3CC05CBE">
        <w:tblPrEx>
          <w:tblCellMar>
            <w:top w:w="0" w:type="dxa"/>
            <w:left w:w="108" w:type="dxa"/>
            <w:bottom w:w="0" w:type="dxa"/>
            <w:right w:w="108" w:type="dxa"/>
          </w:tblCellMar>
        </w:tblPrEx>
        <w:trPr>
          <w:cantSplit/>
          <w:trHeight w:val="576" w:hRule="atLeast"/>
        </w:trPr>
        <w:tc>
          <w:tcPr>
            <w:tcW w:w="414" w:type="pct"/>
            <w:tcBorders>
              <w:top w:val="single" w:color="auto" w:sz="4" w:space="0"/>
              <w:left w:val="single" w:color="auto" w:sz="4" w:space="0"/>
              <w:bottom w:val="single" w:color="auto" w:sz="4" w:space="0"/>
              <w:right w:val="single" w:color="auto" w:sz="4" w:space="0"/>
            </w:tcBorders>
            <w:vAlign w:val="center"/>
          </w:tcPr>
          <w:p w14:paraId="348123CD">
            <w:pPr>
              <w:jc w:val="center"/>
              <w:rPr>
                <w:rFonts w:ascii="宋体" w:hAnsi="宋体"/>
                <w:bCs/>
                <w:szCs w:val="21"/>
              </w:rPr>
            </w:pPr>
            <w:r>
              <w:rPr>
                <w:rFonts w:hint="eastAsia" w:ascii="宋体" w:hAnsi="宋体" w:cs="宋体"/>
                <w:b/>
                <w:bCs/>
                <w:szCs w:val="21"/>
              </w:rPr>
              <w:t>序号</w:t>
            </w:r>
          </w:p>
        </w:tc>
        <w:tc>
          <w:tcPr>
            <w:tcW w:w="833" w:type="pct"/>
            <w:tcBorders>
              <w:top w:val="single" w:color="auto" w:sz="4" w:space="0"/>
              <w:left w:val="single" w:color="auto" w:sz="4" w:space="0"/>
              <w:bottom w:val="single" w:color="auto" w:sz="4" w:space="0"/>
              <w:right w:val="single" w:color="auto" w:sz="4" w:space="0"/>
            </w:tcBorders>
            <w:vAlign w:val="center"/>
          </w:tcPr>
          <w:p w14:paraId="388BCF56">
            <w:pPr>
              <w:jc w:val="center"/>
              <w:rPr>
                <w:rFonts w:ascii="宋体" w:hAnsi="宋体"/>
                <w:bCs/>
                <w:szCs w:val="21"/>
              </w:rPr>
            </w:pPr>
            <w:r>
              <w:rPr>
                <w:rFonts w:hint="eastAsia" w:ascii="宋体" w:hAnsi="宋体" w:cs="宋体"/>
                <w:b/>
                <w:bCs/>
                <w:szCs w:val="21"/>
              </w:rPr>
              <w:t>姓  名</w:t>
            </w:r>
          </w:p>
        </w:tc>
        <w:tc>
          <w:tcPr>
            <w:tcW w:w="871" w:type="pct"/>
            <w:tcBorders>
              <w:top w:val="single" w:color="auto" w:sz="4" w:space="0"/>
              <w:left w:val="single" w:color="auto" w:sz="4" w:space="0"/>
              <w:bottom w:val="single" w:color="auto" w:sz="4" w:space="0"/>
              <w:right w:val="single" w:color="auto" w:sz="4" w:space="0"/>
            </w:tcBorders>
            <w:vAlign w:val="center"/>
          </w:tcPr>
          <w:p w14:paraId="112E7D8A">
            <w:pPr>
              <w:jc w:val="center"/>
              <w:rPr>
                <w:rFonts w:ascii="宋体" w:hAnsi="宋体"/>
                <w:bCs/>
                <w:szCs w:val="21"/>
              </w:rPr>
            </w:pPr>
            <w:r>
              <w:rPr>
                <w:rFonts w:hint="eastAsia" w:ascii="宋体" w:hAnsi="宋体" w:cs="宋体"/>
                <w:b/>
                <w:szCs w:val="21"/>
              </w:rPr>
              <w:t>单位</w:t>
            </w:r>
          </w:p>
        </w:tc>
        <w:tc>
          <w:tcPr>
            <w:tcW w:w="1102" w:type="pct"/>
            <w:tcBorders>
              <w:top w:val="single" w:color="auto" w:sz="4" w:space="0"/>
              <w:left w:val="single" w:color="auto" w:sz="4" w:space="0"/>
              <w:bottom w:val="single" w:color="auto" w:sz="4" w:space="0"/>
              <w:right w:val="single" w:color="auto" w:sz="4" w:space="0"/>
            </w:tcBorders>
            <w:vAlign w:val="center"/>
          </w:tcPr>
          <w:p w14:paraId="49E91A6A">
            <w:pPr>
              <w:jc w:val="center"/>
              <w:rPr>
                <w:rFonts w:ascii="宋体" w:hAnsi="宋体"/>
                <w:bCs/>
                <w:szCs w:val="21"/>
              </w:rPr>
            </w:pPr>
            <w:r>
              <w:rPr>
                <w:rFonts w:hint="eastAsia" w:ascii="宋体" w:hAnsi="宋体" w:cs="宋体"/>
                <w:b/>
                <w:bCs/>
                <w:szCs w:val="21"/>
              </w:rPr>
              <w:t>职务/职称</w:t>
            </w:r>
          </w:p>
        </w:tc>
        <w:tc>
          <w:tcPr>
            <w:tcW w:w="1777" w:type="pct"/>
            <w:tcBorders>
              <w:top w:val="single" w:color="auto" w:sz="4" w:space="0"/>
              <w:left w:val="single" w:color="auto" w:sz="4" w:space="0"/>
              <w:bottom w:val="single" w:color="auto" w:sz="4" w:space="0"/>
              <w:right w:val="single" w:color="auto" w:sz="4" w:space="0"/>
            </w:tcBorders>
            <w:vAlign w:val="center"/>
          </w:tcPr>
          <w:p w14:paraId="7E725B7B">
            <w:pPr>
              <w:jc w:val="center"/>
              <w:rPr>
                <w:rFonts w:ascii="宋体" w:hAnsi="宋体"/>
                <w:bCs/>
                <w:szCs w:val="21"/>
              </w:rPr>
            </w:pPr>
            <w:r>
              <w:rPr>
                <w:rFonts w:hint="eastAsia" w:ascii="宋体" w:hAnsi="宋体" w:cs="宋体"/>
                <w:b/>
                <w:bCs/>
                <w:szCs w:val="21"/>
              </w:rPr>
              <w:t>参与编制标准分工情况</w:t>
            </w:r>
          </w:p>
        </w:tc>
      </w:tr>
      <w:tr w14:paraId="1ECBD1B6">
        <w:tblPrEx>
          <w:tblCellMar>
            <w:top w:w="0" w:type="dxa"/>
            <w:left w:w="108" w:type="dxa"/>
            <w:bottom w:w="0" w:type="dxa"/>
            <w:right w:w="108" w:type="dxa"/>
          </w:tblCellMar>
        </w:tblPrEx>
        <w:trPr>
          <w:cantSplit/>
          <w:trHeight w:val="470" w:hRule="atLeast"/>
        </w:trPr>
        <w:tc>
          <w:tcPr>
            <w:tcW w:w="414" w:type="pct"/>
            <w:tcBorders>
              <w:top w:val="single" w:color="auto" w:sz="4" w:space="0"/>
              <w:left w:val="single" w:color="auto" w:sz="4" w:space="0"/>
              <w:bottom w:val="single" w:color="auto" w:sz="4" w:space="0"/>
              <w:right w:val="single" w:color="auto" w:sz="4" w:space="0"/>
            </w:tcBorders>
            <w:vAlign w:val="center"/>
          </w:tcPr>
          <w:p w14:paraId="5F347B4E">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548F8FAA">
            <w:pPr>
              <w:jc w:val="center"/>
              <w:rPr>
                <w:rFonts w:hint="eastAsia" w:ascii="宋体" w:hAnsi="宋体"/>
                <w:szCs w:val="21"/>
              </w:rPr>
            </w:pPr>
            <w:r>
              <w:rPr>
                <w:rFonts w:hint="eastAsia" w:ascii="宋体" w:hAnsi="宋体"/>
                <w:szCs w:val="21"/>
                <w:lang w:eastAsia="zh-CN"/>
              </w:rPr>
              <w:t>温守端</w:t>
            </w:r>
          </w:p>
        </w:tc>
        <w:tc>
          <w:tcPr>
            <w:tcW w:w="1485" w:type="dxa"/>
            <w:tcBorders>
              <w:top w:val="single" w:color="auto" w:sz="4" w:space="0"/>
              <w:left w:val="single" w:color="auto" w:sz="4" w:space="0"/>
              <w:bottom w:val="single" w:color="auto" w:sz="4" w:space="0"/>
              <w:right w:val="single" w:color="auto" w:sz="4" w:space="0"/>
            </w:tcBorders>
            <w:vAlign w:val="center"/>
          </w:tcPr>
          <w:p w14:paraId="04DF52C7">
            <w:pPr>
              <w:jc w:val="center"/>
              <w:rPr>
                <w:rFonts w:hint="eastAsia" w:ascii="宋体" w:hAnsi="宋体"/>
                <w:szCs w:val="21"/>
              </w:rPr>
            </w:pPr>
            <w:r>
              <w:rPr>
                <w:rFonts w:hint="eastAsia" w:ascii="宋体" w:hAnsi="宋体"/>
                <w:szCs w:val="21"/>
                <w:lang w:val="en-US" w:eastAsia="zh-CN"/>
              </w:rPr>
              <w:t>副局长</w:t>
            </w:r>
          </w:p>
        </w:tc>
        <w:tc>
          <w:tcPr>
            <w:tcW w:w="1879" w:type="dxa"/>
            <w:tcBorders>
              <w:top w:val="single" w:color="auto" w:sz="4" w:space="0"/>
              <w:left w:val="single" w:color="auto" w:sz="4" w:space="0"/>
              <w:bottom w:val="single" w:color="auto" w:sz="4" w:space="0"/>
            </w:tcBorders>
            <w:vAlign w:val="center"/>
          </w:tcPr>
          <w:p w14:paraId="1C280FE7">
            <w:pPr>
              <w:jc w:val="center"/>
              <w:rPr>
                <w:rFonts w:hint="eastAsia" w:ascii="宋体" w:hAnsi="宋体"/>
                <w:szCs w:val="21"/>
              </w:rPr>
            </w:pPr>
            <w:r>
              <w:rPr>
                <w:rFonts w:hint="eastAsia" w:ascii="宋体" w:hAnsi="宋体"/>
                <w:szCs w:val="21"/>
                <w:lang w:val="en-US" w:eastAsia="zh-CN"/>
              </w:rPr>
              <w:t>法规管理</w:t>
            </w:r>
          </w:p>
        </w:tc>
        <w:tc>
          <w:tcPr>
            <w:tcW w:w="1777" w:type="pct"/>
            <w:tcBorders>
              <w:top w:val="single" w:color="auto" w:sz="4" w:space="0"/>
              <w:left w:val="single" w:color="auto" w:sz="4" w:space="0"/>
              <w:bottom w:val="single" w:color="auto" w:sz="4" w:space="0"/>
              <w:right w:val="single" w:color="auto" w:sz="4" w:space="0"/>
            </w:tcBorders>
            <w:vAlign w:val="center"/>
          </w:tcPr>
          <w:p w14:paraId="4B97DE23">
            <w:pPr>
              <w:suppressAutoHyphens/>
              <w:jc w:val="center"/>
              <w:rPr>
                <w:rFonts w:ascii="宋体" w:hAnsi="宋体"/>
                <w:szCs w:val="21"/>
              </w:rPr>
            </w:pPr>
            <w:r>
              <w:rPr>
                <w:rFonts w:hint="eastAsia" w:ascii="宋体" w:hAnsi="宋体"/>
                <w:szCs w:val="21"/>
              </w:rPr>
              <w:t>统筹规范编制工作，组织人员进行规范发布后的宣贯培训</w:t>
            </w:r>
          </w:p>
        </w:tc>
      </w:tr>
      <w:tr w14:paraId="478F65AF">
        <w:tblPrEx>
          <w:tblCellMar>
            <w:top w:w="0" w:type="dxa"/>
            <w:left w:w="108" w:type="dxa"/>
            <w:bottom w:w="0" w:type="dxa"/>
            <w:right w:w="108" w:type="dxa"/>
          </w:tblCellMar>
        </w:tblPrEx>
        <w:trPr>
          <w:cantSplit/>
          <w:trHeight w:val="470" w:hRule="atLeast"/>
        </w:trPr>
        <w:tc>
          <w:tcPr>
            <w:tcW w:w="414" w:type="pct"/>
            <w:tcBorders>
              <w:top w:val="single" w:color="auto" w:sz="4" w:space="0"/>
              <w:left w:val="single" w:color="auto" w:sz="4" w:space="0"/>
              <w:bottom w:val="single" w:color="auto" w:sz="4" w:space="0"/>
              <w:right w:val="single" w:color="auto" w:sz="4" w:space="0"/>
            </w:tcBorders>
            <w:vAlign w:val="center"/>
          </w:tcPr>
          <w:p w14:paraId="1E495CBA">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6044A336">
            <w:pPr>
              <w:jc w:val="center"/>
              <w:rPr>
                <w:rFonts w:hint="eastAsia" w:ascii="宋体" w:hAnsi="宋体"/>
                <w:szCs w:val="21"/>
              </w:rPr>
            </w:pPr>
            <w:r>
              <w:rPr>
                <w:rFonts w:hint="eastAsia" w:ascii="宋体" w:hAnsi="宋体"/>
                <w:szCs w:val="21"/>
                <w:lang w:eastAsia="zh-CN"/>
              </w:rPr>
              <w:t>翟殷斌</w:t>
            </w:r>
          </w:p>
        </w:tc>
        <w:tc>
          <w:tcPr>
            <w:tcW w:w="1485" w:type="dxa"/>
            <w:tcBorders>
              <w:top w:val="single" w:color="auto" w:sz="4" w:space="0"/>
              <w:left w:val="single" w:color="auto" w:sz="4" w:space="0"/>
              <w:bottom w:val="single" w:color="auto" w:sz="4" w:space="0"/>
              <w:right w:val="single" w:color="auto" w:sz="4" w:space="0"/>
            </w:tcBorders>
            <w:vAlign w:val="center"/>
          </w:tcPr>
          <w:p w14:paraId="5A85CC55">
            <w:pPr>
              <w:jc w:val="center"/>
              <w:rPr>
                <w:rFonts w:hint="eastAsia" w:ascii="宋体" w:hAnsi="宋体"/>
                <w:szCs w:val="21"/>
              </w:rPr>
            </w:pPr>
            <w:r>
              <w:rPr>
                <w:rFonts w:hint="eastAsia" w:ascii="宋体" w:hAnsi="宋体"/>
                <w:szCs w:val="21"/>
                <w:lang w:val="en-US" w:eastAsia="zh-CN"/>
              </w:rPr>
              <w:t>副局长</w:t>
            </w:r>
          </w:p>
        </w:tc>
        <w:tc>
          <w:tcPr>
            <w:tcW w:w="1879" w:type="dxa"/>
            <w:tcBorders>
              <w:top w:val="single" w:color="auto" w:sz="4" w:space="0"/>
              <w:left w:val="single" w:color="auto" w:sz="4" w:space="0"/>
              <w:bottom w:val="single" w:color="auto" w:sz="4" w:space="0"/>
            </w:tcBorders>
            <w:vAlign w:val="center"/>
          </w:tcPr>
          <w:p w14:paraId="4FAA3809">
            <w:pPr>
              <w:jc w:val="center"/>
              <w:rPr>
                <w:rFonts w:hint="eastAsia" w:ascii="宋体" w:hAnsi="宋体"/>
                <w:szCs w:val="21"/>
              </w:rPr>
            </w:pPr>
            <w:r>
              <w:rPr>
                <w:rFonts w:hint="eastAsia" w:ascii="宋体" w:hAnsi="宋体"/>
                <w:szCs w:val="21"/>
                <w:lang w:val="en-US" w:eastAsia="zh-CN"/>
              </w:rPr>
              <w:t>气象服务管理</w:t>
            </w:r>
          </w:p>
        </w:tc>
        <w:tc>
          <w:tcPr>
            <w:tcW w:w="1777" w:type="pct"/>
            <w:tcBorders>
              <w:top w:val="single" w:color="auto" w:sz="4" w:space="0"/>
              <w:left w:val="single" w:color="auto" w:sz="4" w:space="0"/>
              <w:bottom w:val="single" w:color="auto" w:sz="4" w:space="0"/>
              <w:right w:val="single" w:color="auto" w:sz="4" w:space="0"/>
            </w:tcBorders>
            <w:vAlign w:val="center"/>
          </w:tcPr>
          <w:p w14:paraId="2DA2C1C6">
            <w:pPr>
              <w:suppressAutoHyphens/>
              <w:jc w:val="center"/>
              <w:rPr>
                <w:rFonts w:ascii="宋体" w:hAnsi="宋体"/>
                <w:szCs w:val="21"/>
              </w:rPr>
            </w:pPr>
            <w:r>
              <w:rPr>
                <w:rFonts w:hint="eastAsia" w:ascii="宋体" w:hAnsi="宋体"/>
                <w:szCs w:val="21"/>
              </w:rPr>
              <w:t>指导规范文本及编制说明编写，质量控制</w:t>
            </w:r>
          </w:p>
        </w:tc>
      </w:tr>
      <w:tr w14:paraId="675F12E5">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28F434CE">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19D1842F">
            <w:pPr>
              <w:jc w:val="center"/>
              <w:rPr>
                <w:rFonts w:hint="eastAsia" w:ascii="宋体" w:hAnsi="宋体"/>
                <w:szCs w:val="21"/>
              </w:rPr>
            </w:pPr>
            <w:r>
              <w:rPr>
                <w:rFonts w:hint="eastAsia" w:ascii="宋体" w:hAnsi="宋体"/>
                <w:szCs w:val="21"/>
                <w:lang w:eastAsia="zh-CN"/>
              </w:rPr>
              <w:t>吴凤莹</w:t>
            </w:r>
          </w:p>
        </w:tc>
        <w:tc>
          <w:tcPr>
            <w:tcW w:w="1485" w:type="dxa"/>
            <w:tcBorders>
              <w:top w:val="single" w:color="auto" w:sz="4" w:space="0"/>
              <w:left w:val="single" w:color="auto" w:sz="4" w:space="0"/>
              <w:bottom w:val="single" w:color="auto" w:sz="4" w:space="0"/>
              <w:right w:val="single" w:color="auto" w:sz="4" w:space="0"/>
            </w:tcBorders>
            <w:vAlign w:val="center"/>
          </w:tcPr>
          <w:p w14:paraId="4C268C70">
            <w:pPr>
              <w:jc w:val="center"/>
              <w:rPr>
                <w:rFonts w:hint="eastAsia" w:ascii="宋体" w:hAnsi="宋体"/>
                <w:szCs w:val="21"/>
              </w:rPr>
            </w:pPr>
            <w:r>
              <w:rPr>
                <w:rFonts w:hint="eastAsia" w:ascii="宋体" w:hAnsi="宋体"/>
                <w:szCs w:val="21"/>
                <w:lang w:val="en-US" w:eastAsia="zh-CN"/>
              </w:rPr>
              <w:t>副局长</w:t>
            </w:r>
          </w:p>
        </w:tc>
        <w:tc>
          <w:tcPr>
            <w:tcW w:w="1879" w:type="dxa"/>
            <w:tcBorders>
              <w:top w:val="single" w:color="auto" w:sz="4" w:space="0"/>
              <w:left w:val="single" w:color="auto" w:sz="4" w:space="0"/>
              <w:bottom w:val="single" w:color="auto" w:sz="4" w:space="0"/>
            </w:tcBorders>
            <w:vAlign w:val="center"/>
          </w:tcPr>
          <w:p w14:paraId="27F717A5">
            <w:pPr>
              <w:jc w:val="center"/>
              <w:rPr>
                <w:rFonts w:hint="eastAsia" w:ascii="宋体" w:hAnsi="宋体"/>
                <w:szCs w:val="21"/>
              </w:rPr>
            </w:pPr>
            <w:r>
              <w:rPr>
                <w:rFonts w:hint="eastAsia" w:ascii="宋体" w:hAnsi="宋体"/>
                <w:szCs w:val="21"/>
                <w:lang w:val="en-US" w:eastAsia="zh-CN"/>
              </w:rPr>
              <w:t>天气预报和气象服务管理</w:t>
            </w:r>
          </w:p>
        </w:tc>
        <w:tc>
          <w:tcPr>
            <w:tcW w:w="1777" w:type="pct"/>
            <w:tcBorders>
              <w:top w:val="single" w:color="auto" w:sz="4" w:space="0"/>
              <w:left w:val="single" w:color="auto" w:sz="4" w:space="0"/>
              <w:bottom w:val="single" w:color="auto" w:sz="4" w:space="0"/>
              <w:right w:val="single" w:color="auto" w:sz="4" w:space="0"/>
            </w:tcBorders>
            <w:vAlign w:val="center"/>
          </w:tcPr>
          <w:p w14:paraId="03245BE8">
            <w:pPr>
              <w:suppressAutoHyphens/>
              <w:jc w:val="center"/>
              <w:rPr>
                <w:rFonts w:ascii="宋体" w:hAnsi="宋体"/>
                <w:szCs w:val="21"/>
              </w:rPr>
            </w:pPr>
            <w:r>
              <w:rPr>
                <w:rFonts w:hint="eastAsia" w:ascii="宋体" w:hAnsi="宋体"/>
                <w:szCs w:val="21"/>
              </w:rPr>
              <w:t>对规范实施情况进行总结分析，不断对规范提出修正意见</w:t>
            </w:r>
          </w:p>
        </w:tc>
      </w:tr>
      <w:tr w14:paraId="59A90164">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7837F454">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4FAA2C15">
            <w:pPr>
              <w:jc w:val="center"/>
              <w:rPr>
                <w:rFonts w:hint="eastAsia" w:ascii="宋体" w:hAnsi="宋体"/>
                <w:szCs w:val="21"/>
              </w:rPr>
            </w:pPr>
            <w:r>
              <w:rPr>
                <w:rFonts w:hint="eastAsia" w:ascii="宋体" w:hAnsi="宋体"/>
                <w:szCs w:val="21"/>
              </w:rPr>
              <w:t>熊伟伟</w:t>
            </w:r>
          </w:p>
        </w:tc>
        <w:tc>
          <w:tcPr>
            <w:tcW w:w="1485" w:type="dxa"/>
            <w:tcBorders>
              <w:top w:val="single" w:color="auto" w:sz="4" w:space="0"/>
              <w:left w:val="single" w:color="auto" w:sz="4" w:space="0"/>
              <w:bottom w:val="single" w:color="auto" w:sz="4" w:space="0"/>
              <w:right w:val="single" w:color="auto" w:sz="4" w:space="0"/>
            </w:tcBorders>
            <w:vAlign w:val="center"/>
          </w:tcPr>
          <w:p w14:paraId="244B8C2B">
            <w:pPr>
              <w:jc w:val="center"/>
              <w:rPr>
                <w:rFonts w:hint="eastAsia" w:ascii="宋体" w:hAnsi="宋体"/>
                <w:szCs w:val="21"/>
              </w:rPr>
            </w:pPr>
            <w:r>
              <w:rPr>
                <w:rFonts w:hint="eastAsia" w:ascii="宋体" w:hAnsi="宋体"/>
                <w:szCs w:val="21"/>
              </w:rPr>
              <w:t>经济师</w:t>
            </w:r>
          </w:p>
        </w:tc>
        <w:tc>
          <w:tcPr>
            <w:tcW w:w="1879" w:type="dxa"/>
            <w:tcBorders>
              <w:top w:val="single" w:color="auto" w:sz="4" w:space="0"/>
              <w:left w:val="single" w:color="auto" w:sz="4" w:space="0"/>
              <w:bottom w:val="single" w:color="auto" w:sz="4" w:space="0"/>
            </w:tcBorders>
            <w:vAlign w:val="center"/>
          </w:tcPr>
          <w:p w14:paraId="67A737C0">
            <w:pPr>
              <w:jc w:val="center"/>
              <w:rPr>
                <w:rFonts w:hint="eastAsia" w:ascii="宋体" w:hAnsi="宋体"/>
                <w:szCs w:val="21"/>
              </w:rPr>
            </w:pPr>
            <w:r>
              <w:rPr>
                <w:rFonts w:hint="eastAsia" w:ascii="宋体" w:hAnsi="宋体"/>
                <w:szCs w:val="21"/>
              </w:rPr>
              <w:t>项目管理</w:t>
            </w:r>
          </w:p>
        </w:tc>
        <w:tc>
          <w:tcPr>
            <w:tcW w:w="1777" w:type="pct"/>
            <w:tcBorders>
              <w:top w:val="single" w:color="auto" w:sz="4" w:space="0"/>
              <w:left w:val="single" w:color="auto" w:sz="4" w:space="0"/>
              <w:bottom w:val="single" w:color="auto" w:sz="4" w:space="0"/>
              <w:right w:val="single" w:color="auto" w:sz="4" w:space="0"/>
            </w:tcBorders>
          </w:tcPr>
          <w:p w14:paraId="126B0B28">
            <w:pPr>
              <w:rPr>
                <w:rFonts w:ascii="宋体" w:hAnsi="宋体"/>
                <w:szCs w:val="21"/>
              </w:rPr>
            </w:pPr>
            <w:r>
              <w:rPr>
                <w:rFonts w:hint="eastAsia" w:ascii="宋体" w:hAnsi="宋体"/>
                <w:szCs w:val="21"/>
              </w:rPr>
              <w:t>负责起草规范草案，征求意见稿和规范编制说明，送审稿及编制说明的编写工作</w:t>
            </w:r>
          </w:p>
        </w:tc>
      </w:tr>
      <w:tr w14:paraId="379D4ED1">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201AF9A9">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41815AB6">
            <w:pPr>
              <w:jc w:val="center"/>
              <w:rPr>
                <w:rFonts w:hint="eastAsia" w:ascii="宋体" w:hAnsi="宋体"/>
                <w:szCs w:val="21"/>
              </w:rPr>
            </w:pPr>
            <w:r>
              <w:rPr>
                <w:rFonts w:hint="eastAsia" w:ascii="宋体" w:hAnsi="宋体"/>
                <w:szCs w:val="21"/>
                <w:lang w:eastAsia="zh-CN"/>
              </w:rPr>
              <w:t>蒋林利</w:t>
            </w:r>
          </w:p>
        </w:tc>
        <w:tc>
          <w:tcPr>
            <w:tcW w:w="1485" w:type="dxa"/>
            <w:tcBorders>
              <w:top w:val="single" w:color="auto" w:sz="4" w:space="0"/>
              <w:left w:val="single" w:color="auto" w:sz="4" w:space="0"/>
              <w:bottom w:val="single" w:color="auto" w:sz="4" w:space="0"/>
              <w:right w:val="single" w:color="auto" w:sz="4" w:space="0"/>
            </w:tcBorders>
            <w:vAlign w:val="center"/>
          </w:tcPr>
          <w:p w14:paraId="467F6FC1">
            <w:pPr>
              <w:jc w:val="center"/>
              <w:rPr>
                <w:rFonts w:hint="eastAsia" w:ascii="宋体" w:hAnsi="宋体"/>
                <w:szCs w:val="21"/>
              </w:rPr>
            </w:pPr>
            <w:r>
              <w:rPr>
                <w:rFonts w:hint="eastAsia" w:ascii="宋体" w:hAnsi="宋体"/>
                <w:szCs w:val="21"/>
                <w:lang w:eastAsia="zh-CN"/>
              </w:rPr>
              <w:t>正研级</w:t>
            </w:r>
            <w:r>
              <w:rPr>
                <w:rFonts w:hint="eastAsia" w:ascii="宋体" w:hAnsi="宋体"/>
                <w:szCs w:val="21"/>
              </w:rPr>
              <w:t>高级工程师</w:t>
            </w:r>
            <w:r>
              <w:rPr>
                <w:rFonts w:hint="default" w:ascii="宋体" w:hAnsi="宋体"/>
                <w:szCs w:val="21"/>
                <w:lang w:val="en-US"/>
              </w:rPr>
              <w:t>/</w:t>
            </w:r>
            <w:r>
              <w:rPr>
                <w:rFonts w:hint="eastAsia" w:ascii="宋体" w:hAnsi="宋体"/>
                <w:szCs w:val="21"/>
                <w:lang w:val="en-US" w:eastAsia="zh-CN"/>
              </w:rPr>
              <w:t>教授</w:t>
            </w:r>
          </w:p>
        </w:tc>
        <w:tc>
          <w:tcPr>
            <w:tcW w:w="1879" w:type="dxa"/>
            <w:tcBorders>
              <w:top w:val="single" w:color="auto" w:sz="4" w:space="0"/>
              <w:left w:val="single" w:color="auto" w:sz="4" w:space="0"/>
              <w:bottom w:val="single" w:color="auto" w:sz="4" w:space="0"/>
            </w:tcBorders>
            <w:vAlign w:val="center"/>
          </w:tcPr>
          <w:p w14:paraId="288D7325">
            <w:pPr>
              <w:jc w:val="center"/>
              <w:rPr>
                <w:rFonts w:hint="eastAsia" w:ascii="宋体" w:hAnsi="宋体"/>
                <w:szCs w:val="21"/>
              </w:rPr>
            </w:pPr>
            <w:r>
              <w:rPr>
                <w:rFonts w:hint="eastAsia" w:ascii="宋体" w:hAnsi="宋体"/>
                <w:szCs w:val="21"/>
                <w:lang w:eastAsia="zh-CN"/>
              </w:rPr>
              <w:t>人工智能</w:t>
            </w:r>
          </w:p>
        </w:tc>
        <w:tc>
          <w:tcPr>
            <w:tcW w:w="1777" w:type="pct"/>
            <w:tcBorders>
              <w:top w:val="single" w:color="auto" w:sz="4" w:space="0"/>
              <w:left w:val="single" w:color="auto" w:sz="4" w:space="0"/>
              <w:bottom w:val="single" w:color="auto" w:sz="4" w:space="0"/>
              <w:right w:val="single" w:color="auto" w:sz="4" w:space="0"/>
            </w:tcBorders>
          </w:tcPr>
          <w:p w14:paraId="1E19E44C">
            <w:pPr>
              <w:rPr>
                <w:rFonts w:ascii="宋体" w:hAnsi="宋体"/>
                <w:szCs w:val="21"/>
              </w:rPr>
            </w:pPr>
            <w:r>
              <w:rPr>
                <w:rFonts w:hint="eastAsia" w:ascii="宋体" w:hAnsi="宋体"/>
                <w:szCs w:val="21"/>
              </w:rPr>
              <w:t>负责起草规范草案，征求意见稿和规范编制说明，送审稿及编制说明的编写工作</w:t>
            </w:r>
          </w:p>
        </w:tc>
      </w:tr>
      <w:tr w14:paraId="5E8898C8">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3785F7B6">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6D68C12C">
            <w:pPr>
              <w:jc w:val="center"/>
              <w:rPr>
                <w:rFonts w:hint="eastAsia" w:ascii="宋体" w:hAnsi="宋体"/>
                <w:szCs w:val="21"/>
              </w:rPr>
            </w:pPr>
            <w:r>
              <w:rPr>
                <w:rFonts w:hint="eastAsia" w:ascii="宋体" w:hAnsi="宋体"/>
                <w:szCs w:val="21"/>
                <w:lang w:eastAsia="zh-CN"/>
              </w:rPr>
              <w:t>韦力榕</w:t>
            </w:r>
          </w:p>
        </w:tc>
        <w:tc>
          <w:tcPr>
            <w:tcW w:w="1485" w:type="dxa"/>
            <w:tcBorders>
              <w:top w:val="single" w:color="auto" w:sz="4" w:space="0"/>
              <w:left w:val="single" w:color="auto" w:sz="4" w:space="0"/>
              <w:bottom w:val="single" w:color="auto" w:sz="4" w:space="0"/>
              <w:right w:val="single" w:color="auto" w:sz="4" w:space="0"/>
            </w:tcBorders>
            <w:vAlign w:val="center"/>
          </w:tcPr>
          <w:p w14:paraId="65C0E86E">
            <w:pPr>
              <w:jc w:val="center"/>
              <w:rPr>
                <w:rFonts w:hint="eastAsia" w:ascii="宋体" w:hAnsi="宋体"/>
                <w:szCs w:val="21"/>
              </w:rPr>
            </w:pPr>
            <w:r>
              <w:rPr>
                <w:rFonts w:hint="eastAsia" w:ascii="宋体" w:hAnsi="宋体"/>
                <w:szCs w:val="21"/>
                <w:lang w:val="en-US" w:eastAsia="zh-CN"/>
              </w:rPr>
              <w:t>主任</w:t>
            </w:r>
          </w:p>
        </w:tc>
        <w:tc>
          <w:tcPr>
            <w:tcW w:w="1879" w:type="dxa"/>
            <w:tcBorders>
              <w:top w:val="single" w:color="auto" w:sz="4" w:space="0"/>
              <w:left w:val="single" w:color="auto" w:sz="4" w:space="0"/>
              <w:bottom w:val="single" w:color="auto" w:sz="4" w:space="0"/>
            </w:tcBorders>
            <w:vAlign w:val="center"/>
          </w:tcPr>
          <w:p w14:paraId="34516ACB">
            <w:pPr>
              <w:jc w:val="center"/>
              <w:rPr>
                <w:rFonts w:hint="eastAsia" w:ascii="宋体" w:hAnsi="宋体"/>
                <w:szCs w:val="21"/>
              </w:rPr>
            </w:pPr>
            <w:r>
              <w:rPr>
                <w:rFonts w:hint="eastAsia" w:ascii="宋体" w:hAnsi="宋体"/>
                <w:szCs w:val="21"/>
                <w:lang w:val="en-US" w:eastAsia="zh-CN"/>
              </w:rPr>
              <w:t>气象服务</w:t>
            </w:r>
          </w:p>
        </w:tc>
        <w:tc>
          <w:tcPr>
            <w:tcW w:w="1777" w:type="pct"/>
            <w:tcBorders>
              <w:top w:val="single" w:color="auto" w:sz="4" w:space="0"/>
              <w:left w:val="single" w:color="auto" w:sz="4" w:space="0"/>
              <w:bottom w:val="single" w:color="auto" w:sz="4" w:space="0"/>
              <w:right w:val="single" w:color="auto" w:sz="4" w:space="0"/>
            </w:tcBorders>
            <w:vAlign w:val="center"/>
          </w:tcPr>
          <w:p w14:paraId="38DE3CE1">
            <w:pPr>
              <w:suppressAutoHyphens/>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7F8CBF08">
        <w:tblPrEx>
          <w:tblCellMar>
            <w:top w:w="0" w:type="dxa"/>
            <w:left w:w="108" w:type="dxa"/>
            <w:bottom w:w="0" w:type="dxa"/>
            <w:right w:w="108" w:type="dxa"/>
          </w:tblCellMar>
        </w:tblPrEx>
        <w:trPr>
          <w:cantSplit/>
          <w:trHeight w:val="1514" w:hRule="atLeast"/>
        </w:trPr>
        <w:tc>
          <w:tcPr>
            <w:tcW w:w="414" w:type="pct"/>
            <w:tcBorders>
              <w:top w:val="single" w:color="auto" w:sz="4" w:space="0"/>
              <w:left w:val="single" w:color="auto" w:sz="4" w:space="0"/>
              <w:bottom w:val="single" w:color="auto" w:sz="4" w:space="0"/>
              <w:right w:val="single" w:color="auto" w:sz="4" w:space="0"/>
            </w:tcBorders>
            <w:vAlign w:val="center"/>
          </w:tcPr>
          <w:p w14:paraId="24D848B5">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3704D266">
            <w:pPr>
              <w:jc w:val="center"/>
              <w:rPr>
                <w:rFonts w:hint="eastAsia" w:ascii="宋体" w:hAnsi="宋体"/>
                <w:szCs w:val="21"/>
              </w:rPr>
            </w:pPr>
            <w:r>
              <w:rPr>
                <w:rFonts w:hint="eastAsia" w:ascii="宋体" w:hAnsi="宋体"/>
                <w:szCs w:val="21"/>
                <w:lang w:eastAsia="zh-CN"/>
              </w:rPr>
              <w:t>赵林</w:t>
            </w:r>
          </w:p>
        </w:tc>
        <w:tc>
          <w:tcPr>
            <w:tcW w:w="1485" w:type="dxa"/>
            <w:tcBorders>
              <w:top w:val="single" w:color="auto" w:sz="4" w:space="0"/>
              <w:left w:val="single" w:color="auto" w:sz="4" w:space="0"/>
              <w:bottom w:val="single" w:color="auto" w:sz="4" w:space="0"/>
              <w:right w:val="single" w:color="auto" w:sz="4" w:space="0"/>
            </w:tcBorders>
            <w:vAlign w:val="center"/>
          </w:tcPr>
          <w:p w14:paraId="556F2CC4">
            <w:pPr>
              <w:jc w:val="center"/>
              <w:rPr>
                <w:rFonts w:hint="eastAsia" w:ascii="宋体" w:hAnsi="宋体"/>
                <w:szCs w:val="21"/>
              </w:rPr>
            </w:pPr>
            <w:r>
              <w:rPr>
                <w:rFonts w:hint="eastAsia" w:ascii="宋体" w:hAnsi="宋体"/>
                <w:szCs w:val="21"/>
                <w:lang w:val="en-US" w:eastAsia="zh-CN"/>
              </w:rPr>
              <w:t>科长</w:t>
            </w:r>
          </w:p>
        </w:tc>
        <w:tc>
          <w:tcPr>
            <w:tcW w:w="1879" w:type="dxa"/>
            <w:tcBorders>
              <w:top w:val="single" w:color="auto" w:sz="4" w:space="0"/>
              <w:left w:val="single" w:color="auto" w:sz="4" w:space="0"/>
              <w:bottom w:val="single" w:color="auto" w:sz="4" w:space="0"/>
            </w:tcBorders>
            <w:vAlign w:val="center"/>
          </w:tcPr>
          <w:p w14:paraId="46FA9AE0">
            <w:pPr>
              <w:jc w:val="center"/>
              <w:rPr>
                <w:rFonts w:hint="eastAsia" w:ascii="宋体" w:hAnsi="宋体"/>
                <w:szCs w:val="21"/>
              </w:rPr>
            </w:pPr>
            <w:r>
              <w:rPr>
                <w:rFonts w:hint="eastAsia" w:ascii="宋体" w:hAnsi="宋体"/>
                <w:szCs w:val="21"/>
                <w:lang w:val="en-US" w:eastAsia="zh-CN"/>
              </w:rPr>
              <w:t>气象服务管理</w:t>
            </w:r>
          </w:p>
        </w:tc>
        <w:tc>
          <w:tcPr>
            <w:tcW w:w="1777" w:type="pct"/>
            <w:tcBorders>
              <w:top w:val="single" w:color="auto" w:sz="4" w:space="0"/>
              <w:left w:val="single" w:color="auto" w:sz="4" w:space="0"/>
              <w:bottom w:val="single" w:color="auto" w:sz="4" w:space="0"/>
              <w:right w:val="single" w:color="auto" w:sz="4" w:space="0"/>
            </w:tcBorders>
            <w:vAlign w:val="center"/>
          </w:tcPr>
          <w:p w14:paraId="5AADC57D">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641F097E">
        <w:tblPrEx>
          <w:tblCellMar>
            <w:top w:w="0" w:type="dxa"/>
            <w:left w:w="108" w:type="dxa"/>
            <w:bottom w:w="0" w:type="dxa"/>
            <w:right w:w="108" w:type="dxa"/>
          </w:tblCellMar>
        </w:tblPrEx>
        <w:trPr>
          <w:cantSplit/>
          <w:trHeight w:val="1564" w:hRule="atLeast"/>
        </w:trPr>
        <w:tc>
          <w:tcPr>
            <w:tcW w:w="414" w:type="pct"/>
            <w:tcBorders>
              <w:top w:val="single" w:color="auto" w:sz="4" w:space="0"/>
              <w:left w:val="single" w:color="auto" w:sz="4" w:space="0"/>
              <w:bottom w:val="single" w:color="auto" w:sz="4" w:space="0"/>
              <w:right w:val="single" w:color="auto" w:sz="4" w:space="0"/>
            </w:tcBorders>
            <w:vAlign w:val="center"/>
          </w:tcPr>
          <w:p w14:paraId="5FE49886">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16749DD8">
            <w:pPr>
              <w:jc w:val="center"/>
              <w:rPr>
                <w:rFonts w:hint="eastAsia" w:ascii="宋体" w:hAnsi="宋体"/>
                <w:szCs w:val="21"/>
              </w:rPr>
            </w:pPr>
            <w:r>
              <w:rPr>
                <w:rFonts w:hint="eastAsia" w:ascii="宋体" w:hAnsi="宋体"/>
                <w:szCs w:val="21"/>
                <w:lang w:eastAsia="zh-CN"/>
              </w:rPr>
              <w:t>莫钧</w:t>
            </w:r>
          </w:p>
        </w:tc>
        <w:tc>
          <w:tcPr>
            <w:tcW w:w="1485" w:type="dxa"/>
            <w:tcBorders>
              <w:top w:val="single" w:color="auto" w:sz="4" w:space="0"/>
              <w:left w:val="single" w:color="auto" w:sz="4" w:space="0"/>
              <w:bottom w:val="single" w:color="auto" w:sz="4" w:space="0"/>
              <w:right w:val="single" w:color="auto" w:sz="4" w:space="0"/>
            </w:tcBorders>
            <w:vAlign w:val="center"/>
          </w:tcPr>
          <w:p w14:paraId="30C04762">
            <w:pPr>
              <w:jc w:val="center"/>
              <w:rPr>
                <w:rFonts w:hint="eastAsia" w:ascii="宋体" w:hAnsi="宋体"/>
                <w:szCs w:val="21"/>
              </w:rPr>
            </w:pPr>
            <w:r>
              <w:rPr>
                <w:rFonts w:hint="eastAsia" w:ascii="宋体" w:hAnsi="宋体"/>
                <w:szCs w:val="21"/>
                <w:lang w:val="en-US" w:eastAsia="zh-CN"/>
              </w:rPr>
              <w:t>主任</w:t>
            </w:r>
          </w:p>
        </w:tc>
        <w:tc>
          <w:tcPr>
            <w:tcW w:w="1879" w:type="dxa"/>
            <w:tcBorders>
              <w:top w:val="single" w:color="auto" w:sz="4" w:space="0"/>
              <w:left w:val="single" w:color="auto" w:sz="4" w:space="0"/>
              <w:bottom w:val="single" w:color="auto" w:sz="4" w:space="0"/>
              <w:right w:val="single" w:color="auto" w:sz="4" w:space="0"/>
            </w:tcBorders>
            <w:vAlign w:val="center"/>
          </w:tcPr>
          <w:p w14:paraId="214BD12B">
            <w:pPr>
              <w:jc w:val="center"/>
              <w:rPr>
                <w:rFonts w:hint="eastAsia" w:ascii="宋体" w:hAnsi="宋体"/>
                <w:szCs w:val="21"/>
              </w:rPr>
            </w:pPr>
            <w:r>
              <w:rPr>
                <w:rFonts w:hint="eastAsia" w:ascii="宋体" w:hAnsi="宋体"/>
                <w:szCs w:val="21"/>
                <w:lang w:val="en-US" w:eastAsia="zh-CN"/>
              </w:rPr>
              <w:t>人工影响天气作业管理</w:t>
            </w:r>
          </w:p>
        </w:tc>
        <w:tc>
          <w:tcPr>
            <w:tcW w:w="1777" w:type="pct"/>
            <w:tcBorders>
              <w:top w:val="single" w:color="auto" w:sz="4" w:space="0"/>
              <w:left w:val="single" w:color="auto" w:sz="4" w:space="0"/>
              <w:bottom w:val="single" w:color="auto" w:sz="4" w:space="0"/>
              <w:right w:val="single" w:color="auto" w:sz="4" w:space="0"/>
            </w:tcBorders>
            <w:vAlign w:val="center"/>
          </w:tcPr>
          <w:p w14:paraId="6FB33EE1">
            <w:pPr>
              <w:suppressAutoHyphens/>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75F735E7">
        <w:tblPrEx>
          <w:tblCellMar>
            <w:top w:w="0" w:type="dxa"/>
            <w:left w:w="108" w:type="dxa"/>
            <w:bottom w:w="0" w:type="dxa"/>
            <w:right w:w="108" w:type="dxa"/>
          </w:tblCellMar>
        </w:tblPrEx>
        <w:trPr>
          <w:cantSplit/>
          <w:trHeight w:val="1564" w:hRule="atLeast"/>
        </w:trPr>
        <w:tc>
          <w:tcPr>
            <w:tcW w:w="414" w:type="pct"/>
            <w:tcBorders>
              <w:top w:val="single" w:color="auto" w:sz="4" w:space="0"/>
              <w:left w:val="single" w:color="auto" w:sz="4" w:space="0"/>
              <w:bottom w:val="single" w:color="auto" w:sz="4" w:space="0"/>
              <w:right w:val="single" w:color="auto" w:sz="4" w:space="0"/>
            </w:tcBorders>
            <w:vAlign w:val="center"/>
          </w:tcPr>
          <w:p w14:paraId="4EBCE26D">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shd w:val="clear" w:color="auto" w:fill="auto"/>
            <w:vAlign w:val="center"/>
          </w:tcPr>
          <w:p w14:paraId="4BB9A5D7">
            <w:pPr>
              <w:jc w:val="center"/>
              <w:rPr>
                <w:rFonts w:hint="eastAsia" w:ascii="宋体" w:hAnsi="宋体"/>
                <w:szCs w:val="21"/>
              </w:rPr>
            </w:pPr>
            <w:r>
              <w:rPr>
                <w:rFonts w:hint="eastAsia" w:ascii="宋体" w:hAnsi="宋体"/>
                <w:szCs w:val="21"/>
                <w:lang w:eastAsia="zh-CN"/>
              </w:rPr>
              <w:t>杨敏</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0C25ED16">
            <w:pPr>
              <w:jc w:val="center"/>
              <w:rPr>
                <w:rFonts w:hint="eastAsia" w:ascii="宋体" w:hAnsi="宋体"/>
                <w:szCs w:val="21"/>
              </w:rPr>
            </w:pPr>
            <w:r>
              <w:rPr>
                <w:rFonts w:hint="eastAsia" w:ascii="宋体" w:hAnsi="宋体"/>
                <w:szCs w:val="21"/>
                <w:lang w:val="en-US" w:eastAsia="zh-CN"/>
              </w:rPr>
              <w:t>二级主任科员</w:t>
            </w:r>
          </w:p>
        </w:tc>
        <w:tc>
          <w:tcPr>
            <w:tcW w:w="1879" w:type="dxa"/>
            <w:tcBorders>
              <w:top w:val="single" w:color="auto" w:sz="4" w:space="0"/>
              <w:left w:val="single" w:color="auto" w:sz="4" w:space="0"/>
              <w:bottom w:val="single" w:color="auto" w:sz="4" w:space="0"/>
            </w:tcBorders>
            <w:shd w:val="clear" w:color="auto" w:fill="auto"/>
            <w:vAlign w:val="center"/>
          </w:tcPr>
          <w:p w14:paraId="138E3D65">
            <w:pPr>
              <w:jc w:val="center"/>
              <w:rPr>
                <w:rFonts w:hint="eastAsia" w:ascii="宋体" w:hAnsi="宋体"/>
                <w:szCs w:val="21"/>
              </w:rPr>
            </w:pPr>
            <w:r>
              <w:rPr>
                <w:rFonts w:hint="eastAsia" w:ascii="宋体" w:hAnsi="宋体"/>
                <w:szCs w:val="21"/>
                <w:lang w:val="en-US" w:eastAsia="zh-CN"/>
              </w:rPr>
              <w:t>法规管理</w:t>
            </w:r>
          </w:p>
        </w:tc>
        <w:tc>
          <w:tcPr>
            <w:tcW w:w="1777" w:type="pct"/>
            <w:tcBorders>
              <w:top w:val="single" w:color="auto" w:sz="4" w:space="0"/>
              <w:left w:val="single" w:color="auto" w:sz="4" w:space="0"/>
              <w:bottom w:val="single" w:color="auto" w:sz="4" w:space="0"/>
              <w:right w:val="single" w:color="auto" w:sz="4" w:space="0"/>
            </w:tcBorders>
            <w:vAlign w:val="center"/>
          </w:tcPr>
          <w:p w14:paraId="5A3811FF">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54826C07">
        <w:tblPrEx>
          <w:tblCellMar>
            <w:top w:w="0" w:type="dxa"/>
            <w:left w:w="108" w:type="dxa"/>
            <w:bottom w:w="0" w:type="dxa"/>
            <w:right w:w="108" w:type="dxa"/>
          </w:tblCellMar>
        </w:tblPrEx>
        <w:trPr>
          <w:cantSplit/>
          <w:trHeight w:val="1564" w:hRule="atLeast"/>
        </w:trPr>
        <w:tc>
          <w:tcPr>
            <w:tcW w:w="414" w:type="pct"/>
            <w:tcBorders>
              <w:top w:val="single" w:color="auto" w:sz="4" w:space="0"/>
              <w:left w:val="single" w:color="auto" w:sz="4" w:space="0"/>
              <w:bottom w:val="single" w:color="auto" w:sz="4" w:space="0"/>
              <w:right w:val="single" w:color="auto" w:sz="4" w:space="0"/>
            </w:tcBorders>
            <w:vAlign w:val="center"/>
          </w:tcPr>
          <w:p w14:paraId="36EB108D">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bottom w:val="single" w:color="auto" w:sz="4" w:space="0"/>
              <w:right w:val="single" w:color="auto" w:sz="4" w:space="0"/>
            </w:tcBorders>
            <w:vAlign w:val="center"/>
          </w:tcPr>
          <w:p w14:paraId="41595897">
            <w:pPr>
              <w:jc w:val="center"/>
              <w:rPr>
                <w:rFonts w:hint="eastAsia" w:ascii="宋体" w:hAnsi="宋体"/>
                <w:szCs w:val="21"/>
              </w:rPr>
            </w:pPr>
            <w:r>
              <w:rPr>
                <w:rFonts w:hint="eastAsia" w:ascii="宋体" w:hAnsi="宋体"/>
                <w:szCs w:val="21"/>
              </w:rPr>
              <w:t>罗博华</w:t>
            </w:r>
          </w:p>
        </w:tc>
        <w:tc>
          <w:tcPr>
            <w:tcW w:w="1485" w:type="dxa"/>
            <w:tcBorders>
              <w:top w:val="single" w:color="auto" w:sz="4" w:space="0"/>
              <w:left w:val="single" w:color="auto" w:sz="4" w:space="0"/>
              <w:bottom w:val="single" w:color="auto" w:sz="4" w:space="0"/>
              <w:right w:val="single" w:color="auto" w:sz="4" w:space="0"/>
            </w:tcBorders>
            <w:vAlign w:val="center"/>
          </w:tcPr>
          <w:p w14:paraId="7633D34C">
            <w:pPr>
              <w:jc w:val="center"/>
              <w:rPr>
                <w:rFonts w:hint="eastAsia" w:ascii="宋体" w:hAnsi="宋体"/>
                <w:szCs w:val="21"/>
              </w:rPr>
            </w:pPr>
            <w:r>
              <w:rPr>
                <w:rFonts w:hint="eastAsia" w:ascii="宋体" w:hAnsi="宋体"/>
                <w:szCs w:val="21"/>
              </w:rPr>
              <w:t>高级工程师</w:t>
            </w:r>
          </w:p>
        </w:tc>
        <w:tc>
          <w:tcPr>
            <w:tcW w:w="1879" w:type="dxa"/>
            <w:tcBorders>
              <w:top w:val="single" w:color="auto" w:sz="4" w:space="0"/>
              <w:left w:val="single" w:color="auto" w:sz="4" w:space="0"/>
              <w:bottom w:val="single" w:color="auto" w:sz="4" w:space="0"/>
            </w:tcBorders>
            <w:vAlign w:val="center"/>
          </w:tcPr>
          <w:p w14:paraId="6D864BFE">
            <w:pPr>
              <w:jc w:val="center"/>
              <w:rPr>
                <w:rFonts w:hint="eastAsia" w:ascii="宋体" w:hAnsi="宋体"/>
                <w:szCs w:val="21"/>
              </w:rPr>
            </w:pPr>
            <w:r>
              <w:rPr>
                <w:rFonts w:hint="eastAsia" w:ascii="宋体" w:hAnsi="宋体"/>
                <w:szCs w:val="21"/>
              </w:rPr>
              <w:t>电气及其自动化</w:t>
            </w:r>
          </w:p>
        </w:tc>
        <w:tc>
          <w:tcPr>
            <w:tcW w:w="1777" w:type="pct"/>
            <w:tcBorders>
              <w:top w:val="single" w:color="auto" w:sz="4" w:space="0"/>
              <w:left w:val="single" w:color="auto" w:sz="4" w:space="0"/>
              <w:bottom w:val="single" w:color="auto" w:sz="4" w:space="0"/>
              <w:right w:val="single" w:color="auto" w:sz="4" w:space="0"/>
            </w:tcBorders>
            <w:vAlign w:val="center"/>
          </w:tcPr>
          <w:p w14:paraId="47E91A5D">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494E854C">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3EA5AEAC">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1BAFD408">
            <w:pPr>
              <w:jc w:val="center"/>
              <w:rPr>
                <w:rFonts w:hint="eastAsia" w:ascii="宋体" w:hAnsi="宋体"/>
                <w:szCs w:val="21"/>
              </w:rPr>
            </w:pPr>
            <w:r>
              <w:rPr>
                <w:rFonts w:hint="eastAsia" w:ascii="宋体" w:hAnsi="宋体"/>
                <w:szCs w:val="21"/>
              </w:rPr>
              <w:t>李豪</w:t>
            </w:r>
          </w:p>
        </w:tc>
        <w:tc>
          <w:tcPr>
            <w:tcW w:w="1485" w:type="dxa"/>
            <w:tcBorders>
              <w:top w:val="single" w:color="auto" w:sz="4" w:space="0"/>
              <w:bottom w:val="single" w:color="auto" w:sz="4" w:space="0"/>
            </w:tcBorders>
            <w:vAlign w:val="center"/>
          </w:tcPr>
          <w:p w14:paraId="47FD16C1">
            <w:pPr>
              <w:jc w:val="center"/>
              <w:rPr>
                <w:rFonts w:hint="eastAsia" w:ascii="宋体" w:hAnsi="宋体"/>
                <w:szCs w:val="21"/>
              </w:rPr>
            </w:pPr>
            <w:r>
              <w:rPr>
                <w:rFonts w:hint="eastAsia" w:ascii="宋体" w:hAnsi="宋体"/>
                <w:szCs w:val="21"/>
              </w:rPr>
              <w:t>高级经济师</w:t>
            </w:r>
          </w:p>
        </w:tc>
        <w:tc>
          <w:tcPr>
            <w:tcW w:w="1879" w:type="dxa"/>
            <w:tcBorders>
              <w:top w:val="single" w:color="auto" w:sz="4" w:space="0"/>
              <w:left w:val="single" w:color="auto" w:sz="4" w:space="0"/>
              <w:bottom w:val="single" w:color="auto" w:sz="4" w:space="0"/>
              <w:right w:val="single" w:color="auto" w:sz="4" w:space="0"/>
            </w:tcBorders>
            <w:vAlign w:val="center"/>
          </w:tcPr>
          <w:p w14:paraId="73A3A024">
            <w:pPr>
              <w:jc w:val="center"/>
              <w:rPr>
                <w:rFonts w:hint="eastAsia" w:ascii="宋体" w:hAnsi="宋体"/>
                <w:szCs w:val="21"/>
              </w:rPr>
            </w:pPr>
            <w:r>
              <w:rPr>
                <w:rFonts w:hint="eastAsia" w:ascii="宋体" w:hAnsi="宋体"/>
                <w:szCs w:val="21"/>
              </w:rPr>
              <w:t>安全管理</w:t>
            </w:r>
          </w:p>
        </w:tc>
        <w:tc>
          <w:tcPr>
            <w:tcW w:w="1777" w:type="pct"/>
            <w:tcBorders>
              <w:top w:val="single" w:color="auto" w:sz="4" w:space="0"/>
              <w:left w:val="single" w:color="auto" w:sz="4" w:space="0"/>
              <w:bottom w:val="single" w:color="auto" w:sz="4" w:space="0"/>
              <w:right w:val="single" w:color="auto" w:sz="4" w:space="0"/>
            </w:tcBorders>
            <w:vAlign w:val="center"/>
          </w:tcPr>
          <w:p w14:paraId="16B4E2B0">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0B08A5F5">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26F455D5">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2782F3F3">
            <w:pPr>
              <w:jc w:val="center"/>
              <w:rPr>
                <w:rFonts w:hint="eastAsia" w:ascii="宋体" w:hAnsi="宋体"/>
                <w:szCs w:val="21"/>
              </w:rPr>
            </w:pPr>
            <w:r>
              <w:rPr>
                <w:rFonts w:hint="eastAsia" w:ascii="宋体" w:hAnsi="宋体"/>
                <w:szCs w:val="21"/>
                <w:lang w:val="en-US" w:eastAsia="zh-CN"/>
              </w:rPr>
              <w:t>张星</w:t>
            </w:r>
          </w:p>
        </w:tc>
        <w:tc>
          <w:tcPr>
            <w:tcW w:w="1485" w:type="dxa"/>
            <w:tcBorders>
              <w:top w:val="single" w:color="auto" w:sz="4" w:space="0"/>
              <w:bottom w:val="single" w:color="auto" w:sz="4" w:space="0"/>
            </w:tcBorders>
            <w:vAlign w:val="center"/>
          </w:tcPr>
          <w:p w14:paraId="7252EA5D">
            <w:pPr>
              <w:jc w:val="center"/>
              <w:rPr>
                <w:rFonts w:hint="eastAsia" w:ascii="宋体" w:hAnsi="宋体"/>
                <w:szCs w:val="21"/>
              </w:rPr>
            </w:pPr>
            <w:r>
              <w:rPr>
                <w:rFonts w:hint="eastAsia" w:ascii="宋体" w:hAnsi="宋体"/>
                <w:szCs w:val="21"/>
                <w:lang w:eastAsia="zh-CN"/>
              </w:rPr>
              <w:t>研究生</w:t>
            </w:r>
          </w:p>
        </w:tc>
        <w:tc>
          <w:tcPr>
            <w:tcW w:w="1879" w:type="dxa"/>
            <w:tcBorders>
              <w:top w:val="single" w:color="auto" w:sz="4" w:space="0"/>
              <w:left w:val="single" w:color="auto" w:sz="4" w:space="0"/>
              <w:bottom w:val="single" w:color="auto" w:sz="4" w:space="0"/>
              <w:right w:val="single" w:color="auto" w:sz="4" w:space="0"/>
            </w:tcBorders>
            <w:vAlign w:val="center"/>
          </w:tcPr>
          <w:p w14:paraId="77FFD0FA">
            <w:pPr>
              <w:jc w:val="center"/>
              <w:rPr>
                <w:rFonts w:hint="eastAsia" w:ascii="宋体" w:hAnsi="宋体"/>
                <w:szCs w:val="21"/>
              </w:rPr>
            </w:pPr>
            <w:r>
              <w:rPr>
                <w:rFonts w:hint="eastAsia" w:ascii="宋体" w:hAnsi="宋体"/>
                <w:szCs w:val="21"/>
                <w:lang w:eastAsia="zh-CN"/>
              </w:rPr>
              <w:t>人工智能</w:t>
            </w:r>
          </w:p>
        </w:tc>
        <w:tc>
          <w:tcPr>
            <w:tcW w:w="1777" w:type="pct"/>
            <w:tcBorders>
              <w:top w:val="single" w:color="auto" w:sz="4" w:space="0"/>
              <w:left w:val="single" w:color="auto" w:sz="4" w:space="0"/>
              <w:bottom w:val="single" w:color="auto" w:sz="4" w:space="0"/>
              <w:right w:val="single" w:color="auto" w:sz="4" w:space="0"/>
            </w:tcBorders>
            <w:vAlign w:val="center"/>
          </w:tcPr>
          <w:p w14:paraId="3E8BDD00">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0BE605D2">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08573410">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3BE973C4">
            <w:pPr>
              <w:jc w:val="center"/>
              <w:rPr>
                <w:rFonts w:hint="eastAsia" w:ascii="宋体" w:hAnsi="宋体"/>
                <w:szCs w:val="21"/>
              </w:rPr>
            </w:pPr>
            <w:r>
              <w:rPr>
                <w:rFonts w:hint="eastAsia" w:ascii="宋体" w:hAnsi="宋体"/>
                <w:szCs w:val="21"/>
                <w:lang w:eastAsia="zh-CN"/>
              </w:rPr>
              <w:t>刘国平</w:t>
            </w:r>
          </w:p>
        </w:tc>
        <w:tc>
          <w:tcPr>
            <w:tcW w:w="1485" w:type="dxa"/>
            <w:tcBorders>
              <w:top w:val="single" w:color="auto" w:sz="4" w:space="0"/>
              <w:bottom w:val="single" w:color="auto" w:sz="4" w:space="0"/>
            </w:tcBorders>
            <w:vAlign w:val="center"/>
          </w:tcPr>
          <w:p w14:paraId="433DD4F2">
            <w:pPr>
              <w:jc w:val="center"/>
              <w:rPr>
                <w:rFonts w:hint="eastAsia" w:ascii="宋体" w:hAnsi="宋体"/>
                <w:szCs w:val="21"/>
              </w:rPr>
            </w:pPr>
            <w:r>
              <w:rPr>
                <w:rFonts w:hint="eastAsia" w:ascii="宋体" w:hAnsi="宋体"/>
                <w:szCs w:val="21"/>
                <w:lang w:val="en-US" w:eastAsia="zh-CN"/>
              </w:rPr>
              <w:t>助理工程师</w:t>
            </w:r>
          </w:p>
        </w:tc>
        <w:tc>
          <w:tcPr>
            <w:tcW w:w="1879" w:type="dxa"/>
            <w:tcBorders>
              <w:top w:val="single" w:color="auto" w:sz="4" w:space="0"/>
              <w:left w:val="single" w:color="auto" w:sz="4" w:space="0"/>
              <w:bottom w:val="single" w:color="auto" w:sz="4" w:space="0"/>
              <w:right w:val="single" w:color="auto" w:sz="4" w:space="0"/>
            </w:tcBorders>
            <w:vAlign w:val="center"/>
          </w:tcPr>
          <w:p w14:paraId="3D372C6D">
            <w:pPr>
              <w:jc w:val="center"/>
              <w:rPr>
                <w:rFonts w:hint="eastAsia" w:ascii="宋体" w:hAnsi="宋体"/>
                <w:szCs w:val="21"/>
              </w:rPr>
            </w:pPr>
            <w:r>
              <w:rPr>
                <w:rFonts w:hint="eastAsia" w:ascii="宋体" w:hAnsi="宋体"/>
                <w:szCs w:val="21"/>
                <w:lang w:val="en-US" w:eastAsia="zh-CN"/>
              </w:rPr>
              <w:t>法规管理</w:t>
            </w:r>
          </w:p>
        </w:tc>
        <w:tc>
          <w:tcPr>
            <w:tcW w:w="1777" w:type="pct"/>
            <w:tcBorders>
              <w:top w:val="single" w:color="auto" w:sz="4" w:space="0"/>
              <w:left w:val="single" w:color="auto" w:sz="4" w:space="0"/>
              <w:bottom w:val="single" w:color="auto" w:sz="4" w:space="0"/>
              <w:right w:val="single" w:color="auto" w:sz="4" w:space="0"/>
            </w:tcBorders>
            <w:vAlign w:val="center"/>
          </w:tcPr>
          <w:p w14:paraId="4CE0E934">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6DC3285E">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6F8D54F5">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3C685F68">
            <w:pPr>
              <w:jc w:val="center"/>
              <w:rPr>
                <w:rFonts w:hint="eastAsia" w:ascii="宋体" w:hAnsi="宋体"/>
                <w:szCs w:val="21"/>
              </w:rPr>
            </w:pPr>
            <w:r>
              <w:rPr>
                <w:rFonts w:hint="eastAsia" w:ascii="宋体" w:hAnsi="宋体"/>
                <w:szCs w:val="21"/>
              </w:rPr>
              <w:t>覃志毅</w:t>
            </w:r>
          </w:p>
        </w:tc>
        <w:tc>
          <w:tcPr>
            <w:tcW w:w="1485" w:type="dxa"/>
            <w:tcBorders>
              <w:top w:val="single" w:color="auto" w:sz="4" w:space="0"/>
              <w:bottom w:val="single" w:color="auto" w:sz="4" w:space="0"/>
            </w:tcBorders>
            <w:vAlign w:val="center"/>
          </w:tcPr>
          <w:p w14:paraId="49496BDC">
            <w:pPr>
              <w:jc w:val="center"/>
              <w:rPr>
                <w:rFonts w:hint="eastAsia" w:ascii="宋体" w:hAnsi="宋体"/>
                <w:szCs w:val="21"/>
              </w:rPr>
            </w:pPr>
            <w:r>
              <w:rPr>
                <w:rFonts w:hint="eastAsia" w:ascii="宋体" w:hAnsi="宋体"/>
                <w:szCs w:val="21"/>
              </w:rPr>
              <w:t>工程师</w:t>
            </w:r>
          </w:p>
        </w:tc>
        <w:tc>
          <w:tcPr>
            <w:tcW w:w="1879" w:type="dxa"/>
            <w:tcBorders>
              <w:top w:val="single" w:color="auto" w:sz="4" w:space="0"/>
              <w:left w:val="single" w:color="auto" w:sz="4" w:space="0"/>
              <w:bottom w:val="single" w:color="auto" w:sz="4" w:space="0"/>
              <w:right w:val="single" w:color="auto" w:sz="4" w:space="0"/>
            </w:tcBorders>
            <w:vAlign w:val="center"/>
          </w:tcPr>
          <w:p w14:paraId="3202BFD7">
            <w:pPr>
              <w:jc w:val="center"/>
              <w:rPr>
                <w:rFonts w:hint="eastAsia" w:ascii="宋体" w:hAnsi="宋体"/>
                <w:szCs w:val="21"/>
              </w:rPr>
            </w:pPr>
            <w:r>
              <w:rPr>
                <w:rFonts w:hint="eastAsia" w:ascii="宋体" w:hAnsi="宋体"/>
                <w:szCs w:val="21"/>
              </w:rPr>
              <w:t>电气及其自动化</w:t>
            </w:r>
          </w:p>
        </w:tc>
        <w:tc>
          <w:tcPr>
            <w:tcW w:w="1777" w:type="pct"/>
            <w:tcBorders>
              <w:top w:val="single" w:color="auto" w:sz="4" w:space="0"/>
              <w:left w:val="single" w:color="auto" w:sz="4" w:space="0"/>
              <w:bottom w:val="single" w:color="auto" w:sz="4" w:space="0"/>
              <w:right w:val="single" w:color="auto" w:sz="4" w:space="0"/>
            </w:tcBorders>
            <w:vAlign w:val="center"/>
          </w:tcPr>
          <w:p w14:paraId="5B9D49F3">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4E6C1C62">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5A4FD87E">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3B62806A">
            <w:pPr>
              <w:jc w:val="center"/>
              <w:rPr>
                <w:rFonts w:hint="eastAsia" w:ascii="宋体" w:hAnsi="宋体"/>
                <w:szCs w:val="21"/>
              </w:rPr>
            </w:pPr>
            <w:r>
              <w:rPr>
                <w:rFonts w:hint="eastAsia" w:ascii="宋体" w:hAnsi="宋体"/>
                <w:szCs w:val="21"/>
                <w:lang w:val="en-US" w:eastAsia="zh-CN"/>
              </w:rPr>
              <w:t>胡林峰</w:t>
            </w:r>
          </w:p>
        </w:tc>
        <w:tc>
          <w:tcPr>
            <w:tcW w:w="1485" w:type="dxa"/>
            <w:tcBorders>
              <w:top w:val="single" w:color="auto" w:sz="4" w:space="0"/>
              <w:bottom w:val="single" w:color="auto" w:sz="4" w:space="0"/>
            </w:tcBorders>
            <w:vAlign w:val="center"/>
          </w:tcPr>
          <w:p w14:paraId="2D0EBDFC">
            <w:pPr>
              <w:jc w:val="center"/>
              <w:rPr>
                <w:rFonts w:hint="eastAsia" w:ascii="宋体" w:hAnsi="宋体"/>
                <w:szCs w:val="21"/>
              </w:rPr>
            </w:pPr>
            <w:r>
              <w:rPr>
                <w:rFonts w:hint="eastAsia" w:ascii="宋体" w:hAnsi="宋体"/>
                <w:szCs w:val="21"/>
                <w:lang w:val="en-US" w:eastAsia="zh-CN"/>
              </w:rPr>
              <w:t>工程师</w:t>
            </w:r>
          </w:p>
        </w:tc>
        <w:tc>
          <w:tcPr>
            <w:tcW w:w="1879" w:type="dxa"/>
            <w:tcBorders>
              <w:top w:val="single" w:color="auto" w:sz="4" w:space="0"/>
              <w:left w:val="single" w:color="auto" w:sz="4" w:space="0"/>
              <w:bottom w:val="single" w:color="auto" w:sz="4" w:space="0"/>
              <w:right w:val="single" w:color="auto" w:sz="4" w:space="0"/>
            </w:tcBorders>
            <w:vAlign w:val="center"/>
          </w:tcPr>
          <w:p w14:paraId="51744538">
            <w:pPr>
              <w:jc w:val="center"/>
              <w:rPr>
                <w:rFonts w:hint="eastAsia" w:ascii="宋体" w:hAnsi="宋体"/>
                <w:szCs w:val="21"/>
              </w:rPr>
            </w:pPr>
            <w:r>
              <w:rPr>
                <w:rFonts w:hint="eastAsia" w:ascii="宋体" w:hAnsi="宋体"/>
                <w:szCs w:val="21"/>
                <w:lang w:val="en-US" w:eastAsia="zh-CN"/>
              </w:rPr>
              <w:t>土建管理</w:t>
            </w:r>
          </w:p>
        </w:tc>
        <w:tc>
          <w:tcPr>
            <w:tcW w:w="1777" w:type="pct"/>
            <w:tcBorders>
              <w:top w:val="single" w:color="auto" w:sz="4" w:space="0"/>
              <w:left w:val="single" w:color="auto" w:sz="4" w:space="0"/>
              <w:bottom w:val="single" w:color="auto" w:sz="4" w:space="0"/>
              <w:right w:val="single" w:color="auto" w:sz="4" w:space="0"/>
            </w:tcBorders>
            <w:vAlign w:val="center"/>
          </w:tcPr>
          <w:p w14:paraId="0641A3D6">
            <w:pPr>
              <w:jc w:val="center"/>
              <w:rPr>
                <w:rFonts w:ascii="宋体" w:hAnsi="宋体"/>
                <w:szCs w:val="21"/>
              </w:rPr>
            </w:pPr>
            <w:r>
              <w:rPr>
                <w:rFonts w:hint="eastAsia" w:ascii="宋体" w:hAnsi="宋体"/>
                <w:szCs w:val="21"/>
              </w:rPr>
              <w:t>协助起草规范草案征求意见稿和规范编制说明,送审稿及编制说明编写工作</w:t>
            </w:r>
          </w:p>
        </w:tc>
      </w:tr>
      <w:tr w14:paraId="0D02D455">
        <w:tblPrEx>
          <w:tblCellMar>
            <w:top w:w="0" w:type="dxa"/>
            <w:left w:w="108" w:type="dxa"/>
            <w:bottom w:w="0" w:type="dxa"/>
            <w:right w:w="108" w:type="dxa"/>
          </w:tblCellMar>
        </w:tblPrEx>
        <w:trPr>
          <w:cantSplit/>
          <w:trHeight w:val="517" w:hRule="atLeast"/>
        </w:trPr>
        <w:tc>
          <w:tcPr>
            <w:tcW w:w="414" w:type="pct"/>
            <w:tcBorders>
              <w:top w:val="single" w:color="auto" w:sz="4" w:space="0"/>
              <w:left w:val="single" w:color="auto" w:sz="4" w:space="0"/>
              <w:bottom w:val="single" w:color="auto" w:sz="4" w:space="0"/>
              <w:right w:val="single" w:color="auto" w:sz="4" w:space="0"/>
            </w:tcBorders>
            <w:vAlign w:val="center"/>
          </w:tcPr>
          <w:p w14:paraId="52712A10">
            <w:pPr>
              <w:pStyle w:val="39"/>
              <w:numPr>
                <w:ilvl w:val="0"/>
                <w:numId w:val="5"/>
              </w:numPr>
              <w:tabs>
                <w:tab w:val="left" w:pos="420"/>
              </w:tabs>
              <w:suppressAutoHyphens/>
              <w:ind w:firstLineChars="0"/>
              <w:jc w:val="center"/>
              <w:rPr>
                <w:rFonts w:ascii="宋体" w:hAnsi="宋体"/>
                <w:bCs/>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58B0081B">
            <w:pPr>
              <w:jc w:val="center"/>
              <w:rPr>
                <w:rFonts w:hint="eastAsia" w:ascii="宋体" w:hAnsi="宋体"/>
                <w:szCs w:val="21"/>
              </w:rPr>
            </w:pPr>
            <w:r>
              <w:rPr>
                <w:rFonts w:hint="eastAsia" w:ascii="宋体" w:hAnsi="宋体"/>
                <w:szCs w:val="21"/>
              </w:rPr>
              <w:t>张赢丹</w:t>
            </w:r>
          </w:p>
        </w:tc>
        <w:tc>
          <w:tcPr>
            <w:tcW w:w="1485" w:type="dxa"/>
            <w:tcBorders>
              <w:top w:val="single" w:color="auto" w:sz="4" w:space="0"/>
              <w:bottom w:val="single" w:color="auto" w:sz="4" w:space="0"/>
            </w:tcBorders>
            <w:vAlign w:val="center"/>
          </w:tcPr>
          <w:p w14:paraId="3767CE96">
            <w:pPr>
              <w:jc w:val="center"/>
              <w:rPr>
                <w:rFonts w:hint="eastAsia" w:ascii="宋体" w:hAnsi="宋体"/>
                <w:szCs w:val="21"/>
              </w:rPr>
            </w:pPr>
            <w:r>
              <w:rPr>
                <w:rFonts w:hint="eastAsia" w:ascii="宋体" w:hAnsi="宋体"/>
                <w:szCs w:val="21"/>
                <w:lang w:val="en-US" w:eastAsia="zh-CN"/>
              </w:rPr>
              <w:t>工程师</w:t>
            </w:r>
          </w:p>
        </w:tc>
        <w:tc>
          <w:tcPr>
            <w:tcW w:w="1879" w:type="dxa"/>
            <w:tcBorders>
              <w:top w:val="single" w:color="auto" w:sz="4" w:space="0"/>
              <w:left w:val="single" w:color="auto" w:sz="4" w:space="0"/>
              <w:bottom w:val="single" w:color="auto" w:sz="4" w:space="0"/>
              <w:right w:val="single" w:color="auto" w:sz="4" w:space="0"/>
            </w:tcBorders>
            <w:vAlign w:val="center"/>
          </w:tcPr>
          <w:p w14:paraId="611F4EE6">
            <w:pPr>
              <w:jc w:val="center"/>
              <w:rPr>
                <w:rFonts w:hint="eastAsia" w:ascii="宋体" w:hAnsi="宋体"/>
                <w:szCs w:val="21"/>
              </w:rPr>
            </w:pPr>
            <w:r>
              <w:rPr>
                <w:rFonts w:hint="eastAsia" w:ascii="宋体" w:hAnsi="宋体"/>
                <w:szCs w:val="21"/>
              </w:rPr>
              <w:t>科技管理</w:t>
            </w:r>
          </w:p>
        </w:tc>
        <w:tc>
          <w:tcPr>
            <w:tcW w:w="1777" w:type="pct"/>
            <w:tcBorders>
              <w:top w:val="single" w:color="auto" w:sz="4" w:space="0"/>
              <w:left w:val="single" w:color="auto" w:sz="4" w:space="0"/>
              <w:bottom w:val="single" w:color="auto" w:sz="4" w:space="0"/>
              <w:right w:val="single" w:color="auto" w:sz="4" w:space="0"/>
            </w:tcBorders>
            <w:vAlign w:val="center"/>
          </w:tcPr>
          <w:p w14:paraId="018DDE73">
            <w:pPr>
              <w:jc w:val="center"/>
              <w:rPr>
                <w:rFonts w:ascii="宋体" w:hAnsi="宋体"/>
                <w:szCs w:val="21"/>
              </w:rPr>
            </w:pPr>
            <w:r>
              <w:rPr>
                <w:rFonts w:hint="eastAsia" w:ascii="宋体" w:hAnsi="宋体"/>
                <w:szCs w:val="21"/>
              </w:rPr>
              <w:t>协助起草规范草案征求意见稿和规范编制说明,送审稿及编制说明编写工作</w:t>
            </w:r>
          </w:p>
        </w:tc>
      </w:tr>
    </w:tbl>
    <w:p w14:paraId="703E3440">
      <w:pPr>
        <w:autoSpaceDE w:val="0"/>
        <w:autoSpaceDN w:val="0"/>
        <w:adjustRightInd w:val="0"/>
        <w:spacing w:before="156" w:beforeLines="50" w:after="156" w:afterLines="50" w:line="560" w:lineRule="exact"/>
        <w:ind w:firstLine="640" w:firstLineChars="200"/>
        <w:jc w:val="left"/>
        <w:outlineLvl w:val="0"/>
        <w:rPr>
          <w:rFonts w:ascii="黑体" w:hAnsi="黑体" w:eastAsia="黑体" w:cs="仿宋_GB2312"/>
          <w:color w:val="FF0000"/>
          <w:sz w:val="32"/>
          <w:szCs w:val="32"/>
        </w:rPr>
      </w:pPr>
      <w:r>
        <w:rPr>
          <w:rFonts w:hint="eastAsia" w:ascii="黑体" w:hAnsi="黑体" w:eastAsia="黑体" w:cs="仿宋_GB2312"/>
          <w:sz w:val="32"/>
          <w:szCs w:val="32"/>
        </w:rPr>
        <w:t>二、项目背景及目的意义</w:t>
      </w:r>
    </w:p>
    <w:p w14:paraId="7BD2C73A">
      <w:pPr>
        <w:pStyle w:val="15"/>
        <w:spacing w:after="0" w:line="560" w:lineRule="exact"/>
        <w:ind w:firstLine="800" w:firstLineChars="250"/>
        <w:rPr>
          <w:rFonts w:hint="eastAsia" w:ascii="仿宋_GB2312" w:hAnsi="宋体" w:eastAsia="仿宋_GB2312"/>
        </w:rPr>
      </w:pPr>
      <w:r>
        <w:rPr>
          <w:rFonts w:hint="eastAsia" w:ascii="仿宋_GB2312" w:hAnsi="宋体" w:eastAsia="仿宋_GB2312"/>
        </w:rPr>
        <w:t>气象事业是科技型、基础性、先导性社会公益事业。气象服务已融入生产生活，越来越不可或缺。党的十八大以来，我国大力推进气象现代化建设，气象服务日益适应新时代需要。2021年，中国气象局印发了《风能太阳能资源气象业务能力提升行动计划（2021—2025年）》，提出到2025年，风能太阳能气象业务的核心科技支撑能力和新技术应用能力大幅提升，初步建成以“监测精密、预报精准、服务精细”为目标的业务体系和服务布局。2022年，国家发改委、国家能源局日前联合印发的《关于完善能源绿色低碳转型体制机制和政策措施的意见》中就明确提出，要提高可再生能源相关气象观测、资源评价以及预测预报技术能力，为可再生能源资源普查、项目开发和电力系统运行提供支撑。2025年，中国气象局、国家互联网信息办公室联合发布部门联合规章《人工智能气象应用服务办法》提出，气象主管机构应当推动人工智能在旅游、能源、交通、金融等气象服务领域的推广应用，构建人工智能气象应用服务场景。</w:t>
      </w:r>
    </w:p>
    <w:p w14:paraId="5C12D7FF">
      <w:pPr>
        <w:pStyle w:val="15"/>
        <w:spacing w:after="0" w:line="560" w:lineRule="exact"/>
        <w:ind w:firstLine="800" w:firstLineChars="250"/>
        <w:rPr>
          <w:rFonts w:hint="eastAsia" w:ascii="仿宋_GB2312" w:hAnsi="宋体" w:eastAsia="仿宋_GB2312"/>
        </w:rPr>
      </w:pPr>
      <w:r>
        <w:rPr>
          <w:rFonts w:hint="eastAsia" w:ascii="仿宋_GB2312" w:hAnsi="宋体" w:eastAsia="仿宋_GB2312"/>
        </w:rPr>
        <w:t>“十四五”以来，我国大力推进气象高质量发展，需要不断提高气象服务质量才能满足日益增长的新需求。气象服务不再只是提醒阴晴冷暖，而是利用人工智能、移动通信、物联网等新一代信息技术，为广大公众、各行各业提供更加精细化、专业化、多元化的服务，服务防灾减灾、乡村振兴、生态文明建设，保障生命安全、生产发展、生活富裕、生态良好，助力经济社会高质量发展。我国提出力争2030年前实现碳达峰、2060年前实现碳中和的目标，正在大力开发利用风能、太阳能等清洁能源。国家能源局统计数据显示，2021年，全国新能源年发电量首次突破1万亿千瓦时大关。今年风电、光伏发电发电量占全社会用电量的比重将提高到12.2%左右。风能、太阳能等新能源发电对气象预报预测准确性提出新要求，例如，进行能源气象定制化预报推送，对复杂地形的发电场设计、设备选择及安装作出科学评估，对可能出现的极端天气加强预警，评价确定各地资源开发的优先顺序，开展气候可行性论证等。未来五年来宾全市范围内对《风力发电设施安装气象服务规范》有业务需求的企业有3家共10个项目，预估后续需求量仍然呈现增长趋势。</w:t>
      </w:r>
    </w:p>
    <w:p w14:paraId="4643EAEF">
      <w:pPr>
        <w:pStyle w:val="15"/>
        <w:spacing w:after="0" w:line="560" w:lineRule="exact"/>
        <w:ind w:firstLine="800" w:firstLineChars="250"/>
        <w:rPr>
          <w:rFonts w:hint="eastAsia" w:ascii="仿宋_GB2312" w:hAnsi="宋体" w:eastAsia="仿宋_GB2312"/>
        </w:rPr>
      </w:pPr>
      <w:r>
        <w:rPr>
          <w:rFonts w:hint="eastAsia" w:ascii="仿宋_GB2312" w:hAnsi="宋体" w:eastAsia="仿宋_GB2312"/>
        </w:rPr>
        <w:t>风力发电设施安装通常在野外开阔区域进行，会面临多种复杂气象条件，如强风、暴雨、雷电、低温等。制定该气象服务规范可以明确在不同气象条件下的安装要求和安全措施，确保安装人员和设备的安全。例如，在强风天气下，可以规定停止安装作业的风速阈值，避免设备和人员受到强风的破坏和伤害；指导安装人员在合适的气象条件下进行安装操作，减少因气象因素导致的安装误差和质量问题。明确在不同气象条件下的安装操作流程和注意事项，使安装人员能够按照标准进行操作，提高安装效率和质量。例如，在低温环境下，规范可以规定设备的预热时间和安装顺序，确保设备在低温下能够正常安装和运行。</w:t>
      </w:r>
    </w:p>
    <w:p w14:paraId="7EAA180A">
      <w:pPr>
        <w:pStyle w:val="15"/>
        <w:spacing w:after="0" w:line="560" w:lineRule="exact"/>
        <w:ind w:firstLine="800" w:firstLineChars="250"/>
        <w:rPr>
          <w:rFonts w:ascii="仿宋_GB2312" w:hAnsi="宋体" w:eastAsia="仿宋_GB2312"/>
        </w:rPr>
      </w:pPr>
      <w:r>
        <w:rPr>
          <w:rFonts w:hint="eastAsia" w:ascii="仿宋_GB2312" w:hAnsi="宋体" w:eastAsia="仿宋_GB2312"/>
        </w:rPr>
        <w:t>通过制定团体标准《风力发电设施安装气象服务规范》，统一规定风力发电设施安装气象服务的要求，促进风力发电设施安装气象服务工作规范化、标准化，促进气象服务事业具有重要意义。</w:t>
      </w:r>
    </w:p>
    <w:p w14:paraId="4EB2CE44">
      <w:pPr>
        <w:autoSpaceDE w:val="0"/>
        <w:autoSpaceDN w:val="0"/>
        <w:adjustRightInd w:val="0"/>
        <w:spacing w:line="56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三、项目编制过程</w:t>
      </w:r>
    </w:p>
    <w:p w14:paraId="57A03EED">
      <w:p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（一）成立标准编制组</w:t>
      </w:r>
    </w:p>
    <w:p w14:paraId="6247D09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团体标准《</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气象服务规范》项目任务下达后，由</w:t>
      </w:r>
      <w:r>
        <w:rPr>
          <w:rFonts w:hint="eastAsia" w:ascii="仿宋_GB2312" w:hAnsi="宋体" w:eastAsia="仿宋_GB2312"/>
          <w:sz w:val="32"/>
          <w:szCs w:val="32"/>
          <w:lang w:eastAsia="zh-CN"/>
        </w:rPr>
        <w:t>来宾市气象局</w:t>
      </w:r>
      <w:r>
        <w:rPr>
          <w:rFonts w:hint="eastAsia" w:ascii="仿宋_GB2312" w:hAnsi="宋体" w:eastAsia="仿宋_GB2312"/>
          <w:sz w:val="32"/>
          <w:szCs w:val="32"/>
        </w:rPr>
        <w:t>牵头组织成立了标准编制组，制定了标准编写方案，明确任务职责，确定工作技术路线，开展标准研制工作。具体编制工作由</w:t>
      </w:r>
      <w:r>
        <w:rPr>
          <w:rFonts w:hint="eastAsia" w:ascii="仿宋_GB2312" w:hAnsi="宋体" w:eastAsia="仿宋_GB2312"/>
          <w:sz w:val="32"/>
          <w:szCs w:val="32"/>
          <w:lang w:eastAsia="zh-CN"/>
        </w:rPr>
        <w:t>来宾市气象局、广西广投桂中新能源有限公司、广西科技师范学院</w:t>
      </w:r>
      <w:r>
        <w:rPr>
          <w:rFonts w:hint="eastAsia" w:ascii="仿宋_GB2312" w:hAnsi="宋体" w:eastAsia="仿宋_GB2312"/>
          <w:sz w:val="32"/>
          <w:szCs w:val="32"/>
        </w:rPr>
        <w:t>组成的标准编制组负责。编制组下设三个小组，分别是资料收集组、草案编写组、标准实施组。</w:t>
      </w:r>
    </w:p>
    <w:p w14:paraId="4E34CE4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资料收集组：负责国内关于</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气象服务文献资料的查询、收集和整理工作，查阅现存关于</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气象服务的研究以及国内相关标准的制定。</w:t>
      </w:r>
    </w:p>
    <w:p w14:paraId="27B7D26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草案编写组：负责标准立项、征求意见、审定、报批等阶段的标准文本及编制说明的起草工作，包括标准制定过程各阶段标准文本及相关材料的修改和完善。</w:t>
      </w:r>
    </w:p>
    <w:p w14:paraId="7CF3B7F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标准实施组：负责团体标准《</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规范》标准发布后，组织相关部门、企业等，开展标准宣贯培训会，对标准进行研讨和详细解读，使相关人员了解标准，熟悉标准，并能熟练运用标准；为确保标准的实施效果和综合运用率，对标准实施情况进行总结分析，对标准提出持续改进意见。</w:t>
      </w:r>
    </w:p>
    <w:p w14:paraId="102C625D">
      <w:pPr>
        <w:numPr>
          <w:ilvl w:val="0"/>
          <w:numId w:val="6"/>
        </w:num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收集整理文献资料</w:t>
      </w:r>
    </w:p>
    <w:p w14:paraId="32DAD468">
      <w:pPr>
        <w:pStyle w:val="15"/>
        <w:spacing w:after="0" w:line="560" w:lineRule="exact"/>
        <w:ind w:firstLine="640" w:firstLineChars="200"/>
        <w:rPr>
          <w:rFonts w:ascii="仿宋_GB2312" w:hAnsi="仿宋_GB2312" w:eastAsia="仿宋_GB2312" w:cs="仿宋_GB2312"/>
        </w:rPr>
      </w:pPr>
      <w:r>
        <w:rPr>
          <w:rFonts w:hint="eastAsia" w:ascii="仿宋_GB2312" w:hAnsi="仿宋_GB2312" w:eastAsia="仿宋_GB2312" w:cs="仿宋_GB2312"/>
        </w:rPr>
        <w:t>通过资料收集组对文献资料的收集和整理，草案编写组主要参考了以下国内相关的标准和期刊书籍：</w:t>
      </w:r>
    </w:p>
    <w:p w14:paraId="608AFC2A">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rPr>
        <w:tab/>
      </w:r>
      <w:r>
        <w:rPr>
          <w:rFonts w:hint="eastAsia" w:ascii="仿宋_GB2312" w:hAnsi="宋体" w:eastAsia="仿宋_GB2312"/>
          <w:sz w:val="32"/>
          <w:szCs w:val="32"/>
        </w:rPr>
        <w:t xml:space="preserve"> GB/T 28594—2021  临近天气预报</w:t>
      </w:r>
    </w:p>
    <w:p w14:paraId="6A4C20D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rPr>
        <w:tab/>
      </w:r>
      <w:r>
        <w:rPr>
          <w:rFonts w:hint="eastAsia" w:ascii="仿宋_GB2312" w:hAnsi="宋体" w:eastAsia="仿宋_GB2312"/>
          <w:sz w:val="32"/>
          <w:szCs w:val="32"/>
        </w:rPr>
        <w:t xml:space="preserve"> GB 31823—2021  </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单位产品能源消耗限额</w:t>
      </w:r>
    </w:p>
    <w:p w14:paraId="12877FA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w:t>
      </w:r>
      <w:r>
        <w:rPr>
          <w:rFonts w:hint="eastAsia" w:ascii="仿宋_GB2312" w:hAnsi="宋体" w:eastAsia="仿宋_GB2312"/>
          <w:sz w:val="32"/>
          <w:szCs w:val="32"/>
        </w:rPr>
        <w:tab/>
      </w:r>
      <w:r>
        <w:rPr>
          <w:rFonts w:hint="eastAsia" w:ascii="仿宋_GB2312" w:hAnsi="宋体" w:eastAsia="仿宋_GB2312"/>
          <w:sz w:val="32"/>
          <w:szCs w:val="32"/>
        </w:rPr>
        <w:t xml:space="preserve"> QX/T 416—2018  强对流天气等级</w:t>
      </w:r>
    </w:p>
    <w:p w14:paraId="787D3F81">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4</w:t>
      </w:r>
      <w:r>
        <w:rPr>
          <w:rFonts w:hint="eastAsia" w:ascii="仿宋_GB2312" w:hAnsi="宋体" w:eastAsia="仿宋_GB2312"/>
          <w:sz w:val="32"/>
          <w:szCs w:val="32"/>
        </w:rPr>
        <w:t>]</w:t>
      </w:r>
      <w:r>
        <w:rPr>
          <w:rFonts w:hint="eastAsia" w:ascii="仿宋_GB2312" w:hAnsi="宋体" w:eastAsia="仿宋_GB2312"/>
          <w:sz w:val="32"/>
          <w:szCs w:val="32"/>
        </w:rPr>
        <w:tab/>
      </w:r>
      <w:r>
        <w:rPr>
          <w:rFonts w:hint="eastAsia" w:ascii="仿宋_GB2312" w:hAnsi="宋体" w:eastAsia="仿宋_GB2312"/>
          <w:sz w:val="32"/>
          <w:szCs w:val="32"/>
        </w:rPr>
        <w:t xml:space="preserve"> GB/T 35563  气象服务公众满意度</w:t>
      </w:r>
    </w:p>
    <w:p w14:paraId="0B6F694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5</w:t>
      </w:r>
      <w:r>
        <w:rPr>
          <w:rFonts w:hint="eastAsia" w:ascii="仿宋_GB2312" w:hAnsi="宋体" w:eastAsia="仿宋_GB2312"/>
          <w:sz w:val="32"/>
          <w:szCs w:val="32"/>
        </w:rPr>
        <w:t>]</w:t>
      </w:r>
      <w:r>
        <w:rPr>
          <w:rFonts w:hint="eastAsia" w:ascii="仿宋_GB2312" w:hAnsi="宋体" w:eastAsia="仿宋_GB2312"/>
          <w:sz w:val="32"/>
          <w:szCs w:val="32"/>
        </w:rPr>
        <w:tab/>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QX/T 243  风电场风速短期和超短期预报准确性评判方法</w:t>
      </w:r>
    </w:p>
    <w:p w14:paraId="7A2345C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6</w:t>
      </w:r>
      <w:r>
        <w:rPr>
          <w:rFonts w:hint="eastAsia" w:ascii="仿宋_GB2312" w:hAnsi="宋体" w:eastAsia="仿宋_GB2312"/>
          <w:sz w:val="32"/>
          <w:szCs w:val="32"/>
        </w:rPr>
        <w:t>]</w:t>
      </w:r>
      <w:r>
        <w:rPr>
          <w:rFonts w:hint="eastAsia" w:ascii="仿宋_GB2312" w:hAnsi="宋体" w:eastAsia="仿宋_GB2312"/>
          <w:sz w:val="32"/>
          <w:szCs w:val="32"/>
        </w:rPr>
        <w:tab/>
      </w:r>
      <w:r>
        <w:rPr>
          <w:rFonts w:hint="eastAsia" w:ascii="仿宋_GB2312" w:hAnsi="宋体" w:eastAsia="仿宋_GB2312"/>
          <w:sz w:val="32"/>
          <w:szCs w:val="32"/>
        </w:rPr>
        <w:t xml:space="preserve"> 中国气象局.气象信息服务管理办法（修订）[</w:t>
      </w:r>
      <w:r>
        <w:rPr>
          <w:rFonts w:ascii="仿宋_GB2312" w:hAnsi="宋体" w:eastAsia="仿宋_GB2312"/>
          <w:sz w:val="32"/>
          <w:szCs w:val="32"/>
        </w:rPr>
        <w:t>Z</w:t>
      </w:r>
      <w:r>
        <w:rPr>
          <w:rFonts w:hint="eastAsia" w:ascii="仿宋_GB2312" w:hAnsi="宋体" w:eastAsia="仿宋_GB2312"/>
          <w:sz w:val="32"/>
          <w:szCs w:val="32"/>
        </w:rPr>
        <w:t>].2020年3月24日.</w:t>
      </w:r>
    </w:p>
    <w:p w14:paraId="2EF853D3">
      <w:p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（三）研讨确定标准</w:t>
      </w:r>
      <w:r>
        <w:rPr>
          <w:rFonts w:hint="eastAsia" w:ascii="楷体" w:hAnsi="楷体" w:eastAsia="楷体" w:cs="仿宋_GB2312"/>
          <w:b/>
          <w:sz w:val="32"/>
          <w:szCs w:val="32"/>
          <w:lang w:eastAsia="zh-CN"/>
        </w:rPr>
        <w:t>特色、创新点及</w:t>
      </w:r>
      <w:r>
        <w:rPr>
          <w:rFonts w:hint="eastAsia" w:ascii="楷体" w:hAnsi="楷体" w:eastAsia="楷体" w:cs="仿宋_GB2312"/>
          <w:b/>
          <w:sz w:val="32"/>
          <w:szCs w:val="32"/>
        </w:rPr>
        <w:t>主体内容</w:t>
      </w:r>
    </w:p>
    <w:p w14:paraId="02F43BE4">
      <w:p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1.标准特色、创新点</w:t>
      </w:r>
    </w:p>
    <w:p w14:paraId="6E8B2242">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多年来，来宾市气象局深入推进码头气象服务高质量发展，依托广西广投桂中新能源有限公司在设施、技术与管理等方面的优势，进一步发挥各自行业优势，在加强技术创新、气象服务信息化与标准化方面达成合作。在志愿气象观测站建设、专业气象服务系统建设、气象服务标准化建设等方面建立长期的战略合作伙伴关系。</w:t>
      </w:r>
    </w:p>
    <w:p w14:paraId="079AA077">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提供的路上风力发电设施安装气象</w:t>
      </w:r>
      <w:r>
        <w:rPr>
          <w:rFonts w:hint="eastAsia" w:ascii="仿宋_GB2312" w:hAnsi="宋体" w:eastAsia="仿宋_GB2312"/>
          <w:sz w:val="32"/>
          <w:szCs w:val="32"/>
        </w:rPr>
        <w:t>服务不再局限于提供天气预报，而是贯穿于风电场选址、</w:t>
      </w:r>
      <w:r>
        <w:rPr>
          <w:rFonts w:hint="eastAsia" w:ascii="仿宋_GB2312" w:hAnsi="宋体" w:eastAsia="仿宋_GB2312"/>
          <w:sz w:val="32"/>
          <w:szCs w:val="32"/>
          <w:lang w:eastAsia="zh-CN"/>
        </w:rPr>
        <w:t>土建施工</w:t>
      </w:r>
      <w:r>
        <w:rPr>
          <w:rFonts w:hint="eastAsia" w:ascii="仿宋_GB2312" w:hAnsi="宋体" w:eastAsia="仿宋_GB2312"/>
          <w:sz w:val="32"/>
          <w:szCs w:val="32"/>
        </w:rPr>
        <w:t>、</w:t>
      </w:r>
      <w:r>
        <w:rPr>
          <w:rFonts w:hint="eastAsia" w:ascii="仿宋_GB2312" w:hAnsi="宋体" w:eastAsia="仿宋_GB2312"/>
          <w:sz w:val="32"/>
          <w:szCs w:val="32"/>
          <w:lang w:eastAsia="zh-CN"/>
        </w:rPr>
        <w:t>风机吊装</w:t>
      </w:r>
      <w:r>
        <w:rPr>
          <w:rFonts w:hint="eastAsia" w:ascii="仿宋_GB2312" w:hAnsi="宋体" w:eastAsia="仿宋_GB2312"/>
          <w:sz w:val="32"/>
          <w:szCs w:val="32"/>
        </w:rPr>
        <w:t>、</w:t>
      </w:r>
      <w:r>
        <w:rPr>
          <w:rFonts w:hint="eastAsia" w:ascii="仿宋_GB2312" w:hAnsi="宋体" w:eastAsia="仿宋_GB2312"/>
          <w:sz w:val="32"/>
          <w:szCs w:val="32"/>
          <w:lang w:eastAsia="zh-CN"/>
        </w:rPr>
        <w:t>电气安装与调试</w:t>
      </w:r>
      <w:r>
        <w:rPr>
          <w:rFonts w:hint="eastAsia" w:ascii="仿宋_GB2312" w:hAnsi="宋体" w:eastAsia="仿宋_GB2312"/>
          <w:sz w:val="32"/>
          <w:szCs w:val="32"/>
        </w:rPr>
        <w:t>等全生命周期。提供专项预报和影响评估服务</w:t>
      </w:r>
      <w:r>
        <w:rPr>
          <w:rFonts w:hint="eastAsia" w:ascii="仿宋_GB2312" w:hAnsi="宋体" w:eastAsia="仿宋_GB2312"/>
          <w:sz w:val="32"/>
          <w:szCs w:val="32"/>
          <w:lang w:eastAsia="zh-CN"/>
        </w:rPr>
        <w:t>，</w:t>
      </w:r>
      <w:r>
        <w:rPr>
          <w:rFonts w:hint="eastAsia" w:ascii="仿宋_GB2312" w:hAnsi="宋体" w:eastAsia="仿宋_GB2312"/>
          <w:sz w:val="32"/>
          <w:szCs w:val="32"/>
        </w:rPr>
        <w:t>提前识别和防范安装及运行期间的极端天气风险，保障设施安全。</w:t>
      </w:r>
    </w:p>
    <w:p w14:paraId="36ED9EB4">
      <w:p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2.主体内容</w:t>
      </w:r>
    </w:p>
    <w:p w14:paraId="5C07B7AC">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标准编制组在对收集的资料进行整理研究之后，标准编制组召开了标准编制会议，对标准的整体框架结构进行了研究，并对标准的关键性内容进行了初步探讨。经过研究，标准的主体内容确定为</w:t>
      </w:r>
      <w:bookmarkStart w:id="1" w:name="_Hlk132042510"/>
      <w:r>
        <w:rPr>
          <w:rFonts w:ascii="仿宋_GB2312" w:hAnsi="宋体" w:eastAsia="仿宋_GB2312"/>
          <w:sz w:val="32"/>
          <w:szCs w:val="32"/>
        </w:rPr>
        <w:t>术语和定义</w:t>
      </w:r>
      <w:r>
        <w:rPr>
          <w:rFonts w:hint="eastAsia" w:ascii="仿宋_GB2312" w:hAnsi="宋体" w:eastAsia="仿宋_GB2312"/>
          <w:sz w:val="32"/>
          <w:szCs w:val="32"/>
        </w:rPr>
        <w:t>、</w:t>
      </w:r>
      <w:r>
        <w:rPr>
          <w:rFonts w:ascii="仿宋_GB2312" w:hAnsi="宋体" w:eastAsia="仿宋_GB2312"/>
          <w:sz w:val="32"/>
          <w:szCs w:val="32"/>
        </w:rPr>
        <w:t>服务</w:t>
      </w:r>
      <w:r>
        <w:rPr>
          <w:rFonts w:hint="eastAsia" w:ascii="仿宋_GB2312" w:hAnsi="宋体" w:eastAsia="仿宋_GB2312"/>
          <w:sz w:val="32"/>
          <w:szCs w:val="32"/>
        </w:rPr>
        <w:t>准备</w:t>
      </w:r>
      <w:r>
        <w:rPr>
          <w:rFonts w:ascii="仿宋_GB2312" w:hAnsi="宋体" w:eastAsia="仿宋_GB2312"/>
          <w:sz w:val="32"/>
          <w:szCs w:val="32"/>
        </w:rPr>
        <w:t>、服务内容</w:t>
      </w:r>
      <w:r>
        <w:rPr>
          <w:rFonts w:hint="eastAsia" w:ascii="仿宋_GB2312" w:hAnsi="宋体" w:eastAsia="仿宋_GB2312"/>
          <w:sz w:val="32"/>
          <w:szCs w:val="32"/>
        </w:rPr>
        <w:t>及要求、</w:t>
      </w:r>
      <w:r>
        <w:rPr>
          <w:rFonts w:ascii="仿宋_GB2312" w:hAnsi="宋体" w:eastAsia="仿宋_GB2312"/>
          <w:sz w:val="32"/>
          <w:szCs w:val="32"/>
        </w:rPr>
        <w:t>服务评价与改进</w:t>
      </w:r>
      <w:r>
        <w:rPr>
          <w:rFonts w:hint="eastAsia" w:ascii="仿宋_GB2312" w:hAnsi="宋体" w:eastAsia="仿宋_GB2312"/>
          <w:sz w:val="32"/>
          <w:szCs w:val="32"/>
        </w:rPr>
        <w:t>。</w:t>
      </w:r>
      <w:bookmarkEnd w:id="1"/>
    </w:p>
    <w:p w14:paraId="15864728">
      <w:pPr>
        <w:spacing w:line="560" w:lineRule="exact"/>
        <w:ind w:firstLine="640" w:firstLineChars="200"/>
        <w:rPr>
          <w:rFonts w:hint="eastAsia" w:ascii="仿宋_GB2312" w:hAnsi="宋体" w:eastAsia="仿宋_GB2312"/>
          <w:sz w:val="32"/>
          <w:szCs w:val="32"/>
        </w:rPr>
      </w:pPr>
    </w:p>
    <w:p w14:paraId="54E65FA2">
      <w:pPr>
        <w:spacing w:line="560" w:lineRule="exact"/>
        <w:ind w:firstLine="640" w:firstLineChars="200"/>
        <w:rPr>
          <w:rFonts w:hint="eastAsia" w:ascii="仿宋_GB2312" w:hAnsi="宋体" w:eastAsia="仿宋_GB2312"/>
          <w:sz w:val="32"/>
          <w:szCs w:val="32"/>
        </w:rPr>
      </w:pPr>
    </w:p>
    <w:p w14:paraId="43946997">
      <w:pPr>
        <w:numPr>
          <w:ilvl w:val="0"/>
          <w:numId w:val="7"/>
        </w:num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调研，形成草案、征求意见稿</w:t>
      </w:r>
    </w:p>
    <w:p w14:paraId="2DA5C227">
      <w:pPr>
        <w:spacing w:line="56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hAnsi="宋体" w:eastAsia="仿宋_GB2312"/>
          <w:color w:val="000000" w:themeColor="text1"/>
          <w:sz w:val="32"/>
          <w:szCs w:val="32"/>
          <w:lang w:val="en-US" w:eastAsia="zh-CN"/>
          <w14:textFill>
            <w14:solidFill>
              <w14:schemeClr w14:val="tx1"/>
            </w14:solidFill>
          </w14:textFill>
        </w:rPr>
        <w:t>7</w:t>
      </w:r>
      <w:r>
        <w:rPr>
          <w:rFonts w:hint="eastAsia" w:ascii="仿宋_GB2312" w:hAnsi="宋体" w:eastAsia="仿宋_GB2312"/>
          <w:color w:val="000000" w:themeColor="text1"/>
          <w:sz w:val="32"/>
          <w:szCs w:val="32"/>
          <w14:textFill>
            <w14:solidFill>
              <w14:schemeClr w14:val="tx1"/>
            </w14:solidFill>
          </w14:textFill>
        </w:rPr>
        <w:t>月</w:t>
      </w:r>
      <w:r>
        <w:rPr>
          <w:rFonts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标准编制组深入</w:t>
      </w:r>
      <w:r>
        <w:rPr>
          <w:rFonts w:hint="eastAsia" w:ascii="仿宋_GB2312" w:hAnsi="宋体" w:eastAsia="仿宋_GB2312"/>
          <w:sz w:val="32"/>
          <w:szCs w:val="32"/>
        </w:rPr>
        <w:t>到</w:t>
      </w:r>
      <w:r>
        <w:rPr>
          <w:rFonts w:hint="eastAsia" w:ascii="仿宋_GB2312" w:hAnsi="宋体" w:eastAsia="仿宋_GB2312"/>
          <w:sz w:val="32"/>
          <w:szCs w:val="32"/>
          <w:lang w:eastAsia="zh-CN"/>
        </w:rPr>
        <w:t>来宾</w:t>
      </w:r>
      <w:r>
        <w:rPr>
          <w:rFonts w:ascii="仿宋_GB2312" w:hAnsi="宋体" w:eastAsia="仿宋_GB2312"/>
          <w:sz w:val="32"/>
          <w:szCs w:val="32"/>
        </w:rPr>
        <w:t>市等</w:t>
      </w:r>
      <w:r>
        <w:rPr>
          <w:rFonts w:hint="eastAsia" w:ascii="仿宋_GB2312" w:hAnsi="宋体" w:eastAsia="仿宋_GB2312"/>
          <w:sz w:val="32"/>
          <w:szCs w:val="32"/>
          <w:lang w:eastAsia="zh-CN"/>
        </w:rPr>
        <w:t>路上风力发电设施安装</w:t>
      </w:r>
      <w:r>
        <w:rPr>
          <w:rFonts w:ascii="仿宋_GB2312" w:hAnsi="宋体" w:eastAsia="仿宋_GB2312"/>
          <w:sz w:val="32"/>
          <w:szCs w:val="32"/>
        </w:rPr>
        <w:t>服务对象</w:t>
      </w:r>
      <w:r>
        <w:rPr>
          <w:rFonts w:hint="eastAsia" w:ascii="仿宋_GB2312" w:hAnsi="宋体" w:eastAsia="仿宋_GB2312"/>
          <w:sz w:val="32"/>
          <w:szCs w:val="32"/>
        </w:rPr>
        <w:t>进行了实地调研工作，查阅了大量的国内文献资料，对</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气象服务的相关文件进行系统总</w:t>
      </w:r>
      <w:r>
        <w:rPr>
          <w:rFonts w:hint="eastAsia" w:ascii="仿宋_GB2312" w:hAnsi="宋体" w:eastAsia="仿宋_GB2312"/>
          <w:color w:val="000000" w:themeColor="text1"/>
          <w:sz w:val="32"/>
          <w:szCs w:val="32"/>
          <w14:textFill>
            <w14:solidFill>
              <w14:schemeClr w14:val="tx1"/>
            </w14:solidFill>
          </w14:textFill>
        </w:rPr>
        <w:t>结。形成了标准的基本构架，对主要内容进行了讨论并对项目的工作进行了部署和安排。</w:t>
      </w:r>
    </w:p>
    <w:p w14:paraId="47F14B77">
      <w:pPr>
        <w:spacing w:line="560" w:lineRule="exact"/>
        <w:ind w:firstLine="640" w:firstLineChars="200"/>
        <w:rPr>
          <w:rFonts w:ascii="仿宋_GB2312" w:hAnsi="宋体" w:eastAsia="仿宋_GB2312"/>
          <w:color w:val="000000" w:themeColor="text1"/>
          <w:sz w:val="32"/>
          <w:szCs w:val="32"/>
          <w14:textFill>
            <w14:solidFill>
              <w14:schemeClr w14:val="tx1"/>
            </w14:solidFill>
          </w14:textFill>
        </w:rPr>
      </w:pPr>
      <w:bookmarkStart w:id="2" w:name="_Hlk132042443"/>
      <w:r>
        <w:rPr>
          <w:rFonts w:hint="eastAsia" w:ascii="仿宋_GB2312" w:hAnsi="宋体" w:eastAsia="仿宋_GB2312"/>
          <w:color w:val="000000" w:themeColor="text1"/>
          <w:sz w:val="32"/>
          <w:szCs w:val="32"/>
          <w14:textFill>
            <w14:solidFill>
              <w14:schemeClr w14:val="tx1"/>
            </w14:solidFill>
          </w14:textFill>
        </w:rPr>
        <w:t>20</w:t>
      </w:r>
      <w:r>
        <w:rPr>
          <w:rFonts w:hint="eastAsia" w:ascii="仿宋_GB2312" w:hAnsi="宋体" w:eastAsia="仿宋_GB2312"/>
          <w:color w:val="000000" w:themeColor="text1"/>
          <w:sz w:val="32"/>
          <w:szCs w:val="32"/>
          <w:lang w:val="en-US" w:eastAsia="zh-CN"/>
          <w14:textFill>
            <w14:solidFill>
              <w14:schemeClr w14:val="tx1"/>
            </w14:solidFill>
          </w14:textFill>
        </w:rPr>
        <w:t>25</w:t>
      </w:r>
      <w:r>
        <w:rPr>
          <w:rFonts w:hint="eastAsia" w:ascii="仿宋_GB2312" w:hAnsi="宋体" w:eastAsia="仿宋_GB2312"/>
          <w:color w:val="000000" w:themeColor="text1"/>
          <w:sz w:val="32"/>
          <w:szCs w:val="32"/>
          <w14:textFill>
            <w14:solidFill>
              <w14:schemeClr w14:val="tx1"/>
            </w14:solidFill>
          </w14:textFill>
        </w:rPr>
        <w:t>年</w:t>
      </w:r>
      <w:bookmarkEnd w:id="2"/>
      <w:r>
        <w:rPr>
          <w:rFonts w:hint="eastAsia" w:ascii="仿宋_GB2312" w:hAnsi="宋体" w:eastAsia="仿宋_GB2312"/>
          <w:color w:val="000000" w:themeColor="text1"/>
          <w:sz w:val="32"/>
          <w:szCs w:val="32"/>
          <w:lang w:val="en-US" w:eastAsia="zh-CN"/>
          <w14:textFill>
            <w14:solidFill>
              <w14:schemeClr w14:val="tx1"/>
            </w14:solidFill>
          </w14:textFill>
        </w:rPr>
        <w:t>8</w:t>
      </w:r>
      <w:r>
        <w:rPr>
          <w:rFonts w:hint="eastAsia" w:ascii="仿宋_GB2312" w:hAnsi="宋体" w:eastAsia="仿宋_GB2312"/>
          <w:color w:val="000000" w:themeColor="text1"/>
          <w:sz w:val="32"/>
          <w:szCs w:val="32"/>
          <w14:textFill>
            <w14:solidFill>
              <w14:schemeClr w14:val="tx1"/>
            </w14:solidFill>
          </w14:textFill>
        </w:rPr>
        <w:t>月，在前期工作的基础之上，通过理清逻辑脉络，整合已有参考资料中有关</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气象服务的</w:t>
      </w:r>
      <w:r>
        <w:rPr>
          <w:rFonts w:ascii="仿宋_GB2312" w:hAnsi="宋体" w:eastAsia="仿宋_GB2312"/>
          <w:sz w:val="32"/>
          <w:szCs w:val="32"/>
        </w:rPr>
        <w:t>内容</w:t>
      </w:r>
      <w:r>
        <w:rPr>
          <w:rFonts w:hint="eastAsia" w:ascii="仿宋_GB2312" w:hAnsi="宋体" w:eastAsia="仿宋_GB2312"/>
          <w:color w:val="000000" w:themeColor="text1"/>
          <w:sz w:val="32"/>
          <w:szCs w:val="32"/>
          <w14:textFill>
            <w14:solidFill>
              <w14:schemeClr w14:val="tx1"/>
            </w14:solidFill>
          </w14:textFill>
        </w:rPr>
        <w:t>，并结合</w:t>
      </w:r>
      <w:r>
        <w:rPr>
          <w:rFonts w:hint="eastAsia" w:ascii="仿宋_GB2312" w:hAnsi="宋体" w:eastAsia="仿宋_GB2312"/>
          <w:color w:val="000000" w:themeColor="text1"/>
          <w:sz w:val="32"/>
          <w:szCs w:val="32"/>
          <w:lang w:eastAsia="zh-CN"/>
          <w14:textFill>
            <w14:solidFill>
              <w14:schemeClr w14:val="tx1"/>
            </w14:solidFill>
          </w14:textFill>
        </w:rPr>
        <w:t>风力发电设施安装</w:t>
      </w:r>
      <w:r>
        <w:rPr>
          <w:rFonts w:hint="eastAsia" w:ascii="仿宋_GB2312" w:hAnsi="宋体" w:eastAsia="仿宋_GB2312"/>
          <w:color w:val="000000" w:themeColor="text1"/>
          <w:sz w:val="32"/>
          <w:szCs w:val="32"/>
          <w14:textFill>
            <w14:solidFill>
              <w14:schemeClr w14:val="tx1"/>
            </w14:solidFill>
          </w14:textFill>
        </w:rPr>
        <w:t>气象服务实际要求的基础上，按照简化、统一等原则编制完成团体标准《</w:t>
      </w:r>
      <w:r>
        <w:rPr>
          <w:rFonts w:hint="eastAsia" w:ascii="仿宋_GB2312" w:hAnsi="宋体" w:eastAsia="仿宋_GB2312"/>
          <w:color w:val="000000" w:themeColor="text1"/>
          <w:sz w:val="32"/>
          <w:szCs w:val="32"/>
          <w:lang w:eastAsia="zh-CN"/>
          <w14:textFill>
            <w14:solidFill>
              <w14:schemeClr w14:val="tx1"/>
            </w14:solidFill>
          </w14:textFill>
        </w:rPr>
        <w:t>风力发电设施安装</w:t>
      </w:r>
      <w:r>
        <w:rPr>
          <w:rFonts w:hint="eastAsia" w:ascii="仿宋_GB2312" w:hAnsi="宋体" w:eastAsia="仿宋_GB2312"/>
          <w:color w:val="000000" w:themeColor="text1"/>
          <w:sz w:val="32"/>
          <w:szCs w:val="32"/>
          <w14:textFill>
            <w14:solidFill>
              <w14:schemeClr w14:val="tx1"/>
            </w14:solidFill>
          </w14:textFill>
        </w:rPr>
        <w:t>气象服务规范》（讨论稿）。</w:t>
      </w:r>
    </w:p>
    <w:p w14:paraId="52E120BB">
      <w:pPr>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hAnsi="宋体" w:eastAsia="仿宋_GB2312"/>
          <w:color w:val="000000" w:themeColor="text1"/>
          <w:sz w:val="32"/>
          <w:szCs w:val="32"/>
          <w:lang w:val="en-US" w:eastAsia="zh-CN"/>
          <w14:textFill>
            <w14:solidFill>
              <w14:schemeClr w14:val="tx1"/>
            </w14:solidFill>
          </w14:textFill>
        </w:rPr>
        <w:t>9</w:t>
      </w:r>
      <w:r>
        <w:rPr>
          <w:rFonts w:hint="eastAsia" w:ascii="仿宋_GB2312" w:hAnsi="宋体" w:eastAsia="仿宋_GB2312"/>
          <w:color w:val="000000" w:themeColor="text1"/>
          <w:sz w:val="32"/>
          <w:szCs w:val="32"/>
          <w14:textFill>
            <w14:solidFill>
              <w14:schemeClr w14:val="tx1"/>
            </w14:solidFill>
          </w14:textFill>
        </w:rPr>
        <w:t>月，标准起草工作组</w:t>
      </w:r>
      <w:r>
        <w:rPr>
          <w:rFonts w:hint="eastAsia" w:ascii="仿宋_GB2312" w:hAnsi="仿宋" w:eastAsia="仿宋_GB2312"/>
          <w:color w:val="000000" w:themeColor="text1"/>
          <w:sz w:val="32"/>
          <w:szCs w:val="32"/>
          <w14:textFill>
            <w14:solidFill>
              <w14:schemeClr w14:val="tx1"/>
            </w14:solidFill>
          </w14:textFill>
        </w:rPr>
        <w:t>组织相关单位、企业多次召开标准研讨会，收集反馈了大量意见，掌握</w:t>
      </w:r>
      <w:r>
        <w:rPr>
          <w:rFonts w:hint="eastAsia" w:ascii="仿宋_GB2312" w:hAnsi="仿宋" w:eastAsia="仿宋_GB2312"/>
          <w:color w:val="000000" w:themeColor="text1"/>
          <w:sz w:val="32"/>
          <w:szCs w:val="32"/>
          <w:lang w:eastAsia="zh-CN"/>
          <w14:textFill>
            <w14:solidFill>
              <w14:schemeClr w14:val="tx1"/>
            </w14:solidFill>
          </w14:textFill>
        </w:rPr>
        <w:t>风力发电设施安装</w:t>
      </w:r>
      <w:r>
        <w:rPr>
          <w:rFonts w:hint="eastAsia" w:ascii="仿宋_GB2312" w:hAnsi="仿宋" w:eastAsia="仿宋_GB2312"/>
          <w:color w:val="000000" w:themeColor="text1"/>
          <w:sz w:val="32"/>
          <w:szCs w:val="32"/>
          <w14:textFill>
            <w14:solidFill>
              <w14:schemeClr w14:val="tx1"/>
            </w14:solidFill>
          </w14:textFill>
        </w:rPr>
        <w:t>气象服务的基本要求。标准编制组对标准草案进行了反复修改和研究讨论。最终形成了团体标准《</w:t>
      </w:r>
      <w:r>
        <w:rPr>
          <w:rFonts w:hint="eastAsia" w:ascii="仿宋_GB2312" w:hAnsi="仿宋" w:eastAsia="仿宋_GB2312"/>
          <w:color w:val="000000" w:themeColor="text1"/>
          <w:sz w:val="32"/>
          <w:szCs w:val="32"/>
          <w:lang w:eastAsia="zh-CN"/>
          <w14:textFill>
            <w14:solidFill>
              <w14:schemeClr w14:val="tx1"/>
            </w14:solidFill>
          </w14:textFill>
        </w:rPr>
        <w:t>风力发电设施安装</w:t>
      </w:r>
      <w:r>
        <w:rPr>
          <w:rFonts w:hint="eastAsia" w:ascii="仿宋_GB2312" w:hAnsi="仿宋" w:eastAsia="仿宋_GB2312"/>
          <w:color w:val="000000" w:themeColor="text1"/>
          <w:sz w:val="32"/>
          <w:szCs w:val="32"/>
          <w14:textFill>
            <w14:solidFill>
              <w14:schemeClr w14:val="tx1"/>
            </w14:solidFill>
          </w14:textFill>
        </w:rPr>
        <w:t>气象服务规范》（征求意见稿）及其编制说明。</w:t>
      </w:r>
      <w:bookmarkStart w:id="3" w:name="_Hlk137230187"/>
    </w:p>
    <w:bookmarkEnd w:id="3"/>
    <w:p w14:paraId="785D8A59">
      <w:pPr>
        <w:autoSpaceDE w:val="0"/>
        <w:autoSpaceDN w:val="0"/>
        <w:adjustRightInd w:val="0"/>
        <w:ind w:firstLine="640" w:firstLineChars="200"/>
        <w:jc w:val="left"/>
        <w:rPr>
          <w:rFonts w:ascii="黑体" w:hAnsi="黑体" w:eastAsia="黑体" w:cs="仿宋_GB2312"/>
          <w:sz w:val="32"/>
          <w:szCs w:val="32"/>
        </w:rPr>
      </w:pPr>
      <w:r>
        <w:rPr>
          <w:rFonts w:hint="eastAsia" w:ascii="黑体" w:hAnsi="黑体" w:eastAsia="黑体" w:cs="仿宋_GB2312"/>
          <w:sz w:val="32"/>
          <w:szCs w:val="32"/>
        </w:rPr>
        <w:t>四、制定标准的原则和依据，与现行法律、法规的关系，与有关国家标准、行业标准的协调情况</w:t>
      </w:r>
    </w:p>
    <w:p w14:paraId="35939325">
      <w:pPr>
        <w:autoSpaceDE w:val="0"/>
        <w:autoSpaceDN w:val="0"/>
        <w:adjustRightInd w:val="0"/>
        <w:spacing w:before="156" w:beforeLines="50" w:after="156" w:afterLines="50" w:line="560" w:lineRule="exact"/>
        <w:ind w:firstLine="643" w:firstLineChars="200"/>
        <w:jc w:val="left"/>
        <w:outlineLvl w:val="0"/>
        <w:rPr>
          <w:rFonts w:hint="eastAsia" w:ascii="黑体" w:hAnsi="黑体" w:eastAsia="黑体" w:cs="仿宋_GB2312"/>
          <w:sz w:val="32"/>
          <w:szCs w:val="32"/>
        </w:rPr>
      </w:pPr>
      <w:r>
        <w:rPr>
          <w:rFonts w:eastAsia="楷体"/>
          <w:b/>
          <w:bCs/>
          <w:sz w:val="32"/>
          <w:szCs w:val="32"/>
        </w:rPr>
        <w:t>（一）</w:t>
      </w:r>
      <w:r>
        <w:rPr>
          <w:rFonts w:hint="eastAsia" w:eastAsia="楷体"/>
          <w:b/>
          <w:bCs/>
          <w:sz w:val="32"/>
          <w:szCs w:val="32"/>
        </w:rPr>
        <w:t>编制原则</w:t>
      </w:r>
    </w:p>
    <w:p w14:paraId="24B3DB6A">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1.实用性原则</w:t>
      </w:r>
    </w:p>
    <w:p w14:paraId="71A0491D">
      <w:pPr>
        <w:spacing w:line="560" w:lineRule="exact"/>
        <w:ind w:firstLine="640" w:firstLineChars="200"/>
      </w:pPr>
      <w:r>
        <w:rPr>
          <w:rFonts w:hint="eastAsia" w:ascii="仿宋_GB2312" w:hAnsi="宋体" w:eastAsia="仿宋_GB2312"/>
          <w:sz w:val="32"/>
          <w:szCs w:val="32"/>
        </w:rPr>
        <w:t>本文件是在充分收集相关资料，分析当前现状、调研的实际情况，在现有文献中参考与</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气象服务相关内容的基础上，结合多年经验而总结起草的。符合当前</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气象服务的需要，有利于行业的长远发展，具有较强的实用性和可操作性。</w:t>
      </w:r>
    </w:p>
    <w:p w14:paraId="5752049D">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2.协调性原则</w:t>
      </w:r>
    </w:p>
    <w:p w14:paraId="18D1F1E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本文件编写过程中注意了与</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气象服务相关法律法规的协调问题，在内容上与现行法律法规、标准协调一致。</w:t>
      </w:r>
    </w:p>
    <w:p w14:paraId="78A5D8CB">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3.规范性原则</w:t>
      </w:r>
    </w:p>
    <w:p w14:paraId="008D89E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本文件严格按照GB/T 1.1—2020《标准化工作导则 </w:t>
      </w:r>
      <w:r>
        <w:rPr>
          <w:rFonts w:ascii="仿宋_GB2312" w:hAnsi="宋体" w:eastAsia="仿宋_GB2312"/>
          <w:sz w:val="32"/>
          <w:szCs w:val="32"/>
        </w:rPr>
        <w:t xml:space="preserve"> </w:t>
      </w:r>
      <w:r>
        <w:rPr>
          <w:rFonts w:hint="eastAsia" w:ascii="仿宋_GB2312" w:hAnsi="宋体" w:eastAsia="仿宋_GB2312"/>
          <w:sz w:val="32"/>
          <w:szCs w:val="32"/>
        </w:rPr>
        <w:t>第1部分：标准化文件的结构和起草规则》的要求和规定编写本标准的内容，保证标准的编写质量。</w:t>
      </w:r>
    </w:p>
    <w:p w14:paraId="4765154F">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4.前瞻性原则</w:t>
      </w:r>
    </w:p>
    <w:p w14:paraId="03F999A0">
      <w:pPr>
        <w:pStyle w:val="19"/>
        <w:spacing w:line="560" w:lineRule="exact"/>
        <w:ind w:firstLine="643"/>
        <w:outlineLvl w:val="1"/>
        <w:rPr>
          <w:rFonts w:hint="eastAsia" w:ascii="仿宋_GB2312" w:hAnsi="宋体" w:eastAsia="仿宋_GB2312"/>
          <w:sz w:val="32"/>
          <w:szCs w:val="32"/>
        </w:rPr>
      </w:pPr>
      <w:r>
        <w:rPr>
          <w:rFonts w:hint="eastAsia" w:ascii="仿宋_GB2312" w:hAnsi="宋体" w:eastAsia="仿宋_GB2312"/>
          <w:sz w:val="32"/>
          <w:szCs w:val="32"/>
        </w:rPr>
        <w:t>本文件在兼顾当前</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气象服务现实情况的同时，还考虑到了</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气象服务快速发展的趋势和需要，在标准中体现了个别特色性、前瞻性和先进性条款，作为对开展</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气象服务的指导。</w:t>
      </w:r>
    </w:p>
    <w:p w14:paraId="3B102495">
      <w:pPr>
        <w:pStyle w:val="19"/>
        <w:spacing w:line="560" w:lineRule="exact"/>
        <w:ind w:firstLine="643"/>
        <w:outlineLvl w:val="1"/>
        <w:rPr>
          <w:rFonts w:ascii="Times New Roman" w:hAnsi="Times New Roman" w:eastAsia="楷体" w:cs="Times New Roman"/>
          <w:b/>
          <w:bCs/>
          <w:kern w:val="0"/>
          <w:sz w:val="32"/>
          <w:szCs w:val="32"/>
        </w:rPr>
      </w:pPr>
      <w:r>
        <w:rPr>
          <w:rFonts w:hint="eastAsia" w:ascii="Times New Roman" w:hAnsi="Times New Roman" w:eastAsia="楷体" w:cs="Times New Roman"/>
          <w:b/>
          <w:bCs/>
          <w:kern w:val="0"/>
          <w:sz w:val="32"/>
          <w:szCs w:val="32"/>
        </w:rPr>
        <w:t>（二）编制依据</w:t>
      </w:r>
    </w:p>
    <w:p w14:paraId="19BD690B">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参考了《气象信息服务管理办法（修订）》等相关规定主要内容。在《QX/T 243  风电场风速短期和超短期预报准确性评判方法》的要求基础上，对风力发电设施安装气象服务做出了总体要求。</w:t>
      </w:r>
    </w:p>
    <w:p w14:paraId="55EDD448">
      <w:pPr>
        <w:spacing w:line="560" w:lineRule="exact"/>
        <w:ind w:firstLine="643" w:firstLineChars="200"/>
        <w:rPr>
          <w:rFonts w:hint="eastAsia" w:eastAsia="楷体"/>
          <w:b/>
          <w:bCs/>
          <w:sz w:val="32"/>
          <w:szCs w:val="32"/>
        </w:rPr>
      </w:pPr>
      <w:r>
        <w:rPr>
          <w:rFonts w:hint="eastAsia" w:eastAsia="楷体"/>
          <w:b/>
          <w:bCs/>
          <w:sz w:val="32"/>
          <w:szCs w:val="32"/>
        </w:rPr>
        <w:t>（三）与现行法律、法规的关系，与有关国家标准、行业标准的协调情况</w:t>
      </w:r>
    </w:p>
    <w:p w14:paraId="3FEED52C">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该标准的内容符合国家相关法律法规，技术要求不低于强制性国家标准的相关技术要求，与相关的国家、行业标准协调一致，标准的编写符合GB/T 1.1-2020的要求。</w:t>
      </w:r>
    </w:p>
    <w:p w14:paraId="108A1F78">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经查阅，暂无“风力发电设施安装气象服务”标准</w:t>
      </w:r>
      <w:r>
        <w:rPr>
          <w:rFonts w:hint="eastAsia" w:ascii="仿宋_GB2312" w:hAnsi="宋体" w:eastAsia="仿宋_GB2312"/>
          <w:sz w:val="32"/>
          <w:szCs w:val="32"/>
          <w:lang w:eastAsia="zh-CN"/>
        </w:rPr>
        <w:t>。</w:t>
      </w:r>
    </w:p>
    <w:p w14:paraId="6788A013">
      <w:pPr>
        <w:autoSpaceDE w:val="0"/>
        <w:autoSpaceDN w:val="0"/>
        <w:adjustRightInd w:val="0"/>
        <w:spacing w:before="156" w:beforeLines="50" w:after="156" w:afterLines="50" w:line="560" w:lineRule="atLeast"/>
        <w:ind w:firstLine="640" w:firstLineChars="200"/>
        <w:jc w:val="left"/>
        <w:outlineLvl w:val="0"/>
        <w:rPr>
          <w:rFonts w:ascii="黑体" w:hAnsi="黑体" w:eastAsia="黑体" w:cs="仿宋_GB2312"/>
          <w:color w:val="FF0000"/>
          <w:sz w:val="32"/>
          <w:szCs w:val="32"/>
          <w:highlight w:val="yellow"/>
        </w:rPr>
      </w:pPr>
      <w:r>
        <w:rPr>
          <w:rFonts w:hint="eastAsia" w:ascii="黑体" w:hAnsi="黑体" w:eastAsia="黑体" w:cs="仿宋_GB2312"/>
          <w:sz w:val="32"/>
          <w:szCs w:val="32"/>
        </w:rPr>
        <w:t>五、标准主要内容及依据来源</w:t>
      </w:r>
    </w:p>
    <w:p w14:paraId="77D9ECD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本标准主要章节内容包括</w:t>
      </w:r>
      <w:r>
        <w:rPr>
          <w:rFonts w:ascii="仿宋_GB2312" w:hAnsi="宋体" w:eastAsia="仿宋_GB2312"/>
          <w:sz w:val="32"/>
          <w:szCs w:val="32"/>
        </w:rPr>
        <w:t>术语和定义</w:t>
      </w:r>
      <w:r>
        <w:rPr>
          <w:rFonts w:hint="eastAsia" w:ascii="仿宋_GB2312" w:hAnsi="宋体" w:eastAsia="仿宋_GB2312"/>
          <w:sz w:val="32"/>
          <w:szCs w:val="32"/>
        </w:rPr>
        <w:t>、</w:t>
      </w:r>
      <w:r>
        <w:rPr>
          <w:rFonts w:ascii="仿宋_GB2312" w:hAnsi="宋体" w:eastAsia="仿宋_GB2312"/>
          <w:sz w:val="32"/>
          <w:szCs w:val="32"/>
        </w:rPr>
        <w:t>服务</w:t>
      </w:r>
      <w:r>
        <w:rPr>
          <w:rFonts w:hint="eastAsia" w:ascii="仿宋_GB2312" w:hAnsi="宋体" w:eastAsia="仿宋_GB2312"/>
          <w:sz w:val="32"/>
          <w:szCs w:val="32"/>
        </w:rPr>
        <w:t>准备</w:t>
      </w:r>
      <w:r>
        <w:rPr>
          <w:rFonts w:ascii="仿宋_GB2312" w:hAnsi="宋体" w:eastAsia="仿宋_GB2312"/>
          <w:sz w:val="32"/>
          <w:szCs w:val="32"/>
        </w:rPr>
        <w:t>、服务内容</w:t>
      </w:r>
      <w:r>
        <w:rPr>
          <w:rFonts w:hint="eastAsia" w:ascii="仿宋_GB2312" w:hAnsi="宋体" w:eastAsia="仿宋_GB2312"/>
          <w:sz w:val="32"/>
          <w:szCs w:val="32"/>
        </w:rPr>
        <w:t>及要求、</w:t>
      </w:r>
      <w:r>
        <w:rPr>
          <w:rFonts w:ascii="仿宋_GB2312" w:hAnsi="宋体" w:eastAsia="仿宋_GB2312"/>
          <w:sz w:val="32"/>
          <w:szCs w:val="32"/>
        </w:rPr>
        <w:t>服务评价与改进</w:t>
      </w:r>
      <w:r>
        <w:rPr>
          <w:rFonts w:hint="eastAsia" w:ascii="仿宋_GB2312" w:hAnsi="宋体" w:eastAsia="仿宋_GB2312"/>
          <w:sz w:val="32"/>
          <w:szCs w:val="32"/>
        </w:rPr>
        <w:t>。</w:t>
      </w:r>
    </w:p>
    <w:p w14:paraId="51C2F65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来宾市气象局负责对来宾市及周边地区的气象要素进行实时监测，包括气温、湿度、气压、风速、风向、降水等，为气象预报和气象服务提供基础数据。开展天气预报、气候预测和气象灾害预警工作，及时发布各类气象预报和预警信息，为政府决策、公众生活和生产活动提供科学依据。为农业、交通、能源、水利、环保等各个行业提供专业的气象服务，如农业气象服务、交通气象服务、旅游气象服务等，助力各行业合理安排生产活动，降低气象灾害风险。组织和协调气象灾害的监测、预警和应急处置工作，制定气象灾害应急预案，开展气象灾害风险评估和区划，提高社会对气象灾害的防御能力。普及气象科学知识，提高公众的气象灾害防范意识和应对能力，开展气象科普活动，如气象科普讲座、气象科普展览等。前期与广西广投桂中新能源有限公司进行调研座谈，由于广西广投桂中新能源有限公司在风电方面的投资项目数量多，分布广，并且对气象服务的需求较大，风力发电设施安装气象服务应用前景十分广阔。具体依据来源说明如下：</w:t>
      </w:r>
    </w:p>
    <w:p w14:paraId="39335C1C">
      <w:pPr>
        <w:spacing w:line="560" w:lineRule="exact"/>
        <w:ind w:firstLine="601" w:firstLineChars="187"/>
        <w:outlineLvl w:val="1"/>
        <w:rPr>
          <w:rFonts w:ascii="楷体" w:hAnsi="楷体" w:eastAsia="楷体" w:cs="仿宋_GB2312"/>
          <w:b/>
          <w:sz w:val="32"/>
          <w:szCs w:val="32"/>
        </w:rPr>
      </w:pPr>
      <w:r>
        <w:rPr>
          <w:rFonts w:hint="eastAsia" w:ascii="楷体" w:hAnsi="楷体" w:eastAsia="楷体" w:cs="仿宋_GB2312"/>
          <w:b/>
          <w:sz w:val="32"/>
          <w:szCs w:val="32"/>
        </w:rPr>
        <w:t>（一）</w:t>
      </w:r>
      <w:r>
        <w:rPr>
          <w:rFonts w:ascii="楷体" w:hAnsi="楷体" w:eastAsia="楷体" w:cs="仿宋_GB2312"/>
          <w:b/>
          <w:sz w:val="32"/>
          <w:szCs w:val="32"/>
        </w:rPr>
        <w:t>术语和定义</w:t>
      </w:r>
    </w:p>
    <w:p w14:paraId="4429953C">
      <w:pPr>
        <w:pStyle w:val="15"/>
        <w:spacing w:line="560" w:lineRule="exact"/>
        <w:ind w:firstLine="640" w:firstLineChars="200"/>
        <w:rPr>
          <w:rFonts w:ascii="仿宋_GB2312" w:hAnsi="仿宋_GB2312" w:eastAsia="仿宋_GB2312" w:cs="仿宋_GB2312"/>
        </w:rPr>
      </w:pPr>
      <w:r>
        <w:rPr>
          <w:rFonts w:hint="eastAsia" w:ascii="仿宋_GB2312" w:hAnsi="仿宋_GB2312" w:eastAsia="仿宋_GB2312" w:cs="仿宋_GB2312"/>
          <w:lang w:eastAsia="zh-CN"/>
        </w:rPr>
        <w:t>风力发电设施安装术语主要引用</w:t>
      </w:r>
      <w:r>
        <w:rPr>
          <w:rFonts w:hint="eastAsia" w:ascii="仿宋_GB2312" w:hAnsi="仿宋_GB2312" w:eastAsia="仿宋_GB2312" w:cs="仿宋_GB2312"/>
          <w:color w:val="000000" w:themeColor="text1"/>
          <w14:textFill>
            <w14:solidFill>
              <w14:schemeClr w14:val="tx1"/>
            </w14:solidFill>
          </w14:textFill>
        </w:rPr>
        <w:t>《QX/T 243  风电场风速短期和超短期预报准确性评判方法》</w:t>
      </w:r>
      <w:r>
        <w:rPr>
          <w:rFonts w:hint="eastAsia" w:ascii="仿宋_GB2312" w:hAnsi="仿宋_GB2312" w:eastAsia="仿宋_GB2312" w:cs="仿宋_GB2312"/>
        </w:rPr>
        <w:t>。</w:t>
      </w:r>
    </w:p>
    <w:p w14:paraId="2CE451EB">
      <w:pPr>
        <w:pStyle w:val="15"/>
        <w:spacing w:after="0" w:line="240" w:lineRule="auto"/>
        <w:jc w:val="center"/>
        <w:rPr>
          <w:rFonts w:ascii="仿宋_GB2312" w:hAnsi="仿宋_GB2312" w:eastAsia="仿宋_GB2312" w:cs="仿宋_GB2312"/>
        </w:rPr>
      </w:pPr>
      <w:r>
        <w:drawing>
          <wp:inline distT="0" distB="0" distL="114300" distR="114300">
            <wp:extent cx="5191125" cy="3438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191125" cy="3438525"/>
                    </a:xfrm>
                    <a:prstGeom prst="rect">
                      <a:avLst/>
                    </a:prstGeom>
                    <a:noFill/>
                    <a:ln>
                      <a:noFill/>
                    </a:ln>
                  </pic:spPr>
                </pic:pic>
              </a:graphicData>
            </a:graphic>
          </wp:inline>
        </w:drawing>
      </w:r>
    </w:p>
    <w:p w14:paraId="0DAA57DF">
      <w:pPr>
        <w:pStyle w:val="15"/>
        <w:spacing w:after="0" w:line="240" w:lineRule="auto"/>
        <w:ind w:firstLine="420" w:firstLineChars="200"/>
        <w:jc w:val="center"/>
        <w:rPr>
          <w:rFonts w:ascii="黑体" w:hAnsi="黑体" w:eastAsia="黑体" w:cs="仿宋_GB2312"/>
          <w:sz w:val="21"/>
          <w:szCs w:val="21"/>
        </w:rPr>
      </w:pPr>
      <w:r>
        <w:rPr>
          <w:rFonts w:hint="eastAsia" w:ascii="黑体" w:hAnsi="黑体" w:eastAsia="黑体" w:cs="仿宋_GB2312"/>
          <w:sz w:val="21"/>
          <w:szCs w:val="21"/>
        </w:rPr>
        <w:t>来源：《QX/T 243  风电场风速短期和超短期预报准确性评判方法》</w:t>
      </w:r>
    </w:p>
    <w:p w14:paraId="241C10B0">
      <w:pPr>
        <w:spacing w:line="560" w:lineRule="exact"/>
        <w:ind w:firstLine="643" w:firstLineChars="200"/>
        <w:outlineLvl w:val="1"/>
        <w:rPr>
          <w:rFonts w:ascii="楷体" w:hAnsi="楷体" w:eastAsia="楷体" w:cs="仿宋_GB2312"/>
          <w:b/>
          <w:bCs/>
          <w:color w:val="000000" w:themeColor="text1"/>
          <w:sz w:val="32"/>
          <w:szCs w:val="32"/>
          <w14:textFill>
            <w14:solidFill>
              <w14:schemeClr w14:val="tx1"/>
            </w14:solidFill>
          </w14:textFill>
        </w:rPr>
      </w:pPr>
      <w:r>
        <w:rPr>
          <w:rFonts w:hint="eastAsia" w:ascii="楷体" w:hAnsi="楷体" w:eastAsia="楷体" w:cs="仿宋_GB2312"/>
          <w:b/>
          <w:bCs/>
          <w:color w:val="000000" w:themeColor="text1"/>
          <w:sz w:val="32"/>
          <w:szCs w:val="32"/>
          <w14:textFill>
            <w14:solidFill>
              <w14:schemeClr w14:val="tx1"/>
            </w14:solidFill>
          </w14:textFill>
        </w:rPr>
        <w:t>（二）</w:t>
      </w:r>
      <w:r>
        <w:rPr>
          <w:rFonts w:ascii="楷体" w:hAnsi="楷体" w:eastAsia="楷体" w:cs="仿宋_GB2312"/>
          <w:b/>
          <w:bCs/>
          <w:color w:val="000000" w:themeColor="text1"/>
          <w:sz w:val="32"/>
          <w:szCs w:val="32"/>
          <w14:textFill>
            <w14:solidFill>
              <w14:schemeClr w14:val="tx1"/>
            </w14:solidFill>
          </w14:textFill>
        </w:rPr>
        <w:t>服务</w:t>
      </w:r>
      <w:r>
        <w:rPr>
          <w:rFonts w:hint="eastAsia" w:ascii="楷体" w:hAnsi="楷体" w:eastAsia="楷体" w:cs="仿宋_GB2312"/>
          <w:b/>
          <w:bCs/>
          <w:color w:val="000000" w:themeColor="text1"/>
          <w:sz w:val="32"/>
          <w:szCs w:val="32"/>
          <w14:textFill>
            <w14:solidFill>
              <w14:schemeClr w14:val="tx1"/>
            </w14:solidFill>
          </w14:textFill>
        </w:rPr>
        <w:t>准备</w:t>
      </w:r>
    </w:p>
    <w:p w14:paraId="65370121">
      <w:pPr>
        <w:pStyle w:val="15"/>
        <w:spacing w:line="560" w:lineRule="exact"/>
        <w:ind w:firstLine="64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当前服务机构</w:t>
      </w:r>
      <w:r>
        <w:rPr>
          <w:rFonts w:ascii="仿宋_GB2312" w:hAnsi="仿宋_GB2312" w:eastAsia="仿宋_GB2312" w:cs="仿宋_GB2312"/>
          <w:color w:val="000000" w:themeColor="text1"/>
          <w14:textFill>
            <w14:solidFill>
              <w14:schemeClr w14:val="tx1"/>
            </w14:solidFill>
          </w14:textFill>
        </w:rPr>
        <w:t>主要</w:t>
      </w:r>
      <w:r>
        <w:rPr>
          <w:rFonts w:hint="eastAsia" w:ascii="仿宋_GB2312" w:hAnsi="仿宋_GB2312" w:eastAsia="仿宋_GB2312" w:cs="仿宋_GB2312"/>
          <w:color w:val="000000" w:themeColor="text1"/>
          <w14:textFill>
            <w14:solidFill>
              <w14:schemeClr w14:val="tx1"/>
            </w14:solidFill>
          </w14:textFill>
        </w:rPr>
        <w:t>通过电话沟通、实地调研、会议研讨、调查问卷等</w:t>
      </w:r>
      <w:r>
        <w:rPr>
          <w:rFonts w:ascii="仿宋_GB2312" w:hAnsi="仿宋_GB2312" w:eastAsia="仿宋_GB2312" w:cs="仿宋_GB2312"/>
          <w:color w:val="000000" w:themeColor="text1"/>
          <w14:textFill>
            <w14:solidFill>
              <w14:schemeClr w14:val="tx1"/>
            </w14:solidFill>
          </w14:textFill>
        </w:rPr>
        <w:t>形式了解用户需求情况，</w:t>
      </w:r>
      <w:r>
        <w:rPr>
          <w:rFonts w:hint="eastAsia" w:ascii="仿宋_GB2312" w:hAnsi="仿宋_GB2312" w:eastAsia="仿宋_GB2312" w:cs="仿宋_GB2312"/>
          <w:color w:val="000000" w:themeColor="text1"/>
          <w14:textFill>
            <w14:solidFill>
              <w14:schemeClr w14:val="tx1"/>
            </w14:solidFill>
          </w14:textFill>
        </w:rPr>
        <w:t>为保障</w:t>
      </w:r>
      <w:r>
        <w:rPr>
          <w:rFonts w:hint="eastAsia" w:ascii="仿宋_GB2312" w:hAnsi="仿宋_GB2312" w:eastAsia="仿宋_GB2312" w:cs="仿宋_GB2312"/>
          <w:color w:val="000000" w:themeColor="text1"/>
          <w:lang w:eastAsia="zh-CN"/>
          <w14:textFill>
            <w14:solidFill>
              <w14:schemeClr w14:val="tx1"/>
            </w14:solidFill>
          </w14:textFill>
        </w:rPr>
        <w:t>风力发电设施安装</w:t>
      </w:r>
      <w:r>
        <w:rPr>
          <w:rFonts w:ascii="仿宋_GB2312" w:hAnsi="仿宋_GB2312" w:eastAsia="仿宋_GB2312" w:cs="仿宋_GB2312"/>
          <w:color w:val="000000" w:themeColor="text1"/>
          <w14:textFill>
            <w14:solidFill>
              <w14:schemeClr w14:val="tx1"/>
            </w14:solidFill>
          </w14:textFill>
        </w:rPr>
        <w:t>气象服务顺利进行，</w:t>
      </w:r>
      <w:r>
        <w:rPr>
          <w:rFonts w:hint="eastAsia" w:ascii="仿宋_GB2312" w:hAnsi="仿宋_GB2312" w:eastAsia="仿宋_GB2312" w:cs="仿宋_GB2312"/>
          <w:color w:val="000000" w:themeColor="text1"/>
          <w14:textFill>
            <w14:solidFill>
              <w14:schemeClr w14:val="tx1"/>
            </w14:solidFill>
          </w14:textFill>
        </w:rPr>
        <w:t>并能</w:t>
      </w:r>
      <w:r>
        <w:rPr>
          <w:rFonts w:ascii="仿宋_GB2312" w:hAnsi="仿宋_GB2312" w:eastAsia="仿宋_GB2312" w:cs="仿宋_GB2312"/>
          <w:color w:val="000000" w:themeColor="text1"/>
          <w14:textFill>
            <w14:solidFill>
              <w14:schemeClr w14:val="tx1"/>
            </w14:solidFill>
          </w14:textFill>
        </w:rPr>
        <w:t>满足用户实际需求，</w:t>
      </w:r>
      <w:r>
        <w:rPr>
          <w:rFonts w:hint="eastAsia" w:ascii="仿宋_GB2312" w:hAnsi="仿宋_GB2312" w:eastAsia="仿宋_GB2312" w:cs="仿宋_GB2312"/>
          <w:color w:val="000000" w:themeColor="text1"/>
          <w14:textFill>
            <w14:solidFill>
              <w14:schemeClr w14:val="tx1"/>
            </w14:solidFill>
          </w14:textFill>
        </w:rPr>
        <w:t>明确了</w:t>
      </w:r>
      <w:r>
        <w:rPr>
          <w:rFonts w:hint="eastAsia" w:ascii="仿宋_GB2312" w:hAnsi="仿宋_GB2312" w:eastAsia="仿宋_GB2312" w:cs="仿宋_GB2312"/>
          <w:b/>
          <w:color w:val="000000" w:themeColor="text1"/>
          <w14:textFill>
            <w14:solidFill>
              <w14:schemeClr w14:val="tx1"/>
            </w14:solidFill>
          </w14:textFill>
        </w:rPr>
        <w:t>明确服务需求</w:t>
      </w:r>
      <w:r>
        <w:rPr>
          <w:rFonts w:hint="eastAsia" w:ascii="仿宋_GB2312" w:hAnsi="仿宋_GB2312" w:eastAsia="仿宋_GB2312" w:cs="仿宋_GB2312"/>
          <w:color w:val="000000" w:themeColor="text1"/>
          <w14:textFill>
            <w14:solidFill>
              <w14:schemeClr w14:val="tx1"/>
            </w14:solidFill>
          </w14:textFill>
        </w:rPr>
        <w:t>及</w:t>
      </w:r>
      <w:r>
        <w:rPr>
          <w:rFonts w:hint="eastAsia" w:ascii="仿宋_GB2312" w:hAnsi="仿宋_GB2312" w:eastAsia="仿宋_GB2312" w:cs="仿宋_GB2312"/>
          <w:b/>
          <w:color w:val="000000" w:themeColor="text1"/>
          <w14:textFill>
            <w14:solidFill>
              <w14:schemeClr w14:val="tx1"/>
            </w14:solidFill>
          </w14:textFill>
        </w:rPr>
        <w:t>编制服务方案</w:t>
      </w:r>
      <w:r>
        <w:rPr>
          <w:rFonts w:hint="eastAsia" w:ascii="仿宋_GB2312" w:hAnsi="仿宋_GB2312" w:eastAsia="仿宋_GB2312" w:cs="仿宋_GB2312"/>
          <w:color w:val="000000" w:themeColor="text1"/>
          <w14:textFill>
            <w14:solidFill>
              <w14:schemeClr w14:val="tx1"/>
            </w14:solidFill>
          </w14:textFill>
        </w:rPr>
        <w:t>的</w:t>
      </w:r>
      <w:r>
        <w:rPr>
          <w:rFonts w:ascii="仿宋_GB2312" w:hAnsi="仿宋_GB2312" w:eastAsia="仿宋_GB2312" w:cs="仿宋_GB2312"/>
          <w:color w:val="000000" w:themeColor="text1"/>
          <w14:textFill>
            <w14:solidFill>
              <w14:schemeClr w14:val="tx1"/>
            </w14:solidFill>
          </w14:textFill>
        </w:rPr>
        <w:t>服务准备要求。</w:t>
      </w:r>
      <w:r>
        <w:rPr>
          <w:rFonts w:hint="eastAsia" w:ascii="仿宋_GB2312" w:hAnsi="仿宋_GB2312" w:eastAsia="仿宋_GB2312" w:cs="仿宋_GB2312"/>
          <w:color w:val="000000" w:themeColor="text1"/>
          <w14:textFill>
            <w14:solidFill>
              <w14:schemeClr w14:val="tx1"/>
            </w14:solidFill>
          </w14:textFill>
        </w:rPr>
        <w:t>明确宜通过电话沟通、实地调研、会议研讨、调查问卷等形式，了解用户的</w:t>
      </w:r>
      <w:r>
        <w:rPr>
          <w:rFonts w:hint="eastAsia" w:ascii="仿宋_GB2312" w:hAnsi="仿宋_GB2312" w:eastAsia="仿宋_GB2312" w:cs="仿宋_GB2312"/>
          <w:color w:val="000000" w:themeColor="text1"/>
          <w:lang w:eastAsia="zh-CN"/>
          <w14:textFill>
            <w14:solidFill>
              <w14:schemeClr w14:val="tx1"/>
            </w14:solidFill>
          </w14:textFill>
        </w:rPr>
        <w:t>风力发电设施安装</w:t>
      </w:r>
      <w:r>
        <w:rPr>
          <w:rFonts w:hint="eastAsia" w:ascii="仿宋_GB2312" w:hAnsi="仿宋_GB2312" w:eastAsia="仿宋_GB2312" w:cs="仿宋_GB2312"/>
          <w:color w:val="000000" w:themeColor="text1"/>
          <w14:textFill>
            <w14:solidFill>
              <w14:schemeClr w14:val="tx1"/>
            </w14:solidFill>
          </w14:textFill>
        </w:rPr>
        <w:t>方式、气象灾害影响情况以及气象服务需求等内容</w:t>
      </w:r>
      <w:r>
        <w:rPr>
          <w:rFonts w:ascii="仿宋_GB2312" w:hAnsi="仿宋_GB2312" w:eastAsia="仿宋_GB2312" w:cs="仿宋_GB2312"/>
          <w:color w:val="000000" w:themeColor="text1"/>
          <w14:textFill>
            <w14:solidFill>
              <w14:schemeClr w14:val="tx1"/>
            </w14:solidFill>
          </w14:textFill>
        </w:rPr>
        <w:t>。</w:t>
      </w:r>
      <w:r>
        <w:rPr>
          <w:rFonts w:hint="eastAsia" w:ascii="仿宋_GB2312" w:hAnsi="仿宋_GB2312" w:eastAsia="仿宋_GB2312" w:cs="仿宋_GB2312"/>
          <w:color w:val="000000" w:themeColor="text1"/>
          <w14:textFill>
            <w14:solidFill>
              <w14:schemeClr w14:val="tx1"/>
            </w14:solidFill>
          </w14:textFill>
        </w:rPr>
        <w:t>明确应分析</w:t>
      </w:r>
      <w:r>
        <w:rPr>
          <w:rFonts w:hint="eastAsia" w:ascii="仿宋_GB2312" w:hAnsi="仿宋_GB2312" w:eastAsia="仿宋_GB2312" w:cs="仿宋_GB2312"/>
          <w:color w:val="000000" w:themeColor="text1"/>
          <w:lang w:eastAsia="zh-CN"/>
          <w14:textFill>
            <w14:solidFill>
              <w14:schemeClr w14:val="tx1"/>
            </w14:solidFill>
          </w14:textFill>
        </w:rPr>
        <w:t>风力发电设施安装</w:t>
      </w:r>
      <w:r>
        <w:rPr>
          <w:rFonts w:hint="eastAsia" w:ascii="仿宋_GB2312" w:hAnsi="仿宋_GB2312" w:eastAsia="仿宋_GB2312" w:cs="仿宋_GB2312"/>
          <w:color w:val="000000" w:themeColor="text1"/>
          <w14:textFill>
            <w14:solidFill>
              <w14:schemeClr w14:val="tx1"/>
            </w14:solidFill>
          </w14:textFill>
        </w:rPr>
        <w:t>区域气候背景和气象条件，评估作业气象风险和设计服务产品，根据服务需求编制服务方案。服务方案内容包括工作背景、服务目标、服务内容、服务方式、人员、经费及保障措施等。</w:t>
      </w:r>
    </w:p>
    <w:p w14:paraId="120F285B">
      <w:pPr>
        <w:spacing w:line="560" w:lineRule="exact"/>
        <w:ind w:firstLine="643" w:firstLineChars="200"/>
        <w:outlineLvl w:val="1"/>
        <w:rPr>
          <w:rFonts w:ascii="楷体" w:hAnsi="楷体" w:eastAsia="楷体" w:cs="仿宋_GB2312"/>
          <w:b/>
          <w:bCs/>
          <w:color w:val="000000" w:themeColor="text1"/>
          <w:sz w:val="32"/>
          <w:szCs w:val="32"/>
          <w14:textFill>
            <w14:solidFill>
              <w14:schemeClr w14:val="tx1"/>
            </w14:solidFill>
          </w14:textFill>
        </w:rPr>
      </w:pPr>
      <w:r>
        <w:rPr>
          <w:rFonts w:hint="eastAsia" w:ascii="楷体" w:hAnsi="楷体" w:eastAsia="楷体" w:cs="仿宋_GB2312"/>
          <w:b/>
          <w:bCs/>
          <w:color w:val="000000" w:themeColor="text1"/>
          <w:sz w:val="32"/>
          <w:szCs w:val="32"/>
          <w14:textFill>
            <w14:solidFill>
              <w14:schemeClr w14:val="tx1"/>
            </w14:solidFill>
          </w14:textFill>
        </w:rPr>
        <w:t>（三）</w:t>
      </w:r>
      <w:r>
        <w:rPr>
          <w:rFonts w:ascii="楷体" w:hAnsi="楷体" w:eastAsia="楷体" w:cs="仿宋_GB2312"/>
          <w:b/>
          <w:bCs/>
          <w:color w:val="000000" w:themeColor="text1"/>
          <w:sz w:val="32"/>
          <w:szCs w:val="32"/>
          <w14:textFill>
            <w14:solidFill>
              <w14:schemeClr w14:val="tx1"/>
            </w14:solidFill>
          </w14:textFill>
        </w:rPr>
        <w:t>服务内容</w:t>
      </w:r>
      <w:r>
        <w:rPr>
          <w:rFonts w:hint="eastAsia" w:ascii="楷体" w:hAnsi="楷体" w:eastAsia="楷体" w:cs="仿宋_GB2312"/>
          <w:b/>
          <w:bCs/>
          <w:color w:val="000000" w:themeColor="text1"/>
          <w:sz w:val="32"/>
          <w:szCs w:val="32"/>
          <w14:textFill>
            <w14:solidFill>
              <w14:schemeClr w14:val="tx1"/>
            </w14:solidFill>
          </w14:textFill>
        </w:rPr>
        <w:t>及要求</w:t>
      </w:r>
    </w:p>
    <w:p w14:paraId="133F28B0">
      <w:pPr>
        <w:pStyle w:val="15"/>
        <w:spacing w:line="560" w:lineRule="exact"/>
        <w:ind w:firstLine="640" w:firstLineChars="200"/>
        <w:rPr>
          <w:rFonts w:ascii="仿宋_GB2312" w:eastAsia="仿宋_GB2312"/>
          <w:color w:val="000000" w:themeColor="text1"/>
          <w14:textFill>
            <w14:solidFill>
              <w14:schemeClr w14:val="tx1"/>
            </w14:solidFill>
          </w14:textFill>
        </w:rPr>
      </w:pPr>
      <w:bookmarkStart w:id="4" w:name="_GoBack"/>
      <w:bookmarkEnd w:id="4"/>
      <w:r>
        <w:rPr>
          <w:rFonts w:ascii="仿宋_GB2312" w:eastAsia="仿宋_GB2312"/>
        </w:rPr>
        <w:t>气象服务是以气象为主要对象的服务，可划分为决策气象服务、</w:t>
      </w:r>
      <w:r>
        <w:fldChar w:fldCharType="begin"/>
      </w:r>
      <w:r>
        <w:instrText xml:space="preserve"> HYPERLINK "https://baike.baidu.com/item/%E5%85%AC%E4%BC%97%E6%B0%94%E8%B1%A1%E6%9C%8D%E5%8A%A1/352081?fromModule=lemma_inlink" \t "_blank" </w:instrText>
      </w:r>
      <w:r>
        <w:fldChar w:fldCharType="separate"/>
      </w:r>
      <w:r>
        <w:rPr>
          <w:rFonts w:ascii="仿宋_GB2312" w:eastAsia="仿宋_GB2312"/>
        </w:rPr>
        <w:t>公众气象服务</w:t>
      </w:r>
      <w:r>
        <w:rPr>
          <w:rFonts w:ascii="仿宋_GB2312" w:eastAsia="仿宋_GB2312"/>
        </w:rPr>
        <w:fldChar w:fldCharType="end"/>
      </w:r>
      <w:r>
        <w:rPr>
          <w:rFonts w:ascii="仿宋_GB2312" w:eastAsia="仿宋_GB2312"/>
        </w:rPr>
        <w:t>、专业气象服务和科技服务。</w:t>
      </w:r>
      <w:r>
        <w:rPr>
          <w:rFonts w:hint="eastAsia" w:ascii="仿宋_GB2312" w:eastAsia="仿宋_GB2312"/>
        </w:rPr>
        <w:t>其中，</w:t>
      </w:r>
      <w:r>
        <w:rPr>
          <w:rFonts w:ascii="仿宋_GB2312" w:eastAsia="仿宋_GB2312"/>
        </w:rPr>
        <w:t>与公众生产生活密切相关的</w:t>
      </w:r>
      <w:r>
        <w:rPr>
          <w:rFonts w:hint="eastAsia" w:ascii="仿宋_GB2312" w:eastAsia="仿宋_GB2312"/>
        </w:rPr>
        <w:t>：1.</w:t>
      </w:r>
      <w:r>
        <w:fldChar w:fldCharType="begin"/>
      </w:r>
      <w:r>
        <w:instrText xml:space="preserve"> HYPERLINK "https://baike.baidu.com/item/%E5%85%AC%E4%BC%97%E6%B0%94%E8%B1%A1%E6%9C%8D%E5%8A%A1/352081?fromModule=lemma_inlink" \t "_blank" </w:instrText>
      </w:r>
      <w:r>
        <w:fldChar w:fldCharType="separate"/>
      </w:r>
      <w:r>
        <w:rPr>
          <w:rStyle w:val="13"/>
          <w:rFonts w:ascii="仿宋_GB2312" w:eastAsia="仿宋_GB2312"/>
          <w:color w:val="auto"/>
          <w:u w:val="none"/>
        </w:rPr>
        <w:t>公众气象服务</w:t>
      </w:r>
      <w:r>
        <w:rPr>
          <w:rStyle w:val="13"/>
          <w:rFonts w:ascii="仿宋_GB2312" w:eastAsia="仿宋_GB2312"/>
          <w:color w:val="auto"/>
          <w:u w:val="none"/>
        </w:rPr>
        <w:fldChar w:fldCharType="end"/>
      </w:r>
      <w:r>
        <w:rPr>
          <w:rFonts w:ascii="仿宋_GB2312" w:eastAsia="仿宋_GB2312"/>
        </w:rPr>
        <w:t>是</w:t>
      </w:r>
      <w:r>
        <w:rPr>
          <w:rFonts w:hint="eastAsia" w:ascii="仿宋_GB2312" w:eastAsia="仿宋_GB2312"/>
        </w:rPr>
        <w:t>指</w:t>
      </w:r>
      <w:r>
        <w:rPr>
          <w:rFonts w:ascii="仿宋_GB2312" w:eastAsia="仿宋_GB2312"/>
        </w:rPr>
        <w:t>为公众提供的日常气象服务；</w:t>
      </w:r>
      <w:r>
        <w:rPr>
          <w:rFonts w:hint="eastAsia" w:ascii="仿宋_GB2312" w:eastAsia="仿宋_GB2312"/>
        </w:rPr>
        <w:t>2.</w:t>
      </w:r>
      <w:r>
        <w:rPr>
          <w:rFonts w:ascii="仿宋_GB2312" w:eastAsia="仿宋_GB2312"/>
        </w:rPr>
        <w:t>专业气象服务是</w:t>
      </w:r>
      <w:r>
        <w:rPr>
          <w:rFonts w:hint="eastAsia" w:ascii="仿宋_GB2312" w:eastAsia="仿宋_GB2312"/>
        </w:rPr>
        <w:t>指</w:t>
      </w:r>
      <w:r>
        <w:rPr>
          <w:rFonts w:ascii="仿宋_GB2312" w:eastAsia="仿宋_GB2312"/>
        </w:rPr>
        <w:t>为各行各业提供的针对行业需要的气象服务；</w:t>
      </w:r>
      <w:r>
        <w:rPr>
          <w:rFonts w:hint="eastAsia" w:ascii="仿宋_GB2312" w:eastAsia="仿宋_GB2312"/>
        </w:rPr>
        <w:t>3.</w:t>
      </w:r>
      <w:r>
        <w:rPr>
          <w:rFonts w:ascii="仿宋_GB2312" w:eastAsia="仿宋_GB2312"/>
        </w:rPr>
        <w:t>科技服务是</w:t>
      </w:r>
      <w:r>
        <w:rPr>
          <w:rFonts w:hint="eastAsia" w:ascii="仿宋_GB2312" w:eastAsia="仿宋_GB2312"/>
        </w:rPr>
        <w:t>指</w:t>
      </w:r>
      <w:r>
        <w:rPr>
          <w:rFonts w:ascii="仿宋_GB2312" w:eastAsia="仿宋_GB2312"/>
        </w:rPr>
        <w:t>为专门用户提供的</w:t>
      </w:r>
      <w:r>
        <w:rPr>
          <w:rFonts w:ascii="仿宋_GB2312" w:eastAsia="仿宋_GB2312"/>
          <w:color w:val="000000" w:themeColor="text1"/>
          <w14:textFill>
            <w14:solidFill>
              <w14:schemeClr w14:val="tx1"/>
            </w14:solidFill>
          </w14:textFill>
        </w:rPr>
        <w:t>特殊需要的气象服务。</w:t>
      </w:r>
      <w:r>
        <w:rPr>
          <w:rFonts w:hint="eastAsia" w:ascii="仿宋_GB2312" w:eastAsia="仿宋_GB2312"/>
          <w:color w:val="000000" w:themeColor="text1"/>
          <w14:textFill>
            <w14:solidFill>
              <w14:schemeClr w14:val="tx1"/>
            </w14:solidFill>
          </w14:textFill>
        </w:rPr>
        <w:t>上述4类</w:t>
      </w:r>
      <w:r>
        <w:rPr>
          <w:rFonts w:ascii="仿宋_GB2312" w:eastAsia="仿宋_GB2312"/>
          <w:color w:val="000000" w:themeColor="text1"/>
          <w14:textFill>
            <w14:solidFill>
              <w14:schemeClr w14:val="tx1"/>
            </w14:solidFill>
          </w14:textFill>
        </w:rPr>
        <w:t>气象服务构成了覆盖全社会全方位的气象服务网。</w:t>
      </w:r>
    </w:p>
    <w:p w14:paraId="26DCEA8E">
      <w:pPr>
        <w:pStyle w:val="15"/>
        <w:spacing w:line="560" w:lineRule="exact"/>
        <w:ind w:firstLine="64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风力发电设施安装通常在野外开阔区域进行，会面临多种复杂气象条件，如强风、暴雨、雷电、低温等。制定气象服务规范可以明确在不同气象条件下的安装要求和安全措施，确保安装人员和设备的安全。例如，在强风天气下，可以规定停止安装作业的风速阈值，避免设备和人员受到强风的破坏和伤害；指导安装人员在合适的气象条件下进行安装操作，减少因气象因素导致的安装误差和质量问题。明确在不同气象条件下的安装操作流程和注意事项，使安装人员能够按照标准进行操作，提高安装效率和质量。例如，在低温环境下，规范可以规定设备的预热时间和安装顺序，确保设备在低温下能够正常安装和运行。本标准</w:t>
      </w:r>
      <w:r>
        <w:rPr>
          <w:rFonts w:ascii="仿宋_GB2312" w:eastAsia="仿宋_GB2312"/>
          <w:color w:val="000000" w:themeColor="text1"/>
          <w14:textFill>
            <w14:solidFill>
              <w14:schemeClr w14:val="tx1"/>
            </w14:solidFill>
          </w14:textFill>
        </w:rPr>
        <w:t>的</w:t>
      </w:r>
      <w:r>
        <w:rPr>
          <w:rFonts w:hint="eastAsia" w:ascii="仿宋_GB2312" w:eastAsia="仿宋_GB2312"/>
          <w:color w:val="000000" w:themeColor="text1"/>
          <w:lang w:eastAsia="zh-CN"/>
          <w14:textFill>
            <w14:solidFill>
              <w14:schemeClr w14:val="tx1"/>
            </w14:solidFill>
          </w14:textFill>
        </w:rPr>
        <w:t>风力发电设施安装</w:t>
      </w:r>
      <w:r>
        <w:rPr>
          <w:rFonts w:ascii="仿宋_GB2312" w:eastAsia="仿宋_GB2312"/>
          <w:color w:val="000000" w:themeColor="text1"/>
          <w14:textFill>
            <w14:solidFill>
              <w14:schemeClr w14:val="tx1"/>
            </w14:solidFill>
          </w14:textFill>
        </w:rPr>
        <w:t>气象服务</w:t>
      </w:r>
      <w:r>
        <w:rPr>
          <w:rFonts w:hint="eastAsia" w:ascii="仿宋_GB2312" w:eastAsia="仿宋_GB2312"/>
          <w:color w:val="000000" w:themeColor="text1"/>
          <w14:textFill>
            <w14:solidFill>
              <w14:schemeClr w14:val="tx1"/>
            </w14:solidFill>
          </w14:textFill>
        </w:rPr>
        <w:t>主要是指</w:t>
      </w:r>
      <w:r>
        <w:rPr>
          <w:rFonts w:ascii="仿宋_GB2312" w:eastAsia="仿宋_GB2312"/>
          <w:color w:val="000000" w:themeColor="text1"/>
          <w14:textFill>
            <w14:solidFill>
              <w14:schemeClr w14:val="tx1"/>
            </w14:solidFill>
          </w14:textFill>
        </w:rPr>
        <w:t>能够满足</w:t>
      </w:r>
      <w:r>
        <w:rPr>
          <w:rFonts w:hint="eastAsia" w:ascii="仿宋_GB2312" w:eastAsia="仿宋_GB2312"/>
          <w:color w:val="000000" w:themeColor="text1"/>
          <w:lang w:eastAsia="zh-CN"/>
          <w14:textFill>
            <w14:solidFill>
              <w14:schemeClr w14:val="tx1"/>
            </w14:solidFill>
          </w14:textFill>
        </w:rPr>
        <w:t>风力发电设施安装</w:t>
      </w:r>
      <w:r>
        <w:rPr>
          <w:rFonts w:ascii="仿宋_GB2312" w:eastAsia="仿宋_GB2312"/>
          <w:color w:val="000000" w:themeColor="text1"/>
          <w14:textFill>
            <w14:solidFill>
              <w14:schemeClr w14:val="tx1"/>
            </w14:solidFill>
          </w14:textFill>
        </w:rPr>
        <w:t>企业需要</w:t>
      </w:r>
      <w:r>
        <w:rPr>
          <w:rFonts w:hint="eastAsia" w:ascii="仿宋_GB2312" w:eastAsia="仿宋_GB2312"/>
          <w:color w:val="000000" w:themeColor="text1"/>
          <w14:textFill>
            <w14:solidFill>
              <w14:schemeClr w14:val="tx1"/>
            </w14:solidFill>
          </w14:textFill>
        </w:rPr>
        <w:t>，为助力</w:t>
      </w:r>
      <w:r>
        <w:rPr>
          <w:rFonts w:hint="eastAsia" w:ascii="仿宋_GB2312" w:eastAsia="仿宋_GB2312"/>
          <w:color w:val="000000" w:themeColor="text1"/>
          <w:lang w:eastAsia="zh-CN"/>
          <w14:textFill>
            <w14:solidFill>
              <w14:schemeClr w14:val="tx1"/>
            </w14:solidFill>
          </w14:textFill>
        </w:rPr>
        <w:t>风力发电设施安装作业安全</w:t>
      </w:r>
      <w:r>
        <w:rPr>
          <w:rFonts w:hint="eastAsia" w:ascii="仿宋_GB2312" w:eastAsia="仿宋_GB2312"/>
          <w:color w:val="000000" w:themeColor="text1"/>
          <w14:textFill>
            <w14:solidFill>
              <w14:schemeClr w14:val="tx1"/>
            </w14:solidFill>
          </w14:textFill>
        </w:rPr>
        <w:t>提升，</w:t>
      </w:r>
      <w:r>
        <w:rPr>
          <w:rFonts w:ascii="仿宋_GB2312" w:eastAsia="仿宋_GB2312"/>
          <w:color w:val="000000" w:themeColor="text1"/>
          <w14:textFill>
            <w14:solidFill>
              <w14:schemeClr w14:val="tx1"/>
            </w14:solidFill>
          </w14:textFill>
        </w:rPr>
        <w:t>提供的</w:t>
      </w:r>
      <w:r>
        <w:rPr>
          <w:rFonts w:hint="eastAsia" w:ascii="仿宋_GB2312" w:eastAsia="仿宋_GB2312"/>
          <w:color w:val="000000" w:themeColor="text1"/>
          <w14:textFill>
            <w14:solidFill>
              <w14:schemeClr w14:val="tx1"/>
            </w14:solidFill>
          </w14:textFill>
        </w:rPr>
        <w:t>专业气象服务，</w:t>
      </w:r>
      <w:r>
        <w:rPr>
          <w:rFonts w:ascii="仿宋_GB2312" w:eastAsia="仿宋_GB2312"/>
          <w:color w:val="000000" w:themeColor="text1"/>
          <w14:textFill>
            <w14:solidFill>
              <w14:schemeClr w14:val="tx1"/>
            </w14:solidFill>
          </w14:textFill>
        </w:rPr>
        <w:t>提供</w:t>
      </w:r>
      <w:r>
        <w:rPr>
          <w:rFonts w:hint="eastAsia" w:ascii="仿宋_GB2312" w:eastAsia="仿宋_GB2312"/>
          <w:color w:val="000000" w:themeColor="text1"/>
          <w14:textFill>
            <w14:solidFill>
              <w14:schemeClr w14:val="tx1"/>
            </w14:solidFill>
          </w14:textFill>
        </w:rPr>
        <w:t>定制式气象</w:t>
      </w:r>
      <w:r>
        <w:rPr>
          <w:rFonts w:ascii="仿宋_GB2312" w:eastAsia="仿宋_GB2312"/>
          <w:color w:val="000000" w:themeColor="text1"/>
          <w14:textFill>
            <w14:solidFill>
              <w14:schemeClr w14:val="tx1"/>
            </w14:solidFill>
          </w14:textFill>
        </w:rPr>
        <w:t>服务</w:t>
      </w:r>
      <w:r>
        <w:rPr>
          <w:rFonts w:hint="eastAsia" w:ascii="仿宋_GB2312" w:eastAsia="仿宋_GB2312"/>
          <w:color w:val="000000" w:themeColor="text1"/>
          <w14:textFill>
            <w14:solidFill>
              <w14:schemeClr w14:val="tx1"/>
            </w14:solidFill>
          </w14:textFill>
        </w:rPr>
        <w:t>产品。</w:t>
      </w:r>
      <w:r>
        <w:rPr>
          <w:rFonts w:ascii="仿宋_GB2312" w:eastAsia="仿宋_GB2312"/>
          <w:color w:val="000000" w:themeColor="text1"/>
          <w14:textFill>
            <w14:solidFill>
              <w14:schemeClr w14:val="tx1"/>
            </w14:solidFill>
          </w14:textFill>
        </w:rPr>
        <w:t>标准编制组</w:t>
      </w:r>
      <w:r>
        <w:rPr>
          <w:rFonts w:hint="eastAsia" w:ascii="仿宋_GB2312" w:eastAsia="仿宋_GB2312"/>
          <w:color w:val="000000" w:themeColor="text1"/>
          <w14:textFill>
            <w14:solidFill>
              <w14:schemeClr w14:val="tx1"/>
            </w14:solidFill>
          </w14:textFill>
        </w:rPr>
        <w:t>以需求为引领，</w:t>
      </w:r>
      <w:r>
        <w:rPr>
          <w:rFonts w:ascii="仿宋_GB2312" w:eastAsia="仿宋_GB2312"/>
          <w:color w:val="000000" w:themeColor="text1"/>
          <w14:textFill>
            <w14:solidFill>
              <w14:schemeClr w14:val="tx1"/>
            </w14:solidFill>
          </w14:textFill>
        </w:rPr>
        <w:t>通过</w:t>
      </w:r>
      <w:r>
        <w:rPr>
          <w:rFonts w:hint="eastAsia" w:ascii="仿宋_GB2312" w:eastAsia="仿宋_GB2312"/>
          <w:color w:val="000000" w:themeColor="text1"/>
          <w14:textFill>
            <w14:solidFill>
              <w14:schemeClr w14:val="tx1"/>
            </w14:solidFill>
          </w14:textFill>
        </w:rPr>
        <w:t>总结前期</w:t>
      </w:r>
      <w:r>
        <w:rPr>
          <w:rFonts w:ascii="仿宋_GB2312" w:eastAsia="仿宋_GB2312"/>
          <w:color w:val="000000" w:themeColor="text1"/>
          <w14:textFill>
            <w14:solidFill>
              <w14:schemeClr w14:val="tx1"/>
            </w14:solidFill>
          </w14:textFill>
        </w:rPr>
        <w:t>调研</w:t>
      </w:r>
      <w:r>
        <w:rPr>
          <w:rFonts w:hint="eastAsia" w:ascii="仿宋_GB2312" w:eastAsia="仿宋_GB2312"/>
          <w:color w:val="000000" w:themeColor="text1"/>
          <w14:textFill>
            <w14:solidFill>
              <w14:schemeClr w14:val="tx1"/>
            </w14:solidFill>
          </w14:textFill>
        </w:rPr>
        <w:t>用户需求，</w:t>
      </w:r>
      <w:r>
        <w:rPr>
          <w:rFonts w:ascii="仿宋_GB2312" w:eastAsia="仿宋_GB2312"/>
          <w:color w:val="000000" w:themeColor="text1"/>
          <w14:textFill>
            <w14:solidFill>
              <w14:schemeClr w14:val="tx1"/>
            </w14:solidFill>
          </w14:textFill>
        </w:rPr>
        <w:t>明确了</w:t>
      </w:r>
      <w:r>
        <w:rPr>
          <w:rFonts w:hint="eastAsia" w:ascii="仿宋_GB2312" w:eastAsia="仿宋_GB2312"/>
          <w:color w:val="000000" w:themeColor="text1"/>
          <w:lang w:eastAsia="zh-CN"/>
          <w14:textFill>
            <w14:solidFill>
              <w14:schemeClr w14:val="tx1"/>
            </w14:solidFill>
          </w14:textFill>
        </w:rPr>
        <w:t>选址阶段、土建施工阶段、风机吊装阶段、电气安装与调试阶段</w:t>
      </w:r>
      <w:r>
        <w:rPr>
          <w:rFonts w:hint="eastAsia" w:ascii="仿宋_GB2312" w:eastAsia="仿宋_GB2312"/>
          <w:color w:val="000000" w:themeColor="text1"/>
          <w14:textFill>
            <w14:solidFill>
              <w14:schemeClr w14:val="tx1"/>
            </w14:solidFill>
          </w14:textFill>
        </w:rPr>
        <w:t>服务内容</w:t>
      </w:r>
      <w:r>
        <w:rPr>
          <w:rFonts w:ascii="仿宋_GB2312" w:eastAsia="仿宋_GB2312"/>
          <w:color w:val="000000" w:themeColor="text1"/>
          <w14:textFill>
            <w14:solidFill>
              <w14:schemeClr w14:val="tx1"/>
            </w14:solidFill>
          </w14:textFill>
        </w:rPr>
        <w:t>包括：</w:t>
      </w:r>
      <w:r>
        <w:rPr>
          <w:rFonts w:hint="eastAsia" w:ascii="仿宋_GB2312" w:eastAsia="仿宋_GB2312"/>
          <w:b/>
          <w:color w:val="000000" w:themeColor="text1"/>
          <w14:textFill>
            <w14:solidFill>
              <w14:schemeClr w14:val="tx1"/>
            </w14:solidFill>
          </w14:textFill>
        </w:rPr>
        <w:t>短时临近天气预报</w:t>
      </w:r>
      <w:r>
        <w:rPr>
          <w:rFonts w:hint="eastAsia" w:ascii="仿宋_GB2312" w:eastAsia="仿宋_GB2312"/>
          <w:b/>
          <w:color w:val="000000" w:themeColor="text1"/>
          <w:lang w:eastAsia="zh-CN"/>
          <w14:textFill>
            <w14:solidFill>
              <w14:schemeClr w14:val="tx1"/>
            </w14:solidFill>
          </w14:textFill>
        </w:rPr>
        <w:t>、</w:t>
      </w:r>
      <w:r>
        <w:rPr>
          <w:rFonts w:hint="eastAsia" w:ascii="仿宋_GB2312" w:eastAsia="仿宋_GB2312"/>
          <w:b/>
          <w:color w:val="000000" w:themeColor="text1"/>
          <w14:textFill>
            <w14:solidFill>
              <w14:schemeClr w14:val="tx1"/>
            </w14:solidFill>
          </w14:textFill>
        </w:rPr>
        <w:t>短期临近天气预报</w:t>
      </w:r>
      <w:r>
        <w:rPr>
          <w:rFonts w:hint="eastAsia" w:ascii="仿宋_GB2312" w:eastAsia="仿宋_GB2312"/>
          <w:b/>
          <w:color w:val="000000" w:themeColor="text1"/>
          <w:lang w:eastAsia="zh-CN"/>
          <w14:textFill>
            <w14:solidFill>
              <w14:schemeClr w14:val="tx1"/>
            </w14:solidFill>
          </w14:textFill>
        </w:rPr>
        <w:t>、</w:t>
      </w:r>
      <w:r>
        <w:rPr>
          <w:rFonts w:hint="eastAsia" w:ascii="仿宋_GB2312" w:eastAsia="仿宋_GB2312"/>
          <w:b/>
          <w:color w:val="000000" w:themeColor="text1"/>
          <w14:textFill>
            <w14:solidFill>
              <w14:schemeClr w14:val="tx1"/>
            </w14:solidFill>
          </w14:textFill>
        </w:rPr>
        <w:t>实况监测</w:t>
      </w:r>
      <w:r>
        <w:rPr>
          <w:rFonts w:hint="eastAsia" w:ascii="仿宋_GB2312" w:eastAsia="仿宋_GB2312"/>
          <w:b/>
          <w:color w:val="000000" w:themeColor="text1"/>
          <w:lang w:eastAsia="zh-CN"/>
          <w14:textFill>
            <w14:solidFill>
              <w14:schemeClr w14:val="tx1"/>
            </w14:solidFill>
          </w14:textFill>
        </w:rPr>
        <w:t>、</w:t>
      </w:r>
      <w:r>
        <w:rPr>
          <w:rFonts w:hint="eastAsia" w:ascii="仿宋_GB2312" w:eastAsia="仿宋_GB2312"/>
          <w:b/>
          <w:color w:val="000000" w:themeColor="text1"/>
          <w14:textFill>
            <w14:solidFill>
              <w14:schemeClr w14:val="tx1"/>
            </w14:solidFill>
          </w14:textFill>
        </w:rPr>
        <w:t>高影响天气预报</w:t>
      </w:r>
      <w:r>
        <w:rPr>
          <w:rFonts w:hint="eastAsia" w:ascii="仿宋_GB2312" w:eastAsia="仿宋_GB2312"/>
          <w:b/>
          <w:color w:val="000000" w:themeColor="text1"/>
          <w:lang w:eastAsia="zh-CN"/>
          <w14:textFill>
            <w14:solidFill>
              <w14:schemeClr w14:val="tx1"/>
            </w14:solidFill>
          </w14:textFill>
        </w:rPr>
        <w:t>、</w:t>
      </w:r>
      <w:r>
        <w:rPr>
          <w:rFonts w:hint="eastAsia" w:ascii="仿宋_GB2312" w:eastAsia="仿宋_GB2312"/>
          <w:b/>
          <w:color w:val="000000" w:themeColor="text1"/>
          <w14:textFill>
            <w14:solidFill>
              <w14:schemeClr w14:val="tx1"/>
            </w14:solidFill>
          </w14:textFill>
        </w:rPr>
        <w:t>高影响天气预警</w:t>
      </w:r>
      <w:r>
        <w:rPr>
          <w:rFonts w:hint="eastAsia" w:ascii="仿宋_GB2312" w:eastAsia="仿宋_GB2312"/>
          <w:b/>
          <w:color w:val="000000" w:themeColor="text1"/>
          <w:lang w:eastAsia="zh-CN"/>
          <w14:textFill>
            <w14:solidFill>
              <w14:schemeClr w14:val="tx1"/>
            </w14:solidFill>
          </w14:textFill>
        </w:rPr>
        <w:t>、</w:t>
      </w:r>
      <w:r>
        <w:rPr>
          <w:rFonts w:hint="eastAsia" w:ascii="仿宋_GB2312" w:eastAsia="仿宋_GB2312"/>
          <w:b/>
          <w:color w:val="000000" w:themeColor="text1"/>
          <w14:textFill>
            <w14:solidFill>
              <w14:schemeClr w14:val="tx1"/>
            </w14:solidFill>
          </w14:textFill>
        </w:rPr>
        <w:t>安装特殊需求</w:t>
      </w:r>
      <w:r>
        <w:rPr>
          <w:rFonts w:hint="eastAsia" w:ascii="仿宋_GB2312" w:eastAsia="仿宋_GB2312"/>
          <w:b/>
          <w:color w:val="000000" w:themeColor="text1"/>
          <w:lang w:eastAsia="zh-CN"/>
          <w14:textFill>
            <w14:solidFill>
              <w14:schemeClr w14:val="tx1"/>
            </w14:solidFill>
          </w14:textFill>
        </w:rPr>
        <w:t>、雷电监测与预警、强对流天气预警等</w:t>
      </w:r>
      <w:r>
        <w:rPr>
          <w:rFonts w:hint="eastAsia" w:ascii="仿宋_GB2312" w:eastAsia="仿宋_GB2312"/>
          <w:color w:val="000000" w:themeColor="text1"/>
          <w14:textFill>
            <w14:solidFill>
              <w14:schemeClr w14:val="tx1"/>
            </w14:solidFill>
          </w14:textFill>
        </w:rPr>
        <w:t>。</w:t>
      </w:r>
    </w:p>
    <w:p w14:paraId="55391FDA">
      <w:pPr>
        <w:pStyle w:val="15"/>
        <w:spacing w:line="560" w:lineRule="exact"/>
        <w:ind w:firstLine="643" w:firstLineChars="200"/>
        <w:rPr>
          <w:rFonts w:hint="eastAsia" w:ascii="仿宋_GB2312" w:eastAsia="仿宋_GB2312"/>
          <w:b/>
          <w:bCs/>
          <w:color w:val="000000" w:themeColor="text1"/>
          <w:lang w:eastAsia="zh-CN"/>
          <w14:textFill>
            <w14:solidFill>
              <w14:schemeClr w14:val="tx1"/>
            </w14:solidFill>
          </w14:textFill>
        </w:rPr>
      </w:pPr>
      <w:r>
        <w:rPr>
          <w:rFonts w:hint="eastAsia" w:ascii="仿宋_GB2312" w:eastAsia="仿宋_GB2312"/>
          <w:b/>
          <w:bCs/>
          <w:color w:val="000000" w:themeColor="text1"/>
          <w:lang w:eastAsia="zh-CN"/>
          <w14:textFill>
            <w14:solidFill>
              <w14:schemeClr w14:val="tx1"/>
            </w14:solidFill>
          </w14:textFill>
        </w:rPr>
        <w:t>选址阶段：</w:t>
      </w:r>
      <w:r>
        <w:rPr>
          <w:rFonts w:hint="eastAsia" w:ascii="仿宋_GB2312" w:eastAsia="仿宋_GB2312"/>
          <w:b w:val="0"/>
          <w:bCs w:val="0"/>
          <w:color w:val="000000" w:themeColor="text1"/>
          <w14:textFill>
            <w14:solidFill>
              <w14:schemeClr w14:val="tx1"/>
            </w14:solidFill>
          </w14:textFill>
        </w:rPr>
        <w:t>提供评估报告</w:t>
      </w:r>
      <w:r>
        <w:rPr>
          <w:rFonts w:hint="eastAsia" w:ascii="仿宋_GB2312" w:eastAsia="仿宋_GB2312"/>
          <w:b w:val="0"/>
          <w:bCs w:val="0"/>
          <w:color w:val="000000" w:themeColor="text1"/>
          <w14:textFill>
            <w14:solidFill>
              <w14:schemeClr w14:val="tx1"/>
            </w14:solidFill>
          </w14:textFill>
        </w:rPr>
        <w:tab/>
      </w:r>
      <w:r>
        <w:rPr>
          <w:rFonts w:hint="eastAsia" w:ascii="仿宋_GB2312" w:eastAsia="仿宋_GB2312"/>
          <w:b w:val="0"/>
          <w:bCs w:val="0"/>
          <w:color w:val="000000" w:themeColor="text1"/>
          <w14:textFill>
            <w14:solidFill>
              <w14:schemeClr w14:val="tx1"/>
            </w14:solidFill>
          </w14:textFill>
        </w:rPr>
        <w:t>即提供国家基本气象站近三年本地风向、风速等历史数据，绘制风玫瑰图，提供自动气象站各类气象数据，分析本地风向风力等气象要素的极值、频率的分布，总结评估风力分布资源概况</w:t>
      </w:r>
      <w:r>
        <w:rPr>
          <w:rFonts w:hint="eastAsia" w:ascii="仿宋_GB2312" w:eastAsia="仿宋_GB2312"/>
          <w:b w:val="0"/>
          <w:bCs w:val="0"/>
          <w:color w:val="000000" w:themeColor="text1"/>
          <w:lang w:eastAsia="zh-CN"/>
          <w14:textFill>
            <w14:solidFill>
              <w14:schemeClr w14:val="tx1"/>
            </w14:solidFill>
          </w14:textFill>
        </w:rPr>
        <w:t>；</w:t>
      </w:r>
      <w:r>
        <w:rPr>
          <w:rFonts w:hint="eastAsia" w:ascii="仿宋_GB2312" w:eastAsia="仿宋_GB2312"/>
          <w:color w:val="000000" w:themeColor="text1"/>
          <w14:textFill>
            <w14:solidFill>
              <w14:schemeClr w14:val="tx1"/>
            </w14:solidFill>
          </w14:textFill>
        </w:rPr>
        <w:t>其</w:t>
      </w:r>
      <w:r>
        <w:rPr>
          <w:rFonts w:ascii="仿宋_GB2312" w:eastAsia="仿宋_GB2312"/>
          <w:color w:val="000000" w:themeColor="text1"/>
          <w14:textFill>
            <w14:solidFill>
              <w14:schemeClr w14:val="tx1"/>
            </w14:solidFill>
          </w14:textFill>
        </w:rPr>
        <w:t>服务方式</w:t>
      </w:r>
      <w:r>
        <w:rPr>
          <w:rFonts w:hint="eastAsia" w:ascii="仿宋_GB2312" w:eastAsia="仿宋_GB2312"/>
          <w:color w:val="000000" w:themeColor="text1"/>
          <w14:textFill>
            <w14:solidFill>
              <w14:schemeClr w14:val="tx1"/>
            </w14:solidFill>
          </w14:textFill>
        </w:rPr>
        <w:t>包括</w:t>
      </w:r>
      <w:r>
        <w:rPr>
          <w:rFonts w:ascii="仿宋_GB2312" w:eastAsia="仿宋_GB2312"/>
          <w:color w:val="000000" w:themeColor="text1"/>
          <w14:textFill>
            <w14:solidFill>
              <w14:schemeClr w14:val="tx1"/>
            </w14:solidFill>
          </w14:textFill>
        </w:rPr>
        <w:t>：</w:t>
      </w:r>
      <w:r>
        <w:rPr>
          <w:rFonts w:hint="eastAsia" w:ascii="仿宋_GB2312" w:eastAsia="仿宋_GB2312"/>
          <w:b w:val="0"/>
          <w:bCs w:val="0"/>
          <w:color w:val="000000" w:themeColor="text1"/>
          <w14:textFill>
            <w14:solidFill>
              <w14:schemeClr w14:val="tx1"/>
            </w14:solidFill>
          </w14:textFill>
        </w:rPr>
        <w:t>电子邮件</w:t>
      </w:r>
      <w:r>
        <w:rPr>
          <w:rFonts w:hint="eastAsia" w:ascii="仿宋_GB2312" w:eastAsia="仿宋_GB2312"/>
          <w:b w:val="0"/>
          <w:bCs w:val="0"/>
          <w:color w:val="000000" w:themeColor="text1"/>
          <w:lang w:eastAsia="zh-CN"/>
          <w14:textFill>
            <w14:solidFill>
              <w14:schemeClr w14:val="tx1"/>
            </w14:solidFill>
          </w14:textFill>
        </w:rPr>
        <w:t>。</w:t>
      </w:r>
    </w:p>
    <w:p w14:paraId="06E67B90">
      <w:pPr>
        <w:pStyle w:val="15"/>
        <w:spacing w:line="560" w:lineRule="exact"/>
        <w:ind w:firstLine="643" w:firstLineChars="200"/>
        <w:rPr>
          <w:rFonts w:ascii="仿宋_GB2312" w:eastAsia="仿宋_GB2312"/>
          <w:color w:val="000000" w:themeColor="text1"/>
          <w14:textFill>
            <w14:solidFill>
              <w14:schemeClr w14:val="tx1"/>
            </w14:solidFill>
          </w14:textFill>
        </w:rPr>
      </w:pPr>
      <w:r>
        <w:rPr>
          <w:rFonts w:hint="eastAsia" w:ascii="仿宋_GB2312" w:eastAsia="仿宋_GB2312"/>
          <w:b/>
          <w:bCs/>
          <w:color w:val="000000" w:themeColor="text1"/>
          <w:lang w:eastAsia="zh-CN"/>
          <w14:textFill>
            <w14:solidFill>
              <w14:schemeClr w14:val="tx1"/>
            </w14:solidFill>
          </w14:textFill>
        </w:rPr>
        <w:t>土建施工阶段及风机吊装阶段</w:t>
      </w:r>
      <w:r>
        <w:rPr>
          <w:rFonts w:hint="eastAsia" w:ascii="仿宋_GB2312" w:eastAsia="仿宋_GB2312"/>
          <w:color w:val="000000" w:themeColor="text1"/>
          <w:lang w:eastAsia="zh-CN"/>
          <w14:textFill>
            <w14:solidFill>
              <w14:schemeClr w14:val="tx1"/>
            </w14:solidFill>
          </w14:textFill>
        </w:rPr>
        <w:t>：</w:t>
      </w:r>
      <w:r>
        <w:rPr>
          <w:rFonts w:hint="eastAsia" w:ascii="仿宋_GB2312" w:eastAsia="仿宋_GB2312"/>
          <w:b/>
          <w:bCs/>
          <w:color w:val="000000" w:themeColor="text1"/>
          <w14:textFill>
            <w14:solidFill>
              <w14:schemeClr w14:val="tx1"/>
            </w14:solidFill>
          </w14:textFill>
        </w:rPr>
        <w:t>短时临近天气预报</w:t>
      </w:r>
      <w:r>
        <w:rPr>
          <w:rFonts w:hint="eastAsia" w:ascii="仿宋_GB2312" w:eastAsia="仿宋_GB2312"/>
          <w:color w:val="000000" w:themeColor="text1"/>
          <w14:textFill>
            <w14:solidFill>
              <w14:schemeClr w14:val="tx1"/>
            </w14:solidFill>
          </w14:textFill>
        </w:rPr>
        <w:t>即提供短时大风、突发降水等气象要素的数值预报产品；</w:t>
      </w:r>
      <w:r>
        <w:rPr>
          <w:rFonts w:hint="eastAsia" w:ascii="仿宋_GB2312" w:eastAsia="仿宋_GB2312"/>
          <w:b/>
          <w:bCs/>
          <w:color w:val="000000" w:themeColor="text1"/>
          <w14:textFill>
            <w14:solidFill>
              <w14:schemeClr w14:val="tx1"/>
            </w14:solidFill>
          </w14:textFill>
        </w:rPr>
        <w:t>短期临近天气预报</w:t>
      </w:r>
      <w:r>
        <w:rPr>
          <w:rFonts w:hint="eastAsia" w:ascii="仿宋_GB2312" w:eastAsia="仿宋_GB2312"/>
          <w:color w:val="000000" w:themeColor="text1"/>
          <w14:textFill>
            <w14:solidFill>
              <w14:schemeClr w14:val="tx1"/>
            </w14:solidFill>
          </w14:textFill>
        </w:rPr>
        <w:t>即提供3 d内逐日预报，10 d趋势预报等</w:t>
      </w:r>
      <w:r>
        <w:rPr>
          <w:rFonts w:hint="eastAsia" w:ascii="仿宋_GB2312" w:eastAsia="仿宋_GB2312"/>
          <w:color w:val="000000" w:themeColor="text1"/>
          <w:lang w:eastAsia="zh-CN"/>
          <w14:textFill>
            <w14:solidFill>
              <w14:schemeClr w14:val="tx1"/>
            </w14:solidFill>
          </w14:textFill>
        </w:rPr>
        <w:t>；</w:t>
      </w:r>
      <w:r>
        <w:rPr>
          <w:rFonts w:hint="eastAsia" w:ascii="仿宋_GB2312" w:eastAsia="仿宋_GB2312"/>
          <w:color w:val="000000" w:themeColor="text1"/>
          <w14:textFill>
            <w14:solidFill>
              <w14:schemeClr w14:val="tx1"/>
            </w14:solidFill>
          </w14:textFill>
        </w:rPr>
        <w:t>其</w:t>
      </w:r>
      <w:r>
        <w:rPr>
          <w:rFonts w:ascii="仿宋_GB2312" w:eastAsia="仿宋_GB2312"/>
          <w:color w:val="000000" w:themeColor="text1"/>
          <w14:textFill>
            <w14:solidFill>
              <w14:schemeClr w14:val="tx1"/>
            </w14:solidFill>
          </w14:textFill>
        </w:rPr>
        <w:t>服务方式</w:t>
      </w:r>
      <w:r>
        <w:rPr>
          <w:rFonts w:hint="eastAsia" w:ascii="仿宋_GB2312" w:eastAsia="仿宋_GB2312"/>
          <w:color w:val="000000" w:themeColor="text1"/>
          <w14:textFill>
            <w14:solidFill>
              <w14:schemeClr w14:val="tx1"/>
            </w14:solidFill>
          </w14:textFill>
        </w:rPr>
        <w:t>包括</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专业服务网站、即时通讯软件、电子邮件、传真、短信等</w:t>
      </w:r>
      <w:r>
        <w:rPr>
          <w:rFonts w:hint="eastAsia" w:ascii="仿宋_GB2312" w:eastAsia="仿宋_GB2312"/>
          <w:color w:val="000000" w:themeColor="text1"/>
          <w:lang w:eastAsia="zh-CN"/>
          <w14:textFill>
            <w14:solidFill>
              <w14:schemeClr w14:val="tx1"/>
            </w14:solidFill>
          </w14:textFill>
        </w:rPr>
        <w:t>。</w:t>
      </w:r>
      <w:r>
        <w:rPr>
          <w:rFonts w:hint="eastAsia" w:ascii="仿宋_GB2312" w:eastAsia="仿宋_GB2312"/>
          <w:b/>
          <w:bCs/>
          <w:color w:val="000000" w:themeColor="text1"/>
          <w14:textFill>
            <w14:solidFill>
              <w14:schemeClr w14:val="tx1"/>
            </w14:solidFill>
          </w14:textFill>
        </w:rPr>
        <w:t>实况</w:t>
      </w:r>
      <w:r>
        <w:rPr>
          <w:rFonts w:hint="eastAsia" w:ascii="仿宋_GB2312" w:eastAsia="仿宋_GB2312"/>
          <w:b/>
          <w:bCs/>
          <w:color w:val="000000" w:themeColor="text1"/>
          <w:lang w:eastAsia="zh-CN"/>
          <w14:textFill>
            <w14:solidFill>
              <w14:schemeClr w14:val="tx1"/>
            </w14:solidFill>
          </w14:textFill>
        </w:rPr>
        <w:t>监测</w:t>
      </w:r>
      <w:r>
        <w:rPr>
          <w:rFonts w:hint="eastAsia" w:ascii="仿宋_GB2312" w:eastAsia="仿宋_GB2312"/>
          <w:color w:val="000000" w:themeColor="text1"/>
          <w14:textFill>
            <w14:solidFill>
              <w14:schemeClr w14:val="tx1"/>
            </w14:solidFill>
          </w14:textFill>
        </w:rPr>
        <w:t>即实时的天气观测数据，</w:t>
      </w:r>
      <w:r>
        <w:rPr>
          <w:rFonts w:ascii="仿宋_GB2312" w:eastAsia="仿宋_GB2312"/>
          <w:color w:val="000000" w:themeColor="text1"/>
          <w14:textFill>
            <w14:solidFill>
              <w14:schemeClr w14:val="tx1"/>
            </w14:solidFill>
          </w14:textFill>
        </w:rPr>
        <w:t>明确</w:t>
      </w:r>
      <w:r>
        <w:rPr>
          <w:rFonts w:hint="eastAsia" w:ascii="仿宋_GB2312" w:eastAsia="仿宋_GB2312"/>
          <w:b w:val="0"/>
          <w:bCs/>
          <w:color w:val="000000" w:themeColor="text1"/>
          <w14:textFill>
            <w14:solidFill>
              <w14:schemeClr w14:val="tx1"/>
            </w14:solidFill>
          </w14:textFill>
        </w:rPr>
        <w:t>实况</w:t>
      </w:r>
      <w:r>
        <w:rPr>
          <w:rFonts w:hint="eastAsia" w:ascii="仿宋_GB2312" w:eastAsia="仿宋_GB2312"/>
          <w:b w:val="0"/>
          <w:bCs/>
          <w:color w:val="000000" w:themeColor="text1"/>
          <w:lang w:eastAsia="zh-CN"/>
          <w14:textFill>
            <w14:solidFill>
              <w14:schemeClr w14:val="tx1"/>
            </w14:solidFill>
          </w14:textFill>
        </w:rPr>
        <w:t>监测</w:t>
      </w:r>
      <w:r>
        <w:rPr>
          <w:rFonts w:hint="eastAsia" w:ascii="仿宋_GB2312" w:eastAsia="仿宋_GB2312"/>
          <w:color w:val="000000" w:themeColor="text1"/>
          <w14:textFill>
            <w14:solidFill>
              <w14:schemeClr w14:val="tx1"/>
            </w14:solidFill>
          </w14:textFill>
        </w:rPr>
        <w:t>的</w:t>
      </w:r>
      <w:r>
        <w:rPr>
          <w:rFonts w:ascii="仿宋_GB2312" w:eastAsia="仿宋_GB2312"/>
          <w:color w:val="000000" w:themeColor="text1"/>
          <w14:textFill>
            <w14:solidFill>
              <w14:schemeClr w14:val="tx1"/>
            </w14:solidFill>
          </w14:textFill>
        </w:rPr>
        <w:t>服务要求为：</w:t>
      </w:r>
      <w:r>
        <w:rPr>
          <w:rFonts w:hint="eastAsia" w:ascii="仿宋_GB2312" w:eastAsia="仿宋_GB2312"/>
          <w:color w:val="000000" w:themeColor="text1"/>
          <w14:textFill>
            <w14:solidFill>
              <w14:schemeClr w14:val="tx1"/>
            </w14:solidFill>
          </w14:textFill>
        </w:rPr>
        <w:t>提供</w:t>
      </w:r>
      <w:r>
        <w:rPr>
          <w:rFonts w:hint="eastAsia" w:ascii="仿宋_GB2312" w:eastAsia="仿宋_GB2312"/>
          <w:color w:val="000000" w:themeColor="text1"/>
          <w:lang w:eastAsia="zh-CN"/>
          <w14:textFill>
            <w14:solidFill>
              <w14:schemeClr w14:val="tx1"/>
            </w14:solidFill>
          </w14:textFill>
        </w:rPr>
        <w:t>安装</w:t>
      </w:r>
      <w:r>
        <w:rPr>
          <w:rFonts w:hint="eastAsia" w:ascii="仿宋_GB2312" w:eastAsia="仿宋_GB2312"/>
          <w:color w:val="000000" w:themeColor="text1"/>
          <w14:textFill>
            <w14:solidFill>
              <w14:schemeClr w14:val="tx1"/>
            </w14:solidFill>
          </w14:textFill>
        </w:rPr>
        <w:t>区域的实时观测产品，包括降雨量、风向风速、气温、能见度等天气要素；其</w:t>
      </w:r>
      <w:r>
        <w:rPr>
          <w:rFonts w:ascii="仿宋_GB2312" w:eastAsia="仿宋_GB2312"/>
          <w:color w:val="000000" w:themeColor="text1"/>
          <w14:textFill>
            <w14:solidFill>
              <w14:schemeClr w14:val="tx1"/>
            </w14:solidFill>
          </w14:textFill>
        </w:rPr>
        <w:t>服务方式</w:t>
      </w:r>
      <w:r>
        <w:rPr>
          <w:rFonts w:hint="eastAsia" w:ascii="仿宋_GB2312" w:eastAsia="仿宋_GB2312"/>
          <w:color w:val="000000" w:themeColor="text1"/>
          <w14:textFill>
            <w14:solidFill>
              <w14:schemeClr w14:val="tx1"/>
            </w14:solidFill>
          </w14:textFill>
        </w:rPr>
        <w:t>包括</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专业服务网站、即时通讯软件、电子邮件、传真、短信等。习总书记在新中国气象事业70周年大会上强调</w:t>
      </w:r>
      <w:r>
        <w:rPr>
          <w:rFonts w:ascii="仿宋_GB2312" w:eastAsia="仿宋_GB2312"/>
          <w:color w:val="000000" w:themeColor="text1"/>
          <w14:textFill>
            <w14:solidFill>
              <w14:schemeClr w14:val="tx1"/>
            </w14:solidFill>
          </w14:textFill>
        </w:rPr>
        <w:t>要</w:t>
      </w:r>
      <w:r>
        <w:rPr>
          <w:rFonts w:hint="eastAsia" w:ascii="仿宋_GB2312" w:eastAsia="仿宋_GB2312"/>
          <w:color w:val="000000" w:themeColor="text1"/>
          <w14:textFill>
            <w14:solidFill>
              <w14:schemeClr w14:val="tx1"/>
            </w14:solidFill>
          </w14:textFill>
        </w:rPr>
        <w:t>做到监测精密、预报精准、服务精细，推动气象事业高质量发展，提高气象服务保障能力。《气象高质量发展纲要（2022—2035年）》</w:t>
      </w:r>
      <w:r>
        <w:rPr>
          <w:rFonts w:ascii="仿宋_GB2312" w:eastAsia="仿宋_GB2312"/>
          <w:color w:val="000000" w:themeColor="text1"/>
          <w14:textFill>
            <w14:solidFill>
              <w14:schemeClr w14:val="tx1"/>
            </w14:solidFill>
          </w14:textFill>
        </w:rPr>
        <w:t>明确</w:t>
      </w:r>
      <w:r>
        <w:rPr>
          <w:rFonts w:hint="eastAsia" w:ascii="仿宋_GB2312" w:eastAsia="仿宋_GB2312"/>
          <w:color w:val="000000" w:themeColor="text1"/>
          <w14:textFill>
            <w14:solidFill>
              <w14:schemeClr w14:val="tx1"/>
            </w14:solidFill>
          </w14:textFill>
        </w:rPr>
        <w:t>要构建精准气象预报系统。</w:t>
      </w:r>
      <w:r>
        <w:rPr>
          <w:rFonts w:ascii="仿宋_GB2312" w:eastAsia="仿宋_GB2312"/>
          <w:color w:val="000000" w:themeColor="text1"/>
          <w14:textFill>
            <w14:solidFill>
              <w14:schemeClr w14:val="tx1"/>
            </w14:solidFill>
          </w14:textFill>
        </w:rPr>
        <w:t>为</w:t>
      </w:r>
      <w:r>
        <w:rPr>
          <w:rFonts w:hint="eastAsia" w:ascii="仿宋_GB2312" w:eastAsia="仿宋_GB2312"/>
          <w:color w:val="000000" w:themeColor="text1"/>
          <w14:textFill>
            <w14:solidFill>
              <w14:schemeClr w14:val="tx1"/>
            </w14:solidFill>
          </w14:textFill>
        </w:rPr>
        <w:t>响应国家重要</w:t>
      </w:r>
      <w:r>
        <w:rPr>
          <w:rFonts w:ascii="仿宋_GB2312" w:eastAsia="仿宋_GB2312"/>
          <w:color w:val="000000" w:themeColor="text1"/>
          <w14:textFill>
            <w14:solidFill>
              <w14:schemeClr w14:val="tx1"/>
            </w14:solidFill>
          </w14:textFill>
        </w:rPr>
        <w:t>指示要求，</w:t>
      </w:r>
      <w:r>
        <w:rPr>
          <w:rFonts w:hint="eastAsia" w:ascii="仿宋_GB2312" w:eastAsia="仿宋_GB2312"/>
          <w:color w:val="000000" w:themeColor="text1"/>
          <w14:textFill>
            <w14:solidFill>
              <w14:schemeClr w14:val="tx1"/>
            </w14:solidFill>
          </w14:textFill>
        </w:rPr>
        <w:t>给出了</w:t>
      </w:r>
      <w:r>
        <w:rPr>
          <w:rFonts w:hint="eastAsia" w:ascii="仿宋_GB2312" w:eastAsia="仿宋_GB2312"/>
          <w:b/>
          <w:color w:val="000000" w:themeColor="text1"/>
          <w14:textFill>
            <w14:solidFill>
              <w14:schemeClr w14:val="tx1"/>
            </w14:solidFill>
          </w14:textFill>
        </w:rPr>
        <w:t>精细化天气</w:t>
      </w:r>
      <w:r>
        <w:rPr>
          <w:rFonts w:ascii="仿宋_GB2312" w:eastAsia="仿宋_GB2312"/>
          <w:b/>
          <w:color w:val="000000" w:themeColor="text1"/>
          <w14:textFill>
            <w14:solidFill>
              <w14:schemeClr w14:val="tx1"/>
            </w14:solidFill>
          </w14:textFill>
        </w:rPr>
        <w:t>预报</w:t>
      </w:r>
      <w:r>
        <w:rPr>
          <w:rFonts w:hint="eastAsia" w:ascii="仿宋_GB2312" w:eastAsia="仿宋_GB2312"/>
          <w:b/>
          <w:color w:val="000000" w:themeColor="text1"/>
          <w:lang w:eastAsia="zh-CN"/>
          <w14:textFill>
            <w14:solidFill>
              <w14:schemeClr w14:val="tx1"/>
            </w14:solidFill>
          </w14:textFill>
        </w:rPr>
        <w:t>即高影响天气预报、高影响天气预警</w:t>
      </w:r>
      <w:r>
        <w:rPr>
          <w:rFonts w:hint="eastAsia" w:ascii="仿宋_GB2312" w:eastAsia="仿宋_GB2312"/>
          <w:color w:val="000000" w:themeColor="text1"/>
          <w14:textFill>
            <w14:solidFill>
              <w14:schemeClr w14:val="tx1"/>
            </w14:solidFill>
          </w14:textFill>
        </w:rPr>
        <w:t>的</w:t>
      </w:r>
      <w:r>
        <w:rPr>
          <w:rFonts w:ascii="仿宋_GB2312" w:eastAsia="仿宋_GB2312"/>
          <w:color w:val="000000" w:themeColor="text1"/>
          <w14:textFill>
            <w14:solidFill>
              <w14:schemeClr w14:val="tx1"/>
            </w14:solidFill>
          </w14:textFill>
        </w:rPr>
        <w:t>服务要求</w:t>
      </w:r>
      <w:r>
        <w:rPr>
          <w:rFonts w:hint="eastAsia" w:ascii="仿宋_GB2312" w:eastAsia="仿宋_GB2312"/>
          <w:color w:val="000000" w:themeColor="text1"/>
          <w14:textFill>
            <w14:solidFill>
              <w14:schemeClr w14:val="tx1"/>
            </w14:solidFill>
          </w14:textFill>
        </w:rPr>
        <w:t>，</w:t>
      </w:r>
      <w:r>
        <w:rPr>
          <w:rFonts w:ascii="仿宋_GB2312" w:eastAsia="仿宋_GB2312"/>
          <w:color w:val="000000" w:themeColor="text1"/>
          <w14:textFill>
            <w14:solidFill>
              <w14:schemeClr w14:val="tx1"/>
            </w14:solidFill>
          </w14:textFill>
        </w:rPr>
        <w:t>明确</w:t>
      </w:r>
      <w:r>
        <w:rPr>
          <w:rFonts w:hint="eastAsia" w:ascii="仿宋_GB2312" w:eastAsia="仿宋_GB2312"/>
          <w:color w:val="000000" w:themeColor="text1"/>
          <w14:textFill>
            <w14:solidFill>
              <w14:schemeClr w14:val="tx1"/>
            </w14:solidFill>
          </w14:textFill>
        </w:rPr>
        <w:t>了高影响天气预报</w:t>
      </w:r>
      <w:r>
        <w:rPr>
          <w:rFonts w:hint="eastAsia" w:ascii="仿宋_GB2312" w:eastAsia="仿宋_GB2312"/>
          <w:color w:val="000000" w:themeColor="text1"/>
          <w:lang w:eastAsia="zh-CN"/>
          <w14:textFill>
            <w14:solidFill>
              <w14:schemeClr w14:val="tx1"/>
            </w14:solidFill>
          </w14:textFill>
        </w:rPr>
        <w:t>要</w:t>
      </w:r>
      <w:r>
        <w:rPr>
          <w:rFonts w:hint="eastAsia" w:ascii="仿宋_GB2312" w:eastAsia="仿宋_GB2312"/>
          <w:color w:val="000000" w:themeColor="text1"/>
          <w14:textFill>
            <w14:solidFill>
              <w14:schemeClr w14:val="tx1"/>
            </w14:solidFill>
          </w14:textFill>
        </w:rPr>
        <w:t>提供24 h内逐3 h气象要素预报，短时临近预报、24 h内逐1 h预报等</w:t>
      </w:r>
      <w:r>
        <w:rPr>
          <w:rFonts w:hint="eastAsia" w:ascii="仿宋_GB2312" w:eastAsia="仿宋_GB2312"/>
          <w:color w:val="000000" w:themeColor="text1"/>
          <w:lang w:eastAsia="zh-CN"/>
          <w14:textFill>
            <w14:solidFill>
              <w14:schemeClr w14:val="tx1"/>
            </w14:solidFill>
          </w14:textFill>
        </w:rPr>
        <w:t>，</w:t>
      </w:r>
      <w:r>
        <w:rPr>
          <w:rFonts w:ascii="仿宋_GB2312" w:eastAsia="仿宋_GB2312"/>
          <w:color w:val="000000" w:themeColor="text1"/>
          <w14:textFill>
            <w14:solidFill>
              <w14:schemeClr w14:val="tx1"/>
            </w14:solidFill>
          </w14:textFill>
        </w:rPr>
        <w:t>服务方式</w:t>
      </w:r>
      <w:r>
        <w:rPr>
          <w:rFonts w:hint="eastAsia" w:ascii="仿宋_GB2312" w:eastAsia="仿宋_GB2312"/>
          <w:color w:val="000000" w:themeColor="text1"/>
          <w14:textFill>
            <w14:solidFill>
              <w14:schemeClr w14:val="tx1"/>
            </w14:solidFill>
          </w14:textFill>
        </w:rPr>
        <w:t>包括</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专人提供跟踪服务。高影响天气预警</w:t>
      </w:r>
      <w:r>
        <w:rPr>
          <w:rFonts w:hint="eastAsia" w:ascii="仿宋_GB2312" w:eastAsia="仿宋_GB2312"/>
          <w:color w:val="000000" w:themeColor="text1"/>
          <w:lang w:eastAsia="zh-CN"/>
          <w14:textFill>
            <w14:solidFill>
              <w14:schemeClr w14:val="tx1"/>
            </w14:solidFill>
          </w14:textFill>
        </w:rPr>
        <w:t>要</w:t>
      </w:r>
      <w:r>
        <w:rPr>
          <w:rFonts w:hint="eastAsia" w:ascii="仿宋_GB2312" w:eastAsia="仿宋_GB2312"/>
          <w:color w:val="000000" w:themeColor="text1"/>
          <w14:textFill>
            <w14:solidFill>
              <w14:schemeClr w14:val="tx1"/>
            </w14:solidFill>
          </w14:textFill>
        </w:rPr>
        <w:t>提供大风、暴雨、雷电、能见度等的预警；安装特殊需求</w:t>
      </w:r>
      <w:r>
        <w:rPr>
          <w:rFonts w:hint="eastAsia" w:ascii="仿宋_GB2312" w:eastAsia="仿宋_GB2312"/>
          <w:color w:val="000000" w:themeColor="text1"/>
          <w:lang w:eastAsia="zh-CN"/>
          <w14:textFill>
            <w14:solidFill>
              <w14:schemeClr w14:val="tx1"/>
            </w14:solidFill>
          </w14:textFill>
        </w:rPr>
        <w:t>包括</w:t>
      </w:r>
      <w:r>
        <w:rPr>
          <w:rFonts w:hint="eastAsia" w:ascii="仿宋_GB2312" w:eastAsia="仿宋_GB2312"/>
          <w:color w:val="000000" w:themeColor="text1"/>
          <w14:textFill>
            <w14:solidFill>
              <w14:schemeClr w14:val="tx1"/>
            </w14:solidFill>
          </w14:textFill>
        </w:rPr>
        <w:t>提供精细化的温度、湿度、降水监测实况信息，及时应对安装地点周边6级及以上大风等重大天气</w:t>
      </w:r>
      <w:r>
        <w:rPr>
          <w:rFonts w:hint="eastAsia" w:ascii="仿宋_GB2312" w:eastAsia="仿宋_GB2312"/>
          <w:color w:val="000000" w:themeColor="text1"/>
          <w:lang w:eastAsia="zh-CN"/>
          <w14:textFill>
            <w14:solidFill>
              <w14:schemeClr w14:val="tx1"/>
            </w14:solidFill>
          </w14:textFill>
        </w:rPr>
        <w:t>；</w:t>
      </w:r>
      <w:r>
        <w:rPr>
          <w:rFonts w:hint="eastAsia" w:ascii="仿宋_GB2312" w:eastAsia="仿宋_GB2312"/>
          <w:color w:val="000000" w:themeColor="text1"/>
          <w14:textFill>
            <w14:solidFill>
              <w14:schemeClr w14:val="tx1"/>
            </w14:solidFill>
          </w14:textFill>
        </w:rPr>
        <w:t>其</w:t>
      </w:r>
      <w:r>
        <w:rPr>
          <w:rFonts w:ascii="仿宋_GB2312" w:eastAsia="仿宋_GB2312"/>
          <w:color w:val="000000" w:themeColor="text1"/>
          <w14:textFill>
            <w14:solidFill>
              <w14:schemeClr w14:val="tx1"/>
            </w14:solidFill>
          </w14:textFill>
        </w:rPr>
        <w:t>服务方式</w:t>
      </w:r>
      <w:r>
        <w:rPr>
          <w:rFonts w:hint="eastAsia" w:ascii="仿宋_GB2312" w:eastAsia="仿宋_GB2312"/>
          <w:color w:val="000000" w:themeColor="text1"/>
          <w14:textFill>
            <w14:solidFill>
              <w14:schemeClr w14:val="tx1"/>
            </w14:solidFill>
          </w14:textFill>
        </w:rPr>
        <w:t>包括</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专业服务网站、即时通讯软件、电子邮件、短信、传真、电话等。</w:t>
      </w:r>
    </w:p>
    <w:p w14:paraId="3C5517E5">
      <w:pPr>
        <w:pStyle w:val="15"/>
        <w:spacing w:after="0" w:line="240" w:lineRule="auto"/>
        <w:jc w:val="center"/>
        <w:rPr>
          <w:rFonts w:ascii="仿宋_GB2312" w:eastAsia="仿宋_GB2312"/>
        </w:rPr>
      </w:pPr>
      <w:r>
        <w:rPr>
          <w:rFonts w:hint="eastAsia" w:ascii="仿宋_GB2312" w:eastAsia="仿宋_GB2312"/>
        </w:rPr>
        <w:drawing>
          <wp:inline distT="0" distB="0" distL="0" distR="0">
            <wp:extent cx="5276850" cy="1171575"/>
            <wp:effectExtent l="19050" t="19050" r="19050" b="28575"/>
            <wp:docPr id="9" name="图片 9" descr="C:\Users\Administrator\Desktop\微信截图_20240626181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esktop\微信截图_20240626181319.png"/>
                    <pic:cNvPicPr>
                      <a:picLocks noChangeAspect="1" noChangeArrowheads="1"/>
                    </pic:cNvPicPr>
                  </pic:nvPicPr>
                  <pic:blipFill>
                    <a:blip r:embed="rId6">
                      <a:extLst>
                        <a:ext uri="{28A0092B-C50C-407E-A947-70E740481C1C}">
                          <a14:useLocalDpi xmlns:a14="http://schemas.microsoft.com/office/drawing/2010/main" val="0"/>
                        </a:ext>
                      </a:extLst>
                    </a:blip>
                    <a:srcRect b="73830"/>
                    <a:stretch>
                      <a:fillRect/>
                    </a:stretch>
                  </pic:blipFill>
                  <pic:spPr>
                    <a:xfrm>
                      <a:off x="0" y="0"/>
                      <a:ext cx="5276850" cy="1171575"/>
                    </a:xfrm>
                    <a:prstGeom prst="rect">
                      <a:avLst/>
                    </a:prstGeom>
                    <a:noFill/>
                    <a:ln>
                      <a:solidFill>
                        <a:schemeClr val="tx1"/>
                      </a:solidFill>
                    </a:ln>
                  </pic:spPr>
                </pic:pic>
              </a:graphicData>
            </a:graphic>
          </wp:inline>
        </w:drawing>
      </w:r>
    </w:p>
    <w:p w14:paraId="442C6EE6">
      <w:pPr>
        <w:pStyle w:val="15"/>
        <w:spacing w:after="0" w:line="240" w:lineRule="auto"/>
        <w:jc w:val="center"/>
        <w:rPr>
          <w:rFonts w:ascii="仿宋_GB2312" w:eastAsia="仿宋_GB2312"/>
        </w:rPr>
      </w:pPr>
      <w:r>
        <w:rPr>
          <w:rFonts w:ascii="仿宋_GB2312" w:eastAsia="仿宋_GB2312"/>
        </w:rPr>
        <w:drawing>
          <wp:inline distT="0" distB="0" distL="0" distR="0">
            <wp:extent cx="5276850" cy="1190625"/>
            <wp:effectExtent l="19050" t="19050" r="19050" b="28575"/>
            <wp:docPr id="10" name="图片 10" descr="C:\Users\Administrator\Desktop\微信截图_20240626181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Administrator\Desktop\微信截图_20240626181319.png"/>
                    <pic:cNvPicPr>
                      <a:picLocks noChangeAspect="1" noChangeArrowheads="1"/>
                    </pic:cNvPicPr>
                  </pic:nvPicPr>
                  <pic:blipFill>
                    <a:blip r:embed="rId6">
                      <a:extLst>
                        <a:ext uri="{28A0092B-C50C-407E-A947-70E740481C1C}">
                          <a14:useLocalDpi xmlns:a14="http://schemas.microsoft.com/office/drawing/2010/main" val="0"/>
                        </a:ext>
                      </a:extLst>
                    </a:blip>
                    <a:srcRect t="73404"/>
                    <a:stretch>
                      <a:fillRect/>
                    </a:stretch>
                  </pic:blipFill>
                  <pic:spPr>
                    <a:xfrm>
                      <a:off x="0" y="0"/>
                      <a:ext cx="5276850" cy="1190625"/>
                    </a:xfrm>
                    <a:prstGeom prst="rect">
                      <a:avLst/>
                    </a:prstGeom>
                    <a:noFill/>
                    <a:ln>
                      <a:solidFill>
                        <a:schemeClr val="tx1"/>
                      </a:solidFill>
                    </a:ln>
                  </pic:spPr>
                </pic:pic>
              </a:graphicData>
            </a:graphic>
          </wp:inline>
        </w:drawing>
      </w:r>
    </w:p>
    <w:p w14:paraId="0295CF01">
      <w:pPr>
        <w:pStyle w:val="15"/>
        <w:spacing w:after="0" w:line="240" w:lineRule="auto"/>
        <w:ind w:firstLine="420" w:firstLineChars="200"/>
        <w:jc w:val="center"/>
        <w:rPr>
          <w:rFonts w:ascii="黑体" w:hAnsi="黑体" w:eastAsia="黑体" w:cs="仿宋_GB2312"/>
          <w:sz w:val="21"/>
          <w:szCs w:val="21"/>
        </w:rPr>
      </w:pPr>
      <w:r>
        <w:rPr>
          <w:rFonts w:hint="eastAsia" w:ascii="黑体" w:hAnsi="黑体" w:eastAsia="黑体" w:cs="仿宋_GB2312"/>
          <w:sz w:val="21"/>
          <w:szCs w:val="21"/>
        </w:rPr>
        <w:t>来源</w:t>
      </w:r>
      <w:r>
        <w:rPr>
          <w:rFonts w:ascii="黑体" w:hAnsi="黑体" w:eastAsia="黑体" w:cs="仿宋_GB2312"/>
          <w:sz w:val="21"/>
          <w:szCs w:val="21"/>
        </w:rPr>
        <w:t>：</w:t>
      </w:r>
      <w:r>
        <w:rPr>
          <w:rFonts w:hint="eastAsia" w:ascii="黑体" w:hAnsi="黑体" w:eastAsia="黑体" w:cs="仿宋_GB2312"/>
          <w:sz w:val="21"/>
          <w:szCs w:val="21"/>
        </w:rPr>
        <w:t>《气象高质量发展纲要（2022—2035年）》</w:t>
      </w:r>
    </w:p>
    <w:p w14:paraId="3507D6CF">
      <w:pPr>
        <w:pStyle w:val="15"/>
        <w:spacing w:line="560" w:lineRule="exact"/>
        <w:ind w:firstLine="643" w:firstLineChars="200"/>
        <w:rPr>
          <w:rFonts w:ascii="仿宋_GB2312" w:eastAsia="仿宋_GB2312"/>
        </w:rPr>
      </w:pPr>
      <w:r>
        <w:rPr>
          <w:rFonts w:hint="eastAsia" w:ascii="仿宋_GB2312" w:eastAsia="仿宋_GB2312"/>
          <w:b/>
          <w:bCs/>
        </w:rPr>
        <w:t>电气安装与调试阶段</w:t>
      </w:r>
      <w:r>
        <w:rPr>
          <w:rFonts w:hint="eastAsia" w:ascii="仿宋_GB2312" w:eastAsia="仿宋_GB2312"/>
          <w:lang w:eastAsia="zh-CN"/>
        </w:rPr>
        <w:t>：</w:t>
      </w:r>
      <w:r>
        <w:rPr>
          <w:rFonts w:hint="eastAsia" w:ascii="仿宋_GB2312" w:eastAsia="仿宋_GB2312"/>
        </w:rPr>
        <w:t>山区复杂地形导致的局地强风、湍流增加安装难度和风险</w:t>
      </w:r>
      <w:r>
        <w:rPr>
          <w:rFonts w:hint="eastAsia" w:ascii="仿宋_GB2312" w:eastAsia="仿宋_GB2312"/>
          <w:lang w:eastAsia="zh-CN"/>
        </w:rPr>
        <w:t>，如</w:t>
      </w:r>
      <w:r>
        <w:rPr>
          <w:rFonts w:hint="eastAsia" w:ascii="仿宋_GB2312" w:eastAsia="仿宋_GB2312"/>
        </w:rPr>
        <w:t>高温高湿导致电气设备绝缘下降、金属部件腐蚀；暴雨洪涝淹没施工设备、引发内涝</w:t>
      </w:r>
      <w:r>
        <w:rPr>
          <w:rFonts w:hint="eastAsia" w:ascii="仿宋_GB2312" w:eastAsia="仿宋_GB2312"/>
          <w:lang w:eastAsia="zh-CN"/>
        </w:rPr>
        <w:t>；</w:t>
      </w:r>
      <w:r>
        <w:rPr>
          <w:rFonts w:hint="eastAsia" w:ascii="仿宋_GB2312" w:eastAsia="仿宋_GB2312"/>
        </w:rPr>
        <w:t>雷电可能直接击毁设备或产生电涌损坏精密控制系统；台风大风威胁吊装作业安全，易引发塔筒屈曲等事故</w:t>
      </w:r>
      <w:r>
        <w:rPr>
          <w:rFonts w:hint="eastAsia" w:ascii="仿宋_GB2312" w:eastAsia="仿宋_GB2312"/>
          <w:lang w:eastAsia="zh-CN"/>
        </w:rPr>
        <w:t>。</w:t>
      </w:r>
      <w:r>
        <w:rPr>
          <w:rFonts w:hint="eastAsia" w:ascii="仿宋_GB2312" w:eastAsia="仿宋_GB2312"/>
        </w:rPr>
        <w:t>因此，</w:t>
      </w:r>
      <w:r>
        <w:rPr>
          <w:rFonts w:hint="eastAsia" w:ascii="仿宋_GB2312" w:eastAsia="仿宋_GB2312"/>
          <w:lang w:eastAsia="zh-CN"/>
        </w:rPr>
        <w:t>风力发电设施安装</w:t>
      </w:r>
      <w:r>
        <w:rPr>
          <w:rFonts w:hint="eastAsia" w:ascii="仿宋_GB2312" w:eastAsia="仿宋_GB2312"/>
        </w:rPr>
        <w:t>企业等</w:t>
      </w:r>
      <w:r>
        <w:rPr>
          <w:rFonts w:ascii="仿宋_GB2312" w:eastAsia="仿宋_GB2312"/>
        </w:rPr>
        <w:t>用户</w:t>
      </w:r>
      <w:r>
        <w:rPr>
          <w:rFonts w:hint="eastAsia" w:ascii="仿宋_GB2312" w:eastAsia="仿宋_GB2312"/>
          <w:lang w:eastAsia="zh-CN"/>
        </w:rPr>
        <w:t>在</w:t>
      </w:r>
      <w:r>
        <w:rPr>
          <w:rFonts w:hint="eastAsia" w:ascii="仿宋_GB2312" w:eastAsia="仿宋_GB2312"/>
          <w:b w:val="0"/>
          <w:bCs w:val="0"/>
        </w:rPr>
        <w:t>电气安装与调试</w:t>
      </w:r>
      <w:r>
        <w:rPr>
          <w:rFonts w:hint="eastAsia" w:ascii="仿宋_GB2312" w:eastAsia="仿宋_GB2312"/>
          <w:b w:val="0"/>
          <w:bCs w:val="0"/>
          <w:lang w:eastAsia="zh-CN"/>
        </w:rPr>
        <w:t>阶段</w:t>
      </w:r>
      <w:r>
        <w:rPr>
          <w:rFonts w:hint="eastAsia" w:ascii="仿宋_GB2312" w:eastAsia="仿宋_GB2312"/>
        </w:rPr>
        <w:t>对</w:t>
      </w:r>
      <w:r>
        <w:rPr>
          <w:rFonts w:hint="eastAsia" w:ascii="仿宋_GB2312" w:eastAsia="仿宋_GB2312"/>
          <w:lang w:eastAsia="zh-CN"/>
        </w:rPr>
        <w:t>雷电、强对流</w:t>
      </w:r>
      <w:r>
        <w:rPr>
          <w:rFonts w:hint="eastAsia" w:ascii="仿宋_GB2312" w:eastAsia="仿宋_GB2312"/>
        </w:rPr>
        <w:t>天气的实时监测</w:t>
      </w:r>
      <w:r>
        <w:rPr>
          <w:rFonts w:hint="eastAsia" w:ascii="仿宋_GB2312" w:eastAsia="仿宋_GB2312"/>
          <w:lang w:eastAsia="zh-CN"/>
        </w:rPr>
        <w:t>的</w:t>
      </w:r>
      <w:r>
        <w:rPr>
          <w:rFonts w:hint="eastAsia" w:ascii="仿宋_GB2312" w:eastAsia="仿宋_GB2312"/>
        </w:rPr>
        <w:t>提前精准预报预警等气象服务提出了很高要求和迫切需求。此外，座谈</w:t>
      </w:r>
      <w:r>
        <w:rPr>
          <w:rFonts w:ascii="仿宋_GB2312" w:eastAsia="仿宋_GB2312"/>
        </w:rPr>
        <w:t>调研结果</w:t>
      </w:r>
      <w:r>
        <w:rPr>
          <w:rFonts w:hint="eastAsia" w:ascii="仿宋_GB2312" w:eastAsia="仿宋_GB2312"/>
        </w:rPr>
        <w:t>也显示，临近降水以及雷电、短时强降水、雷暴大风等强对流天气是</w:t>
      </w:r>
      <w:r>
        <w:rPr>
          <w:rFonts w:ascii="仿宋_GB2312" w:eastAsia="仿宋_GB2312"/>
        </w:rPr>
        <w:t>影响</w:t>
      </w:r>
      <w:r>
        <w:rPr>
          <w:rFonts w:hint="eastAsia" w:ascii="仿宋_GB2312" w:eastAsia="仿宋_GB2312"/>
          <w:lang w:eastAsia="zh-CN"/>
        </w:rPr>
        <w:t>风力发电设施</w:t>
      </w:r>
      <w:r>
        <w:rPr>
          <w:rFonts w:hint="eastAsia" w:ascii="仿宋_GB2312" w:eastAsia="仿宋_GB2312"/>
          <w:b w:val="0"/>
          <w:bCs w:val="0"/>
        </w:rPr>
        <w:t>电气安装与调试</w:t>
      </w:r>
      <w:r>
        <w:rPr>
          <w:rFonts w:hint="eastAsia" w:ascii="仿宋_GB2312" w:eastAsia="仿宋_GB2312"/>
          <w:b w:val="0"/>
          <w:bCs w:val="0"/>
          <w:lang w:eastAsia="zh-CN"/>
        </w:rPr>
        <w:t>阶段</w:t>
      </w:r>
      <w:r>
        <w:rPr>
          <w:rFonts w:ascii="仿宋_GB2312" w:eastAsia="仿宋_GB2312"/>
        </w:rPr>
        <w:t>极为</w:t>
      </w:r>
      <w:r>
        <w:rPr>
          <w:rFonts w:hint="eastAsia" w:ascii="仿宋_GB2312" w:eastAsia="仿宋_GB2312"/>
        </w:rPr>
        <w:t>关键</w:t>
      </w:r>
      <w:r>
        <w:rPr>
          <w:rFonts w:ascii="仿宋_GB2312" w:eastAsia="仿宋_GB2312"/>
        </w:rPr>
        <w:t>的因素</w:t>
      </w:r>
      <w:r>
        <w:rPr>
          <w:rFonts w:hint="eastAsia" w:ascii="仿宋_GB2312" w:eastAsia="仿宋_GB2312"/>
        </w:rPr>
        <w:t>。针对</w:t>
      </w:r>
      <w:r>
        <w:rPr>
          <w:rFonts w:ascii="仿宋_GB2312" w:eastAsia="仿宋_GB2312"/>
        </w:rPr>
        <w:t>上述</w:t>
      </w:r>
      <w:r>
        <w:rPr>
          <w:rFonts w:hint="eastAsia" w:ascii="仿宋_GB2312" w:eastAsia="仿宋_GB2312"/>
        </w:rPr>
        <w:t>天气</w:t>
      </w:r>
      <w:r>
        <w:rPr>
          <w:rFonts w:ascii="仿宋_GB2312" w:eastAsia="仿宋_GB2312"/>
        </w:rPr>
        <w:t>现象</w:t>
      </w:r>
      <w:r>
        <w:rPr>
          <w:rFonts w:hint="eastAsia" w:ascii="仿宋_GB2312" w:eastAsia="仿宋_GB2312"/>
        </w:rPr>
        <w:t>给出了</w:t>
      </w:r>
      <w:r>
        <w:rPr>
          <w:rFonts w:hint="eastAsia" w:ascii="仿宋_GB2312" w:eastAsia="仿宋_GB2312"/>
          <w:lang w:eastAsia="zh-CN"/>
        </w:rPr>
        <w:t>雷电</w:t>
      </w:r>
      <w:r>
        <w:rPr>
          <w:rFonts w:hint="eastAsia" w:ascii="仿宋_GB2312" w:eastAsia="仿宋_GB2312"/>
        </w:rPr>
        <w:t>预报和</w:t>
      </w:r>
      <w:r>
        <w:rPr>
          <w:rFonts w:hint="eastAsia" w:ascii="仿宋_GB2312" w:eastAsia="仿宋_GB2312"/>
          <w:color w:val="000000" w:themeColor="text1"/>
          <w14:textFill>
            <w14:solidFill>
              <w14:schemeClr w14:val="tx1"/>
            </w14:solidFill>
          </w14:textFill>
        </w:rPr>
        <w:t>强对流天气预警的服务要求</w:t>
      </w:r>
      <w:r>
        <w:rPr>
          <w:rFonts w:ascii="仿宋_GB2312" w:eastAsia="仿宋_GB2312"/>
          <w:color w:val="000000" w:themeColor="text1"/>
          <w14:textFill>
            <w14:solidFill>
              <w14:schemeClr w14:val="tx1"/>
            </w14:solidFill>
          </w14:textFill>
        </w:rPr>
        <w:t>。</w:t>
      </w:r>
      <w:r>
        <w:rPr>
          <w:rFonts w:hint="eastAsia" w:ascii="仿宋_GB2312" w:eastAsia="仿宋_GB2312"/>
          <w:b/>
          <w:color w:val="000000" w:themeColor="text1"/>
          <w14:textFill>
            <w14:solidFill>
              <w14:schemeClr w14:val="tx1"/>
            </w14:solidFill>
          </w14:textFill>
        </w:rPr>
        <w:t>雷电监测与预警</w:t>
      </w:r>
      <w:r>
        <w:rPr>
          <w:rFonts w:hint="eastAsia" w:ascii="仿宋_GB2312" w:eastAsia="仿宋_GB2312"/>
          <w:b w:val="0"/>
          <w:bCs/>
          <w:color w:val="000000" w:themeColor="text1"/>
          <w:lang w:eastAsia="zh-CN"/>
          <w14:textFill>
            <w14:solidFill>
              <w14:schemeClr w14:val="tx1"/>
            </w14:solidFill>
          </w14:textFill>
        </w:rPr>
        <w:t>要</w:t>
      </w:r>
      <w:r>
        <w:rPr>
          <w:rFonts w:hint="eastAsia" w:ascii="仿宋_GB2312" w:eastAsia="仿宋_GB2312"/>
          <w:b w:val="0"/>
          <w:bCs/>
          <w:color w:val="000000" w:themeColor="text1"/>
          <w14:textFill>
            <w14:solidFill>
              <w14:schemeClr w14:val="tx1"/>
            </w14:solidFill>
          </w14:textFill>
        </w:rPr>
        <w:t>提前1 h发布安装区域的雷电活动预警，提前1 h提供安装区域的雷电天气的起始时间、强度、变化趋势等预报产品，随后及时滚动更新预报</w:t>
      </w:r>
      <w:r>
        <w:rPr>
          <w:rFonts w:hint="eastAsia" w:ascii="仿宋_GB2312" w:eastAsia="仿宋_GB2312"/>
          <w:b w:val="0"/>
          <w:bCs/>
          <w:color w:val="000000" w:themeColor="text1"/>
          <w:lang w:eastAsia="zh-CN"/>
          <w14:textFill>
            <w14:solidFill>
              <w14:schemeClr w14:val="tx1"/>
            </w14:solidFill>
          </w14:textFill>
        </w:rPr>
        <w:t>，</w:t>
      </w:r>
      <w:r>
        <w:rPr>
          <w:rFonts w:hint="eastAsia" w:ascii="仿宋_GB2312" w:eastAsia="仿宋_GB2312"/>
        </w:rPr>
        <w:t>其</w:t>
      </w:r>
      <w:r>
        <w:rPr>
          <w:rFonts w:ascii="仿宋_GB2312" w:eastAsia="仿宋_GB2312"/>
        </w:rPr>
        <w:t>服务方式</w:t>
      </w:r>
      <w:r>
        <w:rPr>
          <w:rFonts w:hint="eastAsia" w:ascii="仿宋_GB2312" w:eastAsia="仿宋_GB2312"/>
        </w:rPr>
        <w:t>包括</w:t>
      </w:r>
      <w:r>
        <w:rPr>
          <w:rFonts w:ascii="仿宋_GB2312" w:eastAsia="仿宋_GB2312"/>
        </w:rPr>
        <w:t>：</w:t>
      </w:r>
      <w:r>
        <w:rPr>
          <w:rFonts w:hint="eastAsia" w:ascii="仿宋_GB2312" w:eastAsia="仿宋_GB2312"/>
        </w:rPr>
        <w:t>专业服务网站、即时通讯软件、电子邮件、传真、短信等。</w:t>
      </w:r>
      <w:r>
        <w:rPr>
          <w:rFonts w:hint="eastAsia" w:ascii="仿宋_GB2312" w:eastAsia="仿宋_GB2312"/>
          <w:b/>
          <w:color w:val="000000" w:themeColor="text1"/>
          <w14:textFill>
            <w14:solidFill>
              <w14:schemeClr w14:val="tx1"/>
            </w14:solidFill>
          </w14:textFill>
        </w:rPr>
        <w:t>强对流天气预警</w:t>
      </w:r>
      <w:r>
        <w:rPr>
          <w:rFonts w:hint="eastAsia" w:ascii="仿宋_GB2312" w:eastAsia="仿宋_GB2312"/>
          <w:b/>
          <w:color w:val="000000" w:themeColor="text1"/>
          <w:lang w:eastAsia="zh-CN"/>
          <w14:textFill>
            <w14:solidFill>
              <w14:schemeClr w14:val="tx1"/>
            </w14:solidFill>
          </w14:textFill>
        </w:rPr>
        <w:t>要</w:t>
      </w:r>
      <w:r>
        <w:rPr>
          <w:rFonts w:hint="eastAsia" w:ascii="仿宋_GB2312" w:eastAsia="仿宋_GB2312"/>
          <w:b w:val="0"/>
          <w:bCs/>
          <w:color w:val="000000" w:themeColor="text1"/>
          <w14:textFill>
            <w14:solidFill>
              <w14:schemeClr w14:val="tx1"/>
            </w14:solidFill>
          </w14:textFill>
        </w:rPr>
        <w:t>提前1 h提供安装区域的短时强降水及雷暴大风等强对流天气的起始时间、强度、变化趋势等预报产品，随后及时滚动更新预报</w:t>
      </w:r>
      <w:r>
        <w:rPr>
          <w:rFonts w:hint="eastAsia" w:ascii="仿宋_GB2312" w:eastAsia="仿宋_GB2312"/>
        </w:rPr>
        <w:t>。其</w:t>
      </w:r>
      <w:r>
        <w:rPr>
          <w:rFonts w:ascii="仿宋_GB2312" w:eastAsia="仿宋_GB2312"/>
        </w:rPr>
        <w:t>服务方式</w:t>
      </w:r>
      <w:r>
        <w:rPr>
          <w:rFonts w:hint="eastAsia" w:ascii="仿宋_GB2312" w:eastAsia="仿宋_GB2312"/>
        </w:rPr>
        <w:t>包括</w:t>
      </w:r>
      <w:r>
        <w:rPr>
          <w:rFonts w:ascii="仿宋_GB2312" w:eastAsia="仿宋_GB2312"/>
        </w:rPr>
        <w:t>：</w:t>
      </w:r>
      <w:r>
        <w:rPr>
          <w:rFonts w:hint="eastAsia" w:ascii="仿宋_GB2312" w:eastAsia="仿宋_GB2312"/>
        </w:rPr>
        <w:t>专人提供跟踪服务。</w:t>
      </w:r>
    </w:p>
    <w:p w14:paraId="05160A36">
      <w:pPr>
        <w:spacing w:line="560" w:lineRule="exact"/>
        <w:ind w:firstLine="643" w:firstLineChars="200"/>
        <w:outlineLvl w:val="1"/>
        <w:rPr>
          <w:rFonts w:ascii="楷体" w:hAnsi="楷体" w:eastAsia="楷体" w:cs="仿宋_GB2312"/>
          <w:b/>
          <w:bCs/>
          <w:color w:val="000000" w:themeColor="text1"/>
          <w:sz w:val="32"/>
          <w:szCs w:val="32"/>
          <w14:textFill>
            <w14:solidFill>
              <w14:schemeClr w14:val="tx1"/>
            </w14:solidFill>
          </w14:textFill>
        </w:rPr>
      </w:pPr>
      <w:r>
        <w:rPr>
          <w:rFonts w:hint="eastAsia" w:ascii="楷体" w:hAnsi="楷体" w:eastAsia="楷体" w:cs="仿宋_GB2312"/>
          <w:b/>
          <w:bCs/>
          <w:color w:val="000000" w:themeColor="text1"/>
          <w:sz w:val="32"/>
          <w:szCs w:val="32"/>
          <w14:textFill>
            <w14:solidFill>
              <w14:schemeClr w14:val="tx1"/>
            </w14:solidFill>
          </w14:textFill>
        </w:rPr>
        <w:t>（四）</w:t>
      </w:r>
      <w:r>
        <w:rPr>
          <w:rFonts w:ascii="楷体" w:hAnsi="楷体" w:eastAsia="楷体" w:cs="仿宋_GB2312"/>
          <w:b/>
          <w:bCs/>
          <w:color w:val="000000" w:themeColor="text1"/>
          <w:sz w:val="32"/>
          <w:szCs w:val="32"/>
          <w14:textFill>
            <w14:solidFill>
              <w14:schemeClr w14:val="tx1"/>
            </w14:solidFill>
          </w14:textFill>
        </w:rPr>
        <w:t>服务评价与改进</w:t>
      </w:r>
    </w:p>
    <w:p w14:paraId="7CDE3DF8">
      <w:pPr>
        <w:pStyle w:val="15"/>
        <w:ind w:firstLine="640"/>
        <w:rPr>
          <w:rFonts w:ascii="仿宋_GB2312" w:eastAsia="仿宋_GB2312"/>
        </w:rPr>
      </w:pPr>
      <w:r>
        <w:rPr>
          <w:rFonts w:hint="eastAsia" w:ascii="仿宋_GB2312" w:eastAsia="仿宋_GB2312"/>
        </w:rPr>
        <w:t>为</w:t>
      </w:r>
      <w:r>
        <w:rPr>
          <w:rFonts w:ascii="仿宋_GB2312" w:eastAsia="仿宋_GB2312"/>
        </w:rPr>
        <w:t>进一步提高服务水平，明确了</w:t>
      </w:r>
      <w:r>
        <w:rPr>
          <w:rFonts w:hint="eastAsia" w:ascii="仿宋_GB2312" w:eastAsia="仿宋_GB2312"/>
        </w:rPr>
        <w:t>应建立服务评价机制，采用服务对象评价、第三方评价或多方评价相结合等方式，对气象服务进行评价等</w:t>
      </w:r>
      <w:r>
        <w:rPr>
          <w:rFonts w:ascii="仿宋_GB2312" w:eastAsia="仿宋_GB2312"/>
        </w:rPr>
        <w:t>要求</w:t>
      </w:r>
      <w:r>
        <w:rPr>
          <w:rFonts w:hint="eastAsia" w:ascii="仿宋_GB2312" w:eastAsia="仿宋_GB2312"/>
        </w:rPr>
        <w:t>。</w:t>
      </w:r>
    </w:p>
    <w:p w14:paraId="26F0CE59">
      <w:pPr>
        <w:autoSpaceDE w:val="0"/>
        <w:autoSpaceDN w:val="0"/>
        <w:adjustRightInd w:val="0"/>
        <w:spacing w:before="156" w:beforeLines="50" w:after="156" w:afterLines="50" w:line="560" w:lineRule="exact"/>
        <w:ind w:firstLine="640" w:firstLineChars="200"/>
        <w:outlineLvl w:val="0"/>
        <w:rPr>
          <w:rFonts w:eastAsia="黑体"/>
          <w:sz w:val="32"/>
          <w:szCs w:val="32"/>
        </w:rPr>
      </w:pPr>
      <w:r>
        <w:rPr>
          <w:rFonts w:hint="eastAsia" w:eastAsia="黑体"/>
          <w:sz w:val="32"/>
          <w:szCs w:val="32"/>
        </w:rPr>
        <w:t>六、重大意见分歧的处理依据和结果</w:t>
      </w:r>
    </w:p>
    <w:p w14:paraId="7560B219">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本标准研制过程中无重大分歧意见。</w:t>
      </w:r>
    </w:p>
    <w:p w14:paraId="0D4CD96E">
      <w:pPr>
        <w:autoSpaceDE w:val="0"/>
        <w:autoSpaceDN w:val="0"/>
        <w:adjustRightInd w:val="0"/>
        <w:spacing w:before="156" w:beforeLines="50" w:after="156" w:afterLines="50" w:line="560" w:lineRule="exact"/>
        <w:ind w:firstLine="640" w:firstLineChars="200"/>
        <w:outlineLvl w:val="0"/>
        <w:rPr>
          <w:rFonts w:eastAsia="黑体"/>
          <w:sz w:val="32"/>
          <w:szCs w:val="32"/>
        </w:rPr>
      </w:pPr>
      <w:r>
        <w:rPr>
          <w:rFonts w:hint="eastAsia" w:eastAsia="黑体"/>
          <w:sz w:val="32"/>
          <w:szCs w:val="32"/>
        </w:rPr>
        <w:t>七、实施标准的措施</w:t>
      </w:r>
    </w:p>
    <w:p w14:paraId="7DF89056">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（一）标准报批发布后，成立标准宣贯工作组</w:t>
      </w:r>
    </w:p>
    <w:p w14:paraId="590A051F">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C346BDB">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（二）组织开展标准宣贯培训</w:t>
      </w:r>
    </w:p>
    <w:p w14:paraId="248885A8">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标准发布实施后，标准宣贯工作小组制作标准解读宣贯培训PPT课件和标准核心技术明白书，并按标准宣贯培训计划深入广西各个城市组织技术人员开展标准宣贯培训，对标准进行逐条解读，让技术人员掌握标准核心技术内容，助力标准实施落地，推动气象服务产业高质量发展。</w:t>
      </w:r>
    </w:p>
    <w:p w14:paraId="10A566E4">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（三）开展标准实施交流会，收集标准实施反馈信息</w:t>
      </w:r>
    </w:p>
    <w:p w14:paraId="2F54DAE3">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标准起草小组深入广西各个单位组织技术人员召开标准实施交流会，听取标准实施过程中存在的问题并做好记录和解答，对存在的问题组织专家团队进行研讨，为标准的复审修订做准备。</w:t>
      </w:r>
    </w:p>
    <w:p w14:paraId="72A40B75">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（四）开展标准实施效果评估</w:t>
      </w:r>
    </w:p>
    <w:p w14:paraId="1D12781B">
      <w:pPr>
        <w:spacing w:line="52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标准实施满2年，每年标准宣贯工作组采取网络调查、问卷调查、实地调研、召开座谈会或论证会、专家咨询等方式开展标准实施效果评估，并形成标准实施效果评估报告，为标准的复审修订做准备。</w:t>
      </w:r>
    </w:p>
    <w:p w14:paraId="0FB2FF90">
      <w:pPr>
        <w:autoSpaceDE w:val="0"/>
        <w:autoSpaceDN w:val="0"/>
        <w:adjustRightInd w:val="0"/>
        <w:spacing w:before="156" w:beforeLines="50" w:after="156" w:afterLines="50"/>
        <w:ind w:firstLine="640"/>
        <w:outlineLvl w:val="0"/>
        <w:rPr>
          <w:rFonts w:eastAsia="黑体"/>
          <w:sz w:val="32"/>
          <w:szCs w:val="32"/>
        </w:rPr>
      </w:pPr>
      <w:r>
        <w:rPr>
          <w:rFonts w:hint="eastAsia" w:eastAsia="黑体"/>
          <w:sz w:val="32"/>
          <w:szCs w:val="32"/>
        </w:rPr>
        <w:t>八、其他应当说明的事项</w:t>
      </w:r>
    </w:p>
    <w:p w14:paraId="60562F70">
      <w:pPr>
        <w:spacing w:line="520" w:lineRule="exact"/>
        <w:ind w:firstLine="640" w:firstLineChars="200"/>
        <w:rPr>
          <w:rFonts w:hint="eastAsia" w:ascii="仿宋_GB2312" w:hAnsi="宋体" w:eastAsia="仿宋_GB2312"/>
          <w:sz w:val="28"/>
          <w:szCs w:val="28"/>
        </w:rPr>
      </w:pPr>
      <w:r>
        <w:rPr>
          <w:rFonts w:hint="eastAsia" w:ascii="仿宋_GB2312" w:hAnsi="宋体" w:eastAsia="仿宋_GB2312"/>
          <w:sz w:val="32"/>
          <w:szCs w:val="28"/>
          <w:lang w:val="zh-CN"/>
        </w:rPr>
        <w:t>无。</w:t>
      </w:r>
    </w:p>
    <w:p w14:paraId="6FB71D35">
      <w:pPr>
        <w:spacing w:line="560" w:lineRule="exact"/>
        <w:ind w:firstLine="640" w:firstLineChars="200"/>
        <w:rPr>
          <w:rFonts w:ascii="仿宋_GB2312" w:hAnsi="宋体" w:eastAsia="仿宋_GB2312"/>
          <w:sz w:val="32"/>
          <w:szCs w:val="32"/>
        </w:rPr>
      </w:pPr>
    </w:p>
    <w:p w14:paraId="6D9BC0E7">
      <w:pPr>
        <w:spacing w:line="560" w:lineRule="exact"/>
        <w:rPr>
          <w:rFonts w:ascii="仿宋_GB2312" w:hAnsi="宋体" w:eastAsia="仿宋_GB2312"/>
          <w:sz w:val="32"/>
          <w:szCs w:val="32"/>
        </w:rPr>
      </w:pPr>
    </w:p>
    <w:p w14:paraId="4A48FE30">
      <w:pPr>
        <w:pStyle w:val="15"/>
      </w:pPr>
    </w:p>
    <w:p w14:paraId="01C95976">
      <w:pPr>
        <w:spacing w:line="560" w:lineRule="exact"/>
        <w:ind w:firstLine="1280" w:firstLineChars="400"/>
        <w:rPr>
          <w:rFonts w:ascii="仿宋_GB2312" w:hAnsi="宋体" w:eastAsia="仿宋_GB2312"/>
          <w:sz w:val="32"/>
          <w:szCs w:val="32"/>
        </w:rPr>
      </w:pPr>
      <w:r>
        <w:rPr>
          <w:rFonts w:hint="eastAsia" w:ascii="仿宋_GB2312" w:hAnsi="宋体" w:eastAsia="仿宋_GB2312"/>
          <w:sz w:val="32"/>
          <w:szCs w:val="32"/>
        </w:rPr>
        <w:t>团体标准《</w:t>
      </w:r>
      <w:r>
        <w:rPr>
          <w:rFonts w:hint="eastAsia" w:ascii="仿宋_GB2312" w:hAnsi="宋体" w:eastAsia="仿宋_GB2312"/>
          <w:sz w:val="32"/>
          <w:szCs w:val="32"/>
          <w:lang w:eastAsia="zh-CN"/>
        </w:rPr>
        <w:t>风力发电设施安装</w:t>
      </w:r>
      <w:r>
        <w:rPr>
          <w:rFonts w:hint="eastAsia" w:ascii="仿宋_GB2312" w:hAnsi="宋体" w:eastAsia="仿宋_GB2312"/>
          <w:sz w:val="32"/>
          <w:szCs w:val="32"/>
        </w:rPr>
        <w:t xml:space="preserve">气象服务规范》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 xml:space="preserve">                 </w:t>
      </w:r>
    </w:p>
    <w:p w14:paraId="0E6E525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sz w:val="32"/>
          <w:szCs w:val="32"/>
        </w:rPr>
        <w:t xml:space="preserve">    </w:t>
      </w:r>
      <w:r>
        <w:rPr>
          <w:rFonts w:hint="eastAsia" w:ascii="仿宋_GB2312" w:hAnsi="宋体" w:eastAsia="仿宋_GB2312"/>
          <w:sz w:val="32"/>
          <w:szCs w:val="32"/>
        </w:rPr>
        <w:t>标准编制组</w:t>
      </w:r>
    </w:p>
    <w:p w14:paraId="2C9FD99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sz w:val="32"/>
          <w:szCs w:val="32"/>
        </w:rPr>
        <w:t xml:space="preserve">     </w:t>
      </w:r>
      <w:r>
        <w:rPr>
          <w:rFonts w:hint="eastAsia" w:ascii="仿宋_GB2312" w:hAnsi="宋体" w:eastAsia="仿宋_GB2312"/>
          <w:sz w:val="32"/>
          <w:szCs w:val="32"/>
        </w:rPr>
        <w:t xml:space="preserve"> 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w:t>
      </w:r>
      <w:r>
        <w:rPr>
          <w:rFonts w:ascii="仿宋_GB2312" w:hAnsi="宋体" w:eastAsia="仿宋_GB2312"/>
          <w:sz w:val="32"/>
          <w:szCs w:val="32"/>
        </w:rPr>
        <w:t>9</w:t>
      </w:r>
      <w:r>
        <w:rPr>
          <w:rFonts w:hint="eastAsia" w:ascii="仿宋_GB2312" w:hAnsi="宋体" w:eastAsia="仿宋_GB2312"/>
          <w:sz w:val="32"/>
          <w:szCs w:val="32"/>
        </w:rPr>
        <w:t>月</w:t>
      </w:r>
      <w:r>
        <w:rPr>
          <w:rFonts w:hint="eastAsia" w:ascii="仿宋_GB2312" w:hAnsi="宋体" w:eastAsia="仿宋_GB2312"/>
          <w:sz w:val="32"/>
          <w:szCs w:val="32"/>
          <w:lang w:val="en-US" w:eastAsia="zh-CN"/>
        </w:rPr>
        <w:t>28</w:t>
      </w:r>
      <w:r>
        <w:rPr>
          <w:rFonts w:hint="eastAsia" w:ascii="仿宋_GB2312" w:hAnsi="宋体" w:eastAsia="仿宋_GB2312"/>
          <w:sz w:val="32"/>
          <w:szCs w:val="32"/>
        </w:rPr>
        <w:t>日</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00"/>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1730734"/>
    </w:sdtPr>
    <w:sdtContent>
      <w:p w14:paraId="602CEE5E">
        <w:pPr>
          <w:pStyle w:val="7"/>
          <w:jc w:val="center"/>
        </w:pPr>
        <w:r>
          <w:fldChar w:fldCharType="begin"/>
        </w:r>
        <w:r>
          <w:instrText xml:space="preserve">PAGE   \* MERGEFORMAT</w:instrText>
        </w:r>
        <w:r>
          <w:fldChar w:fldCharType="separate"/>
        </w:r>
        <w:r>
          <w:rPr>
            <w:lang w:val="zh-CN"/>
          </w:rPr>
          <w:t>16</w:t>
        </w:r>
        <w:r>
          <w:fldChar w:fldCharType="end"/>
        </w:r>
      </w:p>
    </w:sdtContent>
  </w:sdt>
  <w:p w14:paraId="358804E9">
    <w:pPr>
      <w:pStyle w:val="7"/>
      <w:tabs>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B0A94"/>
    <w:multiLevelType w:val="singleLevel"/>
    <w:tmpl w:val="D2AB0A94"/>
    <w:lvl w:ilvl="0" w:tentative="0">
      <w:start w:val="4"/>
      <w:numFmt w:val="chineseCounting"/>
      <w:suff w:val="nothing"/>
      <w:lvlText w:val="（%1）"/>
      <w:lvlJc w:val="left"/>
      <w:rPr>
        <w:rFonts w:hint="eastAsia"/>
        <w:b/>
        <w:bCs/>
      </w:rPr>
    </w:lvl>
  </w:abstractNum>
  <w:abstractNum w:abstractNumId="1">
    <w:nsid w:val="F59C0A2E"/>
    <w:multiLevelType w:val="multilevel"/>
    <w:tmpl w:val="F59C0A2E"/>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pStyle w:val="33"/>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1"/>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DE76386"/>
    <w:multiLevelType w:val="singleLevel"/>
    <w:tmpl w:val="2DE76386"/>
    <w:lvl w:ilvl="0" w:tentative="0">
      <w:start w:val="2"/>
      <w:numFmt w:val="chineseCounting"/>
      <w:suff w:val="nothing"/>
      <w:lvlText w:val="（%1）"/>
      <w:lvlJc w:val="left"/>
      <w:rPr>
        <w:rFonts w:hint="eastAsia"/>
      </w:rPr>
    </w:lvl>
  </w:abstractNum>
  <w:abstractNum w:abstractNumId="4">
    <w:nsid w:val="30E81607"/>
    <w:multiLevelType w:val="multilevel"/>
    <w:tmpl w:val="30E8160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pStyle w:val="32"/>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5">
    <w:nsid w:val="32534DA6"/>
    <w:multiLevelType w:val="multilevel"/>
    <w:tmpl w:val="32534DA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CEA2025"/>
    <w:multiLevelType w:val="multilevel"/>
    <w:tmpl w:val="6CEA2025"/>
    <w:lvl w:ilvl="0" w:tentative="0">
      <w:start w:val="1"/>
      <w:numFmt w:val="none"/>
      <w:pStyle w:val="31"/>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pStyle w:val="3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5"/>
      <w:suff w:val="nothing"/>
      <w:lvlText w:val="%1%2.%3.%4　"/>
      <w:lvlJc w:val="left"/>
      <w:pPr>
        <w:ind w:left="142" w:firstLine="0"/>
      </w:pPr>
      <w:rPr>
        <w:rFonts w:hint="eastAsia" w:ascii="黑体" w:eastAsia="黑体"/>
        <w:b w:val="0"/>
        <w:i w:val="0"/>
        <w:sz w:val="21"/>
      </w:rPr>
    </w:lvl>
    <w:lvl w:ilvl="4" w:tentative="0">
      <w:start w:val="1"/>
      <w:numFmt w:val="decimal"/>
      <w:pStyle w:val="26"/>
      <w:suff w:val="nothing"/>
      <w:lvlText w:val="%1%2.%3.%4.%5　"/>
      <w:lvlJc w:val="left"/>
      <w:pPr>
        <w:ind w:left="0" w:firstLine="0"/>
      </w:pPr>
      <w:rPr>
        <w:rFonts w:hint="eastAsia" w:ascii="黑体" w:eastAsia="黑体"/>
        <w:b w:val="0"/>
        <w:i w:val="0"/>
        <w:sz w:val="21"/>
      </w:rPr>
    </w:lvl>
    <w:lvl w:ilvl="5" w:tentative="0">
      <w:start w:val="1"/>
      <w:numFmt w:val="decimal"/>
      <w:pStyle w:val="27"/>
      <w:suff w:val="nothing"/>
      <w:lvlText w:val="%1%2.%3.%4.%5.%6　"/>
      <w:lvlJc w:val="left"/>
      <w:pPr>
        <w:ind w:left="0" w:firstLine="0"/>
      </w:pPr>
      <w:rPr>
        <w:rFonts w:hint="eastAsia" w:ascii="黑体" w:eastAsia="黑体"/>
        <w:b w:val="0"/>
        <w:i w:val="0"/>
        <w:sz w:val="21"/>
      </w:rPr>
    </w:lvl>
    <w:lvl w:ilvl="6" w:tentative="0">
      <w:start w:val="1"/>
      <w:numFmt w:val="decimal"/>
      <w:pStyle w:val="2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RmNjgzNmYzZTcxNjc3Y2ZkMzZmZDg5NDljYWUzZmEifQ=="/>
  </w:docVars>
  <w:rsids>
    <w:rsidRoot w:val="0037490B"/>
    <w:rsid w:val="000005CA"/>
    <w:rsid w:val="00000707"/>
    <w:rsid w:val="00000AD9"/>
    <w:rsid w:val="00000E4A"/>
    <w:rsid w:val="00001814"/>
    <w:rsid w:val="00001CE0"/>
    <w:rsid w:val="00003DB3"/>
    <w:rsid w:val="00004ACE"/>
    <w:rsid w:val="00012082"/>
    <w:rsid w:val="000126E8"/>
    <w:rsid w:val="0001766E"/>
    <w:rsid w:val="000216C2"/>
    <w:rsid w:val="000255FF"/>
    <w:rsid w:val="000258DE"/>
    <w:rsid w:val="000276DC"/>
    <w:rsid w:val="00030EE3"/>
    <w:rsid w:val="00031483"/>
    <w:rsid w:val="00031C1A"/>
    <w:rsid w:val="00036510"/>
    <w:rsid w:val="000370FC"/>
    <w:rsid w:val="00043580"/>
    <w:rsid w:val="000438DF"/>
    <w:rsid w:val="00044D55"/>
    <w:rsid w:val="00046883"/>
    <w:rsid w:val="000504E1"/>
    <w:rsid w:val="0005176B"/>
    <w:rsid w:val="00051CD3"/>
    <w:rsid w:val="00051FAC"/>
    <w:rsid w:val="00052633"/>
    <w:rsid w:val="00053989"/>
    <w:rsid w:val="00061ED9"/>
    <w:rsid w:val="00064EA0"/>
    <w:rsid w:val="000653F2"/>
    <w:rsid w:val="00065DD5"/>
    <w:rsid w:val="0006607C"/>
    <w:rsid w:val="000661B2"/>
    <w:rsid w:val="00067952"/>
    <w:rsid w:val="000702AE"/>
    <w:rsid w:val="000702F1"/>
    <w:rsid w:val="0007171F"/>
    <w:rsid w:val="000718F2"/>
    <w:rsid w:val="00071923"/>
    <w:rsid w:val="0007388E"/>
    <w:rsid w:val="00074198"/>
    <w:rsid w:val="00074776"/>
    <w:rsid w:val="00077D12"/>
    <w:rsid w:val="00080929"/>
    <w:rsid w:val="00082CE2"/>
    <w:rsid w:val="00084721"/>
    <w:rsid w:val="00085453"/>
    <w:rsid w:val="00085B2A"/>
    <w:rsid w:val="00087B41"/>
    <w:rsid w:val="000907FE"/>
    <w:rsid w:val="00094DC8"/>
    <w:rsid w:val="000A119D"/>
    <w:rsid w:val="000A3426"/>
    <w:rsid w:val="000A6807"/>
    <w:rsid w:val="000A720C"/>
    <w:rsid w:val="000A7270"/>
    <w:rsid w:val="000B3F01"/>
    <w:rsid w:val="000B544F"/>
    <w:rsid w:val="000B6EA3"/>
    <w:rsid w:val="000C1499"/>
    <w:rsid w:val="000C1656"/>
    <w:rsid w:val="000C23E0"/>
    <w:rsid w:val="000C5759"/>
    <w:rsid w:val="000D344F"/>
    <w:rsid w:val="000D3740"/>
    <w:rsid w:val="000D604B"/>
    <w:rsid w:val="000E0C1D"/>
    <w:rsid w:val="000E3BE1"/>
    <w:rsid w:val="000E4416"/>
    <w:rsid w:val="000E4E87"/>
    <w:rsid w:val="000E57B1"/>
    <w:rsid w:val="000F2752"/>
    <w:rsid w:val="000F3B3B"/>
    <w:rsid w:val="000F3F92"/>
    <w:rsid w:val="001037D6"/>
    <w:rsid w:val="00103F5F"/>
    <w:rsid w:val="0010718F"/>
    <w:rsid w:val="0010732A"/>
    <w:rsid w:val="00112E2C"/>
    <w:rsid w:val="00115C18"/>
    <w:rsid w:val="00120F4F"/>
    <w:rsid w:val="00120F6B"/>
    <w:rsid w:val="00121C31"/>
    <w:rsid w:val="001226E6"/>
    <w:rsid w:val="00122F61"/>
    <w:rsid w:val="0012516A"/>
    <w:rsid w:val="00126AFC"/>
    <w:rsid w:val="00126CE4"/>
    <w:rsid w:val="0012731A"/>
    <w:rsid w:val="00131174"/>
    <w:rsid w:val="0013257F"/>
    <w:rsid w:val="001341F3"/>
    <w:rsid w:val="001344C5"/>
    <w:rsid w:val="0013535E"/>
    <w:rsid w:val="0014119F"/>
    <w:rsid w:val="001420D9"/>
    <w:rsid w:val="00142A85"/>
    <w:rsid w:val="00143457"/>
    <w:rsid w:val="001443AC"/>
    <w:rsid w:val="001446D9"/>
    <w:rsid w:val="00145356"/>
    <w:rsid w:val="00147A26"/>
    <w:rsid w:val="00147A7A"/>
    <w:rsid w:val="001502FB"/>
    <w:rsid w:val="00153AB7"/>
    <w:rsid w:val="00154E77"/>
    <w:rsid w:val="00160FAE"/>
    <w:rsid w:val="00162358"/>
    <w:rsid w:val="001631D2"/>
    <w:rsid w:val="00170088"/>
    <w:rsid w:val="0017019C"/>
    <w:rsid w:val="0017068B"/>
    <w:rsid w:val="00170F62"/>
    <w:rsid w:val="001719D7"/>
    <w:rsid w:val="001729C6"/>
    <w:rsid w:val="001761D2"/>
    <w:rsid w:val="00176412"/>
    <w:rsid w:val="00176892"/>
    <w:rsid w:val="00180583"/>
    <w:rsid w:val="00184502"/>
    <w:rsid w:val="00185CA3"/>
    <w:rsid w:val="00191A83"/>
    <w:rsid w:val="001922F7"/>
    <w:rsid w:val="00192792"/>
    <w:rsid w:val="0019480E"/>
    <w:rsid w:val="00194F7E"/>
    <w:rsid w:val="001A00A9"/>
    <w:rsid w:val="001A03FA"/>
    <w:rsid w:val="001A1876"/>
    <w:rsid w:val="001A2348"/>
    <w:rsid w:val="001A3181"/>
    <w:rsid w:val="001A585A"/>
    <w:rsid w:val="001A68FB"/>
    <w:rsid w:val="001B1F8E"/>
    <w:rsid w:val="001B2C57"/>
    <w:rsid w:val="001B37F2"/>
    <w:rsid w:val="001B4721"/>
    <w:rsid w:val="001B6DB3"/>
    <w:rsid w:val="001C0E52"/>
    <w:rsid w:val="001C2328"/>
    <w:rsid w:val="001C3FE3"/>
    <w:rsid w:val="001C67C7"/>
    <w:rsid w:val="001C6AE6"/>
    <w:rsid w:val="001C712F"/>
    <w:rsid w:val="001D0EEF"/>
    <w:rsid w:val="001D2157"/>
    <w:rsid w:val="001D694F"/>
    <w:rsid w:val="001E072C"/>
    <w:rsid w:val="001E1747"/>
    <w:rsid w:val="001E21D6"/>
    <w:rsid w:val="001E386B"/>
    <w:rsid w:val="001E6F36"/>
    <w:rsid w:val="001E7634"/>
    <w:rsid w:val="001E7EB0"/>
    <w:rsid w:val="001F03CB"/>
    <w:rsid w:val="001F1F80"/>
    <w:rsid w:val="001F319B"/>
    <w:rsid w:val="001F4A7D"/>
    <w:rsid w:val="001F5F4D"/>
    <w:rsid w:val="001F67DD"/>
    <w:rsid w:val="001F7CCC"/>
    <w:rsid w:val="002017AF"/>
    <w:rsid w:val="00205F41"/>
    <w:rsid w:val="002064AD"/>
    <w:rsid w:val="002127FC"/>
    <w:rsid w:val="002148D2"/>
    <w:rsid w:val="00215122"/>
    <w:rsid w:val="00216631"/>
    <w:rsid w:val="00217829"/>
    <w:rsid w:val="00220171"/>
    <w:rsid w:val="0022020B"/>
    <w:rsid w:val="00220B99"/>
    <w:rsid w:val="002219B5"/>
    <w:rsid w:val="0022384B"/>
    <w:rsid w:val="002306BF"/>
    <w:rsid w:val="00230FE3"/>
    <w:rsid w:val="002311B6"/>
    <w:rsid w:val="002331BB"/>
    <w:rsid w:val="002338C3"/>
    <w:rsid w:val="00234398"/>
    <w:rsid w:val="0023444B"/>
    <w:rsid w:val="00234EC1"/>
    <w:rsid w:val="002357C8"/>
    <w:rsid w:val="0023595B"/>
    <w:rsid w:val="00240EFB"/>
    <w:rsid w:val="00245211"/>
    <w:rsid w:val="00246705"/>
    <w:rsid w:val="00252C67"/>
    <w:rsid w:val="002531B2"/>
    <w:rsid w:val="0025439B"/>
    <w:rsid w:val="00255076"/>
    <w:rsid w:val="00256BC8"/>
    <w:rsid w:val="002609DF"/>
    <w:rsid w:val="00262B50"/>
    <w:rsid w:val="0026386B"/>
    <w:rsid w:val="00266674"/>
    <w:rsid w:val="00266E5F"/>
    <w:rsid w:val="0027055E"/>
    <w:rsid w:val="00271153"/>
    <w:rsid w:val="002718CB"/>
    <w:rsid w:val="00272ECD"/>
    <w:rsid w:val="00275A63"/>
    <w:rsid w:val="00282082"/>
    <w:rsid w:val="00282225"/>
    <w:rsid w:val="00283DDB"/>
    <w:rsid w:val="00284186"/>
    <w:rsid w:val="00287D8F"/>
    <w:rsid w:val="002908DF"/>
    <w:rsid w:val="00290CF8"/>
    <w:rsid w:val="00292CEA"/>
    <w:rsid w:val="00292DE5"/>
    <w:rsid w:val="00293DF7"/>
    <w:rsid w:val="002946D7"/>
    <w:rsid w:val="00296164"/>
    <w:rsid w:val="002A1DE2"/>
    <w:rsid w:val="002A34D4"/>
    <w:rsid w:val="002B100F"/>
    <w:rsid w:val="002B176E"/>
    <w:rsid w:val="002B6683"/>
    <w:rsid w:val="002B6E5E"/>
    <w:rsid w:val="002C02A8"/>
    <w:rsid w:val="002C19B5"/>
    <w:rsid w:val="002C22BF"/>
    <w:rsid w:val="002C3262"/>
    <w:rsid w:val="002C3400"/>
    <w:rsid w:val="002C36FA"/>
    <w:rsid w:val="002C3D9D"/>
    <w:rsid w:val="002C418E"/>
    <w:rsid w:val="002C5695"/>
    <w:rsid w:val="002C765C"/>
    <w:rsid w:val="002D0EC0"/>
    <w:rsid w:val="002D4FC0"/>
    <w:rsid w:val="002D6356"/>
    <w:rsid w:val="002E1BFD"/>
    <w:rsid w:val="002E33C3"/>
    <w:rsid w:val="002E4BF9"/>
    <w:rsid w:val="002F25D8"/>
    <w:rsid w:val="002F639C"/>
    <w:rsid w:val="002F683C"/>
    <w:rsid w:val="00300A5E"/>
    <w:rsid w:val="00306E58"/>
    <w:rsid w:val="0030718D"/>
    <w:rsid w:val="00307DD9"/>
    <w:rsid w:val="00311598"/>
    <w:rsid w:val="00311ABF"/>
    <w:rsid w:val="0031537E"/>
    <w:rsid w:val="00316CF4"/>
    <w:rsid w:val="003176CC"/>
    <w:rsid w:val="0032058E"/>
    <w:rsid w:val="00324901"/>
    <w:rsid w:val="00330D99"/>
    <w:rsid w:val="0033133C"/>
    <w:rsid w:val="003322F5"/>
    <w:rsid w:val="00332487"/>
    <w:rsid w:val="00332F81"/>
    <w:rsid w:val="003355C8"/>
    <w:rsid w:val="00335B12"/>
    <w:rsid w:val="00336DA4"/>
    <w:rsid w:val="00342DC7"/>
    <w:rsid w:val="00342F19"/>
    <w:rsid w:val="00345537"/>
    <w:rsid w:val="00346D55"/>
    <w:rsid w:val="0035074E"/>
    <w:rsid w:val="00350CD9"/>
    <w:rsid w:val="003518F5"/>
    <w:rsid w:val="00354B2E"/>
    <w:rsid w:val="003571AD"/>
    <w:rsid w:val="003578EA"/>
    <w:rsid w:val="003579E3"/>
    <w:rsid w:val="00360157"/>
    <w:rsid w:val="003617F8"/>
    <w:rsid w:val="0036366F"/>
    <w:rsid w:val="00364C43"/>
    <w:rsid w:val="00366F06"/>
    <w:rsid w:val="00367CD0"/>
    <w:rsid w:val="00367DDC"/>
    <w:rsid w:val="00371857"/>
    <w:rsid w:val="0037336B"/>
    <w:rsid w:val="00374750"/>
    <w:rsid w:val="0037490B"/>
    <w:rsid w:val="00375600"/>
    <w:rsid w:val="00376BA3"/>
    <w:rsid w:val="003819D5"/>
    <w:rsid w:val="00384F27"/>
    <w:rsid w:val="003860CF"/>
    <w:rsid w:val="00387FD0"/>
    <w:rsid w:val="00390362"/>
    <w:rsid w:val="003905EF"/>
    <w:rsid w:val="00390758"/>
    <w:rsid w:val="00391BF2"/>
    <w:rsid w:val="003928AE"/>
    <w:rsid w:val="00393139"/>
    <w:rsid w:val="003951A4"/>
    <w:rsid w:val="003A049C"/>
    <w:rsid w:val="003A0BEB"/>
    <w:rsid w:val="003A3E22"/>
    <w:rsid w:val="003A5B7E"/>
    <w:rsid w:val="003A5F7E"/>
    <w:rsid w:val="003B1803"/>
    <w:rsid w:val="003B5F4C"/>
    <w:rsid w:val="003B79AC"/>
    <w:rsid w:val="003C0AB3"/>
    <w:rsid w:val="003C1122"/>
    <w:rsid w:val="003C1230"/>
    <w:rsid w:val="003C489B"/>
    <w:rsid w:val="003C5994"/>
    <w:rsid w:val="003C7FFD"/>
    <w:rsid w:val="003D11F8"/>
    <w:rsid w:val="003D226C"/>
    <w:rsid w:val="003D43E5"/>
    <w:rsid w:val="003D4B79"/>
    <w:rsid w:val="003E11BD"/>
    <w:rsid w:val="003E17D3"/>
    <w:rsid w:val="003E30BD"/>
    <w:rsid w:val="003E641C"/>
    <w:rsid w:val="003F222F"/>
    <w:rsid w:val="003F3337"/>
    <w:rsid w:val="003F4547"/>
    <w:rsid w:val="003F4C52"/>
    <w:rsid w:val="003F54C9"/>
    <w:rsid w:val="003F6173"/>
    <w:rsid w:val="003F654A"/>
    <w:rsid w:val="003F7403"/>
    <w:rsid w:val="00401CDE"/>
    <w:rsid w:val="00402E14"/>
    <w:rsid w:val="00402FC9"/>
    <w:rsid w:val="00404DFA"/>
    <w:rsid w:val="00404F01"/>
    <w:rsid w:val="004129E9"/>
    <w:rsid w:val="00413A94"/>
    <w:rsid w:val="00415EA5"/>
    <w:rsid w:val="00417E13"/>
    <w:rsid w:val="004211A8"/>
    <w:rsid w:val="00421BEA"/>
    <w:rsid w:val="00430FCB"/>
    <w:rsid w:val="00435C24"/>
    <w:rsid w:val="00446146"/>
    <w:rsid w:val="0044688A"/>
    <w:rsid w:val="00450356"/>
    <w:rsid w:val="00450C89"/>
    <w:rsid w:val="00451664"/>
    <w:rsid w:val="0045218D"/>
    <w:rsid w:val="00454515"/>
    <w:rsid w:val="00456F07"/>
    <w:rsid w:val="00461779"/>
    <w:rsid w:val="004661AA"/>
    <w:rsid w:val="00466F35"/>
    <w:rsid w:val="004671EF"/>
    <w:rsid w:val="00467E08"/>
    <w:rsid w:val="004703C2"/>
    <w:rsid w:val="00471DC2"/>
    <w:rsid w:val="004749A8"/>
    <w:rsid w:val="00475485"/>
    <w:rsid w:val="00475657"/>
    <w:rsid w:val="004770AD"/>
    <w:rsid w:val="004779CA"/>
    <w:rsid w:val="00482858"/>
    <w:rsid w:val="004831E3"/>
    <w:rsid w:val="00484289"/>
    <w:rsid w:val="004846D3"/>
    <w:rsid w:val="004859DB"/>
    <w:rsid w:val="004861A8"/>
    <w:rsid w:val="00487025"/>
    <w:rsid w:val="00493251"/>
    <w:rsid w:val="0049496B"/>
    <w:rsid w:val="0049586B"/>
    <w:rsid w:val="004A059E"/>
    <w:rsid w:val="004A07AC"/>
    <w:rsid w:val="004A1FBA"/>
    <w:rsid w:val="004A2CDA"/>
    <w:rsid w:val="004A44EF"/>
    <w:rsid w:val="004B0BD5"/>
    <w:rsid w:val="004B0E0F"/>
    <w:rsid w:val="004B2556"/>
    <w:rsid w:val="004B2C31"/>
    <w:rsid w:val="004B40E7"/>
    <w:rsid w:val="004B4A2A"/>
    <w:rsid w:val="004C1812"/>
    <w:rsid w:val="004C5F8A"/>
    <w:rsid w:val="004C73A0"/>
    <w:rsid w:val="004D100F"/>
    <w:rsid w:val="004D18D4"/>
    <w:rsid w:val="004D217A"/>
    <w:rsid w:val="004D23BA"/>
    <w:rsid w:val="004D243D"/>
    <w:rsid w:val="004D55DD"/>
    <w:rsid w:val="004D6690"/>
    <w:rsid w:val="004D768D"/>
    <w:rsid w:val="004E0D15"/>
    <w:rsid w:val="004E2471"/>
    <w:rsid w:val="004E3F4F"/>
    <w:rsid w:val="004E702B"/>
    <w:rsid w:val="004F0893"/>
    <w:rsid w:val="004F2448"/>
    <w:rsid w:val="004F4BDF"/>
    <w:rsid w:val="004F6D58"/>
    <w:rsid w:val="0050150E"/>
    <w:rsid w:val="00504915"/>
    <w:rsid w:val="00504E2E"/>
    <w:rsid w:val="0051458C"/>
    <w:rsid w:val="00514EAE"/>
    <w:rsid w:val="00517B5F"/>
    <w:rsid w:val="00521AF8"/>
    <w:rsid w:val="00524B13"/>
    <w:rsid w:val="00526408"/>
    <w:rsid w:val="00527045"/>
    <w:rsid w:val="005276F2"/>
    <w:rsid w:val="00527D6B"/>
    <w:rsid w:val="0053065D"/>
    <w:rsid w:val="00530FD2"/>
    <w:rsid w:val="00531D25"/>
    <w:rsid w:val="00531FB1"/>
    <w:rsid w:val="0053200A"/>
    <w:rsid w:val="005325D1"/>
    <w:rsid w:val="005334D7"/>
    <w:rsid w:val="005415F3"/>
    <w:rsid w:val="00541753"/>
    <w:rsid w:val="00541882"/>
    <w:rsid w:val="005447AD"/>
    <w:rsid w:val="00544BDE"/>
    <w:rsid w:val="00545F1E"/>
    <w:rsid w:val="00551089"/>
    <w:rsid w:val="00551C6C"/>
    <w:rsid w:val="0055209C"/>
    <w:rsid w:val="0055220C"/>
    <w:rsid w:val="0055328C"/>
    <w:rsid w:val="005548A7"/>
    <w:rsid w:val="00554B38"/>
    <w:rsid w:val="00555B22"/>
    <w:rsid w:val="0056065D"/>
    <w:rsid w:val="00567988"/>
    <w:rsid w:val="005712CA"/>
    <w:rsid w:val="0057177A"/>
    <w:rsid w:val="005727AE"/>
    <w:rsid w:val="0057334E"/>
    <w:rsid w:val="005745DF"/>
    <w:rsid w:val="00581081"/>
    <w:rsid w:val="0058257B"/>
    <w:rsid w:val="00582BEF"/>
    <w:rsid w:val="005868CD"/>
    <w:rsid w:val="00592BD2"/>
    <w:rsid w:val="00594BAA"/>
    <w:rsid w:val="00595A3B"/>
    <w:rsid w:val="00597046"/>
    <w:rsid w:val="005970B9"/>
    <w:rsid w:val="00597E11"/>
    <w:rsid w:val="005A12B4"/>
    <w:rsid w:val="005A1EE8"/>
    <w:rsid w:val="005A3679"/>
    <w:rsid w:val="005A4739"/>
    <w:rsid w:val="005B0132"/>
    <w:rsid w:val="005B0DA2"/>
    <w:rsid w:val="005B2026"/>
    <w:rsid w:val="005B214F"/>
    <w:rsid w:val="005B27AC"/>
    <w:rsid w:val="005B3727"/>
    <w:rsid w:val="005B63E1"/>
    <w:rsid w:val="005B733E"/>
    <w:rsid w:val="005C1586"/>
    <w:rsid w:val="005C17B1"/>
    <w:rsid w:val="005C3575"/>
    <w:rsid w:val="005C527C"/>
    <w:rsid w:val="005C6EAF"/>
    <w:rsid w:val="005C760D"/>
    <w:rsid w:val="005D00F5"/>
    <w:rsid w:val="005D0FFC"/>
    <w:rsid w:val="005D2D1B"/>
    <w:rsid w:val="005D4CCF"/>
    <w:rsid w:val="005D564B"/>
    <w:rsid w:val="005D603D"/>
    <w:rsid w:val="005D61C6"/>
    <w:rsid w:val="005D7DA9"/>
    <w:rsid w:val="005E02C6"/>
    <w:rsid w:val="005E1E2D"/>
    <w:rsid w:val="005E2964"/>
    <w:rsid w:val="005E31F1"/>
    <w:rsid w:val="005E3295"/>
    <w:rsid w:val="005E42A0"/>
    <w:rsid w:val="005E4EC0"/>
    <w:rsid w:val="005E6568"/>
    <w:rsid w:val="005F220F"/>
    <w:rsid w:val="005F358A"/>
    <w:rsid w:val="005F43EF"/>
    <w:rsid w:val="005F7D38"/>
    <w:rsid w:val="00601734"/>
    <w:rsid w:val="00605394"/>
    <w:rsid w:val="00607703"/>
    <w:rsid w:val="00607B51"/>
    <w:rsid w:val="0061180E"/>
    <w:rsid w:val="006124D5"/>
    <w:rsid w:val="00615634"/>
    <w:rsid w:val="00615F98"/>
    <w:rsid w:val="00623EE1"/>
    <w:rsid w:val="006248EC"/>
    <w:rsid w:val="006248F9"/>
    <w:rsid w:val="0062533E"/>
    <w:rsid w:val="0063038C"/>
    <w:rsid w:val="00630A5B"/>
    <w:rsid w:val="00631B7C"/>
    <w:rsid w:val="00632234"/>
    <w:rsid w:val="006330CE"/>
    <w:rsid w:val="00641737"/>
    <w:rsid w:val="0064289F"/>
    <w:rsid w:val="00643B0D"/>
    <w:rsid w:val="00643C44"/>
    <w:rsid w:val="00644A19"/>
    <w:rsid w:val="0064622E"/>
    <w:rsid w:val="00647E24"/>
    <w:rsid w:val="006512FA"/>
    <w:rsid w:val="006535F0"/>
    <w:rsid w:val="006546E6"/>
    <w:rsid w:val="00656DBD"/>
    <w:rsid w:val="00657F61"/>
    <w:rsid w:val="00661ACD"/>
    <w:rsid w:val="0066228E"/>
    <w:rsid w:val="00663351"/>
    <w:rsid w:val="00664C21"/>
    <w:rsid w:val="00665F2C"/>
    <w:rsid w:val="00666B4C"/>
    <w:rsid w:val="00666E46"/>
    <w:rsid w:val="006747D2"/>
    <w:rsid w:val="00676772"/>
    <w:rsid w:val="00676FD7"/>
    <w:rsid w:val="006800B4"/>
    <w:rsid w:val="00681B74"/>
    <w:rsid w:val="00681DB0"/>
    <w:rsid w:val="006834DF"/>
    <w:rsid w:val="00683CD7"/>
    <w:rsid w:val="00690488"/>
    <w:rsid w:val="00691471"/>
    <w:rsid w:val="00692728"/>
    <w:rsid w:val="00692A7C"/>
    <w:rsid w:val="00692C1F"/>
    <w:rsid w:val="00692D38"/>
    <w:rsid w:val="00693406"/>
    <w:rsid w:val="0069400B"/>
    <w:rsid w:val="00694DC2"/>
    <w:rsid w:val="00696C86"/>
    <w:rsid w:val="006A412A"/>
    <w:rsid w:val="006A49FC"/>
    <w:rsid w:val="006A59C1"/>
    <w:rsid w:val="006A5FA1"/>
    <w:rsid w:val="006A6825"/>
    <w:rsid w:val="006B394D"/>
    <w:rsid w:val="006B3F4F"/>
    <w:rsid w:val="006B5ED6"/>
    <w:rsid w:val="006B6C36"/>
    <w:rsid w:val="006C1CFA"/>
    <w:rsid w:val="006C316B"/>
    <w:rsid w:val="006C6500"/>
    <w:rsid w:val="006C7CB3"/>
    <w:rsid w:val="006D02A5"/>
    <w:rsid w:val="006D23B4"/>
    <w:rsid w:val="006D2415"/>
    <w:rsid w:val="006D2CE8"/>
    <w:rsid w:val="006D2D30"/>
    <w:rsid w:val="006D5BF6"/>
    <w:rsid w:val="006E4B45"/>
    <w:rsid w:val="006E566F"/>
    <w:rsid w:val="006F375B"/>
    <w:rsid w:val="006F3DDA"/>
    <w:rsid w:val="006F5B43"/>
    <w:rsid w:val="006F61D8"/>
    <w:rsid w:val="006F7C11"/>
    <w:rsid w:val="00700614"/>
    <w:rsid w:val="00700892"/>
    <w:rsid w:val="0070278C"/>
    <w:rsid w:val="00702956"/>
    <w:rsid w:val="00703D01"/>
    <w:rsid w:val="00703F7C"/>
    <w:rsid w:val="0071226C"/>
    <w:rsid w:val="00712270"/>
    <w:rsid w:val="00714AE8"/>
    <w:rsid w:val="00714E85"/>
    <w:rsid w:val="00715F20"/>
    <w:rsid w:val="00716543"/>
    <w:rsid w:val="0071696C"/>
    <w:rsid w:val="00720EB6"/>
    <w:rsid w:val="00722609"/>
    <w:rsid w:val="00722967"/>
    <w:rsid w:val="007250B5"/>
    <w:rsid w:val="00725B25"/>
    <w:rsid w:val="00725EED"/>
    <w:rsid w:val="00727648"/>
    <w:rsid w:val="007305A1"/>
    <w:rsid w:val="00735168"/>
    <w:rsid w:val="00736F85"/>
    <w:rsid w:val="00744676"/>
    <w:rsid w:val="007450C3"/>
    <w:rsid w:val="007515AB"/>
    <w:rsid w:val="00752646"/>
    <w:rsid w:val="00752E35"/>
    <w:rsid w:val="00753C32"/>
    <w:rsid w:val="007553F2"/>
    <w:rsid w:val="00755DE2"/>
    <w:rsid w:val="00756DC8"/>
    <w:rsid w:val="007708E8"/>
    <w:rsid w:val="0077246D"/>
    <w:rsid w:val="007743DC"/>
    <w:rsid w:val="00775793"/>
    <w:rsid w:val="00782781"/>
    <w:rsid w:val="007848C2"/>
    <w:rsid w:val="00787110"/>
    <w:rsid w:val="0079263F"/>
    <w:rsid w:val="007932A6"/>
    <w:rsid w:val="00793FB2"/>
    <w:rsid w:val="00794143"/>
    <w:rsid w:val="00795047"/>
    <w:rsid w:val="0079601F"/>
    <w:rsid w:val="007A0202"/>
    <w:rsid w:val="007A3953"/>
    <w:rsid w:val="007B0360"/>
    <w:rsid w:val="007B0A02"/>
    <w:rsid w:val="007B0DCD"/>
    <w:rsid w:val="007B2E04"/>
    <w:rsid w:val="007B6E45"/>
    <w:rsid w:val="007C19E8"/>
    <w:rsid w:val="007D1364"/>
    <w:rsid w:val="007D1B47"/>
    <w:rsid w:val="007D2CB6"/>
    <w:rsid w:val="007D2ECF"/>
    <w:rsid w:val="007E0CA5"/>
    <w:rsid w:val="007E1FC3"/>
    <w:rsid w:val="007E2D4C"/>
    <w:rsid w:val="007E36BC"/>
    <w:rsid w:val="007E3BD3"/>
    <w:rsid w:val="007E403A"/>
    <w:rsid w:val="007E4502"/>
    <w:rsid w:val="007E4C32"/>
    <w:rsid w:val="007E5A0E"/>
    <w:rsid w:val="007E7A36"/>
    <w:rsid w:val="007F0B80"/>
    <w:rsid w:val="007F5D50"/>
    <w:rsid w:val="007F7E92"/>
    <w:rsid w:val="008003A1"/>
    <w:rsid w:val="00800D4A"/>
    <w:rsid w:val="00802A13"/>
    <w:rsid w:val="00810FB0"/>
    <w:rsid w:val="008117B3"/>
    <w:rsid w:val="008142D6"/>
    <w:rsid w:val="008168A7"/>
    <w:rsid w:val="00817353"/>
    <w:rsid w:val="0082113C"/>
    <w:rsid w:val="008237FB"/>
    <w:rsid w:val="008251EB"/>
    <w:rsid w:val="00826D12"/>
    <w:rsid w:val="00830DAA"/>
    <w:rsid w:val="00835439"/>
    <w:rsid w:val="00836127"/>
    <w:rsid w:val="0083640A"/>
    <w:rsid w:val="008366FC"/>
    <w:rsid w:val="008378A9"/>
    <w:rsid w:val="00837CE2"/>
    <w:rsid w:val="00837F7F"/>
    <w:rsid w:val="008411FD"/>
    <w:rsid w:val="00841D0D"/>
    <w:rsid w:val="00841E69"/>
    <w:rsid w:val="00845F7F"/>
    <w:rsid w:val="00850E3D"/>
    <w:rsid w:val="008545EB"/>
    <w:rsid w:val="00856809"/>
    <w:rsid w:val="008601E8"/>
    <w:rsid w:val="008702D3"/>
    <w:rsid w:val="008702F8"/>
    <w:rsid w:val="00870F5A"/>
    <w:rsid w:val="00871EA3"/>
    <w:rsid w:val="008723EC"/>
    <w:rsid w:val="00872B61"/>
    <w:rsid w:val="0087397F"/>
    <w:rsid w:val="008743BE"/>
    <w:rsid w:val="00875020"/>
    <w:rsid w:val="00875CF8"/>
    <w:rsid w:val="008760E0"/>
    <w:rsid w:val="0087663F"/>
    <w:rsid w:val="008771BB"/>
    <w:rsid w:val="00882892"/>
    <w:rsid w:val="00885125"/>
    <w:rsid w:val="0088623D"/>
    <w:rsid w:val="00886314"/>
    <w:rsid w:val="00887CFC"/>
    <w:rsid w:val="00890EEC"/>
    <w:rsid w:val="00895D07"/>
    <w:rsid w:val="008966FB"/>
    <w:rsid w:val="008A02CD"/>
    <w:rsid w:val="008A0C99"/>
    <w:rsid w:val="008A0E43"/>
    <w:rsid w:val="008A1992"/>
    <w:rsid w:val="008A2AB5"/>
    <w:rsid w:val="008A3E7B"/>
    <w:rsid w:val="008A70F4"/>
    <w:rsid w:val="008B14DA"/>
    <w:rsid w:val="008B1BAF"/>
    <w:rsid w:val="008B2864"/>
    <w:rsid w:val="008B383E"/>
    <w:rsid w:val="008B3C13"/>
    <w:rsid w:val="008B52B5"/>
    <w:rsid w:val="008B6675"/>
    <w:rsid w:val="008C2238"/>
    <w:rsid w:val="008C2BFA"/>
    <w:rsid w:val="008C7069"/>
    <w:rsid w:val="008D007A"/>
    <w:rsid w:val="008D00F4"/>
    <w:rsid w:val="008D0205"/>
    <w:rsid w:val="008D0750"/>
    <w:rsid w:val="008D17BC"/>
    <w:rsid w:val="008D1CEE"/>
    <w:rsid w:val="008D27EA"/>
    <w:rsid w:val="008D4CD0"/>
    <w:rsid w:val="008E1A8E"/>
    <w:rsid w:val="008E6A17"/>
    <w:rsid w:val="008E6CA6"/>
    <w:rsid w:val="008E7761"/>
    <w:rsid w:val="008F03D4"/>
    <w:rsid w:val="008F1A36"/>
    <w:rsid w:val="008F26F8"/>
    <w:rsid w:val="008F406F"/>
    <w:rsid w:val="008F67B4"/>
    <w:rsid w:val="008F7646"/>
    <w:rsid w:val="00900025"/>
    <w:rsid w:val="00900FFB"/>
    <w:rsid w:val="0090182F"/>
    <w:rsid w:val="009060E8"/>
    <w:rsid w:val="00910FED"/>
    <w:rsid w:val="009111E3"/>
    <w:rsid w:val="00911E45"/>
    <w:rsid w:val="0091242F"/>
    <w:rsid w:val="009150B1"/>
    <w:rsid w:val="0091618E"/>
    <w:rsid w:val="0091640D"/>
    <w:rsid w:val="0091702A"/>
    <w:rsid w:val="00923828"/>
    <w:rsid w:val="00926848"/>
    <w:rsid w:val="00926D10"/>
    <w:rsid w:val="009304AE"/>
    <w:rsid w:val="009329A8"/>
    <w:rsid w:val="00932C51"/>
    <w:rsid w:val="009348A2"/>
    <w:rsid w:val="009358BF"/>
    <w:rsid w:val="00935937"/>
    <w:rsid w:val="00936BDC"/>
    <w:rsid w:val="00942680"/>
    <w:rsid w:val="00942A04"/>
    <w:rsid w:val="0094379D"/>
    <w:rsid w:val="009442F5"/>
    <w:rsid w:val="00954996"/>
    <w:rsid w:val="00956D3B"/>
    <w:rsid w:val="00961B89"/>
    <w:rsid w:val="00962D90"/>
    <w:rsid w:val="00964155"/>
    <w:rsid w:val="00966787"/>
    <w:rsid w:val="00970225"/>
    <w:rsid w:val="00970246"/>
    <w:rsid w:val="00970482"/>
    <w:rsid w:val="009711E6"/>
    <w:rsid w:val="0097184F"/>
    <w:rsid w:val="009719BB"/>
    <w:rsid w:val="00980DF4"/>
    <w:rsid w:val="00981669"/>
    <w:rsid w:val="009824FB"/>
    <w:rsid w:val="00984CC6"/>
    <w:rsid w:val="00992414"/>
    <w:rsid w:val="009949CD"/>
    <w:rsid w:val="00995626"/>
    <w:rsid w:val="009A10F4"/>
    <w:rsid w:val="009A1999"/>
    <w:rsid w:val="009A27DB"/>
    <w:rsid w:val="009A38DD"/>
    <w:rsid w:val="009A607E"/>
    <w:rsid w:val="009A63A7"/>
    <w:rsid w:val="009A6CCC"/>
    <w:rsid w:val="009A6F4F"/>
    <w:rsid w:val="009B2FAD"/>
    <w:rsid w:val="009B39A8"/>
    <w:rsid w:val="009B3AE7"/>
    <w:rsid w:val="009B4C75"/>
    <w:rsid w:val="009B587F"/>
    <w:rsid w:val="009C36BA"/>
    <w:rsid w:val="009C38E2"/>
    <w:rsid w:val="009C5D70"/>
    <w:rsid w:val="009D1257"/>
    <w:rsid w:val="009D12AE"/>
    <w:rsid w:val="009D294C"/>
    <w:rsid w:val="009D3643"/>
    <w:rsid w:val="009D6B8B"/>
    <w:rsid w:val="009E09EA"/>
    <w:rsid w:val="009E41C3"/>
    <w:rsid w:val="009E462D"/>
    <w:rsid w:val="009E5910"/>
    <w:rsid w:val="009E60C4"/>
    <w:rsid w:val="009F1313"/>
    <w:rsid w:val="009F2C66"/>
    <w:rsid w:val="009F2CD1"/>
    <w:rsid w:val="009F318F"/>
    <w:rsid w:val="009F45B4"/>
    <w:rsid w:val="00A01560"/>
    <w:rsid w:val="00A01F5C"/>
    <w:rsid w:val="00A076BD"/>
    <w:rsid w:val="00A101F9"/>
    <w:rsid w:val="00A12A1B"/>
    <w:rsid w:val="00A13D36"/>
    <w:rsid w:val="00A168DB"/>
    <w:rsid w:val="00A22078"/>
    <w:rsid w:val="00A22096"/>
    <w:rsid w:val="00A22129"/>
    <w:rsid w:val="00A27211"/>
    <w:rsid w:val="00A325E8"/>
    <w:rsid w:val="00A33141"/>
    <w:rsid w:val="00A335AE"/>
    <w:rsid w:val="00A36077"/>
    <w:rsid w:val="00A37331"/>
    <w:rsid w:val="00A40B3C"/>
    <w:rsid w:val="00A40BB0"/>
    <w:rsid w:val="00A424D4"/>
    <w:rsid w:val="00A43CBD"/>
    <w:rsid w:val="00A43E33"/>
    <w:rsid w:val="00A4427D"/>
    <w:rsid w:val="00A52F62"/>
    <w:rsid w:val="00A55285"/>
    <w:rsid w:val="00A56948"/>
    <w:rsid w:val="00A578B0"/>
    <w:rsid w:val="00A57BB6"/>
    <w:rsid w:val="00A60A76"/>
    <w:rsid w:val="00A62EA4"/>
    <w:rsid w:val="00A62F68"/>
    <w:rsid w:val="00A666DE"/>
    <w:rsid w:val="00A67C12"/>
    <w:rsid w:val="00A709DA"/>
    <w:rsid w:val="00A731D8"/>
    <w:rsid w:val="00A73D1D"/>
    <w:rsid w:val="00A74CFD"/>
    <w:rsid w:val="00A75EE5"/>
    <w:rsid w:val="00A75F6C"/>
    <w:rsid w:val="00A81A71"/>
    <w:rsid w:val="00A83087"/>
    <w:rsid w:val="00A8384F"/>
    <w:rsid w:val="00A8389B"/>
    <w:rsid w:val="00A8433A"/>
    <w:rsid w:val="00A84FBA"/>
    <w:rsid w:val="00A85AC5"/>
    <w:rsid w:val="00A860B5"/>
    <w:rsid w:val="00A865AB"/>
    <w:rsid w:val="00A90019"/>
    <w:rsid w:val="00A9010D"/>
    <w:rsid w:val="00A9072B"/>
    <w:rsid w:val="00A92981"/>
    <w:rsid w:val="00A9696F"/>
    <w:rsid w:val="00AA034D"/>
    <w:rsid w:val="00AA1F4C"/>
    <w:rsid w:val="00AA275F"/>
    <w:rsid w:val="00AA35BD"/>
    <w:rsid w:val="00AA42EB"/>
    <w:rsid w:val="00AA46B0"/>
    <w:rsid w:val="00AA4A9C"/>
    <w:rsid w:val="00AA65CB"/>
    <w:rsid w:val="00AA6978"/>
    <w:rsid w:val="00AB1C38"/>
    <w:rsid w:val="00AB33AE"/>
    <w:rsid w:val="00AB47E7"/>
    <w:rsid w:val="00AB4FC9"/>
    <w:rsid w:val="00AB6779"/>
    <w:rsid w:val="00AB78CE"/>
    <w:rsid w:val="00AC2870"/>
    <w:rsid w:val="00AC36C1"/>
    <w:rsid w:val="00AC4380"/>
    <w:rsid w:val="00AC4B56"/>
    <w:rsid w:val="00AC4F50"/>
    <w:rsid w:val="00AC5111"/>
    <w:rsid w:val="00AC72A6"/>
    <w:rsid w:val="00AD0FC1"/>
    <w:rsid w:val="00AD1F08"/>
    <w:rsid w:val="00AD30BC"/>
    <w:rsid w:val="00AD7858"/>
    <w:rsid w:val="00AE18AC"/>
    <w:rsid w:val="00AE27E5"/>
    <w:rsid w:val="00AE5A98"/>
    <w:rsid w:val="00AE793B"/>
    <w:rsid w:val="00AF159D"/>
    <w:rsid w:val="00AF2B38"/>
    <w:rsid w:val="00AF4F8C"/>
    <w:rsid w:val="00AF6187"/>
    <w:rsid w:val="00B02513"/>
    <w:rsid w:val="00B02B41"/>
    <w:rsid w:val="00B02DB7"/>
    <w:rsid w:val="00B031EA"/>
    <w:rsid w:val="00B05CEE"/>
    <w:rsid w:val="00B06285"/>
    <w:rsid w:val="00B17002"/>
    <w:rsid w:val="00B20ED6"/>
    <w:rsid w:val="00B220CD"/>
    <w:rsid w:val="00B22DD0"/>
    <w:rsid w:val="00B23E02"/>
    <w:rsid w:val="00B26AF5"/>
    <w:rsid w:val="00B33075"/>
    <w:rsid w:val="00B33842"/>
    <w:rsid w:val="00B357BB"/>
    <w:rsid w:val="00B37538"/>
    <w:rsid w:val="00B4227A"/>
    <w:rsid w:val="00B425E0"/>
    <w:rsid w:val="00B4300D"/>
    <w:rsid w:val="00B45252"/>
    <w:rsid w:val="00B456B8"/>
    <w:rsid w:val="00B53422"/>
    <w:rsid w:val="00B5342D"/>
    <w:rsid w:val="00B5655E"/>
    <w:rsid w:val="00B63108"/>
    <w:rsid w:val="00B646B1"/>
    <w:rsid w:val="00B64EEC"/>
    <w:rsid w:val="00B660EE"/>
    <w:rsid w:val="00B67E1A"/>
    <w:rsid w:val="00B702EE"/>
    <w:rsid w:val="00B72598"/>
    <w:rsid w:val="00B76C6B"/>
    <w:rsid w:val="00B76D50"/>
    <w:rsid w:val="00B81783"/>
    <w:rsid w:val="00B83EBB"/>
    <w:rsid w:val="00B86927"/>
    <w:rsid w:val="00B86EFD"/>
    <w:rsid w:val="00B878A8"/>
    <w:rsid w:val="00B919C9"/>
    <w:rsid w:val="00B92057"/>
    <w:rsid w:val="00B9246E"/>
    <w:rsid w:val="00B92ADC"/>
    <w:rsid w:val="00B9332E"/>
    <w:rsid w:val="00B94241"/>
    <w:rsid w:val="00B9454A"/>
    <w:rsid w:val="00B94FB6"/>
    <w:rsid w:val="00B97EC1"/>
    <w:rsid w:val="00BA361F"/>
    <w:rsid w:val="00BA37AA"/>
    <w:rsid w:val="00BA476E"/>
    <w:rsid w:val="00BB2B12"/>
    <w:rsid w:val="00BB2B81"/>
    <w:rsid w:val="00BB35EB"/>
    <w:rsid w:val="00BB557D"/>
    <w:rsid w:val="00BB795A"/>
    <w:rsid w:val="00BC07AC"/>
    <w:rsid w:val="00BC13E1"/>
    <w:rsid w:val="00BC1733"/>
    <w:rsid w:val="00BC1CD3"/>
    <w:rsid w:val="00BC3BE2"/>
    <w:rsid w:val="00BC4743"/>
    <w:rsid w:val="00BC67F6"/>
    <w:rsid w:val="00BC6FB4"/>
    <w:rsid w:val="00BD166C"/>
    <w:rsid w:val="00BD5364"/>
    <w:rsid w:val="00BE0A61"/>
    <w:rsid w:val="00BE0E67"/>
    <w:rsid w:val="00BE308F"/>
    <w:rsid w:val="00BE693C"/>
    <w:rsid w:val="00BE6E94"/>
    <w:rsid w:val="00BF1578"/>
    <w:rsid w:val="00BF2C63"/>
    <w:rsid w:val="00BF406B"/>
    <w:rsid w:val="00BF4EFA"/>
    <w:rsid w:val="00BF59C0"/>
    <w:rsid w:val="00BF6550"/>
    <w:rsid w:val="00BF7AFD"/>
    <w:rsid w:val="00C00151"/>
    <w:rsid w:val="00C06FBF"/>
    <w:rsid w:val="00C07C20"/>
    <w:rsid w:val="00C07E9D"/>
    <w:rsid w:val="00C109F6"/>
    <w:rsid w:val="00C12442"/>
    <w:rsid w:val="00C16AA4"/>
    <w:rsid w:val="00C218BD"/>
    <w:rsid w:val="00C22400"/>
    <w:rsid w:val="00C2442E"/>
    <w:rsid w:val="00C27273"/>
    <w:rsid w:val="00C31691"/>
    <w:rsid w:val="00C320F0"/>
    <w:rsid w:val="00C32B6A"/>
    <w:rsid w:val="00C34141"/>
    <w:rsid w:val="00C34B53"/>
    <w:rsid w:val="00C37192"/>
    <w:rsid w:val="00C377CA"/>
    <w:rsid w:val="00C37BB2"/>
    <w:rsid w:val="00C404E5"/>
    <w:rsid w:val="00C41EE9"/>
    <w:rsid w:val="00C43888"/>
    <w:rsid w:val="00C46800"/>
    <w:rsid w:val="00C47018"/>
    <w:rsid w:val="00C47DDD"/>
    <w:rsid w:val="00C51B2C"/>
    <w:rsid w:val="00C5219E"/>
    <w:rsid w:val="00C52809"/>
    <w:rsid w:val="00C52E1E"/>
    <w:rsid w:val="00C533C3"/>
    <w:rsid w:val="00C542FA"/>
    <w:rsid w:val="00C57985"/>
    <w:rsid w:val="00C61B65"/>
    <w:rsid w:val="00C625CB"/>
    <w:rsid w:val="00C63989"/>
    <w:rsid w:val="00C63A0A"/>
    <w:rsid w:val="00C64680"/>
    <w:rsid w:val="00C650CF"/>
    <w:rsid w:val="00C6783E"/>
    <w:rsid w:val="00C716A7"/>
    <w:rsid w:val="00C727F9"/>
    <w:rsid w:val="00C765A1"/>
    <w:rsid w:val="00C8117F"/>
    <w:rsid w:val="00C85075"/>
    <w:rsid w:val="00C87C61"/>
    <w:rsid w:val="00C87EB0"/>
    <w:rsid w:val="00C903D3"/>
    <w:rsid w:val="00C91831"/>
    <w:rsid w:val="00C9225C"/>
    <w:rsid w:val="00CA0091"/>
    <w:rsid w:val="00CA0C88"/>
    <w:rsid w:val="00CA0CAF"/>
    <w:rsid w:val="00CB015F"/>
    <w:rsid w:val="00CB0DE0"/>
    <w:rsid w:val="00CB358A"/>
    <w:rsid w:val="00CB56C3"/>
    <w:rsid w:val="00CB597D"/>
    <w:rsid w:val="00CC0B64"/>
    <w:rsid w:val="00CC2C19"/>
    <w:rsid w:val="00CC2D9C"/>
    <w:rsid w:val="00CC371C"/>
    <w:rsid w:val="00CC382E"/>
    <w:rsid w:val="00CC5CD0"/>
    <w:rsid w:val="00CC5F72"/>
    <w:rsid w:val="00CC7C54"/>
    <w:rsid w:val="00CD2C53"/>
    <w:rsid w:val="00CD5574"/>
    <w:rsid w:val="00CD55BF"/>
    <w:rsid w:val="00CD6235"/>
    <w:rsid w:val="00CD683B"/>
    <w:rsid w:val="00CD6B20"/>
    <w:rsid w:val="00CD77AA"/>
    <w:rsid w:val="00CE1044"/>
    <w:rsid w:val="00CE599F"/>
    <w:rsid w:val="00CE68BA"/>
    <w:rsid w:val="00CF00C7"/>
    <w:rsid w:val="00CF04F7"/>
    <w:rsid w:val="00D06DD9"/>
    <w:rsid w:val="00D0708F"/>
    <w:rsid w:val="00D07556"/>
    <w:rsid w:val="00D11292"/>
    <w:rsid w:val="00D12130"/>
    <w:rsid w:val="00D15437"/>
    <w:rsid w:val="00D15601"/>
    <w:rsid w:val="00D15A89"/>
    <w:rsid w:val="00D17E02"/>
    <w:rsid w:val="00D22403"/>
    <w:rsid w:val="00D25835"/>
    <w:rsid w:val="00D2583B"/>
    <w:rsid w:val="00D26375"/>
    <w:rsid w:val="00D36D5E"/>
    <w:rsid w:val="00D4017A"/>
    <w:rsid w:val="00D40310"/>
    <w:rsid w:val="00D4469C"/>
    <w:rsid w:val="00D4581F"/>
    <w:rsid w:val="00D45956"/>
    <w:rsid w:val="00D469CC"/>
    <w:rsid w:val="00D479AE"/>
    <w:rsid w:val="00D52672"/>
    <w:rsid w:val="00D528C1"/>
    <w:rsid w:val="00D53D0E"/>
    <w:rsid w:val="00D60843"/>
    <w:rsid w:val="00D61FA1"/>
    <w:rsid w:val="00D62ABA"/>
    <w:rsid w:val="00D645EF"/>
    <w:rsid w:val="00D65154"/>
    <w:rsid w:val="00D66818"/>
    <w:rsid w:val="00D675CF"/>
    <w:rsid w:val="00D675D1"/>
    <w:rsid w:val="00D67F84"/>
    <w:rsid w:val="00D75C57"/>
    <w:rsid w:val="00D8072E"/>
    <w:rsid w:val="00D8194D"/>
    <w:rsid w:val="00D87ED0"/>
    <w:rsid w:val="00D91C1A"/>
    <w:rsid w:val="00D933B2"/>
    <w:rsid w:val="00D93DF7"/>
    <w:rsid w:val="00D946AE"/>
    <w:rsid w:val="00D962C9"/>
    <w:rsid w:val="00D968DE"/>
    <w:rsid w:val="00D97B2F"/>
    <w:rsid w:val="00DA1B76"/>
    <w:rsid w:val="00DA274B"/>
    <w:rsid w:val="00DA474B"/>
    <w:rsid w:val="00DA642C"/>
    <w:rsid w:val="00DB07E1"/>
    <w:rsid w:val="00DB1372"/>
    <w:rsid w:val="00DB23B4"/>
    <w:rsid w:val="00DB274C"/>
    <w:rsid w:val="00DB2D3A"/>
    <w:rsid w:val="00DB2FDD"/>
    <w:rsid w:val="00DB55D8"/>
    <w:rsid w:val="00DC3611"/>
    <w:rsid w:val="00DC4FC7"/>
    <w:rsid w:val="00DC5AAE"/>
    <w:rsid w:val="00DD028F"/>
    <w:rsid w:val="00DD14B1"/>
    <w:rsid w:val="00DE2BBD"/>
    <w:rsid w:val="00DE5FE4"/>
    <w:rsid w:val="00DF23C5"/>
    <w:rsid w:val="00DF260A"/>
    <w:rsid w:val="00DF3D6A"/>
    <w:rsid w:val="00DF5A44"/>
    <w:rsid w:val="00DF6F56"/>
    <w:rsid w:val="00DF6FBE"/>
    <w:rsid w:val="00DF78EA"/>
    <w:rsid w:val="00DF7DDA"/>
    <w:rsid w:val="00E008A6"/>
    <w:rsid w:val="00E010F8"/>
    <w:rsid w:val="00E02AE7"/>
    <w:rsid w:val="00E031F2"/>
    <w:rsid w:val="00E14671"/>
    <w:rsid w:val="00E14DDF"/>
    <w:rsid w:val="00E165DD"/>
    <w:rsid w:val="00E1768A"/>
    <w:rsid w:val="00E2238B"/>
    <w:rsid w:val="00E22415"/>
    <w:rsid w:val="00E25AC8"/>
    <w:rsid w:val="00E25B5F"/>
    <w:rsid w:val="00E30715"/>
    <w:rsid w:val="00E309D2"/>
    <w:rsid w:val="00E32149"/>
    <w:rsid w:val="00E32685"/>
    <w:rsid w:val="00E32933"/>
    <w:rsid w:val="00E330B4"/>
    <w:rsid w:val="00E330E1"/>
    <w:rsid w:val="00E33107"/>
    <w:rsid w:val="00E331FC"/>
    <w:rsid w:val="00E33E13"/>
    <w:rsid w:val="00E3543E"/>
    <w:rsid w:val="00E362F0"/>
    <w:rsid w:val="00E36F7F"/>
    <w:rsid w:val="00E40275"/>
    <w:rsid w:val="00E40396"/>
    <w:rsid w:val="00E409D2"/>
    <w:rsid w:val="00E411C0"/>
    <w:rsid w:val="00E41A04"/>
    <w:rsid w:val="00E440E8"/>
    <w:rsid w:val="00E46520"/>
    <w:rsid w:val="00E47CC3"/>
    <w:rsid w:val="00E50FC5"/>
    <w:rsid w:val="00E52CEF"/>
    <w:rsid w:val="00E53B5B"/>
    <w:rsid w:val="00E53F4A"/>
    <w:rsid w:val="00E55EBE"/>
    <w:rsid w:val="00E66714"/>
    <w:rsid w:val="00E66B5E"/>
    <w:rsid w:val="00E710A0"/>
    <w:rsid w:val="00E73DFB"/>
    <w:rsid w:val="00E745F1"/>
    <w:rsid w:val="00E756CB"/>
    <w:rsid w:val="00E774C0"/>
    <w:rsid w:val="00E8149E"/>
    <w:rsid w:val="00E824A5"/>
    <w:rsid w:val="00E8311F"/>
    <w:rsid w:val="00E8396E"/>
    <w:rsid w:val="00E84F3A"/>
    <w:rsid w:val="00E900BF"/>
    <w:rsid w:val="00E9146D"/>
    <w:rsid w:val="00E91514"/>
    <w:rsid w:val="00E91789"/>
    <w:rsid w:val="00E925CE"/>
    <w:rsid w:val="00E92F71"/>
    <w:rsid w:val="00E932CD"/>
    <w:rsid w:val="00E94C16"/>
    <w:rsid w:val="00E95306"/>
    <w:rsid w:val="00EA10B0"/>
    <w:rsid w:val="00EA19B5"/>
    <w:rsid w:val="00EA381E"/>
    <w:rsid w:val="00EA3D94"/>
    <w:rsid w:val="00EA5AA0"/>
    <w:rsid w:val="00EB156A"/>
    <w:rsid w:val="00EB2796"/>
    <w:rsid w:val="00EB3985"/>
    <w:rsid w:val="00EB4D6E"/>
    <w:rsid w:val="00EB5264"/>
    <w:rsid w:val="00EB533C"/>
    <w:rsid w:val="00EB56E1"/>
    <w:rsid w:val="00EB68EF"/>
    <w:rsid w:val="00EB6CA7"/>
    <w:rsid w:val="00EB7F64"/>
    <w:rsid w:val="00EC221D"/>
    <w:rsid w:val="00EC2928"/>
    <w:rsid w:val="00EC3BDB"/>
    <w:rsid w:val="00EC6708"/>
    <w:rsid w:val="00ED031E"/>
    <w:rsid w:val="00ED6308"/>
    <w:rsid w:val="00ED67C7"/>
    <w:rsid w:val="00EE27A5"/>
    <w:rsid w:val="00EE2ACE"/>
    <w:rsid w:val="00EE336C"/>
    <w:rsid w:val="00EE4143"/>
    <w:rsid w:val="00EE63FC"/>
    <w:rsid w:val="00EE6AD6"/>
    <w:rsid w:val="00EE768A"/>
    <w:rsid w:val="00EF11BE"/>
    <w:rsid w:val="00EF1F86"/>
    <w:rsid w:val="00EF39BD"/>
    <w:rsid w:val="00EF44FA"/>
    <w:rsid w:val="00EF4D4D"/>
    <w:rsid w:val="00EF72F7"/>
    <w:rsid w:val="00F010A6"/>
    <w:rsid w:val="00F017E9"/>
    <w:rsid w:val="00F01FCE"/>
    <w:rsid w:val="00F04AFE"/>
    <w:rsid w:val="00F10358"/>
    <w:rsid w:val="00F107E3"/>
    <w:rsid w:val="00F120C8"/>
    <w:rsid w:val="00F12CCB"/>
    <w:rsid w:val="00F135FB"/>
    <w:rsid w:val="00F13DE2"/>
    <w:rsid w:val="00F16FAC"/>
    <w:rsid w:val="00F2008F"/>
    <w:rsid w:val="00F2219C"/>
    <w:rsid w:val="00F2281C"/>
    <w:rsid w:val="00F25F94"/>
    <w:rsid w:val="00F3010D"/>
    <w:rsid w:val="00F358A9"/>
    <w:rsid w:val="00F35A42"/>
    <w:rsid w:val="00F37C5F"/>
    <w:rsid w:val="00F40258"/>
    <w:rsid w:val="00F40332"/>
    <w:rsid w:val="00F41E6A"/>
    <w:rsid w:val="00F434A5"/>
    <w:rsid w:val="00F434E9"/>
    <w:rsid w:val="00F44B19"/>
    <w:rsid w:val="00F479F4"/>
    <w:rsid w:val="00F529B0"/>
    <w:rsid w:val="00F529D2"/>
    <w:rsid w:val="00F53FA7"/>
    <w:rsid w:val="00F57579"/>
    <w:rsid w:val="00F61599"/>
    <w:rsid w:val="00F622CB"/>
    <w:rsid w:val="00F62744"/>
    <w:rsid w:val="00F62C92"/>
    <w:rsid w:val="00F631A6"/>
    <w:rsid w:val="00F65B2A"/>
    <w:rsid w:val="00F673E8"/>
    <w:rsid w:val="00F67AA4"/>
    <w:rsid w:val="00F72A3D"/>
    <w:rsid w:val="00F809C7"/>
    <w:rsid w:val="00F80F35"/>
    <w:rsid w:val="00F849B6"/>
    <w:rsid w:val="00F8519F"/>
    <w:rsid w:val="00F85607"/>
    <w:rsid w:val="00F91B54"/>
    <w:rsid w:val="00F934D9"/>
    <w:rsid w:val="00F95B5A"/>
    <w:rsid w:val="00FA5AE3"/>
    <w:rsid w:val="00FA79ED"/>
    <w:rsid w:val="00FA7D03"/>
    <w:rsid w:val="00FB56F5"/>
    <w:rsid w:val="00FB7431"/>
    <w:rsid w:val="00FC526D"/>
    <w:rsid w:val="00FC5614"/>
    <w:rsid w:val="00FC5622"/>
    <w:rsid w:val="00FD253C"/>
    <w:rsid w:val="00FD427B"/>
    <w:rsid w:val="00FD6B0E"/>
    <w:rsid w:val="00FD6B99"/>
    <w:rsid w:val="00FE1CDE"/>
    <w:rsid w:val="00FE2832"/>
    <w:rsid w:val="00FE2B1D"/>
    <w:rsid w:val="00FE3CFD"/>
    <w:rsid w:val="00FE48A2"/>
    <w:rsid w:val="00FF4B99"/>
    <w:rsid w:val="00FF7CD7"/>
    <w:rsid w:val="03C26BD1"/>
    <w:rsid w:val="03D4208C"/>
    <w:rsid w:val="05017C52"/>
    <w:rsid w:val="07DF2906"/>
    <w:rsid w:val="09EA05ED"/>
    <w:rsid w:val="0A8F6E15"/>
    <w:rsid w:val="0E582E2F"/>
    <w:rsid w:val="0EBA50FE"/>
    <w:rsid w:val="112C3C37"/>
    <w:rsid w:val="12E52961"/>
    <w:rsid w:val="15252FF1"/>
    <w:rsid w:val="15375E62"/>
    <w:rsid w:val="16D42CDF"/>
    <w:rsid w:val="17B648CC"/>
    <w:rsid w:val="17D95673"/>
    <w:rsid w:val="187327BD"/>
    <w:rsid w:val="18AA2444"/>
    <w:rsid w:val="19AF639F"/>
    <w:rsid w:val="1B331D07"/>
    <w:rsid w:val="1BDB2B53"/>
    <w:rsid w:val="1D6C1F47"/>
    <w:rsid w:val="20FF14F2"/>
    <w:rsid w:val="21550065"/>
    <w:rsid w:val="245B38D1"/>
    <w:rsid w:val="251E1D03"/>
    <w:rsid w:val="29732512"/>
    <w:rsid w:val="29DF5830"/>
    <w:rsid w:val="2B1C386E"/>
    <w:rsid w:val="2B1E480B"/>
    <w:rsid w:val="2B700882"/>
    <w:rsid w:val="2CC118F2"/>
    <w:rsid w:val="2E2D7C9E"/>
    <w:rsid w:val="2E66470A"/>
    <w:rsid w:val="34483C32"/>
    <w:rsid w:val="3A6A32CA"/>
    <w:rsid w:val="3BCD6E7C"/>
    <w:rsid w:val="3C0D06AF"/>
    <w:rsid w:val="3C6A0C14"/>
    <w:rsid w:val="3FBC05FB"/>
    <w:rsid w:val="41C773E2"/>
    <w:rsid w:val="47884B7D"/>
    <w:rsid w:val="4B9A1834"/>
    <w:rsid w:val="4BD642F8"/>
    <w:rsid w:val="4D4C3002"/>
    <w:rsid w:val="4F966801"/>
    <w:rsid w:val="55A14C92"/>
    <w:rsid w:val="575C3274"/>
    <w:rsid w:val="588418A2"/>
    <w:rsid w:val="5BB444F4"/>
    <w:rsid w:val="5F9B7AE0"/>
    <w:rsid w:val="5FF4247C"/>
    <w:rsid w:val="64095E7F"/>
    <w:rsid w:val="64414325"/>
    <w:rsid w:val="649050FB"/>
    <w:rsid w:val="658C7FE7"/>
    <w:rsid w:val="66411775"/>
    <w:rsid w:val="68B57855"/>
    <w:rsid w:val="6A053438"/>
    <w:rsid w:val="6A523D98"/>
    <w:rsid w:val="6B0008F1"/>
    <w:rsid w:val="6BC308DC"/>
    <w:rsid w:val="6BC960D2"/>
    <w:rsid w:val="6BD46E9D"/>
    <w:rsid w:val="6DEE7A91"/>
    <w:rsid w:val="6E6931FA"/>
    <w:rsid w:val="743E4BA3"/>
    <w:rsid w:val="74471885"/>
    <w:rsid w:val="75E7254A"/>
    <w:rsid w:val="7851049C"/>
    <w:rsid w:val="791D122B"/>
    <w:rsid w:val="7AE96FDE"/>
    <w:rsid w:val="7C0E57AD"/>
    <w:rsid w:val="7D996D0B"/>
    <w:rsid w:val="7FBF3D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iPriority="39" w:semiHidden="0"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38"/>
    <w:semiHidden/>
    <w:unhideWhenUsed/>
    <w:qFormat/>
    <w:uiPriority w:val="9"/>
    <w:pPr>
      <w:keepNext/>
      <w:keepLines/>
      <w:spacing w:before="260" w:after="260" w:line="416" w:lineRule="auto"/>
      <w:outlineLvl w:val="2"/>
    </w:pPr>
    <w:rPr>
      <w:b/>
      <w:bCs/>
      <w:sz w:val="32"/>
      <w:szCs w:val="32"/>
    </w:rPr>
  </w:style>
  <w:style w:type="paragraph" w:styleId="3">
    <w:name w:val="heading 6"/>
    <w:basedOn w:val="1"/>
    <w:next w:val="1"/>
    <w:link w:val="22"/>
    <w:qFormat/>
    <w:uiPriority w:val="0"/>
    <w:pPr>
      <w:keepNext/>
      <w:keepLines/>
      <w:spacing w:before="240" w:after="64" w:line="320" w:lineRule="auto"/>
      <w:outlineLvl w:val="5"/>
    </w:pPr>
    <w:rPr>
      <w:rFonts w:ascii="Arial" w:hAnsi="Arial" w:eastAsia="黑体"/>
      <w:b/>
      <w:bCs/>
      <w:sz w:val="24"/>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tabs>
        <w:tab w:val="right" w:leader="dot" w:pos="9344"/>
      </w:tabs>
      <w:adjustRightInd w:val="0"/>
      <w:spacing w:line="300" w:lineRule="exact"/>
      <w:ind w:left="1259"/>
    </w:pPr>
    <w:rPr>
      <w:rFonts w:ascii="宋体" w:hAnsi="Calibri"/>
      <w:szCs w:val="21"/>
    </w:rPr>
  </w:style>
  <w:style w:type="paragraph" w:styleId="5">
    <w:name w:val="annotation text"/>
    <w:basedOn w:val="1"/>
    <w:link w:val="35"/>
    <w:semiHidden/>
    <w:unhideWhenUsed/>
    <w:qFormat/>
    <w:uiPriority w:val="99"/>
    <w:pPr>
      <w:jc w:val="left"/>
    </w:pPr>
  </w:style>
  <w:style w:type="paragraph" w:styleId="6">
    <w:name w:val="Balloon Text"/>
    <w:basedOn w:val="1"/>
    <w:link w:val="34"/>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rPr>
      <w:sz w:val="24"/>
    </w:rPr>
  </w:style>
  <w:style w:type="paragraph" w:styleId="10">
    <w:name w:val="annotation subject"/>
    <w:basedOn w:val="5"/>
    <w:next w:val="5"/>
    <w:link w:val="36"/>
    <w:semiHidden/>
    <w:unhideWhenUsed/>
    <w:qFormat/>
    <w:uiPriority w:val="99"/>
    <w:rPr>
      <w:b/>
      <w:bCs/>
    </w:rPr>
  </w:style>
  <w:style w:type="character" w:styleId="13">
    <w:name w:val="Hyperlink"/>
    <w:basedOn w:val="12"/>
    <w:qFormat/>
    <w:uiPriority w:val="0"/>
    <w:rPr>
      <w:color w:val="2440B3"/>
      <w:u w:val="single"/>
    </w:rPr>
  </w:style>
  <w:style w:type="character" w:styleId="14">
    <w:name w:val="annotation reference"/>
    <w:basedOn w:val="12"/>
    <w:semiHidden/>
    <w:unhideWhenUsed/>
    <w:qFormat/>
    <w:uiPriority w:val="99"/>
    <w:rPr>
      <w:sz w:val="21"/>
      <w:szCs w:val="21"/>
    </w:rPr>
  </w:style>
  <w:style w:type="paragraph" w:customStyle="1" w:styleId="15">
    <w:name w:val="BodyText2"/>
    <w:qFormat/>
    <w:uiPriority w:val="0"/>
    <w:pPr>
      <w:widowControl w:val="0"/>
      <w:spacing w:after="120" w:line="480" w:lineRule="auto"/>
      <w:jc w:val="both"/>
      <w:textAlignment w:val="baseline"/>
    </w:pPr>
    <w:rPr>
      <w:rFonts w:ascii="Calibri" w:hAnsi="Calibri" w:eastAsia="宋体" w:cs="Times New Roman"/>
      <w:kern w:val="2"/>
      <w:sz w:val="32"/>
      <w:szCs w:val="32"/>
      <w:lang w:val="en-US" w:eastAsia="zh-CN" w:bidi="ar-SA"/>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段 Char"/>
    <w:link w:val="19"/>
    <w:qFormat/>
    <w:uiPriority w:val="0"/>
    <w:rPr>
      <w:rFonts w:ascii="宋体"/>
    </w:rPr>
  </w:style>
  <w:style w:type="paragraph" w:customStyle="1" w:styleId="19">
    <w:name w:val="段"/>
    <w:link w:val="18"/>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0">
    <w:name w:val="章标题"/>
    <w:next w:val="19"/>
    <w:qFormat/>
    <w:uiPriority w:val="0"/>
    <w:pPr>
      <w:tabs>
        <w:tab w:val="left" w:pos="360"/>
      </w:tabs>
      <w:spacing w:beforeLines="100" w:afterLines="100"/>
      <w:jc w:val="both"/>
      <w:outlineLvl w:val="1"/>
    </w:pPr>
    <w:rPr>
      <w:rFonts w:ascii="黑体" w:hAnsi="Times New Roman" w:eastAsia="黑体" w:cs="Times New Roman"/>
      <w:sz w:val="21"/>
      <w:lang w:val="en-US" w:eastAsia="zh-CN" w:bidi="ar-SA"/>
    </w:rPr>
  </w:style>
  <w:style w:type="paragraph" w:customStyle="1" w:styleId="21">
    <w:name w:val="二级无"/>
    <w:basedOn w:val="1"/>
    <w:qFormat/>
    <w:uiPriority w:val="0"/>
    <w:pPr>
      <w:widowControl/>
      <w:numPr>
        <w:ilvl w:val="2"/>
        <w:numId w:val="1"/>
      </w:numPr>
      <w:jc w:val="left"/>
      <w:outlineLvl w:val="3"/>
    </w:pPr>
    <w:rPr>
      <w:rFonts w:ascii="宋体"/>
      <w:kern w:val="0"/>
      <w:szCs w:val="21"/>
    </w:rPr>
  </w:style>
  <w:style w:type="character" w:customStyle="1" w:styleId="22">
    <w:name w:val="标题 6 字符"/>
    <w:basedOn w:val="12"/>
    <w:link w:val="3"/>
    <w:qFormat/>
    <w:uiPriority w:val="0"/>
    <w:rPr>
      <w:rFonts w:ascii="Arial" w:hAnsi="Arial" w:eastAsia="黑体" w:cs="Times New Roman"/>
      <w:b/>
      <w:bCs/>
      <w:sz w:val="24"/>
      <w:szCs w:val="24"/>
    </w:rPr>
  </w:style>
  <w:style w:type="paragraph" w:customStyle="1" w:styleId="23">
    <w:name w:val="标准文件_段"/>
    <w:link w:val="2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4">
    <w:name w:val="标准文件_段 Char"/>
    <w:link w:val="23"/>
    <w:qFormat/>
    <w:uiPriority w:val="0"/>
    <w:rPr>
      <w:rFonts w:ascii="宋体" w:hAnsi="Times New Roman" w:eastAsia="宋体" w:cs="Times New Roman"/>
      <w:kern w:val="0"/>
      <w:szCs w:val="20"/>
    </w:rPr>
  </w:style>
  <w:style w:type="paragraph" w:customStyle="1" w:styleId="25">
    <w:name w:val="标准文件_二级条标题"/>
    <w:next w:val="23"/>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6">
    <w:name w:val="标准文件_三级条标题"/>
    <w:basedOn w:val="25"/>
    <w:next w:val="23"/>
    <w:qFormat/>
    <w:uiPriority w:val="0"/>
    <w:pPr>
      <w:widowControl/>
      <w:numPr>
        <w:ilvl w:val="4"/>
      </w:numPr>
      <w:outlineLvl w:val="3"/>
    </w:pPr>
  </w:style>
  <w:style w:type="paragraph" w:customStyle="1" w:styleId="27">
    <w:name w:val="标准文件_四级条标题"/>
    <w:next w:val="23"/>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8">
    <w:name w:val="标准文件_五级条标题"/>
    <w:next w:val="23"/>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29">
    <w:name w:val="标准文件_章标题"/>
    <w:next w:val="23"/>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30">
    <w:name w:val="标准文件_一级条标题"/>
    <w:basedOn w:val="29"/>
    <w:next w:val="23"/>
    <w:qFormat/>
    <w:uiPriority w:val="0"/>
    <w:pPr>
      <w:numPr>
        <w:ilvl w:val="2"/>
      </w:numPr>
      <w:spacing w:beforeLines="50" w:afterLines="50"/>
      <w:outlineLvl w:val="1"/>
    </w:pPr>
  </w:style>
  <w:style w:type="paragraph" w:customStyle="1" w:styleId="31">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2">
    <w:name w:val="标准文件_四级无标题"/>
    <w:basedOn w:val="27"/>
    <w:qFormat/>
    <w:uiPriority w:val="0"/>
    <w:pPr>
      <w:numPr>
        <w:numId w:val="3"/>
      </w:numPr>
      <w:spacing w:beforeLines="0"/>
      <w:outlineLvl w:val="9"/>
    </w:pPr>
    <w:rPr>
      <w:rFonts w:hint="eastAsia" w:ascii="宋体" w:hAnsi="宋体" w:eastAsia="宋体"/>
      <w:szCs w:val="52"/>
    </w:rPr>
  </w:style>
  <w:style w:type="paragraph" w:customStyle="1" w:styleId="33">
    <w:name w:val="标准文件_三级无标题"/>
    <w:qFormat/>
    <w:uiPriority w:val="0"/>
    <w:pPr>
      <w:numPr>
        <w:ilvl w:val="4"/>
        <w:numId w:val="4"/>
      </w:numPr>
      <w:jc w:val="both"/>
    </w:pPr>
    <w:rPr>
      <w:rFonts w:hint="eastAsia" w:ascii="宋体" w:hAnsi="Times New Roman" w:eastAsia="宋体" w:cs="Times New Roman"/>
      <w:sz w:val="21"/>
      <w:lang w:val="en-US" w:eastAsia="zh-CN" w:bidi="ar-SA"/>
    </w:rPr>
  </w:style>
  <w:style w:type="character" w:customStyle="1" w:styleId="34">
    <w:name w:val="批注框文本 字符"/>
    <w:basedOn w:val="12"/>
    <w:link w:val="6"/>
    <w:semiHidden/>
    <w:qFormat/>
    <w:uiPriority w:val="99"/>
    <w:rPr>
      <w:kern w:val="2"/>
      <w:sz w:val="18"/>
      <w:szCs w:val="18"/>
    </w:rPr>
  </w:style>
  <w:style w:type="character" w:customStyle="1" w:styleId="35">
    <w:name w:val="批注文字 字符"/>
    <w:basedOn w:val="12"/>
    <w:link w:val="5"/>
    <w:semiHidden/>
    <w:qFormat/>
    <w:uiPriority w:val="99"/>
    <w:rPr>
      <w:kern w:val="2"/>
      <w:sz w:val="21"/>
      <w:szCs w:val="24"/>
    </w:rPr>
  </w:style>
  <w:style w:type="character" w:customStyle="1" w:styleId="36">
    <w:name w:val="批注主题 字符"/>
    <w:basedOn w:val="35"/>
    <w:link w:val="10"/>
    <w:semiHidden/>
    <w:qFormat/>
    <w:uiPriority w:val="99"/>
    <w:rPr>
      <w:b/>
      <w:bCs/>
      <w:kern w:val="2"/>
      <w:sz w:val="21"/>
      <w:szCs w:val="24"/>
    </w:rPr>
  </w:style>
  <w:style w:type="character" w:customStyle="1" w:styleId="37">
    <w:name w:val="Unresolved Mention"/>
    <w:basedOn w:val="12"/>
    <w:semiHidden/>
    <w:unhideWhenUsed/>
    <w:qFormat/>
    <w:uiPriority w:val="99"/>
    <w:rPr>
      <w:color w:val="605E5C"/>
      <w:shd w:val="clear" w:color="auto" w:fill="E1DFDD"/>
    </w:rPr>
  </w:style>
  <w:style w:type="character" w:customStyle="1" w:styleId="38">
    <w:name w:val="标题 3 字符"/>
    <w:basedOn w:val="12"/>
    <w:link w:val="2"/>
    <w:semiHidden/>
    <w:uiPriority w:val="9"/>
    <w:rPr>
      <w:b/>
      <w:bCs/>
      <w:kern w:val="2"/>
      <w:sz w:val="32"/>
      <w:szCs w:val="32"/>
    </w:rPr>
  </w:style>
  <w:style w:type="paragraph" w:styleId="3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64D-3104-4E9C-9911-69C19A5C82C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7804</Words>
  <Characters>8179</Characters>
  <Lines>62</Lines>
  <Paragraphs>17</Paragraphs>
  <TotalTime>0</TotalTime>
  <ScaleCrop>false</ScaleCrop>
  <LinksUpToDate>false</LinksUpToDate>
  <CharactersWithSpaces>8322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2023-04-15T03:33:00Z</dcterms:created>
  <dc:creator>xiaojie man</dc:creator>
  <cp:lastModifiedBy>冯流莹</cp:lastModifiedBy>
  <cp:lastPrinted>2022-04-13T10:14:00Z</cp:lastPrinted>
  <dcterms:modified xsi:type="dcterms:W3CDTF">2025-09-28T01:18:24Z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6F9D5E69C9AC4C2AAAB20774EDB0DBB7_13</vt:lpwstr>
  </property>
  <property fmtid="{D5CDD505-2E9C-101B-9397-08002B2CF9AE}" pid="4" name="KSOTemplateDocerSaveRecord">
    <vt:lpwstr>eyJoZGlkIjoiOGFkZjVhNDJiMGExNWUxMjVmMmMwZDU4OWJmZWEzNzAiLCJ1c2VySWQiOiIyNDQ0MTQwMzQifQ==</vt:lpwstr>
  </property>
</Properties>
</file>