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06E">
      <w:pPr>
        <w:jc w:val="center"/>
        <w:rPr>
          <w:rFonts w:hint="eastAsia" w:ascii="方正小标宋简体" w:eastAsia="方正小标宋简体" w:cs="仿宋_GB2312"/>
          <w:b w:val="0"/>
          <w:bCs/>
          <w:color w:val="000000"/>
          <w:sz w:val="36"/>
          <w:szCs w:val="32"/>
        </w:rPr>
      </w:pPr>
      <w:r>
        <w:rPr>
          <w:rFonts w:hint="eastAsia" w:ascii="方正小标宋简体" w:eastAsia="方正小标宋简体" w:cs="仿宋_GB2312"/>
          <w:b w:val="0"/>
          <w:bCs/>
          <w:color w:val="000000"/>
          <w:sz w:val="36"/>
          <w:szCs w:val="32"/>
        </w:rPr>
        <w:t>团体标准《</w:t>
      </w:r>
      <w:r>
        <w:rPr>
          <w:rFonts w:hint="eastAsia" w:ascii="方正小标宋简体" w:eastAsia="方正小标宋简体" w:cs="仿宋_GB2312"/>
          <w:b w:val="0"/>
          <w:bCs/>
          <w:color w:val="000000"/>
          <w:sz w:val="36"/>
          <w:szCs w:val="32"/>
          <w:lang w:eastAsia="zh-CN"/>
        </w:rPr>
        <w:t>抗肿瘤药物临床试验护理工作规范</w:t>
      </w:r>
      <w:r>
        <w:rPr>
          <w:rFonts w:hint="eastAsia" w:ascii="方正小标宋简体" w:eastAsia="方正小标宋简体" w:cs="仿宋_GB2312"/>
          <w:b w:val="0"/>
          <w:bCs/>
          <w:color w:val="000000"/>
          <w:sz w:val="36"/>
          <w:szCs w:val="32"/>
        </w:rPr>
        <w:t>》</w:t>
      </w:r>
    </w:p>
    <w:p w14:paraId="3849E0FA">
      <w:pPr>
        <w:jc w:val="center"/>
        <w:rPr>
          <w:rFonts w:ascii="方正小标宋简体" w:eastAsia="方正小标宋简体" w:cs="仿宋_GB2312"/>
          <w:b w:val="0"/>
          <w:bCs/>
          <w:color w:val="000000"/>
          <w:sz w:val="36"/>
          <w:szCs w:val="32"/>
        </w:rPr>
      </w:pPr>
      <w:bookmarkStart w:id="6" w:name="_GoBack"/>
      <w:bookmarkEnd w:id="6"/>
      <w:r>
        <w:rPr>
          <w:rFonts w:hint="eastAsia" w:ascii="方正小标宋简体" w:eastAsia="方正小标宋简体" w:cs="仿宋_GB2312"/>
          <w:b w:val="0"/>
          <w:bCs/>
          <w:color w:val="000000"/>
          <w:sz w:val="36"/>
          <w:szCs w:val="32"/>
        </w:rPr>
        <w:t>（</w:t>
      </w:r>
      <w:r>
        <w:rPr>
          <w:rFonts w:hint="eastAsia" w:ascii="方正小标宋简体" w:eastAsia="方正小标宋简体" w:cs="仿宋_GB2312"/>
          <w:b w:val="0"/>
          <w:bCs/>
          <w:color w:val="000000"/>
          <w:sz w:val="36"/>
          <w:szCs w:val="32"/>
          <w:lang w:val="en-US" w:eastAsia="zh-CN"/>
        </w:rPr>
        <w:t>征求意见</w:t>
      </w:r>
      <w:r>
        <w:rPr>
          <w:rFonts w:hint="eastAsia" w:ascii="方正小标宋简体" w:eastAsia="方正小标宋简体" w:cs="仿宋_GB2312"/>
          <w:b w:val="0"/>
          <w:bCs/>
          <w:color w:val="000000"/>
          <w:sz w:val="36"/>
          <w:szCs w:val="32"/>
        </w:rPr>
        <w:t>稿）编制说明</w:t>
      </w:r>
    </w:p>
    <w:p w14:paraId="01B1F6BF">
      <w:pPr>
        <w:jc w:val="center"/>
        <w:rPr>
          <w:rFonts w:ascii="方正小标宋简体" w:eastAsia="方正小标宋简体" w:cs="仿宋_GB2312"/>
          <w:bCs/>
          <w:color w:val="000000"/>
          <w:sz w:val="18"/>
          <w:szCs w:val="18"/>
        </w:rPr>
      </w:pPr>
    </w:p>
    <w:p w14:paraId="3DA60CA7">
      <w:pPr>
        <w:spacing w:line="520" w:lineRule="exact"/>
        <w:ind w:firstLine="640" w:firstLineChars="200"/>
        <w:rPr>
          <w:rFonts w:ascii="黑体" w:eastAsia="黑体" w:cs="仿宋_GB2312"/>
          <w:bCs/>
          <w:sz w:val="32"/>
          <w:szCs w:val="32"/>
        </w:rPr>
      </w:pPr>
      <w:r>
        <w:rPr>
          <w:rFonts w:hint="eastAsia" w:ascii="黑体" w:eastAsia="黑体" w:cs="仿宋_GB2312"/>
          <w:sz w:val="32"/>
          <w:szCs w:val="32"/>
        </w:rPr>
        <w:t>一、任务来源、起草单位、主要起草人</w:t>
      </w:r>
    </w:p>
    <w:p w14:paraId="7AF89231">
      <w:pPr>
        <w:spacing w:line="520" w:lineRule="exact"/>
        <w:ind w:firstLine="560" w:firstLineChars="200"/>
        <w:rPr>
          <w:rFonts w:ascii="仿宋_GB2312" w:eastAsia="仿宋_GB2312"/>
          <w:sz w:val="28"/>
          <w:szCs w:val="28"/>
        </w:rPr>
      </w:pPr>
      <w:r>
        <w:rPr>
          <w:rFonts w:hint="eastAsia" w:ascii="仿宋_GB2312" w:eastAsia="仿宋_GB2312"/>
          <w:sz w:val="28"/>
          <w:szCs w:val="28"/>
        </w:rPr>
        <w:t>根据《广西标准化协会关于下达2025年第二十七批团体标准制修订项目计划的通知》（桂标协[2025]251号）文件精神，由广西医科大学附属肿瘤医院提出，广西医科大学附属肿瘤医院、广西壮族自治区人民医院、南宁市第一人民医院等单位共同起草的团体标准《</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》（项目编号：2025-</w:t>
      </w:r>
      <w:r>
        <w:rPr>
          <w:rFonts w:hint="eastAsia" w:ascii="仿宋_GB2312" w:eastAsia="仿宋_GB2312"/>
          <w:sz w:val="28"/>
          <w:szCs w:val="28"/>
          <w:lang w:val="en-US" w:eastAsia="zh-CN"/>
        </w:rPr>
        <w:t>27</w:t>
      </w:r>
      <w:r>
        <w:rPr>
          <w:rFonts w:hint="eastAsia" w:ascii="仿宋_GB2312" w:eastAsia="仿宋_GB2312"/>
          <w:sz w:val="28"/>
          <w:szCs w:val="28"/>
        </w:rPr>
        <w:t>0</w:t>
      </w:r>
      <w:r>
        <w:rPr>
          <w:rFonts w:hint="eastAsia" w:ascii="仿宋_GB2312" w:eastAsia="仿宋_GB2312"/>
          <w:sz w:val="28"/>
          <w:szCs w:val="28"/>
          <w:lang w:val="en-US" w:eastAsia="zh-CN"/>
        </w:rPr>
        <w:t>4</w:t>
      </w:r>
      <w:r>
        <w:rPr>
          <w:rFonts w:hint="eastAsia" w:ascii="仿宋_GB2312" w:eastAsia="仿宋_GB2312"/>
          <w:sz w:val="28"/>
          <w:szCs w:val="28"/>
        </w:rPr>
        <w:t>），已获立项。</w:t>
      </w:r>
    </w:p>
    <w:p w14:paraId="25869A75">
      <w:pPr>
        <w:spacing w:line="520" w:lineRule="exact"/>
        <w:ind w:firstLine="560" w:firstLineChars="200"/>
        <w:rPr>
          <w:rFonts w:hint="eastAsia" w:eastAsia="仿宋_GB2312"/>
          <w:color w:val="0000FF"/>
          <w:lang w:val="en-US" w:eastAsia="zh-CN"/>
        </w:rPr>
      </w:pPr>
      <w:r>
        <w:rPr>
          <w:rFonts w:hint="eastAsia" w:ascii="仿宋_GB2312" w:eastAsia="仿宋_GB2312"/>
          <w:sz w:val="28"/>
          <w:szCs w:val="28"/>
        </w:rPr>
        <w:t>为高质量编制团体标准《</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》，由起草单位成立标准编制工作组并进行如下分工：</w:t>
      </w:r>
    </w:p>
    <w:tbl>
      <w:tblPr>
        <w:tblStyle w:val="14"/>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608"/>
        <w:gridCol w:w="1696"/>
        <w:gridCol w:w="2146"/>
        <w:gridCol w:w="2625"/>
      </w:tblGrid>
      <w:tr w14:paraId="65EB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0FD94664">
            <w:pPr>
              <w:widowControl w:val="0"/>
              <w:tabs>
                <w:tab w:val="center" w:pos="4153"/>
                <w:tab w:val="right" w:pos="8306"/>
              </w:tabs>
              <w:snapToGrid w:val="0"/>
              <w:spacing w:line="240" w:lineRule="auto"/>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姓名</w:t>
            </w:r>
          </w:p>
        </w:tc>
        <w:tc>
          <w:tcPr>
            <w:tcW w:w="1608" w:type="dxa"/>
            <w:vAlign w:val="center"/>
          </w:tcPr>
          <w:p w14:paraId="7C28B283">
            <w:pPr>
              <w:widowControl w:val="0"/>
              <w:tabs>
                <w:tab w:val="center" w:pos="4153"/>
                <w:tab w:val="right" w:pos="8306"/>
              </w:tabs>
              <w:snapToGrid w:val="0"/>
              <w:spacing w:line="240" w:lineRule="auto"/>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职称/职务</w:t>
            </w:r>
          </w:p>
        </w:tc>
        <w:tc>
          <w:tcPr>
            <w:tcW w:w="1696" w:type="dxa"/>
            <w:vAlign w:val="center"/>
          </w:tcPr>
          <w:p w14:paraId="3DE385BA">
            <w:pPr>
              <w:widowControl w:val="0"/>
              <w:tabs>
                <w:tab w:val="center" w:pos="4153"/>
                <w:tab w:val="right" w:pos="8306"/>
              </w:tabs>
              <w:snapToGrid w:val="0"/>
              <w:spacing w:line="240" w:lineRule="auto"/>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专业</w:t>
            </w:r>
          </w:p>
        </w:tc>
        <w:tc>
          <w:tcPr>
            <w:tcW w:w="2146" w:type="dxa"/>
            <w:vAlign w:val="center"/>
          </w:tcPr>
          <w:p w14:paraId="5660C8C4">
            <w:pPr>
              <w:widowControl w:val="0"/>
              <w:tabs>
                <w:tab w:val="center" w:pos="4153"/>
                <w:tab w:val="right" w:pos="8306"/>
              </w:tabs>
              <w:snapToGrid w:val="0"/>
              <w:spacing w:line="240" w:lineRule="auto"/>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工作单位</w:t>
            </w:r>
          </w:p>
        </w:tc>
        <w:tc>
          <w:tcPr>
            <w:tcW w:w="2625" w:type="dxa"/>
            <w:vAlign w:val="center"/>
          </w:tcPr>
          <w:p w14:paraId="72B42D60">
            <w:pPr>
              <w:widowControl w:val="0"/>
              <w:tabs>
                <w:tab w:val="center" w:pos="4153"/>
                <w:tab w:val="right" w:pos="8306"/>
              </w:tabs>
              <w:snapToGrid w:val="0"/>
              <w:spacing w:line="240" w:lineRule="auto"/>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职责分工</w:t>
            </w:r>
          </w:p>
        </w:tc>
      </w:tr>
      <w:tr w14:paraId="47FC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1E990EA3">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甘海洁</w:t>
            </w:r>
          </w:p>
        </w:tc>
        <w:tc>
          <w:tcPr>
            <w:tcW w:w="1608" w:type="dxa"/>
            <w:vAlign w:val="center"/>
          </w:tcPr>
          <w:p w14:paraId="5E8C3F52">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主任护师</w:t>
            </w:r>
            <w:r>
              <w:rPr>
                <w:rFonts w:hint="eastAsia" w:ascii="仿宋_GB2312" w:hAnsi="仿宋_GB2312" w:eastAsia="仿宋_GB2312" w:cs="仿宋_GB2312"/>
                <w:sz w:val="24"/>
                <w:lang w:val="en-US" w:eastAsia="zh-CN" w:bidi="ar"/>
              </w:rPr>
              <w:t>/护士长</w:t>
            </w:r>
          </w:p>
        </w:tc>
        <w:tc>
          <w:tcPr>
            <w:tcW w:w="1696" w:type="dxa"/>
            <w:vAlign w:val="center"/>
          </w:tcPr>
          <w:p w14:paraId="476A8939">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w:t>
            </w:r>
            <w:r>
              <w:rPr>
                <w:rFonts w:hint="eastAsia" w:ascii="仿宋_GB2312" w:hAnsi="仿宋_GB2312" w:eastAsia="仿宋_GB2312" w:cs="仿宋_GB2312"/>
                <w:sz w:val="24"/>
                <w:lang w:bidi="ar"/>
              </w:rPr>
              <w:t>护理管理</w:t>
            </w:r>
          </w:p>
        </w:tc>
        <w:tc>
          <w:tcPr>
            <w:tcW w:w="2146" w:type="dxa"/>
            <w:vAlign w:val="center"/>
          </w:tcPr>
          <w:p w14:paraId="1559D696">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1EB93519">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统筹主持标准编制工作</w:t>
            </w:r>
          </w:p>
        </w:tc>
      </w:tr>
      <w:tr w14:paraId="4E44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0F31107E">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雷奕</w:t>
            </w:r>
          </w:p>
        </w:tc>
        <w:tc>
          <w:tcPr>
            <w:tcW w:w="1608" w:type="dxa"/>
            <w:vAlign w:val="center"/>
          </w:tcPr>
          <w:p w14:paraId="2A787427">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主任护师/护理部副主任</w:t>
            </w:r>
          </w:p>
        </w:tc>
        <w:tc>
          <w:tcPr>
            <w:tcW w:w="1696" w:type="dxa"/>
            <w:vAlign w:val="center"/>
          </w:tcPr>
          <w:p w14:paraId="2DCF28D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护理学/护理管理</w:t>
            </w:r>
          </w:p>
        </w:tc>
        <w:tc>
          <w:tcPr>
            <w:tcW w:w="2146" w:type="dxa"/>
            <w:vAlign w:val="center"/>
          </w:tcPr>
          <w:p w14:paraId="1A8FD82F">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广西医科大学附属肿瘤医院</w:t>
            </w:r>
          </w:p>
        </w:tc>
        <w:tc>
          <w:tcPr>
            <w:tcW w:w="2625" w:type="dxa"/>
            <w:vAlign w:val="center"/>
          </w:tcPr>
          <w:p w14:paraId="7865688A">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参与标准文本及编制说明编写，质量控制</w:t>
            </w:r>
          </w:p>
        </w:tc>
      </w:tr>
      <w:tr w14:paraId="78A1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45863385">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汪莉</w:t>
            </w:r>
          </w:p>
        </w:tc>
        <w:tc>
          <w:tcPr>
            <w:tcW w:w="1608" w:type="dxa"/>
            <w:vAlign w:val="center"/>
          </w:tcPr>
          <w:p w14:paraId="7BAB419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主任护师</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护理部主任</w:t>
            </w:r>
          </w:p>
        </w:tc>
        <w:tc>
          <w:tcPr>
            <w:tcW w:w="1696" w:type="dxa"/>
            <w:vAlign w:val="center"/>
          </w:tcPr>
          <w:p w14:paraId="3C196695">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w:t>
            </w:r>
            <w:r>
              <w:rPr>
                <w:rFonts w:hint="eastAsia" w:ascii="仿宋_GB2312" w:hAnsi="仿宋_GB2312" w:eastAsia="仿宋_GB2312" w:cs="仿宋_GB2312"/>
                <w:sz w:val="24"/>
                <w:lang w:bidi="ar"/>
              </w:rPr>
              <w:t>护理管理</w:t>
            </w:r>
          </w:p>
        </w:tc>
        <w:tc>
          <w:tcPr>
            <w:tcW w:w="2146" w:type="dxa"/>
            <w:vAlign w:val="center"/>
          </w:tcPr>
          <w:p w14:paraId="30B6D328">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南宁市第</w:t>
            </w:r>
            <w:r>
              <w:rPr>
                <w:rFonts w:hint="eastAsia" w:ascii="仿宋_GB2312" w:hAnsi="仿宋_GB2312" w:eastAsia="仿宋_GB2312" w:cs="仿宋_GB2312"/>
                <w:sz w:val="24"/>
                <w:lang w:eastAsia="zh-CN" w:bidi="ar"/>
              </w:rPr>
              <w:t>一</w:t>
            </w:r>
            <w:r>
              <w:rPr>
                <w:rFonts w:hint="eastAsia" w:ascii="仿宋_GB2312" w:hAnsi="仿宋_GB2312" w:eastAsia="仿宋_GB2312" w:cs="仿宋_GB2312"/>
                <w:sz w:val="24"/>
                <w:lang w:bidi="ar"/>
              </w:rPr>
              <w:t>人民医院</w:t>
            </w:r>
          </w:p>
        </w:tc>
        <w:tc>
          <w:tcPr>
            <w:tcW w:w="2625" w:type="dxa"/>
            <w:vAlign w:val="center"/>
          </w:tcPr>
          <w:p w14:paraId="3F130F5E">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参与标准文本及编制说明编写，质量控制</w:t>
            </w:r>
          </w:p>
        </w:tc>
      </w:tr>
      <w:tr w14:paraId="418E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4B60BD5A">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龚艺珍</w:t>
            </w:r>
          </w:p>
        </w:tc>
        <w:tc>
          <w:tcPr>
            <w:tcW w:w="1608" w:type="dxa"/>
            <w:vAlign w:val="center"/>
          </w:tcPr>
          <w:p w14:paraId="556490BB">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副主任医师</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临床试验机构办主任</w:t>
            </w:r>
          </w:p>
        </w:tc>
        <w:tc>
          <w:tcPr>
            <w:tcW w:w="1696" w:type="dxa"/>
            <w:vAlign w:val="center"/>
          </w:tcPr>
          <w:p w14:paraId="178AE1B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药物临床研究</w:t>
            </w:r>
          </w:p>
        </w:tc>
        <w:tc>
          <w:tcPr>
            <w:tcW w:w="2146" w:type="dxa"/>
            <w:vAlign w:val="center"/>
          </w:tcPr>
          <w:p w14:paraId="0C626329">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337CDD8C">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参与标准编制工作，组织人员进行标准发布后的宣贯培训</w:t>
            </w:r>
          </w:p>
        </w:tc>
      </w:tr>
      <w:tr w14:paraId="6747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25A0927A">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曾珊</w:t>
            </w:r>
          </w:p>
        </w:tc>
        <w:tc>
          <w:tcPr>
            <w:tcW w:w="1608" w:type="dxa"/>
            <w:vAlign w:val="center"/>
          </w:tcPr>
          <w:p w14:paraId="33073443">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主任护师</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大内科护长</w:t>
            </w:r>
          </w:p>
        </w:tc>
        <w:tc>
          <w:tcPr>
            <w:tcW w:w="1696" w:type="dxa"/>
            <w:vAlign w:val="center"/>
          </w:tcPr>
          <w:p w14:paraId="38A59CF3">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w:t>
            </w:r>
            <w:r>
              <w:rPr>
                <w:rFonts w:hint="eastAsia" w:ascii="仿宋_GB2312" w:hAnsi="仿宋_GB2312" w:eastAsia="仿宋_GB2312" w:cs="仿宋_GB2312"/>
                <w:sz w:val="24"/>
                <w:lang w:bidi="ar"/>
              </w:rPr>
              <w:t>护理管理</w:t>
            </w:r>
          </w:p>
        </w:tc>
        <w:tc>
          <w:tcPr>
            <w:tcW w:w="2146" w:type="dxa"/>
            <w:vAlign w:val="center"/>
          </w:tcPr>
          <w:p w14:paraId="6B469B5F">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0EE9960C">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参与标准文本及编制说明编写，质量控制</w:t>
            </w:r>
          </w:p>
        </w:tc>
      </w:tr>
      <w:tr w14:paraId="603F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0A66BB5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林结清</w:t>
            </w:r>
          </w:p>
        </w:tc>
        <w:tc>
          <w:tcPr>
            <w:tcW w:w="1608" w:type="dxa"/>
            <w:vAlign w:val="center"/>
          </w:tcPr>
          <w:p w14:paraId="6BAEF0BA">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主管护师</w:t>
            </w:r>
          </w:p>
        </w:tc>
        <w:tc>
          <w:tcPr>
            <w:tcW w:w="1696" w:type="dxa"/>
            <w:vAlign w:val="center"/>
          </w:tcPr>
          <w:p w14:paraId="712F180D">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护理</w:t>
            </w:r>
            <w:r>
              <w:rPr>
                <w:rFonts w:hint="eastAsia" w:ascii="仿宋_GB2312" w:hAnsi="仿宋_GB2312" w:eastAsia="仿宋_GB2312" w:cs="仿宋_GB2312"/>
                <w:sz w:val="24"/>
                <w:lang w:val="en-US" w:eastAsia="zh-CN" w:bidi="ar"/>
              </w:rPr>
              <w:t>学</w:t>
            </w:r>
          </w:p>
        </w:tc>
        <w:tc>
          <w:tcPr>
            <w:tcW w:w="2146" w:type="dxa"/>
            <w:vAlign w:val="center"/>
          </w:tcPr>
          <w:p w14:paraId="27817DA0">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382A38BD">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3E54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1081" w:type="dxa"/>
            <w:vAlign w:val="center"/>
          </w:tcPr>
          <w:p w14:paraId="365E9B07">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陈艳荣</w:t>
            </w:r>
          </w:p>
        </w:tc>
        <w:tc>
          <w:tcPr>
            <w:tcW w:w="1608" w:type="dxa"/>
            <w:vAlign w:val="center"/>
          </w:tcPr>
          <w:p w14:paraId="6263B7DD">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副主任护师/护士长</w:t>
            </w:r>
          </w:p>
        </w:tc>
        <w:tc>
          <w:tcPr>
            <w:tcW w:w="1696" w:type="dxa"/>
            <w:vAlign w:val="center"/>
          </w:tcPr>
          <w:p w14:paraId="0CD51FA1">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w:t>
            </w:r>
            <w:r>
              <w:rPr>
                <w:rFonts w:hint="eastAsia" w:ascii="仿宋_GB2312" w:hAnsi="仿宋_GB2312" w:eastAsia="仿宋_GB2312" w:cs="仿宋_GB2312"/>
                <w:sz w:val="24"/>
                <w:lang w:bidi="ar"/>
              </w:rPr>
              <w:t>护理管理</w:t>
            </w:r>
          </w:p>
        </w:tc>
        <w:tc>
          <w:tcPr>
            <w:tcW w:w="2146" w:type="dxa"/>
            <w:vAlign w:val="center"/>
          </w:tcPr>
          <w:p w14:paraId="416B70B3">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广西壮族自治区人民医院</w:t>
            </w:r>
          </w:p>
        </w:tc>
        <w:tc>
          <w:tcPr>
            <w:tcW w:w="2625" w:type="dxa"/>
            <w:vAlign w:val="center"/>
          </w:tcPr>
          <w:p w14:paraId="5AC27DED">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48E8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0A58C265">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甘彬</w:t>
            </w:r>
          </w:p>
        </w:tc>
        <w:tc>
          <w:tcPr>
            <w:tcW w:w="1608" w:type="dxa"/>
            <w:vAlign w:val="center"/>
          </w:tcPr>
          <w:p w14:paraId="5DF8EFFF">
            <w:pPr>
              <w:jc w:val="center"/>
              <w:rPr>
                <w:rFonts w:hint="default" w:ascii="仿宋_GB2312" w:hAnsi="仿宋_GB2312" w:eastAsia="仿宋_GB2312" w:cs="仿宋_GB2312"/>
                <w:sz w:val="24"/>
                <w:lang w:val="en-US" w:eastAsia="zh-CN" w:bidi="ar"/>
              </w:rPr>
            </w:pPr>
            <w:r>
              <w:rPr>
                <w:rFonts w:ascii="Segoe UI Emoji" w:hAnsi="Segoe UI Emoji" w:eastAsia="Segoe UI Emoji" w:cs="Segoe UI Emoji"/>
                <w:i w:val="0"/>
                <w:iCs w:val="0"/>
                <w:caps w:val="0"/>
                <w:color w:val="000000"/>
                <w:spacing w:val="0"/>
                <w:sz w:val="16"/>
                <w:szCs w:val="16"/>
                <w:shd w:val="clear" w:fill="FCFCFC"/>
              </w:rPr>
              <w:t>助理研究员</w:t>
            </w:r>
          </w:p>
        </w:tc>
        <w:tc>
          <w:tcPr>
            <w:tcW w:w="1696" w:type="dxa"/>
            <w:vAlign w:val="center"/>
          </w:tcPr>
          <w:p w14:paraId="30F70757">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护理</w:t>
            </w:r>
            <w:r>
              <w:rPr>
                <w:rFonts w:hint="eastAsia" w:ascii="仿宋_GB2312" w:hAnsi="仿宋_GB2312" w:eastAsia="仿宋_GB2312" w:cs="仿宋_GB2312"/>
                <w:sz w:val="24"/>
                <w:lang w:val="en-US" w:eastAsia="zh-CN" w:bidi="ar"/>
              </w:rPr>
              <w:t>学</w:t>
            </w:r>
          </w:p>
        </w:tc>
        <w:tc>
          <w:tcPr>
            <w:tcW w:w="2146" w:type="dxa"/>
            <w:vAlign w:val="center"/>
          </w:tcPr>
          <w:p w14:paraId="5D510ACF">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广东省人民医院</w:t>
            </w:r>
          </w:p>
        </w:tc>
        <w:tc>
          <w:tcPr>
            <w:tcW w:w="2625" w:type="dxa"/>
            <w:vAlign w:val="center"/>
          </w:tcPr>
          <w:p w14:paraId="5F6149FC">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0D55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vAlign w:val="center"/>
          </w:tcPr>
          <w:p w14:paraId="4028ED5B">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包春艳</w:t>
            </w:r>
          </w:p>
        </w:tc>
        <w:tc>
          <w:tcPr>
            <w:tcW w:w="1608" w:type="dxa"/>
            <w:vAlign w:val="center"/>
          </w:tcPr>
          <w:p w14:paraId="3CCED1E3">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护师</w:t>
            </w:r>
          </w:p>
        </w:tc>
        <w:tc>
          <w:tcPr>
            <w:tcW w:w="1696" w:type="dxa"/>
            <w:vAlign w:val="center"/>
          </w:tcPr>
          <w:p w14:paraId="5DBDE003">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146" w:type="dxa"/>
            <w:vAlign w:val="center"/>
          </w:tcPr>
          <w:p w14:paraId="2551299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0EF35CCE">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6B63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81" w:type="dxa"/>
            <w:vAlign w:val="center"/>
          </w:tcPr>
          <w:p w14:paraId="3926F4D2">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刘金芳</w:t>
            </w:r>
          </w:p>
        </w:tc>
        <w:tc>
          <w:tcPr>
            <w:tcW w:w="1608" w:type="dxa"/>
            <w:vAlign w:val="center"/>
          </w:tcPr>
          <w:p w14:paraId="1A90CB37">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副主任护师/护士长</w:t>
            </w:r>
          </w:p>
        </w:tc>
        <w:tc>
          <w:tcPr>
            <w:tcW w:w="1696" w:type="dxa"/>
            <w:vAlign w:val="center"/>
          </w:tcPr>
          <w:p w14:paraId="5233FC02">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护理学/</w:t>
            </w:r>
            <w:r>
              <w:rPr>
                <w:rFonts w:hint="eastAsia" w:ascii="仿宋_GB2312" w:hAnsi="仿宋_GB2312" w:eastAsia="仿宋_GB2312" w:cs="仿宋_GB2312"/>
                <w:sz w:val="24"/>
                <w:lang w:bidi="ar"/>
              </w:rPr>
              <w:t>护理管理</w:t>
            </w:r>
          </w:p>
        </w:tc>
        <w:tc>
          <w:tcPr>
            <w:tcW w:w="2146" w:type="dxa"/>
            <w:vAlign w:val="center"/>
          </w:tcPr>
          <w:p w14:paraId="068342D8">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玉林市红十字会医院</w:t>
            </w:r>
          </w:p>
        </w:tc>
        <w:tc>
          <w:tcPr>
            <w:tcW w:w="2625" w:type="dxa"/>
            <w:vAlign w:val="center"/>
          </w:tcPr>
          <w:p w14:paraId="4792EF06">
            <w:pPr>
              <w:jc w:val="center"/>
              <w:rPr>
                <w:rFonts w:hint="eastAsia" w:ascii="仿宋_GB2312" w:eastAsia="仿宋_GB2312"/>
                <w:sz w:val="28"/>
                <w:szCs w:val="28"/>
                <w:lang w:val="en-US" w:eastAsia="zh-CN"/>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32FA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81" w:type="dxa"/>
            <w:vAlign w:val="center"/>
          </w:tcPr>
          <w:p w14:paraId="67EA042E">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韦岷秀</w:t>
            </w:r>
          </w:p>
        </w:tc>
        <w:tc>
          <w:tcPr>
            <w:tcW w:w="1608" w:type="dxa"/>
            <w:vAlign w:val="center"/>
          </w:tcPr>
          <w:p w14:paraId="0C857ED6">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护师</w:t>
            </w:r>
          </w:p>
        </w:tc>
        <w:tc>
          <w:tcPr>
            <w:tcW w:w="1696" w:type="dxa"/>
            <w:vAlign w:val="center"/>
          </w:tcPr>
          <w:p w14:paraId="5A1A6150">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146" w:type="dxa"/>
            <w:vAlign w:val="center"/>
          </w:tcPr>
          <w:p w14:paraId="195E8DF2">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76668D1E">
            <w:pPr>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51B3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81" w:type="dxa"/>
            <w:vAlign w:val="center"/>
          </w:tcPr>
          <w:p w14:paraId="575FF379">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谭艳萍</w:t>
            </w:r>
          </w:p>
        </w:tc>
        <w:tc>
          <w:tcPr>
            <w:tcW w:w="1608" w:type="dxa"/>
            <w:vAlign w:val="center"/>
          </w:tcPr>
          <w:p w14:paraId="2BFAD00A">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护师</w:t>
            </w:r>
          </w:p>
        </w:tc>
        <w:tc>
          <w:tcPr>
            <w:tcW w:w="1696" w:type="dxa"/>
            <w:vAlign w:val="center"/>
          </w:tcPr>
          <w:p w14:paraId="2B652DBC">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146" w:type="dxa"/>
            <w:vAlign w:val="center"/>
          </w:tcPr>
          <w:p w14:paraId="555CC1DC">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6A9923E4">
            <w:pPr>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71C5A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81" w:type="dxa"/>
            <w:vAlign w:val="center"/>
          </w:tcPr>
          <w:p w14:paraId="6AB759A9">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徐玉萍</w:t>
            </w:r>
          </w:p>
        </w:tc>
        <w:tc>
          <w:tcPr>
            <w:tcW w:w="1608" w:type="dxa"/>
            <w:vAlign w:val="center"/>
          </w:tcPr>
          <w:p w14:paraId="2ABB6C4F">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无</w:t>
            </w:r>
          </w:p>
        </w:tc>
        <w:tc>
          <w:tcPr>
            <w:tcW w:w="1696" w:type="dxa"/>
            <w:vAlign w:val="center"/>
          </w:tcPr>
          <w:p w14:paraId="0603B56A">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146" w:type="dxa"/>
            <w:vAlign w:val="center"/>
          </w:tcPr>
          <w:p w14:paraId="40FADE82">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广西医科大学</w:t>
            </w:r>
          </w:p>
        </w:tc>
        <w:tc>
          <w:tcPr>
            <w:tcW w:w="2625" w:type="dxa"/>
            <w:vAlign w:val="center"/>
          </w:tcPr>
          <w:p w14:paraId="387551DA">
            <w:pPr>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r w14:paraId="1412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81" w:type="dxa"/>
            <w:vAlign w:val="center"/>
          </w:tcPr>
          <w:p w14:paraId="78A39F82">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徐子晴</w:t>
            </w:r>
          </w:p>
        </w:tc>
        <w:tc>
          <w:tcPr>
            <w:tcW w:w="1608" w:type="dxa"/>
            <w:vAlign w:val="center"/>
          </w:tcPr>
          <w:p w14:paraId="516C3EE8">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护师</w:t>
            </w:r>
          </w:p>
        </w:tc>
        <w:tc>
          <w:tcPr>
            <w:tcW w:w="1696" w:type="dxa"/>
            <w:vAlign w:val="center"/>
          </w:tcPr>
          <w:p w14:paraId="0C2A9BF9">
            <w:pPr>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146" w:type="dxa"/>
            <w:vAlign w:val="center"/>
          </w:tcPr>
          <w:p w14:paraId="7FE909F8">
            <w:pPr>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广西医科大学附属肿瘤医院</w:t>
            </w:r>
          </w:p>
        </w:tc>
        <w:tc>
          <w:tcPr>
            <w:tcW w:w="2625" w:type="dxa"/>
            <w:vAlign w:val="center"/>
          </w:tcPr>
          <w:p w14:paraId="4F6EBFFA">
            <w:pPr>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参与标准文本及编制说明的编写；组织开展标准征求意见会；对标准实施情况进行总结分析，不断对标准提出修正意见</w:t>
            </w:r>
          </w:p>
        </w:tc>
      </w:tr>
    </w:tbl>
    <w:p w14:paraId="031CCDA0">
      <w:pPr>
        <w:pStyle w:val="21"/>
        <w:rPr>
          <w:rFonts w:hint="eastAsia"/>
          <w:lang w:eastAsia="zh-CN"/>
        </w:rPr>
      </w:pPr>
    </w:p>
    <w:p w14:paraId="5495D506">
      <w:pPr>
        <w:spacing w:line="520" w:lineRule="exact"/>
        <w:ind w:firstLine="640" w:firstLineChars="200"/>
        <w:rPr>
          <w:rFonts w:ascii="黑体" w:eastAsia="黑体" w:cs="仿宋_GB2312"/>
          <w:sz w:val="32"/>
          <w:szCs w:val="32"/>
        </w:rPr>
      </w:pPr>
      <w:r>
        <w:rPr>
          <w:rFonts w:hint="eastAsia" w:ascii="黑体" w:eastAsia="黑体" w:cs="仿宋_GB2312"/>
          <w:sz w:val="32"/>
          <w:szCs w:val="32"/>
        </w:rPr>
        <w:t>二、制定标准的必要性和意义</w:t>
      </w:r>
    </w:p>
    <w:p w14:paraId="40C762B2">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为了促进抗肿瘤药物的研发和推广，国家卫生健康委员会、国家药品监督管理局等部门相继出台了一系列政策，如《药品注册管理办法》、《药品临床试验管理规定》等，以推动抗肿瘤药物的研发和上市。为加强医疗机构抗肿瘤药物临床应用管理，提高抗肿瘤药物临床应用水平，保障医疗质量和医疗安全，国家卫生健康委组织制定了《抗肿瘤药物临床应用管理办法（试行）》，提出各级卫生健康行政部门和各级各类医疗机构应当加强对社会公众和肿瘤患者的宣传教育，推广肿瘤防治健康知识，提高全社会对肿瘤疾病的科学认识，消除肿瘤治疗领域的误区，树立科学的治疗理念。而后为了促进抗肿瘤药物的研发和推广，国家卫生健康委员会、国家药品监督管理局等部门相继出台了一系列政策，如《药品注册管理办法》、《药品临床试验管理规定》等，以推动抗肿瘤药物的研发和上市。</w:t>
      </w:r>
    </w:p>
    <w:p w14:paraId="77655FB1">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肿瘤已成为威胁我国人民健康的重大公共卫生问题，抗肿瘤新药的不断出现，促使肿瘤药物临床试验进入快速发展阶段。近些年肿瘤发病率呈现逐年上升的趋势，根据世界卫生组织国际癌症研究机构（IARC）发布的2020年全球最新癌症负担数据显示，2020年全球新发癌症病例1929万例，其中中国新发癌症457万人，占全球23.7%；2020年全球癌症死亡病例996万例，其中中国癌症死亡人数300万，占癌症死亡总人数30%。全球逐渐加重的肿瘤负担促进了肿瘤学科的发展，许多抗肿瘤新药陆续完成研发进入临床试验阶段，2020年我国登记注册的肿瘤药物临床试验共722项，比2019年增加了52.3%。随着我国药品审评审批制度的深入改革以及药物临床试验数据自查核查的持续开展，我国药物临床试验质量要求必然会进一步提高，抗肿瘤药物临床试验护理工作在临床试验中扮演的角色将会更加重要。</w:t>
      </w:r>
    </w:p>
    <w:p w14:paraId="594B0044">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我国抗肿瘤药物临床试验护理工作仍处于起步阶段，临床研究护士（Clinical Research Nurse,CRN)有兼职与专职之分，CRN职责范畴较为模糊，尚未形成系统的工作模式，地区内不同医疗机构之间的抗肿瘤药物临床试验护理工作发展进度差异较大。2022年国际临床研究护士协会上海分会学术组组织编制的《中国临床研究护士管理共识（2021）》年征求意见稿，制定了岗位说明书，明确了临床研究护士的工作职责，但却对抗肿瘤药物临床试验护理工作规范缺乏统一标准。抗肿瘤药物临床试验护理工作内容包括负责对受试者的评估教育、症状观察、不良反应的记录、监测随访等工作，随着抗肿瘤药物临床试验护理工作的逐渐细化，需建立规范科学的抗肿瘤药物临床试验护理工作规范，以满足临床试验护理工作的更高需求。</w:t>
      </w:r>
    </w:p>
    <w:p w14:paraId="2C9995F6">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随着国家开展仿制药一致性评价的政策出台，全国各地医院都在兴建药物临床试验研究室，为了推动抗肿瘤药物临床试验研究室的规范运行，参照《中华人民共和国药品管理法》《药物临床试验质量管理规范》《药物Ⅰ期临床试验建设指导原则(试行)》等相关法律法规,结合我院药物临床试验研究室开展的时间经验,从护理人员基本要求、设备、受试者住院管理等多方面进行总结，旨在为广大医院、医药企业等提供参考，共同推动抗肿瘤药物临床试验护理工作的规范运行，保障公众用药安全和合法权益，保护和促进促进公众健康。</w:t>
      </w:r>
    </w:p>
    <w:p w14:paraId="49A182CD">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据药研社发布的《2024 年全国药物临床试验机构备案情况报告》显示，2019年药物临床试验机构备案制实施，2024 年累计备案的药物机构数量达到了1680 家，2024 年新增备案的药物临床试验机构共计205个。据广西壮族自治区药品监督管理局 2023 年发布的信息，区内共有33家医疗机构在国家药品监督管理局完成了药物临床试验机构（GCP机构）备案，其中6家医疗机构完成了生物等效性（BE）临床试验研究备案。</w:t>
      </w:r>
    </w:p>
    <w:p w14:paraId="3CEBCACE">
      <w:pPr>
        <w:spacing w:line="520" w:lineRule="exact"/>
        <w:ind w:firstLine="560" w:firstLineChars="200"/>
        <w:rPr>
          <w:rFonts w:ascii="仿宋_GB2312" w:eastAsia="仿宋_GB2312"/>
          <w:sz w:val="28"/>
          <w:szCs w:val="28"/>
        </w:rPr>
      </w:pPr>
      <w:r>
        <w:rPr>
          <w:rFonts w:hint="eastAsia" w:ascii="仿宋_GB2312" w:eastAsia="仿宋_GB2312"/>
          <w:sz w:val="28"/>
          <w:szCs w:val="28"/>
        </w:rPr>
        <w:t>I期临床研究病房护士的工作职责包括:提供受试者的常规护理；严格遵循试验方案进行治疗和护理,包括收集生物样本、执行试验相关特殊检查、观察受试者用药后的情况等；试验药品的接收、储存、发放、配置、回收等；规范管理生物样本,包括定期检查/校准温度探头等；对病区各种抢救设备、试验仪器设备进行日常维护、定期检查/校准等。此外首次人体试验具有风险不可预测性。首次人体试验缺乏临床数据，不良反应发生率较高（如细胞毒性药物可能引发多器官衰竭），需护士实时监测生命体征（如每15 分钟记录血压、心率）。其次，具有操作密集性。药代动力学研究需在给药后多个时间点采血（如24 小时内采集 10-12 次），且需同步完成心电图、血氧饱和度等检测，这对抗肿瘤药物临床试验护理模式提出挑战。在肿瘤药物临床试验的复杂过程中，护理团队扮演着不可或缺的角色，承担着至关重要的责任。他们不仅是患者治疗过程中的守护者，也是临床试验顺利进行的关键推动者。</w:t>
      </w:r>
    </w:p>
    <w:p w14:paraId="32D264E7">
      <w:pPr>
        <w:spacing w:line="520" w:lineRule="exact"/>
        <w:ind w:firstLine="560" w:firstLineChars="200"/>
        <w:rPr>
          <w:rFonts w:ascii="仿宋_GB2312" w:eastAsia="仿宋_GB2312"/>
          <w:sz w:val="28"/>
          <w:szCs w:val="28"/>
        </w:rPr>
      </w:pPr>
      <w:r>
        <w:rPr>
          <w:rFonts w:hint="eastAsia" w:ascii="仿宋_GB2312" w:eastAsia="仿宋_GB2312"/>
          <w:sz w:val="28"/>
          <w:szCs w:val="28"/>
        </w:rPr>
        <w:t>通过制定团体标准《</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》，统一规定规范</w:t>
      </w:r>
      <w:r>
        <w:rPr>
          <w:rFonts w:hint="eastAsia" w:ascii="仿宋_GB2312" w:eastAsia="仿宋_GB2312"/>
          <w:sz w:val="28"/>
          <w:szCs w:val="28"/>
          <w:lang w:eastAsia="zh-CN"/>
        </w:rPr>
        <w:t>抗肿瘤药物临床试验护理</w:t>
      </w:r>
      <w:r>
        <w:rPr>
          <w:rFonts w:hint="eastAsia" w:ascii="仿宋_GB2312" w:eastAsia="仿宋_GB2312"/>
          <w:sz w:val="28"/>
          <w:szCs w:val="28"/>
        </w:rPr>
        <w:t>要求，保证抗肿瘤药物临床试验护理工作的规范化及同质化，有利于促进抗肿瘤药物临床试验的顺利开展，确保抗肿瘤药物临床试验护理过程符合药物临床试验质量管理的规范要求，为抗肿瘤药物临床试验患者提供安全的、符合伦理性和科学性的护理服务。</w:t>
      </w:r>
    </w:p>
    <w:p w14:paraId="3E8AE2E3">
      <w:pPr>
        <w:autoSpaceDE w:val="0"/>
        <w:autoSpaceDN w:val="0"/>
        <w:adjustRightInd w:val="0"/>
        <w:spacing w:line="520" w:lineRule="exact"/>
        <w:ind w:firstLine="640" w:firstLineChars="200"/>
        <w:jc w:val="left"/>
        <w:rPr>
          <w:rFonts w:ascii="黑体" w:eastAsia="黑体" w:cs="仿宋_GB2312"/>
          <w:sz w:val="32"/>
          <w:szCs w:val="32"/>
        </w:rPr>
      </w:pPr>
      <w:r>
        <w:rPr>
          <w:rFonts w:hint="eastAsia" w:ascii="黑体" w:eastAsia="黑体" w:cs="仿宋_GB2312"/>
          <w:sz w:val="32"/>
          <w:szCs w:val="32"/>
        </w:rPr>
        <w:t>三、主要起草过程</w:t>
      </w:r>
    </w:p>
    <w:p w14:paraId="2F2453D7">
      <w:pPr>
        <w:spacing w:line="520" w:lineRule="exact"/>
        <w:ind w:firstLine="562" w:firstLineChars="200"/>
        <w:rPr>
          <w:rFonts w:ascii="仿宋_GB2312" w:eastAsia="仿宋_GB2312"/>
          <w:sz w:val="28"/>
          <w:szCs w:val="28"/>
        </w:rPr>
      </w:pPr>
      <w:r>
        <w:rPr>
          <w:rFonts w:hint="eastAsia" w:ascii="仿宋_GB2312" w:eastAsia="仿宋_GB2312" w:cs="仿宋_GB2312"/>
          <w:b/>
          <w:sz w:val="28"/>
          <w:szCs w:val="28"/>
        </w:rPr>
        <w:t>（一）成立标准编制工作组</w:t>
      </w:r>
    </w:p>
    <w:p w14:paraId="7D731110">
      <w:pPr>
        <w:spacing w:line="520" w:lineRule="exact"/>
        <w:ind w:firstLine="560" w:firstLineChars="200"/>
        <w:jc w:val="left"/>
        <w:rPr>
          <w:rFonts w:ascii="仿宋_GB2312" w:eastAsia="仿宋_GB2312"/>
          <w:sz w:val="28"/>
          <w:szCs w:val="28"/>
        </w:rPr>
      </w:pPr>
      <w:r>
        <w:rPr>
          <w:rFonts w:hint="eastAsia" w:ascii="仿宋_GB2312" w:hAnsi="宋体" w:eastAsia="仿宋_GB2312"/>
          <w:sz w:val="28"/>
          <w:szCs w:val="28"/>
        </w:rPr>
        <w:t>团体标准</w:t>
      </w:r>
      <w:r>
        <w:rPr>
          <w:rFonts w:hint="eastAsia" w:ascii="仿宋_GB2312" w:eastAsia="仿宋_GB2312"/>
          <w:sz w:val="28"/>
          <w:szCs w:val="28"/>
        </w:rPr>
        <w:t>《</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》项目任务下达后，</w:t>
      </w:r>
      <w:r>
        <w:rPr>
          <w:rFonts w:hint="eastAsia" w:ascii="仿宋_GB2312" w:eastAsia="仿宋_GB2312"/>
          <w:sz w:val="28"/>
          <w:szCs w:val="28"/>
          <w:lang w:eastAsia="zh-CN"/>
        </w:rPr>
        <w:t>广西医科大学附属肿瘤医院、广西壮族自治区人民医院、南宁市第一人民医院等单位</w:t>
      </w:r>
      <w:r>
        <w:rPr>
          <w:rFonts w:hint="eastAsia" w:ascii="仿宋_GB2312" w:eastAsia="仿宋_GB2312"/>
          <w:sz w:val="28"/>
          <w:szCs w:val="28"/>
        </w:rPr>
        <w:t>成立了标准编制工作组，制定了起草编写方案与进度安排，明确任务职责，确定工作技术路线，开展标准研制工作。具体标准编制工作由起草单位相关人员配合完成。</w:t>
      </w:r>
    </w:p>
    <w:p w14:paraId="05850743">
      <w:pPr>
        <w:spacing w:line="520" w:lineRule="exact"/>
        <w:ind w:firstLine="560" w:firstLineChars="200"/>
        <w:rPr>
          <w:rFonts w:ascii="仿宋_GB2312" w:eastAsia="仿宋_GB2312" w:cs="仿宋_GB2312"/>
          <w:sz w:val="28"/>
          <w:szCs w:val="28"/>
        </w:rPr>
      </w:pPr>
      <w:r>
        <w:rPr>
          <w:rFonts w:hint="eastAsia" w:ascii="仿宋_GB2312" w:eastAsia="仿宋_GB2312"/>
          <w:sz w:val="28"/>
          <w:szCs w:val="28"/>
        </w:rPr>
        <w:t>为了明确标准编制的任务职责，确定工作技术路线，开展标准研制工作。标准编制工作组下设二个组，分别是资料收集组、草案编写组。资料收集组负责有关</w:t>
      </w:r>
      <w:r>
        <w:rPr>
          <w:rFonts w:hint="eastAsia" w:ascii="仿宋_GB2312" w:eastAsia="仿宋_GB2312"/>
          <w:sz w:val="28"/>
          <w:szCs w:val="28"/>
          <w:lang w:eastAsia="zh-CN"/>
        </w:rPr>
        <w:t>抗肿瘤药物临床试验护理</w:t>
      </w:r>
      <w:r>
        <w:rPr>
          <w:rFonts w:hint="eastAsia" w:ascii="仿宋_GB2312" w:eastAsia="仿宋_GB2312"/>
          <w:sz w:val="28"/>
          <w:szCs w:val="28"/>
        </w:rPr>
        <w:t>方面的文献资料的查询、收集和整理工作，查阅前期对</w:t>
      </w:r>
      <w:r>
        <w:rPr>
          <w:rFonts w:hint="eastAsia" w:ascii="仿宋_GB2312" w:eastAsia="仿宋_GB2312"/>
          <w:sz w:val="28"/>
          <w:szCs w:val="28"/>
          <w:lang w:eastAsia="zh-CN"/>
        </w:rPr>
        <w:t>抗肿瘤药物临床试验护理</w:t>
      </w:r>
      <w:r>
        <w:rPr>
          <w:rFonts w:hint="eastAsia" w:ascii="仿宋_GB2312" w:eastAsia="仿宋_GB2312"/>
          <w:sz w:val="28"/>
          <w:szCs w:val="28"/>
        </w:rPr>
        <w:t>方面的有关研究情况和目前科学界禅更病的研究进展；草案编写组负责起草标准草案及后续征求意见稿和标准编制说明、送审稿及编制说明等编写工作，包括后期召开征求意见会、网上征求意见，以及标准的不断修改和完善。</w:t>
      </w:r>
    </w:p>
    <w:p w14:paraId="4F73A71E">
      <w:pPr>
        <w:spacing w:line="52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（二）收集整理文献资料</w:t>
      </w:r>
    </w:p>
    <w:p w14:paraId="107A02F5">
      <w:pPr>
        <w:spacing w:line="520" w:lineRule="exact"/>
        <w:ind w:firstLine="560" w:firstLineChars="200"/>
        <w:rPr>
          <w:rFonts w:ascii="仿宋_GB2312" w:eastAsia="仿宋_GB2312"/>
          <w:sz w:val="28"/>
          <w:szCs w:val="28"/>
        </w:rPr>
      </w:pPr>
      <w:r>
        <w:rPr>
          <w:rFonts w:hint="eastAsia" w:ascii="仿宋_GB2312" w:eastAsia="仿宋_GB2312"/>
          <w:sz w:val="28"/>
          <w:szCs w:val="28"/>
        </w:rPr>
        <w:t>标准编制工作组收集了有关</w:t>
      </w:r>
      <w:r>
        <w:rPr>
          <w:rFonts w:hint="eastAsia" w:ascii="仿宋_GB2312" w:eastAsia="仿宋_GB2312"/>
          <w:sz w:val="28"/>
          <w:szCs w:val="28"/>
          <w:lang w:eastAsia="zh-CN"/>
        </w:rPr>
        <w:t>抗肿瘤药物临床试验护理</w:t>
      </w:r>
      <w:r>
        <w:rPr>
          <w:rFonts w:hint="eastAsia" w:ascii="仿宋_GB2312" w:eastAsia="仿宋_GB2312"/>
          <w:sz w:val="28"/>
          <w:szCs w:val="28"/>
        </w:rPr>
        <w:t>的相关文献资料。主要有：</w:t>
      </w:r>
    </w:p>
    <w:p w14:paraId="3F54845E">
      <w:pPr>
        <w:spacing w:line="520" w:lineRule="exact"/>
        <w:ind w:firstLine="560" w:firstLineChars="200"/>
        <w:rPr>
          <w:rFonts w:hint="eastAsia" w:ascii="仿宋_GB2312" w:eastAsia="仿宋_GB2312" w:cs="仿宋_GB2312"/>
          <w:bCs/>
          <w:sz w:val="28"/>
          <w:szCs w:val="28"/>
        </w:rPr>
      </w:pPr>
      <w:r>
        <w:rPr>
          <w:rFonts w:hint="eastAsia" w:ascii="仿宋_GB2312" w:eastAsia="仿宋_GB2312" w:cs="仿宋_GB2312"/>
          <w:bCs/>
          <w:sz w:val="28"/>
          <w:szCs w:val="28"/>
        </w:rPr>
        <w:t>DB22/T 2367-2015  抗肿瘤药物临床应用管理规范</w:t>
      </w:r>
    </w:p>
    <w:p w14:paraId="254A003A">
      <w:pPr>
        <w:spacing w:line="520" w:lineRule="exact"/>
        <w:ind w:firstLine="560" w:firstLineChars="200"/>
        <w:rPr>
          <w:rFonts w:hint="eastAsia" w:ascii="仿宋_GB2312" w:eastAsia="仿宋_GB2312" w:cs="仿宋_GB2312"/>
          <w:bCs/>
          <w:sz w:val="28"/>
          <w:szCs w:val="28"/>
        </w:rPr>
      </w:pPr>
      <w:r>
        <w:rPr>
          <w:rFonts w:hint="eastAsia" w:ascii="仿宋_GB2312" w:eastAsia="仿宋_GB2312" w:cs="仿宋_GB2312"/>
          <w:bCs/>
          <w:sz w:val="28"/>
          <w:szCs w:val="28"/>
        </w:rPr>
        <w:t>DB22/T 1862-2013  抗肿瘤药物应用的卫生防护规范</w:t>
      </w:r>
    </w:p>
    <w:p w14:paraId="3660FE56">
      <w:pPr>
        <w:spacing w:line="52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（三）研讨确定标准特色、创新点及主体内容</w:t>
      </w:r>
    </w:p>
    <w:p w14:paraId="3143A6A6">
      <w:pPr>
        <w:pStyle w:val="29"/>
        <w:spacing w:line="520" w:lineRule="exact"/>
        <w:ind w:firstLine="560"/>
        <w:rPr>
          <w:rFonts w:ascii="仿宋_GB2312" w:eastAsia="仿宋_GB2312"/>
          <w:sz w:val="28"/>
          <w:szCs w:val="28"/>
        </w:rPr>
      </w:pPr>
      <w:r>
        <w:rPr>
          <w:rFonts w:hint="eastAsia" w:ascii="仿宋_GB2312" w:eastAsia="仿宋_GB2312"/>
          <w:sz w:val="28"/>
          <w:szCs w:val="28"/>
        </w:rPr>
        <w:t>1.主要特色和创新点</w:t>
      </w:r>
    </w:p>
    <w:p w14:paraId="4DADE4E8">
      <w:pPr>
        <w:pStyle w:val="29"/>
        <w:spacing w:line="520" w:lineRule="exact"/>
        <w:ind w:firstLine="560"/>
        <w:rPr>
          <w:rFonts w:hint="eastAsia" w:ascii="仿宋_GB2312" w:eastAsia="仿宋_GB2312"/>
          <w:sz w:val="28"/>
          <w:szCs w:val="28"/>
        </w:rPr>
      </w:pPr>
      <w:r>
        <w:rPr>
          <w:rFonts w:hint="eastAsia" w:ascii="仿宋_GB2312" w:eastAsia="仿宋_GB2312"/>
          <w:sz w:val="28"/>
          <w:szCs w:val="28"/>
        </w:rPr>
        <w:t>抗肿瘤药物临床试验是对肿瘤患者进行抗肿瘤药物的系统性研究，以证实或揭示试验药物的作用、不良反应并了解其在体内代谢情况等，目的是确定试验药物的疗效和安全性。而我国抗肿瘤药物临床试验护理工作仍处于起步阶段，地区内不同医疗机构之间的抗肿瘤药物临床试验护理工作发展进度差异较大，尚未形成系统的工作模式，由于抗肿瘤药物的临床特殊性及特点，为规范抗肿瘤药物临床试验护理工作，旨在为受试者提供护理服务并确保临床研究方案的准确实施，随着抗肿瘤药物临床试验护理工作的逐渐细化，需建立规范科学的抗肿瘤药物临床试验的护理工作规范，以满足临床试验护理工作的更高需求。</w:t>
      </w:r>
    </w:p>
    <w:p w14:paraId="4E453BCD">
      <w:pPr>
        <w:pStyle w:val="29"/>
        <w:spacing w:line="520" w:lineRule="exact"/>
        <w:ind w:firstLine="560"/>
        <w:rPr>
          <w:rFonts w:ascii="仿宋_GB2312" w:eastAsia="仿宋_GB2312"/>
          <w:sz w:val="28"/>
          <w:szCs w:val="28"/>
        </w:rPr>
      </w:pPr>
      <w:r>
        <w:rPr>
          <w:rFonts w:hint="eastAsia" w:ascii="仿宋_GB2312" w:eastAsia="仿宋_GB2312"/>
          <w:sz w:val="28"/>
          <w:szCs w:val="28"/>
        </w:rPr>
        <w:t>经过调研区内外多地区药物临床试验医疗机构的运作情况，本标准明确抗肿瘤药物试验护理工作内容。包括受试者入住病区、入院评估、环境介绍、受试者用药前、受试期间、办理出院和院外随访等内容。其中护理评估是顺利开展护理服务的基础，所以本标准详细规定了重点评估、护理专项评估，并提出了相应的评估方法。本标准要求开展药物临床试验的医疗机构根据综合评估服务受试者健康情况制定护理工作计划，包括护理工作流程、人员配置、设施设备和耗材、出院办理等。护理服务提供主要为根据受试者方案和医师的医嘱严格执行护理计划，按照护理技术操作要求提供规范化</w:t>
      </w:r>
      <w:r>
        <w:rPr>
          <w:rFonts w:hint="eastAsia" w:ascii="仿宋_GB2312" w:eastAsia="仿宋_GB2312"/>
          <w:sz w:val="28"/>
          <w:szCs w:val="28"/>
          <w:lang w:eastAsia="zh-CN"/>
        </w:rPr>
        <w:t>服务</w:t>
      </w:r>
      <w:r>
        <w:rPr>
          <w:rFonts w:hint="eastAsia" w:ascii="仿宋_GB2312" w:eastAsia="仿宋_GB2312"/>
          <w:sz w:val="28"/>
          <w:szCs w:val="28"/>
        </w:rPr>
        <w:t>。</w:t>
      </w:r>
    </w:p>
    <w:p w14:paraId="79CCFEC7">
      <w:pPr>
        <w:pStyle w:val="29"/>
        <w:spacing w:line="520" w:lineRule="exact"/>
        <w:ind w:firstLine="560"/>
        <w:rPr>
          <w:rFonts w:ascii="仿宋_GB2312" w:eastAsia="仿宋_GB2312"/>
          <w:sz w:val="28"/>
          <w:szCs w:val="28"/>
        </w:rPr>
      </w:pPr>
      <w:r>
        <w:rPr>
          <w:rFonts w:hint="eastAsia" w:ascii="仿宋_GB2312" w:eastAsia="仿宋_GB2312"/>
          <w:sz w:val="28"/>
          <w:szCs w:val="28"/>
        </w:rPr>
        <w:t>2.主体内容</w:t>
      </w:r>
    </w:p>
    <w:p w14:paraId="3946A23A">
      <w:pPr>
        <w:pStyle w:val="29"/>
        <w:spacing w:line="520" w:lineRule="exact"/>
        <w:ind w:firstLine="560"/>
        <w:rPr>
          <w:rFonts w:ascii="仿宋_GB2312" w:eastAsia="仿宋_GB2312"/>
          <w:sz w:val="28"/>
          <w:szCs w:val="28"/>
        </w:rPr>
      </w:pPr>
      <w:r>
        <w:rPr>
          <w:rFonts w:hint="eastAsia" w:ascii="仿宋_GB2312"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sz w:val="28"/>
          <w:szCs w:val="28"/>
          <w:lang w:eastAsia="zh-CN"/>
        </w:rPr>
        <w:t>抗肿瘤药物临床试验护理</w:t>
      </w:r>
      <w:r>
        <w:rPr>
          <w:rFonts w:hint="eastAsia" w:ascii="仿宋_GB2312" w:eastAsia="仿宋_GB2312"/>
          <w:sz w:val="28"/>
          <w:szCs w:val="28"/>
        </w:rPr>
        <w:t>的基本要求、护理</w:t>
      </w:r>
      <w:r>
        <w:rPr>
          <w:rFonts w:hint="eastAsia" w:ascii="仿宋_GB2312" w:eastAsia="仿宋_GB2312"/>
          <w:sz w:val="28"/>
          <w:szCs w:val="28"/>
          <w:lang w:eastAsia="zh-CN"/>
        </w:rPr>
        <w:t>工作</w:t>
      </w:r>
      <w:r>
        <w:rPr>
          <w:rFonts w:hint="eastAsia" w:ascii="仿宋_GB2312" w:eastAsia="仿宋_GB2312"/>
          <w:sz w:val="28"/>
          <w:szCs w:val="28"/>
        </w:rPr>
        <w:t>流程及要求。</w:t>
      </w:r>
    </w:p>
    <w:p w14:paraId="0DE941F3">
      <w:pPr>
        <w:spacing w:line="520" w:lineRule="exact"/>
        <w:ind w:firstLine="562" w:firstLineChars="200"/>
        <w:rPr>
          <w:rFonts w:hint="default" w:ascii="仿宋_GB2312" w:eastAsia="仿宋_GB2312" w:cs="仿宋_GB2312"/>
          <w:b/>
          <w:sz w:val="28"/>
          <w:szCs w:val="28"/>
          <w:lang w:val="en-US" w:eastAsia="zh-CN"/>
        </w:rPr>
      </w:pPr>
      <w:r>
        <w:rPr>
          <w:rFonts w:hint="eastAsia" w:ascii="仿宋_GB2312" w:eastAsia="仿宋_GB2312" w:cs="仿宋_GB2312"/>
          <w:b/>
          <w:sz w:val="28"/>
          <w:szCs w:val="28"/>
        </w:rPr>
        <w:t>（四）调研及形成草案、征求意见稿</w:t>
      </w:r>
    </w:p>
    <w:p w14:paraId="16ABBAE8">
      <w:pPr>
        <w:spacing w:line="520" w:lineRule="exact"/>
        <w:ind w:firstLine="560" w:firstLineChars="200"/>
        <w:rPr>
          <w:rFonts w:ascii="仿宋_GB2312" w:eastAsia="仿宋_GB2312"/>
          <w:kern w:val="0"/>
          <w:sz w:val="28"/>
          <w:szCs w:val="28"/>
        </w:rPr>
      </w:pPr>
      <w:r>
        <w:rPr>
          <w:rFonts w:hint="eastAsia" w:ascii="仿宋_GB2312" w:eastAsia="仿宋_GB2312"/>
          <w:kern w:val="0"/>
          <w:sz w:val="28"/>
          <w:szCs w:val="28"/>
        </w:rPr>
        <w:t>2025</w:t>
      </w:r>
      <w:r>
        <w:rPr>
          <w:rFonts w:hint="eastAsia" w:ascii="仿宋_GB2312" w:eastAsia="仿宋_GB2312"/>
          <w:kern w:val="0"/>
          <w:sz w:val="28"/>
          <w:szCs w:val="28"/>
          <w:lang w:eastAsia="zh-CN"/>
        </w:rPr>
        <w:t>年</w:t>
      </w:r>
      <w:r>
        <w:rPr>
          <w:rFonts w:hint="eastAsia" w:ascii="仿宋_GB2312" w:eastAsia="仿宋_GB2312"/>
          <w:kern w:val="0"/>
          <w:sz w:val="28"/>
          <w:szCs w:val="28"/>
          <w:lang w:val="en-US" w:eastAsia="zh-CN"/>
        </w:rPr>
        <w:t>7</w:t>
      </w:r>
      <w:r>
        <w:rPr>
          <w:rFonts w:hint="eastAsia" w:ascii="仿宋_GB2312" w:eastAsia="仿宋_GB2312"/>
          <w:kern w:val="0"/>
          <w:sz w:val="28"/>
          <w:szCs w:val="28"/>
        </w:rPr>
        <w:t>月，标准编制工作组查阅了大量的国内文献资料，对</w:t>
      </w:r>
      <w:r>
        <w:rPr>
          <w:rFonts w:hint="eastAsia" w:ascii="仿宋_GB2312" w:eastAsia="仿宋_GB2312"/>
          <w:sz w:val="28"/>
          <w:szCs w:val="28"/>
          <w:lang w:eastAsia="zh-CN"/>
        </w:rPr>
        <w:t>抗肿瘤药物临床试验护理</w:t>
      </w:r>
      <w:r>
        <w:rPr>
          <w:rFonts w:hint="eastAsia" w:ascii="仿宋_GB2312" w:eastAsia="仿宋_GB2312"/>
          <w:kern w:val="0"/>
          <w:sz w:val="28"/>
          <w:szCs w:val="28"/>
        </w:rPr>
        <w:t>相关的文件进行系统总结。形成了标准的基本构架，对主要内容进行了讨论并对项目的工作进行了部署和安排。</w:t>
      </w:r>
    </w:p>
    <w:p w14:paraId="66E4013E">
      <w:pPr>
        <w:spacing w:line="520" w:lineRule="exact"/>
        <w:ind w:firstLine="560" w:firstLineChars="200"/>
        <w:rPr>
          <w:sz w:val="28"/>
          <w:szCs w:val="28"/>
        </w:rPr>
      </w:pPr>
      <w:r>
        <w:rPr>
          <w:rFonts w:hint="eastAsia" w:ascii="仿宋_GB2312" w:eastAsia="仿宋_GB2312"/>
          <w:kern w:val="0"/>
          <w:sz w:val="28"/>
          <w:szCs w:val="28"/>
        </w:rPr>
        <w:t>2025年</w:t>
      </w:r>
      <w:r>
        <w:rPr>
          <w:rFonts w:hint="eastAsia" w:ascii="仿宋_GB2312" w:eastAsia="仿宋_GB2312"/>
          <w:kern w:val="0"/>
          <w:sz w:val="28"/>
          <w:szCs w:val="28"/>
          <w:lang w:val="en-US" w:eastAsia="zh-CN"/>
        </w:rPr>
        <w:t>8</w:t>
      </w:r>
      <w:r>
        <w:rPr>
          <w:rFonts w:hint="eastAsia" w:ascii="仿宋_GB2312" w:eastAsia="仿宋_GB2312"/>
          <w:kern w:val="0"/>
          <w:sz w:val="28"/>
          <w:szCs w:val="28"/>
        </w:rPr>
        <w:t>月，团体标准《</w:t>
      </w:r>
      <w:r>
        <w:rPr>
          <w:rFonts w:hint="eastAsia" w:ascii="仿宋_GB2312" w:eastAsia="仿宋_GB2312"/>
          <w:kern w:val="0"/>
          <w:sz w:val="28"/>
          <w:szCs w:val="28"/>
          <w:lang w:eastAsia="zh-CN"/>
        </w:rPr>
        <w:t>抗肿瘤药物临床试验护理工作规范</w:t>
      </w:r>
      <w:r>
        <w:rPr>
          <w:rFonts w:hint="eastAsia" w:ascii="仿宋_GB2312" w:eastAsia="仿宋_GB2312"/>
          <w:kern w:val="0"/>
          <w:sz w:val="28"/>
          <w:szCs w:val="28"/>
        </w:rPr>
        <w:t>》</w:t>
      </w:r>
      <w:r>
        <w:rPr>
          <w:rFonts w:hint="eastAsia" w:ascii="仿宋_GB2312" w:hAnsi="宋体" w:eastAsia="仿宋_GB2312"/>
          <w:sz w:val="28"/>
          <w:szCs w:val="28"/>
        </w:rPr>
        <w:t>获批立项</w:t>
      </w:r>
      <w:r>
        <w:rPr>
          <w:rFonts w:hint="eastAsia" w:ascii="仿宋_GB2312" w:eastAsia="仿宋_GB2312"/>
          <w:kern w:val="0"/>
          <w:sz w:val="28"/>
          <w:szCs w:val="28"/>
        </w:rPr>
        <w:t>，在前期工作的基础之上，通过理清逻辑脉络，整合已有参考资料中有关</w:t>
      </w:r>
      <w:r>
        <w:rPr>
          <w:rFonts w:hint="eastAsia" w:ascii="仿宋_GB2312" w:eastAsia="仿宋_GB2312"/>
          <w:sz w:val="28"/>
          <w:szCs w:val="28"/>
          <w:lang w:eastAsia="zh-CN"/>
        </w:rPr>
        <w:t>抗肿瘤药物临床试验护理</w:t>
      </w:r>
      <w:r>
        <w:rPr>
          <w:rFonts w:hint="eastAsia" w:ascii="仿宋_GB2312" w:eastAsia="仿宋_GB2312"/>
          <w:kern w:val="0"/>
          <w:sz w:val="28"/>
          <w:szCs w:val="28"/>
        </w:rPr>
        <w:t>的要求，并在目前</w:t>
      </w:r>
      <w:r>
        <w:rPr>
          <w:rFonts w:hint="eastAsia" w:ascii="仿宋_GB2312" w:eastAsia="仿宋_GB2312"/>
          <w:sz w:val="28"/>
          <w:szCs w:val="28"/>
          <w:lang w:eastAsia="zh-CN"/>
        </w:rPr>
        <w:t>抗肿瘤药物临床试验护理</w:t>
      </w:r>
      <w:r>
        <w:rPr>
          <w:rFonts w:hint="eastAsia" w:ascii="仿宋_GB2312" w:eastAsia="仿宋_GB2312"/>
          <w:kern w:val="0"/>
          <w:sz w:val="28"/>
          <w:szCs w:val="28"/>
        </w:rPr>
        <w:t>的基础上，按照简化、统一等原则编制完成团体标准《</w:t>
      </w:r>
      <w:r>
        <w:rPr>
          <w:rFonts w:hint="eastAsia" w:ascii="仿宋_GB2312" w:eastAsia="仿宋_GB2312"/>
          <w:kern w:val="0"/>
          <w:sz w:val="28"/>
          <w:szCs w:val="28"/>
          <w:lang w:eastAsia="zh-CN"/>
        </w:rPr>
        <w:t>抗肿瘤药物临床试验护理工作规范</w:t>
      </w:r>
      <w:r>
        <w:rPr>
          <w:rFonts w:hint="eastAsia" w:ascii="仿宋_GB2312" w:eastAsia="仿宋_GB2312"/>
          <w:kern w:val="0"/>
          <w:sz w:val="28"/>
          <w:szCs w:val="28"/>
        </w:rPr>
        <w:t>》（草案）。</w:t>
      </w:r>
    </w:p>
    <w:p w14:paraId="2B0E0273">
      <w:pPr>
        <w:spacing w:line="52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rPr>
        <w:t>2025年</w:t>
      </w:r>
      <w:r>
        <w:rPr>
          <w:rFonts w:hint="eastAsia" w:ascii="仿宋_GB2312" w:eastAsia="仿宋_GB2312"/>
          <w:kern w:val="0"/>
          <w:sz w:val="28"/>
          <w:szCs w:val="28"/>
          <w:lang w:val="en-US" w:eastAsia="zh-CN"/>
        </w:rPr>
        <w:t>9</w:t>
      </w:r>
      <w:r>
        <w:rPr>
          <w:rFonts w:hint="eastAsia" w:ascii="仿宋_GB2312" w:eastAsia="仿宋_GB2312"/>
          <w:kern w:val="0"/>
          <w:sz w:val="28"/>
          <w:szCs w:val="28"/>
        </w:rPr>
        <w:t>月，标准编制工作组深入</w:t>
      </w:r>
      <w:r>
        <w:rPr>
          <w:rFonts w:hint="eastAsia" w:ascii="仿宋_GB2312" w:eastAsia="仿宋_GB2312"/>
          <w:kern w:val="0"/>
          <w:sz w:val="28"/>
          <w:szCs w:val="28"/>
          <w:lang w:eastAsia="zh-CN"/>
        </w:rPr>
        <w:t>广西医科大学附属肿瘤医院、广西壮族自治区人民医院、南宁市第一人民医院</w:t>
      </w:r>
      <w:r>
        <w:rPr>
          <w:rFonts w:hint="eastAsia" w:ascii="仿宋_GB2312" w:eastAsia="仿宋_GB2312"/>
          <w:kern w:val="0"/>
          <w:sz w:val="28"/>
          <w:szCs w:val="28"/>
        </w:rPr>
        <w:t>等各</w:t>
      </w:r>
      <w:r>
        <w:rPr>
          <w:rFonts w:hint="eastAsia" w:ascii="仿宋_GB2312" w:eastAsia="仿宋_GB2312"/>
          <w:kern w:val="0"/>
          <w:sz w:val="28"/>
          <w:szCs w:val="28"/>
          <w:lang w:eastAsia="zh-CN"/>
        </w:rPr>
        <w:t>医院</w:t>
      </w:r>
      <w:r>
        <w:rPr>
          <w:rFonts w:hint="eastAsia" w:ascii="仿宋_GB2312" w:eastAsia="仿宋_GB2312"/>
          <w:kern w:val="0"/>
          <w:sz w:val="28"/>
          <w:szCs w:val="28"/>
        </w:rPr>
        <w:t>实施</w:t>
      </w:r>
      <w:r>
        <w:rPr>
          <w:rFonts w:hint="eastAsia" w:ascii="仿宋_GB2312" w:eastAsia="仿宋_GB2312"/>
          <w:kern w:val="0"/>
          <w:sz w:val="28"/>
          <w:szCs w:val="28"/>
          <w:lang w:eastAsia="zh-CN"/>
        </w:rPr>
        <w:t>抗肿瘤药物临床试验护理</w:t>
      </w:r>
      <w:r>
        <w:rPr>
          <w:rFonts w:hint="eastAsia" w:ascii="仿宋_GB2312" w:hAnsi="宋体" w:eastAsia="仿宋_GB2312"/>
          <w:sz w:val="28"/>
          <w:szCs w:val="28"/>
        </w:rPr>
        <w:t>的有代表性的医院</w:t>
      </w:r>
      <w:r>
        <w:rPr>
          <w:rFonts w:hint="eastAsia" w:ascii="仿宋_GB2312" w:eastAsia="仿宋_GB2312"/>
          <w:kern w:val="0"/>
          <w:sz w:val="28"/>
          <w:szCs w:val="28"/>
        </w:rPr>
        <w:t>进行实地调研，并组织起草单位等召开标准研讨会，收集反馈了大量意见，对标准草案进行了反复修改和研究讨论，掌握了</w:t>
      </w:r>
      <w:r>
        <w:rPr>
          <w:rFonts w:hint="eastAsia" w:ascii="仿宋_GB2312" w:eastAsia="仿宋_GB2312"/>
          <w:kern w:val="0"/>
          <w:sz w:val="28"/>
          <w:szCs w:val="28"/>
          <w:lang w:eastAsia="zh-CN"/>
        </w:rPr>
        <w:t>抗肿瘤药物临床试验护理</w:t>
      </w:r>
      <w:r>
        <w:rPr>
          <w:rFonts w:hint="eastAsia" w:ascii="仿宋_GB2312" w:eastAsia="仿宋_GB2312"/>
          <w:kern w:val="0"/>
          <w:sz w:val="28"/>
          <w:szCs w:val="28"/>
        </w:rPr>
        <w:t>的基本情况以及要求，最终形成了</w:t>
      </w:r>
      <w:bookmarkStart w:id="0" w:name="_Hlk120181503"/>
      <w:r>
        <w:rPr>
          <w:rFonts w:hint="eastAsia" w:ascii="仿宋_GB2312" w:eastAsia="仿宋_GB2312"/>
          <w:kern w:val="0"/>
          <w:sz w:val="28"/>
          <w:szCs w:val="28"/>
        </w:rPr>
        <w:t>团体标准《</w:t>
      </w:r>
      <w:r>
        <w:rPr>
          <w:rFonts w:hint="eastAsia" w:ascii="仿宋_GB2312" w:eastAsia="仿宋_GB2312"/>
          <w:kern w:val="0"/>
          <w:sz w:val="28"/>
          <w:szCs w:val="28"/>
          <w:lang w:eastAsia="zh-CN"/>
        </w:rPr>
        <w:t>抗肿瘤药物临床试验护理工作规范</w:t>
      </w:r>
      <w:r>
        <w:rPr>
          <w:rFonts w:hint="eastAsia" w:ascii="仿宋_GB2312" w:eastAsia="仿宋_GB2312"/>
          <w:kern w:val="0"/>
          <w:sz w:val="28"/>
          <w:szCs w:val="28"/>
        </w:rPr>
        <w:t>》（征求意见稿）及其编制说明。</w:t>
      </w:r>
      <w:bookmarkEnd w:id="0"/>
    </w:p>
    <w:p w14:paraId="58C3D290">
      <w:pPr>
        <w:autoSpaceDE w:val="0"/>
        <w:autoSpaceDN w:val="0"/>
        <w:adjustRightInd w:val="0"/>
        <w:spacing w:line="520" w:lineRule="exact"/>
        <w:ind w:firstLine="640" w:firstLineChars="200"/>
        <w:jc w:val="left"/>
        <w:rPr>
          <w:rFonts w:ascii="黑体" w:eastAsia="黑体" w:cs="仿宋_GB2312"/>
          <w:sz w:val="32"/>
          <w:szCs w:val="32"/>
        </w:rPr>
      </w:pPr>
      <w:r>
        <w:rPr>
          <w:rFonts w:hint="eastAsia" w:ascii="黑体" w:eastAsia="黑体" w:cs="仿宋_GB2312"/>
          <w:sz w:val="32"/>
          <w:szCs w:val="32"/>
        </w:rPr>
        <w:t>四、制定标准的原则和依据，与现行法律、法规的关系，与有关国家标准、行业标准的协调情况</w:t>
      </w:r>
    </w:p>
    <w:p w14:paraId="271D6467">
      <w:pPr>
        <w:widowControl/>
        <w:tabs>
          <w:tab w:val="center" w:pos="4201"/>
          <w:tab w:val="right" w:leader="dot" w:pos="9298"/>
        </w:tabs>
        <w:autoSpaceDE w:val="0"/>
        <w:autoSpaceDN w:val="0"/>
        <w:spacing w:line="520" w:lineRule="exact"/>
        <w:ind w:firstLine="562" w:firstLineChars="200"/>
        <w:outlineLvl w:val="1"/>
        <w:rPr>
          <w:rFonts w:ascii="仿宋_GB2312" w:eastAsia="仿宋_GB2312"/>
          <w:b/>
          <w:bCs/>
          <w:kern w:val="0"/>
          <w:sz w:val="28"/>
          <w:szCs w:val="28"/>
        </w:rPr>
      </w:pPr>
      <w:r>
        <w:rPr>
          <w:rFonts w:hint="eastAsia" w:ascii="仿宋_GB2312" w:eastAsia="仿宋_GB2312"/>
          <w:b/>
          <w:bCs/>
          <w:kern w:val="0"/>
          <w:sz w:val="28"/>
          <w:szCs w:val="28"/>
        </w:rPr>
        <w:t>（一）编制原则</w:t>
      </w:r>
    </w:p>
    <w:p w14:paraId="49B2D13B">
      <w:pPr>
        <w:spacing w:line="520" w:lineRule="exact"/>
        <w:ind w:firstLine="562" w:firstLineChars="200"/>
        <w:rPr>
          <w:rFonts w:ascii="仿宋_GB2312" w:eastAsia="仿宋_GB2312"/>
          <w:b/>
          <w:sz w:val="28"/>
          <w:szCs w:val="28"/>
        </w:rPr>
      </w:pPr>
      <w:r>
        <w:rPr>
          <w:rFonts w:hint="eastAsia" w:ascii="仿宋_GB2312" w:eastAsia="仿宋_GB2312"/>
          <w:b/>
          <w:sz w:val="28"/>
          <w:szCs w:val="28"/>
        </w:rPr>
        <w:t>1、实用性原则</w:t>
      </w:r>
    </w:p>
    <w:p w14:paraId="05B93C23">
      <w:pPr>
        <w:spacing w:line="520" w:lineRule="exact"/>
        <w:ind w:firstLine="560" w:firstLineChars="200"/>
        <w:rPr>
          <w:rFonts w:ascii="仿宋_GB2312" w:eastAsia="仿宋_GB2312" w:cs="仿宋"/>
          <w:sz w:val="28"/>
          <w:szCs w:val="28"/>
        </w:rPr>
      </w:pPr>
      <w:r>
        <w:rPr>
          <w:rFonts w:hint="eastAsia" w:ascii="仿宋_GB2312" w:eastAsia="仿宋_GB2312" w:cs="仿宋"/>
          <w:sz w:val="28"/>
          <w:szCs w:val="28"/>
        </w:rPr>
        <w:t>本标准是在充分收集国内外相关资料和文献、调研分析</w:t>
      </w:r>
      <w:r>
        <w:rPr>
          <w:rFonts w:hint="eastAsia" w:ascii="仿宋_GB2312" w:eastAsia="仿宋_GB2312"/>
          <w:kern w:val="0"/>
          <w:sz w:val="28"/>
          <w:szCs w:val="28"/>
          <w:lang w:eastAsia="zh-CN"/>
        </w:rPr>
        <w:t>抗肿瘤药物临床试验护理</w:t>
      </w:r>
      <w:r>
        <w:rPr>
          <w:rFonts w:hint="eastAsia" w:ascii="仿宋_GB2312" w:eastAsia="仿宋_GB2312" w:cs="仿宋"/>
          <w:sz w:val="28"/>
          <w:szCs w:val="28"/>
        </w:rPr>
        <w:t>现状，结合起草单位前期研究工作取得的研究成果及积累的实践经验，并借鉴国内</w:t>
      </w:r>
      <w:r>
        <w:rPr>
          <w:rFonts w:hint="eastAsia" w:ascii="仿宋_GB2312" w:eastAsia="仿宋_GB2312"/>
          <w:kern w:val="0"/>
          <w:sz w:val="28"/>
          <w:szCs w:val="28"/>
          <w:lang w:eastAsia="zh-CN"/>
        </w:rPr>
        <w:t>抗肿瘤药物临床试验护理</w:t>
      </w:r>
      <w:r>
        <w:rPr>
          <w:rFonts w:hint="eastAsia" w:ascii="仿宋_GB2312" w:eastAsia="仿宋_GB2312" w:cs="仿宋"/>
          <w:sz w:val="28"/>
          <w:szCs w:val="28"/>
        </w:rPr>
        <w:t>进行总结起草的，符合工作实际，利于</w:t>
      </w:r>
      <w:r>
        <w:rPr>
          <w:rFonts w:hint="eastAsia" w:ascii="仿宋_GB2312" w:eastAsia="仿宋_GB2312"/>
          <w:kern w:val="0"/>
          <w:sz w:val="28"/>
          <w:szCs w:val="28"/>
          <w:lang w:eastAsia="zh-CN"/>
        </w:rPr>
        <w:t>抗肿瘤药物临床试验护理</w:t>
      </w:r>
      <w:r>
        <w:rPr>
          <w:rFonts w:hint="eastAsia" w:ascii="仿宋_GB2312" w:eastAsia="仿宋_GB2312" w:cs="仿宋"/>
          <w:sz w:val="28"/>
          <w:szCs w:val="28"/>
        </w:rPr>
        <w:t>的实施与推广，具有可操作性和实用性。</w:t>
      </w:r>
    </w:p>
    <w:p w14:paraId="41534A43">
      <w:pPr>
        <w:spacing w:line="520" w:lineRule="exact"/>
        <w:ind w:firstLine="562" w:firstLineChars="200"/>
        <w:rPr>
          <w:rFonts w:ascii="仿宋_GB2312" w:eastAsia="仿宋_GB2312"/>
          <w:b/>
          <w:sz w:val="28"/>
          <w:szCs w:val="28"/>
        </w:rPr>
      </w:pPr>
      <w:r>
        <w:rPr>
          <w:rFonts w:hint="eastAsia" w:ascii="仿宋_GB2312" w:eastAsia="仿宋_GB2312"/>
          <w:b/>
          <w:sz w:val="28"/>
          <w:szCs w:val="28"/>
        </w:rPr>
        <w:t>2、协调性原则</w:t>
      </w:r>
    </w:p>
    <w:p w14:paraId="52512CCA">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本文件编写过程中注意了与</w:t>
      </w:r>
      <w:r>
        <w:rPr>
          <w:rFonts w:hint="eastAsia" w:ascii="仿宋_GB2312" w:eastAsia="仿宋_GB2312"/>
          <w:kern w:val="0"/>
          <w:sz w:val="28"/>
          <w:szCs w:val="28"/>
          <w:lang w:eastAsia="zh-CN"/>
        </w:rPr>
        <w:t>抗肿瘤药物临床试验护理</w:t>
      </w:r>
      <w:r>
        <w:rPr>
          <w:rFonts w:hint="eastAsia" w:ascii="仿宋_GB2312" w:eastAsia="仿宋_GB2312"/>
          <w:sz w:val="28"/>
          <w:szCs w:val="28"/>
        </w:rPr>
        <w:t>相关法律法规的协调问题，在内容上与现行法律法规、标准协调一致。</w:t>
      </w:r>
    </w:p>
    <w:p w14:paraId="74DB7C34">
      <w:pPr>
        <w:spacing w:line="520" w:lineRule="exact"/>
        <w:ind w:firstLine="562" w:firstLineChars="200"/>
        <w:rPr>
          <w:rFonts w:ascii="仿宋_GB2312" w:eastAsia="仿宋_GB2312"/>
          <w:b/>
          <w:sz w:val="28"/>
          <w:szCs w:val="28"/>
        </w:rPr>
      </w:pPr>
      <w:r>
        <w:rPr>
          <w:rFonts w:hint="eastAsia" w:ascii="仿宋_GB2312" w:eastAsia="仿宋_GB2312"/>
          <w:b/>
          <w:sz w:val="28"/>
          <w:szCs w:val="28"/>
        </w:rPr>
        <w:t>3、规范性原则</w:t>
      </w:r>
    </w:p>
    <w:p w14:paraId="70BA34D5">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本文件严格按照GB/T 1.1—2020《标准化工作导则  第1部分：标准化文件的结构和起草规则》编写本标准的内容，保证标准的编写质量。</w:t>
      </w:r>
    </w:p>
    <w:p w14:paraId="6E17638F">
      <w:pPr>
        <w:spacing w:line="520" w:lineRule="exact"/>
        <w:ind w:firstLine="562" w:firstLineChars="200"/>
        <w:rPr>
          <w:rFonts w:ascii="仿宋_GB2312" w:eastAsia="仿宋_GB2312"/>
          <w:b/>
          <w:sz w:val="28"/>
          <w:szCs w:val="28"/>
        </w:rPr>
      </w:pPr>
      <w:r>
        <w:rPr>
          <w:rFonts w:hint="eastAsia" w:ascii="仿宋_GB2312" w:eastAsia="仿宋_GB2312"/>
          <w:b/>
          <w:sz w:val="28"/>
          <w:szCs w:val="28"/>
        </w:rPr>
        <w:t>4、前瞻性原则</w:t>
      </w:r>
    </w:p>
    <w:p w14:paraId="5709C23C">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本文件在兼顾当前区内</w:t>
      </w:r>
      <w:r>
        <w:rPr>
          <w:rFonts w:hint="eastAsia" w:ascii="仿宋_GB2312" w:eastAsia="仿宋_GB2312"/>
          <w:kern w:val="0"/>
          <w:sz w:val="28"/>
          <w:szCs w:val="28"/>
          <w:lang w:eastAsia="zh-CN"/>
        </w:rPr>
        <w:t>抗肿瘤药物临床试验护理</w:t>
      </w:r>
      <w:r>
        <w:rPr>
          <w:rFonts w:hint="eastAsia" w:ascii="仿宋_GB2312" w:eastAsia="仿宋_GB2312"/>
          <w:sz w:val="28"/>
          <w:szCs w:val="28"/>
        </w:rPr>
        <w:t>现实情况的同时，还考虑到了</w:t>
      </w:r>
      <w:r>
        <w:rPr>
          <w:rFonts w:hint="eastAsia" w:ascii="仿宋_GB2312" w:eastAsia="仿宋_GB2312"/>
          <w:kern w:val="0"/>
          <w:sz w:val="28"/>
          <w:szCs w:val="28"/>
          <w:lang w:eastAsia="zh-CN"/>
        </w:rPr>
        <w:t>抗肿瘤药物临床试验护理</w:t>
      </w:r>
      <w:r>
        <w:rPr>
          <w:rFonts w:hint="eastAsia" w:ascii="仿宋_GB2312" w:eastAsia="仿宋_GB2312"/>
          <w:sz w:val="28"/>
          <w:szCs w:val="28"/>
        </w:rPr>
        <w:t>的需要，在标准中体现了个别特色性、前瞻性和先进性条款，作为对</w:t>
      </w:r>
      <w:r>
        <w:rPr>
          <w:rFonts w:hint="eastAsia" w:ascii="仿宋_GB2312" w:eastAsia="仿宋_GB2312"/>
          <w:kern w:val="0"/>
          <w:sz w:val="28"/>
          <w:szCs w:val="28"/>
          <w:lang w:eastAsia="zh-CN"/>
        </w:rPr>
        <w:t>抗肿瘤药物临床试验护理</w:t>
      </w:r>
      <w:r>
        <w:rPr>
          <w:rFonts w:hint="eastAsia" w:ascii="仿宋_GB2312" w:eastAsia="仿宋_GB2312"/>
          <w:sz w:val="28"/>
          <w:szCs w:val="28"/>
        </w:rPr>
        <w:t>发展的指导。</w:t>
      </w:r>
    </w:p>
    <w:p w14:paraId="28036EA4">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（二）编制依据</w:t>
      </w:r>
    </w:p>
    <w:p w14:paraId="2E4A3F7C">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本标准严格按照GB/T 1.1—2020《标准化工作导则  第1部分：标准化文件的结构和起草规则》的规则起草，标准主要内容依据《中华人民共和国药品管理法》《药物临床试验质量管理规范》《药物Ⅰ期临床试验建设指导原则(试行)》</w:t>
      </w:r>
      <w:r>
        <w:rPr>
          <w:rFonts w:hint="eastAsia" w:ascii="仿宋_GB2312" w:eastAsia="仿宋_GB2312"/>
          <w:sz w:val="28"/>
          <w:szCs w:val="28"/>
          <w:lang w:eastAsia="zh-CN"/>
        </w:rPr>
        <w:t>及</w:t>
      </w:r>
      <w:r>
        <w:rPr>
          <w:rFonts w:hint="eastAsia" w:ascii="仿宋_GB2312" w:eastAsia="仿宋_GB2312"/>
          <w:sz w:val="28"/>
          <w:szCs w:val="28"/>
        </w:rPr>
        <w:t>起草单位在</w:t>
      </w:r>
      <w:r>
        <w:rPr>
          <w:rFonts w:hint="eastAsia" w:ascii="仿宋_GB2312" w:eastAsia="仿宋_GB2312"/>
          <w:kern w:val="0"/>
          <w:sz w:val="28"/>
          <w:szCs w:val="28"/>
          <w:lang w:eastAsia="zh-CN"/>
        </w:rPr>
        <w:t>抗肿瘤药物临床试验护理</w:t>
      </w:r>
      <w:r>
        <w:rPr>
          <w:rFonts w:hint="eastAsia" w:ascii="仿宋_GB2312" w:eastAsia="仿宋_GB2312"/>
          <w:sz w:val="28"/>
          <w:szCs w:val="28"/>
        </w:rPr>
        <w:t>研究应用过程中的实践经验确定。</w:t>
      </w:r>
    </w:p>
    <w:p w14:paraId="5D035386">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（三）与现行法律、法规的关系，与有关国家标准、行业标准的协调情况</w:t>
      </w:r>
    </w:p>
    <w:p w14:paraId="3917549A">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本标准与相关法律法规、强制性标准协调一致，无冲突。</w:t>
      </w:r>
    </w:p>
    <w:p w14:paraId="1F3AEC15">
      <w:pPr>
        <w:adjustRightInd w:val="0"/>
        <w:snapToGrid w:val="0"/>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经查阅，目前暂无与“</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”相关的标准，与“抗肿瘤药物临床”有关的标准有：DB22/T 2367-2015抗肿瘤药物临床应用管理规范、DB22/T 1862-2013抗肿瘤药物应用的卫生防护规范；分析如下：</w:t>
      </w:r>
    </w:p>
    <w:p w14:paraId="5BE7DD2C">
      <w:pPr>
        <w:adjustRightInd w:val="0"/>
        <w:snapToGrid w:val="0"/>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（1）《DB22/T 2367-2015抗肿瘤药物临床应用管理规范》规定了抗肿瘤药物临床应用管理的术语和定义、资质管理和培训、药物分类、分级及储存管理、调频管理、药物安全使用及配制、护理人员管理、医疗废物处理及药物渗漏处理。</w:t>
      </w:r>
    </w:p>
    <w:p w14:paraId="02A8C611">
      <w:pPr>
        <w:adjustRightInd w:val="0"/>
        <w:snapToGrid w:val="0"/>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（2）《DB22/T 1862-2013抗肿瘤药物应用的卫生防护规范》规定了抗肿瘤药物应用中有关患者、工作人员和工作场所的卫生防护要求。以上标准主要是对抗肿瘤药物临床应用及管理提出技术要求，未有针对抗肿瘤药物临床试验护理工作内容、流程及规范提出具体的要求和描述。</w:t>
      </w:r>
    </w:p>
    <w:p w14:paraId="1C503AB9">
      <w:pPr>
        <w:adjustRightInd w:val="0"/>
        <w:snapToGrid w:val="0"/>
        <w:spacing w:line="520" w:lineRule="exact"/>
        <w:ind w:firstLine="560" w:firstLineChars="200"/>
      </w:pPr>
      <w:r>
        <w:rPr>
          <w:rFonts w:hint="eastAsia" w:ascii="仿宋_GB2312" w:eastAsia="仿宋_GB2312"/>
          <w:sz w:val="28"/>
          <w:szCs w:val="28"/>
        </w:rPr>
        <w:t>综上所述，本标准主要针对抗肿瘤药物临床试验护理提出要求，相较于帕金森病护理服务上述标准，本标准针对抗肿瘤药物临床试验护理，更具针对性，与上述现行标准的侧重点和核心内容均存在差异，将有效指导抗肿瘤药物临床试验护理。</w:t>
      </w:r>
    </w:p>
    <w:p w14:paraId="01EB6A88">
      <w:pPr>
        <w:spacing w:before="240" w:after="60" w:line="520" w:lineRule="exact"/>
        <w:ind w:firstLine="640" w:firstLineChars="200"/>
        <w:jc w:val="left"/>
        <w:outlineLvl w:val="0"/>
        <w:rPr>
          <w:rFonts w:ascii="黑体" w:eastAsia="黑体"/>
          <w:bCs/>
          <w:sz w:val="32"/>
          <w:szCs w:val="32"/>
        </w:rPr>
      </w:pPr>
      <w:r>
        <w:rPr>
          <w:rFonts w:hint="eastAsia" w:ascii="黑体" w:eastAsia="黑体"/>
          <w:bCs/>
          <w:sz w:val="32"/>
          <w:szCs w:val="32"/>
        </w:rPr>
        <w:t>五、主要条款的说明</w:t>
      </w:r>
    </w:p>
    <w:p w14:paraId="06912F65">
      <w:pPr>
        <w:pStyle w:val="29"/>
        <w:spacing w:line="520" w:lineRule="exact"/>
        <w:ind w:firstLine="562"/>
        <w:rPr>
          <w:rFonts w:hint="eastAsia" w:ascii="仿宋_GB2312" w:eastAsia="仿宋_GB2312" w:cs="仿宋"/>
          <w:sz w:val="28"/>
          <w:szCs w:val="28"/>
        </w:rPr>
      </w:pPr>
      <w:r>
        <w:rPr>
          <w:rFonts w:hint="eastAsia" w:ascii="仿宋_GB2312" w:eastAsia="仿宋_GB2312" w:cs="仿宋"/>
          <w:b/>
          <w:bCs/>
          <w:sz w:val="28"/>
          <w:szCs w:val="28"/>
        </w:rPr>
        <w:t>标准核心技术主要在于</w:t>
      </w:r>
      <w:r>
        <w:rPr>
          <w:rFonts w:hint="eastAsia" w:ascii="仿宋_GB2312" w:eastAsia="仿宋_GB2312" w:cs="仿宋"/>
          <w:b/>
          <w:bCs/>
          <w:sz w:val="28"/>
          <w:szCs w:val="28"/>
          <w:lang w:eastAsia="zh-CN"/>
        </w:rPr>
        <w:t>：</w:t>
      </w:r>
      <w:r>
        <w:rPr>
          <w:rFonts w:hint="eastAsia" w:ascii="仿宋_GB2312" w:eastAsia="仿宋_GB2312" w:cs="仿宋"/>
          <w:sz w:val="28"/>
          <w:szCs w:val="28"/>
        </w:rPr>
        <w:t>经过调研区内外多地区药物临床试验医疗机构的运作情况，本标准明确抗肿瘤药物试验护理工作内容。包括受试者入住病区、入院评估、环境介绍、受试者用药前、受试期间、办理出院和院外随访等内容。其中护理评估是顺利开展护理服务的基础，所以本标准详细规定了重点评估、护理专项评估，并提出了相应的评估方法。本标准要求开展药物临床试验的医疗机构根据综合评估服务受试者健康情况制定护理工作计划，包括抗肿瘤药物临床试验护理涉及的缩略语，规定了基本要求、护理工作流程及要求的要求。护理服务提供主要为根据受试者方案和医师的医嘱严格执行护理计划，按照护理技术操作要求提供规范化服务。</w:t>
      </w:r>
    </w:p>
    <w:p w14:paraId="3F8352D8">
      <w:pPr>
        <w:pStyle w:val="29"/>
        <w:spacing w:line="520" w:lineRule="exact"/>
        <w:ind w:firstLine="0" w:firstLineChars="0"/>
        <w:rPr>
          <w:rFonts w:ascii="仿宋_GB2312" w:eastAsia="仿宋_GB2312"/>
          <w:sz w:val="28"/>
          <w:szCs w:val="28"/>
        </w:rPr>
      </w:pPr>
      <w:r>
        <w:rPr>
          <w:rFonts w:hint="eastAsia" w:ascii="仿宋_GB2312" w:eastAsia="仿宋_GB2312" w:cs="仿宋"/>
          <w:b/>
          <w:sz w:val="28"/>
          <w:szCs w:val="28"/>
        </w:rPr>
        <w:t>（</w:t>
      </w:r>
      <w:r>
        <w:rPr>
          <w:rFonts w:hint="eastAsia" w:ascii="仿宋_GB2312" w:eastAsia="仿宋_GB2312" w:cs="仿宋"/>
          <w:b/>
          <w:sz w:val="28"/>
          <w:szCs w:val="28"/>
          <w:lang w:eastAsia="zh-CN"/>
        </w:rPr>
        <w:t>一</w:t>
      </w:r>
      <w:r>
        <w:rPr>
          <w:rFonts w:hint="eastAsia" w:ascii="仿宋_GB2312" w:eastAsia="仿宋_GB2312" w:cs="仿宋"/>
          <w:b/>
          <w:sz w:val="28"/>
          <w:szCs w:val="28"/>
        </w:rPr>
        <w:t>）基本要求</w:t>
      </w:r>
    </w:p>
    <w:p w14:paraId="49931398">
      <w:pPr>
        <w:pStyle w:val="29"/>
        <w:spacing w:line="520" w:lineRule="exact"/>
        <w:ind w:firstLine="560"/>
        <w:rPr>
          <w:rFonts w:hint="eastAsia" w:ascii="仿宋_GB2312" w:eastAsia="仿宋_GB2312"/>
          <w:b w:val="0"/>
          <w:bCs w:val="0"/>
          <w:sz w:val="28"/>
          <w:szCs w:val="28"/>
        </w:rPr>
      </w:pPr>
      <w:r>
        <w:rPr>
          <w:rFonts w:hint="eastAsia" w:ascii="仿宋_GB2312" w:eastAsia="仿宋_GB2312"/>
          <w:b/>
          <w:bCs/>
          <w:sz w:val="28"/>
          <w:szCs w:val="28"/>
          <w:lang w:eastAsia="zh-CN"/>
        </w:rPr>
        <w:t>人员</w:t>
      </w:r>
      <w:r>
        <w:rPr>
          <w:rFonts w:hint="eastAsia" w:ascii="仿宋_GB2312" w:eastAsia="仿宋_GB2312"/>
          <w:b w:val="0"/>
          <w:bCs w:val="0"/>
          <w:sz w:val="28"/>
          <w:szCs w:val="28"/>
          <w:lang w:eastAsia="zh-CN"/>
        </w:rPr>
        <w:t>：</w:t>
      </w:r>
      <w:r>
        <w:rPr>
          <w:rFonts w:hint="eastAsia" w:ascii="仿宋_GB2312" w:eastAsia="仿宋_GB2312"/>
          <w:b w:val="0"/>
          <w:bCs w:val="0"/>
          <w:sz w:val="28"/>
          <w:szCs w:val="28"/>
        </w:rPr>
        <w:t>护理人员应经药物临床试验机构制定的SOP各模块内容、国家/区级药品监督管理局等部门的GCP知识培训的培训并考核合格。具备满足临床研究工作所需的中英文读写能力及良好的沟通能力。</w:t>
      </w:r>
    </w:p>
    <w:p w14:paraId="44DE87B3">
      <w:pPr>
        <w:pStyle w:val="29"/>
        <w:spacing w:line="520" w:lineRule="exact"/>
        <w:ind w:firstLine="560"/>
        <w:rPr>
          <w:rFonts w:hint="eastAsia" w:ascii="仿宋_GB2312" w:eastAsia="仿宋_GB2312"/>
          <w:b w:val="0"/>
          <w:bCs w:val="0"/>
          <w:sz w:val="28"/>
          <w:szCs w:val="28"/>
        </w:rPr>
      </w:pPr>
      <w:r>
        <w:rPr>
          <w:rFonts w:hint="eastAsia" w:ascii="仿宋_GB2312" w:eastAsia="仿宋_GB2312"/>
          <w:b/>
          <w:bCs/>
          <w:sz w:val="28"/>
          <w:szCs w:val="28"/>
          <w:lang w:eastAsia="zh-CN"/>
        </w:rPr>
        <w:t>设施设备</w:t>
      </w:r>
      <w:r>
        <w:rPr>
          <w:rFonts w:hint="eastAsia" w:ascii="仿宋_GB2312" w:eastAsia="仿宋_GB2312"/>
          <w:b w:val="0"/>
          <w:bCs w:val="0"/>
          <w:sz w:val="28"/>
          <w:szCs w:val="28"/>
          <w:lang w:eastAsia="zh-CN"/>
        </w:rPr>
        <w:t>：</w:t>
      </w:r>
      <w:r>
        <w:rPr>
          <w:rFonts w:hint="eastAsia" w:ascii="仿宋_GB2312" w:eastAsia="仿宋_GB2312"/>
          <w:b w:val="0"/>
          <w:bCs w:val="0"/>
          <w:sz w:val="28"/>
          <w:szCs w:val="28"/>
        </w:rPr>
        <w:t>应具有相对独立的、安全性良好的病房区域/观察床位，保障受试者的安全性及私密性。应具有适当的受试者接待场所，能够满足知情同意、随访等需要。应具有原地抢救以及迅速转诊的能力。应配备抢救室，具有必要的抢救、监护仪器设备，如心电监护仪、除颤仪、心电图机、氧气设备、吸引器、床旁急救带，抢救设备良状态良好，能备应急使用；具有紧急呼叫系统，确保受试者能得到及时抢救。应具有试验用药药品储存设施设备及温湿度监控记录。应具有满足生物标本处理及贮存的离心机、低温冰箱、温度监控系统等设施设备，确保生物样本的质量安全；有条件的宜配备呼出气体酒精测试仪、生物安全柜等。仪器设备管理由专人负责，仪器设备标识清晰、准确，并按要求校准、验证、维护和使用，保留相应记录。抗肿瘤药物试验必须在符合安全标准的场所进行，医疗机构消毒技术应符合WS/T 367的规定，医院消毒卫生符合GB 15982的规定。</w:t>
      </w:r>
    </w:p>
    <w:p w14:paraId="482EFF80">
      <w:pPr>
        <w:pStyle w:val="29"/>
        <w:spacing w:line="520" w:lineRule="exact"/>
        <w:ind w:firstLine="0" w:firstLineChars="0"/>
        <w:rPr>
          <w:rFonts w:hint="eastAsia" w:ascii="仿宋_GB2312" w:eastAsia="仿宋_GB2312"/>
          <w:b/>
          <w:sz w:val="28"/>
          <w:szCs w:val="28"/>
          <w:lang w:eastAsia="zh-CN"/>
        </w:rPr>
      </w:pPr>
      <w:r>
        <w:rPr>
          <w:rFonts w:hint="eastAsia" w:ascii="仿宋_GB2312" w:eastAsia="仿宋_GB2312" w:cs="仿宋"/>
          <w:b/>
          <w:sz w:val="28"/>
          <w:szCs w:val="28"/>
        </w:rPr>
        <w:t>（</w:t>
      </w:r>
      <w:r>
        <w:rPr>
          <w:rFonts w:hint="eastAsia" w:ascii="仿宋_GB2312" w:eastAsia="仿宋_GB2312" w:cs="仿宋"/>
          <w:b/>
          <w:sz w:val="28"/>
          <w:szCs w:val="28"/>
          <w:lang w:eastAsia="zh-CN"/>
        </w:rPr>
        <w:t>二</w:t>
      </w:r>
      <w:r>
        <w:rPr>
          <w:rFonts w:hint="eastAsia" w:ascii="仿宋_GB2312" w:eastAsia="仿宋_GB2312" w:cs="仿宋"/>
          <w:b/>
          <w:sz w:val="28"/>
          <w:szCs w:val="28"/>
        </w:rPr>
        <w:t>）</w:t>
      </w:r>
      <w:bookmarkStart w:id="1" w:name="_Toc130001562"/>
      <w:bookmarkStart w:id="2" w:name="_Toc130001751"/>
      <w:bookmarkStart w:id="3" w:name="_Toc129855049"/>
      <w:bookmarkStart w:id="4" w:name="_Toc129855215"/>
      <w:bookmarkStart w:id="5" w:name="_Toc130001592"/>
      <w:r>
        <w:rPr>
          <w:rFonts w:hint="eastAsia" w:ascii="仿宋_GB2312" w:eastAsia="仿宋_GB2312" w:cs="仿宋"/>
          <w:b/>
          <w:sz w:val="28"/>
          <w:szCs w:val="28"/>
          <w:lang w:eastAsia="zh-CN"/>
        </w:rPr>
        <w:t>护理工作流程及要求</w:t>
      </w:r>
    </w:p>
    <w:bookmarkEnd w:id="1"/>
    <w:bookmarkEnd w:id="2"/>
    <w:bookmarkEnd w:id="3"/>
    <w:bookmarkEnd w:id="4"/>
    <w:bookmarkEnd w:id="5"/>
    <w:p w14:paraId="2975EC0B">
      <w:pPr>
        <w:pStyle w:val="29"/>
        <w:spacing w:line="520" w:lineRule="exact"/>
        <w:ind w:firstLine="562"/>
        <w:rPr>
          <w:rFonts w:hint="eastAsia" w:ascii="仿宋_GB2312" w:eastAsia="仿宋_GB2312" w:cs="仿宋"/>
          <w:b/>
          <w:bCs w:val="0"/>
          <w:sz w:val="28"/>
          <w:szCs w:val="28"/>
          <w:lang w:eastAsia="zh-CN"/>
        </w:rPr>
      </w:pPr>
      <w:r>
        <w:rPr>
          <w:rFonts w:hint="eastAsia" w:ascii="仿宋_GB2312" w:eastAsia="仿宋_GB2312" w:cs="仿宋"/>
          <w:b/>
          <w:bCs w:val="0"/>
          <w:sz w:val="28"/>
          <w:szCs w:val="28"/>
          <w:lang w:val="en-US" w:eastAsia="zh-CN"/>
        </w:rPr>
        <w:t>1.</w:t>
      </w:r>
      <w:r>
        <w:rPr>
          <w:rFonts w:hint="eastAsia" w:ascii="仿宋_GB2312" w:eastAsia="仿宋_GB2312" w:cs="仿宋"/>
          <w:b/>
          <w:bCs w:val="0"/>
          <w:sz w:val="28"/>
          <w:szCs w:val="28"/>
          <w:lang w:eastAsia="zh-CN"/>
        </w:rPr>
        <w:t>护理工作流程</w:t>
      </w:r>
    </w:p>
    <w:p w14:paraId="5646B8E7">
      <w:pPr>
        <w:pStyle w:val="29"/>
        <w:spacing w:line="520" w:lineRule="exact"/>
        <w:ind w:firstLine="562"/>
        <w:rPr>
          <w:rFonts w:hint="eastAsia" w:ascii="仿宋_GB2312" w:eastAsia="仿宋_GB2312" w:cs="仿宋"/>
          <w:b w:val="0"/>
          <w:bCs/>
          <w:sz w:val="28"/>
          <w:szCs w:val="28"/>
          <w:lang w:eastAsia="zh-CN"/>
        </w:rPr>
      </w:pPr>
      <w:r>
        <w:rPr>
          <w:rFonts w:hint="eastAsia" w:ascii="仿宋_GB2312" w:eastAsia="仿宋_GB2312" w:cs="仿宋"/>
          <w:b w:val="0"/>
          <w:bCs/>
          <w:sz w:val="28"/>
          <w:szCs w:val="28"/>
          <w:lang w:eastAsia="zh-CN"/>
        </w:rPr>
        <w:t>经过调研区内外多地区药物临床试验医疗机构的运作情况，明确抗肿瘤药物试验护理工作内容包括受试者入住病区、入院评估、环境介绍、受试者用药前、受试期间、办理出院和院外随访等内容。其中护理评估是顺利开展护理服务的基础，所以本标准详细规定了重点评估、护理专项评估，并提出了相应的评估方法。</w:t>
      </w:r>
    </w:p>
    <w:p w14:paraId="117595B0">
      <w:pPr>
        <w:pStyle w:val="29"/>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pPr>
      <w:r>
        <w:drawing>
          <wp:inline distT="0" distB="0" distL="114300" distR="114300">
            <wp:extent cx="3035935" cy="3303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035935" cy="3303905"/>
                    </a:xfrm>
                    <a:prstGeom prst="rect">
                      <a:avLst/>
                    </a:prstGeom>
                    <a:noFill/>
                    <a:ln>
                      <a:noFill/>
                    </a:ln>
                  </pic:spPr>
                </pic:pic>
              </a:graphicData>
            </a:graphic>
          </wp:inline>
        </w:drawing>
      </w:r>
    </w:p>
    <w:p w14:paraId="53D9AFC1">
      <w:pPr>
        <w:pStyle w:val="29"/>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rPr>
      </w:pPr>
      <w:r>
        <w:rPr>
          <w:rFonts w:hint="eastAsia"/>
        </w:rPr>
        <w:t>图1 抗肿瘤药物临床试验护理工作流程</w:t>
      </w:r>
    </w:p>
    <w:p w14:paraId="64571AB4">
      <w:pPr>
        <w:pStyle w:val="29"/>
        <w:spacing w:line="520" w:lineRule="exact"/>
        <w:ind w:firstLine="562"/>
        <w:rPr>
          <w:rFonts w:hint="default" w:ascii="仿宋_GB2312" w:eastAsia="仿宋_GB2312" w:cs="仿宋"/>
          <w:b/>
          <w:bCs w:val="0"/>
          <w:sz w:val="28"/>
          <w:szCs w:val="28"/>
          <w:lang w:val="en-US" w:eastAsia="zh-CN"/>
        </w:rPr>
      </w:pPr>
      <w:r>
        <w:rPr>
          <w:rFonts w:hint="eastAsia" w:ascii="仿宋_GB2312" w:eastAsia="仿宋_GB2312" w:cs="仿宋"/>
          <w:b/>
          <w:bCs w:val="0"/>
          <w:sz w:val="28"/>
          <w:szCs w:val="28"/>
          <w:lang w:val="en-US" w:eastAsia="zh-CN"/>
        </w:rPr>
        <w:t>2.流程要求</w:t>
      </w:r>
    </w:p>
    <w:p w14:paraId="25A064EB">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对于抗肿瘤药物临床试验的护理</w:t>
      </w:r>
      <w:r>
        <w:rPr>
          <w:rFonts w:hint="eastAsia" w:ascii="仿宋_GB2312" w:eastAsia="仿宋_GB2312" w:cs="仿宋"/>
          <w:b w:val="0"/>
          <w:bCs/>
          <w:sz w:val="28"/>
          <w:szCs w:val="28"/>
          <w:lang w:eastAsia="zh-CN"/>
        </w:rPr>
        <w:t>工作流程</w:t>
      </w:r>
      <w:r>
        <w:rPr>
          <w:rFonts w:hint="eastAsia" w:ascii="仿宋_GB2312" w:eastAsia="仿宋_GB2312" w:cs="仿宋"/>
          <w:b w:val="0"/>
          <w:bCs/>
          <w:sz w:val="28"/>
          <w:szCs w:val="28"/>
        </w:rPr>
        <w:t>要求主要依据广西医科大学附属肿瘤医院、广西壮族自治区人民医院、南宁市第一人民医院等已开展抗肿瘤药物临床试验的医疗机构实际要求以及各家医疗机构抗肿瘤药物临床试验护理工作流程要求确定，</w:t>
      </w:r>
      <w:r>
        <w:rPr>
          <w:rFonts w:hint="eastAsia" w:ascii="仿宋_GB2312" w:eastAsia="仿宋_GB2312" w:cs="仿宋"/>
          <w:b w:val="0"/>
          <w:bCs/>
          <w:sz w:val="28"/>
          <w:szCs w:val="28"/>
          <w:lang w:eastAsia="zh-CN"/>
        </w:rPr>
        <w:t>按阶段划</w:t>
      </w:r>
      <w:r>
        <w:rPr>
          <w:rFonts w:hint="eastAsia" w:ascii="仿宋_GB2312" w:eastAsia="仿宋_GB2312" w:cs="仿宋"/>
          <w:b w:val="0"/>
          <w:bCs/>
          <w:sz w:val="28"/>
          <w:szCs w:val="28"/>
        </w:rPr>
        <w:t>分为</w:t>
      </w:r>
      <w:r>
        <w:rPr>
          <w:rFonts w:hint="eastAsia" w:ascii="仿宋_GB2312" w:eastAsia="仿宋_GB2312" w:cs="仿宋"/>
          <w:b w:val="0"/>
          <w:bCs/>
          <w:sz w:val="28"/>
          <w:szCs w:val="28"/>
          <w:lang w:eastAsia="zh-CN"/>
        </w:rPr>
        <w:t>试验前准备</w:t>
      </w:r>
      <w:r>
        <w:rPr>
          <w:rFonts w:hint="eastAsia" w:ascii="仿宋_GB2312" w:eastAsia="仿宋_GB2312" w:cs="仿宋"/>
          <w:b w:val="0"/>
          <w:bCs/>
          <w:sz w:val="28"/>
          <w:szCs w:val="28"/>
        </w:rPr>
        <w:t>、</w:t>
      </w:r>
      <w:r>
        <w:rPr>
          <w:rFonts w:hint="eastAsia" w:ascii="仿宋_GB2312" w:eastAsia="仿宋_GB2312" w:cs="仿宋"/>
          <w:b w:val="0"/>
          <w:bCs/>
          <w:sz w:val="28"/>
          <w:szCs w:val="28"/>
          <w:lang w:eastAsia="zh-CN"/>
        </w:rPr>
        <w:t>实施试验</w:t>
      </w:r>
      <w:r>
        <w:rPr>
          <w:rFonts w:hint="eastAsia" w:ascii="仿宋_GB2312" w:eastAsia="仿宋_GB2312" w:cs="仿宋"/>
          <w:b w:val="0"/>
          <w:bCs/>
          <w:sz w:val="28"/>
          <w:szCs w:val="28"/>
        </w:rPr>
        <w:t>、</w:t>
      </w:r>
      <w:r>
        <w:rPr>
          <w:rFonts w:hint="eastAsia" w:ascii="仿宋_GB2312" w:eastAsia="仿宋_GB2312" w:cs="仿宋"/>
          <w:b w:val="0"/>
          <w:bCs/>
          <w:sz w:val="28"/>
          <w:szCs w:val="28"/>
          <w:lang w:eastAsia="zh-CN"/>
        </w:rPr>
        <w:t>试验结束</w:t>
      </w:r>
      <w:r>
        <w:rPr>
          <w:rFonts w:hint="eastAsia" w:ascii="仿宋_GB2312" w:eastAsia="仿宋_GB2312" w:cs="仿宋"/>
          <w:b w:val="0"/>
          <w:bCs/>
          <w:sz w:val="28"/>
          <w:szCs w:val="28"/>
        </w:rPr>
        <w:t>。</w:t>
      </w:r>
    </w:p>
    <w:p w14:paraId="539FDB21">
      <w:pPr>
        <w:pStyle w:val="29"/>
        <w:numPr>
          <w:ilvl w:val="0"/>
          <w:numId w:val="5"/>
        </w:numPr>
        <w:spacing w:line="520" w:lineRule="exact"/>
        <w:ind w:firstLine="562"/>
        <w:rPr>
          <w:rFonts w:hint="eastAsia" w:ascii="仿宋_GB2312" w:eastAsia="仿宋_GB2312" w:cs="仿宋"/>
          <w:b w:val="0"/>
          <w:bCs/>
          <w:sz w:val="28"/>
          <w:szCs w:val="28"/>
          <w:lang w:eastAsia="zh-CN"/>
        </w:rPr>
      </w:pPr>
      <w:r>
        <w:rPr>
          <w:rFonts w:hint="eastAsia" w:ascii="仿宋_GB2312" w:eastAsia="仿宋_GB2312" w:cs="仿宋"/>
          <w:b w:val="0"/>
          <w:bCs/>
          <w:sz w:val="28"/>
          <w:szCs w:val="28"/>
          <w:lang w:eastAsia="zh-CN"/>
        </w:rPr>
        <w:t>入院</w:t>
      </w:r>
    </w:p>
    <w:p w14:paraId="63907035">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需严格按照方案中的入选/排除标准，全面评估受试者病史、体格检查、实验室检查等。必须使用受试者能理解的语言，详细解释试验目的、流程、潜在风险和获益、替代治疗方案、补偿机制等，确保其完全理解并自愿签署知情同意书</w:t>
      </w:r>
      <w:r>
        <w:rPr>
          <w:rFonts w:hint="eastAsia" w:ascii="仿宋_GB2312" w:eastAsia="仿宋_GB2312" w:cs="仿宋"/>
          <w:b w:val="0"/>
          <w:bCs/>
          <w:sz w:val="28"/>
          <w:szCs w:val="28"/>
          <w:lang w:eastAsia="zh-CN"/>
        </w:rPr>
        <w:t>，并</w:t>
      </w:r>
      <w:r>
        <w:rPr>
          <w:rFonts w:hint="eastAsia" w:ascii="仿宋_GB2312" w:eastAsia="仿宋_GB2312" w:cs="仿宋"/>
          <w:b w:val="0"/>
          <w:bCs/>
          <w:sz w:val="28"/>
          <w:szCs w:val="28"/>
        </w:rPr>
        <w:t>完成填写首次护理记录单、体温单、一次性耗材收费知情同意书、采集标本知情同意书、协议书、住院患者营养风险评估单及护理记录单等。重点评估</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a)询问受试者的病史、功能状况、用药史、过敏史、吸烟饮酒史、饮食喜好。b)抗肿瘤药物临床试验前相关检查完成情况。c)合适选择的血管通路采集血标本、受试者及家属对试验的心理反应及合作能力。</w:t>
      </w:r>
    </w:p>
    <w:p w14:paraId="5175DFAF">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环境介绍</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包括病区环境、主管医生、护士长、责任护士、临床研究护士、住院制度及注意事项，如用餐、外出、安全、休息、探视、陪护、物品保管。</w:t>
      </w:r>
    </w:p>
    <w:p w14:paraId="35996799">
      <w:pPr>
        <w:pStyle w:val="29"/>
        <w:spacing w:line="520" w:lineRule="exact"/>
        <w:ind w:firstLine="562"/>
        <w:rPr>
          <w:rFonts w:hint="eastAsia" w:ascii="仿宋_GB2312" w:eastAsia="仿宋_GB2312" w:cs="仿宋"/>
          <w:b w:val="0"/>
          <w:bCs/>
          <w:sz w:val="28"/>
          <w:szCs w:val="28"/>
          <w:lang w:eastAsia="zh-CN"/>
        </w:rPr>
      </w:pP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2</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抗肿瘤药物临床试验前</w:t>
      </w:r>
      <w:r>
        <w:rPr>
          <w:rFonts w:hint="eastAsia" w:ascii="仿宋_GB2312" w:eastAsia="仿宋_GB2312" w:cs="仿宋"/>
          <w:b w:val="0"/>
          <w:bCs/>
          <w:sz w:val="28"/>
          <w:szCs w:val="28"/>
          <w:lang w:eastAsia="zh-CN"/>
        </w:rPr>
        <w:t>准备</w:t>
      </w:r>
    </w:p>
    <w:p w14:paraId="4D6B4E05">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rPr>
        <w:t>检查设备设施</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抗肿瘤药物临床试验前对设备设施进行全面检查，主要是为了确保受试者的安全，并保障试验数据的科学性、准确性和可靠性。所有设备的​​采购、验收、校准、维护、故障维修、使用记录等都应及时、准确、完整地记录并归档保存。这些是临床试验质量保证的重要证据</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检查心电监护仪、呼吸机、除颤仪、心电图机、定时器、吸引器、氧气筒、床旁急救带、急救车内用物、离心机、各标本冰箱，检查仪器设备的各种性能，处于完好的备用状态，保证各设施安全、有效、精确。</w:t>
      </w:r>
    </w:p>
    <w:tbl>
      <w:tblPr>
        <w:tblStyle w:val="13"/>
        <w:tblW w:w="9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320"/>
        <w:gridCol w:w="4031"/>
        <w:gridCol w:w="4122"/>
      </w:tblGrid>
      <w:tr w14:paraId="4497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blHeader/>
        </w:trPr>
        <w:tc>
          <w:tcPr>
            <w:tcW w:w="1320" w:type="dxa"/>
            <w:shd w:val="clear" w:color="auto" w:fill="FFFFFF"/>
            <w:tcMar>
              <w:top w:w="150" w:type="dxa"/>
              <w:bottom w:w="150" w:type="dxa"/>
              <w:right w:w="180" w:type="dxa"/>
            </w:tcMar>
            <w:vAlign w:val="center"/>
          </w:tcPr>
          <w:p w14:paraId="0224419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ascii="var(--hy-font-family)" w:hAnsi="var(--hy-font-family)" w:eastAsia="var(--hy-font-family)" w:cs="var(--hy-font-family)"/>
                <w:b/>
                <w:i w:val="0"/>
                <w:sz w:val="20"/>
                <w:szCs w:val="20"/>
              </w:rPr>
            </w:pPr>
            <w:r>
              <w:rPr>
                <w:rFonts w:hint="default" w:ascii="var(--hy-font-family)" w:hAnsi="var(--hy-font-family)" w:eastAsia="var(--hy-font-family)" w:cs="var(--hy-font-family)"/>
                <w:b/>
                <w:bCs/>
                <w:i w:val="0"/>
                <w:iCs w:val="0"/>
                <w:caps w:val="0"/>
                <w:color w:val="000000"/>
                <w:spacing w:val="-2"/>
                <w:sz w:val="20"/>
                <w:szCs w:val="20"/>
                <w:vertAlign w:val="baseline"/>
              </w:rPr>
              <w:t>设备类别</w:t>
            </w:r>
          </w:p>
        </w:tc>
        <w:tc>
          <w:tcPr>
            <w:tcW w:w="4031" w:type="dxa"/>
            <w:shd w:val="clear" w:color="auto" w:fill="FFFFFF"/>
            <w:tcMar>
              <w:top w:w="150" w:type="dxa"/>
              <w:bottom w:w="150" w:type="dxa"/>
              <w:right w:w="180" w:type="dxa"/>
            </w:tcMar>
            <w:vAlign w:val="center"/>
          </w:tcPr>
          <w:p w14:paraId="20DCAE1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hy-font-family)" w:hAnsi="var(--hy-font-family)" w:eastAsia="var(--hy-font-family)" w:cs="var(--hy-font-family)"/>
                <w:b/>
                <w:i w:val="0"/>
                <w:sz w:val="20"/>
                <w:szCs w:val="20"/>
              </w:rPr>
            </w:pPr>
            <w:r>
              <w:rPr>
                <w:rFonts w:hint="default" w:ascii="var(--hy-font-family)" w:hAnsi="var(--hy-font-family)" w:eastAsia="var(--hy-font-family)" w:cs="var(--hy-font-family)"/>
                <w:b/>
                <w:bCs/>
                <w:i w:val="0"/>
                <w:iCs w:val="0"/>
                <w:caps w:val="0"/>
                <w:color w:val="000000"/>
                <w:spacing w:val="-2"/>
                <w:sz w:val="20"/>
                <w:szCs w:val="20"/>
                <w:vertAlign w:val="baseline"/>
              </w:rPr>
              <w:t>核心要求与目的</w:t>
            </w:r>
          </w:p>
        </w:tc>
        <w:tc>
          <w:tcPr>
            <w:tcW w:w="4122" w:type="dxa"/>
            <w:shd w:val="clear" w:color="auto" w:fill="FFFFFF"/>
            <w:tcMar>
              <w:top w:w="150" w:type="dxa"/>
              <w:bottom w:w="150" w:type="dxa"/>
              <w:right w:w="180" w:type="dxa"/>
            </w:tcMar>
            <w:vAlign w:val="center"/>
          </w:tcPr>
          <w:p w14:paraId="0B809E8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hy-font-family)" w:hAnsi="var(--hy-font-family)" w:eastAsia="var(--hy-font-family)" w:cs="var(--hy-font-family)"/>
                <w:b/>
                <w:i w:val="0"/>
                <w:sz w:val="20"/>
                <w:szCs w:val="20"/>
              </w:rPr>
            </w:pPr>
            <w:r>
              <w:rPr>
                <w:rFonts w:hint="default" w:ascii="var(--hy-font-family)" w:hAnsi="var(--hy-font-family)" w:eastAsia="var(--hy-font-family)" w:cs="var(--hy-font-family)"/>
                <w:b/>
                <w:bCs/>
                <w:i w:val="0"/>
                <w:iCs w:val="0"/>
                <w:caps w:val="0"/>
                <w:color w:val="000000"/>
                <w:spacing w:val="-2"/>
                <w:sz w:val="20"/>
                <w:szCs w:val="20"/>
                <w:vertAlign w:val="baseline"/>
              </w:rPr>
              <w:t>具体示例或说明</w:t>
            </w:r>
          </w:p>
        </w:tc>
      </w:tr>
      <w:tr w14:paraId="0C84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20" w:type="dxa"/>
            <w:shd w:val="clear" w:color="auto" w:fill="FFFFFF"/>
            <w:tcMar>
              <w:top w:w="150" w:type="dxa"/>
              <w:bottom w:w="150" w:type="dxa"/>
              <w:right w:w="180" w:type="dxa"/>
            </w:tcMar>
            <w:vAlign w:val="center"/>
          </w:tcPr>
          <w:p w14:paraId="2BB903E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药物管理与储存设备</w:t>
            </w:r>
          </w:p>
        </w:tc>
        <w:tc>
          <w:tcPr>
            <w:tcW w:w="4031" w:type="dxa"/>
            <w:shd w:val="clear" w:color="auto" w:fill="FFFFFF"/>
            <w:tcMar>
              <w:top w:w="150" w:type="dxa"/>
              <w:bottom w:w="150" w:type="dxa"/>
              <w:right w:w="180" w:type="dxa"/>
            </w:tcMar>
            <w:vAlign w:val="center"/>
          </w:tcPr>
          <w:p w14:paraId="0833416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确保试验药物在</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稳定、合规</w:t>
            </w:r>
            <w:r>
              <w:rPr>
                <w:rFonts w:hint="default" w:ascii="var(--yb-font-body-medium)" w:hAnsi="var(--yb-font-body-medium)" w:eastAsia="var(--yb-font-body-medium)" w:cs="var(--yb-font-body-medium)"/>
                <w:b w:val="0"/>
                <w:i w:val="0"/>
                <w:iCs w:val="0"/>
                <w:caps w:val="0"/>
                <w:color w:val="000000"/>
                <w:spacing w:val="-2"/>
                <w:sz w:val="20"/>
                <w:szCs w:val="20"/>
                <w:vertAlign w:val="baseline"/>
              </w:rPr>
              <w:t>的环境中储存，保证药效和安全性，防止污染或变质。</w:t>
            </w:r>
          </w:p>
        </w:tc>
        <w:tc>
          <w:tcPr>
            <w:tcW w:w="4122" w:type="dxa"/>
            <w:shd w:val="clear" w:color="auto" w:fill="FFFFFF"/>
            <w:tcMar>
              <w:top w:w="150" w:type="dxa"/>
              <w:bottom w:w="150" w:type="dxa"/>
              <w:right w:w="180" w:type="dxa"/>
            </w:tcMar>
            <w:vAlign w:val="center"/>
          </w:tcPr>
          <w:p w14:paraId="52B13C0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b w:val="0"/>
                <w:i w:val="0"/>
                <w:iCs w:val="0"/>
                <w:caps w:val="0"/>
                <w:color w:val="000000"/>
                <w:spacing w:val="-2"/>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专用冰箱、温湿度监控系统、带锁的药品柜、安全柜（针对细胞毒性药物配制）</w:t>
            </w:r>
            <w:r>
              <w:rPr>
                <w:rFonts w:hint="default" w:ascii="var(--yb-font-body-medium)" w:hAnsi="var(--yb-font-body-medium)" w:eastAsia="var(--yb-font-body-medium)" w:cs="var(--yb-font-body-medium)"/>
                <w:b w:val="0"/>
                <w:i w:val="0"/>
                <w:iCs w:val="0"/>
                <w:caps w:val="0"/>
                <w:color w:val="000000"/>
                <w:spacing w:val="-2"/>
                <w:kern w:val="0"/>
                <w:sz w:val="20"/>
                <w:szCs w:val="20"/>
                <w:lang w:val="en-US" w:eastAsia="zh-CN" w:bidi="ar"/>
              </w:rPr>
              <w:t>。</w:t>
            </w:r>
          </w:p>
        </w:tc>
      </w:tr>
      <w:tr w14:paraId="6591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20" w:type="dxa"/>
            <w:shd w:val="clear" w:color="auto" w:fill="FFFFFF"/>
            <w:tcMar>
              <w:top w:w="150" w:type="dxa"/>
              <w:bottom w:w="150" w:type="dxa"/>
              <w:right w:w="180" w:type="dxa"/>
            </w:tcMar>
            <w:vAlign w:val="center"/>
          </w:tcPr>
          <w:p w14:paraId="20A2163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受试者安全与急救设备</w:t>
            </w:r>
          </w:p>
        </w:tc>
        <w:tc>
          <w:tcPr>
            <w:tcW w:w="4031" w:type="dxa"/>
            <w:shd w:val="clear" w:color="auto" w:fill="FFFFFF"/>
            <w:tcMar>
              <w:top w:w="150" w:type="dxa"/>
              <w:bottom w:w="150" w:type="dxa"/>
              <w:right w:w="180" w:type="dxa"/>
            </w:tcMar>
            <w:vAlign w:val="center"/>
          </w:tcPr>
          <w:p w14:paraId="06C9D36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具备处理</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紧急不良反应</w:t>
            </w:r>
            <w:r>
              <w:rPr>
                <w:rFonts w:hint="default" w:ascii="var(--yb-font-body-medium)" w:hAnsi="var(--yb-font-body-medium)" w:eastAsia="var(--yb-font-body-medium)" w:cs="var(--yb-font-body-medium)"/>
                <w:b w:val="0"/>
                <w:i w:val="0"/>
                <w:iCs w:val="0"/>
                <w:caps w:val="0"/>
                <w:color w:val="000000"/>
                <w:spacing w:val="-2"/>
                <w:sz w:val="20"/>
                <w:szCs w:val="20"/>
                <w:vertAlign w:val="baseline"/>
              </w:rPr>
              <w:t>（如过敏反应、骨髓抑制等）的能力，最大程度保障受试者生命安全和权益。</w:t>
            </w:r>
          </w:p>
        </w:tc>
        <w:tc>
          <w:tcPr>
            <w:tcW w:w="4122" w:type="dxa"/>
            <w:shd w:val="clear" w:color="auto" w:fill="FFFFFF"/>
            <w:tcMar>
              <w:top w:w="150" w:type="dxa"/>
              <w:bottom w:w="150" w:type="dxa"/>
              <w:right w:w="180" w:type="dxa"/>
            </w:tcMar>
            <w:vAlign w:val="center"/>
          </w:tcPr>
          <w:p w14:paraId="1F76375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b w:val="0"/>
                <w:i w:val="0"/>
                <w:iCs w:val="0"/>
                <w:caps w:val="0"/>
                <w:color w:val="000000"/>
                <w:spacing w:val="-2"/>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心电监护仪、除颤仪、供氧和负压吸引装置、抢救车及药品、紧急呼叫系统</w:t>
            </w:r>
            <w:r>
              <w:rPr>
                <w:rFonts w:hint="default" w:ascii="var(--yb-font-body-medium)" w:hAnsi="var(--yb-font-body-medium)" w:eastAsia="var(--yb-font-body-medium)" w:cs="var(--yb-font-body-medium)"/>
                <w:b w:val="0"/>
                <w:i w:val="0"/>
                <w:iCs w:val="0"/>
                <w:caps w:val="0"/>
                <w:color w:val="000000"/>
                <w:spacing w:val="-2"/>
                <w:kern w:val="0"/>
                <w:sz w:val="20"/>
                <w:szCs w:val="20"/>
                <w:lang w:val="en-US" w:eastAsia="zh-CN" w:bidi="ar"/>
              </w:rPr>
              <w:t>。</w:t>
            </w:r>
          </w:p>
        </w:tc>
      </w:tr>
      <w:tr w14:paraId="5575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20" w:type="dxa"/>
            <w:shd w:val="clear" w:color="auto" w:fill="FFFFFF"/>
            <w:tcMar>
              <w:top w:w="150" w:type="dxa"/>
              <w:bottom w:w="150" w:type="dxa"/>
              <w:right w:w="180" w:type="dxa"/>
            </w:tcMar>
            <w:vAlign w:val="center"/>
          </w:tcPr>
          <w:p w14:paraId="502D80C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疗效与安全性评估设备​</w:t>
            </w:r>
            <w:r>
              <w:rPr>
                <w:rFonts w:hint="default" w:ascii="var(--yb-font-body-medium)" w:hAnsi="var(--yb-font-body-medium)" w:eastAsia="var(--yb-font-body-medium)" w:cs="var(--yb-font-body-medium)"/>
                <w:b w:val="0"/>
                <w:i w:val="0"/>
                <w:iCs w:val="0"/>
                <w:caps w:val="0"/>
                <w:color w:val="000000"/>
                <w:spacing w:val="-2"/>
                <w:sz w:val="20"/>
                <w:szCs w:val="20"/>
                <w:vertAlign w:val="baseline"/>
              </w:rPr>
              <w:t>​</w:t>
            </w:r>
          </w:p>
        </w:tc>
        <w:tc>
          <w:tcPr>
            <w:tcW w:w="4031" w:type="dxa"/>
            <w:shd w:val="clear" w:color="auto" w:fill="FFFFFF"/>
            <w:tcMar>
              <w:top w:w="150" w:type="dxa"/>
              <w:bottom w:w="150" w:type="dxa"/>
              <w:right w:w="180" w:type="dxa"/>
            </w:tcMar>
            <w:vAlign w:val="center"/>
          </w:tcPr>
          <w:p w14:paraId="7AE2800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使用</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精准、可靠</w:t>
            </w:r>
            <w:r>
              <w:rPr>
                <w:rFonts w:hint="default" w:ascii="var(--yb-font-body-medium)" w:hAnsi="var(--yb-font-body-medium)" w:eastAsia="var(--yb-font-body-medium)" w:cs="var(--yb-font-body-medium)"/>
                <w:b w:val="0"/>
                <w:i w:val="0"/>
                <w:iCs w:val="0"/>
                <w:caps w:val="0"/>
                <w:color w:val="000000"/>
                <w:spacing w:val="-2"/>
                <w:sz w:val="20"/>
                <w:szCs w:val="20"/>
                <w:vertAlign w:val="baseline"/>
              </w:rPr>
              <w:t>的设备评估肿瘤变化和药物副作用，确保疗效判断客观，不良反应记录及时准确。</w:t>
            </w:r>
          </w:p>
        </w:tc>
        <w:tc>
          <w:tcPr>
            <w:tcW w:w="4122" w:type="dxa"/>
            <w:shd w:val="clear" w:color="auto" w:fill="FFFFFF"/>
            <w:tcMar>
              <w:top w:w="150" w:type="dxa"/>
              <w:bottom w:w="150" w:type="dxa"/>
              <w:right w:w="180" w:type="dxa"/>
            </w:tcMar>
            <w:vAlign w:val="center"/>
          </w:tcPr>
          <w:p w14:paraId="3EB0D19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b w:val="0"/>
                <w:i w:val="0"/>
                <w:iCs w:val="0"/>
                <w:caps w:val="0"/>
                <w:color w:val="000000"/>
                <w:spacing w:val="-2"/>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CT、MRI（影像学评估）、超声扫描、内镜、实验室检测设备（血常规、肝肾功能等）</w:t>
            </w:r>
            <w:r>
              <w:rPr>
                <w:rFonts w:hint="default" w:ascii="var(--yb-font-body-medium)" w:hAnsi="var(--yb-font-body-medium)" w:eastAsia="var(--yb-font-body-medium)" w:cs="var(--yb-font-body-medium)"/>
                <w:b w:val="0"/>
                <w:i w:val="0"/>
                <w:iCs w:val="0"/>
                <w:caps w:val="0"/>
                <w:color w:val="000000"/>
                <w:spacing w:val="-2"/>
                <w:kern w:val="0"/>
                <w:sz w:val="20"/>
                <w:szCs w:val="20"/>
                <w:lang w:val="en-US" w:eastAsia="zh-CN" w:bidi="ar"/>
              </w:rPr>
              <w:t>。</w:t>
            </w:r>
          </w:p>
        </w:tc>
      </w:tr>
      <w:tr w14:paraId="0E89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20" w:type="dxa"/>
            <w:shd w:val="clear" w:color="auto" w:fill="FFFFFF"/>
            <w:tcMar>
              <w:top w:w="150" w:type="dxa"/>
              <w:bottom w:w="150" w:type="dxa"/>
              <w:right w:w="180" w:type="dxa"/>
            </w:tcMar>
            <w:vAlign w:val="center"/>
          </w:tcPr>
          <w:p w14:paraId="6DDD4D2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样本处理与分析设备</w:t>
            </w:r>
          </w:p>
        </w:tc>
        <w:tc>
          <w:tcPr>
            <w:tcW w:w="4031" w:type="dxa"/>
            <w:shd w:val="clear" w:color="auto" w:fill="FFFFFF"/>
            <w:tcMar>
              <w:top w:w="150" w:type="dxa"/>
              <w:bottom w:w="150" w:type="dxa"/>
              <w:right w:w="180" w:type="dxa"/>
            </w:tcMar>
            <w:vAlign w:val="center"/>
          </w:tcPr>
          <w:p w14:paraId="641C5EC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规范处理和分析生物样本，确保样本质量，从而保证药代动力学等研究数据的​</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​准确性和可重复性​</w:t>
            </w:r>
            <w:r>
              <w:rPr>
                <w:rFonts w:hint="default" w:ascii="var(--yb-font-body-medium)" w:hAnsi="var(--yb-font-body-medium)" w:eastAsia="var(--yb-font-body-medium)" w:cs="var(--yb-font-body-medium)"/>
                <w:b w:val="0"/>
                <w:i w:val="0"/>
                <w:iCs w:val="0"/>
                <w:caps w:val="0"/>
                <w:color w:val="000000"/>
                <w:spacing w:val="-2"/>
                <w:sz w:val="20"/>
                <w:szCs w:val="20"/>
                <w:vertAlign w:val="baseline"/>
              </w:rPr>
              <w:t>​。</w:t>
            </w:r>
          </w:p>
        </w:tc>
        <w:tc>
          <w:tcPr>
            <w:tcW w:w="4122" w:type="dxa"/>
            <w:shd w:val="clear" w:color="auto" w:fill="FFFFFF"/>
            <w:tcMar>
              <w:top w:w="150" w:type="dxa"/>
              <w:bottom w:w="150" w:type="dxa"/>
              <w:right w:w="180" w:type="dxa"/>
            </w:tcMar>
            <w:vAlign w:val="center"/>
          </w:tcPr>
          <w:p w14:paraId="0B15627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b w:val="0"/>
                <w:i w:val="0"/>
                <w:iCs w:val="0"/>
                <w:caps w:val="0"/>
                <w:color w:val="000000"/>
                <w:spacing w:val="-2"/>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离心机、低温冰箱（-80℃）、生物安全柜、超净工作台</w:t>
            </w:r>
            <w:r>
              <w:rPr>
                <w:rFonts w:hint="default" w:ascii="var(--yb-font-body-medium)" w:hAnsi="var(--yb-font-body-medium)" w:eastAsia="var(--yb-font-body-medium)" w:cs="var(--yb-font-body-medium)"/>
                <w:b w:val="0"/>
                <w:i w:val="0"/>
                <w:iCs w:val="0"/>
                <w:caps w:val="0"/>
                <w:color w:val="000000"/>
                <w:spacing w:val="-2"/>
                <w:kern w:val="0"/>
                <w:sz w:val="20"/>
                <w:szCs w:val="20"/>
                <w:lang w:val="en-US" w:eastAsia="zh-CN" w:bidi="ar"/>
              </w:rPr>
              <w:t>。</w:t>
            </w:r>
          </w:p>
        </w:tc>
      </w:tr>
      <w:tr w14:paraId="2181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trPr>
        <w:tc>
          <w:tcPr>
            <w:tcW w:w="1320" w:type="dxa"/>
            <w:shd w:val="clear" w:color="auto" w:fill="FFFFFF"/>
            <w:tcMar>
              <w:top w:w="150" w:type="dxa"/>
              <w:bottom w:w="150" w:type="dxa"/>
              <w:right w:w="180" w:type="dxa"/>
            </w:tcMar>
            <w:vAlign w:val="center"/>
          </w:tcPr>
          <w:p w14:paraId="55C53D8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其他支持设备与系统</w:t>
            </w:r>
          </w:p>
        </w:tc>
        <w:tc>
          <w:tcPr>
            <w:tcW w:w="4031" w:type="dxa"/>
            <w:shd w:val="clear" w:color="auto" w:fill="FFFFFF"/>
            <w:tcMar>
              <w:top w:w="150" w:type="dxa"/>
              <w:bottom w:w="150" w:type="dxa"/>
              <w:right w:w="180" w:type="dxa"/>
            </w:tcMar>
            <w:vAlign w:val="center"/>
          </w:tcPr>
          <w:p w14:paraId="05EB4C5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b w:val="0"/>
                <w:i w:val="0"/>
                <w:sz w:val="20"/>
                <w:szCs w:val="20"/>
              </w:rPr>
            </w:pPr>
            <w:r>
              <w:rPr>
                <w:rFonts w:hint="default" w:ascii="var(--yb-font-body-medium)" w:hAnsi="var(--yb-font-body-medium)" w:eastAsia="var(--yb-font-body-medium)" w:cs="var(--yb-font-body-medium)"/>
                <w:b w:val="0"/>
                <w:i w:val="0"/>
                <w:iCs w:val="0"/>
                <w:caps w:val="0"/>
                <w:color w:val="000000"/>
                <w:spacing w:val="-2"/>
                <w:sz w:val="20"/>
                <w:szCs w:val="20"/>
                <w:vertAlign w:val="baseline"/>
              </w:rPr>
              <w:t>保障试验流程的</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规范性</w:t>
            </w:r>
            <w:r>
              <w:rPr>
                <w:rFonts w:hint="default" w:ascii="var(--yb-font-body-medium)" w:hAnsi="var(--yb-font-body-medium)" w:eastAsia="var(--yb-font-body-medium)" w:cs="var(--yb-font-body-medium)"/>
                <w:b w:val="0"/>
                <w:i w:val="0"/>
                <w:iCs w:val="0"/>
                <w:caps w:val="0"/>
                <w:color w:val="000000"/>
                <w:spacing w:val="-2"/>
                <w:sz w:val="20"/>
                <w:szCs w:val="20"/>
                <w:vertAlign w:val="baseline"/>
              </w:rPr>
              <w:t>和</w:t>
            </w:r>
            <w:r>
              <w:rPr>
                <w:rStyle w:val="16"/>
                <w:rFonts w:hint="default" w:ascii="var(--yb-font-body-medium)" w:hAnsi="var(--yb-font-body-medium)" w:eastAsia="var(--yb-font-body-medium)" w:cs="var(--yb-font-body-medium)"/>
                <w:b w:val="0"/>
                <w:bCs/>
                <w:i w:val="0"/>
                <w:iCs w:val="0"/>
                <w:caps w:val="0"/>
                <w:color w:val="000000"/>
                <w:spacing w:val="-2"/>
                <w:sz w:val="20"/>
                <w:szCs w:val="20"/>
                <w:vertAlign w:val="baseline"/>
              </w:rPr>
              <w:t>数据完整性</w:t>
            </w:r>
            <w:r>
              <w:rPr>
                <w:rFonts w:hint="default" w:ascii="var(--yb-font-body-medium)" w:hAnsi="var(--yb-font-body-medium)" w:eastAsia="var(--yb-font-body-medium)" w:cs="var(--yb-font-body-medium)"/>
                <w:b w:val="0"/>
                <w:i w:val="0"/>
                <w:iCs w:val="0"/>
                <w:caps w:val="0"/>
                <w:color w:val="000000"/>
                <w:spacing w:val="-2"/>
                <w:sz w:val="20"/>
                <w:szCs w:val="20"/>
                <w:vertAlign w:val="baseline"/>
              </w:rPr>
              <w:t>，提高工作效率，降低人为错误风险。</w:t>
            </w:r>
          </w:p>
        </w:tc>
        <w:tc>
          <w:tcPr>
            <w:tcW w:w="4122" w:type="dxa"/>
            <w:shd w:val="clear" w:color="auto" w:fill="FFFFFF"/>
            <w:tcMar>
              <w:top w:w="150" w:type="dxa"/>
              <w:bottom w:w="150" w:type="dxa"/>
              <w:right w:w="180" w:type="dxa"/>
            </w:tcMar>
            <w:vAlign w:val="center"/>
          </w:tcPr>
          <w:p w14:paraId="4F92B0F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b w:val="0"/>
                <w:i w:val="0"/>
                <w:iCs w:val="0"/>
                <w:caps w:val="0"/>
                <w:color w:val="000000"/>
                <w:spacing w:val="-2"/>
                <w:sz w:val="2"/>
                <w:szCs w:val="2"/>
              </w:rPr>
            </w:pPr>
            <w:r>
              <w:rPr>
                <w:rFonts w:hint="default" w:ascii="var(--yb-font-body-medium)" w:hAnsi="var(--yb-font-body-medium)" w:eastAsia="var(--yb-font-body-medium)" w:cs="var(--yb-font-body-medium)"/>
                <w:b w:val="0"/>
                <w:i w:val="0"/>
                <w:iCs w:val="0"/>
                <w:caps w:val="0"/>
                <w:color w:val="000000"/>
                <w:spacing w:val="-2"/>
                <w:sz w:val="20"/>
                <w:szCs w:val="20"/>
                <w:vertAlign w:val="baseline"/>
              </w:rPr>
              <w:t>权限管理和稽查轨迹的计算机系统（电子病历/数据采集系统）、专用档案存储设施</w:t>
            </w:r>
          </w:p>
        </w:tc>
      </w:tr>
    </w:tbl>
    <w:p w14:paraId="4A05AD18">
      <w:pPr>
        <w:keepNext w:val="0"/>
        <w:keepLines w:val="0"/>
        <w:widowControl/>
        <w:suppressLineNumbers w:val="0"/>
        <w:jc w:val="left"/>
      </w:pPr>
    </w:p>
    <w:p w14:paraId="3FA4CEEE">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rPr>
        <w:t>试验药物领取</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审核试验项目医嘱及取药处方，临床研究护士凭处方至GCP药房取药。根据临床试验方案，准备试验表格，测量生命体征，填写当班需填写的表格和护理记录，开立护嘱。双人核对医嘱、试验药物、标本收集容器，确保药物安全、正确、储存环境适宜以及容器正确。</w:t>
      </w:r>
    </w:p>
    <w:p w14:paraId="5B568BA6">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3</w:t>
      </w:r>
      <w:r>
        <w:rPr>
          <w:rFonts w:hint="eastAsia" w:ascii="仿宋_GB2312" w:eastAsia="仿宋_GB2312" w:cs="仿宋"/>
          <w:b/>
          <w:bCs w:val="0"/>
          <w:sz w:val="28"/>
          <w:szCs w:val="28"/>
          <w:lang w:eastAsia="zh-CN"/>
        </w:rPr>
        <w:t>）</w:t>
      </w:r>
      <w:r>
        <w:rPr>
          <w:rFonts w:hint="eastAsia" w:ascii="仿宋_GB2312" w:eastAsia="仿宋_GB2312" w:cs="仿宋"/>
          <w:b/>
          <w:bCs w:val="0"/>
          <w:sz w:val="28"/>
          <w:szCs w:val="28"/>
        </w:rPr>
        <w:t>实施试验</w:t>
      </w:r>
    </w:p>
    <w:p w14:paraId="2D710AB3">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健康宣教</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抗肿瘤药物临床试验中的健康宣教，核心目的是保障受试者安全与权益，同时确保临床试验的科学性与可靠性。它通过系统性的信息传递和教育，让受试者及其家属在充分知情的前提下做出决定，并全程配合试验。告知受试者临床试验相关资料和信息，让其充分了解试验的目的和方法，可能出现的不良反应及对症治疗措施；教会受试者不良反应的自我观察、报告。告知观察期间不允许离开病区，如有特殊需求离院，应经主管医生、临床研究护士批准，告知去向、家属陪同、请假离院，确保手机畅通，临床研究护士应跟踪受试者情况，确保及时返院。</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748"/>
        <w:gridCol w:w="3378"/>
        <w:gridCol w:w="4012"/>
      </w:tblGrid>
      <w:tr w14:paraId="56A44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Header/>
        </w:trPr>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77AFF38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ascii="var(--hy-font-family)" w:hAnsi="var(--hy-font-family)" w:eastAsia="var(--hy-font-family)" w:cs="var(--hy-font-family)"/>
                <w:sz w:val="21"/>
                <w:szCs w:val="21"/>
              </w:rPr>
            </w:pPr>
            <w:r>
              <w:rPr>
                <w:rFonts w:hint="default" w:ascii="var(--hy-font-family)" w:hAnsi="var(--hy-font-family)" w:eastAsia="var(--hy-font-family)" w:cs="var(--hy-font-family)"/>
                <w:b/>
                <w:bCs/>
                <w:i w:val="0"/>
                <w:iCs w:val="0"/>
                <w:caps w:val="0"/>
                <w:color w:val="000000"/>
                <w:spacing w:val="-2"/>
                <w:sz w:val="21"/>
                <w:szCs w:val="21"/>
                <w:vertAlign w:val="baseline"/>
              </w:rPr>
              <w:t>宣教目的</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5B882E0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hy-font-family)" w:hAnsi="var(--hy-font-family)" w:eastAsia="var(--hy-font-family)" w:cs="var(--hy-font-family)"/>
                <w:sz w:val="21"/>
                <w:szCs w:val="21"/>
              </w:rPr>
            </w:pPr>
            <w:r>
              <w:rPr>
                <w:rFonts w:hint="default" w:ascii="var(--hy-font-family)" w:hAnsi="var(--hy-font-family)" w:eastAsia="var(--hy-font-family)" w:cs="var(--hy-font-family)"/>
                <w:b/>
                <w:bCs/>
                <w:i w:val="0"/>
                <w:iCs w:val="0"/>
                <w:caps w:val="0"/>
                <w:color w:val="000000"/>
                <w:spacing w:val="-2"/>
                <w:sz w:val="21"/>
                <w:szCs w:val="21"/>
                <w:vertAlign w:val="baseline"/>
              </w:rPr>
              <w:t>具体描述</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6919F88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hy-font-family)" w:hAnsi="var(--hy-font-family)" w:eastAsia="var(--hy-font-family)" w:cs="var(--hy-font-family)"/>
                <w:sz w:val="21"/>
                <w:szCs w:val="21"/>
              </w:rPr>
            </w:pPr>
            <w:r>
              <w:rPr>
                <w:rFonts w:hint="default" w:ascii="var(--hy-font-family)" w:hAnsi="var(--hy-font-family)" w:eastAsia="var(--hy-font-family)" w:cs="var(--hy-font-family)"/>
                <w:b/>
                <w:bCs/>
                <w:i w:val="0"/>
                <w:iCs w:val="0"/>
                <w:caps w:val="0"/>
                <w:color w:val="000000"/>
                <w:spacing w:val="-2"/>
                <w:sz w:val="21"/>
                <w:szCs w:val="21"/>
                <w:vertAlign w:val="baseline"/>
              </w:rPr>
              <w:t>核心内容/方式举例</w:t>
            </w:r>
          </w:p>
        </w:tc>
      </w:tr>
      <w:tr w14:paraId="29B8E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49BF1A5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ascii="var(--yb-font-body-medium)" w:hAnsi="var(--yb-font-body-medium)" w:eastAsia="var(--yb-font-body-medium)" w:cs="var(--yb-font-body-medium)"/>
                <w:i w:val="0"/>
                <w:iCs w:val="0"/>
                <w:caps w:val="0"/>
                <w:color w:val="000000"/>
                <w:spacing w:val="-2"/>
                <w:sz w:val="21"/>
                <w:szCs w:val="21"/>
                <w:vertAlign w:val="baseline"/>
              </w:rPr>
              <w:t>​</w:t>
            </w:r>
            <w:r>
              <w:rPr>
                <w:rStyle w:val="16"/>
                <w:rFonts w:hint="default" w:ascii="var(--yb-font-body-medium)" w:hAnsi="var(--yb-font-body-medium)" w:eastAsia="var(--yb-font-body-medium)" w:cs="var(--yb-font-body-medium)"/>
                <w:b/>
                <w:bCs/>
                <w:i w:val="0"/>
                <w:iCs w:val="0"/>
                <w:caps w:val="0"/>
                <w:color w:val="000000"/>
                <w:spacing w:val="-2"/>
                <w:sz w:val="21"/>
                <w:szCs w:val="21"/>
                <w:vertAlign w:val="baseline"/>
              </w:rPr>
              <w:t>​保障知情同意，维护受试者权益​</w:t>
            </w:r>
            <w:r>
              <w:rPr>
                <w:rFonts w:hint="default" w:ascii="var(--yb-font-body-medium)" w:hAnsi="var(--yb-font-body-medium)" w:eastAsia="var(--yb-font-body-medium)" w:cs="var(--yb-font-body-medium)"/>
                <w:i w:val="0"/>
                <w:iCs w:val="0"/>
                <w:caps w:val="0"/>
                <w:color w:val="000000"/>
                <w:spacing w:val="-2"/>
                <w:sz w:val="21"/>
                <w:szCs w:val="21"/>
                <w:vertAlign w:val="baseline"/>
              </w:rPr>
              <w:t>​</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53E64BD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确保受试者全面理解试验目的、流程、潜在风险和获益，基于充分信息自主做出参与决定。</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3094330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详细解释试验方案、用药注意事项、可能的不良反应及应对措施；使用清晰易懂的语言和书面材料</w:t>
            </w:r>
          </w:p>
          <w:p w14:paraId="0C10CB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30"/>
              <w:jc w:val="center"/>
              <w:textAlignment w:val="baseline"/>
              <w:rPr>
                <w:rFonts w:hint="default" w:ascii="var(--yb-font-body-medium)" w:hAnsi="var(--yb-font-body-medium)" w:eastAsia="var(--yb-font-body-medium)" w:cs="var(--yb-font-body-medium)"/>
                <w:i w:val="0"/>
                <w:iCs w:val="0"/>
                <w:caps w:val="0"/>
                <w:color w:val="000000"/>
                <w:spacing w:val="-2"/>
                <w:sz w:val="0"/>
                <w:szCs w:val="0"/>
              </w:rPr>
            </w:pPr>
            <w:r>
              <w:rPr>
                <w:rFonts w:hint="default" w:ascii="var(--yb-font-body-medium)" w:hAnsi="var(--yb-font-body-medium)" w:eastAsia="var(--yb-font-body-medium)" w:cs="var(--yb-font-body-medium)"/>
                <w:i w:val="0"/>
                <w:iCs w:val="0"/>
                <w:caps w:val="0"/>
                <w:color w:val="000000"/>
                <w:spacing w:val="-2"/>
                <w:kern w:val="0"/>
                <w:sz w:val="15"/>
                <w:szCs w:val="15"/>
                <w:lang w:val="en-US" w:eastAsia="zh-CN" w:bidi="ar"/>
              </w:rPr>
              <w:t>6</w:t>
            </w:r>
          </w:p>
          <w:p w14:paraId="7D7C80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30"/>
              <w:jc w:val="center"/>
              <w:textAlignment w:val="baseline"/>
              <w:rPr>
                <w:rFonts w:hint="default" w:ascii="var(--yb-font-body-medium)" w:hAnsi="var(--yb-font-body-medium)" w:eastAsia="var(--yb-font-body-medium)" w:cs="var(--yb-font-body-medium)"/>
                <w:i w:val="0"/>
                <w:iCs w:val="0"/>
                <w:caps w:val="0"/>
                <w:color w:val="000000"/>
                <w:spacing w:val="-2"/>
                <w:sz w:val="0"/>
                <w:szCs w:val="0"/>
              </w:rPr>
            </w:pPr>
            <w:r>
              <w:rPr>
                <w:rFonts w:hint="default" w:ascii="var(--yb-font-body-medium)" w:hAnsi="var(--yb-font-body-medium)" w:eastAsia="var(--yb-font-body-medium)" w:cs="var(--yb-font-body-medium)"/>
                <w:i w:val="0"/>
                <w:iCs w:val="0"/>
                <w:caps w:val="0"/>
                <w:color w:val="000000"/>
                <w:spacing w:val="-2"/>
                <w:kern w:val="0"/>
                <w:sz w:val="15"/>
                <w:szCs w:val="15"/>
                <w:lang w:val="en-US" w:eastAsia="zh-CN" w:bidi="ar"/>
              </w:rPr>
              <w:t>8</w:t>
            </w:r>
          </w:p>
          <w:p w14:paraId="1091F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center"/>
              <w:rPr>
                <w:rFonts w:hint="default" w:ascii="var(--yb-font-body-medium)" w:hAnsi="var(--yb-font-body-medium)" w:eastAsia="var(--yb-font-body-medium)" w:cs="var(--yb-font-body-medium)"/>
                <w:i w:val="0"/>
                <w:iCs w:val="0"/>
                <w:caps w:val="0"/>
                <w:color w:val="000000"/>
                <w:spacing w:val="-2"/>
                <w:sz w:val="21"/>
                <w:szCs w:val="21"/>
              </w:rPr>
            </w:pPr>
            <w:r>
              <w:rPr>
                <w:rFonts w:hint="default" w:ascii="var(--yb-font-body-medium)" w:hAnsi="var(--yb-font-body-medium)" w:eastAsia="var(--yb-font-body-medium)" w:cs="var(--yb-font-body-medium)"/>
                <w:i w:val="0"/>
                <w:iCs w:val="0"/>
                <w:caps w:val="0"/>
                <w:color w:val="000000"/>
                <w:spacing w:val="-2"/>
                <w:kern w:val="0"/>
                <w:sz w:val="21"/>
                <w:szCs w:val="21"/>
                <w:lang w:val="en-US" w:eastAsia="zh-CN" w:bidi="ar"/>
              </w:rPr>
              <w:t>。</w:t>
            </w:r>
          </w:p>
        </w:tc>
      </w:tr>
      <w:tr w14:paraId="4EDF3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2D70E43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Style w:val="16"/>
                <w:rFonts w:hint="default" w:ascii="var(--yb-font-body-medium)" w:hAnsi="var(--yb-font-body-medium)" w:eastAsia="var(--yb-font-body-medium)" w:cs="var(--yb-font-body-medium)"/>
                <w:b/>
                <w:bCs/>
                <w:i w:val="0"/>
                <w:iCs w:val="0"/>
                <w:caps w:val="0"/>
                <w:color w:val="000000"/>
                <w:spacing w:val="-2"/>
                <w:sz w:val="21"/>
                <w:szCs w:val="21"/>
                <w:vertAlign w:val="baseline"/>
              </w:rPr>
              <w:t>提升治疗依从性，保障试验科学性</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72AE959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帮助受试者理解严格遵守试验方案（如用药时间、剂量、访视安排）对结果准确性的重要性。</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20E89AB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rFonts w:hint="default" w:ascii="var(--yb-font-body-medium)" w:hAnsi="var(--yb-font-body-medium)" w:eastAsia="var(--yb-font-body-medium)" w:cs="var(--yb-font-body-medium)"/>
                <w:i w:val="0"/>
                <w:iCs w:val="0"/>
                <w:caps w:val="0"/>
                <w:color w:val="000000"/>
                <w:spacing w:val="-2"/>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说明规范操作对数据准确性的影响；提供日记卡或用药记录表等辅助工具</w:t>
            </w:r>
          </w:p>
        </w:tc>
      </w:tr>
      <w:tr w14:paraId="21670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4BB7EED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Style w:val="16"/>
                <w:rFonts w:hint="default" w:ascii="var(--yb-font-body-medium)" w:hAnsi="var(--yb-font-body-medium)" w:eastAsia="var(--yb-font-body-medium)" w:cs="var(--yb-font-body-medium)"/>
                <w:b/>
                <w:bCs/>
                <w:i w:val="0"/>
                <w:iCs w:val="0"/>
                <w:caps w:val="0"/>
                <w:color w:val="000000"/>
                <w:spacing w:val="-2"/>
                <w:sz w:val="21"/>
                <w:szCs w:val="21"/>
                <w:vertAlign w:val="baseline"/>
              </w:rPr>
              <w:t>增强安全监测与自我管理能力</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263B5A2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使受试者能够识别并及时报告不良反应，学会基本的自我管理技能，最大程度保障自身安全。</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497BD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center"/>
              <w:rPr>
                <w:rFonts w:hint="default" w:ascii="var(--yb-font-body-medium)" w:hAnsi="var(--yb-font-body-medium)" w:eastAsia="var(--yb-font-body-medium)" w:cs="var(--yb-font-body-medium)"/>
                <w:i w:val="0"/>
                <w:iCs w:val="0"/>
                <w:caps w:val="0"/>
                <w:color w:val="000000"/>
                <w:spacing w:val="-2"/>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教育受试者识别常见不良反应（如恶心、呕吐、疲劳），并告知报告途径和紧急联系方式；指导日常注意事项</w:t>
            </w:r>
          </w:p>
        </w:tc>
      </w:tr>
      <w:tr w14:paraId="1F5AB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3CCE47C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Style w:val="16"/>
                <w:rFonts w:hint="default" w:ascii="var(--yb-font-body-medium)" w:hAnsi="var(--yb-font-body-medium)" w:eastAsia="var(--yb-font-body-medium)" w:cs="var(--yb-font-body-medium)"/>
                <w:b/>
                <w:bCs/>
                <w:i w:val="0"/>
                <w:iCs w:val="0"/>
                <w:caps w:val="0"/>
                <w:color w:val="000000"/>
                <w:spacing w:val="-2"/>
                <w:sz w:val="21"/>
                <w:szCs w:val="21"/>
                <w:vertAlign w:val="baseline"/>
              </w:rPr>
              <w:t>减轻焦虑与心理压力</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7F08671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通过提供清晰的信息和持续的支持，降低受试者因未知而产生的恐惧和焦虑。</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62B279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center"/>
              <w:rPr>
                <w:rFonts w:hint="default" w:ascii="var(--yb-font-body-medium)" w:hAnsi="var(--yb-font-body-medium)" w:eastAsia="var(--yb-font-body-medium)" w:cs="var(--yb-font-body-medium)"/>
                <w:i w:val="0"/>
                <w:iCs w:val="0"/>
                <w:caps w:val="0"/>
                <w:color w:val="000000"/>
                <w:spacing w:val="-2"/>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医护人员耐心解答疑问，分享成功案例；鼓励家属参与支持</w:t>
            </w:r>
          </w:p>
        </w:tc>
      </w:tr>
      <w:tr w14:paraId="05B55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4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0619CAF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w:t>
            </w:r>
            <w:r>
              <w:rPr>
                <w:rStyle w:val="16"/>
                <w:rFonts w:hint="default" w:ascii="var(--yb-font-body-medium)" w:hAnsi="var(--yb-font-body-medium)" w:eastAsia="var(--yb-font-body-medium)" w:cs="var(--yb-font-body-medium)"/>
                <w:b/>
                <w:bCs/>
                <w:i w:val="0"/>
                <w:iCs w:val="0"/>
                <w:caps w:val="0"/>
                <w:color w:val="000000"/>
                <w:spacing w:val="-2"/>
                <w:sz w:val="21"/>
                <w:szCs w:val="21"/>
                <w:vertAlign w:val="baseline"/>
              </w:rPr>
              <w:t>促进医患沟通与信任</w:t>
            </w:r>
          </w:p>
        </w:tc>
        <w:tc>
          <w:tcPr>
            <w:tcW w:w="3378"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667DD74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jc w:val="center"/>
              <w:textAlignment w:val="baseline"/>
              <w:rPr>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建立开放、透明的沟通渠道，使受试者感到被尊重和关心，增强对研究团队和试验的信任。</w:t>
            </w:r>
          </w:p>
        </w:tc>
        <w:tc>
          <w:tcPr>
            <w:tcW w:w="4012" w:type="dxa"/>
            <w:tcBorders>
              <w:top w:val="single" w:color="auto" w:sz="4" w:space="0"/>
              <w:left w:val="single" w:color="auto" w:sz="4" w:space="0"/>
              <w:bottom w:val="single" w:color="auto" w:sz="4" w:space="0"/>
              <w:right w:val="single" w:color="auto" w:sz="4" w:space="0"/>
            </w:tcBorders>
            <w:shd w:val="clear" w:color="auto" w:fill="FFFFFF"/>
            <w:tcMar>
              <w:top w:w="150" w:type="dxa"/>
              <w:bottom w:w="150" w:type="dxa"/>
              <w:right w:w="180" w:type="dxa"/>
            </w:tcMar>
            <w:vAlign w:val="center"/>
          </w:tcPr>
          <w:p w14:paraId="0DB1F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center"/>
              <w:rPr>
                <w:rFonts w:hint="default" w:ascii="var(--yb-font-body-medium)" w:hAnsi="var(--yb-font-body-medium)" w:eastAsia="var(--yb-font-body-medium)" w:cs="var(--yb-font-body-medium)"/>
                <w:i w:val="0"/>
                <w:iCs w:val="0"/>
                <w:caps w:val="0"/>
                <w:color w:val="000000"/>
                <w:spacing w:val="-2"/>
                <w:sz w:val="21"/>
                <w:szCs w:val="21"/>
              </w:rPr>
            </w:pPr>
            <w:r>
              <w:rPr>
                <w:rFonts w:hint="default" w:ascii="var(--yb-font-body-medium)" w:hAnsi="var(--yb-font-body-medium)" w:eastAsia="var(--yb-font-body-medium)" w:cs="var(--yb-font-body-medium)"/>
                <w:i w:val="0"/>
                <w:iCs w:val="0"/>
                <w:caps w:val="0"/>
                <w:color w:val="000000"/>
                <w:spacing w:val="-2"/>
                <w:sz w:val="21"/>
                <w:szCs w:val="21"/>
                <w:vertAlign w:val="baseline"/>
              </w:rPr>
              <w:t>研究者主动沟通，耐心倾听受试者关切</w:t>
            </w:r>
          </w:p>
        </w:tc>
      </w:tr>
    </w:tbl>
    <w:p w14:paraId="40253A29">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rPr>
        <w:t>执行过程</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临床研究护士双人核对医嘱、药物、体表面积无误后按方案要求配置、给药。记录药物配置、输注、及输注结束的时间。按方案要求测量生命体征，实施治疗护理，包括监护受试者的生命体征、执行试验相关检查（如心电图）、收集血液和大小便等生物样本，按要求进行标本预处理、存储、登记。</w:t>
      </w:r>
    </w:p>
    <w:p w14:paraId="02492ED2">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病情观察</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rPr>
        <w:t>保障血管通路安全、可用；观察注射局部部位皮肤变化，有无红肿、渗液和溃破。观测用药的不良反应、及时上报、遵医嘱处理。按临床研究项目方案要求按时巡视病房，主动询问患者反应。</w:t>
      </w:r>
    </w:p>
    <w:p w14:paraId="135702DE">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4</w:t>
      </w:r>
      <w:r>
        <w:rPr>
          <w:rFonts w:hint="eastAsia" w:ascii="仿宋_GB2312" w:eastAsia="仿宋_GB2312" w:cs="仿宋"/>
          <w:b/>
          <w:bCs w:val="0"/>
          <w:sz w:val="28"/>
          <w:szCs w:val="28"/>
          <w:lang w:eastAsia="zh-CN"/>
        </w:rPr>
        <w:t>）</w:t>
      </w:r>
      <w:r>
        <w:rPr>
          <w:rFonts w:hint="eastAsia" w:ascii="仿宋_GB2312" w:eastAsia="仿宋_GB2312" w:cs="仿宋"/>
          <w:b/>
          <w:bCs w:val="0"/>
          <w:sz w:val="28"/>
          <w:szCs w:val="28"/>
        </w:rPr>
        <w:t>试验结束</w:t>
      </w:r>
    </w:p>
    <w:p w14:paraId="4B057B95">
      <w:pPr>
        <w:pStyle w:val="2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指导其准确填写日志卡，告知其按照方案要求及时回院随访。临床研究护士通过电话或微信随访及患者日志卡进行评估与症状预警，及时发现受试者居家期间出现的症状，并反馈给研究医生、药师，并进行相应的健康指导；同时，加强与医院相关部门的联动，必要时进行转诊。</w:t>
      </w:r>
    </w:p>
    <w:p w14:paraId="6674A315">
      <w:pPr>
        <w:pStyle w:val="29"/>
        <w:spacing w:line="520" w:lineRule="exact"/>
        <w:ind w:firstLine="562"/>
        <w:rPr>
          <w:rFonts w:hint="eastAsia" w:ascii="仿宋_GB2312" w:eastAsia="仿宋_GB2312" w:cs="仿宋"/>
          <w:b w:val="0"/>
          <w:bCs/>
          <w:sz w:val="28"/>
          <w:szCs w:val="28"/>
        </w:rPr>
      </w:pPr>
    </w:p>
    <w:p w14:paraId="3291E6DA">
      <w:pPr>
        <w:pStyle w:val="31"/>
        <w:numPr>
          <w:ilvl w:val="0"/>
          <w:numId w:val="0"/>
        </w:numPr>
        <w:spacing w:beforeLines="0" w:afterLines="0" w:line="360" w:lineRule="auto"/>
        <w:rPr>
          <w:bCs/>
          <w:sz w:val="32"/>
          <w:szCs w:val="32"/>
        </w:rPr>
      </w:pPr>
      <w:r>
        <w:rPr>
          <w:rFonts w:hint="eastAsia"/>
          <w:b/>
          <w:bCs/>
          <w:sz w:val="32"/>
          <w:szCs w:val="32"/>
        </w:rPr>
        <w:t>六</w:t>
      </w:r>
      <w:r>
        <w:rPr>
          <w:rFonts w:hint="eastAsia"/>
          <w:bCs/>
          <w:sz w:val="32"/>
          <w:szCs w:val="32"/>
        </w:rPr>
        <w:t>、</w:t>
      </w:r>
      <w:r>
        <w:rPr>
          <w:rFonts w:hint="eastAsia"/>
          <w:sz w:val="32"/>
          <w:szCs w:val="32"/>
        </w:rPr>
        <w:t>重大意见分歧的处理依据和结果</w:t>
      </w:r>
    </w:p>
    <w:p w14:paraId="77488839">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本标准研制过程中无重大分歧意见。</w:t>
      </w:r>
    </w:p>
    <w:p w14:paraId="54323522">
      <w:pPr>
        <w:autoSpaceDE w:val="0"/>
        <w:autoSpaceDN w:val="0"/>
        <w:adjustRightInd w:val="0"/>
        <w:spacing w:before="156" w:beforeLines="50" w:after="156" w:afterLines="50" w:line="520" w:lineRule="exact"/>
        <w:ind w:firstLine="640" w:firstLineChars="200"/>
        <w:outlineLvl w:val="0"/>
        <w:rPr>
          <w:rFonts w:eastAsia="黑体"/>
          <w:sz w:val="32"/>
          <w:szCs w:val="32"/>
        </w:rPr>
      </w:pPr>
      <w:r>
        <w:rPr>
          <w:rFonts w:hint="eastAsia" w:ascii="黑体" w:eastAsia="黑体"/>
          <w:bCs/>
          <w:sz w:val="32"/>
          <w:szCs w:val="32"/>
        </w:rPr>
        <w:t>七、</w:t>
      </w:r>
      <w:r>
        <w:rPr>
          <w:rFonts w:hint="eastAsia" w:eastAsia="黑体"/>
          <w:sz w:val="32"/>
          <w:szCs w:val="32"/>
        </w:rPr>
        <w:t>实施标准的措施</w:t>
      </w:r>
    </w:p>
    <w:p w14:paraId="17B37D2B">
      <w:pPr>
        <w:spacing w:line="50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（一）标准报批发布后，成立标准宣贯工作组</w:t>
      </w:r>
    </w:p>
    <w:p w14:paraId="20B72740">
      <w:pPr>
        <w:spacing w:line="500" w:lineRule="exact"/>
        <w:ind w:firstLine="560" w:firstLineChars="200"/>
        <w:rPr>
          <w:rFonts w:ascii="仿宋_GB2312" w:eastAsia="仿宋_GB2312"/>
          <w:sz w:val="28"/>
          <w:szCs w:val="28"/>
        </w:rPr>
      </w:pPr>
      <w:r>
        <w:rPr>
          <w:rFonts w:hint="eastAsia" w:ascii="仿宋_GB2312" w:eastAsia="仿宋_GB2312"/>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187DE20">
      <w:pPr>
        <w:spacing w:line="500" w:lineRule="exact"/>
        <w:ind w:firstLine="562" w:firstLineChars="200"/>
        <w:rPr>
          <w:rFonts w:ascii="仿宋_GB2312" w:eastAsia="仿宋_GB2312"/>
          <w:b/>
          <w:sz w:val="28"/>
          <w:szCs w:val="28"/>
        </w:rPr>
      </w:pPr>
      <w:r>
        <w:rPr>
          <w:rFonts w:hint="eastAsia" w:ascii="仿宋_GB2312" w:eastAsia="仿宋_GB2312"/>
          <w:b/>
          <w:sz w:val="28"/>
          <w:szCs w:val="28"/>
        </w:rPr>
        <w:t>（二）组织开展标准宣贯培训</w:t>
      </w:r>
    </w:p>
    <w:p w14:paraId="74E3CDA6">
      <w:pPr>
        <w:spacing w:line="500" w:lineRule="exact"/>
        <w:ind w:firstLine="560" w:firstLineChars="200"/>
        <w:rPr>
          <w:rFonts w:ascii="仿宋_GB2312" w:eastAsia="仿宋_GB2312"/>
          <w:sz w:val="28"/>
          <w:szCs w:val="28"/>
        </w:rPr>
      </w:pPr>
      <w:r>
        <w:rPr>
          <w:rFonts w:hint="eastAsia" w:ascii="仿宋_GB2312" w:eastAsia="仿宋_GB2312"/>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0E511345">
      <w:pPr>
        <w:spacing w:line="500" w:lineRule="exact"/>
        <w:ind w:firstLine="562" w:firstLineChars="200"/>
        <w:rPr>
          <w:rFonts w:ascii="仿宋_GB2312" w:eastAsia="仿宋_GB2312"/>
          <w:b/>
          <w:sz w:val="28"/>
          <w:szCs w:val="28"/>
        </w:rPr>
      </w:pPr>
      <w:r>
        <w:rPr>
          <w:rFonts w:hint="eastAsia" w:ascii="仿宋_GB2312" w:eastAsia="仿宋_GB2312"/>
          <w:b/>
          <w:sz w:val="28"/>
          <w:szCs w:val="28"/>
        </w:rPr>
        <w:t>（三）开展标准实施交流会，收集标准实施反馈信息</w:t>
      </w:r>
    </w:p>
    <w:p w14:paraId="2F43BE2E">
      <w:pPr>
        <w:spacing w:line="500" w:lineRule="exact"/>
        <w:ind w:firstLine="560" w:firstLineChars="200"/>
        <w:rPr>
          <w:rFonts w:ascii="仿宋_GB2312" w:eastAsia="仿宋_GB2312"/>
          <w:sz w:val="28"/>
          <w:szCs w:val="28"/>
        </w:rPr>
      </w:pPr>
      <w:r>
        <w:rPr>
          <w:rFonts w:hint="eastAsia" w:ascii="仿宋_GB2312" w:eastAsia="仿宋_GB2312"/>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08F60A95">
      <w:pPr>
        <w:spacing w:line="500" w:lineRule="exact"/>
        <w:ind w:firstLine="562" w:firstLineChars="200"/>
        <w:rPr>
          <w:rFonts w:ascii="仿宋_GB2312" w:eastAsia="仿宋_GB2312"/>
          <w:b/>
          <w:sz w:val="28"/>
          <w:szCs w:val="28"/>
        </w:rPr>
      </w:pPr>
      <w:r>
        <w:rPr>
          <w:rFonts w:hint="eastAsia" w:ascii="仿宋_GB2312" w:eastAsia="仿宋_GB2312"/>
          <w:b/>
          <w:sz w:val="28"/>
          <w:szCs w:val="28"/>
        </w:rPr>
        <w:t>（四）开展标准实施效果评估</w:t>
      </w:r>
    </w:p>
    <w:p w14:paraId="285979AA">
      <w:pPr>
        <w:spacing w:line="500" w:lineRule="exact"/>
        <w:ind w:firstLine="560" w:firstLineChars="200"/>
        <w:rPr>
          <w:rFonts w:ascii="仿宋_GB2312" w:eastAsia="仿宋_GB2312"/>
          <w:sz w:val="28"/>
          <w:szCs w:val="28"/>
        </w:rPr>
      </w:pPr>
      <w:r>
        <w:rPr>
          <w:rFonts w:hint="eastAsia" w:ascii="仿宋_GB2312" w:eastAsia="仿宋_GB2312"/>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567A706E">
      <w:pPr>
        <w:spacing w:before="240" w:after="60" w:line="520" w:lineRule="exact"/>
        <w:ind w:firstLine="640" w:firstLineChars="200"/>
        <w:outlineLvl w:val="0"/>
        <w:rPr>
          <w:rFonts w:ascii="黑体" w:eastAsia="黑体"/>
          <w:bCs/>
          <w:sz w:val="32"/>
          <w:szCs w:val="32"/>
        </w:rPr>
      </w:pPr>
      <w:r>
        <w:rPr>
          <w:rFonts w:hint="eastAsia" w:ascii="黑体" w:eastAsia="黑体"/>
          <w:bCs/>
          <w:sz w:val="32"/>
          <w:szCs w:val="32"/>
        </w:rPr>
        <w:t>八、其他应当说明的事项</w:t>
      </w:r>
    </w:p>
    <w:p w14:paraId="5E7BD1DA">
      <w:pPr>
        <w:spacing w:line="520" w:lineRule="exact"/>
        <w:ind w:firstLine="560" w:firstLineChars="200"/>
        <w:rPr>
          <w:rFonts w:ascii="仿宋_GB2312" w:eastAsia="仿宋_GB2312"/>
          <w:sz w:val="28"/>
          <w:szCs w:val="28"/>
        </w:rPr>
      </w:pPr>
      <w:r>
        <w:rPr>
          <w:rFonts w:hint="eastAsia" w:ascii="仿宋_GB2312" w:eastAsia="仿宋_GB2312"/>
          <w:sz w:val="28"/>
          <w:szCs w:val="28"/>
        </w:rPr>
        <w:t>无。</w:t>
      </w:r>
    </w:p>
    <w:p w14:paraId="551997B1">
      <w:pPr>
        <w:autoSpaceDE w:val="0"/>
        <w:autoSpaceDN w:val="0"/>
        <w:adjustRightInd w:val="0"/>
        <w:spacing w:before="156" w:beforeLines="50" w:after="156" w:afterLines="50" w:line="520" w:lineRule="exact"/>
        <w:ind w:firstLine="640"/>
        <w:outlineLvl w:val="0"/>
        <w:rPr>
          <w:rFonts w:eastAsia="黑体"/>
          <w:sz w:val="32"/>
          <w:szCs w:val="32"/>
        </w:rPr>
      </w:pPr>
      <w:r>
        <w:rPr>
          <w:rFonts w:hint="eastAsia" w:eastAsia="黑体"/>
          <w:sz w:val="32"/>
          <w:szCs w:val="32"/>
        </w:rPr>
        <w:t>九、自我承诺</w:t>
      </w:r>
    </w:p>
    <w:p w14:paraId="7C228D99">
      <w:pPr>
        <w:spacing w:line="520" w:lineRule="exact"/>
        <w:ind w:firstLine="560" w:firstLineChars="200"/>
        <w:rPr>
          <w:rFonts w:ascii="仿宋_GB2312" w:eastAsia="仿宋_GB2312"/>
          <w:sz w:val="28"/>
          <w:szCs w:val="28"/>
        </w:rPr>
      </w:pPr>
      <w:r>
        <w:rPr>
          <w:rFonts w:hint="eastAsia" w:ascii="仿宋_GB2312" w:eastAsia="仿宋_GB2312"/>
          <w:sz w:val="28"/>
          <w:szCs w:val="28"/>
        </w:rPr>
        <w:t>该标准的内容符合国家相关法律法规，技术要求不低于强制性国家标准的相关技术要求，与相关的国家、行业推荐性标准协调一致，标准的编写符合GB/T 1.1-2020的要求。</w:t>
      </w:r>
    </w:p>
    <w:p w14:paraId="776778BD">
      <w:pPr>
        <w:spacing w:before="240" w:after="60" w:line="520" w:lineRule="exact"/>
        <w:ind w:firstLine="3920" w:firstLineChars="1400"/>
        <w:outlineLvl w:val="0"/>
        <w:rPr>
          <w:rFonts w:ascii="仿宋_GB2312" w:eastAsia="仿宋_GB2312"/>
          <w:sz w:val="28"/>
          <w:szCs w:val="28"/>
        </w:rPr>
      </w:pPr>
      <w:r>
        <w:rPr>
          <w:rFonts w:hint="eastAsia" w:ascii="仿宋_GB2312" w:eastAsia="仿宋_GB2312"/>
          <w:sz w:val="28"/>
          <w:szCs w:val="28"/>
        </w:rPr>
        <w:t>团体标准《</w:t>
      </w:r>
      <w:r>
        <w:rPr>
          <w:rFonts w:hint="eastAsia" w:ascii="仿宋_GB2312" w:eastAsia="仿宋_GB2312"/>
          <w:sz w:val="28"/>
          <w:szCs w:val="28"/>
          <w:lang w:eastAsia="zh-CN"/>
        </w:rPr>
        <w:t>抗肿瘤药物临床试验护理工作规范</w:t>
      </w:r>
      <w:r>
        <w:rPr>
          <w:rFonts w:hint="eastAsia" w:ascii="仿宋_GB2312" w:eastAsia="仿宋_GB2312"/>
          <w:sz w:val="28"/>
          <w:szCs w:val="28"/>
        </w:rPr>
        <w:t>》</w:t>
      </w:r>
    </w:p>
    <w:p w14:paraId="3B325D5F">
      <w:pPr>
        <w:spacing w:line="520" w:lineRule="exact"/>
        <w:ind w:right="1120"/>
        <w:jc w:val="center"/>
        <w:rPr>
          <w:rFonts w:ascii="仿宋_GB2312" w:eastAsia="仿宋_GB2312"/>
          <w:sz w:val="28"/>
          <w:szCs w:val="28"/>
        </w:rPr>
      </w:pPr>
      <w:r>
        <w:rPr>
          <w:rFonts w:hint="eastAsia" w:ascii="仿宋_GB2312" w:eastAsia="仿宋_GB2312"/>
          <w:sz w:val="28"/>
          <w:szCs w:val="28"/>
        </w:rPr>
        <w:t xml:space="preserve">                                  标准编制工作组</w:t>
      </w:r>
    </w:p>
    <w:p w14:paraId="16256467">
      <w:pPr>
        <w:spacing w:line="520" w:lineRule="exact"/>
        <w:ind w:firstLine="640" w:firstLineChars="200"/>
        <w:rPr>
          <w:rFonts w:ascii="仿宋_GB2312" w:eastAsia="仿宋_GB2312"/>
          <w:sz w:val="28"/>
          <w:szCs w:val="28"/>
        </w:rPr>
      </w:pPr>
      <w:r>
        <w:rPr>
          <w:rFonts w:hint="eastAsia" w:ascii="仿宋_GB2312" w:eastAsia="仿宋_GB2312"/>
          <w:sz w:val="32"/>
          <w:szCs w:val="28"/>
        </w:rPr>
        <w:t xml:space="preserve">                             </w:t>
      </w:r>
      <w:r>
        <w:rPr>
          <w:rFonts w:hint="eastAsia" w:ascii="仿宋_GB2312" w:eastAsia="仿宋_GB2312"/>
          <w:sz w:val="28"/>
          <w:szCs w:val="28"/>
        </w:rPr>
        <w:t>2025年</w:t>
      </w:r>
      <w:r>
        <w:rPr>
          <w:rFonts w:hint="eastAsia" w:ascii="仿宋_GB2312" w:eastAsia="仿宋_GB2312"/>
          <w:sz w:val="28"/>
          <w:szCs w:val="28"/>
          <w:lang w:val="en-US" w:eastAsia="zh-CN"/>
        </w:rPr>
        <w:t>9</w:t>
      </w:r>
      <w:r>
        <w:rPr>
          <w:rFonts w:hint="eastAsia" w:ascii="仿宋_GB2312" w:eastAsia="仿宋_GB2312"/>
          <w:sz w:val="28"/>
          <w:szCs w:val="28"/>
        </w:rPr>
        <w:t>月</w:t>
      </w:r>
      <w:r>
        <w:rPr>
          <w:rFonts w:hint="eastAsia" w:ascii="仿宋_GB2312" w:eastAsia="仿宋_GB2312"/>
          <w:sz w:val="28"/>
          <w:szCs w:val="28"/>
          <w:lang w:val="en-US" w:eastAsia="zh-CN"/>
        </w:rPr>
        <w:t>28</w:t>
      </w:r>
      <w:r>
        <w:rPr>
          <w:rFonts w:hint="eastAsia" w:ascii="仿宋_GB2312" w:eastAsia="仿宋_GB2312"/>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B3F3DE-B34B-443C-9C06-DAD30942C02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2" w:fontKey="{AB12ED22-D588-4CA0-959D-FE6BC6BA71D6}"/>
  </w:font>
  <w:font w:name="仿宋_GB2312">
    <w:panose1 w:val="02010609030101010101"/>
    <w:charset w:val="86"/>
    <w:family w:val="modern"/>
    <w:pitch w:val="default"/>
    <w:sig w:usb0="00000001" w:usb1="080E0000" w:usb2="00000000" w:usb3="00000000" w:csb0="00040000" w:csb1="00000000"/>
    <w:embedRegular r:id="rId3" w:fontKey="{3156B740-B2D6-4EC3-BE4B-39B02DBF14FF}"/>
  </w:font>
  <w:font w:name="Segoe UI Emoji">
    <w:altName w:val="Segoe UI"/>
    <w:panose1 w:val="020B0502040204020203"/>
    <w:charset w:val="00"/>
    <w:family w:val="auto"/>
    <w:pitch w:val="default"/>
    <w:sig w:usb0="00000000" w:usb1="00000000" w:usb2="08000000" w:usb3="00000000" w:csb0="00000001"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modern"/>
    <w:pitch w:val="default"/>
    <w:sig w:usb0="800002BF" w:usb1="38CF7CFA" w:usb2="00000016" w:usb3="00000000" w:csb0="00040001" w:csb1="00000000"/>
    <w:embedRegular r:id="rId4" w:fontKey="{7AD88830-BF2C-4337-9C20-E77084F9A90F}"/>
  </w:font>
  <w:font w:name="var(--hy-font-family)">
    <w:altName w:val="Segoe Print"/>
    <w:panose1 w:val="00000000000000000000"/>
    <w:charset w:val="00"/>
    <w:family w:val="auto"/>
    <w:pitch w:val="default"/>
    <w:sig w:usb0="00000000" w:usb1="00000000" w:usb2="00000000" w:usb3="00000000" w:csb0="00000000" w:csb1="00000000"/>
    <w:embedRegular r:id="rId5" w:fontKey="{507D9EDF-4DCB-466E-8977-8AFB7D695F1C}"/>
  </w:font>
  <w:font w:name="Segoe Print">
    <w:panose1 w:val="02000600000000000000"/>
    <w:charset w:val="00"/>
    <w:family w:val="auto"/>
    <w:pitch w:val="default"/>
    <w:sig w:usb0="0000028F" w:usb1="00000000" w:usb2="00000000" w:usb3="00000000" w:csb0="2000009F" w:csb1="47010000"/>
  </w:font>
  <w:font w:name="var(--yb-font-body-medium)">
    <w:altName w:val="Segoe Print"/>
    <w:panose1 w:val="00000000000000000000"/>
    <w:charset w:val="00"/>
    <w:family w:val="auto"/>
    <w:pitch w:val="default"/>
    <w:sig w:usb0="00000000" w:usb1="00000000" w:usb2="00000000" w:usb3="00000000" w:csb0="00000000" w:csb1="00000000"/>
    <w:embedRegular r:id="rId6" w:fontKey="{14EA9566-3A10-4C78-BC0F-7C7DFFCFF1F8}"/>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A4D30">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9F5FEAA">
                          <w:pPr>
                            <w:pStyle w:val="8"/>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9F5FEAA">
                    <w:pPr>
                      <w:pStyle w:val="8"/>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2">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4">
    <w:nsid w:val="70F11CE7"/>
    <w:multiLevelType w:val="singleLevel"/>
    <w:tmpl w:val="70F11CE7"/>
    <w:lvl w:ilvl="0" w:tentative="0">
      <w:start w:val="1"/>
      <w:numFmt w:val="decimal"/>
      <w:suff w:val="nothing"/>
      <w:lvlText w:val="（%1）"/>
      <w:lvlJc w:val="left"/>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A10805"/>
    <w:rsid w:val="70346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szCs w:val="21"/>
    </w:rPr>
  </w:style>
  <w:style w:type="paragraph" w:styleId="12">
    <w:name w:val="Normal (Web)"/>
    <w:basedOn w:val="1"/>
    <w:unhideWhenUsed/>
    <w:qFormat/>
    <w:uiPriority w:val="99"/>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cs="Times New Roman"/>
      <w:sz w:val="32"/>
      <w:szCs w:val="32"/>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Char"/>
    <w:link w:val="5"/>
    <w:qFormat/>
    <w:uiPriority w:val="0"/>
    <w:rPr>
      <w:rFonts w:eastAsia="宋体"/>
      <w:b/>
      <w:bCs/>
      <w:kern w:val="2"/>
      <w:sz w:val="24"/>
      <w:szCs w:val="24"/>
    </w:rPr>
  </w:style>
  <w:style w:type="character" w:customStyle="1" w:styleId="24">
    <w:name w:val="批注文字 Char"/>
    <w:link w:val="6"/>
    <w:semiHidden/>
    <w:qFormat/>
    <w:uiPriority w:val="99"/>
    <w:rPr>
      <w:rFonts w:ascii="Calibri" w:hAnsi="Calibri" w:eastAsia="宋体"/>
      <w:kern w:val="2"/>
      <w:sz w:val="21"/>
      <w:szCs w:val="21"/>
    </w:rPr>
  </w:style>
  <w:style w:type="character" w:customStyle="1" w:styleId="25">
    <w:name w:val="批注框文本 Char"/>
    <w:link w:val="7"/>
    <w:semiHidden/>
    <w:qFormat/>
    <w:uiPriority w:val="99"/>
    <w:rPr>
      <w:rFonts w:eastAsia="宋体"/>
      <w:kern w:val="2"/>
      <w:sz w:val="18"/>
      <w:szCs w:val="18"/>
    </w:rPr>
  </w:style>
  <w:style w:type="character" w:customStyle="1" w:styleId="26">
    <w:name w:val="页脚 Char"/>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0"/>
        <w:numId w:val="0"/>
      </w:numPr>
      <w:spacing w:before="50" w:beforeLines="0" w:after="50" w:afterLines="0" w:line="520" w:lineRule="exact"/>
      <w:ind w:left="560"/>
      <w:outlineLvl w:val="1"/>
    </w:pPr>
  </w:style>
  <w:style w:type="paragraph" w:customStyle="1" w:styleId="34">
    <w:name w:val="标准文件_三级条标题"/>
    <w:basedOn w:val="32"/>
    <w:next w:val="29"/>
    <w:qFormat/>
    <w:uiPriority w:val="0"/>
    <w:pPr>
      <w:outlineLvl w:val="3"/>
    </w:pPr>
  </w:style>
  <w:style w:type="paragraph" w:customStyle="1" w:styleId="35">
    <w:name w:val="标准文件_四级条标题"/>
    <w:next w:val="29"/>
    <w:qFormat/>
    <w:uiPriority w:val="0"/>
    <w:pPr>
      <w:widowControl w:val="0"/>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numPr>
        <w:ilvl w:val="5"/>
        <w:numId w:val="1"/>
      </w:numPr>
    </w:pPr>
    <w:rPr>
      <w:rFonts w:ascii="宋体" w:eastAsia="宋体"/>
      <w:szCs w:val="52"/>
    </w:rPr>
  </w:style>
  <w:style w:type="paragraph" w:customStyle="1" w:styleId="39">
    <w:name w:val="标准文件_三级无标题"/>
    <w:basedOn w:val="34"/>
    <w:qFormat/>
    <w:uiPriority w:val="0"/>
    <w:pPr>
      <w:numPr>
        <w:ilvl w:val="4"/>
        <w:numId w:val="1"/>
      </w:numPr>
    </w:pPr>
    <w:rPr>
      <w:rFonts w:ascii="宋体" w:eastAsia="宋体"/>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tabs>
        <w:tab w:val="left" w:pos="780"/>
      </w:tabs>
      <w:ind w:left="780" w:hanging="360"/>
      <w:jc w:val="left"/>
      <w:outlineLvl w:val="3"/>
    </w:pPr>
    <w:rPr>
      <w:rFonts w:ascii="宋体"/>
      <w:kern w:val="0"/>
      <w:szCs w:val="21"/>
    </w:rPr>
  </w:style>
  <w:style w:type="paragraph" w:customStyle="1" w:styleId="45">
    <w:name w:val="标准文件_二级无标题"/>
    <w:basedOn w:val="32"/>
    <w:qFormat/>
    <w:uiPriority w:val="0"/>
    <w:pPr>
      <w:tabs>
        <w:tab w:val="left" w:pos="1200"/>
      </w:tabs>
      <w:spacing w:before="0" w:beforeLines="0" w:after="0" w:afterLines="0"/>
      <w:ind w:left="1200" w:hanging="36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3"/>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3"/>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3"/>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4"/>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8731</Words>
  <Characters>8989</Characters>
  <Lines>92</Lines>
  <Paragraphs>26</Paragraphs>
  <TotalTime>0</TotalTime>
  <ScaleCrop>false</ScaleCrop>
  <LinksUpToDate>false</LinksUpToDate>
  <CharactersWithSpaces>9018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2023-11-07T23:48:00Z</dcterms:created>
  <dc:creator>Administrator</dc:creator>
  <cp:lastModifiedBy>冯流莹</cp:lastModifiedBy>
  <cp:lastPrinted>2025-07-28T10:40:00Z</cp:lastPrinted>
  <dcterms:modified xsi:type="dcterms:W3CDTF">2025-09-30T08:52:47Z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4AF575426E7A43E498C09970228BCA81_13</vt:lpwstr>
  </property>
  <property fmtid="{D5CDD505-2E9C-101B-9397-08002B2CF9AE}" pid="4" name="KSOTemplateDocerSaveRecord">
    <vt:lpwstr>eyJoZGlkIjoiOGFkZjVhNDJiMGExNWUxMjVmMmMwZDU4OWJmZWEzNzAiLCJ1c2VySWQiOiIyNDQ0MTQwMzQifQ==</vt:lpwstr>
  </property>
</Properties>
</file>