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751094">
      <w:pPr>
        <w:jc w:val="center"/>
        <w:rPr>
          <w:rFonts w:hint="eastAsia" w:ascii="方正小标宋简体" w:eastAsia="方正小标宋简体" w:cs="仿宋_GB2312"/>
          <w:bCs/>
          <w:color w:val="auto"/>
          <w:sz w:val="36"/>
          <w:szCs w:val="32"/>
        </w:rPr>
      </w:pPr>
      <w:r>
        <w:rPr>
          <w:rFonts w:hint="eastAsia" w:ascii="方正小标宋简体" w:eastAsia="方正小标宋简体" w:cs="仿宋_GB2312"/>
          <w:bCs/>
          <w:color w:val="auto"/>
          <w:sz w:val="36"/>
          <w:szCs w:val="32"/>
          <w:lang w:eastAsia="zh-CN"/>
        </w:rPr>
        <w:t>团体标准</w:t>
      </w:r>
      <w:r>
        <w:rPr>
          <w:rFonts w:hint="eastAsia" w:ascii="方正小标宋简体" w:eastAsia="方正小标宋简体" w:cs="仿宋_GB2312"/>
          <w:bCs/>
          <w:color w:val="auto"/>
          <w:sz w:val="36"/>
          <w:szCs w:val="32"/>
        </w:rPr>
        <w:t>《</w:t>
      </w:r>
      <w:r>
        <w:rPr>
          <w:rFonts w:hint="eastAsia" w:ascii="方正小标宋简体" w:eastAsia="方正小标宋简体" w:cs="仿宋_GB2312"/>
          <w:bCs/>
          <w:color w:val="auto"/>
          <w:sz w:val="36"/>
          <w:szCs w:val="32"/>
          <w:lang w:val="en-US" w:eastAsia="zh-CN"/>
        </w:rPr>
        <w:t>零售药店药学服务规范</w:t>
      </w:r>
      <w:r>
        <w:rPr>
          <w:rFonts w:hint="eastAsia" w:ascii="方正小标宋简体" w:eastAsia="方正小标宋简体" w:cs="仿宋_GB2312"/>
          <w:bCs/>
          <w:color w:val="auto"/>
          <w:sz w:val="36"/>
          <w:szCs w:val="32"/>
        </w:rPr>
        <w:t>》（征求意见稿）编制说明</w:t>
      </w:r>
    </w:p>
    <w:p w14:paraId="33C58FC6">
      <w:pPr>
        <w:jc w:val="center"/>
        <w:rPr>
          <w:rFonts w:hint="eastAsia" w:ascii="方正小标宋简体" w:eastAsia="方正小标宋简体" w:cs="仿宋_GB2312"/>
          <w:bCs/>
          <w:color w:val="auto"/>
          <w:sz w:val="18"/>
          <w:szCs w:val="18"/>
        </w:rPr>
      </w:pPr>
    </w:p>
    <w:p w14:paraId="54990CC0">
      <w:pPr>
        <w:spacing w:line="520" w:lineRule="exact"/>
        <w:ind w:firstLine="640" w:firstLineChars="200"/>
        <w:rPr>
          <w:rFonts w:hint="eastAsia" w:ascii="黑体" w:eastAsia="黑体" w:cs="仿宋_GB2312"/>
          <w:bCs/>
          <w:color w:val="auto"/>
          <w:sz w:val="32"/>
          <w:szCs w:val="32"/>
        </w:rPr>
      </w:pPr>
      <w:r>
        <w:rPr>
          <w:rFonts w:hint="eastAsia" w:ascii="黑体" w:eastAsia="黑体" w:cs="仿宋_GB2312"/>
          <w:color w:val="auto"/>
          <w:sz w:val="32"/>
          <w:szCs w:val="32"/>
        </w:rPr>
        <w:t>一、任务来源、起草单位、主要起草人</w:t>
      </w:r>
    </w:p>
    <w:p w14:paraId="6E1C2693">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根据《关于下达 2025年第一批医药领域团体标准制修订项目计划的通知》（桂标协〔2025〕29号、桂药协〔2025〕4号）精神，由广西药师协会提出，广西药师协会零售药店药学服务专业委员会、广西药师协会、国药控股广西有限公司、国药控股国大药房广西连锁有限公司、广西大参林连锁药店有限公司、广西桂中大药房连锁有限责任公司、广西壮族自治区食品药品审评查验中心、广西医科大学第一附属医院、广西壮族自治区人民医院、广西医科大学附属肿瘤医院、南宁市第二人民医院、柳州市人民医院、桂林医学院附属医院、全州县妇幼保健院、广西康全药业连锁有限公司、老百姓大药房连锁(广西)有限公司、广西鸿翔一心堂药业有限责任公司、广西一心药业集团有限责任公司、广西桂翰百姓人家大药房有限责任公司、广西健之佳药店连锁有限公司、广西横州市福旺大药房有限责任公司、大参林医药集团股份有限公司、福建国大药房连锁有限公司等单位共同起草的团体标准《</w:t>
      </w:r>
      <w:r>
        <w:rPr>
          <w:rFonts w:hint="eastAsia" w:ascii="仿宋_GB2312" w:eastAsia="仿宋_GB2312"/>
          <w:color w:val="auto"/>
          <w:sz w:val="28"/>
          <w:szCs w:val="28"/>
          <w:lang w:eastAsia="zh-CN"/>
        </w:rPr>
        <w:t>零售药店药学服务规范</w:t>
      </w:r>
      <w:r>
        <w:rPr>
          <w:rFonts w:hint="eastAsia" w:ascii="仿宋_GB2312" w:eastAsia="仿宋_GB2312"/>
          <w:color w:val="auto"/>
          <w:sz w:val="28"/>
          <w:szCs w:val="28"/>
        </w:rPr>
        <w:t>》（项目编号：2025-010</w:t>
      </w:r>
      <w:r>
        <w:rPr>
          <w:rFonts w:hint="eastAsia" w:ascii="仿宋_GB2312" w:eastAsia="仿宋_GB2312"/>
          <w:color w:val="auto"/>
          <w:sz w:val="28"/>
          <w:szCs w:val="28"/>
          <w:lang w:val="en-US" w:eastAsia="zh-CN"/>
        </w:rPr>
        <w:t>2</w:t>
      </w:r>
      <w:r>
        <w:rPr>
          <w:rFonts w:hint="eastAsia" w:ascii="仿宋_GB2312" w:eastAsia="仿宋_GB2312"/>
          <w:color w:val="auto"/>
          <w:sz w:val="28"/>
          <w:szCs w:val="28"/>
        </w:rPr>
        <w:t>）</w:t>
      </w:r>
      <w:r>
        <w:rPr>
          <w:rFonts w:hint="eastAsia" w:ascii="仿宋_GB2312" w:eastAsia="仿宋_GB2312"/>
          <w:color w:val="auto"/>
          <w:sz w:val="28"/>
          <w:szCs w:val="28"/>
          <w:lang w:eastAsia="zh-CN"/>
        </w:rPr>
        <w:t>，已获立项</w:t>
      </w:r>
      <w:r>
        <w:rPr>
          <w:rFonts w:hint="eastAsia" w:ascii="仿宋_GB2312" w:eastAsia="仿宋_GB2312"/>
          <w:color w:val="auto"/>
          <w:sz w:val="28"/>
          <w:szCs w:val="28"/>
        </w:rPr>
        <w:t>。</w:t>
      </w:r>
    </w:p>
    <w:p w14:paraId="311E8CA8">
      <w:pPr>
        <w:spacing w:line="520" w:lineRule="exact"/>
        <w:ind w:firstLine="560" w:firstLineChars="200"/>
        <w:rPr>
          <w:rFonts w:hint="eastAsia" w:ascii="仿宋_GB2312" w:eastAsia="仿宋_GB2312"/>
          <w:color w:val="auto"/>
          <w:sz w:val="32"/>
          <w:szCs w:val="32"/>
          <w:lang w:eastAsia="zh-CN"/>
        </w:rPr>
      </w:pPr>
      <w:r>
        <w:rPr>
          <w:rFonts w:hint="eastAsia" w:ascii="仿宋_GB2312" w:eastAsia="仿宋_GB2312"/>
          <w:color w:val="auto"/>
          <w:sz w:val="28"/>
          <w:szCs w:val="28"/>
        </w:rPr>
        <w:t>为高质量编制</w:t>
      </w:r>
      <w:r>
        <w:rPr>
          <w:rFonts w:hint="eastAsia" w:ascii="仿宋_GB2312" w:eastAsia="仿宋_GB2312"/>
          <w:color w:val="auto"/>
          <w:sz w:val="28"/>
          <w:szCs w:val="28"/>
          <w:lang w:val="en-US" w:eastAsia="zh-CN"/>
        </w:rPr>
        <w:t>团体</w:t>
      </w:r>
      <w:r>
        <w:rPr>
          <w:rFonts w:hint="eastAsia" w:ascii="仿宋_GB2312" w:eastAsia="仿宋_GB2312"/>
          <w:color w:val="auto"/>
          <w:sz w:val="28"/>
          <w:szCs w:val="28"/>
        </w:rPr>
        <w:t>标准《</w:t>
      </w:r>
      <w:r>
        <w:rPr>
          <w:rFonts w:hint="eastAsia" w:ascii="仿宋_GB2312" w:eastAsia="仿宋_GB2312"/>
          <w:color w:val="auto"/>
          <w:sz w:val="28"/>
          <w:szCs w:val="28"/>
          <w:lang w:eastAsia="zh-CN"/>
        </w:rPr>
        <w:t>零售药店药学服务规范</w:t>
      </w:r>
      <w:r>
        <w:rPr>
          <w:rFonts w:hint="eastAsia" w:ascii="仿宋_GB2312" w:eastAsia="仿宋_GB2312"/>
          <w:color w:val="auto"/>
          <w:sz w:val="28"/>
          <w:szCs w:val="28"/>
        </w:rPr>
        <w:t>》，由起草单位成立标准编制工作组并进行如下分工：</w:t>
      </w:r>
    </w:p>
    <w:tbl>
      <w:tblPr>
        <w:tblStyle w:val="13"/>
        <w:tblW w:w="9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
        <w:gridCol w:w="1287"/>
        <w:gridCol w:w="1127"/>
        <w:gridCol w:w="1948"/>
        <w:gridCol w:w="3778"/>
      </w:tblGrid>
      <w:tr w14:paraId="02198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17BEBA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default" w:ascii="仿宋" w:hAnsi="仿宋" w:eastAsia="仿宋" w:cs="仿宋"/>
                <w:b/>
                <w:color w:val="auto"/>
                <w:sz w:val="24"/>
                <w:shd w:val="clear" w:color="auto" w:fill="auto"/>
              </w:rPr>
            </w:pPr>
            <w:r>
              <w:rPr>
                <w:rFonts w:hint="eastAsia" w:ascii="仿宋" w:hAnsi="仿宋" w:eastAsia="仿宋" w:cs="仿宋"/>
                <w:b/>
                <w:color w:val="auto"/>
                <w:sz w:val="24"/>
                <w:shd w:val="clear" w:color="auto" w:fill="auto"/>
              </w:rPr>
              <w:t>姓名</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BC881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default" w:ascii="仿宋" w:hAnsi="仿宋" w:eastAsia="仿宋" w:cs="仿宋"/>
                <w:b/>
                <w:color w:val="auto"/>
                <w:sz w:val="24"/>
                <w:shd w:val="clear" w:color="auto" w:fill="auto"/>
              </w:rPr>
            </w:pPr>
            <w:r>
              <w:rPr>
                <w:rFonts w:hint="eastAsia" w:ascii="仿宋" w:hAnsi="仿宋" w:eastAsia="仿宋" w:cs="仿宋"/>
                <w:b/>
                <w:color w:val="auto"/>
                <w:sz w:val="24"/>
                <w:shd w:val="clear" w:color="auto" w:fill="auto"/>
              </w:rPr>
              <w:t>职务/职称</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B2C1B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default" w:ascii="仿宋" w:hAnsi="仿宋" w:eastAsia="仿宋" w:cs="仿宋"/>
                <w:b/>
                <w:color w:val="auto"/>
                <w:sz w:val="24"/>
                <w:shd w:val="clear" w:color="auto" w:fill="auto"/>
              </w:rPr>
            </w:pPr>
            <w:r>
              <w:rPr>
                <w:rFonts w:hint="eastAsia" w:ascii="仿宋" w:hAnsi="仿宋" w:eastAsia="仿宋" w:cs="仿宋"/>
                <w:b/>
                <w:color w:val="auto"/>
                <w:sz w:val="24"/>
                <w:shd w:val="clear" w:color="auto" w:fill="auto"/>
              </w:rPr>
              <w:t>从事</w:t>
            </w:r>
          </w:p>
          <w:p w14:paraId="33F036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default" w:ascii="仿宋" w:hAnsi="仿宋" w:eastAsia="仿宋" w:cs="仿宋"/>
                <w:b/>
                <w:color w:val="auto"/>
                <w:sz w:val="24"/>
                <w:shd w:val="clear" w:color="auto" w:fill="auto"/>
              </w:rPr>
            </w:pPr>
            <w:r>
              <w:rPr>
                <w:rFonts w:hint="eastAsia" w:ascii="仿宋" w:hAnsi="仿宋" w:eastAsia="仿宋" w:cs="仿宋"/>
                <w:b/>
                <w:color w:val="auto"/>
                <w:sz w:val="24"/>
                <w:shd w:val="clear" w:color="auto" w:fill="auto"/>
              </w:rPr>
              <w:t>专业</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92F1F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default" w:ascii="仿宋" w:hAnsi="仿宋" w:eastAsia="仿宋" w:cs="仿宋"/>
                <w:b/>
                <w:color w:val="auto"/>
                <w:sz w:val="24"/>
                <w:shd w:val="clear" w:color="auto" w:fill="auto"/>
              </w:rPr>
            </w:pPr>
            <w:r>
              <w:rPr>
                <w:rFonts w:hint="eastAsia" w:ascii="仿宋" w:hAnsi="仿宋" w:eastAsia="仿宋" w:cs="仿宋"/>
                <w:b/>
                <w:color w:val="auto"/>
                <w:sz w:val="24"/>
                <w:shd w:val="clear" w:color="auto" w:fill="auto"/>
              </w:rPr>
              <w:t>工作单位</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1FEBD4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仿宋" w:hAnsi="仿宋" w:eastAsia="仿宋" w:cs="仿宋"/>
                <w:b/>
                <w:color w:val="auto"/>
                <w:sz w:val="24"/>
                <w:shd w:val="clear" w:color="auto" w:fill="auto"/>
              </w:rPr>
            </w:pPr>
            <w:r>
              <w:rPr>
                <w:rFonts w:hint="eastAsia" w:ascii="仿宋" w:hAnsi="仿宋" w:eastAsia="仿宋" w:cs="仿宋"/>
                <w:b/>
                <w:color w:val="auto"/>
                <w:sz w:val="24"/>
                <w:shd w:val="clear" w:color="auto" w:fill="auto"/>
              </w:rPr>
              <w:t>主要负责工作</w:t>
            </w:r>
          </w:p>
        </w:tc>
      </w:tr>
      <w:tr w14:paraId="65C14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66F3E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彭敏</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4C97F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总经理/副主任药师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7543D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2CBC7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国药控股广西有限公司</w:t>
            </w:r>
          </w:p>
        </w:tc>
        <w:tc>
          <w:tcPr>
            <w:tcW w:w="3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D0A86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kern w:val="2"/>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统筹主持标准编制工作</w:t>
            </w:r>
          </w:p>
        </w:tc>
      </w:tr>
      <w:tr w14:paraId="6B2F6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50A37C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陆丽</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F03A9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总经理助理/主管药师/执业药师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BDE79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0D3BE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国药控股广西有限公司</w:t>
            </w:r>
          </w:p>
        </w:tc>
        <w:tc>
          <w:tcPr>
            <w:tcW w:w="3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F8C4B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kern w:val="2"/>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参与标准编制工作，组织人员进行标准发布后的宣贯培训</w:t>
            </w:r>
          </w:p>
        </w:tc>
      </w:tr>
      <w:tr w14:paraId="26BAA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2E222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kern w:val="2"/>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陈英</w:t>
            </w:r>
          </w:p>
        </w:tc>
        <w:tc>
          <w:tcPr>
            <w:tcW w:w="12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EDFDB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kern w:val="2"/>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主任药师</w:t>
            </w:r>
          </w:p>
        </w:tc>
        <w:tc>
          <w:tcPr>
            <w:tcW w:w="112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AB35D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kern w:val="2"/>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E32FF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kern w:val="2"/>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广西药师协会</w:t>
            </w:r>
          </w:p>
        </w:tc>
        <w:tc>
          <w:tcPr>
            <w:tcW w:w="3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C4FD5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kern w:val="2"/>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参与标准文本及编制说明编写，质量控制</w:t>
            </w:r>
          </w:p>
        </w:tc>
      </w:tr>
      <w:tr w14:paraId="3AEDE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6822B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kern w:val="2"/>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蔡乐</w:t>
            </w:r>
          </w:p>
        </w:tc>
        <w:tc>
          <w:tcPr>
            <w:tcW w:w="12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3343B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kern w:val="2"/>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主任药师</w:t>
            </w:r>
          </w:p>
        </w:tc>
        <w:tc>
          <w:tcPr>
            <w:tcW w:w="112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D3269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kern w:val="2"/>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7BF29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kern w:val="2"/>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广西药师协会</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FBB61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77F5C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B4ADB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张宏亮</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A6FB5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48D14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69E888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广西医科大学第一附属医院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813D7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78CF8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1D85A0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陈晓宇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78092F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382EB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33E046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广西壮族自治区人民医院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6AAE7D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3607E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159F9F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梁月霞</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2EE38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质量负责人</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6A7D2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质量管理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34931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广西大参林连锁药店有限公司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567834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2227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6E2B68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陈丽</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B4A0A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质量管理总监/执业药师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D8030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质量管理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64207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广西桂中大药房连锁有限责任公司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7063C1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参与标准文本及编制说明的编写；组织开展标准征求意见会；对标准实施情况进行总结分析，不断对标准提出修正意见</w:t>
            </w:r>
          </w:p>
        </w:tc>
      </w:tr>
      <w:tr w14:paraId="27D0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26609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eastAsia="zh-CN" w:bidi="ar"/>
              </w:rPr>
              <w:t>卢慧媚</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ACD2C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eastAsia="zh-CN" w:bidi="ar"/>
              </w:rPr>
              <w:t>质量负责人</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7FCC8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中药学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03618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eastAsia="zh-CN" w:bidi="ar"/>
              </w:rPr>
              <w:t>国药控股国大药房广西连锁有限公司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782459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40DF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D79D2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蒋受军</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86DA6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中心主任/主任药师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54EB6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“两品一械”审评查验</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D8C64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广西壮族自治区食品药品审评查验中心</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79825E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B66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68D60F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李艳</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64C00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72BFD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抗感染药物</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27C05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广西医科大学附属肿瘤医院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3639C6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4FB64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4F1B6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秦魏沛</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FED49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执业中药师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43B10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中药学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60E39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国药控股广西有限公司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2DAEF6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5ED9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209BC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赵蕾</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A73E9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执业药师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974EF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药物制剂</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51361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国药控股广西有限公司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6D0097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03A7E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6EA89A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莫小华</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800B1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DTP部主管</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46974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药品管理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D2FD6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广西大参林连锁药店有限公司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518BEA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0FDB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64ABC1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邝丽丽</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A6BBB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战区总监/执业药师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B26F0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运营管理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6848C8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广西桂中大药房连锁有限责任公司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469F0E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4BDAC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1CC2EE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杜清华</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3A77F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主管药师/执业中药师/执业西药师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86CAD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151FF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国药控股广西有限公司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1854E6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22DCB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91BE1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eastAsia="zh-CN" w:bidi="ar"/>
              </w:rPr>
              <w:t>连家桃</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04C15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eastAsia="zh-CN" w:bidi="ar"/>
              </w:rPr>
              <w:t>质量管理员</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322BF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中药学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4129B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eastAsia="zh-CN" w:bidi="ar"/>
              </w:rPr>
              <w:t>国药控股国大药房广西连锁有限公司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501339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67F3C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5E3046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刘恒震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F5195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总经理</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5863B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D3E46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老百姓大药房连锁(广西)有限公司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702356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3B745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B24DF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韦凤娟</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D423C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副总经理</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D5F0C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6A550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广西一心药业集团有限责任公司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24AE77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6B2F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1B85D1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何淑婷</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313C18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质量管理经理</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6A1BA5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质量管理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60B7C7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广西鸿翔一心堂药业有限责任公司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3CA199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2AD3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6275FD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李方宏</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1B3CB7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经理</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079FD0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连锁药店</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48613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广西健之佳</w:t>
            </w:r>
            <w:r>
              <w:rPr>
                <w:rFonts w:hint="eastAsia" w:ascii="仿宋_GB2312" w:hAnsi="仿宋_GB2312" w:eastAsia="仿宋_GB2312" w:cs="仿宋_GB2312"/>
                <w:color w:val="auto"/>
                <w:sz w:val="16"/>
                <w:szCs w:val="16"/>
                <w:shd w:val="clear" w:color="auto" w:fill="auto"/>
                <w:lang w:val="en-US" w:eastAsia="zh-CN" w:bidi="ar"/>
              </w:rPr>
              <w:t>药店连锁</w:t>
            </w:r>
            <w:r>
              <w:rPr>
                <w:rFonts w:hint="eastAsia" w:ascii="仿宋_GB2312" w:hAnsi="仿宋_GB2312" w:eastAsia="仿宋_GB2312" w:cs="仿宋_GB2312"/>
                <w:color w:val="auto"/>
                <w:sz w:val="16"/>
                <w:szCs w:val="16"/>
                <w:shd w:val="clear" w:color="auto" w:fill="auto"/>
                <w:lang w:bidi="ar"/>
              </w:rPr>
              <w:t>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58559E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0067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51E560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马日鲸</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57DC93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企业质量负责人</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4A7041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质量管理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E87DB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广西桂翰百姓人家大药房有限责任公司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7437D6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57E24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693C27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王冬梅</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64D77D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主任药师</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79A849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07AC0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南宁市第二人民医院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EB3DF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EE1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9D722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刘代华</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5E0BE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0063E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387CAB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柳州市人民医院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32D0AD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5C672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657B8C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陈薇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4A7A7F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F3950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6845A2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桂林医学院附属医院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67D6C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828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D1CA8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邓雪玉</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4082A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副主任药师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18C49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289EDB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全州县妇幼保健院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43D4DE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F81C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25CCD8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席加喜</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8967F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0D634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2E05FF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广西药师协会</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90737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3EDC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28E7F0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田万平</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4B624C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商采总监</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8BD75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D5884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老百姓大药房连锁(广西)有限公司</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0C844A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2C72B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F411A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彭勇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7B35B8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质管部部长</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8B2A6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质量管理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F3525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老百姓大药房连锁(广西)有限公司</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024C3B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364F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1DCC4C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李典聪</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93AB3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总监/中级药师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9CC85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6FE12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广西一心药业集团有限责任公司</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776C94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524BA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29825E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黄湫艳</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76FA0F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执业药师</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2BB0A6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处方审核员</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E4D87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广西横州市福旺大药房有限责任公司</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4AA778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6F5A3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032262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韦莹莹</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7CAA0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中心副主任/工程师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EFE19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“两品一械”审评查验</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625E86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广西壮族自治区食品药品审评查验中心</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2A8CB6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58F7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0B1699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蓝颖</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5556B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副主任药师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70CAE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肿瘤专业临床药师</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01459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广西壮族自治区人民医院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193E69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2F147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4D1DA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罗俊</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C244F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97DC5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临床药学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D357C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广西医科大学第一附属医院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5CC376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65B5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6233A3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徐小惠</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26718B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副主任药师</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67CB9C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内分泌药物</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E994B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广西医科大学附属肿瘤医院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0175BC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5ACA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55E148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吴琼</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3A748A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副主任药师</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6B759D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抗肿瘤药物</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759F4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广西医科大学附属肿瘤医院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09436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7239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98434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黄舒文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46FF7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主管药师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673BE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临床药学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8D42B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广西医科大学第一附属医院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4CB3FD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01B46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575C7D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许美玲</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757FA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新特药部经理</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FB49C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93CD3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广西康全药业连锁有限公司</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101726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E95B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6F13A6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邱文恺</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4CC286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科长/工程师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F2DD9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药品流通审核查验</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732B2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广西壮族自治区食品药品审评查验中心</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00264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27D1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586876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叶溪</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7FF68F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主管药师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8655F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内分泌科临床药师</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75FB8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广西壮族自治区人民医院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37BE4A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76753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5A1131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朱一鸣</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47D79F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主管药师</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39AA4B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临床药学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FD4BB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南宁市第二人民医院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1E4491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6601E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A3397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常馨元</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69356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工程师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EFB0D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药品流通审核查验</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6B08F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广西壮族自治区食品药品审评查验中心</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02E83E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2B737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7EA9FD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陈红丽</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2E7C0E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药师</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15998F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临床药学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797E0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南宁市第二人民医院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7DC9EA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62BB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25F9FF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朱小蕾</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2FC67E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执业中药师</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47B69A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C13B0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大参林医药集团股份有限公司</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D8B56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F967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90D7F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盛芳芬</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E8D05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主管药师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7B06B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8F7F7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福建国大药房连锁有限公司</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5A038A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301E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C1138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陈景麟</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39FEB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初级中药师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3B628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中药学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260DA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福建国大药房连锁有限公司</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2A559F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bl>
    <w:p w14:paraId="53753F26">
      <w:pPr>
        <w:spacing w:line="520" w:lineRule="exact"/>
        <w:ind w:firstLine="640" w:firstLineChars="200"/>
        <w:rPr>
          <w:rFonts w:hint="eastAsia" w:ascii="黑体" w:eastAsia="黑体" w:cs="仿宋_GB2312"/>
          <w:color w:val="auto"/>
          <w:sz w:val="32"/>
          <w:szCs w:val="32"/>
        </w:rPr>
      </w:pPr>
      <w:r>
        <w:rPr>
          <w:rFonts w:hint="eastAsia" w:ascii="黑体" w:eastAsia="黑体" w:cs="仿宋_GB2312"/>
          <w:color w:val="auto"/>
          <w:sz w:val="32"/>
          <w:szCs w:val="32"/>
        </w:rPr>
        <w:t>二、制定标准的必要性和意义</w:t>
      </w:r>
    </w:p>
    <w:p w14:paraId="0D0BFFF9">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零售药店药学服务专业性服务贯穿消费者购药的全流程，从购买前病情询问、购买中药物咨询、到购买后服用顺从，药店的专业性服务能够为消费者提供全方位的指导和帮助，大大提升治疗效果和消费者购药体验。</w:t>
      </w:r>
    </w:p>
    <w:p w14:paraId="65578A54">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在2022年国家市场监督管理总局为了规范药品网络销售行为，就出台了《药品网络销售监督管理办法》。该办法提出药品网络零售企业还应当建立在线药学服务制度。2024年，国家药品监督管理局执业药师资格认证中心发布《药品零售企业执业药师药学服务指南》提出帮助药品零售企业执业药师开展药学服务，不断提升服务能力和水平，保障公众合理用药。2024年，国务院印发《关于促进服务消费高质量发展的意见》后，重庆、广东等地药监局发布相关政策，引导零售药店提供保障用药、健康监测、康复咨询、慢性病管理等服务，从而打造“药师服务”专业店，并为此制定了评选和计分标准，评审尤其关注药店的药师服务内容。</w:t>
      </w:r>
    </w:p>
    <w:p w14:paraId="76CDD64C">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药学服务是指药品零售店应用药学专业知识、技能和工具,向公众提供直接的、负责任的与用药相关的服务,以期提高药物治疗的安全性、有效性、经济性和适宜性的行为。</w:t>
      </w:r>
    </w:p>
    <w:p w14:paraId="18AFA3BF">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我国药店数量也在近十年持续提升，总量在2022年达到了62.3万家，店均服务人数约2265人。零售药店整体数量上已经趋近饱和状态，带来日益激烈的竞争。药店连锁率在近年来持续增长。根据相关数据，2022年全国药店连锁率达到57.8%，比2021年增加了0.6个百分点。2023年国内零售药店有66.7万家，同比上升7%，广西零售药店有2.5万家。这表明越来越多的药店开始采用连锁经营模式，以提高经营效率和服务质量。</w:t>
      </w:r>
    </w:p>
    <w:p w14:paraId="070E40A9">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零售药店内药学服务包括处方审核和调配、药品管理、合理用药指导、用药咨询与信息服务、慢病管理与居家药学服务、药物治疗管理、药物警戒、药学知识、健康教育、健康生活指导。鼓励药品零售店提升药学服务水平，为消费者提供药学服务，保障其安全用药。通过制定团体标准《零售药店药学服务规范》，以标准为抓手，推动药品零售店药学服务规范化发展，保障消费者用药安全具有重要意义。</w:t>
      </w:r>
    </w:p>
    <w:p w14:paraId="747AD218">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三、主要起草过程</w:t>
      </w:r>
    </w:p>
    <w:p w14:paraId="54788535">
      <w:pPr>
        <w:spacing w:line="520" w:lineRule="exact"/>
        <w:ind w:firstLine="562" w:firstLineChars="200"/>
        <w:rPr>
          <w:rFonts w:hint="eastAsia" w:ascii="仿宋_GB2312" w:eastAsia="仿宋_GB2312"/>
          <w:color w:val="auto"/>
          <w:sz w:val="28"/>
          <w:szCs w:val="28"/>
        </w:rPr>
      </w:pPr>
      <w:r>
        <w:rPr>
          <w:rFonts w:hint="eastAsia" w:ascii="仿宋_GB2312" w:eastAsia="仿宋_GB2312" w:cs="仿宋_GB2312"/>
          <w:b/>
          <w:color w:val="auto"/>
          <w:sz w:val="28"/>
          <w:szCs w:val="28"/>
        </w:rPr>
        <w:t>（一）成立标准编制工作组</w:t>
      </w:r>
    </w:p>
    <w:p w14:paraId="7DD45D63">
      <w:pPr>
        <w:spacing w:line="520" w:lineRule="exact"/>
        <w:ind w:firstLine="560" w:firstLineChars="200"/>
        <w:jc w:val="left"/>
        <w:rPr>
          <w:rFonts w:hint="eastAsia" w:ascii="仿宋_GB2312" w:eastAsia="仿宋_GB2312"/>
          <w:color w:val="auto"/>
          <w:sz w:val="28"/>
          <w:szCs w:val="28"/>
        </w:rPr>
      </w:pPr>
      <w:r>
        <w:rPr>
          <w:rFonts w:hint="eastAsia" w:ascii="仿宋_GB2312" w:hAnsi="宋体" w:eastAsia="仿宋_GB2312"/>
          <w:color w:val="auto"/>
          <w:sz w:val="28"/>
          <w:szCs w:val="28"/>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零售药店药学服务规范</w:t>
      </w:r>
      <w:r>
        <w:rPr>
          <w:rFonts w:hint="eastAsia" w:ascii="仿宋_GB2312" w:eastAsia="仿宋_GB2312"/>
          <w:color w:val="auto"/>
          <w:sz w:val="28"/>
          <w:szCs w:val="28"/>
        </w:rPr>
        <w:t>》项目任务下达后，广西药师协会零售药店药学服务专业委员会、广西药师协会、国药控股广西有限公司、国药控股国大药房广西连锁有限公司、广西大参林连锁药店有限公司、广西桂中大药房连锁有限责任公司、广西壮族自治区食品药品审评查验中心、广西医科大学第一附属医院、广西壮族自治区人民医院、广西医科大学附属肿瘤医院、南宁市第二人民医院、柳州市人民医院、桂林医学院附属医院、全州县妇幼保健院、广西康全药业连锁有限公司、老百姓大药房连锁(广西)有限公司、广西鸿翔一心堂药业有限责任公司、广西一心药业集团有限责任公司、广西桂翰百姓人家大药房有限责任公司、广西健之佳药店连锁有限公司、广西横州市福旺大药房有限责任公司、大参林医药集团股份有限公司、福建国大药房连锁有限公司成立了标准编制工作组，制定了起草编写方案与进度安排，明确任务职责，确定工作技术路线，开展标准研制工作。具体标准编制工作由起草单位相关人员配合完成。</w:t>
      </w:r>
    </w:p>
    <w:p w14:paraId="3975F9A9">
      <w:pPr>
        <w:spacing w:line="520" w:lineRule="exact"/>
        <w:ind w:firstLine="560" w:firstLineChars="200"/>
        <w:rPr>
          <w:rFonts w:hint="eastAsia" w:ascii="仿宋_GB2312" w:eastAsia="仿宋_GB2312" w:cs="仿宋_GB2312"/>
          <w:color w:val="auto"/>
          <w:sz w:val="28"/>
          <w:szCs w:val="28"/>
        </w:rPr>
      </w:pPr>
      <w:r>
        <w:rPr>
          <w:rFonts w:hint="eastAsia" w:ascii="仿宋_GB2312" w:eastAsia="仿宋_GB2312"/>
          <w:color w:val="auto"/>
          <w:sz w:val="28"/>
          <w:szCs w:val="28"/>
        </w:rPr>
        <w:t>为了明确标准编制的任务职责，确定工作技术路线，开展标准研制工作。标准编制工作组下设二个组，分别是资料收集组、草案编写组。资料收集组负责国内外有关</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方面的文献资料的查询、收集和整理工作，查阅前</w:t>
      </w:r>
      <w:r>
        <w:rPr>
          <w:rFonts w:hint="eastAsia" w:ascii="仿宋_GB2312" w:eastAsia="仿宋_GB2312"/>
          <w:color w:val="auto"/>
          <w:sz w:val="28"/>
          <w:szCs w:val="28"/>
          <w:lang w:eastAsia="zh-CN"/>
        </w:rPr>
        <w:t>期</w:t>
      </w:r>
      <w:r>
        <w:rPr>
          <w:rFonts w:hint="eastAsia" w:ascii="仿宋_GB2312" w:eastAsia="仿宋_GB2312"/>
          <w:color w:val="auto"/>
          <w:sz w:val="28"/>
          <w:szCs w:val="28"/>
        </w:rPr>
        <w:t>对</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方面的有关研究情况和目前科学界</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的研究进展；草案编写组负责起草标准草案及后续征求意见稿和标准编制说明、送审稿及编制说明等编写工作，包括后期召开征求意见会、网上征求意见，以及标准的不断修改和完善。</w:t>
      </w:r>
    </w:p>
    <w:p w14:paraId="0217FCF3">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（二）收集整理文献资料</w:t>
      </w:r>
    </w:p>
    <w:p w14:paraId="2EA0CF3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标准编制工作组收集了国内有关</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的相关文献资料。主要有：</w:t>
      </w:r>
    </w:p>
    <w:p w14:paraId="04BC698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  药物警戒指南（国药监药管〔2022〕17 号文）</w:t>
      </w:r>
    </w:p>
    <w:p w14:paraId="7E5FA81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[2]  《药品经营质量管理规范》（国家药品监督管理局令第20号）</w:t>
      </w:r>
    </w:p>
    <w:p w14:paraId="36A49AA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[3]  《执业药师职业资格制度规定》（国药监人〔2019〕12 号）</w:t>
      </w:r>
    </w:p>
    <w:p w14:paraId="15E4344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[4] 《医疗机构药学门诊服务规范》 国卫办医函〔2021〕520号</w:t>
      </w:r>
    </w:p>
    <w:p w14:paraId="439D663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[5] 《处方管理办法》（中华人民共和国卫生部令第53号）</w:t>
      </w:r>
    </w:p>
    <w:p w14:paraId="5A319CB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[6] 《中华人民共和国消费权益保护法》（中华人民共和国主席令第11号）</w:t>
      </w:r>
    </w:p>
    <w:p w14:paraId="3E885BE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[7] 《医疗机构药事管理规定》（卫医政发〔2011〕11号）</w:t>
      </w:r>
    </w:p>
    <w:p w14:paraId="23172E0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[8] 《广西壮族自治区药品经营质量管理规范认证检查细则》（2017年修订）</w:t>
      </w:r>
    </w:p>
    <w:p w14:paraId="606F606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[9]  药品零售企业执业药师药学服务指南</w:t>
      </w:r>
    </w:p>
    <w:p w14:paraId="2E29AB9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[10] 广西壮族自治区药品经营质量管理规范认证检查细则（2017年修订）</w:t>
      </w:r>
    </w:p>
    <w:p w14:paraId="1360846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《执业药师职业资格制度规定》（国药监人〔2019〕12 号）</w:t>
      </w:r>
    </w:p>
    <w:p w14:paraId="75D0EE7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[12]《医疗机构药学门诊服务规范》 国卫办医函〔2021〕520号</w:t>
      </w:r>
    </w:p>
    <w:p w14:paraId="7B27E36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[13]《处方管理办法》（中华人民共和国卫生部令第53号）</w:t>
      </w:r>
    </w:p>
    <w:p w14:paraId="388AD07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[14]《中华人民共和国消费权益保护法》（中华人民共和国主席令第11号）</w:t>
      </w:r>
    </w:p>
    <w:p w14:paraId="4C8F5D8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[15]《医疗机构药事管理规定》（卫医政发〔2011〕11号</w:t>
      </w:r>
    </w:p>
    <w:p w14:paraId="23936B4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[16]《广西壮族自治区药品经营质量管理规范认证检查细则》（2017年修订）</w:t>
      </w:r>
    </w:p>
    <w:p w14:paraId="6EFDFC64">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（三）研讨确定标准特色、创新点和主体内容</w:t>
      </w:r>
    </w:p>
    <w:p w14:paraId="27C287CE">
      <w:pPr>
        <w:pStyle w:val="29"/>
        <w:spacing w:line="520" w:lineRule="exact"/>
        <w:ind w:firstLine="560"/>
        <w:rPr>
          <w:rFonts w:hint="eastAsia" w:ascii="仿宋_GB2312" w:eastAsia="仿宋_GB2312"/>
          <w:color w:val="auto"/>
          <w:sz w:val="28"/>
          <w:szCs w:val="28"/>
          <w:highlight w:val="none"/>
        </w:rPr>
      </w:pPr>
      <w:r>
        <w:rPr>
          <w:rFonts w:hint="eastAsia" w:ascii="仿宋_GB2312" w:eastAsia="仿宋_GB2312"/>
          <w:color w:val="auto"/>
          <w:sz w:val="28"/>
          <w:szCs w:val="28"/>
        </w:rPr>
        <w:t>标准编制工作组在对收集的资料进行整理研究之后，标准编制工作组召开了标准编制会议，对标准的整体框架结构进行了研究，并对标准的关键性内容进行了初步探讨。经过研究，标准的主体内容为</w:t>
      </w:r>
      <w:r>
        <w:rPr>
          <w:rFonts w:hint="eastAsia" w:ascii="仿宋_GB2312" w:eastAsia="仿宋_GB2312"/>
          <w:color w:val="auto"/>
          <w:sz w:val="28"/>
          <w:szCs w:val="28"/>
          <w:lang w:val="en" w:eastAsia="zh-CN"/>
        </w:rPr>
        <w:t>零售药店药学服务的基</w:t>
      </w:r>
      <w:r>
        <w:rPr>
          <w:rFonts w:hint="eastAsia" w:ascii="仿宋_GB2312" w:eastAsia="仿宋_GB2312"/>
          <w:color w:val="auto"/>
          <w:sz w:val="28"/>
          <w:szCs w:val="28"/>
          <w:highlight w:val="none"/>
          <w:lang w:val="en" w:eastAsia="zh-CN"/>
        </w:rPr>
        <w:t>本要求、服务内容、服务评价与改进的要求。</w:t>
      </w:r>
    </w:p>
    <w:p w14:paraId="2273D80A">
      <w:pPr>
        <w:spacing w:line="52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总结说明本标准对比与共识、护理书籍、相关标准的创新点在于：</w:t>
      </w:r>
    </w:p>
    <w:p w14:paraId="4AB6F4E3">
      <w:pPr>
        <w:spacing w:line="52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1.</w:t>
      </w:r>
      <w:r>
        <w:rPr>
          <w:rFonts w:hint="eastAsia" w:ascii="仿宋_GB2312" w:eastAsia="仿宋_GB2312"/>
          <w:sz w:val="28"/>
          <w:szCs w:val="28"/>
          <w:highlight w:val="none"/>
          <w:lang w:eastAsia="zh-CN"/>
        </w:rPr>
        <w:t>系统整合药学服务全流程，突出专业化与人性化结合</w:t>
      </w:r>
    </w:p>
    <w:p w14:paraId="30EAEF00">
      <w:pPr>
        <w:spacing w:line="52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本标准首次在广西团体标准层面系统梳理了零售药店药学服务从“顾客接待—处方审核—药品调配—用药指导—慢病管理—不良反应上报—便民服务”的全流程，并明确各环节的执业药师、药学技术人员、药学服务人员的职责与操作规范。相较于现行《药品经营质量管理规范》（GSP）侧重于质量管理，本标准更注重“服务行为”的标准化，体现从“药品供应”向“药学服务”转型的行业趋势。</w:t>
      </w:r>
    </w:p>
    <w:p w14:paraId="21436233">
      <w:pPr>
        <w:spacing w:line="52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2.</w:t>
      </w:r>
      <w:r>
        <w:rPr>
          <w:rFonts w:hint="eastAsia" w:ascii="仿宋_GB2312" w:eastAsia="仿宋_GB2312"/>
          <w:sz w:val="28"/>
          <w:szCs w:val="28"/>
          <w:highlight w:val="none"/>
          <w:lang w:eastAsia="zh-CN"/>
        </w:rPr>
        <w:t>细化慢性病管理服务内容，提升药店健康服务功能</w:t>
      </w:r>
    </w:p>
    <w:p w14:paraId="5383577D">
      <w:pPr>
        <w:spacing w:line="52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明确要求为高血压、糖尿病、冠心病等慢病顾客建立个人信息档案，定期追踪指标、进行用药回访和生活方式干预。这一内容呼应了《“健康中国2030”规划纲要》中“强化慢性病预防和健康管理”的要求，也与国家药监局《药品零售企业执业药师药学服务指南》（2024年）中“慢病药学服务”章节相衔接，体现了药店从销售终端向健康服务终端转型的创新定位。</w:t>
      </w:r>
    </w:p>
    <w:p w14:paraId="0DE38631">
      <w:pPr>
        <w:spacing w:line="520" w:lineRule="exact"/>
        <w:ind w:firstLine="560" w:firstLineChars="20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3.增加了“药品经济性指导”等体现现代商业服务细节的环节。</w:t>
      </w:r>
    </w:p>
    <w:p w14:paraId="77848629">
      <w:pPr>
        <w:spacing w:line="520" w:lineRule="exact"/>
        <w:ind w:firstLine="560" w:firstLineChars="200"/>
        <w:rPr>
          <w:rFonts w:hint="default" w:ascii="仿宋_GB2312" w:eastAsia="仿宋_GB2312"/>
          <w:sz w:val="28"/>
          <w:szCs w:val="28"/>
          <w:highlight w:val="none"/>
          <w:lang w:val="en-US" w:eastAsia="zh-CN"/>
        </w:rPr>
      </w:pPr>
      <w:r>
        <w:rPr>
          <w:rFonts w:hint="default" w:ascii="仿宋_GB2312" w:eastAsia="仿宋_GB2312"/>
          <w:sz w:val="28"/>
          <w:szCs w:val="28"/>
          <w:highlight w:val="none"/>
          <w:lang w:val="en-US" w:eastAsia="zh-CN"/>
        </w:rPr>
        <w:t>该环节要求药学服务人员在交易结算阶段，不仅准确、透明地完成收银操作，提供现金、电子支付、医保等多种支付方式，更需主动引导顾客并规范开具销售凭证。此举一方面严格履行了《中华人民共和国消费者权益保护法》中关于经营者出具购货凭证的义务，保障了消费者的知情权与公平交易权；另一方面，通过清晰的费用告知与核对，有效避免了结算纠纷，增强了服务过程的诚信度与专业性。</w:t>
      </w:r>
    </w:p>
    <w:p w14:paraId="2BA81A20">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（四）调研及形成草案、征求意见稿</w:t>
      </w:r>
    </w:p>
    <w:p w14:paraId="761DE700">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w:t>
      </w:r>
      <w:r>
        <w:rPr>
          <w:rFonts w:hint="default" w:ascii="仿宋_GB2312" w:eastAsia="仿宋_GB2312"/>
          <w:color w:val="auto"/>
          <w:kern w:val="0"/>
          <w:sz w:val="28"/>
          <w:szCs w:val="28"/>
          <w:lang w:val="en"/>
        </w:rPr>
        <w:t>5</w:t>
      </w:r>
      <w:r>
        <w:rPr>
          <w:rFonts w:hint="eastAsia" w:ascii="仿宋_GB2312" w:eastAsia="仿宋_GB2312"/>
          <w:color w:val="auto"/>
          <w:kern w:val="0"/>
          <w:sz w:val="28"/>
          <w:szCs w:val="28"/>
        </w:rPr>
        <w:t>年</w:t>
      </w:r>
      <w:r>
        <w:rPr>
          <w:rFonts w:hint="default" w:ascii="仿宋_GB2312" w:eastAsia="仿宋_GB2312"/>
          <w:color w:val="auto"/>
          <w:kern w:val="0"/>
          <w:sz w:val="28"/>
          <w:szCs w:val="28"/>
          <w:lang w:val="en"/>
        </w:rPr>
        <w:t>5</w:t>
      </w:r>
      <w:r>
        <w:rPr>
          <w:rFonts w:hint="eastAsia" w:ascii="仿宋_GB2312" w:eastAsia="仿宋_GB2312"/>
          <w:color w:val="auto"/>
          <w:kern w:val="0"/>
          <w:sz w:val="28"/>
          <w:szCs w:val="28"/>
        </w:rPr>
        <w:t>月～202</w:t>
      </w:r>
      <w:r>
        <w:rPr>
          <w:rFonts w:hint="default" w:ascii="仿宋_GB2312" w:eastAsia="仿宋_GB2312"/>
          <w:color w:val="auto"/>
          <w:kern w:val="0"/>
          <w:sz w:val="28"/>
          <w:szCs w:val="28"/>
          <w:lang w:val="en" w:eastAsia="zh-CN"/>
        </w:rPr>
        <w:t>5</w:t>
      </w:r>
      <w:r>
        <w:rPr>
          <w:rFonts w:hint="eastAsia" w:ascii="仿宋_GB2312" w:eastAsia="仿宋_GB2312"/>
          <w:color w:val="auto"/>
          <w:kern w:val="0"/>
          <w:sz w:val="28"/>
          <w:szCs w:val="28"/>
        </w:rPr>
        <w:t>年</w:t>
      </w:r>
      <w:r>
        <w:rPr>
          <w:rFonts w:hint="default" w:ascii="仿宋_GB2312" w:eastAsia="仿宋_GB2312"/>
          <w:color w:val="auto"/>
          <w:kern w:val="0"/>
          <w:sz w:val="28"/>
          <w:szCs w:val="28"/>
          <w:lang w:val="en" w:eastAsia="zh-CN"/>
        </w:rPr>
        <w:t>6</w:t>
      </w:r>
      <w:r>
        <w:rPr>
          <w:rFonts w:hint="eastAsia" w:ascii="仿宋_GB2312" w:eastAsia="仿宋_GB2312"/>
          <w:color w:val="auto"/>
          <w:kern w:val="0"/>
          <w:sz w:val="28"/>
          <w:szCs w:val="28"/>
        </w:rPr>
        <w:t>月，标准编制工作组查阅了大量的国内文献资料，对</w:t>
      </w:r>
      <w:r>
        <w:rPr>
          <w:rFonts w:hint="eastAsia" w:ascii="仿宋_GB2312" w:eastAsia="仿宋_GB2312"/>
          <w:color w:val="auto"/>
          <w:sz w:val="28"/>
          <w:szCs w:val="28"/>
          <w:lang w:val="en" w:eastAsia="zh-CN"/>
        </w:rPr>
        <w:t>零售药店药学服务</w:t>
      </w:r>
      <w:r>
        <w:rPr>
          <w:rFonts w:hint="eastAsia" w:ascii="仿宋_GB2312" w:eastAsia="仿宋_GB2312"/>
          <w:color w:val="auto"/>
          <w:kern w:val="0"/>
          <w:sz w:val="28"/>
          <w:szCs w:val="28"/>
        </w:rPr>
        <w:t>相关的文件进行系统总结。形成了标准的基本构架，对主要内容进行了讨论并对项目的工作进行了部署和安排。</w:t>
      </w:r>
    </w:p>
    <w:p w14:paraId="5B2A83BE">
      <w:pPr>
        <w:spacing w:line="520" w:lineRule="exact"/>
        <w:ind w:firstLine="560" w:firstLineChars="200"/>
        <w:rPr>
          <w:rFonts w:hint="eastAsia"/>
          <w:color w:val="auto"/>
          <w:sz w:val="28"/>
          <w:szCs w:val="28"/>
        </w:rPr>
      </w:pPr>
      <w:r>
        <w:rPr>
          <w:rFonts w:hint="eastAsia" w:ascii="仿宋_GB2312" w:eastAsia="仿宋_GB2312"/>
          <w:color w:val="auto"/>
          <w:kern w:val="0"/>
          <w:sz w:val="28"/>
          <w:szCs w:val="28"/>
        </w:rPr>
        <w:t>202</w:t>
      </w:r>
      <w:r>
        <w:rPr>
          <w:rFonts w:hint="default" w:ascii="仿宋_GB2312" w:eastAsia="仿宋_GB2312"/>
          <w:color w:val="auto"/>
          <w:kern w:val="0"/>
          <w:sz w:val="28"/>
          <w:szCs w:val="28"/>
          <w:lang w:val="en" w:eastAsia="zh-CN"/>
        </w:rPr>
        <w:t>5</w:t>
      </w:r>
      <w:r>
        <w:rPr>
          <w:rFonts w:hint="eastAsia" w:ascii="仿宋_GB2312" w:eastAsia="仿宋_GB2312"/>
          <w:color w:val="auto"/>
          <w:kern w:val="0"/>
          <w:sz w:val="28"/>
          <w:szCs w:val="28"/>
        </w:rPr>
        <w:t>年</w:t>
      </w:r>
      <w:r>
        <w:rPr>
          <w:rFonts w:hint="default" w:ascii="仿宋_GB2312" w:eastAsia="仿宋_GB2312"/>
          <w:color w:val="auto"/>
          <w:kern w:val="0"/>
          <w:sz w:val="28"/>
          <w:szCs w:val="28"/>
          <w:lang w:val="en" w:eastAsia="zh-CN"/>
        </w:rPr>
        <w:t>6</w:t>
      </w:r>
      <w:r>
        <w:rPr>
          <w:rFonts w:hint="eastAsia" w:ascii="仿宋_GB2312" w:eastAsia="仿宋_GB2312"/>
          <w:color w:val="auto"/>
          <w:kern w:val="0"/>
          <w:sz w:val="28"/>
          <w:szCs w:val="28"/>
        </w:rPr>
        <w:t>月～</w:t>
      </w:r>
      <w:r>
        <w:rPr>
          <w:rFonts w:hint="default" w:ascii="仿宋_GB2312" w:eastAsia="仿宋_GB2312"/>
          <w:color w:val="auto"/>
          <w:kern w:val="0"/>
          <w:sz w:val="28"/>
          <w:szCs w:val="28"/>
          <w:lang w:val="en" w:eastAsia="zh-CN"/>
        </w:rPr>
        <w:t>7</w:t>
      </w:r>
      <w:r>
        <w:rPr>
          <w:rFonts w:hint="eastAsia" w:ascii="仿宋_GB2312" w:eastAsia="仿宋_GB2312"/>
          <w:color w:val="auto"/>
          <w:kern w:val="0"/>
          <w:sz w:val="28"/>
          <w:szCs w:val="28"/>
        </w:rPr>
        <w:t>月，</w:t>
      </w:r>
      <w:r>
        <w:rPr>
          <w:rFonts w:hint="eastAsia" w:ascii="仿宋_GB2312" w:eastAsia="仿宋_GB2312"/>
          <w:color w:val="auto"/>
          <w:kern w:val="0"/>
          <w:sz w:val="28"/>
          <w:szCs w:val="28"/>
          <w:lang w:eastAsia="zh-CN"/>
        </w:rPr>
        <w:t>团体</w:t>
      </w:r>
      <w:r>
        <w:rPr>
          <w:rFonts w:hint="eastAsia" w:ascii="仿宋_GB2312" w:eastAsia="仿宋_GB2312"/>
          <w:color w:val="auto"/>
          <w:kern w:val="0"/>
          <w:sz w:val="28"/>
          <w:szCs w:val="28"/>
        </w:rPr>
        <w:t>标准《</w:t>
      </w:r>
      <w:r>
        <w:rPr>
          <w:rFonts w:hint="eastAsia" w:ascii="仿宋_GB2312" w:eastAsia="仿宋_GB2312"/>
          <w:color w:val="auto"/>
          <w:sz w:val="28"/>
          <w:szCs w:val="28"/>
          <w:lang w:eastAsia="zh-CN"/>
        </w:rPr>
        <w:t>零售药店药学服务规范</w:t>
      </w:r>
      <w:r>
        <w:rPr>
          <w:rFonts w:hint="eastAsia" w:ascii="仿宋_GB2312" w:eastAsia="仿宋_GB2312"/>
          <w:color w:val="auto"/>
          <w:kern w:val="0"/>
          <w:sz w:val="28"/>
          <w:szCs w:val="28"/>
        </w:rPr>
        <w:t>》</w:t>
      </w:r>
      <w:r>
        <w:rPr>
          <w:rFonts w:hint="eastAsia" w:ascii="仿宋_GB2312" w:hAnsi="宋体" w:eastAsia="仿宋_GB2312"/>
          <w:color w:val="auto"/>
          <w:sz w:val="28"/>
          <w:szCs w:val="28"/>
        </w:rPr>
        <w:t>获批立项</w:t>
      </w:r>
      <w:r>
        <w:rPr>
          <w:rFonts w:hint="eastAsia" w:ascii="仿宋_GB2312" w:eastAsia="仿宋_GB2312"/>
          <w:color w:val="auto"/>
          <w:kern w:val="0"/>
          <w:sz w:val="28"/>
          <w:szCs w:val="28"/>
        </w:rPr>
        <w:t>，在前期工作的基础之上，通过理清逻辑脉络，整合已有参考资料中有关</w:t>
      </w:r>
      <w:r>
        <w:rPr>
          <w:rFonts w:hint="eastAsia" w:ascii="仿宋_GB2312" w:eastAsia="仿宋_GB2312"/>
          <w:color w:val="auto"/>
          <w:sz w:val="28"/>
          <w:szCs w:val="28"/>
          <w:lang w:val="en" w:eastAsia="zh-CN"/>
        </w:rPr>
        <w:t>零售药店药学服务</w:t>
      </w:r>
      <w:r>
        <w:rPr>
          <w:rFonts w:hint="eastAsia" w:ascii="仿宋_GB2312" w:eastAsia="仿宋_GB2312"/>
          <w:color w:val="auto"/>
          <w:kern w:val="0"/>
          <w:sz w:val="28"/>
          <w:szCs w:val="28"/>
        </w:rPr>
        <w:t>的要求，并在</w:t>
      </w:r>
      <w:r>
        <w:rPr>
          <w:rFonts w:hint="eastAsia" w:ascii="仿宋_GB2312" w:eastAsia="仿宋_GB2312"/>
          <w:color w:val="auto"/>
          <w:kern w:val="0"/>
          <w:sz w:val="28"/>
          <w:szCs w:val="28"/>
          <w:lang w:eastAsia="zh-CN"/>
        </w:rPr>
        <w:t>目前</w:t>
      </w:r>
      <w:r>
        <w:rPr>
          <w:rFonts w:hint="eastAsia" w:ascii="仿宋_GB2312" w:eastAsia="仿宋_GB2312"/>
          <w:color w:val="auto"/>
          <w:sz w:val="28"/>
          <w:szCs w:val="28"/>
          <w:lang w:val="en" w:eastAsia="zh-CN"/>
        </w:rPr>
        <w:t>零售药店药学服务</w:t>
      </w:r>
      <w:r>
        <w:rPr>
          <w:rFonts w:hint="eastAsia" w:ascii="仿宋_GB2312" w:eastAsia="仿宋_GB2312"/>
          <w:color w:val="auto"/>
          <w:kern w:val="0"/>
          <w:sz w:val="28"/>
          <w:szCs w:val="28"/>
        </w:rPr>
        <w:t>的基础上，按照简化、统一等原则编制完成</w:t>
      </w:r>
      <w:r>
        <w:rPr>
          <w:rFonts w:hint="eastAsia" w:ascii="仿宋_GB2312" w:eastAsia="仿宋_GB2312"/>
          <w:color w:val="auto"/>
          <w:kern w:val="0"/>
          <w:sz w:val="28"/>
          <w:szCs w:val="28"/>
          <w:lang w:val="en-US" w:eastAsia="zh-CN"/>
        </w:rPr>
        <w:t>团体</w:t>
      </w:r>
      <w:r>
        <w:rPr>
          <w:rFonts w:hint="eastAsia" w:ascii="仿宋_GB2312" w:eastAsia="仿宋_GB2312"/>
          <w:color w:val="auto"/>
          <w:kern w:val="0"/>
          <w:sz w:val="28"/>
          <w:szCs w:val="28"/>
        </w:rPr>
        <w:t>标准《</w:t>
      </w:r>
      <w:r>
        <w:rPr>
          <w:rFonts w:hint="eastAsia" w:ascii="仿宋_GB2312" w:eastAsia="仿宋_GB2312"/>
          <w:color w:val="auto"/>
          <w:sz w:val="28"/>
          <w:szCs w:val="28"/>
          <w:lang w:eastAsia="zh-CN"/>
        </w:rPr>
        <w:t>零售药店药学服务规范</w:t>
      </w:r>
      <w:r>
        <w:rPr>
          <w:rFonts w:hint="eastAsia" w:ascii="仿宋_GB2312" w:eastAsia="仿宋_GB2312"/>
          <w:color w:val="auto"/>
          <w:kern w:val="0"/>
          <w:sz w:val="28"/>
          <w:szCs w:val="28"/>
        </w:rPr>
        <w:t>》（草案）。</w:t>
      </w:r>
    </w:p>
    <w:p w14:paraId="73D52349">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w:t>
      </w:r>
      <w:r>
        <w:rPr>
          <w:rFonts w:hint="default" w:ascii="仿宋_GB2312" w:eastAsia="仿宋_GB2312"/>
          <w:color w:val="auto"/>
          <w:kern w:val="0"/>
          <w:sz w:val="28"/>
          <w:szCs w:val="28"/>
          <w:lang w:val="en" w:eastAsia="zh-CN"/>
        </w:rPr>
        <w:t>5</w:t>
      </w:r>
      <w:r>
        <w:rPr>
          <w:rFonts w:hint="eastAsia" w:ascii="仿宋_GB2312" w:eastAsia="仿宋_GB2312"/>
          <w:color w:val="auto"/>
          <w:sz w:val="28"/>
          <w:szCs w:val="28"/>
          <w:lang w:val="en"/>
        </w:rPr>
        <w:t>年</w:t>
      </w:r>
      <w:r>
        <w:rPr>
          <w:rFonts w:hint="default" w:ascii="仿宋_GB2312" w:eastAsia="仿宋_GB2312"/>
          <w:color w:val="auto"/>
          <w:sz w:val="28"/>
          <w:szCs w:val="28"/>
          <w:lang w:val="en" w:eastAsia="zh-CN"/>
        </w:rPr>
        <w:t>7</w:t>
      </w:r>
      <w:r>
        <w:rPr>
          <w:rFonts w:hint="eastAsia" w:ascii="仿宋_GB2312" w:eastAsia="仿宋_GB2312"/>
          <w:color w:val="auto"/>
          <w:sz w:val="28"/>
          <w:szCs w:val="28"/>
          <w:lang w:val="en"/>
        </w:rPr>
        <w:t>月～</w:t>
      </w:r>
      <w:r>
        <w:rPr>
          <w:rFonts w:hint="eastAsia" w:ascii="仿宋_GB2312" w:eastAsia="仿宋_GB2312"/>
          <w:color w:val="auto"/>
          <w:sz w:val="28"/>
          <w:szCs w:val="28"/>
          <w:lang w:val="en-US" w:eastAsia="zh-CN"/>
        </w:rPr>
        <w:t>202</w:t>
      </w:r>
      <w:r>
        <w:rPr>
          <w:rFonts w:hint="default" w:ascii="仿宋_GB2312" w:eastAsia="仿宋_GB2312"/>
          <w:color w:val="auto"/>
          <w:sz w:val="28"/>
          <w:szCs w:val="28"/>
          <w:lang w:val="en" w:eastAsia="zh-CN"/>
        </w:rPr>
        <w:t>5</w:t>
      </w:r>
      <w:r>
        <w:rPr>
          <w:rFonts w:hint="eastAsia" w:ascii="仿宋_GB2312" w:eastAsia="仿宋_GB2312"/>
          <w:color w:val="auto"/>
          <w:sz w:val="28"/>
          <w:szCs w:val="28"/>
          <w:lang w:val="en-US" w:eastAsia="zh-CN"/>
        </w:rPr>
        <w:t>年</w:t>
      </w:r>
      <w:r>
        <w:rPr>
          <w:rFonts w:hint="default" w:ascii="仿宋_GB2312" w:eastAsia="仿宋_GB2312"/>
          <w:color w:val="auto"/>
          <w:sz w:val="28"/>
          <w:szCs w:val="28"/>
          <w:lang w:val="en" w:eastAsia="zh-CN"/>
        </w:rPr>
        <w:t>8</w:t>
      </w:r>
      <w:r>
        <w:rPr>
          <w:rFonts w:hint="eastAsia" w:ascii="仿宋_GB2312" w:eastAsia="仿宋_GB2312"/>
          <w:color w:val="auto"/>
          <w:sz w:val="28"/>
          <w:szCs w:val="28"/>
          <w:lang w:val="en"/>
        </w:rPr>
        <w:t>月，标准编制工作组深入</w:t>
      </w:r>
      <w:r>
        <w:rPr>
          <w:rFonts w:hint="eastAsia" w:ascii="仿宋_GB2312" w:eastAsia="仿宋_GB2312"/>
          <w:color w:val="auto"/>
          <w:sz w:val="28"/>
          <w:szCs w:val="28"/>
        </w:rPr>
        <w:t>广西药师协会零售药店药学服务专业委员会、广西药师协会、国药控股广西有限公司、国药控股国大药房广西连锁有限公司、广西大参林连锁药店有限公司、广西桂中大药房连锁有限责任公司、广西壮族自治区食品药品审评查验中心、广西医科大学第一附属医院、广西壮族自治区人民医院、广西医科大学附属肿瘤医院、南宁市第二人民医院、柳州市人民医院、桂林医学院附属医院、全州县妇幼保健院、广西康全药业连锁有限公司、老百姓大药房连锁(广西)有限公司、广西鸿翔一心堂药业有限责任公司、广西一心药业集团有限责任公司、广西桂翰百姓人家大药房有限责任公司、广西健之佳药店连锁有限公司、广西横州市福旺大药房有限责任公司、大参林医药集团股份有限公司、福建国大药房连锁有限公司</w:t>
      </w:r>
      <w:bookmarkStart w:id="1" w:name="_GoBack"/>
      <w:bookmarkEnd w:id="1"/>
      <w:r>
        <w:rPr>
          <w:rFonts w:hint="eastAsia" w:ascii="仿宋_GB2312" w:eastAsia="仿宋_GB2312"/>
          <w:color w:val="auto"/>
          <w:sz w:val="28"/>
          <w:szCs w:val="28"/>
          <w:lang w:val="en" w:eastAsia="zh-CN"/>
        </w:rPr>
        <w:t>实施零售药店药学服务</w:t>
      </w:r>
      <w:r>
        <w:rPr>
          <w:rFonts w:hint="eastAsia" w:ascii="仿宋_GB2312" w:hAnsi="宋体" w:eastAsia="仿宋_GB2312"/>
          <w:color w:val="auto"/>
          <w:sz w:val="28"/>
          <w:szCs w:val="28"/>
        </w:rPr>
        <w:t>的有代表性的</w:t>
      </w:r>
      <w:r>
        <w:rPr>
          <w:rFonts w:hint="eastAsia" w:ascii="仿宋_GB2312" w:hAnsi="宋体" w:eastAsia="仿宋_GB2312"/>
          <w:color w:val="auto"/>
          <w:sz w:val="28"/>
          <w:szCs w:val="28"/>
          <w:lang w:val="en-US" w:eastAsia="zh-CN"/>
        </w:rPr>
        <w:t>药店</w:t>
      </w:r>
      <w:r>
        <w:rPr>
          <w:rFonts w:hint="eastAsia" w:ascii="仿宋_GB2312" w:eastAsia="仿宋_GB2312"/>
          <w:color w:val="auto"/>
          <w:kern w:val="0"/>
          <w:sz w:val="28"/>
          <w:szCs w:val="28"/>
        </w:rPr>
        <w:t>进行实地调研，并组织相关主管单位、</w:t>
      </w:r>
      <w:r>
        <w:rPr>
          <w:rFonts w:hint="eastAsia" w:ascii="仿宋_GB2312" w:eastAsia="仿宋_GB2312"/>
          <w:color w:val="auto"/>
          <w:kern w:val="0"/>
          <w:sz w:val="28"/>
          <w:szCs w:val="28"/>
          <w:lang w:val="en-US" w:eastAsia="zh-CN"/>
        </w:rPr>
        <w:t>药店</w:t>
      </w:r>
      <w:r>
        <w:rPr>
          <w:rFonts w:hint="eastAsia" w:ascii="仿宋_GB2312" w:eastAsia="仿宋_GB2312"/>
          <w:color w:val="auto"/>
          <w:kern w:val="0"/>
          <w:sz w:val="28"/>
          <w:szCs w:val="28"/>
        </w:rPr>
        <w:t>等召开标准研讨会，收集反馈了大量意见，对标准草案进行了反复修改和研究讨论，掌握了</w:t>
      </w:r>
      <w:r>
        <w:rPr>
          <w:rFonts w:hint="eastAsia" w:ascii="仿宋_GB2312" w:eastAsia="仿宋_GB2312"/>
          <w:color w:val="auto"/>
          <w:sz w:val="28"/>
          <w:szCs w:val="28"/>
          <w:lang w:val="en" w:eastAsia="zh-CN"/>
        </w:rPr>
        <w:t>零售药店药学服务</w:t>
      </w:r>
      <w:r>
        <w:rPr>
          <w:rFonts w:hint="eastAsia" w:ascii="仿宋_GB2312" w:eastAsia="仿宋_GB2312"/>
          <w:color w:val="auto"/>
          <w:kern w:val="0"/>
          <w:sz w:val="28"/>
          <w:szCs w:val="28"/>
        </w:rPr>
        <w:t>的基本情况</w:t>
      </w:r>
      <w:r>
        <w:rPr>
          <w:rFonts w:hint="eastAsia" w:ascii="仿宋_GB2312" w:eastAsia="仿宋_GB2312"/>
          <w:color w:val="auto"/>
          <w:kern w:val="0"/>
          <w:sz w:val="28"/>
          <w:szCs w:val="28"/>
          <w:lang w:eastAsia="zh-CN"/>
        </w:rPr>
        <w:t>以及</w:t>
      </w:r>
      <w:r>
        <w:rPr>
          <w:rFonts w:hint="eastAsia" w:ascii="仿宋_GB2312" w:eastAsia="仿宋_GB2312"/>
          <w:color w:val="auto"/>
          <w:kern w:val="0"/>
          <w:sz w:val="28"/>
          <w:szCs w:val="28"/>
        </w:rPr>
        <w:t>要求，最终形成了</w:t>
      </w:r>
      <w:bookmarkStart w:id="0" w:name="_Hlk120181503"/>
      <w:r>
        <w:rPr>
          <w:rFonts w:hint="eastAsia" w:ascii="仿宋_GB2312" w:eastAsia="仿宋_GB2312"/>
          <w:color w:val="auto"/>
          <w:kern w:val="0"/>
          <w:sz w:val="28"/>
          <w:szCs w:val="28"/>
          <w:lang w:eastAsia="zh-CN"/>
        </w:rPr>
        <w:t>团体标准</w:t>
      </w:r>
      <w:r>
        <w:rPr>
          <w:rFonts w:hint="eastAsia" w:ascii="仿宋_GB2312" w:eastAsia="仿宋_GB2312"/>
          <w:color w:val="auto"/>
          <w:kern w:val="0"/>
          <w:sz w:val="28"/>
          <w:szCs w:val="28"/>
        </w:rPr>
        <w:t>《</w:t>
      </w:r>
      <w:r>
        <w:rPr>
          <w:rFonts w:hint="eastAsia" w:ascii="仿宋_GB2312" w:eastAsia="仿宋_GB2312"/>
          <w:color w:val="auto"/>
          <w:sz w:val="28"/>
          <w:szCs w:val="28"/>
          <w:lang w:eastAsia="zh-CN"/>
        </w:rPr>
        <w:t>零售药店药学服务规范</w:t>
      </w:r>
      <w:r>
        <w:rPr>
          <w:rFonts w:hint="eastAsia" w:ascii="仿宋_GB2312" w:eastAsia="仿宋_GB2312"/>
          <w:color w:val="auto"/>
          <w:kern w:val="0"/>
          <w:sz w:val="28"/>
          <w:szCs w:val="28"/>
        </w:rPr>
        <w:t>》（征求意见稿）及其编制说明。</w:t>
      </w:r>
      <w:bookmarkEnd w:id="0"/>
    </w:p>
    <w:p w14:paraId="5194B39A">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四、制定标准的原则和依据，与现行法律、法规的关系，与有关国家标准、行业标准的协调情况</w:t>
      </w:r>
    </w:p>
    <w:p w14:paraId="6671BE0C">
      <w:pPr>
        <w:widowControl/>
        <w:tabs>
          <w:tab w:val="center" w:pos="4201"/>
          <w:tab w:val="right" w:leader="dot" w:pos="9298"/>
        </w:tabs>
        <w:autoSpaceDE w:val="0"/>
        <w:autoSpaceDN w:val="0"/>
        <w:spacing w:line="520" w:lineRule="exact"/>
        <w:ind w:firstLine="562" w:firstLineChars="200"/>
        <w:outlineLvl w:val="1"/>
        <w:rPr>
          <w:rFonts w:hint="eastAsia" w:ascii="仿宋_GB2312" w:eastAsia="仿宋_GB2312"/>
          <w:b/>
          <w:bCs/>
          <w:color w:val="auto"/>
          <w:kern w:val="0"/>
          <w:sz w:val="28"/>
          <w:szCs w:val="28"/>
        </w:rPr>
      </w:pPr>
      <w:r>
        <w:rPr>
          <w:rFonts w:hint="eastAsia" w:ascii="仿宋_GB2312" w:eastAsia="仿宋_GB2312"/>
          <w:b/>
          <w:bCs/>
          <w:color w:val="auto"/>
          <w:kern w:val="0"/>
          <w:sz w:val="28"/>
          <w:szCs w:val="28"/>
        </w:rPr>
        <w:t>（一）编制原则</w:t>
      </w:r>
    </w:p>
    <w:p w14:paraId="67B7B533">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1、实用性原则</w:t>
      </w:r>
    </w:p>
    <w:p w14:paraId="198BE10C">
      <w:pPr>
        <w:spacing w:line="520" w:lineRule="exact"/>
        <w:ind w:firstLine="560" w:firstLineChars="200"/>
        <w:rPr>
          <w:rFonts w:ascii="仿宋_GB2312" w:eastAsia="仿宋_GB2312" w:cs="仿宋"/>
          <w:color w:val="auto"/>
          <w:sz w:val="28"/>
          <w:szCs w:val="28"/>
        </w:rPr>
      </w:pPr>
      <w:r>
        <w:rPr>
          <w:rFonts w:hint="eastAsia" w:ascii="仿宋_GB2312" w:eastAsia="仿宋_GB2312" w:cs="仿宋"/>
          <w:color w:val="auto"/>
          <w:sz w:val="28"/>
          <w:szCs w:val="28"/>
        </w:rPr>
        <w:t>本标准是在充分收集国内外相关资料和文献、调研分析</w:t>
      </w:r>
      <w:r>
        <w:rPr>
          <w:rFonts w:hint="eastAsia" w:ascii="仿宋_GB2312" w:eastAsia="仿宋_GB2312"/>
          <w:color w:val="auto"/>
          <w:sz w:val="28"/>
          <w:szCs w:val="28"/>
          <w:lang w:val="en" w:eastAsia="zh-CN"/>
        </w:rPr>
        <w:t>零售药店药学服务</w:t>
      </w:r>
      <w:r>
        <w:rPr>
          <w:rFonts w:hint="eastAsia" w:ascii="仿宋_GB2312" w:eastAsia="仿宋_GB2312" w:cs="仿宋"/>
          <w:color w:val="auto"/>
          <w:sz w:val="28"/>
          <w:szCs w:val="28"/>
        </w:rPr>
        <w:t>现状，结合起草单位前期研究工作取得的研究成果及积累的实践经验，并借鉴国内</w:t>
      </w:r>
      <w:r>
        <w:rPr>
          <w:rFonts w:hint="eastAsia" w:ascii="仿宋_GB2312" w:eastAsia="仿宋_GB2312"/>
          <w:color w:val="auto"/>
          <w:sz w:val="28"/>
          <w:szCs w:val="28"/>
          <w:lang w:val="en" w:eastAsia="zh-CN"/>
        </w:rPr>
        <w:t>零售药店药学服务</w:t>
      </w:r>
      <w:r>
        <w:rPr>
          <w:rFonts w:hint="eastAsia" w:ascii="仿宋_GB2312" w:eastAsia="仿宋_GB2312" w:cs="仿宋"/>
          <w:color w:val="auto"/>
          <w:sz w:val="28"/>
          <w:szCs w:val="28"/>
        </w:rPr>
        <w:t>进行总结起草的，符合工作实际，利于</w:t>
      </w:r>
      <w:r>
        <w:rPr>
          <w:rFonts w:hint="eastAsia" w:ascii="仿宋_GB2312" w:eastAsia="仿宋_GB2312"/>
          <w:color w:val="auto"/>
          <w:sz w:val="28"/>
          <w:szCs w:val="28"/>
          <w:lang w:val="en" w:eastAsia="zh-CN"/>
        </w:rPr>
        <w:t>零售药店药学服务</w:t>
      </w:r>
      <w:r>
        <w:rPr>
          <w:rFonts w:hint="eastAsia" w:ascii="仿宋_GB2312" w:eastAsia="仿宋_GB2312" w:cs="仿宋"/>
          <w:color w:val="auto"/>
          <w:sz w:val="28"/>
          <w:szCs w:val="28"/>
        </w:rPr>
        <w:t>的实施与推广，具有可操作性和实用性。</w:t>
      </w:r>
    </w:p>
    <w:p w14:paraId="10217A12">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2、协调性原则</w:t>
      </w:r>
    </w:p>
    <w:p w14:paraId="38FFE9B2">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本文件编写过程中注意了与</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相关法律法规的协调问题，在内容上与现行法律法规、标准协调一致。</w:t>
      </w:r>
    </w:p>
    <w:p w14:paraId="276E29B0">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3、规范性原则</w:t>
      </w:r>
    </w:p>
    <w:p w14:paraId="212F126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本文件严格按照GB/T 1.1—2020《标准化工作导则  第1部分：标准化文件的结构和起草规则》编写本标准的内容，保证标准的编写质量。</w:t>
      </w:r>
    </w:p>
    <w:p w14:paraId="43021FBC">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4、前瞻性原则</w:t>
      </w:r>
    </w:p>
    <w:p w14:paraId="1AD6C48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本文件在兼顾当前区内</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现实情况的同时，还考虑到了</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的需要，在标准中体现了个别特色性、前瞻性和先进性条款，作为对</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发展的指导。</w:t>
      </w:r>
    </w:p>
    <w:p w14:paraId="7A1B5DB7">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（二）编制依据</w:t>
      </w:r>
    </w:p>
    <w:p w14:paraId="2BE3BA5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本标准严格按照GB/T 1.1—2020《标准化工作导则  第1部分：标准化文件的结构和起草规则》的规则起草，标准主要内容依据起草单位在</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研究应用过程中的实践经验确定。</w:t>
      </w:r>
    </w:p>
    <w:p w14:paraId="64ACBF6C">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（三）与现行法律、法规的关系，与有关国家标准、行业标准的协调情况</w:t>
      </w:r>
    </w:p>
    <w:p w14:paraId="0EC8997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本标准与相关法律法规、强制性标准协调一致，无冲突。</w:t>
      </w:r>
    </w:p>
    <w:p w14:paraId="51087878">
      <w:pPr>
        <w:adjustRightInd w:val="0"/>
        <w:snapToGrid w:val="0"/>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经查阅，目前国内与“零售药店 服务”相关标准有SB/T 10763-2012《零售药店经营服务规范》、DB31/T 713-2023《零售药店服务规范》以上标准虽涉及到药学服务，但是本标准针对药学服务进行了细化，如人员岗位配备的资质与队伍的建设、现场管理规章制度、OTC与处方药用药指导服务、常温和冷链药品配送服务规范、患者药历建档细则、患者用药跟踪监测、建立完善药物不良反应的监测管理、药学服务质量管理。</w:t>
      </w:r>
    </w:p>
    <w:p w14:paraId="78E487B5">
      <w:pPr>
        <w:adjustRightInd w:val="0"/>
        <w:snapToGrid w:val="0"/>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DB23/T 3366—2022《零售药店慢性病药品经营服务规范》、DB37/T 4396—2021《协议定点零售药店医疗保障服务规范》、DB3208/T 152-2021《“零售药店行业准营一件事”一次办服务规范》以上标准均是对零售药店经营管理服务进行规范，而本标准是对零售药店药学服务进行规范。</w:t>
      </w:r>
    </w:p>
    <w:p w14:paraId="4BE8A554">
      <w:pPr>
        <w:adjustRightInd w:val="0"/>
        <w:snapToGrid w:val="0"/>
        <w:spacing w:line="520" w:lineRule="exact"/>
        <w:ind w:firstLine="560" w:firstLineChars="200"/>
        <w:rPr>
          <w:rFonts w:hint="eastAsia"/>
          <w:color w:val="auto"/>
          <w:lang w:eastAsia="zh-CN"/>
        </w:rPr>
      </w:pPr>
      <w:r>
        <w:rPr>
          <w:rFonts w:hint="eastAsia" w:ascii="仿宋_GB2312" w:eastAsia="仿宋_GB2312"/>
          <w:color w:val="auto"/>
          <w:sz w:val="28"/>
          <w:szCs w:val="28"/>
          <w:lang w:eastAsia="zh-CN"/>
        </w:rPr>
        <w:t>T/CAPC 015—2024《零售药店经营甲状腺疾病治疗药品药学服务规范》、T/CAPC 011—2024《零售药店经营自体嵌合抗原受体T细胞(CAR-T)治疗药品服务规范》、T/CAPC 014—2023《零售药店经营银屑病治疗药品药学服务规范》、T/CAPC 013—2023《零售药店经营咳喘治疗药品药学服务规范》、T/CAPC 012—2023《零售药店经营糖尿病、高血压与血脂异常治疗药品药学服务规范》、T/CAPC 009—2022《零售药店经营乳腺癌治疗药品药学服务规范》、T/CAPC 008—2022《零售药店经营肺癌治疗药品药学服务规范》、T/CAPC 006—2022《零售药店经营辅助生殖治疗药品药学服务规范》、T/CAPC 005—2022《零售药店经营结直肠癌治疗药品药学服务规范》、T/CAPC 002—2020《零售药店经营慢性病药品服务规范》、T/CAPC 001—2020《零售药店经营特殊疾病药品服务规范》、T/DLYYXH 001-2017《零售药店服务规范》以上标准均是对零售药店服务或单一药品药学服务进行规范，而本标准是对零售药店全品类药品药学服务进行规范，当前未制定有团体标准《零售药店药学服务规范》。</w:t>
      </w:r>
      <w:r>
        <w:rPr>
          <w:rFonts w:hint="eastAsia" w:ascii="仿宋_GB2312" w:eastAsia="仿宋_GB2312" w:cs="仿宋"/>
          <w:bCs/>
          <w:color w:val="auto"/>
          <w:sz w:val="28"/>
          <w:szCs w:val="28"/>
          <w:lang w:val="en-US" w:eastAsia="zh-CN"/>
        </w:rPr>
        <w:t>。</w:t>
      </w:r>
    </w:p>
    <w:p w14:paraId="43BA97DC">
      <w:pPr>
        <w:spacing w:before="240" w:after="60" w:line="520" w:lineRule="exact"/>
        <w:ind w:firstLine="640" w:firstLineChars="200"/>
        <w:jc w:val="left"/>
        <w:outlineLvl w:val="0"/>
        <w:rPr>
          <w:rFonts w:hint="eastAsia" w:ascii="黑体" w:eastAsia="黑体"/>
          <w:bCs/>
          <w:color w:val="auto"/>
          <w:sz w:val="32"/>
          <w:szCs w:val="32"/>
        </w:rPr>
      </w:pPr>
      <w:r>
        <w:rPr>
          <w:rFonts w:hint="eastAsia" w:ascii="黑体" w:eastAsia="黑体"/>
          <w:bCs/>
          <w:color w:val="auto"/>
          <w:sz w:val="32"/>
          <w:szCs w:val="32"/>
        </w:rPr>
        <w:t>五、主要条款的说明</w:t>
      </w:r>
    </w:p>
    <w:p w14:paraId="4A771D42">
      <w:pPr>
        <w:pStyle w:val="29"/>
        <w:spacing w:line="520" w:lineRule="exact"/>
        <w:ind w:firstLine="562"/>
        <w:rPr>
          <w:rFonts w:hint="eastAsia" w:ascii="仿宋_GB2312" w:eastAsia="仿宋_GB2312" w:cs="仿宋"/>
          <w:bCs/>
          <w:color w:val="auto"/>
          <w:sz w:val="28"/>
          <w:szCs w:val="28"/>
        </w:rPr>
      </w:pPr>
      <w:r>
        <w:rPr>
          <w:rFonts w:hint="eastAsia" w:ascii="仿宋_GB2312" w:eastAsia="仿宋_GB2312" w:cs="仿宋"/>
          <w:b w:val="0"/>
          <w:bCs w:val="0"/>
          <w:color w:val="auto"/>
          <w:sz w:val="28"/>
          <w:szCs w:val="28"/>
        </w:rPr>
        <w:t>本文件界定了</w:t>
      </w:r>
      <w:r>
        <w:rPr>
          <w:rFonts w:hint="eastAsia" w:ascii="仿宋_GB2312" w:eastAsia="仿宋_GB2312" w:cs="仿宋"/>
          <w:b w:val="0"/>
          <w:bCs w:val="0"/>
          <w:color w:val="auto"/>
          <w:sz w:val="28"/>
          <w:szCs w:val="28"/>
          <w:lang w:val="en" w:eastAsia="zh-CN"/>
        </w:rPr>
        <w:t>零售药店药学服务</w:t>
      </w:r>
      <w:r>
        <w:rPr>
          <w:rFonts w:hint="eastAsia" w:ascii="仿宋_GB2312" w:eastAsia="仿宋_GB2312" w:cs="仿宋"/>
          <w:b w:val="0"/>
          <w:bCs w:val="0"/>
          <w:color w:val="auto"/>
          <w:sz w:val="28"/>
          <w:szCs w:val="28"/>
        </w:rPr>
        <w:t>涉及的术语和定义，规定了基本要求、服务内容、服务评价与改进的要求。本文件适用于医疗机构</w:t>
      </w:r>
      <w:r>
        <w:rPr>
          <w:rFonts w:hint="eastAsia" w:ascii="仿宋_GB2312" w:eastAsia="仿宋_GB2312" w:cs="仿宋"/>
          <w:b w:val="0"/>
          <w:bCs w:val="0"/>
          <w:color w:val="auto"/>
          <w:sz w:val="28"/>
          <w:szCs w:val="28"/>
          <w:lang w:val="en" w:eastAsia="zh-CN"/>
        </w:rPr>
        <w:t>零售药店药学服务</w:t>
      </w:r>
      <w:r>
        <w:rPr>
          <w:rFonts w:hint="eastAsia" w:ascii="仿宋_GB2312" w:eastAsia="仿宋_GB2312"/>
          <w:sz w:val="28"/>
          <w:szCs w:val="28"/>
          <w:lang w:eastAsia="zh-CN"/>
        </w:rPr>
        <w:t>。</w:t>
      </w:r>
    </w:p>
    <w:p w14:paraId="75F11B3F">
      <w:pPr>
        <w:pStyle w:val="29"/>
        <w:numPr>
          <w:ilvl w:val="0"/>
          <w:numId w:val="8"/>
        </w:numPr>
        <w:spacing w:line="520" w:lineRule="exact"/>
        <w:ind w:firstLine="0" w:firstLineChars="0"/>
        <w:rPr>
          <w:rFonts w:hint="eastAsia" w:ascii="仿宋_GB2312" w:eastAsia="仿宋_GB2312" w:cs="仿宋"/>
          <w:b/>
          <w:bCs/>
          <w:color w:val="auto"/>
          <w:sz w:val="28"/>
          <w:szCs w:val="28"/>
        </w:rPr>
      </w:pPr>
      <w:r>
        <w:rPr>
          <w:rFonts w:hint="eastAsia" w:ascii="仿宋_GB2312" w:eastAsia="仿宋_GB2312" w:cs="仿宋"/>
          <w:b/>
          <w:bCs/>
          <w:color w:val="auto"/>
          <w:sz w:val="28"/>
          <w:szCs w:val="28"/>
          <w:lang w:eastAsia="zh-CN"/>
        </w:rPr>
        <w:t>术语和定义</w:t>
      </w:r>
    </w:p>
    <w:p w14:paraId="21594B9C">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参考《处方管理办法》（卫生部令第53号）明确了处方的定义。</w:t>
      </w:r>
    </w:p>
    <w:p w14:paraId="1D230721">
      <w:pPr>
        <w:pStyle w:val="29"/>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420" w:firstLineChars="200"/>
        <w:textAlignment w:val="auto"/>
        <w:rPr>
          <w:rFonts w:hint="eastAsia" w:ascii="仿宋_GB2312" w:eastAsia="仿宋_GB2312" w:cs="仿宋"/>
          <w:b w:val="0"/>
          <w:bCs/>
          <w:color w:val="auto"/>
          <w:sz w:val="28"/>
          <w:szCs w:val="28"/>
          <w:lang w:val="en-US" w:eastAsia="zh-CN"/>
        </w:rPr>
      </w:pPr>
      <w:r>
        <w:drawing>
          <wp:inline distT="0" distB="0" distL="114300" distR="114300">
            <wp:extent cx="5676265" cy="2242185"/>
            <wp:effectExtent l="9525" t="9525" r="16510" b="215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676265" cy="2242185"/>
                    </a:xfrm>
                    <a:prstGeom prst="rect">
                      <a:avLst/>
                    </a:prstGeom>
                    <a:noFill/>
                    <a:ln>
                      <a:solidFill>
                        <a:schemeClr val="tx1"/>
                      </a:solidFill>
                    </a:ln>
                  </pic:spPr>
                </pic:pic>
              </a:graphicData>
            </a:graphic>
          </wp:inline>
        </w:drawing>
      </w:r>
    </w:p>
    <w:p w14:paraId="35BC66BE">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处方  prescription drug</w:t>
      </w:r>
    </w:p>
    <w:p w14:paraId="03F86639">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由注册的执业医师和执业助理医师在诊疗活动中为顾客开具的、由取得药学专业技术职务任职资格的药学专业技术人员审核、调配、核对，并作为顾客用药凭证的医疗文书。处方包括医疗机构病区用药医嘱单。</w:t>
      </w:r>
    </w:p>
    <w:p w14:paraId="1DA27501">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参考《执业药师职业资格制度规定》（国药监人〔2019〕12号）明确了执业药师的定义。</w:t>
      </w:r>
    </w:p>
    <w:p w14:paraId="256920BE">
      <w:pPr>
        <w:pStyle w:val="29"/>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420" w:firstLineChars="200"/>
        <w:textAlignment w:val="auto"/>
        <w:rPr>
          <w:rFonts w:hint="default" w:ascii="仿宋_GB2312" w:eastAsia="仿宋_GB2312" w:cs="仿宋"/>
          <w:b w:val="0"/>
          <w:bCs/>
          <w:color w:val="auto"/>
          <w:sz w:val="28"/>
          <w:szCs w:val="28"/>
          <w:lang w:val="en-US" w:eastAsia="zh-CN"/>
        </w:rPr>
      </w:pPr>
      <w:r>
        <w:drawing>
          <wp:inline distT="0" distB="0" distL="114300" distR="114300">
            <wp:extent cx="5674995" cy="844550"/>
            <wp:effectExtent l="9525" t="9525" r="1778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674995" cy="844550"/>
                    </a:xfrm>
                    <a:prstGeom prst="rect">
                      <a:avLst/>
                    </a:prstGeom>
                    <a:noFill/>
                    <a:ln>
                      <a:solidFill>
                        <a:schemeClr val="tx1"/>
                      </a:solidFill>
                    </a:ln>
                  </pic:spPr>
                </pic:pic>
              </a:graphicData>
            </a:graphic>
          </wp:inline>
        </w:drawing>
      </w:r>
    </w:p>
    <w:p w14:paraId="46211178">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执业药师  licensed Pharmacist</w:t>
      </w:r>
    </w:p>
    <w:p w14:paraId="77B44804">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经全国统一考试合格，取得《中华人民共和国执业药师职业资格证书》并经注册，在药品生产、经营、使用和其他需要提供药学服务的单位中执业的药学技术人员。</w:t>
      </w:r>
    </w:p>
    <w:p w14:paraId="67032DD5">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结合编制组经验要求及《药品经营质量管理规范》（国家药品监督管理局令第20号）等相关规定明确了药学技术人员、药学服务人员的定义。</w:t>
      </w:r>
    </w:p>
    <w:p w14:paraId="681504E6">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药学技术人员  pharmacist technician</w:t>
      </w:r>
    </w:p>
    <w:p w14:paraId="6EADB95E">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bCs w:val="0"/>
          <w:color w:val="auto"/>
          <w:sz w:val="28"/>
          <w:szCs w:val="28"/>
          <w:lang w:val="en-US" w:eastAsia="zh-CN"/>
        </w:rPr>
      </w:pPr>
      <w:r>
        <w:rPr>
          <w:rFonts w:hint="eastAsia" w:ascii="仿宋_GB2312" w:eastAsia="仿宋_GB2312" w:cs="仿宋"/>
          <w:b w:val="0"/>
          <w:bCs/>
          <w:color w:val="auto"/>
          <w:sz w:val="28"/>
          <w:szCs w:val="28"/>
          <w:lang w:val="en-US" w:eastAsia="zh-CN"/>
        </w:rPr>
        <w:t>执业药师和其他依法经过资格认定的药学技术人员。包括：（中）药士、（中）药师、主管（中）药师、副主任（中）药师、主任（中）药师。</w:t>
      </w:r>
    </w:p>
    <w:p w14:paraId="7291A5BE">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结合编制组经验要求及《药品经营质量管理规范》（国家药品监督管理局令第20号）等相关规定明确了药学技术人员的定义。</w:t>
      </w:r>
    </w:p>
    <w:p w14:paraId="39E421D0">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药学服务人员  pharmacy service personnel</w:t>
      </w:r>
    </w:p>
    <w:p w14:paraId="5CA99C8E">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bCs w:val="0"/>
          <w:color w:val="auto"/>
          <w:sz w:val="28"/>
          <w:szCs w:val="28"/>
          <w:lang w:val="en-US" w:eastAsia="zh-CN"/>
        </w:rPr>
      </w:pPr>
      <w:r>
        <w:rPr>
          <w:rFonts w:hint="eastAsia" w:ascii="仿宋_GB2312" w:eastAsia="仿宋_GB2312" w:cs="仿宋"/>
          <w:b w:val="0"/>
          <w:bCs/>
          <w:color w:val="auto"/>
          <w:sz w:val="28"/>
          <w:szCs w:val="28"/>
          <w:lang w:val="en-US" w:eastAsia="zh-CN"/>
        </w:rPr>
        <w:t>经过法律法规、药品专业知识与技能的岗前培训和继续培训，从事药品、医疗器械等医药商品采购、销售、验收等工作的医药商品购销员，包括药品购销人员、医疗器械购销人员、中药材及中药饮片购销人员、中药调剂人员等。</w:t>
      </w:r>
    </w:p>
    <w:p w14:paraId="5EBF2969">
      <w:pPr>
        <w:pStyle w:val="29"/>
        <w:numPr>
          <w:ilvl w:val="0"/>
          <w:numId w:val="8"/>
        </w:numPr>
        <w:spacing w:line="520" w:lineRule="exact"/>
        <w:ind w:firstLine="0" w:firstLineChars="0"/>
        <w:rPr>
          <w:rFonts w:hint="eastAsia" w:ascii="仿宋_GB2312" w:eastAsia="仿宋_GB2312" w:cs="仿宋"/>
          <w:b/>
          <w:bCs/>
          <w:color w:val="auto"/>
          <w:sz w:val="28"/>
          <w:szCs w:val="28"/>
        </w:rPr>
      </w:pPr>
      <w:r>
        <w:rPr>
          <w:rFonts w:hint="eastAsia" w:ascii="仿宋_GB2312" w:eastAsia="仿宋_GB2312" w:cs="仿宋"/>
          <w:b/>
          <w:bCs/>
          <w:color w:val="auto"/>
          <w:sz w:val="28"/>
          <w:szCs w:val="28"/>
          <w:lang w:val="en-US" w:eastAsia="zh-CN"/>
        </w:rPr>
        <w:t>基本要求</w:t>
      </w:r>
    </w:p>
    <w:p w14:paraId="2290F298">
      <w:pPr>
        <w:pStyle w:val="29"/>
        <w:numPr>
          <w:ilvl w:val="0"/>
          <w:numId w:val="9"/>
        </w:numPr>
        <w:spacing w:line="520" w:lineRule="exact"/>
        <w:ind w:left="0" w:leftChars="0" w:firstLine="562" w:firstLineChars="20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营业场所</w:t>
      </w:r>
    </w:p>
    <w:p w14:paraId="5A878C5F">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首先，要求场所符合SB/T 10763《零售药店经营服务规范》的通用规定，确保基础合规性。其特色与创新在于，强制要求设置清晰易辨的“药学服务标识”和相对独立的“药学服务区域”，旨在将专业的药学咨询、用药指导等服务从普通的商品销售中凸显出来，提升服务的专业性和可及性。同时，条款要求药店应为药学技术人员和顾客配备必要的医药学参考书籍，这为提供准确、有据可依的药学服务奠定了信息基础，体现了服务从“经验化”向“知识化”的转变。对于医保定点药店，要求设置医保咨询专属区域，是直接对接《医疗机构医疗保障定点管理暂行办法》等相关政策的具体体现，旨在规范医保服务行为。此外，条款对常温、阴凉、冷藏等不同药品储存区域的温湿度控制进行了细化规定，其技术参数严格遵循《中华人民共和国药典》（2020年版）通则0101中关于药品贮藏条件的基本要求，确保了药品在陈列环节的质量安全。</w:t>
      </w:r>
    </w:p>
    <w:p w14:paraId="0DEDE9B8">
      <w:pPr>
        <w:pStyle w:val="29"/>
        <w:spacing w:line="520" w:lineRule="exact"/>
        <w:ind w:left="0" w:leftChars="0" w:firstLine="562" w:firstLineChars="200"/>
        <w:rPr>
          <w:rFonts w:hint="default"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（2）服务设备</w:t>
      </w:r>
    </w:p>
    <w:p w14:paraId="323E7D91">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lang w:val="en-US" w:eastAsia="zh-CN"/>
        </w:rPr>
      </w:pPr>
      <w:r>
        <w:rPr>
          <w:rFonts w:hint="default" w:ascii="仿宋_GB2312" w:eastAsia="仿宋_GB2312" w:cs="仿宋"/>
          <w:b w:val="0"/>
          <w:bCs/>
          <w:color w:val="auto"/>
          <w:sz w:val="28"/>
          <w:szCs w:val="28"/>
          <w:lang w:val="en-US" w:eastAsia="zh-CN"/>
        </w:rPr>
        <w:t>对服务设备的要求，核心在于确保药学服务在准确、安全、可追溯的条件下进行。条款在遵循SB/T 10763通用要求的基础上，重点强调了与药学服务专业性和药品质量安全性直接相关的关键设备配置。首先，要求营业场所必须配备监测与调控温度的设备，对不同储存条件的药品（如常温、阴凉、冷藏）进行实时监控，这直接体现了对《药品经营质量管理规范》中关于设备设施必须与药品储存要求相适应的落实，是保障药品质量安全的生命线。其次，针对中药饮片经营、药品拆零销售等特定服务，条款详细规定了需配备斗柜、戥秤、药勺、消毒用具等专用工具，这不仅是对GSP相关操作规范的具体化，更是为了确保调剂过程的准确性、避免交叉污染，保障患者用药安全。尤为重要的是，条款明确要求计算机系统不仅要满足经营需要，更必须符合药品追溯的要求，这与《中华人民共和国药品管理法》中确立的药品追溯制度，以及国家药监局关于药品信息化追溯体系建设的系列指南文件紧密衔接，是实现药品全流程可追溯、提升监管效率和风险管理能力的重要技术支撑。</w:t>
      </w:r>
    </w:p>
    <w:p w14:paraId="28DC3096">
      <w:pPr>
        <w:pStyle w:val="29"/>
        <w:spacing w:line="520" w:lineRule="exact"/>
        <w:ind w:left="0" w:leftChars="0" w:firstLine="562" w:firstLineChars="200"/>
        <w:rPr>
          <w:rFonts w:hint="default"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（3）安全设施</w:t>
      </w:r>
    </w:p>
    <w:p w14:paraId="200E2528">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lang w:val="en-US" w:eastAsia="zh-CN"/>
        </w:rPr>
      </w:pPr>
      <w:r>
        <w:rPr>
          <w:rFonts w:hint="default" w:ascii="仿宋_GB2312" w:eastAsia="仿宋_GB2312" w:cs="仿宋"/>
          <w:b w:val="0"/>
          <w:bCs/>
          <w:color w:val="auto"/>
          <w:sz w:val="28"/>
          <w:szCs w:val="28"/>
          <w:lang w:val="en-US" w:eastAsia="zh-CN"/>
        </w:rPr>
        <w:t>避光、防虫、防鼠等措施源于《药品经营质量管理规范》第四十九条关于药品储存环境必须安全、无污染源的基本要求，是防止药品变质、污染，保证药品质量的直接物理屏障。对消防设施、器材、消防安全标志的配置与定期检验要求，以及保持安全通道畅通，严格遵守《中华人民共和国消防法》第十六条关于单位履行消防安全职责的强制性规定，旨在有效预防和应对火灾事故，保障人身安全。此外，条款特别提到在湿滑天气放置防滑标识牌，这一细节性要求体现了标准对消费者，特别是老年群体等特殊顾客人身安全的人性化关怀。</w:t>
      </w:r>
    </w:p>
    <w:p w14:paraId="5FE8FB2A">
      <w:pPr>
        <w:pStyle w:val="29"/>
        <w:spacing w:line="520" w:lineRule="exact"/>
        <w:ind w:left="0" w:leftChars="0" w:firstLine="562" w:firstLineChars="200"/>
        <w:rPr>
          <w:rFonts w:hint="default"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（4）商品陈列</w:t>
      </w:r>
    </w:p>
    <w:p w14:paraId="08A0D215">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lang w:val="en-US" w:eastAsia="zh-CN"/>
        </w:rPr>
      </w:pPr>
      <w:r>
        <w:rPr>
          <w:rFonts w:hint="default" w:ascii="仿宋_GB2312" w:eastAsia="仿宋_GB2312" w:cs="仿宋"/>
          <w:b w:val="0"/>
          <w:bCs/>
          <w:color w:val="auto"/>
          <w:sz w:val="28"/>
          <w:szCs w:val="28"/>
          <w:lang w:val="en-US" w:eastAsia="zh-CN"/>
        </w:rPr>
        <w:t>通过科学、规范的陈列管理，保障药品质量、引导合理用药、防止销售差错。条款要求药品必须按剂型、用途及储存要求分类陈列，并与非药品区域明显隔离，这直接遵循了《药品经营质量管理规范》第一百六十一条关于药品陈列管理的原则，是保证药品在零售环节质量稳定的基本要求。其关键创新在于明确禁止处方药和含特殊药品复方制剂开架自选，并强调外用药分开摆放，这一规定严格对标《药品流通监督管理办法》第十八条，旨在有效控制用药风险，防止消费者自我药疗不当，是保障公众用药安全的关键措施。同时，对拆零药品、冷藏药品设立专柜或专区的规定，进一步细化了GSP中的相关要求，确保了特殊类别药品的陈列安全与操作规范。</w:t>
      </w:r>
    </w:p>
    <w:p w14:paraId="0FCE2A45">
      <w:pPr>
        <w:pStyle w:val="29"/>
        <w:spacing w:line="520" w:lineRule="exact"/>
        <w:ind w:left="0" w:leftChars="0" w:firstLine="562" w:firstLineChars="200"/>
        <w:rPr>
          <w:rFonts w:hint="default"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（5）人员要求</w:t>
      </w:r>
    </w:p>
    <w:p w14:paraId="60E504C3">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lang w:val="en-US" w:eastAsia="zh-CN"/>
        </w:rPr>
      </w:pPr>
      <w:r>
        <w:rPr>
          <w:rFonts w:hint="default" w:ascii="仿宋_GB2312" w:eastAsia="仿宋_GB2312" w:cs="仿宋"/>
          <w:b w:val="0"/>
          <w:bCs/>
          <w:color w:val="auto"/>
          <w:sz w:val="28"/>
          <w:szCs w:val="28"/>
          <w:lang w:val="en-US" w:eastAsia="zh-CN"/>
        </w:rPr>
        <w:t>明确零售药店须根据经营规模配备执业药师、药学技术人员及药学服务人员，且所有岗位人员必须持证上岗，其数量、资质应符合《药品经营质量管理规范》第四章“人员与培训”的全部规定。这确保了提供药学服务的主体具备法定资格和专业能力。更重要的是，条款强调了人员需遵守国家法律法规、道德准则和执业职责，这不仅是《执业药师职业资格制度规定》中执业药师职业道德准则的体现，也是提升整个行业服务水准和社会公信力的基础。</w:t>
      </w:r>
    </w:p>
    <w:p w14:paraId="4BC77A0B">
      <w:pPr>
        <w:pStyle w:val="29"/>
        <w:numPr>
          <w:ilvl w:val="0"/>
          <w:numId w:val="10"/>
        </w:numPr>
        <w:spacing w:line="520" w:lineRule="exact"/>
        <w:ind w:left="0" w:leftChars="0" w:firstLine="0" w:firstLineChars="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服务内容</w:t>
      </w:r>
    </w:p>
    <w:p w14:paraId="2F1FCF32">
      <w:pPr>
        <w:pStyle w:val="29"/>
        <w:numPr>
          <w:ilvl w:val="0"/>
          <w:numId w:val="11"/>
        </w:numPr>
        <w:spacing w:line="520" w:lineRule="exact"/>
        <w:ind w:left="0" w:leftChars="0" w:firstLine="562" w:firstLineChars="200"/>
        <w:rPr>
          <w:rFonts w:hint="eastAsia" w:ascii="仿宋_GB2312" w:eastAsia="仿宋_GB2312"/>
          <w:b/>
          <w:bCs/>
          <w:sz w:val="28"/>
          <w:szCs w:val="28"/>
          <w:lang w:val="en-US" w:eastAsia="zh-CN"/>
        </w:rPr>
      </w:pPr>
      <w:r>
        <w:rPr>
          <w:rFonts w:hint="eastAsia" w:ascii="仿宋_GB2312" w:eastAsia="仿宋_GB2312"/>
          <w:b/>
          <w:bCs/>
          <w:sz w:val="28"/>
          <w:szCs w:val="28"/>
          <w:lang w:val="en-US" w:eastAsia="zh-CN"/>
        </w:rPr>
        <w:t>顾客接待</w:t>
      </w:r>
    </w:p>
    <w:p w14:paraId="5A8AC90B">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lang w:val="en-US" w:eastAsia="zh-CN"/>
        </w:rPr>
      </w:pPr>
      <w:r>
        <w:rPr>
          <w:rFonts w:hint="default" w:ascii="仿宋_GB2312" w:eastAsia="仿宋_GB2312" w:cs="仿宋"/>
          <w:b w:val="0"/>
          <w:bCs/>
          <w:color w:val="auto"/>
          <w:sz w:val="28"/>
          <w:szCs w:val="28"/>
          <w:lang w:val="en-US" w:eastAsia="zh-CN"/>
        </w:rPr>
        <w:t>主动问候与需求了解</w:t>
      </w:r>
      <w:r>
        <w:rPr>
          <w:rFonts w:hint="eastAsia" w:ascii="仿宋_GB2312" w:eastAsia="仿宋_GB2312" w:cs="仿宋"/>
          <w:b w:val="0"/>
          <w:bCs/>
          <w:color w:val="auto"/>
          <w:sz w:val="28"/>
          <w:szCs w:val="28"/>
          <w:lang w:val="en-US" w:eastAsia="zh-CN"/>
        </w:rPr>
        <w:t>是</w:t>
      </w:r>
      <w:r>
        <w:rPr>
          <w:rFonts w:hint="default" w:ascii="仿宋_GB2312" w:eastAsia="仿宋_GB2312" w:cs="仿宋"/>
          <w:b w:val="0"/>
          <w:bCs/>
          <w:color w:val="auto"/>
          <w:sz w:val="28"/>
          <w:szCs w:val="28"/>
          <w:lang w:val="en-US" w:eastAsia="zh-CN"/>
        </w:rPr>
        <w:t>执行《药品管理法》中“药品零售企业应当凭处方销售处方药”规定的前提。通过询问症状、用药史、过敏史等，服务人员可初步判断顾客需求的合理性，为后续区分乙类非处方药、甲类非处方药和处方药的销售与服务奠定基础，是实现安全用药的第一道关口。</w:t>
      </w:r>
    </w:p>
    <w:p w14:paraId="4D9877CD">
      <w:pPr>
        <w:pStyle w:val="29"/>
        <w:numPr>
          <w:ilvl w:val="0"/>
          <w:numId w:val="12"/>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处方审核</w:t>
      </w:r>
    </w:p>
    <w:p w14:paraId="3B3B5762">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本条款是</w:t>
      </w:r>
      <w:r>
        <w:rPr>
          <w:rFonts w:hint="default" w:ascii="仿宋_GB2312" w:eastAsia="仿宋_GB2312" w:cs="仿宋"/>
          <w:b w:val="0"/>
          <w:bCs/>
          <w:color w:val="auto"/>
          <w:sz w:val="28"/>
          <w:szCs w:val="28"/>
          <w:lang w:val="en-US" w:eastAsia="zh-CN"/>
        </w:rPr>
        <w:t>对《处方管理办法》第三十五条、第三十六条和第三十七条的细化与落地</w:t>
      </w:r>
      <w:r>
        <w:rPr>
          <w:rFonts w:hint="eastAsia" w:ascii="仿宋_GB2312" w:eastAsia="仿宋_GB2312" w:cs="仿宋"/>
          <w:b w:val="0"/>
          <w:bCs/>
          <w:color w:val="auto"/>
          <w:sz w:val="28"/>
          <w:szCs w:val="28"/>
          <w:lang w:val="en-US" w:eastAsia="zh-CN"/>
        </w:rPr>
        <w:t>，</w:t>
      </w:r>
      <w:r>
        <w:rPr>
          <w:rFonts w:hint="default" w:ascii="仿宋_GB2312" w:eastAsia="仿宋_GB2312" w:cs="仿宋"/>
          <w:b w:val="0"/>
          <w:bCs/>
          <w:color w:val="auto"/>
          <w:sz w:val="28"/>
          <w:szCs w:val="28"/>
          <w:lang w:val="en-US" w:eastAsia="zh-CN"/>
        </w:rPr>
        <w:t>严格规定处方审核必须由在岗执业药师执行，并明确遵循“四查十对”原则</w:t>
      </w:r>
      <w:r>
        <w:rPr>
          <w:rFonts w:hint="eastAsia" w:ascii="仿宋_GB2312" w:eastAsia="仿宋_GB2312" w:cs="仿宋"/>
          <w:b w:val="0"/>
          <w:bCs/>
          <w:color w:val="auto"/>
          <w:sz w:val="28"/>
          <w:szCs w:val="28"/>
          <w:lang w:val="en-US" w:eastAsia="zh-CN"/>
        </w:rPr>
        <w:t>，明确了审核主体的资格，将医疗机构内通用的药学专业技术操作规范强制应用于零售终端，确保了对处方合法性、规范性、适宜性的专业判断，是防范用药错误、保障医疗安全</w:t>
      </w:r>
    </w:p>
    <w:p w14:paraId="2B1DFD83">
      <w:pPr>
        <w:pStyle w:val="29"/>
        <w:numPr>
          <w:ilvl w:val="0"/>
          <w:numId w:val="12"/>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处方调配</w:t>
      </w:r>
    </w:p>
    <w:p w14:paraId="17D1647B">
      <w:pPr>
        <w:pStyle w:val="29"/>
        <w:spacing w:line="520" w:lineRule="exact"/>
        <w:ind w:left="0" w:leftChars="0" w:firstLine="560" w:firstLineChars="200"/>
        <w:rPr>
          <w:rFonts w:hint="eastAsia" w:ascii="仿宋_GB2312" w:eastAsia="仿宋_GB2312" w:cs="仿宋"/>
          <w:b w:val="0"/>
          <w:bCs/>
          <w:color w:val="auto"/>
          <w:sz w:val="28"/>
          <w:szCs w:val="28"/>
          <w:highlight w:val="none"/>
          <w:lang w:val="en-US" w:eastAsia="zh-CN" w:bidi="ar-SA"/>
        </w:rPr>
      </w:pPr>
      <w:r>
        <w:rPr>
          <w:rFonts w:hint="eastAsia" w:ascii="仿宋_GB2312" w:eastAsia="仿宋_GB2312" w:cs="仿宋"/>
          <w:b w:val="0"/>
          <w:bCs/>
          <w:color w:val="auto"/>
          <w:sz w:val="28"/>
          <w:szCs w:val="28"/>
          <w:highlight w:val="none"/>
          <w:lang w:val="en-US" w:eastAsia="zh-CN" w:bidi="ar-SA"/>
        </w:rPr>
        <w:t>规定了处方调配的操作规程与核对程序。要求调配后需经另一名药学服务人员或审核药师核对，并规范书写药袋、签名留样。这一“双核对”机制是对《药品经营质量管理规范》第一百七十一条关于“处方经审核后方可调配”、“调配人、核对人应当签字或者盖章”要求的具体化和强化，旨在通过流程控制最大程度降低调配差错率，保证发给顾客的药品与处方完全一致。</w:t>
      </w:r>
    </w:p>
    <w:p w14:paraId="490314BE">
      <w:pPr>
        <w:pStyle w:val="29"/>
        <w:numPr>
          <w:ilvl w:val="0"/>
          <w:numId w:val="12"/>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药品经济性指导</w:t>
      </w:r>
    </w:p>
    <w:p w14:paraId="06AB8A33">
      <w:pPr>
        <w:pStyle w:val="29"/>
        <w:spacing w:line="520" w:lineRule="exact"/>
        <w:ind w:left="0" w:leftChars="0"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关注支付环节的准确性与透明度。要求提供多种支付方式，准确收找现金，规范开具销售凭证。这些规定体现了《中华人民共和国消费者权益保护法》第二十二条关于经营者提供购货凭证的义务，以及保障消费者知情权、公平交易权的核心精神，是构建诚信经营环境的基础。</w:t>
      </w:r>
    </w:p>
    <w:p w14:paraId="1BDA43C2">
      <w:pPr>
        <w:pStyle w:val="29"/>
        <w:numPr>
          <w:ilvl w:val="0"/>
          <w:numId w:val="12"/>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药品发放</w:t>
      </w:r>
    </w:p>
    <w:p w14:paraId="2DABC8B6">
      <w:pPr>
        <w:pStyle w:val="29"/>
        <w:spacing w:line="520" w:lineRule="exact"/>
        <w:ind w:left="0" w:leftChars="0"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根据《药品管理法》第五十八条规定的法定义务，要求药师或执业药师在发放药品时，必须向顾客清晰说明用法用量、注意事项等关键信息。确保了顾客能够正确、安全地使用药品，将专业的药学知识转化为顾客可执行的用药行动。</w:t>
      </w:r>
    </w:p>
    <w:p w14:paraId="45E440B9">
      <w:pPr>
        <w:pStyle w:val="29"/>
        <w:numPr>
          <w:ilvl w:val="0"/>
          <w:numId w:val="12"/>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健康教育</w:t>
      </w:r>
    </w:p>
    <w:p w14:paraId="6F359AA4">
      <w:pPr>
        <w:pStyle w:val="29"/>
        <w:spacing w:line="520" w:lineRule="exact"/>
        <w:ind w:left="0" w:leftChars="0"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本标准根据《“健康中国2030”规划纲要》中“提升全民健康素养”的号召，鼓励药店超越简单的用药指导，开展系统化、多样化的健康教育活动。推动药店角色从药品供应商向社区健康促进点转变，通过知识普及助力疾病预防和健康管理。</w:t>
      </w:r>
    </w:p>
    <w:p w14:paraId="652E984D">
      <w:pPr>
        <w:pStyle w:val="29"/>
        <w:numPr>
          <w:ilvl w:val="0"/>
          <w:numId w:val="12"/>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慢性病管理服务</w:t>
      </w:r>
    </w:p>
    <w:p w14:paraId="4D57B1A5">
      <w:pPr>
        <w:pStyle w:val="29"/>
        <w:spacing w:line="520" w:lineRule="exact"/>
        <w:ind w:left="0" w:leftChars="0"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借鉴并融合了国家药监局执业药师资格认证中心发布的《药品零售企业执业药师药学服务指南》中关于慢病管理的先进理念，明确了要求为慢病患者建立档案、定期回访、提供个体化干预。</w:t>
      </w:r>
    </w:p>
    <w:p w14:paraId="5776E0EF">
      <w:pPr>
        <w:pStyle w:val="29"/>
        <w:numPr>
          <w:ilvl w:val="0"/>
          <w:numId w:val="12"/>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不良反应上报</w:t>
      </w:r>
    </w:p>
    <w:p w14:paraId="138A0CD8">
      <w:pPr>
        <w:pStyle w:val="29"/>
        <w:spacing w:line="520" w:lineRule="exact"/>
        <w:ind w:left="0" w:leftChars="0"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明确了零售药店在药物警戒体系中的责任。要求依法及时报告不良反应，并建立监测档案。这是贯彻落实《药品不良反应报告和监测管理办法》第二十一条等规定的具体体现，将零售药店纳入国家药品安全监测网络，为上市后药品安全性再评价提供了重要数据来源。</w:t>
      </w:r>
    </w:p>
    <w:p w14:paraId="63916133">
      <w:pPr>
        <w:pStyle w:val="29"/>
        <w:numPr>
          <w:ilvl w:val="0"/>
          <w:numId w:val="12"/>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便民服务</w:t>
      </w:r>
    </w:p>
    <w:p w14:paraId="51A0AE3B">
      <w:pPr>
        <w:pStyle w:val="29"/>
        <w:spacing w:line="520" w:lineRule="exact"/>
        <w:ind w:left="0" w:leftChars="0"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鼓励药店拓展服务外延，如血压监测、过期药品回收等。这些举措不仅提升了顾客满意度，更体现了企业的社会责任，符合国家鼓励社会力量参与健康服务的政策方向。其中，过期药品回收更是对《国家危险废物名录》管理的具体配合，有助于保护环境和公共安全。</w:t>
      </w:r>
    </w:p>
    <w:p w14:paraId="089E6EB9">
      <w:pPr>
        <w:pStyle w:val="29"/>
        <w:numPr>
          <w:ilvl w:val="0"/>
          <w:numId w:val="10"/>
        </w:numPr>
        <w:spacing w:line="520" w:lineRule="exact"/>
        <w:ind w:left="0" w:leftChars="0" w:firstLine="0" w:firstLineChars="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服务评价与改进</w:t>
      </w:r>
    </w:p>
    <w:p w14:paraId="3BF92062">
      <w:pPr>
        <w:pStyle w:val="29"/>
        <w:spacing w:line="520" w:lineRule="exact"/>
        <w:ind w:left="0" w:leftChars="0"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明确了要求药店建立常态化的顾客意见收集、投诉处理与定期回访机制，旨在将被动接受反馈转化为主动服务改进。附录A提供的《零售药店服务满意度评分表》，将药学服务场所、顾客接待、药品审核调配、健康教育、慢性病管理、便民服务等六大关键环节量化为可评估的指标，形成了总分100分的标准化评价体系。为药店开展自我评估与内部质量审核提供了明确依据，更与《中华人民共和国消费者权益保护法》第十七条关于经营者听取意见接受监督的义务相呼应，同时符合GB/T 19001《质量管理体系要求》中“持续改进”的核心原则。</w:t>
      </w:r>
    </w:p>
    <w:p w14:paraId="62BFE303">
      <w:pPr>
        <w:pStyle w:val="31"/>
        <w:numPr>
          <w:ilvl w:val="0"/>
          <w:numId w:val="0"/>
        </w:numPr>
        <w:spacing w:beforeLines="0" w:afterLines="0" w:line="360" w:lineRule="auto"/>
        <w:rPr>
          <w:rFonts w:hint="eastAsia"/>
          <w:bCs/>
          <w:color w:val="auto"/>
          <w:sz w:val="32"/>
          <w:szCs w:val="32"/>
        </w:rPr>
      </w:pPr>
      <w:r>
        <w:rPr>
          <w:rFonts w:hint="eastAsia"/>
          <w:b/>
          <w:bCs/>
          <w:color w:val="auto"/>
          <w:sz w:val="32"/>
          <w:szCs w:val="32"/>
        </w:rPr>
        <w:t>六</w:t>
      </w:r>
      <w:r>
        <w:rPr>
          <w:rFonts w:hint="eastAsia"/>
          <w:bCs/>
          <w:color w:val="auto"/>
          <w:sz w:val="32"/>
          <w:szCs w:val="32"/>
        </w:rPr>
        <w:t>、</w:t>
      </w:r>
      <w:r>
        <w:rPr>
          <w:rFonts w:hint="eastAsia"/>
          <w:color w:val="auto"/>
          <w:sz w:val="32"/>
          <w:szCs w:val="32"/>
        </w:rPr>
        <w:t>重大意见分歧的处理依据和结果</w:t>
      </w:r>
    </w:p>
    <w:p w14:paraId="2ECDC1D8">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本标准研制过程中无重大分歧意见。</w:t>
      </w:r>
    </w:p>
    <w:p w14:paraId="110E29A1">
      <w:pPr>
        <w:autoSpaceDE w:val="0"/>
        <w:autoSpaceDN w:val="0"/>
        <w:adjustRightInd w:val="0"/>
        <w:spacing w:before="156" w:beforeLines="50" w:after="156" w:afterLines="50" w:line="520" w:lineRule="exact"/>
        <w:ind w:firstLine="640" w:firstLineChars="200"/>
        <w:outlineLvl w:val="0"/>
        <w:rPr>
          <w:rFonts w:eastAsia="黑体"/>
          <w:color w:val="auto"/>
          <w:sz w:val="32"/>
          <w:szCs w:val="32"/>
        </w:rPr>
      </w:pPr>
      <w:r>
        <w:rPr>
          <w:rFonts w:hint="eastAsia" w:ascii="黑体" w:eastAsia="黑体"/>
          <w:bCs/>
          <w:color w:val="auto"/>
          <w:sz w:val="32"/>
          <w:szCs w:val="32"/>
        </w:rPr>
        <w:t>七、</w:t>
      </w:r>
      <w:r>
        <w:rPr>
          <w:rFonts w:hint="eastAsia" w:eastAsia="黑体"/>
          <w:color w:val="auto"/>
          <w:sz w:val="32"/>
          <w:szCs w:val="32"/>
        </w:rPr>
        <w:t>实施标准的措施</w:t>
      </w:r>
    </w:p>
    <w:p w14:paraId="576581C1">
      <w:pPr>
        <w:spacing w:line="50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（一）标准报批发布后，成立标准宣贯工作组</w:t>
      </w:r>
    </w:p>
    <w:p w14:paraId="0CF00144">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9C2AE6E">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（二）组织开展标准宣贯培训</w:t>
      </w:r>
    </w:p>
    <w:p w14:paraId="1154BC2D">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发布实施后，标准宣贯工作小组制作标准解读宣贯培训PPT课件和标准核心技术明白书，并按标准宣贯培训计划深入各市县医疗机构，对医师和医护人员开展标准宣贯培训，对标准进行逐条解读，让医师和医护人员掌握标准核心技术内容，助力标准实施落地，推动广西中医技术高质量发展。</w:t>
      </w:r>
    </w:p>
    <w:p w14:paraId="087A8FE3">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（三）开展标准实施交流会，收集标准实施反馈信息</w:t>
      </w:r>
    </w:p>
    <w:p w14:paraId="0A2365C8">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标准起草小组深入各市县医疗机构组织医师和医护人员召开标准实施交流会，听取标准实施过程中存在的问题并做好记录和解答，对存在的问题组织专家团队进行研讨，为标准的复审修订做准备。</w:t>
      </w:r>
    </w:p>
    <w:p w14:paraId="4EF7045C">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（四）开展标准实施效果评估</w:t>
      </w:r>
    </w:p>
    <w:p w14:paraId="4B8C7BD5">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051074EA">
      <w:pPr>
        <w:spacing w:before="240" w:after="60" w:line="520" w:lineRule="exact"/>
        <w:ind w:firstLine="640" w:firstLineChars="200"/>
        <w:outlineLvl w:val="0"/>
        <w:rPr>
          <w:rFonts w:hint="eastAsia" w:ascii="黑体" w:eastAsia="黑体"/>
          <w:bCs/>
          <w:color w:val="auto"/>
          <w:sz w:val="32"/>
          <w:szCs w:val="32"/>
        </w:rPr>
      </w:pPr>
      <w:r>
        <w:rPr>
          <w:rFonts w:hint="eastAsia" w:ascii="黑体" w:eastAsia="黑体"/>
          <w:bCs/>
          <w:color w:val="auto"/>
          <w:sz w:val="32"/>
          <w:szCs w:val="32"/>
        </w:rPr>
        <w:t>八、其他应当说明的事项</w:t>
      </w:r>
    </w:p>
    <w:p w14:paraId="4B44292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无。</w:t>
      </w:r>
    </w:p>
    <w:p w14:paraId="3FA46A38">
      <w:pPr>
        <w:autoSpaceDE w:val="0"/>
        <w:autoSpaceDN w:val="0"/>
        <w:adjustRightInd w:val="0"/>
        <w:spacing w:before="156" w:beforeLines="50" w:after="156" w:afterLines="50" w:line="520" w:lineRule="exact"/>
        <w:ind w:firstLine="640"/>
        <w:outlineLvl w:val="0"/>
        <w:rPr>
          <w:rFonts w:hint="eastAsia" w:eastAsia="黑体"/>
          <w:color w:val="auto"/>
          <w:sz w:val="32"/>
          <w:szCs w:val="32"/>
        </w:rPr>
      </w:pPr>
      <w:r>
        <w:rPr>
          <w:rFonts w:hint="eastAsia" w:eastAsia="黑体"/>
          <w:color w:val="auto"/>
          <w:sz w:val="32"/>
          <w:szCs w:val="32"/>
        </w:rPr>
        <w:t>九、自我承诺</w:t>
      </w:r>
    </w:p>
    <w:p w14:paraId="01E4203C">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该标准的内容符合国家相关法律法规，技术要求不低于强制性国家标准的相关技术要求，与相关的国家、行业推荐性标准协调一致，标准的编写符合GB/T 1.1-2020的要求。</w:t>
      </w:r>
    </w:p>
    <w:p w14:paraId="1500C9E6">
      <w:pPr>
        <w:pStyle w:val="22"/>
        <w:rPr>
          <w:rFonts w:hint="eastAsia" w:ascii="仿宋_GB2312" w:eastAsia="仿宋_GB2312"/>
          <w:color w:val="auto"/>
          <w:sz w:val="28"/>
          <w:szCs w:val="28"/>
        </w:rPr>
      </w:pPr>
    </w:p>
    <w:p w14:paraId="7A675FCC">
      <w:pPr>
        <w:pStyle w:val="22"/>
        <w:rPr>
          <w:rFonts w:hint="eastAsia" w:ascii="仿宋_GB2312" w:eastAsia="仿宋_GB2312"/>
          <w:color w:val="auto"/>
          <w:sz w:val="28"/>
          <w:szCs w:val="28"/>
        </w:rPr>
      </w:pPr>
    </w:p>
    <w:p w14:paraId="523D1AB1">
      <w:pPr>
        <w:pStyle w:val="22"/>
        <w:rPr>
          <w:rFonts w:hint="eastAsia" w:ascii="仿宋_GB2312" w:eastAsia="仿宋_GB2312"/>
          <w:color w:val="auto"/>
          <w:sz w:val="28"/>
          <w:szCs w:val="28"/>
        </w:rPr>
      </w:pPr>
    </w:p>
    <w:p w14:paraId="67359EE9">
      <w:pPr>
        <w:spacing w:before="240" w:after="60" w:line="520" w:lineRule="exact"/>
        <w:jc w:val="right"/>
        <w:outlineLvl w:val="0"/>
        <w:rPr>
          <w:rFonts w:hint="eastAsia" w:ascii="仿宋_GB2312" w:eastAsia="仿宋_GB2312"/>
          <w:color w:val="auto"/>
          <w:sz w:val="28"/>
          <w:szCs w:val="28"/>
        </w:rPr>
      </w:pPr>
      <w:r>
        <w:rPr>
          <w:rFonts w:hint="eastAsia" w:ascii="仿宋_GB2312" w:eastAsia="仿宋_GB2312"/>
          <w:color w:val="auto"/>
          <w:sz w:val="28"/>
          <w:szCs w:val="28"/>
          <w:lang w:val="en-US" w:eastAsia="zh-CN"/>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零售药店药学服务规范</w:t>
      </w:r>
      <w:r>
        <w:rPr>
          <w:rFonts w:hint="eastAsia" w:ascii="仿宋_GB2312" w:eastAsia="仿宋_GB2312"/>
          <w:color w:val="auto"/>
          <w:sz w:val="28"/>
          <w:szCs w:val="28"/>
        </w:rPr>
        <w:t>》</w:t>
      </w:r>
    </w:p>
    <w:p w14:paraId="22E9AA6C">
      <w:pPr>
        <w:spacing w:line="520" w:lineRule="exact"/>
        <w:ind w:right="1120"/>
        <w:jc w:val="center"/>
        <w:rPr>
          <w:rFonts w:hint="eastAsia" w:ascii="仿宋_GB2312" w:eastAsia="仿宋_GB2312"/>
          <w:color w:val="auto"/>
          <w:sz w:val="28"/>
          <w:szCs w:val="28"/>
        </w:rPr>
      </w:pPr>
      <w:r>
        <w:rPr>
          <w:rFonts w:hint="eastAsia" w:ascii="仿宋_GB2312" w:eastAsia="仿宋_GB2312"/>
          <w:color w:val="auto"/>
          <w:sz w:val="28"/>
          <w:szCs w:val="28"/>
        </w:rPr>
        <w:t xml:space="preserve">                                  标准编制工作组</w:t>
      </w:r>
    </w:p>
    <w:p w14:paraId="7B9D4B9B">
      <w:pPr>
        <w:spacing w:line="520" w:lineRule="exact"/>
        <w:ind w:firstLine="640" w:firstLineChars="200"/>
        <w:rPr>
          <w:rFonts w:hint="eastAsia" w:ascii="仿宋_GB2312" w:eastAsia="仿宋_GB2312"/>
          <w:color w:val="auto"/>
          <w:sz w:val="28"/>
          <w:szCs w:val="28"/>
        </w:rPr>
      </w:pPr>
      <w:r>
        <w:rPr>
          <w:rFonts w:hint="eastAsia" w:ascii="仿宋_GB2312" w:eastAsia="仿宋_GB2312"/>
          <w:color w:val="auto"/>
          <w:sz w:val="32"/>
          <w:szCs w:val="28"/>
        </w:rPr>
        <w:t xml:space="preserve">                             </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9</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20</w:t>
      </w:r>
      <w:r>
        <w:rPr>
          <w:rFonts w:hint="eastAsia" w:ascii="仿宋_GB2312" w:eastAsia="仿宋_GB2312"/>
          <w:color w:val="auto"/>
          <w:sz w:val="28"/>
          <w:szCs w:val="28"/>
        </w:rPr>
        <w:t>日</w:t>
      </w:r>
    </w:p>
    <w:sectPr>
      <w:footerReference r:id="rId3"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DF658D8-B770-4694-A0B4-105E5419809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embedRegular r:id="rId2" w:fontKey="{0B126A3B-79D3-4B54-B93F-2CADEEA0C2D8}"/>
  </w:font>
  <w:font w:name="仿宋_GB2312">
    <w:panose1 w:val="02010609030101010101"/>
    <w:charset w:val="86"/>
    <w:family w:val="modern"/>
    <w:pitch w:val="default"/>
    <w:sig w:usb0="00000001" w:usb1="080E0000" w:usb2="00000000" w:usb3="00000000" w:csb0="00040000" w:csb1="00000000"/>
    <w:embedRegular r:id="rId3" w:fontKey="{3B34640B-AAE1-4D6A-817B-ED0D4C0CD8C8}"/>
  </w:font>
  <w:font w:name="仿宋">
    <w:panose1 w:val="02010609060101010101"/>
    <w:charset w:val="86"/>
    <w:family w:val="modern"/>
    <w:pitch w:val="default"/>
    <w:sig w:usb0="800002BF" w:usb1="38CF7CFA" w:usb2="00000016" w:usb3="00000000" w:csb0="00040001" w:csb1="00000000"/>
    <w:embedRegular r:id="rId4" w:fontKey="{59F7026C-C07C-4B01-BCFB-49771FD789D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98526">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1A690152">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1A690152">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F8329"/>
    <w:multiLevelType w:val="multilevel"/>
    <w:tmpl w:val="8DDF8329"/>
    <w:lvl w:ilvl="0" w:tentative="0">
      <w:start w:val="1"/>
      <w:numFmt w:val="decimal"/>
      <w:pStyle w:val="40"/>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1">
    <w:nsid w:val="EB5585BC"/>
    <w:multiLevelType w:val="singleLevel"/>
    <w:tmpl w:val="EB5585BC"/>
    <w:lvl w:ilvl="0" w:tentative="0">
      <w:start w:val="1"/>
      <w:numFmt w:val="decimal"/>
      <w:suff w:val="nothing"/>
      <w:lvlText w:val="（%1）"/>
      <w:lvlJc w:val="left"/>
    </w:lvl>
  </w:abstractNum>
  <w:abstractNum w:abstractNumId="2">
    <w:nsid w:val="FA25A687"/>
    <w:multiLevelType w:val="singleLevel"/>
    <w:tmpl w:val="FA25A687"/>
    <w:lvl w:ilvl="0" w:tentative="0">
      <w:start w:val="1"/>
      <w:numFmt w:val="chineseCounting"/>
      <w:suff w:val="nothing"/>
      <w:lvlText w:val="（%1）"/>
      <w:lvlJc w:val="left"/>
      <w:rPr>
        <w:rFonts w:hint="eastAsia"/>
      </w:rPr>
    </w:lvl>
  </w:abstractNum>
  <w:abstractNum w:abstractNumId="3">
    <w:nsid w:val="FFEE46E6"/>
    <w:multiLevelType w:val="singleLevel"/>
    <w:tmpl w:val="FFEE46E6"/>
    <w:lvl w:ilvl="0" w:tentative="0">
      <w:start w:val="2"/>
      <w:numFmt w:val="chineseCounting"/>
      <w:suff w:val="nothing"/>
      <w:lvlText w:val="（%1）"/>
      <w:lvlJc w:val="left"/>
      <w:rPr>
        <w:rFonts w:hint="eastAsia"/>
      </w:rPr>
    </w:lvl>
  </w:abstractNum>
  <w:abstractNum w:abstractNumId="4">
    <w:nsid w:val="0FFFFF7E"/>
    <w:multiLevelType w:val="singleLevel"/>
    <w:tmpl w:val="0FFFFF7E"/>
    <w:lvl w:ilvl="0" w:tentative="0">
      <w:start w:val="1"/>
      <w:numFmt w:val="decimal"/>
      <w:lvlText w:val="%1."/>
      <w:lvlJc w:val="left"/>
      <w:pPr>
        <w:tabs>
          <w:tab w:val="left" w:pos="1200"/>
        </w:tabs>
        <w:ind w:left="1200" w:hanging="360"/>
      </w:pPr>
    </w:lvl>
  </w:abstractNum>
  <w:abstractNum w:abstractNumId="5">
    <w:nsid w:val="0FFFFF7F"/>
    <w:multiLevelType w:val="singleLevel"/>
    <w:tmpl w:val="0FFFFF7F"/>
    <w:lvl w:ilvl="0" w:tentative="0">
      <w:start w:val="1"/>
      <w:numFmt w:val="decimal"/>
      <w:lvlText w:val="%1."/>
      <w:lvlJc w:val="left"/>
      <w:pPr>
        <w:tabs>
          <w:tab w:val="left" w:pos="780"/>
        </w:tabs>
        <w:ind w:left="780" w:hanging="360"/>
      </w:pPr>
    </w:lvl>
  </w:abstractNum>
  <w:abstractNum w:abstractNumId="6">
    <w:nsid w:val="290D7148"/>
    <w:multiLevelType w:val="singleLevel"/>
    <w:tmpl w:val="290D7148"/>
    <w:lvl w:ilvl="0" w:tentative="0">
      <w:start w:val="2"/>
      <w:numFmt w:val="decimal"/>
      <w:suff w:val="nothing"/>
      <w:lvlText w:val="（%1）"/>
      <w:lvlJc w:val="left"/>
    </w:lvl>
  </w:abstractNum>
  <w:abstractNum w:abstractNumId="7">
    <w:nsid w:val="2C5917C3"/>
    <w:multiLevelType w:val="multilevel"/>
    <w:tmpl w:val="2C5917C3"/>
    <w:lvl w:ilvl="0" w:tentative="0">
      <w:start w:val="1"/>
      <w:numFmt w:val="none"/>
      <w:pStyle w:val="54"/>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8">
    <w:nsid w:val="44C50F90"/>
    <w:multiLevelType w:val="multilevel"/>
    <w:tmpl w:val="44C50F90"/>
    <w:lvl w:ilvl="0" w:tentative="0">
      <w:start w:val="1"/>
      <w:numFmt w:val="lowerLetter"/>
      <w:pStyle w:val="49"/>
      <w:lvlText w:val="%1)"/>
      <w:lvlJc w:val="left"/>
      <w:pPr>
        <w:tabs>
          <w:tab w:val="left" w:pos="851"/>
        </w:tabs>
        <w:ind w:left="851" w:hanging="426"/>
      </w:pPr>
      <w:rPr>
        <w:rFonts w:hint="eastAsia" w:ascii="宋体" w:hAnsi="Times New Roman" w:eastAsia="宋体"/>
        <w:sz w:val="21"/>
      </w:rPr>
    </w:lvl>
    <w:lvl w:ilvl="1" w:tentative="0">
      <w:start w:val="1"/>
      <w:numFmt w:val="decimal"/>
      <w:pStyle w:val="47"/>
      <w:lvlText w:val="%2)"/>
      <w:lvlJc w:val="left"/>
      <w:pPr>
        <w:tabs>
          <w:tab w:val="left" w:pos="1276"/>
        </w:tabs>
        <w:ind w:left="1276" w:hanging="425"/>
      </w:pPr>
      <w:rPr>
        <w:rFonts w:hint="eastAsia" w:ascii="宋体" w:hAnsi="Times New Roman" w:eastAsia="宋体"/>
        <w:sz w:val="21"/>
      </w:rPr>
    </w:lvl>
    <w:lvl w:ilvl="2" w:tentative="0">
      <w:start w:val="1"/>
      <w:numFmt w:val="decimal"/>
      <w:pStyle w:val="4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5A9B6960"/>
    <w:multiLevelType w:val="multilevel"/>
    <w:tmpl w:val="5A9B6960"/>
    <w:lvl w:ilvl="0" w:tentative="0">
      <w:start w:val="1"/>
      <w:numFmt w:val="none"/>
      <w:pStyle w:val="37"/>
      <w:suff w:val="nothing"/>
      <w:lvlText w:val="%1"/>
      <w:legacy w:legacy="1" w:legacySpace="0" w:legacyIndent="0"/>
      <w:lvlJc w:val="left"/>
      <w:pPr>
        <w:ind w:left="0" w:firstLine="0"/>
      </w:pPr>
      <w:rPr>
        <w:rFonts w:hint="eastAsia"/>
      </w:rPr>
    </w:lvl>
    <w:lvl w:ilvl="1" w:tentative="0">
      <w:start w:val="1"/>
      <w:numFmt w:val="decimal"/>
      <w:pStyle w:val="31"/>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pStyle w:val="33"/>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39"/>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38"/>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36"/>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abstractNum w:abstractNumId="10">
    <w:nsid w:val="6DBF04F4"/>
    <w:multiLevelType w:val="multilevel"/>
    <w:tmpl w:val="6DBF04F4"/>
    <w:lvl w:ilvl="0" w:tentative="0">
      <w:start w:val="1"/>
      <w:numFmt w:val="none"/>
      <w:pStyle w:val="55"/>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1">
    <w:nsid w:val="79B0D09C"/>
    <w:multiLevelType w:val="singleLevel"/>
    <w:tmpl w:val="79B0D09C"/>
    <w:lvl w:ilvl="0" w:tentative="0">
      <w:start w:val="1"/>
      <w:numFmt w:val="decimal"/>
      <w:suff w:val="nothing"/>
      <w:lvlText w:val="（%1）"/>
      <w:lvlJc w:val="left"/>
    </w:lvl>
  </w:abstractNum>
  <w:num w:numId="1">
    <w:abstractNumId w:val="9"/>
  </w:num>
  <w:num w:numId="2">
    <w:abstractNumId w:val="0"/>
  </w:num>
  <w:num w:numId="3">
    <w:abstractNumId w:val="5"/>
  </w:num>
  <w:num w:numId="4">
    <w:abstractNumId w:val="4"/>
  </w:num>
  <w:num w:numId="5">
    <w:abstractNumId w:val="8"/>
  </w:num>
  <w:num w:numId="6">
    <w:abstractNumId w:val="7"/>
  </w:num>
  <w:num w:numId="7">
    <w:abstractNumId w:val="10"/>
  </w:num>
  <w:num w:numId="8">
    <w:abstractNumId w:val="2"/>
  </w:num>
  <w:num w:numId="9">
    <w:abstractNumId w:val="11"/>
  </w:num>
  <w:num w:numId="10">
    <w:abstractNumId w:val="3"/>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0OWNhMGUyYzc2MTI5ZWY2NzM4MTVkMDAwODg0YzMifQ=="/>
  </w:docVars>
  <w:rsids>
    <w:rsidRoot w:val="000D75AA"/>
    <w:rsid w:val="000068A2"/>
    <w:rsid w:val="00014983"/>
    <w:rsid w:val="000178C8"/>
    <w:rsid w:val="00055442"/>
    <w:rsid w:val="00072103"/>
    <w:rsid w:val="00075653"/>
    <w:rsid w:val="00082613"/>
    <w:rsid w:val="000C517B"/>
    <w:rsid w:val="000E53EA"/>
    <w:rsid w:val="001133E6"/>
    <w:rsid w:val="001655CC"/>
    <w:rsid w:val="0018012C"/>
    <w:rsid w:val="001821C9"/>
    <w:rsid w:val="001A7570"/>
    <w:rsid w:val="001D3156"/>
    <w:rsid w:val="001E2D73"/>
    <w:rsid w:val="0020127F"/>
    <w:rsid w:val="00205352"/>
    <w:rsid w:val="002210B4"/>
    <w:rsid w:val="0022236C"/>
    <w:rsid w:val="002324B6"/>
    <w:rsid w:val="00234F7D"/>
    <w:rsid w:val="00236909"/>
    <w:rsid w:val="00236EB4"/>
    <w:rsid w:val="00241F8A"/>
    <w:rsid w:val="00281F39"/>
    <w:rsid w:val="0028500C"/>
    <w:rsid w:val="002879F6"/>
    <w:rsid w:val="00292F73"/>
    <w:rsid w:val="0029554A"/>
    <w:rsid w:val="002A3479"/>
    <w:rsid w:val="002B7C92"/>
    <w:rsid w:val="002E357A"/>
    <w:rsid w:val="00321E92"/>
    <w:rsid w:val="003259AF"/>
    <w:rsid w:val="003332BA"/>
    <w:rsid w:val="00340D9B"/>
    <w:rsid w:val="003517E7"/>
    <w:rsid w:val="00372E66"/>
    <w:rsid w:val="00375933"/>
    <w:rsid w:val="00382E35"/>
    <w:rsid w:val="00396F2C"/>
    <w:rsid w:val="003D485E"/>
    <w:rsid w:val="00426DC5"/>
    <w:rsid w:val="004373E9"/>
    <w:rsid w:val="0044036C"/>
    <w:rsid w:val="0044065E"/>
    <w:rsid w:val="004805DB"/>
    <w:rsid w:val="0048511D"/>
    <w:rsid w:val="004A75FF"/>
    <w:rsid w:val="004B4D68"/>
    <w:rsid w:val="004F29B4"/>
    <w:rsid w:val="00515B82"/>
    <w:rsid w:val="0051755E"/>
    <w:rsid w:val="00533B2A"/>
    <w:rsid w:val="00554B7D"/>
    <w:rsid w:val="00564A0C"/>
    <w:rsid w:val="005E3C13"/>
    <w:rsid w:val="005E7B33"/>
    <w:rsid w:val="005F1668"/>
    <w:rsid w:val="005F2FD2"/>
    <w:rsid w:val="005F4961"/>
    <w:rsid w:val="00617B08"/>
    <w:rsid w:val="00627AB4"/>
    <w:rsid w:val="006335ED"/>
    <w:rsid w:val="006343EC"/>
    <w:rsid w:val="0063539D"/>
    <w:rsid w:val="00637F53"/>
    <w:rsid w:val="006511A8"/>
    <w:rsid w:val="0067378F"/>
    <w:rsid w:val="00691000"/>
    <w:rsid w:val="006B0BA0"/>
    <w:rsid w:val="006B12C0"/>
    <w:rsid w:val="00714DDE"/>
    <w:rsid w:val="0074491A"/>
    <w:rsid w:val="007557E4"/>
    <w:rsid w:val="00756356"/>
    <w:rsid w:val="00774434"/>
    <w:rsid w:val="007756AB"/>
    <w:rsid w:val="00781D6C"/>
    <w:rsid w:val="007A149B"/>
    <w:rsid w:val="007C244C"/>
    <w:rsid w:val="00801A7F"/>
    <w:rsid w:val="00814260"/>
    <w:rsid w:val="008247C4"/>
    <w:rsid w:val="00826BFA"/>
    <w:rsid w:val="00853F5C"/>
    <w:rsid w:val="00874BB5"/>
    <w:rsid w:val="008779C2"/>
    <w:rsid w:val="00887632"/>
    <w:rsid w:val="00895F4A"/>
    <w:rsid w:val="008973E6"/>
    <w:rsid w:val="008B6B5F"/>
    <w:rsid w:val="008E1EB5"/>
    <w:rsid w:val="00926E1B"/>
    <w:rsid w:val="00932BA3"/>
    <w:rsid w:val="00947EBA"/>
    <w:rsid w:val="009718CC"/>
    <w:rsid w:val="009A4141"/>
    <w:rsid w:val="009E3161"/>
    <w:rsid w:val="00A16A3E"/>
    <w:rsid w:val="00A263D3"/>
    <w:rsid w:val="00A365A2"/>
    <w:rsid w:val="00A37FDF"/>
    <w:rsid w:val="00A42C5E"/>
    <w:rsid w:val="00A75476"/>
    <w:rsid w:val="00A87F41"/>
    <w:rsid w:val="00AC57C3"/>
    <w:rsid w:val="00AD0172"/>
    <w:rsid w:val="00B07A8A"/>
    <w:rsid w:val="00B66676"/>
    <w:rsid w:val="00B73416"/>
    <w:rsid w:val="00B77477"/>
    <w:rsid w:val="00B94EFE"/>
    <w:rsid w:val="00B954B8"/>
    <w:rsid w:val="00BA570D"/>
    <w:rsid w:val="00BB6932"/>
    <w:rsid w:val="00BB7B52"/>
    <w:rsid w:val="00BD2990"/>
    <w:rsid w:val="00C07069"/>
    <w:rsid w:val="00C123EE"/>
    <w:rsid w:val="00C13CB6"/>
    <w:rsid w:val="00C20386"/>
    <w:rsid w:val="00CC71EF"/>
    <w:rsid w:val="00CE7CD2"/>
    <w:rsid w:val="00D0457A"/>
    <w:rsid w:val="00D35977"/>
    <w:rsid w:val="00D43F5A"/>
    <w:rsid w:val="00D87F07"/>
    <w:rsid w:val="00D9142A"/>
    <w:rsid w:val="00D9735E"/>
    <w:rsid w:val="00DB7F6F"/>
    <w:rsid w:val="00DF4FB8"/>
    <w:rsid w:val="00E27034"/>
    <w:rsid w:val="00E32D4B"/>
    <w:rsid w:val="00E41116"/>
    <w:rsid w:val="00E414EF"/>
    <w:rsid w:val="00E455A5"/>
    <w:rsid w:val="00E835A1"/>
    <w:rsid w:val="00E83E2D"/>
    <w:rsid w:val="00ED41E5"/>
    <w:rsid w:val="00EE332B"/>
    <w:rsid w:val="00EF4610"/>
    <w:rsid w:val="00EF6CB2"/>
    <w:rsid w:val="00F01A5C"/>
    <w:rsid w:val="00F40513"/>
    <w:rsid w:val="00F424A9"/>
    <w:rsid w:val="00F5729F"/>
    <w:rsid w:val="00F65587"/>
    <w:rsid w:val="00F77E06"/>
    <w:rsid w:val="00F9021F"/>
    <w:rsid w:val="00FA7D60"/>
    <w:rsid w:val="00FB260A"/>
    <w:rsid w:val="00FC7CE6"/>
    <w:rsid w:val="00FD6497"/>
    <w:rsid w:val="00FF2EC3"/>
    <w:rsid w:val="012A4E2C"/>
    <w:rsid w:val="015663EA"/>
    <w:rsid w:val="02DC2156"/>
    <w:rsid w:val="03CC3F79"/>
    <w:rsid w:val="05B55C2C"/>
    <w:rsid w:val="05CD222A"/>
    <w:rsid w:val="06084616"/>
    <w:rsid w:val="06A9292B"/>
    <w:rsid w:val="08EF7A39"/>
    <w:rsid w:val="09E73A6B"/>
    <w:rsid w:val="0A5844F0"/>
    <w:rsid w:val="0EE41D10"/>
    <w:rsid w:val="11386E78"/>
    <w:rsid w:val="11B73ED3"/>
    <w:rsid w:val="11DF729D"/>
    <w:rsid w:val="12277661"/>
    <w:rsid w:val="133D4C82"/>
    <w:rsid w:val="13D12EE6"/>
    <w:rsid w:val="13EE1CEA"/>
    <w:rsid w:val="13F37300"/>
    <w:rsid w:val="172D0BF0"/>
    <w:rsid w:val="174D6D27"/>
    <w:rsid w:val="179A554D"/>
    <w:rsid w:val="18CE5C46"/>
    <w:rsid w:val="1A2A2D28"/>
    <w:rsid w:val="1A611AD4"/>
    <w:rsid w:val="1B9C64CF"/>
    <w:rsid w:val="1DE9000E"/>
    <w:rsid w:val="1E4A1472"/>
    <w:rsid w:val="1E6C7E3E"/>
    <w:rsid w:val="20346CD6"/>
    <w:rsid w:val="203E6C0D"/>
    <w:rsid w:val="206E043A"/>
    <w:rsid w:val="21B75E11"/>
    <w:rsid w:val="2443573A"/>
    <w:rsid w:val="25496D80"/>
    <w:rsid w:val="256A366E"/>
    <w:rsid w:val="27095D8A"/>
    <w:rsid w:val="275E6C1B"/>
    <w:rsid w:val="277B51EB"/>
    <w:rsid w:val="279E6744"/>
    <w:rsid w:val="2AB253C7"/>
    <w:rsid w:val="2BAD2B02"/>
    <w:rsid w:val="2C6C6F3C"/>
    <w:rsid w:val="2E0C3040"/>
    <w:rsid w:val="2E40384E"/>
    <w:rsid w:val="2E826991"/>
    <w:rsid w:val="2F083808"/>
    <w:rsid w:val="2F0B058C"/>
    <w:rsid w:val="2F7C5FA4"/>
    <w:rsid w:val="2FDD0EDC"/>
    <w:rsid w:val="344833B2"/>
    <w:rsid w:val="346F5A63"/>
    <w:rsid w:val="35146A33"/>
    <w:rsid w:val="39CD7B28"/>
    <w:rsid w:val="3D6C58AA"/>
    <w:rsid w:val="3F976E21"/>
    <w:rsid w:val="403F2E01"/>
    <w:rsid w:val="41D95713"/>
    <w:rsid w:val="42C82ABA"/>
    <w:rsid w:val="431A1904"/>
    <w:rsid w:val="45413951"/>
    <w:rsid w:val="46E47FFF"/>
    <w:rsid w:val="473276AB"/>
    <w:rsid w:val="4779601E"/>
    <w:rsid w:val="493E1AE1"/>
    <w:rsid w:val="4B2238EC"/>
    <w:rsid w:val="4C6C7CEB"/>
    <w:rsid w:val="4DDD59C1"/>
    <w:rsid w:val="50370ABF"/>
    <w:rsid w:val="51FB0B52"/>
    <w:rsid w:val="52FDF3F3"/>
    <w:rsid w:val="531F075A"/>
    <w:rsid w:val="53F87A3F"/>
    <w:rsid w:val="5529794D"/>
    <w:rsid w:val="56DA342C"/>
    <w:rsid w:val="5708A920"/>
    <w:rsid w:val="57A01936"/>
    <w:rsid w:val="57A57FD6"/>
    <w:rsid w:val="57F01F2D"/>
    <w:rsid w:val="58D367F3"/>
    <w:rsid w:val="592B4413"/>
    <w:rsid w:val="592C1295"/>
    <w:rsid w:val="598A001D"/>
    <w:rsid w:val="59DD74BB"/>
    <w:rsid w:val="5A8C449C"/>
    <w:rsid w:val="5B571FFB"/>
    <w:rsid w:val="5B8C421A"/>
    <w:rsid w:val="5BB17C68"/>
    <w:rsid w:val="5BD06662"/>
    <w:rsid w:val="5BFB00CD"/>
    <w:rsid w:val="5C452F47"/>
    <w:rsid w:val="5D086F45"/>
    <w:rsid w:val="5D4D6706"/>
    <w:rsid w:val="5E8C2041"/>
    <w:rsid w:val="60252B89"/>
    <w:rsid w:val="613750A2"/>
    <w:rsid w:val="616C2448"/>
    <w:rsid w:val="63057E95"/>
    <w:rsid w:val="636139EB"/>
    <w:rsid w:val="63DF2082"/>
    <w:rsid w:val="654A16B4"/>
    <w:rsid w:val="660F1D12"/>
    <w:rsid w:val="67277FC8"/>
    <w:rsid w:val="677C2407"/>
    <w:rsid w:val="68C47A98"/>
    <w:rsid w:val="68C53F3C"/>
    <w:rsid w:val="6AFF4980"/>
    <w:rsid w:val="6CC80E6D"/>
    <w:rsid w:val="6CD819DD"/>
    <w:rsid w:val="6F754E22"/>
    <w:rsid w:val="710B6BAC"/>
    <w:rsid w:val="71525B1E"/>
    <w:rsid w:val="716444DA"/>
    <w:rsid w:val="71CC633B"/>
    <w:rsid w:val="71F238C8"/>
    <w:rsid w:val="738A5B9F"/>
    <w:rsid w:val="741F6AAA"/>
    <w:rsid w:val="74A0585D"/>
    <w:rsid w:val="763864CA"/>
    <w:rsid w:val="764D461B"/>
    <w:rsid w:val="77A7157C"/>
    <w:rsid w:val="77D048EE"/>
    <w:rsid w:val="78B143BF"/>
    <w:rsid w:val="7A035425"/>
    <w:rsid w:val="7AB465B7"/>
    <w:rsid w:val="7B215011"/>
    <w:rsid w:val="7CB63E70"/>
    <w:rsid w:val="7D221505"/>
    <w:rsid w:val="7E2B6198"/>
    <w:rsid w:val="7EF26A8C"/>
    <w:rsid w:val="7F9806C6"/>
    <w:rsid w:val="B8CFA9F0"/>
    <w:rsid w:val="B9EE8E15"/>
    <w:rsid w:val="BDFFEC67"/>
    <w:rsid w:val="DFFD0EE9"/>
    <w:rsid w:val="EBDF77FB"/>
    <w:rsid w:val="FB7F6E02"/>
    <w:rsid w:val="FBFFF8E5"/>
    <w:rsid w:val="FDAB632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Times New Roman" w:hAnsi="Times New Roman" w:eastAsia="黑体"/>
      <w:b/>
      <w:sz w:val="32"/>
    </w:rPr>
  </w:style>
  <w:style w:type="paragraph" w:styleId="4">
    <w:name w:val="heading 3"/>
    <w:basedOn w:val="1"/>
    <w:next w:val="1"/>
    <w:qFormat/>
    <w:uiPriority w:val="0"/>
    <w:pPr>
      <w:keepNext/>
      <w:keepLines/>
      <w:widowControl w:val="0"/>
      <w:spacing w:before="260" w:after="260" w:line="415" w:lineRule="auto"/>
      <w:outlineLvl w:val="2"/>
    </w:pPr>
    <w:rPr>
      <w:b/>
      <w:sz w:val="32"/>
    </w:rPr>
  </w:style>
  <w:style w:type="paragraph" w:styleId="5">
    <w:name w:val="heading 7"/>
    <w:basedOn w:val="1"/>
    <w:next w:val="1"/>
    <w:link w:val="23"/>
    <w:qFormat/>
    <w:uiPriority w:val="9"/>
    <w:pPr>
      <w:keepNext/>
      <w:keepLines/>
      <w:spacing w:before="240" w:after="64" w:line="320" w:lineRule="auto"/>
      <w:outlineLvl w:val="6"/>
    </w:pPr>
    <w:rPr>
      <w:b/>
      <w:bCs/>
      <w:sz w:val="24"/>
    </w:rPr>
  </w:style>
  <w:style w:type="character" w:default="1" w:styleId="15">
    <w:name w:val="Default Paragraph Font"/>
    <w:qFormat/>
    <w:uiPriority w:val="0"/>
  </w:style>
  <w:style w:type="table" w:default="1" w:styleId="13">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6">
    <w:name w:val="annotation text"/>
    <w:basedOn w:val="1"/>
    <w:link w:val="24"/>
    <w:unhideWhenUsed/>
    <w:qFormat/>
    <w:uiPriority w:val="99"/>
    <w:pPr>
      <w:adjustRightInd w:val="0"/>
      <w:spacing w:line="400" w:lineRule="exact"/>
      <w:jc w:val="left"/>
    </w:pPr>
    <w:rPr>
      <w:rFonts w:ascii="Calibri" w:hAnsi="Calibri"/>
      <w:szCs w:val="21"/>
    </w:rPr>
  </w:style>
  <w:style w:type="paragraph" w:styleId="7">
    <w:name w:val="Balloon Text"/>
    <w:basedOn w:val="1"/>
    <w:link w:val="25"/>
    <w:unhideWhenUsed/>
    <w:qFormat/>
    <w:uiPriority w:val="99"/>
    <w:rPr>
      <w:sz w:val="18"/>
      <w:szCs w:val="18"/>
    </w:rPr>
  </w:style>
  <w:style w:type="paragraph" w:styleId="8">
    <w:name w:val="footer"/>
    <w:basedOn w:val="1"/>
    <w:link w:val="26"/>
    <w:qFormat/>
    <w:uiPriority w:val="99"/>
    <w:pPr>
      <w:tabs>
        <w:tab w:val="center" w:pos="4153"/>
        <w:tab w:val="right" w:pos="8306"/>
      </w:tabs>
      <w:snapToGrid w:val="0"/>
      <w:jc w:val="left"/>
    </w:pPr>
    <w:rPr>
      <w:sz w:val="18"/>
      <w:szCs w:val="18"/>
    </w:rPr>
  </w:style>
  <w:style w:type="paragraph" w:styleId="9">
    <w:name w:val="envelope return"/>
    <w:basedOn w:val="1"/>
    <w:qFormat/>
    <w:uiPriority w:val="0"/>
    <w:pPr>
      <w:snapToGrid w:val="0"/>
    </w:pPr>
    <w:rPr>
      <w:rFonts w:ascii="Times New Roman" w:hAnsi="Times New Roman"/>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4"/>
    <w:basedOn w:val="1"/>
    <w:next w:val="1"/>
    <w:unhideWhenUsed/>
    <w:qFormat/>
    <w:uiPriority w:val="39"/>
    <w:pPr>
      <w:tabs>
        <w:tab w:val="right" w:leader="dot" w:pos="9344"/>
      </w:tabs>
      <w:adjustRightInd w:val="0"/>
      <w:spacing w:line="300" w:lineRule="exact"/>
      <w:ind w:left="629"/>
    </w:pPr>
    <w:rPr>
      <w:rFonts w:ascii="宋体" w:hAnsi="Calibri"/>
      <w:szCs w:val="21"/>
    </w:rPr>
  </w:style>
  <w:style w:type="paragraph" w:styleId="12">
    <w:name w:val="Normal (Web)"/>
    <w:basedOn w:val="1"/>
    <w:semiHidden/>
    <w:unhideWhenUsed/>
    <w:qFormat/>
    <w:uiPriority w:val="99"/>
    <w:rPr>
      <w:sz w:val="24"/>
    </w:rPr>
  </w:style>
  <w:style w:type="table" w:styleId="14">
    <w:name w:val="Table Grid"/>
    <w:basedOn w:val="13"/>
    <w:qFormat/>
    <w:uiPriority w:val="3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6">
    <w:name w:val="Strong"/>
    <w:basedOn w:val="15"/>
    <w:qFormat/>
    <w:uiPriority w:val="22"/>
    <w:rPr>
      <w:b/>
    </w:rPr>
  </w:style>
  <w:style w:type="character" w:styleId="17">
    <w:name w:val="line number"/>
    <w:qFormat/>
    <w:uiPriority w:val="0"/>
  </w:style>
  <w:style w:type="character" w:styleId="18">
    <w:name w:val="Hyperlink"/>
    <w:qFormat/>
    <w:uiPriority w:val="0"/>
    <w:rPr>
      <w:rFonts w:ascii="宋体" w:eastAsia="宋体"/>
      <w:color w:val="auto"/>
      <w:spacing w:val="0"/>
      <w:w w:val="100"/>
      <w:position w:val="0"/>
      <w:sz w:val="21"/>
      <w:u w:val="none"/>
      <w:vertAlign w:val="baseline"/>
    </w:rPr>
  </w:style>
  <w:style w:type="character" w:styleId="19">
    <w:name w:val="annotation reference"/>
    <w:qFormat/>
    <w:uiPriority w:val="99"/>
    <w:rPr>
      <w:sz w:val="21"/>
    </w:rPr>
  </w:style>
  <w:style w:type="character" w:styleId="20">
    <w:name w:val="footnote reference"/>
    <w:qFormat/>
    <w:uiPriority w:val="0"/>
    <w:rPr>
      <w:vertAlign w:val="superscript"/>
    </w:rPr>
  </w:style>
  <w:style w:type="paragraph" w:customStyle="1" w:styleId="21">
    <w:name w:val="BodyText2"/>
    <w:basedOn w:val="1"/>
    <w:qFormat/>
    <w:uiPriority w:val="0"/>
    <w:pPr>
      <w:spacing w:after="120" w:line="480" w:lineRule="auto"/>
      <w:textAlignment w:val="baseline"/>
    </w:pPr>
    <w:rPr>
      <w:rFonts w:ascii="Calibri" w:hAnsi="Calibri" w:eastAsia="宋体" w:cs="Times New Roman"/>
      <w:sz w:val="32"/>
      <w:szCs w:val="32"/>
      <w:lang w:bidi="ar-SA"/>
    </w:rPr>
  </w:style>
  <w:style w:type="paragraph" w:customStyle="1" w:styleId="22">
    <w:name w:val="正文-公1"/>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23">
    <w:name w:val="标题 7 字符"/>
    <w:link w:val="5"/>
    <w:qFormat/>
    <w:uiPriority w:val="0"/>
    <w:rPr>
      <w:rFonts w:eastAsia="宋体"/>
      <w:b/>
      <w:bCs/>
      <w:kern w:val="2"/>
      <w:sz w:val="24"/>
      <w:szCs w:val="24"/>
    </w:rPr>
  </w:style>
  <w:style w:type="character" w:customStyle="1" w:styleId="24">
    <w:name w:val="批注文字 字符"/>
    <w:link w:val="6"/>
    <w:semiHidden/>
    <w:qFormat/>
    <w:uiPriority w:val="99"/>
    <w:rPr>
      <w:rFonts w:ascii="Calibri" w:hAnsi="Calibri" w:eastAsia="宋体"/>
      <w:kern w:val="2"/>
      <w:sz w:val="21"/>
      <w:szCs w:val="21"/>
    </w:rPr>
  </w:style>
  <w:style w:type="character" w:customStyle="1" w:styleId="25">
    <w:name w:val="批注框文本 字符"/>
    <w:link w:val="7"/>
    <w:semiHidden/>
    <w:qFormat/>
    <w:uiPriority w:val="99"/>
    <w:rPr>
      <w:rFonts w:eastAsia="宋体"/>
      <w:kern w:val="2"/>
      <w:sz w:val="18"/>
      <w:szCs w:val="18"/>
    </w:rPr>
  </w:style>
  <w:style w:type="character" w:customStyle="1" w:styleId="26">
    <w:name w:val="页脚 字符"/>
    <w:link w:val="8"/>
    <w:qFormat/>
    <w:locked/>
    <w:uiPriority w:val="99"/>
    <w:rPr>
      <w:rFonts w:eastAsia="宋体"/>
      <w:kern w:val="2"/>
      <w:sz w:val="18"/>
      <w:szCs w:val="18"/>
    </w:rPr>
  </w:style>
  <w:style w:type="paragraph" w:customStyle="1" w:styleId="27">
    <w:name w:val="其他标准称谓"/>
    <w:qFormat/>
    <w:uiPriority w:val="0"/>
    <w:pPr>
      <w:spacing w:line="0" w:lineRule="atLeast"/>
      <w:jc w:val="distribute"/>
    </w:pPr>
    <w:rPr>
      <w:rFonts w:ascii="黑体" w:hAnsi="Calibri" w:eastAsia="黑体" w:cs="Calibri"/>
      <w:sz w:val="52"/>
      <w:lang w:val="en-US" w:eastAsia="zh-CN" w:bidi="ar-SA"/>
    </w:rPr>
  </w:style>
  <w:style w:type="paragraph" w:customStyle="1" w:styleId="28">
    <w:name w:val="封面标准号1"/>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29">
    <w:name w:val="标准文件_段"/>
    <w:link w:val="30"/>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30">
    <w:name w:val="标准文件_段 Char"/>
    <w:link w:val="29"/>
    <w:qFormat/>
    <w:uiPriority w:val="0"/>
    <w:rPr>
      <w:rFonts w:ascii="宋体" w:eastAsia="宋体"/>
      <w:sz w:val="21"/>
    </w:rPr>
  </w:style>
  <w:style w:type="paragraph" w:customStyle="1" w:styleId="31">
    <w:name w:val="标准文件_章标题"/>
    <w:next w:val="29"/>
    <w:qFormat/>
    <w:uiPriority w:val="0"/>
    <w:pPr>
      <w:numPr>
        <w:ilvl w:val="1"/>
        <w:numId w:val="1"/>
      </w:numPr>
      <w:spacing w:before="100" w:beforeLines="100" w:after="100" w:afterLines="100"/>
      <w:jc w:val="both"/>
      <w:outlineLvl w:val="0"/>
    </w:pPr>
    <w:rPr>
      <w:rFonts w:ascii="黑体" w:hAnsi="Calibri" w:eastAsia="黑体" w:cs="Calibri"/>
      <w:sz w:val="21"/>
      <w:lang w:val="en-US" w:eastAsia="zh-CN" w:bidi="ar-SA"/>
    </w:rPr>
  </w:style>
  <w:style w:type="paragraph" w:customStyle="1" w:styleId="32">
    <w:name w:val="标准文件_二级条标题"/>
    <w:next w:val="29"/>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33">
    <w:name w:val="标准文件_一级条标题"/>
    <w:basedOn w:val="31"/>
    <w:next w:val="29"/>
    <w:qFormat/>
    <w:uiPriority w:val="0"/>
    <w:pPr>
      <w:numPr>
        <w:ilvl w:val="2"/>
        <w:numId w:val="1"/>
      </w:numPr>
      <w:spacing w:before="50" w:beforeLines="0" w:after="50" w:afterLines="0"/>
      <w:outlineLvl w:val="1"/>
    </w:pPr>
  </w:style>
  <w:style w:type="paragraph" w:customStyle="1" w:styleId="34">
    <w:name w:val="标准文件_三级条标题"/>
    <w:basedOn w:val="32"/>
    <w:next w:val="29"/>
    <w:qFormat/>
    <w:uiPriority w:val="0"/>
    <w:pPr>
      <w:numPr>
        <w:ilvl w:val="4"/>
        <w:numId w:val="1"/>
      </w:numPr>
      <w:spacing w:before="50" w:beforeLines="50" w:after="50" w:afterLines="50"/>
      <w:jc w:val="both"/>
      <w:outlineLvl w:val="3"/>
    </w:pPr>
    <w:rPr>
      <w:rFonts w:ascii="黑体" w:eastAsia="黑体"/>
      <w:sz w:val="21"/>
      <w:lang w:val="en-US" w:eastAsia="zh-CN" w:bidi="ar-SA"/>
    </w:rPr>
  </w:style>
  <w:style w:type="paragraph" w:customStyle="1" w:styleId="35">
    <w:name w:val="标准文件_四级条标题"/>
    <w:next w:val="29"/>
    <w:qFormat/>
    <w:uiPriority w:val="0"/>
    <w:pPr>
      <w:widowControl w:val="0"/>
      <w:numPr>
        <w:ilvl w:val="5"/>
        <w:numId w:val="1"/>
      </w:numPr>
      <w:spacing w:before="50" w:beforeLines="50" w:after="50" w:afterLines="50"/>
      <w:jc w:val="both"/>
      <w:outlineLvl w:val="4"/>
    </w:pPr>
    <w:rPr>
      <w:rFonts w:ascii="黑体" w:hAnsi="Calibri" w:eastAsia="黑体" w:cs="Calibri"/>
      <w:sz w:val="21"/>
      <w:lang w:val="en-US" w:eastAsia="zh-CN" w:bidi="ar-SA"/>
    </w:rPr>
  </w:style>
  <w:style w:type="paragraph" w:customStyle="1" w:styleId="36">
    <w:name w:val="标准文件_五级条标题"/>
    <w:next w:val="32"/>
    <w:qFormat/>
    <w:uiPriority w:val="0"/>
    <w:pPr>
      <w:widowControl w:val="0"/>
      <w:numPr>
        <w:ilvl w:val="6"/>
        <w:numId w:val="1"/>
      </w:numPr>
      <w:spacing w:before="50" w:beforeLines="50" w:after="50" w:afterLines="50"/>
      <w:jc w:val="both"/>
      <w:outlineLvl w:val="5"/>
    </w:pPr>
    <w:rPr>
      <w:rFonts w:ascii="黑体" w:hAnsi="Calibri" w:eastAsia="黑体" w:cs="Calibri"/>
      <w:sz w:val="21"/>
      <w:lang w:val="en-US" w:eastAsia="zh-CN" w:bidi="ar-SA"/>
    </w:rPr>
  </w:style>
  <w:style w:type="paragraph" w:customStyle="1" w:styleId="37">
    <w:name w:val="前言标题"/>
    <w:next w:val="1"/>
    <w:qFormat/>
    <w:uiPriority w:val="0"/>
    <w:pPr>
      <w:numPr>
        <w:ilvl w:val="0"/>
        <w:numId w:val="1"/>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38">
    <w:name w:val="标准文件_四级无标题"/>
    <w:basedOn w:val="35"/>
    <w:qFormat/>
    <w:uiPriority w:val="0"/>
    <w:pPr>
      <w:widowControl w:val="0"/>
      <w:numPr>
        <w:ilvl w:val="5"/>
        <w:numId w:val="1"/>
      </w:numPr>
      <w:spacing w:before="50" w:after="50"/>
      <w:jc w:val="both"/>
    </w:pPr>
    <w:rPr>
      <w:rFonts w:ascii="宋体" w:hAnsi="Calibri" w:eastAsia="宋体" w:cs="Calibri"/>
      <w:sz w:val="21"/>
      <w:szCs w:val="52"/>
      <w:lang w:val="en-US" w:eastAsia="zh-CN" w:bidi="ar-SA"/>
    </w:rPr>
  </w:style>
  <w:style w:type="paragraph" w:customStyle="1" w:styleId="39">
    <w:name w:val="标准文件_三级无标题"/>
    <w:basedOn w:val="34"/>
    <w:qFormat/>
    <w:uiPriority w:val="0"/>
    <w:pPr>
      <w:numPr>
        <w:ilvl w:val="4"/>
        <w:numId w:val="1"/>
      </w:numPr>
      <w:spacing w:before="50" w:after="50"/>
      <w:jc w:val="both"/>
    </w:pPr>
    <w:rPr>
      <w:rFonts w:ascii="宋体" w:eastAsia="宋体"/>
      <w:sz w:val="21"/>
      <w:lang w:val="en-US" w:eastAsia="zh-CN" w:bidi="ar-SA"/>
    </w:rPr>
  </w:style>
  <w:style w:type="paragraph" w:customStyle="1" w:styleId="40">
    <w:name w:val="标准文件_正文表标题"/>
    <w:qFormat/>
    <w:uiPriority w:val="0"/>
    <w:pPr>
      <w:numPr>
        <w:ilvl w:val="0"/>
        <w:numId w:val="2"/>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41">
    <w:name w:val="font11"/>
    <w:qFormat/>
    <w:uiPriority w:val="0"/>
    <w:rPr>
      <w:rFonts w:ascii="等线" w:eastAsia="等线"/>
      <w:b/>
      <w:bCs/>
      <w:color w:val="FF0000"/>
      <w:sz w:val="22"/>
      <w:szCs w:val="22"/>
      <w:u w:val="none"/>
    </w:rPr>
  </w:style>
  <w:style w:type="character" w:customStyle="1" w:styleId="42">
    <w:name w:val="font01"/>
    <w:qFormat/>
    <w:uiPriority w:val="0"/>
    <w:rPr>
      <w:rFonts w:ascii="等线" w:eastAsia="等线"/>
      <w:color w:val="000000"/>
      <w:sz w:val="22"/>
      <w:szCs w:val="22"/>
      <w:u w:val="none"/>
    </w:rPr>
  </w:style>
  <w:style w:type="paragraph" w:customStyle="1" w:styleId="43">
    <w:name w:val="段"/>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44">
    <w:name w:val="二级无"/>
    <w:basedOn w:val="1"/>
    <w:qFormat/>
    <w:uiPriority w:val="0"/>
    <w:pPr>
      <w:widowControl/>
      <w:numPr>
        <w:ilvl w:val="2"/>
        <w:numId w:val="3"/>
      </w:numPr>
      <w:tabs>
        <w:tab w:val="left" w:pos="780"/>
      </w:tabs>
      <w:jc w:val="left"/>
      <w:outlineLvl w:val="3"/>
    </w:pPr>
    <w:rPr>
      <w:rFonts w:ascii="宋体"/>
      <w:kern w:val="0"/>
      <w:szCs w:val="21"/>
    </w:rPr>
  </w:style>
  <w:style w:type="paragraph" w:customStyle="1" w:styleId="45">
    <w:name w:val="标准文件_二级无标题"/>
    <w:basedOn w:val="32"/>
    <w:qFormat/>
    <w:uiPriority w:val="0"/>
    <w:pPr>
      <w:numPr>
        <w:ilvl w:val="3"/>
        <w:numId w:val="4"/>
      </w:numPr>
      <w:tabs>
        <w:tab w:val="left" w:pos="1200"/>
      </w:tabs>
      <w:spacing w:before="0" w:beforeLines="0" w:after="0" w:afterLines="0"/>
      <w:outlineLvl w:val="9"/>
    </w:pPr>
    <w:rPr>
      <w:rFonts w:ascii="宋体" w:eastAsia="宋体"/>
    </w:rPr>
  </w:style>
  <w:style w:type="paragraph" w:customStyle="1" w:styleId="46">
    <w:name w:val="Char Char Char Char"/>
    <w:basedOn w:val="1"/>
    <w:qFormat/>
    <w:uiPriority w:val="0"/>
  </w:style>
  <w:style w:type="paragraph" w:customStyle="1" w:styleId="47">
    <w:name w:val="标准文件_数字编号列项（二级）"/>
    <w:qFormat/>
    <w:uiPriority w:val="0"/>
    <w:pPr>
      <w:numPr>
        <w:ilvl w:val="1"/>
        <w:numId w:val="5"/>
      </w:numPr>
      <w:jc w:val="both"/>
    </w:pPr>
    <w:rPr>
      <w:rFonts w:ascii="宋体" w:hAnsi="Calibri" w:eastAsia="宋体" w:cs="Calibri"/>
      <w:sz w:val="21"/>
      <w:lang w:val="en-US" w:eastAsia="zh-CN" w:bidi="ar-SA"/>
    </w:rPr>
  </w:style>
  <w:style w:type="paragraph" w:customStyle="1" w:styleId="48">
    <w:name w:val="标准文件_编号列项（三级）"/>
    <w:qFormat/>
    <w:uiPriority w:val="0"/>
    <w:pPr>
      <w:numPr>
        <w:ilvl w:val="2"/>
        <w:numId w:val="5"/>
      </w:numPr>
    </w:pPr>
    <w:rPr>
      <w:rFonts w:ascii="宋体" w:hAnsi="Calibri" w:eastAsia="宋体" w:cs="Calibri"/>
      <w:sz w:val="21"/>
      <w:lang w:val="en-US" w:eastAsia="zh-CN" w:bidi="ar-SA"/>
    </w:rPr>
  </w:style>
  <w:style w:type="paragraph" w:customStyle="1" w:styleId="49">
    <w:name w:val="标准文件_字母编号列项（一级）"/>
    <w:qFormat/>
    <w:uiPriority w:val="0"/>
    <w:pPr>
      <w:numPr>
        <w:ilvl w:val="0"/>
        <w:numId w:val="5"/>
      </w:numPr>
      <w:jc w:val="both"/>
    </w:pPr>
    <w:rPr>
      <w:rFonts w:ascii="宋体" w:hAnsi="Calibri" w:eastAsia="宋体" w:cs="Calibri"/>
      <w:sz w:val="21"/>
      <w:lang w:val="en-US" w:eastAsia="zh-CN" w:bidi="ar-SA"/>
    </w:rPr>
  </w:style>
  <w:style w:type="paragraph" w:customStyle="1" w:styleId="50">
    <w:name w:val="标准文件_术语条一"/>
    <w:basedOn w:val="1"/>
    <w:next w:val="29"/>
    <w:qFormat/>
    <w:uiPriority w:val="0"/>
    <w:pPr>
      <w:widowControl/>
    </w:pPr>
    <w:rPr>
      <w:rFonts w:ascii="宋体"/>
      <w:kern w:val="0"/>
      <w:szCs w:val="20"/>
    </w:rPr>
  </w:style>
  <w:style w:type="paragraph" w:customStyle="1" w:styleId="51">
    <w:name w:val="abstract"/>
    <w:basedOn w:val="1"/>
    <w:qFormat/>
    <w:uiPriority w:val="0"/>
    <w:pPr>
      <w:widowControl/>
      <w:spacing w:before="100" w:beforeAutospacing="1" w:after="100" w:afterAutospacing="1"/>
      <w:jc w:val="left"/>
    </w:pPr>
    <w:rPr>
      <w:rFonts w:ascii="宋体" w:hAnsi="宋体" w:cs="宋体"/>
      <w:kern w:val="0"/>
      <w:sz w:val="24"/>
    </w:rPr>
  </w:style>
  <w:style w:type="paragraph" w:customStyle="1" w:styleId="52">
    <w:name w:val="abstract_more"/>
    <w:basedOn w:val="1"/>
    <w:qFormat/>
    <w:uiPriority w:val="0"/>
    <w:pPr>
      <w:widowControl/>
      <w:spacing w:before="100" w:beforeAutospacing="1" w:after="100" w:afterAutospacing="1"/>
      <w:jc w:val="left"/>
    </w:pPr>
    <w:rPr>
      <w:rFonts w:ascii="宋体" w:hAnsi="宋体" w:cs="宋体"/>
      <w:kern w:val="0"/>
      <w:sz w:val="24"/>
    </w:rPr>
  </w:style>
  <w:style w:type="paragraph" w:styleId="53">
    <w:name w:val="No Spacing"/>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4">
    <w:name w:val="标准文件_一级项"/>
    <w:qFormat/>
    <w:uiPriority w:val="0"/>
    <w:pPr>
      <w:numPr>
        <w:ilvl w:val="0"/>
        <w:numId w:val="6"/>
      </w:numPr>
    </w:pPr>
    <w:rPr>
      <w:rFonts w:ascii="宋体" w:hAnsi="Times New Roman" w:eastAsia="宋体" w:cs="Times New Roman"/>
      <w:sz w:val="21"/>
      <w:lang w:val="en-US" w:eastAsia="zh-CN" w:bidi="ar-SA"/>
    </w:rPr>
  </w:style>
  <w:style w:type="paragraph" w:customStyle="1" w:styleId="55">
    <w:name w:val="标准文件_注："/>
    <w:next w:val="29"/>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character" w:customStyle="1" w:styleId="56">
    <w:name w:val="font21"/>
    <w:basedOn w:val="15"/>
    <w:qFormat/>
    <w:uiPriority w:val="0"/>
    <w:rPr>
      <w:rFonts w:hint="eastAsia" w:ascii="宋体" w:hAnsi="宋体" w:eastAsia="宋体" w:cs="宋体"/>
      <w:color w:val="000000"/>
      <w:sz w:val="32"/>
      <w:szCs w:val="32"/>
      <w:u w:val="none"/>
    </w:rPr>
  </w:style>
  <w:style w:type="paragraph" w:customStyle="1" w:styleId="57">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58">
    <w:name w:val="标准文件_页眉偶数页"/>
    <w:basedOn w:val="57"/>
    <w:next w:val="1"/>
    <w:qFormat/>
    <w:uiPriority w:val="0"/>
    <w:pPr>
      <w:jc w:val="left"/>
    </w:pPr>
  </w:style>
  <w:style w:type="paragraph" w:customStyle="1" w:styleId="59">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0">
    <w:name w:val="标准文件_页脚偶数页"/>
    <w:qFormat/>
    <w:uiPriority w:val="0"/>
    <w:pPr>
      <w:ind w:left="198"/>
    </w:pPr>
    <w:rPr>
      <w:rFonts w:ascii="宋体" w:hAnsi="Times New Roman" w:eastAsia="宋体" w:cs="Times New Roman"/>
      <w:sz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12643</Words>
  <Characters>13144</Characters>
  <Lines>140</Lines>
  <Paragraphs>39</Paragraphs>
  <TotalTime>0</TotalTime>
  <ScaleCrop>false</ScaleCrop>
  <LinksUpToDate>false</LinksUpToDate>
  <CharactersWithSpaces>13268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2023-11-09T07:48:00Z</dcterms:created>
  <dc:creator>Administrator</dc:creator>
  <cp:lastModifiedBy>覃思颖</cp:lastModifiedBy>
  <dcterms:modified xsi:type="dcterms:W3CDTF">2025-10-15T06:38:49Z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DD6CA3FC293E43FDBAB428080B5426A7_13</vt:lpwstr>
  </property>
  <property fmtid="{D5CDD505-2E9C-101B-9397-08002B2CF9AE}" pid="4" name="KSOTemplateDocerSaveRecord">
    <vt:lpwstr>eyJoZGlkIjoiZDU4MDczMzcyYmJkMTU0Yzk3Y2Q1OWEyNGVlYzBmODAiLCJ1c2VySWQiOiI2NTgwMDU1NDYifQ==</vt:lpwstr>
  </property>
</Properties>
</file>