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7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7380C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52B1F17F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192AF556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71.100.70</w:t>
            </w:r>
          </w:p>
        </w:tc>
      </w:tr>
      <w:tr w14:paraId="333CA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18E2529F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tbl>
            <w:tblPr>
              <w:tblStyle w:val="27"/>
              <w:tblpPr w:vertAnchor="page" w:horzAnchor="margin" w:tblpX="1" w:tblpY="341"/>
              <w:tblOverlap w:val="never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113" w:type="dxa"/>
              </w:tblCellMar>
            </w:tblPr>
            <w:tblGrid>
              <w:gridCol w:w="9242"/>
            </w:tblGrid>
            <w:tr w14:paraId="4C33ADE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113" w:type="dxa"/>
                </w:tblCellMar>
              </w:tblPrEx>
              <w:trPr>
                <w:trHeight w:val="1021" w:hRule="exact"/>
              </w:trPr>
              <w:tc>
                <w:tcPr>
                  <w:tcW w:w="9242" w:type="dxa"/>
                  <w:vAlign w:val="center"/>
                </w:tcPr>
                <w:p w14:paraId="33BA3A66">
                  <w:pPr>
                    <w:pStyle w:val="49"/>
                    <w:framePr w:wrap="notBeside" w:vAnchor="page" w:hAnchor="page" w:x="1372" w:y="568"/>
                    <w:ind w:left="420" w:right="624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drawing>
                      <wp:inline distT="0" distB="0" distL="0" distR="0">
                        <wp:extent cx="414655" cy="430530"/>
                        <wp:effectExtent l="0" t="0" r="4445" b="7620"/>
                        <wp:docPr id="1" name="图片 1" descr="D:\000000部门项目\09标准化插件开发\程序源代码\StandardEditor_ShanDongKeXieYuan\团标首页面字母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D:\000000部门项目\09标准化插件开发\程序源代码\StandardEditor_ShanDongKeXieYuan\团标首页面字母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4720" cy="430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drawing>
                      <wp:inline distT="0" distB="0" distL="0" distR="0">
                        <wp:extent cx="170815" cy="436245"/>
                        <wp:effectExtent l="0" t="0" r="635" b="1905"/>
                        <wp:docPr id="2" name="图片 2" descr="D:\000000部门项目\09标准化插件开发\程序源代码\StandardEditor_ShanDongKeXieYuan\团标首页面字母T后面的反斜杠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D:\000000部门项目\09标准化插件开发\程序源代码\StandardEditor_ShanDongKeXieYuan\团标首页面字母T后面的反斜杠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571" cy="5225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fldChar w:fldCharType="begin">
                      <w:ffData>
                        <w:name w:val="c1"/>
                        <w:enabled/>
                        <w:calcOnExit w:val="0"/>
                        <w:textInput>
                          <w:maxLength w:val="7"/>
                        </w:textInput>
                      </w:ffData>
                    </w:fldChar>
                  </w:r>
                  <w:bookmarkStart w:id="0" w:name="c1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</w:rPr>
                    <w:t>GXAS</w:t>
                  </w:r>
                  <w:r>
                    <w:fldChar w:fldCharType="end"/>
                  </w:r>
                  <w:bookmarkEnd w:id="0"/>
                </w:p>
              </w:tc>
            </w:tr>
          </w:tbl>
          <w:p w14:paraId="5528F78C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Y 42</w:t>
            </w:r>
          </w:p>
        </w:tc>
      </w:tr>
    </w:tbl>
    <w:p w14:paraId="088698B6">
      <w:pPr>
        <w:pStyle w:val="50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bookmarkStart w:id="1" w:name="_Hlk26473981"/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2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2"/>
      <w:r>
        <w:rPr>
          <w:rFonts w:hint="eastAsia" w:ascii="黑体" w:eastAsia="黑体"/>
          <w:b w:val="0"/>
          <w:w w:val="100"/>
          <w:sz w:val="48"/>
        </w:rPr>
        <w:t>团体</w:t>
      </w:r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标准</w:t>
      </w:r>
    </w:p>
    <w:bookmarkEnd w:id="1"/>
    <w:p w14:paraId="0C5FCF49">
      <w:pPr>
        <w:pStyle w:val="195"/>
      </w:pPr>
      <w:r>
        <w:t>T/</w:t>
      </w:r>
      <w:r>
        <w:rPr>
          <w:rFonts w:hint="eastAsia"/>
        </w:rPr>
        <w:t>GXAS</w:t>
      </w:r>
      <w: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3" w:name="NSTD_CODE_F"/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3"/>
      <w:r>
        <w:rPr>
          <w:rFonts w:hAnsi="黑体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4" w:name="NSTD_CODE_B"/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4"/>
    </w:p>
    <w:p w14:paraId="566BE2CD">
      <w:pPr>
        <w:pStyle w:val="196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5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5"/>
    </w:p>
    <w:p w14:paraId="09D85B3A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w:pict>
          <v:line id="直接连接符 73" o:spid="_x0000_s2051" o:spt="20" style="position:absolute;left:0pt;margin-left:70.9pt;margin-top:212.65pt;height:0pt;width:481.9pt;mso-position-horizontal-relative:page;mso-position-vertical-relative:page;z-index:251659264;mso-width-relative:page;mso-height-relative:page;" coordsize="21600,21600" o:allowoverlap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">
            <v:path arrowok="t"/>
            <v:fill focussize="0,0"/>
            <v:stroke/>
            <v:imagedata o:title=""/>
            <o:lock v:ext="edit"/>
          </v:line>
        </w:pict>
      </w:r>
    </w:p>
    <w:p w14:paraId="76ACAB30">
      <w:pPr>
        <w:pStyle w:val="50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070AFC5E">
      <w:pPr>
        <w:pStyle w:val="197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6" w:name="CSTD_NAME"/>
      <w:r>
        <w:instrText xml:space="preserve"> FORMTEXT </w:instrText>
      </w:r>
      <w:r>
        <w:fldChar w:fldCharType="separate"/>
      </w:r>
      <w:r>
        <w:t>化妆品用广西特色植物原料管理规范</w:t>
      </w:r>
      <w:r>
        <w:fldChar w:fldCharType="end"/>
      </w:r>
      <w:bookmarkEnd w:id="6"/>
    </w:p>
    <w:p w14:paraId="56E7EDC6">
      <w:pPr>
        <w:framePr w:w="9639" w:h="6974" w:hRule="exact" w:wrap="around" w:vAnchor="page" w:hAnchor="page" w:x="1419" w:y="6408" w:anchorLock="1"/>
        <w:ind w:left="-1418"/>
      </w:pPr>
    </w:p>
    <w:p w14:paraId="28F8AD5F">
      <w:pPr>
        <w:pStyle w:val="125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ascii="黑体" w:hAnsi="黑体" w:eastAsia="黑体"/>
          <w:szCs w:val="28"/>
        </w:rPr>
        <w:t xml:space="preserve">Management </w:t>
      </w:r>
      <w:r>
        <w:rPr>
          <w:rFonts w:hint="eastAsia" w:ascii="黑体" w:hAnsi="黑体" w:eastAsia="黑体"/>
          <w:szCs w:val="28"/>
        </w:rPr>
        <w:t>s</w:t>
      </w:r>
      <w:r>
        <w:rPr>
          <w:rFonts w:ascii="黑体" w:hAnsi="黑体" w:eastAsia="黑体"/>
          <w:szCs w:val="28"/>
        </w:rPr>
        <w:t xml:space="preserve">pecification for </w:t>
      </w:r>
      <w:r>
        <w:rPr>
          <w:rFonts w:hint="eastAsia" w:ascii="黑体" w:hAnsi="黑体" w:eastAsia="黑体"/>
          <w:szCs w:val="28"/>
        </w:rPr>
        <w:t>c</w:t>
      </w:r>
      <w:r>
        <w:rPr>
          <w:rFonts w:ascii="黑体" w:hAnsi="黑体" w:eastAsia="黑体"/>
          <w:szCs w:val="28"/>
        </w:rPr>
        <w:t xml:space="preserve">osmetics with Guangxi </w:t>
      </w:r>
      <w:r>
        <w:rPr>
          <w:rFonts w:hint="eastAsia" w:ascii="黑体" w:hAnsi="黑体" w:eastAsia="黑体"/>
          <w:szCs w:val="28"/>
        </w:rPr>
        <w:t>c</w:t>
      </w:r>
      <w:r>
        <w:rPr>
          <w:rFonts w:ascii="黑体" w:hAnsi="黑体" w:eastAsia="黑体"/>
          <w:szCs w:val="28"/>
        </w:rPr>
        <w:t xml:space="preserve">haracteristic </w:t>
      </w:r>
      <w:r>
        <w:rPr>
          <w:rFonts w:hint="eastAsia" w:ascii="黑体" w:hAnsi="黑体" w:eastAsia="黑体"/>
          <w:szCs w:val="28"/>
        </w:rPr>
        <w:t>p</w:t>
      </w:r>
      <w:r>
        <w:rPr>
          <w:rFonts w:ascii="黑体" w:hAnsi="黑体" w:eastAsia="黑体"/>
          <w:szCs w:val="28"/>
        </w:rPr>
        <w:t xml:space="preserve">lant </w:t>
      </w:r>
      <w:r>
        <w:rPr>
          <w:rFonts w:hint="eastAsia" w:ascii="黑体" w:hAnsi="黑体" w:eastAsia="黑体"/>
          <w:szCs w:val="28"/>
        </w:rPr>
        <w:t>r</w:t>
      </w:r>
      <w:r>
        <w:rPr>
          <w:rFonts w:ascii="黑体" w:hAnsi="黑体" w:eastAsia="黑体"/>
          <w:szCs w:val="28"/>
        </w:rPr>
        <w:t xml:space="preserve">aw </w:t>
      </w:r>
      <w:r>
        <w:rPr>
          <w:rFonts w:hint="eastAsia" w:ascii="黑体" w:hAnsi="黑体" w:eastAsia="黑体"/>
          <w:szCs w:val="28"/>
        </w:rPr>
        <w:t>m</w:t>
      </w:r>
      <w:r>
        <w:rPr>
          <w:rFonts w:ascii="黑体" w:hAnsi="黑体" w:eastAsia="黑体"/>
          <w:szCs w:val="28"/>
        </w:rPr>
        <w:t>aterials</w:t>
      </w:r>
    </w:p>
    <w:p w14:paraId="42C8FA8D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03B90BCD">
      <w:pPr>
        <w:pStyle w:val="125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5D8E54F3">
      <w:pPr>
        <w:pStyle w:val="125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7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7"/>
    </w:p>
    <w:p w14:paraId="34B3B1F9">
      <w:pPr>
        <w:pStyle w:val="125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8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8"/>
    </w:p>
    <w:p w14:paraId="038324A4">
      <w:pPr>
        <w:pStyle w:val="125"/>
        <w:framePr w:w="9639" w:h="6974" w:hRule="exact" w:wrap="around" w:vAnchor="page" w:hAnchor="page" w:x="1419" w:y="6408" w:anchorLock="1"/>
        <w:spacing w:beforeLines="300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9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9"/>
    </w:p>
    <w:p w14:paraId="11639B89">
      <w:pPr>
        <w:pStyle w:val="193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0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0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1" w:name="PLSH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2" w:name="PLSH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2"/>
      <w:r>
        <w:rPr>
          <w:rFonts w:hint="eastAsia"/>
        </w:rPr>
        <w:t>发布</w:t>
      </w:r>
    </w:p>
    <w:p w14:paraId="03964BD6">
      <w:pPr>
        <w:pStyle w:val="194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3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3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4" w:name="CROT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CROT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实施</w:t>
      </w:r>
    </w:p>
    <w:p w14:paraId="4E4CD485">
      <w:pPr>
        <w:pStyle w:val="151"/>
        <w:framePr w:h="851" w:hRule="exact" w:hSpace="181" w:vSpace="181" w:wrap="around" w:y="14800"/>
        <w:rPr>
          <w:rFonts w:hAnsi="黑体"/>
          <w:w w:val="100"/>
          <w:sz w:val="28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6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广西标准化协会</w:t>
      </w:r>
      <w:r>
        <w:rPr>
          <w:rFonts w:hAnsi="黑体"/>
          <w:w w:val="100"/>
          <w:sz w:val="28"/>
        </w:rPr>
        <w:fldChar w:fldCharType="end"/>
      </w:r>
      <w:bookmarkEnd w:id="16"/>
    </w:p>
    <w:p w14:paraId="69F59A41">
      <w:pPr>
        <w:pStyle w:val="151"/>
        <w:framePr w:h="851" w:hRule="exact" w:hSpace="181" w:vSpace="181" w:wrap="around" w:y="14800"/>
        <w:rPr>
          <w:rFonts w:hAnsi="黑体"/>
        </w:rPr>
      </w:pPr>
      <w:r>
        <w:rPr>
          <w:rFonts w:hint="eastAsia" w:hAnsi="黑体"/>
          <w:w w:val="100"/>
          <w:sz w:val="28"/>
          <w:lang w:val="en-US" w:eastAsia="zh-CN"/>
        </w:rPr>
        <w:t xml:space="preserve">         </w:t>
      </w:r>
      <w:r>
        <w:rPr>
          <w:rFonts w:hint="eastAsia" w:hAnsi="黑体"/>
          <w:w w:val="100"/>
          <w:sz w:val="28"/>
          <w:lang w:eastAsia="zh-CN"/>
        </w:rPr>
        <w:t>广西化妆品协会</w:t>
      </w:r>
      <w:r>
        <w:rPr>
          <w:rFonts w:ascii="Times New Roman"/>
          <w:w w:val="100"/>
          <w:sz w:val="28"/>
        </w:rPr>
        <w:t>  </w:t>
      </w:r>
      <w:r>
        <w:rPr>
          <w:rStyle w:val="229"/>
          <w:rFonts w:hint="eastAsia" w:hAnsi="黑体"/>
          <w:position w:val="0"/>
        </w:rPr>
        <w:t>发</w:t>
      </w:r>
      <w:r>
        <w:rPr>
          <w:rStyle w:val="229"/>
          <w:rFonts w:hint="eastAsia" w:hAnsi="黑体"/>
          <w:spacing w:val="0"/>
          <w:position w:val="0"/>
        </w:rPr>
        <w:t>布</w:t>
      </w:r>
    </w:p>
    <w:p w14:paraId="4D28C629">
      <w:pPr>
        <w:rPr>
          <w:rFonts w:ascii="宋体" w:hAnsi="宋体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567" w:right="1134" w:bottom="1134" w:left="1134" w:header="1418" w:footer="1134" w:gutter="284"/>
          <w:cols w:space="425" w:num="1"/>
          <w:titlePg/>
          <w:docGrid w:linePitch="312" w:charSpace="0"/>
        </w:sectPr>
      </w:pPr>
      <w:r>
        <w:rPr>
          <w:rFonts w:ascii="宋体" w:hAnsi="宋体"/>
          <w:sz w:val="28"/>
          <w:szCs w:val="28"/>
        </w:rPr>
        <w:pict>
          <v:line id="直接连接符 5" o:spid="_x0000_s2050" o:spt="20" style="position:absolute;left:0pt;margin-left:70.85pt;margin-top:728.6pt;height:0pt;width:481.9pt;mso-position-horizontal-relative:page;mso-position-vertical-relative:page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">
            <v:path arrowok="t"/>
            <v:fill focussize="0,0"/>
            <v:stroke/>
            <v:imagedata o:title=""/>
            <o:lock v:ext="edit"/>
            <w10:anchorlock/>
          </v:line>
        </w:pict>
      </w:r>
    </w:p>
    <w:p w14:paraId="1860050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17" w:name="BookMark4"/>
    </w:p>
    <w:p w14:paraId="2B9AA67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sdt>
      <w:sdtPr>
        <w:tag w:val="NEW_STAND_NAME"/>
        <w:id w:val="595910757"/>
        <w:lock w:val="sdtLocked"/>
        <w:placeholder>
          <w:docPart w:val="D5438F9EC0984082B87E89954B92F6A0"/>
        </w:placeholder>
      </w:sdtPr>
      <w:sdtContent>
        <w:p w14:paraId="1ABDF33F">
          <w:pPr>
            <w:pStyle w:val="177"/>
            <w:spacing w:beforeLines="1" w:afterLines="220"/>
          </w:pPr>
          <w:bookmarkStart w:id="18" w:name="NEW_STAND_NAME"/>
          <w:r>
            <w:rPr>
              <w:rFonts w:hint="eastAsia"/>
            </w:rPr>
            <w:t>化妆品用广西特色植物原料管理规范</w:t>
          </w:r>
        </w:p>
      </w:sdtContent>
    </w:sdt>
    <w:bookmarkEnd w:id="18"/>
    <w:p w14:paraId="04166F6D">
      <w:pPr>
        <w:pStyle w:val="104"/>
        <w:spacing w:before="240" w:after="240"/>
      </w:pPr>
      <w:bookmarkStart w:id="19" w:name="_Toc24884218"/>
      <w:bookmarkStart w:id="20" w:name="_Toc26718930"/>
      <w:bookmarkStart w:id="21" w:name="_Toc17233325"/>
      <w:bookmarkStart w:id="22" w:name="_Toc26986771"/>
      <w:bookmarkStart w:id="23" w:name="_Toc26986530"/>
      <w:bookmarkStart w:id="24" w:name="_Toc24884211"/>
      <w:bookmarkStart w:id="25" w:name="_Toc17233333"/>
      <w:bookmarkStart w:id="26" w:name="_Toc26648465"/>
      <w:bookmarkStart w:id="27" w:name="_Toc97192964"/>
      <w:r>
        <w:rPr>
          <w:rFonts w:hint="eastAsia"/>
        </w:rPr>
        <w:t>范围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13E868">
      <w:pPr>
        <w:pStyle w:val="56"/>
        <w:ind w:firstLine="420"/>
      </w:pPr>
      <w:bookmarkStart w:id="28" w:name="_Toc17233326"/>
      <w:bookmarkStart w:id="29" w:name="_Toc24884212"/>
      <w:bookmarkStart w:id="30" w:name="_Toc26648466"/>
      <w:bookmarkStart w:id="31" w:name="_Toc24884219"/>
      <w:bookmarkStart w:id="32" w:name="_Toc17233334"/>
      <w:r>
        <w:rPr>
          <w:rFonts w:hint="eastAsia"/>
        </w:rPr>
        <w:t>本文件</w:t>
      </w:r>
      <w:r>
        <w:rPr>
          <w:rFonts w:hint="eastAsia"/>
          <w:color w:val="000000"/>
        </w:rPr>
        <w:t>界定了</w:t>
      </w:r>
      <w:r>
        <w:rPr>
          <w:rFonts w:hint="eastAsia"/>
        </w:rPr>
        <w:t>广西特色植物原料</w:t>
      </w:r>
      <w:r>
        <w:rPr>
          <w:rFonts w:hint="eastAsia"/>
          <w:color w:val="000000"/>
        </w:rPr>
        <w:t>的术语和定义、分类，</w:t>
      </w:r>
      <w:r>
        <w:rPr>
          <w:rFonts w:hint="eastAsia"/>
        </w:rPr>
        <w:t>规定了化妆品用广西特色植物原料管理的基本原则、采购控制、贮存管理、使用管理、变更管理、注册备案。</w:t>
      </w:r>
    </w:p>
    <w:p w14:paraId="05B07983">
      <w:pPr>
        <w:pStyle w:val="56"/>
        <w:ind w:firstLine="420"/>
      </w:pPr>
      <w:r>
        <w:rPr>
          <w:rFonts w:hint="eastAsia"/>
        </w:rPr>
        <w:t>本文件适用于化妆品用广西特色植物原料的使用管理。</w:t>
      </w:r>
    </w:p>
    <w:p w14:paraId="0584AB38">
      <w:pPr>
        <w:pStyle w:val="104"/>
        <w:spacing w:before="240" w:after="240"/>
      </w:pPr>
      <w:bookmarkStart w:id="33" w:name="_Toc26986531"/>
      <w:bookmarkStart w:id="34" w:name="_Toc97192965"/>
      <w:bookmarkStart w:id="35" w:name="_Toc26718931"/>
      <w:bookmarkStart w:id="36" w:name="_Toc26986772"/>
      <w:r>
        <w:rPr>
          <w:rFonts w:hint="eastAsia"/>
        </w:rPr>
        <w:t>规范性引用文件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3CC98AE">
      <w:pPr>
        <w:pStyle w:val="56"/>
        <w:ind w:firstLine="420"/>
      </w:pPr>
      <w:r>
        <w:rPr>
          <w:rFonts w:hint="eastAsia"/>
        </w:rPr>
        <w:t>本文件没有规范性引用文件。</w:t>
      </w:r>
    </w:p>
    <w:p w14:paraId="5D62C762">
      <w:pPr>
        <w:pStyle w:val="104"/>
        <w:spacing w:before="240" w:after="240"/>
      </w:pPr>
      <w:bookmarkStart w:id="37" w:name="_Toc97192966"/>
      <w:r>
        <w:rPr>
          <w:rFonts w:hint="eastAsia"/>
          <w:szCs w:val="21"/>
        </w:rPr>
        <w:t>术语和定义</w:t>
      </w:r>
      <w:bookmarkEnd w:id="37"/>
    </w:p>
    <w:p w14:paraId="4F13BB79">
      <w:pPr>
        <w:pStyle w:val="56"/>
        <w:ind w:firstLine="420"/>
      </w:pPr>
      <w:bookmarkStart w:id="38" w:name="_Toc26986532"/>
      <w:bookmarkEnd w:id="38"/>
      <w:r>
        <w:t>下列术语和定义适用于本文件。</w:t>
      </w:r>
    </w:p>
    <w:p w14:paraId="381FC8BE">
      <w:pPr>
        <w:pStyle w:val="223"/>
        <w:ind w:left="420" w:hanging="420" w:hangingChars="200"/>
        <w:rPr>
          <w:rFonts w:ascii="黑体" w:hAnsi="黑体" w:eastAsia="黑体"/>
          <w:szCs w:val="28"/>
        </w:rPr>
      </w:pPr>
      <w:r>
        <w:rPr>
          <w:rFonts w:ascii="黑体" w:hAnsi="黑体" w:eastAsia="黑体"/>
        </w:rPr>
        <w:br w:type="textWrapping"/>
      </w:r>
      <w:r>
        <w:rPr>
          <w:rFonts w:hint="eastAsia" w:ascii="黑体" w:hAnsi="黑体" w:eastAsia="黑体"/>
        </w:rPr>
        <w:t xml:space="preserve">广西特色植物原料  </w:t>
      </w:r>
      <w:r>
        <w:rPr>
          <w:rFonts w:ascii="黑体" w:hAnsi="黑体" w:eastAsia="黑体"/>
          <w:szCs w:val="28"/>
        </w:rPr>
        <w:t xml:space="preserve">Guangxi </w:t>
      </w:r>
      <w:r>
        <w:rPr>
          <w:rFonts w:hint="eastAsia" w:ascii="黑体" w:hAnsi="黑体" w:eastAsia="黑体"/>
          <w:szCs w:val="28"/>
        </w:rPr>
        <w:t>c</w:t>
      </w:r>
      <w:r>
        <w:rPr>
          <w:rFonts w:ascii="黑体" w:hAnsi="黑体" w:eastAsia="黑体"/>
          <w:szCs w:val="28"/>
        </w:rPr>
        <w:t xml:space="preserve">haracteristic </w:t>
      </w:r>
      <w:r>
        <w:rPr>
          <w:rFonts w:hint="eastAsia" w:ascii="黑体" w:hAnsi="黑体" w:eastAsia="黑体"/>
          <w:szCs w:val="28"/>
        </w:rPr>
        <w:t>p</w:t>
      </w:r>
      <w:r>
        <w:rPr>
          <w:rFonts w:ascii="黑体" w:hAnsi="黑体" w:eastAsia="黑体"/>
          <w:szCs w:val="28"/>
        </w:rPr>
        <w:t xml:space="preserve">lant </w:t>
      </w:r>
      <w:r>
        <w:rPr>
          <w:rFonts w:hint="eastAsia" w:ascii="黑体" w:hAnsi="黑体" w:eastAsia="黑体"/>
          <w:szCs w:val="28"/>
        </w:rPr>
        <w:t>r</w:t>
      </w:r>
      <w:r>
        <w:rPr>
          <w:rFonts w:ascii="黑体" w:hAnsi="黑体" w:eastAsia="黑体"/>
          <w:szCs w:val="28"/>
        </w:rPr>
        <w:t xml:space="preserve">aw </w:t>
      </w:r>
      <w:r>
        <w:rPr>
          <w:rFonts w:hint="eastAsia" w:ascii="黑体" w:hAnsi="黑体" w:eastAsia="黑体"/>
          <w:szCs w:val="28"/>
        </w:rPr>
        <w:t>m</w:t>
      </w:r>
      <w:r>
        <w:rPr>
          <w:rFonts w:ascii="黑体" w:hAnsi="黑体" w:eastAsia="黑体"/>
          <w:szCs w:val="28"/>
        </w:rPr>
        <w:t>aterials</w:t>
      </w:r>
    </w:p>
    <w:p w14:paraId="11BF5ACC">
      <w:pPr>
        <w:spacing w:line="240" w:lineRule="auto"/>
        <w:ind w:firstLine="420" w:firstLineChars="200"/>
      </w:pPr>
      <w:r>
        <w:rPr>
          <w:rFonts w:hint="eastAsia" w:ascii="宋体" w:hAnsi="Times New Roman"/>
          <w:kern w:val="0"/>
          <w:szCs w:val="20"/>
        </w:rPr>
        <w:t>指在广西壮族自治区内自然生长或人工种植，具有特定地理来源、传统应用或独特功效的植物原料，包括植物的根、茎、叶、花、果实、种子等部位及其提取物。</w:t>
      </w:r>
    </w:p>
    <w:p w14:paraId="36D02BA6">
      <w:pPr>
        <w:pStyle w:val="104"/>
        <w:spacing w:before="240" w:after="240"/>
      </w:pPr>
      <w:r>
        <w:rPr>
          <w:rFonts w:hint="eastAsia"/>
        </w:rPr>
        <w:t>分类</w:t>
      </w:r>
    </w:p>
    <w:p w14:paraId="64CDE00E">
      <w:pPr>
        <w:spacing w:line="240" w:lineRule="auto"/>
        <w:ind w:firstLine="420" w:firstLineChars="200"/>
        <w:rPr>
          <w:rFonts w:ascii="宋体" w:hAnsi="Times New Roman"/>
          <w:kern w:val="0"/>
          <w:szCs w:val="20"/>
        </w:rPr>
      </w:pPr>
      <w:r>
        <w:rPr>
          <w:rFonts w:hint="eastAsia" w:ascii="宋体" w:hAnsi="Times New Roman"/>
          <w:kern w:val="0"/>
          <w:szCs w:val="20"/>
        </w:rPr>
        <w:t>根据广西特色植物原料的来源和应用特点，分为以下几类：</w:t>
      </w:r>
    </w:p>
    <w:p w14:paraId="27AE1A26">
      <w:pPr>
        <w:pStyle w:val="132"/>
      </w:pPr>
      <w:r>
        <w:rPr>
          <w:rFonts w:hint="eastAsia"/>
        </w:rPr>
        <w:t>传统特色类：八角（Illicium verum Hook.f.）、肉桂（Cinnamomum cassia Presl）、罗汉果（Siraitia grosvenorii (Swingle) C. Jeffrey ex Lu et Z. Y. Zhang）、金花茶</w:t>
      </w:r>
      <w:r>
        <w:rPr>
          <w:rFonts w:hint="eastAsia"/>
          <w:lang w:eastAsia="zh-CN"/>
        </w:rPr>
        <w:t>（</w:t>
      </w:r>
      <w:r>
        <w:rPr>
          <w:rFonts w:hint="eastAsia"/>
        </w:rPr>
        <w:t>Camellia petelotii</w:t>
      </w:r>
      <w:r>
        <w:rPr>
          <w:rFonts w:hint="eastAsia"/>
          <w:lang w:eastAsia="zh-CN"/>
        </w:rPr>
        <w:t>）、</w:t>
      </w:r>
      <w:r>
        <w:rPr>
          <w:rFonts w:hint="eastAsia"/>
        </w:rPr>
        <w:t>金银花（Lonicera japonica Thunb.）等具有广西地域特色和传统应用历史的植物原料；</w:t>
      </w:r>
    </w:p>
    <w:p w14:paraId="06D64FFC">
      <w:pPr>
        <w:pStyle w:val="132"/>
      </w:pPr>
      <w:r>
        <w:rPr>
          <w:rFonts w:hint="eastAsia"/>
        </w:rPr>
        <w:t>药食同源类：铁皮石斛（Dendrobium officinale Kimura et Migo）、金樱子（Rosa laevigata Michx.）、葛根（Pueraria lobata (Willd.) Ohwi）等既是食品又是中药材的植物原料；</w:t>
      </w:r>
    </w:p>
    <w:p w14:paraId="39822E81">
      <w:pPr>
        <w:pStyle w:val="132"/>
      </w:pPr>
      <w:r>
        <w:rPr>
          <w:rFonts w:hint="eastAsia"/>
        </w:rPr>
        <w:t>新资源类：通过现代生物技术培育或新开发的具有特殊功效的植物原料。</w:t>
      </w:r>
    </w:p>
    <w:p w14:paraId="7AADFC90">
      <w:pPr>
        <w:pStyle w:val="104"/>
        <w:spacing w:before="240" w:after="240"/>
      </w:pPr>
      <w:r>
        <w:rPr>
          <w:rFonts w:hint="eastAsia"/>
        </w:rPr>
        <w:t>基本原则</w:t>
      </w:r>
    </w:p>
    <w:p w14:paraId="1A2FA81B">
      <w:pPr>
        <w:pStyle w:val="56"/>
        <w:ind w:firstLine="420"/>
      </w:pPr>
      <w:r>
        <w:rPr>
          <w:rFonts w:hint="eastAsia"/>
        </w:rPr>
        <w:t>化妆品用广西特色植物原料使用管理应遵循下列基本原则：</w:t>
      </w:r>
    </w:p>
    <w:p w14:paraId="6609F355">
      <w:pPr>
        <w:pStyle w:val="132"/>
      </w:pPr>
      <w:r>
        <w:rPr>
          <w:rFonts w:hint="eastAsia"/>
        </w:rPr>
        <w:t>应符合化妆品相关法规、技术规范和强制性国家标准规定；不得使用未列入原料目录的植物原料；</w:t>
      </w:r>
    </w:p>
    <w:p w14:paraId="1E0D59B0">
      <w:pPr>
        <w:pStyle w:val="132"/>
      </w:pPr>
      <w:r>
        <w:rPr>
          <w:rFonts w:hint="eastAsia"/>
        </w:rPr>
        <w:t>原料应来源于广西壮族自治区内种植或采集的植物，种植过程应符合《中药材生产质量管理规范》（GAP）的要求，避免使用禁用农药和化肥。为中华人民共和国境内野生植物物种的，应符合《中华人民共和国野生植物保护条例》及相关物种保护政策的规定；</w:t>
      </w:r>
    </w:p>
    <w:p w14:paraId="6490A3CB">
      <w:pPr>
        <w:pStyle w:val="132"/>
      </w:pPr>
      <w:r>
        <w:t>在选择原料时除应满足化妆品配方开发的需求外，还应对原料的合规性、安全风险、技术特性和标准进行全面的评估以保障化妆品的质量安全</w:t>
      </w:r>
      <w:r>
        <w:rPr>
          <w:rFonts w:hint="eastAsia"/>
        </w:rPr>
        <w:t>；</w:t>
      </w:r>
    </w:p>
    <w:p w14:paraId="7BD28963">
      <w:pPr>
        <w:pStyle w:val="132"/>
      </w:pPr>
      <w:r>
        <w:t>应根据原料的物理化学特性、配方中的用量、用途等信息在原料的选择、评价、采购、验收、</w:t>
      </w:r>
      <w:r>
        <w:rPr>
          <w:rFonts w:hint="eastAsia"/>
        </w:rPr>
        <w:t>贮存</w:t>
      </w:r>
      <w:r>
        <w:t>、使用等环节对可能存在的风险进行有效的控制。</w:t>
      </w:r>
    </w:p>
    <w:p w14:paraId="7E0EF378">
      <w:pPr>
        <w:pStyle w:val="104"/>
        <w:spacing w:before="240" w:after="240"/>
      </w:pPr>
      <w:r>
        <w:rPr>
          <w:rFonts w:hint="eastAsia"/>
        </w:rPr>
        <w:t>采购控制</w:t>
      </w:r>
    </w:p>
    <w:p w14:paraId="5A73586E">
      <w:pPr>
        <w:pStyle w:val="105"/>
        <w:spacing w:before="120" w:after="120"/>
        <w:rPr>
          <w:rFonts w:hint="eastAsia" w:ascii="黑体" w:hAnsi="Times New Roman" w:eastAsia="黑体" w:cs="Times New Roman"/>
          <w:sz w:val="21"/>
          <w:lang w:val="en-US" w:eastAsia="zh-CN" w:bidi="ar-SA"/>
        </w:rPr>
      </w:pPr>
      <w:r>
        <w:rPr>
          <w:rFonts w:hint="eastAsia" w:ascii="黑体" w:hAnsi="Times New Roman" w:eastAsia="黑体" w:cs="Times New Roman"/>
          <w:sz w:val="21"/>
          <w:lang w:val="en-US" w:eastAsia="zh-CN" w:bidi="ar-SA"/>
        </w:rPr>
        <w:t>采购标准</w:t>
      </w:r>
    </w:p>
    <w:p w14:paraId="3AFF40C3">
      <w:pPr>
        <w:pStyle w:val="65"/>
        <w:spacing w:before="120" w:after="120"/>
        <w:rPr>
          <w:rFonts w:hint="eastAsia" w:ascii="黑体" w:hAnsi="Times New Roman" w:eastAsia="黑体" w:cs="Times New Roman"/>
          <w:sz w:val="21"/>
          <w:lang w:val="en-US" w:eastAsia="zh-CN" w:bidi="ar-SA"/>
        </w:rPr>
      </w:pPr>
      <w:r>
        <w:rPr>
          <w:rFonts w:hint="eastAsia" w:ascii="黑体" w:hAnsi="Times New Roman" w:eastAsia="黑体" w:cs="Times New Roman"/>
          <w:sz w:val="21"/>
          <w:lang w:val="en-US" w:eastAsia="zh-CN" w:bidi="ar-SA"/>
        </w:rPr>
        <w:t>品种合规性</w:t>
      </w:r>
    </w:p>
    <w:p w14:paraId="318640C7">
      <w:pPr>
        <w:pStyle w:val="56"/>
        <w:ind w:firstLine="420"/>
      </w:pPr>
      <w:r>
        <w:t>列出允许采购的品种，禁止采购野生保护物种、未纳入化妆品原料目录的品种。</w:t>
      </w:r>
    </w:p>
    <w:p w14:paraId="01742241">
      <w:pPr>
        <w:pStyle w:val="65"/>
        <w:spacing w:before="120" w:after="120"/>
      </w:pPr>
      <w:r>
        <w:rPr>
          <w:rFonts w:hint="eastAsia"/>
        </w:rPr>
        <w:t>质量要求</w:t>
      </w:r>
    </w:p>
    <w:p w14:paraId="6FF71734">
      <w:pPr>
        <w:pStyle w:val="56"/>
        <w:ind w:firstLine="420"/>
      </w:pPr>
      <w:r>
        <w:t>企业</w:t>
      </w:r>
      <w:r>
        <w:rPr>
          <w:rFonts w:hint="eastAsia"/>
          <w:lang w:eastAsia="zh-CN"/>
        </w:rPr>
        <w:t>应确定进货</w:t>
      </w:r>
      <w:r>
        <w:t>标准</w:t>
      </w:r>
      <w:r>
        <w:rPr>
          <w:rFonts w:hint="eastAsia"/>
          <w:lang w:eastAsia="zh-CN"/>
        </w:rPr>
        <w:t>，包括</w:t>
      </w:r>
      <w:r>
        <w:t>外观、内在品质、加工要求等。</w:t>
      </w:r>
    </w:p>
    <w:p w14:paraId="4FA59FB4">
      <w:pPr>
        <w:pStyle w:val="105"/>
        <w:spacing w:before="120" w:after="120"/>
        <w:rPr>
          <w:rFonts w:hint="eastAsia" w:ascii="黑体" w:hAnsi="Times New Roman" w:eastAsia="黑体" w:cs="Times New Roman"/>
          <w:sz w:val="21"/>
          <w:lang w:val="en-US" w:eastAsia="zh-CN" w:bidi="ar-SA"/>
        </w:rPr>
      </w:pPr>
      <w:r>
        <w:rPr>
          <w:rFonts w:hint="eastAsia" w:ascii="黑体" w:hAnsi="Times New Roman" w:eastAsia="黑体" w:cs="Times New Roman"/>
          <w:sz w:val="21"/>
          <w:lang w:val="en-US" w:eastAsia="zh-CN" w:bidi="ar-SA"/>
        </w:rPr>
        <w:t>采购验收</w:t>
      </w:r>
    </w:p>
    <w:p w14:paraId="3E1C624A">
      <w:pPr>
        <w:pStyle w:val="65"/>
        <w:spacing w:before="120" w:after="120"/>
        <w:rPr>
          <w:rFonts w:hint="eastAsia" w:ascii="黑体" w:hAnsi="Times New Roman" w:eastAsia="黑体" w:cs="Times New Roman"/>
          <w:sz w:val="21"/>
          <w:lang w:val="en-US" w:eastAsia="zh-CN" w:bidi="ar-SA"/>
        </w:rPr>
      </w:pPr>
      <w:r>
        <w:rPr>
          <w:rFonts w:hint="eastAsia" w:ascii="黑体" w:hAnsi="Times New Roman" w:eastAsia="黑体" w:cs="Times New Roman"/>
          <w:sz w:val="21"/>
          <w:lang w:val="en-US" w:eastAsia="zh-CN" w:bidi="ar-SA"/>
        </w:rPr>
        <w:t>验收流程</w:t>
      </w:r>
    </w:p>
    <w:p w14:paraId="6E4115B2">
      <w:pPr>
        <w:pStyle w:val="105"/>
        <w:numPr>
          <w:ilvl w:val="2"/>
          <w:numId w:val="0"/>
        </w:numPr>
        <w:spacing w:before="120" w:after="120"/>
        <w:ind w:firstLine="420" w:firstLineChars="200"/>
        <w:rPr>
          <w:rFonts w:ascii="Times New Roman" w:hAnsi="Times New Roman" w:eastAsia="宋体" w:cs="Times New Roman"/>
          <w:sz w:val="21"/>
          <w:lang w:val="en-US" w:eastAsia="zh-CN" w:bidi="ar-SA"/>
        </w:rPr>
      </w:pPr>
      <w:r>
        <w:rPr>
          <w:rFonts w:ascii="Times New Roman" w:hAnsi="Times New Roman" w:eastAsia="宋体" w:cs="Times New Roman"/>
          <w:sz w:val="21"/>
          <w:lang w:val="en-US" w:eastAsia="zh-CN" w:bidi="ar-SA"/>
        </w:rPr>
        <w:t>验收需由采购、质检等多部门协同，按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“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资料查验→抽样检测→记录存档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”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步骤执行。</w:t>
      </w:r>
    </w:p>
    <w:p w14:paraId="33AB9314">
      <w:pPr>
        <w:pStyle w:val="65"/>
        <w:spacing w:before="120" w:after="120"/>
      </w:pPr>
      <w:r>
        <w:rPr>
          <w:rFonts w:hint="eastAsia"/>
        </w:rPr>
        <w:t>查验</w:t>
      </w:r>
      <w:r>
        <w:t>证明文件</w:t>
      </w:r>
    </w:p>
    <w:p w14:paraId="144F2F35">
      <w:pPr>
        <w:pStyle w:val="65"/>
        <w:numPr>
          <w:ilvl w:val="3"/>
          <w:numId w:val="0"/>
        </w:numPr>
        <w:spacing w:before="120" w:after="120"/>
        <w:ind w:leftChars="0" w:firstLine="420" w:firstLineChars="200"/>
        <w:rPr>
          <w:rFonts w:ascii="Times New Roman" w:hAnsi="Times New Roman" w:eastAsia="宋体" w:cs="Times New Roman"/>
          <w:sz w:val="21"/>
          <w:lang w:val="en-US" w:eastAsia="zh-CN" w:bidi="ar-SA"/>
        </w:rPr>
      </w:pPr>
      <w:r>
        <w:rPr>
          <w:rFonts w:ascii="Times New Roman" w:hAnsi="Times New Roman" w:eastAsia="宋体" w:cs="Times New Roman"/>
          <w:sz w:val="21"/>
          <w:lang w:val="en-US" w:eastAsia="zh-CN" w:bidi="ar-SA"/>
        </w:rPr>
        <w:t>供应商提供相关经营许可证</w:t>
      </w:r>
      <w:r>
        <w:rPr>
          <w:rFonts w:hint="eastAsia" w:ascii="Times New Roman" w:eastAsia="宋体" w:cs="Times New Roman"/>
          <w:sz w:val="21"/>
          <w:lang w:val="en-US" w:eastAsia="zh-CN" w:bidi="ar-SA"/>
        </w:rPr>
        <w:t>明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。</w:t>
      </w:r>
    </w:p>
    <w:p w14:paraId="21DA6254">
      <w:pPr>
        <w:pStyle w:val="65"/>
        <w:spacing w:before="120" w:after="120"/>
      </w:pPr>
      <w:r>
        <w:rPr>
          <w:rFonts w:hint="eastAsia"/>
        </w:rPr>
        <w:t>抽样检测</w:t>
      </w:r>
    </w:p>
    <w:p w14:paraId="5CEFF873">
      <w:pPr>
        <w:pStyle w:val="56"/>
        <w:ind w:firstLine="420"/>
      </w:pPr>
      <w:r>
        <w:t>按比例抽样，进行</w:t>
      </w:r>
      <w:r>
        <w:rPr>
          <w:rFonts w:hint="eastAsia"/>
          <w:lang w:eastAsia="zh-CN"/>
        </w:rPr>
        <w:t>感官</w:t>
      </w:r>
      <w:r>
        <w:t>检测；对高风险原料（如易重金属超标的根茎类），送第三方检测机构检测</w:t>
      </w:r>
      <w:r>
        <w:rPr>
          <w:rFonts w:hint="eastAsia"/>
          <w:lang w:eastAsia="zh-CN"/>
        </w:rPr>
        <w:t>关键指标</w:t>
      </w:r>
      <w:r>
        <w:t>，合格后方可入库。</w:t>
      </w:r>
    </w:p>
    <w:p w14:paraId="6B8F98C3">
      <w:pPr>
        <w:pStyle w:val="65"/>
        <w:spacing w:before="120" w:after="120"/>
      </w:pPr>
      <w:r>
        <w:rPr>
          <w:rFonts w:hint="eastAsia"/>
        </w:rPr>
        <w:t>不合格处理</w:t>
      </w:r>
    </w:p>
    <w:p w14:paraId="572F16E1">
      <w:pPr>
        <w:pStyle w:val="56"/>
        <w:ind w:firstLine="420"/>
      </w:pPr>
      <w:r>
        <w:t>对验收不合格的原料，记录拒收原因，并明确处理方式（退回、销毁），避免流入生产环节。</w:t>
      </w:r>
    </w:p>
    <w:p w14:paraId="05401331">
      <w:pPr>
        <w:pStyle w:val="105"/>
        <w:spacing w:before="120" w:after="120"/>
      </w:pPr>
      <w:r>
        <w:rPr>
          <w:rFonts w:hint="eastAsia"/>
        </w:rPr>
        <w:t>记录存档</w:t>
      </w:r>
    </w:p>
    <w:p w14:paraId="5EB05273">
      <w:pPr>
        <w:pStyle w:val="56"/>
      </w:pPr>
      <w:r>
        <w:t>记录原料信息：植物的通用名、种属名称（包括物种、属、科），植物来源（产地），原料所用植物部位（如茎、叶、花、果、根等），原料制剂的种类（提取液、汁、油、冻干粉等）</w:t>
      </w:r>
      <w:r>
        <w:rPr>
          <w:rFonts w:hint="eastAsia"/>
          <w:lang w:eastAsia="zh-CN"/>
        </w:rPr>
        <w:t>；以及</w:t>
      </w:r>
      <w:r>
        <w:t>供应商名称及联系方式、采购日期、数量、验收结果、入库时间等</w:t>
      </w:r>
      <w:r>
        <w:rPr>
          <w:rFonts w:hint="eastAsia"/>
        </w:rPr>
        <w:t>，</w:t>
      </w:r>
      <w:r>
        <w:t>记录保存至</w:t>
      </w:r>
      <w:r>
        <w:rPr>
          <w:rFonts w:ascii="宋体" w:hAnsi="宋体"/>
        </w:rPr>
        <w:t>少2</w:t>
      </w:r>
      <w:r>
        <w:t>年。</w:t>
      </w:r>
    </w:p>
    <w:p w14:paraId="46EB2B02">
      <w:pPr>
        <w:pStyle w:val="105"/>
        <w:spacing w:before="120" w:after="120"/>
      </w:pPr>
      <w:r>
        <w:rPr>
          <w:rFonts w:hint="eastAsia"/>
        </w:rPr>
        <w:t>定期评估与风险监测</w:t>
      </w:r>
    </w:p>
    <w:p w14:paraId="21BA81FC">
      <w:pPr>
        <w:pStyle w:val="65"/>
        <w:spacing w:before="120" w:after="120"/>
        <w:rPr>
          <w:rFonts w:ascii="宋体" w:eastAsia="宋体"/>
        </w:rPr>
      </w:pPr>
      <w:r>
        <w:rPr>
          <w:rFonts w:hint="eastAsia"/>
        </w:rPr>
        <w:t>供应商动态评估</w:t>
      </w:r>
    </w:p>
    <w:p w14:paraId="775C0BE1">
      <w:pPr>
        <w:pStyle w:val="56"/>
        <w:ind w:firstLine="420"/>
      </w:pPr>
      <w:r>
        <w:rPr>
          <w:rFonts w:hint="eastAsia"/>
          <w:lang w:eastAsia="zh-CN"/>
        </w:rPr>
        <w:t>定期</w:t>
      </w:r>
      <w:r>
        <w:t>对供应商进行评分（依据原料合格率、供货稳定性、问题响应速度），淘汰连</w:t>
      </w:r>
      <w:r>
        <w:rPr>
          <w:rFonts w:ascii="宋体" w:hAnsi="宋体"/>
        </w:rPr>
        <w:t>续</w:t>
      </w:r>
      <w:r>
        <w:rPr>
          <w:rFonts w:hint="eastAsia" w:ascii="宋体" w:hAnsi="宋体"/>
        </w:rPr>
        <w:t>2</w:t>
      </w:r>
      <w:r>
        <w:rPr>
          <w:rFonts w:ascii="宋体" w:hAnsi="宋体"/>
        </w:rPr>
        <w:t>次</w:t>
      </w:r>
      <w:r>
        <w:t>验收不合格的供应商。</w:t>
      </w:r>
    </w:p>
    <w:p w14:paraId="3C02C4C2">
      <w:pPr>
        <w:pStyle w:val="65"/>
        <w:spacing w:before="120" w:after="120"/>
      </w:pPr>
      <w:r>
        <w:rPr>
          <w:rFonts w:hint="eastAsia"/>
        </w:rPr>
        <w:t>原料风险监测</w:t>
      </w:r>
    </w:p>
    <w:p w14:paraId="17E75181">
      <w:pPr>
        <w:pStyle w:val="56"/>
        <w:ind w:firstLine="420"/>
      </w:pPr>
      <w:r>
        <w:t>定期自主送检，关注农残、重金属等风险指标变化</w:t>
      </w:r>
      <w:r>
        <w:rPr>
          <w:rFonts w:hint="eastAsia"/>
          <w:lang w:eastAsia="zh-CN"/>
        </w:rPr>
        <w:t>，发现风险应及时上报监管部门并采取相应防范措施</w:t>
      </w:r>
      <w:r>
        <w:t>。</w:t>
      </w:r>
    </w:p>
    <w:p w14:paraId="565AF426">
      <w:pPr>
        <w:pStyle w:val="65"/>
        <w:spacing w:before="120" w:after="120"/>
      </w:pPr>
      <w:r>
        <w:rPr>
          <w:rFonts w:hint="eastAsia"/>
        </w:rPr>
        <w:t>内部自查</w:t>
      </w:r>
    </w:p>
    <w:p w14:paraId="710F027F">
      <w:pPr>
        <w:pStyle w:val="56"/>
        <w:ind w:firstLine="420"/>
      </w:pPr>
      <w:r>
        <w:t>每月抽查采购验收记录，核对</w:t>
      </w:r>
      <w:r>
        <w:rPr>
          <w:rFonts w:hint="eastAsia"/>
        </w:rPr>
        <w:t>“</w:t>
      </w:r>
      <w:r>
        <w:t>标准</w:t>
      </w:r>
      <w:r>
        <w:rPr>
          <w:rFonts w:hint="eastAsia"/>
        </w:rPr>
        <w:t>—</w:t>
      </w:r>
      <w:r>
        <w:t>检测</w:t>
      </w:r>
      <w:r>
        <w:rPr>
          <w:rFonts w:hint="eastAsia"/>
        </w:rPr>
        <w:t>—</w:t>
      </w:r>
      <w:r>
        <w:t>记录</w:t>
      </w:r>
      <w:r>
        <w:rPr>
          <w:rFonts w:hint="eastAsia"/>
        </w:rPr>
        <w:t>”</w:t>
      </w:r>
      <w:r>
        <w:t>是否一致，发现问题及时追溯（如某批次原料检测合格但台账未记录，需补全并查明原因）。</w:t>
      </w:r>
    </w:p>
    <w:p w14:paraId="2876672E">
      <w:pPr>
        <w:pStyle w:val="56"/>
        <w:ind w:firstLine="420"/>
      </w:pPr>
    </w:p>
    <w:p w14:paraId="628363C8">
      <w:pPr>
        <w:pStyle w:val="104"/>
        <w:spacing w:before="240" w:after="240"/>
      </w:pPr>
      <w:r>
        <w:rPr>
          <w:rFonts w:hint="eastAsia"/>
        </w:rPr>
        <w:t>贮存管理</w:t>
      </w:r>
    </w:p>
    <w:p w14:paraId="342CF1E9">
      <w:pPr>
        <w:pStyle w:val="105"/>
        <w:numPr>
          <w:ilvl w:val="2"/>
          <w:numId w:val="0"/>
        </w:numPr>
        <w:spacing w:before="120" w:after="120"/>
        <w:ind w:leftChars="0" w:firstLine="420" w:firstLineChars="200"/>
        <w:rPr>
          <w:rFonts w:ascii="Times New Roman" w:hAnsi="Times New Roman" w:eastAsia="宋体" w:cs="Times New Roman"/>
          <w:sz w:val="21"/>
          <w:lang w:val="en-US" w:eastAsia="zh-CN" w:bidi="ar-SA"/>
        </w:rPr>
      </w:pPr>
      <w:r>
        <w:rPr>
          <w:rFonts w:ascii="Times New Roman" w:hAnsi="Times New Roman" w:eastAsia="宋体" w:cs="Times New Roman"/>
          <w:sz w:val="21"/>
          <w:lang w:val="en-US" w:eastAsia="zh-CN" w:bidi="ar-SA"/>
        </w:rPr>
        <w:t>广西特色植物原料因含挥发油、活性成分、易霉变等原料特性，其贮存管理需兼顾防潮、防霉变、防挥发、防虫害、保活性等核心目标。</w:t>
      </w:r>
    </w:p>
    <w:p w14:paraId="301E5785">
      <w:pPr>
        <w:pStyle w:val="105"/>
        <w:spacing w:before="120" w:after="120"/>
      </w:pPr>
      <w:r>
        <w:rPr>
          <w:rFonts w:hint="eastAsia" w:ascii="Times New Roman" w:eastAsia="宋体" w:cs="Times New Roman"/>
          <w:sz w:val="21"/>
          <w:lang w:val="en-US" w:eastAsia="zh-CN" w:bidi="ar-SA"/>
        </w:rPr>
        <w:t>仓库需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定期通风，避免仓库内异味、水汽积聚</w:t>
      </w:r>
      <w:r>
        <w:rPr>
          <w:rFonts w:hint="eastAsia" w:ascii="Times New Roman" w:eastAsia="宋体" w:cs="Times New Roman"/>
          <w:sz w:val="21"/>
          <w:lang w:val="en-US" w:eastAsia="zh-CN" w:bidi="ar-SA"/>
        </w:rPr>
        <w:t>；需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定期消毒，避免微生物滋生</w:t>
      </w:r>
      <w:r>
        <w:rPr>
          <w:rFonts w:hint="eastAsia" w:ascii="Times New Roman" w:eastAsia="宋体" w:cs="Times New Roman"/>
          <w:sz w:val="21"/>
          <w:lang w:val="en-US" w:eastAsia="zh-CN" w:bidi="ar-SA"/>
        </w:rPr>
        <w:t>；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窗户</w:t>
      </w:r>
      <w:r>
        <w:rPr>
          <w:rFonts w:hint="eastAsia" w:ascii="Times New Roman" w:eastAsia="宋体" w:cs="Times New Roman"/>
          <w:sz w:val="21"/>
          <w:lang w:val="en-US" w:eastAsia="zh-CN" w:bidi="ar-SA"/>
        </w:rPr>
        <w:t>需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加装遮光帘，避免直接光照。</w:t>
      </w:r>
    </w:p>
    <w:p w14:paraId="136B10F1">
      <w:pPr>
        <w:pStyle w:val="105"/>
        <w:spacing w:before="120" w:after="120"/>
      </w:pPr>
      <w:r>
        <w:rPr>
          <w:rFonts w:ascii="Times New Roman" w:hAnsi="Times New Roman" w:eastAsia="宋体" w:cs="Times New Roman"/>
          <w:sz w:val="21"/>
          <w:lang w:val="en-US" w:eastAsia="zh-CN" w:bidi="ar-SA"/>
        </w:rPr>
        <w:t>需在15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 xml:space="preserve"> ℃～25 ℃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下贮存，避免高温（超过30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 xml:space="preserve"> ℃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）</w:t>
      </w:r>
      <w:r>
        <w:rPr>
          <w:rFonts w:hint="eastAsia" w:ascii="Times New Roman" w:eastAsia="宋体" w:cs="Times New Roman"/>
          <w:sz w:val="21"/>
          <w:lang w:val="en-US" w:eastAsia="zh-CN" w:bidi="ar-SA"/>
        </w:rPr>
        <w:t>导致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挥发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或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活性成分的分解。部分易氧化原料（如金花茶鲜品、茉莉花茶）需低温贮存（0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～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10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 xml:space="preserve"> ℃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），但需避免冷冻防止细胞破裂导致风味流失。</w:t>
      </w:r>
    </w:p>
    <w:p w14:paraId="31E6726A">
      <w:pPr>
        <w:pStyle w:val="105"/>
        <w:spacing w:before="120" w:after="120"/>
        <w:rPr>
          <w:rFonts w:ascii="宋体" w:hAnsi="宋体"/>
        </w:rPr>
      </w:pP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配备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除湿机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或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生石灰吸湿袋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、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地面铺防潮垫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、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避免仓库靠近水源或墙体渗水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，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控制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仓库内</w:t>
      </w:r>
      <w:r>
        <w:rPr>
          <w:rFonts w:ascii="Times New Roman" w:hAnsi="Times New Roman" w:eastAsia="宋体" w:cs="Times New Roman"/>
          <w:sz w:val="21"/>
          <w:lang w:val="en-US" w:eastAsia="zh-CN" w:bidi="ar-SA"/>
        </w:rPr>
        <w:t>空气相对湿度60%以下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。</w:t>
      </w:r>
    </w:p>
    <w:p w14:paraId="532FDF64">
      <w:pPr>
        <w:pStyle w:val="105"/>
        <w:spacing w:before="120" w:after="120"/>
        <w:rPr>
          <w:rFonts w:ascii="宋体" w:hAnsi="宋体"/>
        </w:rPr>
      </w:pPr>
      <w:r>
        <w:rPr>
          <w:rFonts w:ascii="Times New Roman" w:hAnsi="Times New Roman" w:eastAsia="宋体" w:cs="Times New Roman"/>
          <w:sz w:val="21"/>
          <w:lang w:val="en-US" w:eastAsia="zh-CN" w:bidi="ar-SA"/>
        </w:rPr>
        <w:t>短期周转原料（1个月内）放于仓库出入口附近，长期贮存原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料（3个月以上）放于内侧，优先使用短期原料，减少积压。禁止与有毒有害物品（农药、化肥、化学试剂）同库；避免与含水量高的物品同存，防止交叉吸潮。</w:t>
      </w:r>
    </w:p>
    <w:p w14:paraId="474F4475">
      <w:pPr>
        <w:pStyle w:val="104"/>
        <w:spacing w:before="240" w:after="240"/>
      </w:pPr>
      <w:r>
        <w:rPr>
          <w:rFonts w:hint="eastAsia"/>
        </w:rPr>
        <w:t>使用管理</w:t>
      </w:r>
    </w:p>
    <w:p w14:paraId="03964D10">
      <w:pPr>
        <w:pStyle w:val="162"/>
      </w:pPr>
      <w:r>
        <w:rPr>
          <w:rFonts w:hint="eastAsia"/>
        </w:rPr>
        <w:t>在生产进程中需对全程进行清晰标识，以确保产品具备可追溯性。</w:t>
      </w:r>
    </w:p>
    <w:p w14:paraId="11BAB53E">
      <w:pPr>
        <w:pStyle w:val="162"/>
      </w:pPr>
      <w:r>
        <w:rPr>
          <w:rFonts w:hint="eastAsia"/>
        </w:rPr>
        <w:t>企业需依据生产指令要求，从库房领取相应的原料。领取过程中，应仔细核对原料的名称、数量、规格等信息，以避免出现错领、误领的情况</w:t>
      </w:r>
      <w:r>
        <w:rPr>
          <w:rFonts w:hint="eastAsia"/>
          <w:lang w:eastAsia="zh-CN"/>
        </w:rPr>
        <w:t>，并记录</w:t>
      </w:r>
      <w:r>
        <w:t>加工和纯化过程、溶剂种类、提取比例</w:t>
      </w:r>
      <w:r>
        <w:rPr>
          <w:rFonts w:hint="eastAsia"/>
          <w:lang w:eastAsia="zh-CN"/>
        </w:rPr>
        <w:t>等关键信息。</w:t>
      </w:r>
      <w:r>
        <w:rPr>
          <w:rFonts w:hint="eastAsia"/>
        </w:rPr>
        <w:t xml:space="preserve"> </w:t>
      </w:r>
    </w:p>
    <w:p w14:paraId="4C4136B0">
      <w:pPr>
        <w:pStyle w:val="162"/>
      </w:pPr>
      <w:r>
        <w:rPr>
          <w:rFonts w:hint="eastAsia"/>
        </w:rPr>
        <w:t xml:space="preserve">当生产结存的原料退回仓库时，退仓的原料应做好标识，如有必要，需重新进行包装。 </w:t>
      </w:r>
    </w:p>
    <w:p w14:paraId="538FB5FF">
      <w:pPr>
        <w:pStyle w:val="162"/>
      </w:pPr>
      <w:r>
        <w:rPr>
          <w:rFonts w:hint="eastAsia"/>
        </w:rPr>
        <w:t>原料在投料前发现感官项目指标发生变化的，应分析相关原因以及是否可采用补救措施。采用补救措施的原料应保证原料的活性成分的稳定，同时不得产生新的安全风险物质。</w:t>
      </w:r>
    </w:p>
    <w:p w14:paraId="3EDCB54C">
      <w:pPr>
        <w:pStyle w:val="104"/>
        <w:spacing w:before="240" w:after="240"/>
      </w:pPr>
      <w:r>
        <w:rPr>
          <w:rFonts w:hint="eastAsia"/>
        </w:rPr>
        <w:t>变更管理</w:t>
      </w:r>
    </w:p>
    <w:p w14:paraId="4AEB6B0D">
      <w:pPr>
        <w:pStyle w:val="162"/>
      </w:pPr>
      <w:r>
        <w:rPr>
          <w:rFonts w:hint="eastAsia"/>
        </w:rPr>
        <w:t>变更涵盖原料的组成成分、配比、生产工艺、生产线、产地、技术指标、包装材料、有效期等方面，此类变更可能对原料的合规性、安全性及技术特性等产生影响。企业需构建原料变更的管理机制。</w:t>
      </w:r>
    </w:p>
    <w:p w14:paraId="22D810BD">
      <w:pPr>
        <w:pStyle w:val="162"/>
      </w:pPr>
      <w:r>
        <w:rPr>
          <w:rFonts w:hint="eastAsia"/>
        </w:rPr>
        <w:t>企业应当对原料变更可能产生的影响进行评估。若原料变更致使配方中各原料的配比发生调整，企业需及时进行产品注册或备案。必要情况下，企业应开展相关测试验证工作，以确定变更的有效性与适用性。</w:t>
      </w:r>
    </w:p>
    <w:p w14:paraId="0B2FD267">
      <w:pPr>
        <w:pStyle w:val="104"/>
        <w:spacing w:before="240" w:after="240"/>
      </w:pPr>
      <w:r>
        <w:rPr>
          <w:rFonts w:hint="eastAsia"/>
        </w:rPr>
        <w:t>注册备案</w:t>
      </w:r>
    </w:p>
    <w:p w14:paraId="54D58711">
      <w:pPr>
        <w:pStyle w:val="162"/>
        <w:rPr>
          <w:rFonts w:hint="eastAsia"/>
        </w:rPr>
      </w:pPr>
      <w:r>
        <w:rPr>
          <w:rFonts w:hint="eastAsia"/>
        </w:rPr>
        <w:t>使用特色植物原料的化妆品申请注册（进行备案）时，或特色植物原料进行新原料注册备案时，应符合相关管理办法要求。</w:t>
      </w:r>
    </w:p>
    <w:p w14:paraId="0AE698D0">
      <w:pPr>
        <w:pStyle w:val="162"/>
      </w:pPr>
      <w:r>
        <w:rPr>
          <w:rFonts w:hint="eastAsia"/>
        </w:rPr>
        <w:t>应当识别原植物的具体使用部位。应明确物种信息、拉丁名、提取部位，农药残留风险等信息。</w:t>
      </w:r>
    </w:p>
    <w:p w14:paraId="41BA90D7">
      <w:pPr>
        <w:pStyle w:val="162"/>
      </w:pPr>
      <w:r>
        <w:rPr>
          <w:rFonts w:hint="eastAsia"/>
        </w:rPr>
        <w:t>配方中使用通过水蒸气蒸馏得到的植物原料，其标准中文名称应根据制备工艺所得的实际产物，按照《已使用化妆品原料目录（2021年版）》中已收录的原料名称规范填报。如果《已使用化妆品原料目录（2021年版）》中无相应名称的水蒸气蒸馏得到的原料，但相应植物提取物名称已收录在上述目录中，可按植物提取物的名称填报，同时在配方表备注栏中进行说明。例如，晚香玉（POLIANTHES TUBEROSA）花通过水蒸气蒸馏得到的油状液体，可填报为晚香玉（POLIANTHESTUBEROSA）提取物，并在配方表备注栏中说明“使用部位为花，实际为晚香玉（POLIANTHESTUBEROSA）花油”。</w:t>
      </w:r>
    </w:p>
    <w:p w14:paraId="37A8D7A5">
      <w:pPr>
        <w:pStyle w:val="162"/>
      </w:pPr>
      <w:r>
        <w:rPr>
          <w:rFonts w:hint="eastAsia"/>
        </w:rPr>
        <w:t>使用植物名称描述化妆品产品的香型、颜色或者形状的，配方中可以不含此原料，命名时可以在通用名中采用植物名称加香型、颜色或者形状的形式，也可以在属性名后加后缀注明，如黄瓜味洗面奶或者洗面奶（黄瓜味）。</w:t>
      </w:r>
    </w:p>
    <w:p w14:paraId="37FABCA1">
      <w:pPr>
        <w:pStyle w:val="162"/>
      </w:pPr>
      <w:r>
        <w:rPr>
          <w:rFonts w:hint="eastAsia"/>
        </w:rPr>
        <w:t>对于在化妆品中已有充足的安全使用历史的新特色植物原料，能够减免部分毒理学试验项目。新原料注备人应按照安全使用历史证明资料的基本要求，对相关资料和有关情况进行收集、整理、分析和总结，形成新原料安全使用历史情况综述，并提供可追溯的相关证明材料。</w:t>
      </w:r>
    </w:p>
    <w:p w14:paraId="22DB44DC">
      <w:pPr>
        <w:pStyle w:val="56"/>
        <w:ind w:firstLine="0" w:firstLineChars="0"/>
      </w:pPr>
    </w:p>
    <w:p w14:paraId="3673E62B">
      <w:pPr>
        <w:pStyle w:val="162"/>
        <w:numPr>
          <w:ilvl w:val="2"/>
          <w:numId w:val="0"/>
        </w:numPr>
      </w:pPr>
    </w:p>
    <w:p w14:paraId="0D4896FA">
      <w:pPr>
        <w:pStyle w:val="56"/>
        <w:ind w:firstLine="420"/>
      </w:pPr>
    </w:p>
    <w:p w14:paraId="7119E77E">
      <w:pPr>
        <w:pStyle w:val="56"/>
        <w:ind w:firstLine="420"/>
      </w:pPr>
    </w:p>
    <w:p w14:paraId="182EDA75">
      <w:pPr>
        <w:pStyle w:val="56"/>
        <w:ind w:firstLine="420"/>
      </w:pPr>
    </w:p>
    <w:p w14:paraId="6DEAB54A">
      <w:pPr>
        <w:pStyle w:val="56"/>
        <w:ind w:firstLine="420"/>
      </w:pPr>
    </w:p>
    <w:p w14:paraId="1D22C691">
      <w:pPr>
        <w:pStyle w:val="56"/>
        <w:ind w:firstLine="420"/>
      </w:pPr>
    </w:p>
    <w:p w14:paraId="0E78B4F6">
      <w:pPr>
        <w:pStyle w:val="56"/>
        <w:ind w:firstLine="420"/>
      </w:pPr>
    </w:p>
    <w:p w14:paraId="2F00A994">
      <w:pPr>
        <w:pStyle w:val="56"/>
        <w:ind w:firstLine="420"/>
      </w:pPr>
    </w:p>
    <w:p w14:paraId="1F0FE59C">
      <w:pPr>
        <w:pStyle w:val="56"/>
        <w:ind w:firstLine="420"/>
      </w:pPr>
    </w:p>
    <w:p w14:paraId="1F1D6468">
      <w:pPr>
        <w:pStyle w:val="56"/>
        <w:ind w:firstLine="0" w:firstLineChars="0"/>
      </w:pPr>
    </w:p>
    <w:p w14:paraId="1D5157CD">
      <w:pPr>
        <w:pStyle w:val="56"/>
        <w:ind w:firstLine="0" w:firstLineChars="0"/>
        <w:jc w:val="center"/>
        <w:sectPr>
          <w:headerReference r:id="rId11" w:type="default"/>
          <w:footerReference r:id="rId13" w:type="default"/>
          <w:headerReference r:id="rId12" w:type="even"/>
          <w:footerReference r:id="rId14" w:type="even"/>
          <w:pgSz w:w="11906" w:h="16838"/>
          <w:pgMar w:top="1928" w:right="1134" w:bottom="1134" w:left="1134" w:header="1418" w:footer="1134" w:gutter="284"/>
          <w:pgNumType w:start="1"/>
          <w:cols w:space="425" w:num="1"/>
          <w:formProt w:val="0"/>
          <w:docGrid w:linePitch="312" w:charSpace="0"/>
        </w:sectPr>
      </w:pPr>
    </w:p>
    <w:bookmarkEnd w:id="17"/>
    <w:p w14:paraId="4C6416E8">
      <w:pPr>
        <w:pStyle w:val="198"/>
        <w:rPr>
          <w:vanish w:val="0"/>
        </w:rPr>
      </w:pPr>
      <w:bookmarkStart w:id="39" w:name="BookMark5"/>
    </w:p>
    <w:p w14:paraId="02C15C0D">
      <w:pPr>
        <w:pStyle w:val="199"/>
        <w:rPr>
          <w:vanish w:val="0"/>
        </w:rPr>
      </w:pPr>
    </w:p>
    <w:bookmarkEnd w:id="39"/>
    <w:p w14:paraId="45CD6E81">
      <w:pPr>
        <w:pStyle w:val="63"/>
        <w:spacing w:after="120"/>
        <w:rPr>
          <w:rFonts w:hint="eastAsia"/>
        </w:rPr>
      </w:pPr>
      <w:bookmarkStart w:id="49" w:name="_GoBack"/>
      <w:bookmarkEnd w:id="49"/>
      <w:bookmarkStart w:id="40" w:name="BookMark6"/>
      <w:r>
        <w:rPr>
          <w:rFonts w:hint="eastAsia"/>
          <w:spacing w:val="105"/>
        </w:rPr>
        <w:t>参考文</w:t>
      </w:r>
      <w:r>
        <w:rPr>
          <w:rFonts w:hint="eastAsia"/>
        </w:rPr>
        <w:t>献</w:t>
      </w:r>
    </w:p>
    <w:p w14:paraId="104DED03">
      <w:pPr>
        <w:pStyle w:val="56"/>
        <w:ind w:firstLine="420"/>
      </w:pPr>
    </w:p>
    <w:p w14:paraId="36FFA47F">
      <w:pPr>
        <w:pStyle w:val="56"/>
        <w:numPr>
          <w:ilvl w:val="0"/>
          <w:numId w:val="3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《中华人民共和国野生植物保护条例》</w:t>
      </w:r>
    </w:p>
    <w:p w14:paraId="699D04B2">
      <w:pPr>
        <w:pStyle w:val="56"/>
        <w:numPr>
          <w:ilvl w:val="0"/>
          <w:numId w:val="3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《化妆品监督管理条例》</w:t>
      </w:r>
    </w:p>
    <w:p w14:paraId="56449B1A">
      <w:pPr>
        <w:pStyle w:val="56"/>
        <w:numPr>
          <w:ilvl w:val="0"/>
          <w:numId w:val="32"/>
        </w:numPr>
        <w:ind w:firstLineChars="0"/>
        <w:rPr>
          <w:rFonts w:hint="eastAsia" w:ascii="宋体" w:hAnsi="宋体"/>
        </w:rPr>
      </w:pPr>
      <w:bookmarkStart w:id="41" w:name="_Hlk201680391"/>
      <w:r>
        <w:rPr>
          <w:rFonts w:hint="eastAsia" w:ascii="宋体" w:hAnsi="宋体"/>
        </w:rPr>
        <w:t>《化妆品安全技术规范》</w:t>
      </w:r>
    </w:p>
    <w:p w14:paraId="3CBF274A">
      <w:pPr>
        <w:pStyle w:val="56"/>
        <w:numPr>
          <w:ilvl w:val="0"/>
          <w:numId w:val="32"/>
        </w:numPr>
        <w:ind w:firstLineChars="0"/>
        <w:rPr>
          <w:rFonts w:hint="eastAsia" w:ascii="宋体" w:hAnsi="宋体"/>
        </w:rPr>
      </w:pPr>
      <w:bookmarkStart w:id="42" w:name="_Hlk201680466"/>
      <w:r>
        <w:rPr>
          <w:rFonts w:hint="eastAsia" w:ascii="宋体" w:hAnsi="宋体"/>
        </w:rPr>
        <w:t>《化妆品生产质量管理规范</w:t>
      </w:r>
      <w:bookmarkEnd w:id="42"/>
      <w:r>
        <w:rPr>
          <w:rFonts w:hint="eastAsia" w:ascii="宋体" w:hAnsi="宋体"/>
        </w:rPr>
        <w:t>》</w:t>
      </w:r>
      <w:bookmarkEnd w:id="41"/>
      <w:bookmarkStart w:id="43" w:name="_Hlk201680434"/>
    </w:p>
    <w:p w14:paraId="552A7BDD">
      <w:pPr>
        <w:pStyle w:val="56"/>
        <w:numPr>
          <w:ilvl w:val="0"/>
          <w:numId w:val="32"/>
        </w:numPr>
        <w:ind w:firstLineChars="0"/>
        <w:rPr>
          <w:rFonts w:ascii="宋体" w:hAnsi="宋体"/>
        </w:rPr>
      </w:pPr>
      <w:bookmarkStart w:id="44" w:name="_Hlk201680479"/>
      <w:r>
        <w:rPr>
          <w:rFonts w:hint="eastAsia" w:ascii="宋体" w:hAnsi="宋体"/>
        </w:rPr>
        <w:t>《化妆品安全评估技术导则》</w:t>
      </w:r>
    </w:p>
    <w:bookmarkEnd w:id="43"/>
    <w:bookmarkEnd w:id="44"/>
    <w:p w14:paraId="7F6E9652">
      <w:pPr>
        <w:pStyle w:val="56"/>
        <w:numPr>
          <w:ilvl w:val="0"/>
          <w:numId w:val="32"/>
        </w:numPr>
        <w:ind w:firstLineChars="0"/>
        <w:rPr>
          <w:rFonts w:ascii="宋体" w:hAnsi="宋体"/>
        </w:rPr>
      </w:pPr>
      <w:bookmarkStart w:id="45" w:name="_Hlk201680575"/>
      <w:r>
        <w:rPr>
          <w:rFonts w:hint="eastAsia" w:ascii="宋体" w:hAnsi="宋体"/>
        </w:rPr>
        <w:t>《化妆品标签管理办法》</w:t>
      </w:r>
    </w:p>
    <w:p w14:paraId="1F0A1E2D">
      <w:pPr>
        <w:pStyle w:val="56"/>
        <w:numPr>
          <w:ilvl w:val="0"/>
          <w:numId w:val="3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《化妆品生产经营监督管理办法》</w:t>
      </w:r>
      <w:bookmarkEnd w:id="45"/>
    </w:p>
    <w:p w14:paraId="52FB3973">
      <w:pPr>
        <w:pStyle w:val="56"/>
        <w:numPr>
          <w:ilvl w:val="0"/>
          <w:numId w:val="3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《化妆品注册备案管理办法》</w:t>
      </w:r>
    </w:p>
    <w:p w14:paraId="585596F9">
      <w:pPr>
        <w:pStyle w:val="56"/>
        <w:numPr>
          <w:ilvl w:val="0"/>
          <w:numId w:val="3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《化妆品新原料注册备案资料管理规定》</w:t>
      </w:r>
    </w:p>
    <w:p w14:paraId="6B29A53A">
      <w:pPr>
        <w:pStyle w:val="56"/>
        <w:numPr>
          <w:ilvl w:val="0"/>
          <w:numId w:val="3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《化妆品原料安全信息登记填报技术指南》</w:t>
      </w:r>
    </w:p>
    <w:p w14:paraId="57FD8188">
      <w:pPr>
        <w:pStyle w:val="56"/>
        <w:numPr>
          <w:ilvl w:val="0"/>
          <w:numId w:val="3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《化妆品新原料安全使用历史研究和判定指南（试行）》</w:t>
      </w:r>
    </w:p>
    <w:p w14:paraId="179538B3">
      <w:pPr>
        <w:pStyle w:val="56"/>
        <w:numPr>
          <w:ilvl w:val="0"/>
          <w:numId w:val="32"/>
        </w:numPr>
        <w:ind w:firstLineChars="0"/>
        <w:rPr>
          <w:rFonts w:ascii="宋体" w:hAnsi="宋体"/>
        </w:rPr>
      </w:pPr>
      <w:bookmarkStart w:id="46" w:name="_Hlk201680450"/>
      <w:bookmarkStart w:id="47" w:name="_Hlk201680412"/>
      <w:r>
        <w:rPr>
          <w:rFonts w:hint="eastAsia" w:ascii="宋体" w:hAnsi="宋体"/>
        </w:rPr>
        <w:t>《已使用化妆品原料名称目录</w:t>
      </w:r>
      <w:bookmarkEnd w:id="46"/>
      <w:r>
        <w:rPr>
          <w:rFonts w:hint="eastAsia" w:ascii="宋体" w:hAnsi="宋体"/>
        </w:rPr>
        <w:t>》</w:t>
      </w:r>
    </w:p>
    <w:bookmarkEnd w:id="47"/>
    <w:p w14:paraId="567492E2">
      <w:pPr>
        <w:pStyle w:val="56"/>
        <w:ind w:firstLine="420"/>
      </w:pPr>
    </w:p>
    <w:bookmarkEnd w:id="40"/>
    <w:p w14:paraId="265C0808">
      <w:pPr>
        <w:pStyle w:val="56"/>
        <w:ind w:firstLine="0" w:firstLineChars="0"/>
        <w:jc w:val="center"/>
      </w:pPr>
      <w:bookmarkStart w:id="48" w:name="BookMark8"/>
      <w:r>
        <w:drawing>
          <wp:inline distT="0" distB="0" distL="0" distR="0">
            <wp:extent cx="1485900" cy="317500"/>
            <wp:effectExtent l="1905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8"/>
    </w:p>
    <w:sectPr>
      <w:pgSz w:w="11906" w:h="16838"/>
      <w:pgMar w:top="1928" w:right="1134" w:bottom="1134" w:left="1134" w:header="1418" w:footer="1134" w:gutter="284"/>
      <w:cols w:space="425" w:num="1"/>
      <w:formProt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5BABC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CAEC8">
    <w:pPr>
      <w:pStyle w:val="17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9B8F6">
    <w:pPr>
      <w:pStyle w:val="17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481B0">
    <w:pPr>
      <w:pStyle w:val="5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1405C">
    <w:pPr>
      <w:pStyle w:val="51"/>
    </w:pPr>
    <w:r>
      <w:fldChar w:fldCharType="begin"/>
    </w:r>
    <w:r>
      <w:instrText xml:space="preserve"> PAGE   \* MERGEFORMAT \* MERGEFORMAT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A325F">
    <w:pPr>
      <w:pStyle w:val="18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3F427">
    <w:pPr>
      <w:pStyle w:val="1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A9088">
    <w:pPr>
      <w:pStyle w:val="18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F0AF7">
    <w:pPr>
      <w:pStyle w:val="61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T/GXAS XXXX—XXXX</w:t>
    </w:r>
    <w:r>
      <w:fldChar w:fldCharType="end"/>
    </w:r>
    <w: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6164C">
    <w:pPr>
      <w:pStyle w:val="62"/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T/GXAS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4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59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18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3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5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58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0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89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0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1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2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3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4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1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7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69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0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5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2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2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7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2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1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4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09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7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198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3"/>
      <w:suff w:val="space"/>
      <w:lvlText w:val="图%1.%2 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3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6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2FA0486"/>
    <w:multiLevelType w:val="multilevel"/>
    <w:tmpl w:val="52FA0486"/>
    <w:lvl w:ilvl="0" w:tentative="0">
      <w:start w:val="1"/>
      <w:numFmt w:val="decimal"/>
      <w:lvlText w:val="[%1]"/>
      <w:lvlJc w:val="left"/>
      <w:pPr>
        <w:ind w:left="86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17">
    <w:nsid w:val="54632751"/>
    <w:multiLevelType w:val="multilevel"/>
    <w:tmpl w:val="54632751"/>
    <w:lvl w:ilvl="0" w:tentative="0">
      <w:start w:val="1"/>
      <w:numFmt w:val="none"/>
      <w:pStyle w:val="93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114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9">
    <w:nsid w:val="5603797C"/>
    <w:multiLevelType w:val="multilevel"/>
    <w:tmpl w:val="5603797C"/>
    <w:lvl w:ilvl="0" w:tentative="0">
      <w:start w:val="1"/>
      <w:numFmt w:val="upperLetter"/>
      <w:pStyle w:val="199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7"/>
      <w:suff w:val="space"/>
      <w:lvlText w:val="表%1.%2 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64D2089"/>
    <w:multiLevelType w:val="multilevel"/>
    <w:tmpl w:val="564D2089"/>
    <w:lvl w:ilvl="0" w:tentative="0">
      <w:start w:val="1"/>
      <w:numFmt w:val="none"/>
      <w:pStyle w:val="111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168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112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189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76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78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79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1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2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4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9506ABF"/>
    <w:multiLevelType w:val="multilevel"/>
    <w:tmpl w:val="69506ABF"/>
    <w:lvl w:ilvl="0" w:tentative="0">
      <w:start w:val="1"/>
      <w:numFmt w:val="bullet"/>
      <w:pStyle w:val="188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6">
    <w:nsid w:val="6CA41985"/>
    <w:multiLevelType w:val="multilevel"/>
    <w:tmpl w:val="6CA41985"/>
    <w:lvl w:ilvl="0" w:tentative="0">
      <w:start w:val="1"/>
      <w:numFmt w:val="decimal"/>
      <w:pStyle w:val="97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6CE42AC1"/>
    <w:multiLevelType w:val="multilevel"/>
    <w:tmpl w:val="6CE42AC1"/>
    <w:lvl w:ilvl="0" w:tentative="0">
      <w:start w:val="1"/>
      <w:numFmt w:val="lowerLetter"/>
      <w:pStyle w:val="173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EA2025"/>
    <w:multiLevelType w:val="multilevel"/>
    <w:tmpl w:val="6CEA2025"/>
    <w:lvl w:ilvl="0" w:tentative="0">
      <w:start w:val="1"/>
      <w:numFmt w:val="none"/>
      <w:pStyle w:val="152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4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5"/>
      <w:suff w:val="nothing"/>
      <w:lvlText w:val="%1%2.%3　"/>
      <w:lvlJc w:val="left"/>
      <w:pPr>
        <w:ind w:left="0" w:firstLine="0"/>
      </w:pPr>
      <w:rPr>
        <w:rFonts w:hint="eastAsia"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65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4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98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3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6DBF04F4"/>
    <w:multiLevelType w:val="multilevel"/>
    <w:tmpl w:val="6DBF04F4"/>
    <w:lvl w:ilvl="0" w:tentative="0">
      <w:start w:val="1"/>
      <w:numFmt w:val="none"/>
      <w:pStyle w:val="179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0">
    <w:nsid w:val="6DF35F19"/>
    <w:multiLevelType w:val="multilevel"/>
    <w:tmpl w:val="6DF35F19"/>
    <w:lvl w:ilvl="0" w:tentative="0">
      <w:start w:val="1"/>
      <w:numFmt w:val="decimal"/>
      <w:pStyle w:val="115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1">
    <w:nsid w:val="76933334"/>
    <w:multiLevelType w:val="multilevel"/>
    <w:tmpl w:val="76933334"/>
    <w:lvl w:ilvl="0" w:tentative="0">
      <w:start w:val="1"/>
      <w:numFmt w:val="none"/>
      <w:pStyle w:val="139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24"/>
  </w:num>
  <w:num w:numId="5">
    <w:abstractNumId w:val="19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7"/>
  </w:num>
  <w:num w:numId="11">
    <w:abstractNumId w:val="26"/>
  </w:num>
  <w:num w:numId="12">
    <w:abstractNumId w:val="11"/>
  </w:num>
  <w:num w:numId="13">
    <w:abstractNumId w:val="12"/>
  </w:num>
  <w:num w:numId="14">
    <w:abstractNumId w:val="7"/>
  </w:num>
  <w:num w:numId="15">
    <w:abstractNumId w:val="20"/>
  </w:num>
  <w:num w:numId="16">
    <w:abstractNumId w:val="22"/>
  </w:num>
  <w:num w:numId="17">
    <w:abstractNumId w:val="18"/>
  </w:num>
  <w:num w:numId="18">
    <w:abstractNumId w:val="30"/>
  </w:num>
  <w:num w:numId="19">
    <w:abstractNumId w:val="15"/>
  </w:num>
  <w:num w:numId="20">
    <w:abstractNumId w:val="1"/>
  </w:num>
  <w:num w:numId="21">
    <w:abstractNumId w:val="10"/>
  </w:num>
  <w:num w:numId="22">
    <w:abstractNumId w:val="31"/>
  </w:num>
  <w:num w:numId="23">
    <w:abstractNumId w:val="21"/>
  </w:num>
  <w:num w:numId="24">
    <w:abstractNumId w:val="6"/>
  </w:num>
  <w:num w:numId="25">
    <w:abstractNumId w:val="27"/>
  </w:num>
  <w:num w:numId="26">
    <w:abstractNumId w:val="29"/>
  </w:num>
  <w:num w:numId="27">
    <w:abstractNumId w:val="2"/>
  </w:num>
  <w:num w:numId="28">
    <w:abstractNumId w:val="4"/>
  </w:num>
  <w:num w:numId="29">
    <w:abstractNumId w:val="14"/>
  </w:num>
  <w:num w:numId="30">
    <w:abstractNumId w:val="25"/>
  </w:num>
  <w:num w:numId="31">
    <w:abstractNumId w:val="23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dit="forms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421E"/>
    <w:rsid w:val="0000040A"/>
    <w:rsid w:val="00000A94"/>
    <w:rsid w:val="00001972"/>
    <w:rsid w:val="00001D9A"/>
    <w:rsid w:val="00002D44"/>
    <w:rsid w:val="000037FB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27E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1CFC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55E3"/>
    <w:rsid w:val="000D753B"/>
    <w:rsid w:val="000E4C9E"/>
    <w:rsid w:val="000E6FD7"/>
    <w:rsid w:val="000E7144"/>
    <w:rsid w:val="000F06E1"/>
    <w:rsid w:val="000F0E3C"/>
    <w:rsid w:val="000F19D5"/>
    <w:rsid w:val="000F4050"/>
    <w:rsid w:val="000F4AEA"/>
    <w:rsid w:val="000F67E9"/>
    <w:rsid w:val="00104926"/>
    <w:rsid w:val="00113B1E"/>
    <w:rsid w:val="0011711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37565"/>
    <w:rsid w:val="00141114"/>
    <w:rsid w:val="00142969"/>
    <w:rsid w:val="001446C2"/>
    <w:rsid w:val="001457E7"/>
    <w:rsid w:val="00145D9D"/>
    <w:rsid w:val="00146388"/>
    <w:rsid w:val="001529E5"/>
    <w:rsid w:val="00152FB3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87A0B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A6696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15ADD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81BB8"/>
    <w:rsid w:val="00281E9E"/>
    <w:rsid w:val="00282405"/>
    <w:rsid w:val="00285170"/>
    <w:rsid w:val="00285361"/>
    <w:rsid w:val="00292D60"/>
    <w:rsid w:val="00293B30"/>
    <w:rsid w:val="0029421E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3F07"/>
    <w:rsid w:val="002C5278"/>
    <w:rsid w:val="002C7EBB"/>
    <w:rsid w:val="002D06C1"/>
    <w:rsid w:val="002D42B5"/>
    <w:rsid w:val="002D4F1A"/>
    <w:rsid w:val="002D6D81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3D43"/>
    <w:rsid w:val="00324D13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52F1A"/>
    <w:rsid w:val="0036107C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74EB"/>
    <w:rsid w:val="00397CC5"/>
    <w:rsid w:val="003A11D1"/>
    <w:rsid w:val="003A1582"/>
    <w:rsid w:val="003A3D9C"/>
    <w:rsid w:val="003A4077"/>
    <w:rsid w:val="003A4AA7"/>
    <w:rsid w:val="003B09AD"/>
    <w:rsid w:val="003B1F18"/>
    <w:rsid w:val="003B5BF0"/>
    <w:rsid w:val="003B60BF"/>
    <w:rsid w:val="003B6BE3"/>
    <w:rsid w:val="003C010C"/>
    <w:rsid w:val="003C0A6C"/>
    <w:rsid w:val="003C14F8"/>
    <w:rsid w:val="003C186F"/>
    <w:rsid w:val="003C5445"/>
    <w:rsid w:val="003C5A43"/>
    <w:rsid w:val="003D0519"/>
    <w:rsid w:val="003D0FF6"/>
    <w:rsid w:val="003D262C"/>
    <w:rsid w:val="003D6D61"/>
    <w:rsid w:val="003E019F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20B"/>
    <w:rsid w:val="004167A3"/>
    <w:rsid w:val="00432DAA"/>
    <w:rsid w:val="00434305"/>
    <w:rsid w:val="00435DF7"/>
    <w:rsid w:val="0043741A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37B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BA8"/>
    <w:rsid w:val="004A4B57"/>
    <w:rsid w:val="004A63FA"/>
    <w:rsid w:val="004A6A3D"/>
    <w:rsid w:val="004B0272"/>
    <w:rsid w:val="004B2701"/>
    <w:rsid w:val="004B2E1B"/>
    <w:rsid w:val="004B3AA8"/>
    <w:rsid w:val="004B3E93"/>
    <w:rsid w:val="004C1FBC"/>
    <w:rsid w:val="004C25A2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4A5D"/>
    <w:rsid w:val="004D7C42"/>
    <w:rsid w:val="004E0465"/>
    <w:rsid w:val="004E127B"/>
    <w:rsid w:val="004E1C0A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ECF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2308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3A49"/>
    <w:rsid w:val="00596160"/>
    <w:rsid w:val="005966E2"/>
    <w:rsid w:val="00597007"/>
    <w:rsid w:val="005A0966"/>
    <w:rsid w:val="005A11B7"/>
    <w:rsid w:val="005A2006"/>
    <w:rsid w:val="005A260B"/>
    <w:rsid w:val="005A4A1B"/>
    <w:rsid w:val="005A7830"/>
    <w:rsid w:val="005A7FCE"/>
    <w:rsid w:val="005B0F3F"/>
    <w:rsid w:val="005B191C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4250"/>
    <w:rsid w:val="005E6812"/>
    <w:rsid w:val="005E7881"/>
    <w:rsid w:val="005E78E0"/>
    <w:rsid w:val="005F0D9C"/>
    <w:rsid w:val="005F284E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4E64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308D"/>
    <w:rsid w:val="006840A6"/>
    <w:rsid w:val="006850CD"/>
    <w:rsid w:val="00685AAB"/>
    <w:rsid w:val="00693962"/>
    <w:rsid w:val="006A07AA"/>
    <w:rsid w:val="006A25E5"/>
    <w:rsid w:val="006A2B46"/>
    <w:rsid w:val="006A336D"/>
    <w:rsid w:val="006A37B9"/>
    <w:rsid w:val="006A3D27"/>
    <w:rsid w:val="006B2672"/>
    <w:rsid w:val="006B54BF"/>
    <w:rsid w:val="006B5F44"/>
    <w:rsid w:val="006B5F90"/>
    <w:rsid w:val="006B62E4"/>
    <w:rsid w:val="006B6E7F"/>
    <w:rsid w:val="006C1BBA"/>
    <w:rsid w:val="006C2079"/>
    <w:rsid w:val="006C5A62"/>
    <w:rsid w:val="006C5D68"/>
    <w:rsid w:val="006C6976"/>
    <w:rsid w:val="006C6DD0"/>
    <w:rsid w:val="006D04EA"/>
    <w:rsid w:val="006D16C4"/>
    <w:rsid w:val="006D3E96"/>
    <w:rsid w:val="006D4515"/>
    <w:rsid w:val="006D4BB1"/>
    <w:rsid w:val="006D6593"/>
    <w:rsid w:val="006E28E0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5D3A"/>
    <w:rsid w:val="007A6FD9"/>
    <w:rsid w:val="007A7FFA"/>
    <w:rsid w:val="007B04EB"/>
    <w:rsid w:val="007B0D4F"/>
    <w:rsid w:val="007B5A3D"/>
    <w:rsid w:val="007B5B95"/>
    <w:rsid w:val="007B6032"/>
    <w:rsid w:val="007B68EA"/>
    <w:rsid w:val="007B7453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1D19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3DEF"/>
    <w:rsid w:val="008454F8"/>
    <w:rsid w:val="0085173A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3E0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73B"/>
    <w:rsid w:val="008A1893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AE"/>
    <w:rsid w:val="009245F5"/>
    <w:rsid w:val="009249EC"/>
    <w:rsid w:val="009273B3"/>
    <w:rsid w:val="009305B5"/>
    <w:rsid w:val="009378DD"/>
    <w:rsid w:val="009429D5"/>
    <w:rsid w:val="00942BF1"/>
    <w:rsid w:val="00945180"/>
    <w:rsid w:val="00945428"/>
    <w:rsid w:val="0094607B"/>
    <w:rsid w:val="00953604"/>
    <w:rsid w:val="0095496B"/>
    <w:rsid w:val="0095609D"/>
    <w:rsid w:val="00960F1E"/>
    <w:rsid w:val="009610DC"/>
    <w:rsid w:val="00961490"/>
    <w:rsid w:val="0096381A"/>
    <w:rsid w:val="00965E04"/>
    <w:rsid w:val="009674AD"/>
    <w:rsid w:val="00970CDC"/>
    <w:rsid w:val="00975727"/>
    <w:rsid w:val="00977010"/>
    <w:rsid w:val="00977D02"/>
    <w:rsid w:val="00977FF9"/>
    <w:rsid w:val="009809BB"/>
    <w:rsid w:val="0098364B"/>
    <w:rsid w:val="009908A3"/>
    <w:rsid w:val="009911AF"/>
    <w:rsid w:val="00991875"/>
    <w:rsid w:val="00991F92"/>
    <w:rsid w:val="00992985"/>
    <w:rsid w:val="00993889"/>
    <w:rsid w:val="0099551B"/>
    <w:rsid w:val="00996BD2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6029"/>
    <w:rsid w:val="009B6971"/>
    <w:rsid w:val="009C27F1"/>
    <w:rsid w:val="009C3152"/>
    <w:rsid w:val="009C3257"/>
    <w:rsid w:val="009C4CFA"/>
    <w:rsid w:val="009C5070"/>
    <w:rsid w:val="009D112C"/>
    <w:rsid w:val="009D1385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1EC8"/>
    <w:rsid w:val="00A32D73"/>
    <w:rsid w:val="00A3367B"/>
    <w:rsid w:val="00A33C67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2A69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7293"/>
    <w:rsid w:val="00B50E50"/>
    <w:rsid w:val="00B52120"/>
    <w:rsid w:val="00B54ABC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6980"/>
    <w:rsid w:val="00B77EC8"/>
    <w:rsid w:val="00B827A6"/>
    <w:rsid w:val="00B831CE"/>
    <w:rsid w:val="00B86677"/>
    <w:rsid w:val="00B87131"/>
    <w:rsid w:val="00B939B1"/>
    <w:rsid w:val="00B95BC2"/>
    <w:rsid w:val="00B96D40"/>
    <w:rsid w:val="00B97386"/>
    <w:rsid w:val="00BA263B"/>
    <w:rsid w:val="00BA42B2"/>
    <w:rsid w:val="00BA58D4"/>
    <w:rsid w:val="00BA5B9E"/>
    <w:rsid w:val="00BA7C9A"/>
    <w:rsid w:val="00BB5F8F"/>
    <w:rsid w:val="00BB657A"/>
    <w:rsid w:val="00BC1A4E"/>
    <w:rsid w:val="00BC5DC7"/>
    <w:rsid w:val="00BC6B8B"/>
    <w:rsid w:val="00BC73D8"/>
    <w:rsid w:val="00BD1453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7B9"/>
    <w:rsid w:val="00C24C8D"/>
    <w:rsid w:val="00C25C3D"/>
    <w:rsid w:val="00C25FE2"/>
    <w:rsid w:val="00C26B53"/>
    <w:rsid w:val="00C279B2"/>
    <w:rsid w:val="00C33E50"/>
    <w:rsid w:val="00C34C20"/>
    <w:rsid w:val="00C35A3E"/>
    <w:rsid w:val="00C42130"/>
    <w:rsid w:val="00C423A4"/>
    <w:rsid w:val="00C423E3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76F48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6FC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87BF5"/>
    <w:rsid w:val="00D90721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64F8"/>
    <w:rsid w:val="00DA6C15"/>
    <w:rsid w:val="00DB0258"/>
    <w:rsid w:val="00DB286E"/>
    <w:rsid w:val="00DB38EE"/>
    <w:rsid w:val="00DB498B"/>
    <w:rsid w:val="00DB66CA"/>
    <w:rsid w:val="00DB6BCA"/>
    <w:rsid w:val="00DB6F54"/>
    <w:rsid w:val="00DB73F7"/>
    <w:rsid w:val="00DC0321"/>
    <w:rsid w:val="00DC16D7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E01138"/>
    <w:rsid w:val="00E02DFB"/>
    <w:rsid w:val="00E030F9"/>
    <w:rsid w:val="00E0311A"/>
    <w:rsid w:val="00E03138"/>
    <w:rsid w:val="00E06404"/>
    <w:rsid w:val="00E11A85"/>
    <w:rsid w:val="00E12495"/>
    <w:rsid w:val="00E15CCD"/>
    <w:rsid w:val="00E202EF"/>
    <w:rsid w:val="00E210B5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5624"/>
    <w:rsid w:val="00E56800"/>
    <w:rsid w:val="00E60C63"/>
    <w:rsid w:val="00E62FF9"/>
    <w:rsid w:val="00E635D6"/>
    <w:rsid w:val="00E639BC"/>
    <w:rsid w:val="00E664CC"/>
    <w:rsid w:val="00E70388"/>
    <w:rsid w:val="00E70F92"/>
    <w:rsid w:val="00E74313"/>
    <w:rsid w:val="00E74C54"/>
    <w:rsid w:val="00E77A03"/>
    <w:rsid w:val="00E80D96"/>
    <w:rsid w:val="00E822E8"/>
    <w:rsid w:val="00E82554"/>
    <w:rsid w:val="00E82606"/>
    <w:rsid w:val="00E831C1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E69"/>
    <w:rsid w:val="00EB2086"/>
    <w:rsid w:val="00EB31ED"/>
    <w:rsid w:val="00EB5EDF"/>
    <w:rsid w:val="00EB60FE"/>
    <w:rsid w:val="00EB74DB"/>
    <w:rsid w:val="00EC5359"/>
    <w:rsid w:val="00EC562A"/>
    <w:rsid w:val="00ED067A"/>
    <w:rsid w:val="00ED2B50"/>
    <w:rsid w:val="00ED75C2"/>
    <w:rsid w:val="00EE003F"/>
    <w:rsid w:val="00EE0350"/>
    <w:rsid w:val="00EE0719"/>
    <w:rsid w:val="00EE0E80"/>
    <w:rsid w:val="00EE613F"/>
    <w:rsid w:val="00EE7295"/>
    <w:rsid w:val="00EE7869"/>
    <w:rsid w:val="00EF054A"/>
    <w:rsid w:val="00EF3235"/>
    <w:rsid w:val="00EF7076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16F00"/>
    <w:rsid w:val="00F25BB6"/>
    <w:rsid w:val="00F26B7E"/>
    <w:rsid w:val="00F27A3B"/>
    <w:rsid w:val="00F32780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87C"/>
    <w:rsid w:val="00F71E22"/>
    <w:rsid w:val="00F72142"/>
    <w:rsid w:val="00F72AE7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35B1DDE"/>
    <w:rsid w:val="11B82E8F"/>
    <w:rsid w:val="17145370"/>
    <w:rsid w:val="1958509D"/>
    <w:rsid w:val="1CA13224"/>
    <w:rsid w:val="1D817FBD"/>
    <w:rsid w:val="1DB101AE"/>
    <w:rsid w:val="1E4852D2"/>
    <w:rsid w:val="22242DAC"/>
    <w:rsid w:val="28D9083E"/>
    <w:rsid w:val="2A877C80"/>
    <w:rsid w:val="2C2C3B2F"/>
    <w:rsid w:val="343C4170"/>
    <w:rsid w:val="36E4329A"/>
    <w:rsid w:val="37812EC1"/>
    <w:rsid w:val="3C8700A1"/>
    <w:rsid w:val="40B75C8D"/>
    <w:rsid w:val="40BB5060"/>
    <w:rsid w:val="45D1261A"/>
    <w:rsid w:val="474B0614"/>
    <w:rsid w:val="4CF079C6"/>
    <w:rsid w:val="51A47BE3"/>
    <w:rsid w:val="57E51E08"/>
    <w:rsid w:val="5B253A1F"/>
    <w:rsid w:val="62B24F63"/>
    <w:rsid w:val="70997A99"/>
    <w:rsid w:val="721D0D9F"/>
    <w:rsid w:val="726152EF"/>
    <w:rsid w:val="74E90A2A"/>
    <w:rsid w:val="799961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7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8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9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0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Body Text"/>
    <w:basedOn w:val="1"/>
    <w:link w:val="86"/>
    <w:qFormat/>
    <w:uiPriority w:val="0"/>
    <w:pPr>
      <w:spacing w:after="120"/>
    </w:pPr>
  </w:style>
  <w:style w:type="paragraph" w:styleId="14">
    <w:name w:val="toc 5"/>
    <w:basedOn w:val="1"/>
    <w:next w:val="1"/>
    <w:autoRedefine/>
    <w:unhideWhenUsed/>
    <w:qFormat/>
    <w:uiPriority w:val="39"/>
    <w:pPr>
      <w:ind w:left="839"/>
    </w:pPr>
    <w:rPr>
      <w:rFonts w:ascii="宋体"/>
    </w:rPr>
  </w:style>
  <w:style w:type="paragraph" w:styleId="15">
    <w:name w:val="toc 3"/>
    <w:basedOn w:val="1"/>
    <w:next w:val="1"/>
    <w:autoRedefine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6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44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8">
    <w:name w:val="header"/>
    <w:basedOn w:val="1"/>
    <w:link w:val="43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autoRedefine/>
    <w:unhideWhenUsed/>
    <w:qFormat/>
    <w:uiPriority w:val="39"/>
    <w:rPr>
      <w:rFonts w:ascii="宋体"/>
    </w:rPr>
  </w:style>
  <w:style w:type="paragraph" w:styleId="20">
    <w:name w:val="toc 4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1">
    <w:name w:val="footnote text"/>
    <w:basedOn w:val="1"/>
    <w:next w:val="1"/>
    <w:link w:val="99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2">
    <w:name w:val="toc 6"/>
    <w:basedOn w:val="1"/>
    <w:next w:val="1"/>
    <w:autoRedefine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3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4">
    <w:name w:val="toc 2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5">
    <w:name w:val="Title"/>
    <w:basedOn w:val="1"/>
    <w:link w:val="48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7">
    <w:name w:val="Table Grid"/>
    <w:basedOn w:val="2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qFormat/>
    <w:uiPriority w:val="22"/>
    <w:rPr>
      <w:b/>
      <w:bCs/>
    </w:rPr>
  </w:style>
  <w:style w:type="character" w:styleId="30">
    <w:name w:val="page number"/>
    <w:qFormat/>
    <w:uiPriority w:val="0"/>
    <w:rPr>
      <w:rFonts w:ascii="宋体" w:hAnsi="Times New Roman" w:eastAsia="宋体"/>
      <w:sz w:val="18"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3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4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5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6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37">
    <w:name w:val="标题 4 Char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38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39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0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41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2">
    <w:name w:val="标题 9 Char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3">
    <w:name w:val="页眉 Char"/>
    <w:link w:val="18"/>
    <w:qFormat/>
    <w:uiPriority w:val="99"/>
    <w:rPr>
      <w:kern w:val="2"/>
      <w:sz w:val="18"/>
      <w:szCs w:val="18"/>
    </w:rPr>
  </w:style>
  <w:style w:type="character" w:customStyle="1" w:styleId="44">
    <w:name w:val="页脚 Char"/>
    <w:link w:val="17"/>
    <w:qFormat/>
    <w:uiPriority w:val="99"/>
    <w:rPr>
      <w:rFonts w:ascii="宋体"/>
      <w:kern w:val="2"/>
      <w:sz w:val="18"/>
      <w:szCs w:val="18"/>
    </w:rPr>
  </w:style>
  <w:style w:type="character" w:customStyle="1" w:styleId="45">
    <w:name w:val="批注框文本 Char"/>
    <w:link w:val="16"/>
    <w:semiHidden/>
    <w:qFormat/>
    <w:uiPriority w:val="99"/>
    <w:rPr>
      <w:kern w:val="2"/>
      <w:sz w:val="18"/>
      <w:szCs w:val="18"/>
    </w:rPr>
  </w:style>
  <w:style w:type="paragraph" w:styleId="46">
    <w:name w:val="Quote"/>
    <w:basedOn w:val="1"/>
    <w:next w:val="1"/>
    <w:link w:val="47"/>
    <w:qFormat/>
    <w:uiPriority w:val="29"/>
    <w:rPr>
      <w:i/>
      <w:iCs/>
      <w:color w:val="000000"/>
    </w:rPr>
  </w:style>
  <w:style w:type="character" w:customStyle="1" w:styleId="47">
    <w:name w:val="引用 Char"/>
    <w:link w:val="46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48">
    <w:name w:val="标题 Char"/>
    <w:link w:val="25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49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0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1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2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3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4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5">
    <w:name w:val="标准文件_标准正文"/>
    <w:basedOn w:val="1"/>
    <w:next w:val="56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6">
    <w:name w:val="标准文件_段"/>
    <w:link w:val="184"/>
    <w:qFormat/>
    <w:uiPriority w:val="0"/>
    <w:pPr>
      <w:autoSpaceDE w:val="0"/>
      <w:autoSpaceDN w:val="0"/>
      <w:ind w:firstLine="200" w:firstLineChars="20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57">
    <w:name w:val="标准文件_版本"/>
    <w:basedOn w:val="55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58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59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0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1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2">
    <w:name w:val="标准文件_页眉偶数页"/>
    <w:basedOn w:val="61"/>
    <w:next w:val="1"/>
    <w:qFormat/>
    <w:uiPriority w:val="0"/>
    <w:pPr>
      <w:jc w:val="left"/>
    </w:pPr>
  </w:style>
  <w:style w:type="paragraph" w:customStyle="1" w:styleId="63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6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4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5">
    <w:name w:val="标准文件_二级条标题"/>
    <w:next w:val="56"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6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7">
    <w:name w:val="标准文件_方框数字列项"/>
    <w:basedOn w:val="56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68">
    <w:name w:val="标准文件_封面标准编号"/>
    <w:basedOn w:val="1"/>
    <w:next w:val="59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69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0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1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2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3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4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5">
    <w:name w:val="标准文件_封面抬头"/>
    <w:basedOn w:val="56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6">
    <w:name w:val="标准文件_附录标识"/>
    <w:next w:val="56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7">
    <w:name w:val="标准文件_附录表标题"/>
    <w:next w:val="56"/>
    <w:qFormat/>
    <w:uiPriority w:val="0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8">
    <w:name w:val="标准文件_附录一级条标题"/>
    <w:next w:val="56"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9">
    <w:name w:val="标准文件_附录二级条标题"/>
    <w:basedOn w:val="78"/>
    <w:next w:val="56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0">
    <w:name w:val="标准文件_附录公式"/>
    <w:basedOn w:val="55"/>
    <w:next w:val="55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1">
    <w:name w:val="标准文件_附录三级条标题"/>
    <w:next w:val="56"/>
    <w:qFormat/>
    <w:uiPriority w:val="0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2">
    <w:name w:val="标准文件_附录四级条标题"/>
    <w:next w:val="56"/>
    <w:qFormat/>
    <w:uiPriority w:val="0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3">
    <w:name w:val="标准文件_附录图标题"/>
    <w:next w:val="56"/>
    <w:qFormat/>
    <w:uiPriority w:val="0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4">
    <w:name w:val="标准文件_附录五级条标题"/>
    <w:next w:val="56"/>
    <w:qFormat/>
    <w:uiPriority w:val="0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英文标识"/>
    <w:next w:val="13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6">
    <w:name w:val="正文文本 Char"/>
    <w:link w:val="13"/>
    <w:qFormat/>
    <w:uiPriority w:val="0"/>
    <w:rPr>
      <w:kern w:val="2"/>
      <w:sz w:val="21"/>
      <w:szCs w:val="21"/>
    </w:rPr>
  </w:style>
  <w:style w:type="paragraph" w:customStyle="1" w:styleId="87">
    <w:name w:val="标准文件_附录章标题"/>
    <w:next w:val="56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8">
    <w:name w:val="标准文件_公式后的破折号"/>
    <w:basedOn w:val="56"/>
    <w:next w:val="56"/>
    <w:qFormat/>
    <w:uiPriority w:val="0"/>
    <w:pPr>
      <w:ind w:left="488" w:leftChars="200" w:hanging="289" w:hangingChars="290"/>
    </w:pPr>
  </w:style>
  <w:style w:type="paragraph" w:customStyle="1" w:styleId="89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0">
    <w:name w:val="标准文件_目次、标准名称标题"/>
    <w:basedOn w:val="89"/>
    <w:next w:val="56"/>
    <w:qFormat/>
    <w:uiPriority w:val="0"/>
    <w:pPr>
      <w:spacing w:line="460" w:lineRule="exact"/>
      <w:ind w:left="0" w:firstLine="0"/>
    </w:pPr>
  </w:style>
  <w:style w:type="paragraph" w:customStyle="1" w:styleId="91">
    <w:name w:val="标准文件_目录标题"/>
    <w:basedOn w:val="1"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92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3">
    <w:name w:val="标准文件_破折号列项（二级）"/>
    <w:basedOn w:val="92"/>
    <w:qFormat/>
    <w:uiPriority w:val="0"/>
    <w:pPr>
      <w:numPr>
        <w:numId w:val="10"/>
      </w:numPr>
    </w:pPr>
  </w:style>
  <w:style w:type="paragraph" w:customStyle="1" w:styleId="94">
    <w:name w:val="标准文件_三级条标题"/>
    <w:basedOn w:val="65"/>
    <w:next w:val="56"/>
    <w:qFormat/>
    <w:uiPriority w:val="0"/>
    <w:pPr>
      <w:widowControl/>
      <w:numPr>
        <w:ilvl w:val="4"/>
      </w:numPr>
      <w:outlineLvl w:val="3"/>
    </w:pPr>
  </w:style>
  <w:style w:type="character" w:customStyle="1" w:styleId="95">
    <w:name w:val="Subtle Reference"/>
    <w:qFormat/>
    <w:uiPriority w:val="31"/>
    <w:rPr>
      <w:smallCaps/>
      <w:color w:val="C0504D"/>
      <w:u w:val="single"/>
    </w:rPr>
  </w:style>
  <w:style w:type="paragraph" w:customStyle="1" w:styleId="96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7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98">
    <w:name w:val="标准文件_四级条标题"/>
    <w:next w:val="56"/>
    <w:qFormat/>
    <w:uiPriority w:val="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99">
    <w:name w:val="脚注文本 Char"/>
    <w:link w:val="21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0">
    <w:name w:val="标准文件_条文脚注"/>
    <w:basedOn w:val="21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1">
    <w:name w:val="标准文件_图表脚注"/>
    <w:basedOn w:val="1"/>
    <w:next w:val="56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2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3">
    <w:name w:val="标准文件_五级条标题"/>
    <w:next w:val="56"/>
    <w:qFormat/>
    <w:uiPriority w:val="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4">
    <w:name w:val="标准文件_章标题"/>
    <w:next w:val="56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5">
    <w:name w:val="标准文件_一级条标题"/>
    <w:basedOn w:val="104"/>
    <w:next w:val="56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106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7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8">
    <w:name w:val="标准文件_英文图表脚注"/>
    <w:basedOn w:val="55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09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0">
    <w:name w:val="标准文件_英文注："/>
    <w:basedOn w:val="1"/>
    <w:next w:val="56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1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2">
    <w:name w:val="标准文件_正文表标题"/>
    <w:next w:val="56"/>
    <w:qFormat/>
    <w:uiPriority w:val="0"/>
    <w:pPr>
      <w:numPr>
        <w:ilvl w:val="0"/>
        <w:numId w:val="16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正文公式"/>
    <w:basedOn w:val="1"/>
    <w:next w:val="55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4">
    <w:name w:val="标准文件_正文图标题"/>
    <w:next w:val="56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英文表标题"/>
    <w:next w:val="56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英文图标题"/>
    <w:next w:val="56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8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19">
    <w:name w:val="发布部门"/>
    <w:next w:val="56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0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1">
    <w:name w:val="封面标准代替信息"/>
    <w:basedOn w:val="1"/>
    <w:uiPriority w:val="0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2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3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4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5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6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7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8">
    <w:name w:val="附录二级无标题条"/>
    <w:basedOn w:val="1"/>
    <w:next w:val="56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29">
    <w:name w:val="附录三级无标题条"/>
    <w:basedOn w:val="128"/>
    <w:next w:val="56"/>
    <w:qFormat/>
    <w:uiPriority w:val="0"/>
    <w:pPr>
      <w:outlineLvl w:val="4"/>
    </w:pPr>
  </w:style>
  <w:style w:type="paragraph" w:customStyle="1" w:styleId="130">
    <w:name w:val="附录四级无标题条"/>
    <w:basedOn w:val="129"/>
    <w:next w:val="56"/>
    <w:qFormat/>
    <w:uiPriority w:val="0"/>
    <w:pPr>
      <w:outlineLvl w:val="5"/>
    </w:pPr>
  </w:style>
  <w:style w:type="paragraph" w:customStyle="1" w:styleId="131">
    <w:name w:val="附录图"/>
    <w:next w:val="56"/>
    <w:qFormat/>
    <w:uiPriority w:val="0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2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3">
    <w:name w:val="附录五级无标题条"/>
    <w:basedOn w:val="130"/>
    <w:next w:val="56"/>
    <w:qFormat/>
    <w:uiPriority w:val="0"/>
    <w:pPr>
      <w:outlineLvl w:val="6"/>
    </w:pPr>
  </w:style>
  <w:style w:type="paragraph" w:customStyle="1" w:styleId="134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5">
    <w:name w:val="附录一级无标题条"/>
    <w:basedOn w:val="87"/>
    <w:next w:val="56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6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7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38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39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0">
    <w:name w:val="列项·"/>
    <w:basedOn w:val="56"/>
    <w:qFormat/>
    <w:uiPriority w:val="0"/>
    <w:pPr>
      <w:tabs>
        <w:tab w:val="left" w:pos="840"/>
      </w:tabs>
    </w:pPr>
  </w:style>
  <w:style w:type="paragraph" w:customStyle="1" w:styleId="141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2">
    <w:name w:val="目录 21"/>
    <w:basedOn w:val="1"/>
    <w:next w:val="1"/>
    <w:autoRedefine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3">
    <w:name w:val="目录 3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4">
    <w:name w:val="目录 41"/>
    <w:basedOn w:val="1"/>
    <w:next w:val="1"/>
    <w:autoRedefine/>
    <w:semiHidden/>
    <w:qFormat/>
    <w:uiPriority w:val="0"/>
    <w:pPr>
      <w:adjustRightInd/>
      <w:spacing w:line="240" w:lineRule="auto"/>
      <w:jc w:val="left"/>
    </w:pPr>
  </w:style>
  <w:style w:type="paragraph" w:customStyle="1" w:styleId="145">
    <w:name w:val="目录 5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6">
    <w:name w:val="目录 61"/>
    <w:basedOn w:val="1"/>
    <w:next w:val="1"/>
    <w:autoRedefine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71"/>
    <w:basedOn w:val="146"/>
    <w:autoRedefine/>
    <w:semiHidden/>
    <w:qFormat/>
    <w:uiPriority w:val="0"/>
    <w:pPr>
      <w:ind w:left="1260"/>
    </w:pPr>
  </w:style>
  <w:style w:type="paragraph" w:customStyle="1" w:styleId="148">
    <w:name w:val="目录 81"/>
    <w:basedOn w:val="147"/>
    <w:autoRedefine/>
    <w:semiHidden/>
    <w:qFormat/>
    <w:uiPriority w:val="0"/>
    <w:pPr>
      <w:ind w:left="1470"/>
    </w:pPr>
  </w:style>
  <w:style w:type="paragraph" w:customStyle="1" w:styleId="149">
    <w:name w:val="目录 91"/>
    <w:basedOn w:val="148"/>
    <w:autoRedefine/>
    <w:semiHidden/>
    <w:qFormat/>
    <w:uiPriority w:val="0"/>
    <w:pPr>
      <w:ind w:left="1680"/>
    </w:pPr>
  </w:style>
  <w:style w:type="paragraph" w:customStyle="1" w:styleId="15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1">
    <w:name w:val="其他发布部门"/>
    <w:basedOn w:val="119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2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3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4">
    <w:name w:val="实施日期"/>
    <w:basedOn w:val="120"/>
    <w:qFormat/>
    <w:uiPriority w:val="0"/>
    <w:pPr>
      <w:framePr w:hSpace="0" w:wrap="around" w:xAlign="right"/>
      <w:jc w:val="right"/>
    </w:pPr>
  </w:style>
  <w:style w:type="paragraph" w:customStyle="1" w:styleId="155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7">
    <w:name w:val="无标题条"/>
    <w:next w:val="56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58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59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0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1">
    <w:name w:val="注×:后续"/>
    <w:basedOn w:val="160"/>
    <w:qFormat/>
    <w:uiPriority w:val="0"/>
    <w:pPr>
      <w:ind w:left="1406" w:leftChars="0" w:hanging="499" w:firstLineChars="0"/>
    </w:pPr>
  </w:style>
  <w:style w:type="paragraph" w:customStyle="1" w:styleId="162">
    <w:name w:val="标准文件_一级无标题"/>
    <w:basedOn w:val="105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3">
    <w:name w:val="标准文件_五级无标题"/>
    <w:basedOn w:val="103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4">
    <w:name w:val="标准文件_三级无标题"/>
    <w:basedOn w:val="94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5">
    <w:name w:val="标准文件_二级无标题"/>
    <w:basedOn w:val="65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6">
    <w:name w:val="标准_四级无标题"/>
    <w:basedOn w:val="98"/>
    <w:next w:val="56"/>
    <w:qFormat/>
    <w:uiPriority w:val="0"/>
    <w:rPr>
      <w:rFonts w:eastAsia="宋体"/>
    </w:rPr>
  </w:style>
  <w:style w:type="paragraph" w:customStyle="1" w:styleId="167">
    <w:name w:val="标准文件_四级无标题"/>
    <w:basedOn w:val="98"/>
    <w:qFormat/>
    <w:uiPriority w:val="0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68">
    <w:name w:val="标准文件_大写罗马数字编号列项"/>
    <w:basedOn w:val="56"/>
    <w:qFormat/>
    <w:uiPriority w:val="0"/>
    <w:pPr>
      <w:numPr>
        <w:ilvl w:val="0"/>
        <w:numId w:val="23"/>
      </w:numPr>
      <w:ind w:firstLine="0" w:firstLineChars="0"/>
    </w:pPr>
    <w:rPr>
      <w:rFonts w:cs="Arial"/>
      <w:szCs w:val="28"/>
    </w:rPr>
  </w:style>
  <w:style w:type="paragraph" w:customStyle="1" w:styleId="169">
    <w:name w:val="标准文件_小写罗马数字编号列项"/>
    <w:basedOn w:val="56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0">
    <w:name w:val="标准文件_附录标题"/>
    <w:basedOn w:val="76"/>
    <w:qFormat/>
    <w:uiPriority w:val="0"/>
    <w:pPr>
      <w:numPr>
        <w:numId w:val="0"/>
      </w:numPr>
      <w:spacing w:after="280"/>
      <w:outlineLvl w:val="9"/>
    </w:pPr>
  </w:style>
  <w:style w:type="paragraph" w:customStyle="1" w:styleId="171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2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3">
    <w:name w:val="图表脚注说明"/>
    <w:basedOn w:val="1"/>
    <w:next w:val="56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4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5">
    <w:name w:val="标准文件_索引字母"/>
    <w:next w:val="56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6">
    <w:name w:val="标准文件_附录前"/>
    <w:next w:val="56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7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78">
    <w:name w:val="标准文件_表格"/>
    <w:basedOn w:val="56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79">
    <w:name w:val="标准文件_注："/>
    <w:next w:val="56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0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1">
    <w:name w:val="标准文件_示例："/>
    <w:next w:val="182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示例内容"/>
    <w:basedOn w:val="56"/>
    <w:qFormat/>
    <w:uiPriority w:val="0"/>
    <w:pPr>
      <w:ind w:firstLine="420"/>
    </w:pPr>
    <w:rPr>
      <w:sz w:val="18"/>
    </w:rPr>
  </w:style>
  <w:style w:type="paragraph" w:customStyle="1" w:styleId="183">
    <w:name w:val="标准文件_示例×："/>
    <w:basedOn w:val="1"/>
    <w:next w:val="182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4">
    <w:name w:val="标准文件_段 Char"/>
    <w:link w:val="56"/>
    <w:qFormat/>
    <w:uiPriority w:val="0"/>
    <w:rPr>
      <w:rFonts w:ascii="Times New Roman" w:hAnsi="Times New Roman"/>
      <w:sz w:val="21"/>
    </w:rPr>
  </w:style>
  <w:style w:type="paragraph" w:customStyle="1" w:styleId="185">
    <w:name w:val="标准文件_表格续"/>
    <w:basedOn w:val="56"/>
    <w:next w:val="56"/>
    <w:qFormat/>
    <w:uiPriority w:val="0"/>
    <w:pPr>
      <w:jc w:val="center"/>
    </w:pPr>
    <w:rPr>
      <w:rFonts w:ascii="黑体" w:hAnsi="黑体" w:eastAsia="黑体"/>
    </w:rPr>
  </w:style>
  <w:style w:type="character" w:styleId="186">
    <w:name w:val="Placeholder Text"/>
    <w:basedOn w:val="28"/>
    <w:semiHidden/>
    <w:qFormat/>
    <w:uiPriority w:val="99"/>
    <w:rPr>
      <w:color w:val="808080"/>
    </w:rPr>
  </w:style>
  <w:style w:type="paragraph" w:customStyle="1" w:styleId="187">
    <w:name w:val="标准文件_二级项2"/>
    <w:basedOn w:val="56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88">
    <w:name w:val="标准文件_三级项2"/>
    <w:basedOn w:val="56"/>
    <w:qFormat/>
    <w:uiPriority w:val="0"/>
    <w:pPr>
      <w:numPr>
        <w:ilvl w:val="0"/>
        <w:numId w:val="30"/>
      </w:numPr>
      <w:spacing w:line="300" w:lineRule="exact"/>
      <w:ind w:firstLineChars="0"/>
    </w:pPr>
  </w:style>
  <w:style w:type="paragraph" w:customStyle="1" w:styleId="189">
    <w:name w:val="标准文件_一级项2"/>
    <w:basedOn w:val="56"/>
    <w:qFormat/>
    <w:uiPriority w:val="0"/>
    <w:pPr>
      <w:numPr>
        <w:ilvl w:val="0"/>
        <w:numId w:val="31"/>
      </w:numPr>
      <w:spacing w:line="300" w:lineRule="exact"/>
      <w:ind w:firstLineChars="0"/>
    </w:pPr>
  </w:style>
  <w:style w:type="paragraph" w:customStyle="1" w:styleId="190">
    <w:name w:val="标准文件_提示"/>
    <w:basedOn w:val="56"/>
    <w:next w:val="56"/>
    <w:qFormat/>
    <w:uiPriority w:val="0"/>
    <w:pPr>
      <w:ind w:firstLine="420"/>
    </w:pPr>
    <w:rPr>
      <w:rFonts w:ascii="黑体" w:eastAsia="黑体"/>
    </w:rPr>
  </w:style>
  <w:style w:type="character" w:customStyle="1" w:styleId="191">
    <w:name w:val="标准文件_来源"/>
    <w:basedOn w:val="28"/>
    <w:qFormat/>
    <w:uiPriority w:val="1"/>
    <w:rPr>
      <w:rFonts w:eastAsia="宋体"/>
      <w:sz w:val="21"/>
    </w:rPr>
  </w:style>
  <w:style w:type="paragraph" w:customStyle="1" w:styleId="192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3">
    <w:name w:val="其他发布日期"/>
    <w:basedOn w:val="120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4">
    <w:name w:val="其他实施日期"/>
    <w:basedOn w:val="154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5">
    <w:name w:val="标准文件_文件编号"/>
    <w:basedOn w:val="56"/>
    <w:qFormat/>
    <w:uiPriority w:val="0"/>
    <w:pPr>
      <w:framePr w:w="9356" w:h="624" w:hRule="exact" w:hSpace="181" w:vSpace="181" w:wrap="auto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6">
    <w:name w:val="标准文件_替换文件编号"/>
    <w:basedOn w:val="195"/>
    <w:qFormat/>
    <w:uiPriority w:val="0"/>
    <w:pPr>
      <w:spacing w:before="57"/>
    </w:pPr>
    <w:rPr>
      <w:sz w:val="21"/>
    </w:rPr>
  </w:style>
  <w:style w:type="paragraph" w:customStyle="1" w:styleId="197">
    <w:name w:val="标准文件_文件名称"/>
    <w:basedOn w:val="56"/>
    <w:next w:val="56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198">
    <w:name w:val="标准文件_附录图标号"/>
    <w:basedOn w:val="56"/>
    <w:next w:val="56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199">
    <w:name w:val="标准文件_附录表标号"/>
    <w:basedOn w:val="56"/>
    <w:next w:val="56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0">
    <w:name w:val="标准文件_引言一级条标题"/>
    <w:basedOn w:val="56"/>
    <w:next w:val="56"/>
    <w:qFormat/>
    <w:uiPriority w:val="0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1">
    <w:name w:val="标准文件_引言二级条标题"/>
    <w:basedOn w:val="56"/>
    <w:next w:val="56"/>
    <w:qFormat/>
    <w:uiPriority w:val="0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2">
    <w:name w:val="标准文件_引言三级条标题"/>
    <w:basedOn w:val="56"/>
    <w:next w:val="56"/>
    <w:qFormat/>
    <w:uiPriority w:val="0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3">
    <w:name w:val="标准文件_引言四级条标题"/>
    <w:basedOn w:val="56"/>
    <w:next w:val="56"/>
    <w:qFormat/>
    <w:uiPriority w:val="0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4">
    <w:name w:val="标准文件_引言五级条标题"/>
    <w:basedOn w:val="56"/>
    <w:next w:val="56"/>
    <w:qFormat/>
    <w:uiPriority w:val="0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5">
    <w:name w:val="标准文件_注后"/>
    <w:basedOn w:val="56"/>
    <w:qFormat/>
    <w:uiPriority w:val="0"/>
    <w:pPr>
      <w:ind w:left="811" w:firstLine="0" w:firstLineChars="0"/>
    </w:pPr>
    <w:rPr>
      <w:sz w:val="18"/>
    </w:rPr>
  </w:style>
  <w:style w:type="paragraph" w:customStyle="1" w:styleId="206">
    <w:name w:val="标准文件_注X后"/>
    <w:basedOn w:val="56"/>
    <w:qFormat/>
    <w:uiPriority w:val="0"/>
    <w:pPr>
      <w:ind w:left="811" w:firstLine="0" w:firstLineChars="0"/>
    </w:pPr>
    <w:rPr>
      <w:sz w:val="18"/>
    </w:rPr>
  </w:style>
  <w:style w:type="paragraph" w:customStyle="1" w:styleId="207">
    <w:name w:val="标准文件_示例后"/>
    <w:basedOn w:val="56"/>
    <w:qFormat/>
    <w:uiPriority w:val="0"/>
    <w:pPr>
      <w:ind w:left="964" w:firstLine="0" w:firstLineChars="0"/>
    </w:pPr>
    <w:rPr>
      <w:sz w:val="18"/>
    </w:rPr>
  </w:style>
  <w:style w:type="paragraph" w:customStyle="1" w:styleId="208">
    <w:name w:val="标准文件_示例X后"/>
    <w:basedOn w:val="56"/>
    <w:link w:val="209"/>
    <w:qFormat/>
    <w:uiPriority w:val="0"/>
    <w:pPr>
      <w:ind w:left="1049" w:firstLine="0" w:firstLineChars="0"/>
    </w:pPr>
    <w:rPr>
      <w:sz w:val="18"/>
    </w:rPr>
  </w:style>
  <w:style w:type="character" w:customStyle="1" w:styleId="209">
    <w:name w:val="标准文件_示例X后 字符"/>
    <w:basedOn w:val="184"/>
    <w:link w:val="208"/>
    <w:qFormat/>
    <w:uiPriority w:val="0"/>
    <w:rPr>
      <w:rFonts w:ascii="宋体" w:hAnsi="Times New Roman"/>
      <w:sz w:val="18"/>
    </w:rPr>
  </w:style>
  <w:style w:type="paragraph" w:customStyle="1" w:styleId="210">
    <w:name w:val="标准文件_索引项"/>
    <w:basedOn w:val="56"/>
    <w:next w:val="56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1">
    <w:name w:val="标准文件_附录一级无标题"/>
    <w:basedOn w:val="78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2">
    <w:name w:val="标准文件_附录二级无标题"/>
    <w:basedOn w:val="79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3">
    <w:name w:val="标准文件_附录三级无标题"/>
    <w:basedOn w:val="81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四级无标题"/>
    <w:basedOn w:val="82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五级无标题"/>
    <w:basedOn w:val="84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引言一级无标题"/>
    <w:basedOn w:val="200"/>
    <w:next w:val="56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7">
    <w:name w:val="标准文件_引言二级无标题"/>
    <w:basedOn w:val="201"/>
    <w:next w:val="56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8">
    <w:name w:val="标准文件_引言三级无标题"/>
    <w:basedOn w:val="202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9">
    <w:name w:val="标准文件_引言四级无标题"/>
    <w:basedOn w:val="203"/>
    <w:next w:val="56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0">
    <w:name w:val="标准文件_引言五级无标题"/>
    <w:basedOn w:val="204"/>
    <w:next w:val="56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1">
    <w:name w:val="标准文件_索引标题"/>
    <w:basedOn w:val="63"/>
    <w:next w:val="56"/>
    <w:qFormat/>
    <w:uiPriority w:val="0"/>
    <w:rPr>
      <w:rFonts w:hAnsi="黑体"/>
    </w:rPr>
  </w:style>
  <w:style w:type="paragraph" w:customStyle="1" w:styleId="222">
    <w:name w:val="标准文件_脚注内容"/>
    <w:basedOn w:val="56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3">
    <w:name w:val="标准文件_术语条一"/>
    <w:basedOn w:val="162"/>
    <w:next w:val="56"/>
    <w:qFormat/>
    <w:uiPriority w:val="0"/>
  </w:style>
  <w:style w:type="paragraph" w:customStyle="1" w:styleId="224">
    <w:name w:val="标准文件_术语条二"/>
    <w:basedOn w:val="165"/>
    <w:next w:val="56"/>
    <w:qFormat/>
    <w:uiPriority w:val="0"/>
  </w:style>
  <w:style w:type="paragraph" w:customStyle="1" w:styleId="225">
    <w:name w:val="标准文件_术语条三"/>
    <w:basedOn w:val="164"/>
    <w:next w:val="56"/>
    <w:qFormat/>
    <w:uiPriority w:val="0"/>
  </w:style>
  <w:style w:type="paragraph" w:customStyle="1" w:styleId="226">
    <w:name w:val="标准文件_术语条四"/>
    <w:basedOn w:val="167"/>
    <w:next w:val="56"/>
    <w:qFormat/>
    <w:uiPriority w:val="0"/>
  </w:style>
  <w:style w:type="paragraph" w:customStyle="1" w:styleId="227">
    <w:name w:val="标准文件_术语条五"/>
    <w:basedOn w:val="163"/>
    <w:next w:val="56"/>
    <w:qFormat/>
    <w:uiPriority w:val="0"/>
  </w:style>
  <w:style w:type="paragraph" w:customStyle="1" w:styleId="2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29">
    <w:name w:val="发布"/>
    <w:basedOn w:val="2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glossaryDocument" Target="glossary/document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3.jpe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StandardEditor\template\&#22242;&#20307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5438F9EC0984082B87E89954B92F6A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1B25EE0-CD94-492C-86CF-7203D06F412E}"/>
      </w:docPartPr>
      <w:docPartBody>
        <w:p w14:paraId="37B48FB5"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5E65"/>
    <w:rsid w:val="00B35E65"/>
    <w:rsid w:val="00C2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D5438F9EC0984082B87E89954B92F6A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49FF8FD72FFC43DCABB8D0106E5A1AA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5FE5AB028E324A5AB7DD4444854BB98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E0F809-F1B0-47A2-BF3F-77BC97C721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团体标准.dotx</Template>
  <Company>Microsoft</Company>
  <Pages>6</Pages>
  <Words>3318</Words>
  <Characters>3734</Characters>
  <Lines>35</Lines>
  <Paragraphs>9</Paragraphs>
  <TotalTime>1065</TotalTime>
  <ScaleCrop>false</ScaleCrop>
  <LinksUpToDate>false</LinksUpToDate>
  <CharactersWithSpaces>3806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2025-08-18T08:58:00Z</dcterms:created>
  <dc:creator>Windows 用户</dc:creator>
  <cp:lastModifiedBy>west</cp:lastModifiedBy>
  <cp:lastPrinted>2021-02-02T08:22:00Z</cp:lastPrinted>
  <dcterms:modified xsi:type="dcterms:W3CDTF">2025-09-03T00:25:07Z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团体标准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DoublePage">
    <vt:lpwstr>true</vt:lpwstr>
  </property>
  <property fmtid="{D5CDD505-2E9C-101B-9397-08002B2CF9AE}" pid="15" name="KSOTemplateDocerSaveRecord">
    <vt:lpwstr>eyJoZGlkIjoiOTRkNjRhYzg5MmUzZTI4NGJlZGUyMWQyZGMxMzY1NWYiLCJ1c2VySWQiOiIyNTcxNzMzMDcifQ==</vt:lpwstr>
  </property>
  <property fmtid="{D5CDD505-2E9C-101B-9397-08002B2CF9AE}" pid="16" name="KSOProductBuildVer">
    <vt:lpwstr>2052-12.1.0.22529</vt:lpwstr>
  </property>
  <property fmtid="{D5CDD505-2E9C-101B-9397-08002B2CF9AE}" pid="17" name="ICV">
    <vt:lpwstr>C8286F69C3E04B868F85F3AD74260CFB_12</vt:lpwstr>
  </property>
</Properties>
</file>