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3F2D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8D0EC7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19D1DF">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t>     </w:t>
            </w:r>
            <w:r>
              <w:rPr>
                <w:rFonts w:ascii="黑体" w:hAnsi="黑体" w:eastAsia="黑体"/>
                <w:sz w:val="21"/>
                <w:szCs w:val="21"/>
              </w:rPr>
              <w:fldChar w:fldCharType="end"/>
            </w:r>
            <w:bookmarkEnd w:id="0"/>
          </w:p>
        </w:tc>
      </w:tr>
      <w:tr w14:paraId="32974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670BF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205812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8DFA5AB">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A34E31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t>     </w:t>
            </w:r>
            <w:r>
              <w:rPr>
                <w:rFonts w:ascii="黑体" w:hAnsi="黑体" w:eastAsia="黑体"/>
                <w:sz w:val="21"/>
                <w:szCs w:val="21"/>
              </w:rPr>
              <w:fldChar w:fldCharType="end"/>
            </w:r>
            <w:bookmarkEnd w:id="2"/>
          </w:p>
        </w:tc>
      </w:tr>
    </w:tbl>
    <w:p w14:paraId="18EB773A">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8FA22A1">
      <w:pPr>
        <w:pStyle w:val="197"/>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1324D2B">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A8D9C7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8E1B505">
      <w:pPr>
        <w:pStyle w:val="52"/>
        <w:framePr w:w="9639" w:h="6976" w:hRule="exact" w:hSpace="0" w:vSpace="0" w:wrap="around" w:hAnchor="page" w:y="6408"/>
        <w:jc w:val="center"/>
        <w:rPr>
          <w:rFonts w:ascii="黑体" w:hAnsi="黑体" w:eastAsia="黑体"/>
          <w:b w:val="0"/>
          <w:bCs w:val="0"/>
          <w:w w:val="100"/>
        </w:rPr>
      </w:pPr>
    </w:p>
    <w:p w14:paraId="7D8F7EA3">
      <w:pPr>
        <w:pStyle w:val="19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零售药店药学服务规范</w:t>
      </w:r>
      <w:r>
        <w:fldChar w:fldCharType="end"/>
      </w:r>
      <w:bookmarkEnd w:id="8"/>
    </w:p>
    <w:p w14:paraId="059A47C8">
      <w:pPr>
        <w:framePr w:w="9639" w:h="6974" w:hRule="exact" w:wrap="around" w:vAnchor="page" w:hAnchor="page" w:x="1419" w:y="6408" w:anchorLock="1"/>
        <w:ind w:left="-1418"/>
      </w:pPr>
    </w:p>
    <w:p w14:paraId="1335AC3B">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pharmaceutical care of retail pharmacy</w:t>
      </w:r>
      <w:r>
        <w:rPr>
          <w:rFonts w:ascii="黑体" w:hAnsi="黑体" w:eastAsia="黑体"/>
          <w:szCs w:val="28"/>
        </w:rPr>
        <w:fldChar w:fldCharType="end"/>
      </w:r>
      <w:bookmarkEnd w:id="9"/>
    </w:p>
    <w:p w14:paraId="14D9697C">
      <w:pPr>
        <w:framePr w:w="9639" w:h="6974" w:hRule="exact" w:wrap="around" w:vAnchor="page" w:hAnchor="page" w:x="1419" w:y="6408" w:anchorLock="1"/>
        <w:spacing w:line="760" w:lineRule="exact"/>
        <w:ind w:left="-1418"/>
      </w:pPr>
    </w:p>
    <w:p w14:paraId="28DD1B31">
      <w:pPr>
        <w:pStyle w:val="127"/>
        <w:framePr w:w="9639" w:h="6974" w:hRule="exact" w:wrap="around" w:vAnchor="page" w:hAnchor="page" w:x="1419" w:y="6408" w:anchorLock="1"/>
        <w:textAlignment w:val="bottom"/>
        <w:rPr>
          <w:rFonts w:eastAsia="黑体"/>
          <w:szCs w:val="28"/>
        </w:rPr>
      </w:pPr>
    </w:p>
    <w:p w14:paraId="33FAFB5D">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05E7263F">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5A25A34">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C423D39">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D258DCE">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752000B">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9B7EF1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13B430">
      <w:pPr>
        <w:pStyle w:val="93"/>
        <w:spacing w:after="360"/>
      </w:pPr>
      <w:bookmarkStart w:id="20" w:name="BookMark1"/>
      <w:r>
        <w:rPr>
          <w:rFonts w:hint="eastAsia"/>
          <w:spacing w:val="320"/>
        </w:rPr>
        <w:t>目</w:t>
      </w:r>
      <w:r>
        <w:rPr>
          <w:rFonts w:hint="eastAsia"/>
        </w:rPr>
        <w:t>次</w:t>
      </w:r>
    </w:p>
    <w:p w14:paraId="0E73A0E0">
      <w:pPr>
        <w:pStyle w:val="20"/>
        <w:tabs>
          <w:tab w:val="right" w:leader="dot" w:pos="9354"/>
        </w:tabs>
      </w:pPr>
      <w:r>
        <w:fldChar w:fldCharType="begin"/>
      </w:r>
      <w:r>
        <w:instrText xml:space="preserve"> TOC \o "1-1" \h </w:instrText>
      </w:r>
      <w:r>
        <w:fldChar w:fldCharType="separate"/>
      </w:r>
      <w:r>
        <w:fldChar w:fldCharType="begin"/>
      </w:r>
      <w:r>
        <w:instrText xml:space="preserve"> HYPERLINK \l "_Toc13017" </w:instrText>
      </w:r>
      <w:r>
        <w:fldChar w:fldCharType="separate"/>
      </w:r>
      <w:r>
        <w:rPr>
          <w:spacing w:val="320"/>
        </w:rPr>
        <w:t>前</w:t>
      </w:r>
      <w:r>
        <w:t>言</w:t>
      </w:r>
      <w:r>
        <w:tab/>
      </w:r>
      <w:r>
        <w:fldChar w:fldCharType="begin"/>
      </w:r>
      <w:r>
        <w:instrText xml:space="preserve"> PAGEREF _Toc13017 \h </w:instrText>
      </w:r>
      <w:r>
        <w:fldChar w:fldCharType="separate"/>
      </w:r>
      <w:r>
        <w:t>II</w:t>
      </w:r>
      <w:r>
        <w:fldChar w:fldCharType="end"/>
      </w:r>
      <w:r>
        <w:fldChar w:fldCharType="end"/>
      </w:r>
    </w:p>
    <w:p w14:paraId="6EADE598">
      <w:pPr>
        <w:pStyle w:val="20"/>
        <w:tabs>
          <w:tab w:val="right" w:leader="dot" w:pos="9354"/>
        </w:tabs>
      </w:pPr>
      <w:r>
        <w:fldChar w:fldCharType="begin"/>
      </w:r>
      <w:r>
        <w:instrText xml:space="preserve"> HYPERLINK \l "_Toc4433" </w:instrText>
      </w:r>
      <w:r>
        <w:fldChar w:fldCharType="separate"/>
      </w:r>
      <w:r>
        <w:rPr>
          <w:rFonts w:hint="eastAsia" w:ascii="黑体" w:eastAsia="黑体"/>
        </w:rPr>
        <w:t xml:space="preserve">1 </w:t>
      </w:r>
      <w:r>
        <w:rPr>
          <w:rFonts w:hint="eastAsia"/>
        </w:rPr>
        <w:t>范围</w:t>
      </w:r>
      <w:r>
        <w:tab/>
      </w:r>
      <w:r>
        <w:fldChar w:fldCharType="begin"/>
      </w:r>
      <w:r>
        <w:instrText xml:space="preserve"> PAGEREF _Toc4433 \h </w:instrText>
      </w:r>
      <w:r>
        <w:fldChar w:fldCharType="separate"/>
      </w:r>
      <w:r>
        <w:t>1</w:t>
      </w:r>
      <w:r>
        <w:fldChar w:fldCharType="end"/>
      </w:r>
      <w:r>
        <w:fldChar w:fldCharType="end"/>
      </w:r>
    </w:p>
    <w:p w14:paraId="101331F4">
      <w:pPr>
        <w:pStyle w:val="20"/>
        <w:tabs>
          <w:tab w:val="right" w:leader="dot" w:pos="9354"/>
        </w:tabs>
      </w:pPr>
      <w:r>
        <w:fldChar w:fldCharType="begin"/>
      </w:r>
      <w:r>
        <w:instrText xml:space="preserve"> HYPERLINK \l "_Toc20497"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_Toc20497 \h </w:instrText>
      </w:r>
      <w:r>
        <w:fldChar w:fldCharType="separate"/>
      </w:r>
      <w:r>
        <w:t>1</w:t>
      </w:r>
      <w:r>
        <w:fldChar w:fldCharType="end"/>
      </w:r>
      <w:r>
        <w:fldChar w:fldCharType="end"/>
      </w:r>
    </w:p>
    <w:p w14:paraId="005615DE">
      <w:pPr>
        <w:pStyle w:val="20"/>
        <w:tabs>
          <w:tab w:val="right" w:leader="dot" w:pos="9354"/>
        </w:tabs>
      </w:pPr>
      <w:r>
        <w:fldChar w:fldCharType="begin"/>
      </w:r>
      <w:r>
        <w:instrText xml:space="preserve"> HYPERLINK \l "_Toc9546"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_Toc9546 \h </w:instrText>
      </w:r>
      <w:r>
        <w:fldChar w:fldCharType="separate"/>
      </w:r>
      <w:r>
        <w:t>1</w:t>
      </w:r>
      <w:r>
        <w:fldChar w:fldCharType="end"/>
      </w:r>
      <w:r>
        <w:fldChar w:fldCharType="end"/>
      </w:r>
    </w:p>
    <w:p w14:paraId="433E2BA8">
      <w:pPr>
        <w:pStyle w:val="20"/>
        <w:tabs>
          <w:tab w:val="right" w:leader="dot" w:pos="9354"/>
        </w:tabs>
      </w:pPr>
      <w:r>
        <w:fldChar w:fldCharType="begin"/>
      </w:r>
      <w:r>
        <w:instrText xml:space="preserve"> HYPERLINK \l "_Toc20834" </w:instrText>
      </w:r>
      <w:r>
        <w:fldChar w:fldCharType="separate"/>
      </w:r>
      <w:r>
        <w:rPr>
          <w:rFonts w:hint="eastAsia" w:ascii="黑体" w:eastAsia="黑体"/>
        </w:rPr>
        <w:t xml:space="preserve">4 </w:t>
      </w:r>
      <w:r>
        <w:rPr>
          <w:rFonts w:hint="eastAsia"/>
        </w:rPr>
        <w:t>基本要求</w:t>
      </w:r>
      <w:r>
        <w:tab/>
      </w:r>
      <w:r>
        <w:fldChar w:fldCharType="begin"/>
      </w:r>
      <w:r>
        <w:instrText xml:space="preserve"> PAGEREF _Toc20834 \h </w:instrText>
      </w:r>
      <w:r>
        <w:fldChar w:fldCharType="separate"/>
      </w:r>
      <w:r>
        <w:t>1</w:t>
      </w:r>
      <w:r>
        <w:fldChar w:fldCharType="end"/>
      </w:r>
      <w:r>
        <w:fldChar w:fldCharType="end"/>
      </w:r>
    </w:p>
    <w:p w14:paraId="6C9F1989">
      <w:pPr>
        <w:pStyle w:val="20"/>
        <w:tabs>
          <w:tab w:val="right" w:leader="dot" w:pos="9354"/>
        </w:tabs>
      </w:pPr>
      <w:r>
        <w:fldChar w:fldCharType="begin"/>
      </w:r>
      <w:r>
        <w:instrText xml:space="preserve"> HYPERLINK \l "_Toc26951" </w:instrText>
      </w:r>
      <w:r>
        <w:fldChar w:fldCharType="separate"/>
      </w:r>
      <w:r>
        <w:rPr>
          <w:rFonts w:hint="eastAsia" w:ascii="黑体" w:eastAsia="黑体"/>
        </w:rPr>
        <w:t xml:space="preserve">5 </w:t>
      </w:r>
      <w:r>
        <w:rPr>
          <w:rFonts w:hint="eastAsia"/>
        </w:rPr>
        <w:t>服务流程及内容</w:t>
      </w:r>
      <w:r>
        <w:tab/>
      </w:r>
      <w:r>
        <w:fldChar w:fldCharType="begin"/>
      </w:r>
      <w:r>
        <w:instrText xml:space="preserve"> PAGEREF _Toc26951 \h </w:instrText>
      </w:r>
      <w:r>
        <w:fldChar w:fldCharType="separate"/>
      </w:r>
      <w:r>
        <w:t>2</w:t>
      </w:r>
      <w:r>
        <w:fldChar w:fldCharType="end"/>
      </w:r>
      <w:r>
        <w:fldChar w:fldCharType="end"/>
      </w:r>
    </w:p>
    <w:p w14:paraId="2234EC04">
      <w:pPr>
        <w:pStyle w:val="20"/>
        <w:tabs>
          <w:tab w:val="right" w:leader="dot" w:pos="9354"/>
        </w:tabs>
      </w:pPr>
      <w:r>
        <w:fldChar w:fldCharType="begin"/>
      </w:r>
      <w:r>
        <w:instrText xml:space="preserve"> HYPERLINK \l "_Toc11970" </w:instrText>
      </w:r>
      <w:r>
        <w:fldChar w:fldCharType="separate"/>
      </w:r>
      <w:r>
        <w:rPr>
          <w:rFonts w:hint="eastAsia" w:ascii="黑体" w:eastAsia="黑体"/>
        </w:rPr>
        <w:t xml:space="preserve">6 </w:t>
      </w:r>
      <w:r>
        <w:rPr>
          <w:rFonts w:hint="eastAsia"/>
        </w:rPr>
        <w:t>服务评价与改进</w:t>
      </w:r>
      <w:r>
        <w:tab/>
      </w:r>
      <w:r>
        <w:fldChar w:fldCharType="begin"/>
      </w:r>
      <w:r>
        <w:instrText xml:space="preserve"> PAGEREF _Toc11970 \h </w:instrText>
      </w:r>
      <w:r>
        <w:fldChar w:fldCharType="separate"/>
      </w:r>
      <w:r>
        <w:t>7</w:t>
      </w:r>
      <w:r>
        <w:fldChar w:fldCharType="end"/>
      </w:r>
      <w:r>
        <w:fldChar w:fldCharType="end"/>
      </w:r>
    </w:p>
    <w:p w14:paraId="177F2FA8">
      <w:pPr>
        <w:pStyle w:val="20"/>
        <w:tabs>
          <w:tab w:val="right" w:leader="dot" w:pos="9354"/>
        </w:tabs>
      </w:pPr>
      <w:r>
        <w:fldChar w:fldCharType="begin"/>
      </w:r>
      <w:r>
        <w:instrText xml:space="preserve"> HYPERLINK \l "_Toc20930"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零售药店服务满意度评分表</w:t>
      </w:r>
      <w:r>
        <w:tab/>
      </w:r>
      <w:r>
        <w:fldChar w:fldCharType="begin"/>
      </w:r>
      <w:r>
        <w:instrText xml:space="preserve"> PAGEREF _Toc20930 \h </w:instrText>
      </w:r>
      <w:r>
        <w:fldChar w:fldCharType="separate"/>
      </w:r>
      <w:r>
        <w:t>8</w:t>
      </w:r>
      <w:r>
        <w:fldChar w:fldCharType="end"/>
      </w:r>
      <w:r>
        <w:fldChar w:fldCharType="end"/>
      </w:r>
    </w:p>
    <w:p w14:paraId="5121A23C">
      <w:pPr>
        <w:pStyle w:val="20"/>
        <w:tabs>
          <w:tab w:val="right" w:leader="dot" w:pos="9354"/>
        </w:tabs>
      </w:pPr>
      <w:r>
        <w:fldChar w:fldCharType="begin"/>
      </w:r>
      <w:r>
        <w:instrText xml:space="preserve"> HYPERLINK \l "_Toc32155" </w:instrText>
      </w:r>
      <w:r>
        <w:fldChar w:fldCharType="separate"/>
      </w:r>
      <w:r>
        <w:rPr>
          <w:rFonts w:hint="eastAsia"/>
          <w:spacing w:val="105"/>
        </w:rPr>
        <w:t>参考文</w:t>
      </w:r>
      <w:r>
        <w:rPr>
          <w:rFonts w:hint="eastAsia"/>
        </w:rPr>
        <w:t>献</w:t>
      </w:r>
      <w:r>
        <w:tab/>
      </w:r>
      <w:r>
        <w:fldChar w:fldCharType="begin"/>
      </w:r>
      <w:r>
        <w:instrText xml:space="preserve"> PAGEREF _Toc32155 \h </w:instrText>
      </w:r>
      <w:r>
        <w:fldChar w:fldCharType="separate"/>
      </w:r>
      <w:r>
        <w:t>11</w:t>
      </w:r>
      <w:r>
        <w:fldChar w:fldCharType="end"/>
      </w:r>
      <w:r>
        <w:fldChar w:fldCharType="end"/>
      </w:r>
    </w:p>
    <w:p w14:paraId="26E9C481">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r>
        <w:rPr>
          <w:rFonts w:hint="eastAsia"/>
        </w:rPr>
        <w:t xml:space="preserve">                                                                                                                                                                                                                                                                                                                                                                                                                                             </w:t>
      </w:r>
    </w:p>
    <w:bookmarkEnd w:id="20"/>
    <w:p w14:paraId="15FC02BB">
      <w:pPr>
        <w:pStyle w:val="91"/>
        <w:spacing w:after="360"/>
      </w:pPr>
      <w:bookmarkStart w:id="21" w:name="_Toc13017"/>
      <w:bookmarkStart w:id="22" w:name="_Toc196236622"/>
      <w:bookmarkStart w:id="23" w:name="BookMark2"/>
      <w:r>
        <w:rPr>
          <w:spacing w:val="320"/>
        </w:rPr>
        <w:t>前</w:t>
      </w:r>
      <w:r>
        <w:t>言</w:t>
      </w:r>
      <w:bookmarkEnd w:id="21"/>
      <w:bookmarkEnd w:id="22"/>
    </w:p>
    <w:p w14:paraId="35442CE7">
      <w:pPr>
        <w:pStyle w:val="58"/>
        <w:ind w:firstLine="420"/>
      </w:pPr>
      <w:r>
        <w:rPr>
          <w:rFonts w:hint="eastAsia"/>
        </w:rPr>
        <w:t>本文件参照GB/T 1.1—2020《标准化工作导则  第1部分：标准化文件的结构和起草规则》的规定起草。</w:t>
      </w:r>
    </w:p>
    <w:p w14:paraId="2CC3AC0C">
      <w:pPr>
        <w:pStyle w:val="58"/>
        <w:ind w:firstLine="420"/>
      </w:pPr>
      <w:r>
        <w:rPr>
          <w:rFonts w:hint="eastAsia"/>
        </w:rPr>
        <w:t>请注意本文件的某些内容可能涉及专利。本文件的发布机构不承担识别专利的责任。</w:t>
      </w:r>
    </w:p>
    <w:p w14:paraId="3AEF9C0A">
      <w:pPr>
        <w:pStyle w:val="58"/>
        <w:ind w:firstLine="420"/>
      </w:pPr>
      <w:r>
        <w:rPr>
          <w:rFonts w:hint="eastAsia"/>
        </w:rPr>
        <w:t>本文件由广西药师协会提出、宣贯并归口。</w:t>
      </w:r>
    </w:p>
    <w:p w14:paraId="6BCEF5CD">
      <w:pPr>
        <w:pStyle w:val="58"/>
        <w:ind w:firstLine="420"/>
      </w:pPr>
      <w:r>
        <w:rPr>
          <w:rFonts w:hint="eastAsia"/>
        </w:rPr>
        <w:t>本文件起草单位：国药控股广西有限公司、国药控股国大药房广西连锁有限公司、广西大参林连锁药店有限公司、广西桂中大药房连锁有限责任公司、广西医科大学第一附属医院、广西壮族自治区人民医院、广西医科大学附属肿瘤医院、广西壮族自治区食品药品审评查验中心、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p>
    <w:p w14:paraId="67DB7DB0">
      <w:pPr>
        <w:pStyle w:val="58"/>
        <w:ind w:firstLine="420"/>
        <w:rPr>
          <w:color w:val="0000FF"/>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本文件主要起草人：彭敏、陆丽</w:t>
      </w:r>
      <w:bookmarkStart w:id="102" w:name="_GoBack"/>
      <w:bookmarkEnd w:id="102"/>
      <w:r>
        <w:rPr>
          <w:rFonts w:hint="eastAsia"/>
        </w:rPr>
        <w:t>、张宏亮、陈晓宇、梁月霞、陈丽、卢慧媚、蒋受军、李艳、秦魏沛、赵蕾、莫小华、邝丽丽、杜清华、连家桃、刘恒震、韦凤娟、何淑婷、李方宏、马日鲸、王冬梅、刘代华、陈薇、邓雪玉、席加喜、田万平、彭勇、李典聪、黄湫艳、韦莹莹、蓝颖、罗俊、徐小惠、吴琼、黄舒文、许美玲、邱文恺、叶溪、朱一鸣、常馨元、陈红丽、朱小蕾、盛芳芬、陈景麟。</w:t>
      </w:r>
    </w:p>
    <w:bookmarkEnd w:id="23"/>
    <w:p w14:paraId="30BED509">
      <w:pPr>
        <w:spacing w:line="20" w:lineRule="exact"/>
        <w:jc w:val="center"/>
        <w:rPr>
          <w:rFonts w:ascii="黑体" w:hAnsi="黑体" w:eastAsia="黑体"/>
          <w:sz w:val="32"/>
          <w:szCs w:val="32"/>
        </w:rPr>
      </w:pPr>
      <w:bookmarkStart w:id="24" w:name="BookMark4"/>
    </w:p>
    <w:p w14:paraId="731458F3">
      <w:pPr>
        <w:spacing w:line="20" w:lineRule="exact"/>
        <w:jc w:val="center"/>
        <w:rPr>
          <w:rFonts w:ascii="黑体" w:hAnsi="黑体" w:eastAsia="黑体"/>
          <w:sz w:val="32"/>
          <w:szCs w:val="32"/>
        </w:rPr>
      </w:pPr>
    </w:p>
    <w:sdt>
      <w:sdtPr>
        <w:tag w:val="NEW_STAND_NAME"/>
        <w:id w:val="595910757"/>
        <w:lock w:val="sdtLocked"/>
        <w:placeholder>
          <w:docPart w:val="29978527C3E94A29A0B844BD061944F7"/>
        </w:placeholder>
      </w:sdtPr>
      <w:sdtContent>
        <w:p w14:paraId="1C8E3B74">
          <w:pPr>
            <w:pStyle w:val="179"/>
            <w:spacing w:before="240" w:beforeLines="100" w:after="528" w:afterLines="220"/>
          </w:pPr>
          <w:bookmarkStart w:id="25" w:name="NEW_STAND_NAME"/>
          <w:r>
            <w:rPr>
              <w:rFonts w:hint="eastAsia"/>
            </w:rPr>
            <w:t>零售药店药学服务规范</w:t>
          </w:r>
        </w:p>
      </w:sdtContent>
    </w:sdt>
    <w:bookmarkEnd w:id="25"/>
    <w:p w14:paraId="76005A63">
      <w:pPr>
        <w:pStyle w:val="106"/>
        <w:spacing w:before="240" w:after="240"/>
      </w:pPr>
      <w:bookmarkStart w:id="26" w:name="_Toc24884218"/>
      <w:bookmarkStart w:id="27" w:name="_Toc24884211"/>
      <w:bookmarkStart w:id="28" w:name="_Toc196236623"/>
      <w:bookmarkStart w:id="29" w:name="_Toc26718930"/>
      <w:bookmarkStart w:id="30" w:name="_Toc26986771"/>
      <w:bookmarkStart w:id="31" w:name="_Toc97192964"/>
      <w:bookmarkStart w:id="32" w:name="_Toc17233325"/>
      <w:bookmarkStart w:id="33" w:name="_Toc4433"/>
      <w:bookmarkStart w:id="34" w:name="_Toc26986530"/>
      <w:bookmarkStart w:id="35" w:name="_Toc17233333"/>
      <w:bookmarkStart w:id="36" w:name="_Toc26648465"/>
      <w:r>
        <w:rPr>
          <w:rFonts w:hint="eastAsia"/>
        </w:rPr>
        <w:t>范围</w:t>
      </w:r>
      <w:bookmarkEnd w:id="26"/>
      <w:bookmarkEnd w:id="27"/>
      <w:bookmarkEnd w:id="28"/>
      <w:bookmarkEnd w:id="29"/>
      <w:bookmarkEnd w:id="30"/>
      <w:bookmarkEnd w:id="31"/>
      <w:bookmarkEnd w:id="32"/>
      <w:bookmarkEnd w:id="33"/>
      <w:bookmarkEnd w:id="34"/>
      <w:bookmarkEnd w:id="35"/>
      <w:bookmarkEnd w:id="36"/>
    </w:p>
    <w:p w14:paraId="3515BC79">
      <w:pPr>
        <w:pStyle w:val="58"/>
        <w:ind w:firstLine="420"/>
      </w:pPr>
      <w:bookmarkStart w:id="37" w:name="_Toc26648466"/>
      <w:bookmarkStart w:id="38" w:name="_Toc17233334"/>
      <w:bookmarkStart w:id="39" w:name="_Toc17233326"/>
      <w:bookmarkStart w:id="40" w:name="_Toc24884219"/>
      <w:bookmarkStart w:id="41" w:name="_Toc24884212"/>
      <w:r>
        <w:rPr>
          <w:rFonts w:hint="eastAsia"/>
        </w:rPr>
        <w:t>本文件界定了</w:t>
      </w:r>
      <w:bookmarkStart w:id="42" w:name="_Hlk195108976"/>
      <w:bookmarkStart w:id="43" w:name="OLE_LINK5"/>
      <w:r>
        <w:rPr>
          <w:rFonts w:hint="eastAsia"/>
        </w:rPr>
        <w:t>零售药店药学服务</w:t>
      </w:r>
      <w:bookmarkEnd w:id="42"/>
      <w:bookmarkEnd w:id="43"/>
      <w:r>
        <w:rPr>
          <w:rFonts w:hint="eastAsia"/>
        </w:rPr>
        <w:t>涉及的术语和定义，确立了零售药店药学服务的流程，规定了零售药店药学服务的</w:t>
      </w:r>
      <w:r>
        <w:t>基本要求、服务内容、服务评价与改进</w:t>
      </w:r>
      <w:r>
        <w:rPr>
          <w:rFonts w:hint="eastAsia"/>
        </w:rPr>
        <w:t>的要求。</w:t>
      </w:r>
    </w:p>
    <w:p w14:paraId="4C9DBD62">
      <w:pPr>
        <w:pStyle w:val="58"/>
        <w:ind w:firstLine="420"/>
      </w:pPr>
      <w:r>
        <w:rPr>
          <w:rFonts w:hint="eastAsia"/>
        </w:rPr>
        <w:t>本文件适用于零售药店药学服务。</w:t>
      </w:r>
    </w:p>
    <w:p w14:paraId="43B83D62">
      <w:pPr>
        <w:pStyle w:val="106"/>
        <w:spacing w:before="240" w:after="240"/>
      </w:pPr>
      <w:bookmarkStart w:id="44" w:name="_Toc26986772"/>
      <w:bookmarkStart w:id="45" w:name="_Toc26986531"/>
      <w:bookmarkStart w:id="46" w:name="_Toc196236624"/>
      <w:bookmarkStart w:id="47" w:name="_Toc26718931"/>
      <w:bookmarkStart w:id="48" w:name="_Toc20497"/>
      <w:bookmarkStart w:id="49" w:name="_Toc97192965"/>
      <w:r>
        <w:rPr>
          <w:rFonts w:hint="eastAsia"/>
        </w:rPr>
        <w:t>规范性引用文件</w:t>
      </w:r>
      <w:bookmarkEnd w:id="37"/>
      <w:bookmarkEnd w:id="38"/>
      <w:bookmarkEnd w:id="39"/>
      <w:bookmarkEnd w:id="40"/>
      <w:bookmarkEnd w:id="41"/>
      <w:bookmarkEnd w:id="44"/>
      <w:bookmarkEnd w:id="45"/>
      <w:bookmarkEnd w:id="46"/>
      <w:bookmarkEnd w:id="47"/>
      <w:bookmarkEnd w:id="48"/>
      <w:bookmarkEnd w:id="49"/>
    </w:p>
    <w:sdt>
      <w:sdtPr>
        <w:rPr>
          <w:rFonts w:hint="eastAsia"/>
        </w:rPr>
        <w:id w:val="715848253"/>
        <w:placeholder>
          <w:docPart w:val="EDE04A19CB89495599B59D653C77D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D7DEB2D">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6167BE">
      <w:pPr>
        <w:pStyle w:val="58"/>
        <w:ind w:firstLine="420"/>
      </w:pPr>
      <w:bookmarkStart w:id="50" w:name="_Toc97192966"/>
      <w:bookmarkStart w:id="51" w:name="_Toc196236625"/>
      <w:r>
        <w:rPr>
          <w:rFonts w:hint="eastAsia"/>
        </w:rPr>
        <w:t>SB/T 10763  零售药店经营服务规范</w:t>
      </w:r>
    </w:p>
    <w:p w14:paraId="725FD804">
      <w:pPr>
        <w:pStyle w:val="106"/>
        <w:spacing w:before="240" w:after="240"/>
      </w:pPr>
      <w:bookmarkStart w:id="52" w:name="_Toc9546"/>
      <w:r>
        <w:rPr>
          <w:rFonts w:hint="eastAsia"/>
        </w:rPr>
        <w:t>术语和定义</w:t>
      </w:r>
      <w:bookmarkEnd w:id="50"/>
      <w:bookmarkEnd w:id="51"/>
      <w:bookmarkEnd w:id="52"/>
    </w:p>
    <w:sdt>
      <w:sdtPr>
        <w:id w:val="-1909835108"/>
        <w:placeholder>
          <w:docPart w:val="554F693D6B794C5BB159DC16256FE5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F29FEC">
          <w:pPr>
            <w:pStyle w:val="58"/>
            <w:ind w:firstLine="420"/>
            <w:rPr>
              <w:color w:val="0000FF"/>
            </w:rPr>
          </w:pPr>
          <w:bookmarkStart w:id="53" w:name="_Toc26986532"/>
          <w:bookmarkEnd w:id="53"/>
          <w:r>
            <w:rPr>
              <w:rFonts w:hint="eastAsia"/>
            </w:rPr>
            <w:t>SB/T 10763</w:t>
          </w:r>
          <w:r>
            <w:t>界定的以及下列术语和定义适用于本文件。</w:t>
          </w:r>
        </w:p>
      </w:sdtContent>
    </w:sdt>
    <w:p w14:paraId="5FC7C33C">
      <w:pPr>
        <w:pStyle w:val="225"/>
        <w:ind w:left="420" w:hanging="420" w:hangingChars="200"/>
        <w:rPr>
          <w:rFonts w:ascii="黑体" w:hAnsi="黑体" w:eastAsia="黑体" w:cs="宋体"/>
        </w:rPr>
      </w:pPr>
      <w:bookmarkStart w:id="54" w:name="OLE_LINK6"/>
      <w:bookmarkEnd w:id="54"/>
      <w:bookmarkStart w:id="55" w:name="OLE_LINK7"/>
      <w:bookmarkEnd w:id="55"/>
      <w:r>
        <w:rPr>
          <w:rFonts w:hint="eastAsia" w:ascii="黑体" w:hAnsi="黑体" w:eastAsia="黑体"/>
        </w:rPr>
        <w:br w:type="textWrapping"/>
      </w:r>
      <w:bookmarkStart w:id="56" w:name="OLE_LINK4"/>
      <w:r>
        <w:rPr>
          <w:rFonts w:hint="eastAsia" w:ascii="黑体" w:hAnsi="黑体" w:eastAsia="黑体"/>
        </w:rPr>
        <w:t>处方</w:t>
      </w:r>
      <w:bookmarkEnd w:id="56"/>
      <w:r>
        <w:rPr>
          <w:rFonts w:hint="eastAsia" w:ascii="黑体" w:hAnsi="黑体" w:eastAsia="黑体"/>
        </w:rPr>
        <w:t xml:space="preserve"> </w:t>
      </w:r>
      <w:r>
        <w:rPr>
          <w:rFonts w:ascii="黑体" w:hAnsi="黑体" w:eastAsia="黑体"/>
        </w:rPr>
        <w:t xml:space="preserve"> </w:t>
      </w:r>
      <w:r>
        <w:rPr>
          <w:rFonts w:hint="eastAsia" w:ascii="黑体" w:hAnsi="黑体" w:eastAsia="黑体"/>
        </w:rPr>
        <w:t>prescription drug</w:t>
      </w:r>
    </w:p>
    <w:p w14:paraId="65E3716F">
      <w:pPr>
        <w:pStyle w:val="58"/>
        <w:ind w:firstLine="420"/>
        <w:rPr>
          <w:rFonts w:hAnsi="宋体" w:cs="宋体"/>
          <w:szCs w:val="21"/>
        </w:rPr>
      </w:pPr>
      <w:r>
        <w:rPr>
          <w:rFonts w:hint="eastAsia" w:hAnsi="宋体" w:cs="宋体"/>
          <w:szCs w:val="21"/>
        </w:rPr>
        <w:t>由注册的执业</w:t>
      </w:r>
      <w:r>
        <w:rPr>
          <w:rFonts w:hAnsi="宋体" w:cs="宋体"/>
          <w:szCs w:val="21"/>
        </w:rPr>
        <w:t>医师和执业助理医师在诊疗活动中为</w:t>
      </w:r>
      <w:r>
        <w:rPr>
          <w:rFonts w:hint="eastAsia" w:hAnsi="宋体" w:cs="宋体"/>
          <w:szCs w:val="21"/>
        </w:rPr>
        <w:t>顾客</w:t>
      </w:r>
      <w:r>
        <w:rPr>
          <w:rFonts w:hAnsi="宋体" w:cs="宋体"/>
          <w:szCs w:val="21"/>
        </w:rPr>
        <w:t>开具的、由取得药学专业技术职务任职资格的药学专业技术人员审核、调配、核对，并作为</w:t>
      </w:r>
      <w:r>
        <w:rPr>
          <w:rFonts w:hint="eastAsia" w:hAnsi="宋体" w:cs="宋体"/>
          <w:szCs w:val="21"/>
        </w:rPr>
        <w:t>顾客</w:t>
      </w:r>
      <w:r>
        <w:rPr>
          <w:rFonts w:hAnsi="宋体" w:cs="宋体"/>
          <w:szCs w:val="21"/>
        </w:rPr>
        <w:t>用药凭证的医疗文书。处方包括医疗机构病区用药医嘱单。</w:t>
      </w:r>
    </w:p>
    <w:p w14:paraId="1D4F284B">
      <w:pPr>
        <w:pStyle w:val="225"/>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药学技术人员 </w:t>
      </w:r>
      <w:r>
        <w:rPr>
          <w:rFonts w:ascii="黑体" w:hAnsi="黑体" w:eastAsia="黑体"/>
        </w:rPr>
        <w:t xml:space="preserve"> </w:t>
      </w:r>
      <w:r>
        <w:rPr>
          <w:rFonts w:hint="eastAsia" w:ascii="黑体" w:hAnsi="黑体" w:eastAsia="黑体"/>
        </w:rPr>
        <w:t>pharmacist technician</w:t>
      </w:r>
    </w:p>
    <w:p w14:paraId="4690A3E4">
      <w:pPr>
        <w:spacing w:line="240" w:lineRule="auto"/>
        <w:ind w:firstLine="420" w:firstLineChars="200"/>
      </w:pPr>
      <w:r>
        <w:rPr>
          <w:rFonts w:hint="eastAsia"/>
        </w:rPr>
        <w:t>执业药师和其他依法经过资格认定的药学技术人员。包括：（中）药士、（中）药师、主管（中）药师、副主任（中）药师、主任（中）药师。</w:t>
      </w:r>
    </w:p>
    <w:p w14:paraId="6E8857E7">
      <w:pPr>
        <w:spacing w:line="240" w:lineRule="auto"/>
        <w:ind w:firstLine="420" w:firstLineChars="200"/>
      </w:pPr>
    </w:p>
    <w:p w14:paraId="734A2E6A">
      <w:pPr>
        <w:pStyle w:val="225"/>
        <w:ind w:left="420" w:hanging="420" w:hangingChars="200"/>
        <w:rPr>
          <w:rFonts w:ascii="黑体" w:hAnsi="黑体" w:eastAsia="黑体"/>
        </w:rPr>
      </w:pPr>
      <w:r>
        <w:rPr>
          <w:rFonts w:hint="eastAsia" w:ascii="黑体" w:hAnsi="黑体" w:eastAsia="黑体"/>
        </w:rPr>
        <w:br w:type="textWrapping"/>
      </w:r>
      <w:bookmarkStart w:id="57" w:name="OLE_LINK1"/>
      <w:bookmarkStart w:id="58" w:name="OLE_LINK3"/>
      <w:bookmarkStart w:id="59" w:name="OLE_LINK2"/>
      <w:r>
        <w:rPr>
          <w:rFonts w:hint="eastAsia" w:ascii="黑体" w:hAnsi="黑体" w:eastAsia="黑体"/>
        </w:rPr>
        <w:t>药学服务人员</w:t>
      </w:r>
      <w:bookmarkEnd w:id="57"/>
      <w:bookmarkEnd w:id="58"/>
      <w:bookmarkEnd w:id="59"/>
      <w:r>
        <w:rPr>
          <w:rFonts w:hint="eastAsia" w:ascii="黑体" w:hAnsi="黑体" w:eastAsia="黑体"/>
        </w:rPr>
        <w:t xml:space="preserve"> </w:t>
      </w:r>
      <w:r>
        <w:rPr>
          <w:rFonts w:ascii="黑体" w:hAnsi="黑体" w:eastAsia="黑体"/>
        </w:rPr>
        <w:t xml:space="preserve"> </w:t>
      </w:r>
      <w:r>
        <w:rPr>
          <w:rFonts w:hint="eastAsia" w:ascii="黑体" w:hAnsi="黑体" w:eastAsia="黑体"/>
        </w:rPr>
        <w:t>pharmacy service personnel</w:t>
      </w:r>
    </w:p>
    <w:p w14:paraId="32E3384B">
      <w:pPr>
        <w:spacing w:line="240" w:lineRule="auto"/>
        <w:ind w:firstLine="420" w:firstLineChars="200"/>
      </w:pPr>
      <w:r>
        <w:rPr>
          <w:rFonts w:hint="eastAsia"/>
        </w:rPr>
        <w:t>经过法律法规、药品专业知识与技能的岗前培训和继续培训，从事药品、医疗器械等医药商品采购、销售、验收等工作的医药商品购销员，包括药品购销人员、医疗器械购销人员、中药材及中药饮片购销人员、中药调剂人员等。</w:t>
      </w:r>
    </w:p>
    <w:p w14:paraId="6574FD6C">
      <w:pPr>
        <w:pStyle w:val="225"/>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执业药师 </w:t>
      </w:r>
      <w:r>
        <w:rPr>
          <w:rFonts w:ascii="黑体" w:hAnsi="黑体" w:eastAsia="黑体"/>
        </w:rPr>
        <w:t xml:space="preserve"> </w:t>
      </w:r>
      <w:r>
        <w:rPr>
          <w:rFonts w:hint="eastAsia" w:ascii="黑体" w:hAnsi="黑体" w:eastAsia="黑体"/>
        </w:rPr>
        <w:t>licensed Pharmacist</w:t>
      </w:r>
    </w:p>
    <w:p w14:paraId="79E3E9CC">
      <w:pPr>
        <w:spacing w:line="240" w:lineRule="auto"/>
        <w:ind w:firstLine="420" w:firstLineChars="200"/>
      </w:pPr>
      <w:r>
        <w:rPr>
          <w:rFonts w:hint="eastAsia"/>
        </w:rPr>
        <w:t>经全国统一考试合格，</w:t>
      </w:r>
      <w:r>
        <w:t>取得《中华人民共和国执业药师职业资格证书》并经注册</w:t>
      </w:r>
      <w:r>
        <w:rPr>
          <w:rFonts w:hint="eastAsia"/>
        </w:rPr>
        <w:t>，在药品生产、经营、使用和其他需要提供药学服务的单位中执业的</w:t>
      </w:r>
      <w:r>
        <w:t>药学技术人员。</w:t>
      </w:r>
    </w:p>
    <w:p w14:paraId="2DABC51B">
      <w:pPr>
        <w:pStyle w:val="106"/>
        <w:spacing w:before="240" w:after="240"/>
      </w:pPr>
      <w:bookmarkStart w:id="60" w:name="_Toc20834"/>
      <w:bookmarkStart w:id="61" w:name="_Toc153450902"/>
      <w:bookmarkStart w:id="62" w:name="_Toc148348206"/>
      <w:bookmarkStart w:id="63" w:name="_Toc152688257"/>
      <w:bookmarkStart w:id="64" w:name="_Toc153552323"/>
      <w:bookmarkStart w:id="65" w:name="_Toc149037214"/>
      <w:bookmarkStart w:id="66" w:name="_Toc148348303"/>
      <w:bookmarkStart w:id="67" w:name="_Toc148348737"/>
      <w:bookmarkStart w:id="68" w:name="_Toc149670153"/>
      <w:r>
        <w:rPr>
          <w:rFonts w:hint="eastAsia"/>
        </w:rPr>
        <w:t>基本要求</w:t>
      </w:r>
      <w:bookmarkEnd w:id="60"/>
    </w:p>
    <w:bookmarkEnd w:id="61"/>
    <w:bookmarkEnd w:id="62"/>
    <w:bookmarkEnd w:id="63"/>
    <w:bookmarkEnd w:id="64"/>
    <w:bookmarkEnd w:id="65"/>
    <w:bookmarkEnd w:id="66"/>
    <w:bookmarkEnd w:id="67"/>
    <w:bookmarkEnd w:id="68"/>
    <w:p w14:paraId="0B4E82F1">
      <w:pPr>
        <w:pStyle w:val="107"/>
        <w:spacing w:before="120" w:after="120"/>
      </w:pPr>
      <w:r>
        <w:rPr>
          <w:rFonts w:hint="eastAsia"/>
        </w:rPr>
        <w:t>营业场所</w:t>
      </w:r>
    </w:p>
    <w:p w14:paraId="2F638636">
      <w:pPr>
        <w:pStyle w:val="167"/>
      </w:pPr>
      <w:r>
        <w:rPr>
          <w:rFonts w:hint="eastAsia"/>
        </w:rPr>
        <w:t>营业场所应符合SB/T 10763的要求。</w:t>
      </w:r>
    </w:p>
    <w:p w14:paraId="34E27007">
      <w:pPr>
        <w:pStyle w:val="167"/>
      </w:pPr>
      <w:r>
        <w:rPr>
          <w:rFonts w:hint="eastAsia"/>
        </w:rPr>
        <w:t>设置药学服务标识、药学服务区域。</w:t>
      </w:r>
    </w:p>
    <w:p w14:paraId="49324EFD">
      <w:pPr>
        <w:pStyle w:val="167"/>
        <w:rPr>
          <w:rFonts w:hAnsi="宋体"/>
        </w:rPr>
      </w:pPr>
      <w:r>
        <w:rPr>
          <w:rFonts w:hint="eastAsia"/>
        </w:rPr>
        <w:t>为药学技术人员和顾客提供参考书籍，应根据需要配备相关医药学参考书和工具书等图书资讯。</w:t>
      </w:r>
      <w:r>
        <w:rPr>
          <w:rFonts w:hint="eastAsia" w:hAnsi="宋体"/>
        </w:rPr>
        <w:t xml:space="preserve"> </w:t>
      </w:r>
    </w:p>
    <w:p w14:paraId="790F5F0B">
      <w:pPr>
        <w:pStyle w:val="167"/>
        <w:rPr>
          <w:rFonts w:ascii="Calibri" w:hAnsi="Calibri"/>
          <w:kern w:val="2"/>
          <w:szCs w:val="21"/>
        </w:rPr>
      </w:pPr>
      <w:r>
        <w:rPr>
          <w:rFonts w:hint="eastAsia" w:ascii="Calibri" w:hAnsi="Calibri"/>
          <w:kern w:val="2"/>
          <w:szCs w:val="21"/>
        </w:rPr>
        <w:t>医保定点零售药店应根据相关部门要求，设置医保服务咨询专属区域。</w:t>
      </w:r>
    </w:p>
    <w:p w14:paraId="015B81E7">
      <w:pPr>
        <w:pStyle w:val="167"/>
        <w:rPr>
          <w:rFonts w:ascii="Calibri" w:hAnsi="Calibri"/>
          <w:color w:val="000000" w:themeColor="text1"/>
          <w:kern w:val="2"/>
          <w:szCs w:val="21"/>
          <w14:textFill>
            <w14:solidFill>
              <w14:schemeClr w14:val="tx1"/>
            </w14:solidFill>
          </w14:textFill>
        </w:rPr>
      </w:pPr>
      <w:r>
        <w:rPr>
          <w:rFonts w:hint="eastAsia" w:ascii="Calibri" w:hAnsi="Calibri"/>
          <w:kern w:val="2"/>
          <w:szCs w:val="21"/>
        </w:rPr>
        <w:t>经营冷藏药品经营的药店，应配</w:t>
      </w:r>
      <w:r>
        <w:rPr>
          <w:rFonts w:hint="eastAsia" w:ascii="Calibri" w:hAnsi="Calibri"/>
          <w:color w:val="000000" w:themeColor="text1"/>
          <w:kern w:val="2"/>
          <w:szCs w:val="21"/>
          <w14:textFill>
            <w14:solidFill>
              <w14:schemeClr w14:val="tx1"/>
            </w14:solidFill>
          </w14:textFill>
        </w:rPr>
        <w:t>置符合经营品种及规模需求的专用设施设备。</w:t>
      </w:r>
    </w:p>
    <w:p w14:paraId="5BFE77E2">
      <w:pPr>
        <w:pStyle w:val="167"/>
        <w:rPr>
          <w:rFonts w:ascii="Calibri" w:hAnsi="Calibri"/>
          <w:kern w:val="2"/>
          <w:szCs w:val="21"/>
        </w:rPr>
      </w:pPr>
      <w:r>
        <w:rPr>
          <w:rFonts w:hint="eastAsia" w:ascii="Calibri" w:hAnsi="Calibri"/>
          <w:kern w:val="2"/>
          <w:szCs w:val="21"/>
        </w:rPr>
        <w:t>经营中药饮片的药店，应配备与饮片存放、处方调配相匹配的设备。</w:t>
      </w:r>
    </w:p>
    <w:p w14:paraId="63CFEDBC">
      <w:pPr>
        <w:pStyle w:val="167"/>
        <w:rPr>
          <w:rFonts w:ascii="Calibri" w:hAnsi="Calibri"/>
          <w:kern w:val="2"/>
          <w:szCs w:val="21"/>
        </w:rPr>
      </w:pPr>
      <w:r>
        <w:rPr>
          <w:rFonts w:hint="eastAsia" w:ascii="Calibri" w:hAnsi="Calibri"/>
          <w:kern w:val="2"/>
          <w:szCs w:val="21"/>
        </w:rPr>
        <w:t>营业场所温度应符合药品陈列环境温度要求：</w:t>
      </w:r>
    </w:p>
    <w:p w14:paraId="1055B744">
      <w:pPr>
        <w:pStyle w:val="176"/>
        <w:numPr>
          <w:ilvl w:val="0"/>
          <w:numId w:val="32"/>
        </w:numPr>
      </w:pPr>
      <w:r>
        <w:rPr>
          <w:rFonts w:hint="eastAsia"/>
        </w:rPr>
        <w:t>常温区温度为</w:t>
      </w:r>
      <w:r>
        <w:t>10</w:t>
      </w:r>
      <w:r>
        <w:rPr>
          <w:rFonts w:hint="eastAsia"/>
        </w:rPr>
        <w:t>℃</w:t>
      </w:r>
      <w:r>
        <w:rPr>
          <w:rFonts w:hint="eastAsia" w:hAnsi="宋体"/>
        </w:rPr>
        <w:t>～</w:t>
      </w:r>
      <w:r>
        <w:t>30</w:t>
      </w:r>
      <w:r>
        <w:rPr>
          <w:rFonts w:hint="eastAsia" w:hAnsi="宋体" w:cs="宋体"/>
        </w:rPr>
        <w:t>℃</w:t>
      </w:r>
      <w:r>
        <w:rPr>
          <w:rFonts w:hint="eastAsia"/>
        </w:rPr>
        <w:t>；</w:t>
      </w:r>
    </w:p>
    <w:p w14:paraId="40ED25BE">
      <w:pPr>
        <w:pStyle w:val="176"/>
      </w:pPr>
      <w:r>
        <w:rPr>
          <w:rFonts w:hint="eastAsia"/>
        </w:rPr>
        <w:t>阴凉区温度</w:t>
      </w:r>
      <w:r>
        <w:t>不超过20</w:t>
      </w:r>
      <w:r>
        <w:rPr>
          <w:rFonts w:hint="eastAsia" w:hAnsi="宋体" w:cs="宋体"/>
        </w:rPr>
        <w:t>℃</w:t>
      </w:r>
      <w:r>
        <w:rPr>
          <w:rFonts w:hint="eastAsia"/>
        </w:rPr>
        <w:t>；</w:t>
      </w:r>
    </w:p>
    <w:p w14:paraId="1977A1DC">
      <w:pPr>
        <w:pStyle w:val="176"/>
      </w:pPr>
      <w:r>
        <w:rPr>
          <w:rFonts w:hint="eastAsia"/>
        </w:rPr>
        <w:t>冷藏区温度为</w:t>
      </w:r>
      <w:r>
        <w:t>2</w:t>
      </w:r>
      <w:r>
        <w:rPr>
          <w:rFonts w:hint="eastAsia"/>
        </w:rPr>
        <w:t>℃～</w:t>
      </w:r>
      <w:r>
        <w:t>10</w:t>
      </w:r>
      <w:r>
        <w:rPr>
          <w:rFonts w:hint="eastAsia"/>
        </w:rPr>
        <w:t>℃；</w:t>
      </w:r>
    </w:p>
    <w:p w14:paraId="1CF2F113">
      <w:pPr>
        <w:pStyle w:val="176"/>
      </w:pPr>
      <w:r>
        <w:t>药品没有标示具体温度的，</w:t>
      </w:r>
      <w:r>
        <w:rPr>
          <w:rFonts w:hint="eastAsia"/>
        </w:rPr>
        <w:t>应</w:t>
      </w:r>
      <w:r>
        <w:t>按照</w:t>
      </w:r>
      <w:bookmarkStart w:id="69" w:name="OLE_LINK11"/>
      <w:bookmarkStart w:id="70" w:name="OLE_LINK10"/>
      <w:r>
        <w:t>《中华人民共和国药典》</w:t>
      </w:r>
      <w:bookmarkEnd w:id="69"/>
      <w:bookmarkEnd w:id="70"/>
      <w:r>
        <w:t>规定的贮藏要求进行储存</w:t>
      </w:r>
      <w:r>
        <w:rPr>
          <w:rFonts w:hint="eastAsia"/>
        </w:rPr>
        <w:t>；</w:t>
      </w:r>
    </w:p>
    <w:p w14:paraId="33166726">
      <w:pPr>
        <w:pStyle w:val="176"/>
      </w:pPr>
      <w:r>
        <w:t>药品储存环境</w:t>
      </w:r>
      <w:r>
        <w:rPr>
          <w:rFonts w:hint="eastAsia"/>
        </w:rPr>
        <w:t>相对温湿度应保持在</w:t>
      </w:r>
      <w:r>
        <w:t>35</w:t>
      </w:r>
      <w:r>
        <w:rPr>
          <w:rFonts w:hint="eastAsia"/>
        </w:rPr>
        <w:t>％</w:t>
      </w:r>
      <w:r>
        <w:t>～75</w:t>
      </w:r>
      <w:r>
        <w:rPr>
          <w:rFonts w:hint="eastAsia"/>
        </w:rPr>
        <w:t>％之间。</w:t>
      </w:r>
    </w:p>
    <w:p w14:paraId="4D9D667F">
      <w:pPr>
        <w:pStyle w:val="107"/>
        <w:spacing w:before="120" w:after="120"/>
        <w:rPr>
          <w:rFonts w:hAnsi="宋体" w:cs="宋体"/>
        </w:rPr>
      </w:pPr>
      <w:r>
        <w:rPr>
          <w:rFonts w:hint="eastAsia"/>
        </w:rPr>
        <w:t>服务设备</w:t>
      </w:r>
    </w:p>
    <w:p w14:paraId="2CA2C01C">
      <w:pPr>
        <w:pStyle w:val="167"/>
      </w:pPr>
      <w:r>
        <w:rPr>
          <w:rFonts w:hint="eastAsia"/>
        </w:rPr>
        <w:t>服务设备应符合SB/T 10763的要求。</w:t>
      </w:r>
    </w:p>
    <w:p w14:paraId="2BA7A0EA">
      <w:pPr>
        <w:pStyle w:val="167"/>
      </w:pPr>
      <w:r>
        <w:rPr>
          <w:rFonts w:hint="eastAsia"/>
        </w:rPr>
        <w:t>营业场所应配备监测、调控温度的设备，如在常温、阴凉、冷藏等不同环境中分别配置有温度计等温度监测设备。</w:t>
      </w:r>
    </w:p>
    <w:p w14:paraId="55CC4FCB">
      <w:pPr>
        <w:pStyle w:val="167"/>
      </w:pPr>
      <w:r>
        <w:rPr>
          <w:rFonts w:hint="eastAsia"/>
        </w:rPr>
        <w:t>经营中药饮片的</w:t>
      </w:r>
      <w:bookmarkStart w:id="71" w:name="OLE_LINK12"/>
      <w:r>
        <w:rPr>
          <w:rFonts w:hint="eastAsia"/>
        </w:rPr>
        <w:t>零售药店</w:t>
      </w:r>
      <w:bookmarkEnd w:id="71"/>
      <w:r>
        <w:rPr>
          <w:rFonts w:hint="eastAsia"/>
        </w:rPr>
        <w:t>，应配备存放饮片和处方调配设备、饮片陈列、存放的斗柜和处方调配使用的调剂台、铜盅、戥秤、台秤等设备。</w:t>
      </w:r>
    </w:p>
    <w:p w14:paraId="3CD1A924">
      <w:pPr>
        <w:pStyle w:val="167"/>
      </w:pPr>
      <w:r>
        <w:rPr>
          <w:rFonts w:hint="eastAsia"/>
        </w:rPr>
        <w:t>经营冷藏药品的零售药店，应配备专用冷藏设备，如冷柜、冰箱、冰排等冷藏设备。</w:t>
      </w:r>
    </w:p>
    <w:p w14:paraId="0E8E688B">
      <w:pPr>
        <w:pStyle w:val="167"/>
      </w:pPr>
      <w:r>
        <w:rPr>
          <w:rFonts w:hint="eastAsia"/>
        </w:rPr>
        <w:t>药品拆零销售应配备专用柜台或专用场所，配备药勺、剪刀、镊子、医用手套、消毒用具、包装用品等调配工具。</w:t>
      </w:r>
    </w:p>
    <w:p w14:paraId="32A65A47">
      <w:pPr>
        <w:pStyle w:val="167"/>
      </w:pPr>
      <w:r>
        <w:rPr>
          <w:rFonts w:hint="eastAsia"/>
        </w:rPr>
        <w:t>货架和柜台应便于陈列药品、服务顾客，满足分类管理的要求，类别标签准确规范。</w:t>
      </w:r>
    </w:p>
    <w:p w14:paraId="54E20B33">
      <w:pPr>
        <w:pStyle w:val="167"/>
      </w:pPr>
      <w:r>
        <w:rPr>
          <w:rFonts w:hint="eastAsia"/>
        </w:rPr>
        <w:t>各陈列区药品与地面需保持一定距离，应配备</w:t>
      </w:r>
      <w:bookmarkStart w:id="72" w:name="OLE_LINK13"/>
      <w:r>
        <w:rPr>
          <w:rFonts w:hint="eastAsia"/>
        </w:rPr>
        <w:t>药品</w:t>
      </w:r>
      <w:bookmarkEnd w:id="72"/>
      <w:r>
        <w:rPr>
          <w:rFonts w:hint="eastAsia"/>
        </w:rPr>
        <w:t>与地面之间隔设备，如地垫、货架等，药品与地面之间高度≥10c</w:t>
      </w:r>
      <w:r>
        <w:t>m</w:t>
      </w:r>
      <w:r>
        <w:rPr>
          <w:rFonts w:hint="eastAsia"/>
        </w:rPr>
        <w:t>并通风、防潮。</w:t>
      </w:r>
    </w:p>
    <w:p w14:paraId="7D7BAECC">
      <w:pPr>
        <w:pStyle w:val="167"/>
      </w:pPr>
      <w:r>
        <w:rPr>
          <w:rFonts w:hint="eastAsia"/>
        </w:rPr>
        <w:t>应</w:t>
      </w:r>
      <w:bookmarkStart w:id="73" w:name="OLE_LINK14"/>
      <w:r>
        <w:rPr>
          <w:rFonts w:hint="eastAsia"/>
        </w:rPr>
        <w:t>配备</w:t>
      </w:r>
      <w:bookmarkEnd w:id="73"/>
      <w:r>
        <w:rPr>
          <w:rFonts w:hint="eastAsia"/>
        </w:rPr>
        <w:t>验收专用区域，药品待验区域应有明显标识，并与其他区域有效隔离。</w:t>
      </w:r>
    </w:p>
    <w:p w14:paraId="5DE441DC">
      <w:pPr>
        <w:pStyle w:val="167"/>
      </w:pPr>
      <w:r>
        <w:rPr>
          <w:rFonts w:hint="eastAsia"/>
        </w:rPr>
        <w:t>应配备不合格药品专用存放场所，有效隔离并保证不合格药品存放安全。</w:t>
      </w:r>
    </w:p>
    <w:p w14:paraId="79115DF0">
      <w:pPr>
        <w:pStyle w:val="167"/>
      </w:pPr>
      <w:r>
        <w:rPr>
          <w:rFonts w:hint="eastAsia"/>
        </w:rPr>
        <w:t>应配备开展计量器具、温湿度监测设备校准或检定（每年至少1次）。</w:t>
      </w:r>
    </w:p>
    <w:p w14:paraId="7AF55D08">
      <w:pPr>
        <w:pStyle w:val="167"/>
      </w:pPr>
      <w:r>
        <w:rPr>
          <w:rFonts w:hint="eastAsia"/>
        </w:rPr>
        <w:t>相关部门要求强制检定的应有计量检测机构出具的检定合格证。</w:t>
      </w:r>
    </w:p>
    <w:p w14:paraId="6FE5407F">
      <w:pPr>
        <w:pStyle w:val="107"/>
        <w:spacing w:before="120" w:after="120"/>
      </w:pPr>
      <w:r>
        <w:rPr>
          <w:rFonts w:hint="eastAsia"/>
        </w:rPr>
        <w:t>安全设施</w:t>
      </w:r>
    </w:p>
    <w:p w14:paraId="524418D5">
      <w:pPr>
        <w:pStyle w:val="167"/>
      </w:pPr>
      <w:r>
        <w:rPr>
          <w:rFonts w:hint="eastAsia"/>
        </w:rPr>
        <w:t>营业场所应配备避光、防虫、防鼠等设施。</w:t>
      </w:r>
    </w:p>
    <w:p w14:paraId="3491FC1D">
      <w:pPr>
        <w:pStyle w:val="167"/>
      </w:pPr>
      <w:r>
        <w:rPr>
          <w:rFonts w:hint="eastAsia"/>
        </w:rPr>
        <w:t>应配备有防滑标识牌，如湿滑天气放置防滑标识牌于显眼位置。</w:t>
      </w:r>
    </w:p>
    <w:p w14:paraId="066C402C">
      <w:pPr>
        <w:pStyle w:val="167"/>
      </w:pPr>
      <w:r>
        <w:rPr>
          <w:rFonts w:hint="eastAsia"/>
        </w:rPr>
        <w:t xml:space="preserve">配置消防设施、器材、消防安全标志，并定期组织开展检验与维修。  </w:t>
      </w:r>
    </w:p>
    <w:p w14:paraId="3BC5FC3D">
      <w:pPr>
        <w:pStyle w:val="167"/>
      </w:pPr>
      <w:r>
        <w:rPr>
          <w:rFonts w:hint="eastAsia"/>
        </w:rPr>
        <w:t>安全通道应保持畅通无阻，标识清晰。</w:t>
      </w:r>
    </w:p>
    <w:p w14:paraId="277D1AA5">
      <w:pPr>
        <w:pStyle w:val="107"/>
        <w:spacing w:before="120" w:after="120"/>
      </w:pPr>
      <w:r>
        <w:rPr>
          <w:rFonts w:hint="eastAsia"/>
        </w:rPr>
        <w:t>商品陈列</w:t>
      </w:r>
    </w:p>
    <w:p w14:paraId="4AD0929C">
      <w:pPr>
        <w:pStyle w:val="167"/>
      </w:pPr>
      <w:r>
        <w:rPr>
          <w:rFonts w:hint="eastAsia"/>
        </w:rPr>
        <w:t>商品陈列应符合SB/T 10763的要求。</w:t>
      </w:r>
    </w:p>
    <w:p w14:paraId="6587A526">
      <w:pPr>
        <w:pStyle w:val="167"/>
      </w:pPr>
      <w:r>
        <w:rPr>
          <w:rFonts w:hint="eastAsia"/>
        </w:rPr>
        <w:t>药品应按剂型、用途以及储存要求（如常温、阴凉、冷处、避光等）进行分类陈列，并设置类别标签。</w:t>
      </w:r>
    </w:p>
    <w:p w14:paraId="1BF8917E">
      <w:pPr>
        <w:pStyle w:val="167"/>
      </w:pPr>
      <w:r>
        <w:rPr>
          <w:rFonts w:hint="eastAsia"/>
        </w:rPr>
        <w:t xml:space="preserve">陈列的药品应放置于货架（柜），摆放整齐有序。 </w:t>
      </w:r>
    </w:p>
    <w:p w14:paraId="33185A0E">
      <w:pPr>
        <w:pStyle w:val="167"/>
      </w:pPr>
      <w:r>
        <w:rPr>
          <w:rFonts w:hint="eastAsia"/>
        </w:rPr>
        <w:t>处方药、非处方药应分区或分货架（柜）陈列，处方药和含特殊药品复方制剂不应采用开架自选的方式陈列，应放置在顾客不能直接接触的区域。</w:t>
      </w:r>
    </w:p>
    <w:p w14:paraId="5C05479E">
      <w:pPr>
        <w:pStyle w:val="181"/>
      </w:pPr>
      <w:r>
        <w:rPr>
          <w:rFonts w:hint="eastAsia"/>
        </w:rPr>
        <w:t>外用药应与其他药品分开摆放。</w:t>
      </w:r>
    </w:p>
    <w:p w14:paraId="14A3CB7C">
      <w:pPr>
        <w:pStyle w:val="167"/>
      </w:pPr>
      <w:r>
        <w:rPr>
          <w:rFonts w:hint="eastAsia"/>
        </w:rPr>
        <w:t>拆零销售的药品应集中陈列于拆零专柜或专区。</w:t>
      </w:r>
    </w:p>
    <w:p w14:paraId="1A35E487">
      <w:pPr>
        <w:pStyle w:val="167"/>
      </w:pPr>
      <w:r>
        <w:rPr>
          <w:rFonts w:hint="eastAsia"/>
        </w:rPr>
        <w:t>冷藏药品应陈列在冰箱、冷柜等冷藏设备中。</w:t>
      </w:r>
    </w:p>
    <w:p w14:paraId="6AFCD371">
      <w:pPr>
        <w:pStyle w:val="167"/>
      </w:pPr>
      <w:r>
        <w:rPr>
          <w:rFonts w:hint="eastAsia"/>
        </w:rPr>
        <w:t xml:space="preserve">经营非药品应当设置专区，与药品陈列区域明显隔离并有醒目标志。 </w:t>
      </w:r>
    </w:p>
    <w:p w14:paraId="16217E95">
      <w:pPr>
        <w:pStyle w:val="107"/>
        <w:spacing w:before="120" w:after="120"/>
      </w:pPr>
      <w:r>
        <w:rPr>
          <w:rFonts w:hint="eastAsia"/>
        </w:rPr>
        <w:t xml:space="preserve">人员要求 </w:t>
      </w:r>
    </w:p>
    <w:p w14:paraId="293E2C8D">
      <w:pPr>
        <w:pStyle w:val="167"/>
      </w:pPr>
      <w:r>
        <w:rPr>
          <w:rFonts w:hint="eastAsia"/>
        </w:rPr>
        <w:t>根据零售药店经营规模，配备执业药师、药学技术人员、药学服务人员。</w:t>
      </w:r>
    </w:p>
    <w:p w14:paraId="2B88EAED">
      <w:pPr>
        <w:pStyle w:val="167"/>
      </w:pPr>
      <w:r>
        <w:rPr>
          <w:rFonts w:hint="eastAsia"/>
        </w:rPr>
        <w:t>各岗位人员数量、文化程度、专业技术职称或技术等级应符合</w:t>
      </w:r>
      <w:r>
        <w:rPr>
          <w:rFonts w:hint="eastAsia" w:hAnsi="宋体" w:cs="宋体"/>
          <w:kern w:val="2"/>
          <w:szCs w:val="21"/>
        </w:rPr>
        <w:t>《药品经营质量管理规范》</w:t>
      </w:r>
      <w:r>
        <w:rPr>
          <w:rFonts w:hint="eastAsia"/>
        </w:rPr>
        <w:t>要求对于各岗位的规定，持证上岗。</w:t>
      </w:r>
    </w:p>
    <w:p w14:paraId="4348A1B3">
      <w:pPr>
        <w:pStyle w:val="167"/>
        <w:rPr>
          <w:rFonts w:hAnsi="宋体" w:cs="宋体"/>
          <w:kern w:val="2"/>
          <w:szCs w:val="21"/>
        </w:rPr>
      </w:pPr>
      <w:r>
        <w:rPr>
          <w:rFonts w:hint="eastAsia" w:hAnsi="宋体" w:cs="宋体"/>
          <w:kern w:val="2"/>
          <w:szCs w:val="21"/>
        </w:rPr>
        <w:t>遵守国家法律法规、道德准则和执业职责。</w:t>
      </w:r>
      <w:bookmarkStart w:id="74" w:name="_Toc196236627"/>
      <w:bookmarkStart w:id="75" w:name="_Toc153450912"/>
      <w:bookmarkStart w:id="76" w:name="_Toc135983255"/>
      <w:bookmarkStart w:id="77" w:name="_Toc135819044"/>
      <w:bookmarkStart w:id="78" w:name="_Toc153552326"/>
      <w:bookmarkStart w:id="79" w:name="_Toc148348213"/>
      <w:bookmarkStart w:id="80" w:name="_Toc148348309"/>
      <w:bookmarkStart w:id="81" w:name="_Toc135985020"/>
      <w:bookmarkStart w:id="82" w:name="_Toc135758681"/>
      <w:bookmarkStart w:id="83" w:name="_Toc137455334"/>
      <w:bookmarkStart w:id="84" w:name="_Toc135745324"/>
      <w:bookmarkStart w:id="85" w:name="_Toc149670163"/>
      <w:bookmarkStart w:id="86" w:name="_Toc137479715"/>
      <w:bookmarkStart w:id="87" w:name="_Toc137283327"/>
      <w:bookmarkStart w:id="88" w:name="_Toc149037224"/>
      <w:bookmarkStart w:id="89" w:name="_Toc137283287"/>
      <w:bookmarkStart w:id="90" w:name="_Toc152688267"/>
      <w:bookmarkStart w:id="91" w:name="_Toc148348743"/>
    </w:p>
    <w:p w14:paraId="5D525339">
      <w:pPr>
        <w:pStyle w:val="106"/>
        <w:spacing w:before="240" w:after="240"/>
      </w:pPr>
      <w:bookmarkStart w:id="92" w:name="_Toc26951"/>
      <w:r>
        <w:rPr>
          <w:rFonts w:hint="eastAsia"/>
        </w:rPr>
        <w:t>服务内容</w:t>
      </w:r>
      <w:bookmarkEnd w:id="74"/>
      <w:bookmarkEnd w:id="92"/>
    </w:p>
    <w:p w14:paraId="572FB282">
      <w:pPr>
        <w:pStyle w:val="107"/>
        <w:spacing w:before="120" w:after="120"/>
      </w:pPr>
      <w:r>
        <w:rPr>
          <w:rFonts w:hint="eastAsia"/>
        </w:rPr>
        <w:t>顾客接待</w:t>
      </w:r>
    </w:p>
    <w:p w14:paraId="28D5EA72">
      <w:pPr>
        <w:pStyle w:val="167"/>
      </w:pPr>
      <w:r>
        <w:rPr>
          <w:rFonts w:hint="eastAsia"/>
        </w:rPr>
        <w:t>顾客步入服务区域时，药学服务人员应以微笑问候，在合适的时机主动打招呼，营造友好的服务氛围。</w:t>
      </w:r>
    </w:p>
    <w:p w14:paraId="54CA304E">
      <w:pPr>
        <w:pStyle w:val="167"/>
      </w:pPr>
      <w:r>
        <w:rPr>
          <w:rFonts w:hint="eastAsia"/>
        </w:rPr>
        <w:t>执业药师、药学技术人员、药学服务人员应了解顾客用药需求，认真倾听顾客的疑问，包括询问症状（持续时间、轻重程度）、用药史（是否正在服用其他药物）、过敏史等，为顾客推荐合适的商品或健康咨询服务：</w:t>
      </w:r>
    </w:p>
    <w:p w14:paraId="26DD5FC4">
      <w:pPr>
        <w:pStyle w:val="166"/>
        <w:numPr>
          <w:ilvl w:val="255"/>
          <w:numId w:val="0"/>
        </w:numPr>
        <w:ind w:firstLine="420" w:firstLineChars="200"/>
      </w:pPr>
      <w:r>
        <w:rPr>
          <w:rFonts w:hint="eastAsia"/>
        </w:rPr>
        <w:t>——顾客购买销售乙</w:t>
      </w:r>
      <w:r>
        <w:t>类非处方药</w:t>
      </w:r>
      <w:bookmarkStart w:id="93" w:name="OLE_LINK15"/>
      <w:r>
        <w:rPr>
          <w:rFonts w:hint="eastAsia"/>
        </w:rPr>
        <w:t>应</w:t>
      </w:r>
      <w:bookmarkEnd w:id="93"/>
      <w:r>
        <w:rPr>
          <w:rFonts w:hint="eastAsia"/>
        </w:rPr>
        <w:t>叮嘱顾客</w:t>
      </w:r>
      <w:r>
        <w:t>仔细阅读说明书</w:t>
      </w:r>
      <w:r>
        <w:rPr>
          <w:rFonts w:hint="eastAsia"/>
        </w:rPr>
        <w:t>再使用药品；</w:t>
      </w:r>
    </w:p>
    <w:p w14:paraId="0BB9FA56">
      <w:pPr>
        <w:pStyle w:val="166"/>
        <w:numPr>
          <w:ilvl w:val="255"/>
          <w:numId w:val="0"/>
        </w:numPr>
        <w:ind w:firstLine="420" w:firstLineChars="200"/>
      </w:pPr>
      <w:r>
        <w:rPr>
          <w:rFonts w:hint="eastAsia"/>
        </w:rPr>
        <w:t>——顾客购买</w:t>
      </w:r>
      <w:r>
        <w:t>甲类非处方药</w:t>
      </w:r>
      <w:r>
        <w:rPr>
          <w:rFonts w:hint="eastAsia"/>
        </w:rPr>
        <w:t>时，应</w:t>
      </w:r>
      <w:r>
        <w:t>在</w:t>
      </w:r>
      <w:r>
        <w:rPr>
          <w:rFonts w:hint="eastAsia"/>
        </w:rPr>
        <w:t>执业药师或</w:t>
      </w:r>
      <w:r>
        <w:t>药师指导下购买和使用</w:t>
      </w:r>
      <w:r>
        <w:rPr>
          <w:rFonts w:hint="eastAsia"/>
        </w:rPr>
        <w:t>；</w:t>
      </w:r>
    </w:p>
    <w:p w14:paraId="37078784">
      <w:pPr>
        <w:pStyle w:val="166"/>
        <w:numPr>
          <w:ilvl w:val="255"/>
          <w:numId w:val="0"/>
        </w:numPr>
        <w:ind w:firstLine="420" w:firstLineChars="200"/>
      </w:pPr>
      <w:r>
        <w:rPr>
          <w:rFonts w:hint="eastAsia"/>
        </w:rPr>
        <w:t>——顾客</w:t>
      </w:r>
      <w:r>
        <w:rPr>
          <w:rFonts w:hint="eastAsia" w:ascii="Arial" w:hAnsi="Arial" w:cs="Arial"/>
          <w:szCs w:val="21"/>
          <w:shd w:val="clear" w:color="auto" w:fill="FFFFFF"/>
        </w:rPr>
        <w:t>购买处方药时，应凭处方销售。</w:t>
      </w:r>
    </w:p>
    <w:p w14:paraId="61D4D155">
      <w:pPr>
        <w:pStyle w:val="107"/>
        <w:spacing w:before="120" w:after="120"/>
      </w:pPr>
      <w:r>
        <w:rPr>
          <w:rFonts w:hint="eastAsia"/>
        </w:rPr>
        <w:t>处方审核</w:t>
      </w:r>
    </w:p>
    <w:p w14:paraId="34AF782D">
      <w:pPr>
        <w:pStyle w:val="167"/>
      </w:pPr>
      <w:r>
        <w:rPr>
          <w:rFonts w:hint="eastAsia"/>
        </w:rPr>
        <w:t>执业药师负责审核纸质处方、电子</w:t>
      </w:r>
      <w:r>
        <w:t>处方时</w:t>
      </w:r>
      <w:r>
        <w:rPr>
          <w:rFonts w:hint="eastAsia"/>
        </w:rPr>
        <w:t>应</w:t>
      </w:r>
      <w:r>
        <w:t>做到</w:t>
      </w:r>
      <w:r>
        <w:rPr>
          <w:rFonts w:hint="eastAsia"/>
        </w:rPr>
        <w:t>“</w:t>
      </w:r>
      <w:r>
        <w:t>四查十对</w:t>
      </w:r>
      <w:r>
        <w:rPr>
          <w:rFonts w:hint="eastAsia"/>
        </w:rPr>
        <w:t>”</w:t>
      </w:r>
      <w:r>
        <w:t>：</w:t>
      </w:r>
    </w:p>
    <w:p w14:paraId="1560FD0A">
      <w:pPr>
        <w:pStyle w:val="134"/>
      </w:pPr>
      <w:r>
        <w:t>查处方，对科别、姓名、年龄</w:t>
      </w:r>
      <w:r>
        <w:rPr>
          <w:rFonts w:hint="eastAsia"/>
        </w:rPr>
        <w:t>，应使用以下话术进行核实与干预：</w:t>
      </w:r>
    </w:p>
    <w:p w14:paraId="2B4B7DA3">
      <w:pPr>
        <w:pStyle w:val="189"/>
        <w:tabs>
          <w:tab w:val="left" w:pos="851"/>
        </w:tabs>
      </w:pPr>
      <w:r>
        <w:rPr>
          <w:rFonts w:hint="eastAsia"/>
        </w:rPr>
        <w:t>儿童</w:t>
      </w:r>
      <w:r>
        <w:t>/婴幼儿，核心审核点在于年龄、体重、当前处方剂型是否为儿童专用剂型，</w:t>
      </w:r>
      <w:r>
        <w:rPr>
          <w:rFonts w:hint="eastAsia"/>
        </w:rPr>
        <w:t>可询问顾客“既往使用同类儿童用药时，有无剂量不适或不耐受情况？”</w:t>
      </w:r>
    </w:p>
    <w:p w14:paraId="5A8A2F15">
      <w:pPr>
        <w:pStyle w:val="189"/>
        <w:tabs>
          <w:tab w:val="left" w:pos="851"/>
        </w:tabs>
      </w:pPr>
      <w:r>
        <w:rPr>
          <w:rFonts w:hint="eastAsia"/>
        </w:rPr>
        <w:t>孕妇</w:t>
      </w:r>
      <w:r>
        <w:t>/</w:t>
      </w:r>
      <w:r>
        <w:rPr>
          <w:rFonts w:hint="eastAsia"/>
        </w:rPr>
        <w:t>哺乳期女性，核心审核点在于孕周（孕妇）、哺乳时长（哺乳期）、是否有孕期并发症，可询问顾客：“您目前孕周（哺乳期需确认哺乳时长）是多少？是否存在妊娠期高血压、糖尿病等并发症？”</w:t>
      </w:r>
    </w:p>
    <w:p w14:paraId="37CAFECD">
      <w:pPr>
        <w:pStyle w:val="189"/>
        <w:tabs>
          <w:tab w:val="left" w:pos="851"/>
        </w:tabs>
      </w:pPr>
      <w:r>
        <w:rPr>
          <w:rFonts w:hint="eastAsia"/>
        </w:rPr>
        <w:t>老年人（</w:t>
      </w:r>
      <w:r>
        <w:t>65岁+），核心审核点在于年龄、基础疾病（如高血压、糖尿病、肝肾功能）、正在服用的其他药物，</w:t>
      </w:r>
      <w:r>
        <w:rPr>
          <w:rFonts w:hint="eastAsia"/>
        </w:rPr>
        <w:t>可询问顾客：“叔叔</w:t>
      </w:r>
      <w:r>
        <w:t>/</w:t>
      </w:r>
      <w:r>
        <w:rPr>
          <w:rFonts w:hint="eastAsia"/>
        </w:rPr>
        <w:t>阿姨，您今年多大年纪了？平时有没有高血压、糖尿病、肝肾功能异常等基础病？”</w:t>
      </w:r>
    </w:p>
    <w:p w14:paraId="1849B996">
      <w:pPr>
        <w:pStyle w:val="189"/>
      </w:pPr>
      <w:r>
        <w:rPr>
          <w:rFonts w:hint="eastAsia"/>
        </w:rPr>
        <w:t>核对过敏史（特别是针对处方中特定药物）：“您好，方便确认一下患者有对什么药物或食物过敏吗？这个处方中有（某类药品，如青霉素/头孢等），确保安全需要排除过敏风险。”</w:t>
      </w:r>
    </w:p>
    <w:p w14:paraId="05C8AED7">
      <w:pPr>
        <w:pStyle w:val="134"/>
      </w:pPr>
      <w:r>
        <w:t>查药品，对药名、剂型、规格、数量</w:t>
      </w:r>
      <w:r>
        <w:rPr>
          <w:rFonts w:hint="eastAsia"/>
        </w:rPr>
        <w:t>；</w:t>
      </w:r>
    </w:p>
    <w:p w14:paraId="64B21C16">
      <w:pPr>
        <w:pStyle w:val="134"/>
      </w:pPr>
      <w:r>
        <w:t>查配伍禁忌，对药品性状、用法用量</w:t>
      </w:r>
      <w:r>
        <w:rPr>
          <w:rFonts w:hint="eastAsia"/>
        </w:rPr>
        <w:t>，应使用以下话术进行核实与干预：</w:t>
      </w:r>
    </w:p>
    <w:p w14:paraId="17D9E1ED">
      <w:pPr>
        <w:pStyle w:val="189"/>
      </w:pPr>
      <w:r>
        <w:rPr>
          <w:rFonts w:hint="eastAsia"/>
        </w:rPr>
        <w:t>发现配伍禁忌症：“您好，根据处方核查，这个药品可能存在使用禁忌。为了您的用药安全，建议您回院与医师沟通确认，是否需要重新开具处方。”</w:t>
      </w:r>
    </w:p>
    <w:p w14:paraId="5228ECAB">
      <w:pPr>
        <w:pStyle w:val="134"/>
      </w:pPr>
      <w:r>
        <w:t>查用药合理性，对临床诊断</w:t>
      </w:r>
      <w:r>
        <w:rPr>
          <w:rFonts w:hint="eastAsia"/>
        </w:rPr>
        <w:t>，应使用以下话术进行核实与干预：</w:t>
      </w:r>
    </w:p>
    <w:p w14:paraId="2A4E6194">
      <w:pPr>
        <w:pStyle w:val="189"/>
      </w:pPr>
      <w:r>
        <w:rPr>
          <w:rFonts w:hAnsi="宋体" w:cs="宋体"/>
          <w:shd w:val="clear" w:color="auto" w:fill="FFFFFF"/>
        </w:rPr>
        <w:t>“</w:t>
      </w:r>
      <w:r>
        <w:rPr>
          <w:rFonts w:hint="eastAsia" w:hAnsi="宋体" w:cs="宋体"/>
          <w:shd w:val="clear" w:color="auto" w:fill="FFFFFF"/>
        </w:rPr>
        <w:t>您好！为了确保您用药</w:t>
      </w:r>
      <w:r>
        <w:rPr>
          <w:rFonts w:hint="eastAsia" w:hAnsi="宋体" w:cs="宋体"/>
        </w:rPr>
        <w:t>合理</w:t>
      </w:r>
      <w:r>
        <w:rPr>
          <w:rFonts w:hint="eastAsia" w:hAnsi="宋体" w:cs="宋体"/>
          <w:shd w:val="clear" w:color="auto" w:fill="FFFFFF"/>
        </w:rPr>
        <w:t>安全，想和您确认下：您这次来拿的（药物名称，如</w:t>
      </w:r>
      <w:r>
        <w:rPr>
          <w:rFonts w:hAnsi="宋体" w:cs="宋体"/>
          <w:shd w:val="clear" w:color="auto" w:fill="FFFFFF"/>
        </w:rPr>
        <w:t xml:space="preserve"> </w:t>
      </w:r>
      <w:r>
        <w:rPr>
          <w:rFonts w:hint="eastAsia" w:hAnsi="宋体" w:cs="宋体"/>
          <w:shd w:val="clear" w:color="auto" w:fill="FFFFFF"/>
        </w:rPr>
        <w:t>“药品名称”），医生给您诊断的是（引导顾客说出诊断，如</w:t>
      </w:r>
      <w:r>
        <w:rPr>
          <w:rFonts w:hAnsi="宋体" w:cs="宋体"/>
          <w:shd w:val="clear" w:color="auto" w:fill="FFFFFF"/>
        </w:rPr>
        <w:t xml:space="preserve"> </w:t>
      </w:r>
      <w:r>
        <w:rPr>
          <w:rFonts w:hint="eastAsia" w:hAnsi="宋体" w:cs="宋体"/>
          <w:shd w:val="clear" w:color="auto" w:fill="FFFFFF"/>
        </w:rPr>
        <w:t>“感冒”“支气管炎”“尿路感染”）对吗？因为这个药主要用于治疗（通俗说明适应症，如</w:t>
      </w:r>
      <w:r>
        <w:rPr>
          <w:rFonts w:hAnsi="宋体" w:cs="宋体"/>
          <w:shd w:val="clear" w:color="auto" w:fill="FFFFFF"/>
        </w:rPr>
        <w:t xml:space="preserve"> </w:t>
      </w:r>
      <w:r>
        <w:rPr>
          <w:rFonts w:hint="eastAsia" w:hAnsi="宋体" w:cs="宋体"/>
          <w:shd w:val="clear" w:color="auto" w:fill="FFFFFF"/>
        </w:rPr>
        <w:t>“细菌引起的炎症”）</w:t>
      </w:r>
      <w:r>
        <w:rPr>
          <w:rFonts w:hint="eastAsia" w:hAnsi="宋体" w:cs="宋体"/>
        </w:rPr>
        <w:t>，</w:t>
      </w:r>
      <w:r>
        <w:rPr>
          <w:rFonts w:hint="eastAsia" w:hAnsi="宋体" w:cs="宋体"/>
          <w:shd w:val="clear" w:color="auto" w:fill="FFFFFF"/>
        </w:rPr>
        <w:t>和您的诊断是对应</w:t>
      </w:r>
      <w:r>
        <w:rPr>
          <w:rFonts w:hAnsi="宋体" w:cs="宋体"/>
          <w:shd w:val="clear" w:color="auto" w:fill="FFFFFF"/>
        </w:rPr>
        <w:t>/</w:t>
      </w:r>
      <w:r>
        <w:rPr>
          <w:rFonts w:hint="eastAsia" w:hAnsi="宋体" w:cs="宋体"/>
          <w:shd w:val="clear" w:color="auto" w:fill="FFFFFF"/>
        </w:rPr>
        <w:t>不对应的。</w:t>
      </w:r>
    </w:p>
    <w:p w14:paraId="30C3CA41">
      <w:pPr>
        <w:pStyle w:val="167"/>
      </w:pPr>
      <w:r>
        <w:rPr>
          <w:rFonts w:hint="eastAsia"/>
        </w:rPr>
        <w:t>执业药师对处方所列药品不应擅自更改或代用，如发现问题应及时进行处理：</w:t>
      </w:r>
    </w:p>
    <w:p w14:paraId="06BF1F7D">
      <w:pPr>
        <w:pStyle w:val="134"/>
      </w:pPr>
      <w:r>
        <w:rPr>
          <w:rFonts w:hint="eastAsia"/>
        </w:rPr>
        <w:t>当存在用药不适宜时，应当告知处方医师，请其确认或者重新开具处方，应使用以下话术进行干预：</w:t>
      </w:r>
    </w:p>
    <w:p w14:paraId="1AD8105E">
      <w:pPr>
        <w:pStyle w:val="189"/>
        <w:tabs>
          <w:tab w:val="left" w:pos="851"/>
        </w:tabs>
      </w:pPr>
      <w:r>
        <w:rPr>
          <w:rFonts w:hint="eastAsia"/>
        </w:rPr>
        <w:t>“您好，非常理解您着急取药的心情，不过处方审核时发现存在</w:t>
      </w:r>
      <w:r>
        <w:t xml:space="preserve"> </w:t>
      </w:r>
      <w:r>
        <w:rPr>
          <w:rFonts w:hint="eastAsia"/>
        </w:rPr>
        <w:t>（如药物剂量与患者年龄不匹配等）情况，为保障您的用药安全暂无法直接调配，根据《处方管理办法》需请开方医生重新评估并调整处方，我先跟您说清具体问题和回院重开流程，您拿新处方来后我优先帮您审核调配，路上有疑问也可随时打药房电话咨询。”</w:t>
      </w:r>
    </w:p>
    <w:p w14:paraId="4B7CEF17">
      <w:pPr>
        <w:pStyle w:val="134"/>
      </w:pPr>
      <w:r>
        <w:rPr>
          <w:rFonts w:hint="eastAsia"/>
        </w:rPr>
        <w:t>发现严重不合理用药或者用药错误，应当拒绝调剂，及时告知处方医师，并应当记录，按照有关规定报告。</w:t>
      </w:r>
    </w:p>
    <w:p w14:paraId="4E44247E">
      <w:pPr>
        <w:pStyle w:val="107"/>
        <w:spacing w:before="120" w:after="120"/>
      </w:pPr>
      <w:r>
        <w:rPr>
          <w:rFonts w:hint="eastAsia"/>
        </w:rPr>
        <w:t>处方调配</w:t>
      </w:r>
    </w:p>
    <w:p w14:paraId="24AD216B">
      <w:pPr>
        <w:pStyle w:val="167"/>
      </w:pPr>
      <w:r>
        <w:rPr>
          <w:rFonts w:hint="eastAsia"/>
        </w:rPr>
        <w:t>药学服务人员</w:t>
      </w:r>
      <w:r>
        <w:t>从事处方调配工作</w:t>
      </w:r>
      <w:r>
        <w:rPr>
          <w:rFonts w:hint="eastAsia"/>
        </w:rPr>
        <w:t>，调配处方后，应经其他药学服务人员或处方审核人员核对方可售出处方药。</w:t>
      </w:r>
    </w:p>
    <w:p w14:paraId="6EC07DB7">
      <w:pPr>
        <w:pStyle w:val="167"/>
      </w:pPr>
      <w:r>
        <w:t>应当按照操作规程调剂处方药品</w:t>
      </w:r>
      <w:r>
        <w:rPr>
          <w:rFonts w:hint="eastAsia"/>
        </w:rPr>
        <w:t>：</w:t>
      </w:r>
      <w:r>
        <w:t>认真审核处方，准确调配药品，正确书写药袋或粘贴标签，注明</w:t>
      </w:r>
      <w:r>
        <w:rPr>
          <w:rFonts w:hint="eastAsia"/>
        </w:rPr>
        <w:t>顾客</w:t>
      </w:r>
      <w:r>
        <w:t>姓名和药品名称、用法、用量</w:t>
      </w:r>
      <w:r>
        <w:rPr>
          <w:rFonts w:hint="eastAsia"/>
        </w:rPr>
        <w:t>、储存条件</w:t>
      </w:r>
      <w:r>
        <w:t>，包装</w:t>
      </w:r>
      <w:r>
        <w:rPr>
          <w:rFonts w:hint="eastAsia"/>
        </w:rPr>
        <w:t>。</w:t>
      </w:r>
    </w:p>
    <w:p w14:paraId="5E9838B2">
      <w:pPr>
        <w:pStyle w:val="167"/>
      </w:pPr>
      <w:r>
        <w:rPr>
          <w:rFonts w:hint="eastAsia"/>
        </w:rPr>
        <w:t>在完成处方调剂后，应当在处方上签名或者加盖专用签章。并按照有关规定保存处方或其复印件。处方审核、调配、核对人员</w:t>
      </w:r>
      <w:r>
        <w:t>签名或者专用签章式样应当在本</w:t>
      </w:r>
      <w:r>
        <w:rPr>
          <w:rFonts w:hint="eastAsia"/>
        </w:rPr>
        <w:t>药店</w:t>
      </w:r>
      <w:r>
        <w:t>留样备查。</w:t>
      </w:r>
    </w:p>
    <w:p w14:paraId="232B14F2">
      <w:pPr>
        <w:pStyle w:val="107"/>
        <w:spacing w:before="120" w:after="120"/>
      </w:pPr>
      <w:r>
        <w:rPr>
          <w:rFonts w:hint="eastAsia"/>
        </w:rPr>
        <w:t>结算服务</w:t>
      </w:r>
    </w:p>
    <w:p w14:paraId="435052CC">
      <w:pPr>
        <w:pStyle w:val="167"/>
      </w:pPr>
      <w:r>
        <w:rPr>
          <w:rFonts w:hint="eastAsia"/>
        </w:rPr>
        <w:t>药学服务人员应引导顾客到收银台付款。</w:t>
      </w:r>
    </w:p>
    <w:p w14:paraId="599C08F8">
      <w:pPr>
        <w:pStyle w:val="167"/>
      </w:pPr>
      <w:r>
        <w:rPr>
          <w:rFonts w:hint="eastAsia"/>
        </w:rPr>
        <w:t>营业场所应提供现金、银行卡、手机支付、医保等付款方式。</w:t>
      </w:r>
    </w:p>
    <w:p w14:paraId="30C3398D">
      <w:pPr>
        <w:pStyle w:val="167"/>
      </w:pPr>
      <w:r>
        <w:rPr>
          <w:rFonts w:hint="eastAsia"/>
        </w:rPr>
        <w:t>收找现金时应准确告知顾客应收、收款及找零金额。</w:t>
      </w:r>
    </w:p>
    <w:p w14:paraId="506F1BF0">
      <w:pPr>
        <w:pStyle w:val="167"/>
      </w:pPr>
      <w:r>
        <w:rPr>
          <w:rFonts w:hint="eastAsia"/>
        </w:rPr>
        <w:t>电子支付收款时应提醒顾客核对付款金额。</w:t>
      </w:r>
    </w:p>
    <w:p w14:paraId="2D600BDA">
      <w:pPr>
        <w:pStyle w:val="167"/>
      </w:pPr>
      <w:r>
        <w:rPr>
          <w:rFonts w:hint="eastAsia"/>
        </w:rPr>
        <w:t>规范填写相关信息，正确开具销售凭证、发票，提醒顾客及时核对。</w:t>
      </w:r>
    </w:p>
    <w:p w14:paraId="3ADF4A05">
      <w:pPr>
        <w:pStyle w:val="107"/>
        <w:spacing w:before="120" w:after="120"/>
      </w:pPr>
      <w:r>
        <w:rPr>
          <w:rFonts w:hint="eastAsia"/>
        </w:rPr>
        <w:t>药品发放</w:t>
      </w:r>
    </w:p>
    <w:p w14:paraId="3FDD10EA">
      <w:pPr>
        <w:pStyle w:val="167"/>
      </w:pPr>
      <w:r>
        <w:rPr>
          <w:rFonts w:hint="eastAsia"/>
        </w:rPr>
        <w:t>在与顾客交付商品时应仔细核对销售凭证、药品的名称、规格、剂型、顾客信息等确认无误后方可交付药品。</w:t>
      </w:r>
    </w:p>
    <w:p w14:paraId="795BFDC1">
      <w:pPr>
        <w:pStyle w:val="167"/>
      </w:pPr>
      <w:r>
        <w:rPr>
          <w:rFonts w:hint="eastAsia"/>
        </w:rPr>
        <w:t>药学服务人员向顾客讲解药物治疗方案的目的，清晰说明用药关键信息，明确告知用法用量、</w:t>
      </w:r>
      <w:r>
        <w:t>服药的适宜时间</w:t>
      </w:r>
      <w:r>
        <w:rPr>
          <w:rFonts w:hint="eastAsia"/>
        </w:rPr>
        <w:t>、</w:t>
      </w:r>
      <w:r>
        <w:t>适当的疗程</w:t>
      </w:r>
      <w:r>
        <w:rPr>
          <w:rFonts w:hint="eastAsia"/>
        </w:rPr>
        <w:t>、</w:t>
      </w:r>
      <w:r>
        <w:t>起效时间</w:t>
      </w:r>
      <w:r>
        <w:rPr>
          <w:rFonts w:hint="eastAsia"/>
        </w:rPr>
        <w:t>、</w:t>
      </w:r>
      <w:r>
        <w:t>过度治疗</w:t>
      </w:r>
      <w:r>
        <w:rPr>
          <w:rFonts w:hint="eastAsia"/>
        </w:rPr>
        <w:t>、</w:t>
      </w:r>
      <w:r>
        <w:t>潜在的不良反应</w:t>
      </w:r>
      <w:r>
        <w:rPr>
          <w:rFonts w:hint="eastAsia"/>
        </w:rPr>
        <w:t>、用药禁忌与注意事项、储存方式，科学指导顾客正确合理使用药品，提高顾客的药物治疗依从性和自我管理能力。对于关键信息（如每日剂量、禁忌），应采用“回授法”，请顾客重复一遍，以确保其正确理解。</w:t>
      </w:r>
    </w:p>
    <w:p w14:paraId="354A998B">
      <w:pPr>
        <w:pStyle w:val="167"/>
        <w:rPr>
          <w:rFonts w:ascii="Calibri" w:hAnsi="Calibri"/>
          <w:kern w:val="2"/>
          <w:szCs w:val="21"/>
        </w:rPr>
      </w:pPr>
      <w:r>
        <w:t>销售近效期药品应当向顾客告知有效期</w:t>
      </w:r>
      <w:r>
        <w:rPr>
          <w:rFonts w:hint="eastAsia"/>
        </w:rPr>
        <w:t>。中药饮片应告知顾客煎煮方法和服药注意事项。</w:t>
      </w:r>
    </w:p>
    <w:p w14:paraId="4DBE7495">
      <w:pPr>
        <w:pStyle w:val="167"/>
      </w:pPr>
      <w:r>
        <w:rPr>
          <w:rFonts w:hint="eastAsia"/>
        </w:rPr>
        <w:t>对于孕妇、儿童、老年人等特殊人群，药房药师应结合其生理特点和药物代谢特点，提供针对性的用药指导和建议。</w:t>
      </w:r>
    </w:p>
    <w:p w14:paraId="343F97BE">
      <w:pPr>
        <w:pStyle w:val="167"/>
      </w:pPr>
      <w:r>
        <w:rPr>
          <w:rFonts w:hint="eastAsia"/>
        </w:rPr>
        <w:t>对于不同剂型药品应向对顾客进行用药指导：缓控释片需要整颗吞服的，掰开服用会影响疗效；泡腾片需要用温开水泡开，等气泡消失后再进行服用，不能直接当药片吞服，或放进嘴里咀嚼，否则，会因不当服用导致危险；服用咀嚼片时，应在嘴里充分咀嚼，或用少量温开水送服，才能使药物更好地吸收。</w:t>
      </w:r>
    </w:p>
    <w:p w14:paraId="601589D2">
      <w:pPr>
        <w:pStyle w:val="167"/>
      </w:pPr>
      <w:r>
        <w:rPr>
          <w:rFonts w:hint="eastAsia"/>
        </w:rPr>
        <w:t>发放国家有专门管理要求的药品以及含特殊药品复方制剂，需要和顾客解释凭身份证购买</w:t>
      </w:r>
      <w:r>
        <w:t>2个最小包装的原因。</w:t>
      </w:r>
    </w:p>
    <w:p w14:paraId="296CF582">
      <w:pPr>
        <w:pStyle w:val="167"/>
      </w:pPr>
      <w:r>
        <w:rPr>
          <w:rFonts w:hint="eastAsia"/>
        </w:rPr>
        <w:t>发放价格昂贵的药品如生物制剂，生物制剂药物的使用会使患者的免疫力降低，而患者在使用过程中还可能感染其他疾病，容易引起交叉感染。因此，在使用生物制剂药物时需要注意个人卫生，避免感染。</w:t>
      </w:r>
    </w:p>
    <w:p w14:paraId="65105516">
      <w:pPr>
        <w:pStyle w:val="167"/>
        <w:rPr>
          <w:rFonts w:ascii="Calibri" w:hAnsi="Calibri"/>
          <w:kern w:val="2"/>
          <w:szCs w:val="21"/>
        </w:rPr>
      </w:pPr>
      <w:r>
        <w:rPr>
          <w:rFonts w:hint="eastAsia"/>
        </w:rPr>
        <w:t>发放特殊储存要求的药品如冷藏的药品，需要向顾客详细说明储存温度以及注意事项。发放易潮解和霉变的药品应告知顾客放于干</w:t>
      </w:r>
      <w:r>
        <w:rPr>
          <w:rFonts w:hint="eastAsia" w:ascii="Arial" w:hAnsi="Arial" w:cs="Arial"/>
          <w:szCs w:val="21"/>
          <w:shd w:val="clear" w:color="auto" w:fill="FFFFFF"/>
        </w:rPr>
        <w:t>燥通风处储存。</w:t>
      </w:r>
    </w:p>
    <w:p w14:paraId="4D75B9D5">
      <w:pPr>
        <w:pStyle w:val="107"/>
        <w:spacing w:before="120" w:after="120"/>
      </w:pPr>
      <w:r>
        <w:rPr>
          <w:rFonts w:hint="eastAsia"/>
        </w:rPr>
        <w:t>健康教育</w:t>
      </w:r>
    </w:p>
    <w:p w14:paraId="506007BB">
      <w:pPr>
        <w:pStyle w:val="167"/>
        <w:bidi w:val="0"/>
      </w:pPr>
      <w:r>
        <w:rPr>
          <w:rFonts w:hint="eastAsia"/>
        </w:rPr>
        <w:t>给予合理、系统的用药宣教，助力其构建疾病认知框架、掌握健康管理技能、重塑健康行为模式。</w:t>
      </w:r>
    </w:p>
    <w:p w14:paraId="6D4F9AA1">
      <w:pPr>
        <w:pStyle w:val="167"/>
        <w:bidi w:val="0"/>
      </w:pPr>
      <w:r>
        <w:rPr>
          <w:rFonts w:hint="eastAsia"/>
        </w:rPr>
        <w:t>宣教方式可多样化，可采用一对一讲解、小组讲座、视频演示、图文手册、线上答疑等多种方式。</w:t>
      </w:r>
    </w:p>
    <w:p w14:paraId="606D1765">
      <w:pPr>
        <w:pStyle w:val="167"/>
        <w:bidi w:val="0"/>
      </w:pPr>
      <w:r>
        <w:rPr>
          <w:rFonts w:hint="eastAsia"/>
        </w:rPr>
        <w:t>宣教前应做好全面评估，了解顾客及照护者的文化程度、健康素养、对疾病的认知水平、用药习惯、生活方式以及存在的困惑和需求。</w:t>
      </w:r>
    </w:p>
    <w:p w14:paraId="25E6C931">
      <w:pPr>
        <w:pStyle w:val="167"/>
        <w:bidi w:val="0"/>
        <w:rPr>
          <w:rFonts w:ascii="黑体" w:hAnsi="黑体" w:eastAsia="黑体" w:cs="黑体"/>
          <w:kern w:val="2"/>
          <w:szCs w:val="21"/>
        </w:rPr>
      </w:pPr>
      <w:r>
        <w:rPr>
          <w:rFonts w:hint="eastAsia"/>
        </w:rPr>
        <w:t>，宜根据疾病的类型、病因、症状、常见并发症等内容，明确宣教内容分层分类设计，包括正确用法用量、可能出现的不良反应及应对措施、用药期间的注意事项、健康生活方式、自我健康监测方法等。</w:t>
      </w:r>
    </w:p>
    <w:p w14:paraId="1409D333">
      <w:pPr>
        <w:pStyle w:val="107"/>
        <w:spacing w:before="120" w:after="120"/>
      </w:pPr>
      <w:r>
        <w:rPr>
          <w:rFonts w:hint="eastAsia"/>
        </w:rPr>
        <w:t>慢性病管理服务</w:t>
      </w:r>
    </w:p>
    <w:p w14:paraId="72B5471E">
      <w:pPr>
        <w:pStyle w:val="167"/>
      </w:pPr>
      <w:r>
        <w:rPr>
          <w:rFonts w:hint="eastAsia"/>
        </w:rPr>
        <w:t>药学技术人员围绕患者疾病治疗全周期提供专业化健康服务，为高血压、糖尿病、冠心病等慢病顾客建立专属顾客个人信息档案，详实记录基本信息、用药史，定期追踪血糖、血压、血脂等检测指标并上传数据，动态掌握病情演变与用药反馈 。熟悉常见慢病并发症知识，在随访与监测中关注早期信号，及时提醒顾客就医检查。</w:t>
      </w:r>
    </w:p>
    <w:p w14:paraId="2C56C180">
      <w:pPr>
        <w:pStyle w:val="167"/>
        <w:bidi w:val="0"/>
      </w:pPr>
      <w:r>
        <w:rPr>
          <w:rFonts w:hint="eastAsia"/>
        </w:rPr>
        <w:t>通过健康咨询、用药评估等了解患者病情与用药史，</w:t>
      </w:r>
      <w:r>
        <w:t xml:space="preserve"> </w:t>
      </w:r>
      <w:r>
        <w:rPr>
          <w:rFonts w:hint="eastAsia"/>
        </w:rPr>
        <w:t>对首次用药或调整方案的顾客，1～2周完成用药回访，了解不良反应、症状改善情况；在治疗期间，实时跟踪用药情况（如提醒服药时间、监测药效），解答用药疑问，排查重复用药、药物相互作用等风险；针对指标未达标者，定期开展疗效回访，结合病情科学建议调整用药方案、生活方式；疾病康复阶段，则提供生活方式指导（如糖尿病顾客需提供饮食指导，高血压顾客需制定低盐饮食方案，运动计划应兼顾安全性与可行性）与复查提醒，同时动态更新健康档案，助力患者平稳度过病程，提升治疗效果与用药安全性。</w:t>
      </w:r>
    </w:p>
    <w:p w14:paraId="0CA06C27">
      <w:pPr>
        <w:pStyle w:val="167"/>
        <w:bidi w:val="0"/>
      </w:pPr>
      <w:r>
        <w:rPr>
          <w:rFonts w:hint="eastAsia"/>
        </w:rPr>
        <w:t>药学技术人员为患有多种疾病、多重用药的患者提供患者用药清单整理。通过与患者详细沟通或复核，梳理其当前全部药品（含处方药、OTC、中药饮片），核对用药方案与真实疾病治疗的一致性；整理全新用药清单，若发现重复用药等问题，同步出具问题清单，嘱咐患者及时与就诊医生沟通确认是否存在不当用药，并做好详细记录，助力医生及时调整用药方案，进而预防药品不良反应，保障患者用药安全。</w:t>
      </w:r>
    </w:p>
    <w:p w14:paraId="49F5C137">
      <w:pPr>
        <w:pStyle w:val="107"/>
        <w:spacing w:before="120" w:after="120"/>
      </w:pPr>
      <w:r>
        <w:rPr>
          <w:rFonts w:hint="eastAsia"/>
        </w:rPr>
        <w:t>不良反应情况</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hint="eastAsia"/>
        </w:rPr>
        <w:t>收集及指导</w:t>
      </w:r>
    </w:p>
    <w:p w14:paraId="3864FC08">
      <w:pPr>
        <w:pStyle w:val="58"/>
        <w:ind w:firstLine="0" w:firstLineChars="0"/>
        <w:rPr>
          <w:rFonts w:hAnsi="宋体" w:cs="宋体"/>
          <w:szCs w:val="21"/>
          <w:shd w:val="clear" w:color="auto" w:fill="FFFFFF"/>
        </w:rPr>
      </w:pPr>
      <w:r>
        <w:rPr>
          <w:rFonts w:ascii="黑体" w:hAnsi="黑体" w:eastAsia="黑体" w:cs="黑体"/>
        </w:rPr>
        <w:t>5.8.1</w:t>
      </w:r>
      <w:r>
        <w:rPr>
          <w:rFonts w:hint="eastAsia" w:hAnsi="宋体" w:cs="宋体"/>
          <w:szCs w:val="21"/>
        </w:rPr>
        <w:t xml:space="preserve">  药房服务人员接收到不良反应投诉应第一时间安抚顾客情绪使其平静，询问顾客年龄、体重等基本信息，是否存在</w:t>
      </w:r>
      <w:r>
        <w:rPr>
          <w:rFonts w:hint="eastAsia" w:hAnsi="宋体" w:cs="宋体"/>
          <w:szCs w:val="21"/>
          <w:shd w:val="clear" w:color="auto" w:fill="FFFFFF"/>
        </w:rPr>
        <w:t>既往药品不良反应</w:t>
      </w:r>
      <w:r>
        <w:rPr>
          <w:rFonts w:hAnsi="宋体" w:cs="宋体"/>
          <w:szCs w:val="21"/>
          <w:shd w:val="clear" w:color="auto" w:fill="FFFFFF"/>
        </w:rPr>
        <w:t>/事件</w:t>
      </w:r>
      <w:r>
        <w:rPr>
          <w:rFonts w:hint="eastAsia" w:hAnsi="宋体" w:cs="宋体"/>
          <w:szCs w:val="21"/>
          <w:shd w:val="clear" w:color="auto" w:fill="FFFFFF"/>
        </w:rPr>
        <w:t>和家族药品不良反应</w:t>
      </w:r>
      <w:r>
        <w:rPr>
          <w:rFonts w:hAnsi="宋体" w:cs="宋体"/>
          <w:szCs w:val="21"/>
          <w:shd w:val="clear" w:color="auto" w:fill="FFFFFF"/>
        </w:rPr>
        <w:t>/事件</w:t>
      </w:r>
      <w:r>
        <w:rPr>
          <w:rFonts w:hint="eastAsia" w:hAnsi="宋体" w:cs="宋体"/>
          <w:szCs w:val="21"/>
          <w:shd w:val="clear" w:color="auto" w:fill="FFFFFF"/>
        </w:rPr>
        <w:t>。</w:t>
      </w:r>
    </w:p>
    <w:p w14:paraId="315D2943">
      <w:pPr>
        <w:pStyle w:val="58"/>
        <w:ind w:firstLine="0" w:firstLineChars="0"/>
        <w:rPr>
          <w:rFonts w:hAnsi="宋体" w:cs="宋体"/>
          <w:szCs w:val="21"/>
        </w:rPr>
      </w:pPr>
      <w:r>
        <w:rPr>
          <w:rFonts w:ascii="黑体" w:hAnsi="黑体" w:eastAsia="黑体" w:cs="黑体"/>
        </w:rPr>
        <w:t xml:space="preserve">5.8.2 </w:t>
      </w:r>
      <w:r>
        <w:rPr>
          <w:rFonts w:hint="eastAsia" w:hAnsi="宋体" w:cs="宋体"/>
          <w:szCs w:val="21"/>
        </w:rPr>
        <w:t xml:space="preserve"> 药房服务人员询问顾客是否正确用药并向顾客宣贯药品不良反应的定义。</w:t>
      </w:r>
    </w:p>
    <w:p w14:paraId="2116AEBC">
      <w:pPr>
        <w:pStyle w:val="58"/>
        <w:ind w:firstLine="0" w:firstLineChars="0"/>
        <w:rPr>
          <w:rFonts w:hAnsi="宋体" w:cs="宋体"/>
          <w:szCs w:val="21"/>
        </w:rPr>
      </w:pPr>
      <w:r>
        <w:rPr>
          <w:rFonts w:ascii="黑体" w:hAnsi="黑体" w:eastAsia="黑体" w:cs="黑体"/>
        </w:rPr>
        <w:t>5.8.3</w:t>
      </w:r>
      <w:r>
        <w:rPr>
          <w:rFonts w:hint="eastAsia" w:hAnsi="宋体" w:cs="宋体"/>
          <w:szCs w:val="21"/>
        </w:rPr>
        <w:t xml:space="preserve">  药房服务人员根据顾客描述的情况判定属于药品不良反应后，仔细询问顾客药品不良反应发生过程的详细信息，例如发生的时间及间隔，出现的症状，是否合并用药等。</w:t>
      </w:r>
    </w:p>
    <w:p w14:paraId="76195987">
      <w:pPr>
        <w:pStyle w:val="58"/>
        <w:ind w:firstLine="0" w:firstLineChars="0"/>
        <w:rPr>
          <w:rFonts w:hAnsi="宋体" w:cs="宋体"/>
          <w:szCs w:val="21"/>
        </w:rPr>
      </w:pPr>
      <w:r>
        <w:rPr>
          <w:rFonts w:ascii="黑体" w:hAnsi="黑体" w:eastAsia="黑体" w:cs="黑体"/>
        </w:rPr>
        <w:t>5.8.4</w:t>
      </w:r>
      <w:r>
        <w:rPr>
          <w:rFonts w:hint="eastAsia" w:hAnsi="宋体" w:cs="宋体"/>
          <w:szCs w:val="21"/>
        </w:rPr>
        <w:t xml:space="preserve">  药房服务人员告知顾客立即停药或减量，如有严重反应需立即就医。跟踪顾客停药或减量后症状是否消失或者减轻，对原疾病是否产生影响。</w:t>
      </w:r>
    </w:p>
    <w:p w14:paraId="48AA18F0">
      <w:pPr>
        <w:pStyle w:val="58"/>
        <w:ind w:firstLine="0" w:firstLineChars="0"/>
        <w:rPr>
          <w:rFonts w:hAnsi="宋体" w:cs="宋体"/>
          <w:szCs w:val="21"/>
        </w:rPr>
      </w:pPr>
      <w:r>
        <w:rPr>
          <w:rFonts w:ascii="黑体" w:hAnsi="黑体" w:eastAsia="黑体" w:cs="黑体"/>
        </w:rPr>
        <w:t>5.8.5</w:t>
      </w:r>
      <w:r>
        <w:rPr>
          <w:rFonts w:hint="eastAsia" w:hAnsi="宋体" w:cs="宋体"/>
          <w:szCs w:val="21"/>
        </w:rPr>
        <w:t xml:space="preserve">  药房服务人员根据不良反应情况收集记录在案，上报公司及相关部门。</w:t>
      </w:r>
    </w:p>
    <w:p w14:paraId="3FFB57C7">
      <w:pPr>
        <w:pStyle w:val="58"/>
        <w:ind w:firstLine="420"/>
      </w:pPr>
    </w:p>
    <w:p w14:paraId="5CB1EBDA">
      <w:pPr>
        <w:pStyle w:val="107"/>
        <w:spacing w:before="120" w:after="120"/>
      </w:pPr>
      <w:r>
        <w:rPr>
          <w:rFonts w:hint="eastAsia"/>
        </w:rPr>
        <w:t>药品配送服务</w:t>
      </w:r>
    </w:p>
    <w:p w14:paraId="55C84275">
      <w:pPr>
        <w:pStyle w:val="67"/>
        <w:bidi w:val="0"/>
      </w:pPr>
      <w:r>
        <w:rPr>
          <w:rFonts w:hint="eastAsia"/>
        </w:rPr>
        <w:t>药房自配</w:t>
      </w:r>
    </w:p>
    <w:p w14:paraId="0AE5C8F1">
      <w:pPr>
        <w:spacing w:line="280" w:lineRule="exact"/>
        <w:rPr>
          <w:rFonts w:ascii="宋体" w:hAnsi="宋体" w:cs="宋体"/>
        </w:rPr>
      </w:pPr>
      <w:r>
        <w:rPr>
          <w:rFonts w:ascii="黑体" w:hAnsi="黑体" w:eastAsia="黑体" w:cs="黑体"/>
          <w:kern w:val="0"/>
          <w:szCs w:val="20"/>
        </w:rPr>
        <w:t xml:space="preserve">5.9.1.1 </w:t>
      </w:r>
      <w:r>
        <w:rPr>
          <w:rFonts w:hint="eastAsia"/>
        </w:rPr>
        <w:t xml:space="preserve"> </w:t>
      </w:r>
      <w:r>
        <w:rPr>
          <w:rFonts w:hint="eastAsia" w:ascii="宋体" w:hAnsi="宋体" w:cs="宋体"/>
        </w:rPr>
        <w:t>药房服务人员接到外送订单需求，应与顾客确认商品名称，规格，数量，送达时间与送货地址等信息。</w:t>
      </w:r>
    </w:p>
    <w:p w14:paraId="4A747A7B">
      <w:pPr>
        <w:spacing w:line="280" w:lineRule="exact"/>
        <w:rPr>
          <w:rFonts w:ascii="宋体" w:hAnsi="宋体" w:cs="宋体"/>
        </w:rPr>
      </w:pPr>
      <w:r>
        <w:rPr>
          <w:rFonts w:ascii="黑体" w:hAnsi="黑体" w:eastAsia="黑体" w:cs="黑体"/>
          <w:kern w:val="0"/>
          <w:szCs w:val="20"/>
        </w:rPr>
        <w:t>5.9.1.2</w:t>
      </w:r>
      <w:r>
        <w:rPr>
          <w:rFonts w:hint="eastAsia"/>
        </w:rPr>
        <w:t xml:space="preserve">  药房服务人员应</w:t>
      </w:r>
      <w:r>
        <w:rPr>
          <w:rFonts w:hint="eastAsia" w:ascii="宋体" w:hAnsi="宋体" w:cs="宋体"/>
        </w:rPr>
        <w:t>询问顾客付款方式，是否需要开票等内容，根据顾客答复提供收款二维码和开具发票，如为刷卡，需带上移动POS机。</w:t>
      </w:r>
    </w:p>
    <w:p w14:paraId="24A87146">
      <w:pPr>
        <w:pStyle w:val="164"/>
        <w:numPr>
          <w:ilvl w:val="2"/>
          <w:numId w:val="0"/>
        </w:numPr>
        <w:jc w:val="left"/>
        <w:rPr>
          <w:rFonts w:hAnsi="宋体" w:cs="宋体"/>
          <w:szCs w:val="21"/>
        </w:rPr>
      </w:pPr>
      <w:r>
        <w:rPr>
          <w:rFonts w:ascii="黑体" w:hAnsi="黑体" w:eastAsia="黑体" w:cs="黑体"/>
        </w:rPr>
        <w:t>5.9.1.3</w:t>
      </w:r>
      <w:r>
        <w:rPr>
          <w:rFonts w:ascii="Calibri" w:hAnsi="Calibri"/>
          <w:kern w:val="2"/>
          <w:szCs w:val="21"/>
        </w:rPr>
        <w:t xml:space="preserve"> </w:t>
      </w:r>
      <w:r>
        <w:rPr>
          <w:rFonts w:hint="eastAsia"/>
        </w:rPr>
        <w:t xml:space="preserve"> </w:t>
      </w:r>
      <w:r>
        <w:rPr>
          <w:rFonts w:hint="eastAsia" w:hAnsi="宋体" w:cs="宋体"/>
          <w:szCs w:val="21"/>
        </w:rPr>
        <w:t>药房服务人员按GSP要求在计算机系统进行开单，填好送货时间后打印《外送签收单》，冷链商品需打印《冷链知情同意书》。</w:t>
      </w:r>
    </w:p>
    <w:p w14:paraId="1C8ABBA5">
      <w:pPr>
        <w:pStyle w:val="164"/>
        <w:numPr>
          <w:ilvl w:val="2"/>
          <w:numId w:val="0"/>
        </w:numPr>
        <w:jc w:val="left"/>
        <w:rPr>
          <w:rFonts w:hAnsi="宋体" w:cs="宋体"/>
          <w:szCs w:val="21"/>
        </w:rPr>
      </w:pPr>
      <w:r>
        <w:rPr>
          <w:rFonts w:ascii="黑体" w:hAnsi="黑体" w:eastAsia="黑体" w:cs="黑体"/>
        </w:rPr>
        <w:t>5.9.1.4</w:t>
      </w:r>
      <w:r>
        <w:rPr>
          <w:rFonts w:ascii="Calibri" w:hAnsi="Calibri"/>
          <w:kern w:val="2"/>
          <w:szCs w:val="21"/>
        </w:rPr>
        <w:t xml:space="preserve"> </w:t>
      </w:r>
      <w:r>
        <w:rPr>
          <w:rFonts w:hint="eastAsia" w:hAnsi="宋体" w:cs="宋体"/>
          <w:szCs w:val="21"/>
        </w:rPr>
        <w:t xml:space="preserve"> 药房服务人员复核后按商品储存要求对商品进行包装，如为冷链商品需放入温湿度记录仪记录配送路程的温湿度。</w:t>
      </w:r>
    </w:p>
    <w:p w14:paraId="390495C8">
      <w:pPr>
        <w:spacing w:line="280" w:lineRule="exact"/>
        <w:rPr>
          <w:rFonts w:ascii="宋体" w:hAnsi="宋体" w:cs="宋体"/>
        </w:rPr>
      </w:pPr>
      <w:r>
        <w:rPr>
          <w:rFonts w:ascii="黑体" w:hAnsi="黑体" w:eastAsia="黑体" w:cs="黑体"/>
          <w:kern w:val="0"/>
          <w:szCs w:val="20"/>
        </w:rPr>
        <w:t>5.9.1.5</w:t>
      </w:r>
      <w:r>
        <w:rPr>
          <w:rFonts w:hint="eastAsia" w:ascii="黑体" w:hAnsi="黑体" w:eastAsia="黑体" w:cs="黑体"/>
          <w:kern w:val="0"/>
          <w:szCs w:val="20"/>
        </w:rPr>
        <w:t xml:space="preserve">  </w:t>
      </w:r>
      <w:r>
        <w:rPr>
          <w:rFonts w:hint="eastAsia" w:hAnsi="宋体" w:cs="宋体"/>
        </w:rPr>
        <w:t>药房服务人员</w:t>
      </w:r>
      <w:r>
        <w:rPr>
          <w:rFonts w:hint="eastAsia" w:ascii="宋体" w:hAnsi="宋体" w:cs="宋体"/>
        </w:rPr>
        <w:t>到达送货地点后，应核对顾客信息，收取处方。请顾客核对商品名称，规格，数量，包装完好，冷链商品的送达温度，发票的开票信息。顾客确认无误后收取顾客货款，并请顾客在《外送签收单》填写签收时间、商品温度及签字。《外送签收单》一联交顾客，一联拿回药房归档留存。</w:t>
      </w:r>
    </w:p>
    <w:p w14:paraId="35F7508F">
      <w:pPr>
        <w:spacing w:line="280" w:lineRule="exact"/>
        <w:rPr>
          <w:rFonts w:ascii="宋体" w:hAnsi="宋体" w:cs="宋体"/>
        </w:rPr>
      </w:pPr>
      <w:r>
        <w:rPr>
          <w:rFonts w:ascii="黑体" w:hAnsi="黑体" w:eastAsia="黑体" w:cs="黑体"/>
          <w:kern w:val="0"/>
          <w:szCs w:val="20"/>
        </w:rPr>
        <w:t xml:space="preserve">5.9.1.6 </w:t>
      </w:r>
      <w:r>
        <w:rPr>
          <w:rFonts w:hint="eastAsia" w:hAnsi="宋体" w:cs="宋体"/>
        </w:rPr>
        <w:t xml:space="preserve"> </w:t>
      </w:r>
      <w:r>
        <w:rPr>
          <w:rFonts w:hint="eastAsia" w:ascii="宋体" w:hAnsi="宋体" w:cs="宋体"/>
        </w:rPr>
        <w:t>药房服务人员配送冷链商品应向顾客解释《冷链知情同意书》，提醒顾客使用和储存注意事项，并请顾客签字确认。《冷链知情同意书》一联交顾客，一联拿回药房归档留存。</w:t>
      </w:r>
    </w:p>
    <w:p w14:paraId="0F059E38">
      <w:pPr>
        <w:pStyle w:val="67"/>
        <w:bidi w:val="0"/>
      </w:pPr>
      <w:r>
        <w:rPr>
          <w:rFonts w:hint="eastAsia"/>
        </w:rPr>
        <w:t>网络销售配送服务</w:t>
      </w:r>
    </w:p>
    <w:p w14:paraId="730927B6">
      <w:pPr>
        <w:pStyle w:val="164"/>
        <w:numPr>
          <w:ilvl w:val="2"/>
          <w:numId w:val="0"/>
        </w:numPr>
        <w:jc w:val="left"/>
        <w:rPr>
          <w:rFonts w:ascii="Arial" w:hAnsi="Arial" w:cs="Arial"/>
          <w:szCs w:val="21"/>
          <w:shd w:val="clear" w:color="auto" w:fill="FFFFFF"/>
        </w:rPr>
      </w:pPr>
      <w:r>
        <w:rPr>
          <w:rFonts w:ascii="黑体" w:hAnsi="黑体" w:eastAsia="黑体" w:cs="黑体"/>
        </w:rPr>
        <w:t>5.9.2.1</w:t>
      </w:r>
      <w:r>
        <w:rPr>
          <w:rFonts w:hint="eastAsia"/>
        </w:rPr>
        <w:t xml:space="preserve">  药房服务接到网络销售订单</w:t>
      </w:r>
      <w:r>
        <w:rPr>
          <w:rFonts w:ascii="Arial" w:hAnsi="Arial" w:cs="Arial"/>
          <w:szCs w:val="21"/>
          <w:shd w:val="clear" w:color="auto" w:fill="FFFFFF"/>
        </w:rPr>
        <w:t>根据</w:t>
      </w:r>
      <w:r>
        <w:rPr>
          <w:rFonts w:hint="eastAsia" w:ascii="Arial" w:hAnsi="Arial" w:cs="Arial"/>
          <w:szCs w:val="21"/>
          <w:shd w:val="clear" w:color="auto" w:fill="FFFFFF"/>
        </w:rPr>
        <w:t>商品储存要求</w:t>
      </w:r>
      <w:r>
        <w:rPr>
          <w:rFonts w:ascii="Arial" w:hAnsi="Arial" w:cs="Arial"/>
          <w:szCs w:val="21"/>
          <w:shd w:val="clear" w:color="auto" w:fill="FFFFFF"/>
        </w:rPr>
        <w:t>进行适当的包装，以确保</w:t>
      </w:r>
      <w:r>
        <w:rPr>
          <w:rFonts w:hint="eastAsia" w:ascii="Arial" w:hAnsi="Arial" w:cs="Arial"/>
          <w:szCs w:val="21"/>
          <w:shd w:val="clear" w:color="auto" w:fill="FFFFFF"/>
        </w:rPr>
        <w:t>商品</w:t>
      </w:r>
      <w:r>
        <w:rPr>
          <w:rFonts w:ascii="Arial" w:hAnsi="Arial" w:cs="Arial"/>
          <w:szCs w:val="21"/>
          <w:shd w:val="clear" w:color="auto" w:fill="FFFFFF"/>
        </w:rPr>
        <w:t>在运输过程中的安全</w:t>
      </w:r>
      <w:r>
        <w:rPr>
          <w:rFonts w:hint="eastAsia" w:ascii="Arial" w:hAnsi="Arial" w:cs="Arial"/>
          <w:szCs w:val="21"/>
          <w:shd w:val="clear" w:color="auto" w:fill="FFFFFF"/>
        </w:rPr>
        <w:t>。</w:t>
      </w:r>
    </w:p>
    <w:p w14:paraId="57653730">
      <w:pPr>
        <w:pStyle w:val="164"/>
        <w:numPr>
          <w:ilvl w:val="2"/>
          <w:numId w:val="0"/>
        </w:numPr>
        <w:jc w:val="left"/>
        <w:rPr>
          <w:rFonts w:ascii="Arial" w:hAnsi="Arial" w:cs="Arial"/>
          <w:szCs w:val="21"/>
          <w:shd w:val="clear" w:color="auto" w:fill="FFFFFF"/>
        </w:rPr>
      </w:pPr>
      <w:r>
        <w:rPr>
          <w:rFonts w:ascii="黑体" w:hAnsi="黑体" w:eastAsia="黑体" w:cs="黑体"/>
        </w:rPr>
        <w:t xml:space="preserve">5.9.2.2 </w:t>
      </w:r>
      <w:r>
        <w:rPr>
          <w:rFonts w:hint="eastAsia"/>
        </w:rPr>
        <w:t xml:space="preserve"> </w:t>
      </w:r>
      <w:r>
        <w:rPr>
          <w:rFonts w:ascii="Arial" w:hAnsi="Arial" w:cs="Arial"/>
          <w:szCs w:val="21"/>
          <w:shd w:val="clear" w:color="auto" w:fill="FFFFFF"/>
        </w:rPr>
        <w:t>选择合适的运输方式和物流</w:t>
      </w:r>
      <w:r>
        <w:rPr>
          <w:rFonts w:hint="eastAsia" w:ascii="Arial" w:hAnsi="Arial" w:cs="Arial"/>
          <w:szCs w:val="21"/>
          <w:shd w:val="clear" w:color="auto" w:fill="FFFFFF"/>
        </w:rPr>
        <w:t>公司</w:t>
      </w:r>
      <w:r>
        <w:rPr>
          <w:rFonts w:ascii="Arial" w:hAnsi="Arial" w:cs="Arial"/>
          <w:szCs w:val="21"/>
          <w:shd w:val="clear" w:color="auto" w:fill="FFFFFF"/>
        </w:rPr>
        <w:t>，维护和管理配送过程中的相关信息，包括订单状态、物流跟踪等，以便</w:t>
      </w:r>
      <w:r>
        <w:rPr>
          <w:rFonts w:hint="eastAsia" w:ascii="Arial" w:hAnsi="Arial" w:cs="Arial"/>
          <w:szCs w:val="21"/>
          <w:shd w:val="clear" w:color="auto" w:fill="FFFFFF"/>
        </w:rPr>
        <w:t>顾客</w:t>
      </w:r>
      <w:r>
        <w:rPr>
          <w:rFonts w:ascii="Arial" w:hAnsi="Arial" w:cs="Arial"/>
          <w:szCs w:val="21"/>
          <w:shd w:val="clear" w:color="auto" w:fill="FFFFFF"/>
        </w:rPr>
        <w:t>可以随时查询</w:t>
      </w:r>
      <w:r>
        <w:rPr>
          <w:rFonts w:hint="eastAsia" w:ascii="Arial" w:hAnsi="Arial" w:cs="Arial"/>
          <w:szCs w:val="21"/>
          <w:shd w:val="clear" w:color="auto" w:fill="FFFFFF"/>
        </w:rPr>
        <w:t>。</w:t>
      </w:r>
    </w:p>
    <w:p w14:paraId="1F0BA34D">
      <w:pPr>
        <w:pStyle w:val="164"/>
        <w:numPr>
          <w:ilvl w:val="2"/>
          <w:numId w:val="0"/>
        </w:numPr>
        <w:jc w:val="left"/>
        <w:rPr>
          <w:rFonts w:ascii="Arial" w:hAnsi="Arial" w:cs="Arial"/>
          <w:szCs w:val="21"/>
          <w:shd w:val="clear" w:color="auto" w:fill="FFFFFF"/>
        </w:rPr>
      </w:pPr>
      <w:r>
        <w:rPr>
          <w:rFonts w:ascii="黑体" w:hAnsi="黑体" w:eastAsia="黑体" w:cs="黑体"/>
        </w:rPr>
        <w:t>5.9.2.3</w:t>
      </w:r>
      <w:r>
        <w:rPr>
          <w:rFonts w:hint="eastAsia"/>
        </w:rPr>
        <w:t xml:space="preserve">  </w:t>
      </w:r>
      <w:r>
        <w:rPr>
          <w:rFonts w:ascii="Arial" w:hAnsi="Arial" w:cs="Arial"/>
          <w:szCs w:val="21"/>
          <w:shd w:val="clear" w:color="auto" w:fill="FFFFFF"/>
        </w:rPr>
        <w:t>识别和评估配送过程中可能出现的风险，如丢失、损坏、延迟等，并制定相应的应对措施</w:t>
      </w:r>
      <w:r>
        <w:rPr>
          <w:rFonts w:hint="eastAsia" w:ascii="Arial" w:hAnsi="Arial" w:cs="Arial"/>
          <w:szCs w:val="21"/>
          <w:shd w:val="clear" w:color="auto" w:fill="FFFFFF"/>
        </w:rPr>
        <w:t>。</w:t>
      </w:r>
    </w:p>
    <w:p w14:paraId="5CB9AFFE">
      <w:pPr>
        <w:pStyle w:val="164"/>
        <w:numPr>
          <w:ilvl w:val="2"/>
          <w:numId w:val="0"/>
        </w:numPr>
        <w:jc w:val="left"/>
      </w:pPr>
      <w:r>
        <w:rPr>
          <w:rFonts w:ascii="黑体" w:hAnsi="黑体" w:eastAsia="黑体" w:cs="黑体"/>
        </w:rPr>
        <w:t>5.9.2.4</w:t>
      </w:r>
      <w:r>
        <w:rPr>
          <w:rFonts w:hint="eastAsia"/>
        </w:rPr>
        <w:t xml:space="preserve">  </w:t>
      </w:r>
      <w:r>
        <w:rPr>
          <w:rFonts w:ascii="Arial" w:hAnsi="Arial" w:cs="Arial"/>
          <w:szCs w:val="21"/>
          <w:shd w:val="clear" w:color="auto" w:fill="FFFFFF"/>
        </w:rPr>
        <w:t>提供多渠道的客户咨询服务，解答消费者关于配送时间、费用等问题的疑问</w:t>
      </w:r>
      <w:r>
        <w:rPr>
          <w:rFonts w:hint="eastAsia" w:ascii="Arial" w:hAnsi="Arial" w:cs="Arial"/>
          <w:szCs w:val="21"/>
          <w:shd w:val="clear" w:color="auto" w:fill="FFFFFF"/>
        </w:rPr>
        <w:t>。</w:t>
      </w:r>
    </w:p>
    <w:p w14:paraId="4A0309E8">
      <w:pPr>
        <w:pStyle w:val="107"/>
        <w:bidi w:val="0"/>
      </w:pPr>
      <w:r>
        <w:rPr>
          <w:rFonts w:hint="eastAsia"/>
        </w:rPr>
        <w:t>中药饮片代煎服务</w:t>
      </w:r>
    </w:p>
    <w:p w14:paraId="2A20715E">
      <w:pPr>
        <w:spacing w:line="240" w:lineRule="auto"/>
        <w:rPr>
          <w:rFonts w:ascii="宋体" w:hAnsi="宋体" w:cs="宋体"/>
        </w:rPr>
      </w:pPr>
      <w:r>
        <w:rPr>
          <w:rFonts w:ascii="黑体" w:hAnsi="黑体" w:eastAsia="黑体" w:cs="黑体"/>
          <w:kern w:val="0"/>
          <w:szCs w:val="20"/>
        </w:rPr>
        <w:t>5.10.1</w:t>
      </w:r>
      <w:r>
        <w:rPr>
          <w:rFonts w:hint="eastAsia" w:ascii="宋体" w:hAnsi="宋体" w:cs="宋体"/>
        </w:rPr>
        <w:t xml:space="preserve"> 药学服务人员接到顾客的中药饮片处方单后逐一核查药房库存是否能够调配齐全，如不能调配齐全应及时告知顾客无法代煎或征得顾客同意待采购齐全后再进行代煎。</w:t>
      </w:r>
    </w:p>
    <w:p w14:paraId="35D1D627">
      <w:pPr>
        <w:pStyle w:val="164"/>
        <w:numPr>
          <w:ilvl w:val="2"/>
          <w:numId w:val="0"/>
        </w:numPr>
        <w:jc w:val="left"/>
      </w:pPr>
      <w:r>
        <w:rPr>
          <w:rFonts w:ascii="黑体" w:hAnsi="黑体" w:eastAsia="黑体" w:cs="黑体"/>
        </w:rPr>
        <w:t>5.10.2</w:t>
      </w:r>
      <w:r>
        <w:rPr>
          <w:rFonts w:hint="eastAsia"/>
        </w:rPr>
        <w:t xml:space="preserve">  执业药师接到顾客的中药饮片处方单后进行审方，判断处方是否有配伍禁忌、用量用法不准确的情况，如有配伍禁忌应及时和顾客反应中药饮片相互影响的原理以及后果，沟通顾客让医生进行再次确认处方或者更改处方。</w:t>
      </w:r>
    </w:p>
    <w:p w14:paraId="09E8C502">
      <w:pPr>
        <w:pStyle w:val="164"/>
        <w:numPr>
          <w:ilvl w:val="2"/>
          <w:numId w:val="0"/>
        </w:numPr>
        <w:jc w:val="left"/>
      </w:pPr>
      <w:r>
        <w:rPr>
          <w:rFonts w:ascii="黑体" w:hAnsi="黑体" w:eastAsia="黑体" w:cs="黑体"/>
        </w:rPr>
        <w:t>5.10.3</w:t>
      </w:r>
      <w:r>
        <w:rPr>
          <w:rFonts w:hint="eastAsia"/>
        </w:rPr>
        <w:t xml:space="preserve">  药学服务人员接到审核通过的处方后进行中药饮片调配，调配过程中如看到有先煎、后下或有其他特别要求煎煮的饮片，应与顾客解释清楚，并按要求进行煎煮。</w:t>
      </w:r>
    </w:p>
    <w:p w14:paraId="5ACD6F51">
      <w:pPr>
        <w:spacing w:line="240" w:lineRule="auto"/>
      </w:pPr>
      <w:r>
        <w:rPr>
          <w:rFonts w:ascii="黑体" w:hAnsi="黑体" w:eastAsia="黑体" w:cs="黑体"/>
          <w:kern w:val="0"/>
          <w:szCs w:val="20"/>
        </w:rPr>
        <w:t xml:space="preserve">5.10.4 </w:t>
      </w:r>
      <w:r>
        <w:rPr>
          <w:rFonts w:hint="eastAsia"/>
        </w:rPr>
        <w:t xml:space="preserve"> 药学服务人员</w:t>
      </w:r>
      <w:r>
        <w:rPr>
          <w:rFonts w:hint="eastAsia" w:ascii="宋体" w:hAnsi="宋体" w:cs="宋体"/>
        </w:rPr>
        <w:t>使用煎药机代煎中药，煎药机的煎药功能应当符合相关规范要求。应当在常压状态代煎药物，</w:t>
      </w:r>
      <w:r>
        <w:rPr>
          <w:rFonts w:hint="eastAsia" w:ascii="宋体" w:hAnsi="Times New Roman"/>
          <w:kern w:val="0"/>
          <w:szCs w:val="20"/>
        </w:rPr>
        <w:t>煎药温度的控制需严格匹配标准化的文火、武火操作流程应按标准化的代煎煎药文火武火操作，确保不同类型药材（如解表药、滋补药）均能按照对应的火候要求完成代煎，保障药液药效与用药安全</w:t>
      </w:r>
      <w:r>
        <w:rPr>
          <w:rFonts w:hint="eastAsia" w:ascii="宋体" w:hAnsi="宋体" w:cs="宋体"/>
        </w:rPr>
        <w:t>。煎出的药液量应当与方剂的剂量相符，分装剂量应当均匀。含毒性中药饮片不进行代煎服务。</w:t>
      </w:r>
    </w:p>
    <w:p w14:paraId="7C03C8F3">
      <w:pPr>
        <w:pStyle w:val="164"/>
        <w:numPr>
          <w:ilvl w:val="2"/>
          <w:numId w:val="0"/>
        </w:numPr>
        <w:jc w:val="left"/>
      </w:pPr>
      <w:r>
        <w:rPr>
          <w:rFonts w:ascii="黑体" w:hAnsi="黑体" w:eastAsia="黑体" w:cs="黑体"/>
        </w:rPr>
        <w:t>5.10.5</w:t>
      </w:r>
      <w:r>
        <w:rPr>
          <w:rFonts w:hint="eastAsia"/>
        </w:rPr>
        <w:t xml:space="preserve">  药学服务人员发放代煎好的中药饮片汤剂应交代顾客正确的服药措施如顿服、分服、饭前服、饭后服等。</w:t>
      </w:r>
    </w:p>
    <w:p w14:paraId="33B09C30">
      <w:pPr>
        <w:pStyle w:val="107"/>
        <w:bidi w:val="0"/>
      </w:pPr>
      <w:r>
        <w:rPr>
          <w:rFonts w:hint="eastAsia"/>
        </w:rPr>
        <w:t>慈善援助赠药服务</w:t>
      </w:r>
    </w:p>
    <w:p w14:paraId="189C8D93">
      <w:pPr>
        <w:pStyle w:val="164"/>
        <w:numPr>
          <w:ilvl w:val="2"/>
          <w:numId w:val="0"/>
        </w:numPr>
        <w:jc w:val="left"/>
        <w:rPr>
          <w:shd w:val="clear" w:color="auto" w:fill="FFFFFF"/>
        </w:rPr>
      </w:pPr>
      <w:r>
        <w:rPr>
          <w:rFonts w:ascii="黑体" w:hAnsi="黑体" w:eastAsia="黑体" w:cs="黑体"/>
        </w:rPr>
        <w:t>5.11.1</w:t>
      </w:r>
      <w:r>
        <w:rPr>
          <w:shd w:val="clear" w:color="auto" w:fill="FFFFFF"/>
        </w:rPr>
        <w:t xml:space="preserve"> </w:t>
      </w:r>
      <w:r>
        <w:rPr>
          <w:rFonts w:hint="eastAsia"/>
        </w:rPr>
        <w:t xml:space="preserve"> </w:t>
      </w:r>
      <w:r>
        <w:rPr>
          <w:shd w:val="clear" w:color="auto" w:fill="FFFFFF"/>
        </w:rPr>
        <w:t xml:space="preserve">服务开展前提药店需与相关慈善机构建立合作关系，明确援助药品的范围、患者筛选标准等，确保赠药服务合法、规范且有章可循。 </w:t>
      </w:r>
    </w:p>
    <w:p w14:paraId="0E85811D">
      <w:pPr>
        <w:pStyle w:val="164"/>
        <w:numPr>
          <w:ilvl w:val="2"/>
          <w:numId w:val="0"/>
        </w:numPr>
        <w:jc w:val="left"/>
        <w:rPr>
          <w:shd w:val="clear" w:color="auto" w:fill="FFFFFF"/>
        </w:rPr>
      </w:pPr>
      <w:r>
        <w:rPr>
          <w:rFonts w:ascii="黑体" w:hAnsi="黑体" w:eastAsia="黑体" w:cs="黑体"/>
        </w:rPr>
        <w:t>5.11.2</w:t>
      </w:r>
      <w:r>
        <w:rPr>
          <w:rFonts w:hint="eastAsia"/>
        </w:rPr>
        <w:t xml:space="preserve">  </w:t>
      </w:r>
      <w:r>
        <w:rPr>
          <w:shd w:val="clear" w:color="auto" w:fill="FFFFFF"/>
        </w:rPr>
        <w:t>患者筛选与资格审核</w:t>
      </w:r>
      <w:r>
        <w:rPr>
          <w:rFonts w:hint="eastAsia"/>
          <w:shd w:val="clear" w:color="auto" w:fill="FFFFFF"/>
        </w:rPr>
        <w:t>：</w:t>
      </w:r>
      <w:r>
        <w:rPr>
          <w:shd w:val="clear" w:color="auto" w:fill="FFFFFF"/>
        </w:rPr>
        <w:t>按慈善机构标准，收集申请患者的疾病诊断、用药、经济状况等信息。患者提交诊断证明、低收入证明等材料，</w:t>
      </w:r>
      <w:r>
        <w:rPr>
          <w:rFonts w:hint="eastAsia"/>
          <w:shd w:val="clear" w:color="auto" w:fill="FFFFFF"/>
        </w:rPr>
        <w:t>药学技术人员</w:t>
      </w:r>
      <w:r>
        <w:rPr>
          <w:shd w:val="clear" w:color="auto" w:fill="FFFFFF"/>
        </w:rPr>
        <w:t xml:space="preserve">严格审核，资料问题及时沟通补充，必要时联合慈善机构审核。 </w:t>
      </w:r>
    </w:p>
    <w:p w14:paraId="541BEF01">
      <w:pPr>
        <w:pStyle w:val="164"/>
        <w:numPr>
          <w:ilvl w:val="2"/>
          <w:numId w:val="0"/>
        </w:numPr>
        <w:jc w:val="left"/>
        <w:rPr>
          <w:shd w:val="clear" w:color="auto" w:fill="FFFFFF"/>
        </w:rPr>
      </w:pPr>
      <w:r>
        <w:rPr>
          <w:rFonts w:ascii="黑体" w:hAnsi="黑体" w:eastAsia="黑体" w:cs="黑体"/>
        </w:rPr>
        <w:t>5.11.3</w:t>
      </w:r>
      <w:r>
        <w:rPr>
          <w:rFonts w:hint="eastAsia"/>
        </w:rPr>
        <w:t xml:space="preserve">  </w:t>
      </w:r>
      <w:r>
        <w:rPr>
          <w:shd w:val="clear" w:color="auto" w:fill="FFFFFF"/>
        </w:rPr>
        <w:t>赠药服务流程</w:t>
      </w:r>
      <w:r>
        <w:rPr>
          <w:rFonts w:hint="eastAsia"/>
          <w:shd w:val="clear" w:color="auto" w:fill="FFFFFF"/>
        </w:rPr>
        <w:t>：</w:t>
      </w:r>
      <w:r>
        <w:rPr>
          <w:shd w:val="clear" w:color="auto" w:fill="FFFFFF"/>
        </w:rPr>
        <w:t>依据援助清单储备管理药品，确保质量、有效期及贮存条件合规</w:t>
      </w:r>
      <w:r>
        <w:rPr>
          <w:rFonts w:hint="eastAsia"/>
          <w:shd w:val="clear" w:color="auto" w:fill="FFFFFF"/>
        </w:rPr>
        <w:t>。</w:t>
      </w:r>
      <w:r>
        <w:rPr>
          <w:shd w:val="clear" w:color="auto" w:fill="FFFFFF"/>
        </w:rPr>
        <w:t>患者通过审核后，按流程交付药品，核对信息。执业药师讲解服药方法、时长、禁忌食物、副作用及处理；特殊药品加警示标签；为特殊人群提供专属指导。</w:t>
      </w:r>
    </w:p>
    <w:p w14:paraId="1BD12FA6">
      <w:pPr>
        <w:pStyle w:val="164"/>
        <w:numPr>
          <w:ilvl w:val="2"/>
          <w:numId w:val="0"/>
        </w:numPr>
        <w:jc w:val="left"/>
        <w:rPr>
          <w:shd w:val="clear" w:color="auto" w:fill="FFFFFF"/>
        </w:rPr>
      </w:pPr>
      <w:r>
        <w:rPr>
          <w:rFonts w:ascii="黑体" w:hAnsi="黑体" w:eastAsia="黑体" w:cs="黑体"/>
        </w:rPr>
        <w:t>5.11.4</w:t>
      </w:r>
      <w:r>
        <w:rPr>
          <w:rFonts w:hint="eastAsia"/>
        </w:rPr>
        <w:t xml:space="preserve"> </w:t>
      </w:r>
      <w:r>
        <w:rPr>
          <w:shd w:val="clear" w:color="auto" w:fill="FFFFFF"/>
        </w:rPr>
        <w:t>隐私保护</w:t>
      </w:r>
      <w:r>
        <w:rPr>
          <w:rFonts w:hint="eastAsia"/>
          <w:shd w:val="clear" w:color="auto" w:fill="FFFFFF"/>
        </w:rPr>
        <w:t>：</w:t>
      </w:r>
      <w:r>
        <w:rPr>
          <w:shd w:val="clear" w:color="auto" w:fill="FFFFFF"/>
        </w:rPr>
        <w:t>服务中涉及患者疾病等隐私信息，需谨慎对待，引导患者在药学服务区域交流操作。</w:t>
      </w:r>
    </w:p>
    <w:p w14:paraId="3EC51E7F">
      <w:pPr>
        <w:pStyle w:val="164"/>
        <w:numPr>
          <w:ilvl w:val="2"/>
          <w:numId w:val="0"/>
        </w:numPr>
        <w:jc w:val="left"/>
        <w:rPr>
          <w:shd w:val="clear" w:color="auto" w:fill="FFFFFF"/>
        </w:rPr>
      </w:pPr>
      <w:r>
        <w:rPr>
          <w:rFonts w:ascii="黑体" w:hAnsi="黑体" w:eastAsia="黑体" w:cs="黑体"/>
        </w:rPr>
        <w:t>5.11.5</w:t>
      </w:r>
      <w:r>
        <w:rPr>
          <w:rFonts w:hint="eastAsia"/>
        </w:rPr>
        <w:t xml:space="preserve"> </w:t>
      </w:r>
      <w:r>
        <w:rPr>
          <w:shd w:val="clear" w:color="auto" w:fill="FFFFFF"/>
        </w:rPr>
        <w:t>后续跟踪</w:t>
      </w:r>
      <w:r>
        <w:rPr>
          <w:rFonts w:hint="eastAsia"/>
          <w:shd w:val="clear" w:color="auto" w:fill="FFFFFF"/>
        </w:rPr>
        <w:t>：</w:t>
      </w:r>
      <w:r>
        <w:rPr>
          <w:shd w:val="clear" w:color="auto" w:fill="FFFFFF"/>
        </w:rPr>
        <w:t xml:space="preserve">通过电话、线上、到店等方式收集患者用药效果、不良反应等反馈。 根据反馈和患者理解能力，让患者复述用药信息，补充书面资料，提高依从性。  </w:t>
      </w:r>
    </w:p>
    <w:p w14:paraId="1947C0E4">
      <w:pPr>
        <w:pStyle w:val="164"/>
        <w:numPr>
          <w:ilvl w:val="2"/>
          <w:numId w:val="0"/>
        </w:numPr>
        <w:jc w:val="left"/>
      </w:pPr>
      <w:r>
        <w:rPr>
          <w:rFonts w:ascii="黑体" w:hAnsi="黑体" w:eastAsia="黑体" w:cs="黑体"/>
        </w:rPr>
        <w:t xml:space="preserve">5.11.6 </w:t>
      </w:r>
      <w:r>
        <w:rPr>
          <w:rFonts w:hint="eastAsia"/>
          <w:shd w:val="clear" w:color="auto" w:fill="FFFFFF"/>
        </w:rPr>
        <w:t xml:space="preserve"> </w:t>
      </w:r>
      <w:r>
        <w:rPr>
          <w:shd w:val="clear" w:color="auto" w:fill="FFFFFF"/>
        </w:rPr>
        <w:t>援助延续评估：定期评估患者病情、经济状况，确定是否延续援助，及时与慈善机构沟通调整方案。</w:t>
      </w:r>
    </w:p>
    <w:p w14:paraId="1B98A01C">
      <w:pPr>
        <w:pStyle w:val="107"/>
        <w:bidi w:val="0"/>
      </w:pPr>
      <w:r>
        <w:rPr>
          <w:rFonts w:hint="eastAsia"/>
        </w:rPr>
        <w:t>医保政策解答服务</w:t>
      </w:r>
    </w:p>
    <w:p w14:paraId="236D1D5A">
      <w:pPr>
        <w:pStyle w:val="164"/>
        <w:numPr>
          <w:ilvl w:val="2"/>
          <w:numId w:val="0"/>
        </w:numPr>
        <w:jc w:val="left"/>
        <w:rPr>
          <w:shd w:val="clear" w:color="auto" w:fill="FFFFFF"/>
        </w:rPr>
      </w:pPr>
      <w:r>
        <w:rPr>
          <w:rFonts w:ascii="黑体" w:hAnsi="黑体" w:eastAsia="黑体" w:cs="黑体"/>
        </w:rPr>
        <w:t>5.12.1</w:t>
      </w:r>
      <w:r>
        <w:t xml:space="preserve">  </w:t>
      </w:r>
      <w:r>
        <w:rPr>
          <w:shd w:val="clear" w:color="auto" w:fill="FFFFFF"/>
        </w:rPr>
        <w:t>为更好地服务参保患者，帮助其准确理解医保政策，顺利使用医保基金购药，提升患者就医购药体验。</w:t>
      </w:r>
      <w:r>
        <w:rPr>
          <w:rFonts w:hint="eastAsia"/>
          <w:shd w:val="clear" w:color="auto" w:fill="FFFFFF"/>
        </w:rPr>
        <w:t>药学</w:t>
      </w:r>
      <w:r>
        <w:rPr>
          <w:shd w:val="clear" w:color="auto" w:fill="FFFFFF"/>
        </w:rPr>
        <w:t>服务人员需熟悉医保政策，包括医保药品目录、报销比例、报销流程、医保支付范围等内容。同时，应具备良好的沟通能力和服务意识，能耐心、清晰地为患者解答疑问。</w:t>
      </w:r>
    </w:p>
    <w:p w14:paraId="3D5C0D6C">
      <w:pPr>
        <w:pStyle w:val="164"/>
        <w:numPr>
          <w:ilvl w:val="2"/>
          <w:numId w:val="0"/>
        </w:numPr>
        <w:jc w:val="left"/>
        <w:rPr>
          <w:shd w:val="clear" w:color="auto" w:fill="FFFFFF"/>
        </w:rPr>
      </w:pPr>
      <w:r>
        <w:rPr>
          <w:rFonts w:ascii="黑体" w:hAnsi="黑体" w:eastAsia="黑体" w:cs="黑体"/>
        </w:rPr>
        <w:t xml:space="preserve">5.12.2 </w:t>
      </w:r>
      <w:r>
        <w:rPr>
          <w:rFonts w:hint="eastAsia"/>
        </w:rPr>
        <w:t xml:space="preserve"> </w:t>
      </w:r>
      <w:r>
        <w:rPr>
          <w:shd w:val="clear" w:color="auto" w:fill="FFFFFF"/>
        </w:rPr>
        <w:t>医保药品相关政策解答</w:t>
      </w:r>
      <w:r>
        <w:rPr>
          <w:rFonts w:hint="eastAsia"/>
          <w:shd w:val="clear" w:color="auto" w:fill="FFFFFF"/>
        </w:rPr>
        <w:t>：</w:t>
      </w:r>
      <w:r>
        <w:rPr>
          <w:shd w:val="clear" w:color="auto" w:fill="FFFFFF"/>
        </w:rPr>
        <w:t xml:space="preserve">向患者说明医保药品目录内药品的范围，告知患者所购药品是否属于医保报销范围。解释医保药品的报销比例，根据患者的医保类型，说明不同药品的报销比例差异。对于医保目录内有特殊规定的药品，详细说明其使用条件，如需要符合特定的疾病诊断、在特定医疗机构开具等。 </w:t>
      </w:r>
    </w:p>
    <w:p w14:paraId="51A9F599">
      <w:pPr>
        <w:pStyle w:val="164"/>
        <w:numPr>
          <w:ilvl w:val="2"/>
          <w:numId w:val="0"/>
        </w:numPr>
        <w:jc w:val="left"/>
        <w:rPr>
          <w:shd w:val="clear" w:color="auto" w:fill="FFFFFF"/>
        </w:rPr>
      </w:pPr>
      <w:r>
        <w:rPr>
          <w:rFonts w:ascii="黑体" w:hAnsi="黑体" w:eastAsia="黑体" w:cs="黑体"/>
        </w:rPr>
        <w:t xml:space="preserve">5.12.3 </w:t>
      </w:r>
      <w:r>
        <w:rPr>
          <w:rFonts w:hint="eastAsia"/>
        </w:rPr>
        <w:t xml:space="preserve"> </w:t>
      </w:r>
      <w:r>
        <w:rPr>
          <w:shd w:val="clear" w:color="auto" w:fill="FFFFFF"/>
        </w:rPr>
        <w:t>医保报销流程解答</w:t>
      </w:r>
      <w:r>
        <w:rPr>
          <w:rFonts w:hint="eastAsia"/>
          <w:shd w:val="clear" w:color="auto" w:fill="FFFFFF"/>
        </w:rPr>
        <w:t>：</w:t>
      </w:r>
      <w:r>
        <w:rPr>
          <w:shd w:val="clear" w:color="auto" w:fill="FFFFFF"/>
        </w:rPr>
        <w:t>指导患者如何使用医保卡或医保电子凭证进行购药结算，包括刷卡/扫码的操作步骤。说明医保报销的结算方式，是实时结算还是需要事后报销，以及事后报销所需的材料和流程。</w:t>
      </w:r>
    </w:p>
    <w:p w14:paraId="713FD83B">
      <w:pPr>
        <w:pStyle w:val="164"/>
        <w:numPr>
          <w:ilvl w:val="2"/>
          <w:numId w:val="0"/>
        </w:numPr>
        <w:jc w:val="left"/>
        <w:rPr>
          <w:shd w:val="clear" w:color="auto" w:fill="FFFFFF"/>
        </w:rPr>
      </w:pPr>
      <w:r>
        <w:rPr>
          <w:rFonts w:ascii="黑体" w:hAnsi="黑体" w:eastAsia="黑体" w:cs="黑体"/>
        </w:rPr>
        <w:t>5.12.4</w:t>
      </w:r>
      <w:r>
        <w:rPr>
          <w:rFonts w:hint="eastAsia"/>
        </w:rPr>
        <w:t xml:space="preserve">  </w:t>
      </w:r>
      <w:r>
        <w:rPr>
          <w:shd w:val="clear" w:color="auto" w:fill="FFFFFF"/>
        </w:rPr>
        <w:t>医保支付范围解答</w:t>
      </w:r>
      <w:r>
        <w:rPr>
          <w:rFonts w:hint="eastAsia"/>
          <w:shd w:val="clear" w:color="auto" w:fill="FFFFFF"/>
        </w:rPr>
        <w:t>：</w:t>
      </w:r>
      <w:r>
        <w:rPr>
          <w:shd w:val="clear" w:color="auto" w:fill="FFFFFF"/>
        </w:rPr>
        <w:t xml:space="preserve"> 向患者解释医保基金的支付范围，包括哪些医疗费用可以由医保基金支付，哪些需要个人自付。对于一些特殊情况，如异地就医购药的医保报销政策，详细说明报销的条件、比例和流程。</w:t>
      </w:r>
    </w:p>
    <w:p w14:paraId="7723E770">
      <w:pPr>
        <w:pStyle w:val="164"/>
        <w:numPr>
          <w:ilvl w:val="2"/>
          <w:numId w:val="0"/>
        </w:numPr>
        <w:jc w:val="left"/>
        <w:rPr>
          <w:shd w:val="clear" w:color="auto" w:fill="FFFFFF"/>
        </w:rPr>
      </w:pPr>
      <w:r>
        <w:rPr>
          <w:rFonts w:ascii="黑体" w:hAnsi="黑体" w:eastAsia="黑体" w:cs="黑体"/>
        </w:rPr>
        <w:t xml:space="preserve">5.12.5 </w:t>
      </w:r>
      <w:r>
        <w:rPr>
          <w:rFonts w:hint="eastAsia"/>
        </w:rPr>
        <w:t xml:space="preserve"> </w:t>
      </w:r>
      <w:r>
        <w:rPr>
          <w:shd w:val="clear" w:color="auto" w:fill="FFFFFF"/>
        </w:rPr>
        <w:t>其他医保相关问题解答</w:t>
      </w:r>
      <w:r>
        <w:rPr>
          <w:rFonts w:hint="eastAsia"/>
          <w:shd w:val="clear" w:color="auto" w:fill="FFFFFF"/>
        </w:rPr>
        <w:t>：</w:t>
      </w:r>
      <w:r>
        <w:rPr>
          <w:shd w:val="clear" w:color="auto" w:fill="FFFFFF"/>
        </w:rPr>
        <w:t xml:space="preserve"> 解答患者关于医保缴费、医保账户余额查询等方面的问题。 告知患者医保政策的最新变化和调整，如医保药品目录的更新、报销比例的调整等。 </w:t>
      </w:r>
    </w:p>
    <w:p w14:paraId="3DA1F7AF">
      <w:pPr>
        <w:pStyle w:val="164"/>
        <w:numPr>
          <w:ilvl w:val="2"/>
          <w:numId w:val="0"/>
        </w:numPr>
        <w:jc w:val="left"/>
        <w:rPr>
          <w:shd w:val="clear" w:color="auto" w:fill="FFFFFF"/>
        </w:rPr>
      </w:pPr>
      <w:r>
        <w:rPr>
          <w:rFonts w:ascii="黑体" w:hAnsi="黑体" w:eastAsia="黑体" w:cs="黑体"/>
        </w:rPr>
        <w:t>5.12.6</w:t>
      </w:r>
      <w:r>
        <w:rPr>
          <w:rFonts w:hint="eastAsia"/>
        </w:rPr>
        <w:t xml:space="preserve">  </w:t>
      </w:r>
      <w:r>
        <w:rPr>
          <w:shd w:val="clear" w:color="auto" w:fill="FFFFFF"/>
        </w:rPr>
        <w:t>服务要求</w:t>
      </w:r>
      <w:r>
        <w:rPr>
          <w:rFonts w:hint="eastAsia"/>
          <w:shd w:val="clear" w:color="auto" w:fill="FFFFFF"/>
        </w:rPr>
        <w:t>：药学</w:t>
      </w:r>
      <w:r>
        <w:rPr>
          <w:shd w:val="clear" w:color="auto" w:fill="FFFFFF"/>
        </w:rPr>
        <w:t>服务人员应保持热情、耐心的态度，认真倾听患者的问题，用通俗易懂的语言进行解答，避免使用专业术语让患者产生困惑。可采用面对面解答的方式，在药店设置专门的医保政策解答服务台，由</w:t>
      </w:r>
      <w:r>
        <w:rPr>
          <w:rFonts w:hint="eastAsia"/>
          <w:shd w:val="clear" w:color="auto" w:fill="FFFFFF"/>
        </w:rPr>
        <w:t>药学</w:t>
      </w:r>
      <w:r>
        <w:rPr>
          <w:shd w:val="clear" w:color="auto" w:fill="FFFFFF"/>
        </w:rPr>
        <w:t xml:space="preserve">服务人员为患者现场解答。也可通过电话、线上客服等方式，为患者提供远程医保政策解答服务。在解答过程中，涉及患者的个人医保信息等隐私内容，应注意谨慎对待，切实保护患者隐私。 </w:t>
      </w:r>
    </w:p>
    <w:p w14:paraId="4684589A">
      <w:pPr>
        <w:pStyle w:val="164"/>
        <w:numPr>
          <w:ilvl w:val="2"/>
          <w:numId w:val="0"/>
        </w:numPr>
        <w:jc w:val="left"/>
        <w:rPr>
          <w:shd w:val="clear" w:color="auto" w:fill="FFFFFF"/>
        </w:rPr>
      </w:pPr>
    </w:p>
    <w:p w14:paraId="2ED6AEE9">
      <w:pPr>
        <w:pStyle w:val="107"/>
        <w:bidi w:val="0"/>
      </w:pPr>
      <w:r>
        <w:rPr>
          <w:rFonts w:hint="eastAsia"/>
        </w:rPr>
        <w:t>急救服务</w:t>
      </w:r>
    </w:p>
    <w:p w14:paraId="6416AA96">
      <w:pPr>
        <w:pStyle w:val="58"/>
        <w:bidi w:val="0"/>
      </w:pPr>
      <w:r>
        <w:rPr>
          <w:rFonts w:hint="eastAsia"/>
        </w:rPr>
        <w:t>若遇顾客因急症突发晕倒，应立即实施相应救助措施，操作细则详见附录 B。</w:t>
      </w:r>
    </w:p>
    <w:p w14:paraId="7BB485E0">
      <w:pPr>
        <w:pStyle w:val="107"/>
        <w:bidi w:val="0"/>
      </w:pPr>
      <w:r>
        <w:rPr>
          <w:rFonts w:hint="eastAsia"/>
        </w:rPr>
        <w:t>寻药服务</w:t>
      </w:r>
    </w:p>
    <w:p w14:paraId="28F78A77">
      <w:pPr>
        <w:pStyle w:val="164"/>
        <w:numPr>
          <w:ilvl w:val="2"/>
          <w:numId w:val="0"/>
        </w:numPr>
        <w:jc w:val="left"/>
      </w:pPr>
      <w:r>
        <w:rPr>
          <w:rFonts w:ascii="黑体" w:hAnsi="黑体" w:eastAsia="黑体" w:cs="黑体"/>
        </w:rPr>
        <w:t xml:space="preserve">5.12.1 </w:t>
      </w:r>
      <w:r>
        <w:rPr>
          <w:rFonts w:hint="eastAsia"/>
        </w:rPr>
        <w:t xml:space="preserve"> </w:t>
      </w:r>
      <w:r>
        <w:rPr>
          <w:rFonts w:hint="eastAsia"/>
          <w:shd w:val="clear" w:color="auto" w:fill="FFFFFF"/>
        </w:rPr>
        <w:t>给予顾客希望与明确预期</w:t>
      </w:r>
      <w:r>
        <w:rPr>
          <w:rFonts w:hint="eastAsia"/>
        </w:rPr>
        <w:t>：在登记寻药信息后，应告知顾客大致的反馈时间（如“我们会在1-3个工作日内给您答复”）。</w:t>
      </w:r>
    </w:p>
    <w:p w14:paraId="1AB925DE">
      <w:pPr>
        <w:pStyle w:val="164"/>
        <w:numPr>
          <w:ilvl w:val="2"/>
          <w:numId w:val="0"/>
        </w:numPr>
        <w:jc w:val="left"/>
      </w:pPr>
      <w:r>
        <w:rPr>
          <w:rFonts w:ascii="黑体" w:hAnsi="黑体" w:eastAsia="黑体" w:cs="黑体"/>
        </w:rPr>
        <w:t xml:space="preserve">5.12.2 </w:t>
      </w:r>
      <w:r>
        <w:rPr>
          <w:rFonts w:hint="eastAsia"/>
        </w:rPr>
        <w:t xml:space="preserve"> 无论寻药成功与否，都必须主动联系顾客告知结果。若未找到，应表示歉意并尝试提供可能的替代方案或寻找渠道建议。</w:t>
      </w:r>
    </w:p>
    <w:p w14:paraId="778D2F66">
      <w:pPr>
        <w:pStyle w:val="107"/>
        <w:bidi w:val="0"/>
      </w:pPr>
      <w:r>
        <w:rPr>
          <w:rFonts w:hint="eastAsia"/>
        </w:rPr>
        <w:t>便民服务</w:t>
      </w:r>
    </w:p>
    <w:p w14:paraId="770137EA">
      <w:pPr>
        <w:pStyle w:val="167"/>
      </w:pPr>
      <w:r>
        <w:t>根据顾客需求提供便民服务项目，包含但不限于</w:t>
      </w:r>
      <w:r>
        <w:rPr>
          <w:rFonts w:hint="eastAsia"/>
        </w:rPr>
        <w:t>：血压监测</w:t>
      </w:r>
      <w:r>
        <w:t>、电话购药、代客寄</w:t>
      </w:r>
      <w:r>
        <w:rPr>
          <w:rFonts w:hint="eastAsia"/>
        </w:rPr>
        <w:t>存、家庭药箱管理、过期药品回收处理</w:t>
      </w:r>
      <w:r>
        <w:t>等</w:t>
      </w:r>
      <w:r>
        <w:rPr>
          <w:rFonts w:hint="eastAsia"/>
        </w:rPr>
        <w:t>。</w:t>
      </w:r>
    </w:p>
    <w:p w14:paraId="35B21D8D">
      <w:pPr>
        <w:pStyle w:val="167"/>
      </w:pPr>
      <w:r>
        <w:t>利用自动售药机满足</w:t>
      </w:r>
      <w:r>
        <w:rPr>
          <w:rFonts w:hint="eastAsia"/>
        </w:rPr>
        <w:t>顾客</w:t>
      </w:r>
      <w:r>
        <w:t>购药需求</w:t>
      </w:r>
      <w:r>
        <w:rPr>
          <w:rFonts w:hint="eastAsia"/>
        </w:rPr>
        <w:t>，</w:t>
      </w:r>
      <w:r>
        <w:t>自动售药机销售药品及管理要求应符合相关规定。</w:t>
      </w:r>
    </w:p>
    <w:p w14:paraId="17BC87C0">
      <w:pPr>
        <w:pStyle w:val="106"/>
        <w:spacing w:before="240" w:after="240"/>
        <w:rPr>
          <w:rFonts w:ascii="宋体" w:eastAsia="宋体"/>
        </w:rPr>
      </w:pPr>
      <w:bookmarkStart w:id="94" w:name="_Toc196236629"/>
      <w:bookmarkStart w:id="95" w:name="_Toc11970"/>
      <w:r>
        <w:rPr>
          <w:rFonts w:hint="eastAsia"/>
        </w:rPr>
        <w:t>服务评价与改进</w:t>
      </w:r>
      <w:bookmarkEnd w:id="94"/>
      <w:bookmarkEnd w:id="95"/>
    </w:p>
    <w:p w14:paraId="220FC3F8">
      <w:pPr>
        <w:pStyle w:val="164"/>
      </w:pPr>
      <w:r>
        <w:rPr>
          <w:rFonts w:hint="eastAsia"/>
        </w:rPr>
        <w:t>零售药店定期整理顾客意见簿，做好定向跟踪、柜台沟通、回访顾客工作，根据收集到的意见改进服务。</w:t>
      </w:r>
    </w:p>
    <w:p w14:paraId="79F27AC3">
      <w:pPr>
        <w:pStyle w:val="164"/>
      </w:pPr>
      <w:r>
        <w:rPr>
          <w:rFonts w:hint="eastAsia"/>
        </w:rPr>
        <w:t>零售药店宜定期开展定向跟踪企业自查、行业监督、社会第三方调查的社会监督和评价机制。</w:t>
      </w:r>
    </w:p>
    <w:p w14:paraId="19C6BE9D">
      <w:pPr>
        <w:pStyle w:val="164"/>
      </w:pPr>
      <w:r>
        <w:rPr>
          <w:rFonts w:hint="eastAsia"/>
        </w:rPr>
        <w:t>零售药店根据服务评价情况采取有效措施改进服务，药店设立公示投诉渠道（如电话、意见箱），当顾客现场提出服务投诉时，应立即进行现场情况了解，提出解决办法，及时纠正。建立投诉记录台账，记录投诉内容、处理结果及顾客满意度回访零售药店服务满意度评分表见表A.</w:t>
      </w:r>
      <w:bookmarkEnd w:id="24"/>
      <w:bookmarkStart w:id="96" w:name="BookMark5"/>
      <w:r>
        <w:rPr>
          <w:rFonts w:hint="eastAsia"/>
        </w:rPr>
        <w:t>1。</w:t>
      </w:r>
    </w:p>
    <w:p w14:paraId="2E513235">
      <w:pPr>
        <w:pStyle w:val="164"/>
        <w:numPr>
          <w:ilvl w:val="2"/>
          <w:numId w:val="0"/>
        </w:numPr>
        <w:jc w:val="left"/>
        <w:rPr>
          <w:highlight w:val="yellow"/>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65514A31">
      <w:pPr>
        <w:pStyle w:val="200"/>
        <w:rPr>
          <w:vanish w:val="0"/>
        </w:rPr>
      </w:pPr>
    </w:p>
    <w:p w14:paraId="0DDAAB3C">
      <w:pPr>
        <w:pStyle w:val="201"/>
        <w:rPr>
          <w:vanish w:val="0"/>
        </w:rPr>
      </w:pPr>
    </w:p>
    <w:p w14:paraId="5C975E58">
      <w:pPr>
        <w:pStyle w:val="78"/>
        <w:spacing w:after="120"/>
      </w:pPr>
      <w:bookmarkStart w:id="97" w:name="_Toc20930"/>
      <w:r>
        <w:br w:type="textWrapping"/>
      </w:r>
      <w:r>
        <w:rPr>
          <w:rFonts w:hint="eastAsia"/>
        </w:rPr>
        <w:t>（资料性）</w:t>
      </w:r>
      <w:r>
        <w:br w:type="textWrapping"/>
      </w:r>
      <w:r>
        <w:rPr>
          <w:rFonts w:hint="eastAsia"/>
        </w:rPr>
        <w:t>零售药店服务满意度评分表</w:t>
      </w:r>
      <w:bookmarkEnd w:id="97"/>
    </w:p>
    <w:p w14:paraId="2BBB7FC6">
      <w:pPr>
        <w:pStyle w:val="58"/>
        <w:ind w:firstLine="420"/>
      </w:pPr>
      <w:r>
        <w:rPr>
          <w:rFonts w:hint="eastAsia"/>
        </w:rPr>
        <w:t>零售药店服务满意度评分表见表A.1。</w:t>
      </w:r>
    </w:p>
    <w:p w14:paraId="67812174">
      <w:pPr>
        <w:pStyle w:val="79"/>
        <w:spacing w:before="120" w:after="120"/>
      </w:pPr>
      <w:r>
        <w:rPr>
          <w:rFonts w:hint="eastAsia"/>
        </w:rPr>
        <w:t>零售药店服务满意度评分表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52"/>
        <w:gridCol w:w="2777"/>
        <w:gridCol w:w="2777"/>
      </w:tblGrid>
      <w:tr w14:paraId="45E7F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top w:val="single" w:color="auto" w:sz="8" w:space="0"/>
              <w:bottom w:val="single" w:color="auto" w:sz="8" w:space="0"/>
            </w:tcBorders>
            <w:tcMar>
              <w:top w:w="60" w:type="dxa"/>
              <w:left w:w="120" w:type="dxa"/>
              <w:bottom w:w="30" w:type="dxa"/>
              <w:right w:w="120" w:type="dxa"/>
            </w:tcMar>
            <w:vAlign w:val="center"/>
          </w:tcPr>
          <w:p w14:paraId="6C9F27F1">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服务项目</w:t>
            </w:r>
          </w:p>
        </w:tc>
        <w:tc>
          <w:tcPr>
            <w:tcW w:w="2777" w:type="dxa"/>
            <w:tcBorders>
              <w:top w:val="single" w:color="auto" w:sz="8" w:space="0"/>
              <w:bottom w:val="single" w:color="auto" w:sz="8" w:space="0"/>
            </w:tcBorders>
            <w:tcMar>
              <w:top w:w="60" w:type="dxa"/>
              <w:left w:w="120" w:type="dxa"/>
              <w:bottom w:w="30" w:type="dxa"/>
              <w:right w:w="120" w:type="dxa"/>
            </w:tcMar>
            <w:vAlign w:val="center"/>
          </w:tcPr>
          <w:p w14:paraId="7C6F0C6B">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评分标准</w:t>
            </w:r>
          </w:p>
        </w:tc>
        <w:tc>
          <w:tcPr>
            <w:tcW w:w="2777" w:type="dxa"/>
            <w:tcBorders>
              <w:top w:val="single" w:color="auto" w:sz="8" w:space="0"/>
              <w:bottom w:val="single" w:color="auto" w:sz="8" w:space="0"/>
            </w:tcBorders>
            <w:tcMar>
              <w:top w:w="60" w:type="dxa"/>
              <w:left w:w="120" w:type="dxa"/>
              <w:bottom w:w="30" w:type="dxa"/>
              <w:right w:w="120" w:type="dxa"/>
            </w:tcMar>
            <w:vAlign w:val="center"/>
          </w:tcPr>
          <w:p w14:paraId="541CDC9E">
            <w:pPr>
              <w:pStyle w:val="233"/>
              <w:spacing w:before="0" w:after="0" w:line="240" w:lineRule="auto"/>
              <w:jc w:val="center"/>
              <w:rPr>
                <w:rFonts w:ascii="宋体" w:hAnsi="宋体" w:eastAsia="宋体" w:cs="宋体"/>
                <w:sz w:val="18"/>
                <w:szCs w:val="18"/>
              </w:rPr>
            </w:pPr>
            <w:r>
              <w:rPr>
                <w:rFonts w:hint="eastAsia" w:ascii="宋体" w:hAnsi="宋体" w:eastAsia="宋体" w:cs="宋体"/>
                <w:sz w:val="18"/>
                <w:szCs w:val="18"/>
              </w:rPr>
              <w:t>分值（满分100分）</w:t>
            </w:r>
          </w:p>
        </w:tc>
      </w:tr>
      <w:tr w14:paraId="443DCB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top w:val="single" w:color="auto" w:sz="8" w:space="0"/>
            </w:tcBorders>
            <w:tcMar>
              <w:top w:w="60" w:type="dxa"/>
              <w:left w:w="120" w:type="dxa"/>
              <w:bottom w:w="30" w:type="dxa"/>
              <w:right w:w="120" w:type="dxa"/>
            </w:tcMar>
            <w:vAlign w:val="center"/>
          </w:tcPr>
          <w:p w14:paraId="1150314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药学服务场所（20分）</w:t>
            </w:r>
          </w:p>
        </w:tc>
        <w:tc>
          <w:tcPr>
            <w:tcW w:w="2777" w:type="dxa"/>
            <w:tcBorders>
              <w:top w:val="single" w:color="auto" w:sz="8" w:space="0"/>
            </w:tcBorders>
            <w:tcMar>
              <w:top w:w="60" w:type="dxa"/>
              <w:left w:w="120" w:type="dxa"/>
              <w:bottom w:w="30" w:type="dxa"/>
              <w:right w:w="120" w:type="dxa"/>
            </w:tcMar>
            <w:vAlign w:val="center"/>
          </w:tcPr>
          <w:p w14:paraId="3AC58860">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药学服务场所、区域干净整洁，面积、空间及设施相对独立，环境舒适</w:t>
            </w:r>
          </w:p>
        </w:tc>
        <w:tc>
          <w:tcPr>
            <w:tcW w:w="2777" w:type="dxa"/>
            <w:tcBorders>
              <w:top w:val="single" w:color="auto" w:sz="8" w:space="0"/>
            </w:tcBorders>
            <w:tcMar>
              <w:top w:w="60" w:type="dxa"/>
              <w:left w:w="120" w:type="dxa"/>
              <w:bottom w:w="30" w:type="dxa"/>
              <w:right w:w="120" w:type="dxa"/>
            </w:tcMar>
            <w:vAlign w:val="center"/>
          </w:tcPr>
          <w:p w14:paraId="65C17156">
            <w:pPr>
              <w:pStyle w:val="233"/>
              <w:spacing w:before="0" w:after="0" w:line="240" w:lineRule="auto"/>
              <w:ind w:firstLine="180" w:firstLineChars="100"/>
              <w:jc w:val="both"/>
              <w:rPr>
                <w:rFonts w:ascii="宋体" w:hAnsi="宋体" w:eastAsia="宋体" w:cs="宋体"/>
                <w:sz w:val="18"/>
                <w:szCs w:val="18"/>
              </w:rPr>
            </w:pPr>
          </w:p>
        </w:tc>
      </w:tr>
      <w:tr w14:paraId="4FF28F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24ED175E">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Times New Roman"/>
                <w:sz w:val="18"/>
                <w:szCs w:val="18"/>
              </w:rPr>
              <w:t>顾客</w:t>
            </w:r>
            <w:r>
              <w:rPr>
                <w:rFonts w:hint="eastAsia" w:ascii="宋体" w:hAnsi="宋体" w:eastAsia="宋体" w:cs="宋体"/>
                <w:sz w:val="18"/>
                <w:szCs w:val="18"/>
              </w:rPr>
              <w:t>接待（15分）</w:t>
            </w:r>
          </w:p>
        </w:tc>
        <w:tc>
          <w:tcPr>
            <w:tcW w:w="2777" w:type="dxa"/>
            <w:tcMar>
              <w:top w:w="60" w:type="dxa"/>
              <w:left w:w="120" w:type="dxa"/>
              <w:bottom w:w="30" w:type="dxa"/>
              <w:right w:w="120" w:type="dxa"/>
            </w:tcMar>
            <w:vAlign w:val="center"/>
          </w:tcPr>
          <w:p w14:paraId="1D1B3777">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主动问候，耐心倾听需求，服务态度热情友好</w:t>
            </w:r>
          </w:p>
        </w:tc>
        <w:tc>
          <w:tcPr>
            <w:tcW w:w="2777" w:type="dxa"/>
            <w:tcMar>
              <w:top w:w="60" w:type="dxa"/>
              <w:left w:w="120" w:type="dxa"/>
              <w:bottom w:w="30" w:type="dxa"/>
              <w:right w:w="120" w:type="dxa"/>
            </w:tcMar>
            <w:vAlign w:val="center"/>
          </w:tcPr>
          <w:p w14:paraId="72C17A9F">
            <w:pPr>
              <w:pStyle w:val="233"/>
              <w:spacing w:before="0" w:after="0" w:line="240" w:lineRule="auto"/>
              <w:ind w:firstLine="180" w:firstLineChars="100"/>
              <w:jc w:val="both"/>
              <w:rPr>
                <w:rFonts w:ascii="宋体" w:hAnsi="宋体" w:eastAsia="宋体" w:cs="宋体"/>
                <w:sz w:val="18"/>
                <w:szCs w:val="18"/>
              </w:rPr>
            </w:pPr>
          </w:p>
        </w:tc>
      </w:tr>
      <w:tr w14:paraId="519CA2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538BCA8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药品审核、调配（20分）</w:t>
            </w:r>
          </w:p>
        </w:tc>
        <w:tc>
          <w:tcPr>
            <w:tcW w:w="2777" w:type="dxa"/>
            <w:tcMar>
              <w:top w:w="60" w:type="dxa"/>
              <w:left w:w="120" w:type="dxa"/>
              <w:bottom w:w="30" w:type="dxa"/>
              <w:right w:w="120" w:type="dxa"/>
            </w:tcMar>
            <w:vAlign w:val="center"/>
          </w:tcPr>
          <w:p w14:paraId="1C43D501">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处方审核、药品调配准确、高效</w:t>
            </w:r>
          </w:p>
        </w:tc>
        <w:tc>
          <w:tcPr>
            <w:tcW w:w="2777" w:type="dxa"/>
            <w:tcMar>
              <w:top w:w="60" w:type="dxa"/>
              <w:left w:w="120" w:type="dxa"/>
              <w:bottom w:w="30" w:type="dxa"/>
              <w:right w:w="120" w:type="dxa"/>
            </w:tcMar>
            <w:vAlign w:val="center"/>
          </w:tcPr>
          <w:p w14:paraId="3CB166A1">
            <w:pPr>
              <w:pStyle w:val="233"/>
              <w:spacing w:before="0" w:after="0" w:line="240" w:lineRule="auto"/>
              <w:ind w:firstLine="180" w:firstLineChars="100"/>
              <w:jc w:val="both"/>
              <w:rPr>
                <w:rFonts w:ascii="宋体" w:hAnsi="宋体" w:eastAsia="宋体" w:cs="宋体"/>
                <w:sz w:val="18"/>
                <w:szCs w:val="18"/>
              </w:rPr>
            </w:pPr>
          </w:p>
        </w:tc>
      </w:tr>
      <w:tr w14:paraId="1A5BE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7E45D68D">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健康教育（15分）</w:t>
            </w:r>
          </w:p>
        </w:tc>
        <w:tc>
          <w:tcPr>
            <w:tcW w:w="2777" w:type="dxa"/>
            <w:tcMar>
              <w:top w:w="60" w:type="dxa"/>
              <w:left w:w="120" w:type="dxa"/>
              <w:bottom w:w="30" w:type="dxa"/>
              <w:right w:w="120" w:type="dxa"/>
            </w:tcMar>
            <w:vAlign w:val="center"/>
          </w:tcPr>
          <w:p w14:paraId="6EFF90F8">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给予合理、系统的用药宣教、实现自主健康管理能力提升与生活质量改善</w:t>
            </w:r>
          </w:p>
        </w:tc>
        <w:tc>
          <w:tcPr>
            <w:tcW w:w="2777" w:type="dxa"/>
            <w:tcMar>
              <w:top w:w="60" w:type="dxa"/>
              <w:left w:w="120" w:type="dxa"/>
              <w:bottom w:w="30" w:type="dxa"/>
              <w:right w:w="120" w:type="dxa"/>
            </w:tcMar>
            <w:vAlign w:val="center"/>
          </w:tcPr>
          <w:p w14:paraId="7E9A8326">
            <w:pPr>
              <w:pStyle w:val="233"/>
              <w:spacing w:before="0" w:after="0" w:line="240" w:lineRule="auto"/>
              <w:ind w:firstLine="180" w:firstLineChars="100"/>
              <w:jc w:val="both"/>
              <w:rPr>
                <w:rFonts w:ascii="宋体" w:hAnsi="宋体" w:eastAsia="宋体" w:cs="宋体"/>
                <w:sz w:val="18"/>
                <w:szCs w:val="18"/>
              </w:rPr>
            </w:pPr>
          </w:p>
        </w:tc>
      </w:tr>
      <w:tr w14:paraId="1BC9E6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Mar>
              <w:top w:w="60" w:type="dxa"/>
              <w:left w:w="120" w:type="dxa"/>
              <w:bottom w:w="30" w:type="dxa"/>
              <w:right w:w="120" w:type="dxa"/>
            </w:tcMar>
            <w:vAlign w:val="center"/>
          </w:tcPr>
          <w:p w14:paraId="3234C922">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慢性病管理（15分）</w:t>
            </w:r>
          </w:p>
        </w:tc>
        <w:tc>
          <w:tcPr>
            <w:tcW w:w="2777" w:type="dxa"/>
            <w:tcMar>
              <w:top w:w="60" w:type="dxa"/>
              <w:left w:w="120" w:type="dxa"/>
              <w:bottom w:w="30" w:type="dxa"/>
              <w:right w:w="120" w:type="dxa"/>
            </w:tcMar>
            <w:vAlign w:val="center"/>
          </w:tcPr>
          <w:p w14:paraId="12866B43">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以慢病顾客档案建立、规范回访、针对性干预及并发症关注为核心，评价服务规范与有效性</w:t>
            </w:r>
          </w:p>
        </w:tc>
        <w:tc>
          <w:tcPr>
            <w:tcW w:w="2777" w:type="dxa"/>
            <w:tcMar>
              <w:top w:w="60" w:type="dxa"/>
              <w:left w:w="120" w:type="dxa"/>
              <w:bottom w:w="30" w:type="dxa"/>
              <w:right w:w="120" w:type="dxa"/>
            </w:tcMar>
            <w:vAlign w:val="center"/>
          </w:tcPr>
          <w:p w14:paraId="6D656B0D">
            <w:pPr>
              <w:pStyle w:val="233"/>
              <w:spacing w:before="0" w:after="0" w:line="240" w:lineRule="auto"/>
              <w:ind w:firstLine="180" w:firstLineChars="100"/>
              <w:jc w:val="both"/>
              <w:rPr>
                <w:rFonts w:ascii="宋体" w:hAnsi="宋体" w:eastAsia="宋体" w:cs="宋体"/>
                <w:sz w:val="18"/>
                <w:szCs w:val="18"/>
              </w:rPr>
            </w:pPr>
          </w:p>
        </w:tc>
      </w:tr>
      <w:tr w14:paraId="363F00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 w:hRule="atLeast"/>
          <w:jc w:val="center"/>
        </w:trPr>
        <w:tc>
          <w:tcPr>
            <w:tcW w:w="2752" w:type="dxa"/>
            <w:tcBorders>
              <w:bottom w:val="single" w:color="auto" w:sz="8" w:space="0"/>
            </w:tcBorders>
            <w:tcMar>
              <w:top w:w="60" w:type="dxa"/>
              <w:left w:w="120" w:type="dxa"/>
              <w:bottom w:w="30" w:type="dxa"/>
              <w:right w:w="120" w:type="dxa"/>
            </w:tcMar>
            <w:vAlign w:val="center"/>
          </w:tcPr>
          <w:p w14:paraId="676AEFF1">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便民服务（15）</w:t>
            </w:r>
          </w:p>
        </w:tc>
        <w:tc>
          <w:tcPr>
            <w:tcW w:w="2777" w:type="dxa"/>
            <w:tcBorders>
              <w:bottom w:val="single" w:color="auto" w:sz="8" w:space="0"/>
            </w:tcBorders>
            <w:tcMar>
              <w:top w:w="60" w:type="dxa"/>
              <w:left w:w="120" w:type="dxa"/>
              <w:bottom w:w="30" w:type="dxa"/>
              <w:right w:w="120" w:type="dxa"/>
            </w:tcMar>
            <w:vAlign w:val="center"/>
          </w:tcPr>
          <w:p w14:paraId="40D6E1A8">
            <w:pPr>
              <w:pStyle w:val="233"/>
              <w:spacing w:before="0" w:after="0" w:line="240" w:lineRule="auto"/>
              <w:ind w:firstLine="180" w:firstLineChars="100"/>
              <w:rPr>
                <w:rFonts w:ascii="宋体" w:hAnsi="宋体" w:eastAsia="宋体" w:cs="宋体"/>
                <w:sz w:val="18"/>
                <w:szCs w:val="18"/>
              </w:rPr>
            </w:pPr>
            <w:r>
              <w:rPr>
                <w:rFonts w:hint="eastAsia" w:ascii="宋体" w:hAnsi="宋体" w:eastAsia="宋体" w:cs="宋体"/>
                <w:sz w:val="18"/>
                <w:szCs w:val="18"/>
              </w:rPr>
              <w:t>落实便民服务项目，血压监测、</w:t>
            </w:r>
            <w:r>
              <w:rPr>
                <w:rFonts w:ascii="宋体" w:hAnsi="宋体" w:eastAsia="宋体" w:cs="宋体"/>
                <w:sz w:val="18"/>
                <w:szCs w:val="18"/>
              </w:rPr>
              <w:t>缺货登记、商品预购</w:t>
            </w:r>
            <w:r>
              <w:rPr>
                <w:rFonts w:hint="eastAsia" w:ascii="宋体" w:hAnsi="宋体" w:eastAsia="宋体" w:cs="宋体"/>
                <w:sz w:val="18"/>
                <w:szCs w:val="18"/>
              </w:rPr>
              <w:t>等综合评估服务质量</w:t>
            </w:r>
          </w:p>
        </w:tc>
        <w:tc>
          <w:tcPr>
            <w:tcW w:w="2777" w:type="dxa"/>
            <w:tcBorders>
              <w:bottom w:val="single" w:color="auto" w:sz="8" w:space="0"/>
            </w:tcBorders>
            <w:tcMar>
              <w:top w:w="60" w:type="dxa"/>
              <w:left w:w="120" w:type="dxa"/>
              <w:bottom w:w="30" w:type="dxa"/>
              <w:right w:w="120" w:type="dxa"/>
            </w:tcMar>
            <w:vAlign w:val="center"/>
          </w:tcPr>
          <w:p w14:paraId="1172DA7E">
            <w:pPr>
              <w:pStyle w:val="233"/>
              <w:spacing w:before="0" w:after="0" w:line="240" w:lineRule="auto"/>
              <w:ind w:firstLine="180" w:firstLineChars="100"/>
              <w:jc w:val="both"/>
              <w:rPr>
                <w:rFonts w:ascii="宋体" w:hAnsi="宋体" w:eastAsia="宋体" w:cs="宋体"/>
                <w:sz w:val="18"/>
                <w:szCs w:val="18"/>
              </w:rPr>
            </w:pPr>
          </w:p>
        </w:tc>
      </w:tr>
    </w:tbl>
    <w:p w14:paraId="4D09B4A3">
      <w:pPr>
        <w:pStyle w:val="58"/>
        <w:ind w:firstLine="420"/>
      </w:pPr>
    </w:p>
    <w:p w14:paraId="74056C07">
      <w:pPr>
        <w:pStyle w:val="58"/>
        <w:ind w:firstLine="420"/>
      </w:pPr>
    </w:p>
    <w:p w14:paraId="156A1B08">
      <w:pPr>
        <w:widowControl/>
        <w:adjustRightInd/>
        <w:spacing w:line="240" w:lineRule="auto"/>
        <w:jc w:val="center"/>
      </w:pPr>
      <w:r>
        <w:br w:type="page"/>
      </w:r>
    </w:p>
    <w:p w14:paraId="16B8A703">
      <w:pPr>
        <w:widowControl/>
        <w:adjustRightInd/>
        <w:spacing w:line="240" w:lineRule="auto"/>
        <w:jc w:val="left"/>
        <w:rPr>
          <w:rFonts w:ascii="宋体" w:hAnsi="Times New Roman"/>
          <w:kern w:val="0"/>
          <w:szCs w:val="20"/>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28B10343">
      <w:pPr>
        <w:pStyle w:val="200"/>
      </w:pPr>
    </w:p>
    <w:p w14:paraId="0D1F2F0A">
      <w:pPr>
        <w:pStyle w:val="201"/>
      </w:pPr>
    </w:p>
    <w:p w14:paraId="02AC89FC">
      <w:pPr>
        <w:pStyle w:val="78"/>
        <w:spacing w:after="120"/>
        <w:rPr>
          <w:rFonts w:hint="eastAsia"/>
        </w:rPr>
      </w:pPr>
      <w:r>
        <w:br w:type="textWrapping"/>
      </w:r>
      <w:r>
        <w:rPr>
          <w:rFonts w:hint="eastAsia"/>
        </w:rPr>
        <w:t>（资料性）</w:t>
      </w:r>
      <w:r>
        <w:br w:type="textWrapping"/>
      </w:r>
      <w:r>
        <w:rPr>
          <w:rFonts w:hint="eastAsia"/>
        </w:rPr>
        <w:t>现场急救管理与心肺复苏（CPR）及AED应急响应流程</w:t>
      </w:r>
    </w:p>
    <w:p w14:paraId="7EBBF1EE">
      <w:pPr>
        <w:pStyle w:val="80"/>
        <w:spacing w:before="120" w:after="120"/>
        <w:rPr>
          <w:rFonts w:hint="eastAsia"/>
        </w:rPr>
      </w:pPr>
      <w:r>
        <w:rPr>
          <w:rFonts w:hint="eastAsia"/>
        </w:rPr>
        <w:t>基本原则</w:t>
      </w:r>
    </w:p>
    <w:p w14:paraId="18E0581E">
      <w:pPr>
        <w:pStyle w:val="58"/>
        <w:ind w:firstLine="420"/>
        <w:rPr>
          <w:rFonts w:hint="eastAsia"/>
        </w:rPr>
      </w:pPr>
      <w:r>
        <w:rPr>
          <w:rFonts w:hint="eastAsia"/>
        </w:rPr>
        <w:t>在实施 CPR及AED 前，需快速判断患者状态，避免误操作，遵循“生命第一、反应迅速、科学施救、团队协作”的原则。在专业急救人员到达前，利用现场条件实施必要的紧急救助。</w:t>
      </w:r>
    </w:p>
    <w:p w14:paraId="199451B9">
      <w:pPr>
        <w:pStyle w:val="80"/>
        <w:spacing w:before="120" w:after="120"/>
        <w:rPr>
          <w:rFonts w:hint="eastAsia"/>
        </w:rPr>
      </w:pPr>
      <w:r>
        <w:rPr>
          <w:rFonts w:hint="eastAsia"/>
        </w:rPr>
        <w:t>倒地/意识丧失</w:t>
      </w:r>
    </w:p>
    <w:p w14:paraId="3FC50A58">
      <w:pPr>
        <w:pStyle w:val="58"/>
        <w:ind w:firstLine="420"/>
        <w:rPr>
          <w:rFonts w:hint="eastAsia"/>
        </w:rPr>
      </w:pPr>
      <w:r>
        <w:rPr>
          <w:rFonts w:hint="eastAsia"/>
        </w:rPr>
        <w:t>当发现有人突然倒地、意识丧失时，应立即启动以下“四步法”应急响应流程：</w:t>
      </w:r>
    </w:p>
    <w:p w14:paraId="0E52C100">
      <w:pPr>
        <w:pStyle w:val="176"/>
        <w:numPr>
          <w:ilvl w:val="0"/>
          <w:numId w:val="33"/>
        </w:numPr>
        <w:rPr>
          <w:rFonts w:hint="eastAsia"/>
        </w:rPr>
      </w:pPr>
      <w:r>
        <w:rPr>
          <w:rFonts w:hint="eastAsia"/>
        </w:rPr>
        <w:t>评估环境与判断意识、呼吸、脉搏</w:t>
      </w:r>
    </w:p>
    <w:p w14:paraId="4D7DA703">
      <w:pPr>
        <w:pStyle w:val="58"/>
        <w:ind w:firstLine="420"/>
        <w:rPr>
          <w:rFonts w:hint="eastAsia"/>
        </w:rPr>
      </w:pPr>
      <w:r>
        <w:rPr>
          <w:rFonts w:hint="eastAsia"/>
        </w:rPr>
        <w:t>确保安全：施救者首先观察周围环境，确认现场对施救者和患者均是安全的。</w:t>
      </w:r>
    </w:p>
    <w:p w14:paraId="5F8184D9">
      <w:pPr>
        <w:pStyle w:val="111"/>
        <w:rPr>
          <w:rFonts w:hint="eastAsia"/>
        </w:rPr>
      </w:pPr>
      <w:r>
        <w:rPr>
          <w:rFonts w:hint="eastAsia"/>
        </w:rPr>
        <w:t>检查反应：轻拍患者双肩，在其双侧耳边大声呼唤“先生/女士，您怎么了？”。如无任何反应（如睁眼、说话、肢体活动），即可判定为意识丧失。</w:t>
      </w:r>
    </w:p>
    <w:p w14:paraId="11BDF3D3">
      <w:pPr>
        <w:pStyle w:val="111"/>
        <w:rPr>
          <w:rFonts w:hint="eastAsia"/>
        </w:rPr>
      </w:pPr>
      <w:r>
        <w:rPr>
          <w:rFonts w:hint="eastAsia"/>
        </w:rPr>
        <w:t>判断呼吸：将患者仰卧位放置在坚固的平面上，靠近患者口鼻，观察患者胸腹部，有无正常呼吸（判断时间5-10秒）；若胸部无起伏、无气流，或仅为濒死样喘息（即无效呼吸），即可认定为心脏骤停。</w:t>
      </w:r>
    </w:p>
    <w:p w14:paraId="66E2E1C8">
      <w:pPr>
        <w:pStyle w:val="111"/>
        <w:rPr>
          <w:rFonts w:hint="eastAsia"/>
        </w:rPr>
      </w:pPr>
      <w:r>
        <w:rPr>
          <w:rFonts w:hint="eastAsia"/>
        </w:rPr>
        <w:t>脉搏检查：成人/青少年触摸劲动脉（气管两侧约2指处），婴幼儿触摸肱动脉（上臂内侧），感受是否有搏动（不超过10 秒）；若无脉搏，即可确认心跳骤停，需立即启动 CPR。</w:t>
      </w:r>
    </w:p>
    <w:p w14:paraId="2ACD3C10">
      <w:pPr>
        <w:pStyle w:val="176"/>
        <w:rPr>
          <w:rFonts w:hint="eastAsia"/>
        </w:rPr>
      </w:pPr>
      <w:r>
        <w:rPr>
          <w:rFonts w:hint="eastAsia"/>
        </w:rPr>
        <w:t>立即呼救与启动应急系统</w:t>
      </w:r>
    </w:p>
    <w:p w14:paraId="31232933">
      <w:pPr>
        <w:pStyle w:val="111"/>
        <w:rPr>
          <w:rFonts w:hint="eastAsia"/>
        </w:rPr>
      </w:pPr>
      <w:r>
        <w:rPr>
          <w:rFonts w:hint="eastAsia"/>
        </w:rPr>
        <w:t>高声呼救：立即大声呼救，指定一名现场人员（最好是同事）拨打急救电话“120”，并清晰告知准确位置和情况。</w:t>
      </w:r>
    </w:p>
    <w:p w14:paraId="221BBD6D">
      <w:pPr>
        <w:pStyle w:val="111"/>
        <w:rPr>
          <w:rFonts w:hint="eastAsia"/>
        </w:rPr>
      </w:pPr>
      <w:r>
        <w:rPr>
          <w:rFonts w:hint="eastAsia"/>
        </w:rPr>
        <w:t>获取设备：指定另一名现场人员快速取来AED和急救包。</w:t>
      </w:r>
    </w:p>
    <w:p w14:paraId="59A167FA">
      <w:pPr>
        <w:pStyle w:val="111"/>
        <w:rPr>
          <w:rFonts w:hint="eastAsia"/>
        </w:rPr>
      </w:pPr>
      <w:r>
        <w:rPr>
          <w:rFonts w:hint="eastAsia"/>
        </w:rPr>
        <w:t>启动店内应急：如有其他工作人员，应立即通知店长或急救负责人，协助维持现场秩序，疏导围观顾客。</w:t>
      </w:r>
    </w:p>
    <w:p w14:paraId="20EFE58F">
      <w:pPr>
        <w:pStyle w:val="176"/>
        <w:rPr>
          <w:rFonts w:hint="eastAsia"/>
        </w:rPr>
      </w:pPr>
      <w:r>
        <w:rPr>
          <w:rFonts w:hint="eastAsia"/>
        </w:rPr>
        <w:t>开始心肺复苏</w:t>
      </w:r>
    </w:p>
    <w:p w14:paraId="5A205E84">
      <w:pPr>
        <w:pStyle w:val="176"/>
        <w:rPr>
          <w:rFonts w:hint="eastAsia"/>
        </w:rPr>
      </w:pPr>
      <w:r>
        <w:rPr>
          <w:rFonts w:hint="eastAsia"/>
        </w:rPr>
        <w:t>核心操作：胸外按压（C）→开放气道（A）→人工呼吸（B） （新生儿为A→B→C）</w:t>
      </w:r>
    </w:p>
    <w:p w14:paraId="0566E5D1">
      <w:pPr>
        <w:pStyle w:val="111"/>
        <w:rPr>
          <w:rFonts w:hint="eastAsia"/>
        </w:rPr>
      </w:pPr>
      <w:r>
        <w:rPr>
          <w:rFonts w:hint="eastAsia"/>
        </w:rPr>
        <w:t>体位准备：让患者仰卧在坚硬平坦的地面（硬地或硬板），施救者跪坐在患者右侧的胸部旁，或站在床旁。</w:t>
      </w:r>
    </w:p>
    <w:p w14:paraId="50C60868">
      <w:pPr>
        <w:pStyle w:val="111"/>
        <w:rPr>
          <w:rFonts w:hint="eastAsia"/>
        </w:rPr>
      </w:pPr>
      <w:r>
        <w:rPr>
          <w:rFonts w:hint="eastAsia"/>
        </w:rPr>
        <w:t>按压位置：双手掌心向下交叠（掌心不接触患者胸部），掌根放在患者胸部中央，胸骨下1/2中部（两乳头连线中点）。</w:t>
      </w:r>
    </w:p>
    <w:p w14:paraId="4E8CD14E">
      <w:pPr>
        <w:pStyle w:val="111"/>
        <w:rPr>
          <w:rFonts w:hint="eastAsia"/>
        </w:rPr>
      </w:pPr>
      <w:r>
        <w:rPr>
          <w:rFonts w:hint="eastAsia"/>
        </w:rPr>
        <w:t>手法：施救者一只手的掌跟放在患者胸骨中下部，另一只手的掌跟放在第一只手的上面，然后两手平行重叠，第一只手手指离开胸部；双肩垂直于按压的双手，双臂伸直，借上身的重力来协助按压。</w:t>
      </w:r>
    </w:p>
    <w:p w14:paraId="2C7475FB">
      <w:pPr>
        <w:pStyle w:val="111"/>
        <w:rPr>
          <w:rFonts w:hint="eastAsia"/>
        </w:rPr>
      </w:pPr>
      <w:r>
        <w:rPr>
          <w:rFonts w:hint="eastAsia"/>
        </w:rPr>
        <w:t>按压深度：成人按压深度为5cm或胸廓前后径的1/3，儿童和婴儿至少胸廓前后径的1/3。</w:t>
      </w:r>
    </w:p>
    <w:p w14:paraId="229B5559">
      <w:pPr>
        <w:pStyle w:val="111"/>
        <w:rPr>
          <w:rFonts w:hint="eastAsia"/>
        </w:rPr>
      </w:pPr>
      <w:r>
        <w:rPr>
          <w:rFonts w:hint="eastAsia"/>
        </w:rPr>
        <w:t>按压频率：按压频率至少为100次/分钟。</w:t>
      </w:r>
    </w:p>
    <w:p w14:paraId="6180A741">
      <w:pPr>
        <w:pStyle w:val="111"/>
        <w:rPr>
          <w:rFonts w:hint="eastAsia"/>
        </w:rPr>
      </w:pPr>
      <w:r>
        <w:rPr>
          <w:rFonts w:hint="eastAsia"/>
        </w:rPr>
        <w:t>按压要求：每次按压后让胸廓充分回弹，尽量减少按压中断，尽可能将每次中断控制在10秒以内。</w:t>
      </w:r>
    </w:p>
    <w:p w14:paraId="24B73E3D">
      <w:pPr>
        <w:pStyle w:val="111"/>
        <w:rPr>
          <w:rFonts w:hint="eastAsia"/>
        </w:rPr>
      </w:pPr>
      <w:r>
        <w:rPr>
          <w:rFonts w:hint="eastAsia"/>
        </w:rPr>
        <w:t>按压次数：每次连续按压30次，为1个“按压循环”，之后进行开放气道和人工呼吸。</w:t>
      </w:r>
    </w:p>
    <w:p w14:paraId="2CDB700D">
      <w:pPr>
        <w:pStyle w:val="111"/>
        <w:rPr>
          <w:rFonts w:hint="eastAsia"/>
        </w:rPr>
      </w:pPr>
      <w:r>
        <w:rPr>
          <w:rFonts w:hint="eastAsia"/>
        </w:rPr>
        <w:t>开放气道：清除异物，快速检查患者口腔，若有明显异物（如食物、假牙），用手指（戴手套或用纱布包裹）从口角一侧伸入，将异物勾出（避免盲目伸手导致异物推深）；仰头提颏法，施救者一手掌根放在患者前额，轻轻用力使头部后仰；另一手食指、中指放在患者下颌骨下方（颏部），向上抬起下颌，使患者下颌角与耳垂连线垂直于地面（此时气道呈直线，气流可顺畅通过）。</w:t>
      </w:r>
    </w:p>
    <w:p w14:paraId="197E21C9">
      <w:pPr>
        <w:pStyle w:val="111"/>
        <w:rPr>
          <w:rFonts w:hint="eastAsia"/>
        </w:rPr>
      </w:pPr>
      <w:r>
        <w:rPr>
          <w:rFonts w:hint="eastAsia"/>
        </w:rPr>
        <w:t>注意：若怀疑患者有颈椎损伤（如车祸、高处坠落），需改用 “双手提颏法”（不仰头，仅双手托起下颌），避免颈椎移位加重损伤。</w:t>
      </w:r>
    </w:p>
    <w:p w14:paraId="190C8EFB">
      <w:pPr>
        <w:pStyle w:val="111"/>
        <w:rPr>
          <w:rFonts w:hint="eastAsia"/>
        </w:rPr>
      </w:pPr>
      <w:r>
        <w:rPr>
          <w:rFonts w:hint="eastAsia"/>
        </w:rPr>
        <w:t>口对口人工呼吸：口对口人工呼吸时，应先保持气道通畅，捏住患者的鼻子，并口对口密闭，给予每次超过1秒的吹气，应避免通气过度。两次吹气间歇应注意放开患者的鼻子，并调整施救者自身的呼吸。引起通气困难最常见的原因是未能正确开放气道，如果第一次人工呼吸后患者的胸廓不能抬起，就要重新用仰头抬颏法使气道通畅，然后再给予第二次人工呼吸（通气的比率为30：2）。</w:t>
      </w:r>
    </w:p>
    <w:p w14:paraId="062FEB73">
      <w:pPr>
        <w:pStyle w:val="176"/>
        <w:rPr>
          <w:rFonts w:hint="eastAsia"/>
        </w:rPr>
      </w:pPr>
      <w:r>
        <w:rPr>
          <w:rFonts w:hint="eastAsia"/>
        </w:rPr>
        <w:t>使用AED与持续复苏</w:t>
      </w:r>
    </w:p>
    <w:p w14:paraId="002C2472">
      <w:pPr>
        <w:pStyle w:val="111"/>
        <w:rPr>
          <w:rFonts w:hint="eastAsia"/>
        </w:rPr>
      </w:pPr>
      <w:r>
        <w:rPr>
          <w:rFonts w:hint="eastAsia"/>
        </w:rPr>
        <w:t>开启AED：AED到达后，立即开启电源，按照语音提示操作。</w:t>
      </w:r>
    </w:p>
    <w:p w14:paraId="44E71D4E">
      <w:pPr>
        <w:pStyle w:val="111"/>
        <w:rPr>
          <w:rFonts w:hint="eastAsia"/>
        </w:rPr>
      </w:pPr>
      <w:r>
        <w:rPr>
          <w:rFonts w:hint="eastAsia"/>
        </w:rPr>
        <w:t>粘贴电极片：迅速将患者胸部衣物完全暴露，确保皮肤干燥清洁（如有汗水应快速擦干），将电极片牢固地贴在患者裸露的胸壁上（右电极片贴在患者右锁骨正下方，左电极片贴在患者左胸外侧，左乳头腋下线上）。</w:t>
      </w:r>
    </w:p>
    <w:p w14:paraId="7E77FC9C">
      <w:pPr>
        <w:pStyle w:val="111"/>
        <w:rPr>
          <w:rFonts w:hint="eastAsia"/>
        </w:rPr>
      </w:pPr>
      <w:r>
        <w:rPr>
          <w:rFonts w:hint="eastAsia"/>
        </w:rPr>
        <w:t>分析心律：确保无人接触患者，AED自动分析心律，如提示“建议电击”，再次确认所有人离开，按下电击按钮。</w:t>
      </w:r>
    </w:p>
    <w:p w14:paraId="33AF77C3">
      <w:pPr>
        <w:pStyle w:val="111"/>
        <w:rPr>
          <w:rFonts w:hint="eastAsia"/>
        </w:rPr>
      </w:pPr>
      <w:r>
        <w:rPr>
          <w:rFonts w:hint="eastAsia"/>
        </w:rPr>
        <w:t>电击后立即CPR：电击后，或AED提示“不建议电击”时，立即从胸外按压开始，继续实施CPR。</w:t>
      </w:r>
    </w:p>
    <w:p w14:paraId="2CC52729">
      <w:pPr>
        <w:pStyle w:val="111"/>
        <w:rPr>
          <w:rFonts w:hint="eastAsia"/>
        </w:rPr>
      </w:pPr>
      <w:r>
        <w:rPr>
          <w:rFonts w:hint="eastAsia"/>
        </w:rPr>
        <w:t>循环操作：按照 30次胸外按压 ， 2次人工呼吸的比例进行循环。如果不愿或不能进行人工呼吸，可持续进行仅胸外按压的CPR。</w:t>
      </w:r>
    </w:p>
    <w:p w14:paraId="4DA68013">
      <w:pPr>
        <w:pStyle w:val="111"/>
        <w:rPr>
          <w:rFonts w:hint="eastAsia"/>
        </w:rPr>
      </w:pPr>
      <w:r>
        <w:rPr>
          <w:rFonts w:hint="eastAsia"/>
        </w:rPr>
        <w:t>持续直至：患者出现反应、开始正常呼吸或移动，专业急救人员到达并接管患者，现场环境变得不安全，施救者精疲力竭无法继续。</w:t>
      </w:r>
    </w:p>
    <w:p w14:paraId="24462DC1">
      <w:pPr>
        <w:pStyle w:val="176"/>
        <w:rPr>
          <w:rFonts w:hint="eastAsia"/>
        </w:rPr>
      </w:pPr>
      <w:r>
        <w:rPr>
          <w:rFonts w:hint="eastAsia"/>
        </w:rPr>
        <w:t>后续工作</w:t>
      </w:r>
    </w:p>
    <w:p w14:paraId="1D1FD33B">
      <w:pPr>
        <w:pStyle w:val="58"/>
        <w:ind w:firstLine="420"/>
        <w:rPr>
          <w:rFonts w:hint="eastAsia"/>
        </w:rPr>
      </w:pPr>
      <w:r>
        <w:rPr>
          <w:rFonts w:hint="eastAsia"/>
        </w:rPr>
        <w:t>事件结束后，急救负责人应填写《突发事件记录表》，详细记录事发时间、地点、患者情况、施救过程、使用设备及参与人员等信息。</w:t>
      </w:r>
    </w:p>
    <w:p w14:paraId="2CA8F228">
      <w:pPr>
        <w:widowControl/>
        <w:adjustRightInd/>
        <w:spacing w:line="240" w:lineRule="auto"/>
        <w:jc w:val="left"/>
        <w:rPr>
          <w:rFonts w:ascii="宋体" w:hAnsi="Times New Roman"/>
          <w:kern w:val="0"/>
          <w:szCs w:val="20"/>
        </w:rPr>
      </w:pPr>
      <w:r>
        <w:br w:type="page"/>
      </w:r>
    </w:p>
    <w:bookmarkEnd w:id="96"/>
    <w:p w14:paraId="76A54D78">
      <w:pPr>
        <w:pStyle w:val="65"/>
        <w:spacing w:after="120"/>
      </w:pPr>
      <w:bookmarkStart w:id="98" w:name="_Toc32155"/>
      <w:bookmarkStart w:id="99" w:name="_Toc196236631"/>
      <w:bookmarkStart w:id="100" w:name="BookMark6"/>
      <w:r>
        <w:rPr>
          <w:rFonts w:hint="eastAsia"/>
          <w:spacing w:val="105"/>
        </w:rPr>
        <w:t>参考文</w:t>
      </w:r>
      <w:r>
        <w:rPr>
          <w:rFonts w:hint="eastAsia"/>
        </w:rPr>
        <w:t>献</w:t>
      </w:r>
      <w:bookmarkEnd w:id="98"/>
      <w:bookmarkEnd w:id="99"/>
    </w:p>
    <w:p w14:paraId="07A5183F">
      <w:pPr>
        <w:pStyle w:val="58"/>
        <w:numPr>
          <w:ilvl w:val="0"/>
          <w:numId w:val="34"/>
        </w:numPr>
        <w:ind w:firstLine="420"/>
        <w:rPr>
          <w:rFonts w:hAnsi="宋体" w:cs="宋体"/>
          <w:szCs w:val="21"/>
        </w:rPr>
      </w:pPr>
      <w:r>
        <w:rPr>
          <w:rFonts w:hint="eastAsia" w:hAnsi="宋体" w:cs="宋体"/>
          <w:szCs w:val="21"/>
        </w:rPr>
        <w:t xml:space="preserve">   药物警戒指南（国药监药管〔2022〕17 号文）</w:t>
      </w:r>
    </w:p>
    <w:p w14:paraId="1EAA3CD8">
      <w:pPr>
        <w:pStyle w:val="58"/>
        <w:numPr>
          <w:ilvl w:val="0"/>
          <w:numId w:val="34"/>
        </w:numPr>
        <w:ind w:firstLine="420"/>
        <w:rPr>
          <w:rFonts w:hAnsi="宋体" w:cs="宋体"/>
          <w:szCs w:val="21"/>
        </w:rPr>
      </w:pPr>
      <w:r>
        <w:rPr>
          <w:rFonts w:hint="eastAsia" w:hAnsi="宋体" w:cs="宋体"/>
          <w:szCs w:val="21"/>
        </w:rPr>
        <w:t xml:space="preserve">  《</w:t>
      </w:r>
      <w:r>
        <w:rPr>
          <w:rFonts w:hint="eastAsia" w:hAnsi="宋体" w:cs="宋体"/>
          <w:szCs w:val="21"/>
          <w:shd w:val="clear" w:color="auto" w:fill="FFFFFF"/>
        </w:rPr>
        <w:t>药品经营质量管理规范</w:t>
      </w:r>
      <w:r>
        <w:rPr>
          <w:rFonts w:hint="eastAsia" w:hAnsi="宋体" w:cs="宋体"/>
          <w:szCs w:val="21"/>
        </w:rPr>
        <w:t>》（国家药品监督管理局令第20号）</w:t>
      </w:r>
    </w:p>
    <w:p w14:paraId="60353D12">
      <w:pPr>
        <w:pStyle w:val="58"/>
        <w:numPr>
          <w:ilvl w:val="0"/>
          <w:numId w:val="34"/>
        </w:numPr>
        <w:ind w:firstLine="420"/>
        <w:rPr>
          <w:rFonts w:hAnsi="宋体" w:cs="宋体"/>
          <w:szCs w:val="21"/>
        </w:rPr>
      </w:pPr>
      <w:r>
        <w:rPr>
          <w:rFonts w:hint="eastAsia" w:hAnsi="宋体" w:cs="宋体"/>
          <w:szCs w:val="21"/>
        </w:rPr>
        <w:t xml:space="preserve">  《执业药师职业资格制度规定》（</w:t>
      </w:r>
      <w:r>
        <w:rPr>
          <w:rFonts w:hAnsi="宋体" w:cs="宋体"/>
          <w:szCs w:val="21"/>
        </w:rPr>
        <w:t>国药监人〔2019〕12 号</w:t>
      </w:r>
      <w:r>
        <w:rPr>
          <w:rFonts w:hint="eastAsia" w:hAnsi="宋体" w:cs="宋体"/>
          <w:szCs w:val="21"/>
        </w:rPr>
        <w:t>）</w:t>
      </w:r>
    </w:p>
    <w:p w14:paraId="706BF50A">
      <w:pPr>
        <w:pStyle w:val="58"/>
        <w:numPr>
          <w:ilvl w:val="0"/>
          <w:numId w:val="34"/>
        </w:numPr>
        <w:ind w:firstLine="420"/>
        <w:rPr>
          <w:rFonts w:hAnsi="宋体" w:cs="宋体"/>
          <w:szCs w:val="21"/>
        </w:rPr>
      </w:pPr>
      <w:r>
        <w:rPr>
          <w:rFonts w:hint="eastAsia"/>
        </w:rPr>
        <w:t xml:space="preserve"> 《医疗机构药学门诊服务规范》 国卫办医函〔2021〕520号</w:t>
      </w:r>
    </w:p>
    <w:p w14:paraId="7BB34062">
      <w:pPr>
        <w:pStyle w:val="58"/>
        <w:numPr>
          <w:ilvl w:val="0"/>
          <w:numId w:val="34"/>
        </w:numPr>
        <w:ind w:firstLine="420"/>
        <w:rPr>
          <w:rFonts w:hAnsi="宋体" w:cs="宋体"/>
          <w:szCs w:val="21"/>
        </w:rPr>
      </w:pPr>
      <w:r>
        <w:rPr>
          <w:rFonts w:hint="eastAsia" w:hAnsi="宋体" w:cs="宋体"/>
          <w:szCs w:val="21"/>
        </w:rPr>
        <w:t xml:space="preserve"> 《处方管理办法》（中华人民共和国卫生部令第53号）</w:t>
      </w:r>
    </w:p>
    <w:p w14:paraId="09BA7998">
      <w:pPr>
        <w:pStyle w:val="58"/>
        <w:numPr>
          <w:ilvl w:val="0"/>
          <w:numId w:val="34"/>
        </w:numPr>
        <w:ind w:firstLine="420"/>
        <w:rPr>
          <w:rFonts w:hAnsi="宋体" w:cs="宋体"/>
          <w:szCs w:val="21"/>
        </w:rPr>
      </w:pPr>
      <w:r>
        <w:rPr>
          <w:rFonts w:hint="eastAsia" w:hAnsi="宋体" w:cs="宋体"/>
          <w:szCs w:val="21"/>
        </w:rPr>
        <w:t xml:space="preserve"> 《中华人民共和国消费权益保护法》（中华人民共和国主席令第11号）</w:t>
      </w:r>
    </w:p>
    <w:p w14:paraId="1060B796">
      <w:pPr>
        <w:pStyle w:val="58"/>
        <w:numPr>
          <w:ilvl w:val="0"/>
          <w:numId w:val="34"/>
        </w:numPr>
        <w:ind w:firstLine="420"/>
        <w:rPr>
          <w:rFonts w:hAnsi="宋体" w:cs="宋体"/>
          <w:szCs w:val="21"/>
        </w:rPr>
      </w:pPr>
      <w:r>
        <w:rPr>
          <w:rFonts w:hint="eastAsia" w:hAnsi="宋体" w:cs="宋体"/>
          <w:szCs w:val="21"/>
        </w:rPr>
        <w:t xml:space="preserve"> </w:t>
      </w:r>
      <w:r>
        <w:rPr>
          <w:rFonts w:hAnsi="宋体" w:cs="宋体"/>
          <w:szCs w:val="21"/>
        </w:rPr>
        <w:t>《医疗机构药事管理规定》（卫医政发〔2011〕11号）</w:t>
      </w:r>
    </w:p>
    <w:p w14:paraId="4D0EBF28">
      <w:pPr>
        <w:pStyle w:val="58"/>
        <w:numPr>
          <w:ilvl w:val="0"/>
          <w:numId w:val="34"/>
        </w:numPr>
        <w:ind w:firstLine="420"/>
      </w:pPr>
      <w:r>
        <w:rPr>
          <w:rFonts w:hint="eastAsia" w:hAnsi="宋体" w:cs="宋体"/>
          <w:szCs w:val="21"/>
        </w:rPr>
        <w:t xml:space="preserve"> 《广西壮族自治区药品经营质量管理规范认证检查细则》（2017年修订）</w:t>
      </w:r>
    </w:p>
    <w:p w14:paraId="02A83339">
      <w:pPr>
        <w:pStyle w:val="58"/>
        <w:numPr>
          <w:ilvl w:val="0"/>
          <w:numId w:val="34"/>
        </w:numPr>
        <w:ind w:firstLine="420"/>
        <w:rPr>
          <w:rFonts w:hAnsi="宋体" w:cs="宋体"/>
          <w:szCs w:val="21"/>
        </w:rPr>
      </w:pPr>
      <w:r>
        <w:rPr>
          <w:rFonts w:hint="eastAsia" w:hAnsi="宋体" w:cs="宋体"/>
          <w:szCs w:val="21"/>
        </w:rPr>
        <w:t xml:space="preserve"> 《 </w:t>
      </w:r>
      <w:r>
        <w:rPr>
          <w:rFonts w:hint="eastAsia"/>
        </w:rPr>
        <w:t>药品零售企业执业药师药学服务指南</w:t>
      </w:r>
      <w:r>
        <w:rPr>
          <w:rFonts w:hint="eastAsia" w:hAnsi="宋体" w:cs="宋体"/>
          <w:szCs w:val="21"/>
        </w:rPr>
        <w:t>》</w:t>
      </w:r>
      <w:r>
        <w:rPr>
          <w:rFonts w:hint="eastAsia"/>
        </w:rPr>
        <w:t>（</w:t>
      </w:r>
      <w:r>
        <w:rPr>
          <w:rFonts w:hint="eastAsia" w:hAnsi="宋体" w:cs="宋体"/>
          <w:szCs w:val="21"/>
        </w:rPr>
        <w:t>药监执函﹝2024﹞15 号</w:t>
      </w:r>
      <w:r>
        <w:rPr>
          <w:rFonts w:hint="eastAsia"/>
        </w:rPr>
        <w:t>）</w:t>
      </w:r>
    </w:p>
    <w:p w14:paraId="45338098">
      <w:pPr>
        <w:pStyle w:val="58"/>
        <w:numPr>
          <w:ilvl w:val="0"/>
          <w:numId w:val="34"/>
        </w:numPr>
        <w:ind w:firstLine="420"/>
        <w:rPr>
          <w:rFonts w:hAnsi="宋体" w:cs="宋体"/>
          <w:szCs w:val="21"/>
        </w:rPr>
      </w:pPr>
      <w:r>
        <w:rPr>
          <w:rFonts w:hint="eastAsia" w:hAnsi="宋体" w:cs="宋体"/>
          <w:szCs w:val="21"/>
        </w:rPr>
        <w:t xml:space="preserve"> 广西壮族自治区药品经营质量管理规范认证检查细则（2017年修订）</w:t>
      </w:r>
    </w:p>
    <w:p w14:paraId="2B58BF71">
      <w:pPr>
        <w:pStyle w:val="58"/>
        <w:numPr>
          <w:ilvl w:val="0"/>
          <w:numId w:val="34"/>
        </w:numPr>
        <w:ind w:firstLine="420"/>
      </w:pPr>
      <w:r>
        <w:rPr>
          <w:rFonts w:hint="eastAsia" w:hAnsi="宋体" w:cs="宋体"/>
          <w:szCs w:val="21"/>
        </w:rPr>
        <w:t>《执业药师职业资格制度规定》（</w:t>
      </w:r>
      <w:r>
        <w:rPr>
          <w:rFonts w:hAnsi="宋体" w:cs="宋体"/>
          <w:szCs w:val="21"/>
        </w:rPr>
        <w:t>国药监人〔2019〕12 号</w:t>
      </w:r>
      <w:r>
        <w:rPr>
          <w:rFonts w:hint="eastAsia" w:hAnsi="宋体" w:cs="宋体"/>
          <w:szCs w:val="21"/>
        </w:rPr>
        <w:t>）</w:t>
      </w:r>
    </w:p>
    <w:p w14:paraId="71C3A259">
      <w:pPr>
        <w:pStyle w:val="58"/>
        <w:numPr>
          <w:ilvl w:val="0"/>
          <w:numId w:val="34"/>
        </w:numPr>
        <w:ind w:firstLine="420"/>
        <w:rPr>
          <w:rFonts w:hAnsi="宋体" w:cs="宋体"/>
          <w:szCs w:val="21"/>
        </w:rPr>
      </w:pPr>
      <w:r>
        <w:rPr>
          <w:rFonts w:hint="eastAsia"/>
        </w:rPr>
        <w:t>《医疗机构药学门诊服务规范》 国卫办医函〔2021〕520号</w:t>
      </w:r>
    </w:p>
    <w:p w14:paraId="7343DF37">
      <w:pPr>
        <w:pStyle w:val="58"/>
        <w:numPr>
          <w:ilvl w:val="0"/>
          <w:numId w:val="34"/>
        </w:numPr>
        <w:ind w:firstLine="420"/>
        <w:rPr>
          <w:rFonts w:hAnsi="宋体" w:cs="宋体"/>
          <w:szCs w:val="21"/>
        </w:rPr>
      </w:pPr>
      <w:r>
        <w:rPr>
          <w:rFonts w:hint="eastAsia" w:hAnsi="宋体" w:cs="宋体"/>
          <w:szCs w:val="21"/>
        </w:rPr>
        <w:t>《处方管理办法》（中华人民共和国卫生部令第53号）</w:t>
      </w:r>
    </w:p>
    <w:p w14:paraId="7618A305">
      <w:pPr>
        <w:pStyle w:val="58"/>
        <w:numPr>
          <w:ilvl w:val="0"/>
          <w:numId w:val="34"/>
        </w:numPr>
        <w:ind w:firstLine="420"/>
        <w:rPr>
          <w:rFonts w:hAnsi="宋体" w:cs="宋体"/>
          <w:szCs w:val="21"/>
        </w:rPr>
      </w:pPr>
      <w:r>
        <w:rPr>
          <w:rFonts w:hint="eastAsia" w:hAnsi="宋体" w:cs="宋体"/>
          <w:szCs w:val="21"/>
        </w:rPr>
        <w:t>《中华人民共和国消费权益保护法》（中华人民共和国主席令第11号）</w:t>
      </w:r>
    </w:p>
    <w:p w14:paraId="3E0E34B3">
      <w:pPr>
        <w:pStyle w:val="58"/>
        <w:numPr>
          <w:ilvl w:val="0"/>
          <w:numId w:val="34"/>
        </w:numPr>
        <w:ind w:firstLine="420"/>
        <w:rPr>
          <w:rFonts w:hAnsi="宋体" w:cs="宋体"/>
          <w:szCs w:val="21"/>
        </w:rPr>
      </w:pPr>
      <w:r>
        <w:rPr>
          <w:rFonts w:hAnsi="宋体" w:cs="宋体"/>
          <w:szCs w:val="21"/>
        </w:rPr>
        <w:t>《医疗机构药事管理规定》（卫医政发〔2011〕11号</w:t>
      </w:r>
    </w:p>
    <w:p w14:paraId="4F9D2943">
      <w:pPr>
        <w:pStyle w:val="58"/>
        <w:numPr>
          <w:ilvl w:val="0"/>
          <w:numId w:val="34"/>
        </w:numPr>
        <w:ind w:firstLine="420"/>
        <w:rPr>
          <w:rFonts w:hAnsi="宋体" w:cs="宋体"/>
          <w:szCs w:val="21"/>
        </w:rPr>
      </w:pPr>
      <w:r>
        <w:rPr>
          <w:rFonts w:hint="eastAsia" w:hAnsi="宋体" w:cs="宋体"/>
          <w:szCs w:val="21"/>
        </w:rPr>
        <w:t>《广西壮族自治区药品经营质量管理规范认证检查细则》（2017年修订）</w:t>
      </w:r>
    </w:p>
    <w:p w14:paraId="6012DA51">
      <w:pPr>
        <w:pStyle w:val="58"/>
        <w:numPr>
          <w:ilvl w:val="0"/>
          <w:numId w:val="34"/>
        </w:numPr>
        <w:ind w:firstLine="420"/>
        <w:rPr>
          <w:rFonts w:hAnsi="宋体" w:cs="宋体"/>
          <w:szCs w:val="21"/>
        </w:rPr>
      </w:pPr>
      <w:r>
        <w:t>《中华人民共和国民法典》</w:t>
      </w:r>
      <w:r>
        <w:rPr>
          <w:rFonts w:hint="eastAsia"/>
        </w:rPr>
        <w:t>（</w:t>
      </w:r>
      <w:r>
        <w:t>中华人民共和国主席令第 45 号</w:t>
      </w:r>
      <w:r>
        <w:rPr>
          <w:rFonts w:hint="eastAsia"/>
        </w:rPr>
        <w:t>）</w:t>
      </w:r>
    </w:p>
    <w:p w14:paraId="082451A6">
      <w:pPr>
        <w:pStyle w:val="58"/>
        <w:numPr>
          <w:ilvl w:val="0"/>
          <w:numId w:val="34"/>
        </w:numPr>
        <w:ind w:firstLine="420"/>
      </w:pPr>
      <w:r>
        <w:t>《心肺复苏中国专家共识（2011）》</w:t>
      </w:r>
      <w:r>
        <w:rPr>
          <w:rFonts w:hint="eastAsia"/>
        </w:rPr>
        <w:t>（</w:t>
      </w:r>
      <w:r>
        <w:rPr>
          <w:rFonts w:ascii="Segoe UI" w:hAnsi="Segoe UI" w:eastAsia="Segoe UI" w:cs="Segoe UI"/>
          <w:sz w:val="22"/>
          <w:szCs w:val="22"/>
        </w:rPr>
        <w:t>2011 年第 12 期</w:t>
      </w:r>
      <w:r>
        <w:rPr>
          <w:rFonts w:hint="eastAsia"/>
        </w:rPr>
        <w:t>）</w:t>
      </w:r>
    </w:p>
    <w:p w14:paraId="6D73798C">
      <w:pPr>
        <w:pStyle w:val="58"/>
        <w:numPr>
          <w:ilvl w:val="255"/>
          <w:numId w:val="0"/>
        </w:numPr>
        <w:rPr>
          <w:rFonts w:hAnsi="宋体" w:cs="宋体"/>
          <w:szCs w:val="21"/>
        </w:rPr>
      </w:pPr>
    </w:p>
    <w:bookmarkEnd w:id="100"/>
    <w:p w14:paraId="4B978A6D">
      <w:pPr>
        <w:pStyle w:val="58"/>
        <w:ind w:firstLine="0" w:firstLineChars="0"/>
        <w:jc w:val="center"/>
      </w:pPr>
      <w:bookmarkStart w:id="101"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1B53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A646">
    <w:pPr>
      <w:pStyle w:val="54"/>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8AE8F">
    <w:pPr>
      <w:pStyle w:val="53"/>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9D36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FE60">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0A7CF">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4FF80">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D30B5">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C002F">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3FA">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F68D5">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66A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E0323">
    <w:pPr>
      <w:pStyle w:val="63"/>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AA055">
    <w:pPr>
      <w:pStyle w:val="64"/>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8F63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A06FD">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9354">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EFAEE">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E6D6F">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426CD">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DACA7">
    <w:pPr>
      <w:pStyle w:val="63"/>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535A">
    <w:pPr>
      <w:pStyle w:val="64"/>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DBC907"/>
    <w:multiLevelType w:val="singleLevel"/>
    <w:tmpl w:val="EFDBC907"/>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284"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3NjI1ZWIxZGQ3MDliNzEyNGU2MTBmMzdhNTFlMzYifQ=="/>
  </w:docVars>
  <w:rsids>
    <w:rsidRoot w:val="006131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26"/>
    <w:rsid w:val="000515DD"/>
    <w:rsid w:val="0005265A"/>
    <w:rsid w:val="000539DD"/>
    <w:rsid w:val="00053BD3"/>
    <w:rsid w:val="000556ED"/>
    <w:rsid w:val="00055FE2"/>
    <w:rsid w:val="0005616F"/>
    <w:rsid w:val="00060C2E"/>
    <w:rsid w:val="00061033"/>
    <w:rsid w:val="000619E9"/>
    <w:rsid w:val="000622D4"/>
    <w:rsid w:val="0006357D"/>
    <w:rsid w:val="00065A36"/>
    <w:rsid w:val="000678DF"/>
    <w:rsid w:val="00067F1E"/>
    <w:rsid w:val="00071CC0"/>
    <w:rsid w:val="00071CFC"/>
    <w:rsid w:val="00073C8C"/>
    <w:rsid w:val="00077B64"/>
    <w:rsid w:val="00080A1C"/>
    <w:rsid w:val="00081FF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181"/>
    <w:rsid w:val="000F06E1"/>
    <w:rsid w:val="000F0E3C"/>
    <w:rsid w:val="000F10BA"/>
    <w:rsid w:val="000F19D5"/>
    <w:rsid w:val="000F4050"/>
    <w:rsid w:val="000F4AEA"/>
    <w:rsid w:val="000F67E9"/>
    <w:rsid w:val="00104926"/>
    <w:rsid w:val="001066D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5F5"/>
    <w:rsid w:val="001457E7"/>
    <w:rsid w:val="00145D9D"/>
    <w:rsid w:val="00146388"/>
    <w:rsid w:val="001529E5"/>
    <w:rsid w:val="00152ADA"/>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CEA"/>
    <w:rsid w:val="00196EF5"/>
    <w:rsid w:val="001A1A53"/>
    <w:rsid w:val="001A234A"/>
    <w:rsid w:val="001A4CF3"/>
    <w:rsid w:val="001A6696"/>
    <w:rsid w:val="001A6F66"/>
    <w:rsid w:val="001B06E8"/>
    <w:rsid w:val="001B4BE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F34"/>
    <w:rsid w:val="001E73AB"/>
    <w:rsid w:val="001F092D"/>
    <w:rsid w:val="001F143A"/>
    <w:rsid w:val="001F1605"/>
    <w:rsid w:val="001F2508"/>
    <w:rsid w:val="001F4075"/>
    <w:rsid w:val="001F4816"/>
    <w:rsid w:val="001F69B4"/>
    <w:rsid w:val="001F77C7"/>
    <w:rsid w:val="00200183"/>
    <w:rsid w:val="00200333"/>
    <w:rsid w:val="0020107D"/>
    <w:rsid w:val="0020159A"/>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619"/>
    <w:rsid w:val="00243540"/>
    <w:rsid w:val="0024497B"/>
    <w:rsid w:val="00244A33"/>
    <w:rsid w:val="0024515B"/>
    <w:rsid w:val="00246021"/>
    <w:rsid w:val="0024666E"/>
    <w:rsid w:val="00247F52"/>
    <w:rsid w:val="00250B25"/>
    <w:rsid w:val="00250BBE"/>
    <w:rsid w:val="002515C2"/>
    <w:rsid w:val="0025194F"/>
    <w:rsid w:val="0026148A"/>
    <w:rsid w:val="00262696"/>
    <w:rsid w:val="00263D25"/>
    <w:rsid w:val="002643C3"/>
    <w:rsid w:val="00264A0C"/>
    <w:rsid w:val="00266C92"/>
    <w:rsid w:val="00266EEB"/>
    <w:rsid w:val="00267EF4"/>
    <w:rsid w:val="00270CB8"/>
    <w:rsid w:val="00272B08"/>
    <w:rsid w:val="002773EF"/>
    <w:rsid w:val="002807C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422"/>
    <w:rsid w:val="00350D1D"/>
    <w:rsid w:val="00352C83"/>
    <w:rsid w:val="00352F1A"/>
    <w:rsid w:val="0036107C"/>
    <w:rsid w:val="003615D2"/>
    <w:rsid w:val="0036429C"/>
    <w:rsid w:val="00364A53"/>
    <w:rsid w:val="003654CB"/>
    <w:rsid w:val="00365AA9"/>
    <w:rsid w:val="00365F86"/>
    <w:rsid w:val="00365F87"/>
    <w:rsid w:val="00366325"/>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C1"/>
    <w:rsid w:val="003974EB"/>
    <w:rsid w:val="00397CC5"/>
    <w:rsid w:val="003A11D1"/>
    <w:rsid w:val="003A1582"/>
    <w:rsid w:val="003A3D9C"/>
    <w:rsid w:val="003A4077"/>
    <w:rsid w:val="003A4AA7"/>
    <w:rsid w:val="003B09AD"/>
    <w:rsid w:val="003B1F18"/>
    <w:rsid w:val="003B5BF0"/>
    <w:rsid w:val="003B60BF"/>
    <w:rsid w:val="003B6BE3"/>
    <w:rsid w:val="003B783D"/>
    <w:rsid w:val="003C010C"/>
    <w:rsid w:val="003C0A21"/>
    <w:rsid w:val="003C0A6C"/>
    <w:rsid w:val="003C14F8"/>
    <w:rsid w:val="003C5A43"/>
    <w:rsid w:val="003D0519"/>
    <w:rsid w:val="003D0FF6"/>
    <w:rsid w:val="003D262C"/>
    <w:rsid w:val="003D5B3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18C"/>
    <w:rsid w:val="0041477A"/>
    <w:rsid w:val="004167A3"/>
    <w:rsid w:val="00432DAA"/>
    <w:rsid w:val="00434305"/>
    <w:rsid w:val="00435DF7"/>
    <w:rsid w:val="0044083F"/>
    <w:rsid w:val="00441AE7"/>
    <w:rsid w:val="00445574"/>
    <w:rsid w:val="004467FB"/>
    <w:rsid w:val="00452D6B"/>
    <w:rsid w:val="00454484"/>
    <w:rsid w:val="0045517B"/>
    <w:rsid w:val="00461AD1"/>
    <w:rsid w:val="00463B77"/>
    <w:rsid w:val="00463C7B"/>
    <w:rsid w:val="004644A6"/>
    <w:rsid w:val="004648C5"/>
    <w:rsid w:val="004659BD"/>
    <w:rsid w:val="00465BF0"/>
    <w:rsid w:val="00470775"/>
    <w:rsid w:val="004746B1"/>
    <w:rsid w:val="0047583F"/>
    <w:rsid w:val="00475DE8"/>
    <w:rsid w:val="00481C44"/>
    <w:rsid w:val="00482028"/>
    <w:rsid w:val="00484936"/>
    <w:rsid w:val="00485C89"/>
    <w:rsid w:val="00486BE3"/>
    <w:rsid w:val="004905E4"/>
    <w:rsid w:val="00490A89"/>
    <w:rsid w:val="00490AB4"/>
    <w:rsid w:val="00492F02"/>
    <w:rsid w:val="004939AE"/>
    <w:rsid w:val="004A12DF"/>
    <w:rsid w:val="004A1BA8"/>
    <w:rsid w:val="004A4B57"/>
    <w:rsid w:val="004A63FA"/>
    <w:rsid w:val="004A6A3D"/>
    <w:rsid w:val="004B0102"/>
    <w:rsid w:val="004B0272"/>
    <w:rsid w:val="004B0420"/>
    <w:rsid w:val="004B2701"/>
    <w:rsid w:val="004B2E1B"/>
    <w:rsid w:val="004B3AA8"/>
    <w:rsid w:val="004B3E93"/>
    <w:rsid w:val="004C0DF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F34"/>
    <w:rsid w:val="004E59E3"/>
    <w:rsid w:val="004E67C0"/>
    <w:rsid w:val="004E7C8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C5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1F33"/>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3D4"/>
    <w:rsid w:val="005F284E"/>
    <w:rsid w:val="006015CE"/>
    <w:rsid w:val="00604784"/>
    <w:rsid w:val="00606419"/>
    <w:rsid w:val="00607D29"/>
    <w:rsid w:val="00612952"/>
    <w:rsid w:val="0061319F"/>
    <w:rsid w:val="00614CC1"/>
    <w:rsid w:val="00615A9D"/>
    <w:rsid w:val="00617387"/>
    <w:rsid w:val="006205D6"/>
    <w:rsid w:val="00620C60"/>
    <w:rsid w:val="006252D8"/>
    <w:rsid w:val="006259BC"/>
    <w:rsid w:val="006261D3"/>
    <w:rsid w:val="0062636B"/>
    <w:rsid w:val="00632182"/>
    <w:rsid w:val="00632AE0"/>
    <w:rsid w:val="00633C17"/>
    <w:rsid w:val="00634D9E"/>
    <w:rsid w:val="00636E3E"/>
    <w:rsid w:val="006379F7"/>
    <w:rsid w:val="00637E4D"/>
    <w:rsid w:val="00637EE6"/>
    <w:rsid w:val="00640620"/>
    <w:rsid w:val="00640C24"/>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A31"/>
    <w:rsid w:val="00672060"/>
    <w:rsid w:val="00672BFD"/>
    <w:rsid w:val="00673B9A"/>
    <w:rsid w:val="006770F4"/>
    <w:rsid w:val="00677A84"/>
    <w:rsid w:val="0068026D"/>
    <w:rsid w:val="006808C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5DC"/>
    <w:rsid w:val="006F6284"/>
    <w:rsid w:val="007002C5"/>
    <w:rsid w:val="00703636"/>
    <w:rsid w:val="00704387"/>
    <w:rsid w:val="00707669"/>
    <w:rsid w:val="0071123F"/>
    <w:rsid w:val="00711CBA"/>
    <w:rsid w:val="00711FB5"/>
    <w:rsid w:val="00712A01"/>
    <w:rsid w:val="00714F58"/>
    <w:rsid w:val="00715653"/>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1F6"/>
    <w:rsid w:val="00767C61"/>
    <w:rsid w:val="0077008A"/>
    <w:rsid w:val="00773C1F"/>
    <w:rsid w:val="00774DA4"/>
    <w:rsid w:val="00776599"/>
    <w:rsid w:val="0078114B"/>
    <w:rsid w:val="00781DD2"/>
    <w:rsid w:val="00783ECF"/>
    <w:rsid w:val="0078413A"/>
    <w:rsid w:val="0078534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EE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DA5"/>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30E"/>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D3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D4A"/>
    <w:rsid w:val="008E4BB6"/>
    <w:rsid w:val="008E5518"/>
    <w:rsid w:val="008E6A84"/>
    <w:rsid w:val="008F0CDC"/>
    <w:rsid w:val="008F17A3"/>
    <w:rsid w:val="008F1ED3"/>
    <w:rsid w:val="008F456A"/>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071"/>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337"/>
    <w:rsid w:val="0099551B"/>
    <w:rsid w:val="00996BD2"/>
    <w:rsid w:val="00997BF1"/>
    <w:rsid w:val="009A089C"/>
    <w:rsid w:val="009A118E"/>
    <w:rsid w:val="009A21CD"/>
    <w:rsid w:val="009A278C"/>
    <w:rsid w:val="009A2BC2"/>
    <w:rsid w:val="009A42C1"/>
    <w:rsid w:val="009A535D"/>
    <w:rsid w:val="009A5429"/>
    <w:rsid w:val="009A72AD"/>
    <w:rsid w:val="009B09E0"/>
    <w:rsid w:val="009B0BC5"/>
    <w:rsid w:val="009B1247"/>
    <w:rsid w:val="009B3A5F"/>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50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EE1"/>
    <w:rsid w:val="00A4006C"/>
    <w:rsid w:val="00A40091"/>
    <w:rsid w:val="00A4030F"/>
    <w:rsid w:val="00A41C79"/>
    <w:rsid w:val="00A41CB5"/>
    <w:rsid w:val="00A42CDF"/>
    <w:rsid w:val="00A4452E"/>
    <w:rsid w:val="00A4472C"/>
    <w:rsid w:val="00A44E69"/>
    <w:rsid w:val="00A4661E"/>
    <w:rsid w:val="00A475C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3B9"/>
    <w:rsid w:val="00AC27A6"/>
    <w:rsid w:val="00AC30F7"/>
    <w:rsid w:val="00AC3A5A"/>
    <w:rsid w:val="00AC4D95"/>
    <w:rsid w:val="00AC5DF4"/>
    <w:rsid w:val="00AD0AEF"/>
    <w:rsid w:val="00AD11B7"/>
    <w:rsid w:val="00AD1A94"/>
    <w:rsid w:val="00AD1C05"/>
    <w:rsid w:val="00AD4126"/>
    <w:rsid w:val="00AD421C"/>
    <w:rsid w:val="00AD4233"/>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2E04"/>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697"/>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3FC"/>
    <w:rsid w:val="00B96D40"/>
    <w:rsid w:val="00B97386"/>
    <w:rsid w:val="00BA263B"/>
    <w:rsid w:val="00BA42B2"/>
    <w:rsid w:val="00BA58D4"/>
    <w:rsid w:val="00BA5B9E"/>
    <w:rsid w:val="00BA7C9A"/>
    <w:rsid w:val="00BB5F8F"/>
    <w:rsid w:val="00BB657A"/>
    <w:rsid w:val="00BC1A4E"/>
    <w:rsid w:val="00BC5DC7"/>
    <w:rsid w:val="00BC6B8B"/>
    <w:rsid w:val="00BC73D8"/>
    <w:rsid w:val="00BD405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8F8"/>
    <w:rsid w:val="00C21540"/>
    <w:rsid w:val="00C21906"/>
    <w:rsid w:val="00C21BFA"/>
    <w:rsid w:val="00C24C8D"/>
    <w:rsid w:val="00C25FE2"/>
    <w:rsid w:val="00C26B53"/>
    <w:rsid w:val="00C27884"/>
    <w:rsid w:val="00C279B2"/>
    <w:rsid w:val="00C33E50"/>
    <w:rsid w:val="00C34C20"/>
    <w:rsid w:val="00C35A3E"/>
    <w:rsid w:val="00C42130"/>
    <w:rsid w:val="00C423A4"/>
    <w:rsid w:val="00C423E3"/>
    <w:rsid w:val="00C44BF5"/>
    <w:rsid w:val="00C521D6"/>
    <w:rsid w:val="00C52A57"/>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1D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F1B"/>
    <w:rsid w:val="00D77031"/>
    <w:rsid w:val="00D84941"/>
    <w:rsid w:val="00D84FA1"/>
    <w:rsid w:val="00D851F0"/>
    <w:rsid w:val="00D86DB7"/>
    <w:rsid w:val="00D87BF5"/>
    <w:rsid w:val="00D90721"/>
    <w:rsid w:val="00D91C7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0B6"/>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E29"/>
    <w:rsid w:val="00E3137A"/>
    <w:rsid w:val="00E32CCF"/>
    <w:rsid w:val="00E34A98"/>
    <w:rsid w:val="00E35D1E"/>
    <w:rsid w:val="00E364F9"/>
    <w:rsid w:val="00E365FA"/>
    <w:rsid w:val="00E36789"/>
    <w:rsid w:val="00E438CB"/>
    <w:rsid w:val="00E44A83"/>
    <w:rsid w:val="00E502C1"/>
    <w:rsid w:val="00E502DD"/>
    <w:rsid w:val="00E50D3A"/>
    <w:rsid w:val="00E51387"/>
    <w:rsid w:val="00E51E68"/>
    <w:rsid w:val="00E52EFD"/>
    <w:rsid w:val="00E5408A"/>
    <w:rsid w:val="00E56800"/>
    <w:rsid w:val="00E60C63"/>
    <w:rsid w:val="00E62FF9"/>
    <w:rsid w:val="00E635D6"/>
    <w:rsid w:val="00E639BC"/>
    <w:rsid w:val="00E63D8D"/>
    <w:rsid w:val="00E664CC"/>
    <w:rsid w:val="00E70388"/>
    <w:rsid w:val="00E70F92"/>
    <w:rsid w:val="00E74040"/>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3CF"/>
    <w:rsid w:val="00EA58D1"/>
    <w:rsid w:val="00EA61BC"/>
    <w:rsid w:val="00EA681A"/>
    <w:rsid w:val="00EA735B"/>
    <w:rsid w:val="00EB1790"/>
    <w:rsid w:val="00EB1E69"/>
    <w:rsid w:val="00EB2086"/>
    <w:rsid w:val="00EB31ED"/>
    <w:rsid w:val="00EB4664"/>
    <w:rsid w:val="00EB5EDF"/>
    <w:rsid w:val="00EB60FE"/>
    <w:rsid w:val="00EB74DB"/>
    <w:rsid w:val="00EC23BA"/>
    <w:rsid w:val="00EC3572"/>
    <w:rsid w:val="00EC5359"/>
    <w:rsid w:val="00EC562A"/>
    <w:rsid w:val="00ED067A"/>
    <w:rsid w:val="00ED2B50"/>
    <w:rsid w:val="00ED747D"/>
    <w:rsid w:val="00EE0350"/>
    <w:rsid w:val="00EE0719"/>
    <w:rsid w:val="00EE0E80"/>
    <w:rsid w:val="00EE384A"/>
    <w:rsid w:val="00EE47C9"/>
    <w:rsid w:val="00EE613F"/>
    <w:rsid w:val="00EE7295"/>
    <w:rsid w:val="00EE7869"/>
    <w:rsid w:val="00EF054A"/>
    <w:rsid w:val="00EF3235"/>
    <w:rsid w:val="00EF7E72"/>
    <w:rsid w:val="00F00C46"/>
    <w:rsid w:val="00F06D37"/>
    <w:rsid w:val="00F07B9D"/>
    <w:rsid w:val="00F11586"/>
    <w:rsid w:val="00F1183B"/>
    <w:rsid w:val="00F11C9F"/>
    <w:rsid w:val="00F11DFC"/>
    <w:rsid w:val="00F12263"/>
    <w:rsid w:val="00F1409D"/>
    <w:rsid w:val="00F14214"/>
    <w:rsid w:val="00F157A9"/>
    <w:rsid w:val="00F16F00"/>
    <w:rsid w:val="00F25BB6"/>
    <w:rsid w:val="00F26B7E"/>
    <w:rsid w:val="00F27A3B"/>
    <w:rsid w:val="00F32780"/>
    <w:rsid w:val="00F33817"/>
    <w:rsid w:val="00F415D0"/>
    <w:rsid w:val="00F420D5"/>
    <w:rsid w:val="00F451EA"/>
    <w:rsid w:val="00F45447"/>
    <w:rsid w:val="00F456C6"/>
    <w:rsid w:val="00F4577B"/>
    <w:rsid w:val="00F46496"/>
    <w:rsid w:val="00F474D0"/>
    <w:rsid w:val="00F50179"/>
    <w:rsid w:val="00F515EE"/>
    <w:rsid w:val="00F5379A"/>
    <w:rsid w:val="00F56511"/>
    <w:rsid w:val="00F6194E"/>
    <w:rsid w:val="00F623AC"/>
    <w:rsid w:val="00F63926"/>
    <w:rsid w:val="00F6412A"/>
    <w:rsid w:val="00F6566B"/>
    <w:rsid w:val="00F65893"/>
    <w:rsid w:val="00F66A4A"/>
    <w:rsid w:val="00F66CE5"/>
    <w:rsid w:val="00F71E22"/>
    <w:rsid w:val="00F72142"/>
    <w:rsid w:val="00F72AE7"/>
    <w:rsid w:val="00F833BA"/>
    <w:rsid w:val="00F84FD0"/>
    <w:rsid w:val="00F859A8"/>
    <w:rsid w:val="00F86D87"/>
    <w:rsid w:val="00F90576"/>
    <w:rsid w:val="00F9108B"/>
    <w:rsid w:val="00F91349"/>
    <w:rsid w:val="00F93A8A"/>
    <w:rsid w:val="00F95248"/>
    <w:rsid w:val="00F956A9"/>
    <w:rsid w:val="00F963ED"/>
    <w:rsid w:val="00F966CF"/>
    <w:rsid w:val="00F96CAE"/>
    <w:rsid w:val="00F97C99"/>
    <w:rsid w:val="00FA28E0"/>
    <w:rsid w:val="00FA662D"/>
    <w:rsid w:val="00FA73B1"/>
    <w:rsid w:val="00FB0CB9"/>
    <w:rsid w:val="00FB231D"/>
    <w:rsid w:val="00FB3148"/>
    <w:rsid w:val="00FB45F1"/>
    <w:rsid w:val="00FB4A72"/>
    <w:rsid w:val="00FB54E8"/>
    <w:rsid w:val="00FB7054"/>
    <w:rsid w:val="00FC17B7"/>
    <w:rsid w:val="00FC2CB7"/>
    <w:rsid w:val="00FC4090"/>
    <w:rsid w:val="00FC55B4"/>
    <w:rsid w:val="00FD00E6"/>
    <w:rsid w:val="00FD0287"/>
    <w:rsid w:val="00FD09A1"/>
    <w:rsid w:val="00FD2A7C"/>
    <w:rsid w:val="00FD59EB"/>
    <w:rsid w:val="00FD60D5"/>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B2502"/>
    <w:rsid w:val="036A364E"/>
    <w:rsid w:val="03EC7C9F"/>
    <w:rsid w:val="04025BED"/>
    <w:rsid w:val="044C0C16"/>
    <w:rsid w:val="04DA26C6"/>
    <w:rsid w:val="054C300D"/>
    <w:rsid w:val="05B30524"/>
    <w:rsid w:val="05CD23FE"/>
    <w:rsid w:val="05D816C5"/>
    <w:rsid w:val="062005AC"/>
    <w:rsid w:val="07F10452"/>
    <w:rsid w:val="088F5575"/>
    <w:rsid w:val="08E753B1"/>
    <w:rsid w:val="0927764E"/>
    <w:rsid w:val="09CA0CE0"/>
    <w:rsid w:val="0C1B3A83"/>
    <w:rsid w:val="0C300E1D"/>
    <w:rsid w:val="0CCE23A4"/>
    <w:rsid w:val="10AF0286"/>
    <w:rsid w:val="10D624FD"/>
    <w:rsid w:val="10E52770"/>
    <w:rsid w:val="12525F91"/>
    <w:rsid w:val="1276468E"/>
    <w:rsid w:val="129F19CF"/>
    <w:rsid w:val="13BD271A"/>
    <w:rsid w:val="13C102E4"/>
    <w:rsid w:val="15004ED5"/>
    <w:rsid w:val="181B5077"/>
    <w:rsid w:val="18482169"/>
    <w:rsid w:val="18756535"/>
    <w:rsid w:val="187F5606"/>
    <w:rsid w:val="18ED759C"/>
    <w:rsid w:val="1BB94B14"/>
    <w:rsid w:val="1CC17F9B"/>
    <w:rsid w:val="1DE9704B"/>
    <w:rsid w:val="1E6D67E4"/>
    <w:rsid w:val="1EB36FD8"/>
    <w:rsid w:val="1F4B4CF2"/>
    <w:rsid w:val="1F7F116D"/>
    <w:rsid w:val="228A0718"/>
    <w:rsid w:val="24B2466D"/>
    <w:rsid w:val="25BF0FD3"/>
    <w:rsid w:val="27233601"/>
    <w:rsid w:val="273F6F5C"/>
    <w:rsid w:val="27EE27E1"/>
    <w:rsid w:val="28A644E9"/>
    <w:rsid w:val="292518B2"/>
    <w:rsid w:val="297261D8"/>
    <w:rsid w:val="29A50C45"/>
    <w:rsid w:val="29DC183A"/>
    <w:rsid w:val="29F06CE1"/>
    <w:rsid w:val="2A0616E3"/>
    <w:rsid w:val="2B3373F9"/>
    <w:rsid w:val="2D4F514F"/>
    <w:rsid w:val="2E976772"/>
    <w:rsid w:val="30940EAD"/>
    <w:rsid w:val="32087FC3"/>
    <w:rsid w:val="32195D2C"/>
    <w:rsid w:val="348055C8"/>
    <w:rsid w:val="3523168A"/>
    <w:rsid w:val="36473EC1"/>
    <w:rsid w:val="36F41019"/>
    <w:rsid w:val="376C3501"/>
    <w:rsid w:val="39A22AAB"/>
    <w:rsid w:val="3AA54601"/>
    <w:rsid w:val="3D8D3ED7"/>
    <w:rsid w:val="3DE36C74"/>
    <w:rsid w:val="3E471F80"/>
    <w:rsid w:val="403B2990"/>
    <w:rsid w:val="405865A3"/>
    <w:rsid w:val="412451C6"/>
    <w:rsid w:val="418246E8"/>
    <w:rsid w:val="431F447B"/>
    <w:rsid w:val="44D83825"/>
    <w:rsid w:val="45115DD3"/>
    <w:rsid w:val="45274C29"/>
    <w:rsid w:val="45CA13BF"/>
    <w:rsid w:val="46033AC1"/>
    <w:rsid w:val="464477E8"/>
    <w:rsid w:val="47195059"/>
    <w:rsid w:val="47F6649C"/>
    <w:rsid w:val="48422972"/>
    <w:rsid w:val="48517B76"/>
    <w:rsid w:val="4A5B623C"/>
    <w:rsid w:val="4B4208EA"/>
    <w:rsid w:val="4BDD468B"/>
    <w:rsid w:val="4C24147D"/>
    <w:rsid w:val="4DED4953"/>
    <w:rsid w:val="4E20526B"/>
    <w:rsid w:val="4EF04990"/>
    <w:rsid w:val="4F8F625B"/>
    <w:rsid w:val="500E3780"/>
    <w:rsid w:val="5149614E"/>
    <w:rsid w:val="51A76A58"/>
    <w:rsid w:val="53D25371"/>
    <w:rsid w:val="54681883"/>
    <w:rsid w:val="54A56C5E"/>
    <w:rsid w:val="559B2B61"/>
    <w:rsid w:val="56F40992"/>
    <w:rsid w:val="58683A79"/>
    <w:rsid w:val="59A937DB"/>
    <w:rsid w:val="59BD73B3"/>
    <w:rsid w:val="5D642D52"/>
    <w:rsid w:val="5D995DEF"/>
    <w:rsid w:val="5F4C6694"/>
    <w:rsid w:val="607D4380"/>
    <w:rsid w:val="60EC2207"/>
    <w:rsid w:val="61404513"/>
    <w:rsid w:val="61656B01"/>
    <w:rsid w:val="617C3A5E"/>
    <w:rsid w:val="61B76FF1"/>
    <w:rsid w:val="64151A58"/>
    <w:rsid w:val="643C74D4"/>
    <w:rsid w:val="65876E75"/>
    <w:rsid w:val="65B57697"/>
    <w:rsid w:val="661C5357"/>
    <w:rsid w:val="679A2E90"/>
    <w:rsid w:val="692C3FBB"/>
    <w:rsid w:val="696077C1"/>
    <w:rsid w:val="6A80346D"/>
    <w:rsid w:val="6D940381"/>
    <w:rsid w:val="6E097153"/>
    <w:rsid w:val="6EFA06B8"/>
    <w:rsid w:val="6FC519F5"/>
    <w:rsid w:val="6FF10F37"/>
    <w:rsid w:val="70EB475C"/>
    <w:rsid w:val="71544E2D"/>
    <w:rsid w:val="717A6670"/>
    <w:rsid w:val="732D557E"/>
    <w:rsid w:val="746E50EF"/>
    <w:rsid w:val="766F1796"/>
    <w:rsid w:val="76765047"/>
    <w:rsid w:val="783A0E3A"/>
    <w:rsid w:val="79932CBC"/>
    <w:rsid w:val="7B8A5DBB"/>
    <w:rsid w:val="7BB2025F"/>
    <w:rsid w:val="7C907F65"/>
    <w:rsid w:val="7D717897"/>
    <w:rsid w:val="7E4002FA"/>
    <w:rsid w:val="7FC05006"/>
    <w:rsid w:val="FFB3F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批注文字 字符"/>
    <w:basedOn w:val="30"/>
    <w:link w:val="13"/>
    <w:qFormat/>
    <w:uiPriority w:val="99"/>
    <w:rPr>
      <w:kern w:val="2"/>
      <w:sz w:val="21"/>
      <w:szCs w:val="21"/>
    </w:rPr>
  </w:style>
  <w:style w:type="paragraph" w:customStyle="1" w:styleId="233">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34">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978527C3E94A29A0B844BD061944F7"/>
        <w:style w:val=""/>
        <w:category>
          <w:name w:val="常规"/>
          <w:gallery w:val="placeholder"/>
        </w:category>
        <w:types>
          <w:type w:val="bbPlcHdr"/>
        </w:types>
        <w:behaviors>
          <w:behavior w:val="content"/>
        </w:behaviors>
        <w:description w:val=""/>
        <w:guid w:val="{4BA7CDD8-3C18-4A53-BD10-C5B1A4ADC1CA}"/>
      </w:docPartPr>
      <w:docPartBody>
        <w:p w14:paraId="4F233503">
          <w:pPr>
            <w:pStyle w:val="5"/>
          </w:pPr>
          <w:r>
            <w:rPr>
              <w:rStyle w:val="4"/>
              <w:rFonts w:hint="eastAsia"/>
            </w:rPr>
            <w:t>单击或点击此处输入文字。</w:t>
          </w:r>
        </w:p>
      </w:docPartBody>
    </w:docPart>
    <w:docPart>
      <w:docPartPr>
        <w:name w:val="EDE04A19CB89495599B59D653C77DCC5"/>
        <w:style w:val=""/>
        <w:category>
          <w:name w:val="常规"/>
          <w:gallery w:val="placeholder"/>
        </w:category>
        <w:types>
          <w:type w:val="bbPlcHdr"/>
        </w:types>
        <w:behaviors>
          <w:behavior w:val="content"/>
        </w:behaviors>
        <w:description w:val=""/>
        <w:guid w:val="{20B20BCE-3B3C-4144-9415-8B7148C5399A}"/>
      </w:docPartPr>
      <w:docPartBody>
        <w:p w14:paraId="4333D796">
          <w:pPr>
            <w:pStyle w:val="6"/>
          </w:pPr>
          <w:r>
            <w:rPr>
              <w:rStyle w:val="4"/>
              <w:rFonts w:hint="eastAsia"/>
            </w:rPr>
            <w:t>选择一项。</w:t>
          </w:r>
        </w:p>
      </w:docPartBody>
    </w:docPart>
    <w:docPart>
      <w:docPartPr>
        <w:name w:val="554F693D6B794C5BB159DC16256FE5E7"/>
        <w:style w:val=""/>
        <w:category>
          <w:name w:val="常规"/>
          <w:gallery w:val="placeholder"/>
        </w:category>
        <w:types>
          <w:type w:val="bbPlcHdr"/>
        </w:types>
        <w:behaviors>
          <w:behavior w:val="content"/>
        </w:behaviors>
        <w:description w:val=""/>
        <w:guid w:val="{0DED5EA9-0659-49D0-B290-4949D7BF2DD5}"/>
      </w:docPartPr>
      <w:docPartBody>
        <w:p w14:paraId="52E1AB0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95"/>
    <w:rsid w:val="00016891"/>
    <w:rsid w:val="00085E50"/>
    <w:rsid w:val="000F5649"/>
    <w:rsid w:val="00190077"/>
    <w:rsid w:val="00361D96"/>
    <w:rsid w:val="003D5B3E"/>
    <w:rsid w:val="003E4C57"/>
    <w:rsid w:val="003F6D61"/>
    <w:rsid w:val="004C0DF5"/>
    <w:rsid w:val="004D6FA2"/>
    <w:rsid w:val="004E51E9"/>
    <w:rsid w:val="00504D8D"/>
    <w:rsid w:val="0058590E"/>
    <w:rsid w:val="00634DDD"/>
    <w:rsid w:val="00643E95"/>
    <w:rsid w:val="0066797A"/>
    <w:rsid w:val="006808CD"/>
    <w:rsid w:val="00733C57"/>
    <w:rsid w:val="00764EE7"/>
    <w:rsid w:val="007D4FE0"/>
    <w:rsid w:val="009221B7"/>
    <w:rsid w:val="00957118"/>
    <w:rsid w:val="00AD4233"/>
    <w:rsid w:val="00B013ED"/>
    <w:rsid w:val="00B04F75"/>
    <w:rsid w:val="00B05BA2"/>
    <w:rsid w:val="00B26104"/>
    <w:rsid w:val="00BB1032"/>
    <w:rsid w:val="00C27884"/>
    <w:rsid w:val="00D132F4"/>
    <w:rsid w:val="00D21943"/>
    <w:rsid w:val="00D31A05"/>
    <w:rsid w:val="00E5208F"/>
    <w:rsid w:val="00F11DFC"/>
    <w:rsid w:val="00FB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9978527C3E94A29A0B844BD061944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DE04A19CB89495599B59D653C77DC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4F693D6B794C5BB159DC16256FE5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15</Pages>
  <Words>9024</Words>
  <Characters>9450</Characters>
  <Lines>96</Lines>
  <Paragraphs>27</Paragraphs>
  <TotalTime>0</TotalTime>
  <ScaleCrop>false</ScaleCrop>
  <LinksUpToDate>false</LinksUpToDate>
  <CharactersWithSpaces>10032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2023-08-03T16:56:00Z</dcterms:created>
  <dc:creator>Administrator</dc:creator>
  <dc:description>&lt;config cover="true" show_menu="true" version="1.0.0" doctype="SDKXY"&gt;_x000d_
&lt;/config&gt;</dc:description>
  <cp:lastModifiedBy>覃思颖</cp:lastModifiedBy>
  <cp:lastPrinted>2025-09-08T03:50:00Z</cp:lastPrinted>
  <dcterms:modified xsi:type="dcterms:W3CDTF">2025-10-20T06:54:18Z</dcterms:modified>
  <dc:title>团体标准</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KSOTemplateDocerSaveRecord">
    <vt:lpwstr>eyJoZGlkIjoiZDU4MDczMzcyYmJkMTU0Yzk3Y2Q1OWEyNGVlYzBmODAiLCJ1c2VySWQiOiI2NTgwMDU1NDYifQ==</vt:lpwstr>
  </property>
  <property fmtid="{D5CDD505-2E9C-101B-9397-08002B2CF9AE}" pid="16" name="ICV">
    <vt:lpwstr>ED722182841C441B877375F2A5E07B63_13</vt:lpwstr>
  </property>
  <property fmtid="{D5CDD505-2E9C-101B-9397-08002B2CF9AE}" pid="17" name="DoublePage">
    <vt:lpwstr>true</vt:lpwstr>
  </property>
</Properties>
</file>