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51094">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w:t>
      </w:r>
      <w:r>
        <w:rPr>
          <w:rFonts w:hint="eastAsia" w:ascii="方正小标宋简体" w:eastAsia="方正小标宋简体" w:cs="仿宋_GB2312"/>
          <w:bCs/>
          <w:color w:val="auto"/>
          <w:sz w:val="36"/>
          <w:szCs w:val="32"/>
          <w:lang w:val="en-US" w:eastAsia="zh-CN"/>
        </w:rPr>
        <w:t>零售药店药学服务规范</w:t>
      </w:r>
      <w:r>
        <w:rPr>
          <w:rFonts w:hint="eastAsia" w:ascii="方正小标宋简体" w:eastAsia="方正小标宋简体" w:cs="仿宋_GB2312"/>
          <w:bCs/>
          <w:color w:val="auto"/>
          <w:sz w:val="36"/>
          <w:szCs w:val="32"/>
        </w:rPr>
        <w:t>》（征求意见稿）编制说明</w:t>
      </w:r>
    </w:p>
    <w:p w14:paraId="33C58FC6">
      <w:pPr>
        <w:jc w:val="center"/>
        <w:rPr>
          <w:rFonts w:hint="eastAsia" w:ascii="方正小标宋简体" w:eastAsia="方正小标宋简体" w:cs="仿宋_GB2312"/>
          <w:bCs/>
          <w:color w:val="auto"/>
          <w:sz w:val="18"/>
          <w:szCs w:val="18"/>
        </w:rPr>
      </w:pPr>
    </w:p>
    <w:p w14:paraId="54990CC0">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6E1C26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根据《关于下达 2025年第一批医药领域团体标准制修订项目计划的通知》（桂标协〔2025〕29号、桂药协〔2025〕4号）精神，由广西药师协会提出，国药控股广西有限公司、国药控股国大药房广西连锁有限公司、广西大参林连锁药店有限公司、广西桂中大药房连锁有限责任公司、广西医科大学第一附属医院、广西壮族自治区人民医院、广西医科大学附属肿瘤医院、广西壮族自治区食品药品审评查验中心、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等单位共同起草的团体标准《</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》（项目编号：2025-010</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311E8CA8">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》，由起草单位成立标准编制工作组并进行如下分工：</w:t>
      </w:r>
    </w:p>
    <w:tbl>
      <w:tblPr>
        <w:tblStyle w:val="13"/>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287"/>
        <w:gridCol w:w="1127"/>
        <w:gridCol w:w="1948"/>
        <w:gridCol w:w="3778"/>
      </w:tblGrid>
      <w:tr w14:paraId="0219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7BEB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姓名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BC881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职务/职称</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B2C1B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从事</w:t>
            </w:r>
          </w:p>
          <w:p w14:paraId="33F036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专业</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92F1F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工作单位</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FEBD4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left"/>
              <w:textAlignment w:val="auto"/>
              <w:rPr>
                <w:rFonts w:hint="default" w:ascii="仿宋" w:hAnsi="仿宋" w:eastAsia="仿宋" w:cs="仿宋"/>
                <w:b/>
                <w:color w:val="auto"/>
                <w:sz w:val="24"/>
                <w:shd w:val="clear" w:color="auto" w:fill="auto"/>
              </w:rPr>
            </w:pPr>
            <w:r>
              <w:rPr>
                <w:rFonts w:hint="eastAsia" w:ascii="仿宋" w:hAnsi="仿宋" w:eastAsia="仿宋" w:cs="仿宋"/>
                <w:b/>
                <w:color w:val="auto"/>
                <w:sz w:val="24"/>
                <w:shd w:val="clear" w:color="auto" w:fill="auto"/>
              </w:rPr>
              <w:t>主要负责工作</w:t>
            </w:r>
          </w:p>
        </w:tc>
      </w:tr>
      <w:tr w14:paraId="65C1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66F3E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彭敏</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4C97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543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2CBC7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0A8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统筹主持标准编制工作</w:t>
            </w:r>
          </w:p>
        </w:tc>
      </w:tr>
      <w:tr w14:paraId="6B2F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0A37C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陆丽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F03A9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总经理助理/主管药师/执业药师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BDE79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0D3BE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8C4B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kern w:val="2"/>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参与标准编制工作，组织人员进行标准发布后的宣贯培训</w:t>
            </w:r>
          </w:p>
        </w:tc>
      </w:tr>
      <w:tr w14:paraId="77F5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B4ADB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bookmarkStart w:id="1" w:name="_GoBack"/>
            <w:bookmarkEnd w:id="1"/>
            <w:r>
              <w:rPr>
                <w:rFonts w:hint="eastAsia" w:ascii="仿宋_GB2312" w:hAnsi="仿宋_GB2312" w:eastAsia="仿宋_GB2312" w:cs="仿宋_GB2312"/>
                <w:color w:val="auto"/>
                <w:sz w:val="16"/>
                <w:szCs w:val="16"/>
                <w:shd w:val="clear" w:color="auto" w:fill="auto"/>
                <w:lang w:val="en-US" w:eastAsia="zh-CN" w:bidi="ar"/>
              </w:rPr>
              <w:t>张宏亮</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A6FB5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48D14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9E888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813D7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参与标准文本及编制说明编写，质量控制</w:t>
            </w:r>
          </w:p>
        </w:tc>
      </w:tr>
      <w:tr w14:paraId="78CF8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D85A0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陈晓宇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8092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382E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3E04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6AAE7D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607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59F9F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梁月霞</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2EE38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质量负责人</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6A7D2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34931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广西大参林连锁药店有限公司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6783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227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E2B68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陈丽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B4A0A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质量管理总监/执业药师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D803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64207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广西桂中大药房连锁有限责任公司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063C1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参与标准文本及编制说明的编写；组织开展标准征求意见会；对标准实施情况进行总结分析，不断对标准提出修正意见</w:t>
            </w:r>
          </w:p>
        </w:tc>
      </w:tr>
      <w:tr w14:paraId="27D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26609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卢慧媚</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ACD2C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质量负责人</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7FCC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03618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eastAsia="zh-CN" w:bidi="ar"/>
              </w:rPr>
              <w:t>国药控股国大药房广西连锁有限公司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82459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0DF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D79D2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蒋受军</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86DA6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中心主任/主任药师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54EB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“两品一械”审评查验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D8C64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9825E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B66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8D60F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李艳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64C00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72BFD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抗感染药物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27C05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639C6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FB6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4F1B6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秦魏沛</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FED49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执业中药师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43B10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60E3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DAEF6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ED9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209BC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赵蕾</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A73E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974E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药物制剂</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51361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6D0097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3A7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EA89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莫小华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800B1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DTP部主管</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46974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D2FD6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广西大参林连锁药店有限公司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18BEA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FDB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4ABC1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邝丽丽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A6BBB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战区总监/执业药师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B26F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运营管理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848C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广西桂中大药房连锁有限责任公司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69F0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4BDA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CC2EE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杜清华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3A77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主管药师/执业中药师/执业西药师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86CA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151FF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国药控股广西有限公司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1854E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2DC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1BE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连家桃</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04C15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质量管理员</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322BF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4129B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eastAsia="zh-CN" w:bidi="ar"/>
              </w:rPr>
              <w:t>国药控股国大药房广西连锁有限公司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01339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7F3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E304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刘恒震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F5195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5863B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D3E4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02356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B74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B24D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韦凤娟</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D423C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副总经理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D5F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6A550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广西一心药业集团有限责任公司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4AE77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B2F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1B85D1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何淑婷</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313C18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质量管理经理</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A1BA5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0B7C7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广西鸿翔一心堂药业有限责任公司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CA19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AD3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275FD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李方宏</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1B3CB7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经理</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079FD0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连锁药店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48613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广西健之佳</w:t>
            </w:r>
            <w:r>
              <w:rPr>
                <w:rFonts w:hint="eastAsia" w:ascii="仿宋_GB2312" w:hAnsi="仿宋_GB2312" w:eastAsia="仿宋_GB2312" w:cs="仿宋_GB2312"/>
                <w:color w:val="auto"/>
                <w:sz w:val="16"/>
                <w:szCs w:val="16"/>
                <w:shd w:val="clear" w:color="auto" w:fill="auto"/>
                <w:lang w:val="en-US" w:eastAsia="zh-CN" w:bidi="ar"/>
              </w:rPr>
              <w:t>药店连锁</w:t>
            </w:r>
            <w:r>
              <w:rPr>
                <w:rFonts w:hint="eastAsia" w:ascii="仿宋_GB2312" w:hAnsi="仿宋_GB2312" w:eastAsia="仿宋_GB2312" w:cs="仿宋_GB2312"/>
                <w:color w:val="auto"/>
                <w:sz w:val="16"/>
                <w:szCs w:val="16"/>
                <w:shd w:val="clear" w:color="auto" w:fill="auto"/>
                <w:lang w:bidi="ar"/>
              </w:rPr>
              <w:t>有限公司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8559E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067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1E560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马日鲸</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57DC93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企业质量负责人</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4A7041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E87DB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广西桂翰百姓人家大药房有限责任公司</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437D6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7E2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93C2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王冬梅</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64D77D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79A84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07A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EB3DF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EE1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D72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刘代华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5E0B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0063E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87CA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柳州市人民医院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2D0A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C67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57B8C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陈薇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A7A7F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950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845A2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桂林医学院附属医院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67D6C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828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D1CA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邓雪玉</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4082A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18C49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89EDB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全州县妇幼保健院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3D4DE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F81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5CCD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席加喜</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8967F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0D634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E05F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广西药师协会</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907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EDC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8E7F0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田万平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B624C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商采总监</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8BD75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D5884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C844A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C72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F411A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彭勇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B35B8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质管部部长</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8B2A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质量管理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F3525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老百姓大药房连锁(广西)有限公司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24C3B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364F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DCC4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李典聪</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93AB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总监/中级药师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9CC85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6FE12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广西一心药业集团有限责任公司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76C94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524B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29825E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黄湫艳</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76FA0F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执业药师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2BB0A6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处方审核员</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E4D87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广西横州市福旺大药房有限责任公司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AA77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F5A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3226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韦莹莹</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7CAA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中心副主任/工程师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EFE19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“两品一械”审评查验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25E86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2A8CB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58F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B1699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蓝颖</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5556B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0CA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肿瘤专业临床药师</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01459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93E69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F147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4D1D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罗俊</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C244F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主任药师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97DC5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D357C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CC37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5B5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6233A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徐小惠</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6718B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7CB9C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内分泌药物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E994B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175BC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5AC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5E14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吴琼</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3A748A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副主任药师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6B759D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抗肿瘤药物</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759F4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广西医科大学附属肿瘤医院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9436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723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9843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黄舒文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46FF7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673BE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8D42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CB3F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01B4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75C7D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许美玲</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757FA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新特药部经理</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FB49C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93CD3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广西康全药业连锁有限公司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01726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E95B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F13A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邱文恺</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CC28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科长/工程师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F2DD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药品流通审核查验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732B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00264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7D1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86876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叶溪</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FF68F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8655F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内分泌科临床药师</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75FB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7BE4A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7675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5A1131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朱一鸣</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47D79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39AA4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FD4BB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E449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601E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A339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常馨元</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69356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工程师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EFB0D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药品流通审核查验</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6B08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广西壮族自治区食品药品审评查验中心</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2E83E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2B73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7EA9F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陈红丽</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E7C0E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15998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临床药学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797E0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bidi="ar"/>
              </w:rPr>
              <w:t>南宁市第二人民医院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DC9E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62B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top"/>
          </w:tcPr>
          <w:p w14:paraId="25F9F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朱小蕾</w:t>
            </w:r>
          </w:p>
        </w:tc>
        <w:tc>
          <w:tcPr>
            <w:tcW w:w="1287" w:type="dxa"/>
            <w:tcBorders>
              <w:top w:val="single" w:color="auto" w:sz="4" w:space="0"/>
              <w:left w:val="single" w:color="auto" w:sz="4" w:space="0"/>
              <w:bottom w:val="single" w:color="auto" w:sz="4" w:space="0"/>
              <w:right w:val="single" w:color="auto" w:sz="4" w:space="0"/>
            </w:tcBorders>
            <w:noWrap w:val="0"/>
            <w:vAlign w:val="top"/>
          </w:tcPr>
          <w:p w14:paraId="2FC67E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执业中药师</w:t>
            </w:r>
          </w:p>
        </w:tc>
        <w:tc>
          <w:tcPr>
            <w:tcW w:w="1127" w:type="dxa"/>
            <w:tcBorders>
              <w:top w:val="single" w:color="auto" w:sz="4" w:space="0"/>
              <w:left w:val="single" w:color="auto" w:sz="4" w:space="0"/>
              <w:bottom w:val="single" w:color="auto" w:sz="4" w:space="0"/>
              <w:right w:val="single" w:color="auto" w:sz="4" w:space="0"/>
            </w:tcBorders>
            <w:noWrap w:val="0"/>
            <w:vAlign w:val="top"/>
          </w:tcPr>
          <w:p w14:paraId="47B69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C13B0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大参林医药集团股份有限公司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D8B56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F96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90D7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盛芳芬</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E8D0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主管药师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7B06B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8F7F7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福建国大药房连锁有限公司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A038A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r w14:paraId="1301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C113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val="en-US" w:eastAsia="zh-CN" w:bidi="ar"/>
              </w:rPr>
              <w:t>陈景麟</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39FEB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初级中药师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3B62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中药学</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260DA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center"/>
              <w:textAlignment w:val="auto"/>
              <w:rPr>
                <w:rFonts w:hint="default" w:ascii="仿宋_GB2312" w:hAnsi="仿宋_GB2312" w:eastAsia="仿宋_GB2312" w:cs="仿宋_GB2312"/>
                <w:color w:val="auto"/>
                <w:sz w:val="16"/>
                <w:szCs w:val="16"/>
                <w:shd w:val="clear" w:color="auto" w:fill="auto"/>
                <w:lang w:val="en-US" w:eastAsia="zh-CN" w:bidi="ar"/>
              </w:rPr>
            </w:pPr>
            <w:r>
              <w:rPr>
                <w:rFonts w:hint="eastAsia" w:ascii="仿宋_GB2312" w:hAnsi="仿宋_GB2312" w:eastAsia="仿宋_GB2312" w:cs="仿宋_GB2312"/>
                <w:color w:val="auto"/>
                <w:sz w:val="16"/>
                <w:szCs w:val="16"/>
                <w:shd w:val="clear" w:color="auto" w:fill="auto"/>
                <w:lang w:val="en-US" w:eastAsia="zh-CN" w:bidi="ar"/>
              </w:rPr>
              <w:t>福建国大药房连锁有限公司</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2A55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16"/>
                <w:szCs w:val="16"/>
                <w:shd w:val="clear" w:color="auto" w:fill="auto"/>
                <w:lang w:bidi="ar"/>
              </w:rPr>
            </w:pPr>
            <w:r>
              <w:rPr>
                <w:rFonts w:hint="eastAsia" w:ascii="仿宋_GB2312" w:hAnsi="仿宋_GB2312" w:eastAsia="仿宋_GB2312" w:cs="仿宋_GB2312"/>
                <w:color w:val="auto"/>
                <w:sz w:val="16"/>
                <w:szCs w:val="16"/>
                <w:shd w:val="clear" w:color="auto" w:fill="auto"/>
                <w:lang w:bidi="ar"/>
              </w:rPr>
              <w:t>参与标准文本及编制说明的编写；组织开展标准征求意见会；对标准实施情况进行总结分析，不断对标准提出修正意见</w:t>
            </w:r>
          </w:p>
        </w:tc>
      </w:tr>
    </w:tbl>
    <w:p w14:paraId="53753F26">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0D0BFFF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零售药店药学服务专业性服务贯穿消费者购药的全流程，从购买前病情询问、购买中药物咨询、到购买后服用顺从，药店的专业性服务能够为消费者提供全方位的指导和帮助，大大提升治疗效果和消费者购药体验。</w:t>
      </w:r>
    </w:p>
    <w:p w14:paraId="65578A54">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在2022年国家市场监督管理总局为了规范药品网络销售行为，就出台了《药品网络销售监督管理办法》。该办法提出药品网络零售企业还应当建立在线药学服务制度。2024年，国家药品监督管理局执业药师资格认证中心发布《药品零售企业执业药师药学服务指南》提出帮助药品零售企业执业药师开展药学服务，不断提升服务能力和水平，保障公众合理用药。2024年，国务院印发《关于促进服务消费高质量发展的意见》后，重庆、广东等地药监局发布相关政策，引导零售药店提供保障用药、健康监测、康复咨询、慢性病管理等服务，从而打造“药师服务”专业店，并为此制定了评选和计分标准，评审尤其关注药店的药师服务内容。</w:t>
      </w:r>
    </w:p>
    <w:p w14:paraId="76CDD64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药学服务是指药品零售店应用药学专业知识、技能和工具,向公众提供直接的、负责任的与用药相关的服务,以期提高药物治疗的安全性、有效性、经济性和适宜性的行为。</w:t>
      </w:r>
    </w:p>
    <w:p w14:paraId="18AFA3B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我国药店数量也在近十年持续提升，总量在2022年达到了62.3万家，店均服务人数约2265人。零售药店整体数量上已经趋近饱和状态，带来日益激烈的竞争。药店连锁率在近年来持续增长。根据相关数据，2022年全国药店连锁率达到57.8%，比2021年增加了0.6个百分点。2023年国内零售药店有66.7万家，同比上升7%，广西零售药店有2.5万家。这表明越来越多的药店开始采用连锁经营模式，以提高经营效率和服务质量。</w:t>
      </w:r>
    </w:p>
    <w:p w14:paraId="070E40A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零售药店内药学服务包括处方审核和调配、药品管理、合理用药指导、用药咨询与信息服务、慢病管理与居家药学服务、药物治疗管理、药物警戒、药学知识、健康教育、健康生活指导。鼓励药品零售店提升药学服务水平，为消费者提供药学服务，保障其安全用药。通过制定团体标准《零售药店药学服务规范》，以标准为抓手，推动药品零售店药学服务规范化发展，保障消费者用药安全具有重要意义。</w:t>
      </w:r>
    </w:p>
    <w:p w14:paraId="747AD21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5478853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7DD45D63">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项目任务下达后，国药控股广西有限公司、国药控股国大药房广西连锁有限公司、广西大参林连锁药店有限公司、广西桂中大药房连锁有限责任公司、广西医科大学第一附属医院、广西壮族自治区人民医院、广西医科大学附属肿瘤医院、广西壮族自治区食品药品审评查验中心、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成立了标准编制工作组，制定了起草编写方案与进度安排，明确任务职责，确定工作技术路线，开展标准研制工作。具体标准编制工作由起草单位相关人员配合完成。</w:t>
      </w:r>
    </w:p>
    <w:p w14:paraId="3975F9A9">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0217FCF3">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2EA0CF3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的相关文献资料。主要有：</w:t>
      </w:r>
    </w:p>
    <w:p w14:paraId="04BC698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  药物警戒指南（国药监药管〔2022〕17 号文）</w:t>
      </w:r>
    </w:p>
    <w:p w14:paraId="7E5FA81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  《药品经营质量管理规范》（国家药品监督管理局令第20号）</w:t>
      </w:r>
    </w:p>
    <w:p w14:paraId="36A49AA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[3]  《执业药师职业资格制度规定》（国药监人〔2019〕12 号）</w:t>
      </w:r>
    </w:p>
    <w:p w14:paraId="15E4344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[4] 《医疗机构药学门诊服务规范》 国卫办医函〔2021〕520号</w:t>
      </w:r>
    </w:p>
    <w:p w14:paraId="439D663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[5] 《处方管理办法》（中华人民共和国卫生部令第53号）</w:t>
      </w:r>
    </w:p>
    <w:p w14:paraId="5A319CB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[6] 《中华人民共和国消费权益保护法》（中华人民共和国主席令第11号）</w:t>
      </w:r>
    </w:p>
    <w:p w14:paraId="3E885BE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[7] 《医疗机构药事管理规定》（卫医政发〔2011〕11号）</w:t>
      </w:r>
    </w:p>
    <w:p w14:paraId="23172E0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[8] 《广西壮族自治区药品经营质量管理规范认证检查细则》（2017年修订）</w:t>
      </w:r>
    </w:p>
    <w:p w14:paraId="606F606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[9]  药品零售企业执业药师药学服务指南</w:t>
      </w:r>
    </w:p>
    <w:p w14:paraId="2E29AB9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[10] 广西壮族自治区药品经营质量管理规范认证检查细则（2017年修订）</w:t>
      </w:r>
    </w:p>
    <w:p w14:paraId="1360846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《执业药师职业资格制度规定》（国药监人〔2019〕12 号）</w:t>
      </w:r>
    </w:p>
    <w:p w14:paraId="75D0EE7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[12]《医疗机构药学门诊服务规范》 国卫办医函〔2021〕520号</w:t>
      </w:r>
    </w:p>
    <w:p w14:paraId="7B27E36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[13]《处方管理办法》（中华人民共和国卫生部令第53号）</w:t>
      </w:r>
    </w:p>
    <w:p w14:paraId="388AD07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[14]《中华人民共和国消费权益保护法》（中华人民共和国主席令第11号）</w:t>
      </w:r>
    </w:p>
    <w:p w14:paraId="4C8F5D8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[15]《医疗机构药事管理规定》（卫医政发〔2011〕11号</w:t>
      </w:r>
    </w:p>
    <w:p w14:paraId="23936B4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[16]《广西壮族自治区药品经营质量管理规范认证检查细则》（2017年修订）</w:t>
      </w:r>
    </w:p>
    <w:p w14:paraId="6EFDFC64">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（三）研讨确定标准特色、创新点和主体内容</w:t>
      </w:r>
    </w:p>
    <w:p w14:paraId="27C287CE">
      <w:pPr>
        <w:pStyle w:val="29"/>
        <w:spacing w:line="520" w:lineRule="exact"/>
        <w:ind w:firstLine="560"/>
        <w:rPr>
          <w:rFonts w:hint="eastAsia" w:ascii="仿宋_GB2312" w:eastAsia="仿宋_GB2312"/>
          <w:color w:val="auto"/>
          <w:sz w:val="28"/>
          <w:szCs w:val="28"/>
          <w:highlight w:val="none"/>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 w:eastAsia="zh-CN"/>
        </w:rPr>
        <w:t>零售药店药学服务的基</w:t>
      </w:r>
      <w:r>
        <w:rPr>
          <w:rFonts w:hint="eastAsia" w:ascii="仿宋_GB2312" w:eastAsia="仿宋_GB2312"/>
          <w:color w:val="auto"/>
          <w:sz w:val="28"/>
          <w:szCs w:val="28"/>
          <w:highlight w:val="none"/>
          <w:lang w:val="en" w:eastAsia="zh-CN"/>
        </w:rPr>
        <w:t>本要求、服务内容、服务评价与改进的要求。</w:t>
      </w:r>
    </w:p>
    <w:p w14:paraId="2273D80A">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总结说明本标准对比与共识、护理书籍、相关标准的创新点在于：</w:t>
      </w:r>
    </w:p>
    <w:p w14:paraId="4AB6F4E3">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1.</w:t>
      </w:r>
      <w:r>
        <w:rPr>
          <w:rFonts w:hint="eastAsia" w:ascii="仿宋_GB2312" w:eastAsia="仿宋_GB2312"/>
          <w:sz w:val="28"/>
          <w:szCs w:val="28"/>
          <w:highlight w:val="none"/>
          <w:lang w:eastAsia="zh-CN"/>
        </w:rPr>
        <w:t>系统整合药学服务全流程，突出专业化与人性化结合</w:t>
      </w:r>
    </w:p>
    <w:p w14:paraId="30EAEF00">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本标准首次在广西团体标准层面系统梳理了零售药店药学服务从“顾客接待—处方审核—药品调配—用药指导—慢病管理—不良反应上报—便民服务”的全流程，并明确各环节的执业药师、药学技术人员、药学服务人员的职责与操作规范。相较于现行《药品经营质量管理规范》（GSP）侧重于质量管理，本标准更注重“服务行为”的标准化，体现从“药品供应”向“药学服务”转型的行业趋势。</w:t>
      </w:r>
    </w:p>
    <w:p w14:paraId="21436233">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细化慢性病管理服务内容，提升药店健康服务功能</w:t>
      </w:r>
    </w:p>
    <w:p w14:paraId="5383577D">
      <w:pPr>
        <w:spacing w:line="520" w:lineRule="exact"/>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明确要求为高血压、糖尿病、冠心病等慢病顾客建立个人信息档案，定期追踪指标、进行用药回访和生活方式干预。这一内容呼应了《“健康中国2030”规划纲要》中“强化慢性病预防和健康管理”的要求，也与国家药监局《药品零售企业执业药师药学服务指南》（2024年）中“慢病药学服务”章节相衔接，体现了药店从销售终端向健康服务终端转型的创新定位。</w:t>
      </w:r>
    </w:p>
    <w:p w14:paraId="0DE38631">
      <w:pPr>
        <w:spacing w:line="520" w:lineRule="exact"/>
        <w:ind w:firstLine="560" w:firstLineChars="20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3.增加了“药品经济性指导”等体现现代商业服务细节的环节。</w:t>
      </w:r>
    </w:p>
    <w:p w14:paraId="77848629">
      <w:pPr>
        <w:spacing w:line="520" w:lineRule="exact"/>
        <w:ind w:firstLine="560" w:firstLineChars="200"/>
        <w:rPr>
          <w:rFonts w:hint="default" w:ascii="仿宋_GB2312" w:eastAsia="仿宋_GB2312"/>
          <w:sz w:val="28"/>
          <w:szCs w:val="28"/>
          <w:highlight w:val="none"/>
          <w:lang w:val="en-US" w:eastAsia="zh-CN"/>
        </w:rPr>
      </w:pPr>
      <w:r>
        <w:rPr>
          <w:rFonts w:hint="default" w:ascii="仿宋_GB2312" w:eastAsia="仿宋_GB2312"/>
          <w:sz w:val="28"/>
          <w:szCs w:val="28"/>
          <w:highlight w:val="none"/>
          <w:lang w:val="en-US" w:eastAsia="zh-CN"/>
        </w:rPr>
        <w:t>该环节要求药学服务人员在交易结算阶段，不仅准确、透明地完成收银操作，提供现金、电子支付、医保等多种支付方式，更需主动引导顾客并规范开具销售凭证。此举一方面严格履行了《中华人民共和国消费者权益保护法》中关于经营者出具购货凭证的义务，保障了消费者的知情权与公平交易权；另一方面，通过清晰的费用告知与核对，有效避免了结算纠纷，增强了服务过程的诚信度与专业性。</w:t>
      </w:r>
    </w:p>
    <w:p w14:paraId="2BA81A20">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（四）调研及形成草案、征求意见稿</w:t>
      </w:r>
    </w:p>
    <w:p w14:paraId="761DE700">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月～202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5B2A83BE">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》（草案）。</w:t>
      </w:r>
    </w:p>
    <w:p w14:paraId="73D52349">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sz w:val="28"/>
          <w:szCs w:val="28"/>
          <w:lang w:val="en"/>
        </w:rPr>
        <w:t>年</w:t>
      </w:r>
      <w:r>
        <w:rPr>
          <w:rFonts w:hint="default" w:ascii="仿宋_GB2312" w:eastAsia="仿宋_GB2312"/>
          <w:color w:val="auto"/>
          <w:sz w:val="28"/>
          <w:szCs w:val="28"/>
          <w:lang w:val="en" w:eastAsia="zh-CN"/>
        </w:rPr>
        <w:t>7</w:t>
      </w:r>
      <w:r>
        <w:rPr>
          <w:rFonts w:hint="eastAsia" w:ascii="仿宋_GB2312" w:eastAsia="仿宋_GB2312"/>
          <w:color w:val="auto"/>
          <w:sz w:val="28"/>
          <w:szCs w:val="28"/>
          <w:lang w:val="en"/>
        </w:rPr>
        <w:t>月～</w:t>
      </w:r>
      <w:r>
        <w:rPr>
          <w:rFonts w:hint="eastAsia" w:ascii="仿宋_GB2312" w:eastAsia="仿宋_GB2312"/>
          <w:color w:val="auto"/>
          <w:sz w:val="28"/>
          <w:szCs w:val="28"/>
          <w:lang w:val="en-US" w:eastAsia="zh-CN"/>
        </w:rPr>
        <w:t>202</w:t>
      </w:r>
      <w:r>
        <w:rPr>
          <w:rFonts w:hint="default" w:ascii="仿宋_GB2312" w:eastAsia="仿宋_GB2312"/>
          <w:color w:val="auto"/>
          <w:sz w:val="28"/>
          <w:szCs w:val="28"/>
          <w:lang w:val="en" w:eastAsia="zh-CN"/>
        </w:rPr>
        <w:t>5</w:t>
      </w:r>
      <w:r>
        <w:rPr>
          <w:rFonts w:hint="eastAsia" w:ascii="仿宋_GB2312" w:eastAsia="仿宋_GB2312"/>
          <w:color w:val="auto"/>
          <w:sz w:val="28"/>
          <w:szCs w:val="28"/>
          <w:lang w:val="en-US" w:eastAsia="zh-CN"/>
        </w:rPr>
        <w:t>年</w:t>
      </w:r>
      <w:r>
        <w:rPr>
          <w:rFonts w:hint="default" w:ascii="仿宋_GB2312" w:eastAsia="仿宋_GB2312"/>
          <w:color w:val="auto"/>
          <w:sz w:val="28"/>
          <w:szCs w:val="28"/>
          <w:lang w:val="en" w:eastAsia="zh-CN"/>
        </w:rPr>
        <w:t>8</w:t>
      </w:r>
      <w:r>
        <w:rPr>
          <w:rFonts w:hint="eastAsia" w:ascii="仿宋_GB2312" w:eastAsia="仿宋_GB2312"/>
          <w:color w:val="auto"/>
          <w:sz w:val="28"/>
          <w:szCs w:val="28"/>
          <w:lang w:val="en"/>
        </w:rPr>
        <w:t>月，标准编制工作组深入</w:t>
      </w:r>
      <w:r>
        <w:rPr>
          <w:rFonts w:hint="eastAsia" w:ascii="仿宋_GB2312" w:eastAsia="仿宋_GB2312"/>
          <w:color w:val="auto"/>
          <w:sz w:val="28"/>
          <w:szCs w:val="28"/>
        </w:rPr>
        <w:t>国药控股广西有限公司、国药控股国大药房广西连锁有限公司、广西大参林连锁药店有限公司、广西桂中大药房连锁有限责任公司、广西医科大学第一附属医院、广西壮族自治区人民医院、广西医科大学附属肿瘤医院、广西壮族自治区食品药品审评查验中心、南宁市第二人民医院、柳州市人民医院、桂林医学院附属医院、全州县妇幼保健院、广西康全药业连锁有限公司、老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r>
        <w:rPr>
          <w:rFonts w:hint="eastAsia" w:ascii="仿宋_GB2312" w:eastAsia="仿宋_GB2312"/>
          <w:color w:val="auto"/>
          <w:sz w:val="28"/>
          <w:szCs w:val="28"/>
          <w:lang w:val="en" w:eastAsia="zh-CN"/>
        </w:rPr>
        <w:t>实施零售药店药学服务</w:t>
      </w:r>
      <w:r>
        <w:rPr>
          <w:rFonts w:hint="eastAsia" w:ascii="仿宋_GB2312" w:hAnsi="宋体" w:eastAsia="仿宋_GB2312"/>
          <w:color w:val="auto"/>
          <w:sz w:val="28"/>
          <w:szCs w:val="28"/>
        </w:rPr>
        <w:t>的有代表性的</w:t>
      </w:r>
      <w:r>
        <w:rPr>
          <w:rFonts w:hint="eastAsia" w:ascii="仿宋_GB2312" w:hAnsi="宋体" w:eastAsia="仿宋_GB2312"/>
          <w:color w:val="auto"/>
          <w:sz w:val="28"/>
          <w:szCs w:val="28"/>
          <w:lang w:val="en-US" w:eastAsia="zh-CN"/>
        </w:rPr>
        <w:t>药店</w:t>
      </w:r>
      <w:r>
        <w:rPr>
          <w:rFonts w:hint="eastAsia" w:ascii="仿宋_GB2312" w:eastAsia="仿宋_GB2312"/>
          <w:color w:val="auto"/>
          <w:kern w:val="0"/>
          <w:sz w:val="28"/>
          <w:szCs w:val="28"/>
        </w:rPr>
        <w:t>进行实地调研，并组织相关主管单位、</w:t>
      </w:r>
      <w:r>
        <w:rPr>
          <w:rFonts w:hint="eastAsia" w:ascii="仿宋_GB2312" w:eastAsia="仿宋_GB2312"/>
          <w:color w:val="auto"/>
          <w:kern w:val="0"/>
          <w:sz w:val="28"/>
          <w:szCs w:val="28"/>
          <w:lang w:val="en-US" w:eastAsia="zh-CN"/>
        </w:rPr>
        <w:t>药店</w:t>
      </w:r>
      <w:r>
        <w:rPr>
          <w:rFonts w:hint="eastAsia" w:ascii="仿宋_GB2312" w:eastAsia="仿宋_GB2312"/>
          <w:color w:val="auto"/>
          <w:kern w:val="0"/>
          <w:sz w:val="28"/>
          <w:szCs w:val="28"/>
        </w:rPr>
        <w:t>等召开标准研讨会，收集反馈了大量意见，对标准草案进行了反复修改和研究讨论，掌握了</w:t>
      </w:r>
      <w:r>
        <w:rPr>
          <w:rFonts w:hint="eastAsia" w:ascii="仿宋_GB2312" w:eastAsia="仿宋_GB2312"/>
          <w:color w:val="auto"/>
          <w:sz w:val="28"/>
          <w:szCs w:val="28"/>
          <w:lang w:val="en" w:eastAsia="zh-CN"/>
        </w:rPr>
        <w:t>零售药店药学服务</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0"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kern w:val="0"/>
          <w:sz w:val="28"/>
          <w:szCs w:val="28"/>
        </w:rPr>
        <w:t>》（征求意见稿）及其编制说明。</w:t>
      </w:r>
      <w:bookmarkEnd w:id="0"/>
    </w:p>
    <w:p w14:paraId="5194B39A">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6671BE0C">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67B7B533">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98BE10C">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现状，结合起草单位前期研究工作取得的研究成果及积累的实践经验，并借鉴国内</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lang w:val="en" w:eastAsia="zh-CN"/>
        </w:rPr>
        <w:t>零售药店药学服务</w:t>
      </w:r>
      <w:r>
        <w:rPr>
          <w:rFonts w:hint="eastAsia" w:ascii="仿宋_GB2312" w:eastAsia="仿宋_GB2312" w:cs="仿宋"/>
          <w:color w:val="auto"/>
          <w:sz w:val="28"/>
          <w:szCs w:val="28"/>
        </w:rPr>
        <w:t>的实施与推广，具有可操作性和实用性。</w:t>
      </w:r>
    </w:p>
    <w:p w14:paraId="10217A12">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38FFE9B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相关法律法规的协调问题，在内容上与现行法律法规、标准协调一致。</w:t>
      </w:r>
    </w:p>
    <w:p w14:paraId="276E29B0">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12F126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3021FB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1AD6C48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现实情况的同时，还考虑到了</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发展的指导。</w:t>
      </w:r>
    </w:p>
    <w:p w14:paraId="7A1B5DB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2BE3BA5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sz w:val="28"/>
          <w:szCs w:val="28"/>
          <w:lang w:val="en" w:eastAsia="zh-CN"/>
        </w:rPr>
        <w:t>零售药店药学服务</w:t>
      </w:r>
      <w:r>
        <w:rPr>
          <w:rFonts w:hint="eastAsia" w:ascii="仿宋_GB2312" w:eastAsia="仿宋_GB2312"/>
          <w:color w:val="auto"/>
          <w:sz w:val="28"/>
          <w:szCs w:val="28"/>
        </w:rPr>
        <w:t>研究应用过程中的实践经验确定。</w:t>
      </w:r>
    </w:p>
    <w:p w14:paraId="64ACBF6C">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0EC8997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51087878">
      <w:pPr>
        <w:adjustRightInd w:val="0"/>
        <w:snapToGrid w:val="0"/>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经查阅，目前国内与“零售药店 服务”相关标准有SB/T 10763-2012《零售药店经营服务规范》、DB31/T 713-2023《零售药店服务规范》以上标准虽涉及到药学服务，但是本标准针对药学服务进行了细化，如人员岗位配备的资质与队伍的建设、现场管理规章制度、OTC与处方药用药指导服务、常温和冷链药品配送服务规范、患者药历建档细则、患者用药跟踪监测、建立完善药物不良反应的监测管理、药学服务质量管理。</w:t>
      </w:r>
    </w:p>
    <w:p w14:paraId="78E487B5">
      <w:pPr>
        <w:adjustRightInd w:val="0"/>
        <w:snapToGrid w:val="0"/>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DB23/T 3366—2022《零售药店慢性病药品经营服务规范》、DB37/T 4396—2021《协议定点零售药店医疗保障服务规范》、DB3208/T 152-2021《“零售药店行业准营一件事”一次办服务规范》以上标准均是对零售药店经营管理服务进行规范，而本标准是对零售药店药学服务进行规范。</w:t>
      </w:r>
    </w:p>
    <w:p w14:paraId="4BE8A554">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T/CAPC 015—2024《零售药店经营甲状腺疾病治疗药品药学服务规范》、T/CAPC 011—2024《零售药店经营自体嵌合抗原受体T细胞(CAR-T)治疗药品服务规范》、T/CAPC 014—2023《零售药店经营银屑病治疗药品药学服务规范》、T/CAPC 013—2023《零售药店经营咳喘治疗药品药学服务规范》、T/CAPC 012—2023《零售药店经营糖尿病、高血压与血脂异常治疗药品药学服务规范》、T/CAPC 009—2022《零售药店经营乳腺癌治疗药品药学服务规范》、T/CAPC 008—2022《零售药店经营肺癌治疗药品药学服务规范》、T/CAPC 006—2022《零售药店经营辅助生殖治疗药品药学服务规范》、T/CAPC 005—2022《零售药店经营结直肠癌治疗药品药学服务规范》、T/CAPC 002—2020《零售药店经营慢性病药品服务规范》、T/CAPC 001—2020《零售药店经营特殊疾病药品服务规范》、T/DLYYXH 001-2017《零售药店服务规范》以上标准均是对零售药店服务或单一药品药学服务进行规范，而本标准是对零售药店全品类药品药学服务进行规范，当前未制定有团体标准《零售药店药学服务规范》。</w:t>
      </w:r>
      <w:r>
        <w:rPr>
          <w:rFonts w:hint="eastAsia" w:ascii="仿宋_GB2312" w:eastAsia="仿宋_GB2312" w:cs="仿宋"/>
          <w:bCs/>
          <w:color w:val="auto"/>
          <w:sz w:val="28"/>
          <w:szCs w:val="28"/>
          <w:lang w:val="en-US" w:eastAsia="zh-CN"/>
        </w:rPr>
        <w:t>。</w:t>
      </w:r>
    </w:p>
    <w:p w14:paraId="43BA97DC">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4A771D42">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val="0"/>
          <w:bCs w:val="0"/>
          <w:color w:val="auto"/>
          <w:sz w:val="28"/>
          <w:szCs w:val="28"/>
        </w:rPr>
        <w:t>本文件界定了</w:t>
      </w:r>
      <w:r>
        <w:rPr>
          <w:rFonts w:hint="eastAsia" w:ascii="仿宋_GB2312" w:eastAsia="仿宋_GB2312" w:cs="仿宋"/>
          <w:b w:val="0"/>
          <w:bCs w:val="0"/>
          <w:color w:val="auto"/>
          <w:sz w:val="28"/>
          <w:szCs w:val="28"/>
          <w:lang w:val="en" w:eastAsia="zh-CN"/>
        </w:rPr>
        <w:t>零售药店药学服务</w:t>
      </w:r>
      <w:r>
        <w:rPr>
          <w:rFonts w:hint="eastAsia" w:ascii="仿宋_GB2312" w:eastAsia="仿宋_GB2312" w:cs="仿宋"/>
          <w:b w:val="0"/>
          <w:bCs w:val="0"/>
          <w:color w:val="auto"/>
          <w:sz w:val="28"/>
          <w:szCs w:val="28"/>
        </w:rPr>
        <w:t>涉及的术语和定义，规定了基本要求、服务内容、服务评价与改进的要求。本文件适用于医疗机构</w:t>
      </w:r>
      <w:r>
        <w:rPr>
          <w:rFonts w:hint="eastAsia" w:ascii="仿宋_GB2312" w:eastAsia="仿宋_GB2312" w:cs="仿宋"/>
          <w:b w:val="0"/>
          <w:bCs w:val="0"/>
          <w:color w:val="auto"/>
          <w:sz w:val="28"/>
          <w:szCs w:val="28"/>
          <w:lang w:val="en" w:eastAsia="zh-CN"/>
        </w:rPr>
        <w:t>零售药店药学服务</w:t>
      </w:r>
      <w:r>
        <w:rPr>
          <w:rFonts w:hint="eastAsia" w:ascii="仿宋_GB2312" w:eastAsia="仿宋_GB2312"/>
          <w:sz w:val="28"/>
          <w:szCs w:val="28"/>
          <w:lang w:eastAsia="zh-CN"/>
        </w:rPr>
        <w:t>。</w:t>
      </w:r>
    </w:p>
    <w:p w14:paraId="75F11B3F">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术语和定义</w:t>
      </w:r>
    </w:p>
    <w:p w14:paraId="21594B9C">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参考《处方管理办法》（卫生部令第53号）明确了处方的定义。</w:t>
      </w:r>
    </w:p>
    <w:p w14:paraId="1D230721">
      <w:pPr>
        <w:pStyle w:val="29"/>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200"/>
        <w:textAlignment w:val="auto"/>
        <w:rPr>
          <w:rFonts w:hint="eastAsia" w:ascii="仿宋_GB2312" w:eastAsia="仿宋_GB2312" w:cs="仿宋"/>
          <w:b w:val="0"/>
          <w:bCs/>
          <w:color w:val="auto"/>
          <w:sz w:val="28"/>
          <w:szCs w:val="28"/>
          <w:lang w:val="en-US" w:eastAsia="zh-CN"/>
        </w:rPr>
      </w:pPr>
      <w:r>
        <w:drawing>
          <wp:inline distT="0" distB="0" distL="114300" distR="114300">
            <wp:extent cx="5676265" cy="2242185"/>
            <wp:effectExtent l="9525" t="9525" r="1651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76265" cy="2242185"/>
                    </a:xfrm>
                    <a:prstGeom prst="rect">
                      <a:avLst/>
                    </a:prstGeom>
                    <a:noFill/>
                    <a:ln>
                      <a:solidFill>
                        <a:schemeClr val="tx1"/>
                      </a:solidFill>
                    </a:ln>
                  </pic:spPr>
                </pic:pic>
              </a:graphicData>
            </a:graphic>
          </wp:inline>
        </w:drawing>
      </w:r>
    </w:p>
    <w:p w14:paraId="35BC66B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  prescription drug</w:t>
      </w:r>
    </w:p>
    <w:p w14:paraId="03F86639">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由注册的执业医师和执业助理医师在诊疗活动中为顾客开具的、由取得药学专业技术职务任职资格的药学专业技术人员审核、调配、核对，并作为顾客用药凭证的医疗文书。处方包括医疗机构病区用药医嘱单。</w:t>
      </w:r>
    </w:p>
    <w:p w14:paraId="1DA2750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参考《执业药师职业资格制度规定》（国药监人〔2019〕12号）明确了执业药师的定义。</w:t>
      </w:r>
    </w:p>
    <w:p w14:paraId="256920BE">
      <w:pPr>
        <w:pStyle w:val="29"/>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200"/>
        <w:textAlignment w:val="auto"/>
        <w:rPr>
          <w:rFonts w:hint="default" w:ascii="仿宋_GB2312" w:eastAsia="仿宋_GB2312" w:cs="仿宋"/>
          <w:b w:val="0"/>
          <w:bCs/>
          <w:color w:val="auto"/>
          <w:sz w:val="28"/>
          <w:szCs w:val="28"/>
          <w:lang w:val="en-US" w:eastAsia="zh-CN"/>
        </w:rPr>
      </w:pPr>
      <w:r>
        <w:drawing>
          <wp:inline distT="0" distB="0" distL="114300" distR="114300">
            <wp:extent cx="5674995" cy="844550"/>
            <wp:effectExtent l="9525" t="9525" r="1778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674995" cy="844550"/>
                    </a:xfrm>
                    <a:prstGeom prst="rect">
                      <a:avLst/>
                    </a:prstGeom>
                    <a:noFill/>
                    <a:ln>
                      <a:solidFill>
                        <a:schemeClr val="tx1"/>
                      </a:solidFill>
                    </a:ln>
                  </pic:spPr>
                </pic:pic>
              </a:graphicData>
            </a:graphic>
          </wp:inline>
        </w:drawing>
      </w:r>
    </w:p>
    <w:p w14:paraId="46211178">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执业药师  licensed Pharmacist</w:t>
      </w:r>
    </w:p>
    <w:p w14:paraId="77B44804">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经全国统一考试合格，取得《中华人民共和国执业药师职业资格证书》并经注册，在药品生产、经营、使用和其他需要提供药学服务的单位中执业的药学技术人员。</w:t>
      </w:r>
    </w:p>
    <w:p w14:paraId="67032DD5">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结合编制组经验要求及《药品经营质量管理规范》（国家药品监督管理局令第20号）等相关规定明确了药学技术人员、药学服务人员的定义。</w:t>
      </w:r>
    </w:p>
    <w:p w14:paraId="681504E6">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药学技术人员  pharmacist technician</w:t>
      </w:r>
    </w:p>
    <w:p w14:paraId="6EADB95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val="0"/>
          <w:bCs/>
          <w:color w:val="auto"/>
          <w:sz w:val="28"/>
          <w:szCs w:val="28"/>
          <w:lang w:val="en-US" w:eastAsia="zh-CN"/>
        </w:rPr>
        <w:t>执业药师和其他依法经过资格认定的药学技术人员。包括：（中）药士、（中）药师、主管（中）药师、副主任（中）药师、主任（中）药师。</w:t>
      </w:r>
    </w:p>
    <w:p w14:paraId="7291A5B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结合编制组经验要求及《药品经营质量管理规范》（国家药品监督管理局令第20号）等相关规定明确了药学技术人员的定义。</w:t>
      </w:r>
    </w:p>
    <w:p w14:paraId="39E421D0">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药学服务人员  pharmacy service personnel</w:t>
      </w:r>
    </w:p>
    <w:p w14:paraId="5CA99C8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val="0"/>
          <w:bCs/>
          <w:color w:val="auto"/>
          <w:sz w:val="28"/>
          <w:szCs w:val="28"/>
          <w:lang w:val="en-US" w:eastAsia="zh-CN"/>
        </w:rPr>
        <w:t>经过法律法规、药品专业知识与技能的岗前培训和继续培训，从事药品、医疗器械等医药商品采购、销售、验收等工作的医药商品购销员，包括药品购销人员、医疗器械购销人员、中药材及中药饮片购销人员、中药调剂人员等。</w:t>
      </w:r>
    </w:p>
    <w:p w14:paraId="5EBF2969">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val="en-US" w:eastAsia="zh-CN"/>
        </w:rPr>
        <w:t>基本要求</w:t>
      </w:r>
    </w:p>
    <w:p w14:paraId="2290F298">
      <w:pPr>
        <w:pStyle w:val="29"/>
        <w:numPr>
          <w:ilvl w:val="0"/>
          <w:numId w:val="9"/>
        </w:numPr>
        <w:spacing w:line="520" w:lineRule="exact"/>
        <w:ind w:left="0" w:leftChars="0" w:firstLine="562" w:firstLineChars="20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营业场所</w:t>
      </w:r>
    </w:p>
    <w:p w14:paraId="5A878C5F">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首先，要求场所符合SB/T 10763《零售药店经营服务规范》的通用规定，确保基础合规性。其特色与创新在于，强制要求设置清晰易辨的“药学服务标识”和相对独立的“药学服务区域”，旨在将专业的药学咨询、用药指导等服务从普通的商品销售中凸显出来，提升服务的专业性和可及性。同时，条款要求药店应为药学技术人员和顾客配备必要的医药学参考书籍，这为提供准确、有据可依的药学服务奠定了信息基础，体现了服务从“经验化”向“知识化”的转变。对于医保定点药店，要求设置医保咨询专属区域，是直接对接《医疗机构医疗保障定点管理暂行办法》等相关政策的具体体现，旨在规范医保服务行为。此外，条款对常温、阴凉、冷藏等不同药品储存区域的温湿度控制进行了细化规定，其技术参数严格遵循《中华人民共和国药典》（2020年版）通则0101中关于药品贮藏条件的基本要求，确保了药品在陈列环节的质量安全。</w:t>
      </w:r>
    </w:p>
    <w:p w14:paraId="0DEDE9B8">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（2）服务设备</w:t>
      </w:r>
    </w:p>
    <w:p w14:paraId="323E7D91">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对服务设备的要求，核心在于确保药学服务在准确、安全、可追溯的条件下进行。条款在遵循SB/T 10763通用要求的基础上，重点强调了与药学服务专业性和药品质量安全性直接相关的关键设备配置。首先，要求营业场所必须配备监测与调控温度的设备，对不同储存条件的药品（如常温、阴凉、冷藏）进行实时监控，这直接体现了对《药品经营质量管理规范》中关于设备设施必须与药品储存要求相适应的落实，是保障药品质量安全的生命线。其次，针对中药饮片经营、药品拆零销售等特定服务，条款详细规定了需配备斗柜、戥秤、药勺、消毒用具等专用工具，这不仅是对GSP相关操作规范的具体化，更是为了确保调剂过程的准确性、避免交叉污染，保障患者用药安全。尤为重要的是，条款明确要求计算机系统不仅要满足经营需要，更必须符合药品追溯的要求，这与《中华人民共和国药品管理法》中确立的药品追溯制度，以及国家药监局关于药品信息化追溯体系建设的系列指南文件紧密衔接，是实现药品全流程可追溯、提升监管效率和风险管理能力的重要技术支撑。</w:t>
      </w:r>
    </w:p>
    <w:p w14:paraId="28DC3096">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（3）安全设施</w:t>
      </w:r>
    </w:p>
    <w:p w14:paraId="200E2528">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避光、防虫、防鼠等措施源于《药品经营质量管理规范》第四十九条关于药品储存环境必须安全、无污染源的基本要求，是防止药品变质、污染，保证药品质量的直接物理屏障。对消防设施、器材、消防安全标志的配置与定期检验要求，以及保持安全通道畅通，严格遵守《中华人民共和国消防法》第十六条关于单位履行消防安全职责的强制性规定，旨在有效预防和应对火灾事故，保障人身安全。此外，条款特别提到在湿滑天气放置防滑标识牌，这一细节性要求体现了标准对消费者，特别是老年群体等特殊顾客人身安全的人性化关怀。</w:t>
      </w:r>
    </w:p>
    <w:p w14:paraId="5FE8FB2A">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（4）商品陈列</w:t>
      </w:r>
    </w:p>
    <w:p w14:paraId="08A0D215">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通过科学、规范的陈列管理，保障药品质量、引导合理用药、防止销售差错。条款要求药品必须按剂型、用途及储存要求分类陈列，并与非药品区域明显隔离，这直接遵循了《药品经营质量管理规范》第一百六十一条关于药品陈列管理的原则，是保证药品在零售环节质量稳定的基本要求。其关键创新在于明确禁止处方药和含特殊药品复方制剂开架自选，并强调外用药分开摆放，这一规定严格对标《药品流通监督管理办法》第十八条，旨在有效控制用药风险，防止消费者自我药疗不当，是保障公众用药安全的关键措施。同时，对拆零药品、冷藏药品设立专柜或专区的规定，进一步细化了GSP中的相关要求，确保了特殊类别药品的陈列安全与操作规范。</w:t>
      </w:r>
    </w:p>
    <w:p w14:paraId="0FCE2A45">
      <w:pPr>
        <w:pStyle w:val="29"/>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（5）人员要求</w:t>
      </w:r>
    </w:p>
    <w:p w14:paraId="60E504C3">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明确零售药店须根据经营规模配备执业药师、药学技术人员及药学服务人员，且所有岗位人员必须持证上岗，其数量、资质应符合《药品经营质量管理规范》第四章“人员与培训”的全部规定。这确保了提供药学服务的主体具备法定资格和专业能力。更重要的是，条款强调了人员需遵守国家法律法规、道德准则和执业职责，这不仅是《执业药师职业资格制度规定》中执业药师职业道德准则的体现，也是提升整个行业服务水准和社会公信力的基础。</w:t>
      </w:r>
    </w:p>
    <w:p w14:paraId="4BC77A0B">
      <w:pPr>
        <w:pStyle w:val="29"/>
        <w:numPr>
          <w:ilvl w:val="0"/>
          <w:numId w:val="10"/>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服务内容</w:t>
      </w:r>
    </w:p>
    <w:p w14:paraId="2F1FCF32">
      <w:pPr>
        <w:pStyle w:val="29"/>
        <w:numPr>
          <w:ilvl w:val="0"/>
          <w:numId w:val="11"/>
        </w:numPr>
        <w:spacing w:line="520" w:lineRule="exact"/>
        <w:ind w:left="0" w:leftChars="0" w:firstLine="562" w:firstLineChars="200"/>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顾客接待</w:t>
      </w:r>
    </w:p>
    <w:p w14:paraId="5A8AC90B">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default" w:ascii="仿宋_GB2312" w:eastAsia="仿宋_GB2312" w:cs="仿宋"/>
          <w:b w:val="0"/>
          <w:bCs/>
          <w:color w:val="auto"/>
          <w:sz w:val="28"/>
          <w:szCs w:val="28"/>
          <w:lang w:val="en-US" w:eastAsia="zh-CN"/>
        </w:rPr>
        <w:t>主动问候与需求了解</w:t>
      </w:r>
      <w:r>
        <w:rPr>
          <w:rFonts w:hint="eastAsia" w:ascii="仿宋_GB2312" w:eastAsia="仿宋_GB2312" w:cs="仿宋"/>
          <w:b w:val="0"/>
          <w:bCs/>
          <w:color w:val="auto"/>
          <w:sz w:val="28"/>
          <w:szCs w:val="28"/>
          <w:lang w:val="en-US" w:eastAsia="zh-CN"/>
        </w:rPr>
        <w:t>是</w:t>
      </w:r>
      <w:r>
        <w:rPr>
          <w:rFonts w:hint="default" w:ascii="仿宋_GB2312" w:eastAsia="仿宋_GB2312" w:cs="仿宋"/>
          <w:b w:val="0"/>
          <w:bCs/>
          <w:color w:val="auto"/>
          <w:sz w:val="28"/>
          <w:szCs w:val="28"/>
          <w:lang w:val="en-US" w:eastAsia="zh-CN"/>
        </w:rPr>
        <w:t>执行《药品管理法》中“药品零售企业应当凭处方销售处方药”规定的前提。通过询问症状、用药史、过敏史等，服务人员可初步判断顾客需求的合理性，为后续区分乙类非处方药、甲类非处方药和处方药的销售与服务奠定基础，是实现安全用药的第一道关口。</w:t>
      </w:r>
    </w:p>
    <w:p w14:paraId="4D9877CD">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处方审核</w:t>
      </w:r>
    </w:p>
    <w:p w14:paraId="3B3B5762">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val="0"/>
          <w:bCs/>
          <w:color w:val="auto"/>
          <w:sz w:val="28"/>
          <w:szCs w:val="28"/>
          <w:lang w:val="en-US" w:eastAsia="zh-CN"/>
        </w:rPr>
      </w:pPr>
      <w:r>
        <w:rPr>
          <w:rFonts w:hint="eastAsia" w:ascii="仿宋_GB2312" w:eastAsia="仿宋_GB2312" w:cs="仿宋"/>
          <w:b w:val="0"/>
          <w:bCs/>
          <w:color w:val="auto"/>
          <w:sz w:val="28"/>
          <w:szCs w:val="28"/>
          <w:lang w:val="en-US" w:eastAsia="zh-CN"/>
        </w:rPr>
        <w:t>本条款是</w:t>
      </w:r>
      <w:r>
        <w:rPr>
          <w:rFonts w:hint="default" w:ascii="仿宋_GB2312" w:eastAsia="仿宋_GB2312" w:cs="仿宋"/>
          <w:b w:val="0"/>
          <w:bCs/>
          <w:color w:val="auto"/>
          <w:sz w:val="28"/>
          <w:szCs w:val="28"/>
          <w:lang w:val="en-US" w:eastAsia="zh-CN"/>
        </w:rPr>
        <w:t>对《处方管理办法》第三十五条、第三十六条和第三十七条的细化与落地</w:t>
      </w:r>
      <w:r>
        <w:rPr>
          <w:rFonts w:hint="eastAsia" w:ascii="仿宋_GB2312" w:eastAsia="仿宋_GB2312" w:cs="仿宋"/>
          <w:b w:val="0"/>
          <w:bCs/>
          <w:color w:val="auto"/>
          <w:sz w:val="28"/>
          <w:szCs w:val="28"/>
          <w:lang w:val="en-US" w:eastAsia="zh-CN"/>
        </w:rPr>
        <w:t>，</w:t>
      </w:r>
      <w:r>
        <w:rPr>
          <w:rFonts w:hint="default" w:ascii="仿宋_GB2312" w:eastAsia="仿宋_GB2312" w:cs="仿宋"/>
          <w:b w:val="0"/>
          <w:bCs/>
          <w:color w:val="auto"/>
          <w:sz w:val="28"/>
          <w:szCs w:val="28"/>
          <w:lang w:val="en-US" w:eastAsia="zh-CN"/>
        </w:rPr>
        <w:t>严格规定处方审核必须由在岗执业药师执行，并明确遵循“四查十对”原则</w:t>
      </w:r>
      <w:r>
        <w:rPr>
          <w:rFonts w:hint="eastAsia" w:ascii="仿宋_GB2312" w:eastAsia="仿宋_GB2312" w:cs="仿宋"/>
          <w:b w:val="0"/>
          <w:bCs/>
          <w:color w:val="auto"/>
          <w:sz w:val="28"/>
          <w:szCs w:val="28"/>
          <w:lang w:val="en-US" w:eastAsia="zh-CN"/>
        </w:rPr>
        <w:t>，明确了审核主体的资格，将医疗机构内通用的药学专业技术操作规范强制应用于零售终端，确保了对处方合法性、规范性、适宜性的专业判断，是防范用药错误、保障医疗安全</w:t>
      </w:r>
    </w:p>
    <w:p w14:paraId="2B1DFD83">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处方调配</w:t>
      </w:r>
    </w:p>
    <w:p w14:paraId="17D1647B">
      <w:pPr>
        <w:pStyle w:val="29"/>
        <w:spacing w:line="520" w:lineRule="exact"/>
        <w:ind w:left="0" w:leftChars="0" w:firstLine="560" w:firstLineChars="200"/>
        <w:rPr>
          <w:rFonts w:hint="eastAsia" w:ascii="仿宋_GB2312" w:eastAsia="仿宋_GB2312" w:cs="仿宋"/>
          <w:b w:val="0"/>
          <w:bCs/>
          <w:color w:val="auto"/>
          <w:sz w:val="28"/>
          <w:szCs w:val="28"/>
          <w:highlight w:val="none"/>
          <w:lang w:val="en-US" w:eastAsia="zh-CN" w:bidi="ar-SA"/>
        </w:rPr>
      </w:pPr>
      <w:r>
        <w:rPr>
          <w:rFonts w:hint="eastAsia" w:ascii="仿宋_GB2312" w:eastAsia="仿宋_GB2312" w:cs="仿宋"/>
          <w:b w:val="0"/>
          <w:bCs/>
          <w:color w:val="auto"/>
          <w:sz w:val="28"/>
          <w:szCs w:val="28"/>
          <w:highlight w:val="none"/>
          <w:lang w:val="en-US" w:eastAsia="zh-CN" w:bidi="ar-SA"/>
        </w:rPr>
        <w:t>规定了处方调配的操作规程与核对程序。要求调配后需经另一名药学服务人员或审核药师核对，并规范书写药袋、签名留样。这一“双核对”机制是对《药品经营质量管理规范》第一百七十一条关于“处方经审核后方可调配”、“调配人、核对人应当签字或者盖章”要求的具体化和强化，旨在通过流程控制最大程度降低调配差错率，保证发给顾客的药品与处方完全一致。</w:t>
      </w:r>
    </w:p>
    <w:p w14:paraId="490314BE">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药品经济性指导</w:t>
      </w:r>
    </w:p>
    <w:p w14:paraId="06AB8A33">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关注支付环节的准确性与透明度。要求提供多种支付方式，准确收找现金，规范开具销售凭证。这些规定体现了《中华人民共和国消费者权益保护法》第二十二条关于经营者提供购货凭证的义务，以及保障消费者知情权、公平交易权的核心精神，是构建诚信经营环境的基础。</w:t>
      </w:r>
    </w:p>
    <w:p w14:paraId="1BDA43C2">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药品发放</w:t>
      </w:r>
    </w:p>
    <w:p w14:paraId="2DABC8B6">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根据《药品管理法》第五十八条规定的法定义务，要求药师或执业药师在发放药品时，必须向顾客清晰说明用法用量、注意事项等关键信息。确保了顾客能够正确、安全地使用药品，将专业的药学知识转化为顾客可执行的用药行动。</w:t>
      </w:r>
    </w:p>
    <w:p w14:paraId="45E440B9">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健康教育</w:t>
      </w:r>
    </w:p>
    <w:p w14:paraId="6F359AA4">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本标准根据《“健康中国2030”规划纲要》中“提升全民健康素养”的号召，鼓励药店超越简单的用药指导，开展系统化、多样化的健康教育活动。推动药店角色从药品供应商向社区健康促进点转变，通过知识普及助力疾病预防和健康管理。</w:t>
      </w:r>
    </w:p>
    <w:p w14:paraId="652E984D">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慢性病管理服务</w:t>
      </w:r>
    </w:p>
    <w:p w14:paraId="4D57B1A5">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借鉴并融合了国家药监局执业药师资格认证中心发布的《药品零售企业执业药师药学服务指南》中关于慢病管理的先进理念，明确了要求为慢病患者建立档案、定期回访、提供个体化干预。</w:t>
      </w:r>
    </w:p>
    <w:p w14:paraId="5776E0EF">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不良反应上报</w:t>
      </w:r>
    </w:p>
    <w:p w14:paraId="138A0CD8">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明确了零售药店在药物警戒体系中的责任。要求依法及时报告不良反应，并建立监测档案。这是贯彻落实《药品不良反应报告和监测管理办法》第二十一条等规定的具体体现，将零售药店纳入国家药品安全监测网络，为上市后药品安全性再评价提供了重要数据来源。</w:t>
      </w:r>
    </w:p>
    <w:p w14:paraId="63916133">
      <w:pPr>
        <w:pStyle w:val="29"/>
        <w:numPr>
          <w:ilvl w:val="0"/>
          <w:numId w:val="12"/>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便民服务</w:t>
      </w:r>
    </w:p>
    <w:p w14:paraId="51A0AE3B">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鼓励药店拓展服务外延，如血压监测、过期药品回收等。这些举措不仅提升了顾客满意度，更体现了企业的社会责任，符合国家鼓励社会力量参与健康服务的政策方向。其中，过期药品回收更是对《国家危险废物名录》管理的具体配合，有助于保护环境和公共安全。</w:t>
      </w:r>
    </w:p>
    <w:p w14:paraId="089E6EB9">
      <w:pPr>
        <w:pStyle w:val="29"/>
        <w:numPr>
          <w:ilvl w:val="0"/>
          <w:numId w:val="10"/>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服务评价与改进</w:t>
      </w:r>
    </w:p>
    <w:p w14:paraId="3BF92062">
      <w:pPr>
        <w:pStyle w:val="29"/>
        <w:spacing w:line="520" w:lineRule="exact"/>
        <w:ind w:left="0" w:leftChars="0" w:firstLine="560" w:firstLineChars="200"/>
        <w:rPr>
          <w:rFonts w:hint="eastAsia" w:ascii="仿宋_GB2312" w:eastAsia="仿宋_GB2312"/>
          <w:sz w:val="28"/>
          <w:szCs w:val="28"/>
          <w:lang w:val="en-US" w:eastAsia="zh-CN"/>
        </w:rPr>
      </w:pPr>
      <w:r>
        <w:rPr>
          <w:rFonts w:hint="eastAsia" w:ascii="仿宋_GB2312" w:eastAsia="仿宋_GB2312"/>
          <w:sz w:val="28"/>
          <w:szCs w:val="28"/>
          <w:lang w:val="en-US" w:eastAsia="zh-CN"/>
        </w:rPr>
        <w:t>明确了要求药店建立常态化的顾客意见收集、投诉处理与定期回访机制，旨在将被动接受反馈转化为主动服务改进。附录A提供的《零售药店服务满意度评分表》，将药学服务场所、顾客接待、药品审核调配、健康教育、慢性病管理、便民服务等六大关键环节量化为可评估的指标，形成了总分100分的标准化评价体系。为药店开展自我评估与内部质量审核提供了明确依据，更与《中华人民共和国消费者权益保护法》第十七条关于经营者听取意见接受监督的义务相呼应，同时符合GB/T 19001《质量管理体系要求》中“持续改进”的核心原则。</w:t>
      </w:r>
    </w:p>
    <w:p w14:paraId="62BFE303">
      <w:pPr>
        <w:pStyle w:val="31"/>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2ECDC1D8">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110E29A1">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576581C1">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0CF00144">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9C2AE6E">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1154BC2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087A8FE3">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0A2365C8">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4EF7045C">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4B8C7BD5">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051074EA">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4B44292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3FA46A38">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01E4203C">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1500C9E6">
      <w:pPr>
        <w:pStyle w:val="22"/>
        <w:rPr>
          <w:rFonts w:hint="eastAsia" w:ascii="仿宋_GB2312" w:eastAsia="仿宋_GB2312"/>
          <w:color w:val="auto"/>
          <w:sz w:val="28"/>
          <w:szCs w:val="28"/>
        </w:rPr>
      </w:pPr>
    </w:p>
    <w:p w14:paraId="7A675FCC">
      <w:pPr>
        <w:pStyle w:val="22"/>
        <w:rPr>
          <w:rFonts w:hint="eastAsia" w:ascii="仿宋_GB2312" w:eastAsia="仿宋_GB2312"/>
          <w:color w:val="auto"/>
          <w:sz w:val="28"/>
          <w:szCs w:val="28"/>
        </w:rPr>
      </w:pPr>
    </w:p>
    <w:p w14:paraId="523D1AB1">
      <w:pPr>
        <w:pStyle w:val="22"/>
        <w:rPr>
          <w:rFonts w:hint="eastAsia" w:ascii="仿宋_GB2312" w:eastAsia="仿宋_GB2312"/>
          <w:color w:val="auto"/>
          <w:sz w:val="28"/>
          <w:szCs w:val="28"/>
        </w:rPr>
      </w:pPr>
    </w:p>
    <w:p w14:paraId="67359EE9">
      <w:pPr>
        <w:spacing w:before="240" w:after="60" w:line="520" w:lineRule="exact"/>
        <w:jc w:val="right"/>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零售药店药学服务规范</w:t>
      </w:r>
      <w:r>
        <w:rPr>
          <w:rFonts w:hint="eastAsia" w:ascii="仿宋_GB2312" w:eastAsia="仿宋_GB2312"/>
          <w:color w:val="auto"/>
          <w:sz w:val="28"/>
          <w:szCs w:val="28"/>
        </w:rPr>
        <w:t>》</w:t>
      </w:r>
    </w:p>
    <w:p w14:paraId="22E9AA6C">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7B9D4B9B">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3756E8-B012-4223-8B99-059DF6A4258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6549AF13-AB2E-489B-809B-3AE9D0E725FA}"/>
  </w:font>
  <w:font w:name="仿宋_GB2312">
    <w:panose1 w:val="02010609030101010101"/>
    <w:charset w:val="86"/>
    <w:family w:val="modern"/>
    <w:pitch w:val="default"/>
    <w:sig w:usb0="00000001" w:usb1="080E0000" w:usb2="00000000" w:usb3="00000000" w:csb0="00040000" w:csb1="00000000"/>
    <w:embedRegular r:id="rId3" w:fontKey="{9E03267B-ABA0-4E88-BFF2-649321A68D0A}"/>
  </w:font>
  <w:font w:name="仿宋">
    <w:panose1 w:val="02010609060101010101"/>
    <w:charset w:val="86"/>
    <w:family w:val="modern"/>
    <w:pitch w:val="default"/>
    <w:sig w:usb0="800002BF" w:usb1="38CF7CFA" w:usb2="00000016" w:usb3="00000000" w:csb0="00040001" w:csb1="00000000"/>
    <w:embedRegular r:id="rId4" w:fontKey="{5802CB98-7F87-4D10-82FA-7A8CA69083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852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1A690152">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EB5585BC"/>
    <w:multiLevelType w:val="singleLevel"/>
    <w:tmpl w:val="EB5585BC"/>
    <w:lvl w:ilvl="0" w:tentative="0">
      <w:start w:val="1"/>
      <w:numFmt w:val="decimal"/>
      <w:suff w:val="nothing"/>
      <w:lvlText w:val="（%1）"/>
      <w:lvlJc w:val="left"/>
    </w:lvl>
  </w:abstractNum>
  <w:abstractNum w:abstractNumId="2">
    <w:nsid w:val="FA25A687"/>
    <w:multiLevelType w:val="singleLevel"/>
    <w:tmpl w:val="FA25A687"/>
    <w:lvl w:ilvl="0" w:tentative="0">
      <w:start w:val="1"/>
      <w:numFmt w:val="chineseCounting"/>
      <w:suff w:val="nothing"/>
      <w:lvlText w:val="（%1）"/>
      <w:lvlJc w:val="left"/>
      <w:rPr>
        <w:rFonts w:hint="eastAsia"/>
      </w:rPr>
    </w:lvl>
  </w:abstractNum>
  <w:abstractNum w:abstractNumId="3">
    <w:nsid w:val="FFEE46E6"/>
    <w:multiLevelType w:val="singleLevel"/>
    <w:tmpl w:val="FFEE46E6"/>
    <w:lvl w:ilvl="0" w:tentative="0">
      <w:start w:val="2"/>
      <w:numFmt w:val="chineseCounting"/>
      <w:suff w:val="nothing"/>
      <w:lvlText w:val="（%1）"/>
      <w:lvlJc w:val="left"/>
      <w:rPr>
        <w:rFonts w:hint="eastAsia"/>
      </w:rPr>
    </w:lvl>
  </w:abstractNum>
  <w:abstractNum w:abstractNumId="4">
    <w:nsid w:val="0FFFFF7E"/>
    <w:multiLevelType w:val="singleLevel"/>
    <w:tmpl w:val="0FFFFF7E"/>
    <w:lvl w:ilvl="0" w:tentative="0">
      <w:start w:val="1"/>
      <w:numFmt w:val="decimal"/>
      <w:lvlText w:val="%1."/>
      <w:lvlJc w:val="left"/>
      <w:pPr>
        <w:tabs>
          <w:tab w:val="left" w:pos="1200"/>
        </w:tabs>
        <w:ind w:left="1200" w:hanging="360"/>
      </w:pPr>
    </w:lvl>
  </w:abstractNum>
  <w:abstractNum w:abstractNumId="5">
    <w:nsid w:val="0FFFFF7F"/>
    <w:multiLevelType w:val="singleLevel"/>
    <w:tmpl w:val="0FFFFF7F"/>
    <w:lvl w:ilvl="0" w:tentative="0">
      <w:start w:val="1"/>
      <w:numFmt w:val="decimal"/>
      <w:lvlText w:val="%1."/>
      <w:lvlJc w:val="left"/>
      <w:pPr>
        <w:tabs>
          <w:tab w:val="left" w:pos="780"/>
        </w:tabs>
        <w:ind w:left="780" w:hanging="360"/>
      </w:pPr>
    </w:lvl>
  </w:abstractNum>
  <w:abstractNum w:abstractNumId="6">
    <w:nsid w:val="290D7148"/>
    <w:multiLevelType w:val="singleLevel"/>
    <w:tmpl w:val="290D7148"/>
    <w:lvl w:ilvl="0" w:tentative="0">
      <w:start w:val="2"/>
      <w:numFmt w:val="decimal"/>
      <w:suff w:val="nothing"/>
      <w:lvlText w:val="（%1）"/>
      <w:lvlJc w:val="left"/>
    </w:lvl>
  </w:abstractNum>
  <w:abstractNum w:abstractNumId="7">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8">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0">
    <w:nsid w:val="6DBF04F4"/>
    <w:multiLevelType w:val="multilevel"/>
    <w:tmpl w:val="6DBF04F4"/>
    <w:lvl w:ilvl="0" w:tentative="0">
      <w:start w:val="1"/>
      <w:numFmt w:val="none"/>
      <w:pStyle w:val="5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79B0D09C"/>
    <w:multiLevelType w:val="singleLevel"/>
    <w:tmpl w:val="79B0D09C"/>
    <w:lvl w:ilvl="0" w:tentative="0">
      <w:start w:val="1"/>
      <w:numFmt w:val="decimal"/>
      <w:suff w:val="nothing"/>
      <w:lvlText w:val="（%1）"/>
      <w:lvlJc w:val="left"/>
    </w:lvl>
  </w:abstractNum>
  <w:num w:numId="1">
    <w:abstractNumId w:val="9"/>
  </w:num>
  <w:num w:numId="2">
    <w:abstractNumId w:val="0"/>
  </w:num>
  <w:num w:numId="3">
    <w:abstractNumId w:val="5"/>
  </w:num>
  <w:num w:numId="4">
    <w:abstractNumId w:val="4"/>
  </w:num>
  <w:num w:numId="5">
    <w:abstractNumId w:val="8"/>
  </w:num>
  <w:num w:numId="6">
    <w:abstractNumId w:val="7"/>
  </w:num>
  <w:num w:numId="7">
    <w:abstractNumId w:val="10"/>
  </w:num>
  <w:num w:numId="8">
    <w:abstractNumId w:val="2"/>
  </w:num>
  <w:num w:numId="9">
    <w:abstractNumId w:val="11"/>
  </w:num>
  <w:num w:numId="10">
    <w:abstractNumId w:val="3"/>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15663EA"/>
    <w:rsid w:val="02DC2156"/>
    <w:rsid w:val="03CC3F79"/>
    <w:rsid w:val="05B55C2C"/>
    <w:rsid w:val="05CD222A"/>
    <w:rsid w:val="06084616"/>
    <w:rsid w:val="06A9292B"/>
    <w:rsid w:val="08EF7A39"/>
    <w:rsid w:val="09E73A6B"/>
    <w:rsid w:val="0A5844F0"/>
    <w:rsid w:val="0DE142A0"/>
    <w:rsid w:val="0EE41D10"/>
    <w:rsid w:val="11386E78"/>
    <w:rsid w:val="11B73ED3"/>
    <w:rsid w:val="11DF729D"/>
    <w:rsid w:val="12277661"/>
    <w:rsid w:val="133D4C82"/>
    <w:rsid w:val="13D12EE6"/>
    <w:rsid w:val="13EE1CEA"/>
    <w:rsid w:val="13F37300"/>
    <w:rsid w:val="165E1A2D"/>
    <w:rsid w:val="172D0BF0"/>
    <w:rsid w:val="174D6D27"/>
    <w:rsid w:val="179A554D"/>
    <w:rsid w:val="18CE5C46"/>
    <w:rsid w:val="1A2A2D28"/>
    <w:rsid w:val="1A611AD4"/>
    <w:rsid w:val="1B9C64CF"/>
    <w:rsid w:val="1DE9000E"/>
    <w:rsid w:val="1E4A1472"/>
    <w:rsid w:val="1E6C7E3E"/>
    <w:rsid w:val="20346CD6"/>
    <w:rsid w:val="203E6C0D"/>
    <w:rsid w:val="206E043A"/>
    <w:rsid w:val="21B75E11"/>
    <w:rsid w:val="2443573A"/>
    <w:rsid w:val="25496D80"/>
    <w:rsid w:val="256A366E"/>
    <w:rsid w:val="27095D8A"/>
    <w:rsid w:val="275E6C1B"/>
    <w:rsid w:val="277B51EB"/>
    <w:rsid w:val="279E6744"/>
    <w:rsid w:val="2AB253C7"/>
    <w:rsid w:val="2BAD2B02"/>
    <w:rsid w:val="2C6C6F3C"/>
    <w:rsid w:val="2E0C3040"/>
    <w:rsid w:val="2E40384E"/>
    <w:rsid w:val="2E826991"/>
    <w:rsid w:val="2F083808"/>
    <w:rsid w:val="2F0B058C"/>
    <w:rsid w:val="2F7C5FA4"/>
    <w:rsid w:val="2FDD0EDC"/>
    <w:rsid w:val="344833B2"/>
    <w:rsid w:val="346F5A63"/>
    <w:rsid w:val="35146A33"/>
    <w:rsid w:val="39CD7B28"/>
    <w:rsid w:val="3D6C58AA"/>
    <w:rsid w:val="3F976E21"/>
    <w:rsid w:val="403F2E01"/>
    <w:rsid w:val="41D95713"/>
    <w:rsid w:val="42C82ABA"/>
    <w:rsid w:val="431A1904"/>
    <w:rsid w:val="45413951"/>
    <w:rsid w:val="46E47FFF"/>
    <w:rsid w:val="473276AB"/>
    <w:rsid w:val="4779601E"/>
    <w:rsid w:val="493E1AE1"/>
    <w:rsid w:val="4B2238EC"/>
    <w:rsid w:val="4C6C7CEB"/>
    <w:rsid w:val="4DDD59C1"/>
    <w:rsid w:val="50370ABF"/>
    <w:rsid w:val="51FB0B52"/>
    <w:rsid w:val="52FDF3F3"/>
    <w:rsid w:val="531F075A"/>
    <w:rsid w:val="53F87A3F"/>
    <w:rsid w:val="5529794D"/>
    <w:rsid w:val="56DA342C"/>
    <w:rsid w:val="5708A920"/>
    <w:rsid w:val="57A01936"/>
    <w:rsid w:val="57A57FD6"/>
    <w:rsid w:val="57F01F2D"/>
    <w:rsid w:val="58D367F3"/>
    <w:rsid w:val="592B4413"/>
    <w:rsid w:val="592C1295"/>
    <w:rsid w:val="598A001D"/>
    <w:rsid w:val="59DD74BB"/>
    <w:rsid w:val="5A8C449C"/>
    <w:rsid w:val="5B571FFB"/>
    <w:rsid w:val="5B8C421A"/>
    <w:rsid w:val="5BB17C68"/>
    <w:rsid w:val="5BD06662"/>
    <w:rsid w:val="5BFB00CD"/>
    <w:rsid w:val="5C452F47"/>
    <w:rsid w:val="5D086F45"/>
    <w:rsid w:val="5D4D6706"/>
    <w:rsid w:val="5E8C2041"/>
    <w:rsid w:val="60252B89"/>
    <w:rsid w:val="613750A2"/>
    <w:rsid w:val="616C2448"/>
    <w:rsid w:val="63057E95"/>
    <w:rsid w:val="636139EB"/>
    <w:rsid w:val="63DF2082"/>
    <w:rsid w:val="654A16B4"/>
    <w:rsid w:val="660F1D12"/>
    <w:rsid w:val="67277FC8"/>
    <w:rsid w:val="677C2407"/>
    <w:rsid w:val="68C47A98"/>
    <w:rsid w:val="68C53F3C"/>
    <w:rsid w:val="6AFF4980"/>
    <w:rsid w:val="6CC80E6D"/>
    <w:rsid w:val="6CD819DD"/>
    <w:rsid w:val="6F754E22"/>
    <w:rsid w:val="710B6BAC"/>
    <w:rsid w:val="71525B1E"/>
    <w:rsid w:val="716444DA"/>
    <w:rsid w:val="71CC633B"/>
    <w:rsid w:val="71F238C8"/>
    <w:rsid w:val="738A5B9F"/>
    <w:rsid w:val="741F6AAA"/>
    <w:rsid w:val="74A0585D"/>
    <w:rsid w:val="763864CA"/>
    <w:rsid w:val="764D461B"/>
    <w:rsid w:val="77A7157C"/>
    <w:rsid w:val="77D048EE"/>
    <w:rsid w:val="78B143BF"/>
    <w:rsid w:val="7A035425"/>
    <w:rsid w:val="7AB465B7"/>
    <w:rsid w:val="7B215011"/>
    <w:rsid w:val="7CB63E70"/>
    <w:rsid w:val="7D221505"/>
    <w:rsid w:val="7E2B6198"/>
    <w:rsid w:val="7EF26A8C"/>
    <w:rsid w:val="7F9806C6"/>
    <w:rsid w:val="B8CFA9F0"/>
    <w:rsid w:val="B9EE8E15"/>
    <w:rsid w:val="BDFFEC67"/>
    <w:rsid w:val="DFFD0EE9"/>
    <w:rsid w:val="EBDF77FB"/>
    <w:rsid w:val="FB7F6E02"/>
    <w:rsid w:val="FBFFF8E5"/>
    <w:rsid w:val="FDAB63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qFormat/>
    <w:uiPriority w:val="0"/>
  </w:style>
  <w:style w:type="table" w:default="1" w:styleId="1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rFonts w:ascii="Calibri" w:hAnsi="Calibri"/>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hAnsi="Calibri"/>
      <w:szCs w:val="21"/>
    </w:rPr>
  </w:style>
  <w:style w:type="paragraph" w:styleId="12">
    <w:name w:val="Normal (Web)"/>
    <w:basedOn w:val="1"/>
    <w:semiHidden/>
    <w:unhideWhenUsed/>
    <w:qFormat/>
    <w:uiPriority w:val="99"/>
    <w:rPr>
      <w:sz w:val="24"/>
    </w:rPr>
  </w:style>
  <w:style w:type="table" w:styleId="14">
    <w:name w:val="Table Grid"/>
    <w:basedOn w:val="13"/>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5"/>
    <w:qFormat/>
    <w:uiPriority w:val="0"/>
    <w:rPr>
      <w:rFonts w:eastAsia="宋体"/>
      <w:b/>
      <w:bCs/>
      <w:kern w:val="2"/>
      <w:sz w:val="24"/>
      <w:szCs w:val="24"/>
    </w:rPr>
  </w:style>
  <w:style w:type="character" w:customStyle="1" w:styleId="24">
    <w:name w:val="批注文字 字符"/>
    <w:link w:val="6"/>
    <w:semiHidden/>
    <w:qFormat/>
    <w:uiPriority w:val="99"/>
    <w:rPr>
      <w:rFonts w:ascii="Calibri" w:hAnsi="Calibri" w:eastAsia="宋体"/>
      <w:kern w:val="2"/>
      <w:sz w:val="21"/>
      <w:szCs w:val="21"/>
    </w:rPr>
  </w:style>
  <w:style w:type="character" w:customStyle="1" w:styleId="25">
    <w:name w:val="批注框文本 字符"/>
    <w:link w:val="7"/>
    <w:semiHidden/>
    <w:qFormat/>
    <w:uiPriority w:val="99"/>
    <w:rPr>
      <w:rFonts w:eastAsia="宋体"/>
      <w:kern w:val="2"/>
      <w:sz w:val="18"/>
      <w:szCs w:val="18"/>
    </w:rPr>
  </w:style>
  <w:style w:type="character" w:customStyle="1" w:styleId="26">
    <w:name w:val="页脚 字符"/>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2"/>
        <w:numId w:val="1"/>
      </w:numPr>
      <w:spacing w:before="50" w:beforeLines="0" w:after="50" w:afterLines="0"/>
      <w:outlineLvl w:val="1"/>
    </w:pPr>
  </w:style>
  <w:style w:type="paragraph" w:customStyle="1" w:styleId="34">
    <w:name w:val="标准文件_三级条标题"/>
    <w:basedOn w:val="32"/>
    <w:next w:val="29"/>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6"/>
      </w:numPr>
    </w:pPr>
    <w:rPr>
      <w:rFonts w:ascii="宋体" w:hAnsi="Times New Roman" w:eastAsia="宋体" w:cs="Times New Roman"/>
      <w:sz w:val="21"/>
      <w:lang w:val="en-US" w:eastAsia="zh-CN" w:bidi="ar-SA"/>
    </w:rPr>
  </w:style>
  <w:style w:type="paragraph" w:customStyle="1" w:styleId="55">
    <w:name w:val="标准文件_注："/>
    <w:next w:val="29"/>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character" w:customStyle="1" w:styleId="56">
    <w:name w:val="font21"/>
    <w:basedOn w:val="15"/>
    <w:qFormat/>
    <w:uiPriority w:val="0"/>
    <w:rPr>
      <w:rFonts w:hint="eastAsia" w:ascii="宋体" w:hAnsi="宋体" w:eastAsia="宋体" w:cs="宋体"/>
      <w:color w:val="000000"/>
      <w:sz w:val="32"/>
      <w:szCs w:val="32"/>
      <w:u w:val="none"/>
    </w:rPr>
  </w:style>
  <w:style w:type="paragraph" w:customStyle="1" w:styleId="5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8">
    <w:name w:val="标准文件_页眉偶数页"/>
    <w:basedOn w:val="57"/>
    <w:next w:val="1"/>
    <w:qFormat/>
    <w:uiPriority w:val="0"/>
    <w:pPr>
      <w:jc w:val="left"/>
    </w:pPr>
  </w:style>
  <w:style w:type="paragraph" w:customStyle="1" w:styleId="5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0">
    <w:name w:val="标准文件_页脚偶数页"/>
    <w:qFormat/>
    <w:uiPriority w:val="0"/>
    <w:pPr>
      <w:ind w:left="198"/>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11477</Words>
  <Characters>11953</Characters>
  <Lines>140</Lines>
  <Paragraphs>39</Paragraphs>
  <TotalTime>2</TotalTime>
  <ScaleCrop>false</ScaleCrop>
  <LinksUpToDate>false</LinksUpToDate>
  <CharactersWithSpaces>12012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2023-11-09T07:48:00Z</dcterms:created>
  <dc:creator>Administrator</dc:creator>
  <cp:lastModifiedBy>覃思颖</cp:lastModifiedBy>
  <dcterms:modified xsi:type="dcterms:W3CDTF">2025-10-20T06:53:45Z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DD6CA3FC293E43FDBAB428080B5426A7_13</vt:lpwstr>
  </property>
  <property fmtid="{D5CDD505-2E9C-101B-9397-08002B2CF9AE}" pid="4" name="KSOTemplateDocerSaveRecord">
    <vt:lpwstr>eyJoZGlkIjoiZDU4MDczMzcyYmJkMTU0Yzk3Y2Q1OWEyNGVlYzBmODAiLCJ1c2VySWQiOiI2NTgwMDU1NDYifQ==</vt:lpwstr>
  </property>
</Properties>
</file>