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keepNext w:val="0"/>
        <w:keepLines w:val="0"/>
        <w:pageBreakBefore w:val="0"/>
        <w:widowControl w:val="0"/>
        <w:kinsoku/>
        <w:wordWrap/>
        <w:overflowPunct/>
        <w:topLinePunct w:val="0"/>
        <w:autoSpaceDE/>
        <w:autoSpaceDN/>
        <w:bidi w:val="0"/>
        <w:adjustRightInd/>
        <w:snapToGrid/>
        <w:ind w:firstLine="0"/>
        <w:jc w:val="center"/>
        <w:textAlignment w:val="auto"/>
        <w:rPr>
          <w:rFonts w:ascii="微软雅黑" w:eastAsia="微软雅黑" w:cs="仿宋_GB2312"/>
          <w:bCs/>
          <w:color w:val="auto"/>
          <w:sz w:val="36"/>
          <w:szCs w:val="32"/>
          <w:highlight w:val="none"/>
        </w:rPr>
      </w:pPr>
      <w:r>
        <w:rPr>
          <w:rFonts w:hint="eastAsia" w:ascii="微软雅黑" w:eastAsia="微软雅黑" w:cs="仿宋_GB2312"/>
          <w:bCs/>
          <w:color w:val="auto"/>
          <w:sz w:val="36"/>
          <w:szCs w:val="32"/>
          <w:highlight w:val="none"/>
        </w:rPr>
        <w:t>团体标准《</w:t>
      </w:r>
      <w:r>
        <w:rPr>
          <w:rFonts w:hint="eastAsia" w:ascii="微软雅黑" w:eastAsia="微软雅黑" w:cs="仿宋_GB2312"/>
          <w:bCs/>
          <w:color w:val="auto"/>
          <w:sz w:val="36"/>
          <w:szCs w:val="32"/>
          <w:highlight w:val="none"/>
          <w:lang w:eastAsia="zh-CN"/>
        </w:rPr>
        <w:t>壮医经筋疗法治疗单纯性肥胖技术操作规范</w:t>
      </w:r>
      <w:r>
        <w:rPr>
          <w:rFonts w:hint="eastAsia" w:ascii="微软雅黑" w:eastAsia="微软雅黑" w:cs="仿宋_GB2312"/>
          <w:bCs/>
          <w:color w:val="auto"/>
          <w:sz w:val="36"/>
          <w:szCs w:val="32"/>
          <w:highlight w:val="none"/>
        </w:rPr>
        <w:t>》</w:t>
      </w:r>
    </w:p>
    <w:p w14:paraId="344DC783">
      <w:pPr>
        <w:keepNext w:val="0"/>
        <w:keepLines w:val="0"/>
        <w:pageBreakBefore w:val="0"/>
        <w:widowControl w:val="0"/>
        <w:kinsoku/>
        <w:wordWrap/>
        <w:overflowPunct/>
        <w:topLinePunct w:val="0"/>
        <w:autoSpaceDE/>
        <w:autoSpaceDN/>
        <w:bidi w:val="0"/>
        <w:adjustRightInd/>
        <w:snapToGrid/>
        <w:ind w:firstLine="0"/>
        <w:jc w:val="center"/>
        <w:textAlignment w:val="auto"/>
        <w:rPr>
          <w:rFonts w:ascii="微软雅黑" w:eastAsia="微软雅黑" w:cs="仿宋_GB2312"/>
          <w:bCs/>
          <w:color w:val="auto"/>
          <w:sz w:val="36"/>
          <w:szCs w:val="32"/>
          <w:highlight w:val="none"/>
        </w:rPr>
      </w:pPr>
      <w:r>
        <w:rPr>
          <w:rFonts w:hint="eastAsia" w:ascii="微软雅黑" w:eastAsia="微软雅黑" w:cs="仿宋_GB2312"/>
          <w:bCs/>
          <w:color w:val="auto"/>
          <w:sz w:val="36"/>
          <w:szCs w:val="32"/>
          <w:highlight w:val="none"/>
        </w:rPr>
        <w:t>（</w:t>
      </w:r>
      <w:r>
        <w:rPr>
          <w:rFonts w:hint="eastAsia" w:ascii="微软雅黑" w:eastAsia="微软雅黑" w:cs="仿宋_GB2312"/>
          <w:bCs/>
          <w:color w:val="auto"/>
          <w:sz w:val="36"/>
          <w:szCs w:val="32"/>
          <w:highlight w:val="none"/>
          <w:lang w:eastAsia="zh-CN"/>
        </w:rPr>
        <w:t>征求意见</w:t>
      </w:r>
      <w:r>
        <w:rPr>
          <w:rFonts w:hint="eastAsia" w:ascii="微软雅黑" w:eastAsia="微软雅黑" w:cs="仿宋_GB2312"/>
          <w:bCs/>
          <w:color w:val="auto"/>
          <w:sz w:val="36"/>
          <w:szCs w:val="32"/>
          <w:highlight w:val="none"/>
        </w:rPr>
        <w:t>稿）编制说明</w:t>
      </w:r>
    </w:p>
    <w:p w14:paraId="26EBCE99">
      <w:pPr>
        <w:ind w:firstLine="360"/>
        <w:jc w:val="center"/>
        <w:rPr>
          <w:rFonts w:ascii="微软雅黑" w:eastAsia="微软雅黑" w:cs="仿宋_GB2312"/>
          <w:bCs/>
          <w:color w:val="auto"/>
          <w:sz w:val="18"/>
          <w:szCs w:val="18"/>
          <w:highlight w:val="none"/>
        </w:rPr>
      </w:pPr>
    </w:p>
    <w:p w14:paraId="3F618D89">
      <w:pPr>
        <w:spacing w:line="520" w:lineRule="exact"/>
        <w:ind w:firstLine="640" w:firstLineChars="200"/>
        <w:rPr>
          <w:rFonts w:ascii="黑体" w:eastAsia="黑体" w:cs="仿宋_GB2312"/>
          <w:bCs/>
          <w:color w:val="auto"/>
          <w:sz w:val="32"/>
          <w:szCs w:val="32"/>
          <w:highlight w:val="none"/>
        </w:rPr>
      </w:pPr>
      <w:r>
        <w:rPr>
          <w:rFonts w:hint="eastAsia" w:ascii="黑体" w:eastAsia="黑体" w:cs="仿宋_GB2312"/>
          <w:color w:val="auto"/>
          <w:sz w:val="32"/>
          <w:szCs w:val="32"/>
          <w:highlight w:val="none"/>
        </w:rPr>
        <w:t>一、任务来源、起草单位、主要起草人</w:t>
      </w:r>
    </w:p>
    <w:p w14:paraId="1C7FA553">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根据《广西标准化协会关于下达202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年第</w:t>
      </w:r>
      <w:r>
        <w:rPr>
          <w:rFonts w:hint="eastAsia" w:ascii="仿宋_GB2312" w:eastAsia="仿宋_GB2312"/>
          <w:color w:val="auto"/>
          <w:sz w:val="28"/>
          <w:szCs w:val="28"/>
          <w:highlight w:val="none"/>
          <w:lang w:eastAsia="zh-CN"/>
        </w:rPr>
        <w:t>三十二</w:t>
      </w:r>
      <w:r>
        <w:rPr>
          <w:rFonts w:hint="eastAsia" w:ascii="仿宋_GB2312" w:eastAsia="仿宋_GB2312"/>
          <w:color w:val="auto"/>
          <w:sz w:val="28"/>
          <w:szCs w:val="28"/>
          <w:highlight w:val="none"/>
        </w:rPr>
        <w:t>批团体标准制修订项目计划的通知》（桂标协〔202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val="en-US" w:eastAsia="zh-CN"/>
        </w:rPr>
        <w:t>300</w:t>
      </w:r>
      <w:r>
        <w:rPr>
          <w:rFonts w:hint="eastAsia" w:ascii="仿宋_GB2312" w:eastAsia="仿宋_GB2312"/>
          <w:color w:val="auto"/>
          <w:sz w:val="28"/>
          <w:szCs w:val="28"/>
          <w:highlight w:val="none"/>
        </w:rPr>
        <w:t>号）精神，由广西国际壮医医院提出，广西国际壮医医院、广西中医药大学第一附属医院、百色市中医医院、崇左市中医壮医医院、防城港市中医医院、贵港市中医医院、老挝湄公河医院等单位共同起草的团体标准《</w:t>
      </w:r>
      <w:r>
        <w:rPr>
          <w:rFonts w:hint="eastAsia" w:ascii="仿宋_GB2312" w:eastAsia="仿宋_GB2312"/>
          <w:color w:val="auto"/>
          <w:sz w:val="28"/>
          <w:szCs w:val="28"/>
          <w:highlight w:val="none"/>
          <w:lang w:eastAsia="zh-CN"/>
        </w:rPr>
        <w:t>壮医经筋疗法治疗单纯性肥胖技术操作规范</w:t>
      </w:r>
      <w:r>
        <w:rPr>
          <w:rFonts w:hint="eastAsia" w:ascii="仿宋_GB2312" w:eastAsia="仿宋_GB2312"/>
          <w:color w:val="auto"/>
          <w:sz w:val="28"/>
          <w:szCs w:val="28"/>
          <w:highlight w:val="none"/>
        </w:rPr>
        <w:t>》（项目编号：202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val="en-US" w:eastAsia="zh-CN"/>
        </w:rPr>
        <w:t>3216</w:t>
      </w:r>
      <w:r>
        <w:rPr>
          <w:rFonts w:hint="eastAsia" w:ascii="仿宋_GB2312" w:eastAsia="仿宋_GB2312"/>
          <w:color w:val="auto"/>
          <w:sz w:val="28"/>
          <w:szCs w:val="28"/>
          <w:highlight w:val="none"/>
        </w:rPr>
        <w:t>），已获立项。</w:t>
      </w:r>
    </w:p>
    <w:p w14:paraId="67F631D9">
      <w:pPr>
        <w:spacing w:line="520" w:lineRule="exact"/>
        <w:ind w:firstLine="560" w:firstLineChars="200"/>
        <w:rPr>
          <w:rFonts w:hint="eastAsia" w:ascii="仿宋_GB2312" w:eastAsia="仿宋_GB2312"/>
          <w:color w:val="auto"/>
          <w:sz w:val="28"/>
          <w:szCs w:val="28"/>
          <w:highlight w:val="none"/>
          <w:lang w:eastAsia="zh-CN"/>
        </w:rPr>
      </w:pPr>
      <w:r>
        <w:rPr>
          <w:rFonts w:hint="eastAsia" w:ascii="仿宋_GB2312" w:eastAsia="仿宋_GB2312"/>
          <w:color w:val="auto"/>
          <w:sz w:val="28"/>
          <w:szCs w:val="28"/>
          <w:highlight w:val="none"/>
        </w:rPr>
        <w:t>为高质量编制团体标准《</w:t>
      </w:r>
      <w:r>
        <w:rPr>
          <w:rFonts w:hint="eastAsia" w:ascii="仿宋_GB2312" w:eastAsia="仿宋_GB2312"/>
          <w:color w:val="auto"/>
          <w:sz w:val="28"/>
          <w:szCs w:val="28"/>
          <w:highlight w:val="none"/>
          <w:lang w:eastAsia="zh-CN"/>
        </w:rPr>
        <w:t>壮医经筋疗法治疗单纯性肥胖技术操作规范</w:t>
      </w:r>
      <w:r>
        <w:rPr>
          <w:rFonts w:hint="eastAsia" w:ascii="仿宋_GB2312" w:eastAsia="仿宋_GB2312"/>
          <w:color w:val="auto"/>
          <w:sz w:val="28"/>
          <w:szCs w:val="28"/>
          <w:highlight w:val="none"/>
        </w:rPr>
        <w:t>》，由起草单位成立标准编制工作组并进行如下分工：</w:t>
      </w:r>
    </w:p>
    <w:tbl>
      <w:tblPr>
        <w:tblStyle w:val="15"/>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538"/>
        <w:gridCol w:w="2386"/>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职务/职</w:t>
            </w:r>
            <w:r>
              <w:rPr>
                <w:rFonts w:hint="default" w:ascii="仿宋_GB2312" w:hAnsi="仿宋" w:eastAsia="仿宋_GB2312" w:cs="仿宋"/>
                <w:b/>
                <w:color w:val="auto"/>
                <w:sz w:val="24"/>
                <w:highlight w:val="none"/>
              </w:rPr>
              <w:t>称</w:t>
            </w:r>
          </w:p>
        </w:tc>
        <w:tc>
          <w:tcPr>
            <w:tcW w:w="1538" w:type="dxa"/>
            <w:tcBorders>
              <w:top w:val="single" w:color="auto" w:sz="4" w:space="0"/>
              <w:left w:val="single" w:color="auto" w:sz="4" w:space="0"/>
              <w:bottom w:val="single" w:color="auto" w:sz="4" w:space="0"/>
              <w:right w:val="single" w:color="auto" w:sz="4" w:space="0"/>
            </w:tcBorders>
            <w:vAlign w:val="center"/>
          </w:tcPr>
          <w:p w14:paraId="310E99E6">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从事</w:t>
            </w:r>
          </w:p>
          <w:p w14:paraId="1832E6EC">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专业</w:t>
            </w:r>
          </w:p>
        </w:tc>
        <w:tc>
          <w:tcPr>
            <w:tcW w:w="2386" w:type="dxa"/>
            <w:tcBorders>
              <w:top w:val="single" w:color="auto" w:sz="4" w:space="0"/>
              <w:left w:val="single" w:color="auto" w:sz="4" w:space="0"/>
              <w:bottom w:val="single" w:color="auto" w:sz="4" w:space="0"/>
              <w:right w:val="single" w:color="auto" w:sz="4" w:space="0"/>
            </w:tcBorders>
            <w:vAlign w:val="center"/>
          </w:tcPr>
          <w:p w14:paraId="73D1A17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21AEDB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黄国东</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E1F40DA">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院长/主任医师、教授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007D931">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中国少数民族药学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8241027">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统筹主持标准编制工作</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A8FA3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张荣臻</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99398BE">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副院长/教授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E57BAF8">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中医内科学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6AC7F00">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3740339">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李龙春</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4AC70E9">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学科建设办公室主任/副主任医师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6744DE6">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中医学（针灸方向）</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36DD2D53">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3408E6">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彭佩纯</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F4642FC">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学科建设办公室副主任/主治医师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58498D0">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中医内科学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AE7202D">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E4CB788">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韦英才</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029C6E1">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壮医药学院院长/主任医师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3DBF83EC">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734DAEF">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33814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70F15B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肖敬</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E453517">
            <w:pPr>
              <w:keepNext w:val="0"/>
              <w:keepLines w:val="0"/>
              <w:widowControl/>
              <w:suppressLineNumbers w:val="0"/>
              <w:spacing w:before="0" w:beforeAutospacing="0" w:after="0" w:afterAutospacing="0"/>
              <w:ind w:left="0" w:leftChars="0" w:right="0" w:rightChars="0"/>
              <w:jc w:val="center"/>
              <w:textAlignment w:val="center"/>
              <w:rPr>
                <w:rFonts w:hint="default" w:ascii="仿宋_GB2312" w:hAnsi="仿宋_GB2312" w:eastAsia="仿宋_GB2312" w:cs="仿宋_GB2312"/>
                <w:bCs/>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壮医针灸科/副主任医师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1B7E9189">
            <w:pPr>
              <w:keepNext w:val="0"/>
              <w:keepLines w:val="0"/>
              <w:widowControl/>
              <w:suppressLineNumbers w:val="0"/>
              <w:spacing w:before="0" w:beforeAutospacing="0" w:after="0" w:afterAutospacing="0"/>
              <w:ind w:left="-105" w:leftChars="-50" w:right="-105" w:rightChars="-50"/>
              <w:jc w:val="center"/>
              <w:textAlignment w:val="center"/>
              <w:rPr>
                <w:rFonts w:hint="default" w:ascii="仿宋_GB2312" w:hAnsi="仿宋_GB2312" w:eastAsia="仿宋_GB2312" w:cs="仿宋_GB2312"/>
                <w:bCs/>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067C6CB">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eastAsia="仿宋_GB2312" w:cs="Calibri"/>
                <w:bCs/>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0A55C5E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2F3ADC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陈鹏</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95F53A2">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壮医科</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69185699">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5BF293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keepNext w:val="0"/>
              <w:keepLines w:val="0"/>
              <w:suppressLineNumbers w:val="0"/>
              <w:spacing w:before="0" w:beforeAutospacing="0" w:after="0" w:afterAutospacing="0"/>
              <w:ind w:left="0" w:right="0"/>
              <w:jc w:val="center"/>
              <w:rPr>
                <w:rFonts w:hint="eastAsia" w:ascii="仿宋_GB2312" w:hAnsi="仿宋_GB2312" w:eastAsia="仿宋_GB2312" w:cs="仿宋_GB2312"/>
                <w:b/>
                <w:bCs/>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FA677B5">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唐瞻华</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04B321E">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壮医科</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FCEA12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50969E8">
            <w:pPr>
              <w:keepNext w:val="0"/>
              <w:keepLines w:val="0"/>
              <w:suppressLineNumbers w:val="0"/>
              <w:spacing w:before="0" w:beforeAutospacing="0" w:after="0" w:afterAutospacing="0"/>
              <w:ind w:left="0" w:leftChars="0" w:right="0" w:rightChars="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崇左市中医医院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08F60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罗钰莹</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9D2BD5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壮医科</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4B75E53">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9AA38D9">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Calibri"/>
                <w:color w:val="auto"/>
                <w:kern w:val="2"/>
                <w:sz w:val="24"/>
                <w:szCs w:val="24"/>
                <w:highlight w:val="none"/>
                <w:lang w:val="en-US" w:eastAsia="zh-CN" w:bidi="ar-SA"/>
              </w:rPr>
            </w:pPr>
            <w:r>
              <w:rPr>
                <w:rFonts w:hint="eastAsia"/>
                <w:color w:val="auto"/>
                <w:highlight w:val="none"/>
              </w:rPr>
              <w:t>防城港市中医医院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9A5FB0">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谭磊</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C55BFC5">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壮医科</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0AAEA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37FE3BE6">
            <w:pPr>
              <w:keepNext w:val="0"/>
              <w:keepLines w:val="0"/>
              <w:suppressLineNumbers w:val="0"/>
              <w:spacing w:before="0" w:beforeAutospacing="0" w:after="0" w:afterAutospacing="0"/>
              <w:ind w:left="0" w:leftChars="0" w:right="0" w:rightChars="0"/>
              <w:jc w:val="center"/>
              <w:rPr>
                <w:rFonts w:hint="default" w:ascii="仿宋_GB2312" w:hAnsi="仿宋_GB2312" w:eastAsia="仿宋_GB2312" w:cs="Calibri"/>
                <w:color w:val="auto"/>
                <w:kern w:val="2"/>
                <w:sz w:val="24"/>
                <w:szCs w:val="24"/>
                <w:highlight w:val="none"/>
                <w:lang w:val="en-US" w:eastAsia="zh-CN" w:bidi="ar-SA"/>
              </w:rPr>
            </w:pPr>
            <w:r>
              <w:rPr>
                <w:rFonts w:hint="eastAsia" w:eastAsia="仿宋_GB2312"/>
                <w:color w:val="auto"/>
                <w:highlight w:val="none"/>
                <w:lang w:val="en-US" w:eastAsia="zh-CN"/>
              </w:rPr>
              <w:t>广西中医药大学第一附属医院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DEABE1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阎杰</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18C25D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壮医科</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8958C7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C3B8541">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Calibri"/>
                <w:color w:val="auto"/>
                <w:kern w:val="2"/>
                <w:sz w:val="24"/>
                <w:szCs w:val="24"/>
                <w:highlight w:val="none"/>
                <w:lang w:val="en-US" w:eastAsia="zh-CN" w:bidi="ar-SA"/>
              </w:rPr>
            </w:pPr>
            <w:r>
              <w:rPr>
                <w:rFonts w:hint="eastAsia"/>
                <w:color w:val="auto"/>
                <w:highlight w:val="none"/>
              </w:rPr>
              <w:t>贵港市中医医院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62D7D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B5EB1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黄超</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1EA064FC">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院长</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1AA3D918">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2B7B476F">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Calibri"/>
                <w:color w:val="auto"/>
                <w:kern w:val="2"/>
                <w:sz w:val="24"/>
                <w:szCs w:val="24"/>
                <w:highlight w:val="none"/>
                <w:lang w:val="en-US" w:eastAsia="zh-CN" w:bidi="ar-SA"/>
              </w:rPr>
            </w:pPr>
            <w:r>
              <w:rPr>
                <w:rFonts w:hint="eastAsia"/>
                <w:color w:val="auto"/>
                <w:highlight w:val="none"/>
              </w:rPr>
              <w:t>老挝湄公河医院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D7FACE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59C1A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0EFA207">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梁子茂</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32F822F">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推拿科/主任医师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6546FE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CB6BFB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F2DA03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3CA4A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28145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吕计宝</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BC30B66">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推拿科/副主任医师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514E4C7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壮医学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40C0524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2D5BCC0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2A36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C2AF7D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杨小徽</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7738D5D">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eastAsia="仿宋_GB2312" w:cs="Calibri"/>
                <w:color w:val="auto"/>
                <w:kern w:val="2"/>
                <w:sz w:val="24"/>
                <w:szCs w:val="24"/>
                <w:highlight w:val="none"/>
                <w:lang w:val="en-US" w:eastAsia="zh-CN" w:bidi="ar-SA"/>
              </w:rPr>
              <w:t>肝病科/主治医师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702E579">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中医内科学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452A581B">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Calibri"/>
                <w:color w:val="auto"/>
                <w:kern w:val="2"/>
                <w:sz w:val="24"/>
                <w:szCs w:val="24"/>
                <w:highlight w:val="none"/>
                <w:lang w:val="en-US" w:eastAsia="zh-CN" w:bidi="ar-SA"/>
              </w:rPr>
              <w:t>广西国际壮医医院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482D51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bl>
    <w:p w14:paraId="0ABC08B2">
      <w:pPr>
        <w:spacing w:line="520" w:lineRule="exact"/>
        <w:ind w:firstLine="640" w:firstLineChars="200"/>
        <w:rPr>
          <w:rFonts w:ascii="黑体" w:eastAsia="黑体" w:cs="仿宋_GB2312"/>
          <w:color w:val="auto"/>
          <w:sz w:val="32"/>
          <w:szCs w:val="32"/>
          <w:highlight w:val="none"/>
        </w:rPr>
      </w:pPr>
      <w:r>
        <w:rPr>
          <w:rFonts w:hint="eastAsia" w:ascii="黑体" w:eastAsia="黑体" w:cs="仿宋_GB2312"/>
          <w:color w:val="auto"/>
          <w:sz w:val="32"/>
          <w:szCs w:val="32"/>
          <w:highlight w:val="none"/>
        </w:rPr>
        <w:t>二、制定标准的必要性和意义</w:t>
      </w:r>
    </w:p>
    <w:p w14:paraId="67D8C7AE">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单纯性肥胖是最常见的肥胖类型，占肥胖人群的95%以上。其特点是能量摄入超过能量消耗，导致脂肪堆积。单纯性肥胖通常与不良的饮食结构、缺乏运动、遗传因素和环境因素有关。</w:t>
      </w:r>
    </w:p>
    <w:p w14:paraId="614EAF5E">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单纯性肥胖是多种严重慢性疾病的重要风险因素。在代谢层面，它常引发胰岛素抵抗，显著增加罹患2型糖尿病的风险。对于心血管系统，肥胖会促进动脉粥样硬化的发展，是高血压、冠心病、心力衰竭和缺血性中风的确立性危险因素。此外，过多的体重会加重骨骼关节的机械负荷，导致膝关节等承重关节的退行性病变。在呼吸系统，肥胖可限制肺通气功能，与睡眠呼吸暂停低通气综合征的发生密切相关。肥胖与某些恶性肿瘤，如子宫内膜癌、结直肠癌和乳腺癌的发病率存在关联。超出生理范围的脂肪组织还会作为一种内分泌器官，引发全身性的慢性低度炎症状态。除了生理层面的损害，肥胖还可能伴随心理社会负担，包括自我形象贬低、抑郁焦虑情绪以及社会歧视现象，从而全面影响个体的健康与生活质量。</w:t>
      </w:r>
    </w:p>
    <w:p w14:paraId="1C3A8A78">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壮医经筋疗法是在古典十二经筋理论指导下，结合壮族民间捉筋理筋术，总结出以理筋手法、多种针刺方法、拔火罐疗法相结合，以达到防病治病的一种壮医特色技法。壮医经筋疗法起源于中医古典医籍《黄帝内经》灵枢•经筋篇，距今已有2600多年，对颈椎病、腰椎间盘突出、骨关节炎等痛症、脑中风后遗症、脏腑疾病、慢性疲劳综合征等病症都具有显著疗效。通过大量临床实践，从人体中发现了多个具有特殊功能的经筋筋结。</w:t>
      </w:r>
    </w:p>
    <w:p w14:paraId="6690D886">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在治疗单纯性肥胖方面，壮医经筋疗法展现出显著优势：</w:t>
      </w:r>
    </w:p>
    <w:p w14:paraId="0F5A7E66">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壮医理论认为，肥胖主要与“水道”和“谷道”的功能失调有关。该疗法通过广泛松解腰部、腹部、背部及四肢的筋结，尤其注重处理腹部核心区域的僵硬结块，从而有效刺激和调节相关脏腑（如脾、胃）的运化功能，促进水液代谢与消化排泄通路恢复正常。其目的在于协助机体恢复内在运化平衡，而非仅仅着眼于体重减轻。</w:t>
      </w:r>
    </w:p>
    <w:p w14:paraId="1D856774">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2）壮医经筋疗法强调对腹部筋结的针对性处理。通过深层松解腹部坚韧的筋膜粘连，不仅能够直接缩减腰围、软化腹部组织，还可对腹腔内脏腑产生强烈刺激，激活其生理功能。这种由表及里的刺激方式，再结合对全身经络的疏通，有助于改善内分泌环境，纠正体内失衡状态，从而为体重管理创造更为良好的内在条件。</w:t>
      </w:r>
    </w:p>
    <w:p w14:paraId="6BBE3FA1">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3）作为外治法，壮医经筋疗法避免了药物干预可能引发的副作用。该疗法不主张采用对抗性的治疗策略（如强制节食或高强度运动），而是侧重于消除身体内部的障碍（如筋结堵塞），以激发和调动人体固有的自我调节能力，推动机体自发回归平衡状态。此类整体调理方式不仅有助于减肥，还可同时改善肥胖伴随的乏力、肢体酸胀、便秘等症状，提升整体健康水平。</w:t>
      </w:r>
    </w:p>
    <w:p w14:paraId="68D38D8D">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综上，该疗法在治疗单纯性肥胖方面具有独特优势，经筋疗法可以显著改善腰围、脐围及髂前上脊围、WHR、F%、体质量及BMI，适用于临床推广。</w:t>
      </w:r>
    </w:p>
    <w:p w14:paraId="739F5257">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因此，为规范壮医经筋疗法治疗单纯性肥胖技术操作要求，促进壮医经筋疗法治疗单纯性肥胖技术操作的科学化、系统化、规范化，以期有效改善患者的临床指标（如体重、体脂率、BMI）、降低肥胖相关共病风险、并提升其整体健康水平和生活质量，制定团体标准《壮医经筋疗法治疗单纯性肥胖技术操作规范》</w:t>
      </w:r>
      <w:r>
        <w:rPr>
          <w:rFonts w:hint="eastAsia" w:ascii="仿宋_GB2312" w:hAnsi="仿宋_GB2312" w:eastAsia="仿宋_GB2312" w:cs="仿宋_GB2312"/>
          <w:color w:val="auto"/>
          <w:sz w:val="28"/>
          <w:szCs w:val="28"/>
          <w:highlight w:val="none"/>
          <w:lang w:eastAsia="zh-CN"/>
        </w:rPr>
        <w:t>具有重要意义</w:t>
      </w:r>
      <w:r>
        <w:rPr>
          <w:rFonts w:hint="eastAsia" w:ascii="仿宋_GB2312" w:hAnsi="仿宋_GB2312" w:eastAsia="仿宋_GB2312" w:cs="仿宋_GB2312"/>
          <w:color w:val="auto"/>
          <w:sz w:val="28"/>
          <w:szCs w:val="28"/>
          <w:highlight w:val="none"/>
        </w:rPr>
        <w:t>。</w:t>
      </w:r>
    </w:p>
    <w:p w14:paraId="441B3EEE">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三、主要起草过程</w:t>
      </w:r>
    </w:p>
    <w:p w14:paraId="6449F9D0">
      <w:pPr>
        <w:spacing w:line="520" w:lineRule="exact"/>
        <w:ind w:firstLine="562" w:firstLineChars="200"/>
        <w:rPr>
          <w:rFonts w:ascii="仿宋_GB2312" w:eastAsia="仿宋_GB2312"/>
          <w:color w:val="auto"/>
          <w:sz w:val="28"/>
          <w:szCs w:val="28"/>
          <w:highlight w:val="none"/>
        </w:rPr>
      </w:pPr>
      <w:r>
        <w:rPr>
          <w:rFonts w:hint="eastAsia" w:ascii="仿宋_GB2312" w:eastAsia="仿宋_GB2312" w:cs="仿宋_GB2312"/>
          <w:b/>
          <w:color w:val="auto"/>
          <w:sz w:val="28"/>
          <w:szCs w:val="28"/>
          <w:highlight w:val="none"/>
        </w:rPr>
        <w:t>（一）成立标准编制工作组</w:t>
      </w:r>
    </w:p>
    <w:p w14:paraId="05019A1A">
      <w:pPr>
        <w:spacing w:line="520" w:lineRule="exact"/>
        <w:ind w:firstLine="560" w:firstLineChars="200"/>
        <w:jc w:val="left"/>
        <w:rPr>
          <w:rFonts w:ascii="仿宋_GB2312" w:eastAsia="仿宋_GB2312"/>
          <w:color w:val="auto"/>
          <w:sz w:val="28"/>
          <w:szCs w:val="28"/>
          <w:highlight w:val="none"/>
        </w:rPr>
      </w:pPr>
      <w:r>
        <w:rPr>
          <w:rFonts w:hint="eastAsia" w:ascii="仿宋_GB2312" w:hAnsi="宋体" w:eastAsia="仿宋_GB2312"/>
          <w:color w:val="auto"/>
          <w:sz w:val="28"/>
          <w:szCs w:val="28"/>
          <w:highlight w:val="none"/>
        </w:rPr>
        <w:t>团体标准</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eastAsia="zh-CN"/>
        </w:rPr>
        <w:t>壮医经筋疗法治疗单纯性肥胖技术操作规范</w:t>
      </w:r>
      <w:r>
        <w:rPr>
          <w:rFonts w:hint="eastAsia" w:ascii="仿宋_GB2312" w:eastAsia="仿宋_GB2312"/>
          <w:color w:val="auto"/>
          <w:sz w:val="28"/>
          <w:szCs w:val="28"/>
          <w:highlight w:val="none"/>
        </w:rPr>
        <w:t>》项目任务下达后，由</w:t>
      </w:r>
      <w:r>
        <w:rPr>
          <w:rFonts w:hint="eastAsia" w:ascii="仿宋_GB2312" w:eastAsia="仿宋_GB2312"/>
          <w:color w:val="auto"/>
          <w:sz w:val="28"/>
          <w:szCs w:val="28"/>
          <w:highlight w:val="none"/>
          <w:lang w:eastAsia="zh-CN"/>
        </w:rPr>
        <w:t>广西国际壮医医院</w:t>
      </w:r>
      <w:r>
        <w:rPr>
          <w:rFonts w:hint="eastAsia" w:ascii="仿宋_GB2312" w:eastAsia="仿宋_GB2312"/>
          <w:color w:val="auto"/>
          <w:sz w:val="28"/>
          <w:szCs w:val="28"/>
          <w:highlight w:val="none"/>
        </w:rPr>
        <w:t>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color w:val="auto"/>
          <w:sz w:val="28"/>
          <w:szCs w:val="28"/>
          <w:highlight w:val="none"/>
        </w:rPr>
      </w:pPr>
      <w:r>
        <w:rPr>
          <w:rFonts w:hint="eastAsia" w:ascii="仿宋_GB2312" w:eastAsia="仿宋_GB2312"/>
          <w:color w:val="auto"/>
          <w:sz w:val="28"/>
          <w:szCs w:val="28"/>
          <w:highlight w:val="none"/>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highlight w:val="none"/>
          <w:lang w:eastAsia="zh-CN"/>
        </w:rPr>
        <w:t>壮医经筋疗法治疗单纯性肥胖技术</w:t>
      </w:r>
      <w:r>
        <w:rPr>
          <w:rFonts w:hint="eastAsia" w:ascii="仿宋_GB2312" w:eastAsia="仿宋_GB2312"/>
          <w:color w:val="auto"/>
          <w:sz w:val="28"/>
          <w:szCs w:val="28"/>
          <w:highlight w:val="none"/>
        </w:rPr>
        <w:t>方面的文献资料的查询、收集和整理工作，查阅前期对</w:t>
      </w:r>
      <w:r>
        <w:rPr>
          <w:rFonts w:hint="eastAsia" w:ascii="仿宋_GB2312" w:eastAsia="仿宋_GB2312"/>
          <w:color w:val="auto"/>
          <w:sz w:val="28"/>
          <w:szCs w:val="28"/>
          <w:highlight w:val="none"/>
          <w:lang w:eastAsia="zh-CN"/>
        </w:rPr>
        <w:t>壮医经筋疗法治疗单纯性肥胖技术</w:t>
      </w:r>
      <w:r>
        <w:rPr>
          <w:rFonts w:hint="eastAsia" w:ascii="仿宋_GB2312" w:eastAsia="仿宋_GB2312"/>
          <w:color w:val="auto"/>
          <w:sz w:val="28"/>
          <w:szCs w:val="28"/>
          <w:highlight w:val="none"/>
        </w:rPr>
        <w:t>方面的有关研究情况和目前科学界</w:t>
      </w:r>
      <w:r>
        <w:rPr>
          <w:rFonts w:hint="eastAsia" w:ascii="仿宋_GB2312" w:eastAsia="仿宋_GB2312"/>
          <w:color w:val="auto"/>
          <w:sz w:val="28"/>
          <w:szCs w:val="28"/>
          <w:highlight w:val="none"/>
          <w:lang w:eastAsia="zh-CN"/>
        </w:rPr>
        <w:t>壮医经筋疗法治疗单纯性肥胖技术</w:t>
      </w:r>
      <w:r>
        <w:rPr>
          <w:rFonts w:hint="eastAsia" w:ascii="仿宋_GB2312" w:eastAsia="仿宋_GB2312"/>
          <w:color w:val="auto"/>
          <w:sz w:val="28"/>
          <w:szCs w:val="28"/>
          <w:highlight w:val="none"/>
        </w:rPr>
        <w:t>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（二）收集整理文献资料</w:t>
      </w:r>
    </w:p>
    <w:p w14:paraId="40D29D62">
      <w:pPr>
        <w:spacing w:line="520" w:lineRule="exact"/>
        <w:ind w:firstLine="560" w:firstLineChars="200"/>
        <w:rPr>
          <w:rFonts w:hint="eastAsia" w:ascii="仿宋_GB2312" w:eastAsia="仿宋_GB2312"/>
          <w:color w:val="auto"/>
          <w:sz w:val="28"/>
          <w:szCs w:val="28"/>
          <w:highlight w:val="none"/>
          <w:lang w:eastAsia="zh-CN"/>
        </w:rPr>
      </w:pPr>
      <w:r>
        <w:rPr>
          <w:rFonts w:hint="eastAsia" w:ascii="仿宋_GB2312" w:eastAsia="仿宋_GB2312"/>
          <w:color w:val="auto"/>
          <w:sz w:val="28"/>
          <w:szCs w:val="28"/>
          <w:highlight w:val="none"/>
          <w:lang w:eastAsia="zh-CN"/>
        </w:rPr>
        <w:t>标准编制工作组收集了国内有关壮医经筋疗法治疗单纯性肥胖技术的相关文献资料。主要有：</w:t>
      </w:r>
    </w:p>
    <w:p w14:paraId="0825AD13">
      <w:pPr>
        <w:spacing w:line="520" w:lineRule="exact"/>
        <w:ind w:firstLine="560" w:firstLineChars="200"/>
        <w:rPr>
          <w:rFonts w:hint="eastAsia" w:ascii="仿宋_GB2312" w:eastAsia="仿宋_GB2312"/>
          <w:color w:val="auto"/>
          <w:sz w:val="28"/>
          <w:szCs w:val="28"/>
          <w:highlight w:val="none"/>
          <w:lang w:eastAsia="zh-CN"/>
        </w:rPr>
      </w:pPr>
      <w:r>
        <w:rPr>
          <w:rFonts w:hint="eastAsia" w:ascii="仿宋_GB2312" w:eastAsia="仿宋_GB2312"/>
          <w:color w:val="auto"/>
          <w:sz w:val="28"/>
          <w:szCs w:val="28"/>
          <w:highlight w:val="none"/>
          <w:lang w:val="en-US" w:eastAsia="zh-CN"/>
        </w:rPr>
        <w:t xml:space="preserve">[1]  </w:t>
      </w:r>
      <w:r>
        <w:rPr>
          <w:rFonts w:hint="eastAsia" w:ascii="仿宋_GB2312" w:eastAsia="仿宋_GB2312"/>
          <w:color w:val="auto"/>
          <w:sz w:val="28"/>
          <w:szCs w:val="28"/>
          <w:highlight w:val="none"/>
          <w:lang w:eastAsia="zh-CN"/>
        </w:rPr>
        <w:t>肥胖症诊疗指南（2024年版）[J].</w:t>
      </w:r>
      <w:r>
        <w:rPr>
          <w:rFonts w:hint="eastAsia" w:ascii="仿宋_GB2312" w:eastAsia="仿宋_GB2312"/>
          <w:color w:val="auto"/>
          <w:sz w:val="28"/>
          <w:szCs w:val="28"/>
          <w:highlight w:val="none"/>
          <w:lang w:val="en-US" w:eastAsia="zh-CN"/>
        </w:rPr>
        <w:t xml:space="preserve"> </w:t>
      </w:r>
      <w:r>
        <w:rPr>
          <w:rFonts w:hint="eastAsia" w:ascii="仿宋_GB2312" w:eastAsia="仿宋_GB2312"/>
          <w:color w:val="auto"/>
          <w:sz w:val="28"/>
          <w:szCs w:val="28"/>
          <w:highlight w:val="none"/>
          <w:lang w:eastAsia="zh-CN"/>
        </w:rPr>
        <w:t>中国循环杂志,</w:t>
      </w:r>
      <w:r>
        <w:rPr>
          <w:rFonts w:hint="eastAsia" w:ascii="仿宋_GB2312" w:eastAsia="仿宋_GB2312"/>
          <w:color w:val="auto"/>
          <w:sz w:val="28"/>
          <w:szCs w:val="28"/>
          <w:highlight w:val="none"/>
          <w:lang w:val="en-US" w:eastAsia="zh-CN"/>
        </w:rPr>
        <w:t xml:space="preserve"> </w:t>
      </w:r>
      <w:r>
        <w:rPr>
          <w:rFonts w:hint="eastAsia" w:ascii="仿宋_GB2312" w:eastAsia="仿宋_GB2312"/>
          <w:color w:val="auto"/>
          <w:sz w:val="28"/>
          <w:szCs w:val="28"/>
          <w:highlight w:val="none"/>
          <w:lang w:eastAsia="zh-CN"/>
        </w:rPr>
        <w:t>2025,</w:t>
      </w:r>
      <w:r>
        <w:rPr>
          <w:rFonts w:hint="eastAsia" w:ascii="仿宋_GB2312" w:eastAsia="仿宋_GB2312"/>
          <w:color w:val="auto"/>
          <w:sz w:val="28"/>
          <w:szCs w:val="28"/>
          <w:highlight w:val="none"/>
          <w:lang w:val="en-US" w:eastAsia="zh-CN"/>
        </w:rPr>
        <w:t xml:space="preserve"> </w:t>
      </w:r>
      <w:r>
        <w:rPr>
          <w:rFonts w:hint="eastAsia" w:ascii="仿宋_GB2312" w:eastAsia="仿宋_GB2312"/>
          <w:color w:val="auto"/>
          <w:sz w:val="28"/>
          <w:szCs w:val="28"/>
          <w:highlight w:val="none"/>
          <w:lang w:eastAsia="zh-CN"/>
        </w:rPr>
        <w:t>40(01):</w:t>
      </w:r>
      <w:r>
        <w:rPr>
          <w:rFonts w:hint="eastAsia" w:ascii="仿宋_GB2312" w:eastAsia="仿宋_GB2312"/>
          <w:color w:val="auto"/>
          <w:sz w:val="28"/>
          <w:szCs w:val="28"/>
          <w:highlight w:val="none"/>
          <w:lang w:val="en-US" w:eastAsia="zh-CN"/>
        </w:rPr>
        <w:t xml:space="preserve"> </w:t>
      </w:r>
      <w:r>
        <w:rPr>
          <w:rFonts w:hint="eastAsia" w:ascii="仿宋_GB2312" w:eastAsia="仿宋_GB2312"/>
          <w:color w:val="auto"/>
          <w:sz w:val="28"/>
          <w:szCs w:val="28"/>
          <w:highlight w:val="none"/>
          <w:lang w:eastAsia="zh-CN"/>
        </w:rPr>
        <w:t>6-30.</w:t>
      </w:r>
    </w:p>
    <w:p w14:paraId="3497C641">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[2]  吕计宝, 梁树勇, 韦达主编. 壮医筋结病灶图解[M]. 南宁: 广西科学技术出版社, 2024.</w:t>
      </w:r>
    </w:p>
    <w:p w14:paraId="40DBB9DD">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[3]  朱露露,陈思雨,农雅萍,等.壮医经筋疗法治疗单纯性肥胖的疗效和机理研究[J].针灸临床杂志,2023,39(10):12-17.</w:t>
      </w:r>
    </w:p>
    <w:p w14:paraId="1A0DDEC9">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（三）研讨确定标准主体内容及标准创新点</w:t>
      </w:r>
    </w:p>
    <w:p w14:paraId="2128798C">
      <w:pPr>
        <w:pStyle w:val="30"/>
        <w:keepNext w:val="0"/>
        <w:keepLines w:val="0"/>
        <w:pageBreakBefore w:val="0"/>
        <w:widowControl/>
        <w:kinsoku/>
        <w:wordWrap/>
        <w:overflowPunct/>
        <w:topLinePunct w:val="0"/>
        <w:autoSpaceDE w:val="0"/>
        <w:autoSpaceDN w:val="0"/>
        <w:bidi w:val="0"/>
        <w:adjustRightInd/>
        <w:snapToGrid/>
        <w:spacing w:before="0" w:beforeLines="0" w:after="0" w:afterLines="0"/>
        <w:ind w:firstLine="560"/>
        <w:jc w:val="both"/>
        <w:textAlignment w:val="auto"/>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标准编制工作组在对收集的资料进行整理研究之后，标准编制工作组召开了标准编制会议，对标准的整体框架结构进行了研究，并对标准的关键性内容进行了初步探讨。经过研究，标准的主体内容为壮医经筋疗法治疗单纯性肥胖技术的禁忌症、操作前准备、操作方法、注意事项、不良反应处理和日常调护。</w:t>
      </w:r>
    </w:p>
    <w:p w14:paraId="1779E2FB">
      <w:pPr>
        <w:pStyle w:val="30"/>
        <w:spacing w:before="0" w:beforeLines="0" w:after="0" w:afterLines="0"/>
        <w:ind w:firstLine="560"/>
        <w:jc w:val="both"/>
        <w:rPr>
          <w:rFonts w:hint="eastAsia" w:ascii="仿宋_GB2312" w:hAnsi="仿宋_GB2312" w:eastAsia="仿宋_GB2312" w:cs="仿宋_GB2312"/>
          <w:color w:val="auto"/>
          <w:sz w:val="28"/>
          <w:szCs w:val="28"/>
          <w:highlight w:val="none"/>
          <w:lang w:eastAsia="zh-CN"/>
        </w:rPr>
      </w:pPr>
      <w:r>
        <w:rPr>
          <w:rFonts w:hint="eastAsia" w:ascii="仿宋_GB2312" w:hAnsi="仿宋_GB2312" w:eastAsia="仿宋_GB2312" w:cs="仿宋_GB2312"/>
          <w:color w:val="auto"/>
          <w:sz w:val="28"/>
          <w:szCs w:val="28"/>
          <w:highlight w:val="none"/>
        </w:rPr>
        <w:t>本标准创新点主要为：</w:t>
      </w:r>
    </w:p>
    <w:p w14:paraId="01D9E882">
      <w:pPr>
        <w:pStyle w:val="30"/>
        <w:spacing w:before="0" w:beforeLines="0" w:after="0" w:afterLines="0"/>
        <w:ind w:firstLine="560"/>
        <w:jc w:val="both"/>
        <w:rPr>
          <w:rFonts w:hint="eastAsia"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1.肥胖的关键病机在于“因结致堵，因堵致壅”。病理性的“筋结”作为关键枢纽，不仅造成局部疼痛不适，更会物理性地压迫、阻滞其下穿行的“龙路”、“火路”，导致气血、水液、信息（嘘、勒）的运行全面迟滞，如同交通枢纽堵塞导致全城瘫痪。这使得“湿、毒、痰、瘀”等病理产物更易积聚于谷道、水道，形成“越堵越肥，越肥越堵”的恶性循环。本规范将治疗的核心从传统的“调脏腑”或“泻胃火”前移至“解筋结，通道路”。通过系统性地查找并消除特定区域的“筋结”这一结构性靶点，来“釜底抽薪”地恢复“三道两路”的功能通畅。</w:t>
      </w:r>
    </w:p>
    <w:p w14:paraId="17DDF2B6">
      <w:pPr>
        <w:pStyle w:val="30"/>
        <w:spacing w:before="0" w:beforeLines="0" w:after="0" w:afterLines="0"/>
        <w:ind w:firstLine="560"/>
        <w:jc w:val="both"/>
        <w:rPr>
          <w:rFonts w:hint="default"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2.制定了“</w:t>
      </w:r>
      <w:r>
        <w:rPr>
          <w:rFonts w:hint="default" w:ascii="仿宋_GB2312" w:hAnsi="仿宋_GB2312" w:eastAsia="仿宋_GB2312" w:cs="仿宋_GB2312"/>
          <w:color w:val="auto"/>
          <w:sz w:val="28"/>
          <w:szCs w:val="28"/>
          <w:highlight w:val="none"/>
          <w:lang w:val="en-US" w:eastAsia="zh-CN"/>
        </w:rPr>
        <w:t>查灶定位 → 松筋预热 → 核心消灶 → 循经疏导 → 整体理筋”的五步标准操作程序。每一步都有明确的目的和操作要求，确保了治疗过程的系统性与完整性，避免了操作的随意性和碎片化。</w:t>
      </w:r>
    </w:p>
    <w:p w14:paraId="53CB7ECF">
      <w:pPr>
        <w:spacing w:line="520" w:lineRule="exact"/>
        <w:ind w:firstLine="562" w:firstLineChars="200"/>
        <w:rPr>
          <w:rFonts w:hint="eastAsia" w:ascii="仿宋_GB2312" w:eastAsia="仿宋_GB2312" w:cs="仿宋_GB2312"/>
          <w:b/>
          <w:color w:val="auto"/>
          <w:sz w:val="28"/>
          <w:szCs w:val="28"/>
          <w:highlight w:val="none"/>
          <w:lang w:eastAsia="zh-CN"/>
        </w:rPr>
      </w:pPr>
      <w:r>
        <w:rPr>
          <w:rFonts w:hint="eastAsia" w:ascii="仿宋_GB2312" w:eastAsia="仿宋_GB2312" w:cs="仿宋_GB2312"/>
          <w:b/>
          <w:color w:val="auto"/>
          <w:sz w:val="28"/>
          <w:szCs w:val="28"/>
          <w:highlight w:val="none"/>
        </w:rPr>
        <w:t>（四）调研及形成草案、征求意见稿</w:t>
      </w:r>
    </w:p>
    <w:p w14:paraId="6B45C48F">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8</w:t>
      </w:r>
      <w:r>
        <w:rPr>
          <w:rFonts w:hint="eastAsia" w:ascii="仿宋_GB2312" w:eastAsia="仿宋_GB2312"/>
          <w:color w:val="auto"/>
          <w:kern w:val="0"/>
          <w:sz w:val="28"/>
          <w:szCs w:val="28"/>
          <w:highlight w:val="none"/>
        </w:rPr>
        <w:t>月，标准编制工作组查阅了大量的国内文献资料，对</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kern w:val="0"/>
          <w:sz w:val="28"/>
          <w:szCs w:val="28"/>
          <w:highlight w:val="none"/>
        </w:rPr>
        <w:t>相关的文件进行系统总结。形成了标准的基本构架，对主要内容进行了讨论并对项目的工作进行了部署和安排。</w:t>
      </w:r>
    </w:p>
    <w:p w14:paraId="2896F763">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9</w:t>
      </w:r>
      <w:r>
        <w:rPr>
          <w:rFonts w:hint="eastAsia" w:ascii="仿宋_GB2312" w:eastAsia="仿宋_GB2312"/>
          <w:color w:val="auto"/>
          <w:kern w:val="0"/>
          <w:sz w:val="28"/>
          <w:szCs w:val="28"/>
          <w:highlight w:val="none"/>
        </w:rPr>
        <w:t>月，团体标准《</w:t>
      </w:r>
      <w:r>
        <w:rPr>
          <w:rFonts w:hint="eastAsia" w:ascii="仿宋_GB2312" w:eastAsia="仿宋_GB2312"/>
          <w:color w:val="auto"/>
          <w:kern w:val="0"/>
          <w:sz w:val="28"/>
          <w:szCs w:val="28"/>
          <w:highlight w:val="none"/>
          <w:lang w:eastAsia="zh-CN"/>
        </w:rPr>
        <w:t>壮医经筋疗法治疗单纯性肥胖技术操作规范</w:t>
      </w:r>
      <w:r>
        <w:rPr>
          <w:rFonts w:hint="eastAsia" w:ascii="仿宋_GB2312" w:eastAsia="仿宋_GB2312"/>
          <w:color w:val="auto"/>
          <w:kern w:val="0"/>
          <w:sz w:val="28"/>
          <w:szCs w:val="28"/>
          <w:highlight w:val="none"/>
        </w:rPr>
        <w:t>》获批立项，在前期工作的基础之上，通过理清逻辑脉络，整合已有参考资料中有关</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kern w:val="0"/>
          <w:sz w:val="28"/>
          <w:szCs w:val="28"/>
          <w:highlight w:val="none"/>
        </w:rPr>
        <w:t>的要求，并在目前</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kern w:val="0"/>
          <w:sz w:val="28"/>
          <w:szCs w:val="28"/>
          <w:highlight w:val="none"/>
        </w:rPr>
        <w:t>实际操作的基础上，按照简化、统一等原则编制完成团体标准《</w:t>
      </w:r>
      <w:r>
        <w:rPr>
          <w:rFonts w:hint="eastAsia" w:ascii="仿宋_GB2312" w:eastAsia="仿宋_GB2312"/>
          <w:color w:val="auto"/>
          <w:kern w:val="0"/>
          <w:sz w:val="28"/>
          <w:szCs w:val="28"/>
          <w:highlight w:val="none"/>
          <w:lang w:eastAsia="zh-CN"/>
        </w:rPr>
        <w:t>壮医经筋疗法治疗单纯性肥胖技术操作规范</w:t>
      </w:r>
      <w:r>
        <w:rPr>
          <w:rFonts w:hint="eastAsia" w:ascii="仿宋_GB2312" w:eastAsia="仿宋_GB2312"/>
          <w:color w:val="auto"/>
          <w:kern w:val="0"/>
          <w:sz w:val="28"/>
          <w:szCs w:val="28"/>
          <w:highlight w:val="none"/>
        </w:rPr>
        <w:t>》（草案）。</w:t>
      </w:r>
    </w:p>
    <w:p w14:paraId="7E71AC25">
      <w:pPr>
        <w:spacing w:line="520" w:lineRule="exact"/>
        <w:ind w:firstLine="560" w:firstLineChars="200"/>
        <w:rPr>
          <w:rFonts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10</w:t>
      </w:r>
      <w:r>
        <w:rPr>
          <w:rFonts w:hint="eastAsia" w:ascii="仿宋_GB2312" w:eastAsia="仿宋_GB2312"/>
          <w:color w:val="auto"/>
          <w:kern w:val="0"/>
          <w:sz w:val="28"/>
          <w:szCs w:val="28"/>
          <w:highlight w:val="none"/>
        </w:rPr>
        <w:t>月，标准编制工作组深入各地实施</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kern w:val="0"/>
          <w:sz w:val="28"/>
          <w:szCs w:val="28"/>
          <w:highlight w:val="none"/>
        </w:rPr>
        <w:t>的有代表性的医院，如广西国际壮医医院、广西中医药大学第一附属医院、百色市中医医院、崇左市中医壮医医院、防城港市中医医院、贵港市中医医院、老挝湄公河医院等召开标准研讨会，收集反馈了大量意见，对标准草案进行了反复修改和研究讨论，掌握了</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kern w:val="0"/>
          <w:sz w:val="28"/>
          <w:szCs w:val="28"/>
          <w:highlight w:val="none"/>
        </w:rPr>
        <w:t>的基本情况以及要求，最终形成了团体标准《</w:t>
      </w:r>
      <w:r>
        <w:rPr>
          <w:rFonts w:hint="eastAsia" w:ascii="仿宋_GB2312" w:eastAsia="仿宋_GB2312"/>
          <w:color w:val="auto"/>
          <w:kern w:val="0"/>
          <w:sz w:val="28"/>
          <w:szCs w:val="28"/>
          <w:highlight w:val="none"/>
          <w:lang w:eastAsia="zh-CN"/>
        </w:rPr>
        <w:t>壮医经筋疗法治疗单纯性肥胖技术操作规范</w:t>
      </w:r>
      <w:r>
        <w:rPr>
          <w:rFonts w:hint="eastAsia" w:ascii="仿宋_GB2312" w:eastAsia="仿宋_GB2312"/>
          <w:color w:val="auto"/>
          <w:kern w:val="0"/>
          <w:sz w:val="28"/>
          <w:szCs w:val="28"/>
          <w:highlight w:val="none"/>
        </w:rPr>
        <w:t>》（征求意见稿）及其编制说明。</w:t>
      </w:r>
    </w:p>
    <w:p w14:paraId="3026C158">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color w:val="auto"/>
          <w:kern w:val="0"/>
          <w:sz w:val="28"/>
          <w:szCs w:val="28"/>
          <w:highlight w:val="none"/>
        </w:rPr>
      </w:pPr>
      <w:r>
        <w:rPr>
          <w:rFonts w:hint="eastAsia" w:ascii="仿宋_GB2312" w:eastAsia="仿宋_GB2312"/>
          <w:b/>
          <w:bCs/>
          <w:color w:val="auto"/>
          <w:kern w:val="0"/>
          <w:sz w:val="28"/>
          <w:szCs w:val="28"/>
          <w:highlight w:val="none"/>
        </w:rPr>
        <w:t>（一）编制原则</w:t>
      </w:r>
    </w:p>
    <w:p w14:paraId="3A29AD26">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1、实用性原则</w:t>
      </w:r>
    </w:p>
    <w:p w14:paraId="6BE45F65">
      <w:pPr>
        <w:spacing w:line="520" w:lineRule="exact"/>
        <w:ind w:firstLine="560" w:firstLineChars="20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本标准是在充分收集国内外相关资料和文献、调研分析</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s="仿宋"/>
          <w:color w:val="auto"/>
          <w:sz w:val="28"/>
          <w:szCs w:val="28"/>
          <w:highlight w:val="none"/>
        </w:rPr>
        <w:t>现状，结合起草单位前期研究工作取得的研究成果及积累的</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s="仿宋"/>
          <w:color w:val="auto"/>
          <w:sz w:val="28"/>
          <w:szCs w:val="28"/>
          <w:highlight w:val="none"/>
        </w:rPr>
        <w:t>实践经验，并借鉴国内</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s="仿宋"/>
          <w:color w:val="auto"/>
          <w:sz w:val="28"/>
          <w:szCs w:val="28"/>
          <w:highlight w:val="none"/>
        </w:rPr>
        <w:t>进行总结起草的，符合工作实际，利于</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s="仿宋"/>
          <w:color w:val="auto"/>
          <w:sz w:val="28"/>
          <w:szCs w:val="28"/>
          <w:highlight w:val="none"/>
        </w:rPr>
        <w:t>的实施与推广，具有可操作性和实用性。</w:t>
      </w:r>
    </w:p>
    <w:p w14:paraId="332CA8AB">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2、协调性原则</w:t>
      </w:r>
    </w:p>
    <w:p w14:paraId="534F6F1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本文件编写过程中注意了与</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sz w:val="28"/>
          <w:szCs w:val="28"/>
          <w:highlight w:val="none"/>
        </w:rPr>
        <w:t>相关法律法规的协调问题，在内容上与现行法律法规、标准协调一致。</w:t>
      </w:r>
    </w:p>
    <w:p w14:paraId="29652CA1">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3、规范性原则</w:t>
      </w:r>
    </w:p>
    <w:p w14:paraId="296DF89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4、前瞻性原则</w:t>
      </w:r>
    </w:p>
    <w:p w14:paraId="64F3618C">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本文件在兼顾当前区内</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sz w:val="28"/>
          <w:szCs w:val="28"/>
          <w:highlight w:val="none"/>
        </w:rPr>
        <w:t>现实情况的同时，还考虑到了</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sz w:val="28"/>
          <w:szCs w:val="28"/>
          <w:highlight w:val="none"/>
        </w:rPr>
        <w:t>的需要，在标准中体现了个别特色性、前瞻性和先进性条款，作为对</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sz w:val="28"/>
          <w:szCs w:val="28"/>
          <w:highlight w:val="none"/>
        </w:rPr>
        <w:t>发展的指导。</w:t>
      </w:r>
    </w:p>
    <w:p w14:paraId="67F21166">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（二）编制依据</w:t>
      </w:r>
    </w:p>
    <w:p w14:paraId="4C925237">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highlight w:val="none"/>
          <w:lang w:eastAsia="zh-CN"/>
        </w:rPr>
        <w:t>壮医经筋疗法治疗单纯性肥胖技术</w:t>
      </w:r>
      <w:r>
        <w:rPr>
          <w:rFonts w:hint="eastAsia" w:ascii="仿宋_GB2312" w:eastAsia="仿宋_GB2312"/>
          <w:color w:val="auto"/>
          <w:sz w:val="28"/>
          <w:szCs w:val="28"/>
          <w:highlight w:val="none"/>
        </w:rPr>
        <w:t>研究应用过程中的实践经验确定。</w:t>
      </w:r>
    </w:p>
    <w:p w14:paraId="2468F1DB">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（三）与现行法律、法规的关系，与有关国家标准、行业标准的协调情况</w:t>
      </w:r>
    </w:p>
    <w:p w14:paraId="545DEB11">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经查阅，目前国内外没有与“壮医、经筋疗法、单纯性肥胖”现行相关的国家、行业、地方和团体标准，本标准的制定将填补行业空白，因此制定团体标准《壮医经筋疗法治疗单纯性肥胖技术操作规范》具有创新性，先进性。</w:t>
      </w:r>
    </w:p>
    <w:p w14:paraId="3686C018">
      <w:pPr>
        <w:adjustRightInd w:val="0"/>
        <w:snapToGrid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color w:val="auto"/>
          <w:sz w:val="28"/>
          <w:szCs w:val="28"/>
          <w:highlight w:val="none"/>
        </w:rPr>
      </w:pPr>
      <w:r>
        <w:rPr>
          <w:rFonts w:hint="eastAsia" w:ascii="黑体" w:eastAsia="黑体"/>
          <w:bCs/>
          <w:color w:val="auto"/>
          <w:sz w:val="32"/>
          <w:szCs w:val="32"/>
          <w:highlight w:val="none"/>
        </w:rPr>
        <w:t>五、主要条款的说明</w:t>
      </w:r>
    </w:p>
    <w:p w14:paraId="6C832A65">
      <w:pPr>
        <w:pStyle w:val="30"/>
        <w:spacing w:before="0" w:beforeLines="0" w:after="0" w:afterLines="0"/>
        <w:ind w:firstLine="562"/>
        <w:jc w:val="both"/>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（一）术语和定义</w:t>
      </w:r>
    </w:p>
    <w:p w14:paraId="41762C5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壮医经筋疗法</w:t>
      </w:r>
    </w:p>
    <w:p w14:paraId="5C67857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lang w:eastAsia="zh-CN"/>
        </w:rPr>
        <w:t>该术语参考《壮医经筋学说理论浅探》并结合工作实际确定。</w:t>
      </w:r>
      <w:bookmarkStart w:id="0" w:name="_GoBack"/>
      <w:bookmarkEnd w:id="0"/>
      <w:r>
        <w:rPr>
          <w:rFonts w:hint="eastAsia" w:ascii="仿宋_GB2312" w:hAnsi="仿宋_GB2312" w:eastAsia="仿宋_GB2312" w:cs="仿宋_GB2312"/>
          <w:color w:val="auto"/>
          <w:sz w:val="28"/>
          <w:szCs w:val="28"/>
          <w:highlight w:val="none"/>
        </w:rPr>
        <w:t>以壮医经筋理论为指导，通过手法、针具、罐具等对经筋病灶（筋结点）进行治疗，以平衡气血、疏通“龙路”“火路”，恢复人体生理功能的一种外治疗法。壮医经筋疗法以壮医三道两路为指导，以古典经筋学说为理论，以现代人体解剖为基础，以生物力学为依据，以自然疗法为手段，其内容包括肌肉解利生理学、横络盛加病因学、因结致痛病理学、摸结查灶定位学、松筋解结治疗学、拉筋排毒养生学等，根据“以痛为腧”的取穴原则，通过手触查灶定穴和采用“经筋手法-经筋针刺-拔罐排毒”疗法来治疗和预防疾病的一种壮医外治法。</w:t>
      </w:r>
    </w:p>
    <w:p w14:paraId="2A12B5CA">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color w:val="auto"/>
          <w:sz w:val="28"/>
          <w:szCs w:val="28"/>
          <w:highlight w:val="none"/>
        </w:rPr>
      </w:pPr>
      <w:r>
        <w:rPr>
          <w:color w:val="auto"/>
          <w:highlight w:val="none"/>
        </w:rPr>
        <w:drawing>
          <wp:inline distT="0" distB="0" distL="114300" distR="114300">
            <wp:extent cx="3007360" cy="1615440"/>
            <wp:effectExtent l="9525" t="9525" r="15875" b="209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3007360" cy="1615440"/>
                    </a:xfrm>
                    <a:prstGeom prst="rect">
                      <a:avLst/>
                    </a:prstGeom>
                    <a:noFill/>
                    <a:ln>
                      <a:solidFill>
                        <a:schemeClr val="tx1"/>
                      </a:solidFill>
                    </a:ln>
                  </pic:spPr>
                </pic:pic>
              </a:graphicData>
            </a:graphic>
          </wp:inline>
        </w:drawing>
      </w:r>
    </w:p>
    <w:p w14:paraId="369C332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b/>
          <w:bCs w:val="0"/>
          <w:color w:val="auto"/>
          <w:highlight w:val="none"/>
        </w:rPr>
      </w:pPr>
      <w:r>
        <w:rPr>
          <w:rFonts w:hint="eastAsia" w:ascii="黑体" w:hAnsi="黑体" w:eastAsia="黑体" w:cs="黑体"/>
          <w:color w:val="auto"/>
          <w:sz w:val="24"/>
          <w:szCs w:val="24"/>
          <w:highlight w:val="none"/>
          <w:lang w:val="en-US" w:eastAsia="zh-CN"/>
        </w:rPr>
        <w:t>来源：壮医经筋学说理论浅探</w:t>
      </w:r>
    </w:p>
    <w:p w14:paraId="391721B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rPr>
        <w:t>（</w:t>
      </w:r>
      <w:r>
        <w:rPr>
          <w:rFonts w:hint="eastAsia" w:ascii="仿宋_GB2312" w:hAnsi="仿宋_GB2312" w:eastAsia="仿宋_GB2312" w:cs="仿宋_GB2312"/>
          <w:b/>
          <w:bCs w:val="0"/>
          <w:color w:val="auto"/>
          <w:sz w:val="28"/>
          <w:szCs w:val="28"/>
          <w:highlight w:val="none"/>
          <w:lang w:eastAsia="zh-CN"/>
        </w:rPr>
        <w:t>二</w:t>
      </w:r>
      <w:r>
        <w:rPr>
          <w:rFonts w:hint="eastAsia" w:ascii="仿宋_GB2312" w:hAnsi="仿宋_GB2312" w:eastAsia="仿宋_GB2312" w:cs="仿宋_GB2312"/>
          <w:b/>
          <w:bCs w:val="0"/>
          <w:color w:val="auto"/>
          <w:sz w:val="28"/>
          <w:szCs w:val="28"/>
          <w:highlight w:val="none"/>
        </w:rPr>
        <w:t>）</w:t>
      </w:r>
      <w:r>
        <w:rPr>
          <w:rFonts w:hint="eastAsia" w:ascii="仿宋_GB2312" w:hAnsi="仿宋_GB2312" w:eastAsia="仿宋_GB2312" w:cs="仿宋_GB2312"/>
          <w:b/>
          <w:bCs w:val="0"/>
          <w:color w:val="auto"/>
          <w:sz w:val="28"/>
          <w:szCs w:val="28"/>
          <w:highlight w:val="none"/>
          <w:lang w:eastAsia="zh-CN"/>
        </w:rPr>
        <w:t>禁忌症</w:t>
      </w:r>
    </w:p>
    <w:p w14:paraId="0FECA52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1. </w:t>
      </w:r>
      <w:r>
        <w:rPr>
          <w:rFonts w:hint="eastAsia" w:ascii="仿宋_GB2312" w:hAnsi="仿宋_GB2312" w:eastAsia="仿宋_GB2312" w:cs="仿宋_GB2312"/>
          <w:b w:val="0"/>
          <w:bCs/>
          <w:color w:val="auto"/>
          <w:sz w:val="28"/>
          <w:szCs w:val="28"/>
          <w:highlight w:val="none"/>
          <w:lang w:eastAsia="zh-CN"/>
        </w:rPr>
        <w:t>疗法需直接作用于体表。严重皮肤疾病或出血性疾病患者，操作易导致感染、出血或病情加重；骨折部位操作则可能造成二次损伤。</w:t>
      </w:r>
    </w:p>
    <w:p w14:paraId="1A28168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2. </w:t>
      </w:r>
      <w:r>
        <w:rPr>
          <w:rFonts w:hint="eastAsia" w:ascii="仿宋_GB2312" w:hAnsi="仿宋_GB2312" w:eastAsia="仿宋_GB2312" w:cs="仿宋_GB2312"/>
          <w:b w:val="0"/>
          <w:bCs/>
          <w:color w:val="auto"/>
          <w:sz w:val="28"/>
          <w:szCs w:val="28"/>
          <w:highlight w:val="none"/>
          <w:lang w:eastAsia="zh-CN"/>
        </w:rPr>
        <w:t>妊娠期、哺乳期及计划受孕妇女处于特殊生理阶段。疗法的刺激可能影响内分泌、子宫状态或乳汁，存在对胎儿、婴儿及受孕过程的潜在未知风险，故以审慎为原则予以排除。</w:t>
      </w:r>
    </w:p>
    <w:p w14:paraId="2125176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3. </w:t>
      </w:r>
      <w:r>
        <w:rPr>
          <w:rFonts w:hint="eastAsia" w:ascii="仿宋_GB2312" w:hAnsi="仿宋_GB2312" w:eastAsia="仿宋_GB2312" w:cs="仿宋_GB2312"/>
          <w:b w:val="0"/>
          <w:bCs/>
          <w:color w:val="auto"/>
          <w:sz w:val="28"/>
          <w:szCs w:val="28"/>
          <w:highlight w:val="none"/>
          <w:lang w:eastAsia="zh-CN"/>
        </w:rPr>
        <w:t>当患者已患有心、脑、肾等重要脏器的严重疾病或肿瘤时，其身体承受能力差，治疗重心应集中于控制原发病。疗法的刺激可能成为额外负担，诱发或加重原有病情。</w:t>
      </w:r>
    </w:p>
    <w:p w14:paraId="391865F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4. </w:t>
      </w:r>
      <w:r>
        <w:rPr>
          <w:rFonts w:hint="eastAsia" w:ascii="仿宋_GB2312" w:hAnsi="仿宋_GB2312" w:eastAsia="仿宋_GB2312" w:cs="仿宋_GB2312"/>
          <w:b w:val="0"/>
          <w:bCs/>
          <w:color w:val="auto"/>
          <w:sz w:val="28"/>
          <w:szCs w:val="28"/>
          <w:highlight w:val="none"/>
          <w:lang w:eastAsia="zh-CN"/>
        </w:rPr>
        <w:t>疗法需要患者清晰表达主观感受（如痛、麻、胀）以实时调整手法，这是重要的安全机制。意识不清者无法提供有效反馈，极大增加了操作风险，且无法实现知情同意。</w:t>
      </w:r>
    </w:p>
    <w:p w14:paraId="14E58AF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（三）操作前准备</w:t>
      </w:r>
    </w:p>
    <w:p w14:paraId="69D8B1E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1. </w:t>
      </w:r>
      <w:r>
        <w:rPr>
          <w:rFonts w:hint="eastAsia" w:ascii="仿宋_GB2312" w:hAnsi="仿宋_GB2312" w:eastAsia="仿宋_GB2312" w:cs="仿宋_GB2312"/>
          <w:b w:val="0"/>
          <w:bCs/>
          <w:color w:val="auto"/>
          <w:sz w:val="28"/>
          <w:szCs w:val="28"/>
          <w:highlight w:val="none"/>
          <w:lang w:eastAsia="zh-CN"/>
        </w:rPr>
        <w:t>指定毫针规格（0.25mm×40mm、0.25mm×30mm、0.25mm×25mm）是为确保刺激深度与强度适用于肥胖治疗；抽气罐用于相应部位拔罐；75%医用乙醇、棉签用于严格皮肤消毒，是预防感染的关键；止血钳、治疗盘为辅助操作与物品管理提供便利。</w:t>
      </w:r>
    </w:p>
    <w:p w14:paraId="690D2B6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2. </w:t>
      </w:r>
      <w:r>
        <w:rPr>
          <w:rFonts w:hint="eastAsia" w:ascii="仿宋_GB2312" w:hAnsi="仿宋_GB2312" w:eastAsia="仿宋_GB2312" w:cs="仿宋_GB2312"/>
          <w:b w:val="0"/>
          <w:bCs/>
          <w:color w:val="auto"/>
          <w:sz w:val="28"/>
          <w:szCs w:val="28"/>
          <w:highlight w:val="none"/>
          <w:lang w:eastAsia="zh-CN"/>
        </w:rPr>
        <w:t>规定操作者必须进行沟通与宣教，核心目的在于建立信任与合作关系。通过解释作用与注意事项，可使患者知情配合；通过消除紧张情绪，能避免患者因恐惧导致肌肉紧张，从而提升治疗耐受性、降低晕针等风险，并为后续操作创造稳定的心理与生理条件。</w:t>
      </w:r>
    </w:p>
    <w:p w14:paraId="34DC723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3. </w:t>
      </w:r>
      <w:r>
        <w:rPr>
          <w:rFonts w:hint="eastAsia" w:ascii="仿宋_GB2312" w:hAnsi="仿宋_GB2312" w:eastAsia="仿宋_GB2312" w:cs="仿宋_GB2312"/>
          <w:b w:val="0"/>
          <w:bCs/>
          <w:color w:val="auto"/>
          <w:sz w:val="28"/>
          <w:szCs w:val="28"/>
          <w:highlight w:val="none"/>
          <w:lang w:eastAsia="zh-CN"/>
        </w:rPr>
        <w:t>规定体位的目的是为了充分暴露并放松治疗部位（腹部或背部），确保经筋查灶与手法/针刺操作的准确性与安全性。仰卧位与俯卧位是完成对应部位治疗最有效且安全的体位。</w:t>
      </w:r>
    </w:p>
    <w:p w14:paraId="298CBA5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（四）操作方法</w:t>
      </w:r>
    </w:p>
    <w:p w14:paraId="672F829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1. 经筋推拿</w:t>
      </w:r>
    </w:p>
    <w:p w14:paraId="00747D9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1.1 </w:t>
      </w:r>
      <w:r>
        <w:rPr>
          <w:rFonts w:hint="eastAsia" w:ascii="仿宋_GB2312" w:hAnsi="仿宋_GB2312" w:eastAsia="仿宋_GB2312" w:cs="仿宋_GB2312"/>
          <w:b w:val="0"/>
          <w:bCs/>
          <w:color w:val="auto"/>
          <w:sz w:val="28"/>
          <w:szCs w:val="28"/>
          <w:highlight w:val="none"/>
          <w:lang w:eastAsia="zh-CN"/>
        </w:rPr>
        <w:t>规定从足三阴三阳经筋及任、督、带脉开始操作，是因为这些经络循行覆盖了胸腹、腰背等肥胖相关的主要区域。由此入手能系统探查并定位导致气血阻滞的关键“筋结点”，为后续针对性治疗提供准确目标。</w:t>
      </w:r>
    </w:p>
    <w:p w14:paraId="64C8317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1.2 采用按、揉、点、推、弹拨等多种手法，是为了对已发现的筋结点进行多角度、多层次的“松筋解结”。其直接目的是通过力学作用将紧硬异常的筋结点变得松软，从而解除其对经络的卡压，恢复气血正常运行。</w:t>
      </w:r>
    </w:p>
    <w:p w14:paraId="655C456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2. 经筋针刺</w:t>
      </w:r>
    </w:p>
    <w:p w14:paraId="590A6FB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2.1 明确在臀、腰、腹等区域查灶，是因为这些是脂肪易堆积、劳损常见的核心区域，也是病理性筋结的高发区，在此定位能确保治疗直接作用于病灶。</w:t>
      </w:r>
    </w:p>
    <w:p w14:paraId="57CA29D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2.2 </w:t>
      </w:r>
      <w:r>
        <w:rPr>
          <w:rFonts w:hint="default" w:ascii="仿宋_GB2312" w:hAnsi="仿宋_GB2312" w:eastAsia="仿宋_GB2312" w:cs="仿宋_GB2312"/>
          <w:b w:val="0"/>
          <w:bCs/>
          <w:color w:val="auto"/>
          <w:sz w:val="28"/>
          <w:szCs w:val="28"/>
          <w:highlight w:val="none"/>
          <w:lang w:val="en-US" w:eastAsia="zh-CN"/>
        </w:rPr>
        <w:t>固结行针：在手法松解后对剩余筋结进行针刺，能更集中、深入地松解顽固病灶，强化“解结”效果。</w:t>
      </w:r>
    </w:p>
    <w:p w14:paraId="70E9327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2.3 </w:t>
      </w:r>
      <w:r>
        <w:rPr>
          <w:rFonts w:hint="default" w:ascii="仿宋_GB2312" w:hAnsi="仿宋_GB2312" w:eastAsia="仿宋_GB2312" w:cs="仿宋_GB2312"/>
          <w:b w:val="0"/>
          <w:bCs/>
          <w:color w:val="auto"/>
          <w:sz w:val="28"/>
          <w:szCs w:val="28"/>
          <w:highlight w:val="none"/>
          <w:lang w:val="en-US" w:eastAsia="zh-CN"/>
        </w:rPr>
        <w:t>针刺深度与方向：根据部位肌肉厚薄及内脏、神经血管分布灵活决定深度和刺法（直刺、平刺），是为了在保证有效刺激的同时，绝对避免损伤重要组织，这是安全操作的核心。</w:t>
      </w:r>
    </w:p>
    <w:p w14:paraId="0939022A">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2.4 </w:t>
      </w:r>
      <w:r>
        <w:rPr>
          <w:rFonts w:hint="default" w:ascii="仿宋_GB2312" w:hAnsi="仿宋_GB2312" w:eastAsia="仿宋_GB2312" w:cs="仿宋_GB2312"/>
          <w:b w:val="0"/>
          <w:bCs/>
          <w:color w:val="auto"/>
          <w:sz w:val="28"/>
          <w:szCs w:val="28"/>
          <w:highlight w:val="none"/>
          <w:lang w:val="en-US" w:eastAsia="zh-CN"/>
        </w:rPr>
        <w:t>规定具体的腹部针刺点（脐旁2寸，共6穴）是为了系统覆盖腹部经筋区。强调“推开腹部脏器”进针、深度至肌肉层及“不留针”，都是为了在有效刺激腹筋的同时，最大限度防止刺伤内脏，确保腹部操作安全。</w:t>
      </w:r>
    </w:p>
    <w:p w14:paraId="689C69C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2.5 </w:t>
      </w:r>
      <w:r>
        <w:rPr>
          <w:rFonts w:hint="default" w:ascii="仿宋_GB2312" w:hAnsi="仿宋_GB2312" w:eastAsia="仿宋_GB2312" w:cs="仿宋_GB2312"/>
          <w:b w:val="0"/>
          <w:bCs/>
          <w:color w:val="auto"/>
          <w:sz w:val="28"/>
          <w:szCs w:val="28"/>
          <w:highlight w:val="none"/>
          <w:lang w:val="en-US" w:eastAsia="zh-CN"/>
        </w:rPr>
        <w:t>规定每个结施针3～5次、单次治疗5～10分钟，是为了保证足够的刺激量。每日针刺1次，</w:t>
      </w:r>
      <w:r>
        <w:rPr>
          <w:rFonts w:hint="eastAsia" w:ascii="仿宋_GB2312" w:hAnsi="仿宋_GB2312" w:eastAsia="仿宋_GB2312" w:cs="仿宋_GB2312"/>
          <w:b w:val="0"/>
          <w:bCs/>
          <w:color w:val="auto"/>
          <w:sz w:val="28"/>
          <w:szCs w:val="28"/>
          <w:highlight w:val="none"/>
          <w:lang w:val="en-US" w:eastAsia="zh-CN"/>
        </w:rPr>
        <w:t>3次/周</w:t>
      </w:r>
      <w:r>
        <w:rPr>
          <w:rFonts w:hint="default" w:ascii="仿宋_GB2312" w:hAnsi="仿宋_GB2312" w:eastAsia="仿宋_GB2312" w:cs="仿宋_GB2312"/>
          <w:b w:val="0"/>
          <w:bCs/>
          <w:color w:val="auto"/>
          <w:sz w:val="28"/>
          <w:szCs w:val="28"/>
          <w:highlight w:val="none"/>
          <w:lang w:val="en-US" w:eastAsia="zh-CN"/>
        </w:rPr>
        <w:t>，</w:t>
      </w:r>
      <w:r>
        <w:rPr>
          <w:rFonts w:hint="eastAsia" w:ascii="仿宋_GB2312" w:hAnsi="仿宋_GB2312" w:eastAsia="仿宋_GB2312" w:cs="仿宋_GB2312"/>
          <w:b w:val="0"/>
          <w:bCs/>
          <w:color w:val="auto"/>
          <w:sz w:val="28"/>
          <w:szCs w:val="28"/>
          <w:highlight w:val="none"/>
          <w:lang w:val="en-US" w:eastAsia="zh-CN"/>
        </w:rPr>
        <w:t>4周</w:t>
      </w:r>
      <w:r>
        <w:rPr>
          <w:rFonts w:hint="default" w:ascii="仿宋_GB2312" w:hAnsi="仿宋_GB2312" w:eastAsia="仿宋_GB2312" w:cs="仿宋_GB2312"/>
          <w:b w:val="0"/>
          <w:bCs/>
          <w:color w:val="auto"/>
          <w:sz w:val="28"/>
          <w:szCs w:val="28"/>
          <w:highlight w:val="none"/>
          <w:lang w:val="en-US" w:eastAsia="zh-CN"/>
        </w:rPr>
        <w:t>为1疗程，共治疗2疗程。同时允许“症状完全缓解可提前结束”，体现了个体化治疗的灵活性。施针</w:t>
      </w:r>
      <w:r>
        <w:rPr>
          <w:rFonts w:hint="eastAsia" w:ascii="仿宋_GB2312" w:hAnsi="仿宋_GB2312" w:eastAsia="仿宋_GB2312" w:cs="仿宋_GB2312"/>
          <w:b w:val="0"/>
          <w:bCs/>
          <w:color w:val="auto"/>
          <w:sz w:val="28"/>
          <w:szCs w:val="28"/>
          <w:highlight w:val="none"/>
          <w:lang w:val="en-US" w:eastAsia="zh-CN"/>
        </w:rPr>
        <w:t>时长、单次治疗时间以及疗程</w:t>
      </w:r>
      <w:r>
        <w:rPr>
          <w:rFonts w:hint="default" w:ascii="仿宋_GB2312" w:hAnsi="仿宋_GB2312" w:eastAsia="仿宋_GB2312" w:cs="仿宋_GB2312"/>
          <w:b w:val="0"/>
          <w:bCs/>
          <w:color w:val="auto"/>
          <w:sz w:val="28"/>
          <w:szCs w:val="28"/>
          <w:highlight w:val="none"/>
          <w:lang w:val="en-US" w:eastAsia="zh-CN"/>
        </w:rPr>
        <w:t>主要参考《壮医经筋疗法治疗单纯性肥胖的疗效和机理研究》并结合起草单位的壮医经筋疗法治疗单纯性肥胖的工作实际而确定：</w:t>
      </w:r>
    </w:p>
    <w:p w14:paraId="57655B3A">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2879725" cy="926465"/>
            <wp:effectExtent l="9525" t="9525" r="21590" b="241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879725" cy="926465"/>
                    </a:xfrm>
                    <a:prstGeom prst="rect">
                      <a:avLst/>
                    </a:prstGeom>
                    <a:noFill/>
                    <a:ln>
                      <a:solidFill>
                        <a:schemeClr val="tx1"/>
                      </a:solidFill>
                    </a:ln>
                  </pic:spPr>
                </pic:pic>
              </a:graphicData>
            </a:graphic>
          </wp:inline>
        </w:drawing>
      </w:r>
    </w:p>
    <w:p w14:paraId="7C20404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color w:val="auto"/>
          <w:highlight w:val="none"/>
        </w:rPr>
        <w:drawing>
          <wp:inline distT="0" distB="0" distL="114300" distR="114300">
            <wp:extent cx="2879725" cy="400685"/>
            <wp:effectExtent l="9525" t="9525" r="21590" b="165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2879725" cy="400685"/>
                    </a:xfrm>
                    <a:prstGeom prst="rect">
                      <a:avLst/>
                    </a:prstGeom>
                    <a:noFill/>
                    <a:ln>
                      <a:solidFill>
                        <a:schemeClr val="tx1"/>
                      </a:solidFill>
                    </a:ln>
                  </pic:spPr>
                </pic:pic>
              </a:graphicData>
            </a:graphic>
          </wp:inline>
        </w:drawing>
      </w:r>
    </w:p>
    <w:p w14:paraId="02E8636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黑体" w:hAnsi="黑体" w:eastAsia="黑体" w:cs="黑体"/>
          <w:color w:val="auto"/>
          <w:sz w:val="24"/>
          <w:szCs w:val="24"/>
          <w:highlight w:val="none"/>
          <w:lang w:val="en-US" w:eastAsia="zh-CN"/>
        </w:rPr>
        <w:t>来源：壮医经筋疗法治疗单纯性肥胖的疗效和机理研究</w:t>
      </w:r>
    </w:p>
    <w:p w14:paraId="4BFE729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 拔罐</w:t>
      </w:r>
    </w:p>
    <w:p w14:paraId="2A18CDE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拔罐主要参考《壮医经筋疗法治疗单纯性肥胖的疗效和机理研究》并结合起草单位的壮医经筋疗法治疗单纯性肥胖的工作实际而确定。</w:t>
      </w:r>
    </w:p>
    <w:p w14:paraId="440B6F4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施术部位：选择腹部、背腰部及四肢肌肉丰厚处，是因为这些区域面积大、脂肪较多，利于吸附且不易受伤，同时是经络与筋结分布的关键区域。</w:t>
      </w:r>
    </w:p>
    <w:p w14:paraId="76A15A0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操作与频率：采用抽气罐便于控制负压，更加安全。规定腹部、背腰与四肢交替拔罐且每周一次，是为了避免对同一部位皮肤造成反复刺激或损伤，让局部组织有充分时间恢复。</w:t>
      </w:r>
    </w:p>
    <w:p w14:paraId="4DA5DCC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留罐时间：规定</w:t>
      </w:r>
      <w:r>
        <w:rPr>
          <w:rFonts w:hint="eastAsia" w:ascii="仿宋_GB2312" w:hAnsi="仿宋_GB2312" w:eastAsia="仿宋_GB2312" w:cs="仿宋_GB2312"/>
          <w:b w:val="0"/>
          <w:bCs/>
          <w:color w:val="auto"/>
          <w:sz w:val="28"/>
          <w:szCs w:val="28"/>
          <w:highlight w:val="none"/>
          <w:lang w:val="en-US" w:eastAsia="zh-CN"/>
        </w:rPr>
        <w:t>10</w:t>
      </w:r>
      <w:r>
        <w:rPr>
          <w:rFonts w:hint="default" w:ascii="仿宋_GB2312" w:hAnsi="仿宋_GB2312" w:eastAsia="仿宋_GB2312" w:cs="仿宋_GB2312"/>
          <w:b w:val="0"/>
          <w:bCs/>
          <w:color w:val="auto"/>
          <w:sz w:val="28"/>
          <w:szCs w:val="28"/>
          <w:highlight w:val="none"/>
          <w:lang w:val="en-US" w:eastAsia="zh-CN"/>
        </w:rPr>
        <w:t>分钟</w:t>
      </w:r>
      <w:r>
        <w:rPr>
          <w:rFonts w:hint="eastAsia" w:ascii="仿宋_GB2312" w:hAnsi="仿宋_GB2312" w:eastAsia="仿宋_GB2312" w:cs="仿宋_GB2312"/>
          <w:b w:val="0"/>
          <w:bCs/>
          <w:color w:val="auto"/>
          <w:sz w:val="28"/>
          <w:szCs w:val="28"/>
          <w:highlight w:val="none"/>
          <w:lang w:val="en-US" w:eastAsia="zh-CN"/>
        </w:rPr>
        <w:t>。时长参考《壮医经筋疗法治疗单纯性肥胖的疗效和机理研究》，</w:t>
      </w:r>
      <w:r>
        <w:rPr>
          <w:rFonts w:hint="default" w:ascii="仿宋_GB2312" w:hAnsi="仿宋_GB2312" w:eastAsia="仿宋_GB2312" w:cs="仿宋_GB2312"/>
          <w:b w:val="0"/>
          <w:bCs/>
          <w:color w:val="auto"/>
          <w:sz w:val="28"/>
          <w:szCs w:val="28"/>
          <w:highlight w:val="none"/>
          <w:lang w:val="en-US" w:eastAsia="zh-CN"/>
        </w:rPr>
        <w:t>此时长既能产生足够的刺激以疏通经络、促进代谢，又可有效防止因时间过长导致皮肤起泡、淤紫过重等不良反应。</w:t>
      </w:r>
    </w:p>
    <w:p w14:paraId="68AFB70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下表是壮医经筋疗法治疗单纯性肥胖的治疗记录：</w:t>
      </w:r>
    </w:p>
    <w:p w14:paraId="2B42ED5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p>
    <w:p w14:paraId="1D601145">
      <w:pPr>
        <w:pStyle w:val="30"/>
        <w:keepNext w:val="0"/>
        <w:keepLines w:val="0"/>
        <w:pageBreakBefore w:val="0"/>
        <w:widowControl w:val="0"/>
        <w:kinsoku/>
        <w:wordWrap/>
        <w:overflowPunct/>
        <w:topLinePunct w:val="0"/>
        <w:bidi w:val="0"/>
        <w:spacing w:line="520" w:lineRule="exact"/>
        <w:ind w:firstLine="0" w:firstLineChars="0"/>
        <w:jc w:val="center"/>
        <w:rPr>
          <w:rFonts w:hint="eastAsia" w:ascii="黑体" w:hAnsi="黑体" w:eastAsia="黑体" w:cs="黑体"/>
          <w:bCs/>
          <w:color w:val="auto"/>
          <w:sz w:val="24"/>
          <w:szCs w:val="24"/>
          <w:highlight w:val="none"/>
        </w:rPr>
      </w:pPr>
      <w:r>
        <w:rPr>
          <w:rFonts w:hint="eastAsia" w:ascii="黑体" w:hAnsi="黑体" w:eastAsia="黑体" w:cs="黑体"/>
          <w:bCs/>
          <w:color w:val="auto"/>
          <w:sz w:val="24"/>
          <w:szCs w:val="24"/>
          <w:highlight w:val="none"/>
        </w:rPr>
        <w:t>治疗记录</w:t>
      </w:r>
    </w:p>
    <w:tbl>
      <w:tblPr>
        <w:tblStyle w:val="16"/>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0"/>
        <w:gridCol w:w="1794"/>
        <w:gridCol w:w="3711"/>
        <w:gridCol w:w="2947"/>
      </w:tblGrid>
      <w:tr w14:paraId="69E41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980" w:type="dxa"/>
            <w:vAlign w:val="center"/>
          </w:tcPr>
          <w:p w14:paraId="5211FC4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年份</w:t>
            </w:r>
          </w:p>
        </w:tc>
        <w:tc>
          <w:tcPr>
            <w:tcW w:w="1794" w:type="dxa"/>
            <w:vAlign w:val="center"/>
          </w:tcPr>
          <w:p w14:paraId="20680D18">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实际治疗方法</w:t>
            </w:r>
          </w:p>
        </w:tc>
        <w:tc>
          <w:tcPr>
            <w:tcW w:w="3711" w:type="dxa"/>
            <w:vAlign w:val="center"/>
          </w:tcPr>
          <w:p w14:paraId="7093D06A">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治疗效果</w:t>
            </w:r>
          </w:p>
        </w:tc>
        <w:tc>
          <w:tcPr>
            <w:tcW w:w="2947" w:type="dxa"/>
            <w:vAlign w:val="center"/>
          </w:tcPr>
          <w:p w14:paraId="462F5FFD">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核心指标的分析确定</w:t>
            </w:r>
          </w:p>
        </w:tc>
      </w:tr>
      <w:tr w14:paraId="21168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980" w:type="dxa"/>
            <w:vAlign w:val="center"/>
          </w:tcPr>
          <w:p w14:paraId="21F15C6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2022</w:t>
            </w:r>
          </w:p>
        </w:tc>
        <w:tc>
          <w:tcPr>
            <w:tcW w:w="1794" w:type="dxa"/>
            <w:vAlign w:val="center"/>
          </w:tcPr>
          <w:p w14:paraId="088B8CF4">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壮医经筋疗法、壮医针刺疗法</w:t>
            </w:r>
          </w:p>
        </w:tc>
        <w:tc>
          <w:tcPr>
            <w:tcW w:w="3711" w:type="dxa"/>
            <w:shd w:val="clear" w:color="auto" w:fill="auto"/>
            <w:vAlign w:val="center"/>
          </w:tcPr>
          <w:p w14:paraId="59B58D45">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31</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0</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0</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29</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2</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93.55</w:t>
            </w:r>
            <w:r>
              <w:rPr>
                <w:rFonts w:hint="eastAsia" w:ascii="仿宋_GB2312" w:eastAsia="仿宋_GB2312" w:cs="仿宋"/>
                <w:bCs/>
                <w:color w:val="auto"/>
                <w:sz w:val="24"/>
                <w:szCs w:val="24"/>
                <w:highlight w:val="none"/>
              </w:rPr>
              <w:t>%</w:t>
            </w:r>
          </w:p>
        </w:tc>
        <w:tc>
          <w:tcPr>
            <w:tcW w:w="2947" w:type="dxa"/>
            <w:vMerge w:val="restart"/>
            <w:vAlign w:val="center"/>
          </w:tcPr>
          <w:p w14:paraId="3E652BE5">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leftChars="0" w:right="0" w:rightChars="0" w:firstLine="240" w:firstLineChars="100"/>
              <w:jc w:val="both"/>
              <w:textAlignment w:val="auto"/>
              <w:rPr>
                <w:rFonts w:hint="default" w:ascii="仿宋_GB2312" w:eastAsia="仿宋_GB2312" w:cs="仿宋"/>
                <w:bCs/>
                <w:color w:val="auto"/>
                <w:sz w:val="24"/>
                <w:szCs w:val="24"/>
                <w:highlight w:val="none"/>
                <w:lang w:val="en-US" w:eastAsia="zh-CN"/>
              </w:rPr>
            </w:pPr>
            <w:r>
              <w:rPr>
                <w:rFonts w:hint="default" w:ascii="仿宋_GB2312" w:eastAsia="仿宋_GB2312" w:cs="仿宋"/>
                <w:bCs/>
                <w:color w:val="auto"/>
                <w:sz w:val="24"/>
                <w:szCs w:val="24"/>
                <w:highlight w:val="none"/>
              </w:rPr>
              <w:t>经治疗达到男性腰围&lt;85cm,女性腰围&lt;80cm,</w:t>
            </w:r>
            <w:r>
              <w:rPr>
                <w:rFonts w:hint="eastAsia" w:ascii="仿宋_GB2312" w:eastAsia="仿宋_GB2312" w:cs="仿宋"/>
                <w:bCs/>
                <w:color w:val="auto"/>
                <w:sz w:val="24"/>
                <w:szCs w:val="24"/>
                <w:highlight w:val="none"/>
                <w:lang w:val="en-US" w:eastAsia="zh-CN"/>
              </w:rPr>
              <w:t>体重下降</w:t>
            </w:r>
            <w:r>
              <w:rPr>
                <w:rFonts w:hint="default" w:ascii="仿宋_GB2312" w:eastAsia="仿宋_GB2312" w:cs="仿宋"/>
                <w:bCs/>
                <w:color w:val="auto"/>
                <w:sz w:val="24"/>
                <w:szCs w:val="24"/>
                <w:highlight w:val="none"/>
              </w:rPr>
              <w:t>5kg,或BMI降&gt;2.0kg/m</w:t>
            </w:r>
            <w:r>
              <w:rPr>
                <w:rFonts w:hint="default" w:ascii="仿宋_GB2312" w:eastAsia="仿宋_GB2312" w:cs="仿宋"/>
                <w:bCs/>
                <w:color w:val="auto"/>
                <w:sz w:val="24"/>
                <w:szCs w:val="24"/>
                <w:highlight w:val="none"/>
                <w:vertAlign w:val="superscript"/>
              </w:rPr>
              <w:t>2</w:t>
            </w:r>
            <w:r>
              <w:rPr>
                <w:rFonts w:hint="eastAsia" w:ascii="仿宋_GB2312" w:eastAsia="仿宋_GB2312" w:cs="仿宋"/>
                <w:bCs/>
                <w:color w:val="auto"/>
                <w:sz w:val="24"/>
                <w:szCs w:val="24"/>
                <w:highlight w:val="none"/>
                <w:lang w:eastAsia="zh-CN"/>
              </w:rPr>
              <w:t>，</w:t>
            </w:r>
            <w:r>
              <w:rPr>
                <w:rFonts w:hint="default" w:ascii="仿宋_GB2312" w:eastAsia="仿宋_GB2312" w:cs="仿宋"/>
                <w:bCs/>
                <w:color w:val="auto"/>
                <w:sz w:val="24"/>
                <w:szCs w:val="24"/>
                <w:highlight w:val="none"/>
              </w:rPr>
              <w:t>腰围减少4cm～7cm;有效:体质量下降3～5kg,或BMI下降1.0～2.0kg/m</w:t>
            </w:r>
            <w:r>
              <w:rPr>
                <w:rFonts w:hint="default" w:ascii="仿宋_GB2312" w:eastAsia="仿宋_GB2312" w:cs="仿宋"/>
                <w:bCs/>
                <w:color w:val="auto"/>
                <w:sz w:val="24"/>
                <w:szCs w:val="24"/>
                <w:highlight w:val="none"/>
                <w:vertAlign w:val="superscript"/>
              </w:rPr>
              <w:t>2</w:t>
            </w:r>
            <w:r>
              <w:rPr>
                <w:rFonts w:hint="default" w:ascii="仿宋_GB2312" w:eastAsia="仿宋_GB2312" w:cs="仿宋"/>
                <w:bCs/>
                <w:color w:val="auto"/>
                <w:sz w:val="24"/>
                <w:szCs w:val="24"/>
                <w:highlight w:val="none"/>
              </w:rPr>
              <w:t>,腰围减少2cm～4cm;无效:体质量下降&lt;2cm。</w:t>
            </w:r>
          </w:p>
        </w:tc>
      </w:tr>
      <w:tr w14:paraId="611B8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0" w:type="dxa"/>
            <w:vAlign w:val="center"/>
          </w:tcPr>
          <w:p w14:paraId="54C38F29">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2023</w:t>
            </w:r>
          </w:p>
        </w:tc>
        <w:tc>
          <w:tcPr>
            <w:tcW w:w="1794" w:type="dxa"/>
            <w:shd w:val="clear" w:color="auto" w:fill="auto"/>
            <w:vAlign w:val="center"/>
          </w:tcPr>
          <w:p w14:paraId="189E2E91">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壮医经筋疗法、壮医针刺疗法</w:t>
            </w:r>
          </w:p>
        </w:tc>
        <w:tc>
          <w:tcPr>
            <w:tcW w:w="3711" w:type="dxa"/>
            <w:shd w:val="clear" w:color="auto" w:fill="auto"/>
            <w:vAlign w:val="center"/>
          </w:tcPr>
          <w:p w14:paraId="4A3E799E">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33</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3</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2</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25</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3</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90.60</w:t>
            </w:r>
            <w:r>
              <w:rPr>
                <w:rFonts w:hint="eastAsia" w:ascii="仿宋_GB2312" w:eastAsia="仿宋_GB2312" w:cs="仿宋"/>
                <w:bCs/>
                <w:color w:val="auto"/>
                <w:sz w:val="24"/>
                <w:szCs w:val="24"/>
                <w:highlight w:val="none"/>
              </w:rPr>
              <w:t>%</w:t>
            </w:r>
          </w:p>
        </w:tc>
        <w:tc>
          <w:tcPr>
            <w:tcW w:w="2947" w:type="dxa"/>
            <w:vMerge w:val="continue"/>
            <w:vAlign w:val="center"/>
          </w:tcPr>
          <w:p w14:paraId="68F34A5C">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3502E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980" w:type="dxa"/>
            <w:vAlign w:val="center"/>
          </w:tcPr>
          <w:p w14:paraId="7C29D170">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2024</w:t>
            </w:r>
          </w:p>
        </w:tc>
        <w:tc>
          <w:tcPr>
            <w:tcW w:w="1794" w:type="dxa"/>
            <w:shd w:val="clear" w:color="auto" w:fill="auto"/>
            <w:vAlign w:val="center"/>
          </w:tcPr>
          <w:p w14:paraId="0E52ED1C">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壮医经筋疗法、壮医针刺疗法</w:t>
            </w:r>
          </w:p>
        </w:tc>
        <w:tc>
          <w:tcPr>
            <w:tcW w:w="3711" w:type="dxa"/>
            <w:shd w:val="clear" w:color="auto" w:fill="auto"/>
            <w:vAlign w:val="center"/>
          </w:tcPr>
          <w:p w14:paraId="05F00414">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35</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5</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3</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24</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3</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91.40</w:t>
            </w:r>
            <w:r>
              <w:rPr>
                <w:rFonts w:hint="eastAsia" w:ascii="仿宋_GB2312" w:eastAsia="仿宋_GB2312" w:cs="仿宋"/>
                <w:bCs/>
                <w:color w:val="auto"/>
                <w:sz w:val="24"/>
                <w:szCs w:val="24"/>
                <w:highlight w:val="none"/>
              </w:rPr>
              <w:t>%</w:t>
            </w:r>
          </w:p>
        </w:tc>
        <w:tc>
          <w:tcPr>
            <w:tcW w:w="2947" w:type="dxa"/>
            <w:vMerge w:val="continue"/>
            <w:vAlign w:val="center"/>
          </w:tcPr>
          <w:p w14:paraId="153E97D3">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5C94B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0" w:type="dxa"/>
            <w:vAlign w:val="center"/>
          </w:tcPr>
          <w:p w14:paraId="5DA65E8B">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2025</w:t>
            </w:r>
          </w:p>
        </w:tc>
        <w:tc>
          <w:tcPr>
            <w:tcW w:w="1794" w:type="dxa"/>
            <w:shd w:val="clear" w:color="auto" w:fill="auto"/>
            <w:vAlign w:val="center"/>
          </w:tcPr>
          <w:p w14:paraId="5159D41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壮医经筋疗法、壮医针刺疗法</w:t>
            </w:r>
          </w:p>
        </w:tc>
        <w:tc>
          <w:tcPr>
            <w:tcW w:w="3711" w:type="dxa"/>
            <w:shd w:val="clear" w:color="auto" w:fill="auto"/>
            <w:vAlign w:val="center"/>
          </w:tcPr>
          <w:p w14:paraId="674C36F1">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38</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4</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4</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27</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3</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92.10</w:t>
            </w:r>
            <w:r>
              <w:rPr>
                <w:rFonts w:hint="eastAsia" w:ascii="仿宋_GB2312" w:eastAsia="仿宋_GB2312" w:cs="仿宋"/>
                <w:bCs/>
                <w:color w:val="auto"/>
                <w:sz w:val="24"/>
                <w:szCs w:val="24"/>
                <w:highlight w:val="none"/>
              </w:rPr>
              <w:t>%</w:t>
            </w:r>
          </w:p>
        </w:tc>
        <w:tc>
          <w:tcPr>
            <w:tcW w:w="2947" w:type="dxa"/>
            <w:vMerge w:val="continue"/>
            <w:vAlign w:val="center"/>
          </w:tcPr>
          <w:p w14:paraId="5ACC3D47">
            <w:pPr>
              <w:pStyle w:val="3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bl>
    <w:p w14:paraId="20DC199D">
      <w:pPr>
        <w:rPr>
          <w:color w:val="auto"/>
          <w:highlight w:val="none"/>
        </w:rPr>
      </w:pPr>
    </w:p>
    <w:p w14:paraId="1DAD7BB8">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由表可知，以壮医经筋疗法治疗单纯性肥胖的有效率在90.60%以上，该方法经验证有效。</w:t>
      </w:r>
    </w:p>
    <w:p w14:paraId="0989637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（五）注意事项</w:t>
      </w:r>
    </w:p>
    <w:p w14:paraId="34CAD4B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1. </w:t>
      </w:r>
      <w:r>
        <w:rPr>
          <w:rFonts w:hint="eastAsia" w:ascii="仿宋_GB2312" w:hAnsi="仿宋_GB2312" w:eastAsia="仿宋_GB2312" w:cs="仿宋_GB2312"/>
          <w:b w:val="0"/>
          <w:bCs/>
          <w:color w:val="auto"/>
          <w:sz w:val="28"/>
          <w:szCs w:val="28"/>
          <w:highlight w:val="none"/>
          <w:lang w:eastAsia="zh-CN"/>
        </w:rPr>
        <w:t>观察针刺反应目的是实时监控患者耐受情况，防止晕针、过度疼痛等意外，确保操作安全。</w:t>
      </w:r>
    </w:p>
    <w:p w14:paraId="1FAEC73C">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2. </w:t>
      </w:r>
      <w:r>
        <w:rPr>
          <w:rFonts w:hint="eastAsia" w:ascii="仿宋_GB2312" w:hAnsi="仿宋_GB2312" w:eastAsia="仿宋_GB2312" w:cs="仿宋_GB2312"/>
          <w:b w:val="0"/>
          <w:bCs/>
          <w:color w:val="auto"/>
          <w:sz w:val="28"/>
          <w:szCs w:val="28"/>
          <w:highlight w:val="none"/>
          <w:lang w:eastAsia="zh-CN"/>
        </w:rPr>
        <w:t>确认膀胱排空可避免针刺误伤充盈的膀胱；缓慢进针则能减轻疼痛，并防止因突然刺激或手法过深损伤内脏。</w:t>
      </w:r>
    </w:p>
    <w:p w14:paraId="5BAAF4E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3. </w:t>
      </w:r>
      <w:r>
        <w:rPr>
          <w:rFonts w:hint="eastAsia" w:ascii="仿宋_GB2312" w:hAnsi="仿宋_GB2312" w:eastAsia="仿宋_GB2312" w:cs="仿宋_GB2312"/>
          <w:b w:val="0"/>
          <w:bCs/>
          <w:color w:val="auto"/>
          <w:sz w:val="28"/>
          <w:szCs w:val="28"/>
          <w:highlight w:val="none"/>
          <w:lang w:eastAsia="zh-CN"/>
        </w:rPr>
        <w:t>关注拔罐感受旨在防止因负压过大或留罐时间过长导致皮肤灼伤、起泡或产生强烈不适，保证治疗安全可控。</w:t>
      </w:r>
    </w:p>
    <w:p w14:paraId="0120ED9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val="en-US" w:eastAsia="zh-CN"/>
        </w:rPr>
        <w:t xml:space="preserve">4. </w:t>
      </w:r>
      <w:r>
        <w:rPr>
          <w:rFonts w:hint="eastAsia" w:ascii="仿宋_GB2312" w:hAnsi="仿宋_GB2312" w:eastAsia="仿宋_GB2312" w:cs="仿宋_GB2312"/>
          <w:b w:val="0"/>
          <w:bCs/>
          <w:color w:val="auto"/>
          <w:sz w:val="28"/>
          <w:szCs w:val="28"/>
          <w:highlight w:val="none"/>
          <w:lang w:eastAsia="zh-CN"/>
        </w:rPr>
        <w:t>强调饮食与运动，是因为生活方式的干预是巩固和增强疗效、实现持续减肥的基础，体现了综合治疗的原则。</w:t>
      </w:r>
    </w:p>
    <w:p w14:paraId="26CD3C7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（六）不良反应处理</w:t>
      </w:r>
    </w:p>
    <w:p w14:paraId="72A3AC4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1. </w:t>
      </w:r>
      <w:r>
        <w:rPr>
          <w:rFonts w:hint="default" w:ascii="仿宋_GB2312" w:hAnsi="仿宋_GB2312" w:eastAsia="仿宋_GB2312" w:cs="仿宋_GB2312"/>
          <w:b w:val="0"/>
          <w:bCs/>
          <w:color w:val="auto"/>
          <w:sz w:val="28"/>
          <w:szCs w:val="28"/>
          <w:highlight w:val="none"/>
          <w:lang w:val="en-US" w:eastAsia="zh-CN"/>
        </w:rPr>
        <w:t>针刺意外处理</w:t>
      </w:r>
      <w:r>
        <w:rPr>
          <w:rFonts w:hint="eastAsia" w:ascii="仿宋_GB2312" w:hAnsi="仿宋_GB2312" w:eastAsia="仿宋_GB2312" w:cs="仿宋_GB2312"/>
          <w:b w:val="0"/>
          <w:bCs/>
          <w:color w:val="auto"/>
          <w:sz w:val="28"/>
          <w:szCs w:val="28"/>
          <w:highlight w:val="none"/>
          <w:lang w:val="en-US" w:eastAsia="zh-CN"/>
        </w:rPr>
        <w:t>按GB/T 33415《针灸异常情况处理》的规定处理。</w:t>
      </w:r>
    </w:p>
    <w:p w14:paraId="5CA9DD2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ascii="仿宋_GB2312" w:hAnsi="仿宋_GB2312" w:eastAsia="仿宋_GB2312" w:cs="仿宋_GB2312"/>
          <w:b w:val="0"/>
          <w:bCs/>
          <w:color w:val="auto"/>
          <w:sz w:val="28"/>
          <w:szCs w:val="28"/>
          <w:highlight w:val="none"/>
          <w:lang w:val="en-US" w:eastAsia="zh-CN"/>
        </w:rPr>
      </w:pPr>
      <w:r>
        <w:rPr>
          <w:color w:val="auto"/>
          <w:highlight w:val="none"/>
        </w:rPr>
        <w:drawing>
          <wp:inline distT="0" distB="0" distL="114300" distR="114300">
            <wp:extent cx="4016375" cy="3590925"/>
            <wp:effectExtent l="9525" t="9525" r="12700" b="19050"/>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8"/>
                    <a:stretch>
                      <a:fillRect/>
                    </a:stretch>
                  </pic:blipFill>
                  <pic:spPr>
                    <a:xfrm>
                      <a:off x="0" y="0"/>
                      <a:ext cx="4016375" cy="3590925"/>
                    </a:xfrm>
                    <a:prstGeom prst="rect">
                      <a:avLst/>
                    </a:prstGeom>
                    <a:noFill/>
                    <a:ln>
                      <a:solidFill>
                        <a:schemeClr val="tx1"/>
                      </a:solidFill>
                    </a:ln>
                  </pic:spPr>
                </pic:pic>
              </a:graphicData>
            </a:graphic>
          </wp:inline>
        </w:drawing>
      </w:r>
    </w:p>
    <w:p w14:paraId="08804F5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来源：GB/T 33415</w:t>
      </w:r>
      <w:r>
        <w:rPr>
          <w:rFonts w:hint="eastAsia" w:cs="黑体"/>
          <w:color w:val="auto"/>
          <w:sz w:val="24"/>
          <w:szCs w:val="24"/>
          <w:highlight w:val="none"/>
          <w:lang w:val="en-US" w:eastAsia="zh-CN"/>
        </w:rPr>
        <w:t xml:space="preserve">  </w:t>
      </w:r>
      <w:r>
        <w:rPr>
          <w:rFonts w:hint="eastAsia" w:ascii="黑体" w:hAnsi="黑体" w:eastAsia="黑体" w:cs="黑体"/>
          <w:color w:val="auto"/>
          <w:sz w:val="24"/>
          <w:szCs w:val="24"/>
          <w:highlight w:val="none"/>
          <w:lang w:val="en-US" w:eastAsia="zh-CN"/>
        </w:rPr>
        <w:t>针灸异常情况处理</w:t>
      </w:r>
    </w:p>
    <w:p w14:paraId="2097E03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 </w:t>
      </w:r>
      <w:r>
        <w:rPr>
          <w:rFonts w:hint="default" w:ascii="仿宋_GB2312" w:hAnsi="仿宋_GB2312" w:eastAsia="仿宋_GB2312" w:cs="仿宋_GB2312"/>
          <w:b w:val="0"/>
          <w:bCs/>
          <w:color w:val="auto"/>
          <w:sz w:val="28"/>
          <w:szCs w:val="28"/>
          <w:highlight w:val="none"/>
          <w:lang w:val="en-US" w:eastAsia="zh-CN"/>
        </w:rPr>
        <w:t>皮下血肿是针刺或手法后可能出现的常见情况。规定立即按压止血是为了控制出血点；先冷敷是为了促进血管收缩、减轻肿胀和防止扩大；后期热敷是为了加速瘀血吸收。</w:t>
      </w:r>
    </w:p>
    <w:p w14:paraId="38EB9AB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（七）日常调护</w:t>
      </w:r>
    </w:p>
    <w:p w14:paraId="0F66761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1. </w:t>
      </w:r>
      <w:r>
        <w:rPr>
          <w:rFonts w:hint="default" w:ascii="仿宋_GB2312" w:hAnsi="仿宋_GB2312" w:eastAsia="仿宋_GB2312" w:cs="仿宋_GB2312"/>
          <w:b w:val="0"/>
          <w:bCs/>
          <w:color w:val="auto"/>
          <w:sz w:val="28"/>
          <w:szCs w:val="28"/>
          <w:highlight w:val="none"/>
          <w:lang w:val="en-US" w:eastAsia="zh-CN"/>
        </w:rPr>
        <w:t>推荐蔬菜、粗粮及特定药膳（如山药薏米粥健脾、肉桂生姜茶温阳），旨在调理脾肾功能，促进运化、祛除痰湿，这是减肥的治本之策。忌食肥甘厚味等，是为了直接切断滋生痰湿的来源</w:t>
      </w:r>
      <w:r>
        <w:rPr>
          <w:rFonts w:hint="eastAsia" w:ascii="仿宋_GB2312" w:hAnsi="仿宋_GB2312" w:eastAsia="仿宋_GB2312" w:cs="仿宋_GB2312"/>
          <w:b w:val="0"/>
          <w:bCs/>
          <w:color w:val="auto"/>
          <w:sz w:val="28"/>
          <w:szCs w:val="28"/>
          <w:highlight w:val="none"/>
          <w:lang w:val="en-US" w:eastAsia="zh-CN"/>
        </w:rPr>
        <w:t>。</w:t>
      </w:r>
    </w:p>
    <w:p w14:paraId="55ABFB1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 规定每周150分钟中等强度运动，是为了有效消耗能量、改善代谢。推荐的快走、太极、八段锦及壮医养生操等项目，兼具气血流通与调和脏腑之效，符合疗法理念。</w:t>
      </w:r>
    </w:p>
    <w:p w14:paraId="3F99565C">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3. </w:t>
      </w:r>
      <w:r>
        <w:rPr>
          <w:rFonts w:hint="default" w:ascii="仿宋_GB2312" w:hAnsi="仿宋_GB2312" w:eastAsia="仿宋_GB2312" w:cs="仿宋_GB2312"/>
          <w:b w:val="0"/>
          <w:bCs/>
          <w:color w:val="auto"/>
          <w:sz w:val="28"/>
          <w:szCs w:val="28"/>
          <w:highlight w:val="none"/>
          <w:lang w:val="en-US" w:eastAsia="zh-CN"/>
        </w:rPr>
        <w:t>强调心情舒畅，是因为忧思恼怒会导致气机紊乱，进而影响水液代谢和脏腑功能，不利于体重控制。</w:t>
      </w:r>
    </w:p>
    <w:p w14:paraId="5C57F25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4. </w:t>
      </w:r>
      <w:r>
        <w:rPr>
          <w:rFonts w:hint="default" w:ascii="仿宋_GB2312" w:hAnsi="仿宋_GB2312" w:eastAsia="仿宋_GB2312" w:cs="仿宋_GB2312"/>
          <w:b w:val="0"/>
          <w:bCs/>
          <w:color w:val="auto"/>
          <w:sz w:val="28"/>
          <w:szCs w:val="28"/>
          <w:highlight w:val="none"/>
          <w:lang w:val="en-US" w:eastAsia="zh-CN"/>
        </w:rPr>
        <w:t>要求避免熬夜、保证睡眠，是基于人体昼夜节律。充足的睡眠有助于恢复阴阳平衡，稳定内分泌，这对维持正常代谢至关重要。</w:t>
      </w:r>
    </w:p>
    <w:p w14:paraId="028E2962">
      <w:pPr>
        <w:pStyle w:val="32"/>
        <w:numPr>
          <w:ilvl w:val="0"/>
          <w:numId w:val="0"/>
        </w:numPr>
        <w:spacing w:beforeLines="0" w:afterLines="0" w:line="360" w:lineRule="auto"/>
        <w:ind w:firstLine="643" w:firstLineChars="200"/>
        <w:rPr>
          <w:bCs/>
          <w:color w:val="auto"/>
          <w:sz w:val="32"/>
          <w:szCs w:val="32"/>
          <w:highlight w:val="none"/>
        </w:rPr>
      </w:pPr>
      <w:r>
        <w:rPr>
          <w:rFonts w:hint="eastAsia"/>
          <w:b/>
          <w:bCs/>
          <w:color w:val="auto"/>
          <w:sz w:val="32"/>
          <w:szCs w:val="32"/>
          <w:highlight w:val="none"/>
        </w:rPr>
        <w:t>六</w:t>
      </w:r>
      <w:r>
        <w:rPr>
          <w:rFonts w:hint="eastAsia"/>
          <w:bCs/>
          <w:color w:val="auto"/>
          <w:sz w:val="32"/>
          <w:szCs w:val="32"/>
          <w:highlight w:val="none"/>
        </w:rPr>
        <w:t>、</w:t>
      </w:r>
      <w:r>
        <w:rPr>
          <w:rFonts w:hint="eastAsia"/>
          <w:color w:val="auto"/>
          <w:sz w:val="32"/>
          <w:szCs w:val="32"/>
          <w:highlight w:val="none"/>
        </w:rPr>
        <w:t>重大意见分歧的处理依据和结果</w:t>
      </w:r>
    </w:p>
    <w:p w14:paraId="22D646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color w:val="auto"/>
          <w:sz w:val="32"/>
          <w:szCs w:val="32"/>
          <w:highlight w:val="none"/>
        </w:rPr>
      </w:pPr>
      <w:r>
        <w:rPr>
          <w:rFonts w:hint="eastAsia" w:ascii="黑体" w:eastAsia="黑体"/>
          <w:bCs/>
          <w:color w:val="auto"/>
          <w:sz w:val="32"/>
          <w:szCs w:val="32"/>
          <w:highlight w:val="none"/>
        </w:rPr>
        <w:t>七、</w:t>
      </w:r>
      <w:r>
        <w:rPr>
          <w:rFonts w:hint="eastAsia" w:eastAsia="黑体"/>
          <w:color w:val="auto"/>
          <w:sz w:val="32"/>
          <w:szCs w:val="32"/>
          <w:highlight w:val="none"/>
        </w:rPr>
        <w:t>实施标准的措施</w:t>
      </w:r>
    </w:p>
    <w:p w14:paraId="70B5B9C4">
      <w:pPr>
        <w:spacing w:line="50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（一）标准报批发布后，成立标准宣贯工作组</w:t>
      </w:r>
    </w:p>
    <w:p w14:paraId="06A4783C">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（二）组织开展标准宣贯培训</w:t>
      </w:r>
    </w:p>
    <w:p w14:paraId="58CD3383">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w:t>
      </w:r>
      <w:r>
        <w:rPr>
          <w:rFonts w:hint="eastAsia" w:ascii="仿宋_GB2312" w:eastAsia="仿宋_GB2312"/>
          <w:color w:val="auto"/>
          <w:sz w:val="28"/>
          <w:szCs w:val="28"/>
          <w:highlight w:val="none"/>
          <w:lang w:eastAsia="zh-CN"/>
        </w:rPr>
        <w:t>壮医经筋疗法治疗单纯性肥胖技术</w:t>
      </w:r>
      <w:r>
        <w:rPr>
          <w:rFonts w:hint="eastAsia" w:ascii="仿宋_GB2312" w:eastAsia="仿宋_GB2312"/>
          <w:color w:val="auto"/>
          <w:sz w:val="28"/>
          <w:szCs w:val="28"/>
          <w:highlight w:val="none"/>
        </w:rPr>
        <w:t>高质量发展。</w:t>
      </w:r>
    </w:p>
    <w:p w14:paraId="533DFF6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（三）开展标准实施交流会，收集标准实施反馈信息</w:t>
      </w:r>
    </w:p>
    <w:p w14:paraId="0C7D0CCF">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标准起草小组深入各市县相关机构组织相关人员召开标准实施交流会，听取标准实施过程中存在的问题并做好记录和解答，对存在的问题组织专家团队进行研讨，为标准的复审修订做准备。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（四）开展标准实施效果评估</w:t>
      </w:r>
    </w:p>
    <w:p w14:paraId="0D06AFA4">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color w:val="auto"/>
          <w:sz w:val="32"/>
          <w:szCs w:val="32"/>
          <w:highlight w:val="none"/>
        </w:rPr>
      </w:pPr>
      <w:r>
        <w:rPr>
          <w:rFonts w:hint="eastAsia" w:ascii="黑体" w:eastAsia="黑体"/>
          <w:bCs/>
          <w:color w:val="auto"/>
          <w:sz w:val="32"/>
          <w:szCs w:val="32"/>
          <w:highlight w:val="none"/>
        </w:rPr>
        <w:t>八、其他应当说明的事项</w:t>
      </w:r>
    </w:p>
    <w:p w14:paraId="3C5688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无。</w:t>
      </w:r>
    </w:p>
    <w:p w14:paraId="5EC29ECF">
      <w:pPr>
        <w:autoSpaceDE w:val="0"/>
        <w:autoSpaceDN w:val="0"/>
        <w:adjustRightInd w:val="0"/>
        <w:spacing w:before="156" w:beforeLines="50" w:after="156" w:afterLines="50" w:line="520" w:lineRule="exact"/>
        <w:ind w:firstLine="640"/>
        <w:outlineLvl w:val="0"/>
        <w:rPr>
          <w:rFonts w:eastAsia="黑体"/>
          <w:color w:val="auto"/>
          <w:sz w:val="32"/>
          <w:szCs w:val="32"/>
          <w:highlight w:val="none"/>
        </w:rPr>
      </w:pPr>
      <w:r>
        <w:rPr>
          <w:rFonts w:hint="eastAsia" w:eastAsia="黑体"/>
          <w:color w:val="auto"/>
          <w:sz w:val="32"/>
          <w:szCs w:val="32"/>
          <w:highlight w:val="none"/>
        </w:rPr>
        <w:t>九、自我承诺</w:t>
      </w:r>
    </w:p>
    <w:p w14:paraId="6B534D81">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该标准的内容符合国家相关法律法规，技术要求不低于强制性国家标准的相关技术要求，与相关的国家、行业推荐性标准协调一致，标准的编写符合GB/T 1.1-2020的要求。</w:t>
      </w:r>
    </w:p>
    <w:p w14:paraId="75D133B0">
      <w:pPr>
        <w:pStyle w:val="23"/>
        <w:rPr>
          <w:rFonts w:ascii="仿宋_GB2312" w:eastAsia="仿宋_GB2312"/>
          <w:color w:val="auto"/>
          <w:sz w:val="28"/>
          <w:szCs w:val="28"/>
          <w:highlight w:val="none"/>
        </w:rPr>
      </w:pPr>
    </w:p>
    <w:p w14:paraId="75B8E171">
      <w:pPr>
        <w:pStyle w:val="23"/>
        <w:rPr>
          <w:rFonts w:ascii="仿宋_GB2312" w:eastAsia="仿宋_GB2312"/>
          <w:color w:val="auto"/>
          <w:sz w:val="28"/>
          <w:szCs w:val="28"/>
          <w:highlight w:val="none"/>
        </w:rPr>
      </w:pPr>
    </w:p>
    <w:p w14:paraId="50ADABA7">
      <w:pPr>
        <w:spacing w:before="240" w:after="60" w:line="520" w:lineRule="exact"/>
        <w:ind w:firstLine="2240" w:firstLineChars="800"/>
        <w:outlineLvl w:val="0"/>
        <w:rPr>
          <w:rFonts w:ascii="仿宋_GB2312" w:eastAsia="仿宋_GB2312"/>
          <w:color w:val="auto"/>
          <w:sz w:val="28"/>
          <w:szCs w:val="28"/>
          <w:highlight w:val="none"/>
        </w:rPr>
      </w:pPr>
      <w:r>
        <w:rPr>
          <w:rFonts w:hint="eastAsia" w:ascii="仿宋_GB2312" w:eastAsia="仿宋_GB2312"/>
          <w:color w:val="auto"/>
          <w:sz w:val="28"/>
          <w:szCs w:val="28"/>
          <w:highlight w:val="none"/>
        </w:rPr>
        <w:t>团体标准《</w:t>
      </w:r>
      <w:r>
        <w:rPr>
          <w:rFonts w:hint="eastAsia" w:ascii="仿宋_GB2312" w:eastAsia="仿宋_GB2312"/>
          <w:color w:val="auto"/>
          <w:sz w:val="28"/>
          <w:szCs w:val="28"/>
          <w:highlight w:val="none"/>
          <w:lang w:eastAsia="zh-CN"/>
        </w:rPr>
        <w:t>壮医经筋疗法治疗单纯性肥胖技术操作规范</w:t>
      </w:r>
      <w:r>
        <w:rPr>
          <w:rFonts w:hint="eastAsia" w:ascii="仿宋_GB2312" w:eastAsia="仿宋_GB2312"/>
          <w:color w:val="auto"/>
          <w:sz w:val="28"/>
          <w:szCs w:val="28"/>
          <w:highlight w:val="none"/>
        </w:rPr>
        <w:t>》</w:t>
      </w:r>
    </w:p>
    <w:p w14:paraId="319F0C65">
      <w:pPr>
        <w:spacing w:line="520" w:lineRule="exact"/>
        <w:ind w:right="1120"/>
        <w:jc w:val="center"/>
        <w:rPr>
          <w:rFonts w:ascii="仿宋_GB2312" w:eastAsia="仿宋_GB2312"/>
          <w:color w:val="auto"/>
          <w:sz w:val="28"/>
          <w:szCs w:val="28"/>
          <w:highlight w:val="none"/>
        </w:rPr>
      </w:pPr>
      <w:r>
        <w:rPr>
          <w:rFonts w:hint="eastAsia" w:ascii="仿宋_GB2312" w:eastAsia="仿宋_GB2312"/>
          <w:color w:val="auto"/>
          <w:sz w:val="28"/>
          <w:szCs w:val="28"/>
          <w:highlight w:val="none"/>
        </w:rPr>
        <w:t xml:space="preserve">                         标准编制工作组</w:t>
      </w:r>
    </w:p>
    <w:p w14:paraId="688B1067">
      <w:pPr>
        <w:spacing w:line="520" w:lineRule="exact"/>
        <w:ind w:firstLine="640" w:firstLineChars="200"/>
        <w:rPr>
          <w:rFonts w:ascii="仿宋_GB2312" w:eastAsia="仿宋_GB2312"/>
          <w:color w:val="auto"/>
          <w:sz w:val="28"/>
          <w:szCs w:val="28"/>
          <w:highlight w:val="none"/>
        </w:rPr>
      </w:pPr>
      <w:r>
        <w:rPr>
          <w:rFonts w:hint="eastAsia" w:ascii="仿宋_GB2312" w:eastAsia="仿宋_GB2312"/>
          <w:color w:val="auto"/>
          <w:sz w:val="32"/>
          <w:szCs w:val="28"/>
          <w:highlight w:val="none"/>
        </w:rPr>
        <w:t xml:space="preserve">                        </w:t>
      </w:r>
      <w:r>
        <w:rPr>
          <w:rFonts w:hint="eastAsia" w:ascii="仿宋_GB2312" w:eastAsia="仿宋_GB2312"/>
          <w:color w:val="auto"/>
          <w:sz w:val="32"/>
          <w:szCs w:val="28"/>
          <w:highlight w:val="none"/>
          <w:lang w:val="en-US" w:eastAsia="zh-CN"/>
        </w:rPr>
        <w:t xml:space="preserve"> </w:t>
      </w:r>
      <w:r>
        <w:rPr>
          <w:rFonts w:hint="eastAsia" w:ascii="仿宋_GB2312" w:eastAsia="仿宋_GB2312"/>
          <w:color w:val="auto"/>
          <w:sz w:val="28"/>
          <w:szCs w:val="28"/>
          <w:highlight w:val="none"/>
        </w:rPr>
        <w:t>2025年</w:t>
      </w:r>
      <w:r>
        <w:rPr>
          <w:rFonts w:hint="eastAsia" w:ascii="仿宋_GB2312" w:eastAsia="仿宋_GB2312"/>
          <w:color w:val="auto"/>
          <w:sz w:val="28"/>
          <w:szCs w:val="28"/>
          <w:highlight w:val="none"/>
          <w:lang w:val="en-US" w:eastAsia="zh-CN"/>
        </w:rPr>
        <w:t>10</w:t>
      </w:r>
      <w:r>
        <w:rPr>
          <w:rFonts w:hint="eastAsia" w:ascii="仿宋_GB2312" w:eastAsia="仿宋_GB2312"/>
          <w:color w:val="auto"/>
          <w:sz w:val="28"/>
          <w:szCs w:val="28"/>
          <w:highlight w:val="none"/>
        </w:rPr>
        <w:t>月</w:t>
      </w:r>
      <w:r>
        <w:rPr>
          <w:rFonts w:hint="eastAsia" w:ascii="仿宋_GB2312" w:eastAsia="仿宋_GB2312"/>
          <w:color w:val="auto"/>
          <w:sz w:val="28"/>
          <w:szCs w:val="28"/>
          <w:highlight w:val="none"/>
          <w:lang w:val="en-US" w:eastAsia="zh-CN"/>
        </w:rPr>
        <w:t>19</w:t>
      </w:r>
      <w:r>
        <w:rPr>
          <w:rFonts w:hint="eastAsia" w:ascii="仿宋_GB2312" w:eastAsia="仿宋_GB2312"/>
          <w:color w:val="auto"/>
          <w:sz w:val="28"/>
          <w:szCs w:val="28"/>
          <w:highlight w:val="none"/>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8DE8FC4-7028-4E7C-8E5E-780CB47D5128}"/>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2BF5B6D3-CAC6-48B3-A0D2-2182DDEC2C76}"/>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embedRegular r:id="rId3" w:fontKey="{2D23E736-A208-46A4-867E-CC29035791A3}"/>
  </w:font>
  <w:font w:name="等线 Light">
    <w:altName w:val="宋体"/>
    <w:panose1 w:val="02010600030101010101"/>
    <w:charset w:val="86"/>
    <w:family w:val="auto"/>
    <w:pitch w:val="default"/>
    <w:sig w:usb0="00000000" w:usb1="00000000"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4" w:fontKey="{F3214F8E-1120-4E5B-9B51-47DF9B104C01}"/>
  </w:font>
  <w:font w:name="仿宋">
    <w:panose1 w:val="02010609060101010101"/>
    <w:charset w:val="86"/>
    <w:family w:val="modern"/>
    <w:pitch w:val="default"/>
    <w:sig w:usb0="800002BF" w:usb1="38CF7CFA" w:usb2="00000016" w:usb3="00000000" w:csb0="00040001" w:csb1="00000000"/>
    <w:embedRegular r:id="rId5" w:fontKey="{D60CC8F4-F9C3-4827-A099-D5EA80A6427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9"/>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7"/>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16E2ACE"/>
    <w:multiLevelType w:val="multilevel"/>
    <w:tmpl w:val="B16E2ACE"/>
    <w:lvl w:ilvl="0" w:tentative="0">
      <w:start w:val="1"/>
      <w:numFmt w:val="upperLetter"/>
      <w:suff w:val="nothing"/>
      <w:lvlText w:val="附录%1"/>
      <w:lvlJc w:val="left"/>
      <w:pPr>
        <w:ind w:left="0" w:firstLine="0"/>
      </w:pPr>
      <w:rPr>
        <w:spacing w:val="100"/>
      </w:rPr>
    </w:lvl>
    <w:lvl w:ilvl="1" w:tentative="0">
      <w:start w:val="1"/>
      <w:numFmt w:val="decimal"/>
      <w:pStyle w:val="62"/>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
    <w:nsid w:val="BA7B8511"/>
    <w:multiLevelType w:val="multilevel"/>
    <w:tmpl w:val="BA7B8511"/>
    <w:lvl w:ilvl="0" w:tentative="0">
      <w:start w:val="1"/>
      <w:numFmt w:val="decimal"/>
      <w:pStyle w:val="58"/>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60"/>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5"/>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50"/>
      <w:lvlText w:val="%1)"/>
      <w:lvlJc w:val="left"/>
      <w:pPr>
        <w:tabs>
          <w:tab w:val="left" w:pos="851"/>
        </w:tabs>
        <w:ind w:left="851" w:hanging="426"/>
      </w:pPr>
      <w:rPr>
        <w:rFonts w:hint="eastAsia" w:ascii="宋体" w:hAnsi="Times New Roman" w:eastAsia="宋体"/>
        <w:sz w:val="21"/>
      </w:rPr>
    </w:lvl>
    <w:lvl w:ilvl="1" w:tentative="0">
      <w:start w:val="1"/>
      <w:numFmt w:val="decimal"/>
      <w:pStyle w:val="48"/>
      <w:lvlText w:val="%2)"/>
      <w:lvlJc w:val="left"/>
      <w:pPr>
        <w:tabs>
          <w:tab w:val="left" w:pos="1276"/>
        </w:tabs>
        <w:ind w:left="1276" w:hanging="425"/>
      </w:pPr>
      <w:rPr>
        <w:rFonts w:hint="eastAsia" w:ascii="宋体" w:hAnsi="Times New Roman" w:eastAsia="宋体"/>
        <w:sz w:val="21"/>
      </w:rPr>
    </w:lvl>
    <w:lvl w:ilvl="2" w:tentative="0">
      <w:start w:val="1"/>
      <w:numFmt w:val="decimal"/>
      <w:pStyle w:val="4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38"/>
      <w:suff w:val="nothing"/>
      <w:lvlText w:val="%1"/>
      <w:legacy w:legacy="1" w:legacySpace="0" w:legacyIndent="0"/>
      <w:lvlJc w:val="left"/>
      <w:pPr>
        <w:ind w:left="0" w:firstLine="0"/>
      </w:pPr>
      <w:rPr>
        <w:rFonts w:hint="eastAsia"/>
      </w:rPr>
    </w:lvl>
    <w:lvl w:ilvl="1" w:tentative="0">
      <w:start w:val="1"/>
      <w:numFmt w:val="decimal"/>
      <w:pStyle w:val="3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3"/>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23615AF"/>
    <w:rsid w:val="025E2D19"/>
    <w:rsid w:val="02614FC7"/>
    <w:rsid w:val="02DC2156"/>
    <w:rsid w:val="02E82811"/>
    <w:rsid w:val="030A6CC4"/>
    <w:rsid w:val="036C0D75"/>
    <w:rsid w:val="036E42DF"/>
    <w:rsid w:val="039B3DC0"/>
    <w:rsid w:val="03CC3F79"/>
    <w:rsid w:val="03FB03BA"/>
    <w:rsid w:val="04790F9B"/>
    <w:rsid w:val="04DA4474"/>
    <w:rsid w:val="04EC1DF7"/>
    <w:rsid w:val="057B7A05"/>
    <w:rsid w:val="05CD222A"/>
    <w:rsid w:val="05FD2B10"/>
    <w:rsid w:val="06084616"/>
    <w:rsid w:val="0619721E"/>
    <w:rsid w:val="06456265"/>
    <w:rsid w:val="06A9292B"/>
    <w:rsid w:val="06C54323"/>
    <w:rsid w:val="06F70C16"/>
    <w:rsid w:val="071B1228"/>
    <w:rsid w:val="074B78AB"/>
    <w:rsid w:val="07BE53C7"/>
    <w:rsid w:val="085454AC"/>
    <w:rsid w:val="08892439"/>
    <w:rsid w:val="08EF7A39"/>
    <w:rsid w:val="095073FA"/>
    <w:rsid w:val="09C13E54"/>
    <w:rsid w:val="09EB05D3"/>
    <w:rsid w:val="0A530F50"/>
    <w:rsid w:val="0A5844F0"/>
    <w:rsid w:val="0AA132EE"/>
    <w:rsid w:val="0B3D750A"/>
    <w:rsid w:val="0B927BA2"/>
    <w:rsid w:val="0BC74F47"/>
    <w:rsid w:val="0BE32369"/>
    <w:rsid w:val="0BFD70B9"/>
    <w:rsid w:val="0C4845D6"/>
    <w:rsid w:val="0DB22432"/>
    <w:rsid w:val="0E1B0D4A"/>
    <w:rsid w:val="0EE41D10"/>
    <w:rsid w:val="10A125AF"/>
    <w:rsid w:val="10B547F0"/>
    <w:rsid w:val="11186A50"/>
    <w:rsid w:val="11386E78"/>
    <w:rsid w:val="11B73ED3"/>
    <w:rsid w:val="121E62E8"/>
    <w:rsid w:val="12241424"/>
    <w:rsid w:val="12277661"/>
    <w:rsid w:val="12B66520"/>
    <w:rsid w:val="133D4C82"/>
    <w:rsid w:val="13D12EE6"/>
    <w:rsid w:val="13EE1CEA"/>
    <w:rsid w:val="13F37300"/>
    <w:rsid w:val="13FA2960"/>
    <w:rsid w:val="14700951"/>
    <w:rsid w:val="156F60AE"/>
    <w:rsid w:val="16875DAB"/>
    <w:rsid w:val="169F0A74"/>
    <w:rsid w:val="16A11295"/>
    <w:rsid w:val="174D6D27"/>
    <w:rsid w:val="175400B6"/>
    <w:rsid w:val="17C675A6"/>
    <w:rsid w:val="17D631C0"/>
    <w:rsid w:val="18CE5C46"/>
    <w:rsid w:val="196F7429"/>
    <w:rsid w:val="19C77265"/>
    <w:rsid w:val="1A2024D1"/>
    <w:rsid w:val="1A2A2D28"/>
    <w:rsid w:val="1A514D80"/>
    <w:rsid w:val="1ABC0F82"/>
    <w:rsid w:val="1B9C64CF"/>
    <w:rsid w:val="1C0F4EF3"/>
    <w:rsid w:val="1C5E2638"/>
    <w:rsid w:val="1CAD7BD6"/>
    <w:rsid w:val="1CDC3027"/>
    <w:rsid w:val="1D2C4A21"/>
    <w:rsid w:val="1D4806BC"/>
    <w:rsid w:val="1E6C7E3E"/>
    <w:rsid w:val="1E8C6387"/>
    <w:rsid w:val="1EEE7042"/>
    <w:rsid w:val="1EF0375A"/>
    <w:rsid w:val="1F436741"/>
    <w:rsid w:val="1FFA549F"/>
    <w:rsid w:val="20346CD6"/>
    <w:rsid w:val="206E043A"/>
    <w:rsid w:val="20B63B8F"/>
    <w:rsid w:val="211200FF"/>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604855"/>
    <w:rsid w:val="277B51EB"/>
    <w:rsid w:val="279E6744"/>
    <w:rsid w:val="2829733C"/>
    <w:rsid w:val="28CC0709"/>
    <w:rsid w:val="29C22B06"/>
    <w:rsid w:val="2AB6770F"/>
    <w:rsid w:val="2BAD2B02"/>
    <w:rsid w:val="2BDA1E37"/>
    <w:rsid w:val="2D4B05DB"/>
    <w:rsid w:val="2E0C3040"/>
    <w:rsid w:val="2E40384E"/>
    <w:rsid w:val="2F083808"/>
    <w:rsid w:val="2F0B058C"/>
    <w:rsid w:val="2F2B399A"/>
    <w:rsid w:val="2F454A5C"/>
    <w:rsid w:val="2F7C5FA4"/>
    <w:rsid w:val="2F82534F"/>
    <w:rsid w:val="302723B3"/>
    <w:rsid w:val="303040B7"/>
    <w:rsid w:val="306814F8"/>
    <w:rsid w:val="30AE6631"/>
    <w:rsid w:val="3106021B"/>
    <w:rsid w:val="3197089A"/>
    <w:rsid w:val="327A0EC0"/>
    <w:rsid w:val="33685BF1"/>
    <w:rsid w:val="339F33DF"/>
    <w:rsid w:val="34C65624"/>
    <w:rsid w:val="34D01D12"/>
    <w:rsid w:val="34D90AD3"/>
    <w:rsid w:val="3573099D"/>
    <w:rsid w:val="35C44201"/>
    <w:rsid w:val="366B28CE"/>
    <w:rsid w:val="38206066"/>
    <w:rsid w:val="38913D17"/>
    <w:rsid w:val="393E01A9"/>
    <w:rsid w:val="396B1F46"/>
    <w:rsid w:val="39DC7D6B"/>
    <w:rsid w:val="3B651FE2"/>
    <w:rsid w:val="3B714E2B"/>
    <w:rsid w:val="3D5134B7"/>
    <w:rsid w:val="3D6C58AA"/>
    <w:rsid w:val="3D8C5F4C"/>
    <w:rsid w:val="3E65515C"/>
    <w:rsid w:val="3E94330A"/>
    <w:rsid w:val="401F30A7"/>
    <w:rsid w:val="403F2E01"/>
    <w:rsid w:val="41480210"/>
    <w:rsid w:val="42CD0EA8"/>
    <w:rsid w:val="431A1904"/>
    <w:rsid w:val="43947908"/>
    <w:rsid w:val="44CB4DED"/>
    <w:rsid w:val="44F56185"/>
    <w:rsid w:val="4520080C"/>
    <w:rsid w:val="45413951"/>
    <w:rsid w:val="45D90566"/>
    <w:rsid w:val="46E47FFF"/>
    <w:rsid w:val="4779601E"/>
    <w:rsid w:val="481B0E08"/>
    <w:rsid w:val="482D3E87"/>
    <w:rsid w:val="48353A66"/>
    <w:rsid w:val="489160CA"/>
    <w:rsid w:val="48E01E61"/>
    <w:rsid w:val="49327CD0"/>
    <w:rsid w:val="493E1AE1"/>
    <w:rsid w:val="4A9B6FA0"/>
    <w:rsid w:val="4B035C36"/>
    <w:rsid w:val="4B2238EC"/>
    <w:rsid w:val="4B44550B"/>
    <w:rsid w:val="4C7D362F"/>
    <w:rsid w:val="4CAC0AD9"/>
    <w:rsid w:val="4CD55219"/>
    <w:rsid w:val="4DDD59C1"/>
    <w:rsid w:val="4E32294F"/>
    <w:rsid w:val="4E395334"/>
    <w:rsid w:val="4E593C28"/>
    <w:rsid w:val="4EFD2805"/>
    <w:rsid w:val="4F2558B8"/>
    <w:rsid w:val="4FC74BC1"/>
    <w:rsid w:val="501778F7"/>
    <w:rsid w:val="50747CE5"/>
    <w:rsid w:val="50CC06E1"/>
    <w:rsid w:val="50FA5D92"/>
    <w:rsid w:val="51B02576"/>
    <w:rsid w:val="51FB0B52"/>
    <w:rsid w:val="52270DB5"/>
    <w:rsid w:val="531E5595"/>
    <w:rsid w:val="531F075A"/>
    <w:rsid w:val="5338205E"/>
    <w:rsid w:val="54303C00"/>
    <w:rsid w:val="5539757D"/>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420BA5"/>
    <w:rsid w:val="5A8C449C"/>
    <w:rsid w:val="5B571FFB"/>
    <w:rsid w:val="5B6B556E"/>
    <w:rsid w:val="5BFB00CD"/>
    <w:rsid w:val="5C452F47"/>
    <w:rsid w:val="5C537F09"/>
    <w:rsid w:val="5C867919"/>
    <w:rsid w:val="5D086F45"/>
    <w:rsid w:val="5D243653"/>
    <w:rsid w:val="5D4D6706"/>
    <w:rsid w:val="5D9B49EA"/>
    <w:rsid w:val="5DF76C0B"/>
    <w:rsid w:val="5E0E07F8"/>
    <w:rsid w:val="5E42134A"/>
    <w:rsid w:val="5ED15115"/>
    <w:rsid w:val="5EFD5F0A"/>
    <w:rsid w:val="5FEF619A"/>
    <w:rsid w:val="60252B89"/>
    <w:rsid w:val="604F4E8B"/>
    <w:rsid w:val="60B11334"/>
    <w:rsid w:val="616C2448"/>
    <w:rsid w:val="61882403"/>
    <w:rsid w:val="626C326C"/>
    <w:rsid w:val="628C5F22"/>
    <w:rsid w:val="62C44CEE"/>
    <w:rsid w:val="630E06E5"/>
    <w:rsid w:val="634A0790"/>
    <w:rsid w:val="63DF2082"/>
    <w:rsid w:val="64E33DF4"/>
    <w:rsid w:val="652F2B95"/>
    <w:rsid w:val="654A16B4"/>
    <w:rsid w:val="654C7BEB"/>
    <w:rsid w:val="65E76184"/>
    <w:rsid w:val="660F1D12"/>
    <w:rsid w:val="66375416"/>
    <w:rsid w:val="664803B2"/>
    <w:rsid w:val="66770C98"/>
    <w:rsid w:val="66EF6B43"/>
    <w:rsid w:val="67277FC8"/>
    <w:rsid w:val="677C2407"/>
    <w:rsid w:val="6804655B"/>
    <w:rsid w:val="68552A56"/>
    <w:rsid w:val="68C47A98"/>
    <w:rsid w:val="68C53F3C"/>
    <w:rsid w:val="6B170353"/>
    <w:rsid w:val="6B805A13"/>
    <w:rsid w:val="6B913722"/>
    <w:rsid w:val="6BFB1CFC"/>
    <w:rsid w:val="6CC80E6D"/>
    <w:rsid w:val="6CEE57FE"/>
    <w:rsid w:val="6DDA15E5"/>
    <w:rsid w:val="6E0252EB"/>
    <w:rsid w:val="6E315BD0"/>
    <w:rsid w:val="6F393D6E"/>
    <w:rsid w:val="6F986B5B"/>
    <w:rsid w:val="70015658"/>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F1571C"/>
    <w:rsid w:val="75FF643B"/>
    <w:rsid w:val="77A7157C"/>
    <w:rsid w:val="781E5417"/>
    <w:rsid w:val="78B143BF"/>
    <w:rsid w:val="790C1713"/>
    <w:rsid w:val="793F5645"/>
    <w:rsid w:val="79477DB9"/>
    <w:rsid w:val="798B5FEA"/>
    <w:rsid w:val="7A035425"/>
    <w:rsid w:val="7A937FAF"/>
    <w:rsid w:val="7AB465B7"/>
    <w:rsid w:val="7ACC115A"/>
    <w:rsid w:val="7AF81F4F"/>
    <w:rsid w:val="7AFA7F37"/>
    <w:rsid w:val="7B215011"/>
    <w:rsid w:val="7B6C6499"/>
    <w:rsid w:val="7B7B492E"/>
    <w:rsid w:val="7BEC3554"/>
    <w:rsid w:val="7CB63E70"/>
    <w:rsid w:val="7D221505"/>
    <w:rsid w:val="7D334C5C"/>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Calibri"/>
      <w:kern w:val="2"/>
      <w:sz w:val="21"/>
      <w:szCs w:val="24"/>
      <w:lang w:val="en-US" w:eastAsia="zh-CN" w:bidi="ar-SA"/>
    </w:rPr>
  </w:style>
  <w:style w:type="paragraph" w:styleId="3">
    <w:name w:val="heading 1"/>
    <w:basedOn w:val="1"/>
    <w:next w:val="1"/>
    <w:autoRedefine/>
    <w:qFormat/>
    <w:uiPriority w:val="0"/>
    <w:pPr>
      <w:keepNext/>
      <w:keepLines/>
      <w:spacing w:before="340" w:after="330" w:line="578" w:lineRule="auto"/>
      <w:outlineLvl w:val="0"/>
    </w:pPr>
    <w:rPr>
      <w:b/>
      <w:bCs/>
      <w:kern w:val="44"/>
      <w:sz w:val="44"/>
    </w:rPr>
  </w:style>
  <w:style w:type="paragraph" w:styleId="4">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5">
    <w:name w:val="heading 3"/>
    <w:basedOn w:val="1"/>
    <w:next w:val="1"/>
    <w:autoRedefine/>
    <w:qFormat/>
    <w:uiPriority w:val="0"/>
    <w:pPr>
      <w:keepNext/>
      <w:keepLines/>
      <w:spacing w:before="260" w:after="260" w:line="415" w:lineRule="auto"/>
      <w:outlineLvl w:val="2"/>
    </w:pPr>
    <w:rPr>
      <w:b/>
      <w:sz w:val="32"/>
    </w:rPr>
  </w:style>
  <w:style w:type="paragraph" w:styleId="6">
    <w:name w:val="heading 7"/>
    <w:basedOn w:val="1"/>
    <w:next w:val="1"/>
    <w:link w:val="24"/>
    <w:autoRedefine/>
    <w:qFormat/>
    <w:uiPriority w:val="9"/>
    <w:pPr>
      <w:keepNext/>
      <w:keepLines/>
      <w:spacing w:before="240" w:after="64" w:line="320" w:lineRule="auto"/>
      <w:outlineLvl w:val="6"/>
    </w:pPr>
    <w:rPr>
      <w:b/>
      <w:bCs/>
      <w:sz w:val="24"/>
    </w:rPr>
  </w:style>
  <w:style w:type="character" w:default="1" w:styleId="17">
    <w:name w:val="Default Paragraph Font"/>
    <w:semiHidden/>
    <w:unhideWhenUsed/>
    <w:qFormat/>
    <w:uiPriority w:val="1"/>
  </w:style>
  <w:style w:type="table" w:default="1" w:styleId="1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customStyle="1" w:styleId="2">
    <w:name w:val="BodyText2"/>
    <w:basedOn w:val="1"/>
    <w:autoRedefine/>
    <w:qFormat/>
    <w:uiPriority w:val="0"/>
    <w:pPr>
      <w:spacing w:after="120" w:line="480" w:lineRule="auto"/>
      <w:textAlignment w:val="baseline"/>
    </w:pPr>
    <w:rPr>
      <w:rFonts w:cs="Times New Roman"/>
      <w:sz w:val="32"/>
      <w:szCs w:val="32"/>
    </w:rPr>
  </w:style>
  <w:style w:type="paragraph" w:styleId="7">
    <w:name w:val="annotation text"/>
    <w:basedOn w:val="1"/>
    <w:link w:val="25"/>
    <w:autoRedefine/>
    <w:unhideWhenUsed/>
    <w:qFormat/>
    <w:uiPriority w:val="99"/>
    <w:pPr>
      <w:adjustRightInd w:val="0"/>
      <w:spacing w:line="400" w:lineRule="exact"/>
      <w:jc w:val="left"/>
    </w:pPr>
    <w:rPr>
      <w:szCs w:val="21"/>
    </w:rPr>
  </w:style>
  <w:style w:type="paragraph" w:styleId="8">
    <w:name w:val="Balloon Text"/>
    <w:basedOn w:val="1"/>
    <w:link w:val="26"/>
    <w:autoRedefine/>
    <w:unhideWhenUsed/>
    <w:qFormat/>
    <w:uiPriority w:val="99"/>
    <w:rPr>
      <w:sz w:val="18"/>
      <w:szCs w:val="18"/>
    </w:rPr>
  </w:style>
  <w:style w:type="paragraph" w:styleId="9">
    <w:name w:val="footer"/>
    <w:basedOn w:val="1"/>
    <w:link w:val="27"/>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3">
    <w:name w:val="Normal (Web)"/>
    <w:basedOn w:val="1"/>
    <w:autoRedefine/>
    <w:semiHidden/>
    <w:unhideWhenUsed/>
    <w:qFormat/>
    <w:uiPriority w:val="99"/>
    <w:rPr>
      <w:sz w:val="24"/>
    </w:rPr>
  </w:style>
  <w:style w:type="paragraph" w:styleId="14">
    <w:name w:val="Title"/>
    <w:basedOn w:val="1"/>
    <w:link w:val="63"/>
    <w:qFormat/>
    <w:uiPriority w:val="10"/>
    <w:pPr>
      <w:spacing w:before="240" w:beforeLines="0" w:beforeAutospacing="0" w:after="60" w:afterLines="0" w:afterAutospacing="0"/>
      <w:jc w:val="center"/>
      <w:outlineLvl w:val="0"/>
    </w:pPr>
    <w:rPr>
      <w:rFonts w:ascii="Arial" w:hAnsi="Arial"/>
      <w:b/>
      <w:sz w:val="32"/>
    </w:rPr>
  </w:style>
  <w:style w:type="table" w:styleId="16">
    <w:name w:val="Table Grid"/>
    <w:basedOn w:val="15"/>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8">
    <w:name w:val="Strong"/>
    <w:basedOn w:val="17"/>
    <w:autoRedefine/>
    <w:qFormat/>
    <w:uiPriority w:val="22"/>
    <w:rPr>
      <w:b/>
    </w:rPr>
  </w:style>
  <w:style w:type="character" w:styleId="19">
    <w:name w:val="line number"/>
    <w:autoRedefine/>
    <w:qFormat/>
    <w:uiPriority w:val="0"/>
  </w:style>
  <w:style w:type="character" w:styleId="20">
    <w:name w:val="Hyperlink"/>
    <w:autoRedefine/>
    <w:qFormat/>
    <w:uiPriority w:val="0"/>
    <w:rPr>
      <w:rFonts w:ascii="宋体" w:eastAsia="宋体"/>
      <w:color w:val="auto"/>
      <w:spacing w:val="0"/>
      <w:w w:val="100"/>
      <w:position w:val="0"/>
      <w:sz w:val="21"/>
      <w:u w:val="none"/>
      <w:vertAlign w:val="baseline"/>
    </w:rPr>
  </w:style>
  <w:style w:type="character" w:styleId="21">
    <w:name w:val="annotation reference"/>
    <w:basedOn w:val="17"/>
    <w:autoRedefine/>
    <w:qFormat/>
    <w:uiPriority w:val="99"/>
    <w:rPr>
      <w:sz w:val="21"/>
      <w:szCs w:val="21"/>
    </w:rPr>
  </w:style>
  <w:style w:type="character" w:styleId="22">
    <w:name w:val="footnote reference"/>
    <w:autoRedefine/>
    <w:qFormat/>
    <w:uiPriority w:val="0"/>
    <w:rPr>
      <w:vertAlign w:val="superscript"/>
    </w:rPr>
  </w:style>
  <w:style w:type="paragraph" w:customStyle="1" w:styleId="23">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4">
    <w:name w:val="标题 7 字符"/>
    <w:link w:val="6"/>
    <w:autoRedefine/>
    <w:qFormat/>
    <w:uiPriority w:val="0"/>
    <w:rPr>
      <w:rFonts w:eastAsia="宋体"/>
      <w:b/>
      <w:bCs/>
      <w:kern w:val="2"/>
      <w:sz w:val="24"/>
      <w:szCs w:val="24"/>
    </w:rPr>
  </w:style>
  <w:style w:type="character" w:customStyle="1" w:styleId="25">
    <w:name w:val="批注文字 字符"/>
    <w:link w:val="7"/>
    <w:autoRedefine/>
    <w:semiHidden/>
    <w:qFormat/>
    <w:uiPriority w:val="99"/>
    <w:rPr>
      <w:rFonts w:ascii="Calibri" w:hAnsi="Calibri" w:eastAsia="宋体"/>
      <w:kern w:val="2"/>
      <w:sz w:val="21"/>
      <w:szCs w:val="21"/>
    </w:rPr>
  </w:style>
  <w:style w:type="character" w:customStyle="1" w:styleId="26">
    <w:name w:val="批注框文本 字符"/>
    <w:link w:val="8"/>
    <w:autoRedefine/>
    <w:semiHidden/>
    <w:qFormat/>
    <w:uiPriority w:val="99"/>
    <w:rPr>
      <w:rFonts w:eastAsia="宋体"/>
      <w:kern w:val="2"/>
      <w:sz w:val="18"/>
      <w:szCs w:val="18"/>
    </w:rPr>
  </w:style>
  <w:style w:type="character" w:customStyle="1" w:styleId="27">
    <w:name w:val="页脚 字符"/>
    <w:link w:val="9"/>
    <w:autoRedefine/>
    <w:qFormat/>
    <w:locked/>
    <w:uiPriority w:val="99"/>
    <w:rPr>
      <w:rFonts w:eastAsia="宋体"/>
      <w:kern w:val="2"/>
      <w:sz w:val="18"/>
      <w:szCs w:val="18"/>
    </w:rPr>
  </w:style>
  <w:style w:type="paragraph" w:customStyle="1" w:styleId="28">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9">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0">
    <w:name w:val="标准文件_段"/>
    <w:link w:val="31"/>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1">
    <w:name w:val="标准文件_段 Char"/>
    <w:link w:val="30"/>
    <w:autoRedefine/>
    <w:qFormat/>
    <w:uiPriority w:val="0"/>
    <w:rPr>
      <w:rFonts w:ascii="黑体" w:hAnsi="黑体" w:eastAsia="黑体" w:cs="黑体"/>
      <w:bCs/>
      <w:sz w:val="24"/>
      <w:szCs w:val="24"/>
    </w:rPr>
  </w:style>
  <w:style w:type="paragraph" w:customStyle="1" w:styleId="32">
    <w:name w:val="标准文件_章标题"/>
    <w:next w:val="30"/>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3">
    <w:name w:val="标准文件_二级条标题"/>
    <w:next w:val="30"/>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4">
    <w:name w:val="标准文件_一级条标题"/>
    <w:basedOn w:val="32"/>
    <w:next w:val="30"/>
    <w:autoRedefine/>
    <w:qFormat/>
    <w:uiPriority w:val="0"/>
    <w:pPr>
      <w:numPr>
        <w:ilvl w:val="2"/>
      </w:numPr>
      <w:spacing w:before="50" w:beforeLines="0" w:after="50" w:afterLines="0"/>
      <w:outlineLvl w:val="1"/>
    </w:pPr>
  </w:style>
  <w:style w:type="paragraph" w:customStyle="1" w:styleId="35">
    <w:name w:val="标准文件_三级条标题"/>
    <w:basedOn w:val="33"/>
    <w:next w:val="30"/>
    <w:autoRedefine/>
    <w:qFormat/>
    <w:uiPriority w:val="0"/>
    <w:pPr>
      <w:outlineLvl w:val="3"/>
    </w:pPr>
  </w:style>
  <w:style w:type="paragraph" w:customStyle="1" w:styleId="36">
    <w:name w:val="标准文件_四级条标题"/>
    <w:next w:val="30"/>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7">
    <w:name w:val="标准文件_五级条标题"/>
    <w:next w:val="33"/>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8">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9">
    <w:name w:val="标准文件_四级无标题"/>
    <w:basedOn w:val="36"/>
    <w:autoRedefine/>
    <w:qFormat/>
    <w:uiPriority w:val="0"/>
    <w:pPr>
      <w:numPr>
        <w:ilvl w:val="5"/>
        <w:numId w:val="1"/>
      </w:numPr>
    </w:pPr>
    <w:rPr>
      <w:rFonts w:ascii="宋体" w:eastAsia="宋体"/>
      <w:szCs w:val="52"/>
    </w:rPr>
  </w:style>
  <w:style w:type="paragraph" w:customStyle="1" w:styleId="40">
    <w:name w:val="标准文件_三级无标题"/>
    <w:basedOn w:val="35"/>
    <w:autoRedefine/>
    <w:qFormat/>
    <w:uiPriority w:val="0"/>
    <w:pPr>
      <w:numPr>
        <w:ilvl w:val="4"/>
        <w:numId w:val="1"/>
      </w:numPr>
    </w:pPr>
    <w:rPr>
      <w:rFonts w:ascii="宋体" w:eastAsia="宋体"/>
    </w:rPr>
  </w:style>
  <w:style w:type="paragraph" w:customStyle="1" w:styleId="41">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2">
    <w:name w:val="font11"/>
    <w:autoRedefine/>
    <w:qFormat/>
    <w:uiPriority w:val="0"/>
    <w:rPr>
      <w:rFonts w:ascii="等线" w:eastAsia="等线"/>
      <w:b/>
      <w:bCs/>
      <w:color w:val="FF0000"/>
      <w:sz w:val="22"/>
      <w:szCs w:val="22"/>
      <w:u w:val="none"/>
    </w:rPr>
  </w:style>
  <w:style w:type="character" w:customStyle="1" w:styleId="43">
    <w:name w:val="font01"/>
    <w:autoRedefine/>
    <w:qFormat/>
    <w:uiPriority w:val="0"/>
    <w:rPr>
      <w:rFonts w:ascii="等线" w:eastAsia="等线"/>
      <w:color w:val="000000"/>
      <w:sz w:val="22"/>
      <w:szCs w:val="22"/>
      <w:u w:val="none"/>
    </w:rPr>
  </w:style>
  <w:style w:type="paragraph" w:customStyle="1" w:styleId="44">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5">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6">
    <w:name w:val="标准文件_二级无标题"/>
    <w:basedOn w:val="33"/>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7">
    <w:name w:val="Char Char Char Char"/>
    <w:basedOn w:val="1"/>
    <w:autoRedefine/>
    <w:qFormat/>
    <w:uiPriority w:val="0"/>
  </w:style>
  <w:style w:type="paragraph" w:customStyle="1" w:styleId="48">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9">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0">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1">
    <w:name w:val="标准文件_术语条一"/>
    <w:basedOn w:val="1"/>
    <w:next w:val="30"/>
    <w:autoRedefine/>
    <w:qFormat/>
    <w:uiPriority w:val="0"/>
    <w:pPr>
      <w:widowControl/>
    </w:pPr>
    <w:rPr>
      <w:rFonts w:ascii="宋体"/>
      <w:kern w:val="0"/>
      <w:szCs w:val="20"/>
    </w:rPr>
  </w:style>
  <w:style w:type="paragraph" w:customStyle="1" w:styleId="52">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3">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4">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5">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6">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7">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58">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59">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60">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1">
    <w:name w:val="font31"/>
    <w:basedOn w:val="17"/>
    <w:qFormat/>
    <w:uiPriority w:val="0"/>
    <w:rPr>
      <w:rFonts w:hint="eastAsia" w:ascii="宋体" w:hAnsi="宋体" w:eastAsia="宋体" w:cs="宋体"/>
      <w:color w:val="1F2329"/>
      <w:sz w:val="24"/>
      <w:szCs w:val="24"/>
      <w:u w:val="none"/>
    </w:rPr>
  </w:style>
  <w:style w:type="paragraph" w:customStyle="1" w:styleId="62">
    <w:name w:val="标准文件_附录一级条标题"/>
    <w:basedOn w:val="1"/>
    <w:next w:val="1"/>
    <w:qFormat/>
    <w:uiPriority w:val="0"/>
    <w:pPr>
      <w:keepNext w:val="0"/>
      <w:keepLines w:val="0"/>
      <w:widowControl w:val="0"/>
      <w:numPr>
        <w:ilvl w:val="1"/>
        <w:numId w:val="10"/>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21"/>
      <w:sz w:val="21"/>
      <w:szCs w:val="20"/>
      <w:lang w:val="en-US" w:eastAsia="zh-CN" w:bidi="ar"/>
    </w:rPr>
  </w:style>
  <w:style w:type="character" w:customStyle="1" w:styleId="63">
    <w:name w:val="标题 字符"/>
    <w:basedOn w:val="17"/>
    <w:link w:val="14"/>
    <w:qFormat/>
    <w:uiPriority w:val="0"/>
    <w:rPr>
      <w:rFonts w:ascii="等线 Light" w:hAnsi="等线 Light" w:eastAsia="等线 Light"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15</Pages>
  <Words>8336</Words>
  <Characters>8645</Characters>
  <Lines>101</Lines>
  <Paragraphs>28</Paragraphs>
  <TotalTime>0</TotalTime>
  <ScaleCrop>false</ScaleCrop>
  <LinksUpToDate>false</LinksUpToDate>
  <CharactersWithSpaces>8758</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cp:lastPrinted>2025-09-04T06:54:00Z</cp:lastPrinted>
  <dcterms:modified xsi:type="dcterms:W3CDTF">2025-10-20T07:41:38Z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DE94C4B78C5F47F9AA808C1A77486E80_13</vt:lpwstr>
  </property>
  <property fmtid="{D5CDD505-2E9C-101B-9397-08002B2CF9AE}" pid="4" name="KSOTemplateDocerSaveRecord">
    <vt:lpwstr>eyJoZGlkIjoiMzg2YTk3YWJlMzJiOWE4NmU5OTkxNmM1MjU1OThkOTQiLCJ1c2VySWQiOiIzMjAyMTY5NjkifQ==</vt:lpwstr>
  </property>
</Properties>
</file>