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988ECC">
      <w:pPr>
        <w:jc w:val="center"/>
        <w:rPr>
          <w:rFonts w:ascii="方正小标宋简体" w:eastAsia="方正小标宋简体" w:cs="仿宋_GB2312"/>
          <w:bCs/>
          <w:color w:val="000000"/>
          <w:sz w:val="36"/>
          <w:szCs w:val="32"/>
        </w:rPr>
      </w:pPr>
      <w:r>
        <w:rPr>
          <w:rFonts w:hint="eastAsia" w:ascii="方正小标宋简体" w:eastAsia="方正小标宋简体" w:cs="仿宋_GB2312"/>
          <w:bCs/>
          <w:color w:val="000000"/>
          <w:sz w:val="36"/>
          <w:szCs w:val="32"/>
          <w:lang w:eastAsia="zh-CN"/>
        </w:rPr>
        <w:t>团体</w:t>
      </w:r>
      <w:r>
        <w:rPr>
          <w:rFonts w:hint="eastAsia" w:ascii="方正小标宋简体" w:eastAsia="方正小标宋简体" w:cs="仿宋_GB2312"/>
          <w:bCs/>
          <w:color w:val="000000"/>
          <w:sz w:val="36"/>
          <w:szCs w:val="32"/>
        </w:rPr>
        <w:t>标准</w:t>
      </w:r>
    </w:p>
    <w:p w14:paraId="621414DB">
      <w:pPr>
        <w:jc w:val="center"/>
        <w:rPr>
          <w:rFonts w:ascii="方正小标宋简体" w:eastAsia="方正小标宋简体" w:cs="仿宋_GB2312"/>
          <w:bCs/>
          <w:color w:val="000000"/>
          <w:sz w:val="36"/>
          <w:szCs w:val="32"/>
        </w:rPr>
      </w:pPr>
      <w:r>
        <w:rPr>
          <w:rFonts w:hint="eastAsia" w:ascii="方正小标宋简体" w:eastAsia="方正小标宋简体" w:cs="仿宋_GB2312"/>
          <w:bCs/>
          <w:color w:val="000000"/>
          <w:sz w:val="36"/>
          <w:szCs w:val="32"/>
        </w:rPr>
        <w:t>《胆石症术后康复及预防结石复发中医药干预技术规范》</w:t>
      </w:r>
    </w:p>
    <w:p w14:paraId="63ABD369">
      <w:pPr>
        <w:jc w:val="center"/>
        <w:rPr>
          <w:rFonts w:ascii="方正小标宋简体" w:eastAsia="方正小标宋简体" w:cs="仿宋_GB2312"/>
          <w:bCs/>
          <w:color w:val="000000"/>
          <w:sz w:val="36"/>
          <w:szCs w:val="32"/>
        </w:rPr>
      </w:pPr>
      <w:r>
        <w:rPr>
          <w:rFonts w:hint="eastAsia" w:ascii="方正小标宋简体" w:eastAsia="方正小标宋简体" w:cs="仿宋_GB2312"/>
          <w:bCs/>
          <w:color w:val="000000"/>
          <w:sz w:val="36"/>
          <w:szCs w:val="32"/>
        </w:rPr>
        <w:t>（</w:t>
      </w:r>
      <w:r>
        <w:rPr>
          <w:rFonts w:hint="eastAsia" w:ascii="方正小标宋简体" w:eastAsia="方正小标宋简体" w:cs="仿宋_GB2312"/>
          <w:bCs/>
          <w:color w:val="000000"/>
          <w:sz w:val="36"/>
          <w:szCs w:val="32"/>
          <w:lang w:eastAsia="zh-CN"/>
        </w:rPr>
        <w:t>征求意见</w:t>
      </w:r>
      <w:r>
        <w:rPr>
          <w:rFonts w:hint="eastAsia" w:ascii="方正小标宋简体" w:eastAsia="方正小标宋简体" w:cs="仿宋_GB2312"/>
          <w:bCs/>
          <w:color w:val="000000"/>
          <w:sz w:val="36"/>
          <w:szCs w:val="32"/>
        </w:rPr>
        <w:t>稿）编制说明</w:t>
      </w:r>
    </w:p>
    <w:p w14:paraId="3C03F1C8">
      <w:pPr>
        <w:pStyle w:val="20"/>
      </w:pPr>
    </w:p>
    <w:p w14:paraId="47AC386D">
      <w:pPr>
        <w:spacing w:line="520" w:lineRule="exact"/>
        <w:ind w:firstLine="640" w:firstLineChars="200"/>
        <w:rPr>
          <w:rFonts w:ascii="黑体" w:eastAsia="黑体" w:cs="仿宋_GB2312"/>
          <w:bCs/>
          <w:sz w:val="32"/>
          <w:szCs w:val="32"/>
        </w:rPr>
      </w:pPr>
      <w:r>
        <w:rPr>
          <w:rFonts w:hint="eastAsia" w:ascii="黑体" w:eastAsia="黑体" w:cs="仿宋_GB2312"/>
          <w:sz w:val="32"/>
          <w:szCs w:val="32"/>
        </w:rPr>
        <w:t>一、任务来源、起草单位、主要起草人</w:t>
      </w:r>
    </w:p>
    <w:p w14:paraId="1EB59589">
      <w:pPr>
        <w:spacing w:line="520" w:lineRule="exact"/>
        <w:ind w:firstLine="560" w:firstLineChars="200"/>
        <w:rPr>
          <w:rFonts w:ascii="仿宋_GB2312" w:eastAsia="仿宋_GB2312"/>
          <w:sz w:val="28"/>
          <w:szCs w:val="28"/>
        </w:rPr>
      </w:pPr>
      <w:r>
        <w:rPr>
          <w:rFonts w:hint="eastAsia" w:ascii="仿宋_GB2312" w:eastAsia="仿宋_GB2312"/>
          <w:sz w:val="28"/>
          <w:szCs w:val="28"/>
        </w:rPr>
        <w:t>根据《广西标准化协会关于下达2025年第三十四批团体标准制修订项目计划的通知》（桂市监函〔202</w:t>
      </w:r>
      <w:r>
        <w:rPr>
          <w:rFonts w:hint="eastAsia" w:ascii="仿宋_GB2312" w:eastAsia="仿宋_GB2312"/>
          <w:sz w:val="28"/>
          <w:szCs w:val="28"/>
          <w:lang w:val="en-US" w:eastAsia="zh-CN"/>
        </w:rPr>
        <w:t>5</w:t>
      </w:r>
      <w:r>
        <w:rPr>
          <w:rFonts w:hint="eastAsia" w:ascii="仿宋_GB2312" w:eastAsia="仿宋_GB2312"/>
          <w:sz w:val="28"/>
          <w:szCs w:val="28"/>
        </w:rPr>
        <w:t>〕</w:t>
      </w:r>
      <w:r>
        <w:rPr>
          <w:rFonts w:hint="eastAsia" w:ascii="仿宋_GB2312" w:eastAsia="仿宋_GB2312"/>
          <w:sz w:val="28"/>
          <w:szCs w:val="28"/>
          <w:lang w:val="en-US" w:eastAsia="zh-CN"/>
        </w:rPr>
        <w:t>311</w:t>
      </w:r>
      <w:r>
        <w:rPr>
          <w:rFonts w:hint="eastAsia" w:ascii="仿宋_GB2312" w:eastAsia="仿宋_GB2312"/>
          <w:sz w:val="28"/>
          <w:szCs w:val="28"/>
        </w:rPr>
        <w:t>号）精神，由</w:t>
      </w:r>
      <w:r>
        <w:rPr>
          <w:rFonts w:hint="eastAsia" w:ascii="仿宋_GB2312" w:eastAsia="仿宋_GB2312"/>
          <w:sz w:val="28"/>
          <w:szCs w:val="28"/>
          <w:lang w:val="en-US" w:eastAsia="zh-CN"/>
        </w:rPr>
        <w:t>广西中医药大学第一附属医院</w:t>
      </w:r>
      <w:r>
        <w:rPr>
          <w:rFonts w:hint="eastAsia" w:ascii="仿宋_GB2312" w:eastAsia="仿宋_GB2312"/>
          <w:sz w:val="28"/>
          <w:szCs w:val="28"/>
        </w:rPr>
        <w:t>提出，</w:t>
      </w:r>
      <w:r>
        <w:rPr>
          <w:rFonts w:hint="eastAsia" w:ascii="仿宋_GB2312" w:eastAsia="仿宋_GB2312"/>
          <w:sz w:val="28"/>
          <w:szCs w:val="28"/>
          <w:lang w:val="en-US" w:eastAsia="zh-CN"/>
        </w:rPr>
        <w:t>广西中医药大学第一附属医院、广西中医药大学附属瑞康医院、南宁市中医医院、广西国际壮医医院、防城港市中医医院、灵山县中医医院等单位</w:t>
      </w:r>
      <w:r>
        <w:rPr>
          <w:rFonts w:hint="eastAsia" w:ascii="仿宋_GB2312" w:eastAsia="仿宋_GB2312"/>
          <w:sz w:val="28"/>
          <w:szCs w:val="28"/>
        </w:rPr>
        <w:t>起草的</w:t>
      </w:r>
      <w:r>
        <w:rPr>
          <w:rFonts w:hint="eastAsia" w:ascii="仿宋_GB2312" w:eastAsia="仿宋_GB2312"/>
          <w:sz w:val="28"/>
          <w:szCs w:val="28"/>
          <w:lang w:eastAsia="zh-CN"/>
        </w:rPr>
        <w:t>团体</w:t>
      </w:r>
      <w:r>
        <w:rPr>
          <w:rFonts w:hint="eastAsia" w:ascii="仿宋_GB2312" w:eastAsia="仿宋_GB2312"/>
          <w:sz w:val="28"/>
          <w:szCs w:val="28"/>
        </w:rPr>
        <w:t>标准《胆石症术后康复及预防结石复发中医药干预技术规范》（项目编号20</w:t>
      </w:r>
      <w:r>
        <w:rPr>
          <w:rFonts w:hint="eastAsia" w:ascii="仿宋_GB2312" w:eastAsia="仿宋_GB2312"/>
          <w:sz w:val="28"/>
          <w:szCs w:val="28"/>
          <w:lang w:val="en-US" w:eastAsia="zh-CN"/>
        </w:rPr>
        <w:t>25</w:t>
      </w:r>
      <w:r>
        <w:rPr>
          <w:rFonts w:hint="eastAsia" w:ascii="仿宋_GB2312" w:eastAsia="仿宋_GB2312"/>
          <w:sz w:val="28"/>
          <w:szCs w:val="28"/>
        </w:rPr>
        <w:t>-</w:t>
      </w:r>
      <w:r>
        <w:rPr>
          <w:rFonts w:hint="eastAsia" w:ascii="仿宋_GB2312" w:eastAsia="仿宋_GB2312"/>
          <w:sz w:val="28"/>
          <w:szCs w:val="28"/>
          <w:lang w:val="en-US" w:eastAsia="zh-CN"/>
        </w:rPr>
        <w:t>3408</w:t>
      </w:r>
      <w:r>
        <w:rPr>
          <w:rFonts w:hint="eastAsia" w:ascii="仿宋_GB2312" w:eastAsia="仿宋_GB2312"/>
          <w:sz w:val="28"/>
          <w:szCs w:val="28"/>
        </w:rPr>
        <w:t>）。</w:t>
      </w:r>
    </w:p>
    <w:p w14:paraId="06152842">
      <w:pPr>
        <w:spacing w:line="520" w:lineRule="exact"/>
        <w:ind w:firstLine="560" w:firstLineChars="200"/>
        <w:rPr>
          <w:rFonts w:ascii="仿宋_GB2312" w:eastAsia="仿宋_GB2312"/>
          <w:sz w:val="32"/>
          <w:szCs w:val="32"/>
        </w:rPr>
      </w:pPr>
      <w:r>
        <w:rPr>
          <w:rFonts w:hint="eastAsia" w:ascii="仿宋_GB2312" w:eastAsia="仿宋_GB2312"/>
          <w:sz w:val="28"/>
          <w:szCs w:val="28"/>
        </w:rPr>
        <w:t>为高质量编制</w:t>
      </w:r>
      <w:r>
        <w:rPr>
          <w:rFonts w:hint="eastAsia" w:ascii="仿宋_GB2312" w:eastAsia="仿宋_GB2312"/>
          <w:sz w:val="28"/>
          <w:szCs w:val="28"/>
          <w:lang w:eastAsia="zh-CN"/>
        </w:rPr>
        <w:t>团体</w:t>
      </w:r>
      <w:r>
        <w:rPr>
          <w:rFonts w:hint="eastAsia" w:ascii="仿宋_GB2312" w:eastAsia="仿宋_GB2312"/>
          <w:sz w:val="28"/>
          <w:szCs w:val="28"/>
        </w:rPr>
        <w:t>标准《胆石症术后康复及预防结石复发中医药干预技术规范》，由起草单位成立标准编制工作组并进行如下分工：</w:t>
      </w:r>
    </w:p>
    <w:tbl>
      <w:tblPr>
        <w:tblStyle w:val="14"/>
        <w:tblW w:w="90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58"/>
        <w:gridCol w:w="1177"/>
        <w:gridCol w:w="1127"/>
        <w:gridCol w:w="1948"/>
        <w:gridCol w:w="3778"/>
      </w:tblGrid>
      <w:tr w14:paraId="2B716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7FA6A1EE">
            <w:pPr>
              <w:jc w:val="center"/>
              <w:rPr>
                <w:rFonts w:ascii="仿宋" w:hAnsi="仿宋" w:eastAsia="仿宋" w:cs="仿宋"/>
                <w:b/>
                <w:sz w:val="24"/>
              </w:rPr>
            </w:pPr>
            <w:r>
              <w:rPr>
                <w:rFonts w:hint="eastAsia" w:ascii="仿宋" w:hAnsi="仿宋" w:eastAsia="仿宋" w:cs="仿宋"/>
                <w:b/>
                <w:sz w:val="24"/>
              </w:rPr>
              <w:t>姓名</w:t>
            </w:r>
          </w:p>
        </w:tc>
        <w:tc>
          <w:tcPr>
            <w:tcW w:w="1177" w:type="dxa"/>
            <w:tcBorders>
              <w:top w:val="single" w:color="auto" w:sz="4" w:space="0"/>
              <w:left w:val="single" w:color="auto" w:sz="4" w:space="0"/>
              <w:bottom w:val="single" w:color="auto" w:sz="4" w:space="0"/>
              <w:right w:val="single" w:color="auto" w:sz="4" w:space="0"/>
            </w:tcBorders>
            <w:vAlign w:val="center"/>
          </w:tcPr>
          <w:p w14:paraId="45C8C57F">
            <w:pPr>
              <w:jc w:val="center"/>
              <w:rPr>
                <w:rFonts w:ascii="仿宋" w:hAnsi="仿宋" w:eastAsia="仿宋" w:cs="仿宋"/>
                <w:b/>
                <w:sz w:val="24"/>
              </w:rPr>
            </w:pPr>
            <w:r>
              <w:rPr>
                <w:rFonts w:hint="eastAsia" w:ascii="仿宋" w:hAnsi="仿宋" w:eastAsia="仿宋" w:cs="仿宋"/>
                <w:b/>
                <w:sz w:val="24"/>
              </w:rPr>
              <w:t>职务/职称</w:t>
            </w:r>
          </w:p>
        </w:tc>
        <w:tc>
          <w:tcPr>
            <w:tcW w:w="1127" w:type="dxa"/>
            <w:tcBorders>
              <w:top w:val="single" w:color="auto" w:sz="4" w:space="0"/>
              <w:left w:val="single" w:color="auto" w:sz="4" w:space="0"/>
              <w:bottom w:val="single" w:color="auto" w:sz="4" w:space="0"/>
              <w:right w:val="single" w:color="auto" w:sz="4" w:space="0"/>
            </w:tcBorders>
            <w:vAlign w:val="center"/>
          </w:tcPr>
          <w:p w14:paraId="6AA34DD6">
            <w:pPr>
              <w:jc w:val="center"/>
              <w:rPr>
                <w:rFonts w:ascii="仿宋" w:hAnsi="仿宋" w:eastAsia="仿宋" w:cs="仿宋"/>
                <w:b/>
                <w:sz w:val="24"/>
              </w:rPr>
            </w:pPr>
            <w:r>
              <w:rPr>
                <w:rFonts w:hint="eastAsia" w:ascii="仿宋" w:hAnsi="仿宋" w:eastAsia="仿宋" w:cs="仿宋"/>
                <w:b/>
                <w:sz w:val="24"/>
              </w:rPr>
              <w:t>从事</w:t>
            </w:r>
          </w:p>
          <w:p w14:paraId="20727FC5">
            <w:pPr>
              <w:jc w:val="center"/>
              <w:rPr>
                <w:rFonts w:ascii="仿宋" w:hAnsi="仿宋" w:eastAsia="仿宋" w:cs="仿宋"/>
                <w:b/>
                <w:sz w:val="24"/>
              </w:rPr>
            </w:pPr>
            <w:r>
              <w:rPr>
                <w:rFonts w:hint="eastAsia" w:ascii="仿宋" w:hAnsi="仿宋" w:eastAsia="仿宋" w:cs="仿宋"/>
                <w:b/>
                <w:sz w:val="24"/>
              </w:rPr>
              <w:t>专业</w:t>
            </w:r>
          </w:p>
        </w:tc>
        <w:tc>
          <w:tcPr>
            <w:tcW w:w="1948" w:type="dxa"/>
            <w:tcBorders>
              <w:top w:val="single" w:color="auto" w:sz="4" w:space="0"/>
              <w:left w:val="single" w:color="auto" w:sz="4" w:space="0"/>
              <w:bottom w:val="single" w:color="auto" w:sz="4" w:space="0"/>
              <w:right w:val="single" w:color="auto" w:sz="4" w:space="0"/>
            </w:tcBorders>
            <w:vAlign w:val="center"/>
          </w:tcPr>
          <w:p w14:paraId="09327330">
            <w:pPr>
              <w:jc w:val="center"/>
              <w:rPr>
                <w:rFonts w:ascii="仿宋" w:hAnsi="仿宋" w:eastAsia="仿宋" w:cs="仿宋"/>
                <w:b/>
                <w:sz w:val="24"/>
              </w:rPr>
            </w:pPr>
            <w:r>
              <w:rPr>
                <w:rFonts w:hint="eastAsia" w:ascii="仿宋" w:hAnsi="仿宋" w:eastAsia="仿宋" w:cs="仿宋"/>
                <w:b/>
                <w:sz w:val="24"/>
              </w:rPr>
              <w:t>工作单位</w:t>
            </w:r>
          </w:p>
        </w:tc>
        <w:tc>
          <w:tcPr>
            <w:tcW w:w="3778" w:type="dxa"/>
            <w:tcBorders>
              <w:top w:val="single" w:color="auto" w:sz="4" w:space="0"/>
              <w:left w:val="single" w:color="auto" w:sz="4" w:space="0"/>
              <w:bottom w:val="single" w:color="auto" w:sz="4" w:space="0"/>
              <w:right w:val="single" w:color="auto" w:sz="4" w:space="0"/>
            </w:tcBorders>
            <w:vAlign w:val="center"/>
          </w:tcPr>
          <w:p w14:paraId="0F43CE4C">
            <w:pPr>
              <w:jc w:val="center"/>
              <w:rPr>
                <w:rFonts w:ascii="仿宋" w:hAnsi="仿宋" w:eastAsia="仿宋" w:cs="仿宋"/>
                <w:b/>
                <w:sz w:val="24"/>
              </w:rPr>
            </w:pPr>
            <w:r>
              <w:rPr>
                <w:rFonts w:hint="eastAsia" w:ascii="仿宋" w:hAnsi="仿宋" w:eastAsia="仿宋" w:cs="仿宋"/>
                <w:b/>
                <w:sz w:val="24"/>
              </w:rPr>
              <w:t>主要负责工作</w:t>
            </w:r>
          </w:p>
        </w:tc>
      </w:tr>
      <w:tr w14:paraId="6542D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1FA75C16">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王清坚</w:t>
            </w:r>
          </w:p>
        </w:tc>
        <w:tc>
          <w:tcPr>
            <w:tcW w:w="1177" w:type="dxa"/>
            <w:tcBorders>
              <w:top w:val="single" w:color="auto" w:sz="4" w:space="0"/>
              <w:left w:val="single" w:color="auto" w:sz="4" w:space="0"/>
              <w:bottom w:val="single" w:color="auto" w:sz="4" w:space="0"/>
              <w:right w:val="single" w:color="auto" w:sz="4" w:space="0"/>
            </w:tcBorders>
            <w:vAlign w:val="center"/>
          </w:tcPr>
          <w:p w14:paraId="2D5A6D70">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主任医师</w:t>
            </w:r>
          </w:p>
        </w:tc>
        <w:tc>
          <w:tcPr>
            <w:tcW w:w="1127" w:type="dxa"/>
            <w:tcBorders>
              <w:top w:val="single" w:color="auto" w:sz="4" w:space="0"/>
              <w:left w:val="single" w:color="auto" w:sz="4" w:space="0"/>
              <w:bottom w:val="single" w:color="auto" w:sz="4" w:space="0"/>
              <w:right w:val="single" w:color="auto" w:sz="4" w:space="0"/>
            </w:tcBorders>
            <w:vAlign w:val="center"/>
          </w:tcPr>
          <w:p w14:paraId="3155EEA4">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64ABCE64">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4C9B73EA">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统筹主持标准编制工作</w:t>
            </w:r>
          </w:p>
        </w:tc>
      </w:tr>
      <w:tr w14:paraId="548B4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73180B10">
            <w:pPr>
              <w:jc w:val="left"/>
              <w:rPr>
                <w:rFonts w:ascii="Times New Roman" w:hAnsi="Times New Roman" w:eastAsia="仿宋_GB2312" w:cs="Times New Roman"/>
                <w:sz w:val="24"/>
                <w:highlight w:val="none"/>
                <w:lang w:bidi="ar"/>
              </w:rPr>
            </w:pPr>
            <w:r>
              <w:rPr>
                <w:rFonts w:hint="eastAsia" w:ascii="Times New Roman" w:hAnsi="Times New Roman" w:eastAsia="仿宋_GB2312" w:cs="Times New Roman"/>
                <w:sz w:val="24"/>
                <w:highlight w:val="none"/>
                <w:lang w:bidi="ar"/>
              </w:rPr>
              <w:t>陈雅璐</w:t>
            </w:r>
          </w:p>
        </w:tc>
        <w:tc>
          <w:tcPr>
            <w:tcW w:w="1177" w:type="dxa"/>
            <w:tcBorders>
              <w:top w:val="single" w:color="auto" w:sz="4" w:space="0"/>
              <w:left w:val="single" w:color="auto" w:sz="4" w:space="0"/>
              <w:bottom w:val="single" w:color="auto" w:sz="4" w:space="0"/>
              <w:right w:val="single" w:color="auto" w:sz="4" w:space="0"/>
            </w:tcBorders>
            <w:vAlign w:val="center"/>
          </w:tcPr>
          <w:p w14:paraId="6F38D823">
            <w:pPr>
              <w:jc w:val="left"/>
              <w:rPr>
                <w:rFonts w:ascii="Times New Roman" w:hAnsi="Times New Roman" w:eastAsia="仿宋_GB2312" w:cs="Times New Roman"/>
                <w:sz w:val="24"/>
                <w:highlight w:val="none"/>
                <w:lang w:bidi="ar"/>
              </w:rPr>
            </w:pPr>
            <w:r>
              <w:rPr>
                <w:rFonts w:hint="eastAsia" w:ascii="Times New Roman" w:hAnsi="Times New Roman" w:eastAsia="仿宋_GB2312" w:cs="Times New Roman"/>
                <w:sz w:val="24"/>
                <w:highlight w:val="none"/>
                <w:lang w:bidi="ar"/>
              </w:rPr>
              <w:t>助理研究员</w:t>
            </w:r>
          </w:p>
        </w:tc>
        <w:tc>
          <w:tcPr>
            <w:tcW w:w="1127" w:type="dxa"/>
            <w:tcBorders>
              <w:top w:val="single" w:color="auto" w:sz="4" w:space="0"/>
              <w:left w:val="single" w:color="auto" w:sz="4" w:space="0"/>
              <w:bottom w:val="single" w:color="auto" w:sz="4" w:space="0"/>
              <w:right w:val="single" w:color="auto" w:sz="4" w:space="0"/>
            </w:tcBorders>
            <w:vAlign w:val="center"/>
          </w:tcPr>
          <w:p w14:paraId="476A8D2B">
            <w:pPr>
              <w:jc w:val="left"/>
              <w:rPr>
                <w:rFonts w:ascii="Times New Roman" w:hAnsi="Times New Roman" w:eastAsia="仿宋_GB2312" w:cs="Times New Roman"/>
                <w:sz w:val="24"/>
                <w:highlight w:val="none"/>
                <w:lang w:bidi="ar"/>
              </w:rPr>
            </w:pPr>
            <w:r>
              <w:rPr>
                <w:rFonts w:hint="eastAsia" w:ascii="Times New Roman" w:hAnsi="Times New Roman" w:eastAsia="仿宋_GB2312" w:cs="Times New Roman"/>
                <w:sz w:val="24"/>
                <w:highlight w:val="none"/>
                <w:lang w:bidi="ar"/>
              </w:rPr>
              <w:t>中西医结合临床</w:t>
            </w:r>
          </w:p>
        </w:tc>
        <w:tc>
          <w:tcPr>
            <w:tcW w:w="1948" w:type="dxa"/>
            <w:tcBorders>
              <w:top w:val="single" w:color="auto" w:sz="4" w:space="0"/>
              <w:left w:val="single" w:color="auto" w:sz="4" w:space="0"/>
              <w:bottom w:val="single" w:color="auto" w:sz="4" w:space="0"/>
              <w:right w:val="single" w:color="auto" w:sz="4" w:space="0"/>
            </w:tcBorders>
            <w:vAlign w:val="center"/>
          </w:tcPr>
          <w:p w14:paraId="2BB5442F">
            <w:pPr>
              <w:jc w:val="left"/>
              <w:rPr>
                <w:rFonts w:ascii="Times New Roman" w:hAnsi="Times New Roman" w:eastAsia="仿宋_GB2312" w:cs="Times New Roman"/>
                <w:sz w:val="24"/>
                <w:highlight w:val="none"/>
                <w:lang w:bidi="ar"/>
              </w:rPr>
            </w:pPr>
            <w:r>
              <w:rPr>
                <w:rFonts w:hint="eastAsia" w:ascii="Times New Roman" w:hAnsi="Times New Roman" w:eastAsia="仿宋_GB2312" w:cs="Times New Roman"/>
                <w:sz w:val="24"/>
                <w:highlight w:val="none"/>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70911F88">
            <w:pPr>
              <w:jc w:val="center"/>
              <w:rPr>
                <w:rFonts w:ascii="仿宋_GB2312" w:hAnsi="仿宋_GB2312" w:eastAsia="仿宋_GB2312" w:cs="仿宋_GB2312"/>
                <w:sz w:val="24"/>
                <w:highlight w:val="none"/>
                <w:lang w:bidi="ar"/>
              </w:rPr>
            </w:pPr>
            <w:r>
              <w:rPr>
                <w:rFonts w:hint="eastAsia" w:ascii="仿宋_GB2312" w:hAnsi="仿宋_GB2312" w:eastAsia="仿宋_GB2312" w:cs="仿宋_GB2312"/>
                <w:sz w:val="24"/>
                <w:highlight w:val="none"/>
                <w:lang w:bidi="ar"/>
              </w:rPr>
              <w:t>参与标准文本及编制说明的编写；组织开展标准征求意见会；对标准实施情况进行总结分析，不断对地方标准提出修正意见</w:t>
            </w:r>
          </w:p>
        </w:tc>
      </w:tr>
      <w:tr w14:paraId="55A33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1D26750A">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俞渊</w:t>
            </w:r>
          </w:p>
        </w:tc>
        <w:tc>
          <w:tcPr>
            <w:tcW w:w="1177" w:type="dxa"/>
            <w:tcBorders>
              <w:top w:val="single" w:color="auto" w:sz="4" w:space="0"/>
              <w:left w:val="single" w:color="auto" w:sz="4" w:space="0"/>
              <w:bottom w:val="single" w:color="auto" w:sz="4" w:space="0"/>
              <w:right w:val="single" w:color="auto" w:sz="4" w:space="0"/>
            </w:tcBorders>
            <w:vAlign w:val="center"/>
          </w:tcPr>
          <w:p w14:paraId="2B2A3EFD">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主任医师</w:t>
            </w:r>
          </w:p>
        </w:tc>
        <w:tc>
          <w:tcPr>
            <w:tcW w:w="1127" w:type="dxa"/>
            <w:tcBorders>
              <w:top w:val="single" w:color="auto" w:sz="4" w:space="0"/>
              <w:left w:val="single" w:color="auto" w:sz="4" w:space="0"/>
              <w:bottom w:val="single" w:color="auto" w:sz="4" w:space="0"/>
              <w:right w:val="single" w:color="auto" w:sz="4" w:space="0"/>
            </w:tcBorders>
            <w:vAlign w:val="center"/>
          </w:tcPr>
          <w:p w14:paraId="6AAA703D">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中西医结合临床</w:t>
            </w:r>
          </w:p>
        </w:tc>
        <w:tc>
          <w:tcPr>
            <w:tcW w:w="1948" w:type="dxa"/>
            <w:tcBorders>
              <w:top w:val="single" w:color="auto" w:sz="4" w:space="0"/>
              <w:left w:val="single" w:color="auto" w:sz="4" w:space="0"/>
              <w:bottom w:val="single" w:color="auto" w:sz="4" w:space="0"/>
              <w:right w:val="single" w:color="auto" w:sz="4" w:space="0"/>
            </w:tcBorders>
            <w:vAlign w:val="center"/>
          </w:tcPr>
          <w:p w14:paraId="1CA6742A">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156AD116">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参与标准编制工作，组织人员进行标准发布后的宣贯培训</w:t>
            </w:r>
          </w:p>
        </w:tc>
      </w:tr>
      <w:tr w14:paraId="083EFB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402D85D8">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许斌</w:t>
            </w:r>
          </w:p>
        </w:tc>
        <w:tc>
          <w:tcPr>
            <w:tcW w:w="1177" w:type="dxa"/>
            <w:tcBorders>
              <w:top w:val="single" w:color="auto" w:sz="4" w:space="0"/>
              <w:left w:val="single" w:color="auto" w:sz="4" w:space="0"/>
              <w:bottom w:val="single" w:color="auto" w:sz="4" w:space="0"/>
              <w:right w:val="single" w:color="auto" w:sz="4" w:space="0"/>
            </w:tcBorders>
            <w:vAlign w:val="center"/>
          </w:tcPr>
          <w:p w14:paraId="1ECA0603">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主任医师</w:t>
            </w:r>
          </w:p>
        </w:tc>
        <w:tc>
          <w:tcPr>
            <w:tcW w:w="1127" w:type="dxa"/>
            <w:tcBorders>
              <w:top w:val="single" w:color="auto" w:sz="4" w:space="0"/>
              <w:left w:val="single" w:color="auto" w:sz="4" w:space="0"/>
              <w:bottom w:val="single" w:color="auto" w:sz="4" w:space="0"/>
              <w:right w:val="single" w:color="auto" w:sz="4" w:space="0"/>
            </w:tcBorders>
            <w:vAlign w:val="center"/>
          </w:tcPr>
          <w:p w14:paraId="25990AF9">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中西医结合临床</w:t>
            </w:r>
          </w:p>
        </w:tc>
        <w:tc>
          <w:tcPr>
            <w:tcW w:w="1948" w:type="dxa"/>
            <w:tcBorders>
              <w:top w:val="single" w:color="auto" w:sz="4" w:space="0"/>
              <w:left w:val="single" w:color="auto" w:sz="4" w:space="0"/>
              <w:bottom w:val="single" w:color="auto" w:sz="4" w:space="0"/>
              <w:right w:val="single" w:color="auto" w:sz="4" w:space="0"/>
            </w:tcBorders>
            <w:vAlign w:val="center"/>
          </w:tcPr>
          <w:p w14:paraId="2971528D">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482461B5">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参与标准文本及编制说明编写，质量控制</w:t>
            </w:r>
          </w:p>
        </w:tc>
      </w:tr>
      <w:tr w14:paraId="686E3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4047E583">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潘宁平</w:t>
            </w:r>
          </w:p>
        </w:tc>
        <w:tc>
          <w:tcPr>
            <w:tcW w:w="1177" w:type="dxa"/>
            <w:tcBorders>
              <w:top w:val="single" w:color="auto" w:sz="4" w:space="0"/>
              <w:left w:val="single" w:color="auto" w:sz="4" w:space="0"/>
              <w:bottom w:val="single" w:color="auto" w:sz="4" w:space="0"/>
              <w:right w:val="single" w:color="auto" w:sz="4" w:space="0"/>
            </w:tcBorders>
            <w:vAlign w:val="center"/>
          </w:tcPr>
          <w:p w14:paraId="5E791887">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副主任医师</w:t>
            </w:r>
          </w:p>
        </w:tc>
        <w:tc>
          <w:tcPr>
            <w:tcW w:w="1127" w:type="dxa"/>
            <w:tcBorders>
              <w:top w:val="single" w:color="auto" w:sz="4" w:space="0"/>
              <w:left w:val="single" w:color="auto" w:sz="4" w:space="0"/>
              <w:bottom w:val="single" w:color="auto" w:sz="4" w:space="0"/>
              <w:right w:val="single" w:color="auto" w:sz="4" w:space="0"/>
            </w:tcBorders>
            <w:vAlign w:val="center"/>
          </w:tcPr>
          <w:p w14:paraId="695E12DA">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1B07FCBF">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697D3C9A">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3C4F0C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647336C0">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李敏朋</w:t>
            </w:r>
          </w:p>
        </w:tc>
        <w:tc>
          <w:tcPr>
            <w:tcW w:w="1177" w:type="dxa"/>
            <w:tcBorders>
              <w:top w:val="single" w:color="auto" w:sz="4" w:space="0"/>
              <w:left w:val="single" w:color="auto" w:sz="4" w:space="0"/>
              <w:bottom w:val="single" w:color="auto" w:sz="4" w:space="0"/>
              <w:right w:val="single" w:color="auto" w:sz="4" w:space="0"/>
            </w:tcBorders>
            <w:vAlign w:val="center"/>
          </w:tcPr>
          <w:p w14:paraId="31FD4018">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主任医师</w:t>
            </w:r>
          </w:p>
        </w:tc>
        <w:tc>
          <w:tcPr>
            <w:tcW w:w="1127" w:type="dxa"/>
            <w:tcBorders>
              <w:top w:val="single" w:color="auto" w:sz="4" w:space="0"/>
              <w:left w:val="single" w:color="auto" w:sz="4" w:space="0"/>
              <w:bottom w:val="single" w:color="auto" w:sz="4" w:space="0"/>
              <w:right w:val="single" w:color="auto" w:sz="4" w:space="0"/>
            </w:tcBorders>
            <w:vAlign w:val="center"/>
          </w:tcPr>
          <w:p w14:paraId="74AD41B9">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普通外科</w:t>
            </w:r>
          </w:p>
        </w:tc>
        <w:tc>
          <w:tcPr>
            <w:tcW w:w="1948" w:type="dxa"/>
            <w:tcBorders>
              <w:top w:val="single" w:color="auto" w:sz="4" w:space="0"/>
              <w:left w:val="single" w:color="auto" w:sz="4" w:space="0"/>
              <w:bottom w:val="single" w:color="auto" w:sz="4" w:space="0"/>
              <w:right w:val="single" w:color="auto" w:sz="4" w:space="0"/>
            </w:tcBorders>
            <w:vAlign w:val="center"/>
          </w:tcPr>
          <w:p w14:paraId="610797C3">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22CCB32B">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6BE000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1A0AF5B4">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潘孟</w:t>
            </w:r>
          </w:p>
        </w:tc>
        <w:tc>
          <w:tcPr>
            <w:tcW w:w="1177" w:type="dxa"/>
            <w:tcBorders>
              <w:top w:val="single" w:color="auto" w:sz="4" w:space="0"/>
              <w:left w:val="single" w:color="auto" w:sz="4" w:space="0"/>
              <w:bottom w:val="single" w:color="auto" w:sz="4" w:space="0"/>
              <w:right w:val="single" w:color="auto" w:sz="4" w:space="0"/>
            </w:tcBorders>
            <w:vAlign w:val="center"/>
          </w:tcPr>
          <w:p w14:paraId="419100D1">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主任医师</w:t>
            </w:r>
          </w:p>
        </w:tc>
        <w:tc>
          <w:tcPr>
            <w:tcW w:w="1127" w:type="dxa"/>
            <w:tcBorders>
              <w:top w:val="single" w:color="auto" w:sz="4" w:space="0"/>
              <w:left w:val="single" w:color="auto" w:sz="4" w:space="0"/>
              <w:bottom w:val="single" w:color="auto" w:sz="4" w:space="0"/>
              <w:right w:val="single" w:color="auto" w:sz="4" w:space="0"/>
            </w:tcBorders>
            <w:vAlign w:val="center"/>
          </w:tcPr>
          <w:p w14:paraId="538DD2F0">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普通外科</w:t>
            </w:r>
          </w:p>
        </w:tc>
        <w:tc>
          <w:tcPr>
            <w:tcW w:w="1948" w:type="dxa"/>
            <w:tcBorders>
              <w:top w:val="single" w:color="auto" w:sz="4" w:space="0"/>
              <w:left w:val="single" w:color="auto" w:sz="4" w:space="0"/>
              <w:bottom w:val="single" w:color="auto" w:sz="4" w:space="0"/>
              <w:right w:val="single" w:color="auto" w:sz="4" w:space="0"/>
            </w:tcBorders>
            <w:vAlign w:val="center"/>
          </w:tcPr>
          <w:p w14:paraId="04689367">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43AFEFB9">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52FCC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23D92936">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劳永彩</w:t>
            </w:r>
          </w:p>
        </w:tc>
        <w:tc>
          <w:tcPr>
            <w:tcW w:w="1177" w:type="dxa"/>
            <w:tcBorders>
              <w:top w:val="single" w:color="auto" w:sz="4" w:space="0"/>
              <w:left w:val="single" w:color="auto" w:sz="4" w:space="0"/>
              <w:bottom w:val="single" w:color="auto" w:sz="4" w:space="0"/>
              <w:right w:val="single" w:color="auto" w:sz="4" w:space="0"/>
            </w:tcBorders>
            <w:vAlign w:val="center"/>
          </w:tcPr>
          <w:p w14:paraId="638928A9">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无</w:t>
            </w:r>
          </w:p>
        </w:tc>
        <w:tc>
          <w:tcPr>
            <w:tcW w:w="1127" w:type="dxa"/>
            <w:tcBorders>
              <w:top w:val="single" w:color="auto" w:sz="4" w:space="0"/>
              <w:left w:val="single" w:color="auto" w:sz="4" w:space="0"/>
              <w:bottom w:val="single" w:color="auto" w:sz="4" w:space="0"/>
              <w:right w:val="single" w:color="auto" w:sz="4" w:space="0"/>
            </w:tcBorders>
            <w:vAlign w:val="center"/>
          </w:tcPr>
          <w:p w14:paraId="72849529">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5C887B58">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1403DE34">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10669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4255C52E">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胡嗣钦</w:t>
            </w:r>
          </w:p>
        </w:tc>
        <w:tc>
          <w:tcPr>
            <w:tcW w:w="1177" w:type="dxa"/>
            <w:tcBorders>
              <w:top w:val="single" w:color="auto" w:sz="4" w:space="0"/>
              <w:left w:val="single" w:color="auto" w:sz="4" w:space="0"/>
              <w:bottom w:val="single" w:color="auto" w:sz="4" w:space="0"/>
              <w:right w:val="single" w:color="auto" w:sz="4" w:space="0"/>
            </w:tcBorders>
            <w:vAlign w:val="center"/>
          </w:tcPr>
          <w:p w14:paraId="62F6A78B">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主任医师</w:t>
            </w:r>
          </w:p>
        </w:tc>
        <w:tc>
          <w:tcPr>
            <w:tcW w:w="1127" w:type="dxa"/>
            <w:tcBorders>
              <w:top w:val="single" w:color="auto" w:sz="4" w:space="0"/>
              <w:left w:val="single" w:color="auto" w:sz="4" w:space="0"/>
              <w:bottom w:val="single" w:color="auto" w:sz="4" w:space="0"/>
              <w:right w:val="single" w:color="auto" w:sz="4" w:space="0"/>
            </w:tcBorders>
            <w:vAlign w:val="center"/>
          </w:tcPr>
          <w:p w14:paraId="69EFCADB">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22DAECB8">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33203214">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28EE5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6D145C71">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吕建林</w:t>
            </w:r>
          </w:p>
        </w:tc>
        <w:tc>
          <w:tcPr>
            <w:tcW w:w="1177" w:type="dxa"/>
            <w:tcBorders>
              <w:top w:val="single" w:color="auto" w:sz="4" w:space="0"/>
              <w:left w:val="single" w:color="auto" w:sz="4" w:space="0"/>
              <w:bottom w:val="single" w:color="auto" w:sz="4" w:space="0"/>
              <w:right w:val="single" w:color="auto" w:sz="4" w:space="0"/>
            </w:tcBorders>
            <w:vAlign w:val="center"/>
          </w:tcPr>
          <w:p w14:paraId="51C851AA">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主任医师</w:t>
            </w:r>
          </w:p>
        </w:tc>
        <w:tc>
          <w:tcPr>
            <w:tcW w:w="1127" w:type="dxa"/>
            <w:tcBorders>
              <w:top w:val="single" w:color="auto" w:sz="4" w:space="0"/>
              <w:left w:val="single" w:color="auto" w:sz="4" w:space="0"/>
              <w:bottom w:val="single" w:color="auto" w:sz="4" w:space="0"/>
              <w:right w:val="single" w:color="auto" w:sz="4" w:space="0"/>
            </w:tcBorders>
            <w:vAlign w:val="center"/>
          </w:tcPr>
          <w:p w14:paraId="3FCC3189">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中医肝病学</w:t>
            </w:r>
          </w:p>
        </w:tc>
        <w:tc>
          <w:tcPr>
            <w:tcW w:w="1948" w:type="dxa"/>
            <w:tcBorders>
              <w:top w:val="single" w:color="auto" w:sz="4" w:space="0"/>
              <w:left w:val="single" w:color="auto" w:sz="4" w:space="0"/>
              <w:bottom w:val="single" w:color="auto" w:sz="4" w:space="0"/>
              <w:right w:val="single" w:color="auto" w:sz="4" w:space="0"/>
            </w:tcBorders>
            <w:vAlign w:val="center"/>
          </w:tcPr>
          <w:p w14:paraId="3F8530F7">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7EB14F03">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2E50A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39130777">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蒙健林</w:t>
            </w:r>
          </w:p>
        </w:tc>
        <w:tc>
          <w:tcPr>
            <w:tcW w:w="1177" w:type="dxa"/>
            <w:tcBorders>
              <w:top w:val="single" w:color="auto" w:sz="4" w:space="0"/>
              <w:left w:val="single" w:color="auto" w:sz="4" w:space="0"/>
              <w:bottom w:val="single" w:color="auto" w:sz="4" w:space="0"/>
              <w:right w:val="single" w:color="auto" w:sz="4" w:space="0"/>
            </w:tcBorders>
            <w:vAlign w:val="center"/>
          </w:tcPr>
          <w:p w14:paraId="0E58E5B6">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助理编辑</w:t>
            </w:r>
          </w:p>
        </w:tc>
        <w:tc>
          <w:tcPr>
            <w:tcW w:w="1127" w:type="dxa"/>
            <w:tcBorders>
              <w:top w:val="single" w:color="auto" w:sz="4" w:space="0"/>
              <w:left w:val="single" w:color="auto" w:sz="4" w:space="0"/>
              <w:bottom w:val="single" w:color="auto" w:sz="4" w:space="0"/>
              <w:right w:val="single" w:color="auto" w:sz="4" w:space="0"/>
            </w:tcBorders>
            <w:vAlign w:val="center"/>
          </w:tcPr>
          <w:p w14:paraId="57742994">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中西医结合临床</w:t>
            </w:r>
          </w:p>
        </w:tc>
        <w:tc>
          <w:tcPr>
            <w:tcW w:w="1948" w:type="dxa"/>
            <w:tcBorders>
              <w:top w:val="single" w:color="auto" w:sz="4" w:space="0"/>
              <w:left w:val="single" w:color="auto" w:sz="4" w:space="0"/>
              <w:bottom w:val="single" w:color="auto" w:sz="4" w:space="0"/>
              <w:right w:val="single" w:color="auto" w:sz="4" w:space="0"/>
            </w:tcBorders>
            <w:vAlign w:val="center"/>
          </w:tcPr>
          <w:p w14:paraId="6406E972">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18645A8E">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537E2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057585B2">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居燕飞</w:t>
            </w:r>
          </w:p>
        </w:tc>
        <w:tc>
          <w:tcPr>
            <w:tcW w:w="1177" w:type="dxa"/>
            <w:tcBorders>
              <w:top w:val="single" w:color="auto" w:sz="4" w:space="0"/>
              <w:left w:val="single" w:color="auto" w:sz="4" w:space="0"/>
              <w:bottom w:val="single" w:color="auto" w:sz="4" w:space="0"/>
              <w:right w:val="single" w:color="auto" w:sz="4" w:space="0"/>
            </w:tcBorders>
            <w:vAlign w:val="center"/>
          </w:tcPr>
          <w:p w14:paraId="5E4391D4">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无</w:t>
            </w:r>
          </w:p>
        </w:tc>
        <w:tc>
          <w:tcPr>
            <w:tcW w:w="1127" w:type="dxa"/>
            <w:tcBorders>
              <w:top w:val="single" w:color="auto" w:sz="4" w:space="0"/>
              <w:left w:val="single" w:color="auto" w:sz="4" w:space="0"/>
              <w:bottom w:val="single" w:color="auto" w:sz="4" w:space="0"/>
              <w:right w:val="single" w:color="auto" w:sz="4" w:space="0"/>
            </w:tcBorders>
            <w:vAlign w:val="center"/>
          </w:tcPr>
          <w:p w14:paraId="350D16BF">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10BB100A">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5E556E3E">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200A0A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2C4CE713">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林龙</w:t>
            </w:r>
          </w:p>
        </w:tc>
        <w:tc>
          <w:tcPr>
            <w:tcW w:w="1177" w:type="dxa"/>
            <w:tcBorders>
              <w:top w:val="single" w:color="auto" w:sz="4" w:space="0"/>
              <w:left w:val="single" w:color="auto" w:sz="4" w:space="0"/>
              <w:bottom w:val="single" w:color="auto" w:sz="4" w:space="0"/>
              <w:right w:val="single" w:color="auto" w:sz="4" w:space="0"/>
            </w:tcBorders>
            <w:vAlign w:val="center"/>
          </w:tcPr>
          <w:p w14:paraId="07BDDC0C">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无</w:t>
            </w:r>
          </w:p>
        </w:tc>
        <w:tc>
          <w:tcPr>
            <w:tcW w:w="1127" w:type="dxa"/>
            <w:tcBorders>
              <w:top w:val="single" w:color="auto" w:sz="4" w:space="0"/>
              <w:left w:val="single" w:color="auto" w:sz="4" w:space="0"/>
              <w:bottom w:val="single" w:color="auto" w:sz="4" w:space="0"/>
              <w:right w:val="single" w:color="auto" w:sz="4" w:space="0"/>
            </w:tcBorders>
            <w:vAlign w:val="center"/>
          </w:tcPr>
          <w:p w14:paraId="17E7F3E6">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783A2E25">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7FB62358">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56A77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200CEC0A">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黄文娟</w:t>
            </w:r>
          </w:p>
        </w:tc>
        <w:tc>
          <w:tcPr>
            <w:tcW w:w="1177" w:type="dxa"/>
            <w:tcBorders>
              <w:top w:val="single" w:color="auto" w:sz="4" w:space="0"/>
              <w:left w:val="single" w:color="auto" w:sz="4" w:space="0"/>
              <w:bottom w:val="single" w:color="auto" w:sz="4" w:space="0"/>
              <w:right w:val="single" w:color="auto" w:sz="4" w:space="0"/>
            </w:tcBorders>
            <w:vAlign w:val="center"/>
          </w:tcPr>
          <w:p w14:paraId="18055037">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无</w:t>
            </w:r>
          </w:p>
        </w:tc>
        <w:tc>
          <w:tcPr>
            <w:tcW w:w="1127" w:type="dxa"/>
            <w:tcBorders>
              <w:top w:val="single" w:color="auto" w:sz="4" w:space="0"/>
              <w:left w:val="single" w:color="auto" w:sz="4" w:space="0"/>
              <w:bottom w:val="single" w:color="auto" w:sz="4" w:space="0"/>
              <w:right w:val="single" w:color="auto" w:sz="4" w:space="0"/>
            </w:tcBorders>
            <w:vAlign w:val="center"/>
          </w:tcPr>
          <w:p w14:paraId="3602E4C0">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3A5B2ACA">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717A1B19">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0B31D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12CC7222">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于亚涛</w:t>
            </w:r>
          </w:p>
        </w:tc>
        <w:tc>
          <w:tcPr>
            <w:tcW w:w="1177" w:type="dxa"/>
            <w:tcBorders>
              <w:top w:val="single" w:color="auto" w:sz="4" w:space="0"/>
              <w:left w:val="single" w:color="auto" w:sz="4" w:space="0"/>
              <w:bottom w:val="single" w:color="auto" w:sz="4" w:space="0"/>
              <w:right w:val="single" w:color="auto" w:sz="4" w:space="0"/>
            </w:tcBorders>
            <w:vAlign w:val="center"/>
          </w:tcPr>
          <w:p w14:paraId="3A746184">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无</w:t>
            </w:r>
          </w:p>
        </w:tc>
        <w:tc>
          <w:tcPr>
            <w:tcW w:w="1127" w:type="dxa"/>
            <w:tcBorders>
              <w:top w:val="single" w:color="auto" w:sz="4" w:space="0"/>
              <w:left w:val="single" w:color="auto" w:sz="4" w:space="0"/>
              <w:bottom w:val="single" w:color="auto" w:sz="4" w:space="0"/>
              <w:right w:val="single" w:color="auto" w:sz="4" w:space="0"/>
            </w:tcBorders>
            <w:vAlign w:val="center"/>
          </w:tcPr>
          <w:p w14:paraId="19D8AEF3">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76D13C37">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51062274">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r w14:paraId="6DBA0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58" w:type="dxa"/>
            <w:tcBorders>
              <w:top w:val="single" w:color="auto" w:sz="4" w:space="0"/>
              <w:left w:val="single" w:color="auto" w:sz="4" w:space="0"/>
              <w:bottom w:val="single" w:color="auto" w:sz="4" w:space="0"/>
              <w:right w:val="single" w:color="auto" w:sz="4" w:space="0"/>
            </w:tcBorders>
            <w:vAlign w:val="center"/>
          </w:tcPr>
          <w:p w14:paraId="2AC8F414">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王猛</w:t>
            </w:r>
          </w:p>
        </w:tc>
        <w:tc>
          <w:tcPr>
            <w:tcW w:w="1177" w:type="dxa"/>
            <w:tcBorders>
              <w:top w:val="single" w:color="auto" w:sz="4" w:space="0"/>
              <w:left w:val="single" w:color="auto" w:sz="4" w:space="0"/>
              <w:bottom w:val="single" w:color="auto" w:sz="4" w:space="0"/>
              <w:right w:val="single" w:color="auto" w:sz="4" w:space="0"/>
            </w:tcBorders>
            <w:vAlign w:val="center"/>
          </w:tcPr>
          <w:p w14:paraId="4D51899B">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无</w:t>
            </w:r>
          </w:p>
        </w:tc>
        <w:tc>
          <w:tcPr>
            <w:tcW w:w="1127" w:type="dxa"/>
            <w:tcBorders>
              <w:top w:val="single" w:color="auto" w:sz="4" w:space="0"/>
              <w:left w:val="single" w:color="auto" w:sz="4" w:space="0"/>
              <w:bottom w:val="single" w:color="auto" w:sz="4" w:space="0"/>
              <w:right w:val="single" w:color="auto" w:sz="4" w:space="0"/>
            </w:tcBorders>
            <w:vAlign w:val="center"/>
          </w:tcPr>
          <w:p w14:paraId="35A03CD2">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中医外科</w:t>
            </w:r>
          </w:p>
        </w:tc>
        <w:tc>
          <w:tcPr>
            <w:tcW w:w="1948" w:type="dxa"/>
            <w:tcBorders>
              <w:top w:val="single" w:color="auto" w:sz="4" w:space="0"/>
              <w:left w:val="single" w:color="auto" w:sz="4" w:space="0"/>
              <w:bottom w:val="single" w:color="auto" w:sz="4" w:space="0"/>
              <w:right w:val="single" w:color="auto" w:sz="4" w:space="0"/>
            </w:tcBorders>
            <w:vAlign w:val="center"/>
          </w:tcPr>
          <w:p w14:paraId="7CA10C2A">
            <w:pPr>
              <w:jc w:val="left"/>
              <w:rPr>
                <w:rFonts w:ascii="仿宋_GB2312" w:hAnsi="仿宋" w:eastAsia="仿宋_GB2312" w:cs="仿宋"/>
                <w:color w:val="000000"/>
                <w:sz w:val="24"/>
              </w:rPr>
            </w:pPr>
            <w:r>
              <w:rPr>
                <w:rFonts w:hint="eastAsia" w:ascii="Times New Roman" w:hAnsi="Times New Roman" w:eastAsia="仿宋_GB2312" w:cs="Times New Roman"/>
                <w:sz w:val="24"/>
                <w:lang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tcPr>
          <w:p w14:paraId="0F5682D7">
            <w:pPr>
              <w:rPr>
                <w:rFonts w:cs="Times New Roman"/>
              </w:rPr>
            </w:pPr>
            <w:r>
              <w:rPr>
                <w:rFonts w:hint="eastAsia" w:ascii="仿宋_GB2312" w:hAnsi="仿宋_GB2312" w:eastAsia="仿宋_GB2312" w:cs="仿宋_GB2312"/>
                <w:sz w:val="24"/>
                <w:lang w:bidi="ar"/>
              </w:rPr>
              <w:t>参与标准文本及编制说明的编写；组织开展标准征求意见会；对标准实施情况进行总结分析，不断对地方标准提出修正意见</w:t>
            </w:r>
          </w:p>
        </w:tc>
      </w:tr>
    </w:tbl>
    <w:p w14:paraId="1A842D5F">
      <w:pPr>
        <w:spacing w:line="520" w:lineRule="exact"/>
        <w:ind w:firstLine="640" w:firstLineChars="200"/>
        <w:rPr>
          <w:rFonts w:ascii="黑体" w:eastAsia="黑体" w:cs="仿宋_GB2312"/>
          <w:sz w:val="32"/>
          <w:szCs w:val="32"/>
        </w:rPr>
      </w:pPr>
      <w:r>
        <w:rPr>
          <w:rFonts w:hint="eastAsia" w:ascii="黑体" w:eastAsia="黑体" w:cs="仿宋_GB2312"/>
          <w:sz w:val="32"/>
          <w:szCs w:val="32"/>
        </w:rPr>
        <w:t>二、制定标准的必要性和意义</w:t>
      </w:r>
    </w:p>
    <w:p w14:paraId="4BB865EF">
      <w:pPr>
        <w:spacing w:line="520" w:lineRule="exact"/>
        <w:ind w:firstLine="560" w:firstLineChars="200"/>
        <w:rPr>
          <w:rFonts w:ascii="仿宋_GB2312" w:eastAsia="仿宋_GB2312"/>
          <w:sz w:val="28"/>
          <w:szCs w:val="28"/>
        </w:rPr>
      </w:pPr>
      <w:r>
        <w:rPr>
          <w:rFonts w:hint="eastAsia" w:ascii="仿宋_GB2312" w:eastAsia="仿宋_GB2312"/>
          <w:sz w:val="28"/>
          <w:szCs w:val="28"/>
        </w:rPr>
        <w:t>胆石症是临床上常见的消化系统疾病。其临床症状表现取决于胆结石的部位、是否造成胆道梗阻和感染等因素。其中医病因多为肝胆、脾胃功能失常。现代医学认为其发病机制可能与细菌感染、胆汁淤积、饮食习惯等有关。流行病学调查显示，本病在成年人中的发病率为10%～15%，女性明显多于男性，男女比例约为1:2.5，好发于40～60岁人群，随着人口的老龄化、饮食结构的改变，其发病率还在逐年上升。按结石发生的部位不同，可分为胆囊结石、肝外胆管结石和肝内胆管结石。胆囊结石最常见的并发症是严重程度不同的急性胆囊炎，慢性结石性胆囊炎也是胆囊结石常见并发症。胆总管结石的常见并发症为不同程度的胆管炎和胆管的细菌感染。更进一步有急性胰腺炎、肝脓肿、胆管炎、上行性肝炎、门静脉炎、Mirizzi综合征、胆管癌和胆囊癌等并发症。</w:t>
      </w:r>
    </w:p>
    <w:p w14:paraId="5B54AF1B">
      <w:pPr>
        <w:spacing w:line="520" w:lineRule="exact"/>
        <w:ind w:firstLine="560" w:firstLineChars="200"/>
        <w:rPr>
          <w:rFonts w:ascii="仿宋_GB2312" w:eastAsia="仿宋_GB2312"/>
          <w:sz w:val="28"/>
          <w:szCs w:val="28"/>
        </w:rPr>
      </w:pPr>
      <w:r>
        <w:rPr>
          <w:rFonts w:hint="eastAsia" w:ascii="仿宋_GB2312" w:eastAsia="仿宋_GB2312"/>
          <w:sz w:val="28"/>
          <w:szCs w:val="28"/>
        </w:rPr>
        <w:t>目前现代医学主要采用腹腔镜下探查取石术为主流治疗术式。此种术式手术创口小，对胆道系统的损伤小。然而腹腔镜下保胆取石术也面临着残石和结石复发的问题。其术后常通过口服熊去氧胆酸等利胆排石药物预防结石形成，但其价格昂贵，副作用多，且仅能促进胆道蠕动排石，并非从病因上预防结石发生。常用抗生素，例如对氨苄西林、第一、二代头孢菌素类、喹诺酮类、庆大霉素等耐药率较高，未能从根本上缓解胆囊和胆管炎症等使结石产生的关键病理因素。</w:t>
      </w:r>
    </w:p>
    <w:p w14:paraId="0BAD4C24">
      <w:pPr>
        <w:spacing w:line="520" w:lineRule="exact"/>
        <w:ind w:firstLine="560" w:firstLineChars="200"/>
        <w:rPr>
          <w:rFonts w:ascii="仿宋_GB2312" w:eastAsia="仿宋_GB2312"/>
          <w:sz w:val="28"/>
          <w:szCs w:val="28"/>
        </w:rPr>
      </w:pPr>
      <w:r>
        <w:rPr>
          <w:rFonts w:hint="eastAsia" w:ascii="仿宋_GB2312" w:eastAsia="仿宋_GB2312"/>
          <w:sz w:val="28"/>
          <w:szCs w:val="28"/>
        </w:rPr>
        <w:t>在中国，胆石症的发病率仍较高，广西位于中国西南方，属“丙火”之地，气候炎热，雨水丰沛，湿热交争。长期处于湿热之邪气中，使得广西地域人群的胆石症发病率有增无减，这无疑是建设“健康中国”道路上的一道阻碍，影响着广西地区人民的生命健康。现代医学治疗胆石症主要采用手术方式取出结石，手术后的康复和残留的结石则是手术治疗胆石症后要面临的第一道难题。从长期来看，行胆囊切除手术带来的腹泻、右侧结肠癌等远期并发症也不容忽视。为了守护广西地区人民生命健康，解决胆石症的术后康复及结石复发问题，拟制定广西胆石症术后康复及预防结石复发的中医药干预技术规范。这也将成为建设“健康中国”工作的重要组成部分。</w:t>
      </w:r>
    </w:p>
    <w:p w14:paraId="24F9FBAF">
      <w:pPr>
        <w:spacing w:line="520" w:lineRule="exact"/>
        <w:ind w:firstLine="560" w:firstLineChars="200"/>
        <w:rPr>
          <w:rFonts w:ascii="仿宋_GB2312" w:eastAsia="仿宋_GB2312"/>
          <w:sz w:val="28"/>
          <w:szCs w:val="28"/>
        </w:rPr>
      </w:pPr>
      <w:r>
        <w:rPr>
          <w:rFonts w:hint="eastAsia" w:ascii="仿宋_GB2312" w:eastAsia="仿宋_GB2312"/>
          <w:sz w:val="28"/>
          <w:szCs w:val="28"/>
        </w:rPr>
        <w:t>现代中医对胆石症的认识较为深刻，认为胆石症多为情志不遂、劳伤过度、外感湿热、饮食不节所致，并将其分为肝气郁滞、肝胆湿热、血瘀阻滞、肝阴不足、热毒炽盛等证型。中医药在辨证论治的基础上，运用疏肝理气、清肝利胆、活血化瘀、滋阴补肝，清热解毒等治法治疗胆石症，对增强胆囊收缩能力，减小胆囊壁厚度，减轻胆管损伤，抑制胆管炎症，阻止胆管病理化重塑启动胆管纤维化进程，避免胆道表面不平整和胆管狭窄，改善胆汁的流动状态，治疗术后并发症，预防结石复发，疗效显著。与现代医学相比在诊疗上更具灵活和个性化，对于胆石症等病因复杂的疾病有更全面、多样的治疗方法。由此可见中医药对于胆石症治疗具有独特性和有效性，故对于术后胆石症的中医药干预必不可少。但目前对于胆石症术后的中医证治分型，辨证施治等方面尚缺乏一套标准。此外，具有中医治未病特色的饮食调摄、情志调养、起居调控等多方面综合治疗在胆石症术后康复及预防结石复发上尚未被大规模运用。致使胆石症术后的康复及预防治疗整体上缺乏中医参与，中医药的优势未能在治疗胆石症上体现。</w:t>
      </w:r>
    </w:p>
    <w:p w14:paraId="6B8A3DA4">
      <w:pPr>
        <w:spacing w:line="520" w:lineRule="exact"/>
        <w:ind w:firstLine="560" w:firstLineChars="200"/>
        <w:rPr>
          <w:rFonts w:ascii="仿宋_GB2312" w:eastAsia="仿宋_GB2312"/>
          <w:sz w:val="28"/>
          <w:szCs w:val="28"/>
        </w:rPr>
      </w:pPr>
      <w:r>
        <w:rPr>
          <w:rFonts w:hint="eastAsia" w:ascii="仿宋_GB2312" w:eastAsia="仿宋_GB2312"/>
          <w:sz w:val="28"/>
          <w:szCs w:val="28"/>
        </w:rPr>
        <w:t>中医在疾病的预防保健方面的认识较现代医学深刻。其方法是基于中医经典理论，通过中医辨证，将疾病分型，运用中药汤剂，中医外治，饮食指导，居住环境选择，情志调摄，功法保健等中医治未病方法对疾病进行全阶段，全方面，多样化的治疗，以期达到快速康复和预防疾病的效果。中医干预虽然对促进胆石症术后康复，预防结石复发有确切的疗效，但目前仍缺少一套标准来规范胆石症术后的治疗。导致胆石症术后病人缺少中医干预，增加了其残石剩余和结石复发的几率。</w:t>
      </w:r>
    </w:p>
    <w:p w14:paraId="2E05DAC6">
      <w:pPr>
        <w:spacing w:line="520" w:lineRule="exact"/>
        <w:ind w:firstLine="560" w:firstLineChars="200"/>
        <w:rPr>
          <w:rFonts w:hint="eastAsia" w:ascii="仿宋_GB2312" w:eastAsiaTheme="minorEastAsia"/>
          <w:sz w:val="28"/>
          <w:szCs w:val="28"/>
        </w:rPr>
      </w:pPr>
      <w:r>
        <w:rPr>
          <w:rFonts w:hint="eastAsia" w:ascii="仿宋_GB2312" w:eastAsia="仿宋_GB2312"/>
          <w:sz w:val="28"/>
          <w:szCs w:val="28"/>
        </w:rPr>
        <w:t>通过制定</w:t>
      </w:r>
      <w:r>
        <w:rPr>
          <w:rFonts w:hint="eastAsia" w:ascii="仿宋_GB2312" w:eastAsia="仿宋_GB2312"/>
          <w:sz w:val="28"/>
          <w:szCs w:val="28"/>
          <w:lang w:eastAsia="zh-CN"/>
        </w:rPr>
        <w:t>团体标准</w:t>
      </w:r>
      <w:r>
        <w:rPr>
          <w:rFonts w:hint="eastAsia" w:ascii="仿宋_GB2312" w:eastAsia="仿宋_GB2312"/>
          <w:sz w:val="28"/>
          <w:szCs w:val="28"/>
        </w:rPr>
        <w:t>《胆石症术后康复及预防结石复发中医药干预技术规范》，统一规定胆石症术后康复及预防结石复发中医药干预的</w:t>
      </w:r>
      <w:r>
        <w:rPr>
          <w:rFonts w:hint="eastAsia" w:ascii="仿宋_GB2312" w:hAnsi="Times New Roman" w:eastAsia="仿宋_GB2312" w:cs="Times New Roman"/>
          <w:sz w:val="28"/>
          <w:szCs w:val="28"/>
        </w:rPr>
        <w:t>中医诊断分型、治疗、康复预防、中医外治疗法等要求</w:t>
      </w:r>
      <w:r>
        <w:rPr>
          <w:rFonts w:hint="eastAsia" w:ascii="仿宋_GB2312" w:eastAsia="仿宋_GB2312"/>
          <w:sz w:val="28"/>
          <w:szCs w:val="28"/>
        </w:rPr>
        <w:t>，可以填补广西胆石症术后康复及预防结石复发中医药干预技术标准的空白，对推广胆石症术后康复及预防结石复发技术，保障胆石症患者康复和预防复发效果，促进广西中医药特色产业高质量发展具有重要意义。</w:t>
      </w:r>
    </w:p>
    <w:p w14:paraId="411D149C">
      <w:pPr>
        <w:autoSpaceDE w:val="0"/>
        <w:autoSpaceDN w:val="0"/>
        <w:adjustRightInd w:val="0"/>
        <w:spacing w:line="520" w:lineRule="exact"/>
        <w:ind w:firstLine="640" w:firstLineChars="200"/>
        <w:jc w:val="left"/>
        <w:rPr>
          <w:rFonts w:ascii="黑体" w:eastAsia="黑体" w:cs="仿宋_GB2312"/>
          <w:sz w:val="32"/>
          <w:szCs w:val="32"/>
        </w:rPr>
      </w:pPr>
      <w:r>
        <w:rPr>
          <w:rFonts w:hint="eastAsia" w:ascii="黑体" w:eastAsia="黑体" w:cs="仿宋_GB2312"/>
          <w:sz w:val="32"/>
          <w:szCs w:val="32"/>
        </w:rPr>
        <w:t>三、主要起草过程</w:t>
      </w:r>
    </w:p>
    <w:p w14:paraId="05BBE122">
      <w:pPr>
        <w:spacing w:line="520" w:lineRule="exact"/>
        <w:ind w:firstLine="562" w:firstLineChars="200"/>
        <w:rPr>
          <w:rFonts w:ascii="仿宋_GB2312" w:eastAsia="仿宋_GB2312"/>
          <w:sz w:val="28"/>
          <w:szCs w:val="28"/>
        </w:rPr>
      </w:pPr>
      <w:r>
        <w:rPr>
          <w:rFonts w:hint="eastAsia" w:ascii="仿宋_GB2312" w:eastAsia="仿宋_GB2312" w:cs="仿宋_GB2312"/>
          <w:b/>
          <w:sz w:val="28"/>
          <w:szCs w:val="28"/>
        </w:rPr>
        <w:t>（一）成立标准编制工作组</w:t>
      </w:r>
    </w:p>
    <w:p w14:paraId="2B08BFAE">
      <w:pPr>
        <w:spacing w:line="520" w:lineRule="exact"/>
        <w:ind w:firstLine="560" w:firstLineChars="200"/>
        <w:jc w:val="left"/>
        <w:rPr>
          <w:rFonts w:ascii="仿宋_GB2312" w:eastAsia="仿宋_GB2312"/>
          <w:sz w:val="28"/>
          <w:szCs w:val="28"/>
        </w:rPr>
      </w:pPr>
      <w:r>
        <w:rPr>
          <w:rFonts w:hint="eastAsia" w:ascii="仿宋_GB2312" w:eastAsia="仿宋_GB2312"/>
          <w:sz w:val="28"/>
          <w:szCs w:val="28"/>
          <w:lang w:eastAsia="zh-CN"/>
        </w:rPr>
        <w:t>团体标准</w:t>
      </w:r>
      <w:r>
        <w:rPr>
          <w:rFonts w:hint="eastAsia" w:ascii="仿宋_GB2312" w:eastAsia="仿宋_GB2312"/>
          <w:sz w:val="28"/>
          <w:szCs w:val="28"/>
        </w:rPr>
        <w:t>《胆石症术后康复及预防结石复发中医药干预技术规范》项目任务下达后，广西中医药大学第一附属医院成立了标准编制工作组，制定了起草编写方案与进度安排，明确任务职责，确定工作技术路线，开展标准研制工作。具体标准编制工作由起草单位相关人员配合完成。</w:t>
      </w:r>
    </w:p>
    <w:p w14:paraId="2BF83320">
      <w:pPr>
        <w:spacing w:line="520" w:lineRule="exact"/>
        <w:ind w:firstLine="560" w:firstLineChars="200"/>
        <w:rPr>
          <w:rFonts w:ascii="仿宋_GB2312" w:eastAsia="仿宋_GB2312" w:cs="仿宋_GB2312"/>
          <w:sz w:val="28"/>
          <w:szCs w:val="28"/>
        </w:rPr>
      </w:pPr>
      <w:r>
        <w:rPr>
          <w:rFonts w:hint="eastAsia" w:ascii="仿宋_GB2312" w:eastAsia="仿宋_GB2312"/>
          <w:sz w:val="28"/>
          <w:szCs w:val="28"/>
        </w:rPr>
        <w:t>为了明确标准编制的任务职责，确定工作技术路线，开展标准研制工作。标准编制工作组下设二个组，分别是资料收集组、草案编写组。资料收集组负责国内外有关胆石症术后康复及预防结石复发中医药干预方面的文献资料的查询、收集和整理工作，查阅前期对胆石症术后康复及预防结石复发中医药干预方面的有关研究情况和目前科学界胆石症术后康复及预防结石复发的研究进展；草案编写组负责起草标准草案及后续征求意见稿和标准编制说明、送审稿及编制说明等编写工作，包括后期召开征求意见会、网上征求意见，以及标准的不断修改和完善。</w:t>
      </w:r>
    </w:p>
    <w:p w14:paraId="7EB34466">
      <w:pPr>
        <w:spacing w:line="52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（二）收集整理文献资料</w:t>
      </w:r>
    </w:p>
    <w:p w14:paraId="14B3D7F8">
      <w:pPr>
        <w:spacing w:line="520" w:lineRule="exact"/>
        <w:ind w:firstLine="560" w:firstLineChars="200"/>
        <w:rPr>
          <w:rFonts w:ascii="仿宋_GB2312" w:eastAsia="仿宋_GB2312"/>
          <w:sz w:val="28"/>
          <w:szCs w:val="28"/>
        </w:rPr>
      </w:pPr>
      <w:r>
        <w:rPr>
          <w:rFonts w:hint="eastAsia" w:ascii="仿宋_GB2312" w:eastAsia="仿宋_GB2312"/>
          <w:sz w:val="28"/>
          <w:szCs w:val="28"/>
        </w:rPr>
        <w:t>标准编制工作组收集了国内有关胆石症术后康复及预防结石复发中医药干预的相关文献资料。主要有：</w:t>
      </w:r>
    </w:p>
    <w:p w14:paraId="27829B13">
      <w:pPr>
        <w:spacing w:line="52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GB/T 16751.1  中医临床诊疗术语  第1部分：疾病</w:t>
      </w:r>
    </w:p>
    <w:p w14:paraId="3D747BED">
      <w:pPr>
        <w:spacing w:line="52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GB/T 16751.2  中医临床诊疗术语  第2部分：证候</w:t>
      </w:r>
    </w:p>
    <w:p w14:paraId="672D4152">
      <w:pPr>
        <w:spacing w:line="52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GB/T 16751.3  中医临床诊疗术语  第3部分：治法</w:t>
      </w:r>
    </w:p>
    <w:p w14:paraId="396B1CE1">
      <w:pPr>
        <w:spacing w:line="52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GB/T 21709.1  针灸技术操作规范  第1部分：艾灸</w:t>
      </w:r>
    </w:p>
    <w:p w14:paraId="673478BC">
      <w:pPr>
        <w:spacing w:line="52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GB/T 21709.3  针灸技术操作规范  第3部分：耳针</w:t>
      </w:r>
    </w:p>
    <w:p w14:paraId="5012E295">
      <w:pPr>
        <w:spacing w:line="52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GB/T 21709.9  针灸技术操作规范  第9部分：穴位贴敷</w:t>
      </w:r>
    </w:p>
    <w:p w14:paraId="712A91CD">
      <w:pPr>
        <w:spacing w:line="52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GB/T 21709.10  针灸技术操作规范  第10部分：穴位埋线</w:t>
      </w:r>
    </w:p>
    <w:p w14:paraId="214A17E0">
      <w:pPr>
        <w:spacing w:line="52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GB/T 21709.11  针灸技术操作规范  第11部分：电针</w:t>
      </w:r>
    </w:p>
    <w:p w14:paraId="6E06C1CD">
      <w:pPr>
        <w:spacing w:line="52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GB/T 33414  穴位贴敷用药规范</w:t>
      </w:r>
    </w:p>
    <w:p w14:paraId="1DC24FCC">
      <w:pPr>
        <w:spacing w:line="520" w:lineRule="exact"/>
        <w:ind w:firstLine="560" w:firstLineChars="200"/>
        <w:rPr>
          <w:rFonts w:hint="eastAsia" w:ascii="仿宋_GB2312" w:hAnsi="仿宋" w:eastAsia="仿宋_GB2312" w:cs="仿宋"/>
          <w:sz w:val="28"/>
          <w:szCs w:val="28"/>
        </w:rPr>
      </w:pPr>
      <w:r>
        <w:rPr>
          <w:rFonts w:hint="eastAsia" w:ascii="仿宋_GB2312" w:hAnsi="仿宋" w:eastAsia="仿宋_GB2312" w:cs="仿宋"/>
          <w:sz w:val="28"/>
          <w:szCs w:val="28"/>
        </w:rPr>
        <w:t>胆石症中西医结合诊疗共识意见(2017年)[J].中国中西医结合消化杂志,2018,26(02):132-138.</w:t>
      </w:r>
    </w:p>
    <w:p w14:paraId="6255FC4B">
      <w:pPr>
        <w:spacing w:line="520" w:lineRule="exact"/>
        <w:ind w:firstLine="562" w:firstLineChars="200"/>
        <w:rPr>
          <w:rFonts w:hint="eastAsia" w:ascii="仿宋_GB2312" w:eastAsia="仿宋_GB2312" w:cs="仿宋_GB2312"/>
          <w:b/>
          <w:sz w:val="28"/>
          <w:szCs w:val="28"/>
          <w:lang w:eastAsia="zh-CN"/>
        </w:rPr>
      </w:pPr>
      <w:r>
        <w:rPr>
          <w:rFonts w:hint="eastAsia" w:ascii="仿宋_GB2312" w:eastAsia="仿宋_GB2312" w:cs="仿宋_GB2312"/>
          <w:b/>
          <w:sz w:val="28"/>
          <w:szCs w:val="28"/>
        </w:rPr>
        <w:t>（三）研讨确定标准主体内容</w:t>
      </w:r>
      <w:r>
        <w:rPr>
          <w:rFonts w:hint="eastAsia" w:ascii="仿宋_GB2312" w:eastAsia="仿宋_GB2312" w:cs="仿宋_GB2312"/>
          <w:b/>
          <w:sz w:val="28"/>
          <w:szCs w:val="28"/>
          <w:lang w:eastAsia="zh-CN"/>
        </w:rPr>
        <w:t>、核心技术及创新点</w:t>
      </w:r>
    </w:p>
    <w:p w14:paraId="0C466810">
      <w:pPr>
        <w:pStyle w:val="27"/>
        <w:rPr>
          <w:rFonts w:hint="eastAsia" w:ascii="仿宋_GB2312" w:hAnsi="Calibri" w:eastAsia="仿宋_GB2312" w:cs="Calibri"/>
          <w:kern w:val="0"/>
          <w:sz w:val="28"/>
          <w:szCs w:val="28"/>
          <w:lang w:val="en-US" w:eastAsia="zh-CN" w:bidi="ar-SA"/>
        </w:rPr>
      </w:pPr>
      <w:r>
        <w:rPr>
          <w:rFonts w:hint="eastAsia" w:ascii="仿宋_GB2312" w:hAnsi="Calibri" w:eastAsia="仿宋_GB2312" w:cs="Calibri"/>
          <w:kern w:val="0"/>
          <w:sz w:val="28"/>
          <w:szCs w:val="28"/>
          <w:lang w:val="en-US" w:eastAsia="zh-CN" w:bidi="ar-SA"/>
        </w:rPr>
        <w:t>标准编制工作组在对收集的资料进行整理研究之后，标准编制工作组召开了标准编制会议，对标准的整体框架结构进行了研究，并对标准的关键性内容进行了初步探讨。经过研究，标准的主体内容为胆石症术后中医诊断分型、治疗、康复预防、中医外治疗法等要求。</w:t>
      </w:r>
    </w:p>
    <w:p w14:paraId="479A8053">
      <w:pPr>
        <w:pStyle w:val="27"/>
        <w:ind w:firstLine="562"/>
        <w:rPr>
          <w:rFonts w:hint="eastAsia" w:hAnsi="Calibri" w:eastAsia="仿宋_GB2312" w:cs="Calibri"/>
          <w:kern w:val="2"/>
          <w:sz w:val="28"/>
          <w:szCs w:val="28"/>
          <w:lang w:val="en-US" w:eastAsia="zh-CN" w:bidi="ar-SA"/>
        </w:rPr>
      </w:pPr>
      <w:r>
        <w:rPr>
          <w:rFonts w:hint="eastAsia" w:hAnsi="Calibri" w:eastAsia="仿宋_GB2312" w:cs="Calibri"/>
          <w:b/>
          <w:bCs/>
          <w:kern w:val="2"/>
          <w:sz w:val="28"/>
          <w:szCs w:val="28"/>
          <w:lang w:val="en-US" w:eastAsia="zh-CN" w:bidi="ar-SA"/>
        </w:rPr>
        <w:t>核心技术</w:t>
      </w:r>
      <w:r>
        <w:rPr>
          <w:rFonts w:hint="eastAsia" w:ascii="仿宋_GB2312" w:eastAsia="仿宋_GB2312" w:cs="仿宋_GB2312"/>
          <w:b/>
          <w:sz w:val="28"/>
          <w:szCs w:val="28"/>
          <w:lang w:eastAsia="zh-CN"/>
        </w:rPr>
        <w:t>及创新点</w:t>
      </w:r>
      <w:r>
        <w:rPr>
          <w:rFonts w:hint="eastAsia" w:hAnsi="Calibri" w:eastAsia="仿宋_GB2312" w:cs="Calibri"/>
          <w:b/>
          <w:bCs/>
          <w:kern w:val="2"/>
          <w:sz w:val="28"/>
          <w:szCs w:val="28"/>
          <w:lang w:val="en-US" w:eastAsia="zh-CN" w:bidi="ar-SA"/>
        </w:rPr>
        <w:t>在于</w:t>
      </w:r>
      <w:r>
        <w:rPr>
          <w:rFonts w:hint="eastAsia" w:hAnsi="Calibri" w:eastAsia="仿宋_GB2312" w:cs="Calibri"/>
          <w:kern w:val="2"/>
          <w:sz w:val="28"/>
          <w:szCs w:val="28"/>
          <w:lang w:val="en-US" w:eastAsia="zh-CN" w:bidi="ar-SA"/>
        </w:rPr>
        <w:t>肝胆湿热证</w:t>
      </w:r>
      <w:r>
        <w:rPr>
          <w:rFonts w:hint="eastAsia" w:ascii="仿宋_GB2312" w:hAnsi="Calibri" w:eastAsia="仿宋_GB2312" w:cs="Calibri"/>
          <w:kern w:val="2"/>
          <w:sz w:val="28"/>
          <w:szCs w:val="28"/>
          <w:lang w:val="en-US" w:eastAsia="zh-CN" w:bidi="ar-SA"/>
        </w:rPr>
        <w:t>推荐方药：柴胡金仙汤加减。柴胡、黄芩、厚朴、枳实、金钱草、茯苓、茵陈、郁金、大黄、甘草、威灵仙、鸡内金、虎枚、磁石。热毒炽盛，黄疸鲜明者加龙胆草、栀子；腹胀甚，大便秘结者，大黄用至20 g～30 g，并加芒硝、莱菔子；小便赤涩不利者加淡竹叶。柴胡金仙汤治疗肝胆湿热型胆石症从现有的</w:t>
      </w:r>
      <w:r>
        <w:rPr>
          <w:rFonts w:hint="eastAsia" w:hAnsi="Calibri" w:eastAsia="仿宋_GB2312" w:cs="Calibri"/>
          <w:kern w:val="2"/>
          <w:sz w:val="28"/>
          <w:szCs w:val="28"/>
          <w:lang w:val="en-US" w:eastAsia="zh-CN" w:bidi="ar-SA"/>
        </w:rPr>
        <w:t>临床</w:t>
      </w:r>
      <w:r>
        <w:rPr>
          <w:rFonts w:hint="eastAsia" w:ascii="仿宋_GB2312" w:hAnsi="Calibri" w:eastAsia="仿宋_GB2312" w:cs="Calibri"/>
          <w:kern w:val="2"/>
          <w:sz w:val="28"/>
          <w:szCs w:val="28"/>
          <w:lang w:val="en-US" w:eastAsia="zh-CN" w:bidi="ar-SA"/>
        </w:rPr>
        <w:t>案例可以窥见效果显著</w:t>
      </w:r>
      <w:r>
        <w:rPr>
          <w:rFonts w:hint="eastAsia" w:hAnsi="Calibri" w:eastAsia="仿宋_GB2312" w:cs="Calibri"/>
          <w:kern w:val="2"/>
          <w:sz w:val="28"/>
          <w:szCs w:val="28"/>
          <w:lang w:val="en-US" w:eastAsia="zh-CN" w:bidi="ar-SA"/>
        </w:rPr>
        <w:t>，</w:t>
      </w:r>
      <w:r>
        <w:rPr>
          <w:rFonts w:hint="eastAsia" w:ascii="仿宋_GB2312" w:hAnsi="Calibri" w:eastAsia="仿宋_GB2312" w:cs="Calibri"/>
          <w:kern w:val="2"/>
          <w:sz w:val="28"/>
          <w:szCs w:val="28"/>
          <w:lang w:val="en-US" w:eastAsia="zh-CN" w:bidi="ar-SA"/>
        </w:rPr>
        <w:t>以《伤寒论》大柴胡汤为底方的自拟方，并结合了一部分大黄灵仙汤的药物以及组方特点，因此柴胡金仙汤治疗胆石症术后肝胆湿热证可参照一部分大黄灵仙汤的临床效果。</w:t>
      </w:r>
      <w:r>
        <w:rPr>
          <w:rFonts w:hint="eastAsia" w:hAnsi="Calibri" w:eastAsia="仿宋_GB2312" w:cs="Calibri"/>
          <w:kern w:val="2"/>
          <w:sz w:val="28"/>
          <w:szCs w:val="28"/>
          <w:lang w:val="en-US" w:eastAsia="zh-CN" w:bidi="ar-SA"/>
        </w:rPr>
        <w:t>通过</w:t>
      </w:r>
      <w:r>
        <w:rPr>
          <w:rFonts w:hint="eastAsia" w:ascii="仿宋_GB2312" w:hAnsi="Calibri" w:eastAsia="仿宋_GB2312" w:cs="Calibri"/>
          <w:kern w:val="2"/>
          <w:sz w:val="28"/>
          <w:szCs w:val="28"/>
          <w:lang w:val="en-US" w:eastAsia="zh-CN" w:bidi="ar-SA"/>
        </w:rPr>
        <w:t>观察自拟中药方大黄灵仙汤对胆石症的临床疗效及安全性,治疗组总有效率90.0%。治疗组肝胆气郁型与肝胆湿热型患者有效率分别为92.86%、87.50%</w:t>
      </w:r>
      <w:r>
        <w:rPr>
          <w:rFonts w:hint="eastAsia" w:hAnsi="Calibri" w:eastAsia="仿宋_GB2312" w:cs="Calibri"/>
          <w:kern w:val="2"/>
          <w:sz w:val="28"/>
          <w:szCs w:val="28"/>
          <w:lang w:val="en-US" w:eastAsia="zh-CN" w:bidi="ar-SA"/>
        </w:rPr>
        <w:t>。</w:t>
      </w:r>
      <w:r>
        <w:rPr>
          <w:rFonts w:hint="eastAsia" w:ascii="仿宋_GB2312" w:hAnsi="Calibri" w:eastAsia="仿宋_GB2312" w:cs="Calibri"/>
          <w:kern w:val="2"/>
          <w:sz w:val="28"/>
          <w:szCs w:val="28"/>
          <w:lang w:val="en-US" w:eastAsia="zh-CN" w:bidi="ar-SA"/>
        </w:rPr>
        <w:t>经大黄灵仙汤干预后，总胆固醇下降较对照组明显</w:t>
      </w:r>
      <w:r>
        <w:rPr>
          <w:rFonts w:hint="eastAsia" w:hAnsi="Calibri" w:eastAsia="仿宋_GB2312" w:cs="Calibri"/>
          <w:kern w:val="2"/>
          <w:sz w:val="28"/>
          <w:szCs w:val="28"/>
          <w:lang w:val="en-US" w:eastAsia="zh-CN" w:bidi="ar-SA"/>
        </w:rPr>
        <w:t>。</w:t>
      </w:r>
    </w:p>
    <w:p w14:paraId="4B785DB4">
      <w:pPr>
        <w:pStyle w:val="27"/>
        <w:ind w:firstLine="562"/>
        <w:rPr>
          <w:rFonts w:hint="eastAsia" w:hAnsi="Calibri" w:eastAsia="仿宋_GB2312" w:cs="Calibri"/>
          <w:kern w:val="2"/>
          <w:sz w:val="28"/>
          <w:szCs w:val="28"/>
          <w:lang w:val="en-US" w:eastAsia="zh-CN" w:bidi="ar-SA"/>
        </w:rPr>
      </w:pPr>
      <w:r>
        <w:rPr>
          <w:rFonts w:hint="eastAsia" w:hAnsi="Calibri" w:eastAsia="仿宋_GB2312" w:cs="Calibri"/>
          <w:kern w:val="2"/>
          <w:sz w:val="28"/>
          <w:szCs w:val="28"/>
          <w:lang w:val="en-US" w:eastAsia="zh-CN" w:bidi="ar-SA"/>
        </w:rPr>
        <w:t>胆石症术后康复部分还规定了术后患者的主要症状包括近期症状、远期（出院5年内）症状，并对胆石症术后进行了中医证型分型，以及给出相应的中医药康复干预技术。预防结石复发部分主要规定了胆石症患者出院后的长期预防结石复发的干预技术规范包括患者主要症状、中医证型分型及对应的预防治疗包括中医内治法，中成药预防治疗中胆宁片、胆石利通片、利胆排石片、利胆石颗粒、胆舒胶囊的功效、组成、用法以及预防结石复发的中医外治法、日常调摄预防治疗等。</w:t>
      </w:r>
      <w:r>
        <w:rPr>
          <w:rFonts w:hint="eastAsia" w:hAnsi="Calibri" w:eastAsia="仿宋_GB2312" w:cs="Calibri"/>
          <w:b w:val="0"/>
          <w:bCs w:val="0"/>
          <w:kern w:val="2"/>
          <w:sz w:val="28"/>
          <w:szCs w:val="28"/>
          <w:lang w:val="en-US" w:eastAsia="zh-CN" w:bidi="ar-SA"/>
        </w:rPr>
        <w:t>弥补了胆石症术后康复和预防结石复发干预的标准空白。</w:t>
      </w:r>
    </w:p>
    <w:p w14:paraId="7ED4D07C">
      <w:pPr>
        <w:spacing w:line="520" w:lineRule="exact"/>
        <w:ind w:firstLine="562" w:firstLineChars="200"/>
        <w:rPr>
          <w:rFonts w:hint="eastAsia" w:ascii="仿宋_GB2312" w:eastAsia="仿宋_GB2312" w:cs="仿宋_GB2312"/>
          <w:b/>
          <w:sz w:val="28"/>
          <w:szCs w:val="28"/>
          <w:lang w:eastAsia="zh-CN"/>
        </w:rPr>
      </w:pPr>
      <w:r>
        <w:rPr>
          <w:rFonts w:hint="eastAsia" w:ascii="仿宋_GB2312" w:eastAsia="仿宋_GB2312" w:cs="仿宋_GB2312"/>
          <w:b/>
          <w:sz w:val="28"/>
          <w:szCs w:val="28"/>
        </w:rPr>
        <w:t>（四）调研及形成草案、征求意见稿</w:t>
      </w:r>
    </w:p>
    <w:p w14:paraId="200DC804">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2023年1月～</w:t>
      </w:r>
      <w:r>
        <w:rPr>
          <w:rFonts w:ascii="仿宋_GB2312" w:eastAsia="仿宋_GB2312"/>
          <w:kern w:val="0"/>
          <w:sz w:val="28"/>
          <w:szCs w:val="28"/>
        </w:rPr>
        <w:t>2</w:t>
      </w:r>
      <w:r>
        <w:rPr>
          <w:rFonts w:hint="eastAsia" w:ascii="仿宋_GB2312" w:eastAsia="仿宋_GB2312"/>
          <w:kern w:val="0"/>
          <w:sz w:val="28"/>
          <w:szCs w:val="28"/>
        </w:rPr>
        <w:t>月，标准编制工作组查阅了大量的国内文献资料，对胆石症术后康复及预防结石复发中医药干预相关的文件进行系统总结。形成了标准的基本构架，对主要内容进行了讨论并对项目的工作进行了部署和安排。</w:t>
      </w:r>
    </w:p>
    <w:p w14:paraId="0C9628EC">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2023年</w:t>
      </w:r>
      <w:r>
        <w:rPr>
          <w:rFonts w:ascii="仿宋_GB2312" w:eastAsia="仿宋_GB2312"/>
          <w:kern w:val="0"/>
          <w:sz w:val="28"/>
          <w:szCs w:val="28"/>
        </w:rPr>
        <w:t>3</w:t>
      </w:r>
      <w:r>
        <w:rPr>
          <w:rFonts w:hint="eastAsia" w:ascii="仿宋_GB2312" w:eastAsia="仿宋_GB2312"/>
          <w:kern w:val="0"/>
          <w:sz w:val="28"/>
          <w:szCs w:val="28"/>
        </w:rPr>
        <w:t>月，在前期工作的基础之上，通过理清逻辑脉络，整合已有参考资料中有关胆石症术后康复及预防结石复发中医药干预的要求，并在广西胆石症术后康复及预防结石复发中医药干预实际操作的基础上，按照简化、统一等原则编制完成地方标准《胆石症术后康复及预防结石复发中医药干预技术规范》（草案）。</w:t>
      </w:r>
    </w:p>
    <w:p w14:paraId="679F5F26">
      <w:pPr>
        <w:pStyle w:val="20"/>
        <w:spacing w:after="0" w:line="520" w:lineRule="exact"/>
        <w:ind w:firstLine="560" w:firstLineChars="200"/>
        <w:rPr>
          <w:sz w:val="28"/>
          <w:szCs w:val="28"/>
        </w:rPr>
      </w:pPr>
      <w:r>
        <w:rPr>
          <w:rFonts w:hint="eastAsia" w:ascii="仿宋_GB2312" w:eastAsia="仿宋_GB2312"/>
          <w:kern w:val="0"/>
          <w:sz w:val="28"/>
          <w:szCs w:val="28"/>
        </w:rPr>
        <w:t>2023年</w:t>
      </w:r>
      <w:r>
        <w:rPr>
          <w:rFonts w:ascii="仿宋_GB2312" w:eastAsia="仿宋_GB2312"/>
          <w:kern w:val="0"/>
          <w:sz w:val="28"/>
          <w:szCs w:val="28"/>
        </w:rPr>
        <w:t>8</w:t>
      </w:r>
      <w:r>
        <w:rPr>
          <w:rFonts w:hint="eastAsia" w:ascii="仿宋_GB2312" w:eastAsia="仿宋_GB2312"/>
          <w:kern w:val="0"/>
          <w:sz w:val="28"/>
          <w:szCs w:val="28"/>
        </w:rPr>
        <w:t>月，</w:t>
      </w:r>
      <w:r>
        <w:rPr>
          <w:rFonts w:hint="eastAsia" w:ascii="仿宋_GB2312" w:eastAsia="仿宋_GB2312"/>
          <w:kern w:val="0"/>
          <w:sz w:val="28"/>
          <w:szCs w:val="28"/>
          <w:lang w:eastAsia="zh-CN"/>
        </w:rPr>
        <w:t>团体标准</w:t>
      </w:r>
      <w:r>
        <w:rPr>
          <w:rFonts w:hint="eastAsia" w:ascii="仿宋_GB2312" w:eastAsia="仿宋_GB2312"/>
          <w:kern w:val="0"/>
          <w:sz w:val="28"/>
          <w:szCs w:val="28"/>
        </w:rPr>
        <w:t>《胆石症术后康复及预防结石复发中医药干预技术规范》</w:t>
      </w:r>
      <w:r>
        <w:rPr>
          <w:rFonts w:hint="eastAsia" w:ascii="仿宋_GB2312" w:hAnsi="宋体" w:eastAsia="仿宋_GB2312"/>
          <w:sz w:val="28"/>
          <w:szCs w:val="28"/>
        </w:rPr>
        <w:t>获批立项。</w:t>
      </w:r>
    </w:p>
    <w:p w14:paraId="126A493D">
      <w:pPr>
        <w:spacing w:line="520" w:lineRule="exact"/>
        <w:ind w:firstLine="560" w:firstLineChars="200"/>
        <w:rPr>
          <w:rFonts w:hint="default" w:ascii="仿宋_GB2312" w:hAnsi="Calibri" w:eastAsia="仿宋_GB2312" w:cs="Calibri"/>
          <w:kern w:val="0"/>
          <w:sz w:val="28"/>
          <w:szCs w:val="28"/>
          <w:lang w:val="en-US" w:eastAsia="zh-CN" w:bidi="ar-SA"/>
        </w:rPr>
      </w:pPr>
      <w:r>
        <w:rPr>
          <w:rFonts w:hint="eastAsia" w:ascii="仿宋_GB2312" w:eastAsia="仿宋_GB2312"/>
          <w:kern w:val="0"/>
          <w:sz w:val="28"/>
          <w:szCs w:val="28"/>
        </w:rPr>
        <w:t>2023年</w:t>
      </w:r>
      <w:r>
        <w:rPr>
          <w:rFonts w:ascii="仿宋_GB2312" w:eastAsia="仿宋_GB2312"/>
          <w:kern w:val="0"/>
          <w:sz w:val="28"/>
          <w:szCs w:val="28"/>
        </w:rPr>
        <w:t>9</w:t>
      </w:r>
      <w:r>
        <w:rPr>
          <w:rFonts w:hint="eastAsia" w:ascii="仿宋_GB2312" w:eastAsia="仿宋_GB2312"/>
          <w:kern w:val="0"/>
          <w:sz w:val="28"/>
          <w:szCs w:val="28"/>
        </w:rPr>
        <w:t>月～2024年</w:t>
      </w:r>
      <w:r>
        <w:rPr>
          <w:rFonts w:hint="eastAsia" w:ascii="仿宋_GB2312" w:eastAsia="仿宋_GB2312"/>
          <w:kern w:val="0"/>
          <w:sz w:val="28"/>
          <w:szCs w:val="28"/>
          <w:lang w:val="en-US" w:eastAsia="zh-CN"/>
        </w:rPr>
        <w:t>2</w:t>
      </w:r>
      <w:r>
        <w:rPr>
          <w:rFonts w:hint="eastAsia" w:ascii="仿宋_GB2312" w:eastAsia="仿宋_GB2312"/>
          <w:kern w:val="0"/>
          <w:sz w:val="28"/>
          <w:szCs w:val="28"/>
        </w:rPr>
        <w:t>月，标准编制工作组深入广西中医药大学附属瑞康医院、岑溪市中医医院、右江民族医院附属医院、贺州市广济医院、灵山县中医医院、南宁市中医院、梧州市中医院、防城港市中医院、武鸣县中医院、北海市中医院、贵港市中医院、武宣县中医院、来宾市中医院</w:t>
      </w:r>
      <w:r>
        <w:rPr>
          <w:rFonts w:hint="eastAsia" w:ascii="仿宋_GB2312" w:eastAsia="仿宋_GB2312"/>
          <w:kern w:val="0"/>
          <w:sz w:val="28"/>
          <w:szCs w:val="28"/>
          <w:lang w:eastAsia="zh-CN"/>
        </w:rPr>
        <w:t>等</w:t>
      </w:r>
      <w:r>
        <w:rPr>
          <w:rFonts w:hint="eastAsia" w:ascii="仿宋_GB2312" w:hAnsi="宋体" w:eastAsia="仿宋_GB2312"/>
          <w:sz w:val="28"/>
          <w:szCs w:val="28"/>
        </w:rPr>
        <w:t>广西各地涉及</w:t>
      </w:r>
      <w:r>
        <w:rPr>
          <w:rFonts w:hint="eastAsia" w:ascii="仿宋_GB2312" w:eastAsia="仿宋_GB2312"/>
          <w:kern w:val="0"/>
          <w:sz w:val="28"/>
          <w:szCs w:val="28"/>
        </w:rPr>
        <w:t>胆石症术后康复及预防结石复发中医药干预</w:t>
      </w:r>
      <w:r>
        <w:rPr>
          <w:rFonts w:hint="eastAsia" w:ascii="仿宋_GB2312" w:hAnsi="宋体" w:eastAsia="仿宋_GB2312"/>
          <w:sz w:val="28"/>
          <w:szCs w:val="28"/>
        </w:rPr>
        <w:t>的有代表性的中医医院</w:t>
      </w:r>
      <w:r>
        <w:rPr>
          <w:rFonts w:hint="eastAsia" w:ascii="仿宋_GB2312" w:eastAsia="仿宋_GB2312"/>
          <w:kern w:val="0"/>
          <w:sz w:val="28"/>
          <w:szCs w:val="28"/>
        </w:rPr>
        <w:t>进行实地调研，并组织相关主管单位、医疗机构等召开标准研讨会，收集反馈了大量意见，对标准草案进行了反复修改和研究讨论，掌握了胆石症术后康复及预防结石复发的基本情况以及中医康复和预防要求，最终形成了</w:t>
      </w:r>
      <w:bookmarkStart w:id="0" w:name="_Hlk120181503"/>
      <w:r>
        <w:rPr>
          <w:rFonts w:hint="eastAsia" w:ascii="仿宋_GB2312" w:eastAsia="仿宋_GB2312"/>
          <w:kern w:val="0"/>
          <w:sz w:val="28"/>
          <w:szCs w:val="28"/>
        </w:rPr>
        <w:t>地方标准《胆石症术后康复及预防结石复发中医药干预技术规范》（征求意见稿）及其编制说明。</w:t>
      </w:r>
      <w:bookmarkEnd w:id="0"/>
    </w:p>
    <w:p w14:paraId="376ABF19">
      <w:pPr>
        <w:autoSpaceDE w:val="0"/>
        <w:autoSpaceDN w:val="0"/>
        <w:adjustRightInd w:val="0"/>
        <w:spacing w:line="520" w:lineRule="exact"/>
        <w:ind w:firstLine="640" w:firstLineChars="200"/>
        <w:jc w:val="left"/>
        <w:rPr>
          <w:rFonts w:ascii="黑体" w:eastAsia="黑体" w:cs="仿宋_GB2312"/>
          <w:sz w:val="32"/>
          <w:szCs w:val="32"/>
        </w:rPr>
      </w:pPr>
      <w:r>
        <w:rPr>
          <w:rFonts w:hint="eastAsia" w:ascii="黑体" w:eastAsia="黑体" w:cs="仿宋_GB2312"/>
          <w:sz w:val="32"/>
          <w:szCs w:val="32"/>
        </w:rPr>
        <w:t>四、制定标准的原则和依据，与现行法律、法规的关系，与有关国家标准、行业标准的协调情况</w:t>
      </w:r>
    </w:p>
    <w:p w14:paraId="7A0275C4">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kern w:val="0"/>
          <w:sz w:val="28"/>
          <w:szCs w:val="28"/>
        </w:rPr>
      </w:pPr>
      <w:r>
        <w:rPr>
          <w:rFonts w:hint="eastAsia" w:ascii="仿宋_GB2312" w:eastAsia="仿宋_GB2312"/>
          <w:b/>
          <w:bCs/>
          <w:kern w:val="0"/>
          <w:sz w:val="28"/>
          <w:szCs w:val="28"/>
        </w:rPr>
        <w:t>（一）编制原则</w:t>
      </w:r>
    </w:p>
    <w:p w14:paraId="3EFB5AF6">
      <w:pPr>
        <w:spacing w:line="520" w:lineRule="exact"/>
        <w:ind w:firstLine="562" w:firstLineChars="200"/>
        <w:rPr>
          <w:rFonts w:ascii="仿宋_GB2312" w:eastAsia="仿宋_GB2312"/>
          <w:b/>
          <w:sz w:val="28"/>
          <w:szCs w:val="28"/>
        </w:rPr>
      </w:pPr>
      <w:r>
        <w:rPr>
          <w:rFonts w:hint="eastAsia" w:ascii="仿宋_GB2312" w:eastAsia="仿宋_GB2312"/>
          <w:b/>
          <w:sz w:val="28"/>
          <w:szCs w:val="28"/>
        </w:rPr>
        <w:t>1、实用性原则</w:t>
      </w:r>
    </w:p>
    <w:p w14:paraId="1E5E8A39">
      <w:pPr>
        <w:spacing w:line="520" w:lineRule="exact"/>
        <w:ind w:firstLine="560" w:firstLineChars="200"/>
        <w:rPr>
          <w:rFonts w:ascii="仿宋_GB2312" w:eastAsia="仿宋_GB2312" w:cs="仿宋"/>
          <w:sz w:val="28"/>
          <w:szCs w:val="28"/>
        </w:rPr>
      </w:pPr>
      <w:r>
        <w:rPr>
          <w:rFonts w:hint="eastAsia" w:ascii="仿宋_GB2312" w:eastAsia="仿宋_GB2312" w:cs="仿宋"/>
          <w:sz w:val="28"/>
          <w:szCs w:val="28"/>
        </w:rPr>
        <w:t>本标准是在充分收集国内外相关资料和文献、调研分析</w:t>
      </w:r>
      <w:r>
        <w:rPr>
          <w:rFonts w:hint="eastAsia" w:ascii="仿宋_GB2312" w:eastAsia="仿宋_GB2312"/>
          <w:kern w:val="0"/>
          <w:sz w:val="28"/>
          <w:szCs w:val="28"/>
        </w:rPr>
        <w:t>胆石症术后康复及预防结石复发中医药干预</w:t>
      </w:r>
      <w:r>
        <w:rPr>
          <w:rFonts w:hint="eastAsia" w:ascii="仿宋_GB2312" w:eastAsia="仿宋_GB2312" w:cs="仿宋"/>
          <w:sz w:val="28"/>
          <w:szCs w:val="28"/>
        </w:rPr>
        <w:t>现状，结合起草单位前期研究工作取得的研究成果及积累的中医实践经验，并借鉴国内</w:t>
      </w:r>
      <w:r>
        <w:rPr>
          <w:rFonts w:hint="eastAsia" w:ascii="仿宋_GB2312" w:eastAsia="仿宋_GB2312"/>
          <w:kern w:val="0"/>
          <w:sz w:val="28"/>
          <w:szCs w:val="28"/>
        </w:rPr>
        <w:t>胆石症术后康复及预防复发中医技术</w:t>
      </w:r>
      <w:r>
        <w:rPr>
          <w:rFonts w:hint="eastAsia" w:ascii="仿宋_GB2312" w:eastAsia="仿宋_GB2312" w:cs="仿宋"/>
          <w:sz w:val="28"/>
          <w:szCs w:val="28"/>
        </w:rPr>
        <w:t>进行总结起草的，符合工作实际，利于</w:t>
      </w:r>
      <w:r>
        <w:rPr>
          <w:rFonts w:hint="eastAsia" w:ascii="仿宋_GB2312" w:eastAsia="仿宋_GB2312"/>
          <w:kern w:val="0"/>
          <w:sz w:val="28"/>
          <w:szCs w:val="28"/>
        </w:rPr>
        <w:t>胆石症术后康复及预防结石复发中医药干预</w:t>
      </w:r>
      <w:r>
        <w:rPr>
          <w:rFonts w:hint="eastAsia" w:ascii="仿宋_GB2312" w:eastAsia="仿宋_GB2312" w:cs="仿宋"/>
          <w:sz w:val="28"/>
          <w:szCs w:val="28"/>
        </w:rPr>
        <w:t>技术的实施与推广，具有可操作性和实用性。</w:t>
      </w:r>
    </w:p>
    <w:p w14:paraId="60B39EFA">
      <w:pPr>
        <w:spacing w:line="520" w:lineRule="exact"/>
        <w:ind w:firstLine="562" w:firstLineChars="200"/>
        <w:rPr>
          <w:rFonts w:ascii="仿宋_GB2312" w:eastAsia="仿宋_GB2312"/>
          <w:b/>
          <w:sz w:val="28"/>
          <w:szCs w:val="28"/>
        </w:rPr>
      </w:pPr>
      <w:r>
        <w:rPr>
          <w:rFonts w:hint="eastAsia" w:ascii="仿宋_GB2312" w:eastAsia="仿宋_GB2312"/>
          <w:b/>
          <w:sz w:val="28"/>
          <w:szCs w:val="28"/>
        </w:rPr>
        <w:t>2、协调性原则</w:t>
      </w:r>
    </w:p>
    <w:p w14:paraId="3AE00C81">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本文件编写过程中注意了与</w:t>
      </w:r>
      <w:r>
        <w:rPr>
          <w:rFonts w:hint="eastAsia" w:ascii="仿宋_GB2312" w:eastAsia="仿宋_GB2312"/>
          <w:kern w:val="0"/>
          <w:sz w:val="28"/>
          <w:szCs w:val="28"/>
        </w:rPr>
        <w:t>胆石症术后康复及预防结石复发中医药干预技术</w:t>
      </w:r>
      <w:r>
        <w:rPr>
          <w:rFonts w:hint="eastAsia" w:ascii="仿宋_GB2312" w:eastAsia="仿宋_GB2312"/>
          <w:sz w:val="28"/>
          <w:szCs w:val="28"/>
        </w:rPr>
        <w:t>相关法律法规的协调问题，在内容上与现行法律法规、标准协调一致。</w:t>
      </w:r>
    </w:p>
    <w:p w14:paraId="3F997507">
      <w:pPr>
        <w:spacing w:line="520" w:lineRule="exact"/>
        <w:ind w:firstLine="562" w:firstLineChars="200"/>
        <w:rPr>
          <w:rFonts w:ascii="仿宋_GB2312" w:eastAsia="仿宋_GB2312"/>
          <w:b/>
          <w:sz w:val="28"/>
          <w:szCs w:val="28"/>
        </w:rPr>
      </w:pPr>
      <w:r>
        <w:rPr>
          <w:rFonts w:hint="eastAsia" w:ascii="仿宋_GB2312" w:eastAsia="仿宋_GB2312"/>
          <w:b/>
          <w:sz w:val="28"/>
          <w:szCs w:val="28"/>
        </w:rPr>
        <w:t>3、规范性原则</w:t>
      </w:r>
    </w:p>
    <w:p w14:paraId="4C36B3FD">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本文件严格按照GB/T 1.1—2020《标准化工作导则  第1部分：标准化文件的结构和起草规则》编写本标准的内容，保证标准的编写质量。</w:t>
      </w:r>
    </w:p>
    <w:p w14:paraId="22B637EB">
      <w:pPr>
        <w:spacing w:line="520" w:lineRule="exact"/>
        <w:ind w:firstLine="562" w:firstLineChars="200"/>
        <w:rPr>
          <w:rFonts w:ascii="仿宋_GB2312" w:eastAsia="仿宋_GB2312"/>
          <w:b/>
          <w:sz w:val="28"/>
          <w:szCs w:val="28"/>
        </w:rPr>
      </w:pPr>
      <w:r>
        <w:rPr>
          <w:rFonts w:hint="eastAsia" w:ascii="仿宋_GB2312" w:eastAsia="仿宋_GB2312"/>
          <w:b/>
          <w:sz w:val="28"/>
          <w:szCs w:val="28"/>
        </w:rPr>
        <w:t>4、前瞻性原则</w:t>
      </w:r>
    </w:p>
    <w:p w14:paraId="0854E518">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本文件在兼顾当前</w:t>
      </w:r>
      <w:r>
        <w:rPr>
          <w:rFonts w:hint="eastAsia" w:ascii="仿宋_GB2312" w:eastAsia="仿宋_GB2312"/>
          <w:kern w:val="0"/>
          <w:sz w:val="28"/>
          <w:szCs w:val="28"/>
        </w:rPr>
        <w:t>胆石症术后康复及预防结石复发中医药干预技术</w:t>
      </w:r>
      <w:r>
        <w:rPr>
          <w:rFonts w:hint="eastAsia" w:ascii="仿宋_GB2312" w:eastAsia="仿宋_GB2312"/>
          <w:sz w:val="28"/>
          <w:szCs w:val="28"/>
        </w:rPr>
        <w:t>现实情况的同时，还考虑到了</w:t>
      </w:r>
      <w:r>
        <w:rPr>
          <w:rFonts w:hint="eastAsia" w:ascii="仿宋_GB2312" w:eastAsia="仿宋_GB2312"/>
          <w:kern w:val="0"/>
          <w:sz w:val="28"/>
          <w:szCs w:val="28"/>
        </w:rPr>
        <w:t>胆石症术后康复及预防技术</w:t>
      </w:r>
      <w:r>
        <w:rPr>
          <w:rFonts w:hint="eastAsia" w:ascii="仿宋_GB2312" w:eastAsia="仿宋_GB2312"/>
          <w:sz w:val="28"/>
          <w:szCs w:val="28"/>
        </w:rPr>
        <w:t>的需要，在标准中体现了个别特色性、前瞻性和先进性条款，作为对</w:t>
      </w:r>
      <w:r>
        <w:rPr>
          <w:rFonts w:hint="eastAsia" w:ascii="仿宋_GB2312" w:eastAsia="仿宋_GB2312"/>
          <w:kern w:val="0"/>
          <w:sz w:val="28"/>
          <w:szCs w:val="28"/>
        </w:rPr>
        <w:t>胆石症术后康复及预防结石复发中医药干预</w:t>
      </w:r>
      <w:r>
        <w:rPr>
          <w:rFonts w:hint="eastAsia" w:ascii="仿宋_GB2312" w:eastAsia="仿宋_GB2312" w:cs="仿宋"/>
          <w:sz w:val="28"/>
          <w:szCs w:val="28"/>
        </w:rPr>
        <w:t>技术</w:t>
      </w:r>
      <w:r>
        <w:rPr>
          <w:rFonts w:hint="eastAsia" w:ascii="仿宋_GB2312" w:eastAsia="仿宋_GB2312"/>
          <w:sz w:val="28"/>
          <w:szCs w:val="28"/>
        </w:rPr>
        <w:t>发展的指导。</w:t>
      </w:r>
    </w:p>
    <w:p w14:paraId="1789B8B1">
      <w:pPr>
        <w:spacing w:line="520" w:lineRule="exact"/>
        <w:ind w:firstLine="562" w:firstLineChars="200"/>
        <w:rPr>
          <w:rFonts w:ascii="仿宋_GB2312" w:eastAsia="仿宋_GB2312"/>
          <w:b/>
          <w:bCs/>
          <w:sz w:val="28"/>
          <w:szCs w:val="28"/>
        </w:rPr>
      </w:pPr>
      <w:r>
        <w:rPr>
          <w:rFonts w:hint="eastAsia" w:ascii="仿宋_GB2312" w:eastAsia="仿宋_GB2312"/>
          <w:b/>
          <w:bCs/>
          <w:sz w:val="28"/>
          <w:szCs w:val="28"/>
        </w:rPr>
        <w:t>（二）编制依据</w:t>
      </w:r>
    </w:p>
    <w:p w14:paraId="0FC26983">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本标准严格按照GB/T 1.1—2020《标准化工作导则  第1部分：标准化文件的结构和起草规则》的规则起草，标准主要内容依据起草单位在</w:t>
      </w:r>
      <w:r>
        <w:rPr>
          <w:rFonts w:hint="eastAsia" w:ascii="仿宋_GB2312" w:eastAsia="仿宋_GB2312"/>
          <w:kern w:val="0"/>
          <w:sz w:val="28"/>
          <w:szCs w:val="28"/>
        </w:rPr>
        <w:t>胆石症术后康复及预防结石复发中医药干预</w:t>
      </w:r>
      <w:r>
        <w:rPr>
          <w:rFonts w:hint="eastAsia" w:ascii="仿宋_GB2312" w:eastAsia="仿宋_GB2312" w:cs="仿宋"/>
          <w:sz w:val="28"/>
          <w:szCs w:val="28"/>
        </w:rPr>
        <w:t>技术</w:t>
      </w:r>
      <w:r>
        <w:rPr>
          <w:rFonts w:hint="eastAsia" w:ascii="仿宋_GB2312" w:eastAsia="仿宋_GB2312"/>
          <w:sz w:val="28"/>
          <w:szCs w:val="28"/>
        </w:rPr>
        <w:t>研究应用过程中的实践经验确定。</w:t>
      </w:r>
    </w:p>
    <w:p w14:paraId="52C6653D">
      <w:pPr>
        <w:spacing w:line="520" w:lineRule="exact"/>
        <w:ind w:firstLine="562" w:firstLineChars="200"/>
        <w:rPr>
          <w:rFonts w:ascii="仿宋_GB2312" w:eastAsia="仿宋_GB2312"/>
          <w:b/>
          <w:bCs/>
          <w:sz w:val="28"/>
          <w:szCs w:val="28"/>
        </w:rPr>
      </w:pPr>
      <w:r>
        <w:rPr>
          <w:rFonts w:hint="eastAsia" w:ascii="仿宋_GB2312" w:eastAsia="仿宋_GB2312"/>
          <w:b/>
          <w:bCs/>
          <w:sz w:val="28"/>
          <w:szCs w:val="28"/>
        </w:rPr>
        <w:t>（三）与现行法律、法规的关系，与有关国家标准、行业标准的协调情况</w:t>
      </w:r>
    </w:p>
    <w:p w14:paraId="18BDADA7">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本标准与相关法律法规、强制性标准协调一致，无冲突。</w:t>
      </w:r>
    </w:p>
    <w:p w14:paraId="5F9452CC">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经查新，未有与</w:t>
      </w:r>
      <w:r>
        <w:rPr>
          <w:rFonts w:hint="eastAsia" w:ascii="仿宋_GB2312" w:eastAsia="仿宋_GB2312"/>
          <w:kern w:val="0"/>
          <w:sz w:val="28"/>
          <w:szCs w:val="28"/>
        </w:rPr>
        <w:t>“胆石症术后康复及预防结石复发中医药干预”</w:t>
      </w:r>
      <w:r>
        <w:rPr>
          <w:rFonts w:hint="eastAsia" w:ascii="仿宋_GB2312" w:eastAsia="仿宋_GB2312"/>
          <w:sz w:val="28"/>
          <w:szCs w:val="28"/>
        </w:rPr>
        <w:t>有关的标准。</w:t>
      </w:r>
    </w:p>
    <w:p w14:paraId="22A43D28">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本标准主要规定了胆石症术后患者的主要症状，并对胆石症术后进行了中医证型分型，以及给出相应的中医药康复干预技术；预防结石复发部分主要规定了胆石症患者出院后的长期预防结石复发的干预技术包括患者主要症状、中医证型分型及对应的预防治疗包括中医内治法，中成药预防治疗以及预防结石复发的中医外治法、日常调摄预防治疗等。本标准参照的中国中西医结合学会消化系统疾病专业委员会制定的《胆石症中西医结合诊疗共识意见（2017年）》对于胆石症术后中医康复预防方面仅做简要介绍，未做具体阐述，且中医外治内容尚未完整，以及重要的饮食预防并未详细到具体食物。本标准规定的常见中医康复技术、中医外治法如电针、耳穴按压、中药足浴、中药透皮、中药药熨以及推按运经仪等对于胆石症术后康复的治疗确有疗效。</w:t>
      </w:r>
    </w:p>
    <w:p w14:paraId="28E29D12">
      <w:pPr>
        <w:spacing w:before="240" w:after="60" w:line="520" w:lineRule="exact"/>
        <w:ind w:firstLine="640" w:firstLineChars="200"/>
        <w:jc w:val="left"/>
        <w:outlineLvl w:val="0"/>
        <w:rPr>
          <w:rFonts w:ascii="黑体" w:eastAsia="黑体"/>
          <w:bCs/>
          <w:sz w:val="32"/>
          <w:szCs w:val="32"/>
        </w:rPr>
      </w:pPr>
      <w:r>
        <w:rPr>
          <w:rFonts w:hint="eastAsia" w:ascii="黑体" w:eastAsia="黑体"/>
          <w:bCs/>
          <w:sz w:val="32"/>
          <w:szCs w:val="32"/>
        </w:rPr>
        <w:t>五、主要条款的说明</w:t>
      </w:r>
    </w:p>
    <w:p w14:paraId="15C3E008">
      <w:pPr>
        <w:pStyle w:val="27"/>
        <w:ind w:firstLine="562"/>
        <w:rPr>
          <w:rFonts w:hint="eastAsia" w:hAnsi="Calibri" w:eastAsia="仿宋_GB2312" w:cs="Calibri"/>
          <w:kern w:val="2"/>
          <w:sz w:val="28"/>
          <w:szCs w:val="28"/>
          <w:lang w:val="en-US" w:eastAsia="zh-CN" w:bidi="ar-SA"/>
        </w:rPr>
      </w:pPr>
      <w:r>
        <w:rPr>
          <w:rFonts w:hint="eastAsia" w:ascii="仿宋_GB2312" w:hAnsi="Calibri" w:eastAsia="仿宋_GB2312" w:cs="Calibri"/>
          <w:kern w:val="2"/>
          <w:sz w:val="28"/>
          <w:szCs w:val="28"/>
          <w:lang w:val="en-US" w:eastAsia="zh-CN" w:bidi="ar-SA"/>
        </w:rPr>
        <w:t>标准技术内容界定了胆石症术后康复及预防结石复发中医药干预技术涉及的术语和定义，规定了胆石症术后康复、预防结石复发的要求。</w:t>
      </w:r>
    </w:p>
    <w:p w14:paraId="098EC74A">
      <w:pPr>
        <w:pStyle w:val="27"/>
        <w:ind w:firstLine="562"/>
        <w:rPr>
          <w:b/>
          <w:color w:val="FF0000"/>
        </w:rPr>
      </w:pPr>
      <w:r>
        <w:rPr>
          <w:rFonts w:hint="eastAsia"/>
          <w:b/>
        </w:rPr>
        <w:t>（一）术语和定义</w:t>
      </w:r>
    </w:p>
    <w:p w14:paraId="2CEBAC33">
      <w:pPr>
        <w:pStyle w:val="27"/>
        <w:rPr>
          <w:color w:val="auto"/>
        </w:rPr>
      </w:pPr>
      <w:r>
        <w:rPr>
          <w:rFonts w:hint="eastAsia" w:ascii="仿宋_GB2312" w:hAnsi="Calibri" w:eastAsia="仿宋_GB2312" w:cs="Calibri"/>
          <w:kern w:val="2"/>
          <w:sz w:val="28"/>
          <w:szCs w:val="28"/>
          <w:lang w:val="en-US" w:eastAsia="zh-CN" w:bidi="ar-SA"/>
        </w:rPr>
        <w:t>胆石症术后康复、预防结石复发主要参考了GB/T 16751.1  中医临床诊疗术语  第1部分：疾病、GB/T 16751.2  中医临床诊疗术语  第2部分：证候、GB/T 16751.3  中医临床诊疗术语  第3部分：治法，以及李军祥,陈誩,梁健.胆石症中西医结合诊疗共识意见(2017年)[J].中国中西医结合消化杂志,2018,26(02):132-138.和[1]  何清湖,秦国政.中医外科学[M].北京：人民卫生出版社,2016.[2]  马烈光,蒋力生.中医养生学[M].北京：中国中医药出版社,2016.等科学技术研究成果的基础上确定。</w:t>
      </w:r>
    </w:p>
    <w:p w14:paraId="0050B4B9">
      <w:pPr>
        <w:pStyle w:val="27"/>
      </w:pPr>
      <w:r>
        <w:rPr>
          <w:rFonts w:hint="eastAsia" w:ascii="仿宋_GB2312" w:hAnsi="Calibri" w:eastAsia="仿宋_GB2312" w:cs="Calibri"/>
          <w:kern w:val="2"/>
          <w:sz w:val="28"/>
          <w:szCs w:val="28"/>
          <w:lang w:val="en-US" w:eastAsia="zh-CN" w:bidi="ar-SA"/>
        </w:rPr>
        <w:t>（二）胆石症术后</w:t>
      </w:r>
      <w:bookmarkStart w:id="1" w:name="_Toc129855049"/>
      <w:bookmarkStart w:id="2" w:name="_Toc130001562"/>
      <w:bookmarkStart w:id="3" w:name="_Toc130001751"/>
      <w:bookmarkStart w:id="4" w:name="_Toc130001592"/>
      <w:bookmarkStart w:id="5" w:name="_Toc129855215"/>
      <w:r>
        <w:rPr>
          <w:rFonts w:hint="eastAsia" w:ascii="仿宋_GB2312" w:hAnsi="Calibri" w:eastAsia="仿宋_GB2312" w:cs="Calibri"/>
          <w:kern w:val="2"/>
          <w:sz w:val="28"/>
          <w:szCs w:val="28"/>
          <w:lang w:val="en-US" w:eastAsia="zh-CN" w:bidi="ar-SA"/>
        </w:rPr>
        <w:t>康复</w:t>
      </w:r>
    </w:p>
    <w:p w14:paraId="09C56376">
      <w:pPr>
        <w:pStyle w:val="27"/>
        <w:ind w:firstLine="562"/>
        <w:rPr>
          <w:b/>
        </w:rPr>
      </w:pPr>
      <w:r>
        <w:rPr>
          <w:rFonts w:hint="eastAsia"/>
          <w:b/>
        </w:rPr>
        <w:t>1</w:t>
      </w:r>
      <w:bookmarkEnd w:id="1"/>
      <w:bookmarkEnd w:id="2"/>
      <w:bookmarkEnd w:id="3"/>
      <w:bookmarkEnd w:id="4"/>
      <w:bookmarkEnd w:id="5"/>
      <w:r>
        <w:rPr>
          <w:rFonts w:hint="eastAsia"/>
          <w:b/>
        </w:rPr>
        <w:t>.</w:t>
      </w:r>
      <w:r>
        <w:rPr>
          <w:rFonts w:hint="eastAsia"/>
          <w:b/>
          <w:lang w:eastAsia="zh-CN"/>
        </w:rPr>
        <w:t>远近期表现</w:t>
      </w:r>
      <w:r>
        <w:rPr>
          <w:rFonts w:hint="eastAsia"/>
          <w:b/>
        </w:rPr>
        <w:t>症状</w:t>
      </w:r>
    </w:p>
    <w:p w14:paraId="75454AE1">
      <w:pPr>
        <w:pStyle w:val="27"/>
        <w:rPr>
          <w:rFonts w:hint="eastAsia" w:ascii="仿宋_GB2312" w:hAnsi="Calibri" w:eastAsia="仿宋_GB2312" w:cs="Calibri"/>
          <w:kern w:val="2"/>
          <w:sz w:val="28"/>
          <w:szCs w:val="28"/>
          <w:lang w:val="en-US" w:eastAsia="zh-CN" w:bidi="ar-SA"/>
        </w:rPr>
      </w:pPr>
      <w:r>
        <w:rPr>
          <w:rFonts w:hint="eastAsia" w:ascii="仿宋_GB2312" w:hAnsi="Calibri" w:eastAsia="仿宋_GB2312" w:cs="Calibri"/>
          <w:kern w:val="2"/>
          <w:sz w:val="28"/>
          <w:szCs w:val="28"/>
          <w:lang w:val="en-US" w:eastAsia="zh-CN" w:bidi="ar-SA"/>
        </w:rPr>
        <w:t>主要症状和次要症状根据何清湖,秦国政.中医外科学[M].北京:人民卫生出版社,2016.和胆石症术后的临床表现并结合多年的中医经验进行确定。症状依据及5种不同证型分类主要依据胆石症中西医结合诊疗共识意见(2017年)[J].中国中西医结合消化杂志,2018,26(02):132-138.</w:t>
      </w:r>
    </w:p>
    <w:p w14:paraId="1188A796">
      <w:pPr>
        <w:pStyle w:val="31"/>
        <w:numPr>
          <w:ilvl w:val="0"/>
          <w:numId w:val="0"/>
        </w:numPr>
        <w:spacing w:before="0" w:after="0" w:line="520" w:lineRule="exact"/>
        <w:rPr>
          <w:rFonts w:ascii="仿宋_GB2312" w:eastAsia="仿宋_GB2312" w:cs="仿宋"/>
          <w:b/>
          <w:bCs/>
          <w:sz w:val="28"/>
          <w:szCs w:val="28"/>
        </w:rPr>
      </w:pPr>
      <w:bookmarkStart w:id="6" w:name="_Toc129855217"/>
      <w:bookmarkStart w:id="7" w:name="_Toc130001594"/>
      <w:bookmarkStart w:id="8" w:name="_Toc129855053"/>
      <w:r>
        <w:rPr>
          <w:rFonts w:hint="eastAsia" w:ascii="仿宋_GB2312" w:eastAsia="仿宋_GB2312" w:cs="仿宋"/>
          <w:b/>
          <w:bCs/>
          <w:sz w:val="28"/>
          <w:szCs w:val="28"/>
        </w:rPr>
        <w:t>2中医证型分型</w:t>
      </w:r>
      <w:bookmarkEnd w:id="6"/>
      <w:bookmarkEnd w:id="7"/>
      <w:bookmarkEnd w:id="8"/>
    </w:p>
    <w:p w14:paraId="29021B55">
      <w:pPr>
        <w:pStyle w:val="31"/>
        <w:numPr>
          <w:ilvl w:val="0"/>
          <w:numId w:val="0"/>
        </w:numPr>
        <w:spacing w:before="0" w:after="0" w:line="520" w:lineRule="exact"/>
        <w:ind w:firstLine="560" w:firstLineChars="200"/>
        <w:rPr>
          <w:rFonts w:hint="eastAsia" w:ascii="仿宋_GB2312" w:eastAsia="仿宋_GB2312" w:cs="仿宋"/>
          <w:bCs/>
          <w:sz w:val="28"/>
          <w:szCs w:val="28"/>
        </w:rPr>
      </w:pPr>
      <w:r>
        <w:rPr>
          <w:rFonts w:hint="eastAsia" w:ascii="仿宋_GB2312" w:eastAsia="仿宋_GB2312" w:cs="仿宋"/>
          <w:bCs/>
          <w:sz w:val="28"/>
          <w:szCs w:val="28"/>
        </w:rPr>
        <w:t>主要参照中医证型主要依据：胆石症中西医结合诊疗共识意见(2017年)同时结合广西中医药大学第一附属医院对胆石症术后经验确定了“</w:t>
      </w:r>
      <w:bookmarkStart w:id="9" w:name="_Toc129855054"/>
      <w:r>
        <w:rPr>
          <w:rFonts w:hint="eastAsia" w:ascii="仿宋_GB2312" w:eastAsia="仿宋_GB2312" w:cs="仿宋"/>
          <w:bCs/>
          <w:sz w:val="28"/>
          <w:szCs w:val="28"/>
        </w:rPr>
        <w:t>肝郁脾虚证</w:t>
      </w:r>
      <w:bookmarkEnd w:id="9"/>
      <w:r>
        <w:rPr>
          <w:rFonts w:hint="eastAsia" w:ascii="仿宋_GB2312" w:eastAsia="仿宋_GB2312" w:cs="仿宋"/>
          <w:bCs/>
          <w:sz w:val="28"/>
          <w:szCs w:val="28"/>
        </w:rPr>
        <w:t>、</w:t>
      </w:r>
      <w:bookmarkStart w:id="10" w:name="_Toc129855055"/>
      <w:r>
        <w:rPr>
          <w:rFonts w:hint="eastAsia" w:ascii="仿宋_GB2312" w:eastAsia="仿宋_GB2312" w:cs="仿宋"/>
          <w:bCs/>
          <w:sz w:val="28"/>
          <w:szCs w:val="28"/>
        </w:rPr>
        <w:t>肝阴不足证</w:t>
      </w:r>
      <w:bookmarkEnd w:id="10"/>
      <w:r>
        <w:rPr>
          <w:rFonts w:hint="eastAsia" w:ascii="仿宋_GB2312" w:eastAsia="仿宋_GB2312" w:cs="仿宋"/>
          <w:bCs/>
          <w:sz w:val="28"/>
          <w:szCs w:val="28"/>
        </w:rPr>
        <w:t>、</w:t>
      </w:r>
      <w:bookmarkStart w:id="11" w:name="_Toc129855056"/>
      <w:r>
        <w:rPr>
          <w:rFonts w:hint="eastAsia" w:ascii="仿宋_GB2312" w:eastAsia="仿宋_GB2312" w:cs="仿宋"/>
          <w:bCs/>
          <w:sz w:val="28"/>
          <w:szCs w:val="28"/>
        </w:rPr>
        <w:t>瘀血阻滞证</w:t>
      </w:r>
      <w:bookmarkEnd w:id="11"/>
      <w:r>
        <w:rPr>
          <w:rFonts w:hint="eastAsia" w:ascii="仿宋_GB2312" w:eastAsia="仿宋_GB2312" w:cs="仿宋"/>
          <w:bCs/>
          <w:sz w:val="28"/>
          <w:szCs w:val="28"/>
        </w:rPr>
        <w:t>、</w:t>
      </w:r>
      <w:bookmarkStart w:id="12" w:name="_Toc129855057"/>
      <w:r>
        <w:rPr>
          <w:rFonts w:hint="eastAsia" w:ascii="仿宋_GB2312" w:eastAsia="仿宋_GB2312" w:cs="仿宋"/>
          <w:bCs/>
          <w:sz w:val="28"/>
          <w:szCs w:val="28"/>
        </w:rPr>
        <w:t>肝郁气滞证</w:t>
      </w:r>
      <w:bookmarkEnd w:id="12"/>
      <w:r>
        <w:rPr>
          <w:rFonts w:hint="eastAsia" w:ascii="仿宋_GB2312" w:eastAsia="仿宋_GB2312" w:cs="仿宋"/>
          <w:bCs/>
          <w:sz w:val="28"/>
          <w:szCs w:val="28"/>
        </w:rPr>
        <w:t>、</w:t>
      </w:r>
      <w:bookmarkStart w:id="13" w:name="_Toc129855058"/>
      <w:r>
        <w:rPr>
          <w:rFonts w:hint="eastAsia" w:ascii="仿宋_GB2312" w:eastAsia="仿宋_GB2312" w:cs="仿宋"/>
          <w:bCs/>
          <w:sz w:val="28"/>
          <w:szCs w:val="28"/>
        </w:rPr>
        <w:t>肝胆湿热证</w:t>
      </w:r>
      <w:bookmarkEnd w:id="13"/>
      <w:r>
        <w:rPr>
          <w:rFonts w:hint="eastAsia" w:ascii="仿宋_GB2312" w:eastAsia="仿宋_GB2312" w:cs="仿宋"/>
          <w:bCs/>
          <w:sz w:val="28"/>
          <w:szCs w:val="28"/>
        </w:rPr>
        <w:t>”5个证候。其中</w:t>
      </w:r>
      <w:r>
        <w:rPr>
          <w:rFonts w:hint="eastAsia" w:ascii="仿宋_GB2312" w:eastAsia="仿宋_GB2312" w:cs="仿宋"/>
          <w:bCs/>
          <w:sz w:val="28"/>
          <w:szCs w:val="28"/>
          <w:lang w:eastAsia="zh-CN"/>
        </w:rPr>
        <w:t>在共识的基础上，增加了</w:t>
      </w:r>
      <w:r>
        <w:rPr>
          <w:rFonts w:hint="eastAsia" w:ascii="仿宋_GB2312" w:eastAsia="仿宋_GB2312" w:cs="仿宋"/>
          <w:bCs/>
          <w:sz w:val="28"/>
          <w:szCs w:val="28"/>
        </w:rPr>
        <w:t>肝郁脾虚证</w:t>
      </w:r>
      <w:r>
        <w:rPr>
          <w:rFonts w:hint="eastAsia" w:ascii="仿宋_GB2312" w:eastAsia="仿宋_GB2312" w:cs="仿宋"/>
          <w:bCs/>
          <w:sz w:val="28"/>
          <w:szCs w:val="28"/>
          <w:lang w:eastAsia="zh-CN"/>
        </w:rPr>
        <w:t>，</w:t>
      </w:r>
      <w:r>
        <w:rPr>
          <w:rFonts w:hint="eastAsia" w:ascii="仿宋_GB2312" w:eastAsia="仿宋_GB2312" w:cs="仿宋"/>
          <w:bCs/>
          <w:sz w:val="28"/>
          <w:szCs w:val="28"/>
        </w:rPr>
        <w:t>郁脾虚证为本医疗团队经过多年钻研中医经典及自身中医诊疗经验得出的证型</w:t>
      </w:r>
      <w:r>
        <w:rPr>
          <w:rFonts w:hint="eastAsia" w:ascii="仿宋_GB2312" w:eastAsia="仿宋_GB2312" w:cs="仿宋"/>
          <w:bCs/>
          <w:sz w:val="28"/>
          <w:szCs w:val="28"/>
          <w:lang w:eastAsia="zh-CN"/>
        </w:rPr>
        <w:t>，符合临床表现</w:t>
      </w:r>
      <w:r>
        <w:rPr>
          <w:rFonts w:hint="eastAsia" w:ascii="仿宋_GB2312" w:eastAsia="仿宋_GB2312" w:cs="仿宋"/>
          <w:bCs/>
          <w:sz w:val="28"/>
          <w:szCs w:val="28"/>
        </w:rPr>
        <w:t>。</w:t>
      </w:r>
    </w:p>
    <w:p w14:paraId="20B28632">
      <w:pPr>
        <w:pStyle w:val="29"/>
        <w:numPr>
          <w:ilvl w:val="0"/>
          <w:numId w:val="0"/>
        </w:numPr>
        <w:spacing w:before="0" w:beforeLines="0" w:after="0" w:afterLines="0" w:line="520" w:lineRule="exact"/>
        <w:rPr>
          <w:rFonts w:ascii="仿宋_GB2312" w:eastAsia="仿宋_GB2312"/>
          <w:b/>
          <w:sz w:val="28"/>
          <w:szCs w:val="28"/>
        </w:rPr>
      </w:pPr>
      <w:bookmarkStart w:id="14" w:name="_Toc130001563"/>
      <w:bookmarkStart w:id="15" w:name="_Toc130001595"/>
      <w:bookmarkStart w:id="16" w:name="_Toc130001752"/>
      <w:bookmarkStart w:id="17" w:name="_Toc129855218"/>
      <w:bookmarkStart w:id="18" w:name="_Toc129855059"/>
      <w:r>
        <w:rPr>
          <w:rFonts w:hint="eastAsia" w:ascii="仿宋_GB2312" w:eastAsia="仿宋_GB2312"/>
          <w:b/>
          <w:sz w:val="28"/>
          <w:szCs w:val="28"/>
        </w:rPr>
        <w:t>（三）干预</w:t>
      </w:r>
      <w:bookmarkEnd w:id="14"/>
      <w:bookmarkEnd w:id="15"/>
      <w:bookmarkEnd w:id="16"/>
      <w:bookmarkEnd w:id="17"/>
      <w:bookmarkEnd w:id="18"/>
      <w:r>
        <w:rPr>
          <w:rFonts w:hint="eastAsia" w:ascii="仿宋_GB2312" w:eastAsia="仿宋_GB2312"/>
          <w:b/>
          <w:sz w:val="28"/>
          <w:szCs w:val="28"/>
        </w:rPr>
        <w:t>治疗</w:t>
      </w:r>
    </w:p>
    <w:p w14:paraId="6EBEF2A6">
      <w:pPr>
        <w:spacing w:line="520" w:lineRule="exact"/>
        <w:ind w:firstLine="560" w:firstLineChars="200"/>
        <w:rPr>
          <w:rFonts w:ascii="仿宋_GB2312" w:hAnsi="宋体" w:eastAsia="仿宋_GB2312"/>
          <w:sz w:val="28"/>
          <w:szCs w:val="28"/>
        </w:rPr>
      </w:pPr>
      <w:r>
        <w:rPr>
          <w:rFonts w:hint="eastAsia" w:ascii="仿宋_GB2312" w:hAnsi="宋体" w:eastAsia="仿宋_GB2312"/>
          <w:sz w:val="28"/>
          <w:szCs w:val="28"/>
        </w:rPr>
        <w:t>治疗的方法包含内治法与外治法。内治法根据证型分类的要求给出了不同的治法、方药，各种方药均经过广西中医药大学第一附属医院临床验证，治疗的方法主要依据多年的诊疗经验确定。外治法根据证型给出了不同的常用药、穴位选择，操作方法疗程等要求。近3年来，广西中医药大学第一附属医院接肝胆外科患者数量达5000人次，中医药作为胆石症保守治疗和辅助手术治疗的主要手段,能预防胆结石形成、处理术后残留结石、降低结石复发率，治疗有效率达90%以上。</w:t>
      </w:r>
    </w:p>
    <w:p w14:paraId="30BEEDCA">
      <w:pPr>
        <w:pStyle w:val="31"/>
        <w:numPr>
          <w:ilvl w:val="0"/>
          <w:numId w:val="0"/>
        </w:numPr>
        <w:spacing w:before="0" w:after="0" w:line="520" w:lineRule="exact"/>
        <w:rPr>
          <w:rFonts w:ascii="仿宋_GB2312" w:eastAsia="仿宋_GB2312"/>
          <w:b/>
          <w:sz w:val="28"/>
          <w:szCs w:val="28"/>
        </w:rPr>
      </w:pPr>
      <w:r>
        <w:rPr>
          <w:rFonts w:hint="eastAsia" w:ascii="仿宋_GB2312" w:eastAsia="仿宋_GB2312"/>
          <w:b/>
          <w:sz w:val="28"/>
          <w:szCs w:val="28"/>
        </w:rPr>
        <w:t>3.1中医内治法</w:t>
      </w:r>
    </w:p>
    <w:p w14:paraId="16589613">
      <w:pPr>
        <w:pStyle w:val="30"/>
        <w:spacing w:before="0" w:beforeLines="0" w:after="0" w:afterLines="0" w:line="520" w:lineRule="exact"/>
        <w:rPr>
          <w:rFonts w:ascii="仿宋_GB2312" w:eastAsia="仿宋_GB2312"/>
          <w:b/>
          <w:sz w:val="28"/>
          <w:szCs w:val="28"/>
        </w:rPr>
      </w:pPr>
      <w:r>
        <w:rPr>
          <w:rFonts w:hint="eastAsia" w:ascii="仿宋_GB2312" w:eastAsia="仿宋_GB2312"/>
          <w:b/>
          <w:sz w:val="28"/>
          <w:szCs w:val="28"/>
        </w:rPr>
        <w:t>3.1.1</w:t>
      </w:r>
      <w:bookmarkStart w:id="19" w:name="_Toc129855061"/>
      <w:r>
        <w:rPr>
          <w:rFonts w:hint="eastAsia" w:ascii="仿宋_GB2312" w:eastAsia="仿宋_GB2312"/>
          <w:b/>
          <w:sz w:val="28"/>
          <w:szCs w:val="28"/>
        </w:rPr>
        <w:t>肝郁脾虚证</w:t>
      </w:r>
      <w:bookmarkEnd w:id="19"/>
    </w:p>
    <w:p w14:paraId="3D09D450">
      <w:pPr>
        <w:pStyle w:val="37"/>
        <w:numPr>
          <w:ilvl w:val="0"/>
          <w:numId w:val="0"/>
        </w:numPr>
        <w:spacing w:before="0" w:beforeLines="0" w:after="0" w:afterLines="0" w:line="52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治法为疏肝健脾。推荐方药：小柴胡汤合四君子汤加减。柴胡，黄芩，枳壳，白芍，党参，茯苓，白术，山药，金钱草，丹参，生甘草。兼脾气虚重者，加黄芪；兼脾阳虚者，合黄芪建中汤。</w:t>
      </w:r>
    </w:p>
    <w:p w14:paraId="417008DB">
      <w:pPr>
        <w:pStyle w:val="27"/>
        <w:rPr>
          <w:rFonts w:hint="eastAsia"/>
        </w:rPr>
      </w:pPr>
      <w:r>
        <w:rPr>
          <w:rFonts w:hint="eastAsia" w:ascii="仿宋_GB2312" w:hAnsi="Calibri" w:eastAsia="仿宋_GB2312" w:cs="仿宋"/>
          <w:bCs/>
          <w:sz w:val="28"/>
          <w:szCs w:val="28"/>
          <w:lang w:val="en-US" w:eastAsia="zh-CN" w:bidi="ar-SA"/>
        </w:rPr>
        <w:t>治疗方药选择“小柴胡汤合四君子汤”进行加减，主要参照[1]杨晓婷,张稳,刘文生.小柴胡汤合四君子汤加减方在肝郁脾虚证胆石症保胆术后的应用研究[J].湖北中医杂志,2019,41(12):28-30. [2]叶柏,陈静.徐景藩治疗胆囊炎、胆石症六法[J].江苏中医药,2014,46(08):11-13.等。</w:t>
      </w:r>
    </w:p>
    <w:p w14:paraId="0DB95FC8">
      <w:pPr>
        <w:pStyle w:val="31"/>
        <w:numPr>
          <w:ilvl w:val="0"/>
          <w:numId w:val="0"/>
        </w:numPr>
        <w:spacing w:before="0" w:after="0" w:line="520" w:lineRule="exact"/>
        <w:rPr>
          <w:rFonts w:ascii="仿宋_GB2312" w:eastAsia="仿宋_GB2312" w:cs="仿宋"/>
          <w:b/>
          <w:bCs/>
          <w:sz w:val="28"/>
          <w:szCs w:val="28"/>
        </w:rPr>
      </w:pPr>
      <w:r>
        <w:rPr>
          <w:rFonts w:hint="eastAsia" w:ascii="仿宋_GB2312" w:eastAsia="仿宋_GB2312" w:cs="仿宋"/>
          <w:b/>
          <w:bCs/>
          <w:sz w:val="28"/>
          <w:szCs w:val="28"/>
        </w:rPr>
        <w:t>3.1.2</w:t>
      </w:r>
      <w:bookmarkStart w:id="20" w:name="_Toc129855062"/>
      <w:r>
        <w:rPr>
          <w:rFonts w:hint="eastAsia" w:ascii="仿宋_GB2312" w:eastAsia="仿宋_GB2312" w:cs="仿宋"/>
          <w:b/>
          <w:bCs/>
          <w:sz w:val="28"/>
          <w:szCs w:val="28"/>
        </w:rPr>
        <w:t>肝阴不足证</w:t>
      </w:r>
      <w:bookmarkEnd w:id="20"/>
    </w:p>
    <w:p w14:paraId="0A402681">
      <w:pPr>
        <w:pStyle w:val="37"/>
        <w:numPr>
          <w:ilvl w:val="0"/>
          <w:numId w:val="0"/>
        </w:numPr>
        <w:spacing w:before="0" w:beforeLines="0" w:after="0" w:afterLines="0" w:line="52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治法为滋阴补肝。方药：一贯煎加减。生地黄、沙参、麦冬、阿胶、赤芍、白芍、枸杞子、川楝子、鸡内金、丹参、枳壳。</w:t>
      </w:r>
    </w:p>
    <w:p w14:paraId="24E33028">
      <w:pPr>
        <w:pStyle w:val="37"/>
        <w:numPr>
          <w:ilvl w:val="0"/>
          <w:numId w:val="0"/>
        </w:numPr>
        <w:spacing w:before="0" w:beforeLines="0" w:after="0" w:afterLines="0" w:line="520" w:lineRule="exact"/>
        <w:ind w:firstLine="560" w:firstLineChars="200"/>
        <w:rPr>
          <w:rFonts w:hint="eastAsia" w:ascii="仿宋_GB2312" w:eastAsia="仿宋_GB2312" w:cs="仿宋"/>
          <w:bCs/>
          <w:sz w:val="28"/>
          <w:szCs w:val="28"/>
        </w:rPr>
      </w:pPr>
      <w:r>
        <w:rPr>
          <w:rFonts w:hint="eastAsia" w:ascii="仿宋_GB2312" w:eastAsia="仿宋_GB2312" w:cs="仿宋"/>
          <w:bCs/>
          <w:sz w:val="28"/>
          <w:szCs w:val="28"/>
        </w:rPr>
        <w:t>治疗方药选择“一贯煎”进行加减，主要参照：胆石症中西医结合诊疗共识意见(2017年)以及论文严仕梦,李法宝,吕婵等.基于“胆病从肝论治”探讨胆囊术后综合征的中医证治[J].云南中医中药杂志,2023,44(02):91-95.</w:t>
      </w:r>
    </w:p>
    <w:p w14:paraId="3AB51BFD">
      <w:pPr>
        <w:pStyle w:val="31"/>
        <w:numPr>
          <w:ilvl w:val="0"/>
          <w:numId w:val="0"/>
        </w:numPr>
        <w:spacing w:before="0" w:after="0" w:line="520" w:lineRule="exact"/>
        <w:rPr>
          <w:rFonts w:ascii="仿宋_GB2312" w:eastAsia="仿宋_GB2312" w:cs="仿宋"/>
          <w:b/>
          <w:bCs/>
          <w:sz w:val="28"/>
          <w:szCs w:val="28"/>
        </w:rPr>
      </w:pPr>
      <w:r>
        <w:rPr>
          <w:rFonts w:hint="eastAsia" w:ascii="仿宋_GB2312" w:eastAsia="仿宋_GB2312" w:cs="仿宋"/>
          <w:b/>
          <w:bCs/>
          <w:sz w:val="28"/>
          <w:szCs w:val="28"/>
        </w:rPr>
        <w:t>3.1.</w:t>
      </w:r>
      <w:bookmarkStart w:id="21" w:name="_Toc129855063"/>
      <w:r>
        <w:rPr>
          <w:rFonts w:hint="eastAsia" w:ascii="仿宋_GB2312" w:eastAsia="仿宋_GB2312" w:cs="仿宋"/>
          <w:b/>
          <w:bCs/>
          <w:sz w:val="28"/>
          <w:szCs w:val="28"/>
        </w:rPr>
        <w:t>3瘀血阻滞证</w:t>
      </w:r>
      <w:bookmarkEnd w:id="21"/>
    </w:p>
    <w:p w14:paraId="0DBEA120">
      <w:pPr>
        <w:pStyle w:val="37"/>
        <w:numPr>
          <w:ilvl w:val="0"/>
          <w:numId w:val="0"/>
        </w:numPr>
        <w:spacing w:before="0" w:beforeLines="0" w:after="0" w:afterLines="0" w:line="52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治法为活血化瘀。推荐方药：大柴胡汤合大黄牡丹汤加减：柴胡、黄芩、半夏、枳实、白芍、大黄、生姜、大枣、牡丹皮、桃仁、冬瓜仁、芒硝。瘀血较重者，可加三棱、莪术、虻虫活血破瘀；疼痛明显者，加乳香、没药、丹参活血止痛。用以大柴胡汤为底方，内泻热结；大黄牡丹汤出自《金匮要略》，功用泄热破淤，消肿散结，用于治疗肠痈初起。助大柴胡汤清泻里热。</w:t>
      </w:r>
    </w:p>
    <w:p w14:paraId="72BCD8ED">
      <w:pPr>
        <w:pStyle w:val="37"/>
        <w:numPr>
          <w:ilvl w:val="0"/>
          <w:numId w:val="0"/>
        </w:numPr>
        <w:spacing w:before="0" w:beforeLines="0" w:after="0" w:afterLines="0" w:line="520" w:lineRule="exact"/>
        <w:ind w:firstLine="560" w:firstLineChars="200"/>
        <w:rPr>
          <w:rFonts w:hint="eastAsia" w:ascii="仿宋_GB2312" w:eastAsia="仿宋_GB2312" w:cs="仿宋"/>
          <w:bCs/>
          <w:sz w:val="28"/>
          <w:szCs w:val="28"/>
        </w:rPr>
      </w:pPr>
      <w:r>
        <w:rPr>
          <w:rFonts w:hint="eastAsia" w:ascii="仿宋_GB2312" w:eastAsia="仿宋_GB2312" w:cs="仿宋"/>
          <w:bCs/>
          <w:sz w:val="28"/>
          <w:szCs w:val="28"/>
        </w:rPr>
        <w:t>治疗方药选择“大柴胡汤合大黄牡丹汤”进行加减，主要参照胆石症中西医结合诊疗共识意见（2017年）中关于淤血阻滞证型的诊疗方案。</w:t>
      </w:r>
    </w:p>
    <w:p w14:paraId="7AB72F62">
      <w:pPr>
        <w:pStyle w:val="37"/>
        <w:numPr>
          <w:ilvl w:val="0"/>
          <w:numId w:val="0"/>
        </w:numPr>
        <w:spacing w:before="0" w:beforeLines="0" w:after="0" w:afterLines="0" w:line="520" w:lineRule="exact"/>
        <w:ind w:firstLine="560" w:firstLineChars="200"/>
        <w:rPr>
          <w:rFonts w:hint="eastAsia" w:eastAsiaTheme="minorEastAsia"/>
        </w:rPr>
      </w:pPr>
      <w:r>
        <w:rPr>
          <w:rFonts w:hint="eastAsia" w:ascii="仿宋_GB2312" w:eastAsia="仿宋_GB2312" w:cs="仿宋"/>
          <w:bCs/>
          <w:sz w:val="28"/>
          <w:szCs w:val="28"/>
        </w:rPr>
        <w:t>[1]于天祥,于泽荣,李琳.刘长运应用大柴胡汤加减治疗胆石症的经验[J].中国继续医学教育,2021,13(16):160-165.</w:t>
      </w:r>
    </w:p>
    <w:p w14:paraId="72B9F6BB">
      <w:pPr>
        <w:pStyle w:val="31"/>
        <w:numPr>
          <w:ilvl w:val="0"/>
          <w:numId w:val="0"/>
        </w:numPr>
        <w:spacing w:before="0" w:after="0" w:line="520" w:lineRule="exact"/>
        <w:rPr>
          <w:rFonts w:ascii="仿宋_GB2312" w:eastAsia="仿宋_GB2312" w:cs="仿宋"/>
          <w:b/>
          <w:bCs/>
          <w:sz w:val="28"/>
          <w:szCs w:val="28"/>
        </w:rPr>
      </w:pPr>
      <w:r>
        <w:rPr>
          <w:rFonts w:hint="eastAsia" w:ascii="仿宋_GB2312" w:eastAsia="仿宋_GB2312" w:cs="仿宋"/>
          <w:b/>
          <w:bCs/>
          <w:sz w:val="28"/>
          <w:szCs w:val="28"/>
        </w:rPr>
        <w:t>3.1.</w:t>
      </w:r>
      <w:bookmarkStart w:id="22" w:name="_Toc129855064"/>
      <w:r>
        <w:rPr>
          <w:rFonts w:hint="eastAsia" w:ascii="仿宋_GB2312" w:eastAsia="仿宋_GB2312" w:cs="仿宋"/>
          <w:b/>
          <w:bCs/>
          <w:sz w:val="28"/>
          <w:szCs w:val="28"/>
        </w:rPr>
        <w:t>4肝郁气滞证</w:t>
      </w:r>
      <w:bookmarkEnd w:id="22"/>
    </w:p>
    <w:p w14:paraId="49A44363">
      <w:pPr>
        <w:pStyle w:val="37"/>
        <w:numPr>
          <w:ilvl w:val="0"/>
          <w:numId w:val="0"/>
        </w:numPr>
        <w:spacing w:before="0" w:beforeLines="0" w:after="0" w:afterLines="0" w:line="52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治法为疏肝理气。方药：四逆散加减。柴胡、白芍、枳壳、香附、川芎、陈皮、金钱草、炙甘草、茵陈。伴有口干口苦，失眠，苔黄，脉弦数，气郁化火，痰火扰心者加丹皮、栀子、黄连；伴胸胁苦满疼痛，叹息，肝气郁结较重者，可加川楝子，香附。四逆散原治“少阴病，四逆”，即气机郁遏，阳气内郁，不能达于四肢，而见手足不温。临床上常用以治疗“肝气郁结，疏泄失常”，肝木乘土，则见脘腹疼痛，或泄利下重。</w:t>
      </w:r>
    </w:p>
    <w:p w14:paraId="5AE98AA4">
      <w:pPr>
        <w:pStyle w:val="37"/>
        <w:numPr>
          <w:ilvl w:val="0"/>
          <w:numId w:val="0"/>
        </w:numPr>
        <w:spacing w:before="0" w:beforeLines="0" w:after="0" w:afterLines="0" w:line="520" w:lineRule="exact"/>
        <w:ind w:firstLine="560" w:firstLineChars="200"/>
        <w:rPr>
          <w:rFonts w:hint="eastAsia" w:ascii="仿宋_GB2312" w:eastAsia="仿宋_GB2312" w:cs="仿宋"/>
          <w:bCs/>
          <w:sz w:val="28"/>
          <w:szCs w:val="28"/>
        </w:rPr>
      </w:pPr>
      <w:r>
        <w:rPr>
          <w:rFonts w:hint="eastAsia" w:ascii="仿宋_GB2312" w:eastAsia="仿宋_GB2312" w:cs="仿宋"/>
          <w:bCs/>
          <w:sz w:val="28"/>
          <w:szCs w:val="28"/>
        </w:rPr>
        <w:t>治疗方药选择“四逆散”进行加减，该证型主要参考胆石症中西医结合诊疗共识意见（2017年）中关于肝郁气滞证型的诊疗方案。原共识意见中建议该证型用柴胡疏肝散加减，而本医疗团队在诊疗过程中体会到，四逆散加减的运用更加普遍，并且柴胡疏肝散由四逆散加味陈皮、香附、川芎而成，在肝郁气滞兼血瘀证中更加广泛。因此此处应该为四逆散加减更为准确。</w:t>
      </w:r>
    </w:p>
    <w:p w14:paraId="4237D821">
      <w:pPr>
        <w:pStyle w:val="31"/>
        <w:numPr>
          <w:ilvl w:val="0"/>
          <w:numId w:val="0"/>
        </w:numPr>
        <w:spacing w:before="0" w:after="0" w:line="520" w:lineRule="exact"/>
        <w:rPr>
          <w:rFonts w:ascii="仿宋_GB2312" w:eastAsia="仿宋_GB2312" w:cs="仿宋"/>
          <w:b/>
          <w:bCs/>
          <w:color w:val="0000FF"/>
          <w:sz w:val="28"/>
          <w:szCs w:val="28"/>
        </w:rPr>
      </w:pPr>
      <w:r>
        <w:rPr>
          <w:rFonts w:hint="eastAsia" w:ascii="仿宋_GB2312" w:eastAsia="仿宋_GB2312" w:cs="仿宋"/>
          <w:b/>
          <w:bCs/>
          <w:sz w:val="28"/>
          <w:szCs w:val="28"/>
        </w:rPr>
        <w:t>3.1.5</w:t>
      </w:r>
      <w:bookmarkStart w:id="23" w:name="_Toc129855065"/>
      <w:r>
        <w:rPr>
          <w:rFonts w:hint="eastAsia" w:ascii="仿宋_GB2312" w:eastAsia="仿宋_GB2312" w:cs="仿宋"/>
          <w:b/>
          <w:bCs/>
          <w:sz w:val="28"/>
          <w:szCs w:val="28"/>
        </w:rPr>
        <w:t>肝胆湿热证</w:t>
      </w:r>
      <w:bookmarkEnd w:id="23"/>
    </w:p>
    <w:p w14:paraId="51BBEA8E">
      <w:pPr>
        <w:pStyle w:val="37"/>
        <w:numPr>
          <w:ilvl w:val="0"/>
          <w:numId w:val="0"/>
        </w:numPr>
        <w:spacing w:before="0" w:beforeLines="0" w:after="0" w:afterLines="0" w:line="52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治法为清热祛湿。</w:t>
      </w:r>
    </w:p>
    <w:p w14:paraId="57CB03D4">
      <w:pPr>
        <w:pStyle w:val="37"/>
        <w:numPr>
          <w:ilvl w:val="0"/>
          <w:numId w:val="0"/>
        </w:numPr>
        <w:spacing w:before="0" w:beforeLines="0" w:after="0" w:afterLines="0" w:line="520" w:lineRule="exact"/>
        <w:ind w:firstLine="560" w:firstLineChars="200"/>
        <w:rPr>
          <w:rFonts w:ascii="仿宋_GB2312" w:eastAsia="仿宋_GB2312" w:cs="仿宋"/>
          <w:bCs/>
          <w:sz w:val="28"/>
          <w:szCs w:val="28"/>
        </w:rPr>
      </w:pPr>
      <w:r>
        <w:rPr>
          <w:rFonts w:hint="eastAsia" w:ascii="仿宋_GB2312" w:eastAsia="仿宋_GB2312" w:cs="仿宋"/>
          <w:bCs/>
          <w:sz w:val="28"/>
          <w:szCs w:val="28"/>
        </w:rPr>
        <w:t>推荐方药：柴胡金仙汤加减。柴胡、黄芩、厚朴、枳实、金钱草、茯苓、茵陈、郁金、大黄、甘草、威灵仙、鸡内金、虎枚、磁石。主要用于治疗半表半里热证合并里热证、里湿热证、里实热证急性胆道炎症、胆石症的中医药方剂。其以《伤寒论》大柴胡汤为底方，参考大黄灵仙汤的药物组成而成方，具有清热解毒，清肝利胆，解痉止痛，利湿退黄，促胆石排出的功效。合小陷胸汤后，更能发挥其清解里郁热的疗效。黄芩黄连泻心汤由黄连、</w:t>
      </w:r>
      <w:r>
        <w:rPr>
          <w:rFonts w:ascii="仿宋_GB2312" w:eastAsia="仿宋_GB2312" w:cs="仿宋"/>
          <w:bCs/>
          <w:sz w:val="28"/>
          <w:szCs w:val="28"/>
        </w:rPr>
        <w:t>黄芩</w:t>
      </w:r>
      <w:r>
        <w:rPr>
          <w:rFonts w:hint="eastAsia" w:ascii="仿宋_GB2312" w:eastAsia="仿宋_GB2312" w:cs="仿宋"/>
          <w:bCs/>
          <w:sz w:val="28"/>
          <w:szCs w:val="28"/>
        </w:rPr>
        <w:t>、</w:t>
      </w:r>
      <w:bookmarkStart w:id="63" w:name="_GoBack"/>
      <w:bookmarkEnd w:id="63"/>
      <w:r>
        <w:rPr>
          <w:rFonts w:ascii="仿宋_GB2312" w:eastAsia="仿宋_GB2312" w:cs="仿宋"/>
          <w:bCs/>
          <w:sz w:val="28"/>
          <w:szCs w:val="28"/>
        </w:rPr>
        <w:t>生地黄</w:t>
      </w:r>
      <w:r>
        <w:rPr>
          <w:rFonts w:hint="eastAsia" w:ascii="仿宋_GB2312" w:eastAsia="仿宋_GB2312" w:cs="仿宋"/>
          <w:bCs/>
          <w:sz w:val="28"/>
          <w:szCs w:val="28"/>
        </w:rPr>
        <w:t>、</w:t>
      </w:r>
      <w:r>
        <w:rPr>
          <w:rFonts w:ascii="仿宋_GB2312" w:eastAsia="仿宋_GB2312" w:cs="仿宋"/>
          <w:bCs/>
          <w:sz w:val="28"/>
          <w:szCs w:val="28"/>
        </w:rPr>
        <w:t>知母</w:t>
      </w:r>
      <w:r>
        <w:rPr>
          <w:rFonts w:hint="eastAsia" w:ascii="仿宋_GB2312" w:eastAsia="仿宋_GB2312" w:cs="仿宋"/>
          <w:bCs/>
          <w:sz w:val="28"/>
          <w:szCs w:val="28"/>
        </w:rPr>
        <w:t>、</w:t>
      </w:r>
      <w:r>
        <w:rPr>
          <w:rFonts w:ascii="仿宋_GB2312" w:eastAsia="仿宋_GB2312" w:cs="仿宋"/>
          <w:bCs/>
          <w:sz w:val="28"/>
          <w:szCs w:val="28"/>
        </w:rPr>
        <w:t>甘草</w:t>
      </w:r>
      <w:r>
        <w:rPr>
          <w:rFonts w:hint="eastAsia" w:ascii="仿宋_GB2312" w:eastAsia="仿宋_GB2312" w:cs="仿宋"/>
          <w:bCs/>
          <w:sz w:val="28"/>
          <w:szCs w:val="28"/>
        </w:rPr>
        <w:t>组成，其中黄连、黄芩具有清热燥湿，泻火解毒的功效，在柴胡金仙汤的用药基础之上增加燥湿泄热的功效。</w:t>
      </w:r>
    </w:p>
    <w:p w14:paraId="26223D7A">
      <w:pPr>
        <w:pStyle w:val="37"/>
        <w:numPr>
          <w:ilvl w:val="0"/>
          <w:numId w:val="0"/>
        </w:numPr>
        <w:spacing w:before="0" w:beforeLines="0" w:after="0" w:afterLines="0" w:line="520" w:lineRule="exact"/>
        <w:ind w:firstLine="560" w:firstLineChars="200"/>
        <w:rPr>
          <w:rFonts w:hint="eastAsia" w:ascii="仿宋_GB2312" w:eastAsia="仿宋_GB2312" w:cs="仿宋"/>
          <w:bCs/>
          <w:sz w:val="28"/>
          <w:szCs w:val="28"/>
        </w:rPr>
      </w:pPr>
      <w:r>
        <w:rPr>
          <w:rFonts w:hint="eastAsia" w:ascii="仿宋_GB2312" w:eastAsia="仿宋_GB2312" w:cs="仿宋"/>
          <w:bCs/>
          <w:sz w:val="28"/>
          <w:szCs w:val="28"/>
        </w:rPr>
        <w:t>治疗方药选择“柴胡金仙汤”进行加减，柴胡金仙汤治疗肝胆湿热型胆石症的临床观察目前正在进行中，从现有的案例可以窥见效果显著。胆石症中西医结合诊疗共识意见（2017年）对于肝胆湿热证的诊疗方案予以大柴胡汤加减，而柴胡金仙汤以《伤寒论》大柴胡汤为底方的自拟方，并结合了一部分大黄灵仙汤的药物以及组方特点，因此柴胡金仙汤治疗胆石症术后肝胆湿热证可参照一部分大黄灵仙汤的临床效果。</w:t>
      </w:r>
    </w:p>
    <w:p w14:paraId="21B7D3B2">
      <w:pPr>
        <w:pStyle w:val="37"/>
        <w:numPr>
          <w:ilvl w:val="0"/>
          <w:numId w:val="0"/>
        </w:numPr>
        <w:spacing w:before="0" w:beforeLines="0" w:after="0" w:afterLines="0" w:line="520" w:lineRule="exact"/>
        <w:ind w:firstLine="560" w:firstLineChars="200"/>
        <w:rPr>
          <w:rFonts w:ascii="仿宋_GB2312" w:eastAsia="仿宋_GB2312" w:cs="仿宋"/>
          <w:bCs/>
          <w:sz w:val="28"/>
          <w:szCs w:val="28"/>
        </w:rPr>
      </w:pPr>
      <w:r>
        <w:rPr>
          <w:rFonts w:hint="eastAsia" w:ascii="仿宋_GB2312" w:eastAsia="仿宋_GB2312" w:cs="仿宋"/>
          <w:bCs/>
          <w:sz w:val="28"/>
          <w:szCs w:val="28"/>
        </w:rPr>
        <w:t>观察自拟中药方大黄灵仙汤对胆石症的临床疗效及安全性。对60例胆石症患者临床治疗和观察9个月,治疗组总有效率90.0%。治疗组肝胆气郁型与肝胆湿热型患者有效率分别为92.86%、87.50%（见表1、图1）。</w:t>
      </w:r>
    </w:p>
    <w:p w14:paraId="0736C0BD">
      <w:pPr>
        <w:ind w:firstLine="2640" w:firstLineChars="1100"/>
        <w:rPr>
          <w:rFonts w:ascii="Times New Roman" w:hAnsi="Times New Roman" w:eastAsia="仿宋_GB2312"/>
          <w:sz w:val="24"/>
        </w:rPr>
      </w:pPr>
      <w:r>
        <w:rPr>
          <w:rFonts w:hint="eastAsia" w:ascii="Times New Roman" w:hAnsi="Times New Roman" w:eastAsia="仿宋_GB2312"/>
          <w:sz w:val="24"/>
        </w:rPr>
        <w:t>表1</w:t>
      </w:r>
      <w:r>
        <w:rPr>
          <w:rFonts w:ascii="Times New Roman" w:hAnsi="Times New Roman" w:eastAsia="仿宋_GB2312"/>
          <w:sz w:val="24"/>
        </w:rPr>
        <w:t>.</w:t>
      </w:r>
      <w:r>
        <w:rPr>
          <w:rFonts w:hint="eastAsia" w:ascii="Times New Roman" w:hAnsi="Times New Roman" w:eastAsia="仿宋_GB2312"/>
          <w:sz w:val="24"/>
        </w:rPr>
        <w:t>治疗组各证型有效率</w:t>
      </w:r>
    </w:p>
    <w:tbl>
      <w:tblPr>
        <w:tblStyle w:val="14"/>
        <w:tblpPr w:leftFromText="180" w:rightFromText="180" w:vertAnchor="text" w:horzAnchor="margin" w:tblpY="7"/>
        <w:tblOverlap w:val="never"/>
        <w:tblW w:w="0" w:type="auto"/>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864"/>
        <w:gridCol w:w="1276"/>
        <w:gridCol w:w="1417"/>
        <w:gridCol w:w="1276"/>
        <w:gridCol w:w="1227"/>
        <w:gridCol w:w="1765"/>
      </w:tblGrid>
      <w:tr w14:paraId="24A8308E">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864" w:type="dxa"/>
            <w:tcBorders>
              <w:top w:val="single" w:color="auto" w:sz="4" w:space="0"/>
              <w:bottom w:val="single" w:color="auto" w:sz="4" w:space="0"/>
            </w:tcBorders>
            <w:shd w:val="clear" w:color="auto" w:fill="auto"/>
            <w:vAlign w:val="center"/>
          </w:tcPr>
          <w:p w14:paraId="02944748">
            <w:pPr>
              <w:pStyle w:val="51"/>
              <w:rPr>
                <w:rFonts w:ascii="Times New Roman" w:hAnsi="Times New Roman" w:eastAsia="仿宋_GB2312"/>
                <w:sz w:val="24"/>
              </w:rPr>
            </w:pPr>
          </w:p>
        </w:tc>
        <w:tc>
          <w:tcPr>
            <w:tcW w:w="1276" w:type="dxa"/>
            <w:tcBorders>
              <w:top w:val="single" w:color="auto" w:sz="4" w:space="0"/>
              <w:bottom w:val="single" w:color="auto" w:sz="4" w:space="0"/>
            </w:tcBorders>
            <w:shd w:val="clear" w:color="auto" w:fill="auto"/>
            <w:vAlign w:val="center"/>
          </w:tcPr>
          <w:p w14:paraId="7B0783A5">
            <w:pPr>
              <w:pStyle w:val="51"/>
              <w:rPr>
                <w:rFonts w:ascii="Times New Roman" w:hAnsi="Times New Roman" w:eastAsia="仿宋_GB2312"/>
                <w:sz w:val="24"/>
              </w:rPr>
            </w:pPr>
            <w:r>
              <w:rPr>
                <w:rFonts w:ascii="Times New Roman" w:hAnsi="Times New Roman" w:eastAsia="仿宋_GB2312"/>
                <w:sz w:val="24"/>
              </w:rPr>
              <w:t>例数</w:t>
            </w:r>
          </w:p>
        </w:tc>
        <w:tc>
          <w:tcPr>
            <w:tcW w:w="1417" w:type="dxa"/>
            <w:tcBorders>
              <w:top w:val="single" w:color="auto" w:sz="4" w:space="0"/>
              <w:bottom w:val="single" w:color="auto" w:sz="4" w:space="0"/>
            </w:tcBorders>
            <w:shd w:val="clear" w:color="auto" w:fill="auto"/>
            <w:vAlign w:val="center"/>
          </w:tcPr>
          <w:p w14:paraId="0FD692AF">
            <w:pPr>
              <w:pStyle w:val="51"/>
              <w:rPr>
                <w:rFonts w:ascii="Times New Roman" w:hAnsi="Times New Roman" w:eastAsia="仿宋_GB2312"/>
                <w:sz w:val="24"/>
              </w:rPr>
            </w:pPr>
            <w:r>
              <w:rPr>
                <w:rFonts w:ascii="Times New Roman" w:hAnsi="Times New Roman" w:eastAsia="仿宋_GB2312"/>
                <w:sz w:val="24"/>
              </w:rPr>
              <w:t>治愈</w:t>
            </w:r>
          </w:p>
        </w:tc>
        <w:tc>
          <w:tcPr>
            <w:tcW w:w="1276" w:type="dxa"/>
            <w:tcBorders>
              <w:top w:val="single" w:color="auto" w:sz="4" w:space="0"/>
              <w:bottom w:val="single" w:color="auto" w:sz="4" w:space="0"/>
            </w:tcBorders>
            <w:shd w:val="clear" w:color="auto" w:fill="auto"/>
            <w:vAlign w:val="center"/>
          </w:tcPr>
          <w:p w14:paraId="26134B72">
            <w:pPr>
              <w:pStyle w:val="51"/>
              <w:rPr>
                <w:rFonts w:ascii="Times New Roman" w:hAnsi="Times New Roman" w:eastAsia="仿宋_GB2312"/>
                <w:sz w:val="24"/>
              </w:rPr>
            </w:pPr>
            <w:r>
              <w:rPr>
                <w:rFonts w:ascii="Times New Roman" w:hAnsi="Times New Roman" w:eastAsia="仿宋_GB2312"/>
                <w:sz w:val="24"/>
              </w:rPr>
              <w:t>好转</w:t>
            </w:r>
          </w:p>
        </w:tc>
        <w:tc>
          <w:tcPr>
            <w:tcW w:w="1227" w:type="dxa"/>
            <w:tcBorders>
              <w:top w:val="single" w:color="auto" w:sz="4" w:space="0"/>
              <w:bottom w:val="single" w:color="auto" w:sz="4" w:space="0"/>
            </w:tcBorders>
            <w:shd w:val="clear" w:color="auto" w:fill="auto"/>
            <w:vAlign w:val="center"/>
          </w:tcPr>
          <w:p w14:paraId="18197336">
            <w:pPr>
              <w:pStyle w:val="51"/>
              <w:rPr>
                <w:rFonts w:ascii="Times New Roman" w:hAnsi="Times New Roman" w:eastAsia="仿宋_GB2312"/>
                <w:sz w:val="24"/>
              </w:rPr>
            </w:pPr>
            <w:r>
              <w:rPr>
                <w:rFonts w:ascii="Times New Roman" w:hAnsi="Times New Roman" w:eastAsia="仿宋_GB2312"/>
                <w:sz w:val="24"/>
              </w:rPr>
              <w:t>未愈</w:t>
            </w:r>
          </w:p>
        </w:tc>
        <w:tc>
          <w:tcPr>
            <w:tcW w:w="1765" w:type="dxa"/>
            <w:tcBorders>
              <w:top w:val="single" w:color="auto" w:sz="4" w:space="0"/>
              <w:bottom w:val="single" w:color="auto" w:sz="4" w:space="0"/>
            </w:tcBorders>
            <w:shd w:val="clear" w:color="auto" w:fill="auto"/>
            <w:vAlign w:val="center"/>
          </w:tcPr>
          <w:p w14:paraId="5D25AEAA">
            <w:pPr>
              <w:pStyle w:val="51"/>
              <w:rPr>
                <w:rFonts w:ascii="Times New Roman" w:hAnsi="Times New Roman" w:eastAsia="仿宋_GB2312"/>
                <w:sz w:val="24"/>
              </w:rPr>
            </w:pPr>
            <w:r>
              <w:rPr>
                <w:rFonts w:ascii="Times New Roman" w:hAnsi="Times New Roman" w:eastAsia="仿宋_GB2312"/>
                <w:sz w:val="24"/>
              </w:rPr>
              <w:t>有效率</w:t>
            </w:r>
          </w:p>
        </w:tc>
      </w:tr>
      <w:tr w14:paraId="14743A45">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864" w:type="dxa"/>
            <w:tcBorders>
              <w:top w:val="single" w:color="auto" w:sz="4" w:space="0"/>
            </w:tcBorders>
            <w:shd w:val="clear" w:color="auto" w:fill="auto"/>
            <w:vAlign w:val="center"/>
          </w:tcPr>
          <w:p w14:paraId="2BD4D577">
            <w:pPr>
              <w:pStyle w:val="51"/>
              <w:rPr>
                <w:rFonts w:ascii="Times New Roman" w:hAnsi="Times New Roman" w:eastAsia="仿宋_GB2312"/>
                <w:sz w:val="24"/>
              </w:rPr>
            </w:pPr>
            <w:r>
              <w:rPr>
                <w:rFonts w:ascii="Times New Roman" w:hAnsi="Times New Roman" w:eastAsia="仿宋_GB2312"/>
                <w:sz w:val="24"/>
              </w:rPr>
              <w:t>肝胆气郁型</w:t>
            </w:r>
          </w:p>
        </w:tc>
        <w:tc>
          <w:tcPr>
            <w:tcW w:w="1276" w:type="dxa"/>
            <w:tcBorders>
              <w:top w:val="single" w:color="auto" w:sz="4" w:space="0"/>
            </w:tcBorders>
            <w:shd w:val="clear" w:color="auto" w:fill="auto"/>
            <w:vAlign w:val="center"/>
          </w:tcPr>
          <w:p w14:paraId="7F119F5A">
            <w:pPr>
              <w:pStyle w:val="51"/>
              <w:rPr>
                <w:rFonts w:ascii="Times New Roman" w:hAnsi="Times New Roman" w:eastAsia="仿宋_GB2312"/>
                <w:sz w:val="24"/>
              </w:rPr>
            </w:pPr>
            <w:r>
              <w:rPr>
                <w:rFonts w:ascii="Times New Roman" w:hAnsi="Times New Roman" w:eastAsia="仿宋_GB2312"/>
                <w:sz w:val="24"/>
              </w:rPr>
              <w:t>14</w:t>
            </w:r>
          </w:p>
        </w:tc>
        <w:tc>
          <w:tcPr>
            <w:tcW w:w="1417" w:type="dxa"/>
            <w:tcBorders>
              <w:top w:val="single" w:color="auto" w:sz="4" w:space="0"/>
            </w:tcBorders>
            <w:shd w:val="clear" w:color="auto" w:fill="auto"/>
            <w:vAlign w:val="center"/>
          </w:tcPr>
          <w:p w14:paraId="0F905FD0">
            <w:pPr>
              <w:pStyle w:val="51"/>
              <w:rPr>
                <w:rFonts w:ascii="Times New Roman" w:hAnsi="Times New Roman" w:eastAsia="仿宋_GB2312"/>
                <w:sz w:val="24"/>
              </w:rPr>
            </w:pPr>
            <w:r>
              <w:rPr>
                <w:rFonts w:ascii="Times New Roman" w:hAnsi="Times New Roman" w:eastAsia="仿宋_GB2312"/>
                <w:sz w:val="24"/>
              </w:rPr>
              <w:t>6</w:t>
            </w:r>
          </w:p>
        </w:tc>
        <w:tc>
          <w:tcPr>
            <w:tcW w:w="1276" w:type="dxa"/>
            <w:tcBorders>
              <w:top w:val="single" w:color="auto" w:sz="4" w:space="0"/>
            </w:tcBorders>
            <w:shd w:val="clear" w:color="auto" w:fill="auto"/>
            <w:vAlign w:val="center"/>
          </w:tcPr>
          <w:p w14:paraId="37DC6573">
            <w:pPr>
              <w:pStyle w:val="51"/>
              <w:rPr>
                <w:rFonts w:ascii="Times New Roman" w:hAnsi="Times New Roman" w:eastAsia="仿宋_GB2312"/>
                <w:sz w:val="24"/>
              </w:rPr>
            </w:pPr>
            <w:r>
              <w:rPr>
                <w:rFonts w:ascii="Times New Roman" w:hAnsi="Times New Roman" w:eastAsia="仿宋_GB2312"/>
                <w:sz w:val="24"/>
              </w:rPr>
              <w:t>7</w:t>
            </w:r>
          </w:p>
        </w:tc>
        <w:tc>
          <w:tcPr>
            <w:tcW w:w="1227" w:type="dxa"/>
            <w:tcBorders>
              <w:top w:val="single" w:color="auto" w:sz="4" w:space="0"/>
            </w:tcBorders>
            <w:shd w:val="clear" w:color="auto" w:fill="auto"/>
            <w:vAlign w:val="center"/>
          </w:tcPr>
          <w:p w14:paraId="26C4FFAE">
            <w:pPr>
              <w:pStyle w:val="51"/>
              <w:rPr>
                <w:rFonts w:ascii="Times New Roman" w:hAnsi="Times New Roman" w:eastAsia="仿宋_GB2312"/>
                <w:sz w:val="24"/>
              </w:rPr>
            </w:pPr>
            <w:r>
              <w:rPr>
                <w:rFonts w:ascii="Times New Roman" w:hAnsi="Times New Roman" w:eastAsia="仿宋_GB2312"/>
                <w:sz w:val="24"/>
              </w:rPr>
              <w:t>1</w:t>
            </w:r>
          </w:p>
        </w:tc>
        <w:tc>
          <w:tcPr>
            <w:tcW w:w="1765" w:type="dxa"/>
            <w:tcBorders>
              <w:top w:val="single" w:color="auto" w:sz="4" w:space="0"/>
            </w:tcBorders>
            <w:shd w:val="clear" w:color="auto" w:fill="auto"/>
            <w:vAlign w:val="center"/>
          </w:tcPr>
          <w:p w14:paraId="357A4EBA">
            <w:pPr>
              <w:pStyle w:val="51"/>
              <w:rPr>
                <w:rFonts w:ascii="Times New Roman" w:hAnsi="Times New Roman" w:eastAsia="仿宋_GB2312"/>
                <w:sz w:val="24"/>
              </w:rPr>
            </w:pPr>
            <w:r>
              <w:rPr>
                <w:rFonts w:ascii="Times New Roman" w:hAnsi="Times New Roman" w:eastAsia="仿宋_GB2312"/>
                <w:sz w:val="24"/>
              </w:rPr>
              <w:t>92.86%</w:t>
            </w:r>
          </w:p>
        </w:tc>
      </w:tr>
      <w:tr w14:paraId="1968BB64">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 w:hRule="atLeast"/>
        </w:trPr>
        <w:tc>
          <w:tcPr>
            <w:tcW w:w="1864" w:type="dxa"/>
            <w:shd w:val="clear" w:color="auto" w:fill="auto"/>
            <w:vAlign w:val="center"/>
          </w:tcPr>
          <w:p w14:paraId="3D3011A4">
            <w:pPr>
              <w:pStyle w:val="51"/>
              <w:rPr>
                <w:rFonts w:ascii="Times New Roman" w:hAnsi="Times New Roman" w:eastAsia="仿宋_GB2312"/>
                <w:sz w:val="24"/>
              </w:rPr>
            </w:pPr>
            <w:r>
              <w:rPr>
                <w:rFonts w:ascii="Times New Roman" w:hAnsi="Times New Roman" w:eastAsia="仿宋_GB2312"/>
                <w:sz w:val="24"/>
              </w:rPr>
              <w:t>肝胆湿热型</w:t>
            </w:r>
          </w:p>
        </w:tc>
        <w:tc>
          <w:tcPr>
            <w:tcW w:w="1276" w:type="dxa"/>
            <w:shd w:val="clear" w:color="auto" w:fill="auto"/>
            <w:vAlign w:val="center"/>
          </w:tcPr>
          <w:p w14:paraId="51FE504E">
            <w:pPr>
              <w:pStyle w:val="51"/>
              <w:rPr>
                <w:rFonts w:ascii="Times New Roman" w:hAnsi="Times New Roman" w:eastAsia="仿宋_GB2312"/>
                <w:sz w:val="24"/>
              </w:rPr>
            </w:pPr>
            <w:r>
              <w:rPr>
                <w:rFonts w:ascii="Times New Roman" w:hAnsi="Times New Roman" w:eastAsia="仿宋_GB2312"/>
                <w:sz w:val="24"/>
              </w:rPr>
              <w:t>16</w:t>
            </w:r>
          </w:p>
        </w:tc>
        <w:tc>
          <w:tcPr>
            <w:tcW w:w="1417" w:type="dxa"/>
            <w:shd w:val="clear" w:color="auto" w:fill="auto"/>
            <w:vAlign w:val="center"/>
          </w:tcPr>
          <w:p w14:paraId="36603892">
            <w:pPr>
              <w:pStyle w:val="51"/>
              <w:rPr>
                <w:rFonts w:ascii="Times New Roman" w:hAnsi="Times New Roman" w:eastAsia="仿宋_GB2312"/>
                <w:sz w:val="24"/>
              </w:rPr>
            </w:pPr>
            <w:r>
              <w:rPr>
                <w:rFonts w:ascii="Times New Roman" w:hAnsi="Times New Roman" w:eastAsia="仿宋_GB2312"/>
                <w:sz w:val="24"/>
              </w:rPr>
              <w:t>6</w:t>
            </w:r>
          </w:p>
        </w:tc>
        <w:tc>
          <w:tcPr>
            <w:tcW w:w="1276" w:type="dxa"/>
            <w:shd w:val="clear" w:color="auto" w:fill="auto"/>
            <w:vAlign w:val="center"/>
          </w:tcPr>
          <w:p w14:paraId="4BE034B4">
            <w:pPr>
              <w:pStyle w:val="51"/>
              <w:rPr>
                <w:rFonts w:ascii="Times New Roman" w:hAnsi="Times New Roman" w:eastAsia="仿宋_GB2312"/>
                <w:sz w:val="24"/>
              </w:rPr>
            </w:pPr>
            <w:r>
              <w:rPr>
                <w:rFonts w:hint="eastAsia" w:ascii="Times New Roman" w:hAnsi="Times New Roman" w:eastAsia="仿宋_GB2312"/>
                <w:sz w:val="24"/>
              </w:rPr>
              <w:t>8</w:t>
            </w:r>
          </w:p>
        </w:tc>
        <w:tc>
          <w:tcPr>
            <w:tcW w:w="1227" w:type="dxa"/>
            <w:shd w:val="clear" w:color="auto" w:fill="auto"/>
            <w:vAlign w:val="center"/>
          </w:tcPr>
          <w:p w14:paraId="4F47D9A3">
            <w:pPr>
              <w:pStyle w:val="51"/>
              <w:rPr>
                <w:rFonts w:ascii="Times New Roman" w:hAnsi="Times New Roman" w:eastAsia="仿宋_GB2312"/>
                <w:sz w:val="24"/>
              </w:rPr>
            </w:pPr>
            <w:r>
              <w:rPr>
                <w:rFonts w:ascii="Times New Roman" w:hAnsi="Times New Roman" w:eastAsia="仿宋_GB2312"/>
                <w:sz w:val="24"/>
              </w:rPr>
              <w:t>2</w:t>
            </w:r>
          </w:p>
        </w:tc>
        <w:tc>
          <w:tcPr>
            <w:tcW w:w="1765" w:type="dxa"/>
            <w:shd w:val="clear" w:color="auto" w:fill="auto"/>
            <w:vAlign w:val="center"/>
          </w:tcPr>
          <w:p w14:paraId="34077848">
            <w:pPr>
              <w:pStyle w:val="51"/>
              <w:rPr>
                <w:rFonts w:ascii="Times New Roman" w:hAnsi="Times New Roman" w:eastAsia="仿宋_GB2312"/>
                <w:sz w:val="24"/>
              </w:rPr>
            </w:pPr>
            <w:r>
              <w:rPr>
                <w:rFonts w:ascii="Times New Roman" w:hAnsi="Times New Roman" w:eastAsia="仿宋_GB2312"/>
                <w:sz w:val="24"/>
              </w:rPr>
              <w:t>87.50%</w:t>
            </w:r>
          </w:p>
        </w:tc>
      </w:tr>
    </w:tbl>
    <w:p w14:paraId="262D9400">
      <w:pPr>
        <w:pStyle w:val="2"/>
        <w:rPr>
          <w:rFonts w:hint="eastAsia"/>
        </w:rPr>
      </w:pPr>
    </w:p>
    <w:p w14:paraId="280D2EA4">
      <w:pPr>
        <w:rPr>
          <w:rFonts w:ascii="Times New Roman" w:hAnsi="Times New Roman" w:eastAsia="仿宋_GB2312"/>
          <w:sz w:val="24"/>
        </w:rPr>
      </w:pPr>
      <w:r>
        <w:drawing>
          <wp:anchor distT="0" distB="0" distL="114300" distR="114300" simplePos="0" relativeHeight="251659264" behindDoc="0" locked="0" layoutInCell="1" allowOverlap="1">
            <wp:simplePos x="0" y="0"/>
            <wp:positionH relativeFrom="column">
              <wp:posOffset>898525</wp:posOffset>
            </wp:positionH>
            <wp:positionV relativeFrom="paragraph">
              <wp:posOffset>231775</wp:posOffset>
            </wp:positionV>
            <wp:extent cx="3733800" cy="2207260"/>
            <wp:effectExtent l="0" t="0" r="0" b="2540"/>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3733800" cy="2207260"/>
                    </a:xfrm>
                    <a:prstGeom prst="rect">
                      <a:avLst/>
                    </a:prstGeom>
                  </pic:spPr>
                </pic:pic>
              </a:graphicData>
            </a:graphic>
          </wp:anchor>
        </w:drawing>
      </w:r>
      <w:r>
        <w:rPr>
          <w:rFonts w:hint="eastAsia" w:ascii="Times New Roman" w:hAnsi="Times New Roman" w:eastAsia="仿宋_GB2312"/>
          <w:sz w:val="24"/>
        </w:rPr>
        <w:t xml:space="preserve"> </w:t>
      </w:r>
      <w:r>
        <w:rPr>
          <w:rFonts w:ascii="Times New Roman" w:hAnsi="Times New Roman" w:eastAsia="仿宋_GB2312"/>
          <w:sz w:val="24"/>
        </w:rPr>
        <w:t xml:space="preserve">                        </w:t>
      </w:r>
    </w:p>
    <w:p w14:paraId="55B1E0E9">
      <w:pPr>
        <w:ind w:firstLine="2640" w:firstLineChars="1100"/>
        <w:rPr>
          <w:rFonts w:hint="eastAsia"/>
        </w:rPr>
      </w:pPr>
      <w:r>
        <w:rPr>
          <w:rFonts w:hint="eastAsia" w:ascii="Times New Roman" w:hAnsi="Times New Roman" w:eastAsia="仿宋_GB2312"/>
          <w:sz w:val="24"/>
        </w:rPr>
        <w:t>图1</w:t>
      </w:r>
      <w:r>
        <w:rPr>
          <w:rFonts w:ascii="Times New Roman" w:hAnsi="Times New Roman" w:eastAsia="仿宋_GB2312"/>
          <w:sz w:val="24"/>
        </w:rPr>
        <w:t>.</w:t>
      </w:r>
      <w:r>
        <w:rPr>
          <w:rFonts w:hint="eastAsia" w:ascii="Times New Roman" w:hAnsi="Times New Roman" w:eastAsia="仿宋_GB2312"/>
          <w:sz w:val="24"/>
        </w:rPr>
        <w:t>治疗组各证型有效率</w:t>
      </w:r>
    </w:p>
    <w:p w14:paraId="78A36E52">
      <w:pPr>
        <w:pStyle w:val="37"/>
        <w:numPr>
          <w:ilvl w:val="0"/>
          <w:numId w:val="0"/>
        </w:numPr>
        <w:spacing w:before="0" w:beforeLines="0" w:after="0" w:afterLines="0" w:line="520" w:lineRule="exact"/>
        <w:ind w:firstLine="560" w:firstLineChars="200"/>
        <w:rPr>
          <w:rFonts w:hint="eastAsia" w:ascii="仿宋_GB2312" w:eastAsia="仿宋_GB2312" w:cs="仿宋"/>
          <w:bCs/>
          <w:sz w:val="28"/>
          <w:szCs w:val="28"/>
        </w:rPr>
      </w:pPr>
      <w:r>
        <w:rPr>
          <w:rFonts w:ascii="仿宋_GB2312" w:eastAsia="仿宋_GB2312" w:cs="仿宋"/>
          <w:bCs/>
          <w:sz w:val="28"/>
          <w:szCs w:val="28"/>
        </w:rPr>
        <w:t>经</w:t>
      </w:r>
      <w:r>
        <w:rPr>
          <w:rFonts w:hint="eastAsia" w:ascii="仿宋_GB2312" w:eastAsia="仿宋_GB2312" w:cs="仿宋"/>
          <w:bCs/>
          <w:sz w:val="28"/>
          <w:szCs w:val="28"/>
        </w:rPr>
        <w:t>大黄灵仙汤干预后，治疗组与对照组的总胆固醇变化见表2，治疗前后有显著差异，治疗组总胆固醇下降较对照组明显。</w:t>
      </w:r>
    </w:p>
    <w:p w14:paraId="6039B095">
      <w:pPr>
        <w:pStyle w:val="37"/>
        <w:numPr>
          <w:ilvl w:val="0"/>
          <w:numId w:val="0"/>
        </w:numPr>
        <w:spacing w:before="0" w:beforeLines="0" w:after="0" w:afterLines="0" w:line="520" w:lineRule="exact"/>
        <w:jc w:val="center"/>
        <w:rPr>
          <w:rFonts w:hint="eastAsia" w:ascii="仿宋_GB2312" w:eastAsia="仿宋_GB2312" w:cs="仿宋"/>
          <w:bCs/>
          <w:sz w:val="28"/>
          <w:szCs w:val="28"/>
        </w:rPr>
      </w:pPr>
      <w:r>
        <w:rPr>
          <w:rFonts w:hint="eastAsia" w:ascii="Times New Roman" w:hAnsi="Times New Roman" w:eastAsia="仿宋_GB2312"/>
          <w:sz w:val="24"/>
        </w:rPr>
        <w:t>表2</w:t>
      </w:r>
      <w:r>
        <w:rPr>
          <w:rFonts w:ascii="Times New Roman" w:hAnsi="Times New Roman" w:eastAsia="仿宋_GB2312"/>
          <w:sz w:val="24"/>
        </w:rPr>
        <w:t>.</w:t>
      </w:r>
      <w:r>
        <w:rPr>
          <w:rFonts w:hint="eastAsia" w:ascii="Times New Roman" w:hAnsi="Times New Roman" w:eastAsia="仿宋_GB2312"/>
          <w:sz w:val="24"/>
        </w:rPr>
        <w:t>治疗组与对照组治疗前后总胆固醇变化</w:t>
      </w:r>
    </w:p>
    <w:tbl>
      <w:tblPr>
        <w:tblStyle w:val="14"/>
        <w:tblW w:w="0" w:type="auto"/>
        <w:tblInd w:w="111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5"/>
        <w:gridCol w:w="1241"/>
        <w:gridCol w:w="1678"/>
        <w:gridCol w:w="2734"/>
      </w:tblGrid>
      <w:tr w14:paraId="0A170503">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206" w:type="dxa"/>
            <w:gridSpan w:val="2"/>
            <w:tcBorders>
              <w:top w:val="single" w:color="auto" w:sz="4" w:space="0"/>
              <w:bottom w:val="single" w:color="auto" w:sz="4" w:space="0"/>
            </w:tcBorders>
            <w:shd w:val="clear" w:color="auto" w:fill="auto"/>
            <w:vAlign w:val="center"/>
          </w:tcPr>
          <w:p w14:paraId="686CCADF">
            <w:pPr>
              <w:pStyle w:val="51"/>
              <w:jc w:val="center"/>
              <w:rPr>
                <w:rFonts w:ascii="Times New Roman" w:hAnsi="Times New Roman" w:eastAsia="仿宋_GB2312"/>
                <w:sz w:val="24"/>
              </w:rPr>
            </w:pPr>
            <w:r>
              <w:rPr>
                <w:rFonts w:ascii="Times New Roman" w:hAnsi="Times New Roman" w:eastAsia="仿宋_GB2312"/>
                <w:sz w:val="24"/>
              </w:rPr>
              <w:t>组别</w:t>
            </w:r>
          </w:p>
        </w:tc>
        <w:tc>
          <w:tcPr>
            <w:tcW w:w="1678" w:type="dxa"/>
            <w:tcBorders>
              <w:top w:val="single" w:color="auto" w:sz="4" w:space="0"/>
              <w:bottom w:val="single" w:color="auto" w:sz="4" w:space="0"/>
            </w:tcBorders>
            <w:shd w:val="clear" w:color="auto" w:fill="auto"/>
            <w:vAlign w:val="center"/>
          </w:tcPr>
          <w:p w14:paraId="270E29BB">
            <w:pPr>
              <w:pStyle w:val="51"/>
              <w:jc w:val="center"/>
              <w:rPr>
                <w:rFonts w:ascii="Times New Roman" w:hAnsi="Times New Roman" w:eastAsia="仿宋_GB2312"/>
                <w:sz w:val="24"/>
              </w:rPr>
            </w:pPr>
            <w:r>
              <w:rPr>
                <w:rFonts w:ascii="Times New Roman" w:hAnsi="Times New Roman" w:eastAsia="仿宋_GB2312"/>
                <w:sz w:val="24"/>
              </w:rPr>
              <w:t>例数</w:t>
            </w:r>
            <w:r>
              <w:rPr>
                <w:rFonts w:hint="eastAsia" w:ascii="Times New Roman" w:hAnsi="Times New Roman" w:eastAsia="仿宋_GB2312"/>
                <w:sz w:val="24"/>
              </w:rPr>
              <w:t>（</w:t>
            </w:r>
            <w:r>
              <w:rPr>
                <w:rFonts w:ascii="Times New Roman" w:hAnsi="Times New Roman" w:eastAsia="仿宋_GB2312"/>
                <w:sz w:val="24"/>
              </w:rPr>
              <w:t>个</w:t>
            </w:r>
            <w:r>
              <w:rPr>
                <w:rFonts w:hint="eastAsia" w:ascii="Times New Roman" w:hAnsi="Times New Roman" w:eastAsia="仿宋_GB2312"/>
                <w:sz w:val="24"/>
              </w:rPr>
              <w:t>）</w:t>
            </w:r>
          </w:p>
        </w:tc>
        <w:tc>
          <w:tcPr>
            <w:tcW w:w="2734" w:type="dxa"/>
            <w:tcBorders>
              <w:top w:val="single" w:color="auto" w:sz="4" w:space="0"/>
              <w:bottom w:val="single" w:color="auto" w:sz="4" w:space="0"/>
            </w:tcBorders>
            <w:shd w:val="clear" w:color="auto" w:fill="auto"/>
            <w:vAlign w:val="center"/>
          </w:tcPr>
          <w:p w14:paraId="26AB3C2D">
            <w:pPr>
              <w:pStyle w:val="51"/>
              <w:jc w:val="center"/>
              <w:rPr>
                <w:rFonts w:ascii="Times New Roman" w:hAnsi="Times New Roman" w:eastAsia="仿宋_GB2312"/>
                <w:sz w:val="24"/>
              </w:rPr>
            </w:pPr>
            <w:r>
              <w:rPr>
                <w:rFonts w:hint="eastAsia" w:ascii="Times New Roman" w:hAnsi="Times New Roman" w:eastAsia="仿宋_GB2312"/>
                <w:sz w:val="24"/>
              </w:rPr>
              <w:t>总胆固醇（</w:t>
            </w:r>
            <w:r>
              <w:rPr>
                <w:rFonts w:ascii="Times New Roman" w:hAnsi="Times New Roman" w:eastAsia="仿宋_GB2312"/>
                <w:sz w:val="24"/>
              </w:rPr>
              <w:t>mmol/L</w:t>
            </w:r>
            <w:r>
              <w:rPr>
                <w:rFonts w:hint="eastAsia" w:ascii="Times New Roman" w:hAnsi="Times New Roman" w:eastAsia="仿宋_GB2312"/>
                <w:sz w:val="24"/>
              </w:rPr>
              <w:t>）</w:t>
            </w:r>
          </w:p>
        </w:tc>
      </w:tr>
      <w:tr w14:paraId="3C21B5F8">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965" w:type="dxa"/>
            <w:vMerge w:val="restart"/>
            <w:tcBorders>
              <w:top w:val="single" w:color="auto" w:sz="4" w:space="0"/>
            </w:tcBorders>
            <w:shd w:val="clear" w:color="auto" w:fill="auto"/>
            <w:vAlign w:val="center"/>
          </w:tcPr>
          <w:p w14:paraId="45F23AF3">
            <w:pPr>
              <w:pStyle w:val="51"/>
              <w:jc w:val="center"/>
              <w:rPr>
                <w:rFonts w:ascii="Times New Roman" w:hAnsi="Times New Roman" w:eastAsia="仿宋_GB2312"/>
                <w:sz w:val="24"/>
              </w:rPr>
            </w:pPr>
            <w:r>
              <w:rPr>
                <w:rFonts w:ascii="Times New Roman" w:hAnsi="Times New Roman" w:eastAsia="仿宋_GB2312"/>
                <w:sz w:val="24"/>
              </w:rPr>
              <w:t>治疗前</w:t>
            </w:r>
          </w:p>
        </w:tc>
        <w:tc>
          <w:tcPr>
            <w:tcW w:w="1241" w:type="dxa"/>
            <w:tcBorders>
              <w:top w:val="single" w:color="auto" w:sz="4" w:space="0"/>
            </w:tcBorders>
            <w:shd w:val="clear" w:color="auto" w:fill="auto"/>
            <w:vAlign w:val="center"/>
          </w:tcPr>
          <w:p w14:paraId="737A9701">
            <w:pPr>
              <w:pStyle w:val="51"/>
              <w:jc w:val="center"/>
              <w:rPr>
                <w:rFonts w:ascii="Times New Roman" w:hAnsi="Times New Roman" w:eastAsia="仿宋_GB2312"/>
                <w:sz w:val="24"/>
              </w:rPr>
            </w:pPr>
            <w:r>
              <w:rPr>
                <w:rFonts w:ascii="Times New Roman" w:hAnsi="Times New Roman" w:eastAsia="仿宋_GB2312"/>
                <w:sz w:val="24"/>
              </w:rPr>
              <w:t>对照组</w:t>
            </w:r>
          </w:p>
        </w:tc>
        <w:tc>
          <w:tcPr>
            <w:tcW w:w="1678" w:type="dxa"/>
            <w:tcBorders>
              <w:top w:val="single" w:color="auto" w:sz="4" w:space="0"/>
            </w:tcBorders>
            <w:shd w:val="clear" w:color="auto" w:fill="auto"/>
            <w:vAlign w:val="center"/>
          </w:tcPr>
          <w:p w14:paraId="13400F26">
            <w:pPr>
              <w:pStyle w:val="51"/>
              <w:jc w:val="center"/>
              <w:rPr>
                <w:rFonts w:ascii="Times New Roman" w:hAnsi="Times New Roman" w:eastAsia="仿宋_GB2312"/>
                <w:sz w:val="24"/>
              </w:rPr>
            </w:pPr>
            <w:r>
              <w:rPr>
                <w:rFonts w:ascii="Times New Roman" w:hAnsi="Times New Roman" w:eastAsia="仿宋_GB2312"/>
                <w:sz w:val="24"/>
              </w:rPr>
              <w:t>30</w:t>
            </w:r>
          </w:p>
        </w:tc>
        <w:tc>
          <w:tcPr>
            <w:tcW w:w="2734" w:type="dxa"/>
            <w:tcBorders>
              <w:top w:val="single" w:color="auto" w:sz="4" w:space="0"/>
            </w:tcBorders>
            <w:shd w:val="clear" w:color="auto" w:fill="auto"/>
            <w:vAlign w:val="center"/>
          </w:tcPr>
          <w:p w14:paraId="0F9B3760">
            <w:pPr>
              <w:pStyle w:val="51"/>
              <w:jc w:val="center"/>
              <w:rPr>
                <w:rFonts w:ascii="Times New Roman" w:hAnsi="Times New Roman" w:eastAsia="仿宋_GB2312"/>
                <w:sz w:val="24"/>
              </w:rPr>
            </w:pPr>
            <w:r>
              <w:rPr>
                <w:rFonts w:ascii="Times New Roman" w:hAnsi="Times New Roman" w:eastAsia="仿宋_GB2312"/>
                <w:sz w:val="24"/>
              </w:rPr>
              <w:t>8.79±2.44</w:t>
            </w:r>
          </w:p>
        </w:tc>
      </w:tr>
      <w:tr w14:paraId="66A08A9E">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965" w:type="dxa"/>
            <w:vMerge w:val="continue"/>
            <w:shd w:val="clear" w:color="auto" w:fill="auto"/>
            <w:vAlign w:val="center"/>
          </w:tcPr>
          <w:p w14:paraId="3043F5F2">
            <w:pPr>
              <w:pStyle w:val="51"/>
              <w:jc w:val="center"/>
              <w:rPr>
                <w:rFonts w:ascii="Times New Roman" w:hAnsi="Times New Roman" w:eastAsia="仿宋_GB2312"/>
                <w:sz w:val="24"/>
              </w:rPr>
            </w:pPr>
          </w:p>
        </w:tc>
        <w:tc>
          <w:tcPr>
            <w:tcW w:w="1241" w:type="dxa"/>
            <w:shd w:val="clear" w:color="auto" w:fill="auto"/>
            <w:vAlign w:val="center"/>
          </w:tcPr>
          <w:p w14:paraId="3402F66A">
            <w:pPr>
              <w:pStyle w:val="51"/>
              <w:jc w:val="center"/>
              <w:rPr>
                <w:rFonts w:ascii="Times New Roman" w:hAnsi="Times New Roman" w:eastAsia="仿宋_GB2312"/>
                <w:sz w:val="24"/>
              </w:rPr>
            </w:pPr>
            <w:r>
              <w:rPr>
                <w:rFonts w:ascii="Times New Roman" w:hAnsi="Times New Roman" w:eastAsia="仿宋_GB2312"/>
                <w:sz w:val="24"/>
              </w:rPr>
              <w:t>治疗组</w:t>
            </w:r>
          </w:p>
        </w:tc>
        <w:tc>
          <w:tcPr>
            <w:tcW w:w="1678" w:type="dxa"/>
            <w:shd w:val="clear" w:color="auto" w:fill="auto"/>
            <w:vAlign w:val="center"/>
          </w:tcPr>
          <w:p w14:paraId="297150D2">
            <w:pPr>
              <w:pStyle w:val="51"/>
              <w:jc w:val="center"/>
              <w:rPr>
                <w:rFonts w:ascii="Times New Roman" w:hAnsi="Times New Roman" w:eastAsia="仿宋_GB2312"/>
                <w:sz w:val="24"/>
              </w:rPr>
            </w:pPr>
            <w:r>
              <w:rPr>
                <w:rFonts w:ascii="Times New Roman" w:hAnsi="Times New Roman" w:eastAsia="仿宋_GB2312"/>
                <w:sz w:val="24"/>
              </w:rPr>
              <w:t>30</w:t>
            </w:r>
          </w:p>
        </w:tc>
        <w:tc>
          <w:tcPr>
            <w:tcW w:w="2734" w:type="dxa"/>
            <w:shd w:val="clear" w:color="auto" w:fill="auto"/>
            <w:vAlign w:val="center"/>
          </w:tcPr>
          <w:p w14:paraId="1B68A166">
            <w:pPr>
              <w:pStyle w:val="51"/>
              <w:jc w:val="center"/>
              <w:rPr>
                <w:rFonts w:ascii="Times New Roman" w:hAnsi="Times New Roman" w:eastAsia="仿宋_GB2312"/>
                <w:sz w:val="24"/>
              </w:rPr>
            </w:pPr>
            <w:r>
              <w:rPr>
                <w:rFonts w:ascii="Times New Roman" w:hAnsi="Times New Roman" w:eastAsia="仿宋_GB2312"/>
                <w:sz w:val="24"/>
              </w:rPr>
              <w:t>8.88±2.49</w:t>
            </w:r>
          </w:p>
        </w:tc>
      </w:tr>
      <w:tr w14:paraId="6085E9F1">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965" w:type="dxa"/>
            <w:vMerge w:val="restart"/>
            <w:shd w:val="clear" w:color="auto" w:fill="auto"/>
            <w:vAlign w:val="center"/>
          </w:tcPr>
          <w:p w14:paraId="015211CB">
            <w:pPr>
              <w:pStyle w:val="51"/>
              <w:jc w:val="center"/>
              <w:rPr>
                <w:rFonts w:ascii="Times New Roman" w:hAnsi="Times New Roman" w:eastAsia="仿宋_GB2312"/>
                <w:sz w:val="24"/>
              </w:rPr>
            </w:pPr>
            <w:r>
              <w:rPr>
                <w:rFonts w:ascii="Times New Roman" w:hAnsi="Times New Roman" w:eastAsia="仿宋_GB2312"/>
                <w:sz w:val="24"/>
              </w:rPr>
              <w:t>治疗后</w:t>
            </w:r>
          </w:p>
        </w:tc>
        <w:tc>
          <w:tcPr>
            <w:tcW w:w="1241" w:type="dxa"/>
            <w:shd w:val="clear" w:color="auto" w:fill="auto"/>
            <w:vAlign w:val="center"/>
          </w:tcPr>
          <w:p w14:paraId="3877ABA7">
            <w:pPr>
              <w:pStyle w:val="51"/>
              <w:jc w:val="center"/>
              <w:rPr>
                <w:rFonts w:ascii="Times New Roman" w:hAnsi="Times New Roman" w:eastAsia="仿宋_GB2312"/>
                <w:sz w:val="24"/>
              </w:rPr>
            </w:pPr>
            <w:r>
              <w:rPr>
                <w:rFonts w:ascii="Times New Roman" w:hAnsi="Times New Roman" w:eastAsia="仿宋_GB2312"/>
                <w:sz w:val="24"/>
              </w:rPr>
              <w:t>对照组</w:t>
            </w:r>
          </w:p>
        </w:tc>
        <w:tc>
          <w:tcPr>
            <w:tcW w:w="1678" w:type="dxa"/>
            <w:shd w:val="clear" w:color="auto" w:fill="auto"/>
            <w:vAlign w:val="center"/>
          </w:tcPr>
          <w:p w14:paraId="3ECC7699">
            <w:pPr>
              <w:pStyle w:val="51"/>
              <w:jc w:val="center"/>
              <w:rPr>
                <w:rFonts w:ascii="Times New Roman" w:hAnsi="Times New Roman" w:eastAsia="仿宋_GB2312"/>
                <w:sz w:val="24"/>
              </w:rPr>
            </w:pPr>
            <w:r>
              <w:rPr>
                <w:rFonts w:ascii="Times New Roman" w:hAnsi="Times New Roman" w:eastAsia="仿宋_GB2312"/>
                <w:sz w:val="24"/>
              </w:rPr>
              <w:t>30</w:t>
            </w:r>
          </w:p>
        </w:tc>
        <w:tc>
          <w:tcPr>
            <w:tcW w:w="2734" w:type="dxa"/>
            <w:shd w:val="clear" w:color="auto" w:fill="auto"/>
            <w:vAlign w:val="center"/>
          </w:tcPr>
          <w:p w14:paraId="48062BEF">
            <w:pPr>
              <w:pStyle w:val="51"/>
              <w:jc w:val="center"/>
              <w:rPr>
                <w:rFonts w:ascii="Times New Roman" w:hAnsi="Times New Roman" w:eastAsia="仿宋_GB2312"/>
                <w:sz w:val="24"/>
              </w:rPr>
            </w:pPr>
            <w:r>
              <w:rPr>
                <w:rFonts w:ascii="Times New Roman" w:hAnsi="Times New Roman" w:eastAsia="仿宋_GB2312"/>
                <w:sz w:val="24"/>
              </w:rPr>
              <w:t>6.19±1.64</w:t>
            </w:r>
          </w:p>
        </w:tc>
      </w:tr>
      <w:tr w14:paraId="31767456">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965" w:type="dxa"/>
            <w:vMerge w:val="continue"/>
            <w:shd w:val="clear" w:color="auto" w:fill="auto"/>
          </w:tcPr>
          <w:p w14:paraId="41C11D06">
            <w:pPr>
              <w:pStyle w:val="51"/>
              <w:jc w:val="center"/>
              <w:rPr>
                <w:rFonts w:ascii="Times New Roman" w:hAnsi="Times New Roman" w:eastAsia="仿宋_GB2312"/>
                <w:sz w:val="24"/>
              </w:rPr>
            </w:pPr>
          </w:p>
        </w:tc>
        <w:tc>
          <w:tcPr>
            <w:tcW w:w="1241" w:type="dxa"/>
            <w:shd w:val="clear" w:color="auto" w:fill="auto"/>
            <w:vAlign w:val="center"/>
          </w:tcPr>
          <w:p w14:paraId="77E76554">
            <w:pPr>
              <w:pStyle w:val="51"/>
              <w:jc w:val="center"/>
              <w:rPr>
                <w:rFonts w:ascii="Times New Roman" w:hAnsi="Times New Roman" w:eastAsia="仿宋_GB2312"/>
                <w:sz w:val="24"/>
              </w:rPr>
            </w:pPr>
            <w:r>
              <w:rPr>
                <w:rFonts w:ascii="Times New Roman" w:hAnsi="Times New Roman" w:eastAsia="仿宋_GB2312"/>
                <w:sz w:val="24"/>
              </w:rPr>
              <w:t>治疗组</w:t>
            </w:r>
          </w:p>
        </w:tc>
        <w:tc>
          <w:tcPr>
            <w:tcW w:w="1678" w:type="dxa"/>
            <w:shd w:val="clear" w:color="auto" w:fill="auto"/>
            <w:vAlign w:val="center"/>
          </w:tcPr>
          <w:p w14:paraId="055A9737">
            <w:pPr>
              <w:pStyle w:val="51"/>
              <w:jc w:val="center"/>
              <w:rPr>
                <w:rFonts w:ascii="Times New Roman" w:hAnsi="Times New Roman" w:eastAsia="仿宋_GB2312"/>
                <w:sz w:val="24"/>
              </w:rPr>
            </w:pPr>
            <w:r>
              <w:rPr>
                <w:rFonts w:ascii="Times New Roman" w:hAnsi="Times New Roman" w:eastAsia="仿宋_GB2312"/>
                <w:sz w:val="24"/>
              </w:rPr>
              <w:t>30</w:t>
            </w:r>
          </w:p>
        </w:tc>
        <w:tc>
          <w:tcPr>
            <w:tcW w:w="2734" w:type="dxa"/>
            <w:shd w:val="clear" w:color="auto" w:fill="auto"/>
            <w:vAlign w:val="center"/>
          </w:tcPr>
          <w:p w14:paraId="3E99F418">
            <w:pPr>
              <w:pStyle w:val="51"/>
              <w:jc w:val="center"/>
              <w:rPr>
                <w:rFonts w:ascii="Times New Roman" w:hAnsi="Times New Roman" w:eastAsia="仿宋_GB2312"/>
                <w:sz w:val="24"/>
              </w:rPr>
            </w:pPr>
            <w:r>
              <w:rPr>
                <w:rFonts w:ascii="Times New Roman" w:hAnsi="Times New Roman" w:eastAsia="仿宋_GB2312"/>
                <w:sz w:val="24"/>
              </w:rPr>
              <w:t>3.53±1.23</w:t>
            </w:r>
          </w:p>
        </w:tc>
      </w:tr>
    </w:tbl>
    <w:p w14:paraId="248000B6">
      <w:pPr>
        <w:pStyle w:val="37"/>
        <w:numPr>
          <w:ilvl w:val="0"/>
          <w:numId w:val="0"/>
        </w:numPr>
        <w:spacing w:before="0" w:beforeLines="0" w:after="0" w:afterLines="0" w:line="520" w:lineRule="exact"/>
        <w:ind w:firstLine="480" w:firstLineChars="200"/>
        <w:rPr>
          <w:rFonts w:ascii="仿宋_GB2312" w:eastAsia="仿宋_GB2312" w:cs="仿宋"/>
          <w:bCs/>
          <w:color w:val="FF0000"/>
          <w:sz w:val="28"/>
          <w:szCs w:val="28"/>
        </w:rPr>
      </w:pPr>
      <w:r>
        <w:rPr>
          <w:rFonts w:hint="eastAsia" w:ascii="Times New Roman" w:hAnsi="Times New Roman" w:eastAsia="仿宋_GB2312"/>
          <w:sz w:val="24"/>
        </w:rPr>
        <w:t>前期研究证明中药大黄灵仙能够降低炎症因子IL-1β表达水平,通过下调CXCL2、NLRP3、NOD1蛋白及mRNA的表达,从而缓解胆管细胞炎症反应,达到防治胆道炎症病理性重塑，进而防治胆石病。</w:t>
      </w:r>
    </w:p>
    <w:p w14:paraId="7A41AAC4">
      <w:pPr>
        <w:pStyle w:val="37"/>
        <w:numPr>
          <w:ilvl w:val="0"/>
          <w:numId w:val="0"/>
        </w:numPr>
        <w:spacing w:before="0" w:beforeLines="0" w:after="0" w:afterLines="0" w:line="520" w:lineRule="exact"/>
        <w:rPr>
          <w:rFonts w:hint="eastAsia" w:ascii="仿宋_GB2312" w:cs="仿宋" w:eastAsiaTheme="minorEastAsia"/>
          <w:bCs/>
          <w:color w:val="FF0000"/>
          <w:sz w:val="28"/>
          <w:szCs w:val="28"/>
        </w:rPr>
      </w:pPr>
      <w:r>
        <w:rPr>
          <w:rFonts w:hint="eastAsia" w:ascii="仿宋_GB2312" w:eastAsia="仿宋_GB2312"/>
          <w:b/>
          <w:sz w:val="28"/>
          <w:szCs w:val="28"/>
        </w:rPr>
        <w:t>3.2中医外治法</w:t>
      </w:r>
    </w:p>
    <w:p w14:paraId="5F116E73">
      <w:pPr>
        <w:pStyle w:val="31"/>
        <w:numPr>
          <w:ilvl w:val="0"/>
          <w:numId w:val="0"/>
        </w:numPr>
        <w:spacing w:before="0" w:after="0" w:line="520" w:lineRule="exact"/>
        <w:rPr>
          <w:rFonts w:ascii="仿宋_GB2312" w:eastAsia="仿宋_GB2312"/>
          <w:b/>
          <w:sz w:val="28"/>
          <w:szCs w:val="28"/>
        </w:rPr>
      </w:pPr>
      <w:r>
        <w:rPr>
          <w:rFonts w:hint="eastAsia" w:ascii="仿宋_GB2312" w:eastAsia="仿宋_GB2312"/>
          <w:b/>
          <w:sz w:val="28"/>
          <w:szCs w:val="28"/>
        </w:rPr>
        <w:t>3.2.1</w:t>
      </w:r>
      <w:bookmarkStart w:id="24" w:name="_Toc129855067"/>
      <w:r>
        <w:rPr>
          <w:rFonts w:hint="eastAsia" w:ascii="仿宋_GB2312" w:eastAsia="仿宋_GB2312"/>
          <w:b/>
          <w:sz w:val="28"/>
          <w:szCs w:val="28"/>
        </w:rPr>
        <w:t>穴位贴敷疗法</w:t>
      </w:r>
      <w:bookmarkEnd w:id="24"/>
    </w:p>
    <w:p w14:paraId="613BBE49">
      <w:pPr>
        <w:widowControl/>
        <w:spacing w:line="520" w:lineRule="exact"/>
        <w:ind w:firstLine="560" w:firstLineChars="200"/>
        <w:jc w:val="left"/>
        <w:rPr>
          <w:rFonts w:hint="eastAsia" w:ascii="仿宋_GB2312" w:eastAsia="仿宋_GB2312"/>
          <w:kern w:val="0"/>
          <w:sz w:val="28"/>
          <w:szCs w:val="28"/>
        </w:rPr>
      </w:pPr>
      <w:r>
        <w:rPr>
          <w:rFonts w:hint="eastAsia" w:ascii="仿宋_GB2312" w:eastAsia="仿宋_GB2312"/>
          <w:kern w:val="0"/>
          <w:sz w:val="28"/>
          <w:szCs w:val="28"/>
        </w:rPr>
        <w:t>主要参照[1]刘红莉.穴位贴敷治疗胆囊结石术后63例疗效观察[J].光明中医,2016,31(03):385-386.[2]马姿.穴位贴敷在预防胆石症术后恶心呕吐中的应用及效果[J].当代护士(中旬刊),2017,(09):84-85.[3]胡冬青,曹志群.穴位贴敷疗法在消化系统疾病中的应用[J].河南中医,2012,32(09):1248-1251.</w:t>
      </w:r>
    </w:p>
    <w:p w14:paraId="7314CD00">
      <w:pPr>
        <w:pStyle w:val="31"/>
        <w:numPr>
          <w:ilvl w:val="0"/>
          <w:numId w:val="0"/>
        </w:numPr>
        <w:spacing w:before="0" w:after="0" w:line="520" w:lineRule="exact"/>
        <w:rPr>
          <w:rFonts w:ascii="仿宋_GB2312" w:eastAsia="仿宋_GB2312"/>
          <w:b/>
          <w:sz w:val="28"/>
          <w:szCs w:val="28"/>
        </w:rPr>
      </w:pPr>
      <w:r>
        <w:rPr>
          <w:rFonts w:hint="eastAsia" w:ascii="仿宋_GB2312" w:eastAsia="仿宋_GB2312"/>
          <w:b/>
          <w:sz w:val="28"/>
          <w:szCs w:val="28"/>
        </w:rPr>
        <w:t>3.2.2</w:t>
      </w:r>
      <w:bookmarkStart w:id="25" w:name="_Toc129855068"/>
      <w:r>
        <w:rPr>
          <w:rFonts w:hint="eastAsia" w:ascii="仿宋_GB2312" w:eastAsia="仿宋_GB2312"/>
          <w:b/>
          <w:sz w:val="28"/>
          <w:szCs w:val="28"/>
        </w:rPr>
        <w:t>艾灸疗法</w:t>
      </w:r>
      <w:bookmarkEnd w:id="25"/>
    </w:p>
    <w:p w14:paraId="3E0E1FB7">
      <w:pPr>
        <w:pStyle w:val="27"/>
        <w:rPr>
          <w:rFonts w:hint="eastAsia" w:ascii="仿宋_GB2312" w:hAnsi="Calibri" w:eastAsia="仿宋_GB2312" w:cs="Calibri"/>
          <w:kern w:val="0"/>
          <w:sz w:val="28"/>
          <w:szCs w:val="28"/>
          <w:lang w:val="en-US" w:eastAsia="zh-CN" w:bidi="ar-SA"/>
        </w:rPr>
      </w:pPr>
      <w:r>
        <w:rPr>
          <w:rFonts w:hint="eastAsia"/>
        </w:rPr>
        <w:t>主要参</w:t>
      </w:r>
      <w:r>
        <w:rPr>
          <w:rFonts w:hint="eastAsia" w:ascii="仿宋_GB2312" w:hAnsi="Calibri" w:eastAsia="仿宋_GB2312" w:cs="Calibri"/>
          <w:kern w:val="0"/>
          <w:sz w:val="28"/>
          <w:szCs w:val="28"/>
          <w:lang w:val="en-US" w:eastAsia="zh-CN" w:bidi="ar-SA"/>
        </w:rPr>
        <w:t>照[1]罗红昱,王建仁.耳穴针刺配合艾灸治疗胆石症80例[J].中国现代医生,2008,(15):181-182. [2]翟光墨.微烟灸疗器灸治结合耳穴压丸治疗31例胆石症临床报道[J].云南中医中药杂志,1996,(06):54-55.</w:t>
      </w:r>
    </w:p>
    <w:p w14:paraId="615DBC6F">
      <w:pPr>
        <w:pStyle w:val="27"/>
        <w:ind w:left="0" w:leftChars="0" w:firstLine="0" w:firstLineChars="0"/>
        <w:rPr>
          <w:rFonts w:eastAsia="仿宋_GB2312"/>
        </w:rPr>
      </w:pPr>
      <w:r>
        <w:rPr>
          <w:rFonts w:hint="eastAsia" w:ascii="仿宋_GB2312" w:hAnsi="Calibri" w:eastAsia="仿宋_GB2312" w:cs="Calibri"/>
          <w:kern w:val="0"/>
          <w:sz w:val="28"/>
          <w:szCs w:val="28"/>
          <w:lang w:val="en-US" w:eastAsia="zh-CN" w:bidi="ar-SA"/>
        </w:rPr>
        <w:drawing>
          <wp:inline distT="0" distB="0" distL="114300" distR="114300">
            <wp:extent cx="2679700" cy="1434465"/>
            <wp:effectExtent l="0" t="0" r="6350" b="13335"/>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2679700" cy="1434465"/>
                    </a:xfrm>
                    <a:prstGeom prst="rect">
                      <a:avLst/>
                    </a:prstGeom>
                    <a:noFill/>
                    <a:ln>
                      <a:noFill/>
                    </a:ln>
                  </pic:spPr>
                </pic:pic>
              </a:graphicData>
            </a:graphic>
          </wp:inline>
        </w:drawing>
      </w:r>
      <w:r>
        <w:rPr>
          <w:rFonts w:hint="eastAsia" w:hAnsi="Calibri" w:eastAsia="仿宋_GB2312" w:cs="Calibri"/>
          <w:kern w:val="0"/>
          <w:sz w:val="28"/>
          <w:szCs w:val="28"/>
          <w:lang w:val="en-US" w:eastAsia="zh-CN" w:bidi="ar-SA"/>
        </w:rPr>
        <w:t xml:space="preserve">   </w:t>
      </w:r>
      <w:r>
        <w:drawing>
          <wp:inline distT="0" distB="0" distL="114300" distR="114300">
            <wp:extent cx="2661285" cy="1388110"/>
            <wp:effectExtent l="0" t="0" r="5715" b="254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2661285" cy="1388110"/>
                    </a:xfrm>
                    <a:prstGeom prst="rect">
                      <a:avLst/>
                    </a:prstGeom>
                    <a:noFill/>
                    <a:ln>
                      <a:noFill/>
                    </a:ln>
                  </pic:spPr>
                </pic:pic>
              </a:graphicData>
            </a:graphic>
          </wp:inline>
        </w:drawing>
      </w:r>
    </w:p>
    <w:p w14:paraId="27360EBD">
      <w:pPr>
        <w:pStyle w:val="31"/>
        <w:numPr>
          <w:ilvl w:val="0"/>
          <w:numId w:val="0"/>
        </w:numPr>
        <w:spacing w:before="0" w:after="0" w:line="520" w:lineRule="exact"/>
        <w:rPr>
          <w:rFonts w:ascii="仿宋_GB2312" w:eastAsia="仿宋_GB2312"/>
          <w:b/>
          <w:sz w:val="28"/>
          <w:szCs w:val="28"/>
        </w:rPr>
      </w:pPr>
      <w:r>
        <w:rPr>
          <w:rFonts w:hint="eastAsia" w:ascii="仿宋_GB2312" w:eastAsia="仿宋_GB2312"/>
          <w:b/>
          <w:sz w:val="28"/>
          <w:szCs w:val="28"/>
        </w:rPr>
        <w:t>3.2.3</w:t>
      </w:r>
      <w:bookmarkStart w:id="26" w:name="_Toc129855069"/>
      <w:r>
        <w:rPr>
          <w:rFonts w:hint="eastAsia" w:ascii="仿宋_GB2312" w:eastAsia="仿宋_GB2312"/>
          <w:b/>
          <w:sz w:val="28"/>
          <w:szCs w:val="28"/>
        </w:rPr>
        <w:t>穴位埋线疗法</w:t>
      </w:r>
      <w:bookmarkEnd w:id="26"/>
    </w:p>
    <w:p w14:paraId="0FD1FD7D">
      <w:pPr>
        <w:pStyle w:val="31"/>
        <w:numPr>
          <w:ilvl w:val="0"/>
          <w:numId w:val="0"/>
        </w:numPr>
        <w:spacing w:before="0" w:after="0" w:line="520" w:lineRule="exact"/>
        <w:ind w:firstLine="560" w:firstLineChars="200"/>
        <w:rPr>
          <w:rFonts w:hint="eastAsia" w:ascii="仿宋_GB2312" w:eastAsia="仿宋_GB2312"/>
          <w:sz w:val="28"/>
          <w:szCs w:val="28"/>
        </w:rPr>
      </w:pPr>
      <w:r>
        <w:rPr>
          <w:rFonts w:hint="eastAsia" w:ascii="仿宋_GB2312" w:eastAsia="仿宋_GB2312"/>
          <w:sz w:val="28"/>
          <w:szCs w:val="28"/>
        </w:rPr>
        <w:t>主要参照[1]林志鑫,吴艳华.针灸治疗胆结石取穴及配穴规律分析[J].针灸临床杂志,2016,32(04):53-55.[2]张绪初.三金排石汤加减联合穴位埋线治疗胆石症的临床研究[J].四川中医,2017,35(05):101-104.</w:t>
      </w:r>
    </w:p>
    <w:p w14:paraId="757BF7C6">
      <w:pPr>
        <w:pStyle w:val="31"/>
        <w:numPr>
          <w:ilvl w:val="0"/>
          <w:numId w:val="0"/>
        </w:numPr>
        <w:spacing w:before="0" w:after="0" w:line="520" w:lineRule="exact"/>
        <w:rPr>
          <w:rFonts w:ascii="仿宋_GB2312" w:eastAsia="仿宋_GB2312"/>
          <w:b/>
          <w:sz w:val="28"/>
          <w:szCs w:val="28"/>
        </w:rPr>
      </w:pPr>
      <w:r>
        <w:rPr>
          <w:rFonts w:hint="eastAsia" w:ascii="仿宋_GB2312" w:eastAsia="仿宋_GB2312"/>
          <w:b/>
          <w:sz w:val="28"/>
          <w:szCs w:val="28"/>
        </w:rPr>
        <w:t>3.2.</w:t>
      </w:r>
      <w:bookmarkStart w:id="27" w:name="_Toc129855070"/>
      <w:r>
        <w:rPr>
          <w:rFonts w:hint="eastAsia" w:ascii="仿宋_GB2312" w:eastAsia="仿宋_GB2312"/>
          <w:b/>
          <w:sz w:val="28"/>
          <w:szCs w:val="28"/>
        </w:rPr>
        <w:t>4电针疗法</w:t>
      </w:r>
      <w:bookmarkEnd w:id="27"/>
    </w:p>
    <w:p w14:paraId="6020581C">
      <w:pPr>
        <w:pStyle w:val="31"/>
        <w:numPr>
          <w:ilvl w:val="0"/>
          <w:numId w:val="0"/>
        </w:numPr>
        <w:spacing w:before="0" w:after="0" w:line="520" w:lineRule="exact"/>
        <w:ind w:firstLine="560" w:firstLineChars="200"/>
        <w:rPr>
          <w:rFonts w:hint="eastAsia" w:ascii="仿宋_GB2312" w:eastAsia="仿宋_GB2312"/>
          <w:sz w:val="28"/>
          <w:szCs w:val="28"/>
        </w:rPr>
      </w:pPr>
      <w:r>
        <w:rPr>
          <w:rFonts w:hint="eastAsia" w:ascii="仿宋_GB2312" w:eastAsia="仿宋_GB2312"/>
          <w:sz w:val="28"/>
          <w:szCs w:val="28"/>
        </w:rPr>
        <w:t>主要参照[1]李统虎,王一,马俊杰.电针远近取穴干预胆石症保胆取石术后恢复研究[J].长春中医药大学学报,2016,32(03):531-533.[2]王雨彤,吕冠华.中医药防治保胆取石术后结石复发的临床研究探析[J].时珍国医国药,2021,32(07):1685-1688. [3]孟凡征,李平,赵金生.电针治疗胆石症术后胃肠功能紊乱的临床观察[J].四川中医,2011,29(08):117-118.</w:t>
      </w:r>
    </w:p>
    <w:p w14:paraId="0F16B86A">
      <w:pPr>
        <w:pStyle w:val="31"/>
        <w:numPr>
          <w:ilvl w:val="0"/>
          <w:numId w:val="0"/>
        </w:numPr>
        <w:spacing w:before="0" w:after="0" w:line="520" w:lineRule="exact"/>
        <w:rPr>
          <w:rFonts w:ascii="仿宋_GB2312" w:eastAsia="仿宋_GB2312"/>
          <w:b/>
          <w:sz w:val="28"/>
          <w:szCs w:val="28"/>
        </w:rPr>
      </w:pPr>
      <w:r>
        <w:rPr>
          <w:rFonts w:hint="eastAsia" w:ascii="仿宋_GB2312" w:eastAsia="仿宋_GB2312"/>
          <w:b/>
          <w:sz w:val="28"/>
          <w:szCs w:val="28"/>
        </w:rPr>
        <w:t>3.2.</w:t>
      </w:r>
      <w:bookmarkStart w:id="28" w:name="_Toc129855071"/>
      <w:r>
        <w:rPr>
          <w:rFonts w:hint="eastAsia" w:ascii="仿宋_GB2312" w:eastAsia="仿宋_GB2312"/>
          <w:b/>
          <w:sz w:val="28"/>
          <w:szCs w:val="28"/>
        </w:rPr>
        <w:t>5耳穴疗法</w:t>
      </w:r>
      <w:bookmarkEnd w:id="28"/>
    </w:p>
    <w:p w14:paraId="08EBD85E">
      <w:pPr>
        <w:pStyle w:val="31"/>
        <w:numPr>
          <w:ilvl w:val="0"/>
          <w:numId w:val="0"/>
        </w:numPr>
        <w:spacing w:before="0" w:after="0" w:line="520" w:lineRule="exact"/>
        <w:ind w:firstLine="560" w:firstLineChars="200"/>
        <w:rPr>
          <w:rFonts w:hint="eastAsia" w:ascii="仿宋_GB2312" w:eastAsia="仿宋_GB2312"/>
          <w:sz w:val="28"/>
          <w:szCs w:val="28"/>
        </w:rPr>
      </w:pPr>
      <w:r>
        <w:rPr>
          <w:rFonts w:hint="eastAsia" w:ascii="仿宋_GB2312" w:eastAsia="仿宋_GB2312"/>
          <w:sz w:val="28"/>
          <w:szCs w:val="28"/>
        </w:rPr>
        <w:t>主要参照[1]吴艳芳,柳尧花,王丽华等.耳穴贴压对胆石症围术期血流动力学的影响[J].滨州医学院学报,2023,46(03):238-240. [2]庞柳幼.耳穴压豆护理在治疗胆石症患者中的研究进展[J].中西医结合心血管病电子杂志,2020,8(21):82-83.</w:t>
      </w:r>
      <w:bookmarkStart w:id="29" w:name="_Toc129855072"/>
    </w:p>
    <w:p w14:paraId="33B59F0D">
      <w:pPr>
        <w:pStyle w:val="31"/>
        <w:numPr>
          <w:ilvl w:val="0"/>
          <w:numId w:val="0"/>
        </w:numPr>
        <w:spacing w:before="0" w:after="0" w:line="520" w:lineRule="exact"/>
        <w:ind w:firstLine="562" w:firstLineChars="200"/>
        <w:rPr>
          <w:rFonts w:ascii="仿宋_GB2312" w:eastAsia="仿宋_GB2312"/>
          <w:b/>
          <w:sz w:val="28"/>
          <w:szCs w:val="28"/>
        </w:rPr>
      </w:pPr>
      <w:r>
        <w:rPr>
          <w:rFonts w:hint="eastAsia" w:ascii="仿宋_GB2312" w:eastAsia="仿宋_GB2312"/>
          <w:b/>
          <w:sz w:val="28"/>
          <w:szCs w:val="28"/>
        </w:rPr>
        <w:t>3.6.6中药足浴疗法</w:t>
      </w:r>
      <w:bookmarkEnd w:id="29"/>
    </w:p>
    <w:p w14:paraId="2C6B3509">
      <w:pPr>
        <w:pStyle w:val="31"/>
        <w:numPr>
          <w:ilvl w:val="0"/>
          <w:numId w:val="0"/>
        </w:numPr>
        <w:spacing w:before="0" w:after="0" w:line="520" w:lineRule="exact"/>
        <w:ind w:firstLine="560" w:firstLineChars="200"/>
        <w:rPr>
          <w:rFonts w:hint="eastAsia" w:ascii="仿宋_GB2312" w:eastAsia="仿宋_GB2312"/>
          <w:sz w:val="28"/>
          <w:szCs w:val="28"/>
        </w:rPr>
      </w:pPr>
      <w:r>
        <w:rPr>
          <w:rFonts w:hint="eastAsia" w:ascii="仿宋_GB2312" w:eastAsia="仿宋_GB2312"/>
          <w:sz w:val="28"/>
          <w:szCs w:val="28"/>
        </w:rPr>
        <w:t>主要参照[1]侯晓慧,李恺,屈伟荣等.中药足浴配合推按运经仪预防内镜微创保胆取石术后结石复发的疗效分析[J].护理研究,2014,28(30):3758-3760.</w:t>
      </w:r>
    </w:p>
    <w:p w14:paraId="4AA37D1B">
      <w:pPr>
        <w:pStyle w:val="31"/>
        <w:numPr>
          <w:ilvl w:val="0"/>
          <w:numId w:val="0"/>
        </w:numPr>
        <w:spacing w:before="0" w:after="0" w:line="520" w:lineRule="exact"/>
        <w:rPr>
          <w:rFonts w:ascii="仿宋_GB2312" w:eastAsia="仿宋_GB2312"/>
          <w:b/>
          <w:sz w:val="28"/>
          <w:szCs w:val="28"/>
        </w:rPr>
      </w:pPr>
      <w:bookmarkStart w:id="30" w:name="_Toc129855073"/>
      <w:r>
        <w:rPr>
          <w:rFonts w:hint="eastAsia" w:ascii="仿宋_GB2312" w:eastAsia="仿宋_GB2312"/>
          <w:b/>
          <w:sz w:val="28"/>
          <w:szCs w:val="28"/>
        </w:rPr>
        <w:t>3.6.7中药透皮疗法</w:t>
      </w:r>
      <w:bookmarkEnd w:id="30"/>
    </w:p>
    <w:p w14:paraId="095A3105">
      <w:pPr>
        <w:pStyle w:val="31"/>
        <w:numPr>
          <w:ilvl w:val="0"/>
          <w:numId w:val="0"/>
        </w:numPr>
        <w:spacing w:before="0" w:after="0" w:line="520" w:lineRule="exact"/>
        <w:ind w:firstLine="560" w:firstLineChars="200"/>
        <w:rPr>
          <w:rFonts w:hint="eastAsia" w:ascii="仿宋_GB2312" w:eastAsia="仿宋_GB2312"/>
          <w:sz w:val="28"/>
          <w:szCs w:val="28"/>
        </w:rPr>
      </w:pPr>
      <w:r>
        <w:rPr>
          <w:rFonts w:hint="eastAsia" w:ascii="仿宋_GB2312" w:eastAsia="仿宋_GB2312"/>
          <w:sz w:val="28"/>
          <w:szCs w:val="28"/>
        </w:rPr>
        <w:t>主要参照：[1]孟宪萌,陈维,于年海.中药透皮促进微创保胆取石术后胆囊功能恢复的临床观察[J].中医药导报,2018,24(21):57-58+70. [2]董兴海,陈刚,张经芬.茵陈经透皮给药系统治疗胆石症的疗效观察[J].中国中西医结合脾胃杂志,1996,(04):209-211.</w:t>
      </w:r>
    </w:p>
    <w:p w14:paraId="383799AD">
      <w:pPr>
        <w:pStyle w:val="31"/>
        <w:numPr>
          <w:ilvl w:val="0"/>
          <w:numId w:val="0"/>
        </w:numPr>
        <w:spacing w:before="0" w:after="0" w:line="520" w:lineRule="exact"/>
        <w:rPr>
          <w:rFonts w:ascii="仿宋_GB2312" w:eastAsia="仿宋_GB2312"/>
          <w:b/>
          <w:sz w:val="28"/>
          <w:szCs w:val="28"/>
        </w:rPr>
      </w:pPr>
      <w:bookmarkStart w:id="31" w:name="_Toc129855074"/>
      <w:r>
        <w:rPr>
          <w:rFonts w:hint="eastAsia" w:ascii="仿宋_GB2312" w:eastAsia="仿宋_GB2312"/>
          <w:b/>
          <w:sz w:val="28"/>
          <w:szCs w:val="28"/>
        </w:rPr>
        <w:t>3.6.8中药药熨疗法</w:t>
      </w:r>
      <w:bookmarkEnd w:id="31"/>
    </w:p>
    <w:p w14:paraId="7154A541">
      <w:pPr>
        <w:pStyle w:val="31"/>
        <w:numPr>
          <w:ilvl w:val="0"/>
          <w:numId w:val="0"/>
        </w:numPr>
        <w:spacing w:before="0" w:after="0" w:line="520" w:lineRule="exact"/>
        <w:ind w:firstLine="560" w:firstLineChars="200"/>
        <w:rPr>
          <w:rFonts w:ascii="仿宋_GB2312" w:eastAsiaTheme="minorEastAsia"/>
          <w:sz w:val="28"/>
          <w:szCs w:val="28"/>
        </w:rPr>
      </w:pPr>
      <w:r>
        <w:rPr>
          <w:rFonts w:hint="eastAsia" w:ascii="仿宋_GB2312" w:eastAsia="仿宋_GB2312"/>
          <w:sz w:val="28"/>
          <w:szCs w:val="28"/>
        </w:rPr>
        <w:t>主要参照</w:t>
      </w:r>
      <w:r>
        <w:rPr>
          <w:rFonts w:hint="eastAsia" w:asciiTheme="minorEastAsia" w:hAnsiTheme="minorEastAsia" w:eastAsiaTheme="minorEastAsia"/>
          <w:sz w:val="28"/>
          <w:szCs w:val="28"/>
        </w:rPr>
        <w:t>：</w:t>
      </w:r>
    </w:p>
    <w:p w14:paraId="3299C7FE">
      <w:pPr>
        <w:pStyle w:val="27"/>
        <w:rPr>
          <w:rFonts w:hint="eastAsia" w:ascii="仿宋_GB2312" w:hAnsi="Calibri" w:eastAsia="仿宋_GB2312" w:cs="Calibri"/>
          <w:sz w:val="28"/>
          <w:szCs w:val="28"/>
          <w:lang w:val="en-US" w:eastAsia="zh-CN" w:bidi="ar-SA"/>
        </w:rPr>
      </w:pPr>
      <w:r>
        <w:rPr>
          <w:rFonts w:hint="eastAsia" w:ascii="仿宋_GB2312" w:hAnsi="Calibri" w:eastAsia="仿宋_GB2312" w:cs="Calibri"/>
          <w:sz w:val="28"/>
          <w:szCs w:val="28"/>
          <w:lang w:val="en-US" w:eastAsia="zh-CN" w:bidi="ar-SA"/>
        </w:rPr>
        <w:t>[1]李宗国.药熨疗法的临床应用[J].中国民间疗法, 1994(4):2.</w:t>
      </w:r>
    </w:p>
    <w:p w14:paraId="3DB405D5">
      <w:pPr>
        <w:pStyle w:val="27"/>
        <w:rPr>
          <w:rFonts w:hint="eastAsia" w:ascii="仿宋_GB2312" w:hAnsi="Calibri" w:eastAsia="仿宋_GB2312" w:cs="Calibri"/>
          <w:sz w:val="28"/>
          <w:szCs w:val="28"/>
          <w:lang w:val="en-US" w:eastAsia="zh-CN" w:bidi="ar-SA"/>
        </w:rPr>
      </w:pPr>
      <w:r>
        <w:rPr>
          <w:rFonts w:hint="eastAsia" w:ascii="仿宋_GB2312" w:hAnsi="Calibri" w:eastAsia="仿宋_GB2312" w:cs="Calibri"/>
          <w:sz w:val="28"/>
          <w:szCs w:val="28"/>
          <w:lang w:val="en-US" w:eastAsia="zh-CN" w:bidi="ar-SA"/>
        </w:rPr>
        <w:t>[2]李怀夫.药熨疗法的止痛作用探讨[J].中华临床医学杂志, 2005, 6(8):1.</w:t>
      </w:r>
    </w:p>
    <w:p w14:paraId="3461ACF8">
      <w:pPr>
        <w:pStyle w:val="27"/>
        <w:rPr>
          <w:rFonts w:hint="eastAsia" w:ascii="仿宋_GB2312" w:hAnsi="Calibri" w:eastAsia="仿宋_GB2312" w:cs="Calibri"/>
          <w:sz w:val="28"/>
          <w:szCs w:val="28"/>
          <w:lang w:val="en-US" w:eastAsia="zh-CN" w:bidi="ar-SA"/>
        </w:rPr>
      </w:pPr>
      <w:r>
        <w:rPr>
          <w:rFonts w:hint="eastAsia" w:ascii="仿宋_GB2312" w:hAnsi="Calibri" w:eastAsia="仿宋_GB2312" w:cs="Calibri"/>
          <w:sz w:val="28"/>
          <w:szCs w:val="28"/>
          <w:lang w:val="en-US" w:eastAsia="zh-CN" w:bidi="ar-SA"/>
        </w:rPr>
        <w:t>[3]齐冬梅,顾圣琴.中药熨烫疗法辅助治疗胃疡的临床护理效果分析[J].医学美学美容 2018年27卷24期, 22-23页, 2019.</w:t>
      </w:r>
    </w:p>
    <w:p w14:paraId="7A3EB16C">
      <w:pPr>
        <w:pStyle w:val="27"/>
        <w:rPr>
          <w:rFonts w:hint="eastAsia" w:ascii="仿宋_GB2312" w:hAnsi="Calibri" w:eastAsia="仿宋_GB2312" w:cs="Calibri"/>
          <w:sz w:val="28"/>
          <w:szCs w:val="28"/>
          <w:lang w:val="en-US" w:eastAsia="zh-CN" w:bidi="ar-SA"/>
        </w:rPr>
      </w:pPr>
      <w:r>
        <w:rPr>
          <w:rFonts w:hint="eastAsia" w:ascii="仿宋_GB2312" w:hAnsi="Calibri" w:eastAsia="仿宋_GB2312" w:cs="Calibri"/>
          <w:sz w:val="28"/>
          <w:szCs w:val="28"/>
          <w:lang w:val="en-US" w:eastAsia="zh-CN" w:bidi="ar-SA"/>
        </w:rPr>
        <w:t>[4]熊利娟,欧琴.中药熨烫疗法在胃脘痛临床护理中的效果观察[J].心理医生, 2018, 024(036):254-255.</w:t>
      </w:r>
    </w:p>
    <w:p w14:paraId="317540A9">
      <w:pPr>
        <w:pStyle w:val="27"/>
        <w:rPr>
          <w:rFonts w:hint="eastAsia" w:ascii="仿宋_GB2312" w:hAnsi="Calibri" w:eastAsia="仿宋_GB2312" w:cs="Calibri"/>
          <w:sz w:val="28"/>
          <w:szCs w:val="28"/>
          <w:lang w:val="en-US" w:eastAsia="zh-CN" w:bidi="ar-SA"/>
        </w:rPr>
      </w:pPr>
      <w:r>
        <w:rPr>
          <w:rFonts w:hint="eastAsia" w:ascii="仿宋_GB2312" w:hAnsi="Calibri" w:eastAsia="仿宋_GB2312" w:cs="Calibri"/>
          <w:sz w:val="28"/>
          <w:szCs w:val="28"/>
          <w:lang w:val="en-US" w:eastAsia="zh-CN" w:bidi="ar-SA"/>
        </w:rPr>
        <w:t>[5]钱国锋.民间独特疗法——药熨法[C]//2008全国中医药“名院、名科、名医、名店、名药、名厂”品牌发展战略暨“中医中药我为你骄傲”大型建言论坛.0[2024-01-18].</w:t>
      </w:r>
    </w:p>
    <w:p w14:paraId="32802166">
      <w:pPr>
        <w:pStyle w:val="27"/>
        <w:rPr>
          <w:rFonts w:hint="eastAsia" w:ascii="仿宋_GB2312" w:hAnsi="Calibri" w:eastAsia="仿宋_GB2312" w:cs="Calibri"/>
          <w:sz w:val="28"/>
          <w:szCs w:val="28"/>
          <w:lang w:val="en-US" w:eastAsia="zh-CN" w:bidi="ar-SA"/>
        </w:rPr>
      </w:pPr>
      <w:r>
        <w:rPr>
          <w:rFonts w:hint="eastAsia" w:ascii="仿宋_GB2312" w:hAnsi="Calibri" w:eastAsia="仿宋_GB2312" w:cs="Calibri"/>
          <w:sz w:val="28"/>
          <w:szCs w:val="28"/>
          <w:lang w:val="en-US" w:eastAsia="zh-CN" w:bidi="ar-SA"/>
        </w:rPr>
        <w:t>[6]邓碧珠,李铁强.中药烫熨疗法在社区胃炎疼痛患者的应用[J].广西医学, 2011, 33(9):2.</w:t>
      </w:r>
    </w:p>
    <w:p w14:paraId="1A0C59FB">
      <w:pPr>
        <w:pStyle w:val="31"/>
        <w:numPr>
          <w:ilvl w:val="0"/>
          <w:numId w:val="0"/>
        </w:numPr>
        <w:spacing w:before="0" w:after="0" w:line="520" w:lineRule="exact"/>
        <w:rPr>
          <w:rFonts w:ascii="仿宋_GB2312" w:eastAsia="仿宋_GB2312"/>
          <w:b/>
          <w:sz w:val="28"/>
          <w:szCs w:val="28"/>
        </w:rPr>
      </w:pPr>
      <w:bookmarkStart w:id="32" w:name="_Toc129855075"/>
      <w:r>
        <w:rPr>
          <w:rFonts w:hint="eastAsia" w:ascii="仿宋_GB2312" w:eastAsia="仿宋_GB2312"/>
          <w:b/>
          <w:sz w:val="28"/>
          <w:szCs w:val="28"/>
        </w:rPr>
        <w:t>3.6.9推按运经仪疗法</w:t>
      </w:r>
      <w:bookmarkEnd w:id="32"/>
    </w:p>
    <w:p w14:paraId="6C898884">
      <w:pPr>
        <w:pStyle w:val="31"/>
        <w:numPr>
          <w:ilvl w:val="0"/>
          <w:numId w:val="0"/>
        </w:numPr>
        <w:spacing w:before="0" w:after="0" w:line="520" w:lineRule="exact"/>
        <w:ind w:firstLine="560" w:firstLineChars="200"/>
        <w:rPr>
          <w:rFonts w:hint="eastAsia" w:ascii="仿宋_GB2312" w:eastAsia="仿宋_GB2312"/>
          <w:sz w:val="28"/>
          <w:szCs w:val="28"/>
          <w:lang w:eastAsia="zh-CN"/>
        </w:rPr>
      </w:pPr>
      <w:r>
        <w:rPr>
          <w:rFonts w:hint="eastAsia" w:ascii="仿宋_GB2312" w:eastAsia="仿宋_GB2312"/>
          <w:sz w:val="28"/>
          <w:szCs w:val="28"/>
        </w:rPr>
        <w:t>主要参照</w:t>
      </w:r>
      <w:r>
        <w:rPr>
          <w:rFonts w:hint="eastAsia" w:ascii="仿宋_GB2312" w:eastAsia="仿宋_GB2312"/>
          <w:sz w:val="28"/>
          <w:szCs w:val="28"/>
          <w:lang w:val="en-US" w:eastAsia="zh-CN"/>
        </w:rPr>
        <w:t>:</w:t>
      </w:r>
    </w:p>
    <w:p w14:paraId="560A9011">
      <w:pPr>
        <w:pStyle w:val="31"/>
        <w:numPr>
          <w:ilvl w:val="0"/>
          <w:numId w:val="0"/>
        </w:numPr>
        <w:spacing w:before="0" w:after="0" w:line="520" w:lineRule="exact"/>
        <w:ind w:firstLine="560" w:firstLineChars="200"/>
        <w:rPr>
          <w:rFonts w:hint="eastAsia" w:ascii="仿宋_GB2312" w:eastAsia="仿宋_GB2312"/>
          <w:sz w:val="28"/>
          <w:szCs w:val="28"/>
        </w:rPr>
      </w:pPr>
      <w:r>
        <w:rPr>
          <w:rFonts w:hint="eastAsia" w:ascii="仿宋_GB2312" w:eastAsia="仿宋_GB2312"/>
          <w:sz w:val="28"/>
          <w:szCs w:val="28"/>
        </w:rPr>
        <w:t xml:space="preserve">[1]王贞芳.推按运经仪耳穴压籽法治疗胆石症的疗效观察及护理[J].光明中医,2012,27(08):1596-1597. </w:t>
      </w:r>
    </w:p>
    <w:p w14:paraId="01F768C0">
      <w:pPr>
        <w:pStyle w:val="31"/>
        <w:numPr>
          <w:ilvl w:val="0"/>
          <w:numId w:val="0"/>
        </w:numPr>
        <w:spacing w:before="0" w:after="0" w:line="520" w:lineRule="exact"/>
        <w:ind w:firstLine="560" w:firstLineChars="200"/>
        <w:rPr>
          <w:rFonts w:hint="eastAsia" w:ascii="仿宋_GB2312" w:eastAsia="仿宋_GB2312"/>
          <w:sz w:val="28"/>
          <w:szCs w:val="28"/>
        </w:rPr>
      </w:pPr>
      <w:r>
        <w:rPr>
          <w:rFonts w:hint="eastAsia" w:ascii="仿宋_GB2312" w:eastAsia="仿宋_GB2312"/>
          <w:sz w:val="28"/>
          <w:szCs w:val="28"/>
        </w:rPr>
        <w:t xml:space="preserve">[2]赵霞.中药加推按运经仪治疗胆石症的观察与护理[J].中国民族民间医药,2009,18(15):139. </w:t>
      </w:r>
    </w:p>
    <w:p w14:paraId="1FFC28C9">
      <w:pPr>
        <w:pStyle w:val="31"/>
        <w:numPr>
          <w:ilvl w:val="0"/>
          <w:numId w:val="0"/>
        </w:numPr>
        <w:spacing w:before="0" w:after="0" w:line="520" w:lineRule="exact"/>
        <w:ind w:firstLine="560" w:firstLineChars="200"/>
        <w:rPr>
          <w:rFonts w:hint="eastAsia" w:ascii="仿宋_GB2312" w:eastAsia="仿宋_GB2312"/>
          <w:sz w:val="28"/>
          <w:szCs w:val="28"/>
        </w:rPr>
      </w:pPr>
      <w:r>
        <w:rPr>
          <w:rFonts w:hint="eastAsia" w:ascii="仿宋_GB2312" w:eastAsia="仿宋_GB2312"/>
          <w:sz w:val="28"/>
          <w:szCs w:val="28"/>
        </w:rPr>
        <w:t>[3]王贞芳.推按运经仪治疗胆石症480例[J].山东中医杂志,2009,28(06):403-404.</w:t>
      </w:r>
    </w:p>
    <w:p w14:paraId="4FC1911F">
      <w:pPr>
        <w:pStyle w:val="29"/>
        <w:numPr>
          <w:ilvl w:val="0"/>
          <w:numId w:val="0"/>
        </w:numPr>
        <w:spacing w:before="0" w:beforeLines="0" w:after="0" w:afterLines="0" w:line="520" w:lineRule="exact"/>
        <w:rPr>
          <w:rFonts w:ascii="仿宋_GB2312" w:hAnsi="仿宋_GB2312" w:eastAsia="仿宋_GB2312" w:cs="仿宋_GB2312"/>
          <w:b/>
          <w:color w:val="000000"/>
          <w:sz w:val="28"/>
          <w:szCs w:val="28"/>
          <w:lang w:bidi="ar"/>
        </w:rPr>
      </w:pPr>
      <w:bookmarkStart w:id="33" w:name="_Toc130001564"/>
      <w:bookmarkStart w:id="34" w:name="_Toc129855076"/>
      <w:bookmarkStart w:id="35" w:name="_Toc129855221"/>
      <w:bookmarkStart w:id="36" w:name="_Toc130001598"/>
      <w:bookmarkStart w:id="37" w:name="_Toc130001753"/>
      <w:r>
        <w:rPr>
          <w:rFonts w:hint="eastAsia" w:ascii="微软雅黑" w:hAnsi="微软雅黑" w:eastAsia="微软雅黑" w:cs="微软雅黑"/>
          <w:b/>
          <w:sz w:val="28"/>
          <w:szCs w:val="28"/>
        </w:rPr>
        <w:t>（</w:t>
      </w:r>
      <w:r>
        <w:rPr>
          <w:rFonts w:hint="eastAsia" w:ascii="仿宋_GB2312" w:eastAsia="仿宋_GB2312"/>
          <w:b/>
          <w:sz w:val="28"/>
          <w:szCs w:val="28"/>
        </w:rPr>
        <w:t>四）日常调摄康复预防</w:t>
      </w:r>
      <w:bookmarkEnd w:id="33"/>
      <w:bookmarkEnd w:id="34"/>
      <w:bookmarkEnd w:id="35"/>
      <w:bookmarkEnd w:id="36"/>
      <w:bookmarkEnd w:id="37"/>
    </w:p>
    <w:p w14:paraId="2D22A14D">
      <w:pPr>
        <w:spacing w:line="520" w:lineRule="exact"/>
        <w:ind w:firstLine="560" w:firstLineChars="200"/>
        <w:rPr>
          <w:rFonts w:hint="eastAsia" w:ascii="仿宋_GB2312" w:hAnsi="宋体" w:eastAsia="仿宋_GB2312"/>
          <w:sz w:val="28"/>
          <w:szCs w:val="28"/>
        </w:rPr>
      </w:pPr>
      <w:r>
        <w:rPr>
          <w:rFonts w:hint="eastAsia" w:ascii="仿宋_GB2312" w:hAnsi="宋体" w:eastAsia="仿宋_GB2312"/>
          <w:sz w:val="28"/>
          <w:szCs w:val="28"/>
        </w:rPr>
        <w:t xml:space="preserve">主要围绕情志、保健功法、起居环境、日常饮食四个方面进行，并对每一种护理提出相应的要求。日常调摄康复预防主要参照：马烈光,蒋力生.中医养生学[M].北京：中国中医药出版社,2016.   </w:t>
      </w:r>
    </w:p>
    <w:p w14:paraId="45C75648">
      <w:pPr>
        <w:pStyle w:val="29"/>
        <w:numPr>
          <w:ilvl w:val="0"/>
          <w:numId w:val="6"/>
        </w:numPr>
        <w:spacing w:before="0" w:beforeLines="0" w:after="0" w:afterLines="0" w:line="520" w:lineRule="exact"/>
        <w:rPr>
          <w:rFonts w:ascii="仿宋_GB2312" w:eastAsia="仿宋_GB2312"/>
          <w:b/>
          <w:sz w:val="28"/>
          <w:szCs w:val="28"/>
        </w:rPr>
      </w:pPr>
      <w:bookmarkStart w:id="38" w:name="_Toc129855092"/>
      <w:bookmarkStart w:id="39" w:name="_Toc130001754"/>
      <w:bookmarkStart w:id="40" w:name="_Toc129855226"/>
      <w:bookmarkStart w:id="41" w:name="_Toc130001565"/>
      <w:bookmarkStart w:id="42" w:name="_Toc130001603"/>
      <w:r>
        <w:rPr>
          <w:rFonts w:hint="eastAsia" w:ascii="仿宋_GB2312" w:eastAsia="仿宋_GB2312"/>
          <w:b/>
          <w:sz w:val="28"/>
          <w:szCs w:val="28"/>
        </w:rPr>
        <w:t>预防结石复发</w:t>
      </w:r>
    </w:p>
    <w:bookmarkEnd w:id="38"/>
    <w:bookmarkEnd w:id="39"/>
    <w:bookmarkEnd w:id="40"/>
    <w:bookmarkEnd w:id="41"/>
    <w:bookmarkEnd w:id="42"/>
    <w:p w14:paraId="62018587">
      <w:pPr>
        <w:spacing w:line="520" w:lineRule="exact"/>
        <w:ind w:firstLine="562" w:firstLineChars="200"/>
        <w:rPr>
          <w:rFonts w:ascii="仿宋_GB2312" w:hAnsi="宋体" w:eastAsia="仿宋_GB2312"/>
          <w:b/>
          <w:bCs/>
          <w:sz w:val="28"/>
          <w:szCs w:val="28"/>
        </w:rPr>
      </w:pPr>
      <w:bookmarkStart w:id="43" w:name="_Toc129855227"/>
      <w:bookmarkStart w:id="44" w:name="_Toc129855093"/>
      <w:bookmarkStart w:id="45" w:name="_Toc130001604"/>
      <w:r>
        <w:rPr>
          <w:rFonts w:ascii="仿宋_GB2312" w:hAnsi="宋体" w:eastAsia="仿宋_GB2312"/>
          <w:b/>
          <w:bCs/>
          <w:sz w:val="28"/>
          <w:szCs w:val="28"/>
        </w:rPr>
        <w:t>症状</w:t>
      </w:r>
      <w:bookmarkEnd w:id="43"/>
      <w:bookmarkEnd w:id="44"/>
      <w:bookmarkEnd w:id="45"/>
    </w:p>
    <w:p w14:paraId="032FDAE0">
      <w:pPr>
        <w:spacing w:line="520" w:lineRule="exact"/>
        <w:ind w:firstLine="560" w:firstLineChars="200"/>
        <w:rPr>
          <w:rFonts w:ascii="仿宋_GB2312" w:hAnsi="宋体" w:eastAsia="仿宋_GB2312"/>
          <w:sz w:val="28"/>
          <w:szCs w:val="28"/>
        </w:rPr>
      </w:pPr>
      <w:bookmarkStart w:id="46" w:name="_Toc129855094"/>
      <w:r>
        <w:rPr>
          <w:rFonts w:ascii="仿宋_GB2312" w:hAnsi="宋体" w:eastAsia="仿宋_GB2312"/>
          <w:sz w:val="28"/>
          <w:szCs w:val="28"/>
        </w:rPr>
        <w:t>主要症状</w:t>
      </w:r>
      <w:bookmarkEnd w:id="46"/>
      <w:r>
        <w:rPr>
          <w:rFonts w:ascii="仿宋_GB2312" w:hAnsi="宋体" w:eastAsia="仿宋_GB2312"/>
          <w:sz w:val="28"/>
          <w:szCs w:val="28"/>
        </w:rPr>
        <w:t>同</w:t>
      </w:r>
      <w:r>
        <w:rPr>
          <w:rFonts w:hint="eastAsia" w:ascii="仿宋_GB2312" w:hAnsi="宋体" w:eastAsia="仿宋_GB2312"/>
          <w:sz w:val="28"/>
          <w:szCs w:val="28"/>
        </w:rPr>
        <w:t>术后</w:t>
      </w:r>
      <w:r>
        <w:rPr>
          <w:rFonts w:ascii="仿宋_GB2312" w:hAnsi="宋体" w:eastAsia="仿宋_GB2312"/>
          <w:sz w:val="28"/>
          <w:szCs w:val="28"/>
        </w:rPr>
        <w:t>远期症状。</w:t>
      </w:r>
    </w:p>
    <w:p w14:paraId="72CBDE1A">
      <w:pPr>
        <w:spacing w:line="520" w:lineRule="exact"/>
        <w:ind w:firstLine="562" w:firstLineChars="200"/>
        <w:rPr>
          <w:rFonts w:ascii="仿宋_GB2312" w:hAnsi="宋体" w:eastAsia="仿宋_GB2312"/>
          <w:b/>
          <w:bCs/>
          <w:sz w:val="28"/>
          <w:szCs w:val="28"/>
        </w:rPr>
      </w:pPr>
      <w:bookmarkStart w:id="47" w:name="_Toc129855228"/>
      <w:bookmarkStart w:id="48" w:name="_Toc129855095"/>
      <w:bookmarkStart w:id="49" w:name="_Toc130001605"/>
      <w:r>
        <w:rPr>
          <w:rFonts w:ascii="仿宋_GB2312" w:hAnsi="宋体" w:eastAsia="仿宋_GB2312"/>
          <w:b/>
          <w:bCs/>
          <w:sz w:val="28"/>
          <w:szCs w:val="28"/>
        </w:rPr>
        <w:t>中医证型分型</w:t>
      </w:r>
      <w:bookmarkEnd w:id="47"/>
      <w:bookmarkEnd w:id="48"/>
      <w:bookmarkEnd w:id="49"/>
    </w:p>
    <w:p w14:paraId="719C787C">
      <w:pPr>
        <w:spacing w:line="520" w:lineRule="exact"/>
        <w:ind w:firstLine="560" w:firstLineChars="200"/>
        <w:rPr>
          <w:rFonts w:hint="eastAsia" w:ascii="仿宋_GB2312" w:hAnsi="宋体" w:eastAsia="仿宋_GB2312"/>
          <w:sz w:val="28"/>
          <w:szCs w:val="28"/>
        </w:rPr>
      </w:pPr>
      <w:r>
        <w:rPr>
          <w:rFonts w:hint="eastAsia" w:ascii="仿宋_GB2312" w:eastAsia="仿宋_GB2312" w:cs="仿宋"/>
          <w:bCs/>
          <w:sz w:val="28"/>
          <w:szCs w:val="28"/>
        </w:rPr>
        <w:t>分别确定了“</w:t>
      </w:r>
      <w:r>
        <w:rPr>
          <w:rFonts w:ascii="仿宋_GB2312" w:hAnsi="宋体" w:eastAsia="仿宋_GB2312"/>
          <w:sz w:val="28"/>
          <w:szCs w:val="28"/>
        </w:rPr>
        <w:t>脾虚湿盛证</w:t>
      </w:r>
      <w:r>
        <w:rPr>
          <w:rFonts w:hint="eastAsia" w:ascii="仿宋_GB2312" w:hAnsi="宋体" w:eastAsia="仿宋_GB2312"/>
          <w:sz w:val="28"/>
          <w:szCs w:val="28"/>
        </w:rPr>
        <w:t>、</w:t>
      </w:r>
      <w:r>
        <w:rPr>
          <w:rFonts w:ascii="仿宋_GB2312" w:hAnsi="宋体" w:eastAsia="仿宋_GB2312"/>
          <w:sz w:val="28"/>
          <w:szCs w:val="28"/>
        </w:rPr>
        <w:t>肝脾气滞证</w:t>
      </w:r>
      <w:r>
        <w:rPr>
          <w:rFonts w:hint="eastAsia" w:ascii="仿宋_GB2312" w:hAnsi="宋体" w:eastAsia="仿宋_GB2312"/>
          <w:sz w:val="28"/>
          <w:szCs w:val="28"/>
        </w:rPr>
        <w:t>、</w:t>
      </w:r>
      <w:r>
        <w:rPr>
          <w:rFonts w:ascii="仿宋_GB2312" w:hAnsi="宋体" w:eastAsia="仿宋_GB2312"/>
          <w:sz w:val="28"/>
          <w:szCs w:val="28"/>
        </w:rPr>
        <w:t>肝郁气滞证</w:t>
      </w:r>
      <w:r>
        <w:rPr>
          <w:rFonts w:hint="eastAsia" w:ascii="仿宋_GB2312" w:hAnsi="宋体" w:eastAsia="仿宋_GB2312"/>
          <w:sz w:val="28"/>
          <w:szCs w:val="28"/>
        </w:rPr>
        <w:t>、</w:t>
      </w:r>
      <w:r>
        <w:rPr>
          <w:rFonts w:ascii="仿宋_GB2312" w:hAnsi="宋体" w:eastAsia="仿宋_GB2312"/>
          <w:sz w:val="28"/>
          <w:szCs w:val="28"/>
        </w:rPr>
        <w:t>肝阳上亢证</w:t>
      </w:r>
      <w:r>
        <w:rPr>
          <w:rFonts w:hint="eastAsia" w:ascii="仿宋_GB2312" w:hAnsi="宋体" w:eastAsia="仿宋_GB2312"/>
          <w:sz w:val="28"/>
          <w:szCs w:val="28"/>
        </w:rPr>
        <w:t>、</w:t>
      </w:r>
      <w:r>
        <w:rPr>
          <w:rFonts w:ascii="仿宋_GB2312" w:hAnsi="宋体" w:eastAsia="仿宋_GB2312"/>
          <w:sz w:val="28"/>
          <w:szCs w:val="28"/>
        </w:rPr>
        <w:t>胆腑郁热证</w:t>
      </w:r>
      <w:r>
        <w:rPr>
          <w:rFonts w:hint="eastAsia" w:ascii="仿宋_GB2312" w:hAnsi="宋体" w:eastAsia="仿宋_GB2312"/>
          <w:sz w:val="28"/>
          <w:szCs w:val="28"/>
        </w:rPr>
        <w:t>”</w:t>
      </w:r>
      <w:r>
        <w:rPr>
          <w:rFonts w:hint="eastAsia" w:ascii="仿宋_GB2312" w:eastAsia="仿宋_GB2312" w:cs="仿宋"/>
          <w:bCs/>
          <w:sz w:val="28"/>
          <w:szCs w:val="28"/>
        </w:rPr>
        <w:t>5</w:t>
      </w:r>
      <w:r>
        <w:rPr>
          <w:rFonts w:hint="eastAsia" w:ascii="仿宋_GB2312" w:hAnsi="宋体" w:eastAsia="仿宋_GB2312"/>
          <w:sz w:val="28"/>
          <w:szCs w:val="28"/>
        </w:rPr>
        <w:t>个证候，各证侯主要参照医疗组长期从事胆石症相关的诊疗工作，在既往的诊疗活动中针对胆石症术后的预防结石复发积累了大量临床经验，根据临床观察逐渐确立了</w:t>
      </w:r>
      <w:r>
        <w:rPr>
          <w:rFonts w:ascii="仿宋_GB2312" w:hAnsi="宋体" w:eastAsia="仿宋_GB2312"/>
          <w:sz w:val="28"/>
          <w:szCs w:val="28"/>
        </w:rPr>
        <w:t>脾虚湿盛证</w:t>
      </w:r>
      <w:r>
        <w:rPr>
          <w:rFonts w:hint="eastAsia" w:ascii="仿宋_GB2312" w:hAnsi="宋体" w:eastAsia="仿宋_GB2312"/>
          <w:sz w:val="28"/>
          <w:szCs w:val="28"/>
        </w:rPr>
        <w:t>、</w:t>
      </w:r>
      <w:r>
        <w:rPr>
          <w:rFonts w:ascii="仿宋_GB2312" w:hAnsi="宋体" w:eastAsia="仿宋_GB2312"/>
          <w:sz w:val="28"/>
          <w:szCs w:val="28"/>
        </w:rPr>
        <w:t>肝脾气滞证</w:t>
      </w:r>
      <w:r>
        <w:rPr>
          <w:rFonts w:hint="eastAsia" w:ascii="仿宋_GB2312" w:hAnsi="宋体" w:eastAsia="仿宋_GB2312"/>
          <w:sz w:val="28"/>
          <w:szCs w:val="28"/>
        </w:rPr>
        <w:t>、</w:t>
      </w:r>
      <w:r>
        <w:rPr>
          <w:rFonts w:ascii="仿宋_GB2312" w:hAnsi="宋体" w:eastAsia="仿宋_GB2312"/>
          <w:sz w:val="28"/>
          <w:szCs w:val="28"/>
        </w:rPr>
        <w:t>肝郁气滞证</w:t>
      </w:r>
      <w:r>
        <w:rPr>
          <w:rFonts w:hint="eastAsia" w:ascii="仿宋_GB2312" w:hAnsi="宋体" w:eastAsia="仿宋_GB2312"/>
          <w:sz w:val="28"/>
          <w:szCs w:val="28"/>
        </w:rPr>
        <w:t>、</w:t>
      </w:r>
      <w:r>
        <w:rPr>
          <w:rFonts w:ascii="仿宋_GB2312" w:hAnsi="宋体" w:eastAsia="仿宋_GB2312"/>
          <w:sz w:val="28"/>
          <w:szCs w:val="28"/>
        </w:rPr>
        <w:t>肝阳上亢证</w:t>
      </w:r>
      <w:r>
        <w:rPr>
          <w:rFonts w:hint="eastAsia" w:ascii="仿宋_GB2312" w:hAnsi="宋体" w:eastAsia="仿宋_GB2312"/>
          <w:sz w:val="28"/>
          <w:szCs w:val="28"/>
        </w:rPr>
        <w:t>、</w:t>
      </w:r>
      <w:r>
        <w:rPr>
          <w:rFonts w:ascii="仿宋_GB2312" w:hAnsi="宋体" w:eastAsia="仿宋_GB2312"/>
          <w:sz w:val="28"/>
          <w:szCs w:val="28"/>
        </w:rPr>
        <w:t>胆腑郁热证</w:t>
      </w:r>
      <w:r>
        <w:rPr>
          <w:rFonts w:hint="eastAsia" w:ascii="仿宋_GB2312" w:hAnsi="宋体" w:eastAsia="仿宋_GB2312"/>
          <w:sz w:val="28"/>
          <w:szCs w:val="28"/>
        </w:rPr>
        <w:t>”5个证候。</w:t>
      </w:r>
    </w:p>
    <w:p w14:paraId="7ABF5A0F">
      <w:pPr>
        <w:pStyle w:val="29"/>
        <w:numPr>
          <w:ilvl w:val="0"/>
          <w:numId w:val="0"/>
        </w:numPr>
        <w:spacing w:before="0" w:beforeLines="0" w:after="0" w:afterLines="0" w:line="520" w:lineRule="exact"/>
        <w:rPr>
          <w:rFonts w:ascii="仿宋_GB2312" w:eastAsia="仿宋_GB2312"/>
          <w:b/>
          <w:sz w:val="28"/>
          <w:szCs w:val="28"/>
        </w:rPr>
      </w:pPr>
      <w:r>
        <w:rPr>
          <w:rFonts w:hint="eastAsia" w:ascii="仿宋_GB2312" w:eastAsia="仿宋_GB2312"/>
          <w:b/>
          <w:sz w:val="28"/>
          <w:szCs w:val="28"/>
        </w:rPr>
        <w:t>（六）</w:t>
      </w:r>
      <w:bookmarkStart w:id="50" w:name="_Toc130001606"/>
      <w:bookmarkStart w:id="51" w:name="_Toc129855229"/>
      <w:bookmarkStart w:id="52" w:name="_Toc129855101"/>
      <w:bookmarkStart w:id="53" w:name="_Toc130001566"/>
      <w:bookmarkStart w:id="54" w:name="_Toc130001755"/>
      <w:r>
        <w:rPr>
          <w:rFonts w:hint="eastAsia" w:ascii="仿宋_GB2312" w:eastAsia="仿宋_GB2312"/>
          <w:b/>
          <w:sz w:val="28"/>
          <w:szCs w:val="28"/>
        </w:rPr>
        <w:t>预防治疗</w:t>
      </w:r>
      <w:bookmarkEnd w:id="50"/>
      <w:bookmarkEnd w:id="51"/>
      <w:bookmarkEnd w:id="52"/>
      <w:bookmarkEnd w:id="53"/>
      <w:bookmarkEnd w:id="54"/>
    </w:p>
    <w:p w14:paraId="1B06917D">
      <w:pPr>
        <w:pStyle w:val="32"/>
        <w:numPr>
          <w:ilvl w:val="4"/>
          <w:numId w:val="0"/>
        </w:numPr>
        <w:spacing w:before="156" w:after="156"/>
        <w:ind w:firstLine="560" w:firstLineChars="200"/>
        <w:rPr>
          <w:rFonts w:ascii="仿宋_GB2312" w:eastAsia="仿宋_GB2312"/>
          <w:bCs/>
          <w:sz w:val="28"/>
          <w:szCs w:val="28"/>
        </w:rPr>
      </w:pPr>
      <w:r>
        <w:rPr>
          <w:rFonts w:hint="eastAsia" w:ascii="仿宋_GB2312" w:eastAsia="仿宋_GB2312"/>
          <w:bCs/>
          <w:sz w:val="28"/>
          <w:szCs w:val="28"/>
        </w:rPr>
        <w:t>预防治疗主要从</w:t>
      </w:r>
      <w:r>
        <w:rPr>
          <w:rFonts w:hint="eastAsia" w:ascii="仿宋_GB2312" w:eastAsia="仿宋_GB2312"/>
          <w:b/>
          <w:sz w:val="28"/>
          <w:szCs w:val="28"/>
        </w:rPr>
        <w:t>内治法、</w:t>
      </w:r>
      <w:bookmarkStart w:id="55" w:name="_Toc130001608"/>
      <w:bookmarkStart w:id="56" w:name="_Toc129855108"/>
      <w:bookmarkStart w:id="57" w:name="_Toc129855231"/>
      <w:r>
        <w:rPr>
          <w:rFonts w:hint="eastAsia" w:ascii="仿宋_GB2312" w:eastAsia="仿宋_GB2312"/>
          <w:b/>
          <w:sz w:val="28"/>
          <w:szCs w:val="28"/>
        </w:rPr>
        <w:t>中成药预防治疗</w:t>
      </w:r>
      <w:bookmarkEnd w:id="55"/>
      <w:bookmarkEnd w:id="56"/>
      <w:bookmarkEnd w:id="57"/>
      <w:r>
        <w:rPr>
          <w:rFonts w:hint="eastAsia" w:ascii="仿宋_GB2312" w:eastAsia="仿宋_GB2312"/>
          <w:b/>
          <w:sz w:val="28"/>
          <w:szCs w:val="28"/>
        </w:rPr>
        <w:t>、外治法</w:t>
      </w:r>
      <w:r>
        <w:rPr>
          <w:rFonts w:hint="eastAsia" w:ascii="仿宋_GB2312" w:eastAsia="仿宋_GB2312"/>
          <w:bCs/>
          <w:sz w:val="28"/>
          <w:szCs w:val="28"/>
        </w:rPr>
        <w:t>三个方面给出要求。</w:t>
      </w:r>
    </w:p>
    <w:p w14:paraId="59F5BFC7">
      <w:pPr>
        <w:pStyle w:val="29"/>
        <w:numPr>
          <w:ilvl w:val="1"/>
          <w:numId w:val="0"/>
        </w:numPr>
        <w:spacing w:before="0" w:beforeLines="0" w:after="0" w:afterLines="0" w:line="520" w:lineRule="exact"/>
        <w:rPr>
          <w:rFonts w:hint="eastAsia"/>
        </w:rPr>
      </w:pPr>
      <w:r>
        <w:rPr>
          <w:rFonts w:hint="eastAsia" w:ascii="仿宋_GB2312" w:hAnsi="宋体" w:eastAsia="仿宋_GB2312"/>
          <w:sz w:val="28"/>
          <w:szCs w:val="28"/>
        </w:rPr>
        <w:t>内治法根据</w:t>
      </w:r>
      <w:r>
        <w:rPr>
          <w:rFonts w:hint="eastAsia" w:ascii="仿宋_GB2312" w:eastAsia="仿宋_GB2312" w:cs="仿宋"/>
          <w:bCs/>
          <w:sz w:val="28"/>
          <w:szCs w:val="28"/>
        </w:rPr>
        <w:t>“</w:t>
      </w:r>
      <w:r>
        <w:rPr>
          <w:rFonts w:ascii="仿宋_GB2312" w:hAnsi="宋体" w:eastAsia="仿宋_GB2312"/>
          <w:sz w:val="28"/>
          <w:szCs w:val="28"/>
        </w:rPr>
        <w:t>脾虚湿盛证</w:t>
      </w:r>
      <w:r>
        <w:rPr>
          <w:rFonts w:hint="eastAsia" w:ascii="仿宋_GB2312" w:hAnsi="宋体" w:eastAsia="仿宋_GB2312"/>
          <w:sz w:val="28"/>
          <w:szCs w:val="28"/>
        </w:rPr>
        <w:t>、</w:t>
      </w:r>
      <w:r>
        <w:rPr>
          <w:rFonts w:ascii="仿宋_GB2312" w:hAnsi="宋体" w:eastAsia="仿宋_GB2312"/>
          <w:sz w:val="28"/>
          <w:szCs w:val="28"/>
        </w:rPr>
        <w:t>肝脾气滞证</w:t>
      </w:r>
      <w:r>
        <w:rPr>
          <w:rFonts w:hint="eastAsia" w:ascii="仿宋_GB2312" w:hAnsi="宋体" w:eastAsia="仿宋_GB2312"/>
          <w:sz w:val="28"/>
          <w:szCs w:val="28"/>
        </w:rPr>
        <w:t>、</w:t>
      </w:r>
      <w:r>
        <w:rPr>
          <w:rFonts w:ascii="仿宋_GB2312" w:hAnsi="宋体" w:eastAsia="仿宋_GB2312"/>
          <w:sz w:val="28"/>
          <w:szCs w:val="28"/>
        </w:rPr>
        <w:t>肝郁气滞证</w:t>
      </w:r>
      <w:r>
        <w:rPr>
          <w:rFonts w:hint="eastAsia" w:ascii="仿宋_GB2312" w:hAnsi="宋体" w:eastAsia="仿宋_GB2312"/>
          <w:sz w:val="28"/>
          <w:szCs w:val="28"/>
        </w:rPr>
        <w:t>、</w:t>
      </w:r>
      <w:r>
        <w:rPr>
          <w:rFonts w:ascii="仿宋_GB2312" w:hAnsi="宋体" w:eastAsia="仿宋_GB2312"/>
          <w:sz w:val="28"/>
          <w:szCs w:val="28"/>
        </w:rPr>
        <w:t>胆腑郁热证</w:t>
      </w:r>
      <w:r>
        <w:rPr>
          <w:rFonts w:hint="eastAsia" w:ascii="仿宋_GB2312" w:hAnsi="宋体" w:eastAsia="仿宋_GB2312"/>
          <w:sz w:val="28"/>
          <w:szCs w:val="28"/>
          <w:lang w:eastAsia="zh-CN"/>
        </w:rPr>
        <w:t>、瘀血阻滞证</w:t>
      </w:r>
      <w:r>
        <w:rPr>
          <w:rFonts w:hint="eastAsia" w:ascii="仿宋_GB2312" w:hAnsi="宋体" w:eastAsia="仿宋_GB2312"/>
          <w:sz w:val="28"/>
          <w:szCs w:val="28"/>
        </w:rPr>
        <w:t>”证侯分类的要求给出了不同的治法、方药，各种方药均经过广西中医药大学第一附属医院临床验证，治疗的方法主要依据多年的诊疗经验确定。胆石症的中医预防可归为“胁痛”、“黄疸”、“腹痛”、“呕吐”等范畴，因此胆石症的中医预防调摄参照了大部分诊疗指南或教材关于“胁</w:t>
      </w:r>
      <w:r>
        <w:rPr>
          <w:rFonts w:hint="eastAsia" w:ascii="仿宋_GB2312" w:hAnsi="宋体" w:eastAsia="仿宋_GB2312" w:cs="Calibri"/>
          <w:sz w:val="28"/>
          <w:szCs w:val="28"/>
          <w:lang w:val="en-US" w:eastAsia="zh-CN" w:bidi="ar-SA"/>
        </w:rPr>
        <w:t>痛、黄疸、腹痛、呕吐”等疾病的内科预防调护项目。如：周仲瑛.中医内科学[M].北京：中国中医药出版社,2015.[1]张渝均.疏肝健脾法治疗胆囊切除术后综合征的研究[D].南京中医药大学,2011.[2]陈明霞,石涛,毛瑜俊等.中药吴茱萸在胃肠功能恢复护理中的应用研究进展[J].循证护理,2023,9(21):3874-3877.[3]李志国.胁痛的中医治疗[J].世界最新医学信息文摘,2015,15(25):136.</w:t>
      </w:r>
    </w:p>
    <w:p w14:paraId="2F4BE0A7">
      <w:pPr>
        <w:pStyle w:val="32"/>
        <w:numPr>
          <w:ilvl w:val="4"/>
          <w:numId w:val="0"/>
        </w:numPr>
        <w:spacing w:before="156" w:after="156"/>
        <w:ind w:firstLine="560" w:firstLineChars="200"/>
        <w:rPr>
          <w:rFonts w:ascii="仿宋_GB2312" w:hAnsi="宋体" w:eastAsia="仿宋_GB2312"/>
          <w:sz w:val="28"/>
          <w:szCs w:val="28"/>
        </w:rPr>
      </w:pPr>
      <w:r>
        <w:rPr>
          <w:rFonts w:hint="eastAsia" w:ascii="仿宋_GB2312" w:hAnsi="宋体" w:eastAsia="仿宋_GB2312"/>
          <w:sz w:val="28"/>
          <w:szCs w:val="28"/>
        </w:rPr>
        <w:t>外治法按4.3.2的干预治疗的要求执行，根据证型给出了不同的常用药、穴位选择，操作方法等要求。</w:t>
      </w:r>
    </w:p>
    <w:p w14:paraId="2E51F429">
      <w:pPr>
        <w:pStyle w:val="32"/>
        <w:numPr>
          <w:ilvl w:val="4"/>
          <w:numId w:val="0"/>
        </w:numPr>
        <w:spacing w:before="156" w:after="156"/>
        <w:ind w:firstLine="562" w:firstLineChars="200"/>
        <w:rPr>
          <w:rFonts w:hint="eastAsia" w:ascii="仿宋_GB2312" w:hAnsi="宋体" w:eastAsia="仿宋_GB2312"/>
          <w:sz w:val="28"/>
          <w:szCs w:val="28"/>
          <w:lang w:eastAsia="zh-CN"/>
        </w:rPr>
      </w:pPr>
      <w:r>
        <w:rPr>
          <w:rFonts w:hint="eastAsia" w:ascii="仿宋_GB2312" w:hAnsi="宋体" w:eastAsia="仿宋_GB2312"/>
          <w:b/>
          <w:bCs/>
          <w:sz w:val="28"/>
          <w:szCs w:val="28"/>
        </w:rPr>
        <w:t>中成药预防治疗</w:t>
      </w:r>
      <w:bookmarkStart w:id="58" w:name="_Toc129855109"/>
      <w:r>
        <w:rPr>
          <w:rFonts w:hint="eastAsia" w:ascii="仿宋_GB2312" w:hAnsi="宋体" w:eastAsia="仿宋_GB2312"/>
          <w:sz w:val="28"/>
          <w:szCs w:val="28"/>
        </w:rPr>
        <w:t>给出了胆宁片</w:t>
      </w:r>
      <w:bookmarkEnd w:id="58"/>
      <w:bookmarkStart w:id="59" w:name="_Toc129855110"/>
      <w:r>
        <w:rPr>
          <w:rFonts w:hint="eastAsia" w:ascii="仿宋_GB2312" w:hAnsi="宋体" w:eastAsia="仿宋_GB2312"/>
          <w:sz w:val="28"/>
          <w:szCs w:val="28"/>
        </w:rPr>
        <w:t>、胆石利通片</w:t>
      </w:r>
      <w:bookmarkEnd w:id="59"/>
      <w:bookmarkStart w:id="60" w:name="_Toc129855111"/>
      <w:r>
        <w:rPr>
          <w:rFonts w:hint="eastAsia" w:ascii="仿宋_GB2312" w:hAnsi="宋体" w:eastAsia="仿宋_GB2312"/>
          <w:sz w:val="28"/>
          <w:szCs w:val="28"/>
        </w:rPr>
        <w:t>、利胆排石片</w:t>
      </w:r>
      <w:bookmarkEnd w:id="60"/>
      <w:bookmarkStart w:id="61" w:name="_Toc129855112"/>
      <w:r>
        <w:rPr>
          <w:rFonts w:hint="eastAsia" w:ascii="仿宋_GB2312" w:hAnsi="宋体" w:eastAsia="仿宋_GB2312"/>
          <w:sz w:val="28"/>
          <w:szCs w:val="28"/>
        </w:rPr>
        <w:t>、利胆石颗粒</w:t>
      </w:r>
      <w:bookmarkEnd w:id="61"/>
      <w:bookmarkStart w:id="62" w:name="_Toc129855113"/>
      <w:r>
        <w:rPr>
          <w:rFonts w:hint="eastAsia" w:ascii="仿宋_GB2312" w:hAnsi="宋体" w:eastAsia="仿宋_GB2312"/>
          <w:sz w:val="28"/>
          <w:szCs w:val="28"/>
        </w:rPr>
        <w:t>、胆舒胶囊</w:t>
      </w:r>
      <w:bookmarkEnd w:id="62"/>
      <w:r>
        <w:rPr>
          <w:rFonts w:hint="eastAsia" w:ascii="仿宋_GB2312" w:hAnsi="宋体" w:eastAsia="仿宋_GB2312"/>
          <w:sz w:val="28"/>
          <w:szCs w:val="28"/>
        </w:rPr>
        <w:t>的功效、组成和用法。中成药的运用主要参考：胆石症中西医结合诊疗共识意见(2017年)</w:t>
      </w:r>
      <w:r>
        <w:rPr>
          <w:rFonts w:hint="eastAsia" w:ascii="仿宋_GB2312" w:hAnsi="宋体" w:eastAsia="仿宋_GB2312"/>
          <w:sz w:val="28"/>
          <w:szCs w:val="28"/>
          <w:lang w:eastAsia="zh-CN"/>
        </w:rPr>
        <w:t>。</w:t>
      </w:r>
    </w:p>
    <w:p w14:paraId="102704B5">
      <w:pPr>
        <w:pStyle w:val="29"/>
        <w:numPr>
          <w:ilvl w:val="0"/>
          <w:numId w:val="0"/>
        </w:numPr>
        <w:spacing w:beforeLines="0" w:afterLines="0" w:line="360" w:lineRule="auto"/>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14:paraId="1099BD10">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本标准研制过程中无重大分歧意见。</w:t>
      </w:r>
    </w:p>
    <w:p w14:paraId="06DC49D3">
      <w:pPr>
        <w:autoSpaceDE w:val="0"/>
        <w:autoSpaceDN w:val="0"/>
        <w:adjustRightInd w:val="0"/>
        <w:spacing w:before="156" w:beforeLines="50" w:after="156" w:afterLines="50" w:line="520" w:lineRule="exact"/>
        <w:ind w:firstLine="640" w:firstLineChars="200"/>
        <w:outlineLvl w:val="0"/>
        <w:rPr>
          <w:rFonts w:eastAsia="黑体"/>
          <w:sz w:val="32"/>
          <w:szCs w:val="32"/>
        </w:rPr>
      </w:pPr>
      <w:r>
        <w:rPr>
          <w:rFonts w:hint="eastAsia" w:ascii="黑体" w:eastAsia="黑体"/>
          <w:bCs/>
          <w:sz w:val="32"/>
          <w:szCs w:val="32"/>
        </w:rPr>
        <w:t>七、</w:t>
      </w:r>
      <w:r>
        <w:rPr>
          <w:rFonts w:hint="eastAsia" w:eastAsia="黑体"/>
          <w:sz w:val="32"/>
          <w:szCs w:val="32"/>
        </w:rPr>
        <w:t>实施标准的措施</w:t>
      </w:r>
    </w:p>
    <w:p w14:paraId="58D1B84E">
      <w:pPr>
        <w:spacing w:line="50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（一）标准报批发布后，成立标准宣贯工作组</w:t>
      </w:r>
    </w:p>
    <w:p w14:paraId="4DE0820C">
      <w:pPr>
        <w:spacing w:line="500" w:lineRule="exact"/>
        <w:ind w:firstLine="560" w:firstLineChars="200"/>
        <w:rPr>
          <w:rFonts w:ascii="仿宋_GB2312" w:eastAsia="仿宋_GB2312"/>
          <w:sz w:val="28"/>
          <w:szCs w:val="28"/>
        </w:rPr>
      </w:pPr>
      <w:r>
        <w:rPr>
          <w:rFonts w:hint="eastAsia" w:ascii="仿宋_GB2312" w:eastAsia="仿宋_GB2312"/>
          <w:sz w:val="28"/>
          <w:szCs w:val="28"/>
        </w:rPr>
        <w:t>本标准发布后，成立以王清坚主任医师等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32B89826">
      <w:pPr>
        <w:spacing w:line="500" w:lineRule="exact"/>
        <w:ind w:firstLine="562" w:firstLineChars="200"/>
        <w:rPr>
          <w:rFonts w:ascii="仿宋_GB2312" w:eastAsia="仿宋_GB2312"/>
          <w:b/>
          <w:sz w:val="28"/>
          <w:szCs w:val="28"/>
        </w:rPr>
      </w:pPr>
      <w:r>
        <w:rPr>
          <w:rFonts w:hint="eastAsia" w:ascii="仿宋_GB2312" w:eastAsia="仿宋_GB2312"/>
          <w:b/>
          <w:sz w:val="28"/>
          <w:szCs w:val="28"/>
        </w:rPr>
        <w:t>（二）组织开展标准宣贯培训</w:t>
      </w:r>
    </w:p>
    <w:p w14:paraId="0780017E">
      <w:pPr>
        <w:spacing w:line="500" w:lineRule="exact"/>
        <w:ind w:firstLine="560" w:firstLineChars="200"/>
        <w:rPr>
          <w:rFonts w:ascii="仿宋_GB2312" w:eastAsia="仿宋_GB2312"/>
          <w:sz w:val="28"/>
          <w:szCs w:val="28"/>
        </w:rPr>
      </w:pPr>
      <w:r>
        <w:rPr>
          <w:rFonts w:hint="eastAsia" w:ascii="仿宋_GB2312" w:eastAsia="仿宋_GB2312"/>
          <w:sz w:val="28"/>
          <w:szCs w:val="28"/>
        </w:rPr>
        <w:t>标准发布实施后，标准宣贯工作小组制作标准解读宣贯培训PPT课件和标准核心技术明白书，并按标准宣贯培训计划深入广西各市县医疗机构，对医师和医护人员开展标准宣贯培训，对标准进行逐条解读，让医师和医护人员掌握标准核心技术内容，助力标准实施落地，推动广西中医技术高质量发展。</w:t>
      </w:r>
    </w:p>
    <w:p w14:paraId="2AB6A5B1">
      <w:pPr>
        <w:spacing w:line="500" w:lineRule="exact"/>
        <w:ind w:firstLine="562" w:firstLineChars="200"/>
        <w:rPr>
          <w:rFonts w:ascii="仿宋_GB2312" w:eastAsia="仿宋_GB2312"/>
          <w:b/>
          <w:sz w:val="28"/>
          <w:szCs w:val="28"/>
        </w:rPr>
      </w:pPr>
      <w:r>
        <w:rPr>
          <w:rFonts w:hint="eastAsia" w:ascii="仿宋_GB2312" w:eastAsia="仿宋_GB2312"/>
          <w:b/>
          <w:sz w:val="28"/>
          <w:szCs w:val="28"/>
        </w:rPr>
        <w:t>（三）开展标准实施交流会，收集标准实施反馈信息</w:t>
      </w:r>
    </w:p>
    <w:p w14:paraId="3AA27E52">
      <w:pPr>
        <w:spacing w:line="500" w:lineRule="exact"/>
        <w:ind w:firstLine="560" w:firstLineChars="200"/>
        <w:rPr>
          <w:rFonts w:ascii="仿宋_GB2312" w:eastAsia="仿宋_GB2312"/>
          <w:sz w:val="28"/>
          <w:szCs w:val="28"/>
        </w:rPr>
      </w:pPr>
      <w:r>
        <w:rPr>
          <w:rFonts w:hint="eastAsia" w:ascii="仿宋_GB2312" w:eastAsia="仿宋_GB2312"/>
          <w:sz w:val="28"/>
          <w:szCs w:val="28"/>
        </w:rPr>
        <w:t>标准起草小组深入广西各市县医疗机构组织医师和医护人员召开标准实施交流会，听取标准实施过程中存在的问题并做好记录和解答，对存在的问题组织专家团队进行研讨，为标准的复审修订做准备。</w:t>
      </w:r>
    </w:p>
    <w:p w14:paraId="4DD7267F">
      <w:pPr>
        <w:spacing w:line="500" w:lineRule="exact"/>
        <w:ind w:firstLine="562" w:firstLineChars="200"/>
        <w:rPr>
          <w:rFonts w:ascii="仿宋_GB2312" w:eastAsia="仿宋_GB2312"/>
          <w:b/>
          <w:sz w:val="28"/>
          <w:szCs w:val="28"/>
        </w:rPr>
      </w:pPr>
      <w:r>
        <w:rPr>
          <w:rFonts w:hint="eastAsia" w:ascii="仿宋_GB2312" w:eastAsia="仿宋_GB2312"/>
          <w:b/>
          <w:sz w:val="28"/>
          <w:szCs w:val="28"/>
        </w:rPr>
        <w:t>（四）开展标准实施效果评估</w:t>
      </w:r>
    </w:p>
    <w:p w14:paraId="30491BCE">
      <w:pPr>
        <w:spacing w:line="500" w:lineRule="exact"/>
        <w:ind w:firstLine="560" w:firstLineChars="200"/>
        <w:rPr>
          <w:rFonts w:ascii="仿宋_GB2312" w:eastAsia="仿宋_GB2312"/>
          <w:sz w:val="28"/>
          <w:szCs w:val="28"/>
        </w:rPr>
      </w:pPr>
      <w:r>
        <w:rPr>
          <w:rFonts w:hint="eastAsia" w:ascii="仿宋_GB2312" w:eastAsia="仿宋_GB2312"/>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767F243C">
      <w:pPr>
        <w:spacing w:before="240" w:after="60" w:line="520" w:lineRule="exact"/>
        <w:ind w:firstLine="640" w:firstLineChars="200"/>
        <w:outlineLvl w:val="0"/>
        <w:rPr>
          <w:rFonts w:ascii="黑体" w:eastAsia="黑体"/>
          <w:bCs/>
          <w:sz w:val="32"/>
          <w:szCs w:val="32"/>
        </w:rPr>
      </w:pPr>
      <w:r>
        <w:rPr>
          <w:rFonts w:hint="eastAsia" w:ascii="黑体" w:eastAsia="黑体"/>
          <w:bCs/>
          <w:sz w:val="32"/>
          <w:szCs w:val="32"/>
        </w:rPr>
        <w:t>八、其他应当说明的事项</w:t>
      </w:r>
    </w:p>
    <w:p w14:paraId="4E5884BB">
      <w:pPr>
        <w:spacing w:line="520" w:lineRule="exact"/>
        <w:ind w:firstLine="560" w:firstLineChars="200"/>
      </w:pPr>
      <w:r>
        <w:rPr>
          <w:rFonts w:hint="eastAsia" w:ascii="仿宋_GB2312" w:eastAsia="仿宋_GB2312"/>
          <w:sz w:val="28"/>
          <w:szCs w:val="28"/>
        </w:rPr>
        <w:t>无。</w:t>
      </w:r>
    </w:p>
    <w:p w14:paraId="60C76C75">
      <w:pPr>
        <w:pStyle w:val="2"/>
      </w:pPr>
    </w:p>
    <w:p w14:paraId="71B1F64E">
      <w:pPr>
        <w:pStyle w:val="2"/>
      </w:pPr>
    </w:p>
    <w:p w14:paraId="78D15BD6">
      <w:pPr>
        <w:spacing w:before="240" w:after="60" w:line="520" w:lineRule="exact"/>
        <w:ind w:firstLine="560" w:firstLineChars="200"/>
        <w:outlineLvl w:val="0"/>
        <w:rPr>
          <w:rFonts w:ascii="仿宋_GB2312" w:eastAsia="仿宋_GB2312"/>
          <w:sz w:val="28"/>
          <w:szCs w:val="28"/>
        </w:rPr>
      </w:pPr>
      <w:r>
        <w:rPr>
          <w:rFonts w:hint="eastAsia" w:ascii="仿宋_GB2312" w:eastAsia="仿宋_GB2312"/>
          <w:sz w:val="28"/>
          <w:szCs w:val="28"/>
          <w:lang w:eastAsia="zh-CN"/>
        </w:rPr>
        <w:t>团体标准</w:t>
      </w:r>
      <w:r>
        <w:rPr>
          <w:rFonts w:hint="eastAsia" w:ascii="仿宋_GB2312" w:eastAsia="仿宋_GB2312"/>
          <w:sz w:val="28"/>
          <w:szCs w:val="28"/>
        </w:rPr>
        <w:t>《胆石症术后康复及预防结石复发中医药干预技术规范》</w:t>
      </w:r>
    </w:p>
    <w:p w14:paraId="02F7A013">
      <w:pPr>
        <w:spacing w:line="520" w:lineRule="exact"/>
        <w:ind w:right="1120"/>
        <w:jc w:val="center"/>
        <w:rPr>
          <w:rFonts w:ascii="仿宋_GB2312" w:eastAsia="仿宋_GB2312"/>
          <w:sz w:val="28"/>
          <w:szCs w:val="28"/>
        </w:rPr>
      </w:pPr>
      <w:r>
        <w:rPr>
          <w:rFonts w:hint="eastAsia" w:ascii="仿宋_GB2312" w:eastAsia="仿宋_GB2312"/>
          <w:sz w:val="28"/>
          <w:szCs w:val="28"/>
        </w:rPr>
        <w:t xml:space="preserve">                                  标准编制工作组</w:t>
      </w:r>
    </w:p>
    <w:p w14:paraId="7EA1E9FD">
      <w:pPr>
        <w:spacing w:line="520" w:lineRule="exact"/>
        <w:ind w:firstLine="640" w:firstLineChars="200"/>
        <w:rPr>
          <w:rFonts w:ascii="仿宋_GB2312" w:eastAsia="仿宋_GB2312"/>
          <w:sz w:val="28"/>
          <w:szCs w:val="28"/>
        </w:rPr>
      </w:pPr>
      <w:r>
        <w:rPr>
          <w:rFonts w:hint="eastAsia" w:ascii="仿宋_GB2312" w:eastAsia="仿宋_GB2312"/>
          <w:sz w:val="32"/>
          <w:szCs w:val="28"/>
        </w:rPr>
        <w:t xml:space="preserve">                             </w:t>
      </w:r>
      <w:r>
        <w:rPr>
          <w:rFonts w:hint="eastAsia" w:ascii="仿宋_GB2312" w:eastAsia="仿宋_GB2312"/>
          <w:sz w:val="28"/>
          <w:szCs w:val="28"/>
        </w:rPr>
        <w:t>202</w:t>
      </w:r>
      <w:r>
        <w:rPr>
          <w:rFonts w:hint="eastAsia" w:ascii="仿宋_GB2312" w:eastAsia="仿宋_GB2312"/>
          <w:sz w:val="28"/>
          <w:szCs w:val="28"/>
          <w:lang w:val="en-US" w:eastAsia="zh-CN"/>
        </w:rPr>
        <w:t>5</w:t>
      </w:r>
      <w:r>
        <w:rPr>
          <w:rFonts w:hint="eastAsia" w:ascii="仿宋_GB2312" w:eastAsia="仿宋_GB2312"/>
          <w:sz w:val="28"/>
          <w:szCs w:val="28"/>
        </w:rPr>
        <w:t>年</w:t>
      </w:r>
      <w:r>
        <w:rPr>
          <w:rFonts w:hint="eastAsia" w:ascii="仿宋_GB2312" w:eastAsia="仿宋_GB2312"/>
          <w:sz w:val="28"/>
          <w:szCs w:val="28"/>
          <w:lang w:val="en-US" w:eastAsia="zh-CN"/>
        </w:rPr>
        <w:t>10</w:t>
      </w:r>
      <w:r>
        <w:rPr>
          <w:rFonts w:hint="eastAsia" w:ascii="仿宋_GB2312" w:eastAsia="仿宋_GB2312"/>
          <w:sz w:val="28"/>
          <w:szCs w:val="28"/>
        </w:rPr>
        <w:t>月</w:t>
      </w:r>
      <w:r>
        <w:rPr>
          <w:rFonts w:hint="eastAsia" w:ascii="仿宋_GB2312" w:eastAsia="仿宋_GB2312"/>
          <w:sz w:val="28"/>
          <w:szCs w:val="28"/>
          <w:lang w:val="en-US" w:eastAsia="zh-CN"/>
        </w:rPr>
        <w:t>27</w:t>
      </w:r>
      <w:r>
        <w:rPr>
          <w:rFonts w:hint="eastAsia" w:ascii="仿宋_GB2312" w:eastAsia="仿宋_GB2312"/>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B1C5149-21B0-413D-A4A3-3FE1724064BA}"/>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embedRegular r:id="rId2" w:fontKey="{2FF560DC-F516-43D9-AA4B-9417D924034E}"/>
  </w:font>
  <w:font w:name="仿宋_GB2312">
    <w:panose1 w:val="02010609030101010101"/>
    <w:charset w:val="86"/>
    <w:family w:val="auto"/>
    <w:pitch w:val="default"/>
    <w:sig w:usb0="00000001" w:usb1="080E0000" w:usb2="00000000" w:usb3="00000000" w:csb0="00040000" w:csb1="00000000"/>
    <w:embedRegular r:id="rId3" w:fontKey="{3A978DE0-4821-4576-B1B3-D23A0E59631D}"/>
  </w:font>
  <w:font w:name="等线">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4" w:fontKey="{4B363CE0-41D9-44F5-BAFD-969E5E20133A}"/>
  </w:font>
  <w:font w:name="仿宋">
    <w:panose1 w:val="02010609060101010101"/>
    <w:charset w:val="86"/>
    <w:family w:val="modern"/>
    <w:pitch w:val="default"/>
    <w:sig w:usb0="800002BF" w:usb1="38CF7CFA" w:usb2="00000016" w:usb3="00000000" w:csb0="00040001" w:csb1="00000000"/>
    <w:embedRegular r:id="rId5" w:fontKey="{905A547C-6731-4A81-9836-A23E09603060}"/>
  </w:font>
  <w:font w:name="微软雅黑">
    <w:panose1 w:val="020B0503020204020204"/>
    <w:charset w:val="86"/>
    <w:family w:val="swiss"/>
    <w:pitch w:val="default"/>
    <w:sig w:usb0="80000287" w:usb1="280F3C52" w:usb2="00000016" w:usb3="00000000" w:csb0="0004001F" w:csb1="00000000"/>
    <w:embedRegular r:id="rId6" w:fontKey="{D17FBC2C-6933-43BD-8D29-7A17156FB8F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1702D4">
    <w:pPr>
      <w:pStyle w:val="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0C0B37BC">
                          <w:pPr>
                            <w:pStyle w:val="9"/>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0C0B37BC">
                    <w:pPr>
                      <w:pStyle w:val="9"/>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38"/>
      <w:suff w:val="nothing"/>
      <w:lvlText w:val="表%1　"/>
      <w:legacy w:legacy="1" w:legacySpace="0" w:legacyIndent="0"/>
      <w:lvlJc w:val="left"/>
      <w:pPr>
        <w:ind w:left="4678" w:firstLine="0"/>
      </w:pPr>
    </w:lvl>
    <w:lvl w:ilvl="1" w:tentative="0">
      <w:start w:val="1"/>
      <w:numFmt w:val="decimal"/>
      <w:lvlText w:val="%1.%2"/>
      <w:legacy w:legacy="1" w:legacySpace="0" w:legacyIndent="567"/>
      <w:lvlJc w:val="left"/>
      <w:pPr>
        <w:ind w:left="5670" w:hanging="567"/>
      </w:pPr>
    </w:lvl>
    <w:lvl w:ilvl="2" w:tentative="0">
      <w:start w:val="1"/>
      <w:numFmt w:val="decimal"/>
      <w:lvlText w:val="%1.%2.%3"/>
      <w:legacy w:legacy="1" w:legacySpace="0" w:legacyIndent="567"/>
      <w:lvlJc w:val="left"/>
      <w:pPr>
        <w:ind w:left="6095" w:hanging="567"/>
      </w:pPr>
    </w:lvl>
    <w:lvl w:ilvl="3" w:tentative="0">
      <w:start w:val="1"/>
      <w:numFmt w:val="decimal"/>
      <w:lvlText w:val="%1.%2.%3.%4"/>
      <w:legacy w:legacy="1" w:legacySpace="0" w:legacyIndent="708"/>
      <w:lvlJc w:val="left"/>
      <w:pPr>
        <w:ind w:left="6662" w:hanging="708"/>
      </w:pPr>
    </w:lvl>
    <w:lvl w:ilvl="4" w:tentative="0">
      <w:start w:val="1"/>
      <w:numFmt w:val="decimal"/>
      <w:lvlText w:val="%1.%2.%3.%4.%5"/>
      <w:legacy w:legacy="1" w:legacySpace="0" w:legacyIndent="850"/>
      <w:lvlJc w:val="left"/>
      <w:pPr>
        <w:ind w:left="7229" w:hanging="850"/>
      </w:pPr>
    </w:lvl>
    <w:lvl w:ilvl="5" w:tentative="0">
      <w:start w:val="1"/>
      <w:numFmt w:val="decimal"/>
      <w:lvlText w:val="%1.%2.%3.%4.%5.%6"/>
      <w:legacy w:legacy="1" w:legacySpace="0" w:legacyIndent="1134"/>
      <w:lvlJc w:val="left"/>
      <w:pPr>
        <w:ind w:left="7938" w:hanging="1134"/>
      </w:pPr>
    </w:lvl>
    <w:lvl w:ilvl="6" w:tentative="0">
      <w:start w:val="1"/>
      <w:numFmt w:val="decimal"/>
      <w:lvlText w:val="%1.%2.%3.%4.%5.%6.%7"/>
      <w:legacy w:legacy="1" w:legacySpace="0" w:legacyIndent="1276"/>
      <w:lvlJc w:val="left"/>
      <w:pPr>
        <w:ind w:left="8505" w:hanging="1276"/>
      </w:pPr>
    </w:lvl>
    <w:lvl w:ilvl="7" w:tentative="0">
      <w:start w:val="1"/>
      <w:numFmt w:val="decimal"/>
      <w:lvlText w:val="%1.%2.%3.%4.%5.%6.%7.%8"/>
      <w:legacy w:legacy="1" w:legacySpace="0" w:legacyIndent="1418"/>
      <w:lvlJc w:val="left"/>
      <w:pPr>
        <w:ind w:left="9072" w:hanging="1418"/>
      </w:pPr>
    </w:lvl>
    <w:lvl w:ilvl="8" w:tentative="0">
      <w:start w:val="1"/>
      <w:numFmt w:val="decimal"/>
      <w:lvlText w:val="%1.%2.%3.%4.%5.%6.%7.%8.%9"/>
      <w:legacy w:legacy="1" w:legacySpace="0" w:legacyIndent="1700"/>
      <w:lvlJc w:val="left"/>
      <w:pPr>
        <w:ind w:left="9780" w:hanging="1700"/>
      </w:pPr>
    </w:lvl>
  </w:abstractNum>
  <w:abstractNum w:abstractNumId="1">
    <w:nsid w:val="0FFFFF7E"/>
    <w:multiLevelType w:val="singleLevel"/>
    <w:tmpl w:val="0FFFFF7E"/>
    <w:lvl w:ilvl="0" w:tentative="0">
      <w:start w:val="1"/>
      <w:numFmt w:val="decimal"/>
      <w:lvlText w:val="%1."/>
      <w:lvlJc w:val="left"/>
      <w:pPr>
        <w:tabs>
          <w:tab w:val="left" w:pos="1200"/>
        </w:tabs>
        <w:ind w:left="1200" w:hanging="360"/>
      </w:pPr>
    </w:lvl>
  </w:abstractNum>
  <w:abstractNum w:abstractNumId="2">
    <w:nsid w:val="0FFFFF7F"/>
    <w:multiLevelType w:val="singleLevel"/>
    <w:tmpl w:val="0FFFFF7F"/>
    <w:lvl w:ilvl="0" w:tentative="0">
      <w:start w:val="1"/>
      <w:numFmt w:val="decimal"/>
      <w:lvlText w:val="%1."/>
      <w:lvlJc w:val="left"/>
      <w:pPr>
        <w:tabs>
          <w:tab w:val="left" w:pos="780"/>
        </w:tabs>
        <w:ind w:left="780" w:hanging="360"/>
      </w:pPr>
    </w:lvl>
  </w:abstractNum>
  <w:abstractNum w:abstractNumId="3">
    <w:nsid w:val="44C50F90"/>
    <w:multiLevelType w:val="multilevel"/>
    <w:tmpl w:val="44C50F90"/>
    <w:lvl w:ilvl="0" w:tentative="0">
      <w:start w:val="1"/>
      <w:numFmt w:val="lowerLetter"/>
      <w:pStyle w:val="47"/>
      <w:lvlText w:val="%1)"/>
      <w:lvlJc w:val="left"/>
      <w:pPr>
        <w:tabs>
          <w:tab w:val="left" w:pos="851"/>
        </w:tabs>
        <w:ind w:left="851" w:hanging="426"/>
      </w:pPr>
      <w:rPr>
        <w:rFonts w:hint="eastAsia" w:ascii="宋体" w:hAnsi="Times New Roman" w:eastAsia="宋体"/>
        <w:sz w:val="21"/>
      </w:rPr>
    </w:lvl>
    <w:lvl w:ilvl="1" w:tentative="0">
      <w:start w:val="1"/>
      <w:numFmt w:val="decimal"/>
      <w:pStyle w:val="45"/>
      <w:lvlText w:val="%2)"/>
      <w:lvlJc w:val="left"/>
      <w:pPr>
        <w:tabs>
          <w:tab w:val="left" w:pos="1276"/>
        </w:tabs>
        <w:ind w:left="1276" w:hanging="425"/>
      </w:pPr>
      <w:rPr>
        <w:rFonts w:hint="eastAsia" w:ascii="宋体" w:hAnsi="Times New Roman" w:eastAsia="宋体"/>
        <w:sz w:val="21"/>
      </w:rPr>
    </w:lvl>
    <w:lvl w:ilvl="2" w:tentative="0">
      <w:start w:val="1"/>
      <w:numFmt w:val="decimal"/>
      <w:pStyle w:val="46"/>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4">
    <w:nsid w:val="5A9B6960"/>
    <w:multiLevelType w:val="multilevel"/>
    <w:tmpl w:val="5A9B6960"/>
    <w:lvl w:ilvl="0" w:tentative="0">
      <w:start w:val="1"/>
      <w:numFmt w:val="none"/>
      <w:pStyle w:val="35"/>
      <w:suff w:val="nothing"/>
      <w:lvlText w:val="%1"/>
      <w:legacy w:legacy="1" w:legacySpace="0" w:legacyIndent="0"/>
      <w:lvlJc w:val="left"/>
      <w:pPr>
        <w:ind w:left="0" w:firstLine="0"/>
      </w:pPr>
      <w:rPr>
        <w:rFonts w:hint="eastAsia"/>
      </w:rPr>
    </w:lvl>
    <w:lvl w:ilvl="1" w:tentative="0">
      <w:start w:val="1"/>
      <w:numFmt w:val="decimal"/>
      <w:pStyle w:val="29"/>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1"/>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37"/>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6"/>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4"/>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abstractNum w:abstractNumId="5">
    <w:nsid w:val="7961C50B"/>
    <w:multiLevelType w:val="singleLevel"/>
    <w:tmpl w:val="7961C50B"/>
    <w:lvl w:ilvl="0" w:tentative="0">
      <w:start w:val="5"/>
      <w:numFmt w:val="chineseCounting"/>
      <w:suff w:val="nothing"/>
      <w:lvlText w:val="（%1）"/>
      <w:lvlJc w:val="left"/>
      <w:rPr>
        <w:rFonts w:hint="eastAsia"/>
      </w:rPr>
    </w:lvl>
  </w:abstractNum>
  <w:num w:numId="1">
    <w:abstractNumId w:val="4"/>
  </w:num>
  <w:num w:numId="2">
    <w:abstractNumId w:val="0"/>
  </w:num>
  <w:num w:numId="3">
    <w:abstractNumId w:val="2"/>
  </w:num>
  <w:num w:numId="4">
    <w:abstractNumId w:val="1"/>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M5ZTM1Mjk5NDFlZGFmYzJhNTRiNWE2ZWVkYTQ3MDIifQ=="/>
  </w:docVars>
  <w:rsids>
    <w:rsidRoot w:val="000D75AA"/>
    <w:rsid w:val="000068A2"/>
    <w:rsid w:val="00014983"/>
    <w:rsid w:val="000178C8"/>
    <w:rsid w:val="00034E32"/>
    <w:rsid w:val="000440FA"/>
    <w:rsid w:val="00055442"/>
    <w:rsid w:val="00072103"/>
    <w:rsid w:val="00075653"/>
    <w:rsid w:val="00082613"/>
    <w:rsid w:val="000C517B"/>
    <w:rsid w:val="000D0144"/>
    <w:rsid w:val="000D75AA"/>
    <w:rsid w:val="000E53EA"/>
    <w:rsid w:val="001133E6"/>
    <w:rsid w:val="00137F57"/>
    <w:rsid w:val="0015436D"/>
    <w:rsid w:val="001655CC"/>
    <w:rsid w:val="0018012C"/>
    <w:rsid w:val="001821C9"/>
    <w:rsid w:val="001A7570"/>
    <w:rsid w:val="001D05BF"/>
    <w:rsid w:val="001D3156"/>
    <w:rsid w:val="001E1BD1"/>
    <w:rsid w:val="001E2D73"/>
    <w:rsid w:val="001E7A38"/>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485E"/>
    <w:rsid w:val="003D551D"/>
    <w:rsid w:val="00426DC5"/>
    <w:rsid w:val="004373E9"/>
    <w:rsid w:val="0044036C"/>
    <w:rsid w:val="0044065E"/>
    <w:rsid w:val="004805DB"/>
    <w:rsid w:val="0048511D"/>
    <w:rsid w:val="004A2BDA"/>
    <w:rsid w:val="004A75FF"/>
    <w:rsid w:val="004B4D68"/>
    <w:rsid w:val="004E49BB"/>
    <w:rsid w:val="004F29B4"/>
    <w:rsid w:val="00515B82"/>
    <w:rsid w:val="0051755E"/>
    <w:rsid w:val="00526B6E"/>
    <w:rsid w:val="00533B2A"/>
    <w:rsid w:val="00554B7D"/>
    <w:rsid w:val="00564A0C"/>
    <w:rsid w:val="005E3C13"/>
    <w:rsid w:val="005E7B33"/>
    <w:rsid w:val="005F1668"/>
    <w:rsid w:val="005F2FD2"/>
    <w:rsid w:val="005F4961"/>
    <w:rsid w:val="00617B08"/>
    <w:rsid w:val="00625273"/>
    <w:rsid w:val="00627AB4"/>
    <w:rsid w:val="006335ED"/>
    <w:rsid w:val="006343EC"/>
    <w:rsid w:val="0063539D"/>
    <w:rsid w:val="00637F53"/>
    <w:rsid w:val="006511A8"/>
    <w:rsid w:val="0067378F"/>
    <w:rsid w:val="00691000"/>
    <w:rsid w:val="006B0BA0"/>
    <w:rsid w:val="006B12C0"/>
    <w:rsid w:val="006F1092"/>
    <w:rsid w:val="00714DDE"/>
    <w:rsid w:val="0072768D"/>
    <w:rsid w:val="0074491A"/>
    <w:rsid w:val="007557E4"/>
    <w:rsid w:val="00756356"/>
    <w:rsid w:val="00774434"/>
    <w:rsid w:val="007756AB"/>
    <w:rsid w:val="00781D6C"/>
    <w:rsid w:val="007A149B"/>
    <w:rsid w:val="007C244C"/>
    <w:rsid w:val="007F1FA1"/>
    <w:rsid w:val="00801A7F"/>
    <w:rsid w:val="00814260"/>
    <w:rsid w:val="008247C4"/>
    <w:rsid w:val="00826BFA"/>
    <w:rsid w:val="00830514"/>
    <w:rsid w:val="00853F5C"/>
    <w:rsid w:val="008641E7"/>
    <w:rsid w:val="00874BB5"/>
    <w:rsid w:val="008779C2"/>
    <w:rsid w:val="00887632"/>
    <w:rsid w:val="00887924"/>
    <w:rsid w:val="00895F4A"/>
    <w:rsid w:val="008973E6"/>
    <w:rsid w:val="008B5693"/>
    <w:rsid w:val="008B6B5F"/>
    <w:rsid w:val="008E1EB5"/>
    <w:rsid w:val="008E6D32"/>
    <w:rsid w:val="008F6E99"/>
    <w:rsid w:val="00926E1B"/>
    <w:rsid w:val="00932BA3"/>
    <w:rsid w:val="00947EBA"/>
    <w:rsid w:val="009718CC"/>
    <w:rsid w:val="009832A1"/>
    <w:rsid w:val="009A4141"/>
    <w:rsid w:val="009E3161"/>
    <w:rsid w:val="00A16A3E"/>
    <w:rsid w:val="00A263D3"/>
    <w:rsid w:val="00A365A2"/>
    <w:rsid w:val="00A37FDF"/>
    <w:rsid w:val="00A42C5E"/>
    <w:rsid w:val="00A75476"/>
    <w:rsid w:val="00A87F41"/>
    <w:rsid w:val="00AC57C3"/>
    <w:rsid w:val="00AD0172"/>
    <w:rsid w:val="00B07A8A"/>
    <w:rsid w:val="00B1266B"/>
    <w:rsid w:val="00B66676"/>
    <w:rsid w:val="00B73416"/>
    <w:rsid w:val="00B77477"/>
    <w:rsid w:val="00B8462B"/>
    <w:rsid w:val="00B94EFE"/>
    <w:rsid w:val="00B954B8"/>
    <w:rsid w:val="00BA570D"/>
    <w:rsid w:val="00BB2BF0"/>
    <w:rsid w:val="00BB6932"/>
    <w:rsid w:val="00BB7B52"/>
    <w:rsid w:val="00BD2990"/>
    <w:rsid w:val="00C07069"/>
    <w:rsid w:val="00C123EE"/>
    <w:rsid w:val="00C13CB6"/>
    <w:rsid w:val="00C20386"/>
    <w:rsid w:val="00C37FF9"/>
    <w:rsid w:val="00C820D3"/>
    <w:rsid w:val="00C914BA"/>
    <w:rsid w:val="00CC19FD"/>
    <w:rsid w:val="00CC71EF"/>
    <w:rsid w:val="00CE7CD2"/>
    <w:rsid w:val="00D017B3"/>
    <w:rsid w:val="00D0457A"/>
    <w:rsid w:val="00D35977"/>
    <w:rsid w:val="00D43F5A"/>
    <w:rsid w:val="00D77918"/>
    <w:rsid w:val="00D87F07"/>
    <w:rsid w:val="00D909A9"/>
    <w:rsid w:val="00D9142A"/>
    <w:rsid w:val="00D91B5F"/>
    <w:rsid w:val="00D9735E"/>
    <w:rsid w:val="00DB7F6F"/>
    <w:rsid w:val="00DF4FB8"/>
    <w:rsid w:val="00DF68C2"/>
    <w:rsid w:val="00E27034"/>
    <w:rsid w:val="00E32D4B"/>
    <w:rsid w:val="00E33B13"/>
    <w:rsid w:val="00E41116"/>
    <w:rsid w:val="00E414EF"/>
    <w:rsid w:val="00E455A5"/>
    <w:rsid w:val="00E835A1"/>
    <w:rsid w:val="00E83E2D"/>
    <w:rsid w:val="00EA6200"/>
    <w:rsid w:val="00ED403B"/>
    <w:rsid w:val="00ED41E5"/>
    <w:rsid w:val="00EE332B"/>
    <w:rsid w:val="00EF4610"/>
    <w:rsid w:val="00EF6CB2"/>
    <w:rsid w:val="00F01A5C"/>
    <w:rsid w:val="00F40513"/>
    <w:rsid w:val="00F424A9"/>
    <w:rsid w:val="00F5729F"/>
    <w:rsid w:val="00F65587"/>
    <w:rsid w:val="00F77E06"/>
    <w:rsid w:val="00F84B7E"/>
    <w:rsid w:val="00F9021F"/>
    <w:rsid w:val="00FA7D60"/>
    <w:rsid w:val="00FB260A"/>
    <w:rsid w:val="00FC7CE6"/>
    <w:rsid w:val="00FD6497"/>
    <w:rsid w:val="00FF2EC3"/>
    <w:rsid w:val="02DC2156"/>
    <w:rsid w:val="03CC3F79"/>
    <w:rsid w:val="06084616"/>
    <w:rsid w:val="08EF7A39"/>
    <w:rsid w:val="0A5844F0"/>
    <w:rsid w:val="133D4C82"/>
    <w:rsid w:val="16853B30"/>
    <w:rsid w:val="18CE5C46"/>
    <w:rsid w:val="206E043A"/>
    <w:rsid w:val="25496D80"/>
    <w:rsid w:val="270075A9"/>
    <w:rsid w:val="27095D8A"/>
    <w:rsid w:val="29A46C7B"/>
    <w:rsid w:val="2D9A1EBE"/>
    <w:rsid w:val="2E40384E"/>
    <w:rsid w:val="379D4AFA"/>
    <w:rsid w:val="45413951"/>
    <w:rsid w:val="46E47FFF"/>
    <w:rsid w:val="4779601E"/>
    <w:rsid w:val="493E1AE1"/>
    <w:rsid w:val="4B2238EC"/>
    <w:rsid w:val="4DDD59C1"/>
    <w:rsid w:val="51FB0B52"/>
    <w:rsid w:val="531F075A"/>
    <w:rsid w:val="57A57FD6"/>
    <w:rsid w:val="57F01F2D"/>
    <w:rsid w:val="58D367F3"/>
    <w:rsid w:val="5BFB00CD"/>
    <w:rsid w:val="5DD8328E"/>
    <w:rsid w:val="5EE32AB6"/>
    <w:rsid w:val="60252B89"/>
    <w:rsid w:val="60980C0D"/>
    <w:rsid w:val="616C2448"/>
    <w:rsid w:val="67277FC8"/>
    <w:rsid w:val="677C2407"/>
    <w:rsid w:val="684022C0"/>
    <w:rsid w:val="6BEA1316"/>
    <w:rsid w:val="6CC80E6D"/>
    <w:rsid w:val="74A0585D"/>
    <w:rsid w:val="77A7157C"/>
    <w:rsid w:val="78076DD3"/>
    <w:rsid w:val="7A035425"/>
    <w:rsid w:val="7B215011"/>
    <w:rsid w:val="7C212D14"/>
    <w:rsid w:val="7F9252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Calibri" w:hAnsi="Calibri" w:eastAsia="宋体" w:cs="Calibri"/>
      <w:kern w:val="2"/>
      <w:sz w:val="21"/>
      <w:szCs w:val="24"/>
      <w:lang w:val="en-US" w:eastAsia="zh-CN" w:bidi="ar-SA"/>
    </w:rPr>
  </w:style>
  <w:style w:type="paragraph" w:styleId="3">
    <w:name w:val="heading 1"/>
    <w:basedOn w:val="1"/>
    <w:next w:val="1"/>
    <w:qFormat/>
    <w:uiPriority w:val="0"/>
    <w:pPr>
      <w:keepNext/>
      <w:keepLines/>
      <w:spacing w:before="340" w:after="330" w:line="578" w:lineRule="auto"/>
      <w:outlineLvl w:val="0"/>
    </w:pPr>
    <w:rPr>
      <w:b/>
      <w:bCs/>
      <w:kern w:val="44"/>
      <w:sz w:val="44"/>
    </w:rPr>
  </w:style>
  <w:style w:type="paragraph" w:styleId="4">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5">
    <w:name w:val="heading 3"/>
    <w:basedOn w:val="1"/>
    <w:next w:val="1"/>
    <w:autoRedefine/>
    <w:qFormat/>
    <w:uiPriority w:val="0"/>
    <w:pPr>
      <w:keepNext/>
      <w:keepLines/>
      <w:spacing w:before="260" w:after="260" w:line="415" w:lineRule="auto"/>
      <w:outlineLvl w:val="2"/>
    </w:pPr>
    <w:rPr>
      <w:b/>
      <w:sz w:val="32"/>
    </w:rPr>
  </w:style>
  <w:style w:type="paragraph" w:styleId="6">
    <w:name w:val="heading 7"/>
    <w:basedOn w:val="1"/>
    <w:next w:val="1"/>
    <w:link w:val="21"/>
    <w:autoRedefine/>
    <w:qFormat/>
    <w:uiPriority w:val="9"/>
    <w:pPr>
      <w:keepNext/>
      <w:keepLines/>
      <w:spacing w:before="240" w:after="64" w:line="320" w:lineRule="auto"/>
      <w:outlineLvl w:val="6"/>
    </w:pPr>
    <w:rPr>
      <w:b/>
      <w:bCs/>
      <w:sz w:val="24"/>
    </w:rPr>
  </w:style>
  <w:style w:type="character" w:default="1" w:styleId="15">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customStyle="1" w:styleId="2">
    <w:name w:val="正文-公1"/>
    <w:autoRedefine/>
    <w:qFormat/>
    <w:uiPriority w:val="99"/>
    <w:pPr>
      <w:widowControl w:val="0"/>
      <w:suppressAutoHyphens/>
      <w:jc w:val="both"/>
    </w:pPr>
    <w:rPr>
      <w:rFonts w:ascii="Calibri" w:hAnsi="Calibri" w:eastAsia="宋体" w:cs="Times New Roman"/>
      <w:kern w:val="2"/>
      <w:sz w:val="28"/>
      <w:szCs w:val="24"/>
      <w:lang w:val="en-US" w:eastAsia="zh-CN" w:bidi="ar-SA"/>
    </w:rPr>
  </w:style>
  <w:style w:type="paragraph" w:styleId="7">
    <w:name w:val="annotation text"/>
    <w:basedOn w:val="1"/>
    <w:link w:val="22"/>
    <w:autoRedefine/>
    <w:unhideWhenUsed/>
    <w:qFormat/>
    <w:uiPriority w:val="99"/>
    <w:pPr>
      <w:adjustRightInd w:val="0"/>
      <w:spacing w:line="400" w:lineRule="exact"/>
      <w:jc w:val="left"/>
    </w:pPr>
    <w:rPr>
      <w:szCs w:val="21"/>
    </w:rPr>
  </w:style>
  <w:style w:type="paragraph" w:styleId="8">
    <w:name w:val="Balloon Text"/>
    <w:basedOn w:val="1"/>
    <w:link w:val="23"/>
    <w:autoRedefine/>
    <w:unhideWhenUsed/>
    <w:qFormat/>
    <w:uiPriority w:val="99"/>
    <w:rPr>
      <w:sz w:val="18"/>
      <w:szCs w:val="18"/>
    </w:rPr>
  </w:style>
  <w:style w:type="paragraph" w:styleId="9">
    <w:name w:val="footer"/>
    <w:basedOn w:val="1"/>
    <w:link w:val="24"/>
    <w:autoRedefine/>
    <w:qFormat/>
    <w:uiPriority w:val="99"/>
    <w:pPr>
      <w:tabs>
        <w:tab w:val="center" w:pos="4153"/>
        <w:tab w:val="right" w:pos="8306"/>
      </w:tabs>
      <w:snapToGrid w:val="0"/>
      <w:jc w:val="left"/>
    </w:pPr>
    <w:rPr>
      <w:sz w:val="18"/>
      <w:szCs w:val="18"/>
    </w:rPr>
  </w:style>
  <w:style w:type="paragraph" w:styleId="10">
    <w:name w:val="envelope return"/>
    <w:basedOn w:val="1"/>
    <w:autoRedefine/>
    <w:qFormat/>
    <w:uiPriority w:val="0"/>
    <w:pPr>
      <w:snapToGrid w:val="0"/>
    </w:pPr>
    <w:rPr>
      <w:rFonts w:ascii="Times New Roman" w:hAnsi="Times New Roman"/>
    </w:rPr>
  </w:style>
  <w:style w:type="paragraph" w:styleId="11">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2">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3">
    <w:name w:val="Normal (Web)"/>
    <w:basedOn w:val="1"/>
    <w:autoRedefine/>
    <w:semiHidden/>
    <w:unhideWhenUsed/>
    <w:qFormat/>
    <w:uiPriority w:val="99"/>
    <w:rPr>
      <w:sz w:val="24"/>
    </w:rPr>
  </w:style>
  <w:style w:type="character" w:styleId="16">
    <w:name w:val="line number"/>
    <w:autoRedefine/>
    <w:qFormat/>
    <w:uiPriority w:val="0"/>
  </w:style>
  <w:style w:type="character" w:styleId="17">
    <w:name w:val="Hyperlink"/>
    <w:autoRedefine/>
    <w:qFormat/>
    <w:uiPriority w:val="0"/>
    <w:rPr>
      <w:rFonts w:ascii="宋体" w:eastAsia="宋体"/>
      <w:color w:val="auto"/>
      <w:spacing w:val="0"/>
      <w:w w:val="100"/>
      <w:position w:val="0"/>
      <w:sz w:val="21"/>
      <w:u w:val="none"/>
      <w:vertAlign w:val="baseline"/>
    </w:rPr>
  </w:style>
  <w:style w:type="character" w:styleId="18">
    <w:name w:val="annotation reference"/>
    <w:autoRedefine/>
    <w:qFormat/>
    <w:uiPriority w:val="99"/>
    <w:rPr>
      <w:sz w:val="21"/>
    </w:rPr>
  </w:style>
  <w:style w:type="character" w:styleId="19">
    <w:name w:val="footnote reference"/>
    <w:autoRedefine/>
    <w:qFormat/>
    <w:uiPriority w:val="0"/>
    <w:rPr>
      <w:vertAlign w:val="superscript"/>
    </w:rPr>
  </w:style>
  <w:style w:type="paragraph" w:customStyle="1" w:styleId="20">
    <w:name w:val="BodyText2"/>
    <w:basedOn w:val="1"/>
    <w:autoRedefine/>
    <w:qFormat/>
    <w:uiPriority w:val="0"/>
    <w:pPr>
      <w:spacing w:after="120" w:line="480" w:lineRule="auto"/>
      <w:textAlignment w:val="baseline"/>
    </w:pPr>
    <w:rPr>
      <w:rFonts w:cs="Times New Roman"/>
      <w:sz w:val="32"/>
      <w:szCs w:val="32"/>
    </w:rPr>
  </w:style>
  <w:style w:type="character" w:customStyle="1" w:styleId="21">
    <w:name w:val="标题 7 字符"/>
    <w:link w:val="6"/>
    <w:autoRedefine/>
    <w:qFormat/>
    <w:uiPriority w:val="0"/>
    <w:rPr>
      <w:rFonts w:eastAsia="宋体"/>
      <w:b/>
      <w:bCs/>
      <w:kern w:val="2"/>
      <w:sz w:val="24"/>
      <w:szCs w:val="24"/>
    </w:rPr>
  </w:style>
  <w:style w:type="character" w:customStyle="1" w:styleId="22">
    <w:name w:val="批注文字 字符"/>
    <w:link w:val="7"/>
    <w:autoRedefine/>
    <w:semiHidden/>
    <w:qFormat/>
    <w:uiPriority w:val="99"/>
    <w:rPr>
      <w:rFonts w:ascii="Calibri" w:hAnsi="Calibri" w:eastAsia="宋体"/>
      <w:kern w:val="2"/>
      <w:sz w:val="21"/>
      <w:szCs w:val="21"/>
    </w:rPr>
  </w:style>
  <w:style w:type="character" w:customStyle="1" w:styleId="23">
    <w:name w:val="批注框文本 字符"/>
    <w:link w:val="8"/>
    <w:autoRedefine/>
    <w:semiHidden/>
    <w:qFormat/>
    <w:uiPriority w:val="99"/>
    <w:rPr>
      <w:rFonts w:eastAsia="宋体"/>
      <w:kern w:val="2"/>
      <w:sz w:val="18"/>
      <w:szCs w:val="18"/>
    </w:rPr>
  </w:style>
  <w:style w:type="character" w:customStyle="1" w:styleId="24">
    <w:name w:val="页脚 字符"/>
    <w:link w:val="9"/>
    <w:autoRedefine/>
    <w:qFormat/>
    <w:locked/>
    <w:uiPriority w:val="99"/>
    <w:rPr>
      <w:rFonts w:eastAsia="宋体"/>
      <w:kern w:val="2"/>
      <w:sz w:val="18"/>
      <w:szCs w:val="18"/>
    </w:rPr>
  </w:style>
  <w:style w:type="paragraph" w:customStyle="1" w:styleId="25">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6">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27">
    <w:name w:val="标准文件_段"/>
    <w:link w:val="28"/>
    <w:autoRedefine/>
    <w:qFormat/>
    <w:uiPriority w:val="0"/>
    <w:pPr>
      <w:autoSpaceDE w:val="0"/>
      <w:autoSpaceDN w:val="0"/>
      <w:ind w:firstLine="560" w:firstLineChars="200"/>
      <w:jc w:val="both"/>
    </w:pPr>
    <w:rPr>
      <w:rFonts w:ascii="仿宋_GB2312" w:hAnsi="仿宋_GB2312" w:eastAsia="宋体" w:cs="Calibri"/>
      <w:sz w:val="28"/>
      <w:szCs w:val="28"/>
      <w:lang w:val="en-US" w:eastAsia="zh-CN" w:bidi="ar-SA"/>
    </w:rPr>
  </w:style>
  <w:style w:type="character" w:customStyle="1" w:styleId="28">
    <w:name w:val="标准文件_段 Char"/>
    <w:link w:val="27"/>
    <w:autoRedefine/>
    <w:qFormat/>
    <w:uiPriority w:val="0"/>
    <w:rPr>
      <w:rFonts w:ascii="仿宋_GB2312" w:hAnsi="仿宋_GB2312" w:cs="Calibri"/>
      <w:sz w:val="28"/>
      <w:szCs w:val="28"/>
    </w:rPr>
  </w:style>
  <w:style w:type="paragraph" w:customStyle="1" w:styleId="29">
    <w:name w:val="标准文件_章标题"/>
    <w:next w:val="27"/>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0">
    <w:name w:val="标准文件_二级条标题"/>
    <w:next w:val="27"/>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1">
    <w:name w:val="标准文件_一级条标题"/>
    <w:basedOn w:val="29"/>
    <w:next w:val="27"/>
    <w:autoRedefine/>
    <w:qFormat/>
    <w:uiPriority w:val="0"/>
    <w:pPr>
      <w:numPr>
        <w:ilvl w:val="2"/>
      </w:numPr>
      <w:spacing w:before="50" w:beforeLines="0" w:after="50" w:afterLines="0"/>
      <w:outlineLvl w:val="1"/>
    </w:pPr>
  </w:style>
  <w:style w:type="paragraph" w:customStyle="1" w:styleId="32">
    <w:name w:val="标准文件_三级条标题"/>
    <w:basedOn w:val="30"/>
    <w:next w:val="27"/>
    <w:autoRedefine/>
    <w:qFormat/>
    <w:uiPriority w:val="0"/>
    <w:pPr>
      <w:outlineLvl w:val="3"/>
    </w:pPr>
  </w:style>
  <w:style w:type="paragraph" w:customStyle="1" w:styleId="33">
    <w:name w:val="标准文件_四级条标题"/>
    <w:next w:val="30"/>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4">
    <w:name w:val="标准文件_五级条标题"/>
    <w:next w:val="30"/>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5">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6">
    <w:name w:val="标准文件_四级无标题"/>
    <w:autoRedefine/>
    <w:qFormat/>
    <w:uiPriority w:val="0"/>
    <w:pPr>
      <w:widowControl w:val="0"/>
      <w:numPr>
        <w:ilvl w:val="5"/>
        <w:numId w:val="1"/>
      </w:numPr>
      <w:spacing w:before="50" w:after="50"/>
      <w:jc w:val="both"/>
    </w:pPr>
    <w:rPr>
      <w:rFonts w:ascii="宋体" w:hAnsi="Calibri" w:eastAsia="宋体" w:cs="Calibri"/>
      <w:sz w:val="21"/>
      <w:szCs w:val="52"/>
      <w:lang w:val="en-US" w:eastAsia="zh-CN" w:bidi="ar-SA"/>
    </w:rPr>
  </w:style>
  <w:style w:type="paragraph" w:customStyle="1" w:styleId="37">
    <w:name w:val="标准文件_三级无标题"/>
    <w:basedOn w:val="32"/>
    <w:autoRedefine/>
    <w:qFormat/>
    <w:uiPriority w:val="0"/>
    <w:pPr>
      <w:numPr>
        <w:ilvl w:val="4"/>
        <w:numId w:val="1"/>
      </w:numPr>
    </w:pPr>
    <w:rPr>
      <w:rFonts w:ascii="宋体" w:eastAsia="宋体"/>
    </w:rPr>
  </w:style>
  <w:style w:type="paragraph" w:customStyle="1" w:styleId="38">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39">
    <w:name w:val="font11"/>
    <w:autoRedefine/>
    <w:qFormat/>
    <w:uiPriority w:val="0"/>
    <w:rPr>
      <w:rFonts w:ascii="等线" w:eastAsia="等线"/>
      <w:b/>
      <w:bCs/>
      <w:color w:val="FF0000"/>
      <w:sz w:val="22"/>
      <w:szCs w:val="22"/>
      <w:u w:val="none"/>
    </w:rPr>
  </w:style>
  <w:style w:type="character" w:customStyle="1" w:styleId="40">
    <w:name w:val="font01"/>
    <w:autoRedefine/>
    <w:qFormat/>
    <w:uiPriority w:val="0"/>
    <w:rPr>
      <w:rFonts w:ascii="等线" w:eastAsia="等线"/>
      <w:color w:val="000000"/>
      <w:sz w:val="22"/>
      <w:szCs w:val="22"/>
      <w:u w:val="none"/>
    </w:rPr>
  </w:style>
  <w:style w:type="paragraph" w:customStyle="1" w:styleId="41">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2">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3">
    <w:name w:val="标准文件_二级无标题"/>
    <w:basedOn w:val="30"/>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4">
    <w:name w:val="Char Char Char Char"/>
    <w:basedOn w:val="1"/>
    <w:autoRedefine/>
    <w:qFormat/>
    <w:uiPriority w:val="0"/>
  </w:style>
  <w:style w:type="paragraph" w:customStyle="1" w:styleId="45">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6">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47">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48">
    <w:name w:val="标准文件_术语条一"/>
    <w:basedOn w:val="1"/>
    <w:next w:val="27"/>
    <w:autoRedefine/>
    <w:qFormat/>
    <w:uiPriority w:val="0"/>
    <w:pPr>
      <w:widowControl/>
    </w:pPr>
    <w:rPr>
      <w:rFonts w:ascii="宋体"/>
      <w:kern w:val="0"/>
      <w:szCs w:val="20"/>
    </w:rPr>
  </w:style>
  <w:style w:type="paragraph" w:customStyle="1" w:styleId="49">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0">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1">
    <w:name w:val="No Spacing"/>
    <w:autoRedefine/>
    <w:qFormat/>
    <w:uiPriority w:val="99"/>
    <w:pPr>
      <w:widowControl w:val="0"/>
      <w:jc w:val="both"/>
    </w:pPr>
    <w:rPr>
      <w:rFonts w:ascii="Calibri" w:hAnsi="Calibri"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DoubleOX</Company>
  <Pages>19</Pages>
  <Words>8952</Words>
  <Characters>9639</Characters>
  <Lines>93</Lines>
  <Paragraphs>26</Paragraphs>
  <TotalTime>0</TotalTime>
  <ScaleCrop>false</ScaleCrop>
  <LinksUpToDate>false</LinksUpToDate>
  <CharactersWithSpaces>9741</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2023-11-07T15:48:00Z</dcterms:created>
  <dc:creator>Administrator</dc:creator>
  <cp:lastModifiedBy>誰念誰川</cp:lastModifiedBy>
  <dcterms:modified xsi:type="dcterms:W3CDTF">2025-10-27T08:40:51Z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294412C98A334F39B1551B9866440AAC_13</vt:lpwstr>
  </property>
  <property fmtid="{D5CDD505-2E9C-101B-9397-08002B2CF9AE}" pid="4" name="KSOTemplateDocerSaveRecord">
    <vt:lpwstr>eyJoZGlkIjoiNmU0OWNhMGUyYzc2MTI5ZWY2NzM4MTVkMDAwODg0YzMiLCJ1c2VySWQiOiIxOTA2MDI2MDgifQ==</vt:lpwstr>
  </property>
</Properties>
</file>