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341D1D">
      <w:pPr>
        <w:keepNext w:val="0"/>
        <w:keepLines w:val="0"/>
        <w:pageBreakBefore w:val="0"/>
        <w:widowControl w:val="0"/>
        <w:kinsoku/>
        <w:wordWrap/>
        <w:overflowPunct/>
        <w:topLinePunct w:val="0"/>
        <w:autoSpaceDE/>
        <w:autoSpaceDN/>
        <w:bidi w:val="0"/>
        <w:adjustRightInd/>
        <w:snapToGrid/>
        <w:ind w:firstLine="0"/>
        <w:jc w:val="center"/>
        <w:textAlignment w:val="auto"/>
        <w:rPr>
          <w:rFonts w:ascii="微软雅黑" w:eastAsia="微软雅黑" w:cs="仿宋_GB2312"/>
          <w:bCs/>
          <w:color w:val="auto"/>
          <w:sz w:val="36"/>
          <w:szCs w:val="32"/>
          <w:highlight w:val="none"/>
        </w:rPr>
      </w:pPr>
      <w:r>
        <w:rPr>
          <w:rFonts w:hint="eastAsia" w:ascii="微软雅黑" w:eastAsia="微软雅黑" w:cs="仿宋_GB2312"/>
          <w:bCs/>
          <w:color w:val="auto"/>
          <w:sz w:val="36"/>
          <w:szCs w:val="32"/>
          <w:highlight w:val="none"/>
        </w:rPr>
        <w:t>团体标准《</w:t>
      </w:r>
      <w:r>
        <w:rPr>
          <w:rFonts w:hint="eastAsia" w:ascii="微软雅黑" w:eastAsia="微软雅黑" w:cs="仿宋_GB2312"/>
          <w:bCs/>
          <w:color w:val="auto"/>
          <w:sz w:val="36"/>
          <w:szCs w:val="32"/>
          <w:highlight w:val="none"/>
          <w:lang w:eastAsia="zh-CN"/>
        </w:rPr>
        <w:t>住院精神障碍患者分级护理服务规范</w:t>
      </w:r>
      <w:r>
        <w:rPr>
          <w:rFonts w:hint="eastAsia" w:ascii="微软雅黑" w:eastAsia="微软雅黑" w:cs="仿宋_GB2312"/>
          <w:bCs/>
          <w:color w:val="auto"/>
          <w:sz w:val="36"/>
          <w:szCs w:val="32"/>
          <w:highlight w:val="none"/>
        </w:rPr>
        <w:t>》</w:t>
      </w:r>
    </w:p>
    <w:p w14:paraId="344DC783">
      <w:pPr>
        <w:keepNext w:val="0"/>
        <w:keepLines w:val="0"/>
        <w:pageBreakBefore w:val="0"/>
        <w:widowControl w:val="0"/>
        <w:kinsoku/>
        <w:wordWrap/>
        <w:overflowPunct/>
        <w:topLinePunct w:val="0"/>
        <w:autoSpaceDE/>
        <w:autoSpaceDN/>
        <w:bidi w:val="0"/>
        <w:adjustRightInd/>
        <w:snapToGrid/>
        <w:ind w:firstLine="0"/>
        <w:jc w:val="center"/>
        <w:textAlignment w:val="auto"/>
        <w:rPr>
          <w:rFonts w:ascii="微软雅黑" w:eastAsia="微软雅黑" w:cs="仿宋_GB2312"/>
          <w:bCs/>
          <w:color w:val="auto"/>
          <w:sz w:val="36"/>
          <w:szCs w:val="32"/>
          <w:highlight w:val="none"/>
        </w:rPr>
      </w:pPr>
      <w:r>
        <w:rPr>
          <w:rFonts w:hint="eastAsia" w:ascii="微软雅黑" w:eastAsia="微软雅黑" w:cs="仿宋_GB2312"/>
          <w:bCs/>
          <w:color w:val="auto"/>
          <w:sz w:val="36"/>
          <w:szCs w:val="32"/>
          <w:highlight w:val="none"/>
        </w:rPr>
        <w:t>（</w:t>
      </w:r>
      <w:r>
        <w:rPr>
          <w:rFonts w:hint="eastAsia" w:ascii="微软雅黑" w:eastAsia="微软雅黑" w:cs="仿宋_GB2312"/>
          <w:bCs/>
          <w:color w:val="auto"/>
          <w:sz w:val="36"/>
          <w:szCs w:val="32"/>
          <w:highlight w:val="none"/>
          <w:lang w:eastAsia="zh-CN"/>
        </w:rPr>
        <w:t>征求意见</w:t>
      </w:r>
      <w:r>
        <w:rPr>
          <w:rFonts w:hint="eastAsia" w:ascii="微软雅黑" w:eastAsia="微软雅黑" w:cs="仿宋_GB2312"/>
          <w:bCs/>
          <w:color w:val="auto"/>
          <w:sz w:val="36"/>
          <w:szCs w:val="32"/>
          <w:highlight w:val="none"/>
        </w:rPr>
        <w:t>稿）编制说明</w:t>
      </w:r>
    </w:p>
    <w:p w14:paraId="26EBCE99">
      <w:pPr>
        <w:ind w:firstLine="360"/>
        <w:jc w:val="center"/>
        <w:rPr>
          <w:rFonts w:ascii="微软雅黑" w:eastAsia="微软雅黑" w:cs="仿宋_GB2312"/>
          <w:bCs/>
          <w:color w:val="auto"/>
          <w:sz w:val="18"/>
          <w:szCs w:val="18"/>
          <w:highlight w:val="none"/>
        </w:rPr>
      </w:pPr>
    </w:p>
    <w:p w14:paraId="3F618D89">
      <w:pPr>
        <w:spacing w:line="520" w:lineRule="exact"/>
        <w:ind w:firstLine="640" w:firstLineChars="200"/>
        <w:rPr>
          <w:rFonts w:ascii="黑体" w:eastAsia="黑体" w:cs="仿宋_GB2312"/>
          <w:bCs/>
          <w:color w:val="auto"/>
          <w:sz w:val="32"/>
          <w:szCs w:val="32"/>
          <w:highlight w:val="none"/>
        </w:rPr>
      </w:pPr>
      <w:r>
        <w:rPr>
          <w:rFonts w:hint="eastAsia" w:ascii="黑体" w:eastAsia="黑体" w:cs="仿宋_GB2312"/>
          <w:color w:val="auto"/>
          <w:sz w:val="32"/>
          <w:szCs w:val="32"/>
          <w:highlight w:val="none"/>
        </w:rPr>
        <w:t>一、任务来源、起草单位、主要起草人</w:t>
      </w:r>
    </w:p>
    <w:p w14:paraId="1C7FA553">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根据《广西标准化协会关于下达202</w:t>
      </w:r>
      <w:r>
        <w:rPr>
          <w:rFonts w:hint="eastAsia" w:ascii="仿宋_GB2312" w:eastAsia="仿宋_GB2312"/>
          <w:color w:val="auto"/>
          <w:sz w:val="28"/>
          <w:szCs w:val="28"/>
          <w:highlight w:val="none"/>
          <w:lang w:val="en-US" w:eastAsia="zh-CN"/>
        </w:rPr>
        <w:t>5</w:t>
      </w:r>
      <w:r>
        <w:rPr>
          <w:rFonts w:hint="eastAsia" w:ascii="仿宋_GB2312" w:eastAsia="仿宋_GB2312"/>
          <w:color w:val="auto"/>
          <w:sz w:val="28"/>
          <w:szCs w:val="28"/>
          <w:highlight w:val="none"/>
        </w:rPr>
        <w:t>年第</w:t>
      </w:r>
      <w:r>
        <w:rPr>
          <w:rFonts w:hint="eastAsia" w:ascii="仿宋_GB2312" w:eastAsia="仿宋_GB2312"/>
          <w:color w:val="auto"/>
          <w:sz w:val="28"/>
          <w:szCs w:val="28"/>
          <w:highlight w:val="none"/>
          <w:lang w:eastAsia="zh-CN"/>
        </w:rPr>
        <w:t>十八</w:t>
      </w:r>
      <w:r>
        <w:rPr>
          <w:rFonts w:hint="eastAsia" w:ascii="仿宋_GB2312" w:eastAsia="仿宋_GB2312"/>
          <w:color w:val="auto"/>
          <w:sz w:val="28"/>
          <w:szCs w:val="28"/>
          <w:highlight w:val="none"/>
        </w:rPr>
        <w:t>批团体标准制修订项目计划的通知》（桂标协〔202</w:t>
      </w:r>
      <w:r>
        <w:rPr>
          <w:rFonts w:hint="eastAsia" w:ascii="仿宋_GB2312" w:eastAsia="仿宋_GB2312"/>
          <w:color w:val="auto"/>
          <w:sz w:val="28"/>
          <w:szCs w:val="28"/>
          <w:highlight w:val="none"/>
          <w:lang w:val="en-US" w:eastAsia="zh-CN"/>
        </w:rPr>
        <w:t>5</w:t>
      </w:r>
      <w:r>
        <w:rPr>
          <w:rFonts w:hint="eastAsia" w:ascii="仿宋_GB2312" w:eastAsia="仿宋_GB2312"/>
          <w:color w:val="auto"/>
          <w:sz w:val="28"/>
          <w:szCs w:val="28"/>
          <w:highlight w:val="none"/>
        </w:rPr>
        <w:t>〕</w:t>
      </w:r>
      <w:r>
        <w:rPr>
          <w:rFonts w:hint="eastAsia" w:ascii="仿宋_GB2312" w:eastAsia="仿宋_GB2312"/>
          <w:color w:val="auto"/>
          <w:sz w:val="28"/>
          <w:szCs w:val="28"/>
          <w:highlight w:val="none"/>
          <w:lang w:val="en-US" w:eastAsia="zh-CN"/>
        </w:rPr>
        <w:t>140</w:t>
      </w:r>
      <w:r>
        <w:rPr>
          <w:rFonts w:hint="eastAsia" w:ascii="仿宋_GB2312" w:eastAsia="仿宋_GB2312"/>
          <w:color w:val="auto"/>
          <w:sz w:val="28"/>
          <w:szCs w:val="28"/>
          <w:highlight w:val="none"/>
        </w:rPr>
        <w:t>号）精神，由广西护理学会提出，广西壮族自治区脑科医院、北京回龙观医院、南京脑科医院、广西医科大学第二附属医院、中南大学湘雅医院、重庆精神卫生中心、广州医科大学附属脑科医院、安徽省精神卫生中心、武汉大学人民医院、厦门市仙岳医院、云南省精神病医院、北京大学第六医院、南宁市第五人民医院、广西壮族自治区人民医院、河池市退役军人医院、桂林市精神卫生中心、百色市第二人民医院等单位共同起草的团体标准《</w:t>
      </w:r>
      <w:r>
        <w:rPr>
          <w:rFonts w:hint="eastAsia" w:ascii="仿宋_GB2312" w:eastAsia="仿宋_GB2312"/>
          <w:color w:val="auto"/>
          <w:sz w:val="28"/>
          <w:szCs w:val="28"/>
          <w:highlight w:val="none"/>
          <w:lang w:eastAsia="zh-CN"/>
        </w:rPr>
        <w:t>住院精神障碍患者分级护理服务规范</w:t>
      </w:r>
      <w:r>
        <w:rPr>
          <w:rFonts w:hint="eastAsia" w:ascii="仿宋_GB2312" w:eastAsia="仿宋_GB2312"/>
          <w:color w:val="auto"/>
          <w:sz w:val="28"/>
          <w:szCs w:val="28"/>
          <w:highlight w:val="none"/>
        </w:rPr>
        <w:t>》（项目编号：202</w:t>
      </w:r>
      <w:r>
        <w:rPr>
          <w:rFonts w:hint="eastAsia" w:ascii="仿宋_GB2312" w:eastAsia="仿宋_GB2312"/>
          <w:color w:val="auto"/>
          <w:sz w:val="28"/>
          <w:szCs w:val="28"/>
          <w:highlight w:val="none"/>
          <w:lang w:val="en-US" w:eastAsia="zh-CN"/>
        </w:rPr>
        <w:t>5</w:t>
      </w:r>
      <w:r>
        <w:rPr>
          <w:rFonts w:hint="eastAsia" w:ascii="仿宋_GB2312" w:eastAsia="仿宋_GB2312"/>
          <w:color w:val="auto"/>
          <w:sz w:val="28"/>
          <w:szCs w:val="28"/>
          <w:highlight w:val="none"/>
        </w:rPr>
        <w:t>-1802），已获立项。</w:t>
      </w:r>
    </w:p>
    <w:p w14:paraId="67F631D9">
      <w:pPr>
        <w:spacing w:line="520" w:lineRule="exact"/>
        <w:ind w:firstLine="560" w:firstLineChars="20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rPr>
        <w:t>为高质量编制团体标准《</w:t>
      </w:r>
      <w:r>
        <w:rPr>
          <w:rFonts w:hint="eastAsia" w:ascii="仿宋_GB2312" w:eastAsia="仿宋_GB2312"/>
          <w:color w:val="auto"/>
          <w:sz w:val="28"/>
          <w:szCs w:val="28"/>
          <w:highlight w:val="none"/>
          <w:lang w:eastAsia="zh-CN"/>
        </w:rPr>
        <w:t>住院精神障碍患者分级护理服务规范</w:t>
      </w:r>
      <w:r>
        <w:rPr>
          <w:rFonts w:hint="eastAsia" w:ascii="仿宋_GB2312" w:eastAsia="仿宋_GB2312"/>
          <w:color w:val="auto"/>
          <w:sz w:val="28"/>
          <w:szCs w:val="28"/>
          <w:highlight w:val="none"/>
        </w:rPr>
        <w:t>》，由起草单位成立标准编制工作组并进行如下分工：</w:t>
      </w:r>
    </w:p>
    <w:tbl>
      <w:tblPr>
        <w:tblStyle w:val="16"/>
        <w:tblW w:w="94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5"/>
        <w:gridCol w:w="1583"/>
        <w:gridCol w:w="1538"/>
        <w:gridCol w:w="2386"/>
        <w:gridCol w:w="2948"/>
      </w:tblGrid>
      <w:tr w14:paraId="4B7FD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AE343B9">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姓名</w:t>
            </w:r>
          </w:p>
        </w:tc>
        <w:tc>
          <w:tcPr>
            <w:tcW w:w="1583" w:type="dxa"/>
            <w:tcBorders>
              <w:top w:val="single" w:color="auto" w:sz="4" w:space="0"/>
              <w:left w:val="single" w:color="auto" w:sz="4" w:space="0"/>
              <w:bottom w:val="single" w:color="auto" w:sz="4" w:space="0"/>
              <w:right w:val="single" w:color="auto" w:sz="4" w:space="0"/>
            </w:tcBorders>
            <w:vAlign w:val="center"/>
          </w:tcPr>
          <w:p w14:paraId="2BA9EDA5">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职务/职</w:t>
            </w:r>
            <w:r>
              <w:rPr>
                <w:rFonts w:hint="default" w:ascii="仿宋_GB2312" w:hAnsi="仿宋" w:eastAsia="仿宋_GB2312" w:cs="仿宋"/>
                <w:b/>
                <w:color w:val="auto"/>
                <w:sz w:val="24"/>
                <w:highlight w:val="none"/>
              </w:rPr>
              <w:t>称</w:t>
            </w:r>
          </w:p>
        </w:tc>
        <w:tc>
          <w:tcPr>
            <w:tcW w:w="1538" w:type="dxa"/>
            <w:tcBorders>
              <w:top w:val="single" w:color="auto" w:sz="4" w:space="0"/>
              <w:left w:val="single" w:color="auto" w:sz="4" w:space="0"/>
              <w:bottom w:val="single" w:color="auto" w:sz="4" w:space="0"/>
              <w:right w:val="single" w:color="auto" w:sz="4" w:space="0"/>
            </w:tcBorders>
            <w:vAlign w:val="center"/>
          </w:tcPr>
          <w:p w14:paraId="310E99E6">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从事</w:t>
            </w:r>
          </w:p>
          <w:p w14:paraId="1832E6EC">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专业</w:t>
            </w:r>
          </w:p>
        </w:tc>
        <w:tc>
          <w:tcPr>
            <w:tcW w:w="2386" w:type="dxa"/>
            <w:tcBorders>
              <w:top w:val="single" w:color="auto" w:sz="4" w:space="0"/>
              <w:left w:val="single" w:color="auto" w:sz="4" w:space="0"/>
              <w:bottom w:val="single" w:color="auto" w:sz="4" w:space="0"/>
              <w:right w:val="single" w:color="auto" w:sz="4" w:space="0"/>
            </w:tcBorders>
            <w:vAlign w:val="center"/>
          </w:tcPr>
          <w:p w14:paraId="73D1A175">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工作单位</w:t>
            </w:r>
          </w:p>
        </w:tc>
        <w:tc>
          <w:tcPr>
            <w:tcW w:w="2948" w:type="dxa"/>
            <w:tcBorders>
              <w:top w:val="single" w:color="auto" w:sz="4" w:space="0"/>
              <w:left w:val="single" w:color="auto" w:sz="4" w:space="0"/>
              <w:bottom w:val="single" w:color="auto" w:sz="4" w:space="0"/>
              <w:right w:val="single" w:color="auto" w:sz="4" w:space="0"/>
            </w:tcBorders>
            <w:vAlign w:val="center"/>
          </w:tcPr>
          <w:p w14:paraId="4C2BE869">
            <w:pPr>
              <w:keepNext w:val="0"/>
              <w:keepLines w:val="0"/>
              <w:suppressLineNumbers w:val="0"/>
              <w:spacing w:before="0" w:beforeAutospacing="0" w:after="0" w:afterAutospacing="0"/>
              <w:ind w:left="0" w:right="0"/>
              <w:jc w:val="center"/>
              <w:rPr>
                <w:rFonts w:hint="eastAsia" w:ascii="仿宋_GB2312" w:hAnsi="仿宋" w:eastAsia="仿宋_GB2312" w:cs="仿宋"/>
                <w:b/>
                <w:color w:val="auto"/>
                <w:sz w:val="24"/>
                <w:highlight w:val="none"/>
              </w:rPr>
            </w:pPr>
            <w:r>
              <w:rPr>
                <w:rFonts w:hint="eastAsia" w:ascii="仿宋_GB2312" w:hAnsi="仿宋" w:eastAsia="仿宋_GB2312" w:cs="仿宋"/>
                <w:b/>
                <w:color w:val="auto"/>
                <w:sz w:val="24"/>
                <w:highlight w:val="none"/>
              </w:rPr>
              <w:t>主要负责工作</w:t>
            </w:r>
          </w:p>
        </w:tc>
      </w:tr>
      <w:tr w14:paraId="20551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021AEDBE">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olor w:val="auto"/>
                <w:sz w:val="24"/>
                <w:highlight w:val="none"/>
                <w:lang w:val="en-US" w:eastAsia="zh-CN"/>
              </w:rPr>
              <w:t>覃凤琼</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E1F40DA">
            <w:pPr>
              <w:keepNext w:val="0"/>
              <w:keepLines w:val="0"/>
              <w:suppressLineNumbers w:val="0"/>
              <w:spacing w:before="0" w:beforeAutospacing="0" w:after="0" w:afterAutospacing="0"/>
              <w:ind w:left="0" w:right="0"/>
              <w:jc w:val="center"/>
              <w:rPr>
                <w:rFonts w:hint="default" w:ascii="仿宋_GB2312" w:hAnsi="Calibri" w:eastAsia="仿宋_GB2312" w:cs="Calibri"/>
                <w:bCs/>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护理部主任/主任护师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7007D931">
            <w:pPr>
              <w:keepNext w:val="0"/>
              <w:keepLines w:val="0"/>
              <w:suppressLineNumbers w:val="0"/>
              <w:spacing w:before="0" w:beforeAutospacing="0" w:after="0" w:afterAutospacing="0"/>
              <w:ind w:left="0" w:right="0"/>
              <w:jc w:val="center"/>
              <w:rPr>
                <w:rFonts w:hint="default" w:ascii="仿宋_GB2312" w:hAnsi="Calibri" w:eastAsia="仿宋_GB2312" w:cs="Calibri"/>
                <w:bCs/>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78241027">
            <w:pPr>
              <w:keepNext w:val="0"/>
              <w:keepLines w:val="0"/>
              <w:suppressLineNumbers w:val="0"/>
              <w:spacing w:before="0" w:beforeAutospacing="0" w:after="0" w:afterAutospacing="0"/>
              <w:ind w:left="0" w:right="0"/>
              <w:jc w:val="center"/>
              <w:rPr>
                <w:rFonts w:hint="default" w:ascii="仿宋_GB2312" w:hAnsi="Calibri" w:eastAsia="仿宋_GB2312" w:cs="Calibri"/>
                <w:bCs/>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广西壮族自治区脑科医院</w:t>
            </w:r>
          </w:p>
        </w:tc>
        <w:tc>
          <w:tcPr>
            <w:tcW w:w="2948" w:type="dxa"/>
            <w:tcBorders>
              <w:top w:val="single" w:color="auto" w:sz="4" w:space="0"/>
              <w:left w:val="single" w:color="auto" w:sz="4" w:space="0"/>
              <w:bottom w:val="single" w:color="auto" w:sz="4" w:space="0"/>
              <w:right w:val="single" w:color="auto" w:sz="4" w:space="0"/>
            </w:tcBorders>
            <w:vAlign w:val="center"/>
          </w:tcPr>
          <w:p w14:paraId="1A8CA2FA">
            <w:pPr>
              <w:keepNext w:val="0"/>
              <w:keepLines w:val="0"/>
              <w:suppressLineNumbers w:val="0"/>
              <w:suppressAutoHyphens/>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bCs/>
                <w:color w:val="auto"/>
                <w:sz w:val="24"/>
                <w:highlight w:val="none"/>
              </w:rPr>
              <w:t>全面</w:t>
            </w:r>
            <w:r>
              <w:rPr>
                <w:rFonts w:hint="default" w:ascii="仿宋_GB2312" w:hAnsi="仿宋_GB2312" w:eastAsia="仿宋_GB2312" w:cs="仿宋_GB2312"/>
                <w:bCs/>
                <w:color w:val="auto"/>
                <w:sz w:val="24"/>
                <w:highlight w:val="none"/>
              </w:rPr>
              <w:t>组织</w:t>
            </w:r>
          </w:p>
        </w:tc>
      </w:tr>
      <w:tr w14:paraId="262E25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CA8FA34">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bidi="ar"/>
              </w:rPr>
            </w:pPr>
            <w:r>
              <w:rPr>
                <w:rFonts w:hint="eastAsia" w:ascii="仿宋_GB2312" w:hAnsi="Times New Roman" w:eastAsia="仿宋_GB2312"/>
                <w:color w:val="auto"/>
                <w:sz w:val="24"/>
                <w:highlight w:val="none"/>
                <w:lang w:val="en-US" w:eastAsia="zh-CN"/>
              </w:rPr>
              <w:t>胡辉林</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99398BE">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副院长/副主任医师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2E57BAF8">
            <w:pPr>
              <w:keepNext w:val="0"/>
              <w:keepLines w:val="0"/>
              <w:suppressLineNumbers w:val="0"/>
              <w:spacing w:before="0" w:beforeAutospacing="0" w:after="0" w:afterAutospacing="0"/>
              <w:ind w:left="0" w:right="0"/>
              <w:jc w:val="center"/>
              <w:rPr>
                <w:rFonts w:hint="default" w:ascii="仿宋_GB2312" w:hAnsi="Calibri" w:eastAsia="仿宋_GB2312" w:cs="Calibri"/>
                <w:bCs/>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临床医学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76AC7F00">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广西壮族自治区脑科医院</w:t>
            </w:r>
          </w:p>
        </w:tc>
        <w:tc>
          <w:tcPr>
            <w:tcW w:w="2948" w:type="dxa"/>
            <w:tcBorders>
              <w:top w:val="single" w:color="auto" w:sz="4" w:space="0"/>
              <w:left w:val="single" w:color="auto" w:sz="4" w:space="0"/>
              <w:bottom w:val="single" w:color="auto" w:sz="4" w:space="0"/>
              <w:right w:val="single" w:color="auto" w:sz="4" w:space="0"/>
            </w:tcBorders>
            <w:vAlign w:val="center"/>
          </w:tcPr>
          <w:p w14:paraId="52912B12">
            <w:pPr>
              <w:keepNext w:val="0"/>
              <w:keepLines w:val="0"/>
              <w:suppressLineNumbers w:val="0"/>
              <w:suppressAutoHyphens/>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bCs/>
                <w:color w:val="auto"/>
                <w:sz w:val="24"/>
                <w:highlight w:val="none"/>
              </w:rPr>
              <w:t>统筹规范编制工作组织人员进行规范发布后的宣贯培训</w:t>
            </w:r>
          </w:p>
        </w:tc>
      </w:tr>
      <w:tr w14:paraId="21230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3740339">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bidi="ar"/>
              </w:rPr>
            </w:pPr>
            <w:r>
              <w:rPr>
                <w:rFonts w:hint="eastAsia" w:ascii="仿宋_GB2312" w:hAnsi="Times New Roman" w:eastAsia="仿宋_GB2312"/>
                <w:color w:val="auto"/>
                <w:sz w:val="24"/>
                <w:highlight w:val="none"/>
                <w:lang w:val="en-US" w:eastAsia="zh-CN"/>
              </w:rPr>
              <w:t>黄 欣</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24AC70E9">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主管护师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06744DE6">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36DD2D53">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广西壮族自治区脑科医院</w:t>
            </w:r>
          </w:p>
        </w:tc>
        <w:tc>
          <w:tcPr>
            <w:tcW w:w="2948" w:type="dxa"/>
            <w:tcBorders>
              <w:top w:val="single" w:color="auto" w:sz="4" w:space="0"/>
              <w:left w:val="single" w:color="auto" w:sz="4" w:space="0"/>
              <w:bottom w:val="single" w:color="auto" w:sz="4" w:space="0"/>
              <w:right w:val="single" w:color="auto" w:sz="4" w:space="0"/>
            </w:tcBorders>
            <w:vAlign w:val="center"/>
          </w:tcPr>
          <w:p w14:paraId="5E20888A">
            <w:pPr>
              <w:keepNext w:val="0"/>
              <w:keepLines w:val="0"/>
              <w:suppressLineNumbers w:val="0"/>
              <w:suppressAutoHyphens/>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bCs/>
                <w:color w:val="auto"/>
                <w:sz w:val="24"/>
                <w:highlight w:val="none"/>
              </w:rPr>
              <w:t>指导规范文本及编制说明编写，质量控制</w:t>
            </w:r>
          </w:p>
        </w:tc>
      </w:tr>
      <w:tr w14:paraId="514C7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83408E6">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bidi="ar"/>
              </w:rPr>
            </w:pPr>
            <w:r>
              <w:rPr>
                <w:rFonts w:hint="eastAsia" w:ascii="仿宋_GB2312" w:hAnsi="Times New Roman" w:eastAsia="仿宋_GB2312"/>
                <w:color w:val="auto"/>
                <w:sz w:val="24"/>
                <w:highlight w:val="none"/>
                <w:lang w:val="en-US" w:eastAsia="zh-CN"/>
              </w:rPr>
              <w:t>邓金兰</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F4642FC">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副主任护师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258498D0">
            <w:pPr>
              <w:keepNext w:val="0"/>
              <w:keepLines w:val="0"/>
              <w:suppressLineNumbers w:val="0"/>
              <w:spacing w:before="0" w:beforeAutospacing="0" w:after="0" w:afterAutospacing="0"/>
              <w:ind w:left="0" w:right="0"/>
              <w:jc w:val="center"/>
              <w:rPr>
                <w:rFonts w:hint="default" w:ascii="仿宋_GB2312" w:hAnsi="Calibri" w:eastAsia="仿宋_GB2312" w:cs="Calibri"/>
                <w:bCs/>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6AE7202D">
            <w:pPr>
              <w:keepNext w:val="0"/>
              <w:keepLines w:val="0"/>
              <w:suppressLineNumbers w:val="0"/>
              <w:spacing w:before="0" w:beforeAutospacing="0" w:after="0" w:afterAutospacing="0"/>
              <w:ind w:left="0" w:right="0"/>
              <w:jc w:val="center"/>
              <w:rPr>
                <w:rFonts w:hint="eastAsia" w:ascii="仿宋_GB2312" w:hAnsi="Calibri" w:eastAsia="仿宋_GB2312" w:cs="Calibri"/>
                <w:bCs/>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广西壮族自治区脑科医院</w:t>
            </w:r>
          </w:p>
        </w:tc>
        <w:tc>
          <w:tcPr>
            <w:tcW w:w="2948" w:type="dxa"/>
            <w:tcBorders>
              <w:top w:val="single" w:color="auto" w:sz="4" w:space="0"/>
              <w:left w:val="single" w:color="auto" w:sz="4" w:space="0"/>
              <w:bottom w:val="single" w:color="auto" w:sz="4" w:space="0"/>
              <w:right w:val="single" w:color="auto" w:sz="4" w:space="0"/>
            </w:tcBorders>
            <w:vAlign w:val="center"/>
          </w:tcPr>
          <w:p w14:paraId="3FCA5C87">
            <w:pPr>
              <w:keepNext w:val="0"/>
              <w:keepLines w:val="0"/>
              <w:suppressLineNumbers w:val="0"/>
              <w:suppressAutoHyphens/>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仿宋_GB2312" w:eastAsia="仿宋_GB2312" w:cs="仿宋_GB2312"/>
                <w:bCs/>
                <w:color w:val="auto"/>
                <w:sz w:val="24"/>
                <w:highlight w:val="none"/>
              </w:rPr>
              <w:t>负责起草规范草案，征求意见稿和规范编制说明的编写工作</w:t>
            </w:r>
          </w:p>
        </w:tc>
      </w:tr>
      <w:tr w14:paraId="7CDC8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E4CB788">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bidi="ar"/>
              </w:rPr>
            </w:pPr>
            <w:r>
              <w:rPr>
                <w:rFonts w:hint="eastAsia" w:ascii="仿宋_GB2312" w:hAnsi="Times New Roman" w:eastAsia="仿宋_GB2312"/>
                <w:color w:val="auto"/>
                <w:sz w:val="24"/>
                <w:highlight w:val="none"/>
                <w:lang w:val="en-US" w:eastAsia="zh-CN"/>
              </w:rPr>
              <w:t>周 茜</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6029C6E1">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主管护师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3DBF83EC">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7734DAEF">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广西壮族自治区脑科医院</w:t>
            </w:r>
          </w:p>
        </w:tc>
        <w:tc>
          <w:tcPr>
            <w:tcW w:w="2948" w:type="dxa"/>
            <w:tcBorders>
              <w:top w:val="single" w:color="auto" w:sz="4" w:space="0"/>
              <w:left w:val="single" w:color="auto" w:sz="4" w:space="0"/>
              <w:bottom w:val="single" w:color="auto" w:sz="4" w:space="0"/>
              <w:right w:val="single" w:color="auto" w:sz="4" w:space="0"/>
            </w:tcBorders>
            <w:vAlign w:val="center"/>
          </w:tcPr>
          <w:p w14:paraId="41BFF9BC">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Times New Roman" w:eastAsia="仿宋_GB2312"/>
                <w:color w:val="auto"/>
                <w:sz w:val="24"/>
                <w:highlight w:val="none"/>
              </w:rPr>
              <w:t>对规范实施情况进行总结分析,不断对规范提出修正意见</w:t>
            </w:r>
          </w:p>
        </w:tc>
      </w:tr>
      <w:tr w14:paraId="33814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270F15B3">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olor w:val="auto"/>
                <w:sz w:val="24"/>
                <w:highlight w:val="none"/>
                <w:lang w:val="en-US" w:eastAsia="zh-CN"/>
              </w:rPr>
              <w:t>覃正斌</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6E453517">
            <w:pPr>
              <w:keepNext w:val="0"/>
              <w:keepLines w:val="0"/>
              <w:suppressLineNumbers w:val="0"/>
              <w:spacing w:before="0" w:beforeAutospacing="0" w:after="0" w:afterAutospacing="0"/>
              <w:ind w:left="0" w:right="0"/>
              <w:jc w:val="center"/>
              <w:rPr>
                <w:rFonts w:hint="default" w:ascii="仿宋_GB2312" w:hAnsi="仿宋_GB2312" w:eastAsia="仿宋_GB2312" w:cs="仿宋_GB2312"/>
                <w:bCs/>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主管护师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1B7E9189">
            <w:pPr>
              <w:keepNext w:val="0"/>
              <w:keepLines w:val="0"/>
              <w:suppressLineNumbers w:val="0"/>
              <w:spacing w:before="0" w:beforeAutospacing="0" w:after="0" w:afterAutospacing="0"/>
              <w:ind w:left="0" w:right="0"/>
              <w:jc w:val="center"/>
              <w:rPr>
                <w:rFonts w:hint="default" w:ascii="仿宋_GB2312" w:hAnsi="仿宋_GB2312" w:eastAsia="仿宋_GB2312" w:cs="仿宋_GB2312"/>
                <w:bCs/>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6067C6CB">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Times New Roman" w:eastAsia="仿宋_GB2312"/>
                <w:color w:val="auto"/>
                <w:sz w:val="24"/>
                <w:highlight w:val="none"/>
                <w:lang w:val="en-US" w:eastAsia="zh-CN"/>
              </w:rPr>
              <w:t>广西壮族自治区脑科医院</w:t>
            </w:r>
          </w:p>
        </w:tc>
        <w:tc>
          <w:tcPr>
            <w:tcW w:w="2948" w:type="dxa"/>
            <w:tcBorders>
              <w:top w:val="single" w:color="auto" w:sz="4" w:space="0"/>
              <w:left w:val="single" w:color="auto" w:sz="4" w:space="0"/>
              <w:bottom w:val="single" w:color="auto" w:sz="4" w:space="0"/>
              <w:right w:val="single" w:color="auto" w:sz="4" w:space="0"/>
            </w:tcBorders>
            <w:vAlign w:val="center"/>
          </w:tcPr>
          <w:p w14:paraId="0A55C5E0">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Times New Roman" w:eastAsia="仿宋_GB2312"/>
                <w:color w:val="auto"/>
                <w:sz w:val="24"/>
                <w:highlight w:val="none"/>
              </w:rPr>
              <w:t>对规范实施情况进行总结分析,不断对规范提出修正意见</w:t>
            </w:r>
          </w:p>
        </w:tc>
      </w:tr>
      <w:tr w14:paraId="4EDE42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2F3ADCD">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bidi="ar"/>
              </w:rPr>
            </w:pPr>
            <w:r>
              <w:rPr>
                <w:rFonts w:hint="eastAsia" w:ascii="仿宋_GB2312" w:hAnsi="Times New Roman" w:eastAsia="仿宋_GB2312"/>
                <w:color w:val="auto"/>
                <w:sz w:val="24"/>
                <w:highlight w:val="none"/>
                <w:lang w:val="en-US" w:eastAsia="zh-CN"/>
              </w:rPr>
              <w:t>叶凡佩</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495F53A2">
            <w:pPr>
              <w:keepNext w:val="0"/>
              <w:keepLines w:val="0"/>
              <w:suppressLineNumbers w:val="0"/>
              <w:spacing w:before="0" w:beforeAutospacing="0" w:after="0" w:afterAutospacing="0"/>
              <w:ind w:left="0" w:right="0"/>
              <w:jc w:val="center"/>
              <w:rPr>
                <w:rFonts w:hint="default"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主治医师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69185699">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65BF293C">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广西壮族自治区脑科医院</w:t>
            </w:r>
          </w:p>
        </w:tc>
        <w:tc>
          <w:tcPr>
            <w:tcW w:w="2948" w:type="dxa"/>
            <w:tcBorders>
              <w:top w:val="single" w:color="auto" w:sz="4" w:space="0"/>
              <w:left w:val="single" w:color="auto" w:sz="4" w:space="0"/>
              <w:bottom w:val="single" w:color="auto" w:sz="4" w:space="0"/>
              <w:right w:val="single" w:color="auto" w:sz="4" w:space="0"/>
            </w:tcBorders>
            <w:vAlign w:val="center"/>
          </w:tcPr>
          <w:p w14:paraId="719DD416">
            <w:pPr>
              <w:keepNext w:val="0"/>
              <w:keepLines w:val="0"/>
              <w:suppressLineNumbers w:val="0"/>
              <w:spacing w:before="0" w:beforeAutospacing="0" w:after="0" w:afterAutospacing="0"/>
              <w:ind w:left="0" w:right="0"/>
              <w:jc w:val="center"/>
              <w:rPr>
                <w:rFonts w:hint="eastAsia" w:ascii="仿宋_GB2312" w:hAnsi="仿宋_GB2312" w:eastAsia="仿宋_GB2312" w:cs="仿宋_GB2312"/>
                <w:b/>
                <w:bCs/>
                <w:color w:val="auto"/>
                <w:sz w:val="24"/>
                <w:highlight w:val="none"/>
                <w:lang w:bidi="ar"/>
              </w:rPr>
            </w:pPr>
            <w:r>
              <w:rPr>
                <w:rFonts w:hint="eastAsia" w:ascii="仿宋_GB2312" w:hAnsi="Times New Roman" w:eastAsia="仿宋_GB2312"/>
                <w:color w:val="auto"/>
                <w:sz w:val="24"/>
                <w:highlight w:val="none"/>
              </w:rPr>
              <w:t>负责送审稿及编制说明的编写工作</w:t>
            </w:r>
          </w:p>
        </w:tc>
      </w:tr>
      <w:tr w14:paraId="426E0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FA677B5">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bidi="ar"/>
              </w:rPr>
            </w:pPr>
            <w:r>
              <w:rPr>
                <w:rFonts w:hint="eastAsia" w:ascii="仿宋_GB2312" w:hAnsi="Times New Roman" w:eastAsia="仿宋_GB2312"/>
                <w:color w:val="auto"/>
                <w:sz w:val="24"/>
                <w:highlight w:val="none"/>
                <w:lang w:val="en-US" w:eastAsia="zh-CN"/>
              </w:rPr>
              <w:t>邓远新</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04B321E">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副主任护师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0FCEA129">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050969E8">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广西壮族自治区脑科医院</w:t>
            </w:r>
          </w:p>
        </w:tc>
        <w:tc>
          <w:tcPr>
            <w:tcW w:w="2948" w:type="dxa"/>
            <w:tcBorders>
              <w:top w:val="single" w:color="auto" w:sz="4" w:space="0"/>
              <w:left w:val="single" w:color="auto" w:sz="4" w:space="0"/>
              <w:bottom w:val="single" w:color="auto" w:sz="4" w:space="0"/>
              <w:right w:val="single" w:color="auto" w:sz="4" w:space="0"/>
            </w:tcBorders>
            <w:vAlign w:val="center"/>
          </w:tcPr>
          <w:p w14:paraId="55308BBF">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rPr>
            </w:pPr>
            <w:r>
              <w:rPr>
                <w:rFonts w:hint="eastAsia" w:ascii="仿宋_GB2312" w:hAnsi="仿宋_GB2312" w:eastAsia="仿宋_GB2312" w:cs="仿宋_GB2312"/>
                <w:bCs/>
                <w:color w:val="auto"/>
                <w:sz w:val="24"/>
                <w:highlight w:val="none"/>
              </w:rPr>
              <w:t>负责起草规范草案，征求意见稿和规范编制说明</w:t>
            </w:r>
            <w:r>
              <w:rPr>
                <w:rFonts w:hint="eastAsia" w:ascii="仿宋_GB2312" w:hAnsi="仿宋_GB2312" w:eastAsia="仿宋_GB2312" w:cs="仿宋_GB2312"/>
                <w:bCs/>
                <w:color w:val="auto"/>
                <w:sz w:val="24"/>
                <w:highlight w:val="none"/>
                <w:lang w:eastAsia="zh-CN"/>
              </w:rPr>
              <w:t>，</w:t>
            </w:r>
            <w:r>
              <w:rPr>
                <w:rFonts w:hint="eastAsia" w:ascii="仿宋_GB2312" w:hAnsi="Times New Roman" w:eastAsia="仿宋_GB2312"/>
                <w:color w:val="auto"/>
                <w:sz w:val="24"/>
                <w:highlight w:val="none"/>
              </w:rPr>
              <w:t>送审稿及编制说明的编写工作</w:t>
            </w:r>
          </w:p>
        </w:tc>
      </w:tr>
      <w:tr w14:paraId="3B669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308F604">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bidi="ar"/>
              </w:rPr>
            </w:pPr>
            <w:r>
              <w:rPr>
                <w:rFonts w:hint="eastAsia" w:ascii="仿宋_GB2312" w:hAnsi="Times New Roman" w:eastAsia="仿宋_GB2312" w:cs="Times New Roman"/>
                <w:color w:val="auto"/>
                <w:sz w:val="24"/>
                <w:highlight w:val="none"/>
                <w:lang w:val="en-US" w:eastAsia="zh-CN"/>
              </w:rPr>
              <w:t>邵 静</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9D2BD5C">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04B75E53">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09AA38D9">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kern w:val="24"/>
                <w:sz w:val="24"/>
                <w:szCs w:val="24"/>
                <w:highlight w:val="none"/>
                <w:lang w:val="en-US" w:eastAsia="zh-CN"/>
              </w:rPr>
              <w:t>北京回龙观医院</w:t>
            </w:r>
          </w:p>
        </w:tc>
        <w:tc>
          <w:tcPr>
            <w:tcW w:w="2948" w:type="dxa"/>
            <w:tcBorders>
              <w:top w:val="single" w:color="auto" w:sz="4" w:space="0"/>
              <w:left w:val="single" w:color="auto" w:sz="4" w:space="0"/>
              <w:bottom w:val="single" w:color="auto" w:sz="4" w:space="0"/>
              <w:right w:val="single" w:color="auto" w:sz="4" w:space="0"/>
            </w:tcBorders>
            <w:vAlign w:val="center"/>
          </w:tcPr>
          <w:p w14:paraId="6253942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rPr>
            </w:pPr>
            <w:r>
              <w:rPr>
                <w:rFonts w:hint="eastAsia" w:ascii="仿宋_GB2312" w:hAnsi="Times New Roman" w:eastAsia="仿宋_GB2312"/>
                <w:color w:val="auto"/>
                <w:sz w:val="24"/>
                <w:highlight w:val="none"/>
              </w:rPr>
              <w:t>负责编制说明的编写，质量控制</w:t>
            </w:r>
          </w:p>
        </w:tc>
      </w:tr>
      <w:tr w14:paraId="2B560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B9A5FB0">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bidi="ar"/>
              </w:rPr>
            </w:pPr>
            <w:r>
              <w:rPr>
                <w:rFonts w:hint="eastAsia" w:ascii="仿宋_GB2312" w:hAnsi="Times New Roman" w:eastAsia="仿宋_GB2312" w:cs="Times New Roman"/>
                <w:color w:val="auto"/>
                <w:sz w:val="24"/>
                <w:highlight w:val="none"/>
                <w:lang w:val="en-US" w:eastAsia="zh-CN"/>
              </w:rPr>
              <w:t>张燕红</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C55BFC5">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00AAEACC">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37FE3BE6">
            <w:pPr>
              <w:keepNext w:val="0"/>
              <w:keepLines w:val="0"/>
              <w:suppressLineNumbers w:val="0"/>
              <w:spacing w:before="0" w:beforeAutospacing="0" w:after="0" w:afterAutospacing="0"/>
              <w:ind w:left="0" w:right="0"/>
              <w:jc w:val="center"/>
              <w:rPr>
                <w:rFonts w:hint="default"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sz w:val="24"/>
                <w:szCs w:val="24"/>
                <w:highlight w:val="none"/>
                <w:lang w:eastAsia="zh-CN"/>
              </w:rPr>
              <w:t>南京脑科医院</w:t>
            </w:r>
          </w:p>
        </w:tc>
        <w:tc>
          <w:tcPr>
            <w:tcW w:w="2948" w:type="dxa"/>
            <w:tcBorders>
              <w:top w:val="single" w:color="auto" w:sz="4" w:space="0"/>
              <w:left w:val="single" w:color="auto" w:sz="4" w:space="0"/>
              <w:bottom w:val="single" w:color="auto" w:sz="4" w:space="0"/>
              <w:right w:val="single" w:color="auto" w:sz="4" w:space="0"/>
            </w:tcBorders>
            <w:vAlign w:val="center"/>
          </w:tcPr>
          <w:p w14:paraId="2F4CAB57">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rPr>
            </w:pPr>
            <w:r>
              <w:rPr>
                <w:rFonts w:hint="eastAsia" w:ascii="仿宋_GB2312" w:hAnsi="Times New Roman" w:eastAsia="仿宋_GB2312"/>
                <w:color w:val="auto"/>
                <w:sz w:val="24"/>
                <w:highlight w:val="none"/>
              </w:rPr>
              <w:t>对规范实施情况进行总结分析,不断对规范提出修正意见</w:t>
            </w:r>
          </w:p>
        </w:tc>
      </w:tr>
      <w:tr w14:paraId="754D2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DEABE1D">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bidi="ar"/>
              </w:rPr>
            </w:pPr>
            <w:r>
              <w:rPr>
                <w:rFonts w:hint="eastAsia" w:ascii="仿宋_GB2312" w:hAnsi="Times New Roman" w:eastAsia="仿宋_GB2312" w:cs="Times New Roman"/>
                <w:color w:val="auto"/>
                <w:sz w:val="24"/>
                <w:highlight w:val="none"/>
                <w:lang w:val="en-US" w:eastAsia="zh-CN"/>
              </w:rPr>
              <w:t>张丽艳</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18C25DE">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副主任护师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08958C7E">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6C3B8541">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sz w:val="24"/>
                <w:szCs w:val="24"/>
                <w:highlight w:val="none"/>
                <w:lang w:eastAsia="zh-CN"/>
              </w:rPr>
              <w:t>广西医科大学第二附属医院</w:t>
            </w:r>
          </w:p>
        </w:tc>
        <w:tc>
          <w:tcPr>
            <w:tcW w:w="2948" w:type="dxa"/>
            <w:tcBorders>
              <w:top w:val="single" w:color="auto" w:sz="4" w:space="0"/>
              <w:left w:val="single" w:color="auto" w:sz="4" w:space="0"/>
              <w:bottom w:val="single" w:color="auto" w:sz="4" w:space="0"/>
              <w:right w:val="single" w:color="auto" w:sz="4" w:space="0"/>
            </w:tcBorders>
            <w:vAlign w:val="center"/>
          </w:tcPr>
          <w:p w14:paraId="4273F364">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rPr>
            </w:pPr>
            <w:r>
              <w:rPr>
                <w:rFonts w:hint="eastAsia" w:ascii="仿宋_GB2312" w:hAnsi="Times New Roman" w:eastAsia="仿宋_GB2312"/>
                <w:color w:val="auto"/>
                <w:sz w:val="24"/>
                <w:highlight w:val="none"/>
              </w:rPr>
              <w:t>对规范实施情况进行总结分析,不断对规范提出修正意见</w:t>
            </w:r>
          </w:p>
        </w:tc>
      </w:tr>
      <w:tr w14:paraId="62D7D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66B5EB1C">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陈琼妮</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1EA064FC">
            <w:pPr>
              <w:keepNext w:val="0"/>
              <w:keepLines w:val="0"/>
              <w:suppressLineNumbers w:val="0"/>
              <w:spacing w:before="0" w:beforeAutospacing="0" w:after="0" w:afterAutospacing="0"/>
              <w:ind w:left="0" w:right="0"/>
              <w:jc w:val="center"/>
              <w:rPr>
                <w:rFonts w:hint="default"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1AA3D918">
            <w:pPr>
              <w:keepNext w:val="0"/>
              <w:keepLines w:val="0"/>
              <w:suppressLineNumbers w:val="0"/>
              <w:spacing w:before="0" w:beforeAutospacing="0" w:after="0" w:afterAutospacing="0"/>
              <w:ind w:left="0" w:right="0"/>
              <w:jc w:val="center"/>
              <w:rPr>
                <w:rFonts w:hint="default"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2B7B476F">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kern w:val="24"/>
                <w:sz w:val="24"/>
                <w:szCs w:val="24"/>
                <w:highlight w:val="none"/>
                <w:lang w:val="en-US" w:eastAsia="zh-CN"/>
              </w:rPr>
              <w:t>中南大学湘雅医院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0D7FACEE">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Times New Roman" w:eastAsia="仿宋_GB2312"/>
                <w:color w:val="auto"/>
                <w:sz w:val="24"/>
                <w:highlight w:val="none"/>
              </w:rPr>
              <w:t>对规范实施情况进行总结分析,不断对规范提出修正意见</w:t>
            </w:r>
          </w:p>
        </w:tc>
      </w:tr>
      <w:tr w14:paraId="59C1A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30EFA207">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杨波</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32F822F">
            <w:pPr>
              <w:keepNext w:val="0"/>
              <w:keepLines w:val="0"/>
              <w:suppressLineNumbers w:val="0"/>
              <w:spacing w:before="0" w:beforeAutospacing="0" w:after="0" w:afterAutospacing="0"/>
              <w:ind w:left="0" w:right="0"/>
              <w:jc w:val="center"/>
              <w:rPr>
                <w:rFonts w:hint="default"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6546FECC">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6CB6BFB4">
            <w:pPr>
              <w:keepNext w:val="0"/>
              <w:keepLines w:val="0"/>
              <w:suppressLineNumbers w:val="0"/>
              <w:spacing w:before="0" w:beforeAutospacing="0" w:after="0" w:afterAutospacing="0"/>
              <w:ind w:left="0" w:right="0"/>
              <w:jc w:val="center"/>
              <w:rPr>
                <w:rFonts w:hint="eastAsia" w:ascii="仿宋_GB2312" w:hAnsi="仿宋_GB2312"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kern w:val="24"/>
                <w:sz w:val="24"/>
                <w:szCs w:val="24"/>
                <w:highlight w:val="none"/>
                <w:lang w:val="en-US" w:eastAsia="zh-CN"/>
              </w:rPr>
              <w:t>重庆精神卫生中心</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0F2DA033">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Times New Roman" w:eastAsia="仿宋_GB2312"/>
                <w:color w:val="auto"/>
                <w:sz w:val="24"/>
                <w:highlight w:val="none"/>
              </w:rPr>
              <w:t>对规范实施情况进行总结分析,不断对规范提出修正意见</w:t>
            </w:r>
          </w:p>
        </w:tc>
      </w:tr>
      <w:tr w14:paraId="3CA4A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6628145E">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肖爱祥</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7BC30B66">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514E4C77">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40C05247">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kern w:val="24"/>
                <w:sz w:val="24"/>
                <w:szCs w:val="24"/>
                <w:highlight w:val="none"/>
                <w:lang w:val="en-US" w:eastAsia="zh-CN"/>
              </w:rPr>
              <w:t>广州医科大学附属脑科医院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2D5BCC03">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kern w:val="2"/>
                <w:sz w:val="24"/>
                <w:szCs w:val="24"/>
                <w:highlight w:val="none"/>
                <w:lang w:val="en-US" w:eastAsia="zh-CN" w:bidi="ar"/>
              </w:rPr>
            </w:pPr>
            <w:r>
              <w:rPr>
                <w:rFonts w:hint="eastAsia" w:ascii="仿宋_GB2312" w:hAnsi="Times New Roman" w:eastAsia="仿宋_GB2312"/>
                <w:color w:val="auto"/>
                <w:sz w:val="24"/>
                <w:highlight w:val="none"/>
              </w:rPr>
              <w:t>对规范实施情况进行总结分析,不断对规范提出修正意见</w:t>
            </w:r>
          </w:p>
        </w:tc>
      </w:tr>
      <w:tr w14:paraId="2A364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2C2AF7DC">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陈娟</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07738D5D">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副主任护师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7702E579">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452A581B">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kern w:val="24"/>
                <w:sz w:val="24"/>
                <w:szCs w:val="24"/>
                <w:highlight w:val="none"/>
                <w:lang w:val="en-US" w:eastAsia="zh-CN"/>
              </w:rPr>
              <w:t>安徽省精神卫生中心</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0482D51C">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kern w:val="2"/>
                <w:sz w:val="24"/>
                <w:szCs w:val="24"/>
                <w:highlight w:val="none"/>
                <w:lang w:val="en-US" w:eastAsia="zh-CN" w:bidi="ar-SA"/>
              </w:rPr>
            </w:pPr>
            <w:r>
              <w:rPr>
                <w:rFonts w:hint="eastAsia" w:ascii="仿宋_GB2312" w:hAnsi="Times New Roman" w:eastAsia="仿宋_GB2312"/>
                <w:color w:val="auto"/>
                <w:sz w:val="24"/>
                <w:highlight w:val="none"/>
              </w:rPr>
              <w:t>对规范实施情况进行总结分析,不断对规范提出修正意见</w:t>
            </w:r>
          </w:p>
        </w:tc>
      </w:tr>
      <w:tr w14:paraId="3429E6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4BECFC3E">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文丽</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482657FD">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副主任护师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264A86A7">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5C02A17A">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kern w:val="24"/>
                <w:sz w:val="24"/>
                <w:szCs w:val="24"/>
                <w:highlight w:val="none"/>
              </w:rPr>
              <w:t>武汉大学人民医院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4E3F3FAF">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Times New Roman" w:eastAsia="仿宋_GB2312"/>
                <w:color w:val="auto"/>
                <w:sz w:val="24"/>
                <w:highlight w:val="none"/>
              </w:rPr>
              <w:t>对规范实施情况进行总结分析,不断对规范提出修正意见</w:t>
            </w:r>
          </w:p>
        </w:tc>
      </w:tr>
      <w:tr w14:paraId="1DEA8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38853A56">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林美容</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B83EFCA">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17C717EF">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1A86207D">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kern w:val="24"/>
                <w:sz w:val="24"/>
                <w:szCs w:val="24"/>
                <w:highlight w:val="none"/>
                <w:lang w:val="en-US" w:eastAsia="zh-CN"/>
              </w:rPr>
              <w:t>厦门市仙岳医院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7E8A00C0">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Times New Roman" w:eastAsia="仿宋_GB2312"/>
                <w:color w:val="auto"/>
                <w:sz w:val="24"/>
                <w:highlight w:val="none"/>
              </w:rPr>
              <w:t>对规范实施情况进行总结分析,不断对规范提出修正意见</w:t>
            </w:r>
          </w:p>
        </w:tc>
      </w:tr>
      <w:tr w14:paraId="53EB15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562D05EC">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陈志祥</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67C0F29F">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副主任护师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7B3871CB">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527FC2B0">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kern w:val="24"/>
                <w:sz w:val="24"/>
                <w:szCs w:val="24"/>
                <w:highlight w:val="none"/>
                <w:lang w:val="en-US" w:eastAsia="zh-CN"/>
              </w:rPr>
              <w:t>云南省精神病院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7116F2D3">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Times New Roman" w:eastAsia="仿宋_GB2312"/>
                <w:color w:val="auto"/>
                <w:sz w:val="24"/>
                <w:highlight w:val="none"/>
              </w:rPr>
              <w:t>对规范实施情况进行总结分析,不断对规范提出修正意见</w:t>
            </w:r>
          </w:p>
        </w:tc>
      </w:tr>
      <w:tr w14:paraId="1DC4E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3D34478F">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王涌</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41ACD5DC">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副主任护师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3769573D">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67174D84">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kern w:val="24"/>
                <w:sz w:val="24"/>
                <w:szCs w:val="24"/>
                <w:highlight w:val="none"/>
              </w:rPr>
              <w:t>北京大学第六医院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7F7AF3A2">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Times New Roman" w:eastAsia="仿宋_GB2312"/>
                <w:color w:val="auto"/>
                <w:sz w:val="24"/>
                <w:highlight w:val="none"/>
              </w:rPr>
              <w:t>对规范实施情况进行总结分析,不断对规范提出修正意见</w:t>
            </w:r>
          </w:p>
        </w:tc>
      </w:tr>
      <w:tr w14:paraId="115FF5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68E4AA5E">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郑丹丹</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5B9D7B6F">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4A3E0710">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56BD69A3">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sz w:val="24"/>
                <w:szCs w:val="24"/>
                <w:highlight w:val="none"/>
                <w:lang w:eastAsia="zh-CN"/>
              </w:rPr>
              <w:t>南宁市第五人民医院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197091E9">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Times New Roman" w:eastAsia="仿宋_GB2312"/>
                <w:color w:val="auto"/>
                <w:sz w:val="24"/>
                <w:highlight w:val="none"/>
              </w:rPr>
              <w:t>对规范实施情况进行总结分析,不断对规范提出修正意见</w:t>
            </w:r>
          </w:p>
        </w:tc>
      </w:tr>
      <w:tr w14:paraId="348281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3D60768B">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许爱</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47A16ACC">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6010F8FB">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3171ACA9">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sz w:val="24"/>
                <w:szCs w:val="24"/>
                <w:highlight w:val="none"/>
                <w:lang w:eastAsia="zh-CN"/>
              </w:rPr>
              <w:t>广西壮族自治区人民医院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0150548C">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Times New Roman" w:eastAsia="仿宋_GB2312"/>
                <w:color w:val="auto"/>
                <w:sz w:val="24"/>
                <w:highlight w:val="none"/>
              </w:rPr>
              <w:t>对规范实施情况进行总结分析,不断对规范提出修正意见</w:t>
            </w:r>
          </w:p>
        </w:tc>
      </w:tr>
      <w:tr w14:paraId="3601AC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115AD0F0">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唐雪萍</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058F1BF4">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780D64DC">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0CA17E5B">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sz w:val="24"/>
                <w:szCs w:val="24"/>
                <w:highlight w:val="none"/>
                <w:lang w:eastAsia="zh-CN"/>
              </w:rPr>
              <w:t>河池市退役军人医院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2E5830E5">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Times New Roman" w:eastAsia="仿宋_GB2312"/>
                <w:color w:val="auto"/>
                <w:sz w:val="24"/>
                <w:highlight w:val="none"/>
              </w:rPr>
              <w:t>对规范实施情况进行总结分析,不断对规范提出修正意见</w:t>
            </w:r>
          </w:p>
        </w:tc>
      </w:tr>
      <w:tr w14:paraId="11FC78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33AB8A4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邓泽英</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074C6169">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副主任护师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44AD47F3">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6A2129A7">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sz w:val="24"/>
                <w:szCs w:val="24"/>
                <w:highlight w:val="none"/>
                <w:lang w:eastAsia="zh-CN"/>
              </w:rPr>
              <w:t>桂林市精神卫生中心</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795F8E91">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Times New Roman" w:eastAsia="仿宋_GB2312"/>
                <w:color w:val="auto"/>
                <w:sz w:val="24"/>
                <w:highlight w:val="none"/>
              </w:rPr>
              <w:t>对规范实施情况进行总结分析,不断对规范提出修正意见</w:t>
            </w:r>
          </w:p>
        </w:tc>
      </w:tr>
      <w:tr w14:paraId="425ED1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shd w:val="clear" w:color="auto" w:fill="auto"/>
            <w:vAlign w:val="center"/>
          </w:tcPr>
          <w:p w14:paraId="5FCFB660">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szCs w:val="24"/>
                <w:highlight w:val="none"/>
                <w:lang w:val="en-US" w:eastAsia="zh-CN" w:bidi="ar"/>
              </w:rPr>
            </w:pPr>
            <w:r>
              <w:rPr>
                <w:rFonts w:hint="eastAsia" w:ascii="仿宋_GB2312" w:hAnsi="Times New Roman" w:eastAsia="仿宋_GB2312" w:cs="Times New Roman"/>
                <w:color w:val="auto"/>
                <w:sz w:val="24"/>
                <w:highlight w:val="none"/>
                <w:lang w:val="en-US" w:eastAsia="zh-CN"/>
              </w:rPr>
              <w:t>黄妹青</w:t>
            </w:r>
          </w:p>
        </w:tc>
        <w:tc>
          <w:tcPr>
            <w:tcW w:w="1583" w:type="dxa"/>
            <w:tcBorders>
              <w:top w:val="single" w:color="auto" w:sz="4" w:space="0"/>
              <w:left w:val="single" w:color="auto" w:sz="4" w:space="0"/>
              <w:bottom w:val="single" w:color="auto" w:sz="4" w:space="0"/>
              <w:right w:val="single" w:color="auto" w:sz="4" w:space="0"/>
            </w:tcBorders>
            <w:shd w:val="clear" w:color="auto" w:fill="auto"/>
            <w:vAlign w:val="center"/>
          </w:tcPr>
          <w:p w14:paraId="07C83F05">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主任护师</w:t>
            </w:r>
          </w:p>
        </w:tc>
        <w:tc>
          <w:tcPr>
            <w:tcW w:w="1538" w:type="dxa"/>
            <w:tcBorders>
              <w:top w:val="single" w:color="auto" w:sz="4" w:space="0"/>
              <w:left w:val="single" w:color="auto" w:sz="4" w:space="0"/>
              <w:bottom w:val="single" w:color="auto" w:sz="4" w:space="0"/>
              <w:right w:val="single" w:color="auto" w:sz="4" w:space="0"/>
            </w:tcBorders>
            <w:shd w:val="clear" w:color="auto" w:fill="auto"/>
            <w:vAlign w:val="center"/>
          </w:tcPr>
          <w:p w14:paraId="22AB9AB6">
            <w:pPr>
              <w:keepNext w:val="0"/>
              <w:keepLines w:val="0"/>
              <w:suppressLineNumbers w:val="0"/>
              <w:spacing w:before="0" w:beforeAutospacing="0" w:after="0" w:afterAutospacing="0"/>
              <w:ind w:left="0" w:right="0"/>
              <w:jc w:val="center"/>
              <w:rPr>
                <w:rFonts w:hint="default" w:ascii="仿宋_GB2312" w:hAnsi="Calibri" w:eastAsia="仿宋_GB2312" w:cs="Calibri"/>
                <w:color w:val="auto"/>
                <w:kern w:val="2"/>
                <w:sz w:val="24"/>
                <w:szCs w:val="24"/>
                <w:highlight w:val="none"/>
                <w:lang w:val="en-US" w:eastAsia="zh-CN" w:bidi="ar-SA"/>
              </w:rPr>
            </w:pPr>
            <w:r>
              <w:rPr>
                <w:rFonts w:hint="eastAsia" w:ascii="仿宋_GB2312" w:hAnsi="Times New Roman" w:eastAsia="仿宋_GB2312"/>
                <w:color w:val="auto"/>
                <w:sz w:val="24"/>
                <w:highlight w:val="none"/>
                <w:lang w:val="en-US" w:eastAsia="zh-CN"/>
              </w:rPr>
              <w:t>护理学</w:t>
            </w:r>
          </w:p>
        </w:tc>
        <w:tc>
          <w:tcPr>
            <w:tcW w:w="2386" w:type="dxa"/>
            <w:tcBorders>
              <w:top w:val="single" w:color="auto" w:sz="4" w:space="0"/>
              <w:left w:val="single" w:color="auto" w:sz="4" w:space="0"/>
              <w:bottom w:val="single" w:color="auto" w:sz="4" w:space="0"/>
              <w:right w:val="single" w:color="auto" w:sz="4" w:space="0"/>
            </w:tcBorders>
            <w:shd w:val="clear" w:color="auto" w:fill="auto"/>
            <w:vAlign w:val="center"/>
          </w:tcPr>
          <w:p w14:paraId="0D8E96A6">
            <w:pPr>
              <w:keepNext w:val="0"/>
              <w:keepLines w:val="0"/>
              <w:suppressLineNumbers w:val="0"/>
              <w:spacing w:before="0" w:beforeAutospacing="0" w:after="0" w:afterAutospacing="0"/>
              <w:ind w:left="0" w:right="0"/>
              <w:jc w:val="center"/>
              <w:rPr>
                <w:rFonts w:hint="eastAsia" w:ascii="仿宋_GB2312" w:hAnsi="Calibri" w:eastAsia="仿宋_GB2312" w:cs="Calibri"/>
                <w:color w:val="auto"/>
                <w:kern w:val="2"/>
                <w:sz w:val="24"/>
                <w:szCs w:val="24"/>
                <w:highlight w:val="none"/>
                <w:lang w:val="en-US" w:eastAsia="zh-CN" w:bidi="ar-SA"/>
              </w:rPr>
            </w:pPr>
            <w:r>
              <w:rPr>
                <w:rFonts w:hint="eastAsia" w:ascii="仿宋_GB2312" w:hAnsi="仿宋_GB2312" w:eastAsia="仿宋_GB2312" w:cs="仿宋_GB2312"/>
                <w:b w:val="0"/>
                <w:bCs w:val="0"/>
                <w:color w:val="auto"/>
                <w:sz w:val="24"/>
                <w:szCs w:val="24"/>
                <w:highlight w:val="none"/>
                <w:lang w:eastAsia="zh-CN"/>
              </w:rPr>
              <w:t>百色市第二人民医院</w:t>
            </w:r>
          </w:p>
        </w:tc>
        <w:tc>
          <w:tcPr>
            <w:tcW w:w="2948" w:type="dxa"/>
            <w:tcBorders>
              <w:top w:val="single" w:color="auto" w:sz="4" w:space="0"/>
              <w:left w:val="single" w:color="auto" w:sz="4" w:space="0"/>
              <w:bottom w:val="single" w:color="auto" w:sz="4" w:space="0"/>
              <w:right w:val="single" w:color="auto" w:sz="4" w:space="0"/>
            </w:tcBorders>
            <w:shd w:val="clear" w:color="auto" w:fill="auto"/>
            <w:vAlign w:val="center"/>
          </w:tcPr>
          <w:p w14:paraId="17002E03">
            <w:pPr>
              <w:keepNext w:val="0"/>
              <w:keepLines w:val="0"/>
              <w:suppressLineNumbers w:val="0"/>
              <w:spacing w:before="0" w:beforeAutospacing="0" w:after="0" w:afterAutospacing="0"/>
              <w:ind w:left="0" w:right="0"/>
              <w:jc w:val="center"/>
              <w:rPr>
                <w:rFonts w:hint="eastAsia" w:ascii="仿宋_GB2312" w:hAnsi="仿宋_GB2312" w:eastAsia="仿宋_GB2312" w:cs="仿宋_GB2312"/>
                <w:color w:val="auto"/>
                <w:sz w:val="24"/>
                <w:highlight w:val="none"/>
                <w:lang w:bidi="ar"/>
              </w:rPr>
            </w:pPr>
            <w:r>
              <w:rPr>
                <w:rFonts w:hint="eastAsia" w:ascii="仿宋_GB2312" w:hAnsi="Times New Roman" w:eastAsia="仿宋_GB2312"/>
                <w:color w:val="auto"/>
                <w:sz w:val="24"/>
                <w:highlight w:val="none"/>
              </w:rPr>
              <w:t>对规范实施情况进行总结分析,不断对规范提出修正意见</w:t>
            </w:r>
          </w:p>
        </w:tc>
      </w:tr>
    </w:tbl>
    <w:p w14:paraId="0ABC08B2">
      <w:pPr>
        <w:spacing w:line="520" w:lineRule="exact"/>
        <w:ind w:firstLine="640" w:firstLineChars="200"/>
        <w:rPr>
          <w:rFonts w:ascii="黑体" w:eastAsia="黑体" w:cs="仿宋_GB2312"/>
          <w:color w:val="auto"/>
          <w:sz w:val="32"/>
          <w:szCs w:val="32"/>
          <w:highlight w:val="none"/>
        </w:rPr>
      </w:pPr>
      <w:r>
        <w:rPr>
          <w:rFonts w:hint="eastAsia" w:ascii="黑体" w:eastAsia="黑体" w:cs="仿宋_GB2312"/>
          <w:color w:val="auto"/>
          <w:sz w:val="32"/>
          <w:szCs w:val="32"/>
          <w:highlight w:val="none"/>
        </w:rPr>
        <w:t>二、制定标准的必要性和意义</w:t>
      </w:r>
    </w:p>
    <w:p w14:paraId="0230EDE3">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精神障碍是全球范围内导致疾病负担的重要原因之一，其发病率高、病程长、致残率高，给患者、家庭和社会带来沉重负担。住院治疗是精神障碍患者，尤其是重症患者的重要治疗手段。根据世界卫生组织（WHO）2022年发布的《世界精神卫生报告》，全球约10亿人患有精神障碍，其中抑郁症和焦虑症在新冠疫情期间增加了25%。国家卫健委2023年数据显示，我国精神障碍（精神疾病）总患病率高达16.6%，其中严重精神障碍患者约1600万，全国严重精神障碍登记在册患者达614.83万人，精神障碍导致的疾病负担已占我国非传染性疾病总负担的13%，且呈持续上升趋势。根据中国精神卫生调查（CMHS）数据，住院患者中精神分裂症谱系障碍占42.3%，双相情感障碍占18.7%，抑郁症占15.2%，其他精神障碍占23.8%。广西壮族自治区脑科医院每年收治的住院精神障碍患者病人数达2.5万人次以上。2023年广西精神卫生质量控制中心在精神医学专业关键质控指标分析报告显示，截至2023年底，广西共有精神医学编制床位为36168张、严重精神障碍报告患病率5.53‰、患者规范管理率95.16%、规律服药率89.29%、面访率95.62%、体检率75.29%。</w:t>
      </w:r>
    </w:p>
    <w:p w14:paraId="4052BAC3">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住院严重精神障碍高风险患者近几年有爆发式增长，已成为我国重大公共卫生问题。住院精神障碍患者经常发生冲动伤人、毁物、自伤、自杀、擅自离院等风险事件，若不加以有效防控，严重威胁患者及他人安全。国内外文献报道显示，精神科各类意外风险事件的发生率为20%～30%。住院精神障碍患者分级护理服务是精神专科医院患者管理的一个重要过程。</w:t>
      </w:r>
    </w:p>
    <w:p w14:paraId="78A7D4BB">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当前住院精神障碍患者护理面临诸多挑战。首先，精神障碍种类繁多，症状表现各异，即使是同一诊断，不同患者的病情严重程度、症状表现、治疗反应等也存在差异。其次，不同病情、不同治疗阶段的患者对护理的需求不同，例如，急性期患者可能需要更多的安全护理和症状管理，而康复期患者则更需要心理社会支持和康复训练。此外，传统的“一刀切”护理模式难以满足患者个体化需求，容易导致护理资源分配不均，部分患者得不到足够的护理，而部分患者则可能过度护理。最后，精神卫生资源相对匮乏，如何合理配置有限的护理资源，提高护理效率和质量，是当前面临的重要挑战。</w:t>
      </w:r>
    </w:p>
    <w:p w14:paraId="62595FA5">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住院精神障碍患者分级护理是指患者住院期间，医护人员根据患者病情和(或)自理能力进行评定而确定护理级别，并给予相应护理措施。实施分级护理能够满足患者个体化需求，根据不同患者的具体情况提供针对性的护理服务，提高护理的有效性和患者满意度。同时，分级护理可以优化资源配置，将有限的护理资源优先分配给病情更严重、护理需求更高的患者，提高资源利用效率。此外，分级护理还能够提高护理质量，通过制定标准化的护理流程和规范，确保护理服务的质量和安全。最后，分级护理可以促进患者康复，为患者提供更精准、更专业的护理服务，促进患者康复，缩短住院时间。</w:t>
      </w:r>
    </w:p>
    <w:p w14:paraId="739F5257">
      <w:pPr>
        <w:suppressAutoHyphens/>
        <w:spacing w:line="560" w:lineRule="exact"/>
        <w:ind w:firstLine="560" w:firstLineChars="20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当前，各医疗机构在住院精神障碍患者分级护理的具体级别划分、评估标准及护理措施上存在差异。为推进住院精神障碍患者分级护理服务的科学化、系统化与标准化，提升护理效果，保障患者安全，制定团体标准《</w:t>
      </w:r>
      <w:r>
        <w:rPr>
          <w:rFonts w:hint="eastAsia" w:ascii="仿宋_GB2312" w:hAnsi="仿宋_GB2312" w:eastAsia="仿宋_GB2312" w:cs="仿宋_GB2312"/>
          <w:color w:val="auto"/>
          <w:sz w:val="28"/>
          <w:szCs w:val="28"/>
          <w:highlight w:val="none"/>
          <w:lang w:eastAsia="zh-CN"/>
        </w:rPr>
        <w:t>住院精神障碍患者分级护理服务规范</w:t>
      </w:r>
      <w:r>
        <w:rPr>
          <w:rFonts w:hint="eastAsia" w:ascii="仿宋_GB2312" w:hAnsi="仿宋_GB2312" w:eastAsia="仿宋_GB2312" w:cs="仿宋_GB2312"/>
          <w:color w:val="auto"/>
          <w:sz w:val="28"/>
          <w:szCs w:val="28"/>
          <w:highlight w:val="none"/>
        </w:rPr>
        <w:t>》</w:t>
      </w:r>
      <w:r>
        <w:rPr>
          <w:rFonts w:hint="eastAsia" w:ascii="仿宋_GB2312" w:hAnsi="仿宋_GB2312" w:eastAsia="仿宋_GB2312" w:cs="仿宋_GB2312"/>
          <w:color w:val="auto"/>
          <w:sz w:val="28"/>
          <w:szCs w:val="28"/>
          <w:highlight w:val="none"/>
          <w:lang w:eastAsia="zh-CN"/>
        </w:rPr>
        <w:t>具有重要意义</w:t>
      </w:r>
      <w:r>
        <w:rPr>
          <w:rFonts w:hint="eastAsia" w:ascii="仿宋_GB2312" w:hAnsi="仿宋_GB2312" w:eastAsia="仿宋_GB2312" w:cs="仿宋_GB2312"/>
          <w:color w:val="auto"/>
          <w:sz w:val="28"/>
          <w:szCs w:val="28"/>
          <w:highlight w:val="none"/>
        </w:rPr>
        <w:t>。</w:t>
      </w:r>
    </w:p>
    <w:p w14:paraId="441B3EEE">
      <w:pPr>
        <w:autoSpaceDE w:val="0"/>
        <w:autoSpaceDN w:val="0"/>
        <w:adjustRightInd w:val="0"/>
        <w:spacing w:line="520" w:lineRule="exact"/>
        <w:ind w:firstLine="640" w:firstLineChars="200"/>
        <w:jc w:val="left"/>
        <w:rPr>
          <w:rFonts w:ascii="黑体" w:eastAsia="黑体" w:cs="仿宋_GB2312"/>
          <w:color w:val="auto"/>
          <w:sz w:val="32"/>
          <w:szCs w:val="32"/>
          <w:highlight w:val="none"/>
        </w:rPr>
      </w:pPr>
      <w:r>
        <w:rPr>
          <w:rFonts w:hint="eastAsia" w:ascii="黑体" w:eastAsia="黑体" w:cs="仿宋_GB2312"/>
          <w:color w:val="auto"/>
          <w:sz w:val="32"/>
          <w:szCs w:val="32"/>
          <w:highlight w:val="none"/>
        </w:rPr>
        <w:t>三、主要起草过程</w:t>
      </w:r>
    </w:p>
    <w:p w14:paraId="6449F9D0">
      <w:pPr>
        <w:spacing w:line="520" w:lineRule="exact"/>
        <w:ind w:firstLine="562" w:firstLineChars="200"/>
        <w:rPr>
          <w:rFonts w:ascii="仿宋_GB2312" w:eastAsia="仿宋_GB2312"/>
          <w:color w:val="auto"/>
          <w:sz w:val="28"/>
          <w:szCs w:val="28"/>
          <w:highlight w:val="none"/>
        </w:rPr>
      </w:pPr>
      <w:r>
        <w:rPr>
          <w:rFonts w:hint="eastAsia" w:ascii="仿宋_GB2312" w:eastAsia="仿宋_GB2312" w:cs="仿宋_GB2312"/>
          <w:b/>
          <w:color w:val="auto"/>
          <w:sz w:val="28"/>
          <w:szCs w:val="28"/>
          <w:highlight w:val="none"/>
        </w:rPr>
        <w:t>（一）成立标准编制工作组</w:t>
      </w:r>
    </w:p>
    <w:p w14:paraId="05019A1A">
      <w:pPr>
        <w:spacing w:line="520" w:lineRule="exact"/>
        <w:ind w:firstLine="560" w:firstLineChars="200"/>
        <w:jc w:val="left"/>
        <w:rPr>
          <w:rFonts w:ascii="仿宋_GB2312" w:eastAsia="仿宋_GB2312"/>
          <w:color w:val="auto"/>
          <w:sz w:val="28"/>
          <w:szCs w:val="28"/>
          <w:highlight w:val="none"/>
        </w:rPr>
      </w:pPr>
      <w:r>
        <w:rPr>
          <w:rFonts w:hint="eastAsia" w:ascii="仿宋_GB2312" w:hAnsi="宋体" w:eastAsia="仿宋_GB2312"/>
          <w:color w:val="auto"/>
          <w:sz w:val="28"/>
          <w:szCs w:val="28"/>
          <w:highlight w:val="none"/>
        </w:rPr>
        <w:t>团体标准</w:t>
      </w:r>
      <w:r>
        <w:rPr>
          <w:rFonts w:hint="eastAsia" w:ascii="仿宋_GB2312" w:eastAsia="仿宋_GB2312"/>
          <w:color w:val="auto"/>
          <w:sz w:val="28"/>
          <w:szCs w:val="28"/>
          <w:highlight w:val="none"/>
        </w:rPr>
        <w:t>《</w:t>
      </w:r>
      <w:r>
        <w:rPr>
          <w:rFonts w:hint="eastAsia" w:ascii="仿宋_GB2312" w:eastAsia="仿宋_GB2312"/>
          <w:color w:val="auto"/>
          <w:sz w:val="28"/>
          <w:szCs w:val="28"/>
          <w:highlight w:val="none"/>
          <w:lang w:eastAsia="zh-CN"/>
        </w:rPr>
        <w:t>住院精神障碍患者分级护理服务规范</w:t>
      </w:r>
      <w:r>
        <w:rPr>
          <w:rFonts w:hint="eastAsia" w:ascii="仿宋_GB2312" w:eastAsia="仿宋_GB2312"/>
          <w:color w:val="auto"/>
          <w:sz w:val="28"/>
          <w:szCs w:val="28"/>
          <w:highlight w:val="none"/>
        </w:rPr>
        <w:t>》项目任务下达后，由</w:t>
      </w:r>
      <w:r>
        <w:rPr>
          <w:rFonts w:hint="eastAsia" w:ascii="仿宋_GB2312" w:eastAsia="仿宋_GB2312"/>
          <w:color w:val="auto"/>
          <w:sz w:val="28"/>
          <w:szCs w:val="28"/>
          <w:highlight w:val="none"/>
          <w:lang w:eastAsia="zh-CN"/>
        </w:rPr>
        <w:t>广西壮族自治区脑科医院</w:t>
      </w:r>
      <w:r>
        <w:rPr>
          <w:rFonts w:hint="eastAsia" w:ascii="仿宋_GB2312" w:eastAsia="仿宋_GB2312"/>
          <w:color w:val="auto"/>
          <w:sz w:val="28"/>
          <w:szCs w:val="28"/>
          <w:highlight w:val="none"/>
        </w:rPr>
        <w:t>牵头组织成立了标准编制工作组，制定了起草编写方案与进度安排，明确任务职责，确定工作技术路线，开展标准研制工作。具体标准编制工作由起草单位相关人员配合完成。</w:t>
      </w:r>
    </w:p>
    <w:p w14:paraId="29817C63">
      <w:pPr>
        <w:spacing w:line="520" w:lineRule="exact"/>
        <w:ind w:firstLine="560" w:firstLineChars="200"/>
        <w:rPr>
          <w:rFonts w:ascii="仿宋_GB2312" w:eastAsia="仿宋_GB2312" w:cs="仿宋_GB2312"/>
          <w:color w:val="auto"/>
          <w:sz w:val="28"/>
          <w:szCs w:val="28"/>
          <w:highlight w:val="none"/>
        </w:rPr>
      </w:pPr>
      <w:r>
        <w:rPr>
          <w:rFonts w:hint="eastAsia" w:ascii="仿宋_GB2312" w:eastAsia="仿宋_GB2312"/>
          <w:color w:val="auto"/>
          <w:sz w:val="28"/>
          <w:szCs w:val="28"/>
          <w:highlight w:val="none"/>
        </w:rPr>
        <w:t>为了明确标准编制的任务职责，确定工作技术路线，开展标准研制工作。标准编制工作组下设二个组，分别是资料收集组、草案编写组。资料收集组负责国内外有关</w:t>
      </w:r>
      <w:r>
        <w:rPr>
          <w:rFonts w:hint="eastAsia" w:ascii="仿宋_GB2312" w:eastAsia="仿宋_GB2312"/>
          <w:color w:val="auto"/>
          <w:sz w:val="28"/>
          <w:szCs w:val="28"/>
          <w:highlight w:val="none"/>
          <w:lang w:eastAsia="zh-CN"/>
        </w:rPr>
        <w:t>住院精神障碍患者分级护理服务</w:t>
      </w:r>
      <w:r>
        <w:rPr>
          <w:rFonts w:hint="eastAsia" w:ascii="仿宋_GB2312" w:eastAsia="仿宋_GB2312"/>
          <w:color w:val="auto"/>
          <w:sz w:val="28"/>
          <w:szCs w:val="28"/>
          <w:highlight w:val="none"/>
        </w:rPr>
        <w:t>方面的文献资料的查询、收集和整理工作，查阅前期对</w:t>
      </w:r>
      <w:r>
        <w:rPr>
          <w:rFonts w:hint="eastAsia" w:ascii="仿宋_GB2312" w:eastAsia="仿宋_GB2312"/>
          <w:color w:val="auto"/>
          <w:sz w:val="28"/>
          <w:szCs w:val="28"/>
          <w:highlight w:val="none"/>
          <w:lang w:eastAsia="zh-CN"/>
        </w:rPr>
        <w:t>住院精神障碍患者分级护理服务</w:t>
      </w:r>
      <w:r>
        <w:rPr>
          <w:rFonts w:hint="eastAsia" w:ascii="仿宋_GB2312" w:eastAsia="仿宋_GB2312"/>
          <w:color w:val="auto"/>
          <w:sz w:val="28"/>
          <w:szCs w:val="28"/>
          <w:highlight w:val="none"/>
        </w:rPr>
        <w:t>方面的有关研究情况和目前科学界</w:t>
      </w:r>
      <w:r>
        <w:rPr>
          <w:rFonts w:hint="eastAsia" w:ascii="仿宋_GB2312" w:eastAsia="仿宋_GB2312"/>
          <w:color w:val="auto"/>
          <w:sz w:val="28"/>
          <w:szCs w:val="28"/>
          <w:highlight w:val="none"/>
          <w:lang w:eastAsia="zh-CN"/>
        </w:rPr>
        <w:t>住院精神障碍患者分级护理服务</w:t>
      </w:r>
      <w:r>
        <w:rPr>
          <w:rFonts w:hint="eastAsia" w:ascii="仿宋_GB2312" w:eastAsia="仿宋_GB2312"/>
          <w:color w:val="auto"/>
          <w:sz w:val="28"/>
          <w:szCs w:val="28"/>
          <w:highlight w:val="none"/>
        </w:rPr>
        <w:t>的研究进展；草案编写组负责起草标准草案及后续征求意见稿和标准编制说明、送审稿及编制说明等编写工作，包括后期召开征求意见会、网上征求意见，以及标准的不断修改和完善。</w:t>
      </w:r>
    </w:p>
    <w:p w14:paraId="678DAA7E">
      <w:pPr>
        <w:spacing w:line="520" w:lineRule="exact"/>
        <w:ind w:firstLine="562" w:firstLineChars="200"/>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（二）收集整理文献资料</w:t>
      </w:r>
    </w:p>
    <w:p w14:paraId="40D29D62">
      <w:pPr>
        <w:spacing w:line="520" w:lineRule="exact"/>
        <w:ind w:firstLine="560" w:firstLineChars="200"/>
        <w:rPr>
          <w:rFonts w:hint="eastAsia" w:ascii="仿宋_GB2312" w:eastAsia="仿宋_GB2312"/>
          <w:color w:val="auto"/>
          <w:sz w:val="28"/>
          <w:szCs w:val="28"/>
          <w:highlight w:val="none"/>
          <w:lang w:eastAsia="zh-CN"/>
        </w:rPr>
      </w:pPr>
      <w:r>
        <w:rPr>
          <w:rFonts w:hint="eastAsia" w:ascii="仿宋_GB2312" w:eastAsia="仿宋_GB2312"/>
          <w:color w:val="auto"/>
          <w:sz w:val="28"/>
          <w:szCs w:val="28"/>
          <w:highlight w:val="none"/>
          <w:lang w:eastAsia="zh-CN"/>
        </w:rPr>
        <w:t>标准编制工作组收集了国内有关住院精神障碍患者分级护理服务的相关文献资料。主要有：</w:t>
      </w:r>
    </w:p>
    <w:p w14:paraId="5A7AAFF8">
      <w:pPr>
        <w:spacing w:line="520" w:lineRule="exact"/>
        <w:ind w:firstLine="560" w:firstLineChars="20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[1]  综合医院分级护理指导原则（试行）（卫医政发〔2009〕49号）</w:t>
      </w:r>
    </w:p>
    <w:p w14:paraId="703DDFE9">
      <w:pPr>
        <w:spacing w:line="520" w:lineRule="exact"/>
        <w:ind w:firstLine="560" w:firstLineChars="20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[2]  赵靖平,施慎逊.中国精神分裂症防治指南[M].第2版.北京:中华医学电子音像出版社,2015.</w:t>
      </w:r>
    </w:p>
    <w:p w14:paraId="20C229D0">
      <w:pPr>
        <w:spacing w:line="520" w:lineRule="exact"/>
        <w:ind w:firstLine="560" w:firstLineChars="20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[3]  刘哲宁,杨芳宇,汪健健,等.精神科护理学[M].第5版.北京:人民卫生出版社,2022.</w:t>
      </w:r>
    </w:p>
    <w:p w14:paraId="19EE3DC5">
      <w:pPr>
        <w:spacing w:line="520" w:lineRule="exact"/>
        <w:ind w:firstLine="560" w:firstLineChars="20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[4]  BUTCHER H K, BULECHEK G M, DOCHTERMAN J M, et al., eds. Nursing Interventions Classification （NIC）. 7th ed. St. Louis, MO: Elsevier; 2018.</w:t>
      </w:r>
    </w:p>
    <w:p w14:paraId="7DFC3759">
      <w:pPr>
        <w:spacing w:line="520" w:lineRule="exact"/>
        <w:ind w:firstLine="560" w:firstLineChars="20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[5]  Katz S, Ford A B, Moskowitz R W, et al. Studies of illness in the aged: the index of ADL: a standardized measure of biological and psychosocial function[J]. jama, 1963, 185(12): 914-919.</w:t>
      </w:r>
    </w:p>
    <w:p w14:paraId="35C514CF">
      <w:pPr>
        <w:spacing w:line="520" w:lineRule="exact"/>
        <w:ind w:firstLine="560" w:firstLineChars="200"/>
        <w:rPr>
          <w:rFonts w:hint="eastAsia"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[6]  WS/T 431  护理分级标准</w:t>
      </w:r>
    </w:p>
    <w:p w14:paraId="7F228B15">
      <w:pPr>
        <w:spacing w:line="520" w:lineRule="exact"/>
        <w:ind w:firstLine="560" w:firstLineChars="200"/>
        <w:rPr>
          <w:rFonts w:hint="default" w:ascii="仿宋_GB2312" w:eastAsia="仿宋_GB2312"/>
          <w:color w:val="auto"/>
          <w:sz w:val="28"/>
          <w:szCs w:val="28"/>
          <w:highlight w:val="none"/>
          <w:lang w:val="en-US" w:eastAsia="zh-CN"/>
        </w:rPr>
      </w:pPr>
      <w:r>
        <w:rPr>
          <w:rFonts w:hint="eastAsia" w:ascii="仿宋_GB2312" w:eastAsia="仿宋_GB2312"/>
          <w:color w:val="auto"/>
          <w:sz w:val="28"/>
          <w:szCs w:val="28"/>
          <w:highlight w:val="none"/>
          <w:lang w:val="en-US" w:eastAsia="zh-CN"/>
        </w:rPr>
        <w:t>[7]  刘哲宁, 杨芳宇, 许冬梅. 精神科护理学[M]. 4版. 北京: 人民卫生出版社, 2017.</w:t>
      </w:r>
    </w:p>
    <w:p w14:paraId="1A0DDEC9">
      <w:pPr>
        <w:spacing w:line="520" w:lineRule="exact"/>
        <w:ind w:firstLine="562" w:firstLineChars="200"/>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（三）研讨确定标准主体内容及标准创新点</w:t>
      </w:r>
    </w:p>
    <w:p w14:paraId="2128798C">
      <w:pPr>
        <w:pStyle w:val="32"/>
        <w:keepNext w:val="0"/>
        <w:keepLines w:val="0"/>
        <w:pageBreakBefore w:val="0"/>
        <w:widowControl/>
        <w:kinsoku/>
        <w:wordWrap/>
        <w:overflowPunct/>
        <w:topLinePunct w:val="0"/>
        <w:autoSpaceDE w:val="0"/>
        <w:autoSpaceDN w:val="0"/>
        <w:bidi w:val="0"/>
        <w:adjustRightInd/>
        <w:snapToGrid/>
        <w:spacing w:before="0" w:beforeLines="0" w:after="0" w:afterLines="0"/>
        <w:ind w:firstLine="560"/>
        <w:jc w:val="both"/>
        <w:textAlignment w:val="auto"/>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标准编制工作组在对收集的资料进行整理研究之后，标准编制工作组召开了标准编制会议，对标准的整体框架结构进行了研究，并对标准的关键性内容进行了初步探讨。经过研究，标准的主体内容为</w:t>
      </w:r>
      <w:r>
        <w:rPr>
          <w:rFonts w:hint="eastAsia" w:ascii="仿宋_GB2312" w:hAnsi="仿宋_GB2312" w:eastAsia="仿宋_GB2312" w:cs="仿宋_GB2312"/>
          <w:color w:val="auto"/>
          <w:sz w:val="28"/>
          <w:szCs w:val="28"/>
          <w:highlight w:val="none"/>
          <w:lang w:eastAsia="zh-CN"/>
        </w:rPr>
        <w:t>住院精神障碍患者分级护理服务</w:t>
      </w:r>
      <w:r>
        <w:rPr>
          <w:rFonts w:hint="eastAsia" w:ascii="仿宋_GB2312" w:hAnsi="仿宋_GB2312" w:eastAsia="仿宋_GB2312" w:cs="仿宋_GB2312"/>
          <w:color w:val="auto"/>
          <w:sz w:val="28"/>
          <w:szCs w:val="28"/>
          <w:highlight w:val="none"/>
        </w:rPr>
        <w:t>的基本要求、护理分级、护理措施、服务评价与改进等。</w:t>
      </w:r>
    </w:p>
    <w:p w14:paraId="1779E2FB">
      <w:pPr>
        <w:pStyle w:val="32"/>
        <w:spacing w:before="0" w:beforeLines="0" w:after="0" w:afterLines="0"/>
        <w:ind w:firstLine="560"/>
        <w:jc w:val="both"/>
        <w:rPr>
          <w:rFonts w:hint="eastAsia" w:ascii="仿宋_GB2312" w:hAnsi="仿宋_GB2312" w:eastAsia="仿宋_GB2312" w:cs="仿宋_GB2312"/>
          <w:color w:val="auto"/>
          <w:sz w:val="28"/>
          <w:szCs w:val="28"/>
          <w:highlight w:val="none"/>
          <w:lang w:eastAsia="zh-CN"/>
        </w:rPr>
      </w:pPr>
      <w:r>
        <w:rPr>
          <w:rFonts w:hint="eastAsia" w:ascii="仿宋_GB2312" w:hAnsi="仿宋_GB2312" w:eastAsia="仿宋_GB2312" w:cs="仿宋_GB2312"/>
          <w:color w:val="auto"/>
          <w:sz w:val="28"/>
          <w:szCs w:val="28"/>
          <w:highlight w:val="none"/>
        </w:rPr>
        <w:t>本标准创新点主要为：</w:t>
      </w:r>
    </w:p>
    <w:p w14:paraId="17DDF2B6">
      <w:pPr>
        <w:pStyle w:val="32"/>
        <w:spacing w:before="0" w:beforeLines="0" w:after="0" w:afterLines="0"/>
        <w:ind w:firstLine="560"/>
        <w:jc w:val="both"/>
        <w:rPr>
          <w:rFonts w:hint="default" w:ascii="仿宋_GB2312" w:hAnsi="仿宋_GB2312" w:eastAsia="仿宋_GB2312" w:cs="仿宋_GB2312"/>
          <w:color w:val="auto"/>
          <w:sz w:val="28"/>
          <w:szCs w:val="28"/>
          <w:highlight w:val="none"/>
          <w:lang w:val="en-US" w:eastAsia="zh-CN"/>
        </w:rPr>
      </w:pPr>
      <w:r>
        <w:rPr>
          <w:rFonts w:hint="eastAsia" w:ascii="仿宋_GB2312" w:hAnsi="仿宋_GB2312" w:eastAsia="仿宋_GB2312" w:cs="仿宋_GB2312"/>
          <w:color w:val="auto"/>
          <w:sz w:val="28"/>
          <w:szCs w:val="28"/>
          <w:highlight w:val="none"/>
          <w:lang w:val="en-US" w:eastAsia="zh-CN"/>
        </w:rPr>
        <w:t xml:space="preserve">1. </w:t>
      </w:r>
      <w:r>
        <w:rPr>
          <w:rFonts w:hint="default" w:ascii="仿宋_GB2312" w:hAnsi="仿宋_GB2312" w:eastAsia="仿宋_GB2312" w:cs="仿宋_GB2312"/>
          <w:color w:val="auto"/>
          <w:sz w:val="28"/>
          <w:szCs w:val="28"/>
          <w:highlight w:val="none"/>
          <w:lang w:val="en-US" w:eastAsia="zh-CN"/>
        </w:rPr>
        <w:t>目前未查到住院精神障碍患者分级护理服务的相关标准，标准的制定将填补行业标准空白。</w:t>
      </w:r>
    </w:p>
    <w:p w14:paraId="16E78D5F">
      <w:pPr>
        <w:pStyle w:val="32"/>
        <w:spacing w:before="0" w:beforeLines="0" w:after="0" w:afterLines="0"/>
        <w:ind w:firstLine="560"/>
        <w:jc w:val="both"/>
        <w:rPr>
          <w:rFonts w:hint="eastAsia" w:ascii="仿宋_GB2312" w:hAnsi="仿宋_GB2312" w:eastAsia="仿宋_GB2312" w:cs="仿宋_GB2312"/>
          <w:color w:val="auto"/>
          <w:sz w:val="28"/>
          <w:szCs w:val="28"/>
          <w:highlight w:val="none"/>
          <w:lang w:val="en-US" w:eastAsia="zh-CN"/>
        </w:rPr>
      </w:pPr>
      <w:r>
        <w:rPr>
          <w:rFonts w:hint="eastAsia" w:ascii="仿宋_GB2312" w:hAnsi="仿宋_GB2312" w:eastAsia="仿宋_GB2312" w:cs="仿宋_GB2312"/>
          <w:color w:val="auto"/>
          <w:sz w:val="28"/>
          <w:szCs w:val="28"/>
          <w:highlight w:val="none"/>
          <w:lang w:val="en-US" w:eastAsia="zh-CN"/>
        </w:rPr>
        <w:t>2. 在自理能力评估工具的选择上，本标准创新性地采用Katz指数评定量表。与Barthel指数相比，Katz指数具有显著优势：它聚焦于进食、沐浴、更衣等6项基本生活活动，更符合精神科住院患者的实际生活场景；评估项目简洁明确，操作省时省力，能有效提高护士工作效率；其采用的字母等级评定结果直观清晰，便于快速判断患者的照护需求等级。</w:t>
      </w:r>
    </w:p>
    <w:p w14:paraId="41B1767A">
      <w:pPr>
        <w:pStyle w:val="32"/>
        <w:spacing w:before="0" w:beforeLines="0" w:after="0" w:afterLines="0"/>
        <w:ind w:firstLine="560"/>
        <w:jc w:val="both"/>
        <w:rPr>
          <w:rFonts w:hint="eastAsia" w:ascii="仿宋_GB2312" w:hAnsi="仿宋_GB2312" w:eastAsia="仿宋_GB2312" w:cs="仿宋_GB2312"/>
          <w:color w:val="auto"/>
          <w:sz w:val="28"/>
          <w:szCs w:val="28"/>
          <w:highlight w:val="none"/>
          <w:lang w:val="en-US" w:eastAsia="zh-CN"/>
        </w:rPr>
      </w:pPr>
      <w:r>
        <w:rPr>
          <w:rFonts w:hint="eastAsia" w:ascii="仿宋_GB2312" w:hAnsi="仿宋_GB2312" w:eastAsia="仿宋_GB2312" w:cs="仿宋_GB2312"/>
          <w:color w:val="auto"/>
          <w:sz w:val="28"/>
          <w:szCs w:val="28"/>
          <w:highlight w:val="none"/>
          <w:lang w:val="en-US" w:eastAsia="zh-CN"/>
        </w:rPr>
        <w:t>3. 根据精神障碍患者的病情和生活自理能力确定护理级别。依据患者病情和自理能力分为特级护理、一级护理、二级护理和三级护理。根据患者的病情和自理能力的变化动态调整患者的护理分级。明确护理分级依据和自理能力分级用表、护理级别标识等。</w:t>
      </w:r>
    </w:p>
    <w:p w14:paraId="19776EFE">
      <w:pPr>
        <w:pStyle w:val="32"/>
        <w:spacing w:before="0" w:beforeLines="0" w:after="0" w:afterLines="0"/>
        <w:ind w:firstLine="560"/>
        <w:jc w:val="both"/>
        <w:rPr>
          <w:rFonts w:hint="default" w:ascii="仿宋_GB2312" w:hAnsi="仿宋_GB2312" w:eastAsia="仿宋_GB2312" w:cs="仿宋_GB2312"/>
          <w:color w:val="auto"/>
          <w:sz w:val="28"/>
          <w:szCs w:val="28"/>
          <w:highlight w:val="none"/>
          <w:lang w:val="en-US" w:eastAsia="zh-CN"/>
        </w:rPr>
      </w:pPr>
      <w:r>
        <w:rPr>
          <w:rFonts w:hint="eastAsia" w:ascii="仿宋_GB2312" w:hAnsi="仿宋_GB2312" w:eastAsia="仿宋_GB2312" w:cs="仿宋_GB2312"/>
          <w:color w:val="auto"/>
          <w:sz w:val="28"/>
          <w:szCs w:val="28"/>
          <w:highlight w:val="none"/>
          <w:lang w:val="en-US" w:eastAsia="zh-CN"/>
        </w:rPr>
        <w:t>4. 根据精神障碍患者护理级别实施相应护理措施。明确了分级护理原则，临床护士应根据患者的护理分级和医师制订的诊疗计划，为患者提供护理服务，并应根据患者护理分级安排具备相应能力的护士。明确了特级护理、一级护理、二级护理和三级护理的护理服务项目及标准，包括病情观察、执行医嘱、基础护理、专科护理、护理巡视等。符合精神科特点，利于临床落实。</w:t>
      </w:r>
    </w:p>
    <w:p w14:paraId="53CB7ECF">
      <w:pPr>
        <w:spacing w:line="520" w:lineRule="exact"/>
        <w:ind w:firstLine="562" w:firstLineChars="200"/>
        <w:rPr>
          <w:rFonts w:hint="eastAsia" w:ascii="仿宋_GB2312" w:eastAsia="仿宋_GB2312" w:cs="仿宋_GB2312"/>
          <w:b/>
          <w:color w:val="auto"/>
          <w:sz w:val="28"/>
          <w:szCs w:val="28"/>
          <w:highlight w:val="none"/>
          <w:lang w:eastAsia="zh-CN"/>
        </w:rPr>
      </w:pPr>
      <w:r>
        <w:rPr>
          <w:rFonts w:hint="eastAsia" w:ascii="仿宋_GB2312" w:eastAsia="仿宋_GB2312" w:cs="仿宋_GB2312"/>
          <w:b/>
          <w:color w:val="auto"/>
          <w:sz w:val="28"/>
          <w:szCs w:val="28"/>
          <w:highlight w:val="none"/>
        </w:rPr>
        <w:t>（四）调研及形成草案、征求意见稿</w:t>
      </w:r>
    </w:p>
    <w:p w14:paraId="6B45C48F">
      <w:pPr>
        <w:spacing w:line="520" w:lineRule="exact"/>
        <w:ind w:firstLine="560" w:firstLineChars="200"/>
        <w:rPr>
          <w:rFonts w:hint="eastAsia" w:ascii="仿宋_GB2312" w:eastAsia="仿宋_GB2312"/>
          <w:color w:val="auto"/>
          <w:kern w:val="0"/>
          <w:sz w:val="28"/>
          <w:szCs w:val="28"/>
          <w:highlight w:val="none"/>
        </w:rPr>
      </w:pPr>
      <w:r>
        <w:rPr>
          <w:rFonts w:hint="eastAsia" w:ascii="仿宋_GB2312" w:eastAsia="仿宋_GB2312"/>
          <w:color w:val="auto"/>
          <w:kern w:val="0"/>
          <w:sz w:val="28"/>
          <w:szCs w:val="28"/>
          <w:highlight w:val="none"/>
        </w:rPr>
        <w:t>202</w:t>
      </w:r>
      <w:r>
        <w:rPr>
          <w:rFonts w:hint="eastAsia" w:ascii="仿宋_GB2312" w:eastAsia="仿宋_GB2312"/>
          <w:color w:val="auto"/>
          <w:kern w:val="0"/>
          <w:sz w:val="28"/>
          <w:szCs w:val="28"/>
          <w:highlight w:val="none"/>
          <w:lang w:val="en-US" w:eastAsia="zh-CN"/>
        </w:rPr>
        <w:t>5</w:t>
      </w:r>
      <w:r>
        <w:rPr>
          <w:rFonts w:hint="eastAsia" w:ascii="仿宋_GB2312" w:eastAsia="仿宋_GB2312"/>
          <w:color w:val="auto"/>
          <w:kern w:val="0"/>
          <w:sz w:val="28"/>
          <w:szCs w:val="28"/>
          <w:highlight w:val="none"/>
        </w:rPr>
        <w:t>年</w:t>
      </w:r>
      <w:r>
        <w:rPr>
          <w:rFonts w:hint="eastAsia" w:ascii="仿宋_GB2312" w:eastAsia="仿宋_GB2312"/>
          <w:color w:val="auto"/>
          <w:kern w:val="0"/>
          <w:sz w:val="28"/>
          <w:szCs w:val="28"/>
          <w:highlight w:val="none"/>
          <w:lang w:val="en-US" w:eastAsia="zh-CN"/>
        </w:rPr>
        <w:t>8</w:t>
      </w:r>
      <w:r>
        <w:rPr>
          <w:rFonts w:hint="eastAsia" w:ascii="仿宋_GB2312" w:eastAsia="仿宋_GB2312"/>
          <w:color w:val="auto"/>
          <w:kern w:val="0"/>
          <w:sz w:val="28"/>
          <w:szCs w:val="28"/>
          <w:highlight w:val="none"/>
        </w:rPr>
        <w:t>月，标准编制工作组查阅了大量的国内文献资料，对</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olor w:val="auto"/>
          <w:kern w:val="0"/>
          <w:sz w:val="28"/>
          <w:szCs w:val="28"/>
          <w:highlight w:val="none"/>
        </w:rPr>
        <w:t>相关的文件进行系统总结。形成了标准的基本构架，对主要内容进行了讨论并对项目的工作进行了部署和安排。</w:t>
      </w:r>
    </w:p>
    <w:p w14:paraId="2896F763">
      <w:pPr>
        <w:spacing w:line="520" w:lineRule="exact"/>
        <w:ind w:firstLine="560" w:firstLineChars="200"/>
        <w:rPr>
          <w:rFonts w:hint="eastAsia" w:ascii="仿宋_GB2312" w:eastAsia="仿宋_GB2312"/>
          <w:color w:val="auto"/>
          <w:kern w:val="0"/>
          <w:sz w:val="28"/>
          <w:szCs w:val="28"/>
          <w:highlight w:val="none"/>
        </w:rPr>
      </w:pPr>
      <w:r>
        <w:rPr>
          <w:rFonts w:hint="eastAsia" w:ascii="仿宋_GB2312" w:eastAsia="仿宋_GB2312"/>
          <w:color w:val="auto"/>
          <w:kern w:val="0"/>
          <w:sz w:val="28"/>
          <w:szCs w:val="28"/>
          <w:highlight w:val="none"/>
        </w:rPr>
        <w:t>202</w:t>
      </w:r>
      <w:r>
        <w:rPr>
          <w:rFonts w:hint="eastAsia" w:ascii="仿宋_GB2312" w:eastAsia="仿宋_GB2312"/>
          <w:color w:val="auto"/>
          <w:kern w:val="0"/>
          <w:sz w:val="28"/>
          <w:szCs w:val="28"/>
          <w:highlight w:val="none"/>
          <w:lang w:val="en-US" w:eastAsia="zh-CN"/>
        </w:rPr>
        <w:t>5</w:t>
      </w:r>
      <w:r>
        <w:rPr>
          <w:rFonts w:hint="eastAsia" w:ascii="仿宋_GB2312" w:eastAsia="仿宋_GB2312"/>
          <w:color w:val="auto"/>
          <w:kern w:val="0"/>
          <w:sz w:val="28"/>
          <w:szCs w:val="28"/>
          <w:highlight w:val="none"/>
        </w:rPr>
        <w:t>年</w:t>
      </w:r>
      <w:r>
        <w:rPr>
          <w:rFonts w:hint="eastAsia" w:ascii="仿宋_GB2312" w:eastAsia="仿宋_GB2312"/>
          <w:color w:val="auto"/>
          <w:kern w:val="0"/>
          <w:sz w:val="28"/>
          <w:szCs w:val="28"/>
          <w:highlight w:val="none"/>
          <w:lang w:val="en-US" w:eastAsia="zh-CN"/>
        </w:rPr>
        <w:t>11</w:t>
      </w:r>
      <w:r>
        <w:rPr>
          <w:rFonts w:hint="eastAsia" w:ascii="仿宋_GB2312" w:eastAsia="仿宋_GB2312"/>
          <w:color w:val="auto"/>
          <w:kern w:val="0"/>
          <w:sz w:val="28"/>
          <w:szCs w:val="28"/>
          <w:highlight w:val="none"/>
        </w:rPr>
        <w:t>月，团体标准《</w:t>
      </w:r>
      <w:r>
        <w:rPr>
          <w:rFonts w:hint="eastAsia" w:ascii="仿宋_GB2312" w:eastAsia="仿宋_GB2312"/>
          <w:color w:val="auto"/>
          <w:kern w:val="0"/>
          <w:sz w:val="28"/>
          <w:szCs w:val="28"/>
          <w:highlight w:val="none"/>
          <w:lang w:eastAsia="zh-CN"/>
        </w:rPr>
        <w:t>住院精神障碍患者分级护理服务规范</w:t>
      </w:r>
      <w:r>
        <w:rPr>
          <w:rFonts w:hint="eastAsia" w:ascii="仿宋_GB2312" w:eastAsia="仿宋_GB2312"/>
          <w:color w:val="auto"/>
          <w:kern w:val="0"/>
          <w:sz w:val="28"/>
          <w:szCs w:val="28"/>
          <w:highlight w:val="none"/>
        </w:rPr>
        <w:t>》获批立项，在前期工作的基础之上，通过理清逻辑脉络，整合已有参考资料中有关</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olor w:val="auto"/>
          <w:kern w:val="0"/>
          <w:sz w:val="28"/>
          <w:szCs w:val="28"/>
          <w:highlight w:val="none"/>
        </w:rPr>
        <w:t>的要求，并在目前</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olor w:val="auto"/>
          <w:kern w:val="0"/>
          <w:sz w:val="28"/>
          <w:szCs w:val="28"/>
          <w:highlight w:val="none"/>
        </w:rPr>
        <w:t>实际操作的基础上，按照简化、统一等原则编制完成团体标准《</w:t>
      </w:r>
      <w:r>
        <w:rPr>
          <w:rFonts w:hint="eastAsia" w:ascii="仿宋_GB2312" w:eastAsia="仿宋_GB2312"/>
          <w:color w:val="auto"/>
          <w:kern w:val="0"/>
          <w:sz w:val="28"/>
          <w:szCs w:val="28"/>
          <w:highlight w:val="none"/>
          <w:lang w:eastAsia="zh-CN"/>
        </w:rPr>
        <w:t>住院精神障碍患者分级护理服务规范</w:t>
      </w:r>
      <w:r>
        <w:rPr>
          <w:rFonts w:hint="eastAsia" w:ascii="仿宋_GB2312" w:eastAsia="仿宋_GB2312"/>
          <w:color w:val="auto"/>
          <w:kern w:val="0"/>
          <w:sz w:val="28"/>
          <w:szCs w:val="28"/>
          <w:highlight w:val="none"/>
        </w:rPr>
        <w:t>》（草案）。</w:t>
      </w:r>
    </w:p>
    <w:p w14:paraId="7E71AC25">
      <w:pPr>
        <w:spacing w:line="520" w:lineRule="exact"/>
        <w:ind w:firstLine="560" w:firstLineChars="200"/>
        <w:rPr>
          <w:rFonts w:ascii="仿宋_GB2312" w:eastAsia="仿宋_GB2312"/>
          <w:color w:val="auto"/>
          <w:kern w:val="0"/>
          <w:sz w:val="28"/>
          <w:szCs w:val="28"/>
          <w:highlight w:val="none"/>
        </w:rPr>
      </w:pPr>
      <w:r>
        <w:rPr>
          <w:rFonts w:hint="eastAsia" w:ascii="仿宋_GB2312" w:eastAsia="仿宋_GB2312"/>
          <w:color w:val="auto"/>
          <w:kern w:val="0"/>
          <w:sz w:val="28"/>
          <w:szCs w:val="28"/>
          <w:highlight w:val="none"/>
        </w:rPr>
        <w:t>202</w:t>
      </w:r>
      <w:r>
        <w:rPr>
          <w:rFonts w:hint="eastAsia" w:ascii="仿宋_GB2312" w:eastAsia="仿宋_GB2312"/>
          <w:color w:val="auto"/>
          <w:kern w:val="0"/>
          <w:sz w:val="28"/>
          <w:szCs w:val="28"/>
          <w:highlight w:val="none"/>
          <w:lang w:val="en-US" w:eastAsia="zh-CN"/>
        </w:rPr>
        <w:t>5</w:t>
      </w:r>
      <w:r>
        <w:rPr>
          <w:rFonts w:hint="eastAsia" w:ascii="仿宋_GB2312" w:eastAsia="仿宋_GB2312"/>
          <w:color w:val="auto"/>
          <w:kern w:val="0"/>
          <w:sz w:val="28"/>
          <w:szCs w:val="28"/>
          <w:highlight w:val="none"/>
        </w:rPr>
        <w:t>年</w:t>
      </w:r>
      <w:r>
        <w:rPr>
          <w:rFonts w:hint="eastAsia" w:ascii="仿宋_GB2312" w:eastAsia="仿宋_GB2312"/>
          <w:color w:val="auto"/>
          <w:kern w:val="0"/>
          <w:sz w:val="28"/>
          <w:szCs w:val="28"/>
          <w:highlight w:val="none"/>
          <w:lang w:val="en-US" w:eastAsia="zh-CN"/>
        </w:rPr>
        <w:t>11</w:t>
      </w:r>
      <w:r>
        <w:rPr>
          <w:rFonts w:hint="eastAsia" w:ascii="仿宋_GB2312" w:eastAsia="仿宋_GB2312"/>
          <w:color w:val="auto"/>
          <w:kern w:val="0"/>
          <w:sz w:val="28"/>
          <w:szCs w:val="28"/>
          <w:highlight w:val="none"/>
        </w:rPr>
        <w:t>月，标准编制工作组深入各地实施</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olor w:val="auto"/>
          <w:kern w:val="0"/>
          <w:sz w:val="28"/>
          <w:szCs w:val="28"/>
          <w:highlight w:val="none"/>
        </w:rPr>
        <w:t>的有代表性的医院，如广西壮族自治区脑科医院、北京回龙观医院、南京脑科医院、广西医科大学第二附属医院、中南大学湘雅医院、重庆精神卫生中心、广州医科大学附属脑科医院、安徽省精神卫生中心、武汉大学人民医院、厦门市仙岳医院、云南省精神病医院、北京大学第六医院、南宁市第五人民医院、广西壮族自治区人民医院、河池市退役军人医院、桂林市精神卫生中心、百色市第二人民医院等召开标准研讨会，收集反馈了大量意见，对标准草案进行了反复修改和研究讨论，掌握了</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olor w:val="auto"/>
          <w:kern w:val="0"/>
          <w:sz w:val="28"/>
          <w:szCs w:val="28"/>
          <w:highlight w:val="none"/>
        </w:rPr>
        <w:t>的基本情况以及要求，最终形成了团体标准《</w:t>
      </w:r>
      <w:r>
        <w:rPr>
          <w:rFonts w:hint="eastAsia" w:ascii="仿宋_GB2312" w:eastAsia="仿宋_GB2312"/>
          <w:color w:val="auto"/>
          <w:kern w:val="0"/>
          <w:sz w:val="28"/>
          <w:szCs w:val="28"/>
          <w:highlight w:val="none"/>
          <w:lang w:eastAsia="zh-CN"/>
        </w:rPr>
        <w:t>住院精神障碍患者分级护理服务规范</w:t>
      </w:r>
      <w:r>
        <w:rPr>
          <w:rFonts w:hint="eastAsia" w:ascii="仿宋_GB2312" w:eastAsia="仿宋_GB2312"/>
          <w:color w:val="auto"/>
          <w:kern w:val="0"/>
          <w:sz w:val="28"/>
          <w:szCs w:val="28"/>
          <w:highlight w:val="none"/>
        </w:rPr>
        <w:t>》（征求意见稿）及其编制说明。</w:t>
      </w:r>
    </w:p>
    <w:p w14:paraId="3026C158">
      <w:pPr>
        <w:autoSpaceDE w:val="0"/>
        <w:autoSpaceDN w:val="0"/>
        <w:adjustRightInd w:val="0"/>
        <w:spacing w:line="520" w:lineRule="exact"/>
        <w:ind w:firstLine="640" w:firstLineChars="200"/>
        <w:jc w:val="left"/>
        <w:rPr>
          <w:rFonts w:ascii="黑体" w:eastAsia="黑体" w:cs="仿宋_GB2312"/>
          <w:color w:val="auto"/>
          <w:sz w:val="32"/>
          <w:szCs w:val="32"/>
          <w:highlight w:val="none"/>
        </w:rPr>
      </w:pPr>
      <w:r>
        <w:rPr>
          <w:rFonts w:hint="eastAsia" w:ascii="黑体" w:eastAsia="黑体" w:cs="仿宋_GB2312"/>
          <w:color w:val="auto"/>
          <w:sz w:val="32"/>
          <w:szCs w:val="32"/>
          <w:highlight w:val="none"/>
        </w:rPr>
        <w:t>四、制定标准的原则和依据，与现行法律、法规的关系，与有关国家标准、行业标准的协调情况</w:t>
      </w:r>
    </w:p>
    <w:p w14:paraId="59D42203">
      <w:pPr>
        <w:widowControl/>
        <w:tabs>
          <w:tab w:val="center" w:pos="4201"/>
          <w:tab w:val="right" w:leader="dot" w:pos="9298"/>
        </w:tabs>
        <w:autoSpaceDE w:val="0"/>
        <w:autoSpaceDN w:val="0"/>
        <w:spacing w:line="520" w:lineRule="exact"/>
        <w:ind w:firstLine="562" w:firstLineChars="200"/>
        <w:outlineLvl w:val="1"/>
        <w:rPr>
          <w:rFonts w:ascii="仿宋_GB2312" w:eastAsia="仿宋_GB2312"/>
          <w:b/>
          <w:bCs/>
          <w:color w:val="auto"/>
          <w:kern w:val="0"/>
          <w:sz w:val="28"/>
          <w:szCs w:val="28"/>
          <w:highlight w:val="none"/>
        </w:rPr>
      </w:pPr>
      <w:r>
        <w:rPr>
          <w:rFonts w:hint="eastAsia" w:ascii="仿宋_GB2312" w:eastAsia="仿宋_GB2312"/>
          <w:b/>
          <w:bCs/>
          <w:color w:val="auto"/>
          <w:kern w:val="0"/>
          <w:sz w:val="28"/>
          <w:szCs w:val="28"/>
          <w:highlight w:val="none"/>
        </w:rPr>
        <w:t>（一）编制原则</w:t>
      </w:r>
    </w:p>
    <w:p w14:paraId="3A29AD26">
      <w:pPr>
        <w:spacing w:line="52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1、实用性原则</w:t>
      </w:r>
    </w:p>
    <w:p w14:paraId="6BE45F65">
      <w:pPr>
        <w:spacing w:line="520" w:lineRule="exact"/>
        <w:ind w:firstLine="560" w:firstLineChars="20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本标准是在充分收集国内外相关资料和文献、调研分析</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s="仿宋"/>
          <w:color w:val="auto"/>
          <w:sz w:val="28"/>
          <w:szCs w:val="28"/>
          <w:highlight w:val="none"/>
        </w:rPr>
        <w:t>现状，结合起草单位前期研究工作取得的研究成果及积累的</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s="仿宋"/>
          <w:color w:val="auto"/>
          <w:sz w:val="28"/>
          <w:szCs w:val="28"/>
          <w:highlight w:val="none"/>
        </w:rPr>
        <w:t>实践经验，并借鉴国内</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s="仿宋"/>
          <w:color w:val="auto"/>
          <w:sz w:val="28"/>
          <w:szCs w:val="28"/>
          <w:highlight w:val="none"/>
        </w:rPr>
        <w:t>进行总结起草的，符合工作实际，利于</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s="仿宋"/>
          <w:color w:val="auto"/>
          <w:sz w:val="28"/>
          <w:szCs w:val="28"/>
          <w:highlight w:val="none"/>
        </w:rPr>
        <w:t>的实施与推广，具有可操作性和实用性。</w:t>
      </w:r>
    </w:p>
    <w:p w14:paraId="332CA8AB">
      <w:pPr>
        <w:spacing w:line="52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2、协调性原则</w:t>
      </w:r>
    </w:p>
    <w:p w14:paraId="534F6F14">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本文件编写过程中注意了与</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olor w:val="auto"/>
          <w:sz w:val="28"/>
          <w:szCs w:val="28"/>
          <w:highlight w:val="none"/>
        </w:rPr>
        <w:t>相关法律法规的协调问题，在内容上与现行法律法规、标准协调一致。</w:t>
      </w:r>
    </w:p>
    <w:p w14:paraId="29652CA1">
      <w:pPr>
        <w:spacing w:line="52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3、规范性原则</w:t>
      </w:r>
    </w:p>
    <w:p w14:paraId="296DF894">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本文件严格按照GB/T 1.1—2020《标准化工作导则  第1部分：标准化文件的结构和起草规则》编写本标准的内容，保证标准的编写质量。</w:t>
      </w:r>
    </w:p>
    <w:p w14:paraId="7AE6024E">
      <w:pPr>
        <w:spacing w:line="52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4、前瞻性原则</w:t>
      </w:r>
    </w:p>
    <w:p w14:paraId="64F3618C">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本文件在兼顾当前区内</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olor w:val="auto"/>
          <w:sz w:val="28"/>
          <w:szCs w:val="28"/>
          <w:highlight w:val="none"/>
        </w:rPr>
        <w:t>现实情况的同时，还考虑到了</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olor w:val="auto"/>
          <w:sz w:val="28"/>
          <w:szCs w:val="28"/>
          <w:highlight w:val="none"/>
        </w:rPr>
        <w:t>的需要，在标准中体现了个别特色性、前瞻性和先进性条款，作为对</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olor w:val="auto"/>
          <w:sz w:val="28"/>
          <w:szCs w:val="28"/>
          <w:highlight w:val="none"/>
        </w:rPr>
        <w:t>发展的指导。</w:t>
      </w:r>
    </w:p>
    <w:p w14:paraId="67F21166">
      <w:pPr>
        <w:spacing w:line="520" w:lineRule="exact"/>
        <w:ind w:firstLine="562" w:firstLineChars="200"/>
        <w:rPr>
          <w:rFonts w:ascii="仿宋_GB2312" w:eastAsia="仿宋_GB2312"/>
          <w:b/>
          <w:bCs/>
          <w:color w:val="auto"/>
          <w:sz w:val="28"/>
          <w:szCs w:val="28"/>
          <w:highlight w:val="none"/>
        </w:rPr>
      </w:pPr>
      <w:r>
        <w:rPr>
          <w:rFonts w:hint="eastAsia" w:ascii="仿宋_GB2312" w:eastAsia="仿宋_GB2312"/>
          <w:b/>
          <w:bCs/>
          <w:color w:val="auto"/>
          <w:sz w:val="28"/>
          <w:szCs w:val="28"/>
          <w:highlight w:val="none"/>
        </w:rPr>
        <w:t>（二）编制依据</w:t>
      </w:r>
    </w:p>
    <w:p w14:paraId="4C925237">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本标准严格按照GB/T 1.1—2020《标准化工作导则  第1部分：标准化文件的结构和起草规则》的规则起草，标准主要内容依据起草单位在</w:t>
      </w:r>
      <w:r>
        <w:rPr>
          <w:rFonts w:hint="eastAsia" w:ascii="仿宋_GB2312" w:eastAsia="仿宋_GB2312"/>
          <w:color w:val="auto"/>
          <w:kern w:val="0"/>
          <w:sz w:val="28"/>
          <w:szCs w:val="28"/>
          <w:highlight w:val="none"/>
          <w:lang w:eastAsia="zh-CN"/>
        </w:rPr>
        <w:t>住院精神障碍患者分级护理服务</w:t>
      </w:r>
      <w:r>
        <w:rPr>
          <w:rFonts w:hint="eastAsia" w:ascii="仿宋_GB2312" w:eastAsia="仿宋_GB2312"/>
          <w:color w:val="auto"/>
          <w:sz w:val="28"/>
          <w:szCs w:val="28"/>
          <w:highlight w:val="none"/>
        </w:rPr>
        <w:t>研究应用过程中的实践经验确定。</w:t>
      </w:r>
    </w:p>
    <w:p w14:paraId="2468F1DB">
      <w:pPr>
        <w:spacing w:line="520" w:lineRule="exact"/>
        <w:ind w:firstLine="562" w:firstLineChars="200"/>
        <w:rPr>
          <w:rFonts w:ascii="仿宋_GB2312" w:eastAsia="仿宋_GB2312"/>
          <w:b/>
          <w:bCs/>
          <w:color w:val="auto"/>
          <w:sz w:val="28"/>
          <w:szCs w:val="28"/>
          <w:highlight w:val="none"/>
        </w:rPr>
      </w:pPr>
      <w:r>
        <w:rPr>
          <w:rFonts w:hint="eastAsia" w:ascii="仿宋_GB2312" w:eastAsia="仿宋_GB2312"/>
          <w:b/>
          <w:bCs/>
          <w:color w:val="auto"/>
          <w:sz w:val="28"/>
          <w:szCs w:val="28"/>
          <w:highlight w:val="none"/>
        </w:rPr>
        <w:t>（三）与现行法律、法规的关系，与有关国家标准、行业标准的协调情况</w:t>
      </w:r>
    </w:p>
    <w:p w14:paraId="5996A6B7">
      <w:pPr>
        <w:adjustRightInd w:val="0"/>
        <w:snapToGrid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经查新，截至目前，国内未见《住院精神障碍患者分级护理服务规范》相关的国家标准、行业标准、地方标准。与“住院精神障碍患者 护理”“精神病 护理”“分级 护理”相关的标准有：</w:t>
      </w:r>
    </w:p>
    <w:p w14:paraId="54FFF0CB">
      <w:pPr>
        <w:adjustRightInd w:val="0"/>
        <w:snapToGrid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广西地方标准《精神病专科护理服务规范》（立项编号：2023-1361），规定了精神病专科护理服务规范的人员资质、病区管理、患者管理及专科护理等要求。适用于广西壮族自治区行政区域内医疗机构开展精神病专科护理服务。该标准未对住院精神障碍患者的对应分级提出护理要求，与本标准针对住院精神障碍患者不同护理级别进行标识和护理不同，标准内容存在差异。</w:t>
      </w:r>
    </w:p>
    <w:p w14:paraId="3D3B0A48">
      <w:pPr>
        <w:adjustRightInd w:val="0"/>
        <w:snapToGrid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WS/T 431—2023《护理分级标准》提出了医院住院患者护理分级的方法和依据。适用于各级综合医院。在护理分级依据中的内容多是基于综合医院的常见躯体疾病严重程度、创伤程度、手术等级等进行病情分级，而本文件适用于精神专科医院对住院精神障碍患者护理分级。两者针对的工作场所不一致。</w:t>
      </w:r>
    </w:p>
    <w:p w14:paraId="07626EA7">
      <w:pPr>
        <w:adjustRightInd w:val="0"/>
        <w:snapToGrid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DB52/T 1454-2019 《精神病专科护理服务基本规范》提出了精神病专科护理服务基本规范的术语和定义、病区安全管理、患者安全管理、专科护理服务。适用于贵州省二级及以上精神专科医院。而本文件适用于广西精神专科医院对住院精神障碍患者护理分级。两者的工作内容不一致。</w:t>
      </w:r>
    </w:p>
    <w:p w14:paraId="476814E9">
      <w:pPr>
        <w:adjustRightInd w:val="0"/>
        <w:snapToGrid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DB43/T 1795-2020《养老机构分级护理服务规范》、DB37/T 4401-2021《养老机构分级护理服务规范》、DB52/T1680-2022《养老机构分级护理服务规范》、DB 64/T 1841-2022《养老机构分级护理服务规范》、DB33/T 2267-2020《养老机构护理分级与服务规范》、DB31/T 794-2014《老年护理院分级护理要求》等，这些标准规定了养老机构分级护理服务的基本要求、管理要求、服务内容及要求、评价与持续改进等方面的要求，适用于养老机构分级护理服务。上述标准与本标准的分级护理对象不同，分级护理内容也存在差异。</w:t>
      </w:r>
    </w:p>
    <w:p w14:paraId="68132569">
      <w:pPr>
        <w:adjustRightInd w:val="0"/>
        <w:snapToGrid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DB13/T 5307-2020《分级护理质量规范》提出了医院分级护理质量规范的术语和定义、护理分级、内容及要求等，适用于各级综合医院。该标准是广域的分级护理，未针对住院精神障碍患者的分级和护理提出要求，而本文件适用于精神专科医院对住院精神障碍患者护理分级。两者针对的工作场所和内容存在差异。</w:t>
      </w:r>
    </w:p>
    <w:p w14:paraId="11439353">
      <w:pPr>
        <w:adjustRightInd w:val="0"/>
        <w:snapToGrid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DB4209/T15-2018《精神障碍患者住院期间常见护理风险评估服务规范》提出了医疗机构精神科住院患者常见护理风险评估的评估指标、评估实施、评估结果、质量评价与改进。适用于各级精神专科医院及综合医院精神科开展常见护理风险评估服务。而本文件适用于精神专科医院对住院精神障碍患者护理分级。两者针对的工作内容不一致。</w:t>
      </w:r>
    </w:p>
    <w:p w14:paraId="13432A6C">
      <w:pPr>
        <w:adjustRightInd w:val="0"/>
        <w:snapToGrid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DB22/T 3257-2021《精神分裂症护理服务规范》规定了精神分裂症护理服务的安全管理、评估、分级护理和护理评价，适用于精神分裂症患者护理服务。该标准所述针对的对象是精神分裂症患者，和本标准所述对象精神障碍患者在症状、分级和护理上均存在差异。</w:t>
      </w:r>
    </w:p>
    <w:p w14:paraId="7D433766">
      <w:pPr>
        <w:adjustRightInd w:val="0"/>
        <w:snapToGrid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综上所述，检索数据范围内未见与本项目关键词完全符合的标准。所查到的其他国家标准、行业标准、地方标准和团体标准均未全部涉及住院精神障碍患者分级护理服务规范的内容和要求。因此，制定团体标准《住院精神障碍患者分级护理服务规范》将填补住院精神障碍患者分级护理的标准空白，为精神专科医院护理人员提供标准指导，提高工作效率，减少医患纠纷，提高患者生存质量，促进精神专科医院分级护理制度的落实。</w:t>
      </w:r>
    </w:p>
    <w:p w14:paraId="58A54127">
      <w:pPr>
        <w:adjustRightInd w:val="0"/>
        <w:snapToGrid w:val="0"/>
        <w:spacing w:line="520" w:lineRule="exact"/>
        <w:ind w:firstLine="560" w:firstLineChars="200"/>
        <w:rPr>
          <w:rFonts w:hint="eastAsia" w:ascii="仿宋_GB2312" w:eastAsia="仿宋_GB2312"/>
          <w:color w:val="auto"/>
          <w:sz w:val="28"/>
          <w:szCs w:val="28"/>
          <w:highlight w:val="none"/>
        </w:rPr>
      </w:pPr>
      <w:r>
        <w:rPr>
          <w:rFonts w:hint="eastAsia" w:ascii="仿宋_GB2312" w:eastAsia="仿宋_GB2312"/>
          <w:color w:val="auto"/>
          <w:sz w:val="28"/>
          <w:szCs w:val="28"/>
          <w:highlight w:val="none"/>
        </w:rPr>
        <w:t>当前未制定有团体标准《住院精神障碍患者分级护理服务规范》。</w:t>
      </w:r>
    </w:p>
    <w:p w14:paraId="3686C018">
      <w:pPr>
        <w:adjustRightInd w:val="0"/>
        <w:snapToGrid w:val="0"/>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本标准的内容与现行的法律、法规及强制性标准无冲突，标准的编写符合GB/T 1.1—2020的要求。</w:t>
      </w:r>
    </w:p>
    <w:p w14:paraId="6A84321B">
      <w:pPr>
        <w:spacing w:before="240" w:after="60" w:line="520" w:lineRule="exact"/>
        <w:ind w:firstLine="640" w:firstLineChars="200"/>
        <w:jc w:val="left"/>
        <w:outlineLvl w:val="0"/>
        <w:rPr>
          <w:rFonts w:ascii="仿宋_GB2312" w:eastAsia="仿宋_GB2312" w:cs="仿宋"/>
          <w:bCs/>
          <w:color w:val="auto"/>
          <w:sz w:val="28"/>
          <w:szCs w:val="28"/>
          <w:highlight w:val="none"/>
        </w:rPr>
      </w:pPr>
      <w:r>
        <w:rPr>
          <w:rFonts w:hint="eastAsia" w:ascii="黑体" w:eastAsia="黑体"/>
          <w:bCs/>
          <w:color w:val="auto"/>
          <w:sz w:val="32"/>
          <w:szCs w:val="32"/>
          <w:highlight w:val="none"/>
        </w:rPr>
        <w:t>五、主要条款的说明</w:t>
      </w:r>
    </w:p>
    <w:p w14:paraId="6C832A65">
      <w:pPr>
        <w:pStyle w:val="32"/>
        <w:spacing w:before="0" w:beforeLines="0" w:after="0" w:afterLines="0"/>
        <w:ind w:firstLine="562"/>
        <w:jc w:val="both"/>
        <w:rPr>
          <w:rFonts w:hint="eastAsia" w:ascii="仿宋_GB2312" w:hAnsi="仿宋_GB2312" w:eastAsia="仿宋_GB2312" w:cs="仿宋_GB2312"/>
          <w:b/>
          <w:bCs w:val="0"/>
          <w:color w:val="auto"/>
          <w:sz w:val="28"/>
          <w:szCs w:val="28"/>
          <w:highlight w:val="none"/>
        </w:rPr>
      </w:pPr>
      <w:r>
        <w:rPr>
          <w:rFonts w:hint="eastAsia" w:ascii="仿宋_GB2312" w:hAnsi="仿宋_GB2312" w:eastAsia="仿宋_GB2312" w:cs="仿宋_GB2312"/>
          <w:b/>
          <w:bCs w:val="0"/>
          <w:color w:val="auto"/>
          <w:sz w:val="28"/>
          <w:szCs w:val="28"/>
          <w:highlight w:val="none"/>
        </w:rPr>
        <w:t>（一）术语和定义</w:t>
      </w:r>
    </w:p>
    <w:p w14:paraId="5C57F25F">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default" w:ascii="仿宋_GB2312" w:hAnsi="仿宋_GB2312" w:eastAsia="仿宋_GB2312" w:cs="仿宋_GB2312"/>
          <w:b w:val="0"/>
          <w:bCs/>
          <w:color w:val="auto"/>
          <w:sz w:val="28"/>
          <w:szCs w:val="28"/>
          <w:highlight w:val="none"/>
          <w:lang w:val="en-US" w:eastAsia="zh-CN"/>
        </w:rPr>
        <w:t>WS/T 431-2023</w:t>
      </w:r>
      <w:r>
        <w:rPr>
          <w:rFonts w:hint="eastAsia" w:ascii="仿宋_GB2312" w:hAnsi="仿宋_GB2312" w:eastAsia="仿宋_GB2312" w:cs="仿宋_GB2312"/>
          <w:b w:val="0"/>
          <w:bCs/>
          <w:color w:val="auto"/>
          <w:sz w:val="28"/>
          <w:szCs w:val="28"/>
          <w:highlight w:val="none"/>
          <w:lang w:val="en-US" w:eastAsia="zh-CN"/>
        </w:rPr>
        <w:t>《护理分级标准》</w:t>
      </w:r>
      <w:r>
        <w:rPr>
          <w:rFonts w:hint="default" w:ascii="仿宋_GB2312" w:hAnsi="仿宋_GB2312" w:eastAsia="仿宋_GB2312" w:cs="仿宋_GB2312"/>
          <w:b w:val="0"/>
          <w:bCs/>
          <w:color w:val="auto"/>
          <w:sz w:val="28"/>
          <w:szCs w:val="28"/>
          <w:highlight w:val="none"/>
          <w:lang w:val="en-US" w:eastAsia="zh-CN"/>
        </w:rPr>
        <w:t>界定的术语和定义适用于本文件。</w:t>
      </w:r>
    </w:p>
    <w:p w14:paraId="2A445D48">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3721100" cy="2454275"/>
            <wp:effectExtent l="9525" t="9525" r="22225" b="1270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5"/>
                    <a:stretch>
                      <a:fillRect/>
                    </a:stretch>
                  </pic:blipFill>
                  <pic:spPr>
                    <a:xfrm>
                      <a:off x="0" y="0"/>
                      <a:ext cx="3721100" cy="2454275"/>
                    </a:xfrm>
                    <a:prstGeom prst="rect">
                      <a:avLst/>
                    </a:prstGeom>
                    <a:noFill/>
                    <a:ln>
                      <a:solidFill>
                        <a:schemeClr val="tx1"/>
                      </a:solidFill>
                    </a:ln>
                  </pic:spPr>
                </pic:pic>
              </a:graphicData>
            </a:graphic>
          </wp:inline>
        </w:drawing>
      </w:r>
    </w:p>
    <w:p w14:paraId="2C86959B">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eastAsia="黑体"/>
          <w:color w:val="auto"/>
          <w:highlight w:val="none"/>
          <w:lang w:val="en-US" w:eastAsia="zh-CN"/>
        </w:rPr>
      </w:pPr>
      <w:r>
        <w:rPr>
          <w:rFonts w:hint="eastAsia"/>
          <w:color w:val="auto"/>
          <w:highlight w:val="none"/>
          <w:lang w:eastAsia="zh-CN"/>
        </w:rPr>
        <w:t>来源：WS/T 431-2023《护理分级标准》</w:t>
      </w:r>
    </w:p>
    <w:p w14:paraId="75C646BC">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default" w:ascii="仿宋_GB2312" w:hAnsi="仿宋_GB2312" w:eastAsia="仿宋_GB2312" w:cs="仿宋_GB2312"/>
          <w:b/>
          <w:bCs w:val="0"/>
          <w:color w:val="auto"/>
          <w:sz w:val="28"/>
          <w:szCs w:val="28"/>
          <w:highlight w:val="none"/>
          <w:lang w:val="en-US" w:eastAsia="zh-CN"/>
        </w:rPr>
        <w:t>精神障碍  mental disorders</w:t>
      </w:r>
    </w:p>
    <w:p w14:paraId="5EBC929E">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default" w:ascii="仿宋_GB2312" w:hAnsi="仿宋_GB2312" w:eastAsia="仿宋_GB2312" w:cs="仿宋_GB2312"/>
          <w:b w:val="0"/>
          <w:bCs/>
          <w:color w:val="auto"/>
          <w:sz w:val="28"/>
          <w:szCs w:val="28"/>
          <w:highlight w:val="none"/>
          <w:lang w:val="en-US" w:eastAsia="zh-CN"/>
        </w:rPr>
        <w:t>精神障碍</w:t>
      </w:r>
      <w:r>
        <w:rPr>
          <w:rFonts w:hint="eastAsia" w:ascii="仿宋_GB2312" w:hAnsi="仿宋_GB2312" w:eastAsia="仿宋_GB2312" w:cs="仿宋_GB2312"/>
          <w:b w:val="0"/>
          <w:bCs/>
          <w:color w:val="auto"/>
          <w:sz w:val="28"/>
          <w:szCs w:val="28"/>
          <w:highlight w:val="none"/>
          <w:lang w:val="en-US" w:eastAsia="zh-CN"/>
        </w:rPr>
        <w:t>的术语和定义参考《精神障碍诊断与统计手册（DSM-5）》并结合起草单位的工作实际而定义为：由于患者大脑机能活动发生紊乱，从而导致其情感、认知、行为等精神活动出现不同程度障碍的一种疾病。</w:t>
      </w:r>
    </w:p>
    <w:p w14:paraId="4681E353">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4417060" cy="1084580"/>
            <wp:effectExtent l="9525" t="9525" r="12065" b="1079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6"/>
                    <a:stretch>
                      <a:fillRect/>
                    </a:stretch>
                  </pic:blipFill>
                  <pic:spPr>
                    <a:xfrm>
                      <a:off x="0" y="0"/>
                      <a:ext cx="4417060" cy="1084580"/>
                    </a:xfrm>
                    <a:prstGeom prst="rect">
                      <a:avLst/>
                    </a:prstGeom>
                    <a:noFill/>
                    <a:ln>
                      <a:solidFill>
                        <a:schemeClr val="tx1"/>
                      </a:solidFill>
                    </a:ln>
                  </pic:spPr>
                </pic:pic>
              </a:graphicData>
            </a:graphic>
          </wp:inline>
        </w:drawing>
      </w:r>
    </w:p>
    <w:p w14:paraId="2564A7D6">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eastAsia="黑体"/>
          <w:color w:val="auto"/>
          <w:highlight w:val="none"/>
          <w:lang w:val="en-US" w:eastAsia="zh-CN"/>
        </w:rPr>
      </w:pPr>
      <w:r>
        <w:rPr>
          <w:rFonts w:hint="eastAsia"/>
          <w:color w:val="auto"/>
          <w:highlight w:val="none"/>
          <w:lang w:val="en-US" w:eastAsia="zh-CN"/>
        </w:rPr>
        <w:t>来源：《精神障碍诊断与统计手册（DSM-5）》中文译本</w:t>
      </w:r>
    </w:p>
    <w:p w14:paraId="0ABE0AF0">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（二）人员要求</w:t>
      </w:r>
    </w:p>
    <w:p w14:paraId="4F64B7C5">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精神障碍患者情况特殊，护理复杂。规定护士须经“分级护理专业知识和相关技能”培训并考核合格，是为了确保其掌握评估患者风险、实施对应级别观察与护理的核心能力，这是保障患者安全与护理质量的先决条件。</w:t>
      </w:r>
    </w:p>
    <w:p w14:paraId="35B4EDC9">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手卫生是预防医院感染最基础、最有效的措施。按《WS/T 313 医务人员手卫生规范》的规定执行手卫生，确保每一位患者都能在安全的照护环境下接受治疗。</w:t>
      </w:r>
    </w:p>
    <w:p w14:paraId="2D11503B">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4366260" cy="1318895"/>
            <wp:effectExtent l="9525" t="9525" r="24765" b="2413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4366260" cy="1318895"/>
                    </a:xfrm>
                    <a:prstGeom prst="rect">
                      <a:avLst/>
                    </a:prstGeom>
                    <a:noFill/>
                    <a:ln>
                      <a:solidFill>
                        <a:schemeClr val="tx1"/>
                      </a:solidFill>
                    </a:ln>
                  </pic:spPr>
                </pic:pic>
              </a:graphicData>
            </a:graphic>
          </wp:inline>
        </w:drawing>
      </w:r>
    </w:p>
    <w:p w14:paraId="47C3F5B7">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color w:val="auto"/>
          <w:highlight w:val="none"/>
          <w:lang w:val="en-US" w:eastAsia="zh-CN"/>
        </w:rPr>
      </w:pPr>
      <w:r>
        <w:rPr>
          <w:rFonts w:hint="eastAsia"/>
          <w:color w:val="auto"/>
          <w:highlight w:val="none"/>
          <w:lang w:val="en-US" w:eastAsia="zh-CN"/>
        </w:rPr>
        <w:t>来源：WS/T 313 医务人员手卫生规范</w:t>
      </w:r>
    </w:p>
    <w:p w14:paraId="775D6074">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（三）护理等级划分</w:t>
      </w:r>
    </w:p>
    <w:p w14:paraId="622E776E">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1. 护理级别</w:t>
      </w:r>
    </w:p>
    <w:p w14:paraId="2ABD8C11">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参考WS/T 431《护理分级标准》将护理级别定为四个级别：特级护理、一级护理、二级护理和三级护理。</w:t>
      </w:r>
    </w:p>
    <w:p w14:paraId="65A9B3A1">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4169410" cy="464185"/>
            <wp:effectExtent l="9525" t="9525" r="12065" b="2159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8"/>
                    <a:stretch>
                      <a:fillRect/>
                    </a:stretch>
                  </pic:blipFill>
                  <pic:spPr>
                    <a:xfrm>
                      <a:off x="0" y="0"/>
                      <a:ext cx="4169410" cy="464185"/>
                    </a:xfrm>
                    <a:prstGeom prst="rect">
                      <a:avLst/>
                    </a:prstGeom>
                    <a:noFill/>
                    <a:ln>
                      <a:solidFill>
                        <a:schemeClr val="tx1"/>
                      </a:solidFill>
                    </a:ln>
                  </pic:spPr>
                </pic:pic>
              </a:graphicData>
            </a:graphic>
          </wp:inline>
        </w:drawing>
      </w:r>
    </w:p>
    <w:p w14:paraId="09C840C3">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color w:val="auto"/>
          <w:highlight w:val="none"/>
          <w:lang w:val="en-US" w:eastAsia="zh-CN"/>
        </w:rPr>
      </w:pPr>
      <w:r>
        <w:rPr>
          <w:rFonts w:hint="eastAsia"/>
          <w:color w:val="auto"/>
          <w:highlight w:val="none"/>
          <w:lang w:val="en-US" w:eastAsia="zh-CN"/>
        </w:rPr>
        <w:t>来源：WS/T 431  护理分级标准</w:t>
      </w:r>
    </w:p>
    <w:p w14:paraId="1EB3AFC2">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2. 分级方法</w:t>
      </w:r>
    </w:p>
    <w:p w14:paraId="205925A8">
      <w:pPr>
        <w:pStyle w:val="32"/>
        <w:keepNext w:val="0"/>
        <w:keepLines w:val="0"/>
        <w:pageBreakBefore w:val="0"/>
        <w:widowControl w:val="0"/>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2.1 在患者入院时为了能快速识别出病情危重、风险高的患者，从而优先为他们提供密切的监护和及时的抢救，确保他们的生命安全，应根据患者病情严重程度确定病情等级。</w:t>
      </w:r>
    </w:p>
    <w:p w14:paraId="060715FC">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 xml:space="preserve">2.2 </w:t>
      </w:r>
      <w:r>
        <w:rPr>
          <w:rFonts w:hint="default" w:ascii="仿宋_GB2312" w:hAnsi="仿宋_GB2312" w:eastAsia="仿宋_GB2312" w:cs="仿宋_GB2312"/>
          <w:b w:val="0"/>
          <w:bCs/>
          <w:color w:val="auto"/>
          <w:sz w:val="28"/>
          <w:szCs w:val="28"/>
          <w:highlight w:val="none"/>
          <w:lang w:val="en-US" w:eastAsia="zh-CN"/>
        </w:rPr>
        <w:t>Katz指数是国际上广泛认可和使用的日常生活活动（ADL）评估工具，其信度和效度经过长期实践验证</w:t>
      </w:r>
      <w:r>
        <w:rPr>
          <w:rFonts w:hint="eastAsia" w:ascii="仿宋_GB2312" w:hAnsi="仿宋_GB2312" w:eastAsia="仿宋_GB2312" w:cs="仿宋_GB2312"/>
          <w:b w:val="0"/>
          <w:bCs/>
          <w:color w:val="auto"/>
          <w:sz w:val="28"/>
          <w:szCs w:val="28"/>
          <w:highlight w:val="none"/>
          <w:lang w:val="en-US" w:eastAsia="zh-CN"/>
        </w:rPr>
        <w:t>，参考文献《The Index of Adl: A Standardized Measure of Biological and Psychosocial Function》</w:t>
      </w:r>
      <w:r>
        <w:rPr>
          <w:rFonts w:hint="default" w:ascii="仿宋_GB2312" w:hAnsi="仿宋_GB2312" w:eastAsia="仿宋_GB2312" w:cs="仿宋_GB2312"/>
          <w:b w:val="0"/>
          <w:bCs/>
          <w:color w:val="auto"/>
          <w:sz w:val="28"/>
          <w:szCs w:val="28"/>
          <w:highlight w:val="none"/>
          <w:lang w:val="en-US" w:eastAsia="zh-CN"/>
        </w:rPr>
        <w:t>。它评估的是维持人生存最基本的功能活动，结果稳定可靠。Katz指数将抽象的自理能力转化为具体的、可观察的行为和对应的分数，有效减少了不同评估者之间的主观判断差异，为护理分级提供了一个统一的、可量化的标准。</w:t>
      </w:r>
      <w:r>
        <w:rPr>
          <w:rFonts w:hint="eastAsia" w:ascii="仿宋_GB2312" w:hAnsi="仿宋_GB2312" w:eastAsia="仿宋_GB2312" w:cs="仿宋_GB2312"/>
          <w:b w:val="0"/>
          <w:bCs/>
          <w:color w:val="auto"/>
          <w:sz w:val="28"/>
          <w:szCs w:val="28"/>
          <w:highlight w:val="none"/>
          <w:lang w:val="en-US" w:eastAsia="zh-CN"/>
        </w:rPr>
        <w:t>通过Katz指数评定量表综合、客观地评估患者的生理功能状态，即日常生活自理能力。</w:t>
      </w:r>
    </w:p>
    <w:p w14:paraId="74CD0A80">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2558415" cy="4319905"/>
            <wp:effectExtent l="9525" t="9525" r="22860" b="1397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9"/>
                    <a:stretch>
                      <a:fillRect/>
                    </a:stretch>
                  </pic:blipFill>
                  <pic:spPr>
                    <a:xfrm>
                      <a:off x="0" y="0"/>
                      <a:ext cx="2558415" cy="4319905"/>
                    </a:xfrm>
                    <a:prstGeom prst="rect">
                      <a:avLst/>
                    </a:prstGeom>
                    <a:noFill/>
                    <a:ln>
                      <a:solidFill>
                        <a:schemeClr val="tx1"/>
                      </a:solidFill>
                    </a:ln>
                  </pic:spPr>
                </pic:pic>
              </a:graphicData>
            </a:graphic>
          </wp:inline>
        </w:drawing>
      </w:r>
      <w:r>
        <w:rPr>
          <w:rFonts w:hint="eastAsia"/>
          <w:color w:val="auto"/>
          <w:highlight w:val="none"/>
          <w:lang w:val="en-US" w:eastAsia="zh-CN"/>
        </w:rPr>
        <w:t xml:space="preserve">  </w:t>
      </w:r>
      <w:r>
        <w:rPr>
          <w:color w:val="auto"/>
          <w:highlight w:val="none"/>
        </w:rPr>
        <w:drawing>
          <wp:inline distT="0" distB="0" distL="114300" distR="114300">
            <wp:extent cx="2555875" cy="4312920"/>
            <wp:effectExtent l="9525" t="9525" r="25400" b="2095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0"/>
                    <a:stretch>
                      <a:fillRect/>
                    </a:stretch>
                  </pic:blipFill>
                  <pic:spPr>
                    <a:xfrm>
                      <a:off x="0" y="0"/>
                      <a:ext cx="2555875" cy="4312920"/>
                    </a:xfrm>
                    <a:prstGeom prst="rect">
                      <a:avLst/>
                    </a:prstGeom>
                    <a:noFill/>
                    <a:ln>
                      <a:solidFill>
                        <a:schemeClr val="tx1"/>
                      </a:solidFill>
                    </a:ln>
                  </pic:spPr>
                </pic:pic>
              </a:graphicData>
            </a:graphic>
          </wp:inline>
        </w:drawing>
      </w:r>
    </w:p>
    <w:p w14:paraId="05DA2746">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eastAsia="黑体"/>
          <w:color w:val="auto"/>
          <w:highlight w:val="none"/>
          <w:lang w:eastAsia="zh-CN"/>
        </w:rPr>
      </w:pPr>
      <w:r>
        <w:rPr>
          <w:rFonts w:hint="eastAsia"/>
          <w:color w:val="auto"/>
          <w:highlight w:val="none"/>
          <w:lang w:eastAsia="zh-CN"/>
        </w:rPr>
        <w:t>来源：The Index of Adl: A Standardized Measure of Biological and Psychosocial Function</w:t>
      </w:r>
    </w:p>
    <w:p w14:paraId="60AD28FC">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2.3 单独看病情或自理能力都可能不全面，需要综合评估才能准确判断患者整体的护理需求，所以要结合病情等级和(或)自理能力等级来确定最终的护理分级，以实现护理资源的精准投放。</w:t>
      </w:r>
    </w:p>
    <w:p w14:paraId="0853DC4B">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2.4 患者的病情和自理能力处于动态变化之中，要根据这些变化及时调整护理分级，以避免出现护理不足或资源浪费的情况，确保护理级别始终与患者的实际状况相匹配。</w:t>
      </w:r>
    </w:p>
    <w:p w14:paraId="0A2FD037">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3. 分级依据</w:t>
      </w:r>
    </w:p>
    <w:p w14:paraId="682F39BD">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default" w:ascii="仿宋_GB2312" w:hAnsi="仿宋_GB2312" w:eastAsia="仿宋_GB2312" w:cs="仿宋_GB2312"/>
          <w:b w:val="0"/>
          <w:bCs/>
          <w:color w:val="auto"/>
          <w:sz w:val="28"/>
          <w:szCs w:val="28"/>
          <w:highlight w:val="none"/>
          <w:lang w:val="en-US" w:eastAsia="zh-CN"/>
        </w:rPr>
        <w:t>本分级依据的制定，综合参考了《WS/T 431 护理分级》行业标准（4.3条款）与《精神科护理学》（第四版）第三章第四节（P70-74）的相关内容。通过结合通用护理分级原则与精神科专业特点，建立了适用于住院精神障碍患者的分级护理标准体系，旨在实现护理资源的科学配置和精准施护。</w:t>
      </w:r>
    </w:p>
    <w:p w14:paraId="202C6371">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3106420" cy="1882140"/>
            <wp:effectExtent l="9525" t="9525" r="27305" b="13335"/>
            <wp:docPr id="2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3"/>
                    <pic:cNvPicPr>
                      <a:picLocks noChangeAspect="1"/>
                    </pic:cNvPicPr>
                  </pic:nvPicPr>
                  <pic:blipFill>
                    <a:blip r:embed="rId11"/>
                    <a:stretch>
                      <a:fillRect/>
                    </a:stretch>
                  </pic:blipFill>
                  <pic:spPr>
                    <a:xfrm>
                      <a:off x="0" y="0"/>
                      <a:ext cx="3106420" cy="1882140"/>
                    </a:xfrm>
                    <a:prstGeom prst="rect">
                      <a:avLst/>
                    </a:prstGeom>
                    <a:noFill/>
                    <a:ln>
                      <a:solidFill>
                        <a:schemeClr val="tx1"/>
                      </a:solidFill>
                    </a:ln>
                  </pic:spPr>
                </pic:pic>
              </a:graphicData>
            </a:graphic>
          </wp:inline>
        </w:drawing>
      </w:r>
    </w:p>
    <w:p w14:paraId="1DF2F753">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color w:val="auto"/>
          <w:highlight w:val="none"/>
          <w:lang w:eastAsia="zh-CN"/>
        </w:rPr>
      </w:pPr>
      <w:r>
        <w:rPr>
          <w:rFonts w:hint="eastAsia"/>
          <w:color w:val="auto"/>
          <w:highlight w:val="none"/>
          <w:lang w:eastAsia="zh-CN"/>
        </w:rPr>
        <w:t>来源：WS/T 431 护理分级</w:t>
      </w:r>
    </w:p>
    <w:p w14:paraId="63A7E19B">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3.1 特级护理</w:t>
      </w:r>
    </w:p>
    <w:p w14:paraId="1D6D88A2">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default" w:ascii="仿宋_GB2312" w:hAnsi="仿宋_GB2312" w:eastAsia="仿宋_GB2312" w:cs="仿宋_GB2312"/>
          <w:b w:val="0"/>
          <w:bCs/>
          <w:color w:val="auto"/>
          <w:sz w:val="28"/>
          <w:szCs w:val="28"/>
          <w:highlight w:val="none"/>
          <w:lang w:val="en-US" w:eastAsia="zh-CN"/>
        </w:rPr>
        <w:t>特级护理的判定综合了《WS/T 431 护理分级》中对“病情危重，随时可能发生病情变化需要进行监护、抢救的患者”的定义，以及《精神科护理学》</w:t>
      </w:r>
      <w:r>
        <w:rPr>
          <w:rFonts w:hint="eastAsia" w:ascii="仿宋_GB2312" w:hAnsi="仿宋_GB2312" w:eastAsia="仿宋_GB2312" w:cs="仿宋_GB2312"/>
          <w:b w:val="0"/>
          <w:bCs/>
          <w:color w:val="auto"/>
          <w:sz w:val="28"/>
          <w:szCs w:val="28"/>
          <w:highlight w:val="none"/>
          <w:lang w:val="en-US" w:eastAsia="zh-CN"/>
        </w:rPr>
        <w:t>（第四版）</w:t>
      </w:r>
      <w:r>
        <w:rPr>
          <w:rFonts w:hint="default" w:ascii="仿宋_GB2312" w:hAnsi="仿宋_GB2312" w:eastAsia="仿宋_GB2312" w:cs="仿宋_GB2312"/>
          <w:b w:val="0"/>
          <w:bCs/>
          <w:color w:val="auto"/>
          <w:sz w:val="28"/>
          <w:szCs w:val="28"/>
          <w:highlight w:val="none"/>
          <w:lang w:val="en-US" w:eastAsia="zh-CN"/>
        </w:rPr>
        <w:t>中精神科危重症的特定表现。其核心是识别那些因严重躯体并发症、极端精神行为（如严重的自杀冲动、谵妄、木僵、癫痫持续状态）或严重药物不良反应，而处于生命危险中、需要持续监护和抢救的患者。</w:t>
      </w:r>
    </w:p>
    <w:p w14:paraId="3D29747D">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color w:val="auto"/>
          <w:highlight w:val="none"/>
          <w:lang w:eastAsia="zh-CN"/>
        </w:rPr>
      </w:pPr>
      <w:r>
        <w:rPr>
          <w:color w:val="auto"/>
          <w:highlight w:val="none"/>
        </w:rPr>
        <w:drawing>
          <wp:inline distT="0" distB="0" distL="114300" distR="114300">
            <wp:extent cx="2653030" cy="1330325"/>
            <wp:effectExtent l="9525" t="9525" r="23495" b="12700"/>
            <wp:docPr id="2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4"/>
                    <pic:cNvPicPr>
                      <a:picLocks noChangeAspect="1"/>
                    </pic:cNvPicPr>
                  </pic:nvPicPr>
                  <pic:blipFill>
                    <a:blip r:embed="rId12"/>
                    <a:stretch>
                      <a:fillRect/>
                    </a:stretch>
                  </pic:blipFill>
                  <pic:spPr>
                    <a:xfrm>
                      <a:off x="0" y="0"/>
                      <a:ext cx="2653030" cy="1330325"/>
                    </a:xfrm>
                    <a:prstGeom prst="rect">
                      <a:avLst/>
                    </a:prstGeom>
                    <a:noFill/>
                    <a:ln>
                      <a:solidFill>
                        <a:schemeClr val="tx1"/>
                      </a:solidFill>
                    </a:ln>
                  </pic:spPr>
                </pic:pic>
              </a:graphicData>
            </a:graphic>
          </wp:inline>
        </w:drawing>
      </w:r>
    </w:p>
    <w:p w14:paraId="0D972934">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eastAsia="黑体"/>
          <w:color w:val="auto"/>
          <w:highlight w:val="none"/>
          <w:lang w:val="en-US" w:eastAsia="zh-CN"/>
        </w:rPr>
      </w:pPr>
      <w:r>
        <w:rPr>
          <w:rFonts w:hint="eastAsia"/>
          <w:color w:val="auto"/>
          <w:highlight w:val="none"/>
          <w:lang w:eastAsia="zh-CN"/>
        </w:rPr>
        <w:t>来源：刘哲宁, 杨芳宇, 许冬梅. 精神科护理学[M]. 4版. 北京: 人民卫生出版社, 2017.</w:t>
      </w:r>
    </w:p>
    <w:p w14:paraId="51CA2A6B">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3.2 一级护理</w:t>
      </w:r>
    </w:p>
    <w:p w14:paraId="783ECB66">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default" w:ascii="仿宋_GB2312" w:hAnsi="仿宋_GB2312" w:eastAsia="仿宋_GB2312" w:cs="仿宋_GB2312"/>
          <w:b w:val="0"/>
          <w:bCs/>
          <w:color w:val="auto"/>
          <w:sz w:val="28"/>
          <w:szCs w:val="28"/>
          <w:highlight w:val="none"/>
          <w:lang w:val="en-US" w:eastAsia="zh-CN"/>
        </w:rPr>
        <w:t>一级护理的判定融合了《WS/T 431 护理分级》中“病情不稳定或随时可能发生变化的患者”和“自理能力重度依赖的患者”两项关键依据，并在此基础上扩展了精神科特有的安全风险评估。它主要适用于存在显著安全风险（如自杀、伤人、毁物、擅自离院）、治疗不配合、或自理能力为G级（完全依赖）的患者，需要密切巡视以防范意外并保证治疗。</w:t>
      </w:r>
    </w:p>
    <w:p w14:paraId="7CA08B77">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default"/>
          <w:color w:val="auto"/>
          <w:highlight w:val="none"/>
          <w:lang w:val="en-US" w:eastAsia="zh-CN"/>
        </w:rPr>
      </w:pPr>
      <w:r>
        <w:rPr>
          <w:rFonts w:hint="eastAsia"/>
          <w:color w:val="auto"/>
          <w:highlight w:val="none"/>
          <w:lang w:eastAsia="zh-CN"/>
        </w:rPr>
        <w:drawing>
          <wp:inline distT="0" distB="0" distL="114300" distR="114300">
            <wp:extent cx="4516120" cy="1259205"/>
            <wp:effectExtent l="9525" t="9525" r="27305" b="26670"/>
            <wp:docPr id="2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5"/>
                    <pic:cNvPicPr>
                      <a:picLocks noChangeAspect="1"/>
                    </pic:cNvPicPr>
                  </pic:nvPicPr>
                  <pic:blipFill>
                    <a:blip r:embed="rId13"/>
                    <a:stretch>
                      <a:fillRect/>
                    </a:stretch>
                  </pic:blipFill>
                  <pic:spPr>
                    <a:xfrm>
                      <a:off x="0" y="0"/>
                      <a:ext cx="4516120" cy="1259205"/>
                    </a:xfrm>
                    <a:prstGeom prst="rect">
                      <a:avLst/>
                    </a:prstGeom>
                    <a:noFill/>
                    <a:ln>
                      <a:solidFill>
                        <a:schemeClr val="tx1"/>
                      </a:solidFill>
                    </a:ln>
                  </pic:spPr>
                </pic:pic>
              </a:graphicData>
            </a:graphic>
          </wp:inline>
        </w:drawing>
      </w:r>
    </w:p>
    <w:p w14:paraId="49730B0E">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eastAsia="黑体"/>
          <w:color w:val="auto"/>
          <w:highlight w:val="none"/>
          <w:lang w:val="en-US" w:eastAsia="zh-CN"/>
        </w:rPr>
      </w:pPr>
      <w:r>
        <w:rPr>
          <w:rFonts w:hint="eastAsia"/>
          <w:color w:val="auto"/>
          <w:highlight w:val="none"/>
          <w:lang w:eastAsia="zh-CN"/>
        </w:rPr>
        <w:t>来源：刘哲宁, 杨芳宇, 许冬梅. 精神科护理学[M]. 4版. 北京: 人民卫生出版社, 2017.</w:t>
      </w:r>
    </w:p>
    <w:p w14:paraId="0F63976D">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3.3 二级护理</w:t>
      </w:r>
    </w:p>
    <w:p w14:paraId="4BE302C8">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default" w:ascii="仿宋_GB2312" w:hAnsi="仿宋_GB2312" w:eastAsia="仿宋_GB2312" w:cs="仿宋_GB2312"/>
          <w:b w:val="0"/>
          <w:bCs/>
          <w:color w:val="auto"/>
          <w:sz w:val="28"/>
          <w:szCs w:val="28"/>
          <w:highlight w:val="none"/>
          <w:lang w:val="en-US" w:eastAsia="zh-CN"/>
        </w:rPr>
        <w:t>二级护理的判定依据《WS/T 431 护理分级》中“病情稳定或处于康复期，且自理能力中度依赖”及“病情趋于稳定……仍需观察，且自理能力轻度依赖”的原则，同时结合精神科风险评估。它适用于病情从急性期转入稳定期、安全风险降至中低等级、且存在部分自理缺陷（B/C级）的患者，护理重点转向康复过渡。</w:t>
      </w:r>
    </w:p>
    <w:p w14:paraId="495B6497">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color w:val="auto"/>
          <w:highlight w:val="none"/>
          <w:lang w:eastAsia="zh-CN"/>
        </w:rPr>
      </w:pPr>
      <w:r>
        <w:rPr>
          <w:color w:val="auto"/>
          <w:highlight w:val="none"/>
        </w:rPr>
        <w:drawing>
          <wp:inline distT="0" distB="0" distL="114300" distR="114300">
            <wp:extent cx="3985895" cy="482600"/>
            <wp:effectExtent l="9525" t="9525" r="24130" b="22225"/>
            <wp:docPr id="2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6"/>
                    <pic:cNvPicPr>
                      <a:picLocks noChangeAspect="1"/>
                    </pic:cNvPicPr>
                  </pic:nvPicPr>
                  <pic:blipFill>
                    <a:blip r:embed="rId14"/>
                    <a:stretch>
                      <a:fillRect/>
                    </a:stretch>
                  </pic:blipFill>
                  <pic:spPr>
                    <a:xfrm>
                      <a:off x="0" y="0"/>
                      <a:ext cx="3985895" cy="482600"/>
                    </a:xfrm>
                    <a:prstGeom prst="rect">
                      <a:avLst/>
                    </a:prstGeom>
                    <a:noFill/>
                    <a:ln>
                      <a:solidFill>
                        <a:schemeClr val="tx1"/>
                      </a:solidFill>
                    </a:ln>
                  </pic:spPr>
                </pic:pic>
              </a:graphicData>
            </a:graphic>
          </wp:inline>
        </w:drawing>
      </w:r>
    </w:p>
    <w:p w14:paraId="2168121F">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
          <w:bCs w:val="0"/>
          <w:color w:val="auto"/>
          <w:sz w:val="28"/>
          <w:szCs w:val="28"/>
          <w:highlight w:val="none"/>
          <w:lang w:val="en-US" w:eastAsia="zh-CN"/>
        </w:rPr>
      </w:pPr>
      <w:r>
        <w:rPr>
          <w:rFonts w:hint="eastAsia"/>
          <w:color w:val="auto"/>
          <w:highlight w:val="none"/>
          <w:lang w:eastAsia="zh-CN"/>
        </w:rPr>
        <w:t>来源：刘哲宁, 杨芳宇, 许冬梅. 精神科护理学[M]. 4版. 北京: 人民卫生出版社, 2017.</w:t>
      </w:r>
    </w:p>
    <w:p w14:paraId="7BD0DE36">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3.4 三级护理</w:t>
      </w:r>
    </w:p>
    <w:p w14:paraId="678A9C5C">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default" w:ascii="仿宋_GB2312" w:hAnsi="仿宋_GB2312" w:eastAsia="仿宋_GB2312" w:cs="仿宋_GB2312"/>
          <w:b w:val="0"/>
          <w:bCs/>
          <w:color w:val="auto"/>
          <w:sz w:val="28"/>
          <w:szCs w:val="28"/>
          <w:highlight w:val="none"/>
          <w:lang w:val="en-US" w:eastAsia="zh-CN"/>
        </w:rPr>
        <w:t>三级护理的判定严格遵循《WS/T 431 护理分级》中“病情稳定或处于康复期，且自理能力轻度依赖或无依赖”的核心标准，并附加精神科“无自杀/自伤意念”的风险评估结论。它标志着患者不仅在精神症状上稳定，在个人功能上也基本恢复，具备自我管理能力和回归社会的条件。</w:t>
      </w:r>
    </w:p>
    <w:p w14:paraId="65B4382F">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default" w:ascii="仿宋_GB2312" w:hAnsi="仿宋_GB2312" w:eastAsia="仿宋_GB2312" w:cs="仿宋_GB2312"/>
          <w:b w:val="0"/>
          <w:bCs/>
          <w:color w:val="auto"/>
          <w:sz w:val="28"/>
          <w:szCs w:val="28"/>
          <w:highlight w:val="none"/>
          <w:lang w:val="en-US" w:eastAsia="zh-CN"/>
        </w:rPr>
      </w:pPr>
      <w:r>
        <w:rPr>
          <w:color w:val="auto"/>
          <w:highlight w:val="none"/>
        </w:rPr>
        <w:drawing>
          <wp:inline distT="0" distB="0" distL="114300" distR="114300">
            <wp:extent cx="4074160" cy="488315"/>
            <wp:effectExtent l="9525" t="9525" r="12065" b="16510"/>
            <wp:docPr id="2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7"/>
                    <pic:cNvPicPr>
                      <a:picLocks noChangeAspect="1"/>
                    </pic:cNvPicPr>
                  </pic:nvPicPr>
                  <pic:blipFill>
                    <a:blip r:embed="rId15"/>
                    <a:stretch>
                      <a:fillRect/>
                    </a:stretch>
                  </pic:blipFill>
                  <pic:spPr>
                    <a:xfrm>
                      <a:off x="0" y="0"/>
                      <a:ext cx="4074160" cy="488315"/>
                    </a:xfrm>
                    <a:prstGeom prst="rect">
                      <a:avLst/>
                    </a:prstGeom>
                    <a:noFill/>
                    <a:ln>
                      <a:solidFill>
                        <a:schemeClr val="tx1"/>
                      </a:solidFill>
                    </a:ln>
                  </pic:spPr>
                </pic:pic>
              </a:graphicData>
            </a:graphic>
          </wp:inline>
        </w:drawing>
      </w:r>
    </w:p>
    <w:p w14:paraId="1224038F">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
          <w:bCs w:val="0"/>
          <w:color w:val="auto"/>
          <w:sz w:val="28"/>
          <w:szCs w:val="28"/>
          <w:highlight w:val="none"/>
          <w:lang w:val="en-US" w:eastAsia="zh-CN"/>
        </w:rPr>
      </w:pPr>
      <w:r>
        <w:rPr>
          <w:rFonts w:hint="eastAsia"/>
          <w:color w:val="auto"/>
          <w:highlight w:val="none"/>
          <w:lang w:eastAsia="zh-CN"/>
        </w:rPr>
        <w:t>来源：刘哲宁, 杨芳宇, 许冬梅. 精神科护理学[M]. 4版. 北京: 人民卫生出版社, 2017.</w:t>
      </w:r>
    </w:p>
    <w:p w14:paraId="029F77B4">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3.5 在精神科护理工作中，患者病情动态变化，安全风险各异，护理人员需要在不侵犯患者隐私的前提下，对全病区的护理重点和风险等级一目了然。采用深红色→红色→黄色→无标识的色标体系，其依据是视觉警示的通用原则，颜色深度与护理关注度、风险严重程度正相关。</w:t>
      </w:r>
    </w:p>
    <w:p w14:paraId="3DA296CE">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（四）护理内容及要求</w:t>
      </w:r>
    </w:p>
    <w:p w14:paraId="683088A8">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default" w:ascii="仿宋_GB2312" w:hAnsi="仿宋_GB2312" w:eastAsia="仿宋_GB2312" w:cs="仿宋_GB2312"/>
          <w:b w:val="0"/>
          <w:bCs/>
          <w:color w:val="auto"/>
          <w:sz w:val="28"/>
          <w:szCs w:val="28"/>
          <w:highlight w:val="none"/>
          <w:lang w:val="en-US" w:eastAsia="zh-CN"/>
        </w:rPr>
        <w:t>对护理措施进行严格分级，其根本原因在于实现护理资源与患者需求的精准匹配。精神障碍患者的病情是一个动态变化的过程，从生命垂危的急性期到稳定待愈的康复期，其需求从“保住生命”</w:t>
      </w:r>
      <w:r>
        <w:rPr>
          <w:rFonts w:hint="eastAsia" w:ascii="仿宋_GB2312" w:hAnsi="仿宋_GB2312" w:eastAsia="仿宋_GB2312" w:cs="仿宋_GB2312"/>
          <w:b w:val="0"/>
          <w:bCs/>
          <w:color w:val="auto"/>
          <w:sz w:val="28"/>
          <w:szCs w:val="28"/>
          <w:highlight w:val="none"/>
          <w:lang w:val="en-US" w:eastAsia="zh-CN"/>
        </w:rPr>
        <w:t>逐渐变</w:t>
      </w:r>
      <w:r>
        <w:rPr>
          <w:rFonts w:hint="default" w:ascii="仿宋_GB2312" w:hAnsi="仿宋_GB2312" w:eastAsia="仿宋_GB2312" w:cs="仿宋_GB2312"/>
          <w:b w:val="0"/>
          <w:bCs/>
          <w:color w:val="auto"/>
          <w:sz w:val="28"/>
          <w:szCs w:val="28"/>
          <w:highlight w:val="none"/>
          <w:lang w:val="en-US" w:eastAsia="zh-CN"/>
        </w:rPr>
        <w:t>为“回归社会”。分级措施是实现安全、高效、人性化护理的必然选择。</w:t>
      </w:r>
    </w:p>
    <w:p w14:paraId="26224064">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1. 特级护理</w:t>
      </w:r>
    </w:p>
    <w:p w14:paraId="6B993705">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1.1 《</w:t>
      </w:r>
      <w:r>
        <w:rPr>
          <w:rFonts w:hint="default" w:ascii="仿宋_GB2312" w:hAnsi="仿宋_GB2312" w:eastAsia="仿宋_GB2312" w:cs="仿宋_GB2312"/>
          <w:b w:val="0"/>
          <w:bCs/>
          <w:color w:val="auto"/>
          <w:sz w:val="28"/>
          <w:szCs w:val="28"/>
          <w:highlight w:val="none"/>
          <w:lang w:val="en-US" w:eastAsia="zh-CN"/>
        </w:rPr>
        <w:t>精神科护理学</w:t>
      </w:r>
      <w:r>
        <w:rPr>
          <w:rFonts w:hint="eastAsia" w:ascii="仿宋_GB2312" w:hAnsi="仿宋_GB2312" w:eastAsia="仿宋_GB2312" w:cs="仿宋_GB2312"/>
          <w:b w:val="0"/>
          <w:bCs/>
          <w:color w:val="auto"/>
          <w:sz w:val="28"/>
          <w:szCs w:val="28"/>
          <w:highlight w:val="none"/>
          <w:lang w:val="en-US" w:eastAsia="zh-CN"/>
        </w:rPr>
        <w:t>》（第四版）指出，要24小时密切观察病人病情和生命体征。特级护理对象是病情最危重、风险最高的患者（如存在严重自杀、冲动、意识障碍或躯体并发症）。根据教材第三章“精神科专科监护技能”，这类患者的行为具有突发性和不可预测性。持续监护是防范意外、保障生命安全的最后一道防线，其核心目的是“严加防护，防止意外”。患者处于“生命危机”状态，其病情变化具有不可预测的突发性。任何监护的空隙都可能导致危机，病人随时可能出现自伤、自杀、暴力等。</w:t>
      </w:r>
    </w:p>
    <w:p w14:paraId="41F19E0F">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4319905" cy="598170"/>
            <wp:effectExtent l="9525" t="9525" r="13970" b="20955"/>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16"/>
                    <a:stretch>
                      <a:fillRect/>
                    </a:stretch>
                  </pic:blipFill>
                  <pic:spPr>
                    <a:xfrm>
                      <a:off x="0" y="0"/>
                      <a:ext cx="4319905" cy="598170"/>
                    </a:xfrm>
                    <a:prstGeom prst="rect">
                      <a:avLst/>
                    </a:prstGeom>
                    <a:noFill/>
                    <a:ln>
                      <a:solidFill>
                        <a:schemeClr val="tx1"/>
                      </a:solidFill>
                    </a:ln>
                  </pic:spPr>
                </pic:pic>
              </a:graphicData>
            </a:graphic>
          </wp:inline>
        </w:drawing>
      </w:r>
    </w:p>
    <w:p w14:paraId="644701C3">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4319905" cy="783590"/>
            <wp:effectExtent l="9525" t="9525" r="13970" b="26035"/>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17"/>
                    <a:stretch>
                      <a:fillRect/>
                    </a:stretch>
                  </pic:blipFill>
                  <pic:spPr>
                    <a:xfrm>
                      <a:off x="0" y="0"/>
                      <a:ext cx="4319905" cy="783590"/>
                    </a:xfrm>
                    <a:prstGeom prst="rect">
                      <a:avLst/>
                    </a:prstGeom>
                    <a:noFill/>
                    <a:ln>
                      <a:solidFill>
                        <a:schemeClr val="tx1"/>
                      </a:solidFill>
                    </a:ln>
                  </pic:spPr>
                </pic:pic>
              </a:graphicData>
            </a:graphic>
          </wp:inline>
        </w:drawing>
      </w:r>
    </w:p>
    <w:p w14:paraId="6AB94FA4">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eastAsia="黑体"/>
          <w:color w:val="auto"/>
          <w:highlight w:val="none"/>
          <w:lang w:val="en-US" w:eastAsia="zh-CN"/>
        </w:rPr>
      </w:pPr>
      <w:r>
        <w:rPr>
          <w:rFonts w:hint="eastAsia"/>
          <w:color w:val="auto"/>
          <w:highlight w:val="none"/>
          <w:lang w:eastAsia="zh-CN"/>
        </w:rPr>
        <w:t>来源：刘哲宁, 杨芳宇, 许冬梅. 精神科护理学[M]. 4版. 北京: 人民卫生出版社, 2017.</w:t>
      </w:r>
    </w:p>
    <w:p w14:paraId="22CDB4A3">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1.2 精神障碍患者病情可能出现动态变化，昨日的护理措施今日可能已不适用。必须通过"每日评估"来确保护理计划能够根据病情变化进行相应调整。同时，患者随时可能出现自伤、自杀、冲动等风险，每日评估是对病情变化和风险因素的必要的管理策略。</w:t>
      </w:r>
    </w:p>
    <w:p w14:paraId="173E2FCC">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1.3 精神科患者的风险因素具有动态变化特征。必须通过"每班全面评估"这一要求，系统性地识别各类潜在风险；同时以"随时动态评估"来应对突发风险。这是对精神科病房风险管理的程序化要求。</w:t>
      </w:r>
    </w:p>
    <w:p w14:paraId="69AE9F16">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1.4 《</w:t>
      </w:r>
      <w:r>
        <w:rPr>
          <w:rFonts w:hint="default" w:ascii="仿宋_GB2312" w:hAnsi="仿宋_GB2312" w:eastAsia="仿宋_GB2312" w:cs="仿宋_GB2312"/>
          <w:b w:val="0"/>
          <w:bCs/>
          <w:color w:val="auto"/>
          <w:sz w:val="28"/>
          <w:szCs w:val="28"/>
          <w:highlight w:val="none"/>
          <w:lang w:val="en-US" w:eastAsia="zh-CN"/>
        </w:rPr>
        <w:t>精神科护理学</w:t>
      </w:r>
      <w:r>
        <w:rPr>
          <w:rFonts w:hint="eastAsia" w:ascii="仿宋_GB2312" w:hAnsi="仿宋_GB2312" w:eastAsia="仿宋_GB2312" w:cs="仿宋_GB2312"/>
          <w:b w:val="0"/>
          <w:bCs/>
          <w:color w:val="auto"/>
          <w:sz w:val="28"/>
          <w:szCs w:val="28"/>
          <w:highlight w:val="none"/>
          <w:lang w:val="en-US" w:eastAsia="zh-CN"/>
        </w:rPr>
        <w:t>》（第四版）第三章第五节详细阐述了暴力、自杀、出走、噎食等专科危机的防范与护理。考虑到精神科药物可能引起不良反应，且患者受症状支配存在特殊风险，因此要建立全方位的监护体系，兼顾生理安全和精神科特殊风险。</w:t>
      </w:r>
    </w:p>
    <w:p w14:paraId="5B80D913">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4319905" cy="1278890"/>
            <wp:effectExtent l="9525" t="9525" r="13970" b="26035"/>
            <wp:docPr id="1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8"/>
                    <pic:cNvPicPr>
                      <a:picLocks noChangeAspect="1"/>
                    </pic:cNvPicPr>
                  </pic:nvPicPr>
                  <pic:blipFill>
                    <a:blip r:embed="rId18"/>
                    <a:stretch>
                      <a:fillRect/>
                    </a:stretch>
                  </pic:blipFill>
                  <pic:spPr>
                    <a:xfrm>
                      <a:off x="0" y="0"/>
                      <a:ext cx="4319905" cy="1278890"/>
                    </a:xfrm>
                    <a:prstGeom prst="rect">
                      <a:avLst/>
                    </a:prstGeom>
                    <a:noFill/>
                    <a:ln>
                      <a:solidFill>
                        <a:schemeClr val="tx1"/>
                      </a:solidFill>
                    </a:ln>
                  </pic:spPr>
                </pic:pic>
              </a:graphicData>
            </a:graphic>
          </wp:inline>
        </w:drawing>
      </w:r>
    </w:p>
    <w:p w14:paraId="1E045AD4">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4319905" cy="1654810"/>
            <wp:effectExtent l="9525" t="9525" r="13970" b="12065"/>
            <wp:docPr id="1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9"/>
                    <pic:cNvPicPr>
                      <a:picLocks noChangeAspect="1"/>
                    </pic:cNvPicPr>
                  </pic:nvPicPr>
                  <pic:blipFill>
                    <a:blip r:embed="rId19"/>
                    <a:stretch>
                      <a:fillRect/>
                    </a:stretch>
                  </pic:blipFill>
                  <pic:spPr>
                    <a:xfrm>
                      <a:off x="0" y="0"/>
                      <a:ext cx="4319905" cy="1654810"/>
                    </a:xfrm>
                    <a:prstGeom prst="rect">
                      <a:avLst/>
                    </a:prstGeom>
                    <a:noFill/>
                    <a:ln>
                      <a:solidFill>
                        <a:schemeClr val="tx1"/>
                      </a:solidFill>
                    </a:ln>
                  </pic:spPr>
                </pic:pic>
              </a:graphicData>
            </a:graphic>
          </wp:inline>
        </w:drawing>
      </w:r>
    </w:p>
    <w:p w14:paraId="1870FA17">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eastAsia="黑体"/>
          <w:color w:val="auto"/>
          <w:highlight w:val="none"/>
          <w:lang w:val="en-US" w:eastAsia="zh-CN"/>
        </w:rPr>
      </w:pPr>
      <w:r>
        <w:rPr>
          <w:rFonts w:hint="eastAsia"/>
          <w:color w:val="auto"/>
          <w:highlight w:val="none"/>
          <w:lang w:eastAsia="zh-CN"/>
        </w:rPr>
        <w:t>来源：刘哲宁, 杨芳宇, 许冬梅. 精神科护理学[M]. 4版. 北京: 人民卫生出版社, 2017.</w:t>
      </w:r>
    </w:p>
    <w:p w14:paraId="3E6CB6DD">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1.5 当患者因病情影响而丧失自理能力时，其基本生活需求和安全保障完全依赖于护理照护。必须由护士实施基础护理，这是维持患者基本生存质量、预防感染和压疮等并发症的基本保障。</w:t>
      </w:r>
    </w:p>
    <w:p w14:paraId="64876B33">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1.6 精神科治疗特别是药物治疗是控制症状的主要手段，任何执行偏差都可能影响疗效甚至导致严重后果。同时，改良电抽搐等特殊治疗需要精细的护理配合，必须确保操作规范、密切观察到位。</w:t>
      </w:r>
    </w:p>
    <w:p w14:paraId="206A1C65">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1.7 体液平衡是维持内环境稳定的关键指标。对于特级护理患者，通过"记录24小时出入量"的客观计量方法，准确评估循环血量、肾功能及体液平衡状态，为临床治疗决策提供可靠依据。</w:t>
      </w:r>
    </w:p>
    <w:p w14:paraId="333EFFFE">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1.8 生命体征是反映患者生理状态的重要指标。通过"每日4次"的监测频率，建立连续的生命体征趋势图，以便及时发现病情变化的早期征象。这一频率设置符合危重患者的监护要求。</w:t>
      </w:r>
    </w:p>
    <w:p w14:paraId="0437B18B">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1.9 对于特级护理患者，信息传递的准确性和及时性至关重要。必须通过"床旁交接班"确保信息传递的完整性和对患者的直接观察。而"及时记录"则是保证医疗文书准确性、连续性的基本要求。</w:t>
      </w:r>
    </w:p>
    <w:p w14:paraId="7B90108C">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2. 一级护理</w:t>
      </w:r>
    </w:p>
    <w:p w14:paraId="6376C425">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2.1 《精神科护理学》（第四版）规定一级护理需"每30分钟巡视一次"。同时一级护理患者的核心风险是突发的安全事件（如自杀、冲动）。30分钟是发现行为先兆、并及时干预以防止事件发生的关键时间窗口。低于这个频率，风险将呈指数级增长。因此要设定每30分钟1次的巡视频率，在保证有效监护的同时兼顾护理人力资源的合理配置。</w:t>
      </w:r>
    </w:p>
    <w:p w14:paraId="277B9442">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4027170" cy="2120265"/>
            <wp:effectExtent l="9525" t="9525" r="20955" b="22860"/>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20"/>
                    <a:stretch>
                      <a:fillRect/>
                    </a:stretch>
                  </pic:blipFill>
                  <pic:spPr>
                    <a:xfrm>
                      <a:off x="0" y="0"/>
                      <a:ext cx="4027170" cy="2120265"/>
                    </a:xfrm>
                    <a:prstGeom prst="rect">
                      <a:avLst/>
                    </a:prstGeom>
                    <a:noFill/>
                    <a:ln>
                      <a:solidFill>
                        <a:schemeClr val="tx1"/>
                      </a:solidFill>
                    </a:ln>
                  </pic:spPr>
                </pic:pic>
              </a:graphicData>
            </a:graphic>
          </wp:inline>
        </w:drawing>
      </w:r>
    </w:p>
    <w:p w14:paraId="0EC7EEF5">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eastAsia="黑体"/>
          <w:color w:val="auto"/>
          <w:highlight w:val="none"/>
          <w:lang w:val="en-US" w:eastAsia="zh-CN"/>
        </w:rPr>
      </w:pPr>
      <w:r>
        <w:rPr>
          <w:rFonts w:hint="eastAsia"/>
          <w:color w:val="auto"/>
          <w:highlight w:val="none"/>
          <w:lang w:eastAsia="zh-CN"/>
        </w:rPr>
        <w:t>来源：刘哲宁, 杨芳宇, 许冬梅. 精神科护理学[M]. 4版. 北京: 人民卫生出版社, 2017.</w:t>
      </w:r>
    </w:p>
    <w:p w14:paraId="3893FDA3">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2.2 一级护理患者病情趋于稳定，护理问题及措施相对确定。因此将护理计划评估频率调整为每周1-2次，这既能确保护理措施持续有效，又能合理分配护理资源，符合患者病情处于相对稳定期的特点。</w:t>
      </w:r>
    </w:p>
    <w:p w14:paraId="034C3607">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2.3 《精神科护理学》（第四版）提到，精神障碍患者常因自知力缺乏而拒绝服药或藏药。治疗不合作是导致病情反复和风险升高的首要因素。必须通过“看护服药”这一强制性程序，确保药物被确实服下，这是保证治疗这一根本措施得以落实的确定性环节。任何“相信患者会自觉服药”的侥幸心理都是对安全管理体系的破坏。</w:t>
      </w:r>
    </w:p>
    <w:p w14:paraId="6B17DD87">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5684520" cy="986155"/>
            <wp:effectExtent l="9525" t="9525" r="20955" b="13970"/>
            <wp:docPr id="2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2"/>
                    <pic:cNvPicPr>
                      <a:picLocks noChangeAspect="1"/>
                    </pic:cNvPicPr>
                  </pic:nvPicPr>
                  <pic:blipFill>
                    <a:blip r:embed="rId21"/>
                    <a:stretch>
                      <a:fillRect/>
                    </a:stretch>
                  </pic:blipFill>
                  <pic:spPr>
                    <a:xfrm>
                      <a:off x="0" y="0"/>
                      <a:ext cx="5684520" cy="986155"/>
                    </a:xfrm>
                    <a:prstGeom prst="rect">
                      <a:avLst/>
                    </a:prstGeom>
                    <a:noFill/>
                    <a:ln>
                      <a:solidFill>
                        <a:schemeClr val="tx1"/>
                      </a:solidFill>
                    </a:ln>
                  </pic:spPr>
                </pic:pic>
              </a:graphicData>
            </a:graphic>
          </wp:inline>
        </w:drawing>
      </w:r>
    </w:p>
    <w:p w14:paraId="40EF0CE2">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eastAsia="黑体"/>
          <w:color w:val="auto"/>
          <w:highlight w:val="none"/>
          <w:lang w:val="en-US" w:eastAsia="zh-CN"/>
        </w:rPr>
      </w:pPr>
      <w:r>
        <w:rPr>
          <w:rFonts w:hint="eastAsia"/>
          <w:color w:val="auto"/>
          <w:highlight w:val="none"/>
          <w:lang w:eastAsia="zh-CN"/>
        </w:rPr>
        <w:t>来源：刘哲宁, 杨芳宇, 许冬梅. 精神科护理学[M]. 4版. 北京: 人民卫生出版社, 2017.</w:t>
      </w:r>
    </w:p>
    <w:p w14:paraId="691CA519">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2.4 《精神科护理学》（第四版）二级护理给出体温、脉搏、呼吸每日测量一次，血压每周测量一次，每月测量体重一次。因一级护理患者生命体征已趋于稳定，护理重点应集中于精神症状与安全风险的观察。因此本标准一级护理也作此要求。</w:t>
      </w:r>
    </w:p>
    <w:p w14:paraId="167E2EF7">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2.5 随着患者活动范围增大，接触危险物品的机会相应增加。因此要通过"每日安全检查"这一系统性流程，及时排除环境中的安全隐患，确保护理环境的安全可控。</w:t>
      </w:r>
    </w:p>
    <w:p w14:paraId="70FD541D">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 xml:space="preserve">3. </w:t>
      </w:r>
      <w:r>
        <w:rPr>
          <w:rFonts w:hint="default" w:ascii="仿宋_GB2312" w:hAnsi="仿宋_GB2312" w:eastAsia="仿宋_GB2312" w:cs="仿宋_GB2312"/>
          <w:b/>
          <w:bCs w:val="0"/>
          <w:color w:val="auto"/>
          <w:sz w:val="28"/>
          <w:szCs w:val="28"/>
          <w:highlight w:val="none"/>
          <w:lang w:val="en-US" w:eastAsia="zh-CN"/>
        </w:rPr>
        <w:t>二级护理</w:t>
      </w:r>
    </w:p>
    <w:p w14:paraId="19C83437">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3.1 二级护理患者病情趋于稳定，风险显著降低。将封闭病区巡视频率设定为60分钟一次，开放病区2小时一次，是基于患者病情特点的合理设置。这一频率既能保证必要的安全监控，又能为患者提供更为宽松的康复环境。</w:t>
      </w:r>
    </w:p>
    <w:p w14:paraId="26166FFF">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3.2 二级护理患者处于康复过渡期，需要通过"半开放式管理"逐步适应社会环境。每日安排1-2次、每次1-2小时的户外活动，既能提供接近真实社会环境的活动体验，又能在陪护下确保安全，是在促进社会功能恢复与管控残余风险之间的合理平衡。</w:t>
      </w:r>
    </w:p>
    <w:p w14:paraId="5E731DC7">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3.3 康复期患者的心理需求从急性危机干预转向社会适应和疾病管理。开展"团体心理护理"能够利用团体动力和同伴支持，更有效地解决患者共同面临的心理社会问题，促进其心理社会功能的恢复。</w:t>
      </w:r>
    </w:p>
    <w:p w14:paraId="3920295B">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3.4 《精神科护理学》（第四版）明确规定了二级护理患者的生命体征监测标准。本标准与之保持一致，体现了对患者生理状况的持续关注，同时符合病情稳定期患者的监护需求。</w:t>
      </w:r>
    </w:p>
    <w:p w14:paraId="1E272C94">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color w:val="auto"/>
          <w:highlight w:val="none"/>
        </w:rPr>
      </w:pPr>
      <w:r>
        <w:rPr>
          <w:color w:val="auto"/>
          <w:highlight w:val="none"/>
        </w:rPr>
        <w:drawing>
          <wp:inline distT="0" distB="0" distL="114300" distR="114300">
            <wp:extent cx="4249420" cy="1626870"/>
            <wp:effectExtent l="9525" t="9525" r="27305" b="20955"/>
            <wp:docPr id="1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0"/>
                    <pic:cNvPicPr>
                      <a:picLocks noChangeAspect="1"/>
                    </pic:cNvPicPr>
                  </pic:nvPicPr>
                  <pic:blipFill>
                    <a:blip r:embed="rId22"/>
                    <a:stretch>
                      <a:fillRect/>
                    </a:stretch>
                  </pic:blipFill>
                  <pic:spPr>
                    <a:xfrm>
                      <a:off x="0" y="0"/>
                      <a:ext cx="4249420" cy="1626870"/>
                    </a:xfrm>
                    <a:prstGeom prst="rect">
                      <a:avLst/>
                    </a:prstGeom>
                    <a:noFill/>
                    <a:ln>
                      <a:solidFill>
                        <a:schemeClr val="tx1"/>
                      </a:solidFill>
                    </a:ln>
                  </pic:spPr>
                </pic:pic>
              </a:graphicData>
            </a:graphic>
          </wp:inline>
        </w:drawing>
      </w:r>
    </w:p>
    <w:p w14:paraId="3F1DD9FB">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eastAsia="黑体"/>
          <w:color w:val="auto"/>
          <w:highlight w:val="none"/>
          <w:lang w:val="en-US" w:eastAsia="zh-CN"/>
        </w:rPr>
      </w:pPr>
      <w:r>
        <w:rPr>
          <w:rFonts w:hint="eastAsia"/>
          <w:color w:val="auto"/>
          <w:highlight w:val="none"/>
          <w:lang w:eastAsia="zh-CN"/>
        </w:rPr>
        <w:t>来源：刘哲宁, 杨芳宇, 许冬梅. 精神科护理学[M]. 4版. 北京: 人民卫生出版社, 2017.</w:t>
      </w:r>
    </w:p>
    <w:p w14:paraId="5303C12B">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4. 三级护理</w:t>
      </w:r>
    </w:p>
    <w:p w14:paraId="4CB42420">
      <w:pPr>
        <w:pStyle w:val="32"/>
        <w:keepNext w:val="0"/>
        <w:keepLines w:val="0"/>
        <w:pageBreakBefore w:val="0"/>
        <w:widowControl w:val="0"/>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4.1 三级护理适用于病情稳定、处于康复期的患者，其安全风险已显著降低，护理目标转为促进社会功能全面恢复。将封闭病区巡视频率设为120分钟一次，是为患者提供足够的自主活动空间，以观察和评估其在接近正常环境下的真实社会适应能力。观察重点从急性期症状转向"日常活动和沟通交流"，标志着护理评估标准已从疾病控制转向功能恢复</w:t>
      </w:r>
    </w:p>
    <w:p w14:paraId="394FE11B">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4.2 三级护理患者需为重返社会做准备。"每日到户外活动1～2次，每次1～2小时"的频率设计，是基于康复医学的渐进原则。该安排既能保证患者逐步适应社区生活节奏，又能在医护人员看护下安全进行，是实现机构照护向社区生活过渡的平衡措施。</w:t>
      </w:r>
    </w:p>
    <w:p w14:paraId="5155A94A">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4.3 每日测体温、脉搏、呼吸1次或遵医嘱，每日记录患者大小便次数（或量）1次，每周测血压1次，每月测体重1次，女性患者每月记录月经情况等的监测频率符合《精神科护理学》（第四版）对三级护理患者生理状况的监测要求。患者病情稳定，监测重点转向追踪长期趋势（如体重变化反映药物代谢影响）和确保基本生理状况稳定。此设定既满足临床监测需要，又避免过度医疗。</w:t>
      </w:r>
    </w:p>
    <w:p w14:paraId="781299D2">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eastAsia" w:ascii="仿宋_GB2312" w:hAnsi="仿宋_GB2312" w:eastAsia="仿宋_GB2312" w:cs="仿宋_GB2312"/>
          <w:b w:val="0"/>
          <w:bCs/>
          <w:color w:val="auto"/>
          <w:sz w:val="28"/>
          <w:szCs w:val="28"/>
          <w:highlight w:val="none"/>
          <w:lang w:val="en-US" w:eastAsia="zh-CN"/>
        </w:rPr>
      </w:pPr>
      <w:r>
        <w:rPr>
          <w:color w:val="auto"/>
          <w:highlight w:val="none"/>
        </w:rPr>
        <w:drawing>
          <wp:inline distT="0" distB="0" distL="114300" distR="114300">
            <wp:extent cx="4248150" cy="1762125"/>
            <wp:effectExtent l="9525" t="9525" r="9525" b="19050"/>
            <wp:docPr id="2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1"/>
                    <pic:cNvPicPr>
                      <a:picLocks noChangeAspect="1"/>
                    </pic:cNvPicPr>
                  </pic:nvPicPr>
                  <pic:blipFill>
                    <a:blip r:embed="rId23"/>
                    <a:stretch>
                      <a:fillRect/>
                    </a:stretch>
                  </pic:blipFill>
                  <pic:spPr>
                    <a:xfrm>
                      <a:off x="0" y="0"/>
                      <a:ext cx="4248150" cy="1762125"/>
                    </a:xfrm>
                    <a:prstGeom prst="rect">
                      <a:avLst/>
                    </a:prstGeom>
                    <a:noFill/>
                    <a:ln>
                      <a:solidFill>
                        <a:schemeClr val="tx1"/>
                      </a:solidFill>
                    </a:ln>
                  </pic:spPr>
                </pic:pic>
              </a:graphicData>
            </a:graphic>
          </wp:inline>
        </w:drawing>
      </w:r>
    </w:p>
    <w:p w14:paraId="11ECA91A">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240" w:lineRule="auto"/>
        <w:ind w:left="0" w:leftChars="0" w:firstLine="0" w:firstLineChars="0"/>
        <w:jc w:val="center"/>
        <w:textAlignment w:val="auto"/>
        <w:rPr>
          <w:rFonts w:hint="default"/>
          <w:color w:val="auto"/>
          <w:highlight w:val="none"/>
          <w:lang w:val="en-US" w:eastAsia="zh-CN"/>
        </w:rPr>
      </w:pPr>
      <w:r>
        <w:rPr>
          <w:rFonts w:hint="eastAsia"/>
          <w:color w:val="auto"/>
          <w:highlight w:val="none"/>
          <w:lang w:eastAsia="zh-CN"/>
        </w:rPr>
        <w:t>来源：刘哲宁, 杨芳宇, 许冬梅. 精神科护理学[M]. 4版. 北京: 人民卫生出版社, 2017.</w:t>
      </w:r>
    </w:p>
    <w:p w14:paraId="5325F63E">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4.4 出院不是治疗的结束，而是长期康复的开始。患者能否在院外持续康复，取决于出院前的准备是否充分。必须将“出院指导”作为三级护理的强制性核心内容，这是确保院内院外护理无缝衔接、防止病情反复的确定性保障。</w:t>
      </w:r>
    </w:p>
    <w:p w14:paraId="3A7CEB1A">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bCs w:val="0"/>
          <w:color w:val="auto"/>
          <w:sz w:val="28"/>
          <w:szCs w:val="28"/>
          <w:highlight w:val="none"/>
          <w:lang w:val="en-US" w:eastAsia="zh-CN"/>
        </w:rPr>
      </w:pPr>
      <w:r>
        <w:rPr>
          <w:rFonts w:hint="eastAsia" w:ascii="仿宋_GB2312" w:hAnsi="仿宋_GB2312" w:eastAsia="仿宋_GB2312" w:cs="仿宋_GB2312"/>
          <w:b/>
          <w:bCs w:val="0"/>
          <w:color w:val="auto"/>
          <w:sz w:val="28"/>
          <w:szCs w:val="28"/>
          <w:highlight w:val="none"/>
          <w:lang w:val="en-US" w:eastAsia="zh-CN"/>
        </w:rPr>
        <w:t>（六）服务评价与改进</w:t>
      </w:r>
    </w:p>
    <w:p w14:paraId="5576EDC6">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1. 为确保分级护理服务的规范性和一致性，必须建立明确的质量标准作为评价依据。通过实施日常检查、周期性检查与定期回访相结合的内部评价机制，可系统性地收集服务质量数据，实现对护理工作的持续监督与客观评估。</w:t>
      </w:r>
    </w:p>
    <w:p w14:paraId="04A14233">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2. 为克服内部评价的局限性，需引入多元外部评价主体。通过患者满意度调查、独立第三方评估、社会监督及意见反馈等渠道，获取客观中立的服务质量信息，全面反映护理工作的实际效果与社会评价。</w:t>
      </w:r>
    </w:p>
    <w:p w14:paraId="4886E9CF">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3. 为实现服务质量的持续改进，必须建立问题处置的闭环管理机制。通过及时反馈问题、深入分析根本原因、制定针对性整改方案并确保有效落实，形成完整的"评价-分析-改进-验证"管理循环，确保护理服务质量的螺旋式提升。</w:t>
      </w:r>
    </w:p>
    <w:p w14:paraId="53ACF044">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p>
    <w:p w14:paraId="0017D0D3">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default" w:ascii="仿宋_GB2312" w:hAnsi="仿宋_GB2312" w:eastAsia="仿宋_GB2312" w:cs="仿宋_GB2312"/>
          <w:b w:val="0"/>
          <w:bCs/>
          <w:color w:val="auto"/>
          <w:sz w:val="28"/>
          <w:szCs w:val="28"/>
          <w:highlight w:val="none"/>
          <w:lang w:val="en-US" w:eastAsia="zh-CN"/>
        </w:rPr>
      </w:pPr>
      <w:r>
        <w:rPr>
          <w:rFonts w:hint="default" w:ascii="仿宋_GB2312" w:hAnsi="仿宋_GB2312" w:eastAsia="仿宋_GB2312" w:cs="仿宋_GB2312"/>
          <w:b w:val="0"/>
          <w:bCs/>
          <w:color w:val="auto"/>
          <w:sz w:val="28"/>
          <w:szCs w:val="28"/>
          <w:highlight w:val="none"/>
          <w:lang w:val="en-US" w:eastAsia="zh-CN"/>
        </w:rPr>
        <w:t>下表是住院精神障碍患者分级护理记录：</w:t>
      </w:r>
    </w:p>
    <w:p w14:paraId="1D601145">
      <w:pPr>
        <w:pStyle w:val="32"/>
        <w:keepNext w:val="0"/>
        <w:keepLines w:val="0"/>
        <w:pageBreakBefore w:val="0"/>
        <w:widowControl w:val="0"/>
        <w:kinsoku/>
        <w:wordWrap/>
        <w:overflowPunct/>
        <w:topLinePunct w:val="0"/>
        <w:bidi w:val="0"/>
        <w:spacing w:line="520" w:lineRule="exact"/>
        <w:ind w:firstLine="0" w:firstLineChars="0"/>
        <w:jc w:val="center"/>
        <w:rPr>
          <w:rFonts w:hint="eastAsia" w:ascii="黑体" w:hAnsi="黑体" w:eastAsia="黑体" w:cs="黑体"/>
          <w:bCs/>
          <w:color w:val="auto"/>
          <w:sz w:val="24"/>
          <w:szCs w:val="24"/>
          <w:highlight w:val="none"/>
        </w:rPr>
      </w:pPr>
      <w:r>
        <w:rPr>
          <w:rFonts w:hint="eastAsia" w:ascii="黑体" w:hAnsi="黑体" w:eastAsia="黑体" w:cs="黑体"/>
          <w:bCs/>
          <w:color w:val="auto"/>
          <w:sz w:val="24"/>
          <w:szCs w:val="24"/>
          <w:highlight w:val="none"/>
        </w:rPr>
        <w:t>治疗记录</w:t>
      </w:r>
    </w:p>
    <w:tbl>
      <w:tblPr>
        <w:tblStyle w:val="17"/>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0"/>
        <w:gridCol w:w="1666"/>
        <w:gridCol w:w="2042"/>
        <w:gridCol w:w="2143"/>
        <w:gridCol w:w="2601"/>
      </w:tblGrid>
      <w:tr w14:paraId="69E418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trPr>
        <w:tc>
          <w:tcPr>
            <w:tcW w:w="980" w:type="dxa"/>
            <w:vAlign w:val="center"/>
          </w:tcPr>
          <w:p w14:paraId="5211FC43">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年份</w:t>
            </w:r>
          </w:p>
        </w:tc>
        <w:tc>
          <w:tcPr>
            <w:tcW w:w="1666" w:type="dxa"/>
            <w:vAlign w:val="center"/>
          </w:tcPr>
          <w:p w14:paraId="20680D18">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实际护理方法</w:t>
            </w:r>
          </w:p>
        </w:tc>
        <w:tc>
          <w:tcPr>
            <w:tcW w:w="2042" w:type="dxa"/>
            <w:vAlign w:val="center"/>
          </w:tcPr>
          <w:p w14:paraId="7FC775CF">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eastAsia="zh-CN"/>
              </w:rPr>
            </w:pPr>
            <w:r>
              <w:rPr>
                <w:rFonts w:hint="eastAsia" w:ascii="仿宋_GB2312" w:eastAsia="仿宋_GB2312" w:cs="仿宋"/>
                <w:bCs/>
                <w:color w:val="auto"/>
                <w:sz w:val="24"/>
                <w:szCs w:val="24"/>
                <w:highlight w:val="none"/>
                <w:lang w:eastAsia="zh-CN"/>
              </w:rPr>
              <w:t>人数</w:t>
            </w:r>
          </w:p>
        </w:tc>
        <w:tc>
          <w:tcPr>
            <w:tcW w:w="2143" w:type="dxa"/>
            <w:vAlign w:val="center"/>
          </w:tcPr>
          <w:p w14:paraId="7093D06A">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护理效果</w:t>
            </w:r>
          </w:p>
        </w:tc>
        <w:tc>
          <w:tcPr>
            <w:tcW w:w="2601" w:type="dxa"/>
            <w:vAlign w:val="center"/>
          </w:tcPr>
          <w:p w14:paraId="462F5FFD">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ascii="仿宋_GB2312" w:eastAsia="仿宋_GB2312" w:cs="仿宋"/>
                <w:bCs/>
                <w:color w:val="auto"/>
                <w:sz w:val="24"/>
                <w:szCs w:val="24"/>
                <w:highlight w:val="none"/>
              </w:rPr>
            </w:pPr>
            <w:r>
              <w:rPr>
                <w:rFonts w:hint="eastAsia" w:ascii="仿宋_GB2312" w:eastAsia="仿宋_GB2312" w:cs="仿宋"/>
                <w:bCs/>
                <w:color w:val="auto"/>
                <w:sz w:val="24"/>
                <w:szCs w:val="24"/>
                <w:highlight w:val="none"/>
              </w:rPr>
              <w:t>核心指标的分析确定</w:t>
            </w:r>
          </w:p>
        </w:tc>
      </w:tr>
      <w:tr w14:paraId="36C5BC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trPr>
        <w:tc>
          <w:tcPr>
            <w:tcW w:w="980" w:type="dxa"/>
            <w:vMerge w:val="restart"/>
            <w:vAlign w:val="center"/>
          </w:tcPr>
          <w:p w14:paraId="6F38A9E3">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2022</w:t>
            </w:r>
          </w:p>
        </w:tc>
        <w:tc>
          <w:tcPr>
            <w:tcW w:w="1666" w:type="dxa"/>
            <w:vAlign w:val="center"/>
          </w:tcPr>
          <w:p w14:paraId="5A64FD60">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特级护理</w:t>
            </w:r>
          </w:p>
        </w:tc>
        <w:tc>
          <w:tcPr>
            <w:tcW w:w="2042" w:type="dxa"/>
            <w:vAlign w:val="center"/>
          </w:tcPr>
          <w:p w14:paraId="4EF3FEDD">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bidi="ar-SA"/>
              </w:rPr>
              <w:t>11</w:t>
            </w:r>
          </w:p>
        </w:tc>
        <w:tc>
          <w:tcPr>
            <w:tcW w:w="2143" w:type="dxa"/>
            <w:vMerge w:val="restart"/>
            <w:vAlign w:val="center"/>
          </w:tcPr>
          <w:p w14:paraId="1A958683">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240" w:firstLineChars="100"/>
              <w:jc w:val="both"/>
              <w:textAlignment w:val="auto"/>
              <w:rPr>
                <w:rFonts w:hint="default" w:ascii="仿宋_GB2312" w:hAnsi="Calibri" w:eastAsia="仿宋_GB2312" w:cs="仿宋"/>
                <w:bCs/>
                <w:color w:val="auto"/>
                <w:sz w:val="24"/>
                <w:szCs w:val="24"/>
                <w:highlight w:val="none"/>
                <w:lang w:val="en-US" w:eastAsia="zh-CN" w:bidi="ar-SA"/>
              </w:rPr>
            </w:pPr>
            <w:r>
              <w:rPr>
                <w:rFonts w:hint="eastAsia" w:ascii="仿宋_GB2312" w:hAnsi="Calibri" w:eastAsia="仿宋_GB2312" w:cs="仿宋"/>
                <w:bCs/>
                <w:color w:val="auto"/>
                <w:sz w:val="24"/>
                <w:szCs w:val="24"/>
                <w:highlight w:val="none"/>
                <w:lang w:val="en-US" w:eastAsia="zh-CN" w:bidi="ar-SA"/>
              </w:rPr>
              <w:t>护理效果好，患者满意度95%以上</w:t>
            </w:r>
          </w:p>
        </w:tc>
        <w:tc>
          <w:tcPr>
            <w:tcW w:w="2601" w:type="dxa"/>
            <w:vAlign w:val="center"/>
          </w:tcPr>
          <w:p w14:paraId="5D15892C">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rPr>
            </w:pPr>
          </w:p>
        </w:tc>
      </w:tr>
      <w:tr w14:paraId="211680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80" w:type="dxa"/>
            <w:vMerge w:val="continue"/>
            <w:vAlign w:val="center"/>
          </w:tcPr>
          <w:p w14:paraId="21F15C63">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ascii="仿宋_GB2312" w:eastAsia="仿宋_GB2312" w:cs="仿宋"/>
                <w:bCs/>
                <w:color w:val="auto"/>
                <w:sz w:val="24"/>
                <w:szCs w:val="24"/>
                <w:highlight w:val="none"/>
                <w:lang w:val="en-US" w:eastAsia="zh-CN"/>
              </w:rPr>
            </w:pPr>
          </w:p>
        </w:tc>
        <w:tc>
          <w:tcPr>
            <w:tcW w:w="1666" w:type="dxa"/>
            <w:vAlign w:val="center"/>
          </w:tcPr>
          <w:p w14:paraId="3F086CFB">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一级护理</w:t>
            </w:r>
          </w:p>
        </w:tc>
        <w:tc>
          <w:tcPr>
            <w:tcW w:w="2042" w:type="dxa"/>
            <w:vAlign w:val="center"/>
          </w:tcPr>
          <w:p w14:paraId="3349B6E8">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8062</w:t>
            </w:r>
          </w:p>
        </w:tc>
        <w:tc>
          <w:tcPr>
            <w:tcW w:w="2143" w:type="dxa"/>
            <w:vMerge w:val="continue"/>
            <w:shd w:val="clear" w:color="auto" w:fill="auto"/>
            <w:vAlign w:val="center"/>
          </w:tcPr>
          <w:p w14:paraId="59B58D45">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240" w:firstLineChars="100"/>
              <w:jc w:val="both"/>
              <w:textAlignment w:val="auto"/>
              <w:rPr>
                <w:rFonts w:hint="default" w:ascii="仿宋_GB2312" w:hAnsi="Calibri" w:eastAsia="仿宋_GB2312" w:cs="仿宋"/>
                <w:bCs/>
                <w:color w:val="auto"/>
                <w:sz w:val="24"/>
                <w:szCs w:val="24"/>
                <w:highlight w:val="none"/>
                <w:lang w:val="en-US" w:eastAsia="zh-CN" w:bidi="ar-SA"/>
              </w:rPr>
            </w:pPr>
          </w:p>
        </w:tc>
        <w:tc>
          <w:tcPr>
            <w:tcW w:w="2601" w:type="dxa"/>
            <w:vMerge w:val="restart"/>
            <w:vAlign w:val="center"/>
          </w:tcPr>
          <w:p w14:paraId="3E652BE5">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240" w:firstLineChars="100"/>
              <w:jc w:val="both"/>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临床护理执行到位，分级护理质量控制指标在94%以上</w:t>
            </w:r>
          </w:p>
        </w:tc>
      </w:tr>
      <w:tr w14:paraId="628417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80" w:type="dxa"/>
            <w:vMerge w:val="continue"/>
            <w:vAlign w:val="center"/>
          </w:tcPr>
          <w:p w14:paraId="24EE11BF">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color w:val="auto"/>
                <w:highlight w:val="none"/>
              </w:rPr>
            </w:pPr>
          </w:p>
        </w:tc>
        <w:tc>
          <w:tcPr>
            <w:tcW w:w="1666" w:type="dxa"/>
            <w:vAlign w:val="center"/>
          </w:tcPr>
          <w:p w14:paraId="0BFC24F8">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二级护理</w:t>
            </w:r>
          </w:p>
        </w:tc>
        <w:tc>
          <w:tcPr>
            <w:tcW w:w="2042" w:type="dxa"/>
            <w:vAlign w:val="center"/>
          </w:tcPr>
          <w:p w14:paraId="25BC8918">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8692</w:t>
            </w:r>
          </w:p>
        </w:tc>
        <w:tc>
          <w:tcPr>
            <w:tcW w:w="2143" w:type="dxa"/>
            <w:vMerge w:val="continue"/>
            <w:shd w:val="clear" w:color="auto" w:fill="auto"/>
            <w:vAlign w:val="center"/>
          </w:tcPr>
          <w:p w14:paraId="1A0B7C4B">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p>
        </w:tc>
        <w:tc>
          <w:tcPr>
            <w:tcW w:w="2601" w:type="dxa"/>
            <w:vMerge w:val="continue"/>
            <w:vAlign w:val="center"/>
          </w:tcPr>
          <w:p w14:paraId="625E90B1">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p>
        </w:tc>
      </w:tr>
      <w:tr w14:paraId="54FA8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80" w:type="dxa"/>
            <w:vMerge w:val="continue"/>
            <w:vAlign w:val="center"/>
          </w:tcPr>
          <w:p w14:paraId="46C5D8E2">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color w:val="auto"/>
                <w:highlight w:val="none"/>
              </w:rPr>
            </w:pPr>
          </w:p>
        </w:tc>
        <w:tc>
          <w:tcPr>
            <w:tcW w:w="1666" w:type="dxa"/>
            <w:vAlign w:val="center"/>
          </w:tcPr>
          <w:p w14:paraId="4375B470">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三级护理</w:t>
            </w:r>
          </w:p>
        </w:tc>
        <w:tc>
          <w:tcPr>
            <w:tcW w:w="2042" w:type="dxa"/>
            <w:vAlign w:val="center"/>
          </w:tcPr>
          <w:p w14:paraId="2914664D">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25</w:t>
            </w:r>
          </w:p>
        </w:tc>
        <w:tc>
          <w:tcPr>
            <w:tcW w:w="2143" w:type="dxa"/>
            <w:vMerge w:val="continue"/>
            <w:shd w:val="clear" w:color="auto" w:fill="auto"/>
            <w:vAlign w:val="center"/>
          </w:tcPr>
          <w:p w14:paraId="29905C84">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p>
        </w:tc>
        <w:tc>
          <w:tcPr>
            <w:tcW w:w="2601" w:type="dxa"/>
            <w:vMerge w:val="continue"/>
            <w:vAlign w:val="center"/>
          </w:tcPr>
          <w:p w14:paraId="58F34F2F">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p>
        </w:tc>
      </w:tr>
      <w:tr w14:paraId="611B84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980" w:type="dxa"/>
            <w:vMerge w:val="restart"/>
            <w:vAlign w:val="center"/>
          </w:tcPr>
          <w:p w14:paraId="54C38F29">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2023</w:t>
            </w:r>
          </w:p>
        </w:tc>
        <w:tc>
          <w:tcPr>
            <w:tcW w:w="1666" w:type="dxa"/>
            <w:shd w:val="clear" w:color="auto" w:fill="auto"/>
            <w:vAlign w:val="center"/>
          </w:tcPr>
          <w:p w14:paraId="1E91C0DC">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特级护理</w:t>
            </w:r>
          </w:p>
        </w:tc>
        <w:tc>
          <w:tcPr>
            <w:tcW w:w="2042" w:type="dxa"/>
            <w:shd w:val="clear" w:color="auto" w:fill="auto"/>
            <w:vAlign w:val="center"/>
          </w:tcPr>
          <w:p w14:paraId="56F4A87D">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bidi="ar-SA"/>
              </w:rPr>
              <w:t>11</w:t>
            </w:r>
          </w:p>
        </w:tc>
        <w:tc>
          <w:tcPr>
            <w:tcW w:w="2143" w:type="dxa"/>
            <w:vMerge w:val="restart"/>
            <w:shd w:val="clear" w:color="auto" w:fill="auto"/>
            <w:vAlign w:val="center"/>
          </w:tcPr>
          <w:p w14:paraId="4A3E799E">
            <w:pPr>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240" w:firstLineChars="100"/>
              <w:jc w:val="both"/>
              <w:textAlignment w:val="auto"/>
              <w:rPr>
                <w:rFonts w:hint="eastAsia" w:ascii="仿宋_GB2312" w:hAnsi="Calibri" w:eastAsia="仿宋_GB2312" w:cs="仿宋"/>
                <w:bCs/>
                <w:color w:val="auto"/>
                <w:sz w:val="24"/>
                <w:szCs w:val="24"/>
                <w:highlight w:val="none"/>
                <w:lang w:val="en-US" w:eastAsia="zh-CN" w:bidi="ar-SA"/>
              </w:rPr>
            </w:pPr>
            <w:r>
              <w:rPr>
                <w:rFonts w:hint="eastAsia" w:ascii="仿宋_GB2312" w:hAnsi="Calibri" w:eastAsia="仿宋_GB2312" w:cs="仿宋"/>
                <w:bCs/>
                <w:color w:val="auto"/>
                <w:sz w:val="24"/>
                <w:szCs w:val="24"/>
                <w:highlight w:val="none"/>
                <w:lang w:val="en-US" w:eastAsia="zh-CN" w:bidi="ar-SA"/>
              </w:rPr>
              <w:t>护理效果好，患者满意度95%以上</w:t>
            </w:r>
          </w:p>
          <w:p w14:paraId="200DF701">
            <w:pPr>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240" w:firstLineChars="100"/>
              <w:jc w:val="both"/>
              <w:textAlignment w:val="auto"/>
              <w:rPr>
                <w:rFonts w:hint="default" w:ascii="仿宋_GB2312" w:hAnsi="Calibri" w:eastAsia="仿宋_GB2312" w:cs="仿宋"/>
                <w:bCs/>
                <w:color w:val="auto"/>
                <w:sz w:val="24"/>
                <w:szCs w:val="24"/>
                <w:highlight w:val="none"/>
                <w:lang w:val="en-US" w:eastAsia="zh-CN" w:bidi="ar-SA"/>
              </w:rPr>
            </w:pPr>
            <w:r>
              <w:rPr>
                <w:rFonts w:hint="eastAsia" w:ascii="仿宋_GB2312" w:hAnsi="Calibri" w:eastAsia="仿宋_GB2312" w:cs="仿宋"/>
                <w:bCs/>
                <w:color w:val="auto"/>
                <w:sz w:val="24"/>
                <w:szCs w:val="24"/>
                <w:highlight w:val="none"/>
                <w:lang w:val="en-US" w:eastAsia="zh-CN" w:bidi="ar-SA"/>
              </w:rPr>
              <w:t>护理效果好，患者满意度95%以上</w:t>
            </w:r>
          </w:p>
        </w:tc>
        <w:tc>
          <w:tcPr>
            <w:tcW w:w="2601" w:type="dxa"/>
            <w:vMerge w:val="continue"/>
            <w:vAlign w:val="center"/>
          </w:tcPr>
          <w:p w14:paraId="68F34A5C">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240" w:firstLineChars="100"/>
              <w:jc w:val="both"/>
              <w:textAlignment w:val="auto"/>
              <w:rPr>
                <w:rFonts w:hint="default" w:ascii="仿宋_GB2312" w:eastAsia="仿宋_GB2312" w:cs="仿宋"/>
                <w:bCs/>
                <w:color w:val="auto"/>
                <w:sz w:val="24"/>
                <w:szCs w:val="24"/>
                <w:highlight w:val="none"/>
              </w:rPr>
            </w:pPr>
          </w:p>
        </w:tc>
      </w:tr>
      <w:tr w14:paraId="76921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980" w:type="dxa"/>
            <w:vMerge w:val="continue"/>
            <w:vAlign w:val="center"/>
          </w:tcPr>
          <w:p w14:paraId="09FFCB3B">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p>
        </w:tc>
        <w:tc>
          <w:tcPr>
            <w:tcW w:w="1666" w:type="dxa"/>
            <w:shd w:val="clear" w:color="auto" w:fill="auto"/>
            <w:vAlign w:val="center"/>
          </w:tcPr>
          <w:p w14:paraId="45C1ACBB">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一级护理</w:t>
            </w:r>
          </w:p>
        </w:tc>
        <w:tc>
          <w:tcPr>
            <w:tcW w:w="2042" w:type="dxa"/>
            <w:shd w:val="clear" w:color="auto" w:fill="auto"/>
            <w:vAlign w:val="center"/>
          </w:tcPr>
          <w:p w14:paraId="3699E5F2">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9080</w:t>
            </w:r>
          </w:p>
        </w:tc>
        <w:tc>
          <w:tcPr>
            <w:tcW w:w="2143" w:type="dxa"/>
            <w:vMerge w:val="continue"/>
            <w:shd w:val="clear" w:color="auto" w:fill="auto"/>
            <w:vAlign w:val="center"/>
          </w:tcPr>
          <w:p w14:paraId="69F7E54F">
            <w:pPr>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240" w:firstLineChars="100"/>
              <w:jc w:val="both"/>
              <w:textAlignment w:val="auto"/>
              <w:rPr>
                <w:rFonts w:hint="eastAsia" w:ascii="仿宋_GB2312" w:hAnsi="Calibri" w:eastAsia="仿宋_GB2312" w:cs="仿宋"/>
                <w:bCs/>
                <w:color w:val="auto"/>
                <w:sz w:val="24"/>
                <w:szCs w:val="24"/>
                <w:highlight w:val="none"/>
                <w:lang w:val="en-US" w:eastAsia="zh-CN" w:bidi="ar-SA"/>
              </w:rPr>
            </w:pPr>
          </w:p>
        </w:tc>
        <w:tc>
          <w:tcPr>
            <w:tcW w:w="2601" w:type="dxa"/>
            <w:vMerge w:val="continue"/>
            <w:vAlign w:val="center"/>
          </w:tcPr>
          <w:p w14:paraId="0AE5E61B">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240" w:firstLineChars="100"/>
              <w:jc w:val="both"/>
              <w:textAlignment w:val="auto"/>
              <w:rPr>
                <w:rFonts w:hint="default" w:ascii="仿宋_GB2312" w:eastAsia="仿宋_GB2312" w:cs="仿宋"/>
                <w:bCs/>
                <w:color w:val="auto"/>
                <w:sz w:val="24"/>
                <w:szCs w:val="24"/>
                <w:highlight w:val="none"/>
              </w:rPr>
            </w:pPr>
          </w:p>
        </w:tc>
      </w:tr>
      <w:tr w14:paraId="608314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980" w:type="dxa"/>
            <w:vMerge w:val="continue"/>
            <w:vAlign w:val="center"/>
          </w:tcPr>
          <w:p w14:paraId="4875C63E">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color w:val="auto"/>
                <w:highlight w:val="none"/>
              </w:rPr>
            </w:pPr>
          </w:p>
        </w:tc>
        <w:tc>
          <w:tcPr>
            <w:tcW w:w="1666" w:type="dxa"/>
            <w:shd w:val="clear" w:color="auto" w:fill="auto"/>
            <w:vAlign w:val="center"/>
          </w:tcPr>
          <w:p w14:paraId="5A71215C">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二级护理</w:t>
            </w:r>
          </w:p>
        </w:tc>
        <w:tc>
          <w:tcPr>
            <w:tcW w:w="2042" w:type="dxa"/>
            <w:shd w:val="clear" w:color="auto" w:fill="auto"/>
            <w:vAlign w:val="center"/>
          </w:tcPr>
          <w:p w14:paraId="4EFDBD79">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10735</w:t>
            </w:r>
          </w:p>
        </w:tc>
        <w:tc>
          <w:tcPr>
            <w:tcW w:w="2143" w:type="dxa"/>
            <w:vMerge w:val="continue"/>
            <w:shd w:val="clear" w:color="auto" w:fill="auto"/>
            <w:vAlign w:val="center"/>
          </w:tcPr>
          <w:p w14:paraId="65B7077D">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p>
        </w:tc>
        <w:tc>
          <w:tcPr>
            <w:tcW w:w="2601" w:type="dxa"/>
            <w:vMerge w:val="continue"/>
            <w:vAlign w:val="center"/>
          </w:tcPr>
          <w:p w14:paraId="24248BAB">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p>
        </w:tc>
      </w:tr>
      <w:tr w14:paraId="3142AC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980" w:type="dxa"/>
            <w:vMerge w:val="continue"/>
            <w:vAlign w:val="center"/>
          </w:tcPr>
          <w:p w14:paraId="5D61A01C">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color w:val="auto"/>
                <w:highlight w:val="none"/>
              </w:rPr>
            </w:pPr>
          </w:p>
        </w:tc>
        <w:tc>
          <w:tcPr>
            <w:tcW w:w="1666" w:type="dxa"/>
            <w:shd w:val="clear" w:color="auto" w:fill="auto"/>
            <w:vAlign w:val="center"/>
          </w:tcPr>
          <w:p w14:paraId="05EE19E3">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三级护理</w:t>
            </w:r>
          </w:p>
        </w:tc>
        <w:tc>
          <w:tcPr>
            <w:tcW w:w="2042" w:type="dxa"/>
            <w:shd w:val="clear" w:color="auto" w:fill="auto"/>
            <w:vAlign w:val="center"/>
          </w:tcPr>
          <w:p w14:paraId="09997B12">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w:t>
            </w:r>
          </w:p>
        </w:tc>
        <w:tc>
          <w:tcPr>
            <w:tcW w:w="2143" w:type="dxa"/>
            <w:vMerge w:val="continue"/>
            <w:shd w:val="clear" w:color="auto" w:fill="auto"/>
            <w:vAlign w:val="center"/>
          </w:tcPr>
          <w:p w14:paraId="6EB0E7E1">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p>
        </w:tc>
        <w:tc>
          <w:tcPr>
            <w:tcW w:w="2601" w:type="dxa"/>
            <w:vMerge w:val="continue"/>
            <w:vAlign w:val="center"/>
          </w:tcPr>
          <w:p w14:paraId="1D80C256">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p>
        </w:tc>
      </w:tr>
      <w:tr w14:paraId="3502EB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980" w:type="dxa"/>
            <w:vMerge w:val="restart"/>
            <w:vAlign w:val="center"/>
          </w:tcPr>
          <w:p w14:paraId="7C29D170">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2024</w:t>
            </w:r>
          </w:p>
        </w:tc>
        <w:tc>
          <w:tcPr>
            <w:tcW w:w="1666" w:type="dxa"/>
            <w:shd w:val="clear" w:color="auto" w:fill="auto"/>
            <w:vAlign w:val="center"/>
          </w:tcPr>
          <w:p w14:paraId="0529362F">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特级护理</w:t>
            </w:r>
          </w:p>
        </w:tc>
        <w:tc>
          <w:tcPr>
            <w:tcW w:w="2042" w:type="dxa"/>
            <w:shd w:val="clear" w:color="auto" w:fill="auto"/>
            <w:vAlign w:val="center"/>
          </w:tcPr>
          <w:p w14:paraId="53084BDB">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bidi="ar-SA"/>
              </w:rPr>
              <w:t>7</w:t>
            </w:r>
          </w:p>
        </w:tc>
        <w:tc>
          <w:tcPr>
            <w:tcW w:w="2143" w:type="dxa"/>
            <w:vMerge w:val="restart"/>
            <w:shd w:val="clear" w:color="auto" w:fill="auto"/>
            <w:vAlign w:val="center"/>
          </w:tcPr>
          <w:p w14:paraId="05F00414">
            <w:pPr>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240" w:firstLineChars="100"/>
              <w:jc w:val="both"/>
              <w:textAlignment w:val="auto"/>
              <w:rPr>
                <w:rFonts w:hint="eastAsia" w:ascii="仿宋_GB2312" w:hAnsi="Calibri" w:eastAsia="仿宋_GB2312" w:cs="仿宋"/>
                <w:bCs/>
                <w:color w:val="auto"/>
                <w:sz w:val="24"/>
                <w:szCs w:val="24"/>
                <w:highlight w:val="none"/>
                <w:lang w:val="en-US" w:eastAsia="zh-CN" w:bidi="ar-SA"/>
              </w:rPr>
            </w:pPr>
            <w:r>
              <w:rPr>
                <w:rFonts w:hint="eastAsia" w:ascii="仿宋_GB2312" w:hAnsi="Calibri" w:eastAsia="仿宋_GB2312" w:cs="仿宋"/>
                <w:bCs/>
                <w:color w:val="auto"/>
                <w:sz w:val="24"/>
                <w:szCs w:val="24"/>
                <w:highlight w:val="none"/>
                <w:lang w:val="en-US" w:eastAsia="zh-CN" w:bidi="ar-SA"/>
              </w:rPr>
              <w:t>护理效果好，患者满意度95%以上</w:t>
            </w:r>
          </w:p>
          <w:p w14:paraId="5BFED3F7">
            <w:pPr>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240" w:firstLineChars="100"/>
              <w:jc w:val="both"/>
              <w:textAlignment w:val="auto"/>
              <w:rPr>
                <w:rFonts w:hint="default" w:ascii="仿宋_GB2312" w:hAnsi="Calibri" w:eastAsia="仿宋_GB2312" w:cs="仿宋"/>
                <w:bCs/>
                <w:color w:val="auto"/>
                <w:sz w:val="24"/>
                <w:szCs w:val="24"/>
                <w:highlight w:val="none"/>
                <w:lang w:val="en-US" w:eastAsia="zh-CN" w:bidi="ar-SA"/>
              </w:rPr>
            </w:pPr>
            <w:r>
              <w:rPr>
                <w:rFonts w:hint="eastAsia" w:ascii="仿宋_GB2312" w:hAnsi="Calibri" w:eastAsia="仿宋_GB2312" w:cs="仿宋"/>
                <w:bCs/>
                <w:color w:val="auto"/>
                <w:sz w:val="24"/>
                <w:szCs w:val="24"/>
                <w:highlight w:val="none"/>
                <w:lang w:val="en-US" w:eastAsia="zh-CN" w:bidi="ar-SA"/>
              </w:rPr>
              <w:t>护理效果好，患者满意度95%以上</w:t>
            </w:r>
          </w:p>
        </w:tc>
        <w:tc>
          <w:tcPr>
            <w:tcW w:w="2601" w:type="dxa"/>
            <w:vMerge w:val="continue"/>
            <w:vAlign w:val="center"/>
          </w:tcPr>
          <w:p w14:paraId="153E97D3">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240" w:firstLineChars="100"/>
              <w:jc w:val="both"/>
              <w:textAlignment w:val="auto"/>
              <w:rPr>
                <w:rFonts w:hint="default" w:ascii="仿宋_GB2312" w:eastAsia="仿宋_GB2312" w:cs="仿宋"/>
                <w:bCs/>
                <w:color w:val="auto"/>
                <w:sz w:val="24"/>
                <w:szCs w:val="24"/>
                <w:highlight w:val="none"/>
              </w:rPr>
            </w:pPr>
          </w:p>
        </w:tc>
      </w:tr>
      <w:tr w14:paraId="2E3B86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980" w:type="dxa"/>
            <w:vMerge w:val="continue"/>
            <w:vAlign w:val="center"/>
          </w:tcPr>
          <w:p w14:paraId="4F8EB17D">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p>
        </w:tc>
        <w:tc>
          <w:tcPr>
            <w:tcW w:w="1666" w:type="dxa"/>
            <w:shd w:val="clear" w:color="auto" w:fill="auto"/>
            <w:vAlign w:val="center"/>
          </w:tcPr>
          <w:p w14:paraId="02ED1952">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一级护理</w:t>
            </w:r>
          </w:p>
        </w:tc>
        <w:tc>
          <w:tcPr>
            <w:tcW w:w="2042" w:type="dxa"/>
            <w:shd w:val="clear" w:color="auto" w:fill="auto"/>
            <w:vAlign w:val="center"/>
          </w:tcPr>
          <w:p w14:paraId="45056576">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10620</w:t>
            </w:r>
          </w:p>
        </w:tc>
        <w:tc>
          <w:tcPr>
            <w:tcW w:w="2143" w:type="dxa"/>
            <w:vMerge w:val="continue"/>
            <w:shd w:val="clear" w:color="auto" w:fill="auto"/>
            <w:vAlign w:val="center"/>
          </w:tcPr>
          <w:p w14:paraId="1AA22AB7">
            <w:pPr>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240" w:firstLineChars="100"/>
              <w:jc w:val="both"/>
              <w:textAlignment w:val="auto"/>
              <w:rPr>
                <w:rFonts w:hint="eastAsia" w:ascii="仿宋_GB2312" w:hAnsi="Calibri" w:eastAsia="仿宋_GB2312" w:cs="仿宋"/>
                <w:bCs/>
                <w:color w:val="auto"/>
                <w:sz w:val="24"/>
                <w:szCs w:val="24"/>
                <w:highlight w:val="none"/>
                <w:lang w:val="en-US" w:eastAsia="zh-CN" w:bidi="ar-SA"/>
              </w:rPr>
            </w:pPr>
          </w:p>
        </w:tc>
        <w:tc>
          <w:tcPr>
            <w:tcW w:w="2601" w:type="dxa"/>
            <w:vMerge w:val="continue"/>
            <w:vAlign w:val="center"/>
          </w:tcPr>
          <w:p w14:paraId="5FBDE75A">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240" w:firstLineChars="100"/>
              <w:jc w:val="both"/>
              <w:textAlignment w:val="auto"/>
              <w:rPr>
                <w:rFonts w:hint="default" w:ascii="仿宋_GB2312" w:eastAsia="仿宋_GB2312" w:cs="仿宋"/>
                <w:bCs/>
                <w:color w:val="auto"/>
                <w:sz w:val="24"/>
                <w:szCs w:val="24"/>
                <w:highlight w:val="none"/>
              </w:rPr>
            </w:pPr>
          </w:p>
        </w:tc>
      </w:tr>
      <w:tr w14:paraId="645C69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980" w:type="dxa"/>
            <w:vMerge w:val="continue"/>
            <w:vAlign w:val="center"/>
          </w:tcPr>
          <w:p w14:paraId="319891E0">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color w:val="auto"/>
                <w:highlight w:val="none"/>
              </w:rPr>
            </w:pPr>
          </w:p>
        </w:tc>
        <w:tc>
          <w:tcPr>
            <w:tcW w:w="1666" w:type="dxa"/>
            <w:shd w:val="clear" w:color="auto" w:fill="auto"/>
            <w:vAlign w:val="center"/>
          </w:tcPr>
          <w:p w14:paraId="404585E3">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二级护理</w:t>
            </w:r>
          </w:p>
        </w:tc>
        <w:tc>
          <w:tcPr>
            <w:tcW w:w="2042" w:type="dxa"/>
            <w:shd w:val="clear" w:color="auto" w:fill="auto"/>
            <w:vAlign w:val="center"/>
          </w:tcPr>
          <w:p w14:paraId="0B453532">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12873</w:t>
            </w:r>
          </w:p>
        </w:tc>
        <w:tc>
          <w:tcPr>
            <w:tcW w:w="2143" w:type="dxa"/>
            <w:vMerge w:val="continue"/>
            <w:shd w:val="clear" w:color="auto" w:fill="auto"/>
            <w:vAlign w:val="center"/>
          </w:tcPr>
          <w:p w14:paraId="1B2C5A19">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p>
        </w:tc>
        <w:tc>
          <w:tcPr>
            <w:tcW w:w="2601" w:type="dxa"/>
            <w:vMerge w:val="continue"/>
            <w:vAlign w:val="center"/>
          </w:tcPr>
          <w:p w14:paraId="65CEC3C2">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p>
        </w:tc>
      </w:tr>
      <w:tr w14:paraId="2514B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980" w:type="dxa"/>
            <w:vMerge w:val="continue"/>
            <w:vAlign w:val="center"/>
          </w:tcPr>
          <w:p w14:paraId="6CE963ED">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color w:val="auto"/>
                <w:highlight w:val="none"/>
              </w:rPr>
            </w:pPr>
          </w:p>
        </w:tc>
        <w:tc>
          <w:tcPr>
            <w:tcW w:w="1666" w:type="dxa"/>
            <w:shd w:val="clear" w:color="auto" w:fill="auto"/>
            <w:vAlign w:val="center"/>
          </w:tcPr>
          <w:p w14:paraId="214AF675">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三级护理</w:t>
            </w:r>
          </w:p>
        </w:tc>
        <w:tc>
          <w:tcPr>
            <w:tcW w:w="2042" w:type="dxa"/>
            <w:shd w:val="clear" w:color="auto" w:fill="auto"/>
            <w:vAlign w:val="center"/>
          </w:tcPr>
          <w:p w14:paraId="0DC43614">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35</w:t>
            </w:r>
          </w:p>
        </w:tc>
        <w:tc>
          <w:tcPr>
            <w:tcW w:w="2143" w:type="dxa"/>
            <w:vMerge w:val="continue"/>
            <w:shd w:val="clear" w:color="auto" w:fill="auto"/>
            <w:vAlign w:val="center"/>
          </w:tcPr>
          <w:p w14:paraId="176B97A8">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p>
        </w:tc>
        <w:tc>
          <w:tcPr>
            <w:tcW w:w="2601" w:type="dxa"/>
            <w:vMerge w:val="continue"/>
            <w:vAlign w:val="center"/>
          </w:tcPr>
          <w:p w14:paraId="71D3CC36">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p>
        </w:tc>
      </w:tr>
      <w:tr w14:paraId="5C94B7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980" w:type="dxa"/>
            <w:vMerge w:val="restart"/>
            <w:vAlign w:val="center"/>
          </w:tcPr>
          <w:p w14:paraId="5DA65E8B">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2025</w:t>
            </w:r>
          </w:p>
        </w:tc>
        <w:tc>
          <w:tcPr>
            <w:tcW w:w="1666" w:type="dxa"/>
            <w:shd w:val="clear" w:color="auto" w:fill="auto"/>
            <w:vAlign w:val="center"/>
          </w:tcPr>
          <w:p w14:paraId="4D988E0D">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特级护理</w:t>
            </w:r>
          </w:p>
        </w:tc>
        <w:tc>
          <w:tcPr>
            <w:tcW w:w="2042" w:type="dxa"/>
            <w:shd w:val="clear" w:color="auto" w:fill="auto"/>
            <w:vAlign w:val="center"/>
          </w:tcPr>
          <w:p w14:paraId="124A8211">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bidi="ar-SA"/>
              </w:rPr>
              <w:t>5</w:t>
            </w:r>
          </w:p>
        </w:tc>
        <w:tc>
          <w:tcPr>
            <w:tcW w:w="2143" w:type="dxa"/>
            <w:vMerge w:val="restart"/>
            <w:shd w:val="clear" w:color="auto" w:fill="auto"/>
            <w:vAlign w:val="center"/>
          </w:tcPr>
          <w:p w14:paraId="674C36F1">
            <w:pPr>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240" w:firstLineChars="100"/>
              <w:jc w:val="both"/>
              <w:textAlignment w:val="auto"/>
              <w:rPr>
                <w:rFonts w:hint="default" w:ascii="仿宋_GB2312" w:hAnsi="Calibri" w:eastAsia="仿宋_GB2312" w:cs="仿宋"/>
                <w:bCs/>
                <w:color w:val="auto"/>
                <w:sz w:val="24"/>
                <w:szCs w:val="24"/>
                <w:highlight w:val="none"/>
                <w:lang w:val="en-US" w:eastAsia="zh-CN" w:bidi="ar-SA"/>
              </w:rPr>
            </w:pPr>
            <w:r>
              <w:rPr>
                <w:rFonts w:hint="eastAsia" w:ascii="仿宋_GB2312" w:hAnsi="Calibri" w:eastAsia="仿宋_GB2312" w:cs="仿宋"/>
                <w:bCs/>
                <w:color w:val="auto"/>
                <w:sz w:val="24"/>
                <w:szCs w:val="24"/>
                <w:highlight w:val="none"/>
                <w:lang w:val="en-US" w:eastAsia="zh-CN" w:bidi="ar-SA"/>
              </w:rPr>
              <w:t>护理效果好，患者满意度95%以上</w:t>
            </w:r>
          </w:p>
        </w:tc>
        <w:tc>
          <w:tcPr>
            <w:tcW w:w="2601" w:type="dxa"/>
            <w:vMerge w:val="continue"/>
            <w:vAlign w:val="center"/>
          </w:tcPr>
          <w:p w14:paraId="5ACC3D47">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240" w:firstLineChars="100"/>
              <w:jc w:val="both"/>
              <w:textAlignment w:val="auto"/>
              <w:rPr>
                <w:rFonts w:hint="default" w:ascii="仿宋_GB2312" w:eastAsia="仿宋_GB2312" w:cs="仿宋"/>
                <w:bCs/>
                <w:color w:val="auto"/>
                <w:sz w:val="24"/>
                <w:szCs w:val="24"/>
                <w:highlight w:val="none"/>
              </w:rPr>
            </w:pPr>
          </w:p>
        </w:tc>
      </w:tr>
      <w:tr w14:paraId="71A4E8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980" w:type="dxa"/>
            <w:vMerge w:val="continue"/>
            <w:vAlign w:val="center"/>
          </w:tcPr>
          <w:p w14:paraId="69D43BD4">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p>
        </w:tc>
        <w:tc>
          <w:tcPr>
            <w:tcW w:w="1666" w:type="dxa"/>
            <w:shd w:val="clear" w:color="auto" w:fill="auto"/>
            <w:vAlign w:val="center"/>
          </w:tcPr>
          <w:p w14:paraId="03E2CB1F">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一级护理</w:t>
            </w:r>
          </w:p>
        </w:tc>
        <w:tc>
          <w:tcPr>
            <w:tcW w:w="2042" w:type="dxa"/>
            <w:shd w:val="clear" w:color="auto" w:fill="auto"/>
            <w:vAlign w:val="center"/>
          </w:tcPr>
          <w:p w14:paraId="73F45A2C">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10205</w:t>
            </w:r>
          </w:p>
        </w:tc>
        <w:tc>
          <w:tcPr>
            <w:tcW w:w="2143" w:type="dxa"/>
            <w:vMerge w:val="continue"/>
            <w:shd w:val="clear" w:color="auto" w:fill="auto"/>
            <w:vAlign w:val="center"/>
          </w:tcPr>
          <w:p w14:paraId="55626560">
            <w:pPr>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240" w:firstLineChars="100"/>
              <w:jc w:val="both"/>
              <w:textAlignment w:val="auto"/>
              <w:rPr>
                <w:rFonts w:hint="eastAsia" w:ascii="仿宋_GB2312" w:hAnsi="Calibri" w:eastAsia="仿宋_GB2312" w:cs="仿宋"/>
                <w:bCs/>
                <w:color w:val="auto"/>
                <w:sz w:val="24"/>
                <w:szCs w:val="24"/>
                <w:highlight w:val="none"/>
                <w:lang w:val="en-US" w:eastAsia="zh-CN" w:bidi="ar-SA"/>
              </w:rPr>
            </w:pPr>
          </w:p>
        </w:tc>
        <w:tc>
          <w:tcPr>
            <w:tcW w:w="2601" w:type="dxa"/>
            <w:vMerge w:val="continue"/>
            <w:vAlign w:val="center"/>
          </w:tcPr>
          <w:p w14:paraId="200F96E2">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240" w:firstLineChars="100"/>
              <w:jc w:val="both"/>
              <w:textAlignment w:val="auto"/>
              <w:rPr>
                <w:rFonts w:hint="default" w:ascii="仿宋_GB2312" w:eastAsia="仿宋_GB2312" w:cs="仿宋"/>
                <w:bCs/>
                <w:color w:val="auto"/>
                <w:sz w:val="24"/>
                <w:szCs w:val="24"/>
                <w:highlight w:val="none"/>
              </w:rPr>
            </w:pPr>
          </w:p>
        </w:tc>
      </w:tr>
      <w:tr w14:paraId="667BCB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980" w:type="dxa"/>
            <w:vMerge w:val="continue"/>
            <w:vAlign w:val="center"/>
          </w:tcPr>
          <w:p w14:paraId="16D17CBD">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0" w:firstLineChars="0"/>
              <w:jc w:val="center"/>
              <w:textAlignment w:val="auto"/>
              <w:rPr>
                <w:rFonts w:hint="eastAsia" w:ascii="仿宋_GB2312" w:eastAsia="仿宋_GB2312" w:cs="仿宋"/>
                <w:bCs/>
                <w:color w:val="auto"/>
                <w:sz w:val="24"/>
                <w:szCs w:val="24"/>
                <w:highlight w:val="none"/>
                <w:lang w:val="en-US" w:eastAsia="zh-CN"/>
              </w:rPr>
            </w:pPr>
          </w:p>
        </w:tc>
        <w:tc>
          <w:tcPr>
            <w:tcW w:w="1666" w:type="dxa"/>
            <w:shd w:val="clear" w:color="auto" w:fill="auto"/>
            <w:vAlign w:val="center"/>
          </w:tcPr>
          <w:p w14:paraId="402B0F4D">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二级护理</w:t>
            </w:r>
          </w:p>
        </w:tc>
        <w:tc>
          <w:tcPr>
            <w:tcW w:w="2042" w:type="dxa"/>
            <w:shd w:val="clear" w:color="auto" w:fill="auto"/>
            <w:vAlign w:val="center"/>
          </w:tcPr>
          <w:p w14:paraId="5E4B3BC8">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hAnsi="黑体" w:eastAsia="仿宋_GB2312" w:cs="仿宋"/>
                <w:bCs/>
                <w:color w:val="auto"/>
                <w:sz w:val="24"/>
                <w:szCs w:val="24"/>
                <w:highlight w:val="none"/>
                <w:lang w:val="en-US" w:eastAsia="zh-CN" w:bidi="ar-SA"/>
              </w:rPr>
            </w:pPr>
            <w:r>
              <w:rPr>
                <w:rFonts w:hint="eastAsia" w:ascii="仿宋_GB2312" w:eastAsia="仿宋_GB2312" w:cs="仿宋"/>
                <w:bCs/>
                <w:color w:val="auto"/>
                <w:sz w:val="24"/>
                <w:szCs w:val="24"/>
                <w:highlight w:val="none"/>
                <w:lang w:val="en-US" w:eastAsia="zh-CN"/>
              </w:rPr>
              <w:t>11384</w:t>
            </w:r>
          </w:p>
        </w:tc>
        <w:tc>
          <w:tcPr>
            <w:tcW w:w="2143" w:type="dxa"/>
            <w:vMerge w:val="continue"/>
            <w:shd w:val="clear" w:color="auto" w:fill="auto"/>
            <w:vAlign w:val="center"/>
          </w:tcPr>
          <w:p w14:paraId="5E4A49DC">
            <w:pPr>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240" w:firstLineChars="100"/>
              <w:jc w:val="both"/>
              <w:textAlignment w:val="auto"/>
              <w:rPr>
                <w:rFonts w:hint="eastAsia" w:ascii="仿宋_GB2312" w:hAnsi="Calibri" w:eastAsia="仿宋_GB2312" w:cs="仿宋"/>
                <w:bCs/>
                <w:color w:val="auto"/>
                <w:sz w:val="24"/>
                <w:szCs w:val="24"/>
                <w:highlight w:val="none"/>
                <w:lang w:val="en-US" w:eastAsia="zh-CN" w:bidi="ar-SA"/>
              </w:rPr>
            </w:pPr>
          </w:p>
        </w:tc>
        <w:tc>
          <w:tcPr>
            <w:tcW w:w="2601" w:type="dxa"/>
            <w:vMerge w:val="continue"/>
            <w:vAlign w:val="center"/>
          </w:tcPr>
          <w:p w14:paraId="3BF1C1B3">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right="0" w:firstLine="240" w:firstLineChars="100"/>
              <w:jc w:val="both"/>
              <w:textAlignment w:val="auto"/>
              <w:rPr>
                <w:rFonts w:hint="default" w:ascii="仿宋_GB2312" w:eastAsia="仿宋_GB2312" w:cs="仿宋"/>
                <w:bCs/>
                <w:color w:val="auto"/>
                <w:sz w:val="24"/>
                <w:szCs w:val="24"/>
                <w:highlight w:val="none"/>
              </w:rPr>
            </w:pPr>
          </w:p>
        </w:tc>
      </w:tr>
      <w:tr w14:paraId="0B7885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980" w:type="dxa"/>
            <w:vMerge w:val="continue"/>
            <w:vAlign w:val="center"/>
          </w:tcPr>
          <w:p w14:paraId="4C7D6049">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color w:val="auto"/>
                <w:highlight w:val="none"/>
              </w:rPr>
            </w:pPr>
          </w:p>
        </w:tc>
        <w:tc>
          <w:tcPr>
            <w:tcW w:w="1666" w:type="dxa"/>
            <w:shd w:val="clear" w:color="auto" w:fill="auto"/>
            <w:vAlign w:val="center"/>
          </w:tcPr>
          <w:p w14:paraId="561A2B83">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三级护理</w:t>
            </w:r>
          </w:p>
        </w:tc>
        <w:tc>
          <w:tcPr>
            <w:tcW w:w="2042" w:type="dxa"/>
            <w:shd w:val="clear" w:color="auto" w:fill="auto"/>
            <w:vAlign w:val="center"/>
          </w:tcPr>
          <w:p w14:paraId="01758A5F">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default" w:ascii="仿宋_GB2312" w:eastAsia="仿宋_GB2312" w:cs="仿宋"/>
                <w:bCs/>
                <w:color w:val="auto"/>
                <w:sz w:val="24"/>
                <w:szCs w:val="24"/>
                <w:highlight w:val="none"/>
                <w:lang w:val="en-US" w:eastAsia="zh-CN"/>
              </w:rPr>
            </w:pPr>
            <w:r>
              <w:rPr>
                <w:rFonts w:hint="eastAsia" w:ascii="仿宋_GB2312" w:eastAsia="仿宋_GB2312" w:cs="仿宋"/>
                <w:bCs/>
                <w:color w:val="auto"/>
                <w:sz w:val="24"/>
                <w:szCs w:val="24"/>
                <w:highlight w:val="none"/>
                <w:lang w:val="en-US" w:eastAsia="zh-CN"/>
              </w:rPr>
              <w:t>28</w:t>
            </w:r>
          </w:p>
        </w:tc>
        <w:tc>
          <w:tcPr>
            <w:tcW w:w="2143" w:type="dxa"/>
            <w:vMerge w:val="continue"/>
            <w:shd w:val="clear" w:color="auto" w:fill="auto"/>
            <w:vAlign w:val="center"/>
          </w:tcPr>
          <w:p w14:paraId="2A08E243">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p>
        </w:tc>
        <w:tc>
          <w:tcPr>
            <w:tcW w:w="2601" w:type="dxa"/>
            <w:vMerge w:val="continue"/>
            <w:vAlign w:val="center"/>
          </w:tcPr>
          <w:p w14:paraId="2F67DB6B">
            <w:pPr>
              <w:pStyle w:val="32"/>
              <w:keepNext w:val="0"/>
              <w:keepLines w:val="0"/>
              <w:pageBreakBefore w:val="0"/>
              <w:widowControl w:val="0"/>
              <w:suppressLineNumbers w:val="0"/>
              <w:kinsoku/>
              <w:wordWrap/>
              <w:overflowPunct/>
              <w:topLinePunct w:val="0"/>
              <w:autoSpaceDE w:val="0"/>
              <w:autoSpaceDN w:val="0"/>
              <w:bidi w:val="0"/>
              <w:adjustRightInd/>
              <w:snapToGrid/>
              <w:spacing w:before="0" w:beforeLines="0" w:beforeAutospacing="0" w:after="0" w:afterLines="0" w:afterAutospacing="0" w:line="400" w:lineRule="exact"/>
              <w:ind w:left="0" w:leftChars="0" w:right="0" w:rightChars="0" w:firstLine="0" w:firstLineChars="0"/>
              <w:jc w:val="center"/>
              <w:textAlignment w:val="auto"/>
              <w:rPr>
                <w:rFonts w:hint="eastAsia" w:ascii="仿宋_GB2312" w:eastAsia="仿宋_GB2312" w:cs="仿宋"/>
                <w:bCs/>
                <w:color w:val="auto"/>
                <w:sz w:val="24"/>
                <w:szCs w:val="24"/>
                <w:highlight w:val="none"/>
                <w:lang w:val="en-US" w:eastAsia="zh-CN"/>
              </w:rPr>
            </w:pPr>
          </w:p>
        </w:tc>
      </w:tr>
    </w:tbl>
    <w:p w14:paraId="578439C2">
      <w:pPr>
        <w:pStyle w:val="32"/>
        <w:keepNext w:val="0"/>
        <w:keepLines w:val="0"/>
        <w:pageBreakBefore w:val="0"/>
        <w:widowControl/>
        <w:kinsoku/>
        <w:wordWrap/>
        <w:overflowPunct/>
        <w:topLinePunct w:val="0"/>
        <w:autoSpaceDE w:val="0"/>
        <w:autoSpaceDN w:val="0"/>
        <w:bidi w:val="0"/>
        <w:adjustRightInd/>
        <w:snapToGrid/>
        <w:spacing w:before="0" w:beforeLines="0" w:after="0" w:afterLines="0" w:line="520" w:lineRule="exact"/>
        <w:ind w:firstLine="560"/>
        <w:jc w:val="both"/>
        <w:textAlignment w:val="auto"/>
        <w:rPr>
          <w:rFonts w:hint="eastAsia" w:ascii="仿宋_GB2312" w:hAnsi="仿宋_GB2312" w:eastAsia="仿宋_GB2312" w:cs="仿宋_GB2312"/>
          <w:b w:val="0"/>
          <w:bCs/>
          <w:color w:val="auto"/>
          <w:sz w:val="28"/>
          <w:szCs w:val="28"/>
          <w:highlight w:val="none"/>
          <w:lang w:val="en-US" w:eastAsia="zh-CN"/>
        </w:rPr>
      </w:pPr>
      <w:r>
        <w:rPr>
          <w:rFonts w:hint="eastAsia" w:ascii="仿宋_GB2312" w:hAnsi="仿宋_GB2312" w:eastAsia="仿宋_GB2312" w:cs="仿宋_GB2312"/>
          <w:b w:val="0"/>
          <w:bCs/>
          <w:color w:val="auto"/>
          <w:sz w:val="28"/>
          <w:szCs w:val="28"/>
          <w:highlight w:val="none"/>
          <w:lang w:val="en-US" w:eastAsia="zh-CN"/>
        </w:rPr>
        <w:t>根据2022至2025年的数据，住院精神障碍患者总数呈现持续增长态势，同时各护理级别的效果均稳定保持在较高水平。其中，特级护理和三级护理的患者数量相对较少，但护理效果同样被评价为“好”，患者满意度均达到95%以上；一级护理和二级护理作为主要护理方式，患者数量占绝大多数，其临床护理执行到位，分级护理质量控制指标持续保持在94%以上。这一方面反映了分级护理服务需求的整体上升，另一方面也证明现有分级护理体系能够科学适配不同护理需求的患者，在应对患者数量增长的同时，持续为各护理级别提供稳定、高质量的护理服务。数据表明，本标准所采用的分级护理服务是一套科学、可靠且具有广泛适应性的服务体系。</w:t>
      </w:r>
    </w:p>
    <w:p w14:paraId="028E2962">
      <w:pPr>
        <w:pStyle w:val="34"/>
        <w:numPr>
          <w:ilvl w:val="0"/>
          <w:numId w:val="0"/>
        </w:numPr>
        <w:spacing w:beforeLines="0" w:afterLines="0" w:line="360" w:lineRule="auto"/>
        <w:ind w:firstLine="643" w:firstLineChars="200"/>
        <w:rPr>
          <w:bCs/>
          <w:color w:val="auto"/>
          <w:sz w:val="32"/>
          <w:szCs w:val="32"/>
          <w:highlight w:val="none"/>
        </w:rPr>
      </w:pPr>
      <w:r>
        <w:rPr>
          <w:rFonts w:hint="eastAsia"/>
          <w:b/>
          <w:bCs/>
          <w:color w:val="auto"/>
          <w:sz w:val="32"/>
          <w:szCs w:val="32"/>
          <w:highlight w:val="none"/>
        </w:rPr>
        <w:t>六</w:t>
      </w:r>
      <w:r>
        <w:rPr>
          <w:rFonts w:hint="eastAsia"/>
          <w:bCs/>
          <w:color w:val="auto"/>
          <w:sz w:val="32"/>
          <w:szCs w:val="32"/>
          <w:highlight w:val="none"/>
        </w:rPr>
        <w:t>、</w:t>
      </w:r>
      <w:r>
        <w:rPr>
          <w:rFonts w:hint="eastAsia"/>
          <w:color w:val="auto"/>
          <w:sz w:val="32"/>
          <w:szCs w:val="32"/>
          <w:highlight w:val="none"/>
        </w:rPr>
        <w:t>重大意见分歧的处理依据和结果</w:t>
      </w:r>
    </w:p>
    <w:p w14:paraId="22D64695">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本标准研制过程中无重大分歧意见。</w:t>
      </w:r>
    </w:p>
    <w:p w14:paraId="115E7B88">
      <w:pPr>
        <w:autoSpaceDE w:val="0"/>
        <w:autoSpaceDN w:val="0"/>
        <w:adjustRightInd w:val="0"/>
        <w:spacing w:before="156" w:beforeLines="50" w:after="156" w:afterLines="50" w:line="520" w:lineRule="exact"/>
        <w:ind w:firstLine="640" w:firstLineChars="200"/>
        <w:outlineLvl w:val="0"/>
        <w:rPr>
          <w:rFonts w:eastAsia="黑体"/>
          <w:color w:val="auto"/>
          <w:sz w:val="32"/>
          <w:szCs w:val="32"/>
          <w:highlight w:val="none"/>
        </w:rPr>
      </w:pPr>
      <w:r>
        <w:rPr>
          <w:rFonts w:hint="eastAsia" w:ascii="黑体" w:eastAsia="黑体"/>
          <w:bCs/>
          <w:color w:val="auto"/>
          <w:sz w:val="32"/>
          <w:szCs w:val="32"/>
          <w:highlight w:val="none"/>
        </w:rPr>
        <w:t>七、</w:t>
      </w:r>
      <w:r>
        <w:rPr>
          <w:rFonts w:hint="eastAsia" w:eastAsia="黑体"/>
          <w:color w:val="auto"/>
          <w:sz w:val="32"/>
          <w:szCs w:val="32"/>
          <w:highlight w:val="none"/>
        </w:rPr>
        <w:t>实施标准的措施</w:t>
      </w:r>
    </w:p>
    <w:p w14:paraId="70B5B9C4">
      <w:pPr>
        <w:spacing w:line="500" w:lineRule="exact"/>
        <w:ind w:firstLine="562" w:firstLineChars="200"/>
        <w:rPr>
          <w:rFonts w:ascii="仿宋_GB2312" w:eastAsia="仿宋_GB2312" w:cs="仿宋_GB2312"/>
          <w:b/>
          <w:color w:val="auto"/>
          <w:sz w:val="28"/>
          <w:szCs w:val="28"/>
          <w:highlight w:val="none"/>
        </w:rPr>
      </w:pPr>
      <w:r>
        <w:rPr>
          <w:rFonts w:hint="eastAsia" w:ascii="仿宋_GB2312" w:eastAsia="仿宋_GB2312" w:cs="仿宋_GB2312"/>
          <w:b/>
          <w:color w:val="auto"/>
          <w:sz w:val="28"/>
          <w:szCs w:val="28"/>
          <w:highlight w:val="none"/>
        </w:rPr>
        <w:t>（一）标准报批发布后，成立标准宣贯工作组</w:t>
      </w:r>
    </w:p>
    <w:p w14:paraId="06A4783C">
      <w:pPr>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6EA55C27">
      <w:pPr>
        <w:spacing w:line="50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（二）组织开展标准宣贯培训</w:t>
      </w:r>
    </w:p>
    <w:p w14:paraId="58CD3383">
      <w:pPr>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发布实施后，标准宣贯工作小组制作标准解读宣贯培训PPT课件和标准核心技术明白书，并按标准宣贯培训计划深入各市县相关机构，对相关人员开展标准宣贯培训，对标准进行逐条解读，让相关人员掌握标准核心技术内容，助力标准实施落地，推动</w:t>
      </w:r>
      <w:r>
        <w:rPr>
          <w:rFonts w:hint="eastAsia" w:ascii="仿宋_GB2312" w:eastAsia="仿宋_GB2312"/>
          <w:color w:val="auto"/>
          <w:sz w:val="28"/>
          <w:szCs w:val="28"/>
          <w:highlight w:val="none"/>
          <w:lang w:eastAsia="zh-CN"/>
        </w:rPr>
        <w:t>住院精神障碍患者分级护理服务</w:t>
      </w:r>
      <w:r>
        <w:rPr>
          <w:rFonts w:hint="eastAsia" w:ascii="仿宋_GB2312" w:eastAsia="仿宋_GB2312"/>
          <w:color w:val="auto"/>
          <w:sz w:val="28"/>
          <w:szCs w:val="28"/>
          <w:highlight w:val="none"/>
        </w:rPr>
        <w:t>高质量发展。</w:t>
      </w:r>
    </w:p>
    <w:p w14:paraId="533DFF6E">
      <w:pPr>
        <w:spacing w:line="50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（三）开展标准实施交流会，收集标准实施反馈信息</w:t>
      </w:r>
    </w:p>
    <w:p w14:paraId="0C7D0CCF">
      <w:pPr>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标准起草小组深入各市县相关机构组织相关人员召开标准实施交流会，听取标准实施过程中存在的问题并做好记录和解答，对存在的问题组织专家团队进行研讨，为标准的复审修订做准备。</w:t>
      </w:r>
    </w:p>
    <w:p w14:paraId="34611F9E">
      <w:pPr>
        <w:spacing w:line="500" w:lineRule="exact"/>
        <w:ind w:firstLine="562" w:firstLineChars="200"/>
        <w:rPr>
          <w:rFonts w:ascii="仿宋_GB2312" w:eastAsia="仿宋_GB2312"/>
          <w:b/>
          <w:color w:val="auto"/>
          <w:sz w:val="28"/>
          <w:szCs w:val="28"/>
          <w:highlight w:val="none"/>
        </w:rPr>
      </w:pPr>
      <w:r>
        <w:rPr>
          <w:rFonts w:hint="eastAsia" w:ascii="仿宋_GB2312" w:eastAsia="仿宋_GB2312"/>
          <w:b/>
          <w:color w:val="auto"/>
          <w:sz w:val="28"/>
          <w:szCs w:val="28"/>
          <w:highlight w:val="none"/>
        </w:rPr>
        <w:t>（四）开展标准实施效果评估</w:t>
      </w:r>
    </w:p>
    <w:p w14:paraId="0D06AFA4">
      <w:pPr>
        <w:spacing w:line="50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标准实施满2年，每年标准宣贯工作组采取网络调查、问卷调查、实地调研、召开座谈会或论证会、专家咨询等方式开展标准实施效果评估，并形成标准实施效果评估报告，为标准的复审修订做准备。</w:t>
      </w:r>
    </w:p>
    <w:p w14:paraId="548CE5BE">
      <w:pPr>
        <w:spacing w:before="240" w:after="60" w:line="520" w:lineRule="exact"/>
        <w:ind w:firstLine="640" w:firstLineChars="200"/>
        <w:outlineLvl w:val="0"/>
        <w:rPr>
          <w:rFonts w:ascii="黑体" w:eastAsia="黑体"/>
          <w:bCs/>
          <w:color w:val="auto"/>
          <w:sz w:val="32"/>
          <w:szCs w:val="32"/>
          <w:highlight w:val="none"/>
        </w:rPr>
      </w:pPr>
      <w:r>
        <w:rPr>
          <w:rFonts w:hint="eastAsia" w:ascii="黑体" w:eastAsia="黑体"/>
          <w:bCs/>
          <w:color w:val="auto"/>
          <w:sz w:val="32"/>
          <w:szCs w:val="32"/>
          <w:highlight w:val="none"/>
        </w:rPr>
        <w:t>八、其他应当说明的事项</w:t>
      </w:r>
    </w:p>
    <w:p w14:paraId="3C568895">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无。</w:t>
      </w:r>
    </w:p>
    <w:p w14:paraId="5EC29ECF">
      <w:pPr>
        <w:autoSpaceDE w:val="0"/>
        <w:autoSpaceDN w:val="0"/>
        <w:adjustRightInd w:val="0"/>
        <w:spacing w:before="156" w:beforeLines="50" w:after="156" w:afterLines="50" w:line="520" w:lineRule="exact"/>
        <w:ind w:firstLine="640"/>
        <w:outlineLvl w:val="0"/>
        <w:rPr>
          <w:rFonts w:eastAsia="黑体"/>
          <w:color w:val="auto"/>
          <w:sz w:val="32"/>
          <w:szCs w:val="32"/>
          <w:highlight w:val="none"/>
        </w:rPr>
      </w:pPr>
      <w:r>
        <w:rPr>
          <w:rFonts w:hint="eastAsia" w:eastAsia="黑体"/>
          <w:color w:val="auto"/>
          <w:sz w:val="32"/>
          <w:szCs w:val="32"/>
          <w:highlight w:val="none"/>
        </w:rPr>
        <w:t>九、自我承诺</w:t>
      </w:r>
    </w:p>
    <w:p w14:paraId="6B534D81">
      <w:pPr>
        <w:spacing w:line="520" w:lineRule="exact"/>
        <w:ind w:firstLine="560" w:firstLineChars="200"/>
        <w:rPr>
          <w:rFonts w:ascii="仿宋_GB2312" w:eastAsia="仿宋_GB2312"/>
          <w:color w:val="auto"/>
          <w:sz w:val="28"/>
          <w:szCs w:val="28"/>
          <w:highlight w:val="none"/>
        </w:rPr>
      </w:pPr>
      <w:r>
        <w:rPr>
          <w:rFonts w:hint="eastAsia" w:ascii="仿宋_GB2312" w:eastAsia="仿宋_GB2312"/>
          <w:color w:val="auto"/>
          <w:sz w:val="28"/>
          <w:szCs w:val="28"/>
          <w:highlight w:val="none"/>
        </w:rPr>
        <w:t>该标准的内容符合国家相关法律法规，技术要求不低于强制性国家标准的相关技术要求，与相关的国家、行业推荐性标准协调一致，标准的编写符合GB/T 1.1-2020的要求。</w:t>
      </w:r>
    </w:p>
    <w:p w14:paraId="75D133B0">
      <w:pPr>
        <w:pStyle w:val="25"/>
        <w:rPr>
          <w:rFonts w:ascii="仿宋_GB2312" w:eastAsia="仿宋_GB2312"/>
          <w:color w:val="auto"/>
          <w:sz w:val="28"/>
          <w:szCs w:val="28"/>
          <w:highlight w:val="none"/>
        </w:rPr>
      </w:pPr>
    </w:p>
    <w:p w14:paraId="75B8E171">
      <w:pPr>
        <w:pStyle w:val="25"/>
        <w:rPr>
          <w:rFonts w:ascii="仿宋_GB2312" w:eastAsia="仿宋_GB2312"/>
          <w:color w:val="auto"/>
          <w:sz w:val="28"/>
          <w:szCs w:val="28"/>
          <w:highlight w:val="none"/>
        </w:rPr>
      </w:pPr>
    </w:p>
    <w:p w14:paraId="50ADABA7">
      <w:pPr>
        <w:spacing w:before="240" w:after="60" w:line="520" w:lineRule="exact"/>
        <w:ind w:firstLine="2240" w:firstLineChars="800"/>
        <w:outlineLvl w:val="0"/>
        <w:rPr>
          <w:rFonts w:ascii="仿宋_GB2312" w:eastAsia="仿宋_GB2312"/>
          <w:color w:val="auto"/>
          <w:sz w:val="28"/>
          <w:szCs w:val="28"/>
          <w:highlight w:val="none"/>
        </w:rPr>
      </w:pPr>
      <w:r>
        <w:rPr>
          <w:rFonts w:hint="eastAsia" w:ascii="仿宋_GB2312" w:eastAsia="仿宋_GB2312"/>
          <w:color w:val="auto"/>
          <w:sz w:val="28"/>
          <w:szCs w:val="28"/>
          <w:highlight w:val="none"/>
        </w:rPr>
        <w:t>团体标准《</w:t>
      </w:r>
      <w:r>
        <w:rPr>
          <w:rFonts w:hint="eastAsia" w:ascii="仿宋_GB2312" w:eastAsia="仿宋_GB2312"/>
          <w:color w:val="auto"/>
          <w:sz w:val="28"/>
          <w:szCs w:val="28"/>
          <w:highlight w:val="none"/>
          <w:lang w:eastAsia="zh-CN"/>
        </w:rPr>
        <w:t>住院精神障碍患者分级护理服务规范</w:t>
      </w:r>
      <w:r>
        <w:rPr>
          <w:rFonts w:hint="eastAsia" w:ascii="仿宋_GB2312" w:eastAsia="仿宋_GB2312"/>
          <w:color w:val="auto"/>
          <w:sz w:val="28"/>
          <w:szCs w:val="28"/>
          <w:highlight w:val="none"/>
        </w:rPr>
        <w:t>》</w:t>
      </w:r>
    </w:p>
    <w:p w14:paraId="319F0C65">
      <w:pPr>
        <w:spacing w:line="520" w:lineRule="exact"/>
        <w:ind w:right="1120"/>
        <w:jc w:val="center"/>
        <w:rPr>
          <w:rFonts w:ascii="仿宋_GB2312" w:eastAsia="仿宋_GB2312"/>
          <w:color w:val="auto"/>
          <w:sz w:val="28"/>
          <w:szCs w:val="28"/>
          <w:highlight w:val="none"/>
        </w:rPr>
      </w:pPr>
      <w:r>
        <w:rPr>
          <w:rFonts w:hint="eastAsia" w:ascii="仿宋_GB2312" w:eastAsia="仿宋_GB2312"/>
          <w:color w:val="auto"/>
          <w:sz w:val="28"/>
          <w:szCs w:val="28"/>
          <w:highlight w:val="none"/>
        </w:rPr>
        <w:t xml:space="preserve">                         标准编制工作组</w:t>
      </w:r>
    </w:p>
    <w:p w14:paraId="39FA9195">
      <w:pPr>
        <w:spacing w:line="520" w:lineRule="exact"/>
        <w:ind w:firstLine="640" w:firstLineChars="200"/>
        <w:rPr>
          <w:rFonts w:ascii="仿宋_GB2312" w:eastAsia="仿宋_GB2312"/>
          <w:color w:val="auto"/>
          <w:sz w:val="28"/>
          <w:szCs w:val="28"/>
          <w:highlight w:val="none"/>
        </w:rPr>
      </w:pPr>
      <w:r>
        <w:rPr>
          <w:rFonts w:hint="eastAsia" w:ascii="仿宋_GB2312" w:eastAsia="仿宋_GB2312"/>
          <w:color w:val="auto"/>
          <w:sz w:val="32"/>
          <w:szCs w:val="28"/>
          <w:highlight w:val="none"/>
        </w:rPr>
        <w:t xml:space="preserve">                        </w:t>
      </w:r>
      <w:r>
        <w:rPr>
          <w:rFonts w:hint="eastAsia" w:ascii="仿宋_GB2312" w:eastAsia="仿宋_GB2312"/>
          <w:color w:val="auto"/>
          <w:sz w:val="32"/>
          <w:szCs w:val="28"/>
          <w:highlight w:val="none"/>
          <w:lang w:val="en-US" w:eastAsia="zh-CN"/>
        </w:rPr>
        <w:t xml:space="preserve"> </w:t>
      </w:r>
      <w:r>
        <w:rPr>
          <w:rFonts w:hint="eastAsia" w:ascii="仿宋_GB2312" w:eastAsia="仿宋_GB2312"/>
          <w:color w:val="auto"/>
          <w:sz w:val="28"/>
          <w:szCs w:val="28"/>
          <w:highlight w:val="none"/>
        </w:rPr>
        <w:t>2025年</w:t>
      </w:r>
      <w:r>
        <w:rPr>
          <w:rFonts w:hint="eastAsia" w:ascii="仿宋_GB2312" w:eastAsia="仿宋_GB2312"/>
          <w:color w:val="auto"/>
          <w:sz w:val="28"/>
          <w:szCs w:val="28"/>
          <w:highlight w:val="none"/>
          <w:lang w:val="en-US" w:eastAsia="zh-CN"/>
        </w:rPr>
        <w:t>11</w:t>
      </w:r>
      <w:r>
        <w:rPr>
          <w:rFonts w:hint="eastAsia" w:ascii="仿宋_GB2312" w:eastAsia="仿宋_GB2312"/>
          <w:color w:val="auto"/>
          <w:sz w:val="28"/>
          <w:szCs w:val="28"/>
          <w:highlight w:val="none"/>
        </w:rPr>
        <w:t>月</w:t>
      </w:r>
      <w:r>
        <w:rPr>
          <w:rFonts w:hint="eastAsia" w:ascii="仿宋_GB2312" w:eastAsia="仿宋_GB2312"/>
          <w:color w:val="auto"/>
          <w:sz w:val="28"/>
          <w:szCs w:val="28"/>
          <w:highlight w:val="none"/>
          <w:lang w:val="en-US" w:eastAsia="zh-CN"/>
        </w:rPr>
        <w:t>17</w:t>
      </w:r>
      <w:bookmarkStart w:id="0" w:name="_GoBack"/>
      <w:bookmarkEnd w:id="0"/>
      <w:r>
        <w:rPr>
          <w:rFonts w:hint="eastAsia" w:ascii="仿宋_GB2312" w:eastAsia="仿宋_GB2312"/>
          <w:color w:val="auto"/>
          <w:sz w:val="28"/>
          <w:szCs w:val="28"/>
          <w:highlight w:val="none"/>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B4B2C01E-0811-4226-8B3B-159690FAF381}"/>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2" w:fontKey="{75671F80-77A2-4348-A6D3-AB8A4C4AF8C8}"/>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embedRegular r:id="rId3" w:fontKey="{6119AB6F-BFB0-4FC4-96E4-CDA37955F1B8}"/>
  </w:font>
  <w:font w:name="等线 Light">
    <w:altName w:val="宋体"/>
    <w:panose1 w:val="02010600030101010101"/>
    <w:charset w:val="86"/>
    <w:family w:val="auto"/>
    <w:pitch w:val="default"/>
    <w:sig w:usb0="00000000" w:usb1="00000000" w:usb2="00000016" w:usb3="00000000" w:csb0="0004000F" w:csb1="00000000"/>
  </w:font>
  <w:font w:name="仿宋_GB2312">
    <w:panose1 w:val="02010609030101010101"/>
    <w:charset w:val="86"/>
    <w:family w:val="modern"/>
    <w:pitch w:val="default"/>
    <w:sig w:usb0="00000001" w:usb1="080E0000" w:usb2="00000000" w:usb3="00000000" w:csb0="00040000" w:csb1="00000000"/>
    <w:embedRegular r:id="rId4" w:fontKey="{E297D75E-8A23-42B4-A51B-493ACBD8223B}"/>
  </w:font>
  <w:font w:name="仿宋">
    <w:panose1 w:val="02010609060101010101"/>
    <w:charset w:val="86"/>
    <w:family w:val="modern"/>
    <w:pitch w:val="default"/>
    <w:sig w:usb0="800002BF" w:usb1="38CF7CFA" w:usb2="00000016" w:usb3="00000000" w:csb0="00040001" w:csb1="00000000"/>
    <w:embedRegular r:id="rId5" w:fontKey="{16F1125A-D537-4BE6-9976-D6CE1DE9AFC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9377EA">
    <w:pPr>
      <w:pStyle w:val="9"/>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1EC7F906">
                          <w:pPr>
                            <w:pStyle w:val="9"/>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1EC7F906">
                    <w:pPr>
                      <w:pStyle w:val="9"/>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3"/>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A333FDA2"/>
    <w:multiLevelType w:val="multilevel"/>
    <w:tmpl w:val="A333FDA2"/>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pStyle w:val="59"/>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2">
    <w:nsid w:val="B16E2ACE"/>
    <w:multiLevelType w:val="multilevel"/>
    <w:tmpl w:val="B16E2ACE"/>
    <w:lvl w:ilvl="0" w:tentative="0">
      <w:start w:val="1"/>
      <w:numFmt w:val="upperLetter"/>
      <w:suff w:val="nothing"/>
      <w:lvlText w:val="附录%1"/>
      <w:lvlJc w:val="left"/>
      <w:pPr>
        <w:ind w:left="0" w:firstLine="0"/>
      </w:pPr>
      <w:rPr>
        <w:spacing w:val="100"/>
      </w:rPr>
    </w:lvl>
    <w:lvl w:ilvl="1" w:tentative="0">
      <w:start w:val="1"/>
      <w:numFmt w:val="decimal"/>
      <w:pStyle w:val="64"/>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pPr>
      <w:rPr>
        <w:rFonts w:hint="eastAsia" w:ascii="黑体" w:hAnsi="Times New Roman" w:eastAsia="黑体" w:cs="黑体"/>
        <w:b w:val="0"/>
        <w:i w:val="0"/>
        <w:sz w:val="21"/>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3">
    <w:nsid w:val="BA7B8511"/>
    <w:multiLevelType w:val="multilevel"/>
    <w:tmpl w:val="BA7B8511"/>
    <w:lvl w:ilvl="0" w:tentative="0">
      <w:start w:val="1"/>
      <w:numFmt w:val="decimal"/>
      <w:pStyle w:val="60"/>
      <w:suff w:val="nothing"/>
      <w:lvlText w:val="注%1："/>
      <w:lvlJc w:val="left"/>
      <w:pPr>
        <w:ind w:left="811" w:hanging="448"/>
      </w:pPr>
      <w:rPr>
        <w:rFonts w:hint="eastAsia" w:ascii="黑体" w:hAnsi="Times New Roman" w:eastAsia="黑体" w:cs="黑体"/>
        <w:b w:val="0"/>
        <w:i w:val="0"/>
        <w:sz w:val="18"/>
      </w:rPr>
    </w:lvl>
    <w:lvl w:ilvl="1" w:tentative="0">
      <w:start w:val="1"/>
      <w:numFmt w:val="lowerLetter"/>
      <w:lvlText w:val="%2)"/>
      <w:lvlJc w:val="left"/>
      <w:pPr>
        <w:tabs>
          <w:tab w:val="left" w:pos="0"/>
        </w:tabs>
        <w:ind w:left="992" w:hanging="629"/>
      </w:pPr>
    </w:lvl>
    <w:lvl w:ilvl="2" w:tentative="0">
      <w:start w:val="1"/>
      <w:numFmt w:val="lowerRoman"/>
      <w:lvlText w:val="%3."/>
      <w:lvlJc w:val="right"/>
      <w:pPr>
        <w:tabs>
          <w:tab w:val="left" w:pos="0"/>
        </w:tabs>
        <w:ind w:left="992" w:hanging="629"/>
      </w:pPr>
    </w:lvl>
    <w:lvl w:ilvl="3" w:tentative="0">
      <w:start w:val="1"/>
      <w:numFmt w:val="decimal"/>
      <w:lvlText w:val="%4."/>
      <w:lvlJc w:val="left"/>
      <w:pPr>
        <w:tabs>
          <w:tab w:val="left" w:pos="0"/>
        </w:tabs>
        <w:ind w:left="992" w:hanging="629"/>
      </w:pPr>
    </w:lvl>
    <w:lvl w:ilvl="4" w:tentative="0">
      <w:start w:val="1"/>
      <w:numFmt w:val="lowerLetter"/>
      <w:lvlText w:val="%5)"/>
      <w:lvlJc w:val="left"/>
      <w:pPr>
        <w:tabs>
          <w:tab w:val="left" w:pos="0"/>
        </w:tabs>
        <w:ind w:left="992" w:hanging="629"/>
      </w:pPr>
    </w:lvl>
    <w:lvl w:ilvl="5" w:tentative="0">
      <w:start w:val="1"/>
      <w:numFmt w:val="lowerRoman"/>
      <w:lvlText w:val="%6."/>
      <w:lvlJc w:val="right"/>
      <w:pPr>
        <w:tabs>
          <w:tab w:val="left" w:pos="0"/>
        </w:tabs>
        <w:ind w:left="992" w:hanging="629"/>
      </w:pPr>
    </w:lvl>
    <w:lvl w:ilvl="6" w:tentative="0">
      <w:start w:val="1"/>
      <w:numFmt w:val="decimal"/>
      <w:lvlText w:val="%7."/>
      <w:lvlJc w:val="left"/>
      <w:pPr>
        <w:tabs>
          <w:tab w:val="left" w:pos="0"/>
        </w:tabs>
        <w:ind w:left="992" w:hanging="629"/>
      </w:pPr>
    </w:lvl>
    <w:lvl w:ilvl="7" w:tentative="0">
      <w:start w:val="1"/>
      <w:numFmt w:val="lowerLetter"/>
      <w:lvlText w:val="%8)"/>
      <w:lvlJc w:val="left"/>
      <w:pPr>
        <w:tabs>
          <w:tab w:val="left" w:pos="0"/>
        </w:tabs>
        <w:ind w:left="992" w:hanging="629"/>
      </w:pPr>
    </w:lvl>
    <w:lvl w:ilvl="8" w:tentative="0">
      <w:start w:val="1"/>
      <w:numFmt w:val="lowerRoman"/>
      <w:lvlText w:val="%9."/>
      <w:lvlJc w:val="right"/>
      <w:pPr>
        <w:tabs>
          <w:tab w:val="left" w:pos="0"/>
        </w:tabs>
        <w:ind w:left="992" w:hanging="629"/>
      </w:pPr>
    </w:lvl>
  </w:abstractNum>
  <w:abstractNum w:abstractNumId="4">
    <w:nsid w:val="F947AA72"/>
    <w:multiLevelType w:val="multilevel"/>
    <w:tmpl w:val="F947AA72"/>
    <w:lvl w:ilvl="0" w:tentative="0">
      <w:start w:val="1"/>
      <w:numFmt w:val="upperLetter"/>
      <w:suff w:val="space"/>
      <w:lvlText w:val="%1"/>
      <w:lvlJc w:val="left"/>
      <w:pPr>
        <w:ind w:left="425" w:hanging="425"/>
      </w:pPr>
    </w:lvl>
    <w:lvl w:ilvl="1" w:tentative="0">
      <w:start w:val="1"/>
      <w:numFmt w:val="decimal"/>
      <w:pStyle w:val="62"/>
      <w:suff w:val="space"/>
      <w:lvlText w:val="表%1.%2"/>
      <w:lvlJc w:val="center"/>
      <w:pPr>
        <w:ind w:left="0" w:firstLine="0"/>
      </w:pPr>
      <w:rPr>
        <w:rFonts w:hint="eastAsia" w:ascii="黑体" w:hAnsi="Times New Roman" w:eastAsia="黑体" w:cs="黑体"/>
        <w:sz w:val="21"/>
      </w:r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5"/>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5">
    <w:nsid w:val="0FFFFF7E"/>
    <w:multiLevelType w:val="singleLevel"/>
    <w:tmpl w:val="0FFFFF7E"/>
    <w:lvl w:ilvl="0" w:tentative="0">
      <w:start w:val="1"/>
      <w:numFmt w:val="decimal"/>
      <w:lvlText w:val="%1."/>
      <w:lvlJc w:val="left"/>
      <w:pPr>
        <w:tabs>
          <w:tab w:val="left" w:pos="1200"/>
        </w:tabs>
        <w:ind w:left="1200" w:hanging="360"/>
      </w:pPr>
    </w:lvl>
  </w:abstractNum>
  <w:abstractNum w:abstractNumId="6">
    <w:nsid w:val="0FFFFF7F"/>
    <w:multiLevelType w:val="singleLevel"/>
    <w:tmpl w:val="0FFFFF7F"/>
    <w:lvl w:ilvl="0" w:tentative="0">
      <w:start w:val="1"/>
      <w:numFmt w:val="decimal"/>
      <w:lvlText w:val="%1."/>
      <w:lvlJc w:val="left"/>
      <w:pPr>
        <w:tabs>
          <w:tab w:val="left" w:pos="780"/>
        </w:tabs>
        <w:ind w:left="780" w:hanging="360"/>
      </w:pPr>
    </w:lvl>
  </w:abstractNum>
  <w:abstractNum w:abstractNumId="7">
    <w:nsid w:val="2C5917C3"/>
    <w:multiLevelType w:val="multilevel"/>
    <w:tmpl w:val="2C5917C3"/>
    <w:lvl w:ilvl="0" w:tentative="0">
      <w:start w:val="1"/>
      <w:numFmt w:val="none"/>
      <w:pStyle w:val="57"/>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8">
    <w:nsid w:val="44C50F90"/>
    <w:multiLevelType w:val="multilevel"/>
    <w:tmpl w:val="44C50F90"/>
    <w:lvl w:ilvl="0" w:tentative="0">
      <w:start w:val="1"/>
      <w:numFmt w:val="lowerLetter"/>
      <w:pStyle w:val="52"/>
      <w:lvlText w:val="%1)"/>
      <w:lvlJc w:val="left"/>
      <w:pPr>
        <w:tabs>
          <w:tab w:val="left" w:pos="851"/>
        </w:tabs>
        <w:ind w:left="851" w:hanging="426"/>
      </w:pPr>
      <w:rPr>
        <w:rFonts w:hint="eastAsia" w:ascii="宋体" w:hAnsi="Times New Roman" w:eastAsia="宋体"/>
        <w:sz w:val="21"/>
      </w:rPr>
    </w:lvl>
    <w:lvl w:ilvl="1" w:tentative="0">
      <w:start w:val="1"/>
      <w:numFmt w:val="decimal"/>
      <w:pStyle w:val="50"/>
      <w:lvlText w:val="%2)"/>
      <w:lvlJc w:val="left"/>
      <w:pPr>
        <w:tabs>
          <w:tab w:val="left" w:pos="1276"/>
        </w:tabs>
        <w:ind w:left="1276" w:hanging="425"/>
      </w:pPr>
      <w:rPr>
        <w:rFonts w:hint="eastAsia" w:ascii="宋体" w:hAnsi="Times New Roman" w:eastAsia="宋体"/>
        <w:sz w:val="21"/>
      </w:rPr>
    </w:lvl>
    <w:lvl w:ilvl="2" w:tentative="0">
      <w:start w:val="1"/>
      <w:numFmt w:val="decimal"/>
      <w:pStyle w:val="51"/>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9">
    <w:nsid w:val="5A9B6960"/>
    <w:multiLevelType w:val="multilevel"/>
    <w:tmpl w:val="5A9B6960"/>
    <w:lvl w:ilvl="0" w:tentative="0">
      <w:start w:val="1"/>
      <w:numFmt w:val="none"/>
      <w:pStyle w:val="40"/>
      <w:suff w:val="nothing"/>
      <w:lvlText w:val="%1"/>
      <w:legacy w:legacy="1" w:legacySpace="0" w:legacyIndent="0"/>
      <w:lvlJc w:val="left"/>
      <w:pPr>
        <w:ind w:left="0" w:firstLine="0"/>
      </w:pPr>
      <w:rPr>
        <w:rFonts w:hint="eastAsia"/>
      </w:rPr>
    </w:lvl>
    <w:lvl w:ilvl="1" w:tentative="0">
      <w:start w:val="1"/>
      <w:numFmt w:val="decimal"/>
      <w:pStyle w:val="34"/>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6"/>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42"/>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41"/>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9"/>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9"/>
  </w:num>
  <w:num w:numId="2">
    <w:abstractNumId w:val="0"/>
  </w:num>
  <w:num w:numId="3">
    <w:abstractNumId w:val="6"/>
  </w:num>
  <w:num w:numId="4">
    <w:abstractNumId w:val="5"/>
  </w:num>
  <w:num w:numId="5">
    <w:abstractNumId w:val="8"/>
  </w:num>
  <w:num w:numId="6">
    <w:abstractNumId w:val="7"/>
  </w:num>
  <w:num w:numId="7">
    <w:abstractNumId w:val="1"/>
  </w:num>
  <w:num w:numId="8">
    <w:abstractNumId w:val="3"/>
  </w:num>
  <w:num w:numId="9">
    <w:abstractNumId w:val="4"/>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U0OWNhMGUyYzc2MTI5ZWY2NzM4MTVkMDAwODg0YzMifQ=="/>
  </w:docVars>
  <w:rsids>
    <w:rsidRoot w:val="000D75AA"/>
    <w:rsid w:val="000068A2"/>
    <w:rsid w:val="00014983"/>
    <w:rsid w:val="000178C8"/>
    <w:rsid w:val="00022F61"/>
    <w:rsid w:val="00043782"/>
    <w:rsid w:val="00051BC1"/>
    <w:rsid w:val="00055442"/>
    <w:rsid w:val="000678FF"/>
    <w:rsid w:val="00072103"/>
    <w:rsid w:val="00075653"/>
    <w:rsid w:val="0008200B"/>
    <w:rsid w:val="00082613"/>
    <w:rsid w:val="000A2817"/>
    <w:rsid w:val="000C517B"/>
    <w:rsid w:val="000D75AA"/>
    <w:rsid w:val="000E53EA"/>
    <w:rsid w:val="001133E6"/>
    <w:rsid w:val="00142D19"/>
    <w:rsid w:val="001655CC"/>
    <w:rsid w:val="0018012C"/>
    <w:rsid w:val="001821C9"/>
    <w:rsid w:val="001A7570"/>
    <w:rsid w:val="001C58D4"/>
    <w:rsid w:val="001D3156"/>
    <w:rsid w:val="001D4C84"/>
    <w:rsid w:val="001E2D73"/>
    <w:rsid w:val="001E6087"/>
    <w:rsid w:val="0020127F"/>
    <w:rsid w:val="00205352"/>
    <w:rsid w:val="002210B4"/>
    <w:rsid w:val="0022236C"/>
    <w:rsid w:val="002227B6"/>
    <w:rsid w:val="002324B6"/>
    <w:rsid w:val="00234F7D"/>
    <w:rsid w:val="00236909"/>
    <w:rsid w:val="00236EB4"/>
    <w:rsid w:val="00241F8A"/>
    <w:rsid w:val="00281F39"/>
    <w:rsid w:val="0028500C"/>
    <w:rsid w:val="002879F6"/>
    <w:rsid w:val="002905CF"/>
    <w:rsid w:val="00292F73"/>
    <w:rsid w:val="0029554A"/>
    <w:rsid w:val="002A3479"/>
    <w:rsid w:val="002B7C92"/>
    <w:rsid w:val="002D530A"/>
    <w:rsid w:val="002E357A"/>
    <w:rsid w:val="002F2059"/>
    <w:rsid w:val="00301664"/>
    <w:rsid w:val="00321E92"/>
    <w:rsid w:val="003223ED"/>
    <w:rsid w:val="003259AF"/>
    <w:rsid w:val="003332BA"/>
    <w:rsid w:val="00337000"/>
    <w:rsid w:val="00340D9B"/>
    <w:rsid w:val="003421C0"/>
    <w:rsid w:val="003517E7"/>
    <w:rsid w:val="00372E66"/>
    <w:rsid w:val="00375933"/>
    <w:rsid w:val="00382E35"/>
    <w:rsid w:val="00396F2C"/>
    <w:rsid w:val="003D06F2"/>
    <w:rsid w:val="003D485E"/>
    <w:rsid w:val="00426DC5"/>
    <w:rsid w:val="004373E9"/>
    <w:rsid w:val="0044036C"/>
    <w:rsid w:val="0044065E"/>
    <w:rsid w:val="004805DB"/>
    <w:rsid w:val="0048511D"/>
    <w:rsid w:val="004A75FF"/>
    <w:rsid w:val="004B4D68"/>
    <w:rsid w:val="004F29B4"/>
    <w:rsid w:val="00515B82"/>
    <w:rsid w:val="0051755E"/>
    <w:rsid w:val="005244B1"/>
    <w:rsid w:val="00533B2A"/>
    <w:rsid w:val="00554B7D"/>
    <w:rsid w:val="00564A0C"/>
    <w:rsid w:val="005A1D9D"/>
    <w:rsid w:val="005D6C77"/>
    <w:rsid w:val="005E3C13"/>
    <w:rsid w:val="005E7B33"/>
    <w:rsid w:val="005F1668"/>
    <w:rsid w:val="005F2FD2"/>
    <w:rsid w:val="005F4961"/>
    <w:rsid w:val="00617B08"/>
    <w:rsid w:val="00627AB4"/>
    <w:rsid w:val="006335ED"/>
    <w:rsid w:val="006343EC"/>
    <w:rsid w:val="0063539D"/>
    <w:rsid w:val="006360BD"/>
    <w:rsid w:val="00636EA7"/>
    <w:rsid w:val="00637F53"/>
    <w:rsid w:val="006511A8"/>
    <w:rsid w:val="0067378F"/>
    <w:rsid w:val="00691000"/>
    <w:rsid w:val="006B0BA0"/>
    <w:rsid w:val="006B12C0"/>
    <w:rsid w:val="006F2543"/>
    <w:rsid w:val="00714DDE"/>
    <w:rsid w:val="00727452"/>
    <w:rsid w:val="0074491A"/>
    <w:rsid w:val="007557E4"/>
    <w:rsid w:val="00756356"/>
    <w:rsid w:val="007643FB"/>
    <w:rsid w:val="00774434"/>
    <w:rsid w:val="007756AB"/>
    <w:rsid w:val="00781D6C"/>
    <w:rsid w:val="00784DBC"/>
    <w:rsid w:val="007A149B"/>
    <w:rsid w:val="007B46C1"/>
    <w:rsid w:val="007C244C"/>
    <w:rsid w:val="007E6054"/>
    <w:rsid w:val="007F29ED"/>
    <w:rsid w:val="00801A7F"/>
    <w:rsid w:val="00814260"/>
    <w:rsid w:val="00817F67"/>
    <w:rsid w:val="008247C4"/>
    <w:rsid w:val="00826BFA"/>
    <w:rsid w:val="00853F5C"/>
    <w:rsid w:val="008572EE"/>
    <w:rsid w:val="00874BB5"/>
    <w:rsid w:val="008779C2"/>
    <w:rsid w:val="00880107"/>
    <w:rsid w:val="00884366"/>
    <w:rsid w:val="00887632"/>
    <w:rsid w:val="00895F4A"/>
    <w:rsid w:val="008973E6"/>
    <w:rsid w:val="008B1DEA"/>
    <w:rsid w:val="008B6B5F"/>
    <w:rsid w:val="008E1EB5"/>
    <w:rsid w:val="00926E1B"/>
    <w:rsid w:val="00932BA3"/>
    <w:rsid w:val="00947EBA"/>
    <w:rsid w:val="009718CC"/>
    <w:rsid w:val="009A4141"/>
    <w:rsid w:val="009B7918"/>
    <w:rsid w:val="009E3161"/>
    <w:rsid w:val="00A06B7F"/>
    <w:rsid w:val="00A16A3E"/>
    <w:rsid w:val="00A263D3"/>
    <w:rsid w:val="00A365A2"/>
    <w:rsid w:val="00A368A3"/>
    <w:rsid w:val="00A37FDF"/>
    <w:rsid w:val="00A42C5E"/>
    <w:rsid w:val="00A75476"/>
    <w:rsid w:val="00A87F41"/>
    <w:rsid w:val="00A95A00"/>
    <w:rsid w:val="00AB5B3D"/>
    <w:rsid w:val="00AC57C3"/>
    <w:rsid w:val="00AD0172"/>
    <w:rsid w:val="00B0429D"/>
    <w:rsid w:val="00B051B4"/>
    <w:rsid w:val="00B07A8A"/>
    <w:rsid w:val="00B3173E"/>
    <w:rsid w:val="00B66676"/>
    <w:rsid w:val="00B73416"/>
    <w:rsid w:val="00B77477"/>
    <w:rsid w:val="00B91573"/>
    <w:rsid w:val="00B94EFE"/>
    <w:rsid w:val="00B954B8"/>
    <w:rsid w:val="00BA570D"/>
    <w:rsid w:val="00BB6932"/>
    <w:rsid w:val="00BB7B52"/>
    <w:rsid w:val="00BD2990"/>
    <w:rsid w:val="00C06762"/>
    <w:rsid w:val="00C07069"/>
    <w:rsid w:val="00C123EE"/>
    <w:rsid w:val="00C13CB6"/>
    <w:rsid w:val="00C20386"/>
    <w:rsid w:val="00CC71EF"/>
    <w:rsid w:val="00CE7CD2"/>
    <w:rsid w:val="00D0457A"/>
    <w:rsid w:val="00D35977"/>
    <w:rsid w:val="00D43F5A"/>
    <w:rsid w:val="00D8569E"/>
    <w:rsid w:val="00D87F07"/>
    <w:rsid w:val="00D9142A"/>
    <w:rsid w:val="00D9735E"/>
    <w:rsid w:val="00DB7F6F"/>
    <w:rsid w:val="00DD5A6C"/>
    <w:rsid w:val="00DF4FB8"/>
    <w:rsid w:val="00E07E23"/>
    <w:rsid w:val="00E1324A"/>
    <w:rsid w:val="00E27034"/>
    <w:rsid w:val="00E32D4B"/>
    <w:rsid w:val="00E40372"/>
    <w:rsid w:val="00E41116"/>
    <w:rsid w:val="00E414EF"/>
    <w:rsid w:val="00E455A5"/>
    <w:rsid w:val="00E835A1"/>
    <w:rsid w:val="00E83E2D"/>
    <w:rsid w:val="00E843B2"/>
    <w:rsid w:val="00ED41E5"/>
    <w:rsid w:val="00EE332B"/>
    <w:rsid w:val="00EF4610"/>
    <w:rsid w:val="00EF6CB2"/>
    <w:rsid w:val="00F01A5C"/>
    <w:rsid w:val="00F1246B"/>
    <w:rsid w:val="00F40513"/>
    <w:rsid w:val="00F424A9"/>
    <w:rsid w:val="00F5729F"/>
    <w:rsid w:val="00F65587"/>
    <w:rsid w:val="00F77E06"/>
    <w:rsid w:val="00F843C0"/>
    <w:rsid w:val="00F9021F"/>
    <w:rsid w:val="00FA7D60"/>
    <w:rsid w:val="00FB260A"/>
    <w:rsid w:val="00FC7CE6"/>
    <w:rsid w:val="00FD5DA3"/>
    <w:rsid w:val="00FD6497"/>
    <w:rsid w:val="00FF2EC3"/>
    <w:rsid w:val="00FF56B9"/>
    <w:rsid w:val="012A4E2C"/>
    <w:rsid w:val="013B5F16"/>
    <w:rsid w:val="023615AF"/>
    <w:rsid w:val="025E2D19"/>
    <w:rsid w:val="02614FC7"/>
    <w:rsid w:val="02DC2156"/>
    <w:rsid w:val="02E82811"/>
    <w:rsid w:val="030A6CC4"/>
    <w:rsid w:val="03614FBD"/>
    <w:rsid w:val="036C0D75"/>
    <w:rsid w:val="036E42DF"/>
    <w:rsid w:val="039B3DC0"/>
    <w:rsid w:val="03CC3F79"/>
    <w:rsid w:val="03FB03BA"/>
    <w:rsid w:val="04790F9B"/>
    <w:rsid w:val="04DA4474"/>
    <w:rsid w:val="04EC1DF7"/>
    <w:rsid w:val="057B7A05"/>
    <w:rsid w:val="05CD222A"/>
    <w:rsid w:val="05FD2B10"/>
    <w:rsid w:val="06084616"/>
    <w:rsid w:val="0619721E"/>
    <w:rsid w:val="06456265"/>
    <w:rsid w:val="06A9292B"/>
    <w:rsid w:val="06C54323"/>
    <w:rsid w:val="06F70C16"/>
    <w:rsid w:val="071B1228"/>
    <w:rsid w:val="074B78AB"/>
    <w:rsid w:val="07BE53C7"/>
    <w:rsid w:val="085454AC"/>
    <w:rsid w:val="08892439"/>
    <w:rsid w:val="08EF7A39"/>
    <w:rsid w:val="095073FA"/>
    <w:rsid w:val="09C13E54"/>
    <w:rsid w:val="09EB05D3"/>
    <w:rsid w:val="0A530F50"/>
    <w:rsid w:val="0A5844F0"/>
    <w:rsid w:val="0AA132EE"/>
    <w:rsid w:val="0B3D750A"/>
    <w:rsid w:val="0B927BA2"/>
    <w:rsid w:val="0BC74F47"/>
    <w:rsid w:val="0BE32369"/>
    <w:rsid w:val="0BFD70B9"/>
    <w:rsid w:val="0C4845D6"/>
    <w:rsid w:val="0DB22432"/>
    <w:rsid w:val="0E1B0D4A"/>
    <w:rsid w:val="0EE41D10"/>
    <w:rsid w:val="10395851"/>
    <w:rsid w:val="10A125AF"/>
    <w:rsid w:val="10B547F0"/>
    <w:rsid w:val="10BF65F0"/>
    <w:rsid w:val="11186A50"/>
    <w:rsid w:val="11386E78"/>
    <w:rsid w:val="11B73ED3"/>
    <w:rsid w:val="121E62E8"/>
    <w:rsid w:val="12241424"/>
    <w:rsid w:val="12277661"/>
    <w:rsid w:val="12B66520"/>
    <w:rsid w:val="133D4C82"/>
    <w:rsid w:val="13D12EE6"/>
    <w:rsid w:val="13EE1CEA"/>
    <w:rsid w:val="13F37300"/>
    <w:rsid w:val="13FA2960"/>
    <w:rsid w:val="14700951"/>
    <w:rsid w:val="148154C9"/>
    <w:rsid w:val="151244E3"/>
    <w:rsid w:val="156F60AE"/>
    <w:rsid w:val="16875DAB"/>
    <w:rsid w:val="169F0A74"/>
    <w:rsid w:val="16A11295"/>
    <w:rsid w:val="174D6D27"/>
    <w:rsid w:val="175400B6"/>
    <w:rsid w:val="17C675A6"/>
    <w:rsid w:val="17D631C0"/>
    <w:rsid w:val="18CE5C46"/>
    <w:rsid w:val="196F7429"/>
    <w:rsid w:val="19C77265"/>
    <w:rsid w:val="1A2024D1"/>
    <w:rsid w:val="1A2A2D28"/>
    <w:rsid w:val="1A514D80"/>
    <w:rsid w:val="1ABC0F82"/>
    <w:rsid w:val="1B9C64CF"/>
    <w:rsid w:val="1C0F4EF3"/>
    <w:rsid w:val="1C5E2638"/>
    <w:rsid w:val="1CAD7BD6"/>
    <w:rsid w:val="1CDC3027"/>
    <w:rsid w:val="1D2C4A21"/>
    <w:rsid w:val="1D4806BC"/>
    <w:rsid w:val="1E6C7E3E"/>
    <w:rsid w:val="1E8C6387"/>
    <w:rsid w:val="1EEE7042"/>
    <w:rsid w:val="1EF0375A"/>
    <w:rsid w:val="1F436741"/>
    <w:rsid w:val="1FFA549F"/>
    <w:rsid w:val="20346CD6"/>
    <w:rsid w:val="206E043A"/>
    <w:rsid w:val="20B63B8F"/>
    <w:rsid w:val="211200FF"/>
    <w:rsid w:val="21B75E11"/>
    <w:rsid w:val="23046E34"/>
    <w:rsid w:val="23675615"/>
    <w:rsid w:val="23E80503"/>
    <w:rsid w:val="24376F6E"/>
    <w:rsid w:val="2443573A"/>
    <w:rsid w:val="24B42104"/>
    <w:rsid w:val="24F86524"/>
    <w:rsid w:val="25496D80"/>
    <w:rsid w:val="25670B39"/>
    <w:rsid w:val="25CD79B1"/>
    <w:rsid w:val="25DC3EE8"/>
    <w:rsid w:val="25E42F4C"/>
    <w:rsid w:val="27095D8A"/>
    <w:rsid w:val="27532138"/>
    <w:rsid w:val="27604855"/>
    <w:rsid w:val="277B51EB"/>
    <w:rsid w:val="279E6744"/>
    <w:rsid w:val="2829733C"/>
    <w:rsid w:val="28CC0709"/>
    <w:rsid w:val="29C22B06"/>
    <w:rsid w:val="2AB6770F"/>
    <w:rsid w:val="2BAD2B02"/>
    <w:rsid w:val="2BDA1E37"/>
    <w:rsid w:val="2D4B05DB"/>
    <w:rsid w:val="2E0C3040"/>
    <w:rsid w:val="2E40384E"/>
    <w:rsid w:val="2F083808"/>
    <w:rsid w:val="2F0B058C"/>
    <w:rsid w:val="2F2B399A"/>
    <w:rsid w:val="2F454A5C"/>
    <w:rsid w:val="2F706C20"/>
    <w:rsid w:val="2F7C5FA4"/>
    <w:rsid w:val="2F82534F"/>
    <w:rsid w:val="302723B3"/>
    <w:rsid w:val="303040B7"/>
    <w:rsid w:val="306814F8"/>
    <w:rsid w:val="30AE6631"/>
    <w:rsid w:val="3106021B"/>
    <w:rsid w:val="3197089A"/>
    <w:rsid w:val="327A0EC0"/>
    <w:rsid w:val="33685BF1"/>
    <w:rsid w:val="339F33DF"/>
    <w:rsid w:val="34C65624"/>
    <w:rsid w:val="34D01D12"/>
    <w:rsid w:val="34D90AD3"/>
    <w:rsid w:val="350B5B62"/>
    <w:rsid w:val="3573099D"/>
    <w:rsid w:val="35C44201"/>
    <w:rsid w:val="366B28CE"/>
    <w:rsid w:val="380F4839"/>
    <w:rsid w:val="38206066"/>
    <w:rsid w:val="38913D17"/>
    <w:rsid w:val="38955FDF"/>
    <w:rsid w:val="393E01A9"/>
    <w:rsid w:val="396B1F46"/>
    <w:rsid w:val="39DC7D6B"/>
    <w:rsid w:val="3B651FE2"/>
    <w:rsid w:val="3B714E2B"/>
    <w:rsid w:val="3D5134B7"/>
    <w:rsid w:val="3D6C58AA"/>
    <w:rsid w:val="3D8C5F4C"/>
    <w:rsid w:val="3E65515C"/>
    <w:rsid w:val="3E94330A"/>
    <w:rsid w:val="401F30A7"/>
    <w:rsid w:val="403F2E01"/>
    <w:rsid w:val="41480210"/>
    <w:rsid w:val="42CD0EA8"/>
    <w:rsid w:val="431A1904"/>
    <w:rsid w:val="43947908"/>
    <w:rsid w:val="44CB4DED"/>
    <w:rsid w:val="44F56185"/>
    <w:rsid w:val="4520080C"/>
    <w:rsid w:val="45413951"/>
    <w:rsid w:val="45B30A7B"/>
    <w:rsid w:val="45D90566"/>
    <w:rsid w:val="46E47FFF"/>
    <w:rsid w:val="4779601E"/>
    <w:rsid w:val="481B0E08"/>
    <w:rsid w:val="482D3E87"/>
    <w:rsid w:val="48353A66"/>
    <w:rsid w:val="489160CA"/>
    <w:rsid w:val="48E01E61"/>
    <w:rsid w:val="49327CD0"/>
    <w:rsid w:val="493E1AE1"/>
    <w:rsid w:val="4A9B6FA0"/>
    <w:rsid w:val="4B035C36"/>
    <w:rsid w:val="4B2238EC"/>
    <w:rsid w:val="4B44550B"/>
    <w:rsid w:val="4C7D362F"/>
    <w:rsid w:val="4CAC0AD9"/>
    <w:rsid w:val="4CD55219"/>
    <w:rsid w:val="4DDD59C1"/>
    <w:rsid w:val="4E32294F"/>
    <w:rsid w:val="4E395334"/>
    <w:rsid w:val="4E593C28"/>
    <w:rsid w:val="4EFD2805"/>
    <w:rsid w:val="4F2558B8"/>
    <w:rsid w:val="4FC74BC1"/>
    <w:rsid w:val="501324CE"/>
    <w:rsid w:val="501778F7"/>
    <w:rsid w:val="505D0D17"/>
    <w:rsid w:val="50747CE5"/>
    <w:rsid w:val="50CC06E1"/>
    <w:rsid w:val="50FA5D92"/>
    <w:rsid w:val="51B02576"/>
    <w:rsid w:val="51FB0B52"/>
    <w:rsid w:val="522023D1"/>
    <w:rsid w:val="52270DB5"/>
    <w:rsid w:val="531E5595"/>
    <w:rsid w:val="531F075A"/>
    <w:rsid w:val="5338205E"/>
    <w:rsid w:val="54303C00"/>
    <w:rsid w:val="549A06C6"/>
    <w:rsid w:val="5539757D"/>
    <w:rsid w:val="563E5DDA"/>
    <w:rsid w:val="569D042A"/>
    <w:rsid w:val="56C63E25"/>
    <w:rsid w:val="57555F1B"/>
    <w:rsid w:val="5794447B"/>
    <w:rsid w:val="57996E43"/>
    <w:rsid w:val="57A01936"/>
    <w:rsid w:val="57A57FD6"/>
    <w:rsid w:val="57F01F2D"/>
    <w:rsid w:val="58286739"/>
    <w:rsid w:val="583A6878"/>
    <w:rsid w:val="58733B38"/>
    <w:rsid w:val="588E44CE"/>
    <w:rsid w:val="58D367F3"/>
    <w:rsid w:val="592C1295"/>
    <w:rsid w:val="595B4CF8"/>
    <w:rsid w:val="5992568E"/>
    <w:rsid w:val="59DD74BB"/>
    <w:rsid w:val="59E266CB"/>
    <w:rsid w:val="59EF3692"/>
    <w:rsid w:val="5A420BA5"/>
    <w:rsid w:val="5A8C449C"/>
    <w:rsid w:val="5B571FFB"/>
    <w:rsid w:val="5B6B556E"/>
    <w:rsid w:val="5BFB00CD"/>
    <w:rsid w:val="5C452F47"/>
    <w:rsid w:val="5C537F09"/>
    <w:rsid w:val="5C867919"/>
    <w:rsid w:val="5D086F45"/>
    <w:rsid w:val="5D243653"/>
    <w:rsid w:val="5D4D6706"/>
    <w:rsid w:val="5D9B49EA"/>
    <w:rsid w:val="5DF76C0B"/>
    <w:rsid w:val="5E0E07F8"/>
    <w:rsid w:val="5E42134A"/>
    <w:rsid w:val="5ED15115"/>
    <w:rsid w:val="5EFD5F0A"/>
    <w:rsid w:val="5FD702EA"/>
    <w:rsid w:val="5FEF619A"/>
    <w:rsid w:val="60252B89"/>
    <w:rsid w:val="604F4E8B"/>
    <w:rsid w:val="60B11334"/>
    <w:rsid w:val="616C2448"/>
    <w:rsid w:val="61882403"/>
    <w:rsid w:val="620316C6"/>
    <w:rsid w:val="626C326C"/>
    <w:rsid w:val="628C5F22"/>
    <w:rsid w:val="62C44CEE"/>
    <w:rsid w:val="630E06E5"/>
    <w:rsid w:val="634A0790"/>
    <w:rsid w:val="63DF2082"/>
    <w:rsid w:val="64E33DF4"/>
    <w:rsid w:val="652F2B95"/>
    <w:rsid w:val="654A16B4"/>
    <w:rsid w:val="654C7BEB"/>
    <w:rsid w:val="65E76184"/>
    <w:rsid w:val="660F1D12"/>
    <w:rsid w:val="66375416"/>
    <w:rsid w:val="664803B2"/>
    <w:rsid w:val="66770C98"/>
    <w:rsid w:val="66EF6B43"/>
    <w:rsid w:val="67277FC8"/>
    <w:rsid w:val="677C2407"/>
    <w:rsid w:val="6804655B"/>
    <w:rsid w:val="68552A56"/>
    <w:rsid w:val="68C47A98"/>
    <w:rsid w:val="68C53F3C"/>
    <w:rsid w:val="6B170353"/>
    <w:rsid w:val="6B805A13"/>
    <w:rsid w:val="6B913722"/>
    <w:rsid w:val="6BFB1CFC"/>
    <w:rsid w:val="6CC80E6D"/>
    <w:rsid w:val="6CEE57FE"/>
    <w:rsid w:val="6DDA15E5"/>
    <w:rsid w:val="6E0252EB"/>
    <w:rsid w:val="6E315BD0"/>
    <w:rsid w:val="6F393D6E"/>
    <w:rsid w:val="6F986B5B"/>
    <w:rsid w:val="70015658"/>
    <w:rsid w:val="70B2124A"/>
    <w:rsid w:val="70EC47D4"/>
    <w:rsid w:val="70F47B1E"/>
    <w:rsid w:val="710B6BAC"/>
    <w:rsid w:val="712B2DAA"/>
    <w:rsid w:val="71CC633B"/>
    <w:rsid w:val="71F238C8"/>
    <w:rsid w:val="72534367"/>
    <w:rsid w:val="72D70869"/>
    <w:rsid w:val="738A5B9F"/>
    <w:rsid w:val="73C6500C"/>
    <w:rsid w:val="7402700B"/>
    <w:rsid w:val="741F6AAA"/>
    <w:rsid w:val="74A0585D"/>
    <w:rsid w:val="750E3D01"/>
    <w:rsid w:val="75436915"/>
    <w:rsid w:val="75F1571C"/>
    <w:rsid w:val="75FF643B"/>
    <w:rsid w:val="77A7157C"/>
    <w:rsid w:val="781E5417"/>
    <w:rsid w:val="78B143BF"/>
    <w:rsid w:val="790C1713"/>
    <w:rsid w:val="793F5645"/>
    <w:rsid w:val="79477DB9"/>
    <w:rsid w:val="798B5FEA"/>
    <w:rsid w:val="7A035425"/>
    <w:rsid w:val="7A937FAF"/>
    <w:rsid w:val="7AB465B7"/>
    <w:rsid w:val="7ACC115A"/>
    <w:rsid w:val="7AF81F4F"/>
    <w:rsid w:val="7AFA7F37"/>
    <w:rsid w:val="7B0D59BF"/>
    <w:rsid w:val="7B215011"/>
    <w:rsid w:val="7B5C267D"/>
    <w:rsid w:val="7B6C6499"/>
    <w:rsid w:val="7B7B492E"/>
    <w:rsid w:val="7BEC3554"/>
    <w:rsid w:val="7CB63E70"/>
    <w:rsid w:val="7D221505"/>
    <w:rsid w:val="7D334C5C"/>
    <w:rsid w:val="7D902913"/>
    <w:rsid w:val="7DE81904"/>
    <w:rsid w:val="7E2B6198"/>
    <w:rsid w:val="7F6D45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Calibri"/>
      <w:kern w:val="2"/>
      <w:sz w:val="21"/>
      <w:szCs w:val="24"/>
      <w:lang w:val="en-US" w:eastAsia="zh-CN" w:bidi="ar-SA"/>
    </w:rPr>
  </w:style>
  <w:style w:type="paragraph" w:styleId="2">
    <w:name w:val="heading 1"/>
    <w:basedOn w:val="1"/>
    <w:next w:val="1"/>
    <w:autoRedefine/>
    <w:qFormat/>
    <w:uiPriority w:val="0"/>
    <w:pPr>
      <w:keepNext/>
      <w:keepLines/>
      <w:spacing w:before="340" w:after="330" w:line="578" w:lineRule="auto"/>
      <w:outlineLvl w:val="0"/>
    </w:pPr>
    <w:rPr>
      <w:b/>
      <w:bCs/>
      <w:kern w:val="44"/>
      <w:sz w:val="44"/>
    </w:rPr>
  </w:style>
  <w:style w:type="paragraph" w:styleId="3">
    <w:name w:val="heading 2"/>
    <w:basedOn w:val="1"/>
    <w:next w:val="1"/>
    <w:autoRedefine/>
    <w:qFormat/>
    <w:uiPriority w:val="0"/>
    <w:pPr>
      <w:keepNext/>
      <w:keepLines/>
      <w:spacing w:before="260" w:after="260" w:line="415" w:lineRule="auto"/>
      <w:outlineLvl w:val="1"/>
    </w:pPr>
    <w:rPr>
      <w:rFonts w:ascii="Times New Roman" w:hAnsi="Times New Roman" w:eastAsia="黑体"/>
      <w:b/>
      <w:sz w:val="32"/>
    </w:rPr>
  </w:style>
  <w:style w:type="paragraph" w:styleId="4">
    <w:name w:val="heading 3"/>
    <w:basedOn w:val="1"/>
    <w:next w:val="1"/>
    <w:autoRedefine/>
    <w:qFormat/>
    <w:uiPriority w:val="0"/>
    <w:pPr>
      <w:keepNext/>
      <w:keepLines/>
      <w:spacing w:before="260" w:after="260" w:line="415" w:lineRule="auto"/>
      <w:outlineLvl w:val="2"/>
    </w:pPr>
    <w:rPr>
      <w:b/>
      <w:sz w:val="32"/>
    </w:rPr>
  </w:style>
  <w:style w:type="paragraph" w:styleId="5">
    <w:name w:val="heading 4"/>
    <w:basedOn w:val="1"/>
    <w:next w:val="1"/>
    <w:semiHidden/>
    <w:unhideWhenUsed/>
    <w:qFormat/>
    <w:uiPriority w:val="9"/>
    <w:pPr>
      <w:spacing w:before="0" w:beforeAutospacing="1" w:after="0" w:afterAutospacing="1"/>
      <w:jc w:val="left"/>
    </w:pPr>
    <w:rPr>
      <w:rFonts w:hint="eastAsia" w:ascii="宋体" w:hAnsi="宋体" w:eastAsia="宋体" w:cs="宋体"/>
      <w:b/>
      <w:bCs/>
      <w:kern w:val="0"/>
      <w:sz w:val="24"/>
      <w:szCs w:val="24"/>
      <w:lang w:val="en-US" w:eastAsia="zh-CN" w:bidi="ar"/>
    </w:rPr>
  </w:style>
  <w:style w:type="paragraph" w:styleId="6">
    <w:name w:val="heading 7"/>
    <w:basedOn w:val="1"/>
    <w:next w:val="1"/>
    <w:link w:val="26"/>
    <w:autoRedefine/>
    <w:qFormat/>
    <w:uiPriority w:val="9"/>
    <w:pPr>
      <w:keepNext/>
      <w:keepLines/>
      <w:spacing w:before="240" w:after="64" w:line="320" w:lineRule="auto"/>
      <w:outlineLvl w:val="6"/>
    </w:pPr>
    <w:rPr>
      <w:b/>
      <w:bCs/>
      <w:sz w:val="24"/>
    </w:rPr>
  </w:style>
  <w:style w:type="character" w:default="1" w:styleId="18">
    <w:name w:val="Default Paragraph Font"/>
    <w:semiHidden/>
    <w:unhideWhenUsed/>
    <w:qFormat/>
    <w:uiPriority w:val="1"/>
  </w:style>
  <w:style w:type="table" w:default="1" w:styleId="16">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Calibri"/>
      <w:sz w:val="20"/>
      <w:szCs w:val="20"/>
    </w:rPr>
    <w:tblPr>
      <w:tblCellMar>
        <w:top w:w="0" w:type="dxa"/>
        <w:left w:w="108" w:type="dxa"/>
        <w:bottom w:w="0" w:type="dxa"/>
        <w:right w:w="108" w:type="dxa"/>
      </w:tblCellMar>
    </w:tblPr>
  </w:style>
  <w:style w:type="paragraph" w:styleId="7">
    <w:name w:val="annotation text"/>
    <w:basedOn w:val="1"/>
    <w:link w:val="27"/>
    <w:autoRedefine/>
    <w:unhideWhenUsed/>
    <w:qFormat/>
    <w:uiPriority w:val="99"/>
    <w:pPr>
      <w:adjustRightInd w:val="0"/>
      <w:spacing w:line="400" w:lineRule="exact"/>
      <w:jc w:val="left"/>
    </w:pPr>
    <w:rPr>
      <w:szCs w:val="21"/>
    </w:rPr>
  </w:style>
  <w:style w:type="paragraph" w:styleId="8">
    <w:name w:val="Balloon Text"/>
    <w:basedOn w:val="1"/>
    <w:link w:val="28"/>
    <w:autoRedefine/>
    <w:unhideWhenUsed/>
    <w:qFormat/>
    <w:uiPriority w:val="99"/>
    <w:rPr>
      <w:sz w:val="18"/>
      <w:szCs w:val="18"/>
    </w:rPr>
  </w:style>
  <w:style w:type="paragraph" w:styleId="9">
    <w:name w:val="footer"/>
    <w:basedOn w:val="1"/>
    <w:link w:val="29"/>
    <w:autoRedefine/>
    <w:qFormat/>
    <w:uiPriority w:val="99"/>
    <w:pPr>
      <w:tabs>
        <w:tab w:val="center" w:pos="4153"/>
        <w:tab w:val="right" w:pos="8306"/>
      </w:tabs>
      <w:snapToGrid w:val="0"/>
      <w:jc w:val="left"/>
    </w:pPr>
    <w:rPr>
      <w:sz w:val="18"/>
      <w:szCs w:val="18"/>
    </w:rPr>
  </w:style>
  <w:style w:type="paragraph" w:styleId="10">
    <w:name w:val="envelope return"/>
    <w:basedOn w:val="1"/>
    <w:autoRedefine/>
    <w:qFormat/>
    <w:uiPriority w:val="0"/>
    <w:pPr>
      <w:snapToGrid w:val="0"/>
    </w:pPr>
    <w:rPr>
      <w:rFonts w:ascii="Times New Roman" w:hAnsi="Times New Roman"/>
    </w:rPr>
  </w:style>
  <w:style w:type="paragraph" w:styleId="11">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2">
    <w:name w:val="toc 4"/>
    <w:basedOn w:val="1"/>
    <w:next w:val="1"/>
    <w:autoRedefine/>
    <w:unhideWhenUsed/>
    <w:qFormat/>
    <w:uiPriority w:val="39"/>
    <w:pPr>
      <w:tabs>
        <w:tab w:val="right" w:leader="dot" w:pos="9344"/>
      </w:tabs>
      <w:adjustRightInd w:val="0"/>
      <w:spacing w:line="300" w:lineRule="exact"/>
      <w:ind w:left="629"/>
    </w:pPr>
    <w:rPr>
      <w:rFonts w:ascii="宋体"/>
      <w:szCs w:val="21"/>
    </w:rPr>
  </w:style>
  <w:style w:type="paragraph" w:styleId="13">
    <w:name w:val="HTML Preformatted"/>
    <w:basedOn w:val="1"/>
    <w:semiHidden/>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14">
    <w:name w:val="Normal (Web)"/>
    <w:basedOn w:val="1"/>
    <w:autoRedefine/>
    <w:semiHidden/>
    <w:unhideWhenUsed/>
    <w:qFormat/>
    <w:uiPriority w:val="99"/>
    <w:rPr>
      <w:sz w:val="24"/>
    </w:rPr>
  </w:style>
  <w:style w:type="paragraph" w:styleId="15">
    <w:name w:val="Title"/>
    <w:basedOn w:val="1"/>
    <w:link w:val="65"/>
    <w:qFormat/>
    <w:uiPriority w:val="10"/>
    <w:pPr>
      <w:spacing w:before="240" w:beforeLines="0" w:beforeAutospacing="0" w:after="60" w:afterLines="0" w:afterAutospacing="0"/>
      <w:jc w:val="center"/>
      <w:outlineLvl w:val="0"/>
    </w:pPr>
    <w:rPr>
      <w:rFonts w:ascii="Arial" w:hAnsi="Arial"/>
      <w:b/>
      <w:sz w:val="32"/>
    </w:rPr>
  </w:style>
  <w:style w:type="table" w:styleId="17">
    <w:name w:val="Table Grid"/>
    <w:basedOn w:val="16"/>
    <w:autoRedefine/>
    <w:qFormat/>
    <w:uiPriority w:val="39"/>
    <w:rPr>
      <w:rFonts w:ascii="Calibri" w:hAnsi="Calibri"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19">
    <w:name w:val="Strong"/>
    <w:basedOn w:val="18"/>
    <w:autoRedefine/>
    <w:qFormat/>
    <w:uiPriority w:val="22"/>
    <w:rPr>
      <w:b/>
    </w:rPr>
  </w:style>
  <w:style w:type="character" w:styleId="20">
    <w:name w:val="line number"/>
    <w:autoRedefine/>
    <w:qFormat/>
    <w:uiPriority w:val="0"/>
  </w:style>
  <w:style w:type="character" w:styleId="21">
    <w:name w:val="Hyperlink"/>
    <w:autoRedefine/>
    <w:qFormat/>
    <w:uiPriority w:val="0"/>
    <w:rPr>
      <w:rFonts w:ascii="宋体" w:eastAsia="宋体"/>
      <w:color w:val="auto"/>
      <w:spacing w:val="0"/>
      <w:w w:val="100"/>
      <w:position w:val="0"/>
      <w:sz w:val="21"/>
      <w:u w:val="none"/>
      <w:vertAlign w:val="baseline"/>
    </w:rPr>
  </w:style>
  <w:style w:type="character" w:styleId="22">
    <w:name w:val="annotation reference"/>
    <w:basedOn w:val="18"/>
    <w:autoRedefine/>
    <w:qFormat/>
    <w:uiPriority w:val="99"/>
    <w:rPr>
      <w:sz w:val="21"/>
      <w:szCs w:val="21"/>
    </w:rPr>
  </w:style>
  <w:style w:type="character" w:styleId="23">
    <w:name w:val="footnote reference"/>
    <w:autoRedefine/>
    <w:qFormat/>
    <w:uiPriority w:val="0"/>
    <w:rPr>
      <w:vertAlign w:val="superscript"/>
    </w:rPr>
  </w:style>
  <w:style w:type="paragraph" w:customStyle="1" w:styleId="24">
    <w:name w:val="BodyText2"/>
    <w:basedOn w:val="1"/>
    <w:autoRedefine/>
    <w:qFormat/>
    <w:uiPriority w:val="0"/>
    <w:pPr>
      <w:spacing w:after="120" w:line="480" w:lineRule="auto"/>
      <w:textAlignment w:val="baseline"/>
    </w:pPr>
    <w:rPr>
      <w:rFonts w:cs="Times New Roman"/>
      <w:sz w:val="32"/>
      <w:szCs w:val="32"/>
    </w:rPr>
  </w:style>
  <w:style w:type="paragraph" w:customStyle="1" w:styleId="25">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6">
    <w:name w:val="标题 7 字符"/>
    <w:link w:val="6"/>
    <w:autoRedefine/>
    <w:qFormat/>
    <w:uiPriority w:val="0"/>
    <w:rPr>
      <w:rFonts w:eastAsia="宋体"/>
      <w:b/>
      <w:bCs/>
      <w:kern w:val="2"/>
      <w:sz w:val="24"/>
      <w:szCs w:val="24"/>
    </w:rPr>
  </w:style>
  <w:style w:type="character" w:customStyle="1" w:styleId="27">
    <w:name w:val="批注文字 字符"/>
    <w:link w:val="7"/>
    <w:autoRedefine/>
    <w:semiHidden/>
    <w:qFormat/>
    <w:uiPriority w:val="99"/>
    <w:rPr>
      <w:rFonts w:ascii="Calibri" w:hAnsi="Calibri" w:eastAsia="宋体"/>
      <w:kern w:val="2"/>
      <w:sz w:val="21"/>
      <w:szCs w:val="21"/>
    </w:rPr>
  </w:style>
  <w:style w:type="character" w:customStyle="1" w:styleId="28">
    <w:name w:val="批注框文本 字符"/>
    <w:link w:val="8"/>
    <w:autoRedefine/>
    <w:semiHidden/>
    <w:qFormat/>
    <w:uiPriority w:val="99"/>
    <w:rPr>
      <w:rFonts w:eastAsia="宋体"/>
      <w:kern w:val="2"/>
      <w:sz w:val="18"/>
      <w:szCs w:val="18"/>
    </w:rPr>
  </w:style>
  <w:style w:type="character" w:customStyle="1" w:styleId="29">
    <w:name w:val="页脚 字符"/>
    <w:link w:val="9"/>
    <w:autoRedefine/>
    <w:qFormat/>
    <w:locked/>
    <w:uiPriority w:val="99"/>
    <w:rPr>
      <w:rFonts w:eastAsia="宋体"/>
      <w:kern w:val="2"/>
      <w:sz w:val="18"/>
      <w:szCs w:val="18"/>
    </w:rPr>
  </w:style>
  <w:style w:type="paragraph" w:customStyle="1" w:styleId="30">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31">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32">
    <w:name w:val="标准文件_段"/>
    <w:link w:val="33"/>
    <w:autoRedefine/>
    <w:qFormat/>
    <w:uiPriority w:val="0"/>
    <w:pPr>
      <w:autoSpaceDE w:val="0"/>
      <w:autoSpaceDN w:val="0"/>
      <w:spacing w:before="156" w:beforeLines="50" w:after="156" w:afterLines="50" w:line="520" w:lineRule="exact"/>
      <w:ind w:firstLine="480" w:firstLineChars="200"/>
      <w:jc w:val="center"/>
    </w:pPr>
    <w:rPr>
      <w:rFonts w:ascii="黑体" w:hAnsi="黑体" w:eastAsia="黑体" w:cs="黑体"/>
      <w:bCs/>
      <w:sz w:val="24"/>
      <w:szCs w:val="24"/>
      <w:lang w:val="en-US" w:eastAsia="zh-CN" w:bidi="ar-SA"/>
    </w:rPr>
  </w:style>
  <w:style w:type="character" w:customStyle="1" w:styleId="33">
    <w:name w:val="标准文件_段 Char"/>
    <w:link w:val="32"/>
    <w:autoRedefine/>
    <w:qFormat/>
    <w:uiPriority w:val="0"/>
    <w:rPr>
      <w:rFonts w:ascii="黑体" w:hAnsi="黑体" w:eastAsia="黑体" w:cs="黑体"/>
      <w:bCs/>
      <w:sz w:val="24"/>
      <w:szCs w:val="24"/>
    </w:rPr>
  </w:style>
  <w:style w:type="paragraph" w:customStyle="1" w:styleId="34">
    <w:name w:val="标准文件_章标题"/>
    <w:next w:val="32"/>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5">
    <w:name w:val="标准文件_二级条标题"/>
    <w:next w:val="32"/>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6">
    <w:name w:val="标准文件_一级条标题"/>
    <w:basedOn w:val="34"/>
    <w:next w:val="32"/>
    <w:autoRedefine/>
    <w:qFormat/>
    <w:uiPriority w:val="0"/>
    <w:pPr>
      <w:numPr>
        <w:ilvl w:val="2"/>
      </w:numPr>
      <w:spacing w:before="50" w:beforeLines="0" w:after="50" w:afterLines="0"/>
      <w:outlineLvl w:val="1"/>
    </w:pPr>
  </w:style>
  <w:style w:type="paragraph" w:customStyle="1" w:styleId="37">
    <w:name w:val="标准文件_三级条标题"/>
    <w:basedOn w:val="35"/>
    <w:next w:val="32"/>
    <w:autoRedefine/>
    <w:qFormat/>
    <w:uiPriority w:val="0"/>
    <w:pPr>
      <w:outlineLvl w:val="3"/>
    </w:pPr>
  </w:style>
  <w:style w:type="paragraph" w:customStyle="1" w:styleId="38">
    <w:name w:val="标准文件_四级条标题"/>
    <w:next w:val="32"/>
    <w:autoRedefine/>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39">
    <w:name w:val="标准文件_五级条标题"/>
    <w:next w:val="35"/>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40">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41">
    <w:name w:val="标准文件_四级无标题"/>
    <w:basedOn w:val="38"/>
    <w:autoRedefine/>
    <w:qFormat/>
    <w:uiPriority w:val="0"/>
    <w:pPr>
      <w:numPr>
        <w:ilvl w:val="5"/>
        <w:numId w:val="1"/>
      </w:numPr>
    </w:pPr>
    <w:rPr>
      <w:rFonts w:ascii="宋体" w:eastAsia="宋体"/>
      <w:szCs w:val="52"/>
    </w:rPr>
  </w:style>
  <w:style w:type="paragraph" w:customStyle="1" w:styleId="42">
    <w:name w:val="标准文件_三级无标题"/>
    <w:basedOn w:val="37"/>
    <w:autoRedefine/>
    <w:qFormat/>
    <w:uiPriority w:val="0"/>
    <w:pPr>
      <w:numPr>
        <w:ilvl w:val="4"/>
        <w:numId w:val="1"/>
      </w:numPr>
    </w:pPr>
    <w:rPr>
      <w:rFonts w:ascii="宋体" w:eastAsia="宋体"/>
    </w:rPr>
  </w:style>
  <w:style w:type="paragraph" w:customStyle="1" w:styleId="43">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4">
    <w:name w:val="font11"/>
    <w:autoRedefine/>
    <w:qFormat/>
    <w:uiPriority w:val="0"/>
    <w:rPr>
      <w:rFonts w:ascii="等线" w:eastAsia="等线"/>
      <w:b/>
      <w:bCs/>
      <w:color w:val="FF0000"/>
      <w:sz w:val="22"/>
      <w:szCs w:val="22"/>
      <w:u w:val="none"/>
    </w:rPr>
  </w:style>
  <w:style w:type="character" w:customStyle="1" w:styleId="45">
    <w:name w:val="font01"/>
    <w:autoRedefine/>
    <w:qFormat/>
    <w:uiPriority w:val="0"/>
    <w:rPr>
      <w:rFonts w:ascii="等线" w:eastAsia="等线"/>
      <w:color w:val="000000"/>
      <w:sz w:val="22"/>
      <w:szCs w:val="22"/>
      <w:u w:val="none"/>
    </w:rPr>
  </w:style>
  <w:style w:type="paragraph" w:customStyle="1" w:styleId="46">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7">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8">
    <w:name w:val="标准文件_二级无标题"/>
    <w:basedOn w:val="35"/>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9">
    <w:name w:val="Char Char Char Char"/>
    <w:basedOn w:val="1"/>
    <w:autoRedefine/>
    <w:qFormat/>
    <w:uiPriority w:val="0"/>
  </w:style>
  <w:style w:type="paragraph" w:customStyle="1" w:styleId="50">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51">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52">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3">
    <w:name w:val="标准文件_术语条一"/>
    <w:basedOn w:val="1"/>
    <w:next w:val="32"/>
    <w:autoRedefine/>
    <w:qFormat/>
    <w:uiPriority w:val="0"/>
    <w:pPr>
      <w:widowControl/>
    </w:pPr>
    <w:rPr>
      <w:rFonts w:ascii="宋体"/>
      <w:kern w:val="0"/>
      <w:szCs w:val="20"/>
    </w:rPr>
  </w:style>
  <w:style w:type="paragraph" w:customStyle="1" w:styleId="54">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5">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6">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7">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8">
    <w:name w:val="普通(网站) Char"/>
    <w:basedOn w:val="1"/>
    <w:qFormat/>
    <w:uiPriority w:val="0"/>
    <w:pPr>
      <w:spacing w:beforeAutospacing="1" w:afterAutospacing="1"/>
      <w:jc w:val="left"/>
    </w:pPr>
    <w:rPr>
      <w:rFonts w:hint="eastAsia" w:ascii="宋体" w:hAnsi="宋体" w:cs="Times New Roman"/>
      <w:kern w:val="0"/>
      <w:sz w:val="24"/>
    </w:rPr>
  </w:style>
  <w:style w:type="paragraph" w:customStyle="1" w:styleId="59">
    <w:name w:val="标准文件_五级无标题"/>
    <w:qFormat/>
    <w:uiPriority w:val="0"/>
    <w:pPr>
      <w:widowControl w:val="0"/>
      <w:numPr>
        <w:ilvl w:val="6"/>
        <w:numId w:val="7"/>
      </w:numPr>
      <w:jc w:val="both"/>
    </w:pPr>
    <w:rPr>
      <w:rFonts w:hint="eastAsia" w:ascii="宋体" w:hAnsi="Times New Roman" w:eastAsia="宋体" w:cs="Times New Roman"/>
      <w:sz w:val="21"/>
      <w:lang w:val="en-US" w:eastAsia="zh-CN" w:bidi="ar-SA"/>
    </w:rPr>
  </w:style>
  <w:style w:type="paragraph" w:customStyle="1" w:styleId="60">
    <w:name w:val="标准文件_注×："/>
    <w:basedOn w:val="1"/>
    <w:qFormat/>
    <w:uiPriority w:val="0"/>
    <w:pPr>
      <w:numPr>
        <w:ilvl w:val="0"/>
        <w:numId w:val="8"/>
      </w:numPr>
      <w:autoSpaceDE w:val="0"/>
      <w:autoSpaceDN w:val="0"/>
    </w:pPr>
    <w:rPr>
      <w:rFonts w:hint="eastAsia" w:ascii="宋体" w:hAnsi="Times New Roman" w:cs="Times New Roman"/>
      <w:kern w:val="0"/>
      <w:sz w:val="18"/>
      <w:szCs w:val="18"/>
    </w:rPr>
  </w:style>
  <w:style w:type="paragraph" w:customStyle="1" w:styleId="61">
    <w:name w:val="标准文件_表格"/>
    <w:basedOn w:val="1"/>
    <w:qFormat/>
    <w:uiPriority w:val="0"/>
    <w:pPr>
      <w:widowControl/>
      <w:autoSpaceDE w:val="0"/>
      <w:autoSpaceDN w:val="0"/>
      <w:jc w:val="center"/>
    </w:pPr>
    <w:rPr>
      <w:rFonts w:hint="eastAsia" w:ascii="宋体" w:hAnsi="Times New Roman" w:cs="Times New Roman"/>
      <w:kern w:val="0"/>
      <w:sz w:val="18"/>
      <w:szCs w:val="20"/>
    </w:rPr>
  </w:style>
  <w:style w:type="paragraph" w:customStyle="1" w:styleId="62">
    <w:name w:val="标准文件_附录表标题"/>
    <w:basedOn w:val="1"/>
    <w:next w:val="1"/>
    <w:qFormat/>
    <w:uiPriority w:val="0"/>
    <w:pPr>
      <w:widowControl/>
      <w:numPr>
        <w:ilvl w:val="1"/>
        <w:numId w:val="9"/>
      </w:numPr>
      <w:adjustRightInd w:val="0"/>
      <w:snapToGrid w:val="0"/>
      <w:spacing w:before="50" w:beforeLines="50" w:after="50" w:afterLines="50"/>
      <w:jc w:val="center"/>
    </w:pPr>
    <w:rPr>
      <w:rFonts w:hint="eastAsia" w:ascii="黑体" w:hAnsi="Times New Roman" w:eastAsia="黑体" w:cs="Times New Roman"/>
      <w:kern w:val="21"/>
      <w:szCs w:val="20"/>
    </w:rPr>
  </w:style>
  <w:style w:type="character" w:customStyle="1" w:styleId="63">
    <w:name w:val="font31"/>
    <w:basedOn w:val="18"/>
    <w:qFormat/>
    <w:uiPriority w:val="0"/>
    <w:rPr>
      <w:rFonts w:hint="eastAsia" w:ascii="宋体" w:hAnsi="宋体" w:eastAsia="宋体" w:cs="宋体"/>
      <w:color w:val="1F2329"/>
      <w:sz w:val="24"/>
      <w:szCs w:val="24"/>
      <w:u w:val="none"/>
    </w:rPr>
  </w:style>
  <w:style w:type="paragraph" w:customStyle="1" w:styleId="64">
    <w:name w:val="标准文件_附录一级条标题"/>
    <w:basedOn w:val="1"/>
    <w:next w:val="1"/>
    <w:qFormat/>
    <w:uiPriority w:val="0"/>
    <w:pPr>
      <w:keepNext w:val="0"/>
      <w:keepLines w:val="0"/>
      <w:widowControl w:val="0"/>
      <w:numPr>
        <w:ilvl w:val="1"/>
        <w:numId w:val="10"/>
      </w:numPr>
      <w:suppressLineNumbers w:val="0"/>
      <w:adjustRightInd/>
      <w:spacing w:before="50" w:beforeLines="50" w:beforeAutospacing="0" w:after="50" w:afterLines="50" w:afterAutospacing="0" w:line="240" w:lineRule="auto"/>
      <w:ind w:left="0" w:right="0" w:firstLine="0"/>
      <w:jc w:val="both"/>
      <w:outlineLvl w:val="2"/>
    </w:pPr>
    <w:rPr>
      <w:rFonts w:hint="eastAsia" w:ascii="黑体" w:hAnsi="Times New Roman" w:eastAsia="黑体" w:cs="Times New Roman"/>
      <w:kern w:val="21"/>
      <w:sz w:val="21"/>
      <w:szCs w:val="20"/>
      <w:lang w:val="en-US" w:eastAsia="zh-CN" w:bidi="ar"/>
    </w:rPr>
  </w:style>
  <w:style w:type="character" w:customStyle="1" w:styleId="65">
    <w:name w:val="标题 字符"/>
    <w:basedOn w:val="18"/>
    <w:link w:val="15"/>
    <w:qFormat/>
    <w:uiPriority w:val="0"/>
    <w:rPr>
      <w:rFonts w:ascii="等线 Light" w:hAnsi="等线 Light" w:eastAsia="等线 Light" w:cs="Times New Roman"/>
      <w:b/>
      <w:bCs/>
      <w:kern w:val="2"/>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24</Pages>
  <Words>12533</Words>
  <Characters>13556</Characters>
  <Lines>101</Lines>
  <Paragraphs>28</Paragraphs>
  <TotalTime>15</TotalTime>
  <ScaleCrop>false</ScaleCrop>
  <LinksUpToDate>false</LinksUpToDate>
  <CharactersWithSpaces>13872</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2025-04-23T01:45:00Z</dcterms:created>
  <dc:creator>Administrator</dc:creator>
  <cp:lastModifiedBy>对方正在输入...</cp:lastModifiedBy>
  <cp:lastPrinted>2025-09-04T06:54:00Z</cp:lastPrinted>
  <dcterms:modified xsi:type="dcterms:W3CDTF">2025-11-17T06:49:34Z</dcterms:modified>
  <cp:revision>37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115A09FF38E747F1A85B00AE81593C42_13</vt:lpwstr>
  </property>
  <property fmtid="{D5CDD505-2E9C-101B-9397-08002B2CF9AE}" pid="4" name="KSOTemplateDocerSaveRecord">
    <vt:lpwstr>eyJoZGlkIjoiMzg2YTk3YWJlMzJiOWE4NmU5OTkxNmM1MjU1OThkOTQiLCJ1c2VySWQiOiIzMjAyMTY5NjkifQ==</vt:lpwstr>
  </property>
</Properties>
</file>