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73E1A5" w14:textId="50E44A72" w:rsidR="00D634F2" w:rsidRDefault="008854C0">
      <w:pPr>
        <w:jc w:val="center"/>
        <w:rPr>
          <w:rFonts w:ascii="方正小标宋简体" w:eastAsia="方正小标宋简体" w:cs="仿宋_GB2312"/>
          <w:bCs/>
          <w:color w:val="000000" w:themeColor="text1"/>
          <w:sz w:val="44"/>
          <w:szCs w:val="44"/>
        </w:rPr>
      </w:pPr>
      <w:r>
        <w:rPr>
          <w:rFonts w:ascii="方正小标宋简体" w:eastAsia="方正小标宋简体" w:cs="仿宋_GB2312" w:hint="eastAsia"/>
          <w:bCs/>
          <w:color w:val="000000" w:themeColor="text1"/>
          <w:sz w:val="44"/>
          <w:szCs w:val="44"/>
        </w:rPr>
        <w:t>团体标准《</w:t>
      </w:r>
      <w:r w:rsidR="00EF4AC3" w:rsidRPr="00EF4AC3">
        <w:rPr>
          <w:rFonts w:ascii="方正小标宋简体" w:eastAsia="方正小标宋简体" w:cs="仿宋_GB2312" w:hint="eastAsia"/>
          <w:bCs/>
          <w:color w:val="000000" w:themeColor="text1"/>
          <w:sz w:val="44"/>
          <w:szCs w:val="44"/>
        </w:rPr>
        <w:t>畜禽粪污与蔗叶协同资源化利用技术规范</w:t>
      </w:r>
      <w:r>
        <w:rPr>
          <w:rFonts w:ascii="方正小标宋简体" w:eastAsia="方正小标宋简体" w:cs="仿宋_GB2312" w:hint="eastAsia"/>
          <w:bCs/>
          <w:color w:val="000000" w:themeColor="text1"/>
          <w:sz w:val="44"/>
          <w:szCs w:val="44"/>
        </w:rPr>
        <w:t>》（</w:t>
      </w:r>
      <w:r w:rsidR="00FA35E2">
        <w:rPr>
          <w:rFonts w:ascii="方正小标宋简体" w:eastAsia="方正小标宋简体" w:cs="仿宋_GB2312" w:hint="eastAsia"/>
          <w:bCs/>
          <w:color w:val="000000" w:themeColor="text1"/>
          <w:sz w:val="44"/>
          <w:szCs w:val="44"/>
        </w:rPr>
        <w:t>征求意见</w:t>
      </w:r>
      <w:r>
        <w:rPr>
          <w:rFonts w:ascii="方正小标宋简体" w:eastAsia="方正小标宋简体" w:cs="仿宋_GB2312" w:hint="eastAsia"/>
          <w:bCs/>
          <w:color w:val="000000" w:themeColor="text1"/>
          <w:sz w:val="44"/>
          <w:szCs w:val="44"/>
        </w:rPr>
        <w:t>稿）编制说明</w:t>
      </w:r>
    </w:p>
    <w:p w14:paraId="12A46FE1" w14:textId="77777777" w:rsidR="00D634F2" w:rsidRDefault="00D634F2">
      <w:pPr>
        <w:ind w:firstLine="378"/>
        <w:jc w:val="center"/>
        <w:rPr>
          <w:rFonts w:ascii="方正小标宋简体" w:eastAsia="方正小标宋简体" w:cs="仿宋_GB2312"/>
          <w:bCs/>
          <w:color w:val="000000" w:themeColor="text1"/>
          <w:sz w:val="18"/>
          <w:szCs w:val="18"/>
        </w:rPr>
      </w:pPr>
    </w:p>
    <w:p w14:paraId="4964C4A8" w14:textId="5E734F7F" w:rsidR="00D634F2" w:rsidRDefault="008854C0">
      <w:pPr>
        <w:pStyle w:val="afe"/>
        <w:ind w:firstLineChars="200" w:firstLine="640"/>
        <w:jc w:val="left"/>
        <w:rPr>
          <w:rFonts w:ascii="黑体" w:eastAsia="黑体" w:hAnsi="黑体"/>
          <w:b w:val="0"/>
          <w:color w:val="000000" w:themeColor="text1"/>
        </w:rPr>
      </w:pPr>
      <w:r>
        <w:rPr>
          <w:rFonts w:ascii="黑体" w:eastAsia="黑体" w:hAnsi="黑体" w:hint="eastAsia"/>
          <w:b w:val="0"/>
          <w:color w:val="000000" w:themeColor="text1"/>
        </w:rPr>
        <w:t>一、任务来源、起草单位</w:t>
      </w:r>
    </w:p>
    <w:p w14:paraId="39D94A88" w14:textId="35A565E4" w:rsidR="00D634F2" w:rsidRDefault="00B1480E">
      <w:pPr>
        <w:spacing w:afterLines="50" w:after="120" w:line="520" w:lineRule="exact"/>
        <w:ind w:firstLineChars="200" w:firstLine="640"/>
        <w:rPr>
          <w:rFonts w:ascii="仿宋_GB2312" w:eastAsia="仿宋_GB2312"/>
          <w:color w:val="000000" w:themeColor="text1"/>
          <w:sz w:val="32"/>
          <w:szCs w:val="32"/>
        </w:rPr>
      </w:pPr>
      <w:r w:rsidRPr="00B1480E">
        <w:rPr>
          <w:rFonts w:ascii="仿宋_GB2312" w:eastAsia="仿宋_GB2312" w:hint="eastAsia"/>
          <w:color w:val="000000" w:themeColor="text1"/>
          <w:sz w:val="32"/>
          <w:szCs w:val="32"/>
        </w:rPr>
        <w:t>根据</w:t>
      </w:r>
      <w:r w:rsidR="002577E1" w:rsidRPr="002577E1">
        <w:rPr>
          <w:rFonts w:ascii="仿宋_GB2312" w:eastAsia="仿宋_GB2312" w:hint="eastAsia"/>
          <w:color w:val="000000" w:themeColor="text1"/>
          <w:sz w:val="32"/>
          <w:szCs w:val="32"/>
        </w:rPr>
        <w:t>《广西标准化协会关于下达2025年第三十八批团体标准制修订项目计划的通知》（桂标协〔2025〕</w:t>
      </w:r>
      <w:r w:rsidR="002577E1" w:rsidRPr="002577E1">
        <w:rPr>
          <w:rFonts w:ascii="仿宋_GB2312" w:eastAsia="仿宋_GB2312"/>
          <w:color w:val="000000" w:themeColor="text1"/>
          <w:sz w:val="32"/>
          <w:szCs w:val="32"/>
        </w:rPr>
        <w:t>332</w:t>
      </w:r>
      <w:r w:rsidR="002577E1" w:rsidRPr="002577E1">
        <w:rPr>
          <w:rFonts w:ascii="仿宋_GB2312" w:eastAsia="仿宋_GB2312" w:hint="eastAsia"/>
          <w:color w:val="000000" w:themeColor="text1"/>
          <w:sz w:val="32"/>
          <w:szCs w:val="32"/>
        </w:rPr>
        <w:t>号）</w:t>
      </w:r>
      <w:r w:rsidRPr="00D97782">
        <w:rPr>
          <w:rFonts w:ascii="仿宋_GB2312" w:eastAsia="仿宋_GB2312" w:hint="eastAsia"/>
          <w:color w:val="000000" w:themeColor="text1"/>
          <w:sz w:val="32"/>
          <w:szCs w:val="32"/>
        </w:rPr>
        <w:t>文件精神，由</w:t>
      </w:r>
      <w:r w:rsidR="00A602E9" w:rsidRPr="00D97782">
        <w:rPr>
          <w:rFonts w:ascii="仿宋_GB2312" w:eastAsia="仿宋_GB2312" w:hint="eastAsia"/>
          <w:color w:val="000000" w:themeColor="text1"/>
          <w:sz w:val="32"/>
          <w:szCs w:val="32"/>
        </w:rPr>
        <w:t>广西</w:t>
      </w:r>
      <w:r w:rsidR="00CF7A2A">
        <w:rPr>
          <w:rFonts w:ascii="仿宋_GB2312" w:eastAsia="仿宋_GB2312" w:hint="eastAsia"/>
          <w:color w:val="000000" w:themeColor="text1"/>
          <w:sz w:val="32"/>
          <w:szCs w:val="32"/>
        </w:rPr>
        <w:t>大学</w:t>
      </w:r>
      <w:r w:rsidRPr="00D97782">
        <w:rPr>
          <w:rFonts w:ascii="仿宋_GB2312" w:eastAsia="仿宋_GB2312" w:hint="eastAsia"/>
          <w:color w:val="000000" w:themeColor="text1"/>
          <w:sz w:val="32"/>
          <w:szCs w:val="32"/>
        </w:rPr>
        <w:t>提出，</w:t>
      </w:r>
      <w:r w:rsidR="00CF7A2A" w:rsidRPr="00CF7A2A">
        <w:rPr>
          <w:rFonts w:ascii="仿宋_GB2312" w:eastAsia="仿宋_GB2312" w:hint="eastAsia"/>
          <w:color w:val="000000" w:themeColor="text1"/>
          <w:sz w:val="32"/>
          <w:szCs w:val="32"/>
        </w:rPr>
        <w:t>广西大学、广西壮族自治区农业技术推广站、广西壮族自治区农业科学院、广西糖业集团有限公司、广西金穗生态科技集团股份有限公司、广西旭田科技有限公司、广西滴滴农业科技有限公司、广西富蔗现代农业科技服务有限公司、广西农投糖业集团股份有限公司、德钾盐（深圳）农业科技有限公司</w:t>
      </w:r>
      <w:r w:rsidRPr="00D97782">
        <w:rPr>
          <w:rFonts w:ascii="仿宋_GB2312" w:eastAsia="仿宋_GB2312" w:hint="eastAsia"/>
          <w:color w:val="000000" w:themeColor="text1"/>
          <w:sz w:val="32"/>
          <w:szCs w:val="32"/>
        </w:rPr>
        <w:t>等单位共同起草的团体标准《</w:t>
      </w:r>
      <w:r w:rsidR="00EF4AC3">
        <w:rPr>
          <w:rFonts w:ascii="仿宋_GB2312" w:eastAsia="仿宋_GB2312" w:hint="eastAsia"/>
          <w:bCs/>
          <w:color w:val="000000" w:themeColor="text1"/>
          <w:sz w:val="32"/>
          <w:szCs w:val="32"/>
        </w:rPr>
        <w:t>畜禽粪污与蔗叶协同资源化利用技术规范</w:t>
      </w:r>
      <w:r w:rsidRPr="00D97782">
        <w:rPr>
          <w:rFonts w:ascii="仿宋_GB2312" w:eastAsia="仿宋_GB2312" w:hint="eastAsia"/>
          <w:color w:val="000000" w:themeColor="text1"/>
          <w:sz w:val="32"/>
          <w:szCs w:val="32"/>
        </w:rPr>
        <w:t>》（项目编号：2025-</w:t>
      </w:r>
      <w:r w:rsidR="002577E1">
        <w:rPr>
          <w:rFonts w:ascii="仿宋_GB2312" w:eastAsia="仿宋_GB2312"/>
          <w:color w:val="000000" w:themeColor="text1"/>
          <w:sz w:val="32"/>
          <w:szCs w:val="32"/>
        </w:rPr>
        <w:t>38</w:t>
      </w:r>
      <w:r w:rsidR="00EF4AC3">
        <w:rPr>
          <w:rFonts w:ascii="仿宋_GB2312" w:eastAsia="仿宋_GB2312"/>
          <w:color w:val="000000" w:themeColor="text1"/>
          <w:sz w:val="32"/>
          <w:szCs w:val="32"/>
        </w:rPr>
        <w:t>15</w:t>
      </w:r>
      <w:r w:rsidRPr="00D97782">
        <w:rPr>
          <w:rFonts w:ascii="仿宋_GB2312" w:eastAsia="仿宋_GB2312" w:hint="eastAsia"/>
          <w:color w:val="000000" w:themeColor="text1"/>
          <w:sz w:val="32"/>
          <w:szCs w:val="32"/>
        </w:rPr>
        <w:t>）</w:t>
      </w:r>
      <w:r w:rsidR="008854C0" w:rsidRPr="00D97782">
        <w:rPr>
          <w:rFonts w:ascii="仿宋_GB2312" w:eastAsia="仿宋_GB2312" w:hint="eastAsia"/>
          <w:color w:val="000000" w:themeColor="text1"/>
          <w:sz w:val="32"/>
          <w:szCs w:val="32"/>
        </w:rPr>
        <w:t>已获批立项。</w:t>
      </w:r>
    </w:p>
    <w:p w14:paraId="4C18D577" w14:textId="77777777" w:rsidR="00D634F2" w:rsidRDefault="008854C0">
      <w:pPr>
        <w:pStyle w:val="afe"/>
        <w:ind w:firstLineChars="200" w:firstLine="640"/>
        <w:jc w:val="left"/>
        <w:rPr>
          <w:rFonts w:ascii="黑体" w:eastAsia="黑体" w:hAnsi="黑体"/>
          <w:b w:val="0"/>
          <w:color w:val="000000" w:themeColor="text1"/>
        </w:rPr>
      </w:pPr>
      <w:bookmarkStart w:id="0" w:name="_GoBack"/>
      <w:bookmarkEnd w:id="0"/>
      <w:r>
        <w:rPr>
          <w:rFonts w:ascii="黑体" w:eastAsia="黑体" w:hAnsi="黑体" w:hint="eastAsia"/>
          <w:b w:val="0"/>
          <w:color w:val="000000" w:themeColor="text1"/>
        </w:rPr>
        <w:t>二、制定标准的必要性和意义</w:t>
      </w:r>
    </w:p>
    <w:p w14:paraId="4919F34E" w14:textId="77777777" w:rsidR="009958EF" w:rsidRPr="009958EF" w:rsidRDefault="009958EF" w:rsidP="009958EF">
      <w:pPr>
        <w:spacing w:line="520" w:lineRule="exact"/>
        <w:ind w:firstLineChars="200" w:firstLine="640"/>
        <w:rPr>
          <w:rFonts w:ascii="仿宋_GB2312" w:eastAsia="仿宋_GB2312"/>
          <w:color w:val="000000" w:themeColor="text1"/>
          <w:sz w:val="32"/>
          <w:szCs w:val="32"/>
        </w:rPr>
      </w:pPr>
      <w:r w:rsidRPr="009958EF">
        <w:rPr>
          <w:rFonts w:ascii="仿宋_GB2312" w:eastAsia="仿宋_GB2312" w:hint="eastAsia"/>
          <w:color w:val="000000" w:themeColor="text1"/>
          <w:sz w:val="32"/>
          <w:szCs w:val="32"/>
        </w:rPr>
        <w:t>我国是畜禽养殖大国和甘蔗种植大国，随之产生了巨量的畜禽粪污和甘蔗秸秆（主要为蔗叶）等农业废弃物。这两类废弃物若处理不当，将造成严重的环境污染和资源浪费；若能实现协同处理和资源化利用，则能变废为宝，产生巨大的环境、经济和生态效益。</w:t>
      </w:r>
    </w:p>
    <w:p w14:paraId="0397CB56" w14:textId="52326EAF" w:rsidR="009958EF" w:rsidRPr="009958EF" w:rsidRDefault="009958EF" w:rsidP="009958EF">
      <w:pPr>
        <w:spacing w:line="520" w:lineRule="exact"/>
        <w:ind w:firstLineChars="200" w:firstLine="640"/>
        <w:rPr>
          <w:rFonts w:ascii="仿宋_GB2312" w:eastAsia="仿宋_GB2312"/>
          <w:color w:val="000000" w:themeColor="text1"/>
          <w:sz w:val="32"/>
          <w:szCs w:val="32"/>
        </w:rPr>
      </w:pPr>
      <w:r w:rsidRPr="009958EF">
        <w:rPr>
          <w:rFonts w:ascii="仿宋_GB2312" w:eastAsia="仿宋_GB2312" w:hint="eastAsia"/>
          <w:color w:val="000000" w:themeColor="text1"/>
          <w:sz w:val="32"/>
          <w:szCs w:val="32"/>
        </w:rPr>
        <w:t>首先，是解决两大面源污染难题、支撑农业可持续发展的迫切需求。畜禽粪污和蔗叶是典型的“放错位置的资源”。据统计，我国每年产生的畜禽粪污总量超过30亿吨，但其综合利用率仍不足80%，大量粪污的随意排放对水体、土壤和大气造成了严重污染。与此同时，在甘蔗主产区（如广西、云南、广东等地），每年产生的蔗叶（蔗梢）总量约5000万至6000万吨。长期以来，</w:t>
      </w:r>
      <w:r w:rsidRPr="009958EF">
        <w:rPr>
          <w:rFonts w:ascii="仿宋_GB2312" w:eastAsia="仿宋_GB2312" w:hint="eastAsia"/>
          <w:color w:val="000000" w:themeColor="text1"/>
          <w:sz w:val="32"/>
          <w:szCs w:val="32"/>
        </w:rPr>
        <w:lastRenderedPageBreak/>
        <w:t>蔗叶除少量被用作饲料外，大部分被就地焚烧或废弃。蔗叶焚烧不仅瞬间产生大量PM2.5、PM10等污染物，严重影响区域空气质量，还是对富含有机质和营养元素的生物质资源的巨大浪费。畜禽粪污与蔗叶进行协同好氧堆肥或厌氧发酵，可以将两类废弃物同步转化为高价值的有机肥或沼气能源，是实现“以废治废、变废为宝”的最有效路径之一。</w:t>
      </w:r>
    </w:p>
    <w:p w14:paraId="7160471B" w14:textId="77777777" w:rsidR="009958EF" w:rsidRPr="009958EF" w:rsidRDefault="009958EF" w:rsidP="009958EF">
      <w:pPr>
        <w:spacing w:line="520" w:lineRule="exact"/>
        <w:ind w:firstLineChars="200" w:firstLine="640"/>
        <w:rPr>
          <w:rFonts w:ascii="仿宋_GB2312" w:eastAsia="仿宋_GB2312"/>
          <w:color w:val="000000" w:themeColor="text1"/>
          <w:sz w:val="32"/>
          <w:szCs w:val="32"/>
        </w:rPr>
      </w:pPr>
      <w:r w:rsidRPr="009958EF">
        <w:rPr>
          <w:rFonts w:ascii="仿宋_GB2312" w:eastAsia="仿宋_GB2312" w:hint="eastAsia"/>
          <w:color w:val="000000" w:themeColor="text1"/>
          <w:sz w:val="32"/>
          <w:szCs w:val="32"/>
        </w:rPr>
        <w:t>其次，是满足巨大市场需求、推动循环农业产业发展的现实需要。一方面，我国耕地有机质普遍下降，对优质商品有机肥的需求巨大。将畜禽粪污与蔗叶科学配比，可以利用蔗叶富含的纤维素、半纤维素调节堆体碳氮比，吸收粪污中的水分和养分，生产出性状稳定、营养均衡的有机肥料。</w:t>
      </w:r>
    </w:p>
    <w:p w14:paraId="1594BEBD" w14:textId="77777777" w:rsidR="009958EF" w:rsidRPr="009958EF" w:rsidRDefault="009958EF" w:rsidP="009958EF">
      <w:pPr>
        <w:spacing w:line="520" w:lineRule="exact"/>
        <w:ind w:firstLineChars="200" w:firstLine="640"/>
        <w:rPr>
          <w:rFonts w:ascii="仿宋_GB2312" w:eastAsia="仿宋_GB2312"/>
          <w:color w:val="000000" w:themeColor="text1"/>
          <w:sz w:val="32"/>
          <w:szCs w:val="32"/>
        </w:rPr>
      </w:pPr>
      <w:r w:rsidRPr="009958EF">
        <w:rPr>
          <w:rFonts w:ascii="仿宋_GB2312" w:eastAsia="仿宋_GB2312" w:hint="eastAsia"/>
          <w:color w:val="000000" w:themeColor="text1"/>
          <w:sz w:val="32"/>
          <w:szCs w:val="32"/>
        </w:rPr>
        <w:t>最后，是填补标准空白、引领行业技术进步与升级的内在要求。专门针对“畜禽粪污”与“蔗叶”这两类特性迥异的废弃物进行“协同”资源化利用的技术标准尚属空白。这种标准的缺失导致项目设计无据可依、工程运行稳定性差、产品市场认可度低，阻碍了先进技术的转化与扩散。</w:t>
      </w:r>
    </w:p>
    <w:p w14:paraId="46CD4C94" w14:textId="066609BE" w:rsidR="00D634F2" w:rsidRPr="00CF7A2A" w:rsidRDefault="009958EF" w:rsidP="009958EF">
      <w:pPr>
        <w:spacing w:line="520" w:lineRule="exact"/>
        <w:ind w:firstLineChars="200" w:firstLine="640"/>
        <w:rPr>
          <w:rFonts w:ascii="仿宋_GB2312" w:eastAsia="仿宋_GB2312"/>
          <w:color w:val="000000" w:themeColor="text1"/>
          <w:sz w:val="32"/>
          <w:szCs w:val="32"/>
        </w:rPr>
      </w:pPr>
      <w:r w:rsidRPr="009958EF">
        <w:rPr>
          <w:rFonts w:ascii="仿宋_GB2312" w:eastAsia="仿宋_GB2312" w:hint="eastAsia"/>
          <w:color w:val="000000" w:themeColor="text1"/>
          <w:sz w:val="32"/>
          <w:szCs w:val="32"/>
        </w:rPr>
        <w:t>通过制定团体标准《畜禽粪污与蔗叶协同资源化利用技术规范》，以标准为抓手，统一规范畜禽粪污与蔗叶协同资源化利用技术要求，为废弃物协同处理提供明确的技术指引，发挥资源转化效率，促进种养循环融合，对推动农业绿色循环产业高质量发展具有重要意义</w:t>
      </w:r>
      <w:r w:rsidR="00CF7A2A" w:rsidRPr="00CF7A2A">
        <w:rPr>
          <w:rFonts w:ascii="仿宋_GB2312" w:eastAsia="仿宋_GB2312" w:hint="eastAsia"/>
          <w:color w:val="000000" w:themeColor="text1"/>
          <w:sz w:val="32"/>
          <w:szCs w:val="32"/>
        </w:rPr>
        <w:t>。</w:t>
      </w:r>
    </w:p>
    <w:p w14:paraId="4CFFA7A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三、主要起草过程</w:t>
      </w:r>
    </w:p>
    <w:p w14:paraId="06CF7C00"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（一）成立标准编制工作组</w:t>
      </w:r>
    </w:p>
    <w:p w14:paraId="60D4C6AB" w14:textId="6CCDB818" w:rsidR="00D634F2"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EF4AC3">
        <w:rPr>
          <w:rFonts w:ascii="仿宋_GB2312" w:eastAsia="仿宋_GB2312" w:hint="eastAsia"/>
          <w:color w:val="000000" w:themeColor="text1"/>
          <w:sz w:val="32"/>
          <w:szCs w:val="32"/>
        </w:rPr>
        <w:t>畜禽粪污与蔗叶协同资源化利用技术规范</w:t>
      </w:r>
      <w:r>
        <w:rPr>
          <w:rFonts w:ascii="仿宋_GB2312" w:eastAsia="仿宋_GB2312" w:hint="eastAsia"/>
          <w:color w:val="000000" w:themeColor="text1"/>
          <w:sz w:val="32"/>
          <w:szCs w:val="32"/>
        </w:rPr>
        <w:t>》项目任务下达后，</w:t>
      </w:r>
      <w:r w:rsidR="003B0E61" w:rsidRPr="003B0E61">
        <w:rPr>
          <w:rFonts w:ascii="仿宋_GB2312" w:eastAsia="仿宋_GB2312" w:hint="eastAsia"/>
          <w:color w:val="000000" w:themeColor="text1"/>
          <w:sz w:val="32"/>
          <w:szCs w:val="32"/>
        </w:rPr>
        <w:t>广西大学、广西壮族自治区农业技术推广站、广西壮族自治区农业科学院、广西糖业集团有限公司、广西金穗生态</w:t>
      </w:r>
      <w:r w:rsidR="003B0E61" w:rsidRPr="003B0E61">
        <w:rPr>
          <w:rFonts w:ascii="仿宋_GB2312" w:eastAsia="仿宋_GB2312" w:hint="eastAsia"/>
          <w:color w:val="000000" w:themeColor="text1"/>
          <w:sz w:val="32"/>
          <w:szCs w:val="32"/>
        </w:rPr>
        <w:lastRenderedPageBreak/>
        <w:t>科技集团股份有限公司、广西旭田科技有限公司、广西滴滴农业科技有限公司、广西富蔗现代农业科技服务有限公司、广西农投糖业集团股份有限公司、德钾盐（深圳）农业科技有限公司</w:t>
      </w:r>
      <w:r>
        <w:rPr>
          <w:rFonts w:ascii="仿宋_GB2312" w:eastAsia="仿宋_GB2312" w:hint="eastAsia"/>
          <w:color w:val="000000" w:themeColor="text1"/>
          <w:sz w:val="32"/>
          <w:szCs w:val="32"/>
        </w:rPr>
        <w:t>等单位成立了标准编制工作组，制定了起草编写方案与进度安排，明确任务职责，确定工作技术路线，开展标准研制工作。具体标准编制工作由起草单位相关人员配合完成。</w:t>
      </w:r>
    </w:p>
    <w:p w14:paraId="5DD67093" w14:textId="77777777" w:rsidR="00D634F2" w:rsidRPr="00850053"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为了明确标准</w:t>
      </w:r>
      <w:r w:rsidRPr="00850053">
        <w:rPr>
          <w:rFonts w:ascii="仿宋_GB2312" w:eastAsia="仿宋_GB2312" w:hint="eastAsia"/>
          <w:color w:val="000000" w:themeColor="text1"/>
          <w:sz w:val="32"/>
          <w:szCs w:val="32"/>
        </w:rPr>
        <w:t>编制的任务职责，确定工作技术路线，开展标准研制工作。编制工作组下设三个组，分别是资料收集组、草案编写组、标准实施组。</w:t>
      </w:r>
    </w:p>
    <w:p w14:paraId="06A9AB2C" w14:textId="665F999D" w:rsidR="00D634F2" w:rsidRPr="00850053"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t>资料收集组负责国内外有关</w:t>
      </w:r>
      <w:r w:rsidR="00F76618">
        <w:rPr>
          <w:rFonts w:ascii="仿宋_GB2312" w:eastAsia="仿宋_GB2312" w:hint="eastAsia"/>
          <w:color w:val="000000" w:themeColor="text1"/>
          <w:sz w:val="32"/>
          <w:szCs w:val="32"/>
        </w:rPr>
        <w:t>畜禽粪污与蔗叶协同资源化利用技术</w:t>
      </w:r>
      <w:r w:rsidRPr="00850053">
        <w:rPr>
          <w:rFonts w:ascii="仿宋_GB2312" w:eastAsia="仿宋_GB2312" w:hint="eastAsia"/>
          <w:color w:val="000000" w:themeColor="text1"/>
          <w:sz w:val="32"/>
          <w:szCs w:val="32"/>
        </w:rPr>
        <w:t>相关文献资料的查询、收集和整理工作，查阅前期对</w:t>
      </w:r>
      <w:r w:rsidR="00F76618">
        <w:rPr>
          <w:rFonts w:ascii="仿宋_GB2312" w:eastAsia="仿宋_GB2312" w:hint="eastAsia"/>
          <w:color w:val="000000" w:themeColor="text1"/>
          <w:sz w:val="32"/>
          <w:szCs w:val="32"/>
        </w:rPr>
        <w:t>畜禽粪污与蔗叶协同资源化利用技术</w:t>
      </w:r>
      <w:r w:rsidRPr="00850053">
        <w:rPr>
          <w:rFonts w:ascii="仿宋_GB2312" w:eastAsia="仿宋_GB2312" w:hint="eastAsia"/>
          <w:color w:val="000000" w:themeColor="text1"/>
          <w:sz w:val="32"/>
          <w:szCs w:val="32"/>
        </w:rPr>
        <w:t>的有关研究情况和目前</w:t>
      </w:r>
      <w:r w:rsidR="00D97782" w:rsidRPr="00850053">
        <w:rPr>
          <w:rFonts w:ascii="仿宋_GB2312" w:eastAsia="仿宋_GB2312" w:hint="eastAsia"/>
          <w:color w:val="000000" w:themeColor="text1"/>
          <w:sz w:val="32"/>
          <w:szCs w:val="32"/>
        </w:rPr>
        <w:t>科学界</w:t>
      </w:r>
      <w:r w:rsidR="00F76618">
        <w:rPr>
          <w:rFonts w:ascii="仿宋_GB2312" w:eastAsia="仿宋_GB2312" w:hint="eastAsia"/>
          <w:color w:val="000000" w:themeColor="text1"/>
          <w:sz w:val="32"/>
          <w:szCs w:val="32"/>
        </w:rPr>
        <w:t>畜禽粪污与蔗叶协同资源化利用技术</w:t>
      </w:r>
      <w:r w:rsidRPr="00850053">
        <w:rPr>
          <w:rFonts w:ascii="仿宋_GB2312" w:eastAsia="仿宋_GB2312" w:hint="eastAsia"/>
          <w:color w:val="000000" w:themeColor="text1"/>
          <w:sz w:val="32"/>
          <w:szCs w:val="32"/>
        </w:rPr>
        <w:t>的研究进展。</w:t>
      </w:r>
    </w:p>
    <w:p w14:paraId="36185C73" w14:textId="77777777" w:rsidR="00D634F2" w:rsidRPr="00850053"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t>草案编写组负责起草标准草案及后续征求意见稿和标准编制说明、送审稿及编制说明等编写工作，包括后期召开征求意见会、网上征求意见，以及标准的不断修改和完善。</w:t>
      </w:r>
    </w:p>
    <w:p w14:paraId="5F9F7AB9" w14:textId="7D8ED72B" w:rsidR="00D634F2" w:rsidRPr="00850053" w:rsidRDefault="008854C0">
      <w:pPr>
        <w:spacing w:line="520" w:lineRule="exact"/>
        <w:ind w:firstLineChars="200" w:firstLine="640"/>
        <w:jc w:val="left"/>
        <w:rPr>
          <w:rFonts w:ascii="仿宋_GB2312" w:eastAsia="仿宋_GB2312" w:cs="仿宋_GB2312"/>
          <w:color w:val="000000" w:themeColor="text1"/>
          <w:sz w:val="28"/>
          <w:szCs w:val="28"/>
        </w:rPr>
      </w:pPr>
      <w:r w:rsidRPr="00850053">
        <w:rPr>
          <w:rFonts w:ascii="仿宋_GB2312" w:eastAsia="仿宋_GB2312" w:hint="eastAsia"/>
          <w:color w:val="000000" w:themeColor="text1"/>
          <w:sz w:val="32"/>
          <w:szCs w:val="32"/>
        </w:rPr>
        <w:t>标准实施组负责团体标准《</w:t>
      </w:r>
      <w:r w:rsidR="00EF4AC3">
        <w:rPr>
          <w:rFonts w:ascii="仿宋_GB2312" w:eastAsia="仿宋_GB2312" w:hint="eastAsia"/>
          <w:color w:val="000000" w:themeColor="text1"/>
          <w:sz w:val="32"/>
          <w:szCs w:val="32"/>
        </w:rPr>
        <w:t>畜禽粪污与蔗叶协同资源化利用技术规范</w:t>
      </w:r>
      <w:r w:rsidRPr="00850053">
        <w:rPr>
          <w:rFonts w:ascii="仿宋_GB2312" w:eastAsia="仿宋_GB2312" w:hint="eastAsia"/>
          <w:color w:val="000000" w:themeColor="text1"/>
          <w:sz w:val="32"/>
          <w:szCs w:val="32"/>
        </w:rPr>
        <w:t>》发布后，组织相关单位开展标准宣贯培训会，对标准进行详细解读，让相关人员了解标准，并根据标准对</w:t>
      </w:r>
      <w:r w:rsidR="00F76618">
        <w:rPr>
          <w:rFonts w:ascii="仿宋_GB2312" w:eastAsia="仿宋_GB2312" w:hint="eastAsia"/>
          <w:color w:val="000000" w:themeColor="text1"/>
          <w:sz w:val="32"/>
          <w:szCs w:val="32"/>
        </w:rPr>
        <w:t>畜禽粪污与蔗叶协同资源化利用技术</w:t>
      </w:r>
      <w:r w:rsidRPr="00850053">
        <w:rPr>
          <w:rFonts w:ascii="仿宋_GB2312" w:eastAsia="仿宋_GB2312" w:hint="eastAsia"/>
          <w:color w:val="000000" w:themeColor="text1"/>
          <w:sz w:val="32"/>
          <w:szCs w:val="32"/>
        </w:rPr>
        <w:t>进行规范化操作，并对标准实施情况进行总结分析，不断对标准提出修正意见。</w:t>
      </w:r>
    </w:p>
    <w:p w14:paraId="0433E7F9" w14:textId="77777777" w:rsidR="00D634F2" w:rsidRPr="00850053" w:rsidRDefault="008854C0">
      <w:pPr>
        <w:spacing w:line="560" w:lineRule="exact"/>
        <w:ind w:firstLineChars="200" w:firstLine="643"/>
        <w:rPr>
          <w:rFonts w:ascii="楷体" w:eastAsia="楷体" w:hAnsi="楷体" w:cs="楷体"/>
          <w:b/>
          <w:color w:val="000000" w:themeColor="text1"/>
          <w:sz w:val="32"/>
          <w:szCs w:val="32"/>
        </w:rPr>
      </w:pPr>
      <w:r w:rsidRPr="00850053">
        <w:rPr>
          <w:rFonts w:ascii="楷体" w:eastAsia="楷体" w:hAnsi="楷体" w:cs="楷体" w:hint="eastAsia"/>
          <w:b/>
          <w:color w:val="000000" w:themeColor="text1"/>
          <w:sz w:val="32"/>
          <w:szCs w:val="32"/>
        </w:rPr>
        <w:t>（二）收集整理文献资料</w:t>
      </w:r>
    </w:p>
    <w:p w14:paraId="5656E9FD" w14:textId="2B770686" w:rsidR="00D634F2"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t>标准编制工作组收集了国内有关</w:t>
      </w:r>
      <w:r w:rsidR="00BD08E9" w:rsidRPr="00BD08E9">
        <w:rPr>
          <w:rFonts w:ascii="仿宋_GB2312" w:eastAsia="仿宋_GB2312" w:hint="eastAsia"/>
          <w:color w:val="000000" w:themeColor="text1"/>
          <w:sz w:val="32"/>
          <w:szCs w:val="32"/>
        </w:rPr>
        <w:t>“粪污 资源化利用”</w:t>
      </w:r>
      <w:r w:rsidRPr="00850053">
        <w:rPr>
          <w:rFonts w:ascii="仿宋_GB2312" w:eastAsia="仿宋_GB2312" w:hint="eastAsia"/>
          <w:color w:val="000000" w:themeColor="text1"/>
          <w:sz w:val="32"/>
          <w:szCs w:val="32"/>
        </w:rPr>
        <w:t>的相关</w:t>
      </w:r>
      <w:r>
        <w:rPr>
          <w:rFonts w:ascii="仿宋_GB2312" w:eastAsia="仿宋_GB2312" w:hint="eastAsia"/>
          <w:color w:val="000000" w:themeColor="text1"/>
          <w:sz w:val="32"/>
          <w:szCs w:val="32"/>
        </w:rPr>
        <w:t>资料。主要有：</w:t>
      </w:r>
    </w:p>
    <w:p w14:paraId="62ACE940" w14:textId="77777777" w:rsidR="001347B8" w:rsidRDefault="001347B8">
      <w:pPr>
        <w:spacing w:line="560" w:lineRule="exact"/>
        <w:ind w:firstLineChars="200" w:firstLine="640"/>
        <w:rPr>
          <w:rFonts w:ascii="仿宋_GB2312" w:eastAsia="仿宋_GB2312"/>
          <w:color w:val="000000" w:themeColor="text1"/>
          <w:sz w:val="32"/>
          <w:szCs w:val="32"/>
        </w:rPr>
      </w:pPr>
      <w:r w:rsidRPr="001347B8">
        <w:rPr>
          <w:rFonts w:ascii="仿宋_GB2312" w:eastAsia="仿宋_GB2312" w:hint="eastAsia"/>
          <w:color w:val="000000" w:themeColor="text1"/>
          <w:sz w:val="32"/>
          <w:szCs w:val="32"/>
        </w:rPr>
        <w:t>《DB13/T 5428-2021沼渣资源化利用技术规范》</w:t>
      </w:r>
    </w:p>
    <w:p w14:paraId="3F74B958" w14:textId="77777777" w:rsidR="001347B8" w:rsidRDefault="001347B8">
      <w:pPr>
        <w:spacing w:line="560" w:lineRule="exact"/>
        <w:ind w:firstLineChars="200" w:firstLine="640"/>
        <w:rPr>
          <w:rFonts w:ascii="仿宋_GB2312" w:eastAsia="仿宋_GB2312"/>
          <w:color w:val="000000" w:themeColor="text1"/>
          <w:sz w:val="32"/>
          <w:szCs w:val="32"/>
        </w:rPr>
      </w:pPr>
      <w:r w:rsidRPr="001347B8">
        <w:rPr>
          <w:rFonts w:ascii="仿宋_GB2312" w:eastAsia="仿宋_GB2312" w:hint="eastAsia"/>
          <w:color w:val="000000" w:themeColor="text1"/>
          <w:sz w:val="32"/>
          <w:szCs w:val="32"/>
        </w:rPr>
        <w:t>《DB1302/T 498-2019规模化奶牛场粪污资源化利用技术规</w:t>
      </w:r>
      <w:r w:rsidRPr="001347B8">
        <w:rPr>
          <w:rFonts w:ascii="仿宋_GB2312" w:eastAsia="仿宋_GB2312" w:hint="eastAsia"/>
          <w:color w:val="000000" w:themeColor="text1"/>
          <w:sz w:val="32"/>
          <w:szCs w:val="32"/>
        </w:rPr>
        <w:lastRenderedPageBreak/>
        <w:t>程》</w:t>
      </w:r>
    </w:p>
    <w:p w14:paraId="35B7C530" w14:textId="77777777" w:rsidR="001347B8" w:rsidRDefault="001347B8">
      <w:pPr>
        <w:spacing w:line="560" w:lineRule="exact"/>
        <w:ind w:firstLineChars="200" w:firstLine="640"/>
        <w:rPr>
          <w:rFonts w:ascii="仿宋_GB2312" w:eastAsia="仿宋_GB2312"/>
          <w:color w:val="000000" w:themeColor="text1"/>
          <w:sz w:val="32"/>
          <w:szCs w:val="32"/>
        </w:rPr>
      </w:pPr>
      <w:r w:rsidRPr="001347B8">
        <w:rPr>
          <w:rFonts w:ascii="仿宋_GB2312" w:eastAsia="仿宋_GB2312" w:hint="eastAsia"/>
          <w:color w:val="000000" w:themeColor="text1"/>
          <w:sz w:val="32"/>
          <w:szCs w:val="32"/>
        </w:rPr>
        <w:t>《GB/T 42679-2023农业废弃物资源化利用 生物质资源综合利用》</w:t>
      </w:r>
    </w:p>
    <w:p w14:paraId="59E679A3" w14:textId="6314F2E9" w:rsidR="001347B8" w:rsidRDefault="001347B8">
      <w:pPr>
        <w:spacing w:line="560" w:lineRule="exact"/>
        <w:ind w:firstLineChars="200" w:firstLine="640"/>
        <w:rPr>
          <w:rFonts w:ascii="仿宋_GB2312" w:eastAsia="仿宋_GB2312"/>
          <w:color w:val="000000" w:themeColor="text1"/>
          <w:sz w:val="32"/>
          <w:szCs w:val="32"/>
        </w:rPr>
      </w:pPr>
      <w:r w:rsidRPr="001347B8">
        <w:rPr>
          <w:rFonts w:ascii="仿宋_GB2312" w:eastAsia="仿宋_GB2312" w:hint="eastAsia"/>
          <w:color w:val="000000" w:themeColor="text1"/>
          <w:sz w:val="32"/>
          <w:szCs w:val="32"/>
        </w:rPr>
        <w:t>《NY/T 4754-2025畜禽养殖场粪污资源化利用设施技术要求》</w:t>
      </w:r>
    </w:p>
    <w:p w14:paraId="1F580278" w14:textId="3362370B"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（三）研讨确定标准特色</w:t>
      </w:r>
      <w:r>
        <w:rPr>
          <w:rFonts w:ascii="楷体" w:eastAsia="楷体" w:hAnsi="楷体" w:cs="楷体"/>
          <w:b/>
          <w:color w:val="000000" w:themeColor="text1"/>
          <w:sz w:val="32"/>
          <w:szCs w:val="32"/>
        </w:rPr>
        <w:t>、</w:t>
      </w:r>
      <w:r>
        <w:rPr>
          <w:rFonts w:ascii="楷体" w:eastAsia="楷体" w:hAnsi="楷体" w:cs="楷体" w:hint="eastAsia"/>
          <w:b/>
          <w:color w:val="000000" w:themeColor="text1"/>
          <w:sz w:val="32"/>
          <w:szCs w:val="32"/>
        </w:rPr>
        <w:t>创新点和主体内容</w:t>
      </w:r>
    </w:p>
    <w:p w14:paraId="0E636C72" w14:textId="77777777"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t>标准编制工作组在对收集的资料进行整理研究之后，标准编制工作组召开了标准编制会议，对标准的整体框架结构进行了研究，并对标准的关键性内容进行了初步探讨。经过研究，标准特色、创新点和主体内容如下</w:t>
      </w:r>
      <w:r>
        <w:rPr>
          <w:rFonts w:ascii="仿宋_GB2312" w:eastAsia="仿宋_GB2312" w:hAnsi="Calibri"/>
          <w:color w:val="000000" w:themeColor="text1"/>
        </w:rPr>
        <w:t>：</w:t>
      </w:r>
    </w:p>
    <w:p w14:paraId="17440365" w14:textId="6D5B9F49" w:rsidR="00D634F2" w:rsidRPr="00C57BEA" w:rsidRDefault="008854C0">
      <w:pPr>
        <w:pStyle w:val="affa"/>
        <w:rPr>
          <w:rFonts w:ascii="仿宋_GB2312" w:eastAsia="仿宋_GB2312" w:hAnsi="Calibri"/>
          <w:color w:val="000000" w:themeColor="text1"/>
        </w:rPr>
      </w:pPr>
      <w:r w:rsidRPr="00C57BEA">
        <w:rPr>
          <w:rFonts w:ascii="仿宋_GB2312" w:eastAsia="仿宋_GB2312" w:hAnsi="Calibri"/>
          <w:color w:val="000000" w:themeColor="text1"/>
        </w:rPr>
        <w:t>1.</w:t>
      </w:r>
      <w:r w:rsidRPr="00C57BEA">
        <w:rPr>
          <w:rFonts w:ascii="仿宋_GB2312" w:eastAsia="仿宋_GB2312" w:hAnsi="Calibri" w:hint="eastAsia"/>
          <w:color w:val="000000" w:themeColor="text1"/>
        </w:rPr>
        <w:t>特色</w:t>
      </w:r>
      <w:r w:rsidR="00732724" w:rsidRPr="00C57BEA">
        <w:rPr>
          <w:rFonts w:ascii="仿宋_GB2312" w:eastAsia="仿宋_GB2312" w:hAnsi="Calibri" w:hint="eastAsia"/>
          <w:color w:val="000000" w:themeColor="text1"/>
        </w:rPr>
        <w:t>、</w:t>
      </w:r>
      <w:r w:rsidR="00732724" w:rsidRPr="00C57BEA">
        <w:rPr>
          <w:rFonts w:ascii="仿宋_GB2312" w:eastAsia="仿宋_GB2312" w:hAnsi="Calibri"/>
          <w:color w:val="000000" w:themeColor="text1"/>
        </w:rPr>
        <w:t>创新点</w:t>
      </w:r>
    </w:p>
    <w:p w14:paraId="42C7B879" w14:textId="0E422203" w:rsidR="001347B8" w:rsidRPr="001347B8" w:rsidRDefault="001347B8" w:rsidP="001347B8">
      <w:pPr>
        <w:pStyle w:val="affa"/>
        <w:rPr>
          <w:rFonts w:ascii="仿宋_GB2312" w:eastAsia="仿宋_GB2312"/>
          <w:color w:val="000000" w:themeColor="text1"/>
        </w:rPr>
      </w:pPr>
      <w:r w:rsidRPr="001347B8">
        <w:rPr>
          <w:rFonts w:ascii="仿宋_GB2312" w:eastAsia="仿宋_GB2312" w:hint="eastAsia"/>
          <w:color w:val="000000" w:themeColor="text1"/>
        </w:rPr>
        <w:t>首次聚焦“协同水热碳化（Co-HTC）”技术：现有标准多集中于传统的堆肥、沤肥、厌氧发酵（沼气）等技术路径。本规程首次将“协同水热碳化”这一前沿热化学转化技术引入农业废弃物处理领域并形成系统性技术规程。该技术模拟自然界碳化过程，处理效率极高（数小时内完成），从根本上解决了传统方法处理周期长（45-90天）、占地面积大、养分易流失等核心痛点。</w:t>
      </w:r>
    </w:p>
    <w:p w14:paraId="64492FFF" w14:textId="3E04BC8D" w:rsidR="00D634F2" w:rsidRDefault="001347B8" w:rsidP="001347B8">
      <w:pPr>
        <w:pStyle w:val="affa"/>
        <w:rPr>
          <w:rFonts w:ascii="仿宋_GB2312" w:eastAsia="仿宋_GB2312" w:hAnsi="Calibri"/>
          <w:color w:val="000000" w:themeColor="text1"/>
        </w:rPr>
      </w:pPr>
      <w:r w:rsidRPr="001347B8">
        <w:rPr>
          <w:rFonts w:ascii="仿宋_GB2312" w:eastAsia="仿宋_GB2312" w:hint="eastAsia"/>
          <w:color w:val="000000" w:themeColor="text1"/>
        </w:rPr>
        <w:t>实现了“固液双产品”的高值化利用：传统技术产物较为单一（如有机肥、沼渣、沼液）。本规程通过Co-HTC技术，能够同时产出高附加值的“类黄腐酸液体有机肥”和“生物炭基土壤改良剂”，实现了废弃物资源价值的最大化。液体肥全水溶，完美契合现代农业的水肥一体化趋势；生物炭则在改良土壤、固碳减排方面具有独特优势</w:t>
      </w:r>
      <w:r w:rsidR="00732724" w:rsidRPr="00732724">
        <w:rPr>
          <w:rFonts w:ascii="仿宋_GB2312" w:eastAsia="仿宋_GB2312" w:hAnsi="Calibri" w:hint="eastAsia"/>
          <w:color w:val="000000" w:themeColor="text1"/>
        </w:rPr>
        <w:t>。</w:t>
      </w:r>
    </w:p>
    <w:p w14:paraId="66C33575" w14:textId="1084291B" w:rsidR="00D634F2" w:rsidRDefault="00732724">
      <w:pPr>
        <w:pStyle w:val="affa"/>
        <w:rPr>
          <w:rFonts w:ascii="仿宋_GB2312" w:eastAsia="仿宋_GB2312" w:hAnsi="Calibri"/>
          <w:color w:val="000000" w:themeColor="text1"/>
        </w:rPr>
      </w:pPr>
      <w:r>
        <w:rPr>
          <w:rFonts w:ascii="仿宋_GB2312" w:eastAsia="仿宋_GB2312" w:hAnsi="Calibri"/>
          <w:color w:val="000000" w:themeColor="text1"/>
        </w:rPr>
        <w:t>2</w:t>
      </w:r>
      <w:r w:rsidR="008854C0">
        <w:rPr>
          <w:rFonts w:ascii="仿宋_GB2312" w:eastAsia="仿宋_GB2312" w:hAnsi="Calibri"/>
          <w:color w:val="000000" w:themeColor="text1"/>
        </w:rPr>
        <w:t>.</w:t>
      </w:r>
      <w:r w:rsidR="008854C0">
        <w:rPr>
          <w:rFonts w:ascii="仿宋_GB2312" w:eastAsia="仿宋_GB2312" w:hAnsi="Calibri" w:hint="eastAsia"/>
          <w:color w:val="000000" w:themeColor="text1"/>
        </w:rPr>
        <w:t>主体内容</w:t>
      </w:r>
    </w:p>
    <w:p w14:paraId="69E6B1F4" w14:textId="00E7C035"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t>主体内容包括</w:t>
      </w:r>
      <w:r w:rsidR="00F76618">
        <w:rPr>
          <w:rFonts w:ascii="仿宋_GB2312" w:eastAsia="仿宋_GB2312" w:hAnsi="Calibri" w:hint="eastAsia"/>
          <w:color w:val="000000" w:themeColor="text1"/>
        </w:rPr>
        <w:t>畜禽粪污与蔗叶协同资源化利用技术</w:t>
      </w:r>
      <w:r>
        <w:rPr>
          <w:rFonts w:ascii="仿宋_GB2312" w:eastAsia="仿宋_GB2312" w:hAnsi="Calibri" w:hint="eastAsia"/>
          <w:color w:val="000000" w:themeColor="text1"/>
        </w:rPr>
        <w:t>的</w:t>
      </w:r>
      <w:r w:rsidR="00F76618" w:rsidRPr="00F76618">
        <w:rPr>
          <w:rFonts w:ascii="仿宋_GB2312" w:eastAsia="仿宋_GB2312" w:hAnsi="Calibri" w:hint="eastAsia"/>
          <w:color w:val="000000" w:themeColor="text1"/>
        </w:rPr>
        <w:t>场地与布局、协同水热碳化设施设备、工艺</w:t>
      </w:r>
      <w:r w:rsidR="00F76618" w:rsidRPr="00F76618">
        <w:rPr>
          <w:rFonts w:ascii="仿宋_GB2312" w:eastAsia="仿宋_GB2312" w:hAnsi="Calibri"/>
          <w:color w:val="000000" w:themeColor="text1"/>
        </w:rPr>
        <w:t>要求</w:t>
      </w:r>
      <w:r w:rsidR="00F76618" w:rsidRPr="00F76618">
        <w:rPr>
          <w:rFonts w:ascii="仿宋_GB2312" w:eastAsia="仿宋_GB2312" w:hAnsi="Calibri" w:hint="eastAsia"/>
          <w:color w:val="000000" w:themeColor="text1"/>
        </w:rPr>
        <w:t>、甘蔗水肥一体化应用、</w:t>
      </w:r>
      <w:r w:rsidR="00F76618" w:rsidRPr="00F76618">
        <w:rPr>
          <w:rFonts w:ascii="仿宋_GB2312" w:eastAsia="仿宋_GB2312" w:hAnsi="Calibri"/>
          <w:color w:val="000000" w:themeColor="text1"/>
        </w:rPr>
        <w:t>效果评价</w:t>
      </w:r>
      <w:r w:rsidR="00F76618" w:rsidRPr="00F76618">
        <w:rPr>
          <w:rFonts w:ascii="仿宋_GB2312" w:eastAsia="仿宋_GB2312" w:hAnsi="Calibri" w:hint="eastAsia"/>
          <w:color w:val="000000" w:themeColor="text1"/>
        </w:rPr>
        <w:t>与</w:t>
      </w:r>
      <w:r w:rsidR="00F76618" w:rsidRPr="00F76618">
        <w:rPr>
          <w:rFonts w:ascii="仿宋_GB2312" w:eastAsia="仿宋_GB2312" w:hAnsi="Calibri"/>
          <w:color w:val="000000" w:themeColor="text1"/>
        </w:rPr>
        <w:t>改进</w:t>
      </w:r>
      <w:r>
        <w:rPr>
          <w:rFonts w:ascii="仿宋_GB2312" w:eastAsia="仿宋_GB2312" w:hAnsi="Calibri" w:hint="eastAsia"/>
          <w:color w:val="000000" w:themeColor="text1"/>
        </w:rPr>
        <w:t>。</w:t>
      </w:r>
    </w:p>
    <w:p w14:paraId="5245BF6C" w14:textId="7743390B"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lastRenderedPageBreak/>
        <w:t>（四）调研及形成草案、征求意见稿</w:t>
      </w:r>
    </w:p>
    <w:p w14:paraId="58CD6DA5" w14:textId="2069CAE7" w:rsidR="00D634F2" w:rsidRPr="000C6800"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8</w:t>
      </w:r>
      <w:r w:rsidRPr="000C6800">
        <w:rPr>
          <w:rFonts w:ascii="仿宋_GB2312" w:eastAsia="仿宋_GB2312" w:hint="eastAsia"/>
          <w:color w:val="000000" w:themeColor="text1"/>
          <w:sz w:val="32"/>
          <w:szCs w:val="32"/>
        </w:rPr>
        <w:t>月～</w:t>
      </w:r>
      <w:r w:rsidRPr="000C6800">
        <w:rPr>
          <w:rFonts w:ascii="仿宋_GB2312" w:eastAsia="仿宋_GB2312"/>
          <w:color w:val="000000" w:themeColor="text1"/>
          <w:sz w:val="32"/>
          <w:szCs w:val="32"/>
        </w:rPr>
        <w:t>9</w:t>
      </w:r>
      <w:r w:rsidRPr="000C6800">
        <w:rPr>
          <w:rFonts w:ascii="仿宋_GB2312" w:eastAsia="仿宋_GB2312" w:hint="eastAsia"/>
          <w:color w:val="000000" w:themeColor="text1"/>
          <w:sz w:val="32"/>
          <w:szCs w:val="32"/>
        </w:rPr>
        <w:t>月，</w:t>
      </w:r>
      <w:r w:rsidR="008854C0" w:rsidRPr="000C6800">
        <w:rPr>
          <w:rFonts w:ascii="仿宋_GB2312" w:eastAsia="仿宋_GB2312" w:hint="eastAsia"/>
          <w:color w:val="000000" w:themeColor="text1"/>
          <w:sz w:val="32"/>
          <w:szCs w:val="32"/>
        </w:rPr>
        <w:t>标准编制工作组查阅了大量的国内文献资料，经编制组反复讨论，对</w:t>
      </w:r>
      <w:r w:rsidR="00F76618">
        <w:rPr>
          <w:rFonts w:ascii="仿宋_GB2312" w:eastAsia="仿宋_GB2312" w:hint="eastAsia"/>
          <w:color w:val="000000" w:themeColor="text1"/>
          <w:sz w:val="32"/>
          <w:szCs w:val="32"/>
        </w:rPr>
        <w:t>畜禽粪污与蔗叶协同资源化利用技术</w:t>
      </w:r>
      <w:r w:rsidR="008854C0" w:rsidRPr="000C6800">
        <w:rPr>
          <w:rFonts w:ascii="仿宋_GB2312" w:eastAsia="仿宋_GB2312" w:hint="eastAsia"/>
          <w:color w:val="000000" w:themeColor="text1"/>
          <w:sz w:val="32"/>
          <w:szCs w:val="32"/>
        </w:rPr>
        <w:t>的实践情况进行系统总结，形成了标准的基本构架，对主要内容进行了讨论并对项目的工作进行了部署和安排。</w:t>
      </w:r>
    </w:p>
    <w:p w14:paraId="5BF443DB" w14:textId="6BBC539D" w:rsidR="00D634F2" w:rsidRPr="000C6800"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9</w:t>
      </w:r>
      <w:r w:rsidRPr="000C6800">
        <w:rPr>
          <w:rFonts w:ascii="仿宋_GB2312" w:eastAsia="仿宋_GB2312" w:hint="eastAsia"/>
          <w:color w:val="000000" w:themeColor="text1"/>
          <w:sz w:val="32"/>
          <w:szCs w:val="32"/>
        </w:rPr>
        <w:t>月～</w:t>
      </w:r>
      <w:r w:rsidRPr="000C6800">
        <w:rPr>
          <w:rFonts w:ascii="仿宋_GB2312" w:eastAsia="仿宋_GB2312"/>
          <w:color w:val="000000" w:themeColor="text1"/>
          <w:sz w:val="32"/>
          <w:szCs w:val="32"/>
        </w:rPr>
        <w:t>10</w:t>
      </w:r>
      <w:r w:rsidRPr="000C6800">
        <w:rPr>
          <w:rFonts w:ascii="仿宋_GB2312" w:eastAsia="仿宋_GB2312" w:hint="eastAsia"/>
          <w:color w:val="000000" w:themeColor="text1"/>
          <w:sz w:val="32"/>
          <w:szCs w:val="32"/>
        </w:rPr>
        <w:t>月，</w:t>
      </w:r>
      <w:r w:rsidR="008854C0" w:rsidRPr="000C6800">
        <w:rPr>
          <w:rFonts w:ascii="仿宋_GB2312" w:eastAsia="仿宋_GB2312" w:hint="eastAsia"/>
          <w:color w:val="000000" w:themeColor="text1"/>
          <w:sz w:val="32"/>
          <w:szCs w:val="32"/>
        </w:rPr>
        <w:t>在前期工作的基础之上，通过理清逻辑脉络，整合已有参考资料中有关</w:t>
      </w:r>
      <w:r w:rsidR="00F76618">
        <w:rPr>
          <w:rFonts w:ascii="仿宋_GB2312" w:eastAsia="仿宋_GB2312" w:hint="eastAsia"/>
          <w:color w:val="000000" w:themeColor="text1"/>
          <w:sz w:val="32"/>
          <w:szCs w:val="32"/>
        </w:rPr>
        <w:t>畜禽粪污与蔗叶协同资源化利用技术</w:t>
      </w:r>
      <w:r w:rsidR="008854C0" w:rsidRPr="000C6800">
        <w:rPr>
          <w:rFonts w:ascii="仿宋_GB2312" w:eastAsia="仿宋_GB2312" w:hint="eastAsia"/>
          <w:color w:val="000000" w:themeColor="text1"/>
          <w:sz w:val="32"/>
          <w:szCs w:val="32"/>
        </w:rPr>
        <w:t>的要求，并在目前</w:t>
      </w:r>
      <w:r w:rsidR="00F76618">
        <w:rPr>
          <w:rFonts w:ascii="仿宋_GB2312" w:eastAsia="仿宋_GB2312" w:hint="eastAsia"/>
          <w:color w:val="000000" w:themeColor="text1"/>
          <w:sz w:val="32"/>
          <w:szCs w:val="32"/>
        </w:rPr>
        <w:t>畜禽粪污与蔗叶协同资源化利用技术</w:t>
      </w:r>
      <w:r w:rsidR="008854C0" w:rsidRPr="000C6800">
        <w:rPr>
          <w:rFonts w:ascii="仿宋_GB2312" w:eastAsia="仿宋_GB2312" w:hint="eastAsia"/>
          <w:color w:val="000000" w:themeColor="text1"/>
          <w:sz w:val="32"/>
          <w:szCs w:val="32"/>
        </w:rPr>
        <w:t>实际操作的基础上，按照简化、统一等原则编制完成团体标准《</w:t>
      </w:r>
      <w:r w:rsidR="00EF4AC3">
        <w:rPr>
          <w:rFonts w:ascii="仿宋_GB2312" w:eastAsia="仿宋_GB2312" w:hint="eastAsia"/>
          <w:color w:val="000000" w:themeColor="text1"/>
          <w:sz w:val="32"/>
          <w:szCs w:val="32"/>
        </w:rPr>
        <w:t>畜禽粪污与蔗叶协同资源化利用技术规范</w:t>
      </w:r>
      <w:r w:rsidR="008854C0" w:rsidRPr="000C6800">
        <w:rPr>
          <w:rFonts w:ascii="仿宋_GB2312" w:eastAsia="仿宋_GB2312" w:hint="eastAsia"/>
          <w:color w:val="000000" w:themeColor="text1"/>
          <w:sz w:val="32"/>
          <w:szCs w:val="32"/>
        </w:rPr>
        <w:t>》（草案）。</w:t>
      </w:r>
    </w:p>
    <w:p w14:paraId="44DC1E7F" w14:textId="61E32FE4" w:rsidR="00D634F2"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11</w:t>
      </w:r>
      <w:r w:rsidRPr="000C6800">
        <w:rPr>
          <w:rFonts w:ascii="仿宋_GB2312" w:eastAsia="仿宋_GB2312" w:hint="eastAsia"/>
          <w:color w:val="000000" w:themeColor="text1"/>
          <w:sz w:val="32"/>
          <w:szCs w:val="32"/>
        </w:rPr>
        <w:t>月，</w:t>
      </w:r>
      <w:r w:rsidR="008854C0">
        <w:rPr>
          <w:rFonts w:ascii="仿宋_GB2312" w:eastAsia="仿宋_GB2312" w:hint="eastAsia"/>
          <w:color w:val="000000" w:themeColor="text1"/>
          <w:sz w:val="32"/>
          <w:szCs w:val="32"/>
        </w:rPr>
        <w:t>标准编制工作组征求</w:t>
      </w:r>
      <w:r w:rsidR="008854C0">
        <w:rPr>
          <w:rFonts w:ascii="仿宋_GB2312" w:eastAsia="仿宋_GB2312"/>
          <w:color w:val="000000" w:themeColor="text1"/>
          <w:sz w:val="32"/>
          <w:szCs w:val="32"/>
        </w:rPr>
        <w:t>到了</w:t>
      </w:r>
      <w:r w:rsidR="001D7386" w:rsidRPr="001D7386">
        <w:rPr>
          <w:rFonts w:ascii="仿宋_GB2312" w:eastAsia="仿宋_GB2312" w:hint="eastAsia"/>
          <w:color w:val="000000" w:themeColor="text1"/>
          <w:sz w:val="32"/>
          <w:szCs w:val="32"/>
        </w:rPr>
        <w:t>广西大学、广西壮族自治区农业技术推广站、广西壮族自治区农业科学院、广西糖业集团有限公司、广西金穗生态科技集团股份有限公司、广西旭田科技有限公司、广西滴滴农业科技有限公司、广西富蔗现代农业科技服务有限公司、广西农投糖业集团股份有限公司、德钾盐（深圳）农业科技有限公司</w:t>
      </w:r>
      <w:r w:rsidR="008854C0" w:rsidRPr="00A065E9">
        <w:rPr>
          <w:rFonts w:ascii="仿宋_GB2312" w:eastAsia="仿宋_GB2312" w:hint="eastAsia"/>
          <w:color w:val="000000" w:themeColor="text1"/>
          <w:sz w:val="32"/>
          <w:szCs w:val="32"/>
        </w:rPr>
        <w:t>等单位的内部意见，通过收集反馈的意见，标准编制工作组多次召开会议，</w:t>
      </w:r>
      <w:r w:rsidR="008854C0">
        <w:rPr>
          <w:rFonts w:ascii="仿宋_GB2312" w:eastAsia="仿宋_GB2312" w:hint="eastAsia"/>
          <w:color w:val="000000" w:themeColor="text1"/>
          <w:sz w:val="32"/>
          <w:szCs w:val="32"/>
        </w:rPr>
        <w:t>对标准草案进行了反复修改和研究讨论，明确</w:t>
      </w:r>
      <w:r w:rsidR="00F76618">
        <w:rPr>
          <w:rFonts w:ascii="仿宋_GB2312" w:eastAsia="仿宋_GB2312" w:hint="eastAsia"/>
          <w:color w:val="000000" w:themeColor="text1"/>
          <w:sz w:val="32"/>
          <w:szCs w:val="32"/>
        </w:rPr>
        <w:t>畜禽粪污与蔗叶协同资源化利用技术</w:t>
      </w:r>
      <w:r w:rsidR="008854C0">
        <w:rPr>
          <w:rFonts w:ascii="仿宋_GB2312" w:eastAsia="仿宋_GB2312" w:hint="eastAsia"/>
          <w:color w:val="000000" w:themeColor="text1"/>
          <w:sz w:val="32"/>
          <w:szCs w:val="32"/>
        </w:rPr>
        <w:t>的要点，掌握了</w:t>
      </w:r>
      <w:r w:rsidR="00F76618">
        <w:rPr>
          <w:rFonts w:ascii="仿宋_GB2312" w:eastAsia="仿宋_GB2312" w:hint="eastAsia"/>
          <w:color w:val="000000" w:themeColor="text1"/>
          <w:sz w:val="32"/>
          <w:szCs w:val="32"/>
        </w:rPr>
        <w:t>畜禽粪污与蔗叶协同资源化利用技术</w:t>
      </w:r>
      <w:r w:rsidR="008854C0">
        <w:rPr>
          <w:rFonts w:ascii="仿宋_GB2312" w:eastAsia="仿宋_GB2312" w:hint="eastAsia"/>
          <w:color w:val="000000" w:themeColor="text1"/>
          <w:sz w:val="32"/>
          <w:szCs w:val="32"/>
        </w:rPr>
        <w:t>的基本情况以及要求，最终形成了</w:t>
      </w:r>
      <w:bookmarkStart w:id="1" w:name="_Hlk120181503"/>
      <w:r w:rsidR="008854C0">
        <w:rPr>
          <w:rFonts w:ascii="仿宋_GB2312" w:eastAsia="仿宋_GB2312" w:hint="eastAsia"/>
          <w:color w:val="000000" w:themeColor="text1"/>
          <w:sz w:val="32"/>
          <w:szCs w:val="32"/>
        </w:rPr>
        <w:t>团体标准《</w:t>
      </w:r>
      <w:r w:rsidR="00EF4AC3">
        <w:rPr>
          <w:rFonts w:ascii="仿宋_GB2312" w:eastAsia="仿宋_GB2312" w:hint="eastAsia"/>
          <w:color w:val="000000" w:themeColor="text1"/>
          <w:sz w:val="32"/>
          <w:szCs w:val="32"/>
        </w:rPr>
        <w:t>畜禽粪污与蔗叶协同资源化利用技术规范</w:t>
      </w:r>
      <w:r w:rsidR="008854C0">
        <w:rPr>
          <w:rFonts w:ascii="仿宋_GB2312" w:eastAsia="仿宋_GB2312" w:hint="eastAsia"/>
          <w:color w:val="000000" w:themeColor="text1"/>
          <w:sz w:val="32"/>
          <w:szCs w:val="32"/>
        </w:rPr>
        <w:t>》（征求意见稿）及其编制说明。</w:t>
      </w:r>
      <w:bookmarkEnd w:id="1"/>
    </w:p>
    <w:p w14:paraId="2596D9F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273473A2"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（一）编制原则</w:t>
      </w:r>
    </w:p>
    <w:p w14:paraId="2244C959"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1、实用性原则</w:t>
      </w:r>
    </w:p>
    <w:p w14:paraId="43ED175A" w14:textId="1B4174EE"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本标准是在充分收集国内外相关资料和文献、调研分析</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现状，结合起草单位前期研究工作取得的研究成果及积累的实践经验，并借鉴国内</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进行总结起草的，符合工作实际，有利于</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的实施与推广，具有可操作性和实用性。</w:t>
      </w:r>
    </w:p>
    <w:p w14:paraId="79A59E20"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2、协调性原则</w:t>
      </w:r>
    </w:p>
    <w:p w14:paraId="61B027EF" w14:textId="7213BDC4"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本文件编写过程中注意了与</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相关法律法规的协调问题，在内容上与现行法律法规、标准协调一致。</w:t>
      </w:r>
    </w:p>
    <w:p w14:paraId="3DF8F4D5"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3、规范性原则</w:t>
      </w:r>
    </w:p>
    <w:p w14:paraId="12D576A2"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本文件严格按照GB/T 1.1—2020《标准化工作规范  第1部分：标准化文件的结构和起草规则》编写本标准的内容，保证标准的编写质量。</w:t>
      </w:r>
    </w:p>
    <w:p w14:paraId="2234E3DE"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4、前瞻性原则</w:t>
      </w:r>
    </w:p>
    <w:p w14:paraId="62168C45" w14:textId="0AD773D5"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本文件在兼顾当前</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现实情况的同时，还考虑到了</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的需要，在标准中体现了个别特色性、前瞻性和先进性条款，作为对</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的指导。</w:t>
      </w:r>
    </w:p>
    <w:p w14:paraId="16101DFE"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（二）编制依据</w:t>
      </w:r>
    </w:p>
    <w:p w14:paraId="035B5479" w14:textId="786BE54C"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本标准严格按照GB/T 1.1—2020《标准化工作规范  第1部分：标准化文件的结构和起草规则》的规则起草，标准主要内容依据起草单位在</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过程中的实践经验确定。</w:t>
      </w:r>
    </w:p>
    <w:p w14:paraId="61C44619"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41C22A5D"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本标准与相关法律法规、强制性标准协调一致，无冲突。</w:t>
      </w:r>
    </w:p>
    <w:p w14:paraId="2324C47D" w14:textId="54C788B5" w:rsidR="000E0C0E" w:rsidRDefault="008854C0">
      <w:pPr>
        <w:spacing w:line="520" w:lineRule="exact"/>
        <w:ind w:firstLineChars="200" w:firstLine="640"/>
        <w:rPr>
          <w:rFonts w:ascii="Times New Roman" w:eastAsia="仿宋_GB2312" w:hAnsi="Times New Roman" w:cs="Times New Roman"/>
          <w:color w:val="000000" w:themeColor="text1"/>
          <w:sz w:val="32"/>
          <w:szCs w:val="32"/>
        </w:rPr>
      </w:pPr>
      <w:r>
        <w:rPr>
          <w:rFonts w:ascii="仿宋_GB2312" w:eastAsia="仿宋_GB2312" w:hint="eastAsia"/>
          <w:color w:val="000000" w:themeColor="text1"/>
          <w:sz w:val="32"/>
          <w:szCs w:val="32"/>
        </w:rPr>
        <w:t>经查阅，截至目前，国</w:t>
      </w:r>
      <w:r w:rsidRPr="00B938A5">
        <w:rPr>
          <w:rFonts w:ascii="仿宋_GB2312" w:eastAsia="仿宋_GB2312" w:hint="eastAsia"/>
          <w:color w:val="000000" w:themeColor="text1"/>
          <w:sz w:val="32"/>
          <w:szCs w:val="32"/>
        </w:rPr>
        <w:t>内</w:t>
      </w:r>
      <w:r w:rsidR="000E0C0E" w:rsidRPr="00B938A5">
        <w:rPr>
          <w:rFonts w:ascii="Times New Roman" w:eastAsia="仿宋_GB2312" w:hAnsi="Times New Roman" w:cs="Times New Roman" w:hint="eastAsia"/>
          <w:color w:val="000000" w:themeColor="text1"/>
          <w:sz w:val="32"/>
          <w:szCs w:val="32"/>
        </w:rPr>
        <w:t>与</w:t>
      </w:r>
      <w:r w:rsidR="007F28B9" w:rsidRPr="007F28B9">
        <w:rPr>
          <w:rFonts w:ascii="Times New Roman" w:eastAsia="仿宋_GB2312" w:hAnsi="Times New Roman" w:cs="Times New Roman" w:hint="eastAsia"/>
          <w:color w:val="000000" w:themeColor="text1"/>
          <w:sz w:val="32"/>
          <w:szCs w:val="32"/>
        </w:rPr>
        <w:t>“粪污</w:t>
      </w:r>
      <w:r w:rsidR="007F28B9" w:rsidRPr="007F28B9">
        <w:rPr>
          <w:rFonts w:ascii="Times New Roman" w:eastAsia="仿宋_GB2312" w:hAnsi="Times New Roman" w:cs="Times New Roman" w:hint="eastAsia"/>
          <w:color w:val="000000" w:themeColor="text1"/>
          <w:sz w:val="32"/>
          <w:szCs w:val="32"/>
        </w:rPr>
        <w:t xml:space="preserve"> </w:t>
      </w:r>
      <w:r w:rsidR="007F28B9" w:rsidRPr="007F28B9">
        <w:rPr>
          <w:rFonts w:ascii="Times New Roman" w:eastAsia="仿宋_GB2312" w:hAnsi="Times New Roman" w:cs="Times New Roman" w:hint="eastAsia"/>
          <w:color w:val="000000" w:themeColor="text1"/>
          <w:sz w:val="32"/>
          <w:szCs w:val="32"/>
        </w:rPr>
        <w:t>资源化利用”</w:t>
      </w:r>
      <w:r w:rsidR="000E0C0E" w:rsidRPr="000E0C0E">
        <w:rPr>
          <w:rFonts w:ascii="Times New Roman" w:eastAsia="仿宋_GB2312" w:hAnsi="Times New Roman" w:cs="Times New Roman" w:hint="eastAsia"/>
          <w:color w:val="000000" w:themeColor="text1"/>
          <w:sz w:val="32"/>
          <w:szCs w:val="32"/>
        </w:rPr>
        <w:t>相关的标准有：</w:t>
      </w:r>
      <w:r w:rsidR="007F28B9" w:rsidRPr="007F28B9">
        <w:rPr>
          <w:rFonts w:ascii="Times New Roman" w:eastAsia="仿宋_GB2312" w:hAnsi="Times New Roman" w:cs="Times New Roman" w:hint="eastAsia"/>
          <w:color w:val="000000" w:themeColor="text1"/>
          <w:sz w:val="32"/>
          <w:szCs w:val="32"/>
        </w:rPr>
        <w:t>《</w:t>
      </w:r>
      <w:r w:rsidR="007F28B9" w:rsidRPr="007F28B9">
        <w:rPr>
          <w:rFonts w:ascii="Times New Roman" w:eastAsia="仿宋_GB2312" w:hAnsi="Times New Roman" w:cs="Times New Roman" w:hint="eastAsia"/>
          <w:color w:val="000000" w:themeColor="text1"/>
          <w:sz w:val="32"/>
          <w:szCs w:val="32"/>
        </w:rPr>
        <w:t>DB13/T 5428-2021</w:t>
      </w:r>
      <w:r w:rsidR="007F28B9" w:rsidRPr="007F28B9">
        <w:rPr>
          <w:rFonts w:ascii="Times New Roman" w:eastAsia="仿宋_GB2312" w:hAnsi="Times New Roman" w:cs="Times New Roman" w:hint="eastAsia"/>
          <w:color w:val="000000" w:themeColor="text1"/>
          <w:sz w:val="32"/>
          <w:szCs w:val="32"/>
        </w:rPr>
        <w:t>沼渣资源化利用技术规范》《</w:t>
      </w:r>
      <w:r w:rsidR="007F28B9" w:rsidRPr="007F28B9">
        <w:rPr>
          <w:rFonts w:ascii="Times New Roman" w:eastAsia="仿宋_GB2312" w:hAnsi="Times New Roman" w:cs="Times New Roman" w:hint="eastAsia"/>
          <w:color w:val="000000" w:themeColor="text1"/>
          <w:sz w:val="32"/>
          <w:szCs w:val="32"/>
        </w:rPr>
        <w:t>DB1302/T 498-2019</w:t>
      </w:r>
      <w:r w:rsidR="007F28B9" w:rsidRPr="007F28B9">
        <w:rPr>
          <w:rFonts w:ascii="Times New Roman" w:eastAsia="仿宋_GB2312" w:hAnsi="Times New Roman" w:cs="Times New Roman" w:hint="eastAsia"/>
          <w:color w:val="000000" w:themeColor="text1"/>
          <w:sz w:val="32"/>
          <w:szCs w:val="32"/>
        </w:rPr>
        <w:t>规模化奶牛场粪污资源化利用技术规程》《</w:t>
      </w:r>
      <w:r w:rsidR="007F28B9" w:rsidRPr="007F28B9">
        <w:rPr>
          <w:rFonts w:ascii="Times New Roman" w:eastAsia="仿宋_GB2312" w:hAnsi="Times New Roman" w:cs="Times New Roman" w:hint="eastAsia"/>
          <w:color w:val="000000" w:themeColor="text1"/>
          <w:sz w:val="32"/>
          <w:szCs w:val="32"/>
        </w:rPr>
        <w:t>GB/T 42679-2023</w:t>
      </w:r>
      <w:r w:rsidR="007F28B9" w:rsidRPr="007F28B9">
        <w:rPr>
          <w:rFonts w:ascii="Times New Roman" w:eastAsia="仿宋_GB2312" w:hAnsi="Times New Roman" w:cs="Times New Roman" w:hint="eastAsia"/>
          <w:color w:val="000000" w:themeColor="text1"/>
          <w:sz w:val="32"/>
          <w:szCs w:val="32"/>
        </w:rPr>
        <w:t>农业废弃物资源化利用</w:t>
      </w:r>
      <w:r w:rsidR="007F28B9" w:rsidRPr="007F28B9">
        <w:rPr>
          <w:rFonts w:ascii="Times New Roman" w:eastAsia="仿宋_GB2312" w:hAnsi="Times New Roman" w:cs="Times New Roman" w:hint="eastAsia"/>
          <w:color w:val="000000" w:themeColor="text1"/>
          <w:sz w:val="32"/>
          <w:szCs w:val="32"/>
        </w:rPr>
        <w:t xml:space="preserve"> </w:t>
      </w:r>
      <w:r w:rsidR="007F28B9" w:rsidRPr="007F28B9">
        <w:rPr>
          <w:rFonts w:ascii="Times New Roman" w:eastAsia="仿宋_GB2312" w:hAnsi="Times New Roman" w:cs="Times New Roman" w:hint="eastAsia"/>
          <w:color w:val="000000" w:themeColor="text1"/>
          <w:sz w:val="32"/>
          <w:szCs w:val="32"/>
        </w:rPr>
        <w:t>生物质资源综合利用》《</w:t>
      </w:r>
      <w:r w:rsidR="007F28B9" w:rsidRPr="007F28B9">
        <w:rPr>
          <w:rFonts w:ascii="Times New Roman" w:eastAsia="仿宋_GB2312" w:hAnsi="Times New Roman" w:cs="Times New Roman" w:hint="eastAsia"/>
          <w:color w:val="000000" w:themeColor="text1"/>
          <w:sz w:val="32"/>
          <w:szCs w:val="32"/>
        </w:rPr>
        <w:t>NY/T 4754-2025</w:t>
      </w:r>
      <w:r w:rsidR="007F28B9" w:rsidRPr="007F28B9">
        <w:rPr>
          <w:rFonts w:ascii="Times New Roman" w:eastAsia="仿宋_GB2312" w:hAnsi="Times New Roman" w:cs="Times New Roman" w:hint="eastAsia"/>
          <w:color w:val="000000" w:themeColor="text1"/>
          <w:sz w:val="32"/>
          <w:szCs w:val="32"/>
        </w:rPr>
        <w:t>畜禽养殖场粪污资源化利用设施技术要求》</w:t>
      </w:r>
      <w:r w:rsidR="000E0C0E">
        <w:rPr>
          <w:rFonts w:ascii="Times New Roman" w:eastAsia="仿宋_GB2312" w:hAnsi="Times New Roman" w:cs="Times New Roman" w:hint="eastAsia"/>
          <w:color w:val="000000" w:themeColor="text1"/>
          <w:sz w:val="32"/>
          <w:szCs w:val="32"/>
        </w:rPr>
        <w:t>。</w:t>
      </w:r>
    </w:p>
    <w:p w14:paraId="04DAF95A" w14:textId="77777777" w:rsidR="007F28B9" w:rsidRPr="007F28B9" w:rsidRDefault="007F28B9" w:rsidP="007F28B9">
      <w:pPr>
        <w:spacing w:line="520" w:lineRule="exact"/>
        <w:ind w:firstLineChars="200" w:firstLine="640"/>
        <w:rPr>
          <w:rFonts w:ascii="仿宋_GB2312" w:eastAsia="仿宋_GB2312"/>
          <w:color w:val="000000" w:themeColor="text1"/>
          <w:sz w:val="32"/>
          <w:szCs w:val="32"/>
        </w:rPr>
      </w:pPr>
      <w:r w:rsidRPr="007F28B9">
        <w:rPr>
          <w:rFonts w:ascii="仿宋_GB2312" w:eastAsia="仿宋_GB2312" w:hint="eastAsia"/>
          <w:color w:val="000000" w:themeColor="text1"/>
          <w:sz w:val="32"/>
          <w:szCs w:val="32"/>
        </w:rPr>
        <w:t>其中，《DB13/T 5428-2021沼渣资源化利用技术规范》该标准主要规范沼渣的好氧发酵、陈化、干燥等传统堆肥工艺，但未涉及液体废弃物处理：对沼液等液体部分的处理和高值化利用涉及不足。本标准处理对象更广泛：直接处理畜禽粪污和蔗叶的混合浆料，源头更广。</w:t>
      </w:r>
    </w:p>
    <w:p w14:paraId="5F9CB3EE" w14:textId="77777777" w:rsidR="007F28B9" w:rsidRPr="007F28B9" w:rsidRDefault="007F28B9" w:rsidP="007F28B9">
      <w:pPr>
        <w:spacing w:line="520" w:lineRule="exact"/>
        <w:ind w:firstLineChars="200" w:firstLine="640"/>
        <w:rPr>
          <w:rFonts w:ascii="仿宋_GB2312" w:eastAsia="仿宋_GB2312"/>
          <w:color w:val="000000" w:themeColor="text1"/>
          <w:sz w:val="32"/>
          <w:szCs w:val="32"/>
        </w:rPr>
      </w:pPr>
      <w:r w:rsidRPr="007F28B9">
        <w:rPr>
          <w:rFonts w:ascii="仿宋_GB2312" w:eastAsia="仿宋_GB2312" w:hint="eastAsia"/>
          <w:color w:val="000000" w:themeColor="text1"/>
          <w:sz w:val="32"/>
          <w:szCs w:val="32"/>
        </w:rPr>
        <w:t>《DB1302/T 498-2019规模化奶牛场粪污资源化利用技术规程》提出了种养结合、多元化利用（含沼气）、循环利用（制垫料）等多种模式，但缺乏产业特异性： 未针对特定地域的特色产业废弃物（如蔗叶）进行协同规划。本标准创造性地将蔗糖产业（蔗叶）与畜牧业（粪污）两大支柱产业的废弃物协同处理，精准解决广西的实际问题。</w:t>
      </w:r>
    </w:p>
    <w:p w14:paraId="19AFA12F" w14:textId="77777777" w:rsidR="007F28B9" w:rsidRPr="007F28B9" w:rsidRDefault="007F28B9" w:rsidP="007F28B9">
      <w:pPr>
        <w:spacing w:line="520" w:lineRule="exact"/>
        <w:ind w:firstLineChars="200" w:firstLine="640"/>
        <w:rPr>
          <w:rFonts w:ascii="仿宋_GB2312" w:eastAsia="仿宋_GB2312"/>
          <w:color w:val="000000" w:themeColor="text1"/>
          <w:sz w:val="32"/>
          <w:szCs w:val="32"/>
        </w:rPr>
      </w:pPr>
      <w:r w:rsidRPr="007F28B9">
        <w:rPr>
          <w:rFonts w:ascii="仿宋_GB2312" w:eastAsia="仿宋_GB2312" w:hint="eastAsia"/>
          <w:color w:val="000000" w:themeColor="text1"/>
          <w:sz w:val="32"/>
          <w:szCs w:val="32"/>
        </w:rPr>
        <w:t>《GB/T 42679-2023农业废弃物资源化利用 生物质资源综合利用》作为国家标准，提供了农业生物质废弃物（秸秆、粪污）资源化利用的通用原则和方向，但作为通用性标准，对具体技术的详细操作参数、设备要求、产品质量指标等规定不够深入。本标准详细规定了Co-HTC技术的场地布局、设备选型、物料配方、核心工艺参数、生产流程等，可操作性极强</w:t>
      </w:r>
    </w:p>
    <w:p w14:paraId="01C734E3" w14:textId="77777777" w:rsidR="007F28B9" w:rsidRPr="007F28B9" w:rsidRDefault="007F28B9" w:rsidP="007F28B9">
      <w:pPr>
        <w:spacing w:line="520" w:lineRule="exact"/>
        <w:ind w:firstLineChars="200" w:firstLine="640"/>
        <w:rPr>
          <w:rFonts w:ascii="仿宋_GB2312" w:eastAsia="仿宋_GB2312"/>
          <w:color w:val="000000" w:themeColor="text1"/>
          <w:sz w:val="32"/>
          <w:szCs w:val="32"/>
        </w:rPr>
      </w:pPr>
      <w:r w:rsidRPr="007F28B9">
        <w:rPr>
          <w:rFonts w:ascii="仿宋_GB2312" w:eastAsia="仿宋_GB2312" w:hint="eastAsia"/>
          <w:color w:val="000000" w:themeColor="text1"/>
          <w:sz w:val="32"/>
          <w:szCs w:val="32"/>
        </w:rPr>
        <w:t>《NY/T 4754-2025畜禽养殖场粪污资源化利用设施技术要求》专注于粪污资源化利用过程中涉及的各类设施（暂存、处理、还田）的技术要求，但标准的核心是“建多大、怎么建”，对工艺</w:t>
      </w:r>
      <w:r w:rsidRPr="007F28B9">
        <w:rPr>
          <w:rFonts w:ascii="仿宋_GB2312" w:eastAsia="仿宋_GB2312" w:hint="eastAsia"/>
          <w:color w:val="000000" w:themeColor="text1"/>
          <w:sz w:val="32"/>
          <w:szCs w:val="32"/>
        </w:rPr>
        <w:lastRenderedPageBreak/>
        <w:t>流程、参数控制、产品质量等细节涉及较少。本标准详细规定了Co-HTC技术核心区的完整设施设备配置，包括反应釜、高压泵、固液分离系统、精密过滤系统等，填补了该领域的空白。</w:t>
      </w:r>
    </w:p>
    <w:p w14:paraId="50E0003C" w14:textId="0B109EA4" w:rsidR="00D634F2" w:rsidRDefault="007F28B9" w:rsidP="007F28B9">
      <w:pPr>
        <w:spacing w:line="520" w:lineRule="exact"/>
        <w:ind w:firstLineChars="200" w:firstLine="640"/>
        <w:rPr>
          <w:rFonts w:ascii="仿宋_GB2312" w:eastAsia="仿宋_GB2312"/>
          <w:color w:val="000000" w:themeColor="text1"/>
          <w:sz w:val="32"/>
          <w:szCs w:val="32"/>
        </w:rPr>
      </w:pPr>
      <w:r w:rsidRPr="007F28B9">
        <w:rPr>
          <w:rFonts w:ascii="仿宋_GB2312" w:eastAsia="仿宋_GB2312" w:hint="eastAsia"/>
          <w:color w:val="000000" w:themeColor="text1"/>
          <w:sz w:val="32"/>
          <w:szCs w:val="32"/>
        </w:rPr>
        <w:t>综上所述，以上标准并未特定针对畜禽粪污与蔗叶的协同资源化利用进行技术要求的喜欢和系统性的补充，而本标准通过结合Co-HTC技术，能够同时产出高附加值的“类黄腐酸液体有机肥”和“生物炭基土壤改良剂”，实现了废弃物资源价值的最大化。液体肥全水溶，完美契合现代农业的水肥一体化趋势；生物炭则在改良土壤、固碳减排方面具有独特</w:t>
      </w:r>
      <w:r>
        <w:rPr>
          <w:rFonts w:ascii="仿宋_GB2312" w:eastAsia="仿宋_GB2312" w:hint="eastAsia"/>
          <w:color w:val="000000" w:themeColor="text1"/>
          <w:sz w:val="32"/>
          <w:szCs w:val="32"/>
        </w:rPr>
        <w:t>优势。因此以上标准不适用畜禽粪污与蔗叶协同资源化利用技术的应用</w:t>
      </w:r>
      <w:r w:rsidR="008854C0">
        <w:rPr>
          <w:rFonts w:ascii="仿宋_GB2312" w:eastAsia="仿宋_GB2312" w:hint="eastAsia"/>
          <w:color w:val="000000" w:themeColor="text1"/>
          <w:sz w:val="32"/>
          <w:szCs w:val="32"/>
        </w:rPr>
        <w:t>。</w:t>
      </w:r>
    </w:p>
    <w:p w14:paraId="3C75DE74"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本标准的内容与现行的法律法规及强制性标准无冲突，本文件相关指标不低于强制性国家标准的相关技术要求，标准的编写符合GB/T 1.1—2020的要求。</w:t>
      </w:r>
    </w:p>
    <w:p w14:paraId="10E3EE1F"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五、主要条款的说明</w:t>
      </w:r>
    </w:p>
    <w:p w14:paraId="1332D6E8" w14:textId="6CB9443E"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EF4AC3">
        <w:rPr>
          <w:rFonts w:ascii="仿宋_GB2312" w:eastAsia="仿宋_GB2312" w:hint="eastAsia"/>
          <w:color w:val="000000" w:themeColor="text1"/>
          <w:sz w:val="32"/>
          <w:szCs w:val="32"/>
        </w:rPr>
        <w:t>畜禽粪污与蔗叶协同资源化利用技术规范</w:t>
      </w:r>
      <w:r>
        <w:rPr>
          <w:rFonts w:ascii="仿宋_GB2312" w:eastAsia="仿宋_GB2312" w:hint="eastAsia"/>
          <w:color w:val="000000" w:themeColor="text1"/>
          <w:sz w:val="32"/>
          <w:szCs w:val="32"/>
        </w:rPr>
        <w:t>》的主要章节内容包括</w:t>
      </w:r>
      <w:r w:rsidR="00F76618">
        <w:rPr>
          <w:rFonts w:ascii="仿宋_GB2312" w:eastAsia="仿宋_GB2312" w:hint="eastAsia"/>
          <w:color w:val="000000" w:themeColor="text1"/>
          <w:sz w:val="32"/>
          <w:szCs w:val="32"/>
        </w:rPr>
        <w:t>畜禽粪污与蔗叶协同资源化利用技术</w:t>
      </w:r>
      <w:r>
        <w:rPr>
          <w:rFonts w:ascii="仿宋_GB2312" w:eastAsia="仿宋_GB2312" w:hint="eastAsia"/>
          <w:color w:val="000000" w:themeColor="text1"/>
          <w:sz w:val="32"/>
          <w:szCs w:val="32"/>
        </w:rPr>
        <w:t>的</w:t>
      </w:r>
      <w:r w:rsidR="007F28B9" w:rsidRPr="007F28B9">
        <w:rPr>
          <w:rFonts w:ascii="仿宋_GB2312" w:eastAsia="仿宋_GB2312" w:hint="eastAsia"/>
          <w:color w:val="000000" w:themeColor="text1"/>
          <w:sz w:val="32"/>
          <w:szCs w:val="32"/>
        </w:rPr>
        <w:t>场地与布局、协同水热碳化设施设备、工艺</w:t>
      </w:r>
      <w:r w:rsidR="007F28B9" w:rsidRPr="007F28B9">
        <w:rPr>
          <w:rFonts w:ascii="仿宋_GB2312" w:eastAsia="仿宋_GB2312"/>
          <w:color w:val="000000" w:themeColor="text1"/>
          <w:sz w:val="32"/>
          <w:szCs w:val="32"/>
        </w:rPr>
        <w:t>要求</w:t>
      </w:r>
      <w:r w:rsidR="007F28B9" w:rsidRPr="007F28B9">
        <w:rPr>
          <w:rFonts w:ascii="仿宋_GB2312" w:eastAsia="仿宋_GB2312" w:hint="eastAsia"/>
          <w:color w:val="000000" w:themeColor="text1"/>
          <w:sz w:val="32"/>
          <w:szCs w:val="32"/>
        </w:rPr>
        <w:t>、甘蔗水肥一体化应用、</w:t>
      </w:r>
      <w:r w:rsidR="007F28B9" w:rsidRPr="007F28B9">
        <w:rPr>
          <w:rFonts w:ascii="仿宋_GB2312" w:eastAsia="仿宋_GB2312"/>
          <w:color w:val="000000" w:themeColor="text1"/>
          <w:sz w:val="32"/>
          <w:szCs w:val="32"/>
        </w:rPr>
        <w:t>效果评价</w:t>
      </w:r>
      <w:r w:rsidR="007F28B9" w:rsidRPr="007F28B9">
        <w:rPr>
          <w:rFonts w:ascii="仿宋_GB2312" w:eastAsia="仿宋_GB2312" w:hint="eastAsia"/>
          <w:color w:val="000000" w:themeColor="text1"/>
          <w:sz w:val="32"/>
          <w:szCs w:val="32"/>
        </w:rPr>
        <w:t>与</w:t>
      </w:r>
      <w:r w:rsidR="007F28B9" w:rsidRPr="007F28B9">
        <w:rPr>
          <w:rFonts w:ascii="仿宋_GB2312" w:eastAsia="仿宋_GB2312"/>
          <w:color w:val="000000" w:themeColor="text1"/>
          <w:sz w:val="32"/>
          <w:szCs w:val="32"/>
        </w:rPr>
        <w:t>改进</w:t>
      </w:r>
      <w:r w:rsidRPr="007125F7">
        <w:rPr>
          <w:rFonts w:ascii="仿宋_GB2312" w:eastAsia="仿宋_GB2312" w:hint="eastAsia"/>
          <w:color w:val="000000" w:themeColor="text1"/>
          <w:sz w:val="32"/>
          <w:szCs w:val="32"/>
        </w:rPr>
        <w:t>。本</w:t>
      </w:r>
      <w:r>
        <w:rPr>
          <w:rFonts w:ascii="仿宋_GB2312" w:eastAsia="仿宋_GB2312" w:hint="eastAsia"/>
          <w:color w:val="000000" w:themeColor="text1"/>
          <w:sz w:val="32"/>
          <w:szCs w:val="32"/>
        </w:rPr>
        <w:t>文件主要内容及依据来源说明如下：</w:t>
      </w:r>
      <w:r w:rsidR="006C2BE3">
        <w:rPr>
          <w:rFonts w:ascii="仿宋_GB2312" w:eastAsia="仿宋_GB2312"/>
          <w:color w:val="000000" w:themeColor="text1"/>
          <w:sz w:val="32"/>
          <w:szCs w:val="32"/>
        </w:rPr>
        <w:t xml:space="preserve"> </w:t>
      </w:r>
    </w:p>
    <w:p w14:paraId="5CD23B70" w14:textId="4C7E109E" w:rsidR="0065632A" w:rsidRPr="00AE6CFF" w:rsidRDefault="00AE6CFF" w:rsidP="00AE6CFF">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E6CFF">
        <w:rPr>
          <w:rFonts w:ascii="Times New Roman" w:eastAsia="楷体" w:hAnsi="Times New Roman" w:cs="Times New Roman" w:hint="eastAsia"/>
          <w:b/>
          <w:bCs/>
          <w:color w:val="000000" w:themeColor="text1"/>
          <w:kern w:val="0"/>
          <w:sz w:val="32"/>
          <w:szCs w:val="32"/>
        </w:rPr>
        <w:t>（一）</w:t>
      </w:r>
      <w:r w:rsidR="0065632A" w:rsidRPr="00AE6CFF">
        <w:rPr>
          <w:rFonts w:ascii="Times New Roman" w:eastAsia="楷体" w:hAnsi="Times New Roman" w:cs="Times New Roman" w:hint="eastAsia"/>
          <w:b/>
          <w:bCs/>
          <w:color w:val="000000" w:themeColor="text1"/>
          <w:kern w:val="0"/>
          <w:sz w:val="32"/>
          <w:szCs w:val="32"/>
        </w:rPr>
        <w:t>场地与布局</w:t>
      </w:r>
    </w:p>
    <w:p w14:paraId="6889E4C5" w14:textId="6698AE81" w:rsidR="0072527B" w:rsidRDefault="0065632A" w:rsidP="0065632A">
      <w:pPr>
        <w:spacing w:line="520" w:lineRule="exact"/>
        <w:ind w:firstLineChars="200" w:firstLine="640"/>
        <w:rPr>
          <w:rFonts w:ascii="仿宋_GB2312" w:eastAsia="仿宋_GB2312"/>
          <w:color w:val="000000" w:themeColor="text1"/>
          <w:sz w:val="32"/>
          <w:szCs w:val="32"/>
        </w:rPr>
      </w:pPr>
      <w:r w:rsidRPr="0065632A">
        <w:rPr>
          <w:rFonts w:ascii="仿宋_GB2312" w:eastAsia="仿宋_GB2312" w:hint="eastAsia"/>
          <w:color w:val="000000" w:themeColor="text1"/>
          <w:sz w:val="32"/>
          <w:szCs w:val="32"/>
        </w:rPr>
        <w:t>围绕“环境安全底线、生产流程适配、风险源头管控” 三大核心，确保场地选址与功能划分既符合环保法规，又能匹配协同水热碳化（Co-HTC）工艺的连续化运行需求，同时规避污染、安全事故等潜在风险</w:t>
      </w:r>
      <w:r w:rsidR="00AE6CFF">
        <w:rPr>
          <w:rFonts w:ascii="仿宋_GB2312" w:eastAsia="仿宋_GB2312" w:hint="eastAsia"/>
          <w:color w:val="000000" w:themeColor="text1"/>
          <w:sz w:val="32"/>
          <w:szCs w:val="32"/>
        </w:rPr>
        <w:t>。依据</w:t>
      </w:r>
      <w:r w:rsidR="00AE6CFF" w:rsidRPr="00AE6CFF">
        <w:rPr>
          <w:rFonts w:ascii="仿宋_GB2312" w:eastAsia="仿宋_GB2312" w:hint="eastAsia"/>
          <w:color w:val="000000" w:themeColor="text1"/>
          <w:sz w:val="32"/>
          <w:szCs w:val="32"/>
        </w:rPr>
        <w:t>《中华人民共和国环境保护法》《畜禽规模养殖污染防治条例》等法规对污染源选址的强制性要求，饮用水源保护区、自然保护区等区域为生态保护红线，禁止布局可能产生污染的生产设施</w:t>
      </w:r>
      <w:r w:rsidR="0072527B">
        <w:rPr>
          <w:rFonts w:ascii="仿宋_GB2312" w:eastAsia="仿宋_GB2312" w:hint="eastAsia"/>
          <w:color w:val="000000" w:themeColor="text1"/>
          <w:sz w:val="32"/>
          <w:szCs w:val="32"/>
        </w:rPr>
        <w:t>。</w:t>
      </w:r>
    </w:p>
    <w:p w14:paraId="44214432" w14:textId="458DA623" w:rsidR="00612FBA" w:rsidRDefault="0072527B" w:rsidP="0065632A">
      <w:pPr>
        <w:spacing w:line="520" w:lineRule="exact"/>
        <w:ind w:firstLineChars="200" w:firstLine="640"/>
        <w:rPr>
          <w:rFonts w:ascii="仿宋_GB2312" w:eastAsia="仿宋_GB2312"/>
          <w:color w:val="000000" w:themeColor="text1"/>
          <w:sz w:val="32"/>
          <w:szCs w:val="32"/>
        </w:rPr>
      </w:pPr>
      <w:r w:rsidRPr="0072527B">
        <w:rPr>
          <w:rFonts w:ascii="仿宋_GB2312" w:eastAsia="仿宋_GB2312" w:hint="eastAsia"/>
          <w:color w:val="000000" w:themeColor="text1"/>
          <w:sz w:val="32"/>
          <w:szCs w:val="32"/>
        </w:rPr>
        <w:lastRenderedPageBreak/>
        <w:t>占地面积 2000-3300m</w:t>
      </w:r>
      <w:r w:rsidRPr="0072527B">
        <w:rPr>
          <w:rFonts w:eastAsia="仿宋_GB2312"/>
          <w:color w:val="000000" w:themeColor="text1"/>
          <w:sz w:val="32"/>
          <w:szCs w:val="32"/>
        </w:rPr>
        <w:t>²</w:t>
      </w:r>
      <w:r>
        <w:rPr>
          <w:rFonts w:ascii="仿宋_GB2312" w:eastAsia="仿宋_GB2312" w:hAnsi="仿宋_GB2312" w:cs="仿宋_GB2312" w:hint="eastAsia"/>
          <w:color w:val="000000" w:themeColor="text1"/>
          <w:sz w:val="32"/>
          <w:szCs w:val="32"/>
        </w:rPr>
        <w:t>确保能</w:t>
      </w:r>
      <w:r w:rsidRPr="0072527B">
        <w:rPr>
          <w:rFonts w:ascii="仿宋_GB2312" w:eastAsia="仿宋_GB2312" w:hAnsi="仿宋_GB2312" w:cs="仿宋_GB2312" w:hint="eastAsia"/>
          <w:color w:val="000000" w:themeColor="text1"/>
          <w:sz w:val="32"/>
          <w:szCs w:val="32"/>
        </w:rPr>
        <w:t>容纳原料区、生产核心区、产品后处理区三大功能模块，同时预留设备检修、运输通道空</w:t>
      </w:r>
      <w:r w:rsidRPr="0072527B">
        <w:rPr>
          <w:rFonts w:ascii="仿宋_GB2312" w:eastAsia="仿宋_GB2312" w:hint="eastAsia"/>
          <w:color w:val="000000" w:themeColor="text1"/>
          <w:sz w:val="32"/>
          <w:szCs w:val="32"/>
        </w:rPr>
        <w:t>间</w:t>
      </w:r>
      <w:r w:rsidR="00AE6CFF" w:rsidRPr="00AE6CFF">
        <w:rPr>
          <w:rFonts w:ascii="仿宋_GB2312" w:eastAsia="仿宋_GB2312" w:hint="eastAsia"/>
          <w:color w:val="000000" w:themeColor="text1"/>
          <w:sz w:val="32"/>
          <w:szCs w:val="32"/>
        </w:rPr>
        <w:t>。</w:t>
      </w:r>
      <w:r w:rsidRPr="0072527B">
        <w:rPr>
          <w:rFonts w:ascii="仿宋_GB2312" w:eastAsia="仿宋_GB2312" w:hint="eastAsia"/>
          <w:color w:val="000000" w:themeColor="text1"/>
          <w:sz w:val="32"/>
          <w:szCs w:val="32"/>
        </w:rPr>
        <w:t>原料池（粪污）、事故池（可能收集泄漏的浆料或渗滤液）</w:t>
      </w:r>
      <w:r>
        <w:rPr>
          <w:rFonts w:ascii="仿宋_GB2312" w:eastAsia="仿宋_GB2312" w:hint="eastAsia"/>
          <w:color w:val="000000" w:themeColor="text1"/>
          <w:sz w:val="32"/>
          <w:szCs w:val="32"/>
        </w:rPr>
        <w:t>有一定</w:t>
      </w:r>
      <w:r>
        <w:rPr>
          <w:rFonts w:ascii="仿宋_GB2312" w:eastAsia="仿宋_GB2312"/>
          <w:color w:val="000000" w:themeColor="text1"/>
          <w:sz w:val="32"/>
          <w:szCs w:val="32"/>
        </w:rPr>
        <w:t>的防渗系数要求。</w:t>
      </w:r>
      <w:r w:rsidRPr="0072527B">
        <w:rPr>
          <w:rFonts w:ascii="仿宋_GB2312" w:eastAsia="仿宋_GB2312" w:hint="eastAsia"/>
          <w:color w:val="000000" w:themeColor="text1"/>
          <w:sz w:val="32"/>
          <w:szCs w:val="32"/>
        </w:rPr>
        <w:t>若防渗不达标，会导致污染物下渗污染地下水，该系数为行业通用的严格防渗标准，确保无渗漏风险</w:t>
      </w:r>
      <w:r w:rsidR="00612FBA">
        <w:rPr>
          <w:rFonts w:ascii="仿宋_GB2312" w:eastAsia="仿宋_GB2312" w:hint="eastAsia"/>
          <w:color w:val="000000" w:themeColor="text1"/>
          <w:sz w:val="32"/>
          <w:szCs w:val="32"/>
        </w:rPr>
        <w:t>。</w:t>
      </w:r>
    </w:p>
    <w:p w14:paraId="2A4FBE68" w14:textId="18FABB1F" w:rsidR="00612FBA" w:rsidRPr="00612FBA" w:rsidRDefault="00612FBA" w:rsidP="00612FBA">
      <w:pPr>
        <w:spacing w:line="520" w:lineRule="exact"/>
        <w:ind w:firstLineChars="200" w:firstLine="640"/>
        <w:rPr>
          <w:rFonts w:ascii="仿宋_GB2312" w:eastAsia="仿宋_GB2312"/>
          <w:color w:val="000000" w:themeColor="text1"/>
          <w:sz w:val="32"/>
          <w:szCs w:val="32"/>
        </w:rPr>
      </w:pPr>
      <w:r w:rsidRPr="00612FBA">
        <w:rPr>
          <w:rFonts w:ascii="仿宋_GB2312" w:eastAsia="仿宋_GB2312"/>
          <w:color w:val="000000" w:themeColor="text1"/>
          <w:sz w:val="32"/>
          <w:szCs w:val="32"/>
        </w:rPr>
        <w:t>功能区划分</w:t>
      </w:r>
      <w:r>
        <w:rPr>
          <w:rFonts w:ascii="仿宋_GB2312" w:eastAsia="仿宋_GB2312" w:hint="eastAsia"/>
          <w:color w:val="000000" w:themeColor="text1"/>
          <w:sz w:val="32"/>
          <w:szCs w:val="32"/>
        </w:rPr>
        <w:t>如下</w:t>
      </w:r>
      <w:r w:rsidRPr="00612FBA">
        <w:rPr>
          <w:rFonts w:ascii="仿宋_GB2312" w:eastAsia="仿宋_GB2312"/>
          <w:color w:val="000000" w:themeColor="text1"/>
          <w:sz w:val="32"/>
          <w:szCs w:val="32"/>
        </w:rPr>
        <w:t>：</w:t>
      </w:r>
    </w:p>
    <w:p w14:paraId="50485BC5" w14:textId="77777777" w:rsidR="00612FBA" w:rsidRPr="000A196D" w:rsidRDefault="00612FBA" w:rsidP="00612FBA">
      <w:pPr>
        <w:spacing w:line="520" w:lineRule="exact"/>
        <w:ind w:firstLineChars="200" w:firstLine="640"/>
        <w:rPr>
          <w:rFonts w:ascii="Times New Roman" w:eastAsia="仿宋_GB2312" w:hAnsi="Times New Roman" w:cs="Times New Roman"/>
          <w:color w:val="000000" w:themeColor="text1"/>
          <w:sz w:val="32"/>
          <w:szCs w:val="32"/>
        </w:rPr>
      </w:pPr>
      <w:r w:rsidRPr="00612FBA">
        <w:rPr>
          <w:rFonts w:ascii="仿宋_GB2312" w:eastAsia="仿宋_GB2312"/>
          <w:color w:val="000000" w:themeColor="text1"/>
          <w:sz w:val="32"/>
          <w:szCs w:val="32"/>
        </w:rPr>
        <w:t>原料接纳与预处理区（约</w:t>
      </w:r>
      <w:r w:rsidRPr="000A196D">
        <w:rPr>
          <w:rFonts w:ascii="Times New Roman" w:eastAsia="仿宋_GB2312" w:hAnsi="Times New Roman" w:cs="Times New Roman"/>
          <w:color w:val="000000" w:themeColor="text1"/>
          <w:sz w:val="32"/>
          <w:szCs w:val="32"/>
        </w:rPr>
        <w:t>800m²</w:t>
      </w:r>
      <w:r w:rsidRPr="000A196D">
        <w:rPr>
          <w:rFonts w:ascii="Times New Roman" w:eastAsia="仿宋_GB2312" w:hAnsi="Times New Roman" w:cs="Times New Roman"/>
          <w:color w:val="000000" w:themeColor="text1"/>
          <w:sz w:val="32"/>
          <w:szCs w:val="32"/>
        </w:rPr>
        <w:t>）：包括用于接收、暂存、粉碎蔗叶的带顶棚堆放场和用于调节粪污的收集池。需配备顶棚和渗滤液收集系统。</w:t>
      </w:r>
    </w:p>
    <w:p w14:paraId="02F5730E" w14:textId="77777777" w:rsidR="00612FBA" w:rsidRPr="00612FBA" w:rsidRDefault="00612FBA" w:rsidP="00612FBA">
      <w:pPr>
        <w:spacing w:line="520" w:lineRule="exact"/>
        <w:ind w:firstLineChars="200" w:firstLine="640"/>
        <w:rPr>
          <w:rFonts w:ascii="仿宋_GB2312" w:eastAsia="仿宋_GB2312"/>
          <w:color w:val="000000" w:themeColor="text1"/>
          <w:sz w:val="32"/>
          <w:szCs w:val="32"/>
        </w:rPr>
      </w:pPr>
      <w:r w:rsidRPr="000A196D">
        <w:rPr>
          <w:rFonts w:ascii="Times New Roman" w:eastAsia="仿宋_GB2312" w:hAnsi="Times New Roman" w:cs="Times New Roman"/>
          <w:color w:val="000000" w:themeColor="text1"/>
          <w:sz w:val="32"/>
          <w:szCs w:val="32"/>
        </w:rPr>
        <w:t>生产反应核心区（约</w:t>
      </w:r>
      <w:r w:rsidRPr="000A196D">
        <w:rPr>
          <w:rFonts w:ascii="Times New Roman" w:eastAsia="仿宋_GB2312" w:hAnsi="Times New Roman" w:cs="Times New Roman"/>
          <w:color w:val="000000" w:themeColor="text1"/>
          <w:sz w:val="32"/>
          <w:szCs w:val="32"/>
        </w:rPr>
        <w:t>500m²</w:t>
      </w:r>
      <w:r w:rsidRPr="00612FBA">
        <w:rPr>
          <w:rFonts w:ascii="仿宋_GB2312" w:eastAsia="仿宋_GB2312"/>
          <w:color w:val="000000" w:themeColor="text1"/>
          <w:sz w:val="32"/>
          <w:szCs w:val="32"/>
        </w:rPr>
        <w:t>）：采用标准钢结构厂房，用于放置水热反应及配套设备。要求通风良好，并配备可燃气体/有毒气体报警仪与消防设施。</w:t>
      </w:r>
    </w:p>
    <w:p w14:paraId="1D4B9570" w14:textId="02C5D70F" w:rsidR="00612FBA" w:rsidRPr="00612FBA" w:rsidRDefault="00612FBA" w:rsidP="00612FBA">
      <w:pPr>
        <w:spacing w:line="520" w:lineRule="exact"/>
        <w:ind w:firstLineChars="200" w:firstLine="640"/>
        <w:rPr>
          <w:rFonts w:ascii="仿宋_GB2312" w:eastAsia="仿宋_GB2312"/>
          <w:color w:val="000000" w:themeColor="text1"/>
          <w:sz w:val="32"/>
          <w:szCs w:val="32"/>
        </w:rPr>
      </w:pPr>
      <w:r w:rsidRPr="00612FBA">
        <w:rPr>
          <w:rFonts w:ascii="仿宋_GB2312" w:eastAsia="仿宋_GB2312"/>
          <w:color w:val="000000" w:themeColor="text1"/>
          <w:sz w:val="32"/>
          <w:szCs w:val="32"/>
        </w:rPr>
        <w:t>产品后处理与仓储区（约</w:t>
      </w:r>
      <w:r w:rsidRPr="000A196D">
        <w:rPr>
          <w:rFonts w:ascii="Times New Roman" w:eastAsia="仿宋_GB2312" w:hAnsi="Times New Roman" w:cs="Times New Roman"/>
          <w:color w:val="000000" w:themeColor="text1"/>
          <w:sz w:val="32"/>
          <w:szCs w:val="32"/>
        </w:rPr>
        <w:t>700m</w:t>
      </w:r>
      <w:r w:rsidRPr="000A196D">
        <w:rPr>
          <w:rFonts w:ascii="Times New Roman" w:hAnsi="Times New Roman" w:cs="Times New Roman"/>
          <w:color w:val="000000" w:themeColor="text1"/>
          <w:sz w:val="32"/>
          <w:szCs w:val="32"/>
        </w:rPr>
        <w:t>²</w:t>
      </w:r>
      <w:r w:rsidRPr="00612FBA">
        <w:rPr>
          <w:rFonts w:ascii="仿宋_GB2312" w:eastAsia="仿宋_GB2312"/>
          <w:color w:val="000000" w:themeColor="text1"/>
          <w:sz w:val="32"/>
          <w:szCs w:val="32"/>
        </w:rPr>
        <w:t>）：用于固液分离、液体肥精制、生物炭堆放冷却及成品包装仓储。</w:t>
      </w:r>
    </w:p>
    <w:p w14:paraId="750076A4" w14:textId="7D3268CD" w:rsidR="00EA6EC8" w:rsidRDefault="00612FBA" w:rsidP="00EA6EC8">
      <w:pPr>
        <w:widowControl/>
        <w:jc w:val="center"/>
        <w:rPr>
          <w:kern w:val="0"/>
        </w:rPr>
      </w:pPr>
      <w:r>
        <w:rPr>
          <w:rFonts w:ascii="Times New Roman" w:eastAsia="仿宋" w:hAnsi="Times New Roman" w:cs="Times New Roman"/>
          <w:noProof/>
        </w:rPr>
        <w:drawing>
          <wp:inline distT="0" distB="0" distL="0" distR="0" wp14:anchorId="1817ECEF" wp14:editId="200324A7">
            <wp:extent cx="5688330" cy="1845669"/>
            <wp:effectExtent l="19050" t="19050" r="26670" b="21590"/>
            <wp:docPr id="25637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3775" name="图片 2563775"/>
                    <pic:cNvPicPr/>
                  </pic:nvPicPr>
                  <pic:blipFill rotWithShape="1">
                    <a:blip r:embed="rId9" cstate="print">
                      <a:extLst>
                        <a:ext uri="{28A0092B-C50C-407E-A947-70E740481C1C}">
                          <a14:useLocalDpi xmlns:a14="http://schemas.microsoft.com/office/drawing/2010/main" val="0"/>
                        </a:ext>
                      </a:extLst>
                    </a:blip>
                    <a:srcRect t="9458"/>
                    <a:stretch>
                      <a:fillRect/>
                    </a:stretch>
                  </pic:blipFill>
                  <pic:spPr bwMode="auto">
                    <a:xfrm>
                      <a:off x="0" y="0"/>
                      <a:ext cx="5688330" cy="184566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11EB8639" w14:textId="2EE6B4EE" w:rsidR="00612FBA" w:rsidRDefault="00612FBA" w:rsidP="000A196D">
      <w:pPr>
        <w:spacing w:line="360" w:lineRule="auto"/>
        <w:jc w:val="center"/>
        <w:rPr>
          <w:rFonts w:ascii="Times New Roman" w:eastAsia="仿宋" w:hAnsi="Times New Roman" w:cs="Times New Roman"/>
          <w:color w:val="000000"/>
          <w:kern w:val="0"/>
          <w:sz w:val="24"/>
          <w:szCs w:val="21"/>
        </w:rPr>
      </w:pPr>
      <w:r w:rsidRPr="000A196D">
        <w:rPr>
          <w:rFonts w:ascii="Times New Roman" w:eastAsia="仿宋" w:hAnsi="Times New Roman" w:cs="Times New Roman" w:hint="eastAsia"/>
          <w:color w:val="000000"/>
          <w:kern w:val="0"/>
          <w:sz w:val="24"/>
          <w:szCs w:val="21"/>
        </w:rPr>
        <w:t>功能区划分</w:t>
      </w:r>
      <w:r w:rsidRPr="000A196D">
        <w:rPr>
          <w:rFonts w:ascii="Times New Roman" w:eastAsia="仿宋" w:hAnsi="Times New Roman" w:cs="Times New Roman"/>
          <w:color w:val="000000"/>
          <w:kern w:val="0"/>
          <w:sz w:val="24"/>
          <w:szCs w:val="21"/>
        </w:rPr>
        <w:t>示意图</w:t>
      </w:r>
    </w:p>
    <w:p w14:paraId="5E1D6CAE" w14:textId="0B6C2261" w:rsidR="00385676" w:rsidRPr="00AE6CFF" w:rsidRDefault="00385676" w:rsidP="00385676">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E6CFF">
        <w:rPr>
          <w:rFonts w:ascii="Times New Roman" w:eastAsia="楷体" w:hAnsi="Times New Roman" w:cs="Times New Roman" w:hint="eastAsia"/>
          <w:b/>
          <w:bCs/>
          <w:color w:val="000000" w:themeColor="text1"/>
          <w:kern w:val="0"/>
          <w:sz w:val="32"/>
          <w:szCs w:val="32"/>
        </w:rPr>
        <w:t>（</w:t>
      </w:r>
      <w:r>
        <w:rPr>
          <w:rFonts w:ascii="Times New Roman" w:eastAsia="楷体" w:hAnsi="Times New Roman" w:cs="Times New Roman" w:hint="eastAsia"/>
          <w:b/>
          <w:bCs/>
          <w:color w:val="000000" w:themeColor="text1"/>
          <w:kern w:val="0"/>
          <w:sz w:val="32"/>
          <w:szCs w:val="32"/>
        </w:rPr>
        <w:t>二</w:t>
      </w:r>
      <w:r w:rsidRPr="00AE6CFF">
        <w:rPr>
          <w:rFonts w:ascii="Times New Roman" w:eastAsia="楷体" w:hAnsi="Times New Roman" w:cs="Times New Roman" w:hint="eastAsia"/>
          <w:b/>
          <w:bCs/>
          <w:color w:val="000000" w:themeColor="text1"/>
          <w:kern w:val="0"/>
          <w:sz w:val="32"/>
          <w:szCs w:val="32"/>
        </w:rPr>
        <w:t>）</w:t>
      </w:r>
      <w:r w:rsidRPr="00385676">
        <w:rPr>
          <w:rFonts w:ascii="Times New Roman" w:eastAsia="楷体" w:hAnsi="Times New Roman" w:cs="Times New Roman" w:hint="eastAsia"/>
          <w:b/>
          <w:bCs/>
          <w:color w:val="000000" w:themeColor="text1"/>
          <w:kern w:val="0"/>
          <w:sz w:val="32"/>
          <w:szCs w:val="32"/>
        </w:rPr>
        <w:t>协同水热碳化设施设备</w:t>
      </w:r>
    </w:p>
    <w:p w14:paraId="69D4BA47" w14:textId="77777777" w:rsidR="00385676" w:rsidRDefault="00385676" w:rsidP="00385676">
      <w:pPr>
        <w:pStyle w:val="BodyText2"/>
      </w:pPr>
    </w:p>
    <w:p w14:paraId="63B7E48D" w14:textId="4D610024" w:rsidR="00385676" w:rsidRPr="00C24363" w:rsidRDefault="00385676" w:rsidP="00C24363">
      <w:pPr>
        <w:spacing w:line="520" w:lineRule="exact"/>
        <w:ind w:firstLineChars="200" w:firstLine="640"/>
        <w:rPr>
          <w:rFonts w:ascii="仿宋_GB2312" w:eastAsia="仿宋_GB2312"/>
          <w:color w:val="000000" w:themeColor="text1"/>
          <w:sz w:val="32"/>
          <w:szCs w:val="32"/>
        </w:rPr>
      </w:pPr>
      <w:r w:rsidRPr="00C24363">
        <w:rPr>
          <w:rFonts w:ascii="仿宋_GB2312" w:eastAsia="仿宋_GB2312" w:hint="eastAsia"/>
          <w:color w:val="000000" w:themeColor="text1"/>
          <w:sz w:val="32"/>
          <w:szCs w:val="32"/>
        </w:rPr>
        <w:t>设备选型与参数设定严格匹配</w:t>
      </w:r>
      <w:r w:rsidR="00F26C87">
        <w:rPr>
          <w:rFonts w:ascii="仿宋_GB2312" w:eastAsia="仿宋_GB2312" w:hint="eastAsia"/>
          <w:color w:val="000000" w:themeColor="text1"/>
          <w:sz w:val="32"/>
          <w:szCs w:val="32"/>
        </w:rPr>
        <w:t>Co-HTC</w:t>
      </w:r>
      <w:r w:rsidRPr="00C24363">
        <w:rPr>
          <w:rFonts w:ascii="仿宋_GB2312" w:eastAsia="仿宋_GB2312" w:hint="eastAsia"/>
          <w:color w:val="000000" w:themeColor="text1"/>
          <w:sz w:val="32"/>
          <w:szCs w:val="32"/>
        </w:rPr>
        <w:t>工艺的“预处理</w:t>
      </w:r>
      <w:r w:rsidR="00F26C87">
        <w:rPr>
          <w:rFonts w:ascii="仿宋_GB2312" w:eastAsia="仿宋_GB2312" w:hint="eastAsia"/>
          <w:color w:val="000000" w:themeColor="text1"/>
          <w:sz w:val="32"/>
          <w:szCs w:val="32"/>
        </w:rPr>
        <w:t>-</w:t>
      </w:r>
      <w:r w:rsidRPr="00C24363">
        <w:rPr>
          <w:rFonts w:ascii="仿宋_GB2312" w:eastAsia="仿宋_GB2312" w:hint="eastAsia"/>
          <w:color w:val="000000" w:themeColor="text1"/>
          <w:sz w:val="32"/>
          <w:szCs w:val="32"/>
        </w:rPr>
        <w:t>反应</w:t>
      </w:r>
      <w:r w:rsidR="00F26C87">
        <w:rPr>
          <w:rFonts w:ascii="仿宋_GB2312" w:eastAsia="仿宋_GB2312" w:hint="eastAsia"/>
          <w:color w:val="000000" w:themeColor="text1"/>
          <w:sz w:val="32"/>
          <w:szCs w:val="32"/>
        </w:rPr>
        <w:t>-</w:t>
      </w:r>
      <w:r w:rsidRPr="00C24363">
        <w:rPr>
          <w:rFonts w:ascii="仿宋_GB2312" w:eastAsia="仿宋_GB2312" w:hint="eastAsia"/>
          <w:color w:val="000000" w:themeColor="text1"/>
          <w:sz w:val="32"/>
          <w:szCs w:val="32"/>
        </w:rPr>
        <w:t>分离</w:t>
      </w:r>
      <w:r w:rsidR="00F26C87">
        <w:rPr>
          <w:rFonts w:ascii="仿宋_GB2312" w:eastAsia="仿宋_GB2312" w:hint="eastAsia"/>
          <w:color w:val="000000" w:themeColor="text1"/>
          <w:sz w:val="32"/>
          <w:szCs w:val="32"/>
        </w:rPr>
        <w:t>-</w:t>
      </w:r>
      <w:r w:rsidRPr="00C24363">
        <w:rPr>
          <w:rFonts w:ascii="仿宋_GB2312" w:eastAsia="仿宋_GB2312" w:hint="eastAsia"/>
          <w:color w:val="000000" w:themeColor="text1"/>
          <w:sz w:val="32"/>
          <w:szCs w:val="32"/>
        </w:rPr>
        <w:t>后处理”全流程，确保各环节产能衔接、运行稳定，同时满足产品质量（如生物炭含水率、液体肥纯度）和安全生产要求。</w:t>
      </w:r>
    </w:p>
    <w:p w14:paraId="7777703C" w14:textId="2F989812" w:rsidR="00385676" w:rsidRDefault="005E0D31" w:rsidP="005E0D31">
      <w:pPr>
        <w:spacing w:line="520" w:lineRule="exact"/>
        <w:ind w:firstLineChars="200" w:firstLine="640"/>
        <w:rPr>
          <w:rFonts w:ascii="仿宋_GB2312" w:eastAsia="仿宋_GB2312"/>
          <w:color w:val="000000" w:themeColor="text1"/>
          <w:sz w:val="32"/>
          <w:szCs w:val="32"/>
        </w:rPr>
      </w:pPr>
      <w:r w:rsidRPr="005E0D31">
        <w:rPr>
          <w:rFonts w:ascii="仿宋_GB2312" w:eastAsia="仿宋_GB2312" w:hint="eastAsia"/>
          <w:color w:val="000000" w:themeColor="text1"/>
          <w:sz w:val="32"/>
          <w:szCs w:val="32"/>
        </w:rPr>
        <w:lastRenderedPageBreak/>
        <w:t>1.</w:t>
      </w:r>
      <w:r w:rsidR="00714E57" w:rsidRPr="00714E57">
        <w:rPr>
          <w:rFonts w:ascii="仿宋_GB2312" w:eastAsia="仿宋_GB2312" w:hint="eastAsia"/>
          <w:color w:val="000000" w:themeColor="text1"/>
          <w:sz w:val="32"/>
          <w:szCs w:val="32"/>
        </w:rPr>
        <w:t>原料预处理系统</w:t>
      </w:r>
    </w:p>
    <w:p w14:paraId="0C0EB984" w14:textId="25FBA512" w:rsidR="00714E57" w:rsidRPr="00714E57" w:rsidRDefault="0035534B" w:rsidP="0035534B">
      <w:pPr>
        <w:spacing w:line="520" w:lineRule="exact"/>
        <w:ind w:firstLineChars="200" w:firstLine="640"/>
        <w:rPr>
          <w:rFonts w:ascii="仿宋_GB2312" w:eastAsia="仿宋_GB2312"/>
          <w:color w:val="000000" w:themeColor="text1"/>
          <w:sz w:val="32"/>
          <w:szCs w:val="32"/>
        </w:rPr>
      </w:pPr>
      <w:r w:rsidRPr="0035534B">
        <w:rPr>
          <w:rFonts w:ascii="仿宋_GB2312" w:eastAsia="仿宋_GB2312" w:hint="eastAsia"/>
          <w:color w:val="000000" w:themeColor="text1"/>
          <w:sz w:val="32"/>
          <w:szCs w:val="32"/>
        </w:rPr>
        <w:t>粪污收集调节池：</w:t>
      </w:r>
      <w:r>
        <w:rPr>
          <w:rFonts w:ascii="仿宋_GB2312" w:eastAsia="仿宋_GB2312" w:hint="eastAsia"/>
          <w:color w:val="000000" w:themeColor="text1"/>
          <w:sz w:val="32"/>
          <w:szCs w:val="32"/>
        </w:rPr>
        <w:t>保证</w:t>
      </w:r>
      <w:r w:rsidRPr="0035534B">
        <w:rPr>
          <w:rFonts w:ascii="仿宋_GB2312" w:eastAsia="仿宋_GB2312" w:hint="eastAsia"/>
          <w:color w:val="000000" w:themeColor="text1"/>
          <w:sz w:val="32"/>
          <w:szCs w:val="32"/>
        </w:rPr>
        <w:t>有效容积100-150m</w:t>
      </w:r>
      <w:r w:rsidRPr="0035534B">
        <w:rPr>
          <w:rFonts w:eastAsia="仿宋_GB2312"/>
          <w:color w:val="000000" w:themeColor="text1"/>
          <w:sz w:val="32"/>
          <w:szCs w:val="32"/>
        </w:rPr>
        <w:t>³</w:t>
      </w:r>
      <w:r w:rsidRPr="0035534B">
        <w:rPr>
          <w:rFonts w:ascii="仿宋_GB2312" w:eastAsia="仿宋_GB2312" w:hAnsi="仿宋_GB2312" w:cs="仿宋_GB2312" w:hint="eastAsia"/>
          <w:color w:val="000000" w:themeColor="text1"/>
          <w:sz w:val="32"/>
          <w:szCs w:val="32"/>
        </w:rPr>
        <w:t>、满足</w:t>
      </w:r>
      <w:r>
        <w:rPr>
          <w:rFonts w:ascii="仿宋_GB2312" w:eastAsia="仿宋_GB2312" w:hint="eastAsia"/>
          <w:color w:val="000000" w:themeColor="text1"/>
          <w:sz w:val="32"/>
          <w:szCs w:val="32"/>
        </w:rPr>
        <w:t>3d</w:t>
      </w:r>
      <w:r w:rsidRPr="0035534B">
        <w:rPr>
          <w:rFonts w:ascii="仿宋_GB2312" w:eastAsia="仿宋_GB2312" w:hint="eastAsia"/>
          <w:color w:val="000000" w:themeColor="text1"/>
          <w:sz w:val="32"/>
          <w:szCs w:val="32"/>
        </w:rPr>
        <w:t>处理量</w:t>
      </w:r>
      <w:r>
        <w:rPr>
          <w:rFonts w:ascii="仿宋_GB2312" w:eastAsia="仿宋_GB2312" w:hint="eastAsia"/>
          <w:color w:val="000000" w:themeColor="text1"/>
          <w:sz w:val="32"/>
          <w:szCs w:val="32"/>
        </w:rPr>
        <w:t>是为了</w:t>
      </w:r>
      <w:r w:rsidRPr="0035534B">
        <w:rPr>
          <w:rFonts w:ascii="仿宋_GB2312" w:eastAsia="仿宋_GB2312" w:hint="eastAsia"/>
          <w:color w:val="000000" w:themeColor="text1"/>
          <w:sz w:val="32"/>
          <w:szCs w:val="32"/>
        </w:rPr>
        <w:t>预留原料缓冲空间，应对粪污收集的波动性（如养殖场集中清粪）</w:t>
      </w:r>
      <w:r w:rsidRPr="0035534B">
        <w:rPr>
          <w:rFonts w:ascii="仿宋_GB2312" w:eastAsia="仿宋_GB2312"/>
          <w:color w:val="000000" w:themeColor="text1"/>
          <w:sz w:val="32"/>
          <w:szCs w:val="32"/>
        </w:rPr>
        <w:t>配备潜水搅拌器（功率7.5kW）或曝气系统以实现均质化</w:t>
      </w:r>
      <w:r>
        <w:rPr>
          <w:rFonts w:ascii="仿宋_GB2312" w:eastAsia="仿宋_GB2312" w:hint="eastAsia"/>
          <w:color w:val="000000" w:themeColor="text1"/>
          <w:sz w:val="32"/>
          <w:szCs w:val="32"/>
        </w:rPr>
        <w:t>。</w:t>
      </w:r>
    </w:p>
    <w:p w14:paraId="30CF9BC0" w14:textId="7A1FCF7E" w:rsidR="00714E57" w:rsidRDefault="00864685" w:rsidP="00714E57">
      <w:pPr>
        <w:spacing w:line="520" w:lineRule="exact"/>
        <w:ind w:firstLineChars="200" w:firstLine="640"/>
        <w:rPr>
          <w:rFonts w:ascii="仿宋_GB2312" w:eastAsia="仿宋_GB2312"/>
          <w:color w:val="000000" w:themeColor="text1"/>
          <w:sz w:val="32"/>
          <w:szCs w:val="32"/>
        </w:rPr>
      </w:pPr>
      <w:r w:rsidRPr="00864685">
        <w:rPr>
          <w:rFonts w:ascii="仿宋_GB2312" w:eastAsia="仿宋_GB2312" w:hint="eastAsia"/>
          <w:color w:val="000000" w:themeColor="text1"/>
          <w:sz w:val="32"/>
          <w:szCs w:val="32"/>
        </w:rPr>
        <w:t>切碎机</w:t>
      </w:r>
      <w:r>
        <w:rPr>
          <w:rFonts w:ascii="仿宋_GB2312" w:eastAsia="仿宋_GB2312" w:hint="eastAsia"/>
          <w:color w:val="000000" w:themeColor="text1"/>
          <w:sz w:val="32"/>
          <w:szCs w:val="32"/>
        </w:rPr>
        <w:t>/</w:t>
      </w:r>
      <w:r w:rsidRPr="00864685">
        <w:rPr>
          <w:rFonts w:ascii="仿宋_GB2312" w:eastAsia="仿宋_GB2312" w:hint="eastAsia"/>
          <w:color w:val="000000" w:themeColor="text1"/>
          <w:sz w:val="32"/>
          <w:szCs w:val="32"/>
        </w:rPr>
        <w:t>揉丝机</w:t>
      </w:r>
      <w:r w:rsidR="00B32172">
        <w:rPr>
          <w:rFonts w:ascii="仿宋_GB2312" w:eastAsia="仿宋_GB2312" w:hint="eastAsia"/>
          <w:color w:val="000000" w:themeColor="text1"/>
          <w:sz w:val="32"/>
          <w:szCs w:val="32"/>
        </w:rPr>
        <w:t>：</w:t>
      </w:r>
      <w:r w:rsidRPr="00864685">
        <w:rPr>
          <w:rFonts w:ascii="仿宋_GB2312" w:eastAsia="仿宋_GB2312" w:hint="eastAsia"/>
          <w:color w:val="000000" w:themeColor="text1"/>
          <w:sz w:val="32"/>
          <w:szCs w:val="32"/>
        </w:rPr>
        <w:t>蔗叶物理特性（纤维粗、不易混合）及浆料调制、反应釜进料需求</w:t>
      </w:r>
      <w:r>
        <w:rPr>
          <w:rFonts w:ascii="仿宋_GB2312" w:eastAsia="仿宋_GB2312" w:hint="eastAsia"/>
          <w:color w:val="000000" w:themeColor="text1"/>
          <w:sz w:val="32"/>
          <w:szCs w:val="32"/>
        </w:rPr>
        <w:t>配备</w:t>
      </w:r>
      <w:r>
        <w:rPr>
          <w:rFonts w:ascii="仿宋_GB2312" w:eastAsia="仿宋_GB2312"/>
          <w:color w:val="000000" w:themeColor="text1"/>
          <w:sz w:val="32"/>
          <w:szCs w:val="32"/>
        </w:rPr>
        <w:t>。</w:t>
      </w:r>
      <w:r w:rsidRPr="00864685">
        <w:rPr>
          <w:rFonts w:ascii="仿宋_GB2312" w:eastAsia="仿宋_GB2312" w:hint="eastAsia"/>
          <w:color w:val="000000" w:themeColor="text1"/>
          <w:sz w:val="32"/>
          <w:szCs w:val="32"/>
        </w:rPr>
        <w:t>匹配单批次 0.25t 干蔗叶的处理需求，确保预处理效率与反应釜批次周期衔接</w:t>
      </w:r>
      <w:r>
        <w:rPr>
          <w:rFonts w:ascii="仿宋_GB2312" w:eastAsia="仿宋_GB2312" w:hint="eastAsia"/>
          <w:color w:val="000000" w:themeColor="text1"/>
          <w:sz w:val="32"/>
          <w:szCs w:val="32"/>
        </w:rPr>
        <w:t>。</w:t>
      </w:r>
      <w:r w:rsidRPr="00864685">
        <w:rPr>
          <w:rFonts w:ascii="仿宋_GB2312" w:eastAsia="仿宋_GB2312" w:hint="eastAsia"/>
          <w:color w:val="000000" w:themeColor="text1"/>
          <w:sz w:val="32"/>
          <w:szCs w:val="32"/>
        </w:rPr>
        <w:t>蔗叶纤维粗硬，需足够功率保证切碎效果，长度≤30mm 可避免堵塞进料泵、保证与粪污的均匀混合，同时增大反应接触面积，提升碳化效率。</w:t>
      </w:r>
    </w:p>
    <w:p w14:paraId="0E78477B" w14:textId="6F56C637" w:rsidR="00714E57" w:rsidRPr="00714E57" w:rsidRDefault="00365A6E" w:rsidP="00714E57">
      <w:pPr>
        <w:spacing w:line="520" w:lineRule="exact"/>
        <w:ind w:firstLineChars="200" w:firstLine="640"/>
        <w:rPr>
          <w:rFonts w:ascii="仿宋_GB2312" w:eastAsia="仿宋_GB2312"/>
          <w:color w:val="000000" w:themeColor="text1"/>
          <w:sz w:val="32"/>
          <w:szCs w:val="32"/>
        </w:rPr>
      </w:pPr>
      <w:r w:rsidRPr="00365A6E">
        <w:rPr>
          <w:rFonts w:ascii="仿宋_GB2312" w:eastAsia="仿宋_GB2312" w:hint="eastAsia"/>
          <w:color w:val="000000" w:themeColor="text1"/>
          <w:sz w:val="32"/>
          <w:szCs w:val="32"/>
        </w:rPr>
        <w:t>浆料调制罐</w:t>
      </w:r>
      <w:r w:rsidR="00B32172" w:rsidRPr="00B32172">
        <w:rPr>
          <w:rFonts w:ascii="仿宋_GB2312" w:eastAsia="仿宋_GB2312" w:hint="eastAsia"/>
          <w:color w:val="000000" w:themeColor="text1"/>
          <w:sz w:val="32"/>
          <w:szCs w:val="32"/>
        </w:rPr>
        <w:t>：</w:t>
      </w:r>
      <w:r w:rsidRPr="00365A6E">
        <w:rPr>
          <w:rFonts w:ascii="仿宋_GB2312" w:eastAsia="仿宋_GB2312" w:hint="eastAsia"/>
          <w:color w:val="000000" w:themeColor="text1"/>
          <w:sz w:val="32"/>
          <w:szCs w:val="32"/>
        </w:rPr>
        <w:t>有效容积10m</w:t>
      </w:r>
      <w:r w:rsidRPr="00365A6E">
        <w:rPr>
          <w:rFonts w:eastAsia="仿宋_GB2312"/>
          <w:color w:val="000000" w:themeColor="text1"/>
          <w:sz w:val="32"/>
          <w:szCs w:val="32"/>
        </w:rPr>
        <w:t>³</w:t>
      </w:r>
      <w:r w:rsidRPr="00365A6E">
        <w:rPr>
          <w:rFonts w:ascii="仿宋_GB2312" w:eastAsia="仿宋_GB2312" w:hint="eastAsia"/>
          <w:color w:val="000000" w:themeColor="text1"/>
          <w:sz w:val="32"/>
          <w:szCs w:val="32"/>
        </w:rPr>
        <w:t>，带称重模块、变频调速强力搅拌器（功率11kW）及在线pH电极，用于原料的精确配比和混合</w:t>
      </w:r>
    </w:p>
    <w:p w14:paraId="706905E5" w14:textId="4C45F4A6" w:rsidR="00714E57" w:rsidRPr="00714E57" w:rsidRDefault="00B32172" w:rsidP="00714E57">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2</w:t>
      </w:r>
      <w:r>
        <w:rPr>
          <w:rFonts w:ascii="仿宋_GB2312" w:eastAsia="仿宋_GB2312"/>
          <w:color w:val="000000" w:themeColor="text1"/>
          <w:sz w:val="32"/>
          <w:szCs w:val="32"/>
        </w:rPr>
        <w:t>.</w:t>
      </w:r>
      <w:r w:rsidRPr="00B32172">
        <w:rPr>
          <w:rFonts w:hint="eastAsia"/>
        </w:rPr>
        <w:t xml:space="preserve"> </w:t>
      </w:r>
      <w:r w:rsidRPr="00B32172">
        <w:rPr>
          <w:rFonts w:ascii="仿宋_GB2312" w:eastAsia="仿宋_GB2312" w:hint="eastAsia"/>
          <w:color w:val="000000" w:themeColor="text1"/>
          <w:sz w:val="32"/>
          <w:szCs w:val="32"/>
        </w:rPr>
        <w:t>水热反应系统</w:t>
      </w:r>
    </w:p>
    <w:p w14:paraId="67F1B342" w14:textId="26980F1E" w:rsidR="008E28B3" w:rsidRPr="008E28B3" w:rsidRDefault="00B32172" w:rsidP="008E28B3">
      <w:pPr>
        <w:spacing w:line="520" w:lineRule="exact"/>
        <w:ind w:firstLineChars="200" w:firstLine="640"/>
        <w:rPr>
          <w:rFonts w:ascii="仿宋_GB2312" w:eastAsia="仿宋_GB2312"/>
          <w:color w:val="000000" w:themeColor="text1"/>
          <w:sz w:val="32"/>
          <w:szCs w:val="32"/>
        </w:rPr>
      </w:pPr>
      <w:r w:rsidRPr="00B32172">
        <w:rPr>
          <w:rFonts w:ascii="仿宋_GB2312" w:eastAsia="仿宋_GB2312" w:hint="eastAsia"/>
          <w:color w:val="000000" w:themeColor="text1"/>
          <w:sz w:val="32"/>
          <w:szCs w:val="32"/>
        </w:rPr>
        <w:t>高压进料泵</w:t>
      </w:r>
      <w:r>
        <w:rPr>
          <w:rFonts w:ascii="仿宋_GB2312" w:eastAsia="仿宋_GB2312" w:hint="eastAsia"/>
          <w:color w:val="000000" w:themeColor="text1"/>
          <w:sz w:val="32"/>
          <w:szCs w:val="32"/>
        </w:rPr>
        <w:t>：</w:t>
      </w:r>
      <w:r w:rsidR="008E28B3" w:rsidRPr="008E28B3">
        <w:rPr>
          <w:rFonts w:ascii="仿宋_GB2312" w:eastAsia="仿宋_GB2312" w:hint="eastAsia"/>
          <w:color w:val="000000" w:themeColor="text1"/>
          <w:sz w:val="32"/>
          <w:szCs w:val="32"/>
        </w:rPr>
        <w:t>浆料含蔗叶纤维颗粒，</w:t>
      </w:r>
      <w:r w:rsidR="008E28B3">
        <w:rPr>
          <w:rFonts w:ascii="仿宋_GB2312" w:eastAsia="仿宋_GB2312" w:hint="eastAsia"/>
          <w:color w:val="000000" w:themeColor="text1"/>
          <w:sz w:val="32"/>
          <w:szCs w:val="32"/>
        </w:rPr>
        <w:t>选择耐磨柱塞泵</w:t>
      </w:r>
      <w:r w:rsidR="008E28B3" w:rsidRPr="008E28B3">
        <w:rPr>
          <w:rFonts w:ascii="仿宋_GB2312" w:eastAsia="仿宋_GB2312" w:hint="eastAsia"/>
          <w:color w:val="000000" w:themeColor="text1"/>
          <w:sz w:val="32"/>
          <w:szCs w:val="32"/>
        </w:rPr>
        <w:t>柱塞泵耐磨性能强，不易堵塞，适合高黏度物料输送</w:t>
      </w:r>
      <w:r w:rsidR="008E28B3">
        <w:rPr>
          <w:rFonts w:ascii="仿宋_GB2312" w:eastAsia="仿宋_GB2312" w:hint="eastAsia"/>
          <w:color w:val="000000" w:themeColor="text1"/>
          <w:sz w:val="32"/>
          <w:szCs w:val="32"/>
        </w:rPr>
        <w:t>。</w:t>
      </w:r>
    </w:p>
    <w:p w14:paraId="3E88FFC7" w14:textId="4A9EAE17" w:rsidR="00714E57" w:rsidRDefault="00B32172" w:rsidP="00714E57">
      <w:pPr>
        <w:spacing w:line="520" w:lineRule="exact"/>
        <w:ind w:firstLineChars="200" w:firstLine="640"/>
        <w:rPr>
          <w:rFonts w:ascii="仿宋_GB2312" w:eastAsia="仿宋_GB2312"/>
          <w:color w:val="000000" w:themeColor="text1"/>
          <w:sz w:val="32"/>
          <w:szCs w:val="32"/>
        </w:rPr>
      </w:pPr>
      <w:r w:rsidRPr="00B32172">
        <w:rPr>
          <w:rFonts w:ascii="仿宋_GB2312" w:eastAsia="仿宋_GB2312" w:hint="eastAsia"/>
          <w:color w:val="000000" w:themeColor="text1"/>
          <w:sz w:val="32"/>
          <w:szCs w:val="32"/>
        </w:rPr>
        <w:t>Co-HTC 反应釜：</w:t>
      </w:r>
      <w:r w:rsidR="008E28B3" w:rsidRPr="00341B90">
        <w:rPr>
          <w:rFonts w:ascii="仿宋_GB2312" w:eastAsia="仿宋_GB2312" w:hint="eastAsia"/>
          <w:color w:val="000000" w:themeColor="text1"/>
          <w:sz w:val="32"/>
          <w:szCs w:val="32"/>
        </w:rPr>
        <w:t>依据Co-HTC 反应的热力学要求</w:t>
      </w:r>
      <w:r w:rsidR="008E28B3">
        <w:rPr>
          <w:rFonts w:ascii="仿宋_GB2312" w:eastAsia="仿宋_GB2312" w:hint="eastAsia"/>
          <w:color w:val="000000" w:themeColor="text1"/>
          <w:sz w:val="32"/>
          <w:szCs w:val="32"/>
        </w:rPr>
        <w:t>确定。</w:t>
      </w:r>
      <w:r w:rsidR="008E28B3" w:rsidRPr="00341B90">
        <w:rPr>
          <w:rFonts w:ascii="仿宋_GB2312" w:eastAsia="仿宋_GB2312" w:hint="eastAsia"/>
          <w:color w:val="000000" w:themeColor="text1"/>
          <w:sz w:val="32"/>
          <w:szCs w:val="32"/>
        </w:rPr>
        <w:t>材质</w:t>
      </w:r>
      <w:r w:rsidR="008E28B3">
        <w:rPr>
          <w:rFonts w:ascii="仿宋_GB2312" w:eastAsia="仿宋_GB2312" w:hint="eastAsia"/>
          <w:color w:val="000000" w:themeColor="text1"/>
          <w:sz w:val="32"/>
          <w:szCs w:val="32"/>
        </w:rPr>
        <w:t>选用</w:t>
      </w:r>
      <w:r w:rsidR="008E28B3" w:rsidRPr="00341B90">
        <w:rPr>
          <w:rFonts w:ascii="仿宋_GB2312" w:eastAsia="仿宋_GB2312" w:hint="eastAsia"/>
          <w:color w:val="000000" w:themeColor="text1"/>
          <w:sz w:val="32"/>
          <w:szCs w:val="32"/>
        </w:rPr>
        <w:t>（不锈钢</w:t>
      </w:r>
      <w:r w:rsidR="008E28B3">
        <w:rPr>
          <w:rFonts w:ascii="仿宋_GB2312" w:eastAsia="仿宋_GB2312" w:hint="eastAsia"/>
          <w:color w:val="000000" w:themeColor="text1"/>
          <w:sz w:val="32"/>
          <w:szCs w:val="32"/>
        </w:rPr>
        <w:t>/2205</w:t>
      </w:r>
      <w:r w:rsidR="008E28B3" w:rsidRPr="00341B90">
        <w:rPr>
          <w:rFonts w:ascii="仿宋_GB2312" w:eastAsia="仿宋_GB2312" w:hint="eastAsia"/>
          <w:color w:val="000000" w:themeColor="text1"/>
          <w:sz w:val="32"/>
          <w:szCs w:val="32"/>
        </w:rPr>
        <w:t>双相钢）</w:t>
      </w:r>
      <w:r w:rsidR="008E28B3">
        <w:rPr>
          <w:rFonts w:ascii="仿宋_GB2312" w:eastAsia="仿宋_GB2312" w:hint="eastAsia"/>
          <w:color w:val="000000" w:themeColor="text1"/>
          <w:sz w:val="32"/>
          <w:szCs w:val="32"/>
        </w:rPr>
        <w:t>，</w:t>
      </w:r>
      <w:r w:rsidR="008E28B3" w:rsidRPr="00341B90">
        <w:rPr>
          <w:rFonts w:ascii="仿宋_GB2312" w:eastAsia="仿宋_GB2312" w:hint="eastAsia"/>
          <w:color w:val="000000" w:themeColor="text1"/>
          <w:sz w:val="32"/>
          <w:szCs w:val="32"/>
        </w:rPr>
        <w:t>耐高温≥280℃，高于反应温度 180℃，预留安全余量</w:t>
      </w:r>
      <w:r w:rsidR="008E28B3">
        <w:rPr>
          <w:rFonts w:ascii="仿宋_GB2312" w:eastAsia="仿宋_GB2312" w:hint="eastAsia"/>
          <w:color w:val="000000" w:themeColor="text1"/>
          <w:sz w:val="32"/>
          <w:szCs w:val="32"/>
        </w:rPr>
        <w:t>、耐高压</w:t>
      </w:r>
      <w:r w:rsidR="008E28B3" w:rsidRPr="00341B90">
        <w:rPr>
          <w:rFonts w:ascii="仿宋_GB2312" w:eastAsia="仿宋_GB2312" w:hint="eastAsia"/>
          <w:color w:val="000000" w:themeColor="text1"/>
          <w:sz w:val="32"/>
          <w:szCs w:val="32"/>
        </w:rPr>
        <w:t>≥5.0MPa，高于工作压力，且耐腐蚀（应对浆料碱性环境）；加热方式</w:t>
      </w:r>
      <w:r w:rsidR="008E28B3">
        <w:rPr>
          <w:rFonts w:ascii="仿宋_GB2312" w:eastAsia="仿宋_GB2312" w:hint="eastAsia"/>
          <w:color w:val="000000" w:themeColor="text1"/>
          <w:sz w:val="32"/>
          <w:szCs w:val="32"/>
        </w:rPr>
        <w:t>采用</w:t>
      </w:r>
      <w:r w:rsidR="008E28B3" w:rsidRPr="00341B90">
        <w:rPr>
          <w:rFonts w:ascii="仿宋_GB2312" w:eastAsia="仿宋_GB2312" w:hint="eastAsia"/>
          <w:color w:val="000000" w:themeColor="text1"/>
          <w:sz w:val="32"/>
          <w:szCs w:val="32"/>
        </w:rPr>
        <w:t>夹套</w:t>
      </w:r>
      <w:r w:rsidR="008E28B3">
        <w:rPr>
          <w:rFonts w:ascii="仿宋_GB2312" w:eastAsia="仿宋_GB2312" w:hint="eastAsia"/>
          <w:color w:val="000000" w:themeColor="text1"/>
          <w:sz w:val="32"/>
          <w:szCs w:val="32"/>
        </w:rPr>
        <w:t>或</w:t>
      </w:r>
      <w:r w:rsidR="008E28B3" w:rsidRPr="00341B90">
        <w:rPr>
          <w:rFonts w:ascii="仿宋_GB2312" w:eastAsia="仿宋_GB2312" w:hint="eastAsia"/>
          <w:color w:val="000000" w:themeColor="text1"/>
          <w:sz w:val="32"/>
          <w:szCs w:val="32"/>
        </w:rPr>
        <w:t>内置盘管</w:t>
      </w:r>
      <w:r w:rsidR="008E28B3">
        <w:rPr>
          <w:rFonts w:ascii="仿宋_GB2312" w:eastAsia="仿宋_GB2312" w:hint="eastAsia"/>
          <w:color w:val="000000" w:themeColor="text1"/>
          <w:sz w:val="32"/>
          <w:szCs w:val="32"/>
        </w:rPr>
        <w:t>以</w:t>
      </w:r>
      <w:r w:rsidR="008E28B3" w:rsidRPr="00341B90">
        <w:rPr>
          <w:rFonts w:ascii="仿宋_GB2312" w:eastAsia="仿宋_GB2312" w:hint="eastAsia"/>
          <w:color w:val="000000" w:themeColor="text1"/>
          <w:sz w:val="32"/>
          <w:szCs w:val="32"/>
        </w:rPr>
        <w:t>均匀传递热量，确保反应体系温度稳定，避免局部过热；实时控制反应温度（180℃）和压力（2-4MPa），这是 Co-HTC 反应的核心参数，直接影响生物炭和液体肥的产量与品质</w:t>
      </w:r>
    </w:p>
    <w:p w14:paraId="7639DC14" w14:textId="1DC652C8" w:rsidR="00B32172" w:rsidRPr="00341B90" w:rsidRDefault="00572AB8" w:rsidP="00341B9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3.固液</w:t>
      </w:r>
      <w:r>
        <w:rPr>
          <w:rFonts w:ascii="仿宋_GB2312" w:eastAsia="仿宋_GB2312"/>
          <w:color w:val="000000" w:themeColor="text1"/>
          <w:sz w:val="32"/>
          <w:szCs w:val="32"/>
        </w:rPr>
        <w:t>分离系统</w:t>
      </w:r>
    </w:p>
    <w:p w14:paraId="3D805455" w14:textId="0C19EB5A" w:rsidR="00B32172" w:rsidRPr="00341B90" w:rsidRDefault="00572AB8" w:rsidP="00572AB8">
      <w:pPr>
        <w:spacing w:line="520" w:lineRule="exact"/>
        <w:ind w:firstLineChars="200" w:firstLine="640"/>
        <w:rPr>
          <w:rFonts w:ascii="仿宋_GB2312" w:eastAsia="仿宋_GB2312"/>
          <w:color w:val="000000" w:themeColor="text1"/>
          <w:sz w:val="32"/>
          <w:szCs w:val="32"/>
        </w:rPr>
      </w:pPr>
      <w:r w:rsidRPr="00572AB8">
        <w:rPr>
          <w:rFonts w:ascii="仿宋_GB2312" w:eastAsia="仿宋_GB2312" w:hint="eastAsia"/>
          <w:color w:val="000000" w:themeColor="text1"/>
          <w:sz w:val="32"/>
          <w:szCs w:val="32"/>
        </w:rPr>
        <w:t>厢式</w:t>
      </w:r>
      <w:r>
        <w:rPr>
          <w:rFonts w:ascii="仿宋_GB2312" w:eastAsia="仿宋_GB2312" w:hint="eastAsia"/>
          <w:color w:val="000000" w:themeColor="text1"/>
          <w:sz w:val="32"/>
          <w:szCs w:val="32"/>
        </w:rPr>
        <w:t>/</w:t>
      </w:r>
      <w:r w:rsidRPr="00572AB8">
        <w:rPr>
          <w:rFonts w:ascii="仿宋_GB2312" w:eastAsia="仿宋_GB2312" w:hint="eastAsia"/>
          <w:color w:val="000000" w:themeColor="text1"/>
          <w:sz w:val="32"/>
          <w:szCs w:val="32"/>
        </w:rPr>
        <w:t>隔膜式板框压滤机适合高黏度物料的固液分离，分离效率高、滤饼含水率稳定，优于其他分离设备（如离心分离机，对纤维类物料分</w:t>
      </w:r>
      <w:r w:rsidRPr="00572AB8">
        <w:rPr>
          <w:rFonts w:ascii="Times New Roman" w:eastAsia="仿宋_GB2312" w:hAnsi="Times New Roman" w:cs="Times New Roman"/>
          <w:color w:val="000000" w:themeColor="text1"/>
          <w:sz w:val="32"/>
          <w:szCs w:val="32"/>
        </w:rPr>
        <w:t>离效果较差）；单次处理能力</w:t>
      </w:r>
      <w:r>
        <w:rPr>
          <w:rFonts w:ascii="Times New Roman" w:eastAsia="仿宋_GB2312" w:hAnsi="Times New Roman" w:cs="Times New Roman"/>
          <w:color w:val="000000" w:themeColor="text1"/>
          <w:sz w:val="32"/>
          <w:szCs w:val="32"/>
        </w:rPr>
        <w:t>≥8m³</w:t>
      </w:r>
      <w:r w:rsidRPr="00572AB8">
        <w:rPr>
          <w:rFonts w:ascii="Times New Roman" w:eastAsia="仿宋_GB2312" w:hAnsi="Times New Roman" w:cs="Times New Roman"/>
          <w:color w:val="000000" w:themeColor="text1"/>
          <w:sz w:val="32"/>
          <w:szCs w:val="32"/>
        </w:rPr>
        <w:t>湿物料，匹配</w:t>
      </w:r>
      <w:r w:rsidRPr="00572AB8">
        <w:rPr>
          <w:rFonts w:ascii="Times New Roman" w:eastAsia="仿宋_GB2312" w:hAnsi="Times New Roman" w:cs="Times New Roman"/>
          <w:color w:val="000000" w:themeColor="text1"/>
          <w:sz w:val="32"/>
          <w:szCs w:val="32"/>
        </w:rPr>
        <w:lastRenderedPageBreak/>
        <w:t>反应釜单批次出料量，确保分离环节与反应环节产能衔接；生物炭含水率</w:t>
      </w:r>
      <w:r w:rsidRPr="00572AB8">
        <w:rPr>
          <w:rFonts w:ascii="Times New Roman" w:eastAsia="仿宋_GB2312" w:hAnsi="Times New Roman" w:cs="Times New Roman"/>
          <w:color w:val="000000" w:themeColor="text1"/>
          <w:sz w:val="32"/>
          <w:szCs w:val="32"/>
        </w:rPr>
        <w:t>50-60%</w:t>
      </w:r>
      <w:r w:rsidRPr="00572AB8">
        <w:rPr>
          <w:rFonts w:ascii="仿宋_GB2312" w:eastAsia="仿宋_GB2312" w:hint="eastAsia"/>
          <w:color w:val="000000" w:themeColor="text1"/>
          <w:sz w:val="32"/>
          <w:szCs w:val="32"/>
        </w:rPr>
        <w:t>既避免湿度过高导致霉变，又不会因过干导致冷却过程中扬尘，同时便于后续加工（如烘干、成型）。</w:t>
      </w:r>
    </w:p>
    <w:p w14:paraId="662B0769" w14:textId="1BBA3C4B" w:rsidR="00B32172" w:rsidRDefault="00DF4F6A" w:rsidP="00341B9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4.</w:t>
      </w:r>
      <w:r w:rsidRPr="00DF4F6A">
        <w:rPr>
          <w:rFonts w:ascii="仿宋_GB2312" w:eastAsia="仿宋_GB2312" w:hint="eastAsia"/>
          <w:color w:val="000000" w:themeColor="text1"/>
          <w:sz w:val="32"/>
          <w:szCs w:val="32"/>
        </w:rPr>
        <w:t>产品后处理系统</w:t>
      </w:r>
    </w:p>
    <w:p w14:paraId="52A7C051" w14:textId="3911B25B" w:rsidR="00DF4F6A" w:rsidRPr="00DF4F6A" w:rsidRDefault="00BE78BC" w:rsidP="00DF4F6A">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2</w:t>
      </w:r>
      <w:r w:rsidR="00DF4F6A" w:rsidRPr="00DF4F6A">
        <w:rPr>
          <w:rFonts w:ascii="仿宋_GB2312" w:eastAsia="仿宋_GB2312" w:hint="eastAsia"/>
          <w:color w:val="000000" w:themeColor="text1"/>
          <w:sz w:val="32"/>
          <w:szCs w:val="32"/>
        </w:rPr>
        <w:t>个</w:t>
      </w:r>
      <w:r w:rsidR="00DF4F6A" w:rsidRPr="00BE78BC">
        <w:rPr>
          <w:rFonts w:ascii="Times New Roman" w:eastAsia="仿宋_GB2312" w:hAnsi="Times New Roman" w:cs="Times New Roman"/>
          <w:color w:val="000000" w:themeColor="text1"/>
          <w:sz w:val="32"/>
          <w:szCs w:val="32"/>
        </w:rPr>
        <w:t>10m³</w:t>
      </w:r>
      <w:r w:rsidR="00DF4F6A" w:rsidRPr="00DF4F6A">
        <w:rPr>
          <w:rFonts w:ascii="仿宋_GB2312" w:eastAsia="仿宋_GB2312" w:hint="eastAsia"/>
          <w:color w:val="000000" w:themeColor="text1"/>
          <w:sz w:val="32"/>
          <w:szCs w:val="32"/>
        </w:rPr>
        <w:t>罐可交替使用，满足连续生产需求，搅拌功能确保中和反应均匀、元素混合充分，玻璃钢</w:t>
      </w:r>
      <w:r>
        <w:rPr>
          <w:rFonts w:ascii="仿宋_GB2312" w:eastAsia="仿宋_GB2312" w:hint="eastAsia"/>
          <w:color w:val="000000" w:themeColor="text1"/>
          <w:sz w:val="32"/>
          <w:szCs w:val="32"/>
        </w:rPr>
        <w:t>/</w:t>
      </w:r>
      <w:r w:rsidR="00DF4F6A">
        <w:rPr>
          <w:rFonts w:ascii="仿宋_GB2312" w:eastAsia="仿宋_GB2312" w:hint="eastAsia"/>
          <w:color w:val="000000" w:themeColor="text1"/>
          <w:sz w:val="32"/>
          <w:szCs w:val="32"/>
        </w:rPr>
        <w:t>不锈钢材质耐腐蚀应对酸碱调节过程；设置</w:t>
      </w:r>
      <w:r w:rsidR="00DF4F6A" w:rsidRPr="00DF4F6A">
        <w:rPr>
          <w:rFonts w:ascii="仿宋_GB2312" w:eastAsia="仿宋_GB2312" w:hint="eastAsia"/>
          <w:color w:val="000000" w:themeColor="text1"/>
          <w:sz w:val="32"/>
          <w:szCs w:val="32"/>
        </w:rPr>
        <w:t>过滤精度≤0.2μm</w:t>
      </w:r>
      <w:r w:rsidR="00DF4F6A">
        <w:rPr>
          <w:rFonts w:ascii="仿宋_GB2312" w:eastAsia="仿宋_GB2312" w:hint="eastAsia"/>
          <w:color w:val="000000" w:themeColor="text1"/>
          <w:sz w:val="32"/>
          <w:szCs w:val="32"/>
        </w:rPr>
        <w:t>是为了</w:t>
      </w:r>
      <w:r w:rsidR="00DF4F6A" w:rsidRPr="00DF4F6A">
        <w:rPr>
          <w:rFonts w:ascii="仿宋_GB2312" w:eastAsia="仿宋_GB2312" w:hint="eastAsia"/>
          <w:color w:val="000000" w:themeColor="text1"/>
          <w:sz w:val="32"/>
          <w:szCs w:val="32"/>
        </w:rPr>
        <w:t>去除液体肥中微小悬浮颗粒，避免堵塞滴灌管线（尤其是</w:t>
      </w:r>
      <w:r>
        <w:rPr>
          <w:rFonts w:ascii="仿宋_GB2312" w:eastAsia="仿宋_GB2312" w:hint="eastAsia"/>
          <w:color w:val="000000" w:themeColor="text1"/>
          <w:sz w:val="32"/>
          <w:szCs w:val="32"/>
        </w:rPr>
        <w:t>120</w:t>
      </w:r>
      <w:r w:rsidR="00DF4F6A" w:rsidRPr="00DF4F6A">
        <w:rPr>
          <w:rFonts w:ascii="仿宋_GB2312" w:eastAsia="仿宋_GB2312" w:hint="eastAsia"/>
          <w:color w:val="000000" w:themeColor="text1"/>
          <w:sz w:val="32"/>
          <w:szCs w:val="32"/>
        </w:rPr>
        <w:t>目以上过滤器前端的精细滴灌设备），同时提升液体肥纯度，减少杂质对作物的影响</w:t>
      </w:r>
      <w:r w:rsidR="00DF4F6A">
        <w:rPr>
          <w:rFonts w:ascii="仿宋_GB2312" w:eastAsia="仿宋_GB2312" w:hint="eastAsia"/>
          <w:color w:val="000000" w:themeColor="text1"/>
          <w:sz w:val="32"/>
          <w:szCs w:val="32"/>
        </w:rPr>
        <w:t>。</w:t>
      </w:r>
    </w:p>
    <w:p w14:paraId="3F6C45DA" w14:textId="33AC7439" w:rsidR="000F0298" w:rsidRPr="00AE6CFF" w:rsidRDefault="000F0298" w:rsidP="000F029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E6CFF">
        <w:rPr>
          <w:rFonts w:ascii="Times New Roman" w:eastAsia="楷体" w:hAnsi="Times New Roman" w:cs="Times New Roman" w:hint="eastAsia"/>
          <w:b/>
          <w:bCs/>
          <w:color w:val="000000" w:themeColor="text1"/>
          <w:kern w:val="0"/>
          <w:sz w:val="32"/>
          <w:szCs w:val="32"/>
        </w:rPr>
        <w:t>（</w:t>
      </w:r>
      <w:r>
        <w:rPr>
          <w:rFonts w:ascii="Times New Roman" w:eastAsia="楷体" w:hAnsi="Times New Roman" w:cs="Times New Roman" w:hint="eastAsia"/>
          <w:b/>
          <w:bCs/>
          <w:color w:val="000000" w:themeColor="text1"/>
          <w:kern w:val="0"/>
          <w:sz w:val="32"/>
          <w:szCs w:val="32"/>
        </w:rPr>
        <w:t>三</w:t>
      </w:r>
      <w:r w:rsidRPr="00AE6CFF">
        <w:rPr>
          <w:rFonts w:ascii="Times New Roman" w:eastAsia="楷体" w:hAnsi="Times New Roman" w:cs="Times New Roman" w:hint="eastAsia"/>
          <w:b/>
          <w:bCs/>
          <w:color w:val="000000" w:themeColor="text1"/>
          <w:kern w:val="0"/>
          <w:sz w:val="32"/>
          <w:szCs w:val="32"/>
        </w:rPr>
        <w:t>）</w:t>
      </w:r>
      <w:r>
        <w:rPr>
          <w:rFonts w:ascii="Times New Roman" w:eastAsia="楷体" w:hAnsi="Times New Roman" w:cs="Times New Roman" w:hint="eastAsia"/>
          <w:b/>
          <w:bCs/>
          <w:color w:val="000000" w:themeColor="text1"/>
          <w:kern w:val="0"/>
          <w:sz w:val="32"/>
          <w:szCs w:val="32"/>
        </w:rPr>
        <w:t>工艺要求</w:t>
      </w:r>
    </w:p>
    <w:p w14:paraId="4FDCBECB" w14:textId="365E9D12" w:rsidR="00DF4F6A" w:rsidRPr="000F0298" w:rsidRDefault="000F0298" w:rsidP="00DF4F6A">
      <w:pPr>
        <w:spacing w:line="520" w:lineRule="exact"/>
        <w:ind w:firstLineChars="200" w:firstLine="640"/>
        <w:rPr>
          <w:rFonts w:ascii="仿宋_GB2312" w:eastAsia="仿宋_GB2312"/>
          <w:color w:val="000000" w:themeColor="text1"/>
          <w:sz w:val="32"/>
          <w:szCs w:val="32"/>
        </w:rPr>
      </w:pPr>
      <w:r w:rsidRPr="000F0298">
        <w:rPr>
          <w:rFonts w:ascii="仿宋_GB2312" w:eastAsia="仿宋_GB2312" w:hint="eastAsia"/>
          <w:color w:val="000000" w:themeColor="text1"/>
          <w:sz w:val="32"/>
          <w:szCs w:val="32"/>
        </w:rPr>
        <w:t>明确“备料</w:t>
      </w:r>
      <w:r>
        <w:rPr>
          <w:rFonts w:ascii="仿宋_GB2312" w:eastAsia="仿宋_GB2312" w:hint="eastAsia"/>
          <w:color w:val="000000" w:themeColor="text1"/>
          <w:sz w:val="32"/>
          <w:szCs w:val="32"/>
        </w:rPr>
        <w:t>-</w:t>
      </w:r>
      <w:r w:rsidRPr="000F0298">
        <w:rPr>
          <w:rFonts w:ascii="仿宋_GB2312" w:eastAsia="仿宋_GB2312" w:hint="eastAsia"/>
          <w:color w:val="000000" w:themeColor="text1"/>
          <w:sz w:val="32"/>
          <w:szCs w:val="32"/>
        </w:rPr>
        <w:t>升温</w:t>
      </w:r>
      <w:r>
        <w:rPr>
          <w:rFonts w:ascii="仿宋_GB2312" w:eastAsia="仿宋_GB2312" w:hint="eastAsia"/>
          <w:color w:val="000000" w:themeColor="text1"/>
          <w:sz w:val="32"/>
          <w:szCs w:val="32"/>
        </w:rPr>
        <w:t>-</w:t>
      </w:r>
      <w:r w:rsidRPr="000F0298">
        <w:rPr>
          <w:rFonts w:ascii="仿宋_GB2312" w:eastAsia="仿宋_GB2312" w:hint="eastAsia"/>
          <w:color w:val="000000" w:themeColor="text1"/>
          <w:sz w:val="32"/>
          <w:szCs w:val="32"/>
        </w:rPr>
        <w:t>降温</w:t>
      </w:r>
      <w:r>
        <w:rPr>
          <w:rFonts w:ascii="仿宋_GB2312" w:eastAsia="仿宋_GB2312" w:hint="eastAsia"/>
          <w:color w:val="000000" w:themeColor="text1"/>
          <w:sz w:val="32"/>
          <w:szCs w:val="32"/>
        </w:rPr>
        <w:t>-</w:t>
      </w:r>
      <w:r w:rsidRPr="000F0298">
        <w:rPr>
          <w:rFonts w:ascii="仿宋_GB2312" w:eastAsia="仿宋_GB2312" w:hint="eastAsia"/>
          <w:color w:val="000000" w:themeColor="text1"/>
          <w:sz w:val="32"/>
          <w:szCs w:val="32"/>
        </w:rPr>
        <w:t>分离”各环节的关键参数（配比、温度、压力、时间），确保</w:t>
      </w:r>
      <w:r>
        <w:rPr>
          <w:rFonts w:ascii="仿宋_GB2312" w:eastAsia="仿宋_GB2312" w:hint="eastAsia"/>
          <w:color w:val="000000" w:themeColor="text1"/>
          <w:sz w:val="32"/>
          <w:szCs w:val="32"/>
        </w:rPr>
        <w:t>Co-HTC</w:t>
      </w:r>
      <w:r w:rsidRPr="000F0298">
        <w:rPr>
          <w:rFonts w:ascii="仿宋_GB2312" w:eastAsia="仿宋_GB2312" w:hint="eastAsia"/>
          <w:color w:val="000000" w:themeColor="text1"/>
          <w:sz w:val="32"/>
          <w:szCs w:val="32"/>
        </w:rPr>
        <w:t>反应充分、产物稳定，同时满足后续应用（液体肥 pH、生物炭含水率）和环保排放要求。</w:t>
      </w:r>
    </w:p>
    <w:p w14:paraId="40D9BB57" w14:textId="45E7CDE5" w:rsidR="00DF4F6A" w:rsidRPr="00DF4F6A" w:rsidRDefault="000F0298" w:rsidP="00DF4F6A">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1.备料</w:t>
      </w:r>
      <w:r>
        <w:rPr>
          <w:rFonts w:ascii="仿宋_GB2312" w:eastAsia="仿宋_GB2312"/>
          <w:color w:val="000000" w:themeColor="text1"/>
          <w:sz w:val="32"/>
          <w:szCs w:val="32"/>
        </w:rPr>
        <w:t>与混合</w:t>
      </w:r>
    </w:p>
    <w:p w14:paraId="0E8630DB" w14:textId="5C373E80" w:rsidR="00DF4F6A" w:rsidRPr="00DF4F6A" w:rsidRDefault="000F0298" w:rsidP="000F0298">
      <w:pPr>
        <w:spacing w:line="520" w:lineRule="exact"/>
        <w:ind w:firstLineChars="200" w:firstLine="640"/>
        <w:rPr>
          <w:rFonts w:ascii="仿宋_GB2312" w:eastAsia="仿宋_GB2312"/>
          <w:color w:val="000000" w:themeColor="text1"/>
          <w:sz w:val="32"/>
          <w:szCs w:val="32"/>
        </w:rPr>
      </w:pPr>
      <w:r w:rsidRPr="000F0298">
        <w:rPr>
          <w:rFonts w:ascii="仿宋_GB2312" w:eastAsia="仿宋_GB2312" w:hint="eastAsia"/>
          <w:color w:val="000000" w:themeColor="text1"/>
          <w:sz w:val="32"/>
          <w:szCs w:val="32"/>
        </w:rPr>
        <w:t>畜禽粪污 5t（含水率 80%，干物质 1t）+ 干蔗叶粉 0.25t：确保干基物料比 4:1，该配比经实验验证可平衡反应效率与产品品质（粪污提供氮、磷等营养元素，蔗叶提供纤维增强生物炭结构）</w:t>
      </w:r>
      <w:r>
        <w:rPr>
          <w:rFonts w:ascii="仿宋_GB2312" w:eastAsia="仿宋_GB2312" w:hint="eastAsia"/>
          <w:color w:val="000000" w:themeColor="text1"/>
          <w:sz w:val="32"/>
          <w:szCs w:val="32"/>
        </w:rPr>
        <w:t>。</w:t>
      </w:r>
      <w:r w:rsidRPr="000F0298">
        <w:rPr>
          <w:rFonts w:ascii="仿宋_GB2312" w:eastAsia="仿宋_GB2312" w:hint="eastAsia"/>
          <w:color w:val="000000" w:themeColor="text1"/>
          <w:sz w:val="32"/>
          <w:szCs w:val="32"/>
        </w:rPr>
        <w:t>pH 值 8.0-10.0碱性环境可促进纤维素水解和碳化反应，抑制挥发性有机物产生，该范围为实验优化的最佳 pH 区间。氢氧化钙（熟石灰）是碱性调节剂中成本低、效果稳定的选择，且不会引入有害杂质，20kg 添加量为针对常规粪污初始 pH（6.5-7.5）的优化值，可快速将 pH 调节至目标范围。</w:t>
      </w:r>
    </w:p>
    <w:p w14:paraId="180F5FB4" w14:textId="478E6E2E" w:rsidR="00DF4F6A" w:rsidRPr="00DF4F6A" w:rsidRDefault="000F0298" w:rsidP="00DF4F6A">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2.进料</w:t>
      </w:r>
      <w:r>
        <w:rPr>
          <w:rFonts w:ascii="仿宋_GB2312" w:eastAsia="仿宋_GB2312"/>
          <w:color w:val="000000" w:themeColor="text1"/>
          <w:sz w:val="32"/>
          <w:szCs w:val="32"/>
        </w:rPr>
        <w:t>与升温</w:t>
      </w:r>
    </w:p>
    <w:p w14:paraId="5AC4D67B" w14:textId="129F2D49" w:rsidR="00DF4F6A" w:rsidRPr="00DF4F6A" w:rsidRDefault="000F0298" w:rsidP="000F0298">
      <w:pPr>
        <w:spacing w:line="520" w:lineRule="exact"/>
        <w:ind w:firstLineChars="200" w:firstLine="640"/>
        <w:rPr>
          <w:rFonts w:ascii="仿宋_GB2312" w:eastAsia="仿宋_GB2312"/>
          <w:color w:val="000000" w:themeColor="text1"/>
          <w:sz w:val="32"/>
          <w:szCs w:val="32"/>
        </w:rPr>
      </w:pPr>
      <w:r w:rsidRPr="000F0298">
        <w:rPr>
          <w:rFonts w:ascii="仿宋_GB2312" w:eastAsia="仿宋_GB2312" w:hint="eastAsia"/>
          <w:color w:val="000000" w:themeColor="text1"/>
          <w:sz w:val="32"/>
          <w:szCs w:val="32"/>
        </w:rPr>
        <w:t>升温速率 2.5-3.0℃/min、升温时长 70-80min：升温过快会导致物料局部过热碳化不均，过慢则增加能耗和生产周期，该速率可确保物料均匀升温；反应温度 180℃、恒温 120-180min、</w:t>
      </w:r>
      <w:r w:rsidRPr="000F0298">
        <w:rPr>
          <w:rFonts w:ascii="仿宋_GB2312" w:eastAsia="仿宋_GB2312" w:hint="eastAsia"/>
          <w:color w:val="000000" w:themeColor="text1"/>
          <w:sz w:val="32"/>
          <w:szCs w:val="32"/>
        </w:rPr>
        <w:lastRenderedPageBreak/>
        <w:t>压力 2-4MPa：经实验验证，该温度压力条件下，畜禽粪污与蔗叶的有机组分可充分碳化生成生物炭，同时释放营养元素到液体中，恒温时间确保反应完全</w:t>
      </w:r>
      <w:r w:rsidR="004B599D">
        <w:rPr>
          <w:rFonts w:ascii="仿宋_GB2312" w:eastAsia="仿宋_GB2312" w:hint="eastAsia"/>
          <w:color w:val="000000" w:themeColor="text1"/>
          <w:sz w:val="32"/>
          <w:szCs w:val="32"/>
        </w:rPr>
        <w:t>。</w:t>
      </w:r>
    </w:p>
    <w:p w14:paraId="67BAF3B9" w14:textId="157EA0C8" w:rsidR="00DF4F6A" w:rsidRPr="00DF4F6A" w:rsidRDefault="004B599D" w:rsidP="00DF4F6A">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3.</w:t>
      </w:r>
      <w:r w:rsidRPr="004B599D">
        <w:rPr>
          <w:rFonts w:ascii="仿宋_GB2312" w:eastAsia="仿宋_GB2312" w:hint="eastAsia"/>
          <w:color w:val="000000" w:themeColor="text1"/>
          <w:sz w:val="32"/>
          <w:szCs w:val="32"/>
        </w:rPr>
        <w:t>降温与出料</w:t>
      </w:r>
    </w:p>
    <w:p w14:paraId="70A13F63" w14:textId="646BBCE6" w:rsidR="00DF4F6A" w:rsidRPr="004B599D" w:rsidRDefault="007B0BAE" w:rsidP="007B0BAE">
      <w:pPr>
        <w:spacing w:line="520" w:lineRule="exact"/>
        <w:ind w:firstLineChars="200" w:firstLine="640"/>
        <w:rPr>
          <w:rFonts w:ascii="仿宋_GB2312" w:eastAsia="仿宋_GB2312"/>
          <w:color w:val="000000" w:themeColor="text1"/>
          <w:sz w:val="32"/>
          <w:szCs w:val="32"/>
        </w:rPr>
      </w:pPr>
      <w:r w:rsidRPr="007B0BAE">
        <w:rPr>
          <w:rFonts w:ascii="仿宋_GB2312" w:eastAsia="仿宋_GB2312" w:hint="eastAsia"/>
          <w:color w:val="000000" w:themeColor="text1"/>
          <w:sz w:val="32"/>
          <w:szCs w:val="32"/>
        </w:rPr>
        <w:t>降温速率 2.0-2.5℃/min、降温时长 60-70min：降温过快会导致反应釜因热胀冷缩产生应力损伤，过慢则延长生产周期；温度降至 80℃以下、压力接近零：避免高温出料引发烫伤、气体喷射等安全事故，同时降低后续压滤机的耐热负荷。</w:t>
      </w:r>
    </w:p>
    <w:p w14:paraId="64A93E76" w14:textId="0189C9DE" w:rsidR="004B599D" w:rsidRPr="007B0BAE" w:rsidRDefault="007B0BAE" w:rsidP="004B599D">
      <w:pPr>
        <w:spacing w:line="520" w:lineRule="exact"/>
        <w:ind w:firstLineChars="200" w:firstLine="640"/>
        <w:rPr>
          <w:rFonts w:ascii="仿宋_GB2312" w:eastAsia="仿宋_GB2312"/>
          <w:color w:val="000000" w:themeColor="text1"/>
          <w:sz w:val="32"/>
          <w:szCs w:val="32"/>
        </w:rPr>
      </w:pPr>
      <w:r w:rsidRPr="007B0BAE">
        <w:rPr>
          <w:rFonts w:ascii="仿宋_GB2312" w:eastAsia="仿宋_GB2312" w:hint="eastAsia"/>
          <w:color w:val="000000" w:themeColor="text1"/>
          <w:sz w:val="32"/>
          <w:szCs w:val="32"/>
        </w:rPr>
        <w:t>4</w:t>
      </w:r>
      <w:r>
        <w:rPr>
          <w:rFonts w:ascii="仿宋_GB2312" w:eastAsia="仿宋_GB2312"/>
          <w:color w:val="000000" w:themeColor="text1"/>
          <w:sz w:val="32"/>
          <w:szCs w:val="32"/>
        </w:rPr>
        <w:t>.</w:t>
      </w:r>
      <w:r w:rsidRPr="007B0BAE">
        <w:rPr>
          <w:rFonts w:ascii="仿宋_GB2312" w:eastAsia="仿宋_GB2312" w:hint="eastAsia"/>
          <w:color w:val="000000" w:themeColor="text1"/>
          <w:sz w:val="32"/>
          <w:szCs w:val="32"/>
        </w:rPr>
        <w:t>固液分离与产物处理</w:t>
      </w:r>
    </w:p>
    <w:p w14:paraId="78E91ACD" w14:textId="03303911" w:rsidR="004B599D" w:rsidRPr="004B599D" w:rsidRDefault="00920BCA" w:rsidP="00920BCA">
      <w:pPr>
        <w:spacing w:line="520" w:lineRule="exact"/>
        <w:ind w:firstLineChars="200" w:firstLine="640"/>
        <w:rPr>
          <w:rFonts w:ascii="仿宋_GB2312" w:eastAsia="仿宋_GB2312"/>
          <w:color w:val="000000" w:themeColor="text1"/>
          <w:sz w:val="32"/>
          <w:szCs w:val="32"/>
        </w:rPr>
      </w:pPr>
      <w:r w:rsidRPr="00920BCA">
        <w:rPr>
          <w:rFonts w:ascii="仿宋_GB2312" w:eastAsia="仿宋_GB2312" w:hint="eastAsia"/>
          <w:color w:val="000000" w:themeColor="text1"/>
          <w:sz w:val="32"/>
          <w:szCs w:val="32"/>
        </w:rPr>
        <w:t>甘蔗适宜生长的土壤</w:t>
      </w:r>
      <w:r>
        <w:rPr>
          <w:rFonts w:ascii="仿宋_GB2312" w:eastAsia="仿宋_GB2312" w:hint="eastAsia"/>
          <w:color w:val="000000" w:themeColor="text1"/>
          <w:sz w:val="32"/>
          <w:szCs w:val="32"/>
        </w:rPr>
        <w:t>pH</w:t>
      </w:r>
      <w:r w:rsidRPr="00920BCA">
        <w:rPr>
          <w:rFonts w:ascii="仿宋_GB2312" w:eastAsia="仿宋_GB2312" w:hint="eastAsia"/>
          <w:color w:val="000000" w:themeColor="text1"/>
          <w:sz w:val="32"/>
          <w:szCs w:val="32"/>
        </w:rPr>
        <w:t>为6.0-7.5，液体肥中和后避免酸碱度过高损伤作物根系；根据甘蔗需肥规律（如需钾、硅等），补充营养元素提升肥效</w:t>
      </w:r>
      <w:r>
        <w:rPr>
          <w:rFonts w:ascii="仿宋_GB2312" w:eastAsia="仿宋_GB2312" w:hint="eastAsia"/>
          <w:color w:val="000000" w:themeColor="text1"/>
          <w:sz w:val="32"/>
          <w:szCs w:val="32"/>
        </w:rPr>
        <w:t>；</w:t>
      </w:r>
      <w:r w:rsidRPr="00920BCA">
        <w:rPr>
          <w:rFonts w:ascii="仿宋_GB2312" w:eastAsia="仿宋_GB2312" w:hint="eastAsia"/>
          <w:color w:val="000000" w:themeColor="text1"/>
          <w:sz w:val="32"/>
          <w:szCs w:val="32"/>
        </w:rPr>
        <w:t>湿生物炭摊开冷却可避免堆积发热自燃，冷却后直接销售或加工（如成型、烘干），满足不同应用场景需求</w:t>
      </w:r>
      <w:r>
        <w:rPr>
          <w:rFonts w:ascii="仿宋_GB2312" w:eastAsia="仿宋_GB2312" w:hint="eastAsia"/>
          <w:color w:val="000000" w:themeColor="text1"/>
          <w:sz w:val="32"/>
          <w:szCs w:val="32"/>
        </w:rPr>
        <w:t>。</w:t>
      </w:r>
    </w:p>
    <w:p w14:paraId="339D5D98" w14:textId="039DCE2C" w:rsidR="00920BCA" w:rsidRPr="00AE6CFF" w:rsidRDefault="00920BCA" w:rsidP="00920BCA">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E6CFF">
        <w:rPr>
          <w:rFonts w:ascii="Times New Roman" w:eastAsia="楷体" w:hAnsi="Times New Roman" w:cs="Times New Roman" w:hint="eastAsia"/>
          <w:b/>
          <w:bCs/>
          <w:color w:val="000000" w:themeColor="text1"/>
          <w:kern w:val="0"/>
          <w:sz w:val="32"/>
          <w:szCs w:val="32"/>
        </w:rPr>
        <w:t>（</w:t>
      </w:r>
      <w:r>
        <w:rPr>
          <w:rFonts w:ascii="Times New Roman" w:eastAsia="楷体" w:hAnsi="Times New Roman" w:cs="Times New Roman" w:hint="eastAsia"/>
          <w:b/>
          <w:bCs/>
          <w:color w:val="000000" w:themeColor="text1"/>
          <w:kern w:val="0"/>
          <w:sz w:val="32"/>
          <w:szCs w:val="32"/>
        </w:rPr>
        <w:t>四</w:t>
      </w:r>
      <w:r w:rsidRPr="00AE6CFF">
        <w:rPr>
          <w:rFonts w:ascii="Times New Roman" w:eastAsia="楷体" w:hAnsi="Times New Roman" w:cs="Times New Roman" w:hint="eastAsia"/>
          <w:b/>
          <w:bCs/>
          <w:color w:val="000000" w:themeColor="text1"/>
          <w:kern w:val="0"/>
          <w:sz w:val="32"/>
          <w:szCs w:val="32"/>
        </w:rPr>
        <w:t>）</w:t>
      </w:r>
      <w:r>
        <w:rPr>
          <w:rFonts w:ascii="Times New Roman" w:eastAsia="楷体" w:hAnsi="Times New Roman" w:cs="Times New Roman" w:hint="eastAsia"/>
          <w:b/>
          <w:bCs/>
          <w:color w:val="000000" w:themeColor="text1"/>
          <w:kern w:val="0"/>
          <w:sz w:val="32"/>
          <w:szCs w:val="32"/>
        </w:rPr>
        <w:t>水肥</w:t>
      </w:r>
      <w:r>
        <w:rPr>
          <w:rFonts w:ascii="Times New Roman" w:eastAsia="楷体" w:hAnsi="Times New Roman" w:cs="Times New Roman"/>
          <w:b/>
          <w:bCs/>
          <w:color w:val="000000" w:themeColor="text1"/>
          <w:kern w:val="0"/>
          <w:sz w:val="32"/>
          <w:szCs w:val="32"/>
        </w:rPr>
        <w:t>一体化应用</w:t>
      </w:r>
    </w:p>
    <w:p w14:paraId="61DDE179" w14:textId="6267DD9D" w:rsidR="004B599D" w:rsidRPr="004B599D" w:rsidRDefault="003E6A61" w:rsidP="004B599D">
      <w:pPr>
        <w:spacing w:line="520" w:lineRule="exact"/>
        <w:ind w:firstLineChars="200" w:firstLine="640"/>
        <w:rPr>
          <w:rFonts w:ascii="仿宋_GB2312" w:eastAsia="仿宋_GB2312"/>
          <w:color w:val="000000" w:themeColor="text1"/>
          <w:sz w:val="32"/>
          <w:szCs w:val="32"/>
        </w:rPr>
      </w:pPr>
      <w:r w:rsidRPr="003E6A61">
        <w:rPr>
          <w:rFonts w:ascii="仿宋_GB2312" w:eastAsia="仿宋_GB2312" w:hint="eastAsia"/>
          <w:color w:val="000000" w:themeColor="text1"/>
          <w:sz w:val="32"/>
          <w:szCs w:val="32"/>
        </w:rPr>
        <w:t>基于甘蔗生长特性和水肥一体化技术</w:t>
      </w:r>
      <w:r>
        <w:rPr>
          <w:rFonts w:ascii="仿宋_GB2312" w:eastAsia="仿宋_GB2312" w:hint="eastAsia"/>
          <w:color w:val="000000" w:themeColor="text1"/>
          <w:sz w:val="32"/>
          <w:szCs w:val="32"/>
        </w:rPr>
        <w:t>的应用原理，明确液体肥的施用时期、方法、用量，确保肥料高效利用，减少浪费</w:t>
      </w:r>
      <w:r w:rsidRPr="003E6A61">
        <w:rPr>
          <w:rFonts w:ascii="仿宋_GB2312" w:eastAsia="仿宋_GB2312" w:hint="eastAsia"/>
          <w:color w:val="000000" w:themeColor="text1"/>
          <w:sz w:val="32"/>
          <w:szCs w:val="32"/>
        </w:rPr>
        <w:t>，同时避免环境污染</w:t>
      </w:r>
      <w:r w:rsidR="00A54545">
        <w:rPr>
          <w:rFonts w:ascii="仿宋_GB2312" w:eastAsia="仿宋_GB2312" w:hint="eastAsia"/>
          <w:color w:val="000000" w:themeColor="text1"/>
          <w:sz w:val="32"/>
          <w:szCs w:val="32"/>
        </w:rPr>
        <w:t>。</w:t>
      </w:r>
    </w:p>
    <w:p w14:paraId="0A2B7C3F" w14:textId="3C8B85B6" w:rsidR="00392FF0" w:rsidRPr="00392FF0"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t>施用前建议进行土壤肥力检测，了解土壤养分状况。</w:t>
      </w:r>
    </w:p>
    <w:p w14:paraId="414A30F6" w14:textId="3FD298B6" w:rsidR="00392FF0" w:rsidRPr="00392FF0"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t>施用时期：重点在甘蔗分蘖期、拔节伸长期等营养需求旺盛的关键阶段施用。</w:t>
      </w:r>
    </w:p>
    <w:p w14:paraId="5645306C" w14:textId="02DD96B1" w:rsidR="00392FF0" w:rsidRPr="00392FF0"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t>施用方法：</w:t>
      </w:r>
      <w:r>
        <w:rPr>
          <w:rFonts w:ascii="仿宋_GB2312" w:eastAsia="仿宋_GB2312" w:hint="eastAsia"/>
          <w:color w:val="000000" w:themeColor="text1"/>
          <w:sz w:val="32"/>
          <w:szCs w:val="32"/>
        </w:rPr>
        <w:t>全水溶肥料</w:t>
      </w:r>
      <w:r w:rsidRPr="00392FF0">
        <w:rPr>
          <w:rFonts w:ascii="仿宋_GB2312" w:eastAsia="仿宋_GB2312" w:hint="eastAsia"/>
          <w:color w:val="000000" w:themeColor="text1"/>
          <w:sz w:val="32"/>
          <w:szCs w:val="32"/>
        </w:rPr>
        <w:t>必须配合水肥一体化设施施用，首选高效节水灌溉模式。</w:t>
      </w:r>
    </w:p>
    <w:p w14:paraId="375F7E05" w14:textId="1A4F0FE2" w:rsidR="00392FF0" w:rsidRPr="00392FF0" w:rsidRDefault="00392FF0" w:rsidP="00392FF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w:t>
      </w:r>
      <w:r w:rsidRPr="00392FF0">
        <w:rPr>
          <w:rFonts w:ascii="仿宋_GB2312" w:eastAsia="仿宋_GB2312" w:hint="eastAsia"/>
          <w:color w:val="000000" w:themeColor="text1"/>
          <w:sz w:val="32"/>
          <w:szCs w:val="32"/>
        </w:rPr>
        <w:t>地埋式滴灌：为最优推荐方式。将滴灌管线埋设于甘蔗行间地下15-20cm处，可将水肥精准输送至根系密集层，最大限度减少地面蒸发损失和杂草滋生，水肥利用率可达90%以上。</w:t>
      </w:r>
    </w:p>
    <w:p w14:paraId="65725709" w14:textId="4F50EE71" w:rsidR="00392FF0" w:rsidRPr="00392FF0"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lastRenderedPageBreak/>
        <w:t>——膜下滴灌：对于采用地膜覆盖栽培的蔗田，可将滴灌带铺设于膜下，同样具备保温、保水、保肥、抑制杂草的综合效果。</w:t>
      </w:r>
    </w:p>
    <w:p w14:paraId="6E81F093" w14:textId="13E861AE" w:rsidR="00392FF0" w:rsidRPr="00392FF0"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t>——普通滴灌/微喷灌：在不具备地埋或覆膜条件的蔗田，可采用地表滴灌或微喷灌系统，但需注意选择在清晨或傍晚等蒸发量较小的时段进行施用。</w:t>
      </w:r>
    </w:p>
    <w:p w14:paraId="09F71E5C" w14:textId="50628A30" w:rsidR="00392FF0" w:rsidRPr="00392FF0"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t>注意事项：严禁采用大水漫灌、泼洒等传统方式，以免造成养分流失和浪费。施肥系统前端必须安装120目以上的过滤器，防止堵塞。</w:t>
      </w:r>
    </w:p>
    <w:p w14:paraId="685452B6" w14:textId="01B45F2B" w:rsidR="00392FF0" w:rsidRPr="00392FF0"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t>施用用量：结合测土结果，每次每亩推荐用量为15公斤液体肥原液，整个生长期施用18-22次。</w:t>
      </w:r>
    </w:p>
    <w:p w14:paraId="19CD61C7" w14:textId="011B1746" w:rsidR="004B599D" w:rsidRDefault="00392FF0" w:rsidP="00392FF0">
      <w:pPr>
        <w:spacing w:line="520" w:lineRule="exact"/>
        <w:ind w:firstLineChars="200" w:firstLine="640"/>
        <w:rPr>
          <w:rFonts w:ascii="仿宋_GB2312" w:eastAsia="仿宋_GB2312"/>
          <w:color w:val="000000" w:themeColor="text1"/>
          <w:sz w:val="32"/>
          <w:szCs w:val="32"/>
        </w:rPr>
      </w:pPr>
      <w:r w:rsidRPr="00392FF0">
        <w:rPr>
          <w:rFonts w:ascii="仿宋_GB2312" w:eastAsia="仿宋_GB2312" w:hint="eastAsia"/>
          <w:color w:val="000000" w:themeColor="text1"/>
          <w:sz w:val="32"/>
          <w:szCs w:val="32"/>
        </w:rPr>
        <w:t>协同施用：固体生物炭可在甘蔗下种或宿根蔗破垄时作为基肥沟施或穴施，推荐用量为每亩50-100公斤，能显著改良土壤物理结构，增强土壤缓冲能力。</w:t>
      </w:r>
    </w:p>
    <w:p w14:paraId="07589041" w14:textId="27C87AA4" w:rsidR="00392FF0" w:rsidRPr="00392FF0" w:rsidRDefault="00392FF0" w:rsidP="00392FF0">
      <w:pPr>
        <w:pStyle w:val="BodyText2"/>
        <w:spacing w:after="0"/>
        <w:jc w:val="center"/>
      </w:pPr>
      <w:r>
        <w:rPr>
          <w:rFonts w:ascii="Times New Roman" w:eastAsia="仿宋" w:hAnsi="Times New Roman"/>
          <w:noProof/>
        </w:rPr>
        <w:drawing>
          <wp:inline distT="0" distB="0" distL="0" distR="0" wp14:anchorId="5115B30E" wp14:editId="3E067CC0">
            <wp:extent cx="4597264" cy="2613545"/>
            <wp:effectExtent l="0" t="0" r="0" b="0"/>
            <wp:docPr id="58541699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416990" name="图片 585416990"/>
                    <pic:cNvPicPr/>
                  </pic:nvPicPr>
                  <pic:blipFill rotWithShape="1">
                    <a:blip r:embed="rId10">
                      <a:extLst>
                        <a:ext uri="{28A0092B-C50C-407E-A947-70E740481C1C}">
                          <a14:useLocalDpi xmlns:a14="http://schemas.microsoft.com/office/drawing/2010/main" val="0"/>
                        </a:ext>
                      </a:extLst>
                    </a:blip>
                    <a:srcRect t="20078" b="23072"/>
                    <a:stretch>
                      <a:fillRect/>
                    </a:stretch>
                  </pic:blipFill>
                  <pic:spPr bwMode="auto">
                    <a:xfrm>
                      <a:off x="0" y="0"/>
                      <a:ext cx="4705968" cy="2675343"/>
                    </a:xfrm>
                    <a:prstGeom prst="rect">
                      <a:avLst/>
                    </a:prstGeom>
                    <a:ln>
                      <a:noFill/>
                    </a:ln>
                    <a:extLst>
                      <a:ext uri="{53640926-AAD7-44D8-BBD7-CCE9431645EC}">
                        <a14:shadowObscured xmlns:a14="http://schemas.microsoft.com/office/drawing/2010/main"/>
                      </a:ext>
                    </a:extLst>
                  </pic:spPr>
                </pic:pic>
              </a:graphicData>
            </a:graphic>
          </wp:inline>
        </w:drawing>
      </w:r>
    </w:p>
    <w:p w14:paraId="08106F0E"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六、重大意见分歧的处理依据和结果</w:t>
      </w:r>
    </w:p>
    <w:p w14:paraId="798124BB"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本标准研制过程中无重大分歧意见。</w:t>
      </w:r>
    </w:p>
    <w:p w14:paraId="6A6B000F"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七、实施标准的措施</w:t>
      </w:r>
    </w:p>
    <w:p w14:paraId="25EE2F78"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（一）标准报批发布后，成立标准宣贯工作组</w:t>
      </w:r>
    </w:p>
    <w:p w14:paraId="3D9FD746"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3812799D"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（二）组织开展标准宣贯培训</w:t>
      </w:r>
    </w:p>
    <w:p w14:paraId="37D04611" w14:textId="358966C8" w:rsidR="00D634F2" w:rsidRDefault="008854C0">
      <w:pPr>
        <w:spacing w:line="520" w:lineRule="exact"/>
        <w:ind w:firstLineChars="200" w:firstLine="640"/>
        <w:rPr>
          <w:rFonts w:ascii="仿宋" w:eastAsia="仿宋" w:hAnsi="仿宋"/>
          <w:color w:val="000000" w:themeColor="text1"/>
          <w:sz w:val="32"/>
          <w:szCs w:val="32"/>
        </w:rPr>
      </w:pPr>
      <w:r>
        <w:rPr>
          <w:rFonts w:ascii="仿宋_GB2312" w:eastAsia="仿宋_GB2312" w:hint="eastAsia"/>
          <w:color w:val="000000" w:themeColor="text1"/>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促进</w:t>
      </w:r>
      <w:r w:rsidR="00B415A2" w:rsidRPr="00B415A2">
        <w:rPr>
          <w:rFonts w:ascii="仿宋_GB2312" w:eastAsia="仿宋_GB2312"/>
          <w:color w:val="000000" w:themeColor="text1"/>
          <w:sz w:val="32"/>
          <w:szCs w:val="32"/>
        </w:rPr>
        <w:t>种养循环</w:t>
      </w:r>
      <w:r w:rsidR="00B415A2">
        <w:rPr>
          <w:rFonts w:ascii="仿宋_GB2312" w:eastAsia="仿宋_GB2312" w:hint="eastAsia"/>
          <w:color w:val="000000" w:themeColor="text1"/>
          <w:sz w:val="32"/>
          <w:szCs w:val="32"/>
        </w:rPr>
        <w:t>业</w:t>
      </w:r>
      <w:r>
        <w:rPr>
          <w:rFonts w:ascii="仿宋_GB2312" w:eastAsia="仿宋_GB2312" w:hint="eastAsia"/>
          <w:color w:val="000000" w:themeColor="text1"/>
          <w:sz w:val="32"/>
          <w:szCs w:val="32"/>
        </w:rPr>
        <w:t>健康发展。</w:t>
      </w:r>
    </w:p>
    <w:p w14:paraId="4C1CBF56"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（三）开展标准实施交流会，收集标准实施反馈信息</w:t>
      </w:r>
    </w:p>
    <w:p w14:paraId="05E512D3" w14:textId="43D220ED"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标准起草小组深入各市县相关机构技术人员召开标准实施交流会，听取标准实施过程中存在的问题并做好记录和解答，对存在的问题组织专家团队进行研讨，为标准的复审修订做准备。</w:t>
      </w:r>
    </w:p>
    <w:p w14:paraId="400FCE31"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（四）开展标准实施效果评估</w:t>
      </w:r>
    </w:p>
    <w:p w14:paraId="396607B7"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1A42D020"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八、其他应当说明的事项</w:t>
      </w:r>
    </w:p>
    <w:p w14:paraId="10370A89"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无。</w:t>
      </w:r>
    </w:p>
    <w:p w14:paraId="36D45EF5" w14:textId="77777777" w:rsidR="00D634F2" w:rsidRDefault="00D634F2">
      <w:pPr>
        <w:pStyle w:val="-1"/>
        <w:rPr>
          <w:rFonts w:ascii="仿宋_GB2312" w:eastAsia="仿宋_GB2312"/>
          <w:color w:val="000000" w:themeColor="text1"/>
          <w:sz w:val="28"/>
          <w:szCs w:val="28"/>
        </w:rPr>
      </w:pPr>
    </w:p>
    <w:p w14:paraId="0C4BBABE" w14:textId="77777777" w:rsidR="00D634F2" w:rsidRDefault="00D634F2">
      <w:pPr>
        <w:pStyle w:val="-1"/>
        <w:rPr>
          <w:rFonts w:ascii="仿宋_GB2312" w:eastAsia="仿宋_GB2312"/>
          <w:color w:val="000000" w:themeColor="text1"/>
          <w:sz w:val="28"/>
          <w:szCs w:val="28"/>
        </w:rPr>
      </w:pPr>
    </w:p>
    <w:p w14:paraId="5047C76A" w14:textId="7FF25346" w:rsidR="00D634F2" w:rsidRDefault="008854C0">
      <w:pPr>
        <w:spacing w:line="520" w:lineRule="exact"/>
        <w:ind w:firstLineChars="200" w:firstLine="640"/>
        <w:jc w:val="righ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EF4AC3">
        <w:rPr>
          <w:rFonts w:ascii="仿宋_GB2312" w:eastAsia="仿宋_GB2312" w:hint="eastAsia"/>
          <w:color w:val="000000" w:themeColor="text1"/>
          <w:sz w:val="32"/>
          <w:szCs w:val="32"/>
        </w:rPr>
        <w:t>畜禽粪污与蔗叶协同资源化利用技术规范</w:t>
      </w:r>
      <w:r>
        <w:rPr>
          <w:rFonts w:ascii="仿宋_GB2312" w:eastAsia="仿宋_GB2312" w:hint="eastAsia"/>
          <w:color w:val="000000" w:themeColor="text1"/>
          <w:sz w:val="32"/>
          <w:szCs w:val="32"/>
        </w:rPr>
        <w:t>》</w:t>
      </w:r>
    </w:p>
    <w:p w14:paraId="6CBA16C8"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标准编制工作组</w:t>
      </w:r>
    </w:p>
    <w:p w14:paraId="3A08D85D" w14:textId="379B477D"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202</w:t>
      </w:r>
      <w:r>
        <w:rPr>
          <w:rFonts w:ascii="仿宋_GB2312" w:eastAsia="仿宋_GB2312"/>
          <w:color w:val="000000" w:themeColor="text1"/>
          <w:sz w:val="32"/>
          <w:szCs w:val="32"/>
        </w:rPr>
        <w:t>5</w:t>
      </w:r>
      <w:r>
        <w:rPr>
          <w:rFonts w:ascii="仿宋_GB2312" w:eastAsia="仿宋_GB2312" w:hint="eastAsia"/>
          <w:color w:val="000000" w:themeColor="text1"/>
          <w:sz w:val="32"/>
          <w:szCs w:val="32"/>
        </w:rPr>
        <w:t>年</w:t>
      </w:r>
      <w:r w:rsidR="000C3F40">
        <w:rPr>
          <w:rFonts w:ascii="仿宋_GB2312" w:eastAsia="仿宋_GB2312"/>
          <w:color w:val="000000" w:themeColor="text1"/>
          <w:sz w:val="32"/>
          <w:szCs w:val="32"/>
        </w:rPr>
        <w:t>11</w:t>
      </w:r>
      <w:r>
        <w:rPr>
          <w:rFonts w:ascii="仿宋_GB2312" w:eastAsia="仿宋_GB2312" w:hint="eastAsia"/>
          <w:color w:val="000000" w:themeColor="text1"/>
          <w:sz w:val="32"/>
          <w:szCs w:val="32"/>
        </w:rPr>
        <w:t>月</w:t>
      </w:r>
      <w:r w:rsidR="000C3F40">
        <w:rPr>
          <w:rFonts w:ascii="仿宋_GB2312" w:eastAsia="仿宋_GB2312"/>
          <w:color w:val="000000" w:themeColor="text1"/>
          <w:sz w:val="32"/>
          <w:szCs w:val="32"/>
        </w:rPr>
        <w:t>24</w:t>
      </w:r>
      <w:r>
        <w:rPr>
          <w:rFonts w:ascii="仿宋_GB2312" w:eastAsia="仿宋_GB2312" w:hint="eastAsia"/>
          <w:color w:val="000000" w:themeColor="text1"/>
          <w:sz w:val="32"/>
          <w:szCs w:val="32"/>
        </w:rPr>
        <w:t>日</w:t>
      </w:r>
    </w:p>
    <w:p w14:paraId="3443FBC0" w14:textId="77777777" w:rsidR="00D157EE" w:rsidRPr="00D157EE" w:rsidRDefault="00D157EE" w:rsidP="000C3F40">
      <w:pPr>
        <w:pStyle w:val="BodyText2"/>
        <w:jc w:val="center"/>
      </w:pPr>
    </w:p>
    <w:sectPr w:rsidR="00D157EE" w:rsidRPr="00D157EE">
      <w:footerReference w:type="default" r:id="rId11"/>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B81ACA" w14:textId="77777777" w:rsidR="002E7EB0" w:rsidRDefault="002E7EB0">
      <w:r>
        <w:separator/>
      </w:r>
    </w:p>
  </w:endnote>
  <w:endnote w:type="continuationSeparator" w:id="0">
    <w:p w14:paraId="5C76E51C" w14:textId="77777777" w:rsidR="002E7EB0" w:rsidRDefault="002E7E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3C7A95A5-C982-49C6-9741-AF24F367F026}"/>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2" w:subsetted="1" w:fontKey="{AF2B9831-8E79-4593-9EFA-555F5399AFC6}"/>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embedRegular r:id="rId3" w:subsetted="1" w:fontKey="{27A05801-6134-4072-A011-A251E672AD50}"/>
  </w:font>
  <w:font w:name="等线">
    <w:altName w:val="DengXian"/>
    <w:panose1 w:val="02010600030101010101"/>
    <w:charset w:val="86"/>
    <w:family w:val="auto"/>
    <w:pitch w:val="variable"/>
    <w:sig w:usb0="A00002BF" w:usb1="38CF7CFA" w:usb2="00000016" w:usb3="00000000" w:csb0="0004000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4" w:subsetted="1" w:fontKey="{3CFF1CD9-6E15-4135-9032-96D3CE8FAA47}"/>
    <w:embedBold r:id="rId5" w:subsetted="1" w:fontKey="{967771AA-7848-4EFD-B2CF-782FB18B794A}"/>
  </w:font>
  <w:font w:name="楷体">
    <w:panose1 w:val="02010609060101010101"/>
    <w:charset w:val="86"/>
    <w:family w:val="modern"/>
    <w:pitch w:val="fixed"/>
    <w:sig w:usb0="800002BF" w:usb1="38CF7CFA" w:usb2="00000016" w:usb3="00000000" w:csb0="00040001" w:csb1="00000000"/>
    <w:embedBold r:id="rId6" w:subsetted="1" w:fontKey="{2FB7DD94-8736-4CC1-A17A-AF54A9087EA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765792" w14:textId="77777777" w:rsidR="00AC1923" w:rsidRDefault="00AC1923">
    <w:pPr>
      <w:pStyle w:val="af8"/>
      <w:ind w:firstLine="378"/>
    </w:pPr>
    <w:r>
      <w:rPr>
        <w:noProof/>
      </w:rPr>
      <mc:AlternateContent>
        <mc:Choice Requires="wps">
          <w:drawing>
            <wp:anchor distT="0" distB="0" distL="114300" distR="114300" simplePos="0" relativeHeight="251659264" behindDoc="0" locked="0" layoutInCell="1" allowOverlap="1" wp14:anchorId="26AD30D5" wp14:editId="5D371AB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2607E4CD" w14:textId="6777869B" w:rsidR="00AC1923" w:rsidRDefault="00AC1923">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275101">
                            <w:rPr>
                              <w:rFonts w:ascii="宋体" w:hAnsi="宋体"/>
                              <w:noProof/>
                              <w:sz w:val="21"/>
                            </w:rPr>
                            <w:t>1</w:t>
                          </w:r>
                          <w:r>
                            <w:rPr>
                              <w:rFonts w:ascii="宋体" w:hAnsi="宋体" w:hint="eastAsia"/>
                              <w:sz w:val="21"/>
                            </w:rPr>
                            <w:fldChar w:fldCharType="end"/>
                          </w:r>
                        </w:p>
                      </w:txbxContent>
                    </wps:txbx>
                    <wps:bodyPr wrap="none" lIns="0" tIns="0" rIns="0" bIns="0" upright="1">
                      <a:spAutoFit/>
                    </wps:bodyPr>
                  </wps:wsp>
                </a:graphicData>
              </a:graphic>
            </wp:anchor>
          </w:drawing>
        </mc:Choice>
        <mc:Fallback>
          <w:pict>
            <v:shapetype w14:anchorId="26AD30D5"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2607E4CD" w14:textId="6777869B" w:rsidR="00AC1923" w:rsidRDefault="00AC1923">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275101">
                      <w:rPr>
                        <w:rFonts w:ascii="宋体" w:hAnsi="宋体"/>
                        <w:noProof/>
                        <w:sz w:val="21"/>
                      </w:rPr>
                      <w:t>1</w:t>
                    </w:r>
                    <w:r>
                      <w:rPr>
                        <w:rFonts w:ascii="宋体" w:hAnsi="宋体" w:hint="eastAsia"/>
                        <w:sz w:val="21"/>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36D009" w14:textId="77777777" w:rsidR="002E7EB0" w:rsidRDefault="002E7EB0">
      <w:r>
        <w:separator/>
      </w:r>
    </w:p>
  </w:footnote>
  <w:footnote w:type="continuationSeparator" w:id="0">
    <w:p w14:paraId="3F41AE6E" w14:textId="77777777" w:rsidR="002E7EB0" w:rsidRDefault="002E7EB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CF5396"/>
    <w:multiLevelType w:val="singleLevel"/>
    <w:tmpl w:val="81CF5396"/>
    <w:lvl w:ilvl="0">
      <w:start w:val="1"/>
      <w:numFmt w:val="decimal"/>
      <w:suff w:val="nothing"/>
      <w:lvlText w:val="%1）"/>
      <w:lvlJc w:val="left"/>
    </w:lvl>
  </w:abstractNum>
  <w:abstractNum w:abstractNumId="1"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2" w15:restartNumberingAfterBreak="0">
    <w:nsid w:val="A1098D4C"/>
    <w:multiLevelType w:val="singleLevel"/>
    <w:tmpl w:val="A1098D4C"/>
    <w:lvl w:ilvl="0">
      <w:start w:val="1"/>
      <w:numFmt w:val="decimal"/>
      <w:suff w:val="nothing"/>
      <w:lvlText w:val="%1、"/>
      <w:lvlJc w:val="left"/>
    </w:lvl>
  </w:abstractNum>
  <w:abstractNum w:abstractNumId="3"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15:restartNumberingAfterBreak="0">
    <w:nsid w:val="2C5917C3"/>
    <w:multiLevelType w:val="multilevel"/>
    <w:tmpl w:val="2C5917C3"/>
    <w:lvl w:ilvl="0">
      <w:start w:val="1"/>
      <w:numFmt w:val="none"/>
      <w:pStyle w:val="a1"/>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5" w15:restartNumberingAfterBreak="0">
    <w:nsid w:val="44C50F90"/>
    <w:multiLevelType w:val="multilevel"/>
    <w:tmpl w:val="44C50F90"/>
    <w:lvl w:ilvl="0">
      <w:start w:val="1"/>
      <w:numFmt w:val="lowerLetter"/>
      <w:pStyle w:val="a2"/>
      <w:lvlText w:val="%1)"/>
      <w:lvlJc w:val="left"/>
      <w:pPr>
        <w:tabs>
          <w:tab w:val="left" w:pos="851"/>
        </w:tabs>
        <w:ind w:left="851" w:hanging="426"/>
      </w:pPr>
      <w:rPr>
        <w:rFonts w:ascii="宋体" w:eastAsia="宋体" w:hAnsi="Times New Roman" w:hint="eastAsia"/>
        <w:sz w:val="21"/>
      </w:rPr>
    </w:lvl>
    <w:lvl w:ilvl="1">
      <w:start w:val="1"/>
      <w:numFmt w:val="decimal"/>
      <w:pStyle w:val="a3"/>
      <w:lvlText w:val="%2)"/>
      <w:lvlJc w:val="left"/>
      <w:pPr>
        <w:tabs>
          <w:tab w:val="left" w:pos="1276"/>
        </w:tabs>
        <w:ind w:left="1276" w:hanging="425"/>
      </w:pPr>
      <w:rPr>
        <w:rFonts w:ascii="宋体" w:eastAsia="宋体" w:hAnsi="Times New Roman" w:hint="eastAsia"/>
        <w:sz w:val="21"/>
      </w:rPr>
    </w:lvl>
    <w:lvl w:ilvl="2">
      <w:start w:val="1"/>
      <w:numFmt w:val="decimal"/>
      <w:pStyle w:val="a4"/>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6" w15:restartNumberingAfterBreak="0">
    <w:nsid w:val="5A9B6960"/>
    <w:multiLevelType w:val="multilevel"/>
    <w:tmpl w:val="5A9B6960"/>
    <w:lvl w:ilvl="0">
      <w:start w:val="1"/>
      <w:numFmt w:val="none"/>
      <w:pStyle w:val="a5"/>
      <w:suff w:val="nothing"/>
      <w:lvlText w:val="%1"/>
      <w:legacy w:legacy="1" w:legacySpace="0" w:legacyIndent="0"/>
      <w:lvlJc w:val="left"/>
      <w:pPr>
        <w:ind w:left="0" w:firstLine="0"/>
      </w:pPr>
      <w:rPr>
        <w:rFonts w:hint="eastAsia"/>
      </w:rPr>
    </w:lvl>
    <w:lvl w:ilvl="1">
      <w:start w:val="1"/>
      <w:numFmt w:val="decimal"/>
      <w:pStyle w:val="a6"/>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7"/>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8"/>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9"/>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a"/>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7"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8" w15:restartNumberingAfterBreak="0">
    <w:nsid w:val="7646376F"/>
    <w:multiLevelType w:val="multilevel"/>
    <w:tmpl w:val="B2ECA92A"/>
    <w:lvl w:ilvl="0">
      <w:start w:val="1"/>
      <w:numFmt w:val="bullet"/>
      <w:lvlText w:val="●"/>
      <w:lvlJc w:val="left"/>
      <w:pPr>
        <w:ind w:left="465"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num w:numId="1">
    <w:abstractNumId w:val="6"/>
  </w:num>
  <w:num w:numId="2">
    <w:abstractNumId w:val="1"/>
  </w:num>
  <w:num w:numId="3">
    <w:abstractNumId w:val="5"/>
  </w:num>
  <w:num w:numId="4">
    <w:abstractNumId w:val="4"/>
  </w:num>
  <w:num w:numId="5">
    <w:abstractNumId w:val="7"/>
  </w:num>
  <w:num w:numId="6">
    <w:abstractNumId w:val="3"/>
  </w:num>
  <w:num w:numId="7">
    <w:abstractNumId w:val="2"/>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000026B4"/>
    <w:rsid w:val="000068A2"/>
    <w:rsid w:val="00014983"/>
    <w:rsid w:val="00014F92"/>
    <w:rsid w:val="000171F6"/>
    <w:rsid w:val="000178C8"/>
    <w:rsid w:val="00021AEF"/>
    <w:rsid w:val="00024C52"/>
    <w:rsid w:val="0004185E"/>
    <w:rsid w:val="00041CA7"/>
    <w:rsid w:val="000424C0"/>
    <w:rsid w:val="000513F3"/>
    <w:rsid w:val="00051A80"/>
    <w:rsid w:val="00051C74"/>
    <w:rsid w:val="00051F5E"/>
    <w:rsid w:val="000540AB"/>
    <w:rsid w:val="00055442"/>
    <w:rsid w:val="00061BDC"/>
    <w:rsid w:val="0006459C"/>
    <w:rsid w:val="000671D8"/>
    <w:rsid w:val="000709A1"/>
    <w:rsid w:val="00071CAA"/>
    <w:rsid w:val="00072103"/>
    <w:rsid w:val="000743B4"/>
    <w:rsid w:val="00075653"/>
    <w:rsid w:val="00076330"/>
    <w:rsid w:val="00082613"/>
    <w:rsid w:val="00092E1F"/>
    <w:rsid w:val="00094B6B"/>
    <w:rsid w:val="000968C6"/>
    <w:rsid w:val="000969BE"/>
    <w:rsid w:val="00097E01"/>
    <w:rsid w:val="000A196D"/>
    <w:rsid w:val="000A2616"/>
    <w:rsid w:val="000A5CC4"/>
    <w:rsid w:val="000A77F5"/>
    <w:rsid w:val="000B2F3C"/>
    <w:rsid w:val="000B3320"/>
    <w:rsid w:val="000B3E65"/>
    <w:rsid w:val="000B4242"/>
    <w:rsid w:val="000B454E"/>
    <w:rsid w:val="000B6E76"/>
    <w:rsid w:val="000C3C30"/>
    <w:rsid w:val="000C3F40"/>
    <w:rsid w:val="000C517B"/>
    <w:rsid w:val="000C6800"/>
    <w:rsid w:val="000C7685"/>
    <w:rsid w:val="000D1FCA"/>
    <w:rsid w:val="000D211A"/>
    <w:rsid w:val="000D2C09"/>
    <w:rsid w:val="000D35F1"/>
    <w:rsid w:val="000D47AC"/>
    <w:rsid w:val="000D688C"/>
    <w:rsid w:val="000D6AA8"/>
    <w:rsid w:val="000D75AA"/>
    <w:rsid w:val="000E0C0E"/>
    <w:rsid w:val="000E53EA"/>
    <w:rsid w:val="000F0298"/>
    <w:rsid w:val="000F03C9"/>
    <w:rsid w:val="000F21F0"/>
    <w:rsid w:val="000F2317"/>
    <w:rsid w:val="000F2861"/>
    <w:rsid w:val="000F7AED"/>
    <w:rsid w:val="00101040"/>
    <w:rsid w:val="00110AC2"/>
    <w:rsid w:val="001121F0"/>
    <w:rsid w:val="001133E6"/>
    <w:rsid w:val="001133EF"/>
    <w:rsid w:val="001143BC"/>
    <w:rsid w:val="00116CEA"/>
    <w:rsid w:val="0012345E"/>
    <w:rsid w:val="00132D8B"/>
    <w:rsid w:val="001334A1"/>
    <w:rsid w:val="00133F3E"/>
    <w:rsid w:val="001347B8"/>
    <w:rsid w:val="0013596D"/>
    <w:rsid w:val="00141D5D"/>
    <w:rsid w:val="00141D9D"/>
    <w:rsid w:val="001437B3"/>
    <w:rsid w:val="00152CB3"/>
    <w:rsid w:val="001530FB"/>
    <w:rsid w:val="001548F8"/>
    <w:rsid w:val="001655CC"/>
    <w:rsid w:val="0018012C"/>
    <w:rsid w:val="001821C9"/>
    <w:rsid w:val="00183018"/>
    <w:rsid w:val="00190E01"/>
    <w:rsid w:val="00192A37"/>
    <w:rsid w:val="001968C3"/>
    <w:rsid w:val="001A3825"/>
    <w:rsid w:val="001A7570"/>
    <w:rsid w:val="001B0030"/>
    <w:rsid w:val="001B3580"/>
    <w:rsid w:val="001B6B04"/>
    <w:rsid w:val="001C21D4"/>
    <w:rsid w:val="001C4C8F"/>
    <w:rsid w:val="001C7DE8"/>
    <w:rsid w:val="001D03FF"/>
    <w:rsid w:val="001D0584"/>
    <w:rsid w:val="001D3156"/>
    <w:rsid w:val="001D4971"/>
    <w:rsid w:val="001D7386"/>
    <w:rsid w:val="001E1206"/>
    <w:rsid w:val="001E130D"/>
    <w:rsid w:val="001E1CA6"/>
    <w:rsid w:val="001E29C4"/>
    <w:rsid w:val="001E2D73"/>
    <w:rsid w:val="001E72E4"/>
    <w:rsid w:val="001F251A"/>
    <w:rsid w:val="001F2A8F"/>
    <w:rsid w:val="001F4D35"/>
    <w:rsid w:val="001F5F5D"/>
    <w:rsid w:val="00200252"/>
    <w:rsid w:val="0020127F"/>
    <w:rsid w:val="00204829"/>
    <w:rsid w:val="00205352"/>
    <w:rsid w:val="00205D69"/>
    <w:rsid w:val="00210FD3"/>
    <w:rsid w:val="00212227"/>
    <w:rsid w:val="0021503F"/>
    <w:rsid w:val="00215478"/>
    <w:rsid w:val="002209F0"/>
    <w:rsid w:val="002210B4"/>
    <w:rsid w:val="00221DEA"/>
    <w:rsid w:val="0022236C"/>
    <w:rsid w:val="0022377B"/>
    <w:rsid w:val="002251A3"/>
    <w:rsid w:val="00226607"/>
    <w:rsid w:val="002324B6"/>
    <w:rsid w:val="00234F7D"/>
    <w:rsid w:val="00235F58"/>
    <w:rsid w:val="00236909"/>
    <w:rsid w:val="00236EB4"/>
    <w:rsid w:val="00237A0A"/>
    <w:rsid w:val="00241F8A"/>
    <w:rsid w:val="00242A75"/>
    <w:rsid w:val="00242E52"/>
    <w:rsid w:val="0024606D"/>
    <w:rsid w:val="00246E41"/>
    <w:rsid w:val="00251C09"/>
    <w:rsid w:val="0025373A"/>
    <w:rsid w:val="00253845"/>
    <w:rsid w:val="002546EF"/>
    <w:rsid w:val="002577E1"/>
    <w:rsid w:val="00262001"/>
    <w:rsid w:val="00263E80"/>
    <w:rsid w:val="002679F0"/>
    <w:rsid w:val="00271E05"/>
    <w:rsid w:val="00275101"/>
    <w:rsid w:val="00280BDB"/>
    <w:rsid w:val="00281F39"/>
    <w:rsid w:val="0028500C"/>
    <w:rsid w:val="0028575C"/>
    <w:rsid w:val="002879F6"/>
    <w:rsid w:val="00291CD8"/>
    <w:rsid w:val="002920DE"/>
    <w:rsid w:val="00292F73"/>
    <w:rsid w:val="0029554A"/>
    <w:rsid w:val="00297734"/>
    <w:rsid w:val="002A1166"/>
    <w:rsid w:val="002A2DDC"/>
    <w:rsid w:val="002A3479"/>
    <w:rsid w:val="002A3683"/>
    <w:rsid w:val="002B7B10"/>
    <w:rsid w:val="002B7C92"/>
    <w:rsid w:val="002C0F07"/>
    <w:rsid w:val="002C176B"/>
    <w:rsid w:val="002C3627"/>
    <w:rsid w:val="002D005F"/>
    <w:rsid w:val="002D0B78"/>
    <w:rsid w:val="002D2273"/>
    <w:rsid w:val="002D4342"/>
    <w:rsid w:val="002D5597"/>
    <w:rsid w:val="002E1B63"/>
    <w:rsid w:val="002E357A"/>
    <w:rsid w:val="002E3B58"/>
    <w:rsid w:val="002E4234"/>
    <w:rsid w:val="002E5273"/>
    <w:rsid w:val="002E7EB0"/>
    <w:rsid w:val="002F03C6"/>
    <w:rsid w:val="002F0D8E"/>
    <w:rsid w:val="002F4C45"/>
    <w:rsid w:val="002F5C0C"/>
    <w:rsid w:val="00300FDB"/>
    <w:rsid w:val="00302739"/>
    <w:rsid w:val="00302A1F"/>
    <w:rsid w:val="00312804"/>
    <w:rsid w:val="00313922"/>
    <w:rsid w:val="00315D1F"/>
    <w:rsid w:val="003160CF"/>
    <w:rsid w:val="00317091"/>
    <w:rsid w:val="00317530"/>
    <w:rsid w:val="00320CB4"/>
    <w:rsid w:val="00321E92"/>
    <w:rsid w:val="00322535"/>
    <w:rsid w:val="003259AF"/>
    <w:rsid w:val="00325F9F"/>
    <w:rsid w:val="0032620D"/>
    <w:rsid w:val="0033062D"/>
    <w:rsid w:val="003306DD"/>
    <w:rsid w:val="00330A4E"/>
    <w:rsid w:val="00332242"/>
    <w:rsid w:val="003329C7"/>
    <w:rsid w:val="003332BA"/>
    <w:rsid w:val="003348AA"/>
    <w:rsid w:val="00340D9B"/>
    <w:rsid w:val="00340FDE"/>
    <w:rsid w:val="00341B90"/>
    <w:rsid w:val="00342837"/>
    <w:rsid w:val="003460F3"/>
    <w:rsid w:val="00346534"/>
    <w:rsid w:val="003479E3"/>
    <w:rsid w:val="003517E7"/>
    <w:rsid w:val="00351C4B"/>
    <w:rsid w:val="0035534B"/>
    <w:rsid w:val="00357BDF"/>
    <w:rsid w:val="00360A67"/>
    <w:rsid w:val="00360BAF"/>
    <w:rsid w:val="00361596"/>
    <w:rsid w:val="003618D0"/>
    <w:rsid w:val="00362C01"/>
    <w:rsid w:val="00365A6E"/>
    <w:rsid w:val="00367D5E"/>
    <w:rsid w:val="00371B5F"/>
    <w:rsid w:val="00372E66"/>
    <w:rsid w:val="00373160"/>
    <w:rsid w:val="00375933"/>
    <w:rsid w:val="0037633C"/>
    <w:rsid w:val="00382E35"/>
    <w:rsid w:val="00384168"/>
    <w:rsid w:val="00385676"/>
    <w:rsid w:val="003872E4"/>
    <w:rsid w:val="00390AD8"/>
    <w:rsid w:val="00390C14"/>
    <w:rsid w:val="00391F54"/>
    <w:rsid w:val="00392FF0"/>
    <w:rsid w:val="00393447"/>
    <w:rsid w:val="00396F2C"/>
    <w:rsid w:val="003A3F27"/>
    <w:rsid w:val="003A49FF"/>
    <w:rsid w:val="003A5862"/>
    <w:rsid w:val="003B0042"/>
    <w:rsid w:val="003B0E61"/>
    <w:rsid w:val="003B45A7"/>
    <w:rsid w:val="003B4F42"/>
    <w:rsid w:val="003B4FCF"/>
    <w:rsid w:val="003B6088"/>
    <w:rsid w:val="003C0E61"/>
    <w:rsid w:val="003D3CB2"/>
    <w:rsid w:val="003D485E"/>
    <w:rsid w:val="003D5559"/>
    <w:rsid w:val="003D5741"/>
    <w:rsid w:val="003D7E9E"/>
    <w:rsid w:val="003E080C"/>
    <w:rsid w:val="003E2B4C"/>
    <w:rsid w:val="003E55DC"/>
    <w:rsid w:val="003E6A61"/>
    <w:rsid w:val="00400A69"/>
    <w:rsid w:val="00400B2B"/>
    <w:rsid w:val="00400F75"/>
    <w:rsid w:val="004012D1"/>
    <w:rsid w:val="00405301"/>
    <w:rsid w:val="00406CA3"/>
    <w:rsid w:val="00411EFB"/>
    <w:rsid w:val="00417593"/>
    <w:rsid w:val="00422CC8"/>
    <w:rsid w:val="00424FB3"/>
    <w:rsid w:val="00426402"/>
    <w:rsid w:val="0042686B"/>
    <w:rsid w:val="00426DC5"/>
    <w:rsid w:val="00430411"/>
    <w:rsid w:val="004314F4"/>
    <w:rsid w:val="00432DC4"/>
    <w:rsid w:val="004373E9"/>
    <w:rsid w:val="00440265"/>
    <w:rsid w:val="0044036C"/>
    <w:rsid w:val="0044048B"/>
    <w:rsid w:val="0044065E"/>
    <w:rsid w:val="00444679"/>
    <w:rsid w:val="004458BB"/>
    <w:rsid w:val="0045095B"/>
    <w:rsid w:val="00451B0D"/>
    <w:rsid w:val="00454E8F"/>
    <w:rsid w:val="00455701"/>
    <w:rsid w:val="00460660"/>
    <w:rsid w:val="00460A36"/>
    <w:rsid w:val="004612C5"/>
    <w:rsid w:val="00461AA3"/>
    <w:rsid w:val="00462FF9"/>
    <w:rsid w:val="00471CEC"/>
    <w:rsid w:val="00473D8F"/>
    <w:rsid w:val="00474293"/>
    <w:rsid w:val="0047786D"/>
    <w:rsid w:val="004805DB"/>
    <w:rsid w:val="00480B2B"/>
    <w:rsid w:val="0048511D"/>
    <w:rsid w:val="00495AFE"/>
    <w:rsid w:val="00496185"/>
    <w:rsid w:val="00496EA4"/>
    <w:rsid w:val="004A18D9"/>
    <w:rsid w:val="004A4C72"/>
    <w:rsid w:val="004A75FF"/>
    <w:rsid w:val="004B0877"/>
    <w:rsid w:val="004B4D68"/>
    <w:rsid w:val="004B599D"/>
    <w:rsid w:val="004C181C"/>
    <w:rsid w:val="004C445A"/>
    <w:rsid w:val="004C4477"/>
    <w:rsid w:val="004C4F1D"/>
    <w:rsid w:val="004C6673"/>
    <w:rsid w:val="004C7096"/>
    <w:rsid w:val="004C78DD"/>
    <w:rsid w:val="004C78FD"/>
    <w:rsid w:val="004C7CD6"/>
    <w:rsid w:val="004D3C4E"/>
    <w:rsid w:val="004D70EE"/>
    <w:rsid w:val="004D7C66"/>
    <w:rsid w:val="004E0167"/>
    <w:rsid w:val="004E152E"/>
    <w:rsid w:val="004E2983"/>
    <w:rsid w:val="004E5371"/>
    <w:rsid w:val="004E77D0"/>
    <w:rsid w:val="004F29B4"/>
    <w:rsid w:val="004F3228"/>
    <w:rsid w:val="004F6DB3"/>
    <w:rsid w:val="005020DE"/>
    <w:rsid w:val="005051BE"/>
    <w:rsid w:val="00506D43"/>
    <w:rsid w:val="00507297"/>
    <w:rsid w:val="00510DCF"/>
    <w:rsid w:val="00510F10"/>
    <w:rsid w:val="00511151"/>
    <w:rsid w:val="005124A3"/>
    <w:rsid w:val="00512A66"/>
    <w:rsid w:val="00515B82"/>
    <w:rsid w:val="0051608A"/>
    <w:rsid w:val="0051755E"/>
    <w:rsid w:val="005208D0"/>
    <w:rsid w:val="00524029"/>
    <w:rsid w:val="00524E15"/>
    <w:rsid w:val="00527354"/>
    <w:rsid w:val="00533B2A"/>
    <w:rsid w:val="0053400A"/>
    <w:rsid w:val="0053501E"/>
    <w:rsid w:val="0053635F"/>
    <w:rsid w:val="00536C3C"/>
    <w:rsid w:val="00537853"/>
    <w:rsid w:val="00537E5F"/>
    <w:rsid w:val="00540C2F"/>
    <w:rsid w:val="00540ED5"/>
    <w:rsid w:val="0054119B"/>
    <w:rsid w:val="00542F30"/>
    <w:rsid w:val="00544407"/>
    <w:rsid w:val="0054736C"/>
    <w:rsid w:val="00547941"/>
    <w:rsid w:val="00547AAF"/>
    <w:rsid w:val="005505FD"/>
    <w:rsid w:val="00554B7D"/>
    <w:rsid w:val="00564A0C"/>
    <w:rsid w:val="00564F91"/>
    <w:rsid w:val="00565DC9"/>
    <w:rsid w:val="0056706B"/>
    <w:rsid w:val="00571433"/>
    <w:rsid w:val="00571BCB"/>
    <w:rsid w:val="00572AB8"/>
    <w:rsid w:val="005734DC"/>
    <w:rsid w:val="00573DE7"/>
    <w:rsid w:val="00575956"/>
    <w:rsid w:val="00575C51"/>
    <w:rsid w:val="005777D1"/>
    <w:rsid w:val="00583E03"/>
    <w:rsid w:val="005873FB"/>
    <w:rsid w:val="00587B66"/>
    <w:rsid w:val="005910DC"/>
    <w:rsid w:val="00594F6B"/>
    <w:rsid w:val="0059544C"/>
    <w:rsid w:val="00597C52"/>
    <w:rsid w:val="005A067E"/>
    <w:rsid w:val="005A7C01"/>
    <w:rsid w:val="005B304B"/>
    <w:rsid w:val="005B6868"/>
    <w:rsid w:val="005C07C8"/>
    <w:rsid w:val="005C2C71"/>
    <w:rsid w:val="005C5910"/>
    <w:rsid w:val="005C5B2E"/>
    <w:rsid w:val="005C68B4"/>
    <w:rsid w:val="005C6BB1"/>
    <w:rsid w:val="005D2ABC"/>
    <w:rsid w:val="005D3003"/>
    <w:rsid w:val="005D616B"/>
    <w:rsid w:val="005D6C2D"/>
    <w:rsid w:val="005E0D31"/>
    <w:rsid w:val="005E3C13"/>
    <w:rsid w:val="005E47AA"/>
    <w:rsid w:val="005E5F8F"/>
    <w:rsid w:val="005E7B33"/>
    <w:rsid w:val="005F09D2"/>
    <w:rsid w:val="005F1668"/>
    <w:rsid w:val="005F2769"/>
    <w:rsid w:val="005F2AD0"/>
    <w:rsid w:val="005F2FD2"/>
    <w:rsid w:val="005F4961"/>
    <w:rsid w:val="005F529E"/>
    <w:rsid w:val="0060186C"/>
    <w:rsid w:val="00605A2E"/>
    <w:rsid w:val="0060769D"/>
    <w:rsid w:val="00611B2F"/>
    <w:rsid w:val="006121F4"/>
    <w:rsid w:val="00612FBA"/>
    <w:rsid w:val="00617539"/>
    <w:rsid w:val="00617590"/>
    <w:rsid w:val="00617B08"/>
    <w:rsid w:val="006260BB"/>
    <w:rsid w:val="00627AB4"/>
    <w:rsid w:val="00631D1E"/>
    <w:rsid w:val="006335ED"/>
    <w:rsid w:val="00633E53"/>
    <w:rsid w:val="006342DB"/>
    <w:rsid w:val="006343EC"/>
    <w:rsid w:val="0063539D"/>
    <w:rsid w:val="00636768"/>
    <w:rsid w:val="006371EA"/>
    <w:rsid w:val="00637F53"/>
    <w:rsid w:val="006477EC"/>
    <w:rsid w:val="00650557"/>
    <w:rsid w:val="00650F3D"/>
    <w:rsid w:val="00650FD7"/>
    <w:rsid w:val="006511A8"/>
    <w:rsid w:val="00653CD9"/>
    <w:rsid w:val="00654C80"/>
    <w:rsid w:val="0065632A"/>
    <w:rsid w:val="00660ECB"/>
    <w:rsid w:val="00661F06"/>
    <w:rsid w:val="00664AC8"/>
    <w:rsid w:val="0066650C"/>
    <w:rsid w:val="0066728E"/>
    <w:rsid w:val="0067031D"/>
    <w:rsid w:val="0067378F"/>
    <w:rsid w:val="0067489E"/>
    <w:rsid w:val="006773E1"/>
    <w:rsid w:val="0068386A"/>
    <w:rsid w:val="00685738"/>
    <w:rsid w:val="00691000"/>
    <w:rsid w:val="00695D34"/>
    <w:rsid w:val="006A0FCD"/>
    <w:rsid w:val="006A4226"/>
    <w:rsid w:val="006A4FC1"/>
    <w:rsid w:val="006A5636"/>
    <w:rsid w:val="006A6711"/>
    <w:rsid w:val="006A6CB4"/>
    <w:rsid w:val="006B0BA0"/>
    <w:rsid w:val="006B12C0"/>
    <w:rsid w:val="006B71A8"/>
    <w:rsid w:val="006C0607"/>
    <w:rsid w:val="006C2BE3"/>
    <w:rsid w:val="006C3771"/>
    <w:rsid w:val="006C5213"/>
    <w:rsid w:val="006C5D9F"/>
    <w:rsid w:val="006D0AF0"/>
    <w:rsid w:val="006D35DC"/>
    <w:rsid w:val="006D4F09"/>
    <w:rsid w:val="006E0874"/>
    <w:rsid w:val="006E1443"/>
    <w:rsid w:val="006E2C64"/>
    <w:rsid w:val="006E4C07"/>
    <w:rsid w:val="006E6BFD"/>
    <w:rsid w:val="006E746B"/>
    <w:rsid w:val="006F3E35"/>
    <w:rsid w:val="006F55FA"/>
    <w:rsid w:val="007016D6"/>
    <w:rsid w:val="00702EF2"/>
    <w:rsid w:val="00704968"/>
    <w:rsid w:val="00707BC6"/>
    <w:rsid w:val="007105C4"/>
    <w:rsid w:val="0071134C"/>
    <w:rsid w:val="007125F7"/>
    <w:rsid w:val="00714DDE"/>
    <w:rsid w:val="00714E57"/>
    <w:rsid w:val="00720AF6"/>
    <w:rsid w:val="0072527B"/>
    <w:rsid w:val="00726FA5"/>
    <w:rsid w:val="00727802"/>
    <w:rsid w:val="00731B29"/>
    <w:rsid w:val="00732724"/>
    <w:rsid w:val="00733795"/>
    <w:rsid w:val="00734E08"/>
    <w:rsid w:val="007351D6"/>
    <w:rsid w:val="00737200"/>
    <w:rsid w:val="00737872"/>
    <w:rsid w:val="00737D62"/>
    <w:rsid w:val="007400B5"/>
    <w:rsid w:val="0074491A"/>
    <w:rsid w:val="00747D22"/>
    <w:rsid w:val="007528CF"/>
    <w:rsid w:val="00754349"/>
    <w:rsid w:val="00754D85"/>
    <w:rsid w:val="007557E4"/>
    <w:rsid w:val="00756356"/>
    <w:rsid w:val="00757FD8"/>
    <w:rsid w:val="007605F1"/>
    <w:rsid w:val="00763D7D"/>
    <w:rsid w:val="0076553F"/>
    <w:rsid w:val="00774434"/>
    <w:rsid w:val="007756AB"/>
    <w:rsid w:val="00777833"/>
    <w:rsid w:val="007811F6"/>
    <w:rsid w:val="00781D6C"/>
    <w:rsid w:val="007845E1"/>
    <w:rsid w:val="00785759"/>
    <w:rsid w:val="007936EA"/>
    <w:rsid w:val="007940A9"/>
    <w:rsid w:val="007940BF"/>
    <w:rsid w:val="00795EA0"/>
    <w:rsid w:val="00796DF7"/>
    <w:rsid w:val="007A149B"/>
    <w:rsid w:val="007B0BAE"/>
    <w:rsid w:val="007B1EA3"/>
    <w:rsid w:val="007C08A9"/>
    <w:rsid w:val="007C2011"/>
    <w:rsid w:val="007C244C"/>
    <w:rsid w:val="007C66E4"/>
    <w:rsid w:val="007D641F"/>
    <w:rsid w:val="007D725F"/>
    <w:rsid w:val="007E18F0"/>
    <w:rsid w:val="007E608C"/>
    <w:rsid w:val="007F28B9"/>
    <w:rsid w:val="007F2B8D"/>
    <w:rsid w:val="007F3206"/>
    <w:rsid w:val="007F44C1"/>
    <w:rsid w:val="007F6D75"/>
    <w:rsid w:val="00801A7F"/>
    <w:rsid w:val="0080563C"/>
    <w:rsid w:val="00806BAC"/>
    <w:rsid w:val="008105E1"/>
    <w:rsid w:val="00812DC4"/>
    <w:rsid w:val="00813A84"/>
    <w:rsid w:val="00814260"/>
    <w:rsid w:val="00814DA3"/>
    <w:rsid w:val="00815F39"/>
    <w:rsid w:val="008206EE"/>
    <w:rsid w:val="008216E8"/>
    <w:rsid w:val="008247C4"/>
    <w:rsid w:val="00825F04"/>
    <w:rsid w:val="00826611"/>
    <w:rsid w:val="00826BFA"/>
    <w:rsid w:val="00831A18"/>
    <w:rsid w:val="0083680B"/>
    <w:rsid w:val="00836EA3"/>
    <w:rsid w:val="00840B0D"/>
    <w:rsid w:val="00850053"/>
    <w:rsid w:val="00853F5C"/>
    <w:rsid w:val="00854417"/>
    <w:rsid w:val="00856862"/>
    <w:rsid w:val="00856A9B"/>
    <w:rsid w:val="00860AE3"/>
    <w:rsid w:val="00864685"/>
    <w:rsid w:val="008653C3"/>
    <w:rsid w:val="008715CA"/>
    <w:rsid w:val="00874BB5"/>
    <w:rsid w:val="00875B83"/>
    <w:rsid w:val="008779C2"/>
    <w:rsid w:val="0088204E"/>
    <w:rsid w:val="00882F78"/>
    <w:rsid w:val="008854C0"/>
    <w:rsid w:val="0088596D"/>
    <w:rsid w:val="00885A19"/>
    <w:rsid w:val="00886CE3"/>
    <w:rsid w:val="00887632"/>
    <w:rsid w:val="00890AB3"/>
    <w:rsid w:val="00893A2E"/>
    <w:rsid w:val="00895F4A"/>
    <w:rsid w:val="008973E6"/>
    <w:rsid w:val="008A010A"/>
    <w:rsid w:val="008B22AA"/>
    <w:rsid w:val="008B3416"/>
    <w:rsid w:val="008B3930"/>
    <w:rsid w:val="008B422F"/>
    <w:rsid w:val="008B4863"/>
    <w:rsid w:val="008B579D"/>
    <w:rsid w:val="008B6B5F"/>
    <w:rsid w:val="008B744A"/>
    <w:rsid w:val="008C0D0B"/>
    <w:rsid w:val="008C1022"/>
    <w:rsid w:val="008C2552"/>
    <w:rsid w:val="008C50FF"/>
    <w:rsid w:val="008D00AC"/>
    <w:rsid w:val="008D02D8"/>
    <w:rsid w:val="008D1A38"/>
    <w:rsid w:val="008D7187"/>
    <w:rsid w:val="008D78B0"/>
    <w:rsid w:val="008E1467"/>
    <w:rsid w:val="008E1EB5"/>
    <w:rsid w:val="008E28B3"/>
    <w:rsid w:val="008E63DC"/>
    <w:rsid w:val="008E7ADB"/>
    <w:rsid w:val="008E7C88"/>
    <w:rsid w:val="008F0233"/>
    <w:rsid w:val="008F0327"/>
    <w:rsid w:val="008F3A33"/>
    <w:rsid w:val="008F77D3"/>
    <w:rsid w:val="008F7B61"/>
    <w:rsid w:val="00901A8D"/>
    <w:rsid w:val="009029CF"/>
    <w:rsid w:val="009031D1"/>
    <w:rsid w:val="00905E4B"/>
    <w:rsid w:val="00907D3C"/>
    <w:rsid w:val="00913E57"/>
    <w:rsid w:val="00917DDE"/>
    <w:rsid w:val="00920BCA"/>
    <w:rsid w:val="00920F97"/>
    <w:rsid w:val="00921E53"/>
    <w:rsid w:val="0092324A"/>
    <w:rsid w:val="00923402"/>
    <w:rsid w:val="00923653"/>
    <w:rsid w:val="00924305"/>
    <w:rsid w:val="00926112"/>
    <w:rsid w:val="00926E1B"/>
    <w:rsid w:val="00927696"/>
    <w:rsid w:val="009317D5"/>
    <w:rsid w:val="00932BA3"/>
    <w:rsid w:val="00933182"/>
    <w:rsid w:val="00933571"/>
    <w:rsid w:val="00940E07"/>
    <w:rsid w:val="009411E1"/>
    <w:rsid w:val="009425CD"/>
    <w:rsid w:val="00943727"/>
    <w:rsid w:val="0094544E"/>
    <w:rsid w:val="00947EBA"/>
    <w:rsid w:val="00952A6C"/>
    <w:rsid w:val="00953891"/>
    <w:rsid w:val="00954DC7"/>
    <w:rsid w:val="00954FD2"/>
    <w:rsid w:val="0096388F"/>
    <w:rsid w:val="00963992"/>
    <w:rsid w:val="009642E4"/>
    <w:rsid w:val="00966431"/>
    <w:rsid w:val="00966E03"/>
    <w:rsid w:val="009706A4"/>
    <w:rsid w:val="00970FC4"/>
    <w:rsid w:val="00971556"/>
    <w:rsid w:val="009718CC"/>
    <w:rsid w:val="009750C1"/>
    <w:rsid w:val="00975641"/>
    <w:rsid w:val="00985F7F"/>
    <w:rsid w:val="00991C98"/>
    <w:rsid w:val="00994827"/>
    <w:rsid w:val="009958EF"/>
    <w:rsid w:val="00997F40"/>
    <w:rsid w:val="009A13B3"/>
    <w:rsid w:val="009A4141"/>
    <w:rsid w:val="009A5CFB"/>
    <w:rsid w:val="009A62C4"/>
    <w:rsid w:val="009B36FD"/>
    <w:rsid w:val="009B795D"/>
    <w:rsid w:val="009C0BDB"/>
    <w:rsid w:val="009C174F"/>
    <w:rsid w:val="009C2645"/>
    <w:rsid w:val="009C5B24"/>
    <w:rsid w:val="009D1C9B"/>
    <w:rsid w:val="009D2D7E"/>
    <w:rsid w:val="009D5100"/>
    <w:rsid w:val="009D6865"/>
    <w:rsid w:val="009E3161"/>
    <w:rsid w:val="009F0F09"/>
    <w:rsid w:val="009F33B1"/>
    <w:rsid w:val="009F7D99"/>
    <w:rsid w:val="00A0200B"/>
    <w:rsid w:val="00A05C7B"/>
    <w:rsid w:val="00A065E9"/>
    <w:rsid w:val="00A11DCA"/>
    <w:rsid w:val="00A12161"/>
    <w:rsid w:val="00A1234F"/>
    <w:rsid w:val="00A1372A"/>
    <w:rsid w:val="00A16A3E"/>
    <w:rsid w:val="00A16D74"/>
    <w:rsid w:val="00A204FE"/>
    <w:rsid w:val="00A22171"/>
    <w:rsid w:val="00A22C63"/>
    <w:rsid w:val="00A23C1F"/>
    <w:rsid w:val="00A24C55"/>
    <w:rsid w:val="00A263D3"/>
    <w:rsid w:val="00A2656A"/>
    <w:rsid w:val="00A30314"/>
    <w:rsid w:val="00A324C0"/>
    <w:rsid w:val="00A356AD"/>
    <w:rsid w:val="00A365A2"/>
    <w:rsid w:val="00A37FDF"/>
    <w:rsid w:val="00A42C5E"/>
    <w:rsid w:val="00A4360A"/>
    <w:rsid w:val="00A43914"/>
    <w:rsid w:val="00A449BB"/>
    <w:rsid w:val="00A467C0"/>
    <w:rsid w:val="00A511A6"/>
    <w:rsid w:val="00A52D71"/>
    <w:rsid w:val="00A52E40"/>
    <w:rsid w:val="00A5377E"/>
    <w:rsid w:val="00A54545"/>
    <w:rsid w:val="00A55696"/>
    <w:rsid w:val="00A602E9"/>
    <w:rsid w:val="00A72EA5"/>
    <w:rsid w:val="00A73E5A"/>
    <w:rsid w:val="00A75476"/>
    <w:rsid w:val="00A80798"/>
    <w:rsid w:val="00A84390"/>
    <w:rsid w:val="00A86090"/>
    <w:rsid w:val="00A865BA"/>
    <w:rsid w:val="00A877C5"/>
    <w:rsid w:val="00A87F41"/>
    <w:rsid w:val="00A87F8B"/>
    <w:rsid w:val="00A93EC6"/>
    <w:rsid w:val="00A94D0D"/>
    <w:rsid w:val="00AA112C"/>
    <w:rsid w:val="00AA4E65"/>
    <w:rsid w:val="00AA703E"/>
    <w:rsid w:val="00AB10F4"/>
    <w:rsid w:val="00AB565E"/>
    <w:rsid w:val="00AC1923"/>
    <w:rsid w:val="00AC3575"/>
    <w:rsid w:val="00AC57C3"/>
    <w:rsid w:val="00AC63CF"/>
    <w:rsid w:val="00AD0169"/>
    <w:rsid w:val="00AD0172"/>
    <w:rsid w:val="00AD2BF7"/>
    <w:rsid w:val="00AD4D17"/>
    <w:rsid w:val="00AD5449"/>
    <w:rsid w:val="00AD6E16"/>
    <w:rsid w:val="00AE261F"/>
    <w:rsid w:val="00AE277B"/>
    <w:rsid w:val="00AE2D3E"/>
    <w:rsid w:val="00AE2DC3"/>
    <w:rsid w:val="00AE3954"/>
    <w:rsid w:val="00AE3AD9"/>
    <w:rsid w:val="00AE5727"/>
    <w:rsid w:val="00AE6AA1"/>
    <w:rsid w:val="00AE6CFF"/>
    <w:rsid w:val="00AE7155"/>
    <w:rsid w:val="00AE7B31"/>
    <w:rsid w:val="00AF11A3"/>
    <w:rsid w:val="00AF1EF8"/>
    <w:rsid w:val="00B02088"/>
    <w:rsid w:val="00B0340D"/>
    <w:rsid w:val="00B03636"/>
    <w:rsid w:val="00B046DF"/>
    <w:rsid w:val="00B0506E"/>
    <w:rsid w:val="00B05BC1"/>
    <w:rsid w:val="00B07A8A"/>
    <w:rsid w:val="00B11249"/>
    <w:rsid w:val="00B11CC1"/>
    <w:rsid w:val="00B122F4"/>
    <w:rsid w:val="00B13D72"/>
    <w:rsid w:val="00B144D3"/>
    <w:rsid w:val="00B1480E"/>
    <w:rsid w:val="00B20DB1"/>
    <w:rsid w:val="00B213D1"/>
    <w:rsid w:val="00B233CC"/>
    <w:rsid w:val="00B23C80"/>
    <w:rsid w:val="00B258C7"/>
    <w:rsid w:val="00B32172"/>
    <w:rsid w:val="00B339D7"/>
    <w:rsid w:val="00B37157"/>
    <w:rsid w:val="00B37261"/>
    <w:rsid w:val="00B415A2"/>
    <w:rsid w:val="00B429E8"/>
    <w:rsid w:val="00B43752"/>
    <w:rsid w:val="00B50F8B"/>
    <w:rsid w:val="00B53F5C"/>
    <w:rsid w:val="00B54989"/>
    <w:rsid w:val="00B5537F"/>
    <w:rsid w:val="00B55800"/>
    <w:rsid w:val="00B56568"/>
    <w:rsid w:val="00B63784"/>
    <w:rsid w:val="00B65AE9"/>
    <w:rsid w:val="00B66676"/>
    <w:rsid w:val="00B6740B"/>
    <w:rsid w:val="00B708B2"/>
    <w:rsid w:val="00B73416"/>
    <w:rsid w:val="00B77477"/>
    <w:rsid w:val="00B81E53"/>
    <w:rsid w:val="00B82470"/>
    <w:rsid w:val="00B8532C"/>
    <w:rsid w:val="00B938A5"/>
    <w:rsid w:val="00B94E0B"/>
    <w:rsid w:val="00B94EFE"/>
    <w:rsid w:val="00B954B8"/>
    <w:rsid w:val="00B95769"/>
    <w:rsid w:val="00B95AA9"/>
    <w:rsid w:val="00BA1E45"/>
    <w:rsid w:val="00BA33F4"/>
    <w:rsid w:val="00BA570D"/>
    <w:rsid w:val="00BA5A89"/>
    <w:rsid w:val="00BA67F2"/>
    <w:rsid w:val="00BB0302"/>
    <w:rsid w:val="00BB0578"/>
    <w:rsid w:val="00BB14F3"/>
    <w:rsid w:val="00BB2599"/>
    <w:rsid w:val="00BB4557"/>
    <w:rsid w:val="00BB4A60"/>
    <w:rsid w:val="00BB6932"/>
    <w:rsid w:val="00BB7B52"/>
    <w:rsid w:val="00BC09B1"/>
    <w:rsid w:val="00BC0AE7"/>
    <w:rsid w:val="00BC0EBE"/>
    <w:rsid w:val="00BC2838"/>
    <w:rsid w:val="00BC3A80"/>
    <w:rsid w:val="00BC75E3"/>
    <w:rsid w:val="00BD0462"/>
    <w:rsid w:val="00BD049A"/>
    <w:rsid w:val="00BD08E9"/>
    <w:rsid w:val="00BD1C9B"/>
    <w:rsid w:val="00BD2990"/>
    <w:rsid w:val="00BD46AC"/>
    <w:rsid w:val="00BD50BC"/>
    <w:rsid w:val="00BD58F8"/>
    <w:rsid w:val="00BE1405"/>
    <w:rsid w:val="00BE2434"/>
    <w:rsid w:val="00BE4828"/>
    <w:rsid w:val="00BE5408"/>
    <w:rsid w:val="00BE78BC"/>
    <w:rsid w:val="00BE7E1C"/>
    <w:rsid w:val="00BF1BCD"/>
    <w:rsid w:val="00BF2633"/>
    <w:rsid w:val="00C01697"/>
    <w:rsid w:val="00C0404B"/>
    <w:rsid w:val="00C07069"/>
    <w:rsid w:val="00C10DDC"/>
    <w:rsid w:val="00C11840"/>
    <w:rsid w:val="00C123EE"/>
    <w:rsid w:val="00C13CB6"/>
    <w:rsid w:val="00C16960"/>
    <w:rsid w:val="00C20386"/>
    <w:rsid w:val="00C24084"/>
    <w:rsid w:val="00C240EA"/>
    <w:rsid w:val="00C24363"/>
    <w:rsid w:val="00C24E08"/>
    <w:rsid w:val="00C25A1B"/>
    <w:rsid w:val="00C3071D"/>
    <w:rsid w:val="00C32608"/>
    <w:rsid w:val="00C3263C"/>
    <w:rsid w:val="00C34527"/>
    <w:rsid w:val="00C34EF5"/>
    <w:rsid w:val="00C353E2"/>
    <w:rsid w:val="00C370DD"/>
    <w:rsid w:val="00C417EA"/>
    <w:rsid w:val="00C43474"/>
    <w:rsid w:val="00C452A4"/>
    <w:rsid w:val="00C45AB0"/>
    <w:rsid w:val="00C4615A"/>
    <w:rsid w:val="00C47943"/>
    <w:rsid w:val="00C53DA6"/>
    <w:rsid w:val="00C556A8"/>
    <w:rsid w:val="00C5603B"/>
    <w:rsid w:val="00C57BEA"/>
    <w:rsid w:val="00C6357F"/>
    <w:rsid w:val="00C63CAC"/>
    <w:rsid w:val="00C63F98"/>
    <w:rsid w:val="00C6457A"/>
    <w:rsid w:val="00C65F66"/>
    <w:rsid w:val="00C7120B"/>
    <w:rsid w:val="00C7355C"/>
    <w:rsid w:val="00C75439"/>
    <w:rsid w:val="00C76192"/>
    <w:rsid w:val="00C76CBA"/>
    <w:rsid w:val="00C77C01"/>
    <w:rsid w:val="00C83F05"/>
    <w:rsid w:val="00C84144"/>
    <w:rsid w:val="00C84726"/>
    <w:rsid w:val="00C8714F"/>
    <w:rsid w:val="00C873BB"/>
    <w:rsid w:val="00C877FA"/>
    <w:rsid w:val="00C91BC6"/>
    <w:rsid w:val="00C94DE6"/>
    <w:rsid w:val="00CA061C"/>
    <w:rsid w:val="00CA42EE"/>
    <w:rsid w:val="00CA4819"/>
    <w:rsid w:val="00CA66D2"/>
    <w:rsid w:val="00CB1526"/>
    <w:rsid w:val="00CB15D9"/>
    <w:rsid w:val="00CB4195"/>
    <w:rsid w:val="00CB4AE0"/>
    <w:rsid w:val="00CC2D94"/>
    <w:rsid w:val="00CC3BA7"/>
    <w:rsid w:val="00CC657B"/>
    <w:rsid w:val="00CC6C27"/>
    <w:rsid w:val="00CC71EF"/>
    <w:rsid w:val="00CD1247"/>
    <w:rsid w:val="00CD39C3"/>
    <w:rsid w:val="00CD641B"/>
    <w:rsid w:val="00CD7D4C"/>
    <w:rsid w:val="00CE3911"/>
    <w:rsid w:val="00CE4310"/>
    <w:rsid w:val="00CE618C"/>
    <w:rsid w:val="00CE6464"/>
    <w:rsid w:val="00CE7CD2"/>
    <w:rsid w:val="00CF1134"/>
    <w:rsid w:val="00CF2652"/>
    <w:rsid w:val="00CF4569"/>
    <w:rsid w:val="00CF7A2A"/>
    <w:rsid w:val="00D01B13"/>
    <w:rsid w:val="00D0457A"/>
    <w:rsid w:val="00D04C1F"/>
    <w:rsid w:val="00D056CC"/>
    <w:rsid w:val="00D07689"/>
    <w:rsid w:val="00D12C1A"/>
    <w:rsid w:val="00D157EE"/>
    <w:rsid w:val="00D218A9"/>
    <w:rsid w:val="00D244E8"/>
    <w:rsid w:val="00D25186"/>
    <w:rsid w:val="00D26FDE"/>
    <w:rsid w:val="00D32A78"/>
    <w:rsid w:val="00D32D33"/>
    <w:rsid w:val="00D35977"/>
    <w:rsid w:val="00D40471"/>
    <w:rsid w:val="00D41B12"/>
    <w:rsid w:val="00D43F5A"/>
    <w:rsid w:val="00D46122"/>
    <w:rsid w:val="00D46946"/>
    <w:rsid w:val="00D47978"/>
    <w:rsid w:val="00D51137"/>
    <w:rsid w:val="00D51397"/>
    <w:rsid w:val="00D63277"/>
    <w:rsid w:val="00D63378"/>
    <w:rsid w:val="00D634F2"/>
    <w:rsid w:val="00D64597"/>
    <w:rsid w:val="00D65554"/>
    <w:rsid w:val="00D6558E"/>
    <w:rsid w:val="00D67816"/>
    <w:rsid w:val="00D742F6"/>
    <w:rsid w:val="00D75133"/>
    <w:rsid w:val="00D76935"/>
    <w:rsid w:val="00D779E8"/>
    <w:rsid w:val="00D82669"/>
    <w:rsid w:val="00D830DE"/>
    <w:rsid w:val="00D85995"/>
    <w:rsid w:val="00D87A69"/>
    <w:rsid w:val="00D87F07"/>
    <w:rsid w:val="00D90E31"/>
    <w:rsid w:val="00D9142A"/>
    <w:rsid w:val="00D94DE0"/>
    <w:rsid w:val="00D9558F"/>
    <w:rsid w:val="00D960EC"/>
    <w:rsid w:val="00D9735E"/>
    <w:rsid w:val="00D97782"/>
    <w:rsid w:val="00DA50C3"/>
    <w:rsid w:val="00DA7438"/>
    <w:rsid w:val="00DB0788"/>
    <w:rsid w:val="00DB7F6F"/>
    <w:rsid w:val="00DC0ACB"/>
    <w:rsid w:val="00DC55D0"/>
    <w:rsid w:val="00DC5BB0"/>
    <w:rsid w:val="00DD0BAD"/>
    <w:rsid w:val="00DD0DE2"/>
    <w:rsid w:val="00DD2CE2"/>
    <w:rsid w:val="00DD60DE"/>
    <w:rsid w:val="00DD642A"/>
    <w:rsid w:val="00DD71A7"/>
    <w:rsid w:val="00DE1406"/>
    <w:rsid w:val="00DE14F6"/>
    <w:rsid w:val="00DE1D9F"/>
    <w:rsid w:val="00DE35BE"/>
    <w:rsid w:val="00DF2589"/>
    <w:rsid w:val="00DF360F"/>
    <w:rsid w:val="00DF36CA"/>
    <w:rsid w:val="00DF4F6A"/>
    <w:rsid w:val="00DF4FB8"/>
    <w:rsid w:val="00DF63E3"/>
    <w:rsid w:val="00DF7385"/>
    <w:rsid w:val="00E00473"/>
    <w:rsid w:val="00E02F0D"/>
    <w:rsid w:val="00E1061C"/>
    <w:rsid w:val="00E10692"/>
    <w:rsid w:val="00E14738"/>
    <w:rsid w:val="00E1479A"/>
    <w:rsid w:val="00E15A16"/>
    <w:rsid w:val="00E206A3"/>
    <w:rsid w:val="00E20C64"/>
    <w:rsid w:val="00E24DB8"/>
    <w:rsid w:val="00E26EB0"/>
    <w:rsid w:val="00E27034"/>
    <w:rsid w:val="00E32D4B"/>
    <w:rsid w:val="00E33957"/>
    <w:rsid w:val="00E41116"/>
    <w:rsid w:val="00E414EF"/>
    <w:rsid w:val="00E424DA"/>
    <w:rsid w:val="00E45390"/>
    <w:rsid w:val="00E455A5"/>
    <w:rsid w:val="00E56CCD"/>
    <w:rsid w:val="00E5722D"/>
    <w:rsid w:val="00E62643"/>
    <w:rsid w:val="00E62938"/>
    <w:rsid w:val="00E642D3"/>
    <w:rsid w:val="00E702F6"/>
    <w:rsid w:val="00E7387C"/>
    <w:rsid w:val="00E73C17"/>
    <w:rsid w:val="00E768B8"/>
    <w:rsid w:val="00E778AE"/>
    <w:rsid w:val="00E77A0F"/>
    <w:rsid w:val="00E82D4E"/>
    <w:rsid w:val="00E835A1"/>
    <w:rsid w:val="00E83E2D"/>
    <w:rsid w:val="00E85164"/>
    <w:rsid w:val="00E8739B"/>
    <w:rsid w:val="00E90652"/>
    <w:rsid w:val="00E947E7"/>
    <w:rsid w:val="00E948B4"/>
    <w:rsid w:val="00E95C43"/>
    <w:rsid w:val="00E96570"/>
    <w:rsid w:val="00EA31DB"/>
    <w:rsid w:val="00EA68E9"/>
    <w:rsid w:val="00EA6EC8"/>
    <w:rsid w:val="00EA7D7F"/>
    <w:rsid w:val="00EB3C38"/>
    <w:rsid w:val="00EC12A0"/>
    <w:rsid w:val="00EC1E5F"/>
    <w:rsid w:val="00EC64A8"/>
    <w:rsid w:val="00EC78B7"/>
    <w:rsid w:val="00ED14BD"/>
    <w:rsid w:val="00ED24F1"/>
    <w:rsid w:val="00ED41E5"/>
    <w:rsid w:val="00ED49B5"/>
    <w:rsid w:val="00EE332B"/>
    <w:rsid w:val="00EE6C01"/>
    <w:rsid w:val="00EF1519"/>
    <w:rsid w:val="00EF2896"/>
    <w:rsid w:val="00EF2C61"/>
    <w:rsid w:val="00EF4610"/>
    <w:rsid w:val="00EF4AC3"/>
    <w:rsid w:val="00EF6CB2"/>
    <w:rsid w:val="00EF7939"/>
    <w:rsid w:val="00F01A5C"/>
    <w:rsid w:val="00F04DE2"/>
    <w:rsid w:val="00F076E3"/>
    <w:rsid w:val="00F11CFC"/>
    <w:rsid w:val="00F1463A"/>
    <w:rsid w:val="00F15936"/>
    <w:rsid w:val="00F20B68"/>
    <w:rsid w:val="00F23DBE"/>
    <w:rsid w:val="00F26C87"/>
    <w:rsid w:val="00F31085"/>
    <w:rsid w:val="00F31737"/>
    <w:rsid w:val="00F329A7"/>
    <w:rsid w:val="00F40513"/>
    <w:rsid w:val="00F41C5C"/>
    <w:rsid w:val="00F424A9"/>
    <w:rsid w:val="00F4459F"/>
    <w:rsid w:val="00F44F99"/>
    <w:rsid w:val="00F508C7"/>
    <w:rsid w:val="00F52F72"/>
    <w:rsid w:val="00F5729F"/>
    <w:rsid w:val="00F60524"/>
    <w:rsid w:val="00F65587"/>
    <w:rsid w:val="00F656A1"/>
    <w:rsid w:val="00F65B62"/>
    <w:rsid w:val="00F72DC7"/>
    <w:rsid w:val="00F74B26"/>
    <w:rsid w:val="00F76618"/>
    <w:rsid w:val="00F772DD"/>
    <w:rsid w:val="00F776C3"/>
    <w:rsid w:val="00F77E06"/>
    <w:rsid w:val="00F8101C"/>
    <w:rsid w:val="00F850F4"/>
    <w:rsid w:val="00F85254"/>
    <w:rsid w:val="00F85AD8"/>
    <w:rsid w:val="00F9021F"/>
    <w:rsid w:val="00F93464"/>
    <w:rsid w:val="00F95594"/>
    <w:rsid w:val="00F973A7"/>
    <w:rsid w:val="00FA0C54"/>
    <w:rsid w:val="00FA35E2"/>
    <w:rsid w:val="00FA5DE1"/>
    <w:rsid w:val="00FA6CB8"/>
    <w:rsid w:val="00FA7D60"/>
    <w:rsid w:val="00FB260A"/>
    <w:rsid w:val="00FB2B02"/>
    <w:rsid w:val="00FB4897"/>
    <w:rsid w:val="00FB6664"/>
    <w:rsid w:val="00FC2464"/>
    <w:rsid w:val="00FC3224"/>
    <w:rsid w:val="00FC60C3"/>
    <w:rsid w:val="00FC6311"/>
    <w:rsid w:val="00FC7CE6"/>
    <w:rsid w:val="00FD0795"/>
    <w:rsid w:val="00FD0A4E"/>
    <w:rsid w:val="00FD3A37"/>
    <w:rsid w:val="00FD577E"/>
    <w:rsid w:val="00FD6497"/>
    <w:rsid w:val="00FD73BD"/>
    <w:rsid w:val="00FE14B4"/>
    <w:rsid w:val="00FE1EBE"/>
    <w:rsid w:val="00FE46CE"/>
    <w:rsid w:val="00FE4E43"/>
    <w:rsid w:val="00FF1103"/>
    <w:rsid w:val="00FF2EC3"/>
    <w:rsid w:val="00FF462C"/>
    <w:rsid w:val="00FF66DC"/>
    <w:rsid w:val="00FF7CD6"/>
    <w:rsid w:val="012A4E2C"/>
    <w:rsid w:val="02DC2156"/>
    <w:rsid w:val="03CC3F79"/>
    <w:rsid w:val="05CD222A"/>
    <w:rsid w:val="06084616"/>
    <w:rsid w:val="06A9292B"/>
    <w:rsid w:val="08EF7A39"/>
    <w:rsid w:val="0A5844F0"/>
    <w:rsid w:val="0DFF0ECB"/>
    <w:rsid w:val="0EE41D10"/>
    <w:rsid w:val="11386E78"/>
    <w:rsid w:val="11B73ED3"/>
    <w:rsid w:val="12277661"/>
    <w:rsid w:val="133D4C82"/>
    <w:rsid w:val="138D4967"/>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5D63DB0"/>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7B34D4F7"/>
  <w15:docId w15:val="{6ED72273-B959-4277-9FE0-EF6A35E8C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next w:val="BodyText2"/>
    <w:qFormat/>
    <w:pPr>
      <w:widowControl w:val="0"/>
      <w:jc w:val="both"/>
    </w:pPr>
    <w:rPr>
      <w:rFonts w:ascii="Calibri" w:hAnsi="Calibri" w:cs="Calibri"/>
      <w:kern w:val="2"/>
      <w:sz w:val="21"/>
      <w:szCs w:val="24"/>
    </w:rPr>
  </w:style>
  <w:style w:type="paragraph" w:styleId="1">
    <w:name w:val="heading 1"/>
    <w:basedOn w:val="ac"/>
    <w:next w:val="ac"/>
    <w:qFormat/>
    <w:pPr>
      <w:keepNext/>
      <w:keepLines/>
      <w:spacing w:before="340" w:after="330" w:line="578" w:lineRule="auto"/>
      <w:outlineLvl w:val="0"/>
    </w:pPr>
    <w:rPr>
      <w:b/>
      <w:bCs/>
      <w:kern w:val="44"/>
      <w:sz w:val="44"/>
    </w:rPr>
  </w:style>
  <w:style w:type="paragraph" w:styleId="2">
    <w:name w:val="heading 2"/>
    <w:basedOn w:val="ac"/>
    <w:next w:val="ac"/>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qFormat/>
    <w:pPr>
      <w:keepNext/>
      <w:keepLines/>
      <w:spacing w:before="260" w:after="260" w:line="415" w:lineRule="auto"/>
      <w:outlineLvl w:val="2"/>
    </w:pPr>
    <w:rPr>
      <w:b/>
      <w:sz w:val="32"/>
    </w:rPr>
  </w:style>
  <w:style w:type="paragraph" w:styleId="7">
    <w:name w:val="heading 7"/>
    <w:basedOn w:val="ac"/>
    <w:next w:val="ac"/>
    <w:link w:val="70"/>
    <w:uiPriority w:val="9"/>
    <w:qFormat/>
    <w:pPr>
      <w:keepNext/>
      <w:keepLines/>
      <w:spacing w:before="240" w:after="64" w:line="320" w:lineRule="auto"/>
      <w:outlineLvl w:val="6"/>
    </w:pPr>
    <w:rPr>
      <w:b/>
      <w:bCs/>
      <w:sz w:val="24"/>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qFormat/>
    <w:pPr>
      <w:spacing w:after="120" w:line="480" w:lineRule="auto"/>
      <w:textAlignment w:val="baseline"/>
    </w:pPr>
    <w:rPr>
      <w:rFonts w:cs="Times New Roman"/>
      <w:sz w:val="32"/>
      <w:szCs w:val="32"/>
    </w:rPr>
  </w:style>
  <w:style w:type="paragraph" w:styleId="af0">
    <w:name w:val="annotation text"/>
    <w:basedOn w:val="ac"/>
    <w:link w:val="af1"/>
    <w:uiPriority w:val="99"/>
    <w:unhideWhenUsed/>
    <w:qFormat/>
    <w:pPr>
      <w:adjustRightInd w:val="0"/>
      <w:spacing w:line="400" w:lineRule="exact"/>
      <w:jc w:val="left"/>
    </w:pPr>
    <w:rPr>
      <w:szCs w:val="21"/>
    </w:rPr>
  </w:style>
  <w:style w:type="paragraph" w:styleId="af2">
    <w:name w:val="Date"/>
    <w:basedOn w:val="ac"/>
    <w:next w:val="ac"/>
    <w:link w:val="af3"/>
    <w:uiPriority w:val="99"/>
    <w:semiHidden/>
    <w:unhideWhenUsed/>
    <w:qFormat/>
    <w:pPr>
      <w:ind w:leftChars="2500" w:left="100"/>
    </w:pPr>
  </w:style>
  <w:style w:type="paragraph" w:styleId="af4">
    <w:name w:val="endnote text"/>
    <w:basedOn w:val="ac"/>
    <w:link w:val="af5"/>
    <w:uiPriority w:val="99"/>
    <w:semiHidden/>
    <w:unhideWhenUsed/>
    <w:qFormat/>
    <w:pPr>
      <w:snapToGrid w:val="0"/>
      <w:jc w:val="left"/>
    </w:pPr>
  </w:style>
  <w:style w:type="paragraph" w:styleId="af6">
    <w:name w:val="Balloon Text"/>
    <w:basedOn w:val="ac"/>
    <w:link w:val="af7"/>
    <w:uiPriority w:val="99"/>
    <w:unhideWhenUsed/>
    <w:qFormat/>
    <w:rPr>
      <w:sz w:val="18"/>
      <w:szCs w:val="18"/>
    </w:rPr>
  </w:style>
  <w:style w:type="paragraph" w:styleId="af8">
    <w:name w:val="footer"/>
    <w:basedOn w:val="ac"/>
    <w:link w:val="af9"/>
    <w:uiPriority w:val="99"/>
    <w:qFormat/>
    <w:pPr>
      <w:tabs>
        <w:tab w:val="center" w:pos="4153"/>
        <w:tab w:val="right" w:pos="8306"/>
      </w:tabs>
      <w:snapToGrid w:val="0"/>
      <w:jc w:val="left"/>
    </w:pPr>
    <w:rPr>
      <w:sz w:val="18"/>
      <w:szCs w:val="18"/>
    </w:rPr>
  </w:style>
  <w:style w:type="paragraph" w:styleId="afa">
    <w:name w:val="envelope return"/>
    <w:basedOn w:val="ac"/>
    <w:qFormat/>
    <w:pPr>
      <w:snapToGrid w:val="0"/>
    </w:pPr>
    <w:rPr>
      <w:rFonts w:ascii="Times New Roman" w:hAnsi="Times New Roman"/>
    </w:rPr>
  </w:style>
  <w:style w:type="paragraph" w:styleId="afb">
    <w:name w:val="header"/>
    <w:basedOn w:val="ac"/>
    <w:link w:val="afc"/>
    <w:qFormat/>
    <w:pPr>
      <w:pBdr>
        <w:bottom w:val="single" w:sz="6" w:space="1" w:color="auto"/>
      </w:pBdr>
      <w:tabs>
        <w:tab w:val="center" w:pos="4153"/>
        <w:tab w:val="right" w:pos="8306"/>
      </w:tabs>
      <w:snapToGrid w:val="0"/>
      <w:jc w:val="center"/>
    </w:pPr>
    <w:rPr>
      <w:sz w:val="18"/>
      <w:szCs w:val="18"/>
    </w:rPr>
  </w:style>
  <w:style w:type="paragraph" w:styleId="4">
    <w:name w:val="toc 4"/>
    <w:basedOn w:val="ac"/>
    <w:next w:val="ac"/>
    <w:uiPriority w:val="39"/>
    <w:unhideWhenUsed/>
    <w:qFormat/>
    <w:pPr>
      <w:tabs>
        <w:tab w:val="right" w:leader="dot" w:pos="9344"/>
      </w:tabs>
      <w:adjustRightInd w:val="0"/>
      <w:spacing w:line="300" w:lineRule="exact"/>
      <w:ind w:left="629"/>
    </w:pPr>
    <w:rPr>
      <w:rFonts w:ascii="宋体"/>
      <w:szCs w:val="21"/>
    </w:rPr>
  </w:style>
  <w:style w:type="paragraph" w:styleId="afd">
    <w:name w:val="Normal (Web)"/>
    <w:basedOn w:val="ac"/>
    <w:uiPriority w:val="99"/>
    <w:semiHidden/>
    <w:unhideWhenUsed/>
    <w:qFormat/>
    <w:rPr>
      <w:sz w:val="24"/>
    </w:rPr>
  </w:style>
  <w:style w:type="paragraph" w:styleId="afe">
    <w:name w:val="Title"/>
    <w:basedOn w:val="ac"/>
    <w:next w:val="ac"/>
    <w:link w:val="aff"/>
    <w:uiPriority w:val="10"/>
    <w:qFormat/>
    <w:pPr>
      <w:spacing w:before="240" w:after="60"/>
      <w:jc w:val="center"/>
      <w:outlineLvl w:val="0"/>
    </w:pPr>
    <w:rPr>
      <w:rFonts w:asciiTheme="majorHAnsi" w:eastAsiaTheme="majorEastAsia" w:hAnsiTheme="majorHAnsi" w:cstheme="majorBidi"/>
      <w:b/>
      <w:bCs/>
      <w:sz w:val="32"/>
      <w:szCs w:val="32"/>
    </w:rPr>
  </w:style>
  <w:style w:type="paragraph" w:styleId="aff0">
    <w:name w:val="annotation subject"/>
    <w:basedOn w:val="af0"/>
    <w:next w:val="af0"/>
    <w:link w:val="aff1"/>
    <w:uiPriority w:val="99"/>
    <w:semiHidden/>
    <w:unhideWhenUsed/>
    <w:qFormat/>
    <w:pPr>
      <w:adjustRightInd/>
      <w:spacing w:line="240" w:lineRule="auto"/>
    </w:pPr>
    <w:rPr>
      <w:b/>
      <w:bCs/>
      <w:szCs w:val="24"/>
    </w:rPr>
  </w:style>
  <w:style w:type="table" w:styleId="aff2">
    <w:name w:val="Table Grid"/>
    <w:basedOn w:val="ae"/>
    <w:uiPriority w:val="39"/>
    <w:qFormat/>
    <w:pPr>
      <w:widowControl w:val="0"/>
      <w:jc w:val="both"/>
    </w:pPr>
    <w:tblPr>
      <w:tblBorders>
        <w:top w:val="single" w:sz="4" w:space="0" w:color="auto"/>
        <w:bottom w:val="single" w:sz="4" w:space="0" w:color="auto"/>
      </w:tblBorders>
    </w:tblPr>
  </w:style>
  <w:style w:type="character" w:styleId="aff3">
    <w:name w:val="Strong"/>
    <w:basedOn w:val="ad"/>
    <w:uiPriority w:val="22"/>
    <w:qFormat/>
    <w:rPr>
      <w:b/>
    </w:rPr>
  </w:style>
  <w:style w:type="character" w:styleId="aff4">
    <w:name w:val="endnote reference"/>
    <w:basedOn w:val="ad"/>
    <w:uiPriority w:val="99"/>
    <w:semiHidden/>
    <w:unhideWhenUsed/>
    <w:qFormat/>
    <w:rPr>
      <w:vertAlign w:val="superscript"/>
    </w:rPr>
  </w:style>
  <w:style w:type="character" w:styleId="aff5">
    <w:name w:val="line number"/>
    <w:qFormat/>
  </w:style>
  <w:style w:type="character" w:styleId="aff6">
    <w:name w:val="Hyperlink"/>
    <w:qFormat/>
    <w:rPr>
      <w:rFonts w:ascii="宋体" w:eastAsia="宋体"/>
      <w:color w:val="auto"/>
      <w:spacing w:val="0"/>
      <w:w w:val="100"/>
      <w:position w:val="0"/>
      <w:sz w:val="21"/>
      <w:u w:val="none"/>
      <w:vertAlign w:val="baseline"/>
    </w:rPr>
  </w:style>
  <w:style w:type="character" w:styleId="aff7">
    <w:name w:val="annotation reference"/>
    <w:uiPriority w:val="99"/>
    <w:qFormat/>
    <w:rPr>
      <w:sz w:val="21"/>
    </w:rPr>
  </w:style>
  <w:style w:type="character" w:styleId="aff8">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1">
    <w:name w:val="批注文字 字符"/>
    <w:link w:val="af0"/>
    <w:uiPriority w:val="99"/>
    <w:semiHidden/>
    <w:qFormat/>
    <w:rPr>
      <w:rFonts w:ascii="Calibri" w:eastAsia="宋体" w:hAnsi="Calibri"/>
      <w:kern w:val="2"/>
      <w:sz w:val="21"/>
      <w:szCs w:val="21"/>
    </w:rPr>
  </w:style>
  <w:style w:type="character" w:customStyle="1" w:styleId="af7">
    <w:name w:val="批注框文本 字符"/>
    <w:link w:val="af6"/>
    <w:uiPriority w:val="99"/>
    <w:semiHidden/>
    <w:qFormat/>
    <w:rPr>
      <w:rFonts w:eastAsia="宋体"/>
      <w:kern w:val="2"/>
      <w:sz w:val="18"/>
      <w:szCs w:val="18"/>
    </w:rPr>
  </w:style>
  <w:style w:type="character" w:customStyle="1" w:styleId="af9">
    <w:name w:val="页脚 字符"/>
    <w:link w:val="af8"/>
    <w:uiPriority w:val="99"/>
    <w:qFormat/>
    <w:locked/>
    <w:rPr>
      <w:rFonts w:eastAsia="宋体"/>
      <w:kern w:val="2"/>
      <w:sz w:val="18"/>
      <w:szCs w:val="18"/>
    </w:rPr>
  </w:style>
  <w:style w:type="paragraph" w:customStyle="1" w:styleId="aff9">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a">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a"/>
    <w:qFormat/>
    <w:rPr>
      <w:rFonts w:ascii="仿宋" w:eastAsia="仿宋" w:hAnsi="仿宋" w:cs="Calibri"/>
      <w:kern w:val="2"/>
      <w:sz w:val="32"/>
      <w:szCs w:val="32"/>
    </w:rPr>
  </w:style>
  <w:style w:type="paragraph" w:customStyle="1" w:styleId="a6">
    <w:name w:val="标准文件_章标题"/>
    <w:next w:val="affa"/>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b">
    <w:name w:val="标准文件_二级条标题"/>
    <w:next w:val="affa"/>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a"/>
    <w:qFormat/>
    <w:pPr>
      <w:numPr>
        <w:ilvl w:val="2"/>
      </w:numPr>
      <w:spacing w:beforeLines="0" w:before="50" w:afterLines="0" w:after="50"/>
      <w:outlineLvl w:val="1"/>
    </w:pPr>
  </w:style>
  <w:style w:type="paragraph" w:customStyle="1" w:styleId="affc">
    <w:name w:val="标准文件_三级条标题"/>
    <w:basedOn w:val="affb"/>
    <w:next w:val="affa"/>
    <w:qFormat/>
    <w:pPr>
      <w:outlineLvl w:val="3"/>
    </w:pPr>
  </w:style>
  <w:style w:type="paragraph" w:customStyle="1" w:styleId="affd">
    <w:name w:val="标准文件_四级条标题"/>
    <w:next w:val="affa"/>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b"/>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d"/>
    <w:qFormat/>
    <w:pPr>
      <w:numPr>
        <w:ilvl w:val="5"/>
        <w:numId w:val="1"/>
      </w:numPr>
    </w:pPr>
    <w:rPr>
      <w:rFonts w:ascii="宋体" w:eastAsia="宋体"/>
      <w:szCs w:val="52"/>
    </w:rPr>
  </w:style>
  <w:style w:type="paragraph" w:customStyle="1" w:styleId="a8">
    <w:name w:val="标准文件_三级无标题"/>
    <w:basedOn w:val="affc"/>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e">
    <w:name w:val="段"/>
    <w:qFormat/>
    <w:pPr>
      <w:autoSpaceDE w:val="0"/>
      <w:autoSpaceDN w:val="0"/>
      <w:ind w:firstLineChars="200" w:firstLine="200"/>
      <w:jc w:val="both"/>
    </w:pPr>
    <w:rPr>
      <w:rFonts w:ascii="宋体" w:hAnsi="Calibri" w:cs="Calibri"/>
      <w:sz w:val="21"/>
    </w:rPr>
  </w:style>
  <w:style w:type="paragraph" w:customStyle="1" w:styleId="afff">
    <w:name w:val="二级无"/>
    <w:basedOn w:val="ac"/>
    <w:qFormat/>
    <w:pPr>
      <w:widowControl/>
      <w:tabs>
        <w:tab w:val="left" w:pos="780"/>
      </w:tabs>
      <w:ind w:left="780" w:hanging="360"/>
      <w:jc w:val="left"/>
      <w:outlineLvl w:val="3"/>
    </w:pPr>
    <w:rPr>
      <w:rFonts w:ascii="宋体"/>
      <w:kern w:val="0"/>
      <w:szCs w:val="21"/>
    </w:rPr>
  </w:style>
  <w:style w:type="paragraph" w:customStyle="1" w:styleId="afff0">
    <w:name w:val="标准文件_二级无标题"/>
    <w:basedOn w:val="affb"/>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qFormat/>
  </w:style>
  <w:style w:type="paragraph" w:customStyle="1" w:styleId="a3">
    <w:name w:val="标准文件_数字编号列项（二级）"/>
    <w:qFormat/>
    <w:pPr>
      <w:numPr>
        <w:ilvl w:val="1"/>
        <w:numId w:val="3"/>
      </w:numPr>
      <w:jc w:val="both"/>
    </w:pPr>
    <w:rPr>
      <w:rFonts w:ascii="宋体" w:hAnsi="Calibri" w:cs="Calibri"/>
      <w:sz w:val="21"/>
    </w:rPr>
  </w:style>
  <w:style w:type="paragraph" w:customStyle="1" w:styleId="a4">
    <w:name w:val="标准文件_编号列项（三级）"/>
    <w:qFormat/>
    <w:pPr>
      <w:numPr>
        <w:ilvl w:val="2"/>
        <w:numId w:val="3"/>
      </w:numPr>
    </w:pPr>
    <w:rPr>
      <w:rFonts w:ascii="宋体" w:hAnsi="Calibri" w:cs="Calibri"/>
      <w:sz w:val="21"/>
    </w:rPr>
  </w:style>
  <w:style w:type="paragraph" w:customStyle="1" w:styleId="a2">
    <w:name w:val="标准文件_字母编号列项（一级）"/>
    <w:qFormat/>
    <w:pPr>
      <w:numPr>
        <w:numId w:val="3"/>
      </w:numPr>
      <w:jc w:val="both"/>
    </w:pPr>
    <w:rPr>
      <w:rFonts w:ascii="宋体" w:hAnsi="Calibri" w:cs="Calibri"/>
      <w:sz w:val="21"/>
    </w:rPr>
  </w:style>
  <w:style w:type="paragraph" w:customStyle="1" w:styleId="afff1">
    <w:name w:val="标准文件_术语条一"/>
    <w:basedOn w:val="ac"/>
    <w:next w:val="affa"/>
    <w:qFormat/>
    <w:pPr>
      <w:widowControl/>
    </w:pPr>
    <w:rPr>
      <w:rFonts w:ascii="宋体"/>
      <w:kern w:val="0"/>
      <w:szCs w:val="20"/>
    </w:rPr>
  </w:style>
  <w:style w:type="paragraph" w:customStyle="1" w:styleId="abstract">
    <w:name w:val="abstract"/>
    <w:basedOn w:val="ac"/>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qFormat/>
    <w:pPr>
      <w:widowControl/>
      <w:spacing w:before="100" w:beforeAutospacing="1" w:after="100" w:afterAutospacing="1"/>
      <w:jc w:val="left"/>
    </w:pPr>
    <w:rPr>
      <w:rFonts w:ascii="宋体" w:hAnsi="宋体" w:cs="宋体"/>
      <w:kern w:val="0"/>
      <w:sz w:val="24"/>
    </w:rPr>
  </w:style>
  <w:style w:type="paragraph" w:styleId="afff2">
    <w:name w:val="No Spacing"/>
    <w:uiPriority w:val="99"/>
    <w:qFormat/>
    <w:pPr>
      <w:widowControl w:val="0"/>
      <w:jc w:val="both"/>
    </w:pPr>
    <w:rPr>
      <w:rFonts w:ascii="Calibri" w:hAnsi="Calibri"/>
      <w:kern w:val="2"/>
      <w:sz w:val="21"/>
      <w:szCs w:val="24"/>
    </w:rPr>
  </w:style>
  <w:style w:type="paragraph" w:customStyle="1" w:styleId="a1">
    <w:name w:val="标准文件_一级项"/>
    <w:qFormat/>
    <w:pPr>
      <w:numPr>
        <w:numId w:val="4"/>
      </w:numPr>
    </w:pPr>
    <w:rPr>
      <w:rFonts w:ascii="宋体"/>
      <w:sz w:val="21"/>
    </w:rPr>
  </w:style>
  <w:style w:type="paragraph" w:customStyle="1" w:styleId="ab">
    <w:name w:val="附录表标题"/>
    <w:basedOn w:val="ac"/>
    <w:next w:val="affe"/>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f3">
    <w:name w:val="List Paragraph"/>
    <w:basedOn w:val="ac"/>
    <w:uiPriority w:val="99"/>
    <w:unhideWhenUsed/>
    <w:qFormat/>
    <w:pPr>
      <w:ind w:firstLineChars="200" w:firstLine="420"/>
    </w:pPr>
    <w:rPr>
      <w:rFonts w:ascii="Times New Roman" w:hAnsi="Times New Roman" w:cs="Times New Roman"/>
    </w:rPr>
  </w:style>
  <w:style w:type="character" w:customStyle="1" w:styleId="afc">
    <w:name w:val="页眉 字符"/>
    <w:basedOn w:val="ad"/>
    <w:link w:val="afb"/>
    <w:qFormat/>
    <w:rPr>
      <w:rFonts w:ascii="Calibri" w:hAnsi="Calibri" w:cs="Calibri"/>
      <w:kern w:val="2"/>
      <w:sz w:val="18"/>
      <w:szCs w:val="18"/>
    </w:rPr>
  </w:style>
  <w:style w:type="character" w:customStyle="1" w:styleId="aff1">
    <w:name w:val="批注主题 字符"/>
    <w:basedOn w:val="af1"/>
    <w:link w:val="aff0"/>
    <w:uiPriority w:val="99"/>
    <w:semiHidden/>
    <w:qFormat/>
    <w:rPr>
      <w:rFonts w:ascii="Calibri" w:eastAsia="宋体" w:hAnsi="Calibri" w:cs="Calibri"/>
      <w:b/>
      <w:bCs/>
      <w:kern w:val="2"/>
      <w:sz w:val="21"/>
      <w:szCs w:val="24"/>
    </w:rPr>
  </w:style>
  <w:style w:type="character" w:customStyle="1" w:styleId="af5">
    <w:name w:val="尾注文本 字符"/>
    <w:basedOn w:val="ad"/>
    <w:link w:val="af4"/>
    <w:uiPriority w:val="99"/>
    <w:semiHidden/>
    <w:qFormat/>
    <w:rPr>
      <w:rFonts w:ascii="Calibri" w:hAnsi="Calibri" w:cs="Calibri"/>
      <w:kern w:val="2"/>
      <w:sz w:val="21"/>
      <w:szCs w:val="24"/>
    </w:rPr>
  </w:style>
  <w:style w:type="paragraph" w:customStyle="1" w:styleId="a0">
    <w:name w:val="标准文件_方框数字列项"/>
    <w:basedOn w:val="affa"/>
    <w:qFormat/>
    <w:pPr>
      <w:numPr>
        <w:numId w:val="6"/>
      </w:numPr>
      <w:spacing w:line="240" w:lineRule="auto"/>
      <w:ind w:firstLineChars="0" w:firstLine="0"/>
    </w:pPr>
    <w:rPr>
      <w:rFonts w:ascii="宋体" w:eastAsia="宋体" w:hAnsi="Times New Roman" w:cs="Times New Roman"/>
      <w:kern w:val="0"/>
      <w:sz w:val="21"/>
      <w:szCs w:val="20"/>
    </w:rPr>
  </w:style>
  <w:style w:type="character" w:customStyle="1" w:styleId="af3">
    <w:name w:val="日期 字符"/>
    <w:basedOn w:val="ad"/>
    <w:link w:val="af2"/>
    <w:uiPriority w:val="99"/>
    <w:semiHidden/>
    <w:qFormat/>
    <w:rPr>
      <w:rFonts w:ascii="Calibri" w:hAnsi="Calibri" w:cs="Calibri"/>
      <w:kern w:val="2"/>
      <w:sz w:val="21"/>
      <w:szCs w:val="24"/>
    </w:rPr>
  </w:style>
  <w:style w:type="character" w:customStyle="1" w:styleId="aff">
    <w:name w:val="标题 字符"/>
    <w:basedOn w:val="ad"/>
    <w:link w:val="afe"/>
    <w:uiPriority w:val="10"/>
    <w:qFormat/>
    <w:rPr>
      <w:rFonts w:asciiTheme="majorHAnsi" w:eastAsiaTheme="majorEastAsia" w:hAnsiTheme="majorHAnsi" w:cstheme="majorBidi"/>
      <w:b/>
      <w:bCs/>
      <w:kern w:val="2"/>
      <w:sz w:val="32"/>
      <w:szCs w:val="32"/>
    </w:rPr>
  </w:style>
  <w:style w:type="table" w:customStyle="1" w:styleId="11">
    <w:name w:val="网格型1"/>
    <w:basedOn w:val="ae"/>
    <w:next w:val="aff2"/>
    <w:uiPriority w:val="39"/>
    <w:qFormat/>
    <w:rsid w:val="00D157EE"/>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网格型11"/>
    <w:basedOn w:val="ae"/>
    <w:uiPriority w:val="99"/>
    <w:qFormat/>
    <w:rsid w:val="00BE5408"/>
    <w:rPr>
      <w:rFonts w:ascii="Calibri" w:hAnsi="Calibri"/>
      <w:kern w:val="2"/>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00458AE-5A11-400C-A421-F4D03E911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1226</TotalTime>
  <Pages>14</Pages>
  <Words>1251</Words>
  <Characters>7131</Characters>
  <Application>Microsoft Office Word</Application>
  <DocSecurity>0</DocSecurity>
  <Lines>59</Lines>
  <Paragraphs>16</Paragraphs>
  <ScaleCrop>false</ScaleCrop>
  <Company>微软中国</Company>
  <LinksUpToDate>false</LinksUpToDate>
  <CharactersWithSpaces>8366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440</cp:revision>
  <cp:lastPrinted>2025-05-09T02:21:00Z</cp:lastPrinted>
  <dcterms:created xsi:type="dcterms:W3CDTF">2024-09-29T09:06:00Z</dcterms:created>
  <dcterms:modified xsi:type="dcterms:W3CDTF">2025-11-30T03:25:00Z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A922D90BF3B641DA8C66AE267C36FA1E_13</vt:lpwstr>
  </property>
  <property fmtid="{D5CDD505-2E9C-101B-9397-08002B2CF9AE}" pid="4" name="KSOTemplateDocerSaveRecord">
    <vt:lpwstr>eyJoZGlkIjoiNmQ1ZTAxODgwYWQ1NjFmNGMzNjRlNmY2MTk2ZjA3M2MiLCJ1c2VySWQiOiI1NjkwODQ0OTAifQ==</vt:lpwstr>
  </property>
</Properties>
</file>