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59D03D" w14:textId="1AA71F07" w:rsidR="00D97782" w:rsidRDefault="008854C0">
      <w:pPr>
        <w:jc w:val="center"/>
        <w:rPr>
          <w:rFonts w:ascii="方正小标宋简体" w:eastAsia="方正小标宋简体" w:cs="仿宋_GB2312"/>
          <w:bCs/>
          <w:color w:val="000000" w:themeColor="text1"/>
          <w:sz w:val="44"/>
          <w:szCs w:val="44"/>
        </w:rPr>
      </w:pPr>
      <w:r>
        <w:rPr>
          <w:rFonts w:ascii="方正小标宋简体" w:eastAsia="方正小标宋简体" w:cs="仿宋_GB2312" w:hint="eastAsia"/>
          <w:bCs/>
          <w:color w:val="000000" w:themeColor="text1"/>
          <w:sz w:val="44"/>
          <w:szCs w:val="44"/>
        </w:rPr>
        <w:t>团体标准《</w:t>
      </w:r>
      <w:r w:rsidR="004B146F">
        <w:rPr>
          <w:rFonts w:ascii="方正小标宋简体" w:eastAsia="方正小标宋简体" w:cs="仿宋_GB2312" w:hint="eastAsia"/>
          <w:bCs/>
          <w:color w:val="000000" w:themeColor="text1"/>
          <w:sz w:val="44"/>
          <w:szCs w:val="44"/>
        </w:rPr>
        <w:t>大豆耐荫性鉴定评价技术规程</w:t>
      </w:r>
      <w:r>
        <w:rPr>
          <w:rFonts w:ascii="方正小标宋简体" w:eastAsia="方正小标宋简体" w:cs="仿宋_GB2312" w:hint="eastAsia"/>
          <w:bCs/>
          <w:color w:val="000000" w:themeColor="text1"/>
          <w:sz w:val="44"/>
          <w:szCs w:val="44"/>
        </w:rPr>
        <w:t>》</w:t>
      </w:r>
    </w:p>
    <w:p w14:paraId="6273E1A5" w14:textId="3201EFD0" w:rsidR="00D634F2" w:rsidRDefault="008854C0">
      <w:pPr>
        <w:jc w:val="center"/>
        <w:rPr>
          <w:rFonts w:ascii="方正小标宋简体" w:eastAsia="方正小标宋简体" w:cs="仿宋_GB2312"/>
          <w:bCs/>
          <w:color w:val="000000" w:themeColor="text1"/>
          <w:sz w:val="44"/>
          <w:szCs w:val="44"/>
        </w:rPr>
      </w:pPr>
      <w:r>
        <w:rPr>
          <w:rFonts w:ascii="方正小标宋简体" w:eastAsia="方正小标宋简体" w:cs="仿宋_GB2312" w:hint="eastAsia"/>
          <w:bCs/>
          <w:color w:val="000000" w:themeColor="text1"/>
          <w:sz w:val="44"/>
          <w:szCs w:val="44"/>
        </w:rPr>
        <w:t>（</w:t>
      </w:r>
      <w:r w:rsidR="00FA35E2">
        <w:rPr>
          <w:rFonts w:ascii="方正小标宋简体" w:eastAsia="方正小标宋简体" w:cs="仿宋_GB2312" w:hint="eastAsia"/>
          <w:bCs/>
          <w:color w:val="000000" w:themeColor="text1"/>
          <w:sz w:val="44"/>
          <w:szCs w:val="44"/>
        </w:rPr>
        <w:t>征求意见</w:t>
      </w:r>
      <w:r>
        <w:rPr>
          <w:rFonts w:ascii="方正小标宋简体" w:eastAsia="方正小标宋简体" w:cs="仿宋_GB2312" w:hint="eastAsia"/>
          <w:bCs/>
          <w:color w:val="000000" w:themeColor="text1"/>
          <w:sz w:val="44"/>
          <w:szCs w:val="44"/>
        </w:rPr>
        <w:t>稿）编制说明</w:t>
      </w:r>
    </w:p>
    <w:p w14:paraId="12A46FE1" w14:textId="77777777" w:rsidR="00D634F2" w:rsidRDefault="00D634F2">
      <w:pPr>
        <w:ind w:firstLine="378"/>
        <w:jc w:val="center"/>
        <w:rPr>
          <w:rFonts w:ascii="方正小标宋简体" w:eastAsia="方正小标宋简体" w:cs="仿宋_GB2312"/>
          <w:bCs/>
          <w:color w:val="000000" w:themeColor="text1"/>
          <w:sz w:val="18"/>
          <w:szCs w:val="18"/>
        </w:rPr>
      </w:pPr>
    </w:p>
    <w:p w14:paraId="4964C4A8" w14:textId="77777777" w:rsidR="00D634F2" w:rsidRDefault="008854C0">
      <w:pPr>
        <w:pStyle w:val="afe"/>
        <w:ind w:firstLineChars="200" w:firstLine="640"/>
        <w:jc w:val="left"/>
        <w:rPr>
          <w:rFonts w:ascii="黑体" w:eastAsia="黑体" w:hAnsi="黑体"/>
          <w:b w:val="0"/>
          <w:color w:val="000000" w:themeColor="text1"/>
        </w:rPr>
      </w:pPr>
      <w:r>
        <w:rPr>
          <w:rFonts w:ascii="黑体" w:eastAsia="黑体" w:hAnsi="黑体" w:hint="eastAsia"/>
          <w:b w:val="0"/>
          <w:color w:val="000000" w:themeColor="text1"/>
        </w:rPr>
        <w:t>一、任务来源、起草单位、</w:t>
      </w:r>
      <w:r>
        <w:rPr>
          <w:rFonts w:ascii="黑体" w:eastAsia="黑体" w:hAnsi="黑体"/>
          <w:b w:val="0"/>
          <w:color w:val="000000" w:themeColor="text1"/>
        </w:rPr>
        <w:t>主要起草人</w:t>
      </w:r>
    </w:p>
    <w:p w14:paraId="39D94A88" w14:textId="6B13B810" w:rsidR="00D634F2" w:rsidRDefault="00B1480E">
      <w:pPr>
        <w:spacing w:afterLines="50" w:after="120" w:line="520" w:lineRule="exact"/>
        <w:ind w:firstLineChars="200" w:firstLine="640"/>
        <w:rPr>
          <w:rFonts w:ascii="仿宋_GB2312" w:eastAsia="仿宋_GB2312"/>
          <w:color w:val="000000" w:themeColor="text1"/>
          <w:sz w:val="32"/>
          <w:szCs w:val="32"/>
        </w:rPr>
      </w:pPr>
      <w:r w:rsidRPr="00B1480E">
        <w:rPr>
          <w:rFonts w:ascii="仿宋_GB2312" w:eastAsia="仿宋_GB2312" w:hint="eastAsia"/>
          <w:color w:val="000000" w:themeColor="text1"/>
          <w:sz w:val="32"/>
          <w:szCs w:val="32"/>
        </w:rPr>
        <w:t>根据《广西标准化协会关于下达</w:t>
      </w:r>
      <w:r w:rsidRPr="00310A68">
        <w:rPr>
          <w:rFonts w:ascii="仿宋_GB2312" w:eastAsia="仿宋_GB2312" w:hint="eastAsia"/>
          <w:color w:val="000000" w:themeColor="text1"/>
          <w:sz w:val="32"/>
          <w:szCs w:val="32"/>
        </w:rPr>
        <w:t>2025年第</w:t>
      </w:r>
      <w:r w:rsidR="00F71AE6" w:rsidRPr="00310A68">
        <w:rPr>
          <w:rFonts w:ascii="仿宋_GB2312" w:eastAsia="仿宋_GB2312" w:hint="eastAsia"/>
          <w:color w:val="000000" w:themeColor="text1"/>
          <w:sz w:val="32"/>
          <w:szCs w:val="32"/>
        </w:rPr>
        <w:t>三十二</w:t>
      </w:r>
      <w:r w:rsidRPr="00310A68">
        <w:rPr>
          <w:rFonts w:ascii="仿宋_GB2312" w:eastAsia="仿宋_GB2312" w:hint="eastAsia"/>
          <w:color w:val="000000" w:themeColor="text1"/>
          <w:sz w:val="32"/>
          <w:szCs w:val="32"/>
        </w:rPr>
        <w:t>批团体标准制修订项目计划的通知》（桂标协〔2025〕</w:t>
      </w:r>
      <w:r w:rsidR="00F71AE6" w:rsidRPr="00310A68">
        <w:rPr>
          <w:rFonts w:ascii="仿宋_GB2312" w:eastAsia="仿宋_GB2312"/>
          <w:color w:val="000000" w:themeColor="text1"/>
          <w:sz w:val="32"/>
          <w:szCs w:val="32"/>
        </w:rPr>
        <w:t>300</w:t>
      </w:r>
      <w:r w:rsidRPr="00310A68">
        <w:rPr>
          <w:rFonts w:ascii="仿宋_GB2312" w:eastAsia="仿宋_GB2312" w:hint="eastAsia"/>
          <w:color w:val="000000" w:themeColor="text1"/>
          <w:sz w:val="32"/>
          <w:szCs w:val="32"/>
        </w:rPr>
        <w:t>号）</w:t>
      </w:r>
      <w:r w:rsidRPr="00D97782">
        <w:rPr>
          <w:rFonts w:ascii="仿宋_GB2312" w:eastAsia="仿宋_GB2312" w:hint="eastAsia"/>
          <w:color w:val="000000" w:themeColor="text1"/>
          <w:sz w:val="32"/>
          <w:szCs w:val="32"/>
        </w:rPr>
        <w:t>文件精神，由</w:t>
      </w:r>
      <w:r w:rsidR="009312DF">
        <w:rPr>
          <w:rFonts w:ascii="仿宋_GB2312" w:eastAsia="仿宋_GB2312" w:hint="eastAsia"/>
          <w:color w:val="000000" w:themeColor="text1"/>
          <w:sz w:val="32"/>
          <w:szCs w:val="32"/>
        </w:rPr>
        <w:t>广西壮族自治区农业科学</w:t>
      </w:r>
      <w:r w:rsidR="00A602E9" w:rsidRPr="00D97782">
        <w:rPr>
          <w:rFonts w:ascii="仿宋_GB2312" w:eastAsia="仿宋_GB2312" w:hint="eastAsia"/>
          <w:color w:val="000000" w:themeColor="text1"/>
          <w:sz w:val="32"/>
          <w:szCs w:val="32"/>
        </w:rPr>
        <w:t>院</w:t>
      </w:r>
      <w:r w:rsidRPr="00D97782">
        <w:rPr>
          <w:rFonts w:ascii="仿宋_GB2312" w:eastAsia="仿宋_GB2312" w:hint="eastAsia"/>
          <w:color w:val="000000" w:themeColor="text1"/>
          <w:sz w:val="32"/>
          <w:szCs w:val="32"/>
        </w:rPr>
        <w:t>提出，</w:t>
      </w:r>
      <w:r w:rsidR="009312DF" w:rsidRPr="009312DF">
        <w:rPr>
          <w:rFonts w:ascii="仿宋_GB2312" w:eastAsia="仿宋_GB2312" w:hint="eastAsia"/>
          <w:color w:val="000000" w:themeColor="text1"/>
          <w:sz w:val="32"/>
          <w:szCs w:val="32"/>
        </w:rPr>
        <w:t>广西壮族自治区农业科学院、南京农业大学、南京农业大学三亚研究院、南宁市农业技术推广站、广西桂先种业有限公司、桂平市植保植检站、靖西市农业农村局</w:t>
      </w:r>
      <w:r w:rsidRPr="00D97782">
        <w:rPr>
          <w:rFonts w:ascii="仿宋_GB2312" w:eastAsia="仿宋_GB2312" w:hint="eastAsia"/>
          <w:color w:val="000000" w:themeColor="text1"/>
          <w:sz w:val="32"/>
          <w:szCs w:val="32"/>
        </w:rPr>
        <w:t>等单位共同起草的团体标准《</w:t>
      </w:r>
      <w:r w:rsidR="004B146F">
        <w:rPr>
          <w:rFonts w:ascii="仿宋_GB2312" w:eastAsia="仿宋_GB2312" w:hint="eastAsia"/>
          <w:bCs/>
          <w:color w:val="000000" w:themeColor="text1"/>
          <w:sz w:val="32"/>
          <w:szCs w:val="32"/>
        </w:rPr>
        <w:t>大豆耐荫性鉴定评价技术规程</w:t>
      </w:r>
      <w:r w:rsidRPr="00D97782">
        <w:rPr>
          <w:rFonts w:ascii="仿宋_GB2312" w:eastAsia="仿宋_GB2312" w:hint="eastAsia"/>
          <w:color w:val="000000" w:themeColor="text1"/>
          <w:sz w:val="32"/>
          <w:szCs w:val="32"/>
        </w:rPr>
        <w:t>》（项目编号：2025-</w:t>
      </w:r>
      <w:r w:rsidR="00F71AE6">
        <w:rPr>
          <w:rFonts w:ascii="仿宋_GB2312" w:eastAsia="仿宋_GB2312"/>
          <w:color w:val="000000" w:themeColor="text1"/>
          <w:sz w:val="32"/>
          <w:szCs w:val="32"/>
        </w:rPr>
        <w:t>3221</w:t>
      </w:r>
      <w:r w:rsidRPr="00D97782">
        <w:rPr>
          <w:rFonts w:ascii="仿宋_GB2312" w:eastAsia="仿宋_GB2312" w:hint="eastAsia"/>
          <w:color w:val="000000" w:themeColor="text1"/>
          <w:sz w:val="32"/>
          <w:szCs w:val="32"/>
        </w:rPr>
        <w:t>）</w:t>
      </w:r>
      <w:r w:rsidR="008854C0" w:rsidRPr="00D97782">
        <w:rPr>
          <w:rFonts w:ascii="仿宋_GB2312" w:eastAsia="仿宋_GB2312" w:hint="eastAsia"/>
          <w:color w:val="000000" w:themeColor="text1"/>
          <w:sz w:val="32"/>
          <w:szCs w:val="32"/>
        </w:rPr>
        <w:t>已获批立项。</w:t>
      </w:r>
    </w:p>
    <w:p w14:paraId="600D13A7" w14:textId="1E59FC74" w:rsidR="00D634F2" w:rsidRDefault="008854C0">
      <w:pPr>
        <w:spacing w:afterLines="50" w:after="120"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为高质量编制团体标准《</w:t>
      </w:r>
      <w:r w:rsidR="004B146F">
        <w:rPr>
          <w:rFonts w:ascii="仿宋_GB2312" w:eastAsia="仿宋_GB2312" w:hint="eastAsia"/>
          <w:color w:val="000000" w:themeColor="text1"/>
          <w:sz w:val="32"/>
          <w:szCs w:val="32"/>
        </w:rPr>
        <w:t>大豆耐荫性鉴定评价技术规程</w:t>
      </w:r>
      <w:r>
        <w:rPr>
          <w:rFonts w:ascii="仿宋_GB2312" w:eastAsia="仿宋_GB2312" w:hint="eastAsia"/>
          <w:color w:val="000000" w:themeColor="text1"/>
          <w:sz w:val="32"/>
          <w:szCs w:val="32"/>
        </w:rPr>
        <w:t>》，由起草单位成立标准编制工作组并进行如下分工：</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23"/>
        <w:gridCol w:w="1660"/>
        <w:gridCol w:w="1578"/>
        <w:gridCol w:w="2169"/>
        <w:gridCol w:w="2793"/>
      </w:tblGrid>
      <w:tr w:rsidR="0041392D" w14:paraId="480FA57C" w14:textId="77777777" w:rsidTr="002717A8">
        <w:trPr>
          <w:trHeight w:val="450"/>
          <w:tblHeader/>
          <w:jc w:val="center"/>
        </w:trPr>
        <w:tc>
          <w:tcPr>
            <w:tcW w:w="602" w:type="pct"/>
            <w:vAlign w:val="center"/>
          </w:tcPr>
          <w:p w14:paraId="560E727B" w14:textId="77777777" w:rsidR="0041392D" w:rsidRDefault="0041392D" w:rsidP="002717A8">
            <w:pPr>
              <w:jc w:val="center"/>
              <w:rPr>
                <w:rFonts w:ascii="仿宋_GB2312" w:eastAsia="仿宋_GB2312" w:hAnsi="Times New Roman"/>
                <w:b/>
                <w:color w:val="000000"/>
                <w:sz w:val="24"/>
              </w:rPr>
            </w:pPr>
            <w:r>
              <w:rPr>
                <w:rFonts w:ascii="仿宋_GB2312" w:eastAsia="仿宋_GB2312" w:hAnsi="Times New Roman" w:hint="eastAsia"/>
                <w:b/>
                <w:color w:val="000000"/>
                <w:sz w:val="24"/>
              </w:rPr>
              <w:t>姓名</w:t>
            </w:r>
          </w:p>
        </w:tc>
        <w:tc>
          <w:tcPr>
            <w:tcW w:w="890" w:type="pct"/>
            <w:vAlign w:val="center"/>
          </w:tcPr>
          <w:p w14:paraId="034AB79F" w14:textId="77777777" w:rsidR="0041392D" w:rsidRDefault="0041392D" w:rsidP="002717A8">
            <w:pPr>
              <w:jc w:val="center"/>
              <w:rPr>
                <w:rFonts w:ascii="仿宋_GB2312" w:eastAsia="仿宋_GB2312" w:hAnsi="Times New Roman"/>
                <w:b/>
                <w:color w:val="000000"/>
                <w:sz w:val="24"/>
              </w:rPr>
            </w:pPr>
            <w:r>
              <w:rPr>
                <w:rFonts w:ascii="仿宋_GB2312" w:eastAsia="仿宋_GB2312" w:hAnsi="Times New Roman" w:hint="eastAsia"/>
                <w:b/>
                <w:color w:val="000000"/>
                <w:sz w:val="24"/>
              </w:rPr>
              <w:t>职务/职称</w:t>
            </w:r>
          </w:p>
        </w:tc>
        <w:tc>
          <w:tcPr>
            <w:tcW w:w="846" w:type="pct"/>
            <w:vAlign w:val="center"/>
          </w:tcPr>
          <w:p w14:paraId="6473078E" w14:textId="77777777" w:rsidR="0041392D" w:rsidRDefault="0041392D" w:rsidP="002717A8">
            <w:pPr>
              <w:jc w:val="center"/>
              <w:rPr>
                <w:rFonts w:ascii="仿宋_GB2312" w:eastAsia="仿宋_GB2312" w:hAnsi="Times New Roman"/>
                <w:b/>
                <w:color w:val="000000"/>
                <w:sz w:val="24"/>
              </w:rPr>
            </w:pPr>
            <w:r>
              <w:rPr>
                <w:rFonts w:ascii="仿宋_GB2312" w:eastAsia="仿宋_GB2312" w:hAnsi="Times New Roman" w:hint="eastAsia"/>
                <w:b/>
                <w:color w:val="000000"/>
                <w:sz w:val="24"/>
              </w:rPr>
              <w:t>从事专业</w:t>
            </w:r>
          </w:p>
        </w:tc>
        <w:tc>
          <w:tcPr>
            <w:tcW w:w="1163" w:type="pct"/>
            <w:vAlign w:val="center"/>
          </w:tcPr>
          <w:p w14:paraId="2BF5C6A7" w14:textId="77777777" w:rsidR="0041392D" w:rsidRDefault="0041392D" w:rsidP="002717A8">
            <w:pPr>
              <w:jc w:val="center"/>
              <w:rPr>
                <w:rFonts w:ascii="仿宋_GB2312" w:eastAsia="仿宋_GB2312" w:hAnsi="Times New Roman"/>
                <w:b/>
                <w:color w:val="000000"/>
                <w:sz w:val="24"/>
              </w:rPr>
            </w:pPr>
            <w:r>
              <w:rPr>
                <w:rFonts w:ascii="仿宋_GB2312" w:eastAsia="仿宋_GB2312" w:hAnsi="Times New Roman" w:hint="eastAsia"/>
                <w:b/>
                <w:color w:val="000000"/>
                <w:sz w:val="24"/>
              </w:rPr>
              <w:t>工作单位</w:t>
            </w:r>
          </w:p>
        </w:tc>
        <w:tc>
          <w:tcPr>
            <w:tcW w:w="1497" w:type="pct"/>
            <w:vAlign w:val="center"/>
          </w:tcPr>
          <w:p w14:paraId="0ED2CD03" w14:textId="77777777" w:rsidR="0041392D" w:rsidRDefault="0041392D" w:rsidP="002717A8">
            <w:pPr>
              <w:jc w:val="center"/>
              <w:rPr>
                <w:rFonts w:ascii="仿宋_GB2312" w:eastAsia="仿宋_GB2312" w:hAnsi="Times New Roman"/>
                <w:b/>
                <w:color w:val="000000"/>
                <w:sz w:val="24"/>
              </w:rPr>
            </w:pPr>
            <w:r>
              <w:rPr>
                <w:rFonts w:ascii="仿宋_GB2312" w:eastAsia="仿宋_GB2312" w:hAnsi="Times New Roman" w:hint="eastAsia"/>
                <w:b/>
                <w:color w:val="000000"/>
                <w:sz w:val="24"/>
              </w:rPr>
              <w:t>责任分工</w:t>
            </w:r>
          </w:p>
        </w:tc>
      </w:tr>
      <w:tr w:rsidR="0041392D" w14:paraId="54BBB99B" w14:textId="77777777" w:rsidTr="002717A8">
        <w:trPr>
          <w:trHeight w:val="850"/>
          <w:jc w:val="center"/>
        </w:trPr>
        <w:tc>
          <w:tcPr>
            <w:tcW w:w="602" w:type="pct"/>
            <w:vAlign w:val="center"/>
          </w:tcPr>
          <w:p w14:paraId="1B4C6522"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陈东亮</w:t>
            </w:r>
          </w:p>
        </w:tc>
        <w:tc>
          <w:tcPr>
            <w:tcW w:w="890" w:type="pct"/>
            <w:vAlign w:val="center"/>
          </w:tcPr>
          <w:p w14:paraId="5CD09015"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助理研究员</w:t>
            </w:r>
          </w:p>
        </w:tc>
        <w:tc>
          <w:tcPr>
            <w:tcW w:w="846" w:type="pct"/>
            <w:vAlign w:val="center"/>
          </w:tcPr>
          <w:p w14:paraId="48346173"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作物遗传育种</w:t>
            </w:r>
          </w:p>
        </w:tc>
        <w:tc>
          <w:tcPr>
            <w:tcW w:w="1163" w:type="pct"/>
            <w:vAlign w:val="center"/>
          </w:tcPr>
          <w:p w14:paraId="1C8B613B"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广西壮族自治区农业科学院</w:t>
            </w:r>
          </w:p>
        </w:tc>
        <w:tc>
          <w:tcPr>
            <w:tcW w:w="1497" w:type="pct"/>
            <w:vAlign w:val="center"/>
          </w:tcPr>
          <w:p w14:paraId="2A1DCFDA" w14:textId="77777777" w:rsidR="0041392D" w:rsidRDefault="0041392D" w:rsidP="002717A8">
            <w:pPr>
              <w:suppressAutoHyphens/>
              <w:rPr>
                <w:rFonts w:ascii="仿宋_GB2312" w:eastAsia="仿宋_GB2312" w:hAnsi="仿宋_GB2312" w:cs="仿宋_GB2312"/>
                <w:bCs/>
                <w:color w:val="000000"/>
                <w:sz w:val="24"/>
              </w:rPr>
            </w:pPr>
            <w:r>
              <w:rPr>
                <w:rFonts w:ascii="仿宋_GB2312" w:eastAsia="仿宋_GB2312" w:hAnsi="仿宋_GB2312" w:cs="仿宋_GB2312" w:hint="eastAsia"/>
                <w:bCs/>
                <w:color w:val="000000"/>
                <w:sz w:val="24"/>
              </w:rPr>
              <w:t>统筹标准编制工作，组织人员进行规范发布后的宣贯培训。</w:t>
            </w:r>
          </w:p>
        </w:tc>
      </w:tr>
      <w:tr w:rsidR="0041392D" w14:paraId="47567E42" w14:textId="77777777" w:rsidTr="002717A8">
        <w:trPr>
          <w:trHeight w:val="850"/>
          <w:jc w:val="center"/>
        </w:trPr>
        <w:tc>
          <w:tcPr>
            <w:tcW w:w="602" w:type="pct"/>
            <w:vAlign w:val="center"/>
          </w:tcPr>
          <w:p w14:paraId="40CC603A"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孙祖东</w:t>
            </w:r>
          </w:p>
        </w:tc>
        <w:tc>
          <w:tcPr>
            <w:tcW w:w="890" w:type="pct"/>
            <w:vAlign w:val="center"/>
          </w:tcPr>
          <w:p w14:paraId="7B9460A4"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研究员</w:t>
            </w:r>
          </w:p>
        </w:tc>
        <w:tc>
          <w:tcPr>
            <w:tcW w:w="846" w:type="pct"/>
            <w:vAlign w:val="center"/>
          </w:tcPr>
          <w:p w14:paraId="064C700A"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作物遗传育种</w:t>
            </w:r>
          </w:p>
        </w:tc>
        <w:tc>
          <w:tcPr>
            <w:tcW w:w="1163" w:type="pct"/>
            <w:vAlign w:val="center"/>
          </w:tcPr>
          <w:p w14:paraId="3D72D7DF"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广西壮族自治区农业科学院</w:t>
            </w:r>
          </w:p>
        </w:tc>
        <w:tc>
          <w:tcPr>
            <w:tcW w:w="1497" w:type="pct"/>
            <w:vAlign w:val="center"/>
          </w:tcPr>
          <w:p w14:paraId="79D04E3D" w14:textId="77777777" w:rsidR="0041392D" w:rsidRDefault="0041392D" w:rsidP="002717A8">
            <w:pPr>
              <w:suppressAutoHyphens/>
              <w:rPr>
                <w:rFonts w:ascii="仿宋_GB2312" w:eastAsia="仿宋_GB2312" w:hAnsi="仿宋_GB2312" w:cs="仿宋_GB2312"/>
                <w:bCs/>
                <w:color w:val="000000"/>
                <w:sz w:val="24"/>
              </w:rPr>
            </w:pPr>
            <w:r>
              <w:rPr>
                <w:rFonts w:ascii="仿宋_GB2312" w:eastAsia="仿宋_GB2312" w:hAnsi="仿宋_GB2312" w:cs="仿宋_GB2312" w:hint="eastAsia"/>
                <w:bCs/>
                <w:color w:val="000000"/>
                <w:sz w:val="24"/>
              </w:rPr>
              <w:t>指导标准文本及编制说明编写，质量控制。</w:t>
            </w:r>
          </w:p>
        </w:tc>
      </w:tr>
      <w:tr w:rsidR="0041392D" w14:paraId="5D9ED644" w14:textId="77777777" w:rsidTr="002717A8">
        <w:trPr>
          <w:trHeight w:val="995"/>
          <w:jc w:val="center"/>
        </w:trPr>
        <w:tc>
          <w:tcPr>
            <w:tcW w:w="602" w:type="pct"/>
            <w:vAlign w:val="center"/>
          </w:tcPr>
          <w:p w14:paraId="5C368CCE"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谭玉荣</w:t>
            </w:r>
          </w:p>
        </w:tc>
        <w:tc>
          <w:tcPr>
            <w:tcW w:w="890" w:type="pct"/>
            <w:vAlign w:val="center"/>
          </w:tcPr>
          <w:p w14:paraId="33C4AB14"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助理研究员</w:t>
            </w:r>
          </w:p>
        </w:tc>
        <w:tc>
          <w:tcPr>
            <w:tcW w:w="846" w:type="pct"/>
            <w:vAlign w:val="center"/>
          </w:tcPr>
          <w:p w14:paraId="1AE3FBDB"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作物遗传育种</w:t>
            </w:r>
          </w:p>
        </w:tc>
        <w:tc>
          <w:tcPr>
            <w:tcW w:w="1163" w:type="pct"/>
            <w:vAlign w:val="center"/>
          </w:tcPr>
          <w:p w14:paraId="3741AF04"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广西壮族自治区农业科学院</w:t>
            </w:r>
          </w:p>
        </w:tc>
        <w:tc>
          <w:tcPr>
            <w:tcW w:w="1497" w:type="pct"/>
            <w:vAlign w:val="center"/>
          </w:tcPr>
          <w:p w14:paraId="6DE3F79B" w14:textId="77777777" w:rsidR="0041392D" w:rsidRDefault="0041392D" w:rsidP="002717A8">
            <w:pPr>
              <w:suppressAutoHyphens/>
              <w:rPr>
                <w:rFonts w:ascii="仿宋_GB2312" w:eastAsia="仿宋_GB2312" w:hAnsi="仿宋_GB2312" w:cs="仿宋_GB2312"/>
                <w:bCs/>
                <w:color w:val="000000"/>
                <w:sz w:val="24"/>
              </w:rPr>
            </w:pPr>
            <w:r>
              <w:rPr>
                <w:rFonts w:ascii="仿宋_GB2312" w:eastAsia="仿宋_GB2312" w:hAnsi="仿宋_GB2312" w:cs="仿宋_GB2312" w:hint="eastAsia"/>
                <w:bCs/>
                <w:color w:val="000000"/>
                <w:sz w:val="24"/>
              </w:rPr>
              <w:t>对标准实施情况进行总结分析，不断对标准提出修正意见。</w:t>
            </w:r>
          </w:p>
        </w:tc>
      </w:tr>
      <w:tr w:rsidR="0041392D" w14:paraId="7CE1F784" w14:textId="77777777" w:rsidTr="002717A8">
        <w:trPr>
          <w:trHeight w:val="995"/>
          <w:jc w:val="center"/>
        </w:trPr>
        <w:tc>
          <w:tcPr>
            <w:tcW w:w="602" w:type="pct"/>
            <w:vAlign w:val="center"/>
          </w:tcPr>
          <w:p w14:paraId="318ECA57"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曾维英</w:t>
            </w:r>
          </w:p>
        </w:tc>
        <w:tc>
          <w:tcPr>
            <w:tcW w:w="890" w:type="pct"/>
            <w:vAlign w:val="center"/>
          </w:tcPr>
          <w:p w14:paraId="4DF54B10"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研究员</w:t>
            </w:r>
          </w:p>
        </w:tc>
        <w:tc>
          <w:tcPr>
            <w:tcW w:w="846" w:type="pct"/>
            <w:vAlign w:val="center"/>
          </w:tcPr>
          <w:p w14:paraId="564D8E63"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作物遗传育种</w:t>
            </w:r>
          </w:p>
        </w:tc>
        <w:tc>
          <w:tcPr>
            <w:tcW w:w="1163" w:type="pct"/>
            <w:vAlign w:val="center"/>
          </w:tcPr>
          <w:p w14:paraId="785C432E"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广西壮族自治区农业科学院</w:t>
            </w:r>
          </w:p>
        </w:tc>
        <w:tc>
          <w:tcPr>
            <w:tcW w:w="1497" w:type="pct"/>
            <w:vAlign w:val="center"/>
          </w:tcPr>
          <w:p w14:paraId="068A260A" w14:textId="77777777" w:rsidR="0041392D" w:rsidRDefault="0041392D" w:rsidP="002717A8">
            <w:pPr>
              <w:suppressAutoHyphens/>
              <w:rPr>
                <w:rFonts w:ascii="仿宋_GB2312" w:eastAsia="仿宋_GB2312" w:hAnsi="仿宋_GB2312" w:cs="仿宋_GB2312"/>
                <w:bCs/>
                <w:color w:val="000000"/>
                <w:sz w:val="24"/>
              </w:rPr>
            </w:pPr>
            <w:r>
              <w:rPr>
                <w:rFonts w:ascii="仿宋_GB2312" w:eastAsia="仿宋_GB2312" w:hAnsi="仿宋_GB2312" w:cs="仿宋_GB2312" w:hint="eastAsia"/>
                <w:bCs/>
                <w:color w:val="000000"/>
                <w:sz w:val="24"/>
              </w:rPr>
              <w:t>负责起草标准草案，征求意见稿和标准编制说明，送审稿及编制说明的编写工作。</w:t>
            </w:r>
          </w:p>
        </w:tc>
      </w:tr>
      <w:tr w:rsidR="0041392D" w14:paraId="41C9329A" w14:textId="77777777" w:rsidTr="002717A8">
        <w:trPr>
          <w:trHeight w:val="481"/>
          <w:jc w:val="center"/>
        </w:trPr>
        <w:tc>
          <w:tcPr>
            <w:tcW w:w="602" w:type="pct"/>
            <w:vAlign w:val="center"/>
          </w:tcPr>
          <w:p w14:paraId="03E17167"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杨守臻</w:t>
            </w:r>
          </w:p>
        </w:tc>
        <w:tc>
          <w:tcPr>
            <w:tcW w:w="890" w:type="pct"/>
            <w:vAlign w:val="center"/>
          </w:tcPr>
          <w:p w14:paraId="7AC82600"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研究员</w:t>
            </w:r>
          </w:p>
        </w:tc>
        <w:tc>
          <w:tcPr>
            <w:tcW w:w="846" w:type="pct"/>
            <w:vAlign w:val="center"/>
          </w:tcPr>
          <w:p w14:paraId="6B66C6EF"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作物遗传育种</w:t>
            </w:r>
          </w:p>
        </w:tc>
        <w:tc>
          <w:tcPr>
            <w:tcW w:w="1163" w:type="pct"/>
            <w:vAlign w:val="center"/>
          </w:tcPr>
          <w:p w14:paraId="60EA9F41"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广西壮族自治区农业科学院</w:t>
            </w:r>
          </w:p>
        </w:tc>
        <w:tc>
          <w:tcPr>
            <w:tcW w:w="1497" w:type="pct"/>
            <w:vAlign w:val="center"/>
          </w:tcPr>
          <w:p w14:paraId="23EC7820" w14:textId="77777777" w:rsidR="0041392D" w:rsidRDefault="0041392D" w:rsidP="002717A8">
            <w:pPr>
              <w:suppressAutoHyphens/>
              <w:rPr>
                <w:rFonts w:ascii="仿宋_GB2312" w:eastAsia="仿宋_GB2312" w:hAnsi="仿宋_GB2312" w:cs="仿宋_GB2312"/>
                <w:bCs/>
                <w:color w:val="000000"/>
                <w:sz w:val="24"/>
              </w:rPr>
            </w:pPr>
            <w:r>
              <w:rPr>
                <w:rFonts w:ascii="仿宋_GB2312" w:eastAsia="仿宋_GB2312" w:hAnsi="Times New Roman" w:hint="eastAsia"/>
                <w:bCs/>
                <w:color w:val="000000"/>
                <w:sz w:val="24"/>
              </w:rPr>
              <w:t>负责起草标准草案，征求意见稿和标准编制说明，送审稿及编制说明的编写工作。</w:t>
            </w:r>
          </w:p>
        </w:tc>
      </w:tr>
      <w:tr w:rsidR="0041392D" w14:paraId="267CE279" w14:textId="77777777" w:rsidTr="002717A8">
        <w:trPr>
          <w:trHeight w:val="995"/>
          <w:jc w:val="center"/>
        </w:trPr>
        <w:tc>
          <w:tcPr>
            <w:tcW w:w="602" w:type="pct"/>
            <w:vAlign w:val="center"/>
          </w:tcPr>
          <w:p w14:paraId="5EA702A7"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lastRenderedPageBreak/>
              <w:t>盖钧镒</w:t>
            </w:r>
          </w:p>
        </w:tc>
        <w:tc>
          <w:tcPr>
            <w:tcW w:w="890" w:type="pct"/>
            <w:vAlign w:val="center"/>
          </w:tcPr>
          <w:p w14:paraId="481DB029"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教授</w:t>
            </w:r>
          </w:p>
        </w:tc>
        <w:tc>
          <w:tcPr>
            <w:tcW w:w="846" w:type="pct"/>
            <w:vAlign w:val="center"/>
          </w:tcPr>
          <w:p w14:paraId="35FBF986"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作物遗传育种</w:t>
            </w:r>
          </w:p>
        </w:tc>
        <w:tc>
          <w:tcPr>
            <w:tcW w:w="1163" w:type="pct"/>
            <w:vAlign w:val="center"/>
          </w:tcPr>
          <w:p w14:paraId="1EA06159"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南京农业大学</w:t>
            </w:r>
          </w:p>
        </w:tc>
        <w:tc>
          <w:tcPr>
            <w:tcW w:w="1497" w:type="pct"/>
            <w:vAlign w:val="center"/>
          </w:tcPr>
          <w:p w14:paraId="09C35ABE" w14:textId="77777777" w:rsidR="0041392D" w:rsidRDefault="0041392D" w:rsidP="002717A8">
            <w:pPr>
              <w:suppressAutoHyphens/>
              <w:rPr>
                <w:rFonts w:ascii="仿宋_GB2312" w:eastAsia="仿宋_GB2312" w:hAnsi="仿宋_GB2312" w:cs="仿宋_GB2312"/>
                <w:bCs/>
                <w:color w:val="000000"/>
                <w:sz w:val="24"/>
              </w:rPr>
            </w:pPr>
            <w:r>
              <w:rPr>
                <w:rFonts w:ascii="仿宋_GB2312" w:eastAsia="仿宋_GB2312" w:hAnsi="Times New Roman" w:hint="eastAsia"/>
                <w:bCs/>
                <w:color w:val="000000"/>
                <w:sz w:val="24"/>
              </w:rPr>
              <w:t>查询、收集和整理资料，协助标准文本及编制说明的编写、实施。</w:t>
            </w:r>
          </w:p>
        </w:tc>
      </w:tr>
      <w:tr w:rsidR="0041392D" w14:paraId="76988AEE" w14:textId="77777777" w:rsidTr="002717A8">
        <w:trPr>
          <w:trHeight w:val="995"/>
          <w:jc w:val="center"/>
        </w:trPr>
        <w:tc>
          <w:tcPr>
            <w:tcW w:w="602" w:type="pct"/>
            <w:vAlign w:val="center"/>
          </w:tcPr>
          <w:p w14:paraId="2008FF52"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张焦平</w:t>
            </w:r>
          </w:p>
        </w:tc>
        <w:tc>
          <w:tcPr>
            <w:tcW w:w="890" w:type="pct"/>
            <w:vAlign w:val="center"/>
          </w:tcPr>
          <w:p w14:paraId="1437AB95"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副教授</w:t>
            </w:r>
          </w:p>
        </w:tc>
        <w:tc>
          <w:tcPr>
            <w:tcW w:w="846" w:type="pct"/>
            <w:vAlign w:val="center"/>
          </w:tcPr>
          <w:p w14:paraId="36BE2ED9"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作物遗传育种</w:t>
            </w:r>
          </w:p>
        </w:tc>
        <w:tc>
          <w:tcPr>
            <w:tcW w:w="1163" w:type="pct"/>
            <w:vAlign w:val="center"/>
          </w:tcPr>
          <w:p w14:paraId="39180BC1"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南京农业大学三亚研究院</w:t>
            </w:r>
          </w:p>
        </w:tc>
        <w:tc>
          <w:tcPr>
            <w:tcW w:w="1497" w:type="pct"/>
            <w:vAlign w:val="center"/>
          </w:tcPr>
          <w:p w14:paraId="6A87CB8B" w14:textId="77777777" w:rsidR="0041392D" w:rsidRDefault="0041392D" w:rsidP="002717A8">
            <w:pPr>
              <w:suppressAutoHyphens/>
              <w:rPr>
                <w:rFonts w:ascii="仿宋_GB2312" w:eastAsia="仿宋_GB2312" w:hAnsi="Times New Roman"/>
                <w:bCs/>
                <w:color w:val="000000"/>
                <w:sz w:val="24"/>
              </w:rPr>
            </w:pPr>
            <w:r>
              <w:rPr>
                <w:rFonts w:ascii="仿宋_GB2312" w:eastAsia="仿宋_GB2312" w:hAnsi="Times New Roman" w:hint="eastAsia"/>
                <w:bCs/>
                <w:color w:val="000000"/>
                <w:sz w:val="24"/>
              </w:rPr>
              <w:t>查询、收集和整理资料，协助标准文本及编制说明的编写、实施。</w:t>
            </w:r>
          </w:p>
        </w:tc>
      </w:tr>
      <w:tr w:rsidR="0041392D" w14:paraId="5EE1C9E5" w14:textId="77777777" w:rsidTr="002717A8">
        <w:trPr>
          <w:trHeight w:val="995"/>
          <w:jc w:val="center"/>
        </w:trPr>
        <w:tc>
          <w:tcPr>
            <w:tcW w:w="602" w:type="pct"/>
            <w:vAlign w:val="center"/>
          </w:tcPr>
          <w:p w14:paraId="5516BAD4"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秦培钊</w:t>
            </w:r>
          </w:p>
        </w:tc>
        <w:tc>
          <w:tcPr>
            <w:tcW w:w="890" w:type="pct"/>
            <w:vAlign w:val="center"/>
          </w:tcPr>
          <w:p w14:paraId="640A4648"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助理农艺师</w:t>
            </w:r>
          </w:p>
        </w:tc>
        <w:tc>
          <w:tcPr>
            <w:tcW w:w="846" w:type="pct"/>
            <w:vAlign w:val="center"/>
          </w:tcPr>
          <w:p w14:paraId="79372E3D"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农业技术推广</w:t>
            </w:r>
          </w:p>
        </w:tc>
        <w:tc>
          <w:tcPr>
            <w:tcW w:w="1163" w:type="pct"/>
            <w:vAlign w:val="center"/>
          </w:tcPr>
          <w:p w14:paraId="54F5E48D"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南宁市农业技术推广站</w:t>
            </w:r>
          </w:p>
        </w:tc>
        <w:tc>
          <w:tcPr>
            <w:tcW w:w="1497" w:type="pct"/>
            <w:vAlign w:val="center"/>
          </w:tcPr>
          <w:p w14:paraId="784DE1F1" w14:textId="77777777" w:rsidR="0041392D" w:rsidRDefault="0041392D" w:rsidP="002717A8">
            <w:pPr>
              <w:suppressAutoHyphens/>
              <w:rPr>
                <w:rFonts w:ascii="仿宋_GB2312" w:eastAsia="仿宋_GB2312" w:hAnsi="Times New Roman"/>
                <w:bCs/>
                <w:color w:val="000000"/>
                <w:sz w:val="24"/>
              </w:rPr>
            </w:pPr>
            <w:r>
              <w:rPr>
                <w:rFonts w:ascii="仿宋_GB2312" w:eastAsia="仿宋_GB2312" w:hAnsi="Times New Roman" w:hint="eastAsia"/>
                <w:bCs/>
                <w:color w:val="000000"/>
                <w:sz w:val="24"/>
              </w:rPr>
              <w:t>查询、收集和整理资料，协助标准文本及编制说明的编写、实施。</w:t>
            </w:r>
          </w:p>
        </w:tc>
      </w:tr>
      <w:tr w:rsidR="0041392D" w14:paraId="4772D83A" w14:textId="77777777" w:rsidTr="002717A8">
        <w:trPr>
          <w:trHeight w:val="995"/>
          <w:jc w:val="center"/>
        </w:trPr>
        <w:tc>
          <w:tcPr>
            <w:tcW w:w="602" w:type="pct"/>
            <w:vAlign w:val="center"/>
          </w:tcPr>
          <w:p w14:paraId="170B2D09"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梁启新</w:t>
            </w:r>
          </w:p>
        </w:tc>
        <w:tc>
          <w:tcPr>
            <w:tcW w:w="890" w:type="pct"/>
            <w:vAlign w:val="center"/>
          </w:tcPr>
          <w:p w14:paraId="22CB79C1"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农艺师</w:t>
            </w:r>
          </w:p>
        </w:tc>
        <w:tc>
          <w:tcPr>
            <w:tcW w:w="846" w:type="pct"/>
            <w:vAlign w:val="center"/>
          </w:tcPr>
          <w:p w14:paraId="730A9F87"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农作物栽培</w:t>
            </w:r>
          </w:p>
        </w:tc>
        <w:tc>
          <w:tcPr>
            <w:tcW w:w="1163" w:type="pct"/>
            <w:vAlign w:val="center"/>
          </w:tcPr>
          <w:p w14:paraId="7996E3A4"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南宁市农业技术推广站</w:t>
            </w:r>
          </w:p>
        </w:tc>
        <w:tc>
          <w:tcPr>
            <w:tcW w:w="1497" w:type="pct"/>
          </w:tcPr>
          <w:p w14:paraId="2CA81679" w14:textId="77777777" w:rsidR="0041392D" w:rsidRDefault="0041392D" w:rsidP="002717A8">
            <w:pPr>
              <w:suppressAutoHyphens/>
              <w:rPr>
                <w:rFonts w:ascii="仿宋_GB2312" w:eastAsia="仿宋_GB2312" w:hAnsi="Times New Roman"/>
                <w:bCs/>
                <w:color w:val="000000"/>
                <w:sz w:val="24"/>
              </w:rPr>
            </w:pPr>
            <w:r>
              <w:rPr>
                <w:rFonts w:ascii="仿宋_GB2312" w:eastAsia="仿宋_GB2312" w:hAnsi="Times New Roman" w:hint="eastAsia"/>
                <w:bCs/>
                <w:color w:val="000000"/>
                <w:sz w:val="24"/>
              </w:rPr>
              <w:t>查询、收集和整理资料，协助标准文本及编制说明的编写、实施。</w:t>
            </w:r>
          </w:p>
        </w:tc>
      </w:tr>
      <w:tr w:rsidR="0041392D" w14:paraId="03AEE7FA" w14:textId="77777777" w:rsidTr="002717A8">
        <w:trPr>
          <w:trHeight w:val="995"/>
          <w:jc w:val="center"/>
        </w:trPr>
        <w:tc>
          <w:tcPr>
            <w:tcW w:w="602" w:type="pct"/>
            <w:vAlign w:val="center"/>
          </w:tcPr>
          <w:p w14:paraId="1BDE12B9"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李增旺</w:t>
            </w:r>
          </w:p>
        </w:tc>
        <w:tc>
          <w:tcPr>
            <w:tcW w:w="890" w:type="pct"/>
            <w:vAlign w:val="center"/>
          </w:tcPr>
          <w:p w14:paraId="3180FB08"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助理农艺师</w:t>
            </w:r>
          </w:p>
        </w:tc>
        <w:tc>
          <w:tcPr>
            <w:tcW w:w="846" w:type="pct"/>
            <w:vAlign w:val="center"/>
          </w:tcPr>
          <w:p w14:paraId="3C2B21BF"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农作物栽培</w:t>
            </w:r>
          </w:p>
        </w:tc>
        <w:tc>
          <w:tcPr>
            <w:tcW w:w="1163" w:type="pct"/>
            <w:vAlign w:val="center"/>
          </w:tcPr>
          <w:p w14:paraId="5DBA6CEF"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南宁市农业技术推广站</w:t>
            </w:r>
          </w:p>
        </w:tc>
        <w:tc>
          <w:tcPr>
            <w:tcW w:w="1497" w:type="pct"/>
          </w:tcPr>
          <w:p w14:paraId="53F1F0C7" w14:textId="77777777" w:rsidR="0041392D" w:rsidRDefault="0041392D" w:rsidP="002717A8">
            <w:pPr>
              <w:suppressAutoHyphens/>
              <w:rPr>
                <w:rFonts w:ascii="仿宋_GB2312" w:eastAsia="仿宋_GB2312" w:hAnsi="Times New Roman"/>
                <w:bCs/>
                <w:color w:val="000000"/>
                <w:sz w:val="24"/>
              </w:rPr>
            </w:pPr>
            <w:r>
              <w:rPr>
                <w:rFonts w:ascii="仿宋_GB2312" w:eastAsia="仿宋_GB2312" w:hAnsi="Times New Roman" w:hint="eastAsia"/>
                <w:bCs/>
                <w:color w:val="000000"/>
                <w:sz w:val="24"/>
              </w:rPr>
              <w:t>查询、收集和整理资料，协助标准文本及编制说明的编写、实施。</w:t>
            </w:r>
          </w:p>
        </w:tc>
      </w:tr>
      <w:tr w:rsidR="0041392D" w14:paraId="073ABFF9" w14:textId="77777777" w:rsidTr="002717A8">
        <w:trPr>
          <w:trHeight w:val="995"/>
          <w:jc w:val="center"/>
        </w:trPr>
        <w:tc>
          <w:tcPr>
            <w:tcW w:w="602" w:type="pct"/>
            <w:vAlign w:val="center"/>
          </w:tcPr>
          <w:p w14:paraId="68060196"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胡昌</w:t>
            </w:r>
          </w:p>
        </w:tc>
        <w:tc>
          <w:tcPr>
            <w:tcW w:w="890" w:type="pct"/>
            <w:vAlign w:val="center"/>
          </w:tcPr>
          <w:p w14:paraId="4977D84B"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推广研究员</w:t>
            </w:r>
          </w:p>
        </w:tc>
        <w:tc>
          <w:tcPr>
            <w:tcW w:w="846" w:type="pct"/>
            <w:vAlign w:val="center"/>
          </w:tcPr>
          <w:p w14:paraId="15B1984E"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农业技术推广</w:t>
            </w:r>
          </w:p>
        </w:tc>
        <w:tc>
          <w:tcPr>
            <w:tcW w:w="1163" w:type="pct"/>
            <w:vAlign w:val="center"/>
          </w:tcPr>
          <w:p w14:paraId="592CA0C1"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广西桂先种业有限公司</w:t>
            </w:r>
          </w:p>
        </w:tc>
        <w:tc>
          <w:tcPr>
            <w:tcW w:w="1497" w:type="pct"/>
          </w:tcPr>
          <w:p w14:paraId="202003B3" w14:textId="77777777" w:rsidR="0041392D" w:rsidRDefault="0041392D" w:rsidP="002717A8">
            <w:pPr>
              <w:suppressAutoHyphens/>
              <w:rPr>
                <w:rFonts w:ascii="仿宋_GB2312" w:eastAsia="仿宋_GB2312" w:hAnsi="Times New Roman"/>
                <w:bCs/>
                <w:color w:val="000000"/>
                <w:sz w:val="24"/>
              </w:rPr>
            </w:pPr>
            <w:r>
              <w:rPr>
                <w:rFonts w:ascii="仿宋_GB2312" w:eastAsia="仿宋_GB2312" w:hAnsi="Times New Roman" w:hint="eastAsia"/>
                <w:bCs/>
                <w:color w:val="000000"/>
                <w:sz w:val="24"/>
              </w:rPr>
              <w:t>查询、收集和整理资料，协助标准文本及编制说明的编写、实施。</w:t>
            </w:r>
          </w:p>
        </w:tc>
      </w:tr>
      <w:tr w:rsidR="0041392D" w14:paraId="3B663AFD" w14:textId="77777777" w:rsidTr="002717A8">
        <w:trPr>
          <w:trHeight w:val="995"/>
          <w:jc w:val="center"/>
        </w:trPr>
        <w:tc>
          <w:tcPr>
            <w:tcW w:w="602" w:type="pct"/>
            <w:vAlign w:val="center"/>
          </w:tcPr>
          <w:p w14:paraId="73E3740B"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原坤荣</w:t>
            </w:r>
          </w:p>
        </w:tc>
        <w:tc>
          <w:tcPr>
            <w:tcW w:w="890" w:type="pct"/>
            <w:vAlign w:val="center"/>
          </w:tcPr>
          <w:p w14:paraId="77E7B9DC"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农艺师</w:t>
            </w:r>
          </w:p>
        </w:tc>
        <w:tc>
          <w:tcPr>
            <w:tcW w:w="846" w:type="pct"/>
            <w:vAlign w:val="center"/>
          </w:tcPr>
          <w:p w14:paraId="0FD23478"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农业技术推广</w:t>
            </w:r>
          </w:p>
        </w:tc>
        <w:tc>
          <w:tcPr>
            <w:tcW w:w="1163" w:type="pct"/>
            <w:vAlign w:val="center"/>
          </w:tcPr>
          <w:p w14:paraId="0E33A9B4"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桂平市植保植检站</w:t>
            </w:r>
          </w:p>
        </w:tc>
        <w:tc>
          <w:tcPr>
            <w:tcW w:w="1497" w:type="pct"/>
          </w:tcPr>
          <w:p w14:paraId="6F020427"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查询、收集和整理资料，协助标准文本及编制说明的编写、实施。</w:t>
            </w:r>
          </w:p>
        </w:tc>
      </w:tr>
      <w:tr w:rsidR="0041392D" w14:paraId="35D0CCAC" w14:textId="77777777" w:rsidTr="002717A8">
        <w:trPr>
          <w:trHeight w:val="995"/>
          <w:jc w:val="center"/>
        </w:trPr>
        <w:tc>
          <w:tcPr>
            <w:tcW w:w="602" w:type="pct"/>
            <w:vAlign w:val="center"/>
          </w:tcPr>
          <w:p w14:paraId="5BF1C843"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黄祥源</w:t>
            </w:r>
          </w:p>
        </w:tc>
        <w:tc>
          <w:tcPr>
            <w:tcW w:w="890" w:type="pct"/>
            <w:vAlign w:val="center"/>
          </w:tcPr>
          <w:p w14:paraId="659C8FB3"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农艺师</w:t>
            </w:r>
          </w:p>
        </w:tc>
        <w:tc>
          <w:tcPr>
            <w:tcW w:w="846" w:type="pct"/>
            <w:vAlign w:val="center"/>
          </w:tcPr>
          <w:p w14:paraId="4241AC4E"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农业技术推广</w:t>
            </w:r>
          </w:p>
        </w:tc>
        <w:tc>
          <w:tcPr>
            <w:tcW w:w="1163" w:type="pct"/>
            <w:vAlign w:val="center"/>
          </w:tcPr>
          <w:p w14:paraId="6C7C03DA"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桂平市植保植检站</w:t>
            </w:r>
          </w:p>
        </w:tc>
        <w:tc>
          <w:tcPr>
            <w:tcW w:w="1497" w:type="pct"/>
          </w:tcPr>
          <w:p w14:paraId="6CACA207"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查询、收集和整理资料，协助标准文本及编制说明的编写、实施。</w:t>
            </w:r>
          </w:p>
        </w:tc>
      </w:tr>
      <w:tr w:rsidR="0041392D" w14:paraId="3620CE0E" w14:textId="77777777" w:rsidTr="002717A8">
        <w:trPr>
          <w:trHeight w:val="995"/>
          <w:jc w:val="center"/>
        </w:trPr>
        <w:tc>
          <w:tcPr>
            <w:tcW w:w="602" w:type="pct"/>
            <w:vAlign w:val="center"/>
          </w:tcPr>
          <w:p w14:paraId="2648AC24"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丁阳愿</w:t>
            </w:r>
          </w:p>
        </w:tc>
        <w:tc>
          <w:tcPr>
            <w:tcW w:w="890" w:type="pct"/>
            <w:vAlign w:val="center"/>
          </w:tcPr>
          <w:p w14:paraId="4D00A9C2"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高级农艺师</w:t>
            </w:r>
          </w:p>
        </w:tc>
        <w:tc>
          <w:tcPr>
            <w:tcW w:w="846" w:type="pct"/>
            <w:vAlign w:val="center"/>
          </w:tcPr>
          <w:p w14:paraId="2D7D58A9"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农学</w:t>
            </w:r>
          </w:p>
        </w:tc>
        <w:tc>
          <w:tcPr>
            <w:tcW w:w="1163" w:type="pct"/>
            <w:vAlign w:val="center"/>
          </w:tcPr>
          <w:p w14:paraId="3CBF156D"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靖西市农业农村局</w:t>
            </w:r>
          </w:p>
        </w:tc>
        <w:tc>
          <w:tcPr>
            <w:tcW w:w="1497" w:type="pct"/>
          </w:tcPr>
          <w:p w14:paraId="09A5BBC3"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查询、收集和整理资料，协助标准文本及编制说明的编写、实施。</w:t>
            </w:r>
          </w:p>
        </w:tc>
      </w:tr>
      <w:tr w:rsidR="0041392D" w14:paraId="0AF667D2" w14:textId="77777777" w:rsidTr="002717A8">
        <w:trPr>
          <w:trHeight w:val="995"/>
          <w:jc w:val="center"/>
        </w:trPr>
        <w:tc>
          <w:tcPr>
            <w:tcW w:w="602" w:type="pct"/>
            <w:vAlign w:val="center"/>
          </w:tcPr>
          <w:p w14:paraId="238DBAFE"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 xml:space="preserve">廖健村 </w:t>
            </w:r>
          </w:p>
        </w:tc>
        <w:tc>
          <w:tcPr>
            <w:tcW w:w="890" w:type="pct"/>
            <w:vAlign w:val="center"/>
          </w:tcPr>
          <w:p w14:paraId="0F4B55D4"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农艺师</w:t>
            </w:r>
          </w:p>
        </w:tc>
        <w:tc>
          <w:tcPr>
            <w:tcW w:w="846" w:type="pct"/>
            <w:vAlign w:val="center"/>
          </w:tcPr>
          <w:p w14:paraId="5828584B"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农业技术推广</w:t>
            </w:r>
          </w:p>
        </w:tc>
        <w:tc>
          <w:tcPr>
            <w:tcW w:w="1163" w:type="pct"/>
            <w:vAlign w:val="center"/>
          </w:tcPr>
          <w:p w14:paraId="1ED00A84"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靖西市农业农村局</w:t>
            </w:r>
          </w:p>
        </w:tc>
        <w:tc>
          <w:tcPr>
            <w:tcW w:w="1497" w:type="pct"/>
          </w:tcPr>
          <w:p w14:paraId="2E30388E"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查询、收集和整理资料，协助标准文本及编制说明的编写、实施。</w:t>
            </w:r>
          </w:p>
        </w:tc>
      </w:tr>
      <w:tr w:rsidR="0041392D" w14:paraId="76220F97" w14:textId="77777777" w:rsidTr="002717A8">
        <w:trPr>
          <w:trHeight w:val="995"/>
          <w:jc w:val="center"/>
        </w:trPr>
        <w:tc>
          <w:tcPr>
            <w:tcW w:w="602" w:type="pct"/>
            <w:vAlign w:val="center"/>
          </w:tcPr>
          <w:p w14:paraId="29F99AAA"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宁登亮</w:t>
            </w:r>
          </w:p>
        </w:tc>
        <w:tc>
          <w:tcPr>
            <w:tcW w:w="890" w:type="pct"/>
            <w:vAlign w:val="center"/>
          </w:tcPr>
          <w:p w14:paraId="67AF2826"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农艺师</w:t>
            </w:r>
          </w:p>
        </w:tc>
        <w:tc>
          <w:tcPr>
            <w:tcW w:w="846" w:type="pct"/>
            <w:vAlign w:val="center"/>
          </w:tcPr>
          <w:p w14:paraId="45A42314"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农业技术推广</w:t>
            </w:r>
          </w:p>
        </w:tc>
        <w:tc>
          <w:tcPr>
            <w:tcW w:w="1163" w:type="pct"/>
            <w:vAlign w:val="center"/>
          </w:tcPr>
          <w:p w14:paraId="44E297F9" w14:textId="77777777" w:rsidR="0041392D" w:rsidRDefault="0041392D" w:rsidP="002717A8">
            <w:pPr>
              <w:suppressAutoHyphens/>
              <w:rPr>
                <w:rFonts w:ascii="仿宋_GB2312" w:eastAsia="仿宋_GB2312" w:hAnsi="Times New Roman" w:cs="Times New Roman"/>
                <w:bCs/>
                <w:color w:val="000000"/>
                <w:sz w:val="24"/>
              </w:rPr>
            </w:pPr>
            <w:r>
              <w:rPr>
                <w:rFonts w:ascii="仿宋_GB2312" w:eastAsia="仿宋_GB2312" w:hAnsi="Times New Roman" w:cs="Times New Roman" w:hint="eastAsia"/>
                <w:bCs/>
                <w:color w:val="000000"/>
                <w:sz w:val="24"/>
              </w:rPr>
              <w:t>靖西市农业农村局</w:t>
            </w:r>
          </w:p>
        </w:tc>
        <w:tc>
          <w:tcPr>
            <w:tcW w:w="1497" w:type="pct"/>
          </w:tcPr>
          <w:p w14:paraId="43ECFFE7" w14:textId="77777777" w:rsidR="0041392D" w:rsidRDefault="0041392D" w:rsidP="002717A8">
            <w:pPr>
              <w:suppressAutoHyphens/>
              <w:rPr>
                <w:rFonts w:ascii="仿宋_GB2312" w:eastAsia="仿宋_GB2312" w:hAnsi="Times New Roman"/>
                <w:bCs/>
                <w:color w:val="000000"/>
                <w:sz w:val="24"/>
              </w:rPr>
            </w:pPr>
            <w:r>
              <w:rPr>
                <w:rFonts w:ascii="仿宋_GB2312" w:eastAsia="仿宋_GB2312" w:hAnsi="Times New Roman" w:hint="eastAsia"/>
                <w:bCs/>
                <w:color w:val="000000"/>
                <w:sz w:val="24"/>
              </w:rPr>
              <w:t>查询、收集和整理资料，协助标准文本及编制说明的编写、实施。</w:t>
            </w:r>
          </w:p>
        </w:tc>
      </w:tr>
    </w:tbl>
    <w:p w14:paraId="3D4E65BA" w14:textId="77777777" w:rsidR="0041392D" w:rsidRPr="0041392D" w:rsidRDefault="0041392D" w:rsidP="0041392D">
      <w:pPr>
        <w:pStyle w:val="BodyText2"/>
      </w:pPr>
    </w:p>
    <w:p w14:paraId="4C18D577" w14:textId="77777777" w:rsidR="00D634F2" w:rsidRDefault="008854C0">
      <w:pPr>
        <w:pStyle w:val="afe"/>
        <w:ind w:firstLineChars="200" w:firstLine="640"/>
        <w:jc w:val="left"/>
        <w:rPr>
          <w:rFonts w:ascii="黑体" w:eastAsia="黑体" w:hAnsi="黑体"/>
          <w:b w:val="0"/>
          <w:color w:val="000000" w:themeColor="text1"/>
        </w:rPr>
      </w:pPr>
      <w:r>
        <w:rPr>
          <w:rFonts w:ascii="黑体" w:eastAsia="黑体" w:hAnsi="黑体" w:hint="eastAsia"/>
          <w:b w:val="0"/>
          <w:color w:val="000000" w:themeColor="text1"/>
        </w:rPr>
        <w:t>二、制定标准的必要性和意义</w:t>
      </w:r>
    </w:p>
    <w:p w14:paraId="13DD74B0" w14:textId="77777777" w:rsidR="0041392D" w:rsidRPr="0041392D" w:rsidRDefault="0041392D" w:rsidP="0041392D">
      <w:pPr>
        <w:spacing w:line="520" w:lineRule="exact"/>
        <w:ind w:firstLineChars="200" w:firstLine="640"/>
        <w:rPr>
          <w:rFonts w:ascii="仿宋_GB2312" w:eastAsia="仿宋_GB2312"/>
          <w:color w:val="000000" w:themeColor="text1"/>
          <w:sz w:val="32"/>
          <w:szCs w:val="32"/>
        </w:rPr>
      </w:pPr>
      <w:r w:rsidRPr="0041392D">
        <w:rPr>
          <w:rFonts w:ascii="仿宋_GB2312" w:eastAsia="仿宋_GB2312" w:hint="eastAsia"/>
          <w:color w:val="000000" w:themeColor="text1"/>
          <w:sz w:val="32"/>
          <w:szCs w:val="32"/>
        </w:rPr>
        <w:t>大豆起源于我国，是主要的粮油兼用作物。大豆油、花生油、</w:t>
      </w:r>
      <w:r w:rsidRPr="0041392D">
        <w:rPr>
          <w:rFonts w:ascii="仿宋_GB2312" w:eastAsia="仿宋_GB2312" w:hint="eastAsia"/>
          <w:color w:val="000000" w:themeColor="text1"/>
          <w:sz w:val="32"/>
          <w:szCs w:val="32"/>
        </w:rPr>
        <w:lastRenderedPageBreak/>
        <w:t>菜籽油是中国食用植物油的三大品种，而大豆油占到了消费总量的60％以上。大豆榨油后的副产品豆粕是畜牧业饲料的主要蛋白质原料。大豆生产影响到传统豆制品、植物油、肉、蛋、奶、水产品等的供应及新能源的开发，在人民生活和国民经济中占有举足轻重的地位。我国大豆消费对外依存度高达80%以上，提升大豆产量刻不容缓。大豆与玉米等高秆作物间套作是缓解大豆种植面积短缺的有效途径，仅2025年农业农村部就提出将大豆玉米带状复合种植面积扩大到5000万亩。广西属于热带亚热带多熟制大豆生态区，是重点发展大豆产业的16个省区市之一，广西也是大豆间套种的优势地区，具有与甘蔗、玉米、木薯等大宗传统、优势作物间套种的自然优势和效益优势，生产上几乎全部为“春大豆/甘蔗”、“春大豆/木薯”、“春玉米/夏大豆”等间套种模式，其中2/3以上是“春玉米/夏大豆”。目前广西玉米套种夏大豆130万亩左右，还有700多万亩玉米没有套种大豆。</w:t>
      </w:r>
    </w:p>
    <w:p w14:paraId="31D24BB8" w14:textId="77777777" w:rsidR="0041392D" w:rsidRPr="0041392D" w:rsidRDefault="0041392D" w:rsidP="0041392D">
      <w:pPr>
        <w:spacing w:line="520" w:lineRule="exact"/>
        <w:ind w:firstLineChars="200" w:firstLine="640"/>
        <w:rPr>
          <w:rFonts w:ascii="仿宋_GB2312" w:eastAsia="仿宋_GB2312"/>
          <w:color w:val="000000" w:themeColor="text1"/>
          <w:sz w:val="32"/>
          <w:szCs w:val="32"/>
        </w:rPr>
      </w:pPr>
      <w:r w:rsidRPr="0041392D">
        <w:rPr>
          <w:rFonts w:ascii="仿宋_GB2312" w:eastAsia="仿宋_GB2312" w:hint="eastAsia"/>
          <w:color w:val="000000" w:themeColor="text1"/>
          <w:sz w:val="32"/>
          <w:szCs w:val="32"/>
        </w:rPr>
        <w:t>在这种模式下，大豆受高秆作物遮荫胁迫严重，影响产量与品质。合理密植是提高大豆产量的重要途径之一。但随着种植密度增加，大豆植株间光照竞争加剧，形成遮阴环境。为充分发挥密植栽培的增产潜力，筛选耐荫性强、在密植条件下能保持高产稳产的大豆品种至关重要，这同样依赖于科学规范的耐荫性鉴定评价体系。耐荫性是间套种大豆高产稳产的关键问题，荫蔽是制约大豆间套种产量的重要因子。随着经济的发展，间套种面积将会逐年增大，今后我区大豆生产的重点方向是扩大间套种面积，尤其是与玉米间套种的面积，耐荫性的问题将会更加突出。因此，通过确定遮光条件、耐荫指标和鉴定时期，建立田间高效、通用、稳定的耐荫性鉴定体系，将利于挖掘大豆耐荫种质，促进耐荫品种的选育，将对大豆间套作模式的推广具有重要的现实意义。目</w:t>
      </w:r>
      <w:r w:rsidRPr="0041392D">
        <w:rPr>
          <w:rFonts w:ascii="仿宋_GB2312" w:eastAsia="仿宋_GB2312" w:hint="eastAsia"/>
          <w:color w:val="000000" w:themeColor="text1"/>
          <w:sz w:val="32"/>
          <w:szCs w:val="32"/>
        </w:rPr>
        <w:lastRenderedPageBreak/>
        <w:t>前大豆耐荫性鉴定评价方法多样且不统一，导致育种工作效率低下。不同育种单位因鉴定标准不同，选育出的品种难以对比，优良品种推广受阻。制定团体标准后，育种者可依据统一规范开展耐荫性鉴定，准确筛选出耐荫种质资源，开展耐荫性育种，缩短育种周期，提高育种效率，促进大豆种业健康有序发展。</w:t>
      </w:r>
    </w:p>
    <w:p w14:paraId="46CD4C94" w14:textId="33C07DA0" w:rsidR="00D634F2" w:rsidRDefault="0041392D" w:rsidP="0041392D">
      <w:pPr>
        <w:spacing w:line="520" w:lineRule="exact"/>
        <w:ind w:firstLineChars="200" w:firstLine="640"/>
        <w:rPr>
          <w:rFonts w:ascii="仿宋_GB2312" w:eastAsia="仿宋_GB2312"/>
          <w:color w:val="000000" w:themeColor="text1"/>
          <w:sz w:val="28"/>
          <w:szCs w:val="28"/>
        </w:rPr>
      </w:pPr>
      <w:r w:rsidRPr="0041392D">
        <w:rPr>
          <w:rFonts w:ascii="仿宋_GB2312" w:eastAsia="仿宋_GB2312" w:hint="eastAsia"/>
          <w:color w:val="000000" w:themeColor="text1"/>
          <w:sz w:val="32"/>
          <w:szCs w:val="32"/>
        </w:rPr>
        <w:t>通过制定团体标准《</w:t>
      </w:r>
      <w:r w:rsidR="004B146F">
        <w:rPr>
          <w:rFonts w:ascii="仿宋_GB2312" w:eastAsia="仿宋_GB2312" w:hint="eastAsia"/>
          <w:color w:val="000000" w:themeColor="text1"/>
          <w:sz w:val="32"/>
          <w:szCs w:val="32"/>
        </w:rPr>
        <w:t>大豆耐荫性鉴定评价技术规程</w:t>
      </w:r>
      <w:r w:rsidRPr="0041392D">
        <w:rPr>
          <w:rFonts w:ascii="仿宋_GB2312" w:eastAsia="仿宋_GB2312" w:hint="eastAsia"/>
          <w:color w:val="000000" w:themeColor="text1"/>
          <w:sz w:val="32"/>
          <w:szCs w:val="32"/>
        </w:rPr>
        <w:t>》，以标准为抓手，统一规范大豆耐荫性鉴定评价技术要求，提高大豆耐荫性鉴定的准确性与科学性，提升大豆种植收益，为大豆种质资源筛选和新品种选育提供可靠依据，对推动大豆产业高质量发展具有重要意义</w:t>
      </w:r>
      <w:r w:rsidR="008854C0">
        <w:rPr>
          <w:rFonts w:ascii="仿宋_GB2312" w:eastAsia="仿宋_GB2312" w:hint="eastAsia"/>
          <w:color w:val="000000" w:themeColor="text1"/>
          <w:sz w:val="32"/>
          <w:szCs w:val="32"/>
        </w:rPr>
        <w:t>。</w:t>
      </w:r>
    </w:p>
    <w:p w14:paraId="4CFFA7A6" w14:textId="77777777" w:rsidR="00D634F2" w:rsidRDefault="008854C0">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三、主要起草过程</w:t>
      </w:r>
    </w:p>
    <w:p w14:paraId="06CF7C00" w14:textId="77777777" w:rsidR="00D634F2" w:rsidRDefault="008854C0">
      <w:pPr>
        <w:spacing w:line="560" w:lineRule="exact"/>
        <w:ind w:firstLineChars="200" w:firstLine="643"/>
        <w:rPr>
          <w:rFonts w:ascii="楷体" w:eastAsia="楷体" w:hAnsi="楷体" w:cs="楷体"/>
          <w:b/>
          <w:color w:val="000000" w:themeColor="text1"/>
          <w:sz w:val="32"/>
          <w:szCs w:val="32"/>
        </w:rPr>
      </w:pPr>
      <w:r>
        <w:rPr>
          <w:rFonts w:ascii="楷体" w:eastAsia="楷体" w:hAnsi="楷体" w:cs="楷体" w:hint="eastAsia"/>
          <w:b/>
          <w:color w:val="000000" w:themeColor="text1"/>
          <w:sz w:val="32"/>
          <w:szCs w:val="32"/>
        </w:rPr>
        <w:t>（一）成立标准编制工作组</w:t>
      </w:r>
    </w:p>
    <w:p w14:paraId="60D4C6AB" w14:textId="6C2DD0FE" w:rsidR="00D634F2" w:rsidRDefault="008854C0">
      <w:pPr>
        <w:spacing w:line="520" w:lineRule="exact"/>
        <w:ind w:firstLineChars="200" w:firstLine="640"/>
        <w:jc w:val="left"/>
        <w:rPr>
          <w:rFonts w:ascii="仿宋_GB2312" w:eastAsia="仿宋_GB2312"/>
          <w:color w:val="000000" w:themeColor="text1"/>
          <w:sz w:val="32"/>
          <w:szCs w:val="32"/>
        </w:rPr>
      </w:pPr>
      <w:r>
        <w:rPr>
          <w:rFonts w:ascii="仿宋_GB2312" w:eastAsia="仿宋_GB2312" w:hint="eastAsia"/>
          <w:color w:val="000000" w:themeColor="text1"/>
          <w:sz w:val="32"/>
          <w:szCs w:val="32"/>
        </w:rPr>
        <w:t>团体标准《</w:t>
      </w:r>
      <w:r w:rsidR="004B146F">
        <w:rPr>
          <w:rFonts w:ascii="仿宋_GB2312" w:eastAsia="仿宋_GB2312" w:hint="eastAsia"/>
          <w:color w:val="000000" w:themeColor="text1"/>
          <w:sz w:val="32"/>
          <w:szCs w:val="32"/>
        </w:rPr>
        <w:t>大豆耐荫性鉴定评价技术规程</w:t>
      </w:r>
      <w:r>
        <w:rPr>
          <w:rFonts w:ascii="仿宋_GB2312" w:eastAsia="仿宋_GB2312" w:hint="eastAsia"/>
          <w:color w:val="000000" w:themeColor="text1"/>
          <w:sz w:val="32"/>
          <w:szCs w:val="32"/>
        </w:rPr>
        <w:t>》项目任务下达后，</w:t>
      </w:r>
      <w:r w:rsidR="0041392D" w:rsidRPr="0041392D">
        <w:rPr>
          <w:rFonts w:ascii="仿宋_GB2312" w:eastAsia="仿宋_GB2312" w:hint="eastAsia"/>
          <w:color w:val="000000" w:themeColor="text1"/>
          <w:sz w:val="32"/>
          <w:szCs w:val="32"/>
        </w:rPr>
        <w:t>广西壮族自治区农业科学院、南京农业大学、南京农业大学三亚研究院、南宁市农业技术推广站、广西桂先种业有限公司、桂平市植保植检站、靖西市农业农村局</w:t>
      </w:r>
      <w:r>
        <w:rPr>
          <w:rFonts w:ascii="仿宋_GB2312" w:eastAsia="仿宋_GB2312" w:hint="eastAsia"/>
          <w:color w:val="000000" w:themeColor="text1"/>
          <w:sz w:val="32"/>
          <w:szCs w:val="32"/>
        </w:rPr>
        <w:t>等单位成立了标准编制工作组，制定了起草编写方案与进度安排，明确任务职责，确定工作技术路线，开展标准研制工作。具体标准编制工作由起草单位相关人员配合完成。</w:t>
      </w:r>
    </w:p>
    <w:p w14:paraId="5DD67093" w14:textId="77777777" w:rsidR="00D634F2" w:rsidRPr="00850053" w:rsidRDefault="008854C0">
      <w:pPr>
        <w:spacing w:line="520" w:lineRule="exact"/>
        <w:ind w:firstLineChars="200" w:firstLine="640"/>
        <w:jc w:val="left"/>
        <w:rPr>
          <w:rFonts w:ascii="仿宋_GB2312" w:eastAsia="仿宋_GB2312"/>
          <w:color w:val="000000" w:themeColor="text1"/>
          <w:sz w:val="32"/>
          <w:szCs w:val="32"/>
        </w:rPr>
      </w:pPr>
      <w:r>
        <w:rPr>
          <w:rFonts w:ascii="仿宋_GB2312" w:eastAsia="仿宋_GB2312" w:hint="eastAsia"/>
          <w:color w:val="000000" w:themeColor="text1"/>
          <w:sz w:val="32"/>
          <w:szCs w:val="32"/>
        </w:rPr>
        <w:t>为了明确标准</w:t>
      </w:r>
      <w:r w:rsidRPr="00850053">
        <w:rPr>
          <w:rFonts w:ascii="仿宋_GB2312" w:eastAsia="仿宋_GB2312" w:hint="eastAsia"/>
          <w:color w:val="000000" w:themeColor="text1"/>
          <w:sz w:val="32"/>
          <w:szCs w:val="32"/>
        </w:rPr>
        <w:t>编制的任务职责，确定工作技术路线，开展标准研制工作。编制工作组下设三个组，分别是资料收集组、草案编写组、标准实施组。</w:t>
      </w:r>
    </w:p>
    <w:p w14:paraId="06A9AB2C" w14:textId="55C28B01" w:rsidR="00D634F2" w:rsidRPr="00850053" w:rsidRDefault="008854C0">
      <w:pPr>
        <w:spacing w:line="520" w:lineRule="exact"/>
        <w:ind w:firstLineChars="200" w:firstLine="640"/>
        <w:rPr>
          <w:rFonts w:ascii="仿宋_GB2312" w:eastAsia="仿宋_GB2312"/>
          <w:color w:val="000000" w:themeColor="text1"/>
          <w:sz w:val="32"/>
          <w:szCs w:val="32"/>
        </w:rPr>
      </w:pPr>
      <w:r w:rsidRPr="00850053">
        <w:rPr>
          <w:rFonts w:ascii="仿宋_GB2312" w:eastAsia="仿宋_GB2312" w:hint="eastAsia"/>
          <w:color w:val="000000" w:themeColor="text1"/>
          <w:sz w:val="32"/>
          <w:szCs w:val="32"/>
        </w:rPr>
        <w:t>资料收集组负责国内外有关</w:t>
      </w:r>
      <w:r w:rsidR="004F6C5C">
        <w:rPr>
          <w:rFonts w:ascii="仿宋_GB2312" w:eastAsia="仿宋_GB2312" w:hint="eastAsia"/>
          <w:color w:val="000000" w:themeColor="text1"/>
          <w:sz w:val="32"/>
          <w:szCs w:val="32"/>
        </w:rPr>
        <w:t>大豆耐荫性鉴定评价技术</w:t>
      </w:r>
      <w:r w:rsidRPr="00850053">
        <w:rPr>
          <w:rFonts w:ascii="仿宋_GB2312" w:eastAsia="仿宋_GB2312" w:hint="eastAsia"/>
          <w:color w:val="000000" w:themeColor="text1"/>
          <w:sz w:val="32"/>
          <w:szCs w:val="32"/>
        </w:rPr>
        <w:t>相关文献资料的查询、收集和整理工作，查阅前期对</w:t>
      </w:r>
      <w:r w:rsidR="004F6C5C">
        <w:rPr>
          <w:rFonts w:ascii="仿宋_GB2312" w:eastAsia="仿宋_GB2312" w:hint="eastAsia"/>
          <w:color w:val="000000" w:themeColor="text1"/>
          <w:sz w:val="32"/>
          <w:szCs w:val="32"/>
        </w:rPr>
        <w:t>大豆耐荫性鉴定评价技术</w:t>
      </w:r>
      <w:r w:rsidRPr="00850053">
        <w:rPr>
          <w:rFonts w:ascii="仿宋_GB2312" w:eastAsia="仿宋_GB2312" w:hint="eastAsia"/>
          <w:color w:val="000000" w:themeColor="text1"/>
          <w:sz w:val="32"/>
          <w:szCs w:val="32"/>
        </w:rPr>
        <w:t>的有关研究情况和目前</w:t>
      </w:r>
      <w:r w:rsidR="00D97782" w:rsidRPr="00850053">
        <w:rPr>
          <w:rFonts w:ascii="仿宋_GB2312" w:eastAsia="仿宋_GB2312" w:hint="eastAsia"/>
          <w:color w:val="000000" w:themeColor="text1"/>
          <w:sz w:val="32"/>
          <w:szCs w:val="32"/>
        </w:rPr>
        <w:t>科学界</w:t>
      </w:r>
      <w:r w:rsidR="004F6C5C">
        <w:rPr>
          <w:rFonts w:ascii="仿宋_GB2312" w:eastAsia="仿宋_GB2312" w:hint="eastAsia"/>
          <w:color w:val="000000" w:themeColor="text1"/>
          <w:sz w:val="32"/>
          <w:szCs w:val="32"/>
        </w:rPr>
        <w:t>大豆耐荫性鉴定评价技术</w:t>
      </w:r>
      <w:r w:rsidRPr="00850053">
        <w:rPr>
          <w:rFonts w:ascii="仿宋_GB2312" w:eastAsia="仿宋_GB2312" w:hint="eastAsia"/>
          <w:color w:val="000000" w:themeColor="text1"/>
          <w:sz w:val="32"/>
          <w:szCs w:val="32"/>
        </w:rPr>
        <w:t>的研究进展。</w:t>
      </w:r>
    </w:p>
    <w:p w14:paraId="36185C73" w14:textId="77777777" w:rsidR="00D634F2" w:rsidRPr="00850053" w:rsidRDefault="008854C0">
      <w:pPr>
        <w:spacing w:line="520" w:lineRule="exact"/>
        <w:ind w:firstLineChars="200" w:firstLine="640"/>
        <w:rPr>
          <w:rFonts w:ascii="仿宋_GB2312" w:eastAsia="仿宋_GB2312"/>
          <w:color w:val="000000" w:themeColor="text1"/>
          <w:sz w:val="32"/>
          <w:szCs w:val="32"/>
        </w:rPr>
      </w:pPr>
      <w:r w:rsidRPr="00850053">
        <w:rPr>
          <w:rFonts w:ascii="仿宋_GB2312" w:eastAsia="仿宋_GB2312" w:hint="eastAsia"/>
          <w:color w:val="000000" w:themeColor="text1"/>
          <w:sz w:val="32"/>
          <w:szCs w:val="32"/>
        </w:rPr>
        <w:lastRenderedPageBreak/>
        <w:t>草案编写组负责起草标准草案及后续征求意见稿和标准编制说明、送审稿及编制说明等编写工作，包括后期召开征求意见会、网上征求意见，以及标准的不断修改和完善。</w:t>
      </w:r>
    </w:p>
    <w:p w14:paraId="5F9F7AB9" w14:textId="00D6D9A0" w:rsidR="00D634F2" w:rsidRPr="00850053" w:rsidRDefault="008854C0">
      <w:pPr>
        <w:spacing w:line="520" w:lineRule="exact"/>
        <w:ind w:firstLineChars="200" w:firstLine="640"/>
        <w:jc w:val="left"/>
        <w:rPr>
          <w:rFonts w:ascii="仿宋_GB2312" w:eastAsia="仿宋_GB2312" w:cs="仿宋_GB2312"/>
          <w:color w:val="000000" w:themeColor="text1"/>
          <w:sz w:val="28"/>
          <w:szCs w:val="28"/>
        </w:rPr>
      </w:pPr>
      <w:r w:rsidRPr="00850053">
        <w:rPr>
          <w:rFonts w:ascii="仿宋_GB2312" w:eastAsia="仿宋_GB2312" w:hint="eastAsia"/>
          <w:color w:val="000000" w:themeColor="text1"/>
          <w:sz w:val="32"/>
          <w:szCs w:val="32"/>
        </w:rPr>
        <w:t>标准实施组负责团体标准《</w:t>
      </w:r>
      <w:r w:rsidR="004B146F">
        <w:rPr>
          <w:rFonts w:ascii="仿宋_GB2312" w:eastAsia="仿宋_GB2312" w:hint="eastAsia"/>
          <w:color w:val="000000" w:themeColor="text1"/>
          <w:sz w:val="32"/>
          <w:szCs w:val="32"/>
        </w:rPr>
        <w:t>大豆耐荫性鉴定评价技术规程</w:t>
      </w:r>
      <w:r w:rsidRPr="00850053">
        <w:rPr>
          <w:rFonts w:ascii="仿宋_GB2312" w:eastAsia="仿宋_GB2312" w:hint="eastAsia"/>
          <w:color w:val="000000" w:themeColor="text1"/>
          <w:sz w:val="32"/>
          <w:szCs w:val="32"/>
        </w:rPr>
        <w:t>》发布后，组织相关单位开展标准宣贯培训会，对标准进行详细解读，让相关人员了解标准，并根据标准对</w:t>
      </w:r>
      <w:r w:rsidR="004F6C5C">
        <w:rPr>
          <w:rFonts w:ascii="仿宋_GB2312" w:eastAsia="仿宋_GB2312" w:hint="eastAsia"/>
          <w:color w:val="000000" w:themeColor="text1"/>
          <w:sz w:val="32"/>
          <w:szCs w:val="32"/>
        </w:rPr>
        <w:t>大豆耐荫性鉴定评价技术</w:t>
      </w:r>
      <w:r w:rsidRPr="00850053">
        <w:rPr>
          <w:rFonts w:ascii="仿宋_GB2312" w:eastAsia="仿宋_GB2312" w:hint="eastAsia"/>
          <w:color w:val="000000" w:themeColor="text1"/>
          <w:sz w:val="32"/>
          <w:szCs w:val="32"/>
        </w:rPr>
        <w:t>进行规范化操作，并对标准实施情况进行总结分析，不断对标准提出修正意见。</w:t>
      </w:r>
    </w:p>
    <w:p w14:paraId="0433E7F9" w14:textId="77777777" w:rsidR="00D634F2" w:rsidRPr="00850053" w:rsidRDefault="008854C0">
      <w:pPr>
        <w:spacing w:line="560" w:lineRule="exact"/>
        <w:ind w:firstLineChars="200" w:firstLine="643"/>
        <w:rPr>
          <w:rFonts w:ascii="楷体" w:eastAsia="楷体" w:hAnsi="楷体" w:cs="楷体"/>
          <w:b/>
          <w:color w:val="000000" w:themeColor="text1"/>
          <w:sz w:val="32"/>
          <w:szCs w:val="32"/>
        </w:rPr>
      </w:pPr>
      <w:r w:rsidRPr="00850053">
        <w:rPr>
          <w:rFonts w:ascii="楷体" w:eastAsia="楷体" w:hAnsi="楷体" w:cs="楷体" w:hint="eastAsia"/>
          <w:b/>
          <w:color w:val="000000" w:themeColor="text1"/>
          <w:sz w:val="32"/>
          <w:szCs w:val="32"/>
        </w:rPr>
        <w:t>（二）收集整理文献资料</w:t>
      </w:r>
    </w:p>
    <w:p w14:paraId="5656E9FD" w14:textId="353633C5" w:rsidR="00D634F2" w:rsidRPr="007805DF" w:rsidRDefault="008854C0">
      <w:pPr>
        <w:spacing w:line="520" w:lineRule="exact"/>
        <w:ind w:firstLineChars="200" w:firstLine="640"/>
        <w:rPr>
          <w:rFonts w:ascii="仿宋_GB2312" w:eastAsia="仿宋_GB2312"/>
          <w:color w:val="000000" w:themeColor="text1"/>
          <w:sz w:val="32"/>
          <w:szCs w:val="32"/>
          <w:highlight w:val="yellow"/>
        </w:rPr>
      </w:pPr>
      <w:r w:rsidRPr="00BC1466">
        <w:rPr>
          <w:rFonts w:ascii="仿宋_GB2312" w:eastAsia="仿宋_GB2312" w:hint="eastAsia"/>
          <w:color w:val="000000" w:themeColor="text1"/>
          <w:sz w:val="32"/>
          <w:szCs w:val="32"/>
        </w:rPr>
        <w:t>标准编制工作组收集了国内有关</w:t>
      </w:r>
      <w:r w:rsidR="00D75388" w:rsidRPr="00D75388">
        <w:rPr>
          <w:rFonts w:ascii="仿宋_GB2312" w:eastAsia="仿宋_GB2312" w:hint="eastAsia"/>
          <w:color w:val="000000" w:themeColor="text1"/>
          <w:sz w:val="32"/>
          <w:szCs w:val="32"/>
        </w:rPr>
        <w:t>“大豆抗旱性”“大豆抗病虫性”</w:t>
      </w:r>
      <w:r w:rsidRPr="00BC1466">
        <w:rPr>
          <w:rFonts w:ascii="仿宋_GB2312" w:eastAsia="仿宋_GB2312" w:hint="eastAsia"/>
          <w:color w:val="000000" w:themeColor="text1"/>
          <w:sz w:val="32"/>
          <w:szCs w:val="32"/>
        </w:rPr>
        <w:t>的相关资料。主要有：</w:t>
      </w:r>
    </w:p>
    <w:p w14:paraId="6E927573" w14:textId="76D0D018" w:rsidR="00D75388" w:rsidRDefault="00D75388" w:rsidP="00BC1466">
      <w:pPr>
        <w:spacing w:line="520" w:lineRule="exact"/>
        <w:ind w:firstLineChars="200" w:firstLine="640"/>
        <w:rPr>
          <w:rFonts w:ascii="仿宋_GB2312" w:eastAsia="仿宋_GB2312"/>
          <w:color w:val="000000" w:themeColor="text1"/>
          <w:sz w:val="32"/>
          <w:szCs w:val="32"/>
        </w:rPr>
      </w:pPr>
      <w:r w:rsidRPr="00D75388">
        <w:rPr>
          <w:rFonts w:ascii="仿宋_GB2312" w:eastAsia="仿宋_GB2312" w:hint="eastAsia"/>
          <w:color w:val="000000" w:themeColor="text1"/>
          <w:sz w:val="32"/>
          <w:szCs w:val="32"/>
        </w:rPr>
        <w:t>《DB11/T 720-2020大豆抗旱性鉴定方法及评价》</w:t>
      </w:r>
    </w:p>
    <w:p w14:paraId="13407D6C" w14:textId="77777777" w:rsidR="00D75388" w:rsidRDefault="00D75388" w:rsidP="00BC1466">
      <w:pPr>
        <w:spacing w:line="520" w:lineRule="exact"/>
        <w:ind w:firstLineChars="200" w:firstLine="640"/>
        <w:rPr>
          <w:rFonts w:ascii="仿宋_GB2312" w:eastAsia="仿宋_GB2312"/>
          <w:color w:val="000000" w:themeColor="text1"/>
          <w:sz w:val="32"/>
          <w:szCs w:val="32"/>
        </w:rPr>
      </w:pPr>
      <w:r w:rsidRPr="00D75388">
        <w:rPr>
          <w:rFonts w:ascii="仿宋_GB2312" w:eastAsia="仿宋_GB2312" w:hint="eastAsia"/>
          <w:color w:val="000000" w:themeColor="text1"/>
          <w:sz w:val="32"/>
          <w:szCs w:val="32"/>
        </w:rPr>
        <w:t>《DB22/T 2602-2016大豆抗旱性鉴定技术规范》</w:t>
      </w:r>
    </w:p>
    <w:p w14:paraId="3D4F227F" w14:textId="319A9B31" w:rsidR="00302A1F" w:rsidRPr="00302A1F" w:rsidRDefault="00D75388" w:rsidP="00BC1466">
      <w:pPr>
        <w:spacing w:line="520" w:lineRule="exact"/>
        <w:ind w:firstLineChars="200" w:firstLine="640"/>
        <w:rPr>
          <w:rFonts w:ascii="仿宋_GB2312" w:eastAsia="仿宋_GB2312"/>
          <w:color w:val="000000" w:themeColor="text1"/>
          <w:sz w:val="32"/>
          <w:szCs w:val="32"/>
        </w:rPr>
      </w:pPr>
      <w:r w:rsidRPr="00D75388">
        <w:rPr>
          <w:rFonts w:ascii="仿宋_GB2312" w:eastAsia="仿宋_GB2312" w:hint="eastAsia"/>
          <w:color w:val="000000" w:themeColor="text1"/>
          <w:sz w:val="32"/>
          <w:szCs w:val="32"/>
        </w:rPr>
        <w:t>《DB51/T 3005-2023大豆品种抗炭疽病性鉴定技术规程》</w:t>
      </w:r>
    </w:p>
    <w:p w14:paraId="1F580278" w14:textId="77777777" w:rsidR="00D634F2" w:rsidRDefault="008854C0">
      <w:pPr>
        <w:spacing w:line="560" w:lineRule="exact"/>
        <w:ind w:firstLineChars="200" w:firstLine="643"/>
        <w:rPr>
          <w:rFonts w:ascii="楷体" w:eastAsia="楷体" w:hAnsi="楷体" w:cs="楷体"/>
          <w:b/>
          <w:color w:val="000000" w:themeColor="text1"/>
          <w:sz w:val="32"/>
          <w:szCs w:val="32"/>
        </w:rPr>
      </w:pPr>
      <w:r>
        <w:rPr>
          <w:rFonts w:ascii="楷体" w:eastAsia="楷体" w:hAnsi="楷体" w:cs="楷体" w:hint="eastAsia"/>
          <w:b/>
          <w:color w:val="000000" w:themeColor="text1"/>
          <w:sz w:val="32"/>
          <w:szCs w:val="32"/>
        </w:rPr>
        <w:t>（三）研讨确定标准特色</w:t>
      </w:r>
      <w:r>
        <w:rPr>
          <w:rFonts w:ascii="楷体" w:eastAsia="楷体" w:hAnsi="楷体" w:cs="楷体"/>
          <w:b/>
          <w:color w:val="000000" w:themeColor="text1"/>
          <w:sz w:val="32"/>
          <w:szCs w:val="32"/>
        </w:rPr>
        <w:t>、</w:t>
      </w:r>
      <w:r>
        <w:rPr>
          <w:rFonts w:ascii="楷体" w:eastAsia="楷体" w:hAnsi="楷体" w:cs="楷体" w:hint="eastAsia"/>
          <w:b/>
          <w:color w:val="000000" w:themeColor="text1"/>
          <w:sz w:val="32"/>
          <w:szCs w:val="32"/>
        </w:rPr>
        <w:t>创新点和主体内容</w:t>
      </w:r>
    </w:p>
    <w:p w14:paraId="0E636C72" w14:textId="77777777" w:rsidR="00D634F2" w:rsidRDefault="008854C0">
      <w:pPr>
        <w:pStyle w:val="affa"/>
        <w:rPr>
          <w:rFonts w:ascii="仿宋_GB2312" w:eastAsia="仿宋_GB2312" w:hAnsi="Calibri"/>
          <w:color w:val="000000" w:themeColor="text1"/>
        </w:rPr>
      </w:pPr>
      <w:r>
        <w:rPr>
          <w:rFonts w:ascii="仿宋_GB2312" w:eastAsia="仿宋_GB2312" w:hAnsi="Calibri" w:hint="eastAsia"/>
          <w:color w:val="000000" w:themeColor="text1"/>
        </w:rPr>
        <w:t>标准编制工作组在对收集的资料进行整理研究之后，标准编制工作组召开了标准编制会议，对标准的整体框架结构进行了研究，并对标准的关键性内容进行了初步探讨。经过研究，标准特色、创新点和主体内容如下</w:t>
      </w:r>
      <w:r>
        <w:rPr>
          <w:rFonts w:ascii="仿宋_GB2312" w:eastAsia="仿宋_GB2312" w:hAnsi="Calibri"/>
          <w:color w:val="000000" w:themeColor="text1"/>
        </w:rPr>
        <w:t>：</w:t>
      </w:r>
    </w:p>
    <w:p w14:paraId="17440365" w14:textId="1997F6B1" w:rsidR="00D634F2" w:rsidRPr="004B146F" w:rsidRDefault="008854C0">
      <w:pPr>
        <w:pStyle w:val="affa"/>
        <w:rPr>
          <w:rFonts w:ascii="仿宋_GB2312" w:eastAsia="仿宋_GB2312" w:hAnsi="Calibri"/>
          <w:color w:val="000000" w:themeColor="text1"/>
        </w:rPr>
      </w:pPr>
      <w:r w:rsidRPr="004B146F">
        <w:rPr>
          <w:rFonts w:ascii="仿宋_GB2312" w:eastAsia="仿宋_GB2312" w:hAnsi="Calibri"/>
          <w:color w:val="000000" w:themeColor="text1"/>
        </w:rPr>
        <w:t>1.</w:t>
      </w:r>
      <w:r w:rsidRPr="004B146F">
        <w:rPr>
          <w:rFonts w:ascii="仿宋_GB2312" w:eastAsia="仿宋_GB2312" w:hAnsi="Calibri" w:hint="eastAsia"/>
          <w:color w:val="000000" w:themeColor="text1"/>
        </w:rPr>
        <w:t>特色</w:t>
      </w:r>
      <w:r w:rsidR="001A0550" w:rsidRPr="004B146F">
        <w:rPr>
          <w:rFonts w:ascii="仿宋_GB2312" w:eastAsia="仿宋_GB2312" w:hAnsi="Calibri" w:hint="eastAsia"/>
          <w:color w:val="000000" w:themeColor="text1"/>
        </w:rPr>
        <w:t>、</w:t>
      </w:r>
      <w:r w:rsidR="001A0550" w:rsidRPr="004B146F">
        <w:rPr>
          <w:rFonts w:ascii="仿宋_GB2312" w:eastAsia="仿宋_GB2312" w:hAnsi="Calibri"/>
          <w:color w:val="000000" w:themeColor="text1"/>
        </w:rPr>
        <w:t>创新点</w:t>
      </w:r>
    </w:p>
    <w:p w14:paraId="29C3A3A7" w14:textId="77777777" w:rsidR="001A0550" w:rsidRPr="001A0550" w:rsidRDefault="001A0550" w:rsidP="001A0550">
      <w:pPr>
        <w:pStyle w:val="affa"/>
        <w:rPr>
          <w:rFonts w:ascii="仿宋_GB2312" w:eastAsia="仿宋_GB2312"/>
          <w:color w:val="000000" w:themeColor="text1"/>
        </w:rPr>
      </w:pPr>
      <w:r w:rsidRPr="001A0550">
        <w:rPr>
          <w:rFonts w:ascii="仿宋_GB2312" w:eastAsia="仿宋_GB2312" w:hint="eastAsia"/>
          <w:color w:val="000000" w:themeColor="text1"/>
        </w:rPr>
        <w:t>选60具有代表性大豆种子资源为材料进行遮光度筛选，15%、30%和60%遮光度下，倒伏品种分别占18%、22%和83%，表型变异系数分别为0.23、0.25和0.29，株高相对值分别为1.46、1.67和1.92，株高相对值和耐荫级别的相关系数分别是0.60、0.66和0.64。可见，随着遮光度的增强，倒伏品种比例和株高相对值也随之增大。说明15%遮光度下株高相对值和表型变异系数较小说</w:t>
      </w:r>
      <w:r w:rsidRPr="001A0550">
        <w:rPr>
          <w:rFonts w:ascii="仿宋_GB2312" w:eastAsia="仿宋_GB2312" w:hint="eastAsia"/>
          <w:color w:val="000000" w:themeColor="text1"/>
        </w:rPr>
        <w:lastRenderedPageBreak/>
        <w:t>明遮荫处理较弱；60%遮光度下大多数品种发生倒伏，说明遮荫处理过度。而在30%遮光度下，倒伏品种比例（22%）和表型变异系数（0.25）能满足耐荫鉴定的要求，且株高相对值和耐荫级别相关系数最大。</w:t>
      </w:r>
    </w:p>
    <w:p w14:paraId="64492FFF" w14:textId="516A0945" w:rsidR="00D634F2" w:rsidRPr="001A0550" w:rsidRDefault="001A0550" w:rsidP="001A0550">
      <w:pPr>
        <w:pStyle w:val="affa"/>
        <w:rPr>
          <w:rFonts w:ascii="仿宋_GB2312" w:eastAsia="仿宋_GB2312" w:hAnsi="Calibri"/>
          <w:color w:val="000000" w:themeColor="text1"/>
        </w:rPr>
      </w:pPr>
      <w:r w:rsidRPr="001A0550">
        <w:rPr>
          <w:rFonts w:ascii="仿宋_GB2312" w:eastAsia="仿宋_GB2312" w:hAnsi="Calibri" w:hint="eastAsia"/>
          <w:color w:val="000000" w:themeColor="text1"/>
        </w:rPr>
        <w:t>遮光度30%条件下，对60份大豆资源的主要性状：苗期株高、苗期平均节间长、开花期、开花期株高、鼓粒期、鼓粒期株高、叶长、叶宽、叶柄长、茎叶鲜重、茎叶干重、根鲜重、根干重、冠层反射光谱、成熟期、成熟期株高、茎粗、主茎节数、有效分枝数、单株荚数、单株粒数、单株粒重、单株完粒数、单株粒重、百粒重、蛋白含量、脂肪含量等26个性状进行测定，发现苗期株高和平均节间长作为耐荫评价指标较其他指标更优。</w:t>
      </w:r>
    </w:p>
    <w:p w14:paraId="66C33575" w14:textId="25190E88" w:rsidR="00D634F2" w:rsidRDefault="004E6459">
      <w:pPr>
        <w:pStyle w:val="affa"/>
        <w:rPr>
          <w:rFonts w:ascii="仿宋_GB2312" w:eastAsia="仿宋_GB2312" w:hAnsi="Calibri"/>
          <w:color w:val="000000" w:themeColor="text1"/>
        </w:rPr>
      </w:pPr>
      <w:r>
        <w:rPr>
          <w:rFonts w:ascii="仿宋_GB2312" w:eastAsia="仿宋_GB2312" w:hAnsi="Calibri"/>
          <w:color w:val="000000" w:themeColor="text1"/>
        </w:rPr>
        <w:t>2</w:t>
      </w:r>
      <w:r w:rsidR="008854C0" w:rsidRPr="001A0550">
        <w:rPr>
          <w:rFonts w:ascii="仿宋_GB2312" w:eastAsia="仿宋_GB2312" w:hAnsi="Calibri"/>
          <w:color w:val="000000" w:themeColor="text1"/>
        </w:rPr>
        <w:t>.</w:t>
      </w:r>
      <w:r w:rsidR="008854C0" w:rsidRPr="001A0550">
        <w:rPr>
          <w:rFonts w:ascii="仿宋_GB2312" w:eastAsia="仿宋_GB2312" w:hAnsi="Calibri" w:hint="eastAsia"/>
          <w:color w:val="000000" w:themeColor="text1"/>
        </w:rPr>
        <w:t>主体内容</w:t>
      </w:r>
    </w:p>
    <w:p w14:paraId="69E6B1F4" w14:textId="4B744C94" w:rsidR="00D634F2" w:rsidRDefault="008854C0">
      <w:pPr>
        <w:pStyle w:val="affa"/>
        <w:rPr>
          <w:rFonts w:ascii="仿宋_GB2312" w:eastAsia="仿宋_GB2312" w:hAnsi="Calibri"/>
          <w:color w:val="000000" w:themeColor="text1"/>
        </w:rPr>
      </w:pPr>
      <w:r>
        <w:rPr>
          <w:rFonts w:ascii="仿宋_GB2312" w:eastAsia="仿宋_GB2312" w:hAnsi="Calibri" w:hint="eastAsia"/>
          <w:color w:val="000000" w:themeColor="text1"/>
        </w:rPr>
        <w:t>主体内容包括</w:t>
      </w:r>
      <w:r w:rsidR="00032FD8" w:rsidRPr="00032FD8">
        <w:rPr>
          <w:rFonts w:ascii="仿宋_GB2312" w:eastAsia="仿宋_GB2312" w:hAnsi="Calibri" w:hint="eastAsia"/>
          <w:color w:val="000000" w:themeColor="text1"/>
        </w:rPr>
        <w:t>鉴定</w:t>
      </w:r>
      <w:r w:rsidR="00032FD8" w:rsidRPr="00032FD8">
        <w:rPr>
          <w:rFonts w:ascii="仿宋_GB2312" w:eastAsia="仿宋_GB2312" w:hAnsi="Calibri"/>
          <w:color w:val="000000" w:themeColor="text1"/>
        </w:rPr>
        <w:t>材料与</w:t>
      </w:r>
      <w:r w:rsidR="00032FD8" w:rsidRPr="00032FD8">
        <w:rPr>
          <w:rFonts w:ascii="仿宋_GB2312" w:eastAsia="仿宋_GB2312" w:hAnsi="Calibri" w:hint="eastAsia"/>
          <w:color w:val="000000" w:themeColor="text1"/>
        </w:rPr>
        <w:t>设施选择</w:t>
      </w:r>
      <w:r w:rsidR="00032FD8" w:rsidRPr="00032FD8">
        <w:rPr>
          <w:rFonts w:ascii="仿宋_GB2312" w:eastAsia="仿宋_GB2312" w:hAnsi="Calibri"/>
          <w:color w:val="000000" w:themeColor="text1"/>
        </w:rPr>
        <w:t>、耐荫</w:t>
      </w:r>
      <w:r w:rsidR="00032FD8" w:rsidRPr="00032FD8">
        <w:rPr>
          <w:rFonts w:ascii="仿宋_GB2312" w:eastAsia="仿宋_GB2312" w:hAnsi="Calibri" w:hint="eastAsia"/>
          <w:color w:val="000000" w:themeColor="text1"/>
        </w:rPr>
        <w:t>性鉴定</w:t>
      </w:r>
      <w:r w:rsidR="00032FD8" w:rsidRPr="00032FD8">
        <w:rPr>
          <w:rFonts w:ascii="仿宋_GB2312" w:eastAsia="仿宋_GB2312" w:hAnsi="Calibri"/>
          <w:color w:val="000000" w:themeColor="text1"/>
        </w:rPr>
        <w:t>、耐荫</w:t>
      </w:r>
      <w:r w:rsidR="00032FD8" w:rsidRPr="00032FD8">
        <w:rPr>
          <w:rFonts w:ascii="仿宋_GB2312" w:eastAsia="仿宋_GB2312" w:hAnsi="Calibri" w:hint="eastAsia"/>
          <w:color w:val="000000" w:themeColor="text1"/>
        </w:rPr>
        <w:t>性</w:t>
      </w:r>
      <w:r w:rsidR="00032FD8" w:rsidRPr="00032FD8">
        <w:rPr>
          <w:rFonts w:ascii="仿宋_GB2312" w:eastAsia="仿宋_GB2312" w:hAnsi="Calibri"/>
          <w:color w:val="000000" w:themeColor="text1"/>
        </w:rPr>
        <w:t>评价</w:t>
      </w:r>
      <w:r>
        <w:rPr>
          <w:rFonts w:ascii="仿宋_GB2312" w:eastAsia="仿宋_GB2312" w:hAnsi="Calibri" w:hint="eastAsia"/>
          <w:color w:val="000000" w:themeColor="text1"/>
        </w:rPr>
        <w:t>。</w:t>
      </w:r>
    </w:p>
    <w:p w14:paraId="5245BF6C" w14:textId="7743390B" w:rsidR="00D634F2" w:rsidRDefault="008854C0">
      <w:pPr>
        <w:spacing w:line="560" w:lineRule="exact"/>
        <w:ind w:firstLineChars="200" w:firstLine="643"/>
        <w:rPr>
          <w:rFonts w:ascii="楷体" w:eastAsia="楷体" w:hAnsi="楷体" w:cs="楷体"/>
          <w:b/>
          <w:color w:val="000000" w:themeColor="text1"/>
          <w:sz w:val="32"/>
          <w:szCs w:val="32"/>
        </w:rPr>
      </w:pPr>
      <w:r>
        <w:rPr>
          <w:rFonts w:ascii="楷体" w:eastAsia="楷体" w:hAnsi="楷体" w:cs="楷体" w:hint="eastAsia"/>
          <w:b/>
          <w:color w:val="000000" w:themeColor="text1"/>
          <w:sz w:val="32"/>
          <w:szCs w:val="32"/>
        </w:rPr>
        <w:t>（四）调研及形成草案、征求意见稿</w:t>
      </w:r>
    </w:p>
    <w:p w14:paraId="58CD6DA5" w14:textId="5E8E1969" w:rsidR="00D634F2" w:rsidRPr="000C6800" w:rsidRDefault="000C6800">
      <w:pPr>
        <w:spacing w:line="520" w:lineRule="exact"/>
        <w:ind w:firstLineChars="200" w:firstLine="640"/>
        <w:rPr>
          <w:rFonts w:ascii="仿宋_GB2312" w:eastAsia="仿宋_GB2312"/>
          <w:color w:val="000000" w:themeColor="text1"/>
          <w:sz w:val="32"/>
          <w:szCs w:val="32"/>
        </w:rPr>
      </w:pPr>
      <w:r w:rsidRPr="000C6800">
        <w:rPr>
          <w:rFonts w:ascii="仿宋_GB2312" w:eastAsia="仿宋_GB2312" w:hint="eastAsia"/>
          <w:color w:val="000000" w:themeColor="text1"/>
          <w:sz w:val="32"/>
          <w:szCs w:val="32"/>
        </w:rPr>
        <w:t>202</w:t>
      </w:r>
      <w:r w:rsidRPr="000C6800">
        <w:rPr>
          <w:rFonts w:ascii="仿宋_GB2312" w:eastAsia="仿宋_GB2312"/>
          <w:color w:val="000000" w:themeColor="text1"/>
          <w:sz w:val="32"/>
          <w:szCs w:val="32"/>
        </w:rPr>
        <w:t>5</w:t>
      </w:r>
      <w:r w:rsidRPr="000C6800">
        <w:rPr>
          <w:rFonts w:ascii="仿宋_GB2312" w:eastAsia="仿宋_GB2312" w:hint="eastAsia"/>
          <w:color w:val="000000" w:themeColor="text1"/>
          <w:sz w:val="32"/>
          <w:szCs w:val="32"/>
        </w:rPr>
        <w:t>年</w:t>
      </w:r>
      <w:r w:rsidRPr="000C6800">
        <w:rPr>
          <w:rFonts w:ascii="仿宋_GB2312" w:eastAsia="仿宋_GB2312"/>
          <w:color w:val="000000" w:themeColor="text1"/>
          <w:sz w:val="32"/>
          <w:szCs w:val="32"/>
        </w:rPr>
        <w:t>8</w:t>
      </w:r>
      <w:r w:rsidRPr="000C6800">
        <w:rPr>
          <w:rFonts w:ascii="仿宋_GB2312" w:eastAsia="仿宋_GB2312" w:hint="eastAsia"/>
          <w:color w:val="000000" w:themeColor="text1"/>
          <w:sz w:val="32"/>
          <w:szCs w:val="32"/>
        </w:rPr>
        <w:t>月～</w:t>
      </w:r>
      <w:r w:rsidRPr="000C6800">
        <w:rPr>
          <w:rFonts w:ascii="仿宋_GB2312" w:eastAsia="仿宋_GB2312"/>
          <w:color w:val="000000" w:themeColor="text1"/>
          <w:sz w:val="32"/>
          <w:szCs w:val="32"/>
        </w:rPr>
        <w:t>9</w:t>
      </w:r>
      <w:r w:rsidRPr="000C6800">
        <w:rPr>
          <w:rFonts w:ascii="仿宋_GB2312" w:eastAsia="仿宋_GB2312" w:hint="eastAsia"/>
          <w:color w:val="000000" w:themeColor="text1"/>
          <w:sz w:val="32"/>
          <w:szCs w:val="32"/>
        </w:rPr>
        <w:t>月，</w:t>
      </w:r>
      <w:r w:rsidR="008854C0" w:rsidRPr="000C6800">
        <w:rPr>
          <w:rFonts w:ascii="仿宋_GB2312" w:eastAsia="仿宋_GB2312" w:hint="eastAsia"/>
          <w:color w:val="000000" w:themeColor="text1"/>
          <w:sz w:val="32"/>
          <w:szCs w:val="32"/>
        </w:rPr>
        <w:t>标准编制工作组查阅了大量的国内文献资料，经编制组反复讨论，对</w:t>
      </w:r>
      <w:r w:rsidR="004F6C5C">
        <w:rPr>
          <w:rFonts w:ascii="仿宋_GB2312" w:eastAsia="仿宋_GB2312" w:hint="eastAsia"/>
          <w:color w:val="000000" w:themeColor="text1"/>
          <w:sz w:val="32"/>
          <w:szCs w:val="32"/>
        </w:rPr>
        <w:t>大豆耐荫性鉴定评价技术</w:t>
      </w:r>
      <w:r w:rsidR="008854C0" w:rsidRPr="000C6800">
        <w:rPr>
          <w:rFonts w:ascii="仿宋_GB2312" w:eastAsia="仿宋_GB2312" w:hint="eastAsia"/>
          <w:color w:val="000000" w:themeColor="text1"/>
          <w:sz w:val="32"/>
          <w:szCs w:val="32"/>
        </w:rPr>
        <w:t>的实践情况进行系统总结，形成了标准的基本构架，对主要内容进行了讨论并对项目的工作进行了部署和安排。</w:t>
      </w:r>
    </w:p>
    <w:p w14:paraId="5BF443DB" w14:textId="193AA667" w:rsidR="00D634F2" w:rsidRPr="000C6800" w:rsidRDefault="000C6800">
      <w:pPr>
        <w:spacing w:line="520" w:lineRule="exact"/>
        <w:ind w:firstLineChars="200" w:firstLine="640"/>
        <w:rPr>
          <w:rFonts w:ascii="仿宋_GB2312" w:eastAsia="仿宋_GB2312"/>
          <w:color w:val="000000" w:themeColor="text1"/>
          <w:sz w:val="32"/>
          <w:szCs w:val="32"/>
        </w:rPr>
      </w:pPr>
      <w:r w:rsidRPr="000C6800">
        <w:rPr>
          <w:rFonts w:ascii="仿宋_GB2312" w:eastAsia="仿宋_GB2312" w:hint="eastAsia"/>
          <w:color w:val="000000" w:themeColor="text1"/>
          <w:sz w:val="32"/>
          <w:szCs w:val="32"/>
        </w:rPr>
        <w:t>202</w:t>
      </w:r>
      <w:r w:rsidRPr="000C6800">
        <w:rPr>
          <w:rFonts w:ascii="仿宋_GB2312" w:eastAsia="仿宋_GB2312"/>
          <w:color w:val="000000" w:themeColor="text1"/>
          <w:sz w:val="32"/>
          <w:szCs w:val="32"/>
        </w:rPr>
        <w:t>5</w:t>
      </w:r>
      <w:r w:rsidRPr="000C6800">
        <w:rPr>
          <w:rFonts w:ascii="仿宋_GB2312" w:eastAsia="仿宋_GB2312" w:hint="eastAsia"/>
          <w:color w:val="000000" w:themeColor="text1"/>
          <w:sz w:val="32"/>
          <w:szCs w:val="32"/>
        </w:rPr>
        <w:t>年</w:t>
      </w:r>
      <w:r w:rsidR="008003BA">
        <w:rPr>
          <w:rFonts w:ascii="仿宋_GB2312" w:eastAsia="仿宋_GB2312"/>
          <w:color w:val="000000" w:themeColor="text1"/>
          <w:sz w:val="32"/>
          <w:szCs w:val="32"/>
        </w:rPr>
        <w:t>10</w:t>
      </w:r>
      <w:r w:rsidRPr="000C6800">
        <w:rPr>
          <w:rFonts w:ascii="仿宋_GB2312" w:eastAsia="仿宋_GB2312" w:hint="eastAsia"/>
          <w:color w:val="000000" w:themeColor="text1"/>
          <w:sz w:val="32"/>
          <w:szCs w:val="32"/>
        </w:rPr>
        <w:t>月～</w:t>
      </w:r>
      <w:r w:rsidRPr="000C6800">
        <w:rPr>
          <w:rFonts w:ascii="仿宋_GB2312" w:eastAsia="仿宋_GB2312"/>
          <w:color w:val="000000" w:themeColor="text1"/>
          <w:sz w:val="32"/>
          <w:szCs w:val="32"/>
        </w:rPr>
        <w:t>1</w:t>
      </w:r>
      <w:r w:rsidR="008003BA">
        <w:rPr>
          <w:rFonts w:ascii="仿宋_GB2312" w:eastAsia="仿宋_GB2312"/>
          <w:color w:val="000000" w:themeColor="text1"/>
          <w:sz w:val="32"/>
          <w:szCs w:val="32"/>
        </w:rPr>
        <w:t>1</w:t>
      </w:r>
      <w:r w:rsidRPr="000C6800">
        <w:rPr>
          <w:rFonts w:ascii="仿宋_GB2312" w:eastAsia="仿宋_GB2312" w:hint="eastAsia"/>
          <w:color w:val="000000" w:themeColor="text1"/>
          <w:sz w:val="32"/>
          <w:szCs w:val="32"/>
        </w:rPr>
        <w:t>月，</w:t>
      </w:r>
      <w:r w:rsidR="008854C0" w:rsidRPr="000C6800">
        <w:rPr>
          <w:rFonts w:ascii="仿宋_GB2312" w:eastAsia="仿宋_GB2312" w:hint="eastAsia"/>
          <w:color w:val="000000" w:themeColor="text1"/>
          <w:sz w:val="32"/>
          <w:szCs w:val="32"/>
        </w:rPr>
        <w:t>在前期工作的基础之上，通过理清逻辑脉络，整合已有参考资料中有关</w:t>
      </w:r>
      <w:r w:rsidR="004F6C5C">
        <w:rPr>
          <w:rFonts w:ascii="仿宋_GB2312" w:eastAsia="仿宋_GB2312" w:hint="eastAsia"/>
          <w:color w:val="000000" w:themeColor="text1"/>
          <w:sz w:val="32"/>
          <w:szCs w:val="32"/>
        </w:rPr>
        <w:t>大豆耐荫性鉴定评价技术</w:t>
      </w:r>
      <w:r w:rsidR="008854C0" w:rsidRPr="000C6800">
        <w:rPr>
          <w:rFonts w:ascii="仿宋_GB2312" w:eastAsia="仿宋_GB2312" w:hint="eastAsia"/>
          <w:color w:val="000000" w:themeColor="text1"/>
          <w:sz w:val="32"/>
          <w:szCs w:val="32"/>
        </w:rPr>
        <w:t>的要求，并在目前</w:t>
      </w:r>
      <w:r w:rsidR="004F6C5C">
        <w:rPr>
          <w:rFonts w:ascii="仿宋_GB2312" w:eastAsia="仿宋_GB2312" w:hint="eastAsia"/>
          <w:color w:val="000000" w:themeColor="text1"/>
          <w:sz w:val="32"/>
          <w:szCs w:val="32"/>
        </w:rPr>
        <w:t>大豆耐荫性鉴定评价技术</w:t>
      </w:r>
      <w:r w:rsidR="008854C0" w:rsidRPr="000C6800">
        <w:rPr>
          <w:rFonts w:ascii="仿宋_GB2312" w:eastAsia="仿宋_GB2312" w:hint="eastAsia"/>
          <w:color w:val="000000" w:themeColor="text1"/>
          <w:sz w:val="32"/>
          <w:szCs w:val="32"/>
        </w:rPr>
        <w:t>实际操作的基础上，按照简化、统一等原则编制完成团体标准《</w:t>
      </w:r>
      <w:r w:rsidR="004B146F">
        <w:rPr>
          <w:rFonts w:ascii="仿宋_GB2312" w:eastAsia="仿宋_GB2312" w:hint="eastAsia"/>
          <w:color w:val="000000" w:themeColor="text1"/>
          <w:sz w:val="32"/>
          <w:szCs w:val="32"/>
        </w:rPr>
        <w:t>大豆耐荫性鉴定评价技术规程</w:t>
      </w:r>
      <w:r w:rsidR="008854C0" w:rsidRPr="000C6800">
        <w:rPr>
          <w:rFonts w:ascii="仿宋_GB2312" w:eastAsia="仿宋_GB2312" w:hint="eastAsia"/>
          <w:color w:val="000000" w:themeColor="text1"/>
          <w:sz w:val="32"/>
          <w:szCs w:val="32"/>
        </w:rPr>
        <w:t>》（草案）。</w:t>
      </w:r>
    </w:p>
    <w:p w14:paraId="44DC1E7F" w14:textId="1901FC5D" w:rsidR="00D634F2" w:rsidRDefault="000C6800">
      <w:pPr>
        <w:spacing w:line="520" w:lineRule="exact"/>
        <w:ind w:firstLineChars="200" w:firstLine="640"/>
        <w:rPr>
          <w:rFonts w:ascii="仿宋_GB2312" w:eastAsia="仿宋_GB2312"/>
          <w:color w:val="000000" w:themeColor="text1"/>
          <w:sz w:val="32"/>
          <w:szCs w:val="32"/>
        </w:rPr>
      </w:pPr>
      <w:r w:rsidRPr="000C6800">
        <w:rPr>
          <w:rFonts w:ascii="仿宋_GB2312" w:eastAsia="仿宋_GB2312" w:hint="eastAsia"/>
          <w:color w:val="000000" w:themeColor="text1"/>
          <w:sz w:val="32"/>
          <w:szCs w:val="32"/>
        </w:rPr>
        <w:t>202</w:t>
      </w:r>
      <w:r w:rsidRPr="000C6800">
        <w:rPr>
          <w:rFonts w:ascii="仿宋_GB2312" w:eastAsia="仿宋_GB2312"/>
          <w:color w:val="000000" w:themeColor="text1"/>
          <w:sz w:val="32"/>
          <w:szCs w:val="32"/>
        </w:rPr>
        <w:t>5</w:t>
      </w:r>
      <w:r w:rsidRPr="000C6800">
        <w:rPr>
          <w:rFonts w:ascii="仿宋_GB2312" w:eastAsia="仿宋_GB2312" w:hint="eastAsia"/>
          <w:color w:val="000000" w:themeColor="text1"/>
          <w:sz w:val="32"/>
          <w:szCs w:val="32"/>
        </w:rPr>
        <w:t>年</w:t>
      </w:r>
      <w:r w:rsidRPr="000C6800">
        <w:rPr>
          <w:rFonts w:ascii="仿宋_GB2312" w:eastAsia="仿宋_GB2312"/>
          <w:color w:val="000000" w:themeColor="text1"/>
          <w:sz w:val="32"/>
          <w:szCs w:val="32"/>
        </w:rPr>
        <w:t>1</w:t>
      </w:r>
      <w:r w:rsidR="008003BA">
        <w:rPr>
          <w:rFonts w:ascii="仿宋_GB2312" w:eastAsia="仿宋_GB2312"/>
          <w:color w:val="000000" w:themeColor="text1"/>
          <w:sz w:val="32"/>
          <w:szCs w:val="32"/>
        </w:rPr>
        <w:t>2</w:t>
      </w:r>
      <w:r w:rsidRPr="000C6800">
        <w:rPr>
          <w:rFonts w:ascii="仿宋_GB2312" w:eastAsia="仿宋_GB2312" w:hint="eastAsia"/>
          <w:color w:val="000000" w:themeColor="text1"/>
          <w:sz w:val="32"/>
          <w:szCs w:val="32"/>
        </w:rPr>
        <w:t>月，</w:t>
      </w:r>
      <w:r w:rsidR="008854C0">
        <w:rPr>
          <w:rFonts w:ascii="仿宋_GB2312" w:eastAsia="仿宋_GB2312" w:hint="eastAsia"/>
          <w:color w:val="000000" w:themeColor="text1"/>
          <w:sz w:val="32"/>
          <w:szCs w:val="32"/>
        </w:rPr>
        <w:t>标准编制工作组征求</w:t>
      </w:r>
      <w:r w:rsidR="008854C0">
        <w:rPr>
          <w:rFonts w:ascii="仿宋_GB2312" w:eastAsia="仿宋_GB2312"/>
          <w:color w:val="000000" w:themeColor="text1"/>
          <w:sz w:val="32"/>
          <w:szCs w:val="32"/>
        </w:rPr>
        <w:t>了</w:t>
      </w:r>
      <w:r w:rsidR="007300E1" w:rsidRPr="000D2BE1">
        <w:rPr>
          <w:rFonts w:ascii="仿宋_GB2312" w:eastAsia="仿宋_GB2312" w:hint="eastAsia"/>
          <w:color w:val="000000" w:themeColor="text1"/>
          <w:sz w:val="32"/>
          <w:szCs w:val="32"/>
        </w:rPr>
        <w:t>广西壮族自治区农业科学院、南京农业大学、南京农业大学三亚研究院、南宁市农业</w:t>
      </w:r>
      <w:r w:rsidR="007300E1" w:rsidRPr="000D2BE1">
        <w:rPr>
          <w:rFonts w:ascii="仿宋_GB2312" w:eastAsia="仿宋_GB2312" w:hint="eastAsia"/>
          <w:color w:val="000000" w:themeColor="text1"/>
          <w:sz w:val="32"/>
          <w:szCs w:val="32"/>
        </w:rPr>
        <w:lastRenderedPageBreak/>
        <w:t>技术推广站、广西桂先种业有限公司、桂平市植保植检站、靖西市农业农村局</w:t>
      </w:r>
      <w:r w:rsidR="008854C0" w:rsidRPr="00A065E9">
        <w:rPr>
          <w:rFonts w:ascii="仿宋_GB2312" w:eastAsia="仿宋_GB2312" w:hint="eastAsia"/>
          <w:color w:val="000000" w:themeColor="text1"/>
          <w:sz w:val="32"/>
          <w:szCs w:val="32"/>
        </w:rPr>
        <w:t>等单位的内部意见，通过收集反馈的意见，标准编制工作组多次召开会议，</w:t>
      </w:r>
      <w:r w:rsidR="008854C0">
        <w:rPr>
          <w:rFonts w:ascii="仿宋_GB2312" w:eastAsia="仿宋_GB2312" w:hint="eastAsia"/>
          <w:color w:val="000000" w:themeColor="text1"/>
          <w:sz w:val="32"/>
          <w:szCs w:val="32"/>
        </w:rPr>
        <w:t>对标准草案进行了反复修改和研究讨论，明确</w:t>
      </w:r>
      <w:r w:rsidR="004F6C5C">
        <w:rPr>
          <w:rFonts w:ascii="仿宋_GB2312" w:eastAsia="仿宋_GB2312" w:hint="eastAsia"/>
          <w:color w:val="000000" w:themeColor="text1"/>
          <w:sz w:val="32"/>
          <w:szCs w:val="32"/>
        </w:rPr>
        <w:t>大豆耐荫性鉴定评价技术</w:t>
      </w:r>
      <w:r w:rsidR="008854C0">
        <w:rPr>
          <w:rFonts w:ascii="仿宋_GB2312" w:eastAsia="仿宋_GB2312" w:hint="eastAsia"/>
          <w:color w:val="000000" w:themeColor="text1"/>
          <w:sz w:val="32"/>
          <w:szCs w:val="32"/>
        </w:rPr>
        <w:t>的要点，掌握了</w:t>
      </w:r>
      <w:r w:rsidR="004F6C5C">
        <w:rPr>
          <w:rFonts w:ascii="仿宋_GB2312" w:eastAsia="仿宋_GB2312" w:hint="eastAsia"/>
          <w:color w:val="000000" w:themeColor="text1"/>
          <w:sz w:val="32"/>
          <w:szCs w:val="32"/>
        </w:rPr>
        <w:t>大豆耐荫性鉴定评价技术</w:t>
      </w:r>
      <w:r w:rsidR="008854C0">
        <w:rPr>
          <w:rFonts w:ascii="仿宋_GB2312" w:eastAsia="仿宋_GB2312" w:hint="eastAsia"/>
          <w:color w:val="000000" w:themeColor="text1"/>
          <w:sz w:val="32"/>
          <w:szCs w:val="32"/>
        </w:rPr>
        <w:t>的基本情况以及要求，最终形成了</w:t>
      </w:r>
      <w:bookmarkStart w:id="0" w:name="_Hlk120181503"/>
      <w:r w:rsidR="008854C0">
        <w:rPr>
          <w:rFonts w:ascii="仿宋_GB2312" w:eastAsia="仿宋_GB2312" w:hint="eastAsia"/>
          <w:color w:val="000000" w:themeColor="text1"/>
          <w:sz w:val="32"/>
          <w:szCs w:val="32"/>
        </w:rPr>
        <w:t>团体标准《</w:t>
      </w:r>
      <w:r w:rsidR="004B146F">
        <w:rPr>
          <w:rFonts w:ascii="仿宋_GB2312" w:eastAsia="仿宋_GB2312" w:hint="eastAsia"/>
          <w:color w:val="000000" w:themeColor="text1"/>
          <w:sz w:val="32"/>
          <w:szCs w:val="32"/>
        </w:rPr>
        <w:t>大豆耐荫性鉴定评价技术规程</w:t>
      </w:r>
      <w:r w:rsidR="008854C0">
        <w:rPr>
          <w:rFonts w:ascii="仿宋_GB2312" w:eastAsia="仿宋_GB2312" w:hint="eastAsia"/>
          <w:color w:val="000000" w:themeColor="text1"/>
          <w:sz w:val="32"/>
          <w:szCs w:val="32"/>
        </w:rPr>
        <w:t>》（征求意见稿）及其编制说明。</w:t>
      </w:r>
      <w:bookmarkEnd w:id="0"/>
    </w:p>
    <w:p w14:paraId="2596D9F6" w14:textId="77777777" w:rsidR="00D634F2" w:rsidRDefault="008854C0">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四、制定标准的原则和依据，与现行法律、法规的关系，与有关国家标准、行业标准的协调情况</w:t>
      </w:r>
    </w:p>
    <w:p w14:paraId="273473A2"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（一）编制原则</w:t>
      </w:r>
    </w:p>
    <w:p w14:paraId="2244C959"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1、实用性原则</w:t>
      </w:r>
    </w:p>
    <w:p w14:paraId="43ED175A" w14:textId="2135762A"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本标准是在充分收集国内外相关资料和文献、调研分析</w:t>
      </w:r>
      <w:r w:rsidR="004F6C5C">
        <w:rPr>
          <w:rFonts w:ascii="仿宋_GB2312" w:eastAsia="仿宋_GB2312" w:hint="eastAsia"/>
          <w:color w:val="000000" w:themeColor="text1"/>
          <w:sz w:val="32"/>
          <w:szCs w:val="32"/>
        </w:rPr>
        <w:t>大豆耐荫性鉴定评价技术</w:t>
      </w:r>
      <w:r>
        <w:rPr>
          <w:rFonts w:ascii="仿宋_GB2312" w:eastAsia="仿宋_GB2312" w:hint="eastAsia"/>
          <w:color w:val="000000" w:themeColor="text1"/>
          <w:sz w:val="32"/>
          <w:szCs w:val="32"/>
        </w:rPr>
        <w:t>现状，结合起草单位前期研究工作取得的研究成果及积累的实践经验，并借鉴国内</w:t>
      </w:r>
      <w:r w:rsidR="004F6C5C">
        <w:rPr>
          <w:rFonts w:ascii="仿宋_GB2312" w:eastAsia="仿宋_GB2312" w:hint="eastAsia"/>
          <w:color w:val="000000" w:themeColor="text1"/>
          <w:sz w:val="32"/>
          <w:szCs w:val="32"/>
        </w:rPr>
        <w:t>大豆耐荫性鉴定评价技术</w:t>
      </w:r>
      <w:r>
        <w:rPr>
          <w:rFonts w:ascii="仿宋_GB2312" w:eastAsia="仿宋_GB2312" w:hint="eastAsia"/>
          <w:color w:val="000000" w:themeColor="text1"/>
          <w:sz w:val="32"/>
          <w:szCs w:val="32"/>
        </w:rPr>
        <w:t>进行总结起草的，符合工作实际，有利于</w:t>
      </w:r>
      <w:r w:rsidR="004F6C5C">
        <w:rPr>
          <w:rFonts w:ascii="仿宋_GB2312" w:eastAsia="仿宋_GB2312" w:hint="eastAsia"/>
          <w:color w:val="000000" w:themeColor="text1"/>
          <w:sz w:val="32"/>
          <w:szCs w:val="32"/>
        </w:rPr>
        <w:t>大豆耐荫性鉴定评价技术</w:t>
      </w:r>
      <w:r>
        <w:rPr>
          <w:rFonts w:ascii="仿宋_GB2312" w:eastAsia="仿宋_GB2312" w:hint="eastAsia"/>
          <w:color w:val="000000" w:themeColor="text1"/>
          <w:sz w:val="32"/>
          <w:szCs w:val="32"/>
        </w:rPr>
        <w:t>的实施与推广，具有可操作性和实用性。</w:t>
      </w:r>
    </w:p>
    <w:p w14:paraId="79A59E20"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2、协调性原则</w:t>
      </w:r>
    </w:p>
    <w:p w14:paraId="61B027EF" w14:textId="577C0E3C"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本文件编写过程中注意了与</w:t>
      </w:r>
      <w:r w:rsidR="004F6C5C">
        <w:rPr>
          <w:rFonts w:ascii="仿宋_GB2312" w:eastAsia="仿宋_GB2312" w:hint="eastAsia"/>
          <w:color w:val="000000" w:themeColor="text1"/>
          <w:sz w:val="32"/>
          <w:szCs w:val="32"/>
        </w:rPr>
        <w:t>大豆耐荫性鉴定评价技术</w:t>
      </w:r>
      <w:r>
        <w:rPr>
          <w:rFonts w:ascii="仿宋_GB2312" w:eastAsia="仿宋_GB2312" w:hint="eastAsia"/>
          <w:color w:val="000000" w:themeColor="text1"/>
          <w:sz w:val="32"/>
          <w:szCs w:val="32"/>
        </w:rPr>
        <w:t>相关法律法规的协调问题，在内容上与现行法律法规、标准协调一致。</w:t>
      </w:r>
    </w:p>
    <w:p w14:paraId="3DF8F4D5"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3、规范性原则</w:t>
      </w:r>
    </w:p>
    <w:p w14:paraId="12D576A2"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本文件严格按照GB/T 1.1—2020《标准化工作规范  第1部分：标准化文件的结构和起草规则》编写本标准的内容，保证标准的编写质量。</w:t>
      </w:r>
    </w:p>
    <w:p w14:paraId="2234E3DE" w14:textId="77777777" w:rsidR="00D634F2" w:rsidRDefault="008854C0">
      <w:pPr>
        <w:spacing w:line="560" w:lineRule="exact"/>
        <w:ind w:firstLineChars="200" w:firstLine="643"/>
        <w:rPr>
          <w:rFonts w:ascii="仿宋_GB2312" w:eastAsia="仿宋_GB2312" w:hAnsi="楷体" w:cs="Times New Roman"/>
          <w:b/>
          <w:color w:val="000000" w:themeColor="text1"/>
          <w:sz w:val="32"/>
          <w:szCs w:val="32"/>
        </w:rPr>
      </w:pPr>
      <w:r>
        <w:rPr>
          <w:rFonts w:ascii="仿宋_GB2312" w:eastAsia="仿宋_GB2312" w:hAnsi="楷体" w:cs="Times New Roman" w:hint="eastAsia"/>
          <w:b/>
          <w:color w:val="000000" w:themeColor="text1"/>
          <w:sz w:val="32"/>
          <w:szCs w:val="32"/>
        </w:rPr>
        <w:t>4、前瞻性原则</w:t>
      </w:r>
    </w:p>
    <w:p w14:paraId="62168C45" w14:textId="1CD1D626"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本文件在兼顾当前</w:t>
      </w:r>
      <w:r w:rsidR="004F6C5C">
        <w:rPr>
          <w:rFonts w:ascii="仿宋_GB2312" w:eastAsia="仿宋_GB2312" w:hint="eastAsia"/>
          <w:color w:val="000000" w:themeColor="text1"/>
          <w:sz w:val="32"/>
          <w:szCs w:val="32"/>
        </w:rPr>
        <w:t>大豆耐荫性鉴定评价技术</w:t>
      </w:r>
      <w:r>
        <w:rPr>
          <w:rFonts w:ascii="仿宋_GB2312" w:eastAsia="仿宋_GB2312" w:hint="eastAsia"/>
          <w:color w:val="000000" w:themeColor="text1"/>
          <w:sz w:val="32"/>
          <w:szCs w:val="32"/>
        </w:rPr>
        <w:t>现实情况的同时，还考虑到了</w:t>
      </w:r>
      <w:r w:rsidR="004F6C5C">
        <w:rPr>
          <w:rFonts w:ascii="仿宋_GB2312" w:eastAsia="仿宋_GB2312" w:hint="eastAsia"/>
          <w:color w:val="000000" w:themeColor="text1"/>
          <w:sz w:val="32"/>
          <w:szCs w:val="32"/>
        </w:rPr>
        <w:t>大豆耐荫性鉴定评价技术</w:t>
      </w:r>
      <w:r>
        <w:rPr>
          <w:rFonts w:ascii="仿宋_GB2312" w:eastAsia="仿宋_GB2312" w:hint="eastAsia"/>
          <w:color w:val="000000" w:themeColor="text1"/>
          <w:sz w:val="32"/>
          <w:szCs w:val="32"/>
        </w:rPr>
        <w:t>的需要，在标准中体现</w:t>
      </w:r>
      <w:r>
        <w:rPr>
          <w:rFonts w:ascii="仿宋_GB2312" w:eastAsia="仿宋_GB2312" w:hint="eastAsia"/>
          <w:color w:val="000000" w:themeColor="text1"/>
          <w:sz w:val="32"/>
          <w:szCs w:val="32"/>
        </w:rPr>
        <w:lastRenderedPageBreak/>
        <w:t>了个别特色性、前瞻性和先进性条款，作为对</w:t>
      </w:r>
      <w:r w:rsidR="004F6C5C">
        <w:rPr>
          <w:rFonts w:ascii="仿宋_GB2312" w:eastAsia="仿宋_GB2312" w:hint="eastAsia"/>
          <w:color w:val="000000" w:themeColor="text1"/>
          <w:sz w:val="32"/>
          <w:szCs w:val="32"/>
        </w:rPr>
        <w:t>大豆耐荫性鉴定评价技术</w:t>
      </w:r>
      <w:r>
        <w:rPr>
          <w:rFonts w:ascii="仿宋_GB2312" w:eastAsia="仿宋_GB2312" w:hint="eastAsia"/>
          <w:color w:val="000000" w:themeColor="text1"/>
          <w:sz w:val="32"/>
          <w:szCs w:val="32"/>
        </w:rPr>
        <w:t>的指导。</w:t>
      </w:r>
    </w:p>
    <w:p w14:paraId="16101DFE"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（二）编制依据</w:t>
      </w:r>
    </w:p>
    <w:p w14:paraId="035B5479" w14:textId="64940F85"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本标准严格按照GB/T 1.1—2020《标准化工作规范  第1部分：标准化文件的结构和起草规则》的规则起草，标准主要内容依据起草单位在</w:t>
      </w:r>
      <w:r w:rsidR="004F6C5C">
        <w:rPr>
          <w:rFonts w:ascii="仿宋_GB2312" w:eastAsia="仿宋_GB2312" w:hint="eastAsia"/>
          <w:color w:val="000000" w:themeColor="text1"/>
          <w:sz w:val="32"/>
          <w:szCs w:val="32"/>
        </w:rPr>
        <w:t>大豆耐荫性鉴定评价技术</w:t>
      </w:r>
      <w:r>
        <w:rPr>
          <w:rFonts w:ascii="仿宋_GB2312" w:eastAsia="仿宋_GB2312" w:hint="eastAsia"/>
          <w:color w:val="000000" w:themeColor="text1"/>
          <w:sz w:val="32"/>
          <w:szCs w:val="32"/>
        </w:rPr>
        <w:t>过程中的实践经验确定。</w:t>
      </w:r>
    </w:p>
    <w:p w14:paraId="61C44619"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（三）与现行法律、法规的关系，与有关国家标准、行业标准的协调情况</w:t>
      </w:r>
    </w:p>
    <w:p w14:paraId="41C22A5D"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本标准与相关法律法规、强制性标准协调一致，无冲突。</w:t>
      </w:r>
    </w:p>
    <w:p w14:paraId="2324C47D" w14:textId="3EAA8F3D" w:rsidR="000E0C0E" w:rsidRPr="00D729EB" w:rsidRDefault="008854C0">
      <w:pPr>
        <w:spacing w:line="520" w:lineRule="exact"/>
        <w:ind w:firstLineChars="200" w:firstLine="640"/>
        <w:rPr>
          <w:rFonts w:ascii="Times New Roman" w:eastAsia="仿宋_GB2312" w:hAnsi="Times New Roman" w:cs="Times New Roman"/>
          <w:color w:val="000000" w:themeColor="text1"/>
          <w:sz w:val="32"/>
          <w:szCs w:val="32"/>
        </w:rPr>
      </w:pPr>
      <w:r w:rsidRPr="00D729EB">
        <w:rPr>
          <w:rFonts w:ascii="仿宋_GB2312" w:eastAsia="仿宋_GB2312" w:hint="eastAsia"/>
          <w:color w:val="000000" w:themeColor="text1"/>
          <w:sz w:val="32"/>
          <w:szCs w:val="32"/>
        </w:rPr>
        <w:t>经查阅，截至目前，国内</w:t>
      </w:r>
      <w:r w:rsidR="000E0C0E" w:rsidRPr="00D729EB">
        <w:rPr>
          <w:rFonts w:ascii="Times New Roman" w:eastAsia="仿宋_GB2312" w:hAnsi="Times New Roman" w:cs="Times New Roman" w:hint="eastAsia"/>
          <w:color w:val="000000" w:themeColor="text1"/>
          <w:sz w:val="32"/>
          <w:szCs w:val="32"/>
        </w:rPr>
        <w:t>与</w:t>
      </w:r>
      <w:r w:rsidR="00D729EB" w:rsidRPr="00D729EB">
        <w:rPr>
          <w:rFonts w:ascii="Times New Roman" w:eastAsia="仿宋_GB2312" w:hAnsi="Times New Roman" w:cs="Times New Roman" w:hint="eastAsia"/>
          <w:color w:val="000000" w:themeColor="text1"/>
          <w:sz w:val="32"/>
          <w:szCs w:val="32"/>
        </w:rPr>
        <w:t>“大豆抗旱性”“大豆抗病虫性”相关的标准有：《</w:t>
      </w:r>
      <w:r w:rsidR="00D729EB" w:rsidRPr="00D729EB">
        <w:rPr>
          <w:rFonts w:ascii="Times New Roman" w:eastAsia="仿宋_GB2312" w:hAnsi="Times New Roman" w:cs="Times New Roman"/>
          <w:color w:val="000000" w:themeColor="text1"/>
          <w:sz w:val="32"/>
          <w:szCs w:val="32"/>
        </w:rPr>
        <w:t>DB11/T 720-2020</w:t>
      </w:r>
      <w:r w:rsidR="00D729EB" w:rsidRPr="00D729EB">
        <w:rPr>
          <w:rFonts w:ascii="Times New Roman" w:eastAsia="仿宋_GB2312" w:hAnsi="Times New Roman" w:cs="Times New Roman" w:hint="eastAsia"/>
          <w:color w:val="000000" w:themeColor="text1"/>
          <w:sz w:val="32"/>
          <w:szCs w:val="32"/>
        </w:rPr>
        <w:t>大豆抗旱性鉴定方法及评价》《</w:t>
      </w:r>
      <w:r w:rsidR="00D729EB" w:rsidRPr="00D729EB">
        <w:rPr>
          <w:rFonts w:ascii="Times New Roman" w:eastAsia="仿宋_GB2312" w:hAnsi="Times New Roman" w:cs="Times New Roman"/>
          <w:color w:val="000000" w:themeColor="text1"/>
          <w:sz w:val="32"/>
          <w:szCs w:val="32"/>
        </w:rPr>
        <w:t>DB22/T 2602-2016</w:t>
      </w:r>
      <w:r w:rsidR="00D729EB" w:rsidRPr="00D729EB">
        <w:rPr>
          <w:rFonts w:ascii="Times New Roman" w:eastAsia="仿宋_GB2312" w:hAnsi="Times New Roman" w:cs="Times New Roman" w:hint="eastAsia"/>
          <w:color w:val="000000" w:themeColor="text1"/>
          <w:sz w:val="32"/>
          <w:szCs w:val="32"/>
        </w:rPr>
        <w:t>大豆抗旱性鉴定技术规范》《</w:t>
      </w:r>
      <w:r w:rsidR="00D729EB" w:rsidRPr="00D729EB">
        <w:rPr>
          <w:rFonts w:ascii="Times New Roman" w:eastAsia="仿宋_GB2312" w:hAnsi="Times New Roman" w:cs="Times New Roman"/>
          <w:color w:val="000000" w:themeColor="text1"/>
          <w:sz w:val="32"/>
          <w:szCs w:val="32"/>
        </w:rPr>
        <w:t>DB51/T 3005-2023</w:t>
      </w:r>
      <w:r w:rsidR="00D729EB" w:rsidRPr="00D729EB">
        <w:rPr>
          <w:rFonts w:ascii="Times New Roman" w:eastAsia="仿宋_GB2312" w:hAnsi="Times New Roman" w:cs="Times New Roman" w:hint="eastAsia"/>
          <w:color w:val="000000" w:themeColor="text1"/>
          <w:sz w:val="32"/>
          <w:szCs w:val="32"/>
        </w:rPr>
        <w:t>大豆品种抗炭疽病性鉴定技术规程》</w:t>
      </w:r>
      <w:r w:rsidR="000E0C0E" w:rsidRPr="00D729EB">
        <w:rPr>
          <w:rFonts w:ascii="Times New Roman" w:eastAsia="仿宋_GB2312" w:hAnsi="Times New Roman" w:cs="Times New Roman" w:hint="eastAsia"/>
          <w:color w:val="000000" w:themeColor="text1"/>
          <w:sz w:val="32"/>
          <w:szCs w:val="32"/>
        </w:rPr>
        <w:t>。</w:t>
      </w:r>
    </w:p>
    <w:p w14:paraId="7788E67E" w14:textId="77777777" w:rsidR="00D729EB" w:rsidRPr="00D729EB" w:rsidRDefault="000E0C0E" w:rsidP="00D729EB">
      <w:pPr>
        <w:spacing w:line="520" w:lineRule="exact"/>
        <w:ind w:firstLineChars="200" w:firstLine="640"/>
        <w:rPr>
          <w:rFonts w:ascii="仿宋_GB2312" w:eastAsia="仿宋_GB2312"/>
          <w:color w:val="000000" w:themeColor="text1"/>
          <w:sz w:val="32"/>
          <w:szCs w:val="32"/>
        </w:rPr>
      </w:pPr>
      <w:r w:rsidRPr="00D729EB">
        <w:rPr>
          <w:rFonts w:ascii="仿宋_GB2312" w:eastAsia="仿宋_GB2312" w:hint="eastAsia"/>
          <w:color w:val="000000" w:themeColor="text1"/>
          <w:sz w:val="32"/>
          <w:szCs w:val="32"/>
        </w:rPr>
        <w:t>其中，</w:t>
      </w:r>
      <w:r w:rsidR="00D729EB" w:rsidRPr="00D729EB">
        <w:rPr>
          <w:rFonts w:ascii="仿宋_GB2312" w:eastAsia="仿宋_GB2312" w:hint="eastAsia"/>
          <w:color w:val="000000" w:themeColor="text1"/>
          <w:sz w:val="32"/>
          <w:szCs w:val="32"/>
        </w:rPr>
        <w:t>《</w:t>
      </w:r>
      <w:r w:rsidR="00D729EB" w:rsidRPr="00D729EB">
        <w:rPr>
          <w:rFonts w:ascii="仿宋_GB2312" w:eastAsia="仿宋_GB2312"/>
          <w:color w:val="000000" w:themeColor="text1"/>
          <w:sz w:val="32"/>
          <w:szCs w:val="32"/>
        </w:rPr>
        <w:t>DB11/T 720-2020</w:t>
      </w:r>
      <w:r w:rsidR="00D729EB" w:rsidRPr="00D729EB">
        <w:rPr>
          <w:rFonts w:ascii="仿宋_GB2312" w:eastAsia="仿宋_GB2312" w:hint="eastAsia"/>
          <w:color w:val="000000" w:themeColor="text1"/>
          <w:sz w:val="32"/>
          <w:szCs w:val="32"/>
        </w:rPr>
        <w:t>大豆抗旱性鉴定方法及评价》规定了大豆发芽期、苗期、花荚期和全生育期抗旱性鉴定方法及评价。适用于北京地区大豆抗旱性的鉴定和评价。</w:t>
      </w:r>
    </w:p>
    <w:p w14:paraId="59FF57FF" w14:textId="77777777" w:rsidR="00D729EB" w:rsidRPr="00D729EB" w:rsidRDefault="00D729EB" w:rsidP="00D729EB">
      <w:pPr>
        <w:spacing w:line="520" w:lineRule="exact"/>
        <w:ind w:firstLineChars="200" w:firstLine="640"/>
        <w:rPr>
          <w:rFonts w:ascii="仿宋_GB2312" w:eastAsia="仿宋_GB2312"/>
          <w:color w:val="000000" w:themeColor="text1"/>
          <w:sz w:val="32"/>
          <w:szCs w:val="32"/>
        </w:rPr>
      </w:pPr>
      <w:r w:rsidRPr="00D729EB">
        <w:rPr>
          <w:rFonts w:ascii="仿宋_GB2312" w:eastAsia="仿宋_GB2312" w:hint="eastAsia"/>
          <w:color w:val="000000" w:themeColor="text1"/>
          <w:sz w:val="32"/>
          <w:szCs w:val="32"/>
        </w:rPr>
        <w:t>《</w:t>
      </w:r>
      <w:r w:rsidRPr="00D729EB">
        <w:rPr>
          <w:rFonts w:ascii="仿宋_GB2312" w:eastAsia="仿宋_GB2312"/>
          <w:color w:val="000000" w:themeColor="text1"/>
          <w:sz w:val="32"/>
          <w:szCs w:val="32"/>
        </w:rPr>
        <w:t>DB22/T 2602-2016</w:t>
      </w:r>
      <w:r w:rsidRPr="00D729EB">
        <w:rPr>
          <w:rFonts w:ascii="仿宋_GB2312" w:eastAsia="仿宋_GB2312" w:hint="eastAsia"/>
          <w:color w:val="000000" w:themeColor="text1"/>
          <w:sz w:val="32"/>
          <w:szCs w:val="32"/>
        </w:rPr>
        <w:t>大豆抗旱性鉴定技术规范》规定了大豆的抗旱性鉴定的抗旱性鉴定方法和抗旱性评价标准。适用于大豆抗旱性品种筛选与鉴定。</w:t>
      </w:r>
    </w:p>
    <w:p w14:paraId="33DFC4F4" w14:textId="77777777" w:rsidR="00D729EB" w:rsidRPr="00D729EB" w:rsidRDefault="00D729EB" w:rsidP="00D729EB">
      <w:pPr>
        <w:spacing w:line="520" w:lineRule="exact"/>
        <w:ind w:firstLineChars="200" w:firstLine="640"/>
        <w:rPr>
          <w:rFonts w:ascii="仿宋_GB2312" w:eastAsia="仿宋_GB2312"/>
          <w:color w:val="000000" w:themeColor="text1"/>
          <w:sz w:val="32"/>
          <w:szCs w:val="32"/>
        </w:rPr>
      </w:pPr>
      <w:r w:rsidRPr="00D729EB">
        <w:rPr>
          <w:rFonts w:ascii="仿宋_GB2312" w:eastAsia="仿宋_GB2312" w:hint="eastAsia"/>
          <w:color w:val="000000" w:themeColor="text1"/>
          <w:sz w:val="32"/>
          <w:szCs w:val="32"/>
        </w:rPr>
        <w:t>《</w:t>
      </w:r>
      <w:r w:rsidRPr="00D729EB">
        <w:rPr>
          <w:rFonts w:ascii="仿宋_GB2312" w:eastAsia="仿宋_GB2312"/>
          <w:color w:val="000000" w:themeColor="text1"/>
          <w:sz w:val="32"/>
          <w:szCs w:val="32"/>
        </w:rPr>
        <w:t>DB51/T 3005-2023</w:t>
      </w:r>
      <w:r w:rsidRPr="00D729EB">
        <w:rPr>
          <w:rFonts w:ascii="仿宋_GB2312" w:eastAsia="仿宋_GB2312" w:hint="eastAsia"/>
          <w:color w:val="000000" w:themeColor="text1"/>
          <w:sz w:val="32"/>
          <w:szCs w:val="32"/>
        </w:rPr>
        <w:t>大豆品种抗炭疽病性鉴定技术规程》规定了大豆品种抗炭疽病性鉴定的术语和定义、鉴定试验条件、病原菌选择与培养、接种体制备和鉴定程序。适用于大豆品种炭疽病抗性评价。</w:t>
      </w:r>
    </w:p>
    <w:p w14:paraId="50E0003C" w14:textId="2A938D06" w:rsidR="00D634F2" w:rsidRDefault="00D729EB" w:rsidP="00D729EB">
      <w:pPr>
        <w:spacing w:line="520" w:lineRule="exact"/>
        <w:ind w:firstLineChars="200" w:firstLine="640"/>
        <w:rPr>
          <w:rFonts w:ascii="仿宋_GB2312" w:eastAsia="仿宋_GB2312"/>
          <w:color w:val="000000" w:themeColor="text1"/>
          <w:sz w:val="32"/>
          <w:szCs w:val="32"/>
        </w:rPr>
      </w:pPr>
      <w:r w:rsidRPr="00D729EB">
        <w:rPr>
          <w:rFonts w:ascii="仿宋_GB2312" w:eastAsia="仿宋_GB2312" w:hint="eastAsia"/>
          <w:color w:val="000000" w:themeColor="text1"/>
          <w:sz w:val="32"/>
          <w:szCs w:val="32"/>
        </w:rPr>
        <w:t>综上所述，目前与关键词相关的标准是关于</w:t>
      </w:r>
      <w:r w:rsidRPr="00D729EB">
        <w:rPr>
          <w:rFonts w:ascii="仿宋_GB2312" w:eastAsia="仿宋_GB2312"/>
          <w:color w:val="000000" w:themeColor="text1"/>
          <w:sz w:val="32"/>
          <w:szCs w:val="32"/>
        </w:rPr>
        <w:t>大豆抗旱性或抗</w:t>
      </w:r>
      <w:r w:rsidRPr="00D729EB">
        <w:rPr>
          <w:rFonts w:ascii="仿宋_GB2312" w:eastAsia="仿宋_GB2312" w:hint="eastAsia"/>
          <w:color w:val="000000" w:themeColor="text1"/>
          <w:sz w:val="32"/>
          <w:szCs w:val="32"/>
        </w:rPr>
        <w:t>病</w:t>
      </w:r>
      <w:r w:rsidRPr="00D729EB">
        <w:rPr>
          <w:rFonts w:ascii="仿宋_GB2312" w:eastAsia="仿宋_GB2312"/>
          <w:color w:val="000000" w:themeColor="text1"/>
          <w:sz w:val="32"/>
          <w:szCs w:val="32"/>
        </w:rPr>
        <w:t>虫性的</w:t>
      </w:r>
      <w:r w:rsidRPr="00D729EB">
        <w:rPr>
          <w:rFonts w:ascii="仿宋_GB2312" w:eastAsia="仿宋_GB2312" w:hint="eastAsia"/>
          <w:color w:val="000000" w:themeColor="text1"/>
          <w:sz w:val="32"/>
          <w:szCs w:val="32"/>
        </w:rPr>
        <w:t>评价</w:t>
      </w:r>
      <w:r w:rsidRPr="00D729EB">
        <w:rPr>
          <w:rFonts w:ascii="仿宋_GB2312" w:eastAsia="仿宋_GB2312"/>
          <w:color w:val="000000" w:themeColor="text1"/>
          <w:sz w:val="32"/>
          <w:szCs w:val="32"/>
        </w:rPr>
        <w:t>鉴定技术</w:t>
      </w:r>
      <w:r w:rsidRPr="00D729EB">
        <w:rPr>
          <w:rFonts w:ascii="仿宋_GB2312" w:eastAsia="仿宋_GB2312" w:hint="eastAsia"/>
          <w:color w:val="000000" w:themeColor="text1"/>
          <w:sz w:val="32"/>
          <w:szCs w:val="32"/>
        </w:rPr>
        <w:t>，</w:t>
      </w:r>
      <w:r w:rsidRPr="00D729EB">
        <w:rPr>
          <w:rFonts w:ascii="仿宋_GB2312" w:eastAsia="仿宋_GB2312"/>
          <w:color w:val="000000" w:themeColor="text1"/>
          <w:sz w:val="32"/>
          <w:szCs w:val="32"/>
        </w:rPr>
        <w:t>不涉及大豆</w:t>
      </w:r>
      <w:r w:rsidRPr="00D729EB">
        <w:rPr>
          <w:rFonts w:ascii="仿宋_GB2312" w:eastAsia="仿宋_GB2312" w:hint="eastAsia"/>
          <w:color w:val="000000" w:themeColor="text1"/>
          <w:sz w:val="32"/>
          <w:szCs w:val="32"/>
        </w:rPr>
        <w:t>耐荫性鉴定</w:t>
      </w:r>
      <w:r w:rsidRPr="00D729EB">
        <w:rPr>
          <w:rFonts w:ascii="仿宋_GB2312" w:eastAsia="仿宋_GB2312"/>
          <w:color w:val="000000" w:themeColor="text1"/>
          <w:sz w:val="32"/>
          <w:szCs w:val="32"/>
        </w:rPr>
        <w:t>与评价</w:t>
      </w:r>
      <w:r w:rsidRPr="00D729EB">
        <w:rPr>
          <w:rFonts w:ascii="仿宋_GB2312" w:eastAsia="仿宋_GB2312" w:hint="eastAsia"/>
          <w:color w:val="000000" w:themeColor="text1"/>
          <w:sz w:val="32"/>
          <w:szCs w:val="32"/>
        </w:rPr>
        <w:t>。本标准</w:t>
      </w:r>
      <w:r w:rsidRPr="00D729EB">
        <w:rPr>
          <w:rFonts w:ascii="仿宋_GB2312" w:eastAsia="仿宋_GB2312" w:hint="eastAsia"/>
          <w:color w:val="000000" w:themeColor="text1"/>
          <w:sz w:val="32"/>
          <w:szCs w:val="32"/>
        </w:rPr>
        <w:lastRenderedPageBreak/>
        <w:t>的核心技术</w:t>
      </w:r>
      <w:r w:rsidRPr="00D729EB">
        <w:rPr>
          <w:rFonts w:ascii="仿宋_GB2312" w:eastAsia="仿宋_GB2312"/>
          <w:color w:val="000000" w:themeColor="text1"/>
          <w:sz w:val="32"/>
          <w:szCs w:val="32"/>
        </w:rPr>
        <w:t>内容在于</w:t>
      </w:r>
      <w:r w:rsidRPr="00D729EB">
        <w:rPr>
          <w:rFonts w:ascii="仿宋_GB2312" w:eastAsia="仿宋_GB2312" w:hint="eastAsia"/>
          <w:color w:val="000000" w:themeColor="text1"/>
          <w:sz w:val="32"/>
          <w:szCs w:val="32"/>
        </w:rPr>
        <w:t>对出苗后40天、50天、60天</w:t>
      </w:r>
      <w:r w:rsidRPr="00D729EB">
        <w:rPr>
          <w:rFonts w:ascii="仿宋_GB2312" w:eastAsia="仿宋_GB2312"/>
          <w:color w:val="000000" w:themeColor="text1"/>
          <w:sz w:val="32"/>
          <w:szCs w:val="32"/>
        </w:rPr>
        <w:t>株高</w:t>
      </w:r>
      <w:r w:rsidRPr="00D729EB">
        <w:rPr>
          <w:rFonts w:ascii="仿宋_GB2312" w:eastAsia="仿宋_GB2312" w:hint="eastAsia"/>
          <w:color w:val="000000" w:themeColor="text1"/>
          <w:sz w:val="32"/>
          <w:szCs w:val="32"/>
        </w:rPr>
        <w:t>、</w:t>
      </w:r>
      <w:r w:rsidRPr="00D729EB">
        <w:rPr>
          <w:rFonts w:ascii="仿宋_GB2312" w:eastAsia="仿宋_GB2312"/>
          <w:color w:val="000000" w:themeColor="text1"/>
          <w:sz w:val="32"/>
          <w:szCs w:val="32"/>
        </w:rPr>
        <w:t>平均节间长</w:t>
      </w:r>
      <w:r w:rsidRPr="00D729EB">
        <w:rPr>
          <w:rFonts w:ascii="仿宋_GB2312" w:eastAsia="仿宋_GB2312" w:hint="eastAsia"/>
          <w:color w:val="000000" w:themeColor="text1"/>
          <w:sz w:val="32"/>
          <w:szCs w:val="32"/>
        </w:rPr>
        <w:t>和田间抗倒伏性等性状，进行主成分分析，同时运用隶属函数值和逐步回归分析方法对各主成分得分值进行标准化，对大豆耐荫性进行综合评价及鉴定指标筛选，将大豆耐荫性评价体系划分为五个等级，对大豆耐荫性的鉴定</w:t>
      </w:r>
      <w:r w:rsidRPr="00D729EB">
        <w:rPr>
          <w:rFonts w:ascii="仿宋_GB2312" w:eastAsia="仿宋_GB2312"/>
          <w:color w:val="000000" w:themeColor="text1"/>
          <w:sz w:val="32"/>
          <w:szCs w:val="32"/>
        </w:rPr>
        <w:t>与评价更</w:t>
      </w:r>
      <w:r w:rsidRPr="00D729EB">
        <w:rPr>
          <w:rFonts w:ascii="仿宋_GB2312" w:eastAsia="仿宋_GB2312" w:hint="eastAsia"/>
          <w:color w:val="000000" w:themeColor="text1"/>
          <w:sz w:val="32"/>
          <w:szCs w:val="32"/>
        </w:rPr>
        <w:t>有</w:t>
      </w:r>
      <w:r w:rsidRPr="00D729EB">
        <w:rPr>
          <w:rFonts w:ascii="仿宋_GB2312" w:eastAsia="仿宋_GB2312"/>
          <w:color w:val="000000" w:themeColor="text1"/>
          <w:sz w:val="32"/>
          <w:szCs w:val="32"/>
        </w:rPr>
        <w:t>针对性</w:t>
      </w:r>
      <w:r w:rsidRPr="00D729EB">
        <w:rPr>
          <w:rFonts w:ascii="仿宋_GB2312" w:eastAsia="仿宋_GB2312" w:hint="eastAsia"/>
          <w:color w:val="000000" w:themeColor="text1"/>
          <w:sz w:val="32"/>
          <w:szCs w:val="32"/>
        </w:rPr>
        <w:t>，</w:t>
      </w:r>
      <w:r w:rsidRPr="00D729EB">
        <w:rPr>
          <w:rFonts w:ascii="仿宋_GB2312" w:eastAsia="仿宋_GB2312"/>
          <w:color w:val="000000" w:themeColor="text1"/>
          <w:sz w:val="32"/>
          <w:szCs w:val="32"/>
        </w:rPr>
        <w:t>以上标准不适用</w:t>
      </w:r>
      <w:r w:rsidRPr="00D729EB">
        <w:rPr>
          <w:rFonts w:ascii="仿宋_GB2312" w:eastAsia="仿宋_GB2312" w:hint="eastAsia"/>
          <w:color w:val="000000" w:themeColor="text1"/>
          <w:sz w:val="32"/>
          <w:szCs w:val="32"/>
        </w:rPr>
        <w:t>大豆耐荫性的鉴定评价</w:t>
      </w:r>
      <w:r w:rsidR="008854C0" w:rsidRPr="00D729EB">
        <w:rPr>
          <w:rFonts w:ascii="仿宋_GB2312" w:eastAsia="仿宋_GB2312" w:hint="eastAsia"/>
          <w:color w:val="000000" w:themeColor="text1"/>
          <w:sz w:val="32"/>
          <w:szCs w:val="32"/>
        </w:rPr>
        <w:t>。</w:t>
      </w:r>
    </w:p>
    <w:p w14:paraId="3C75DE74"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本标准的内容与现行的法律法规及强制性标准无冲突，本文件相关指标不低于强制性国家标准的相关技术要求，标准的编写符合GB/T 1.1—2020的要求。</w:t>
      </w:r>
    </w:p>
    <w:p w14:paraId="10E3EE1F"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五、主要条款的说明</w:t>
      </w:r>
    </w:p>
    <w:p w14:paraId="1332D6E8" w14:textId="3269B6E5"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团体标准《</w:t>
      </w:r>
      <w:r w:rsidR="004B146F">
        <w:rPr>
          <w:rFonts w:ascii="仿宋_GB2312" w:eastAsia="仿宋_GB2312" w:hint="eastAsia"/>
          <w:color w:val="000000" w:themeColor="text1"/>
          <w:sz w:val="32"/>
          <w:szCs w:val="32"/>
        </w:rPr>
        <w:t>大豆耐荫性鉴定评价技术规程</w:t>
      </w:r>
      <w:r>
        <w:rPr>
          <w:rFonts w:ascii="仿宋_GB2312" w:eastAsia="仿宋_GB2312" w:hint="eastAsia"/>
          <w:color w:val="000000" w:themeColor="text1"/>
          <w:sz w:val="32"/>
          <w:szCs w:val="32"/>
        </w:rPr>
        <w:t>》的主要章节内容包括</w:t>
      </w:r>
      <w:r w:rsidR="00032FD8" w:rsidRPr="00032FD8">
        <w:rPr>
          <w:rFonts w:ascii="仿宋_GB2312" w:eastAsia="仿宋_GB2312" w:hint="eastAsia"/>
          <w:color w:val="000000" w:themeColor="text1"/>
          <w:sz w:val="32"/>
          <w:szCs w:val="32"/>
        </w:rPr>
        <w:t>鉴定</w:t>
      </w:r>
      <w:r w:rsidR="00032FD8" w:rsidRPr="00032FD8">
        <w:rPr>
          <w:rFonts w:ascii="仿宋_GB2312" w:eastAsia="仿宋_GB2312"/>
          <w:color w:val="000000" w:themeColor="text1"/>
          <w:sz w:val="32"/>
          <w:szCs w:val="32"/>
        </w:rPr>
        <w:t>材料与</w:t>
      </w:r>
      <w:r w:rsidR="00032FD8" w:rsidRPr="00032FD8">
        <w:rPr>
          <w:rFonts w:ascii="仿宋_GB2312" w:eastAsia="仿宋_GB2312" w:hint="eastAsia"/>
          <w:color w:val="000000" w:themeColor="text1"/>
          <w:sz w:val="32"/>
          <w:szCs w:val="32"/>
        </w:rPr>
        <w:t>设施选择</w:t>
      </w:r>
      <w:r w:rsidR="00032FD8" w:rsidRPr="00032FD8">
        <w:rPr>
          <w:rFonts w:ascii="仿宋_GB2312" w:eastAsia="仿宋_GB2312"/>
          <w:color w:val="000000" w:themeColor="text1"/>
          <w:sz w:val="32"/>
          <w:szCs w:val="32"/>
        </w:rPr>
        <w:t>、耐荫</w:t>
      </w:r>
      <w:r w:rsidR="00032FD8" w:rsidRPr="00032FD8">
        <w:rPr>
          <w:rFonts w:ascii="仿宋_GB2312" w:eastAsia="仿宋_GB2312" w:hint="eastAsia"/>
          <w:color w:val="000000" w:themeColor="text1"/>
          <w:sz w:val="32"/>
          <w:szCs w:val="32"/>
        </w:rPr>
        <w:t>性鉴定</w:t>
      </w:r>
      <w:r w:rsidR="00032FD8" w:rsidRPr="00032FD8">
        <w:rPr>
          <w:rFonts w:ascii="仿宋_GB2312" w:eastAsia="仿宋_GB2312"/>
          <w:color w:val="000000" w:themeColor="text1"/>
          <w:sz w:val="32"/>
          <w:szCs w:val="32"/>
        </w:rPr>
        <w:t>、耐荫</w:t>
      </w:r>
      <w:r w:rsidR="00032FD8" w:rsidRPr="00032FD8">
        <w:rPr>
          <w:rFonts w:ascii="仿宋_GB2312" w:eastAsia="仿宋_GB2312" w:hint="eastAsia"/>
          <w:color w:val="000000" w:themeColor="text1"/>
          <w:sz w:val="32"/>
          <w:szCs w:val="32"/>
        </w:rPr>
        <w:t>性</w:t>
      </w:r>
      <w:r w:rsidR="00032FD8" w:rsidRPr="00032FD8">
        <w:rPr>
          <w:rFonts w:ascii="仿宋_GB2312" w:eastAsia="仿宋_GB2312"/>
          <w:color w:val="000000" w:themeColor="text1"/>
          <w:sz w:val="32"/>
          <w:szCs w:val="32"/>
        </w:rPr>
        <w:t>评价</w:t>
      </w:r>
      <w:r w:rsidRPr="007125F7">
        <w:rPr>
          <w:rFonts w:ascii="仿宋_GB2312" w:eastAsia="仿宋_GB2312" w:hint="eastAsia"/>
          <w:color w:val="000000" w:themeColor="text1"/>
          <w:sz w:val="32"/>
          <w:szCs w:val="32"/>
        </w:rPr>
        <w:t>。本</w:t>
      </w:r>
      <w:r>
        <w:rPr>
          <w:rFonts w:ascii="仿宋_GB2312" w:eastAsia="仿宋_GB2312" w:hint="eastAsia"/>
          <w:color w:val="000000" w:themeColor="text1"/>
          <w:sz w:val="32"/>
          <w:szCs w:val="32"/>
        </w:rPr>
        <w:t>文件主要内容及依据来源说明如下：</w:t>
      </w:r>
    </w:p>
    <w:p w14:paraId="3F117B0C" w14:textId="71E99DC1" w:rsidR="003713E8" w:rsidRPr="00184C14" w:rsidRDefault="00184C14" w:rsidP="00184C1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（一）</w:t>
      </w:r>
      <w:r w:rsidR="003713E8" w:rsidRPr="00184C14">
        <w:rPr>
          <w:rFonts w:ascii="Times New Roman" w:eastAsia="楷体" w:hAnsi="Times New Roman" w:cs="Times New Roman"/>
          <w:b/>
          <w:bCs/>
          <w:color w:val="000000" w:themeColor="text1"/>
          <w:kern w:val="0"/>
          <w:sz w:val="32"/>
          <w:szCs w:val="32"/>
        </w:rPr>
        <w:t>遮光度的确定</w:t>
      </w:r>
    </w:p>
    <w:p w14:paraId="1CAA5520" w14:textId="77777777" w:rsidR="003713E8" w:rsidRPr="00C13E37" w:rsidRDefault="003713E8" w:rsidP="00C13E37">
      <w:pPr>
        <w:spacing w:line="560" w:lineRule="exact"/>
        <w:ind w:firstLineChars="200" w:firstLine="643"/>
        <w:rPr>
          <w:rFonts w:ascii="仿宋_GB2312" w:eastAsia="仿宋_GB2312" w:hAnsi="楷体" w:cs="Times New Roman"/>
          <w:b/>
          <w:color w:val="000000" w:themeColor="text1"/>
          <w:sz w:val="32"/>
          <w:szCs w:val="32"/>
        </w:rPr>
      </w:pPr>
      <w:r w:rsidRPr="00C13E37">
        <w:rPr>
          <w:rFonts w:ascii="仿宋_GB2312" w:eastAsia="仿宋_GB2312" w:hAnsi="楷体" w:cs="Times New Roman"/>
          <w:b/>
          <w:color w:val="000000" w:themeColor="text1"/>
          <w:sz w:val="32"/>
          <w:szCs w:val="32"/>
        </w:rPr>
        <w:t>1 材料与方法</w:t>
      </w:r>
    </w:p>
    <w:p w14:paraId="4D907754" w14:textId="77777777" w:rsidR="003713E8" w:rsidRPr="00C13E37" w:rsidRDefault="003713E8" w:rsidP="00C13E37">
      <w:pPr>
        <w:spacing w:line="520" w:lineRule="exact"/>
        <w:ind w:firstLineChars="200" w:firstLine="640"/>
        <w:rPr>
          <w:rFonts w:ascii="仿宋_GB2312" w:eastAsia="仿宋_GB2312"/>
          <w:color w:val="000000" w:themeColor="text1"/>
          <w:sz w:val="32"/>
          <w:szCs w:val="32"/>
        </w:rPr>
      </w:pPr>
      <w:r w:rsidRPr="00C13E37">
        <w:rPr>
          <w:rFonts w:ascii="仿宋_GB2312" w:eastAsia="仿宋_GB2312"/>
          <w:color w:val="000000" w:themeColor="text1"/>
          <w:sz w:val="32"/>
          <w:szCs w:val="32"/>
        </w:rPr>
        <w:t>适宜的遮光度应具备的条件：能区分品种间的差异；倒伏品种比例较低；符合田间实际。根据 2012年和 2013 年根据 1 468份材料田间遮光后初荚期株高和田间表现，选取 60 份试验材料，2013 年在广西农业科学院南宁科研基地设置 15%、30%和 60%  3个遮光梯度，播种后开始遮荫，每个遮光度为一个重复，对照一个重复，每个区组随机排列，每个品种种植 3行，行长 1.2 m，行距 0.4 m，株距 0.1 m，施肥灌水保持均匀，正常田间管理，测定播种后 50 d 株高和记录倒伏率（倒伏率=倒伏植株/小区内所有植株），倒伏率大于 75%，定为倒伏，再计算倒伏品种比例。各试验根据遮荫处理后大豆品种在田间的生长状况记录田间综合耐荫性表现，用以作为筛选指标的参考。综合表现分五级（定</w:t>
      </w:r>
      <w:r w:rsidRPr="00C13E37">
        <w:rPr>
          <w:rFonts w:ascii="仿宋_GB2312" w:eastAsia="仿宋_GB2312"/>
          <w:color w:val="000000" w:themeColor="text1"/>
          <w:sz w:val="32"/>
          <w:szCs w:val="32"/>
        </w:rPr>
        <w:lastRenderedPageBreak/>
        <w:t>为田间目测耐荫级别），一级：植株生长健壮，主茎直立向上，茎秆强度大，叶柄夹角小，株型收敛，生育正常；二级：植株生长较健壮，主茎上部稍细，稍倾斜，生育正常；三级：主茎下部直立，中上部节间伸长，弯曲但不缠绕，有少量落花落荚；四级：主茎下部直立，中上部细长爬蔓缠绕，落花落荚严重；五级：茎枝细长徒长蔓生，缠绕，生育失常。</w:t>
      </w:r>
    </w:p>
    <w:p w14:paraId="3A3EAF07" w14:textId="77777777" w:rsidR="003713E8" w:rsidRPr="00C13E37" w:rsidRDefault="003713E8" w:rsidP="00C13E37">
      <w:pPr>
        <w:spacing w:line="560" w:lineRule="exact"/>
        <w:ind w:firstLineChars="200" w:firstLine="643"/>
        <w:rPr>
          <w:rFonts w:ascii="仿宋_GB2312" w:eastAsia="仿宋_GB2312" w:hAnsi="楷体" w:cs="Times New Roman"/>
          <w:b/>
          <w:color w:val="000000" w:themeColor="text1"/>
          <w:sz w:val="32"/>
          <w:szCs w:val="32"/>
        </w:rPr>
      </w:pPr>
      <w:r w:rsidRPr="00C13E37">
        <w:rPr>
          <w:rFonts w:ascii="仿宋_GB2312" w:eastAsia="仿宋_GB2312" w:hAnsi="楷体" w:cs="Times New Roman"/>
          <w:b/>
          <w:color w:val="000000" w:themeColor="text1"/>
          <w:sz w:val="32"/>
          <w:szCs w:val="32"/>
        </w:rPr>
        <w:t>2 结果</w:t>
      </w:r>
    </w:p>
    <w:p w14:paraId="11CD6D66" w14:textId="77777777" w:rsidR="003713E8" w:rsidRPr="00C13E37" w:rsidRDefault="003713E8" w:rsidP="00C13E37">
      <w:pPr>
        <w:spacing w:line="520" w:lineRule="exact"/>
        <w:ind w:firstLineChars="200" w:firstLine="640"/>
        <w:rPr>
          <w:rFonts w:ascii="仿宋_GB2312" w:eastAsia="仿宋_GB2312"/>
          <w:color w:val="000000" w:themeColor="text1"/>
          <w:sz w:val="32"/>
          <w:szCs w:val="32"/>
        </w:rPr>
      </w:pPr>
      <w:r w:rsidRPr="00C13E37">
        <w:rPr>
          <w:rFonts w:ascii="仿宋_GB2312" w:eastAsia="仿宋_GB2312"/>
          <w:color w:val="000000" w:themeColor="text1"/>
          <w:sz w:val="32"/>
          <w:szCs w:val="32"/>
        </w:rPr>
        <w:t>图 1所示为不同遮光度下播种后 50 d，遮荫后的株高相对值、倒伏品种比例、表型变异系数及株高相对值与目测耐荫级别的相关系数的变化，其中株高相对值以所有品种的平均数进行分析。15%、30%和 60%遮光度下，株高相对值分别为 1.46、1.67 和 1.92，倒伏品种分别占 18%、22%和 83%，表型变异系数分别为 0.23、0.25 和 0.29，株高相对值和目测耐荫级别的相关系数分别是 0.60、0.66 和 0.64。可见，随着遮光度的增强，倒伏品种比例和株高相对值也随之增大。15%遮光度下株高相对值和表型变异系数较小说明遮荫处理较弱；60%遮光度下大多数品种发生倒伏，说明遮荫处理过度。而在 30%遮光度下，倒伏品种比例（22%）和表型变异系数（0.25）能满足耐荫鉴定的要求，且株高相对值和目测耐荫级别相关系数最大0.66）；另外 30%的遮光与生产实际较接近，因此，大豆耐荫性鉴定遮光度设在 30%较合理。</w:t>
      </w:r>
    </w:p>
    <w:p w14:paraId="10EA8AF8" w14:textId="77777777" w:rsidR="003713E8" w:rsidRPr="003713E8" w:rsidRDefault="003713E8" w:rsidP="003713E8">
      <w:pPr>
        <w:jc w:val="center"/>
        <w:rPr>
          <w:rFonts w:ascii="Times New Roman" w:eastAsia="楷体" w:hAnsi="Times New Roman" w:cs="Times New Roman"/>
          <w:szCs w:val="22"/>
        </w:rPr>
      </w:pPr>
      <w:r w:rsidRPr="003713E8">
        <w:rPr>
          <w:rFonts w:ascii="Times New Roman" w:eastAsia="等线" w:hAnsi="Times New Roman" w:cs="Times New Roman"/>
          <w:noProof/>
          <w:szCs w:val="22"/>
        </w:rPr>
        <w:lastRenderedPageBreak/>
        <w:drawing>
          <wp:inline distT="0" distB="0" distL="0" distR="0" wp14:anchorId="30F5BFD8" wp14:editId="369E2FD3">
            <wp:extent cx="3115733" cy="2805138"/>
            <wp:effectExtent l="0" t="0" r="8890" b="0"/>
            <wp:docPr id="13244204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420488" name=""/>
                    <pic:cNvPicPr/>
                  </pic:nvPicPr>
                  <pic:blipFill>
                    <a:blip r:embed="rId9"/>
                    <a:stretch>
                      <a:fillRect/>
                    </a:stretch>
                  </pic:blipFill>
                  <pic:spPr>
                    <a:xfrm>
                      <a:off x="0" y="0"/>
                      <a:ext cx="3126083" cy="2814457"/>
                    </a:xfrm>
                    <a:prstGeom prst="rect">
                      <a:avLst/>
                    </a:prstGeom>
                  </pic:spPr>
                </pic:pic>
              </a:graphicData>
            </a:graphic>
          </wp:inline>
        </w:drawing>
      </w:r>
    </w:p>
    <w:p w14:paraId="10E20651" w14:textId="77777777" w:rsidR="003713E8" w:rsidRPr="00C13E37" w:rsidRDefault="003713E8" w:rsidP="003713E8">
      <w:pPr>
        <w:rPr>
          <w:rFonts w:ascii="Times New Roman" w:hAnsi="Times New Roman" w:cs="Times New Roman"/>
          <w:sz w:val="20"/>
          <w:szCs w:val="15"/>
        </w:rPr>
      </w:pPr>
      <w:r w:rsidRPr="00C13E37">
        <w:rPr>
          <w:rFonts w:ascii="Times New Roman" w:hAnsi="Times New Roman" w:cs="Times New Roman"/>
          <w:sz w:val="20"/>
          <w:szCs w:val="15"/>
        </w:rPr>
        <w:t>注</w:t>
      </w:r>
      <w:r w:rsidRPr="00C13E37">
        <w:rPr>
          <w:rFonts w:ascii="Times New Roman" w:hAnsi="Times New Roman" w:cs="Times New Roman"/>
          <w:sz w:val="20"/>
          <w:szCs w:val="15"/>
        </w:rPr>
        <w:t>: R</w:t>
      </w:r>
      <w:r w:rsidRPr="00C13E37">
        <w:rPr>
          <w:rFonts w:ascii="Times New Roman" w:hAnsi="Times New Roman" w:cs="Times New Roman"/>
          <w:sz w:val="20"/>
          <w:szCs w:val="15"/>
        </w:rPr>
        <w:t>：倒伏品种比例；</w:t>
      </w:r>
      <w:r w:rsidRPr="00C13E37">
        <w:rPr>
          <w:rFonts w:ascii="Times New Roman" w:hAnsi="Times New Roman" w:cs="Times New Roman"/>
          <w:sz w:val="20"/>
          <w:szCs w:val="15"/>
        </w:rPr>
        <w:t>PCV</w:t>
      </w:r>
      <w:r w:rsidRPr="00C13E37">
        <w:rPr>
          <w:rFonts w:ascii="Times New Roman" w:hAnsi="Times New Roman" w:cs="Times New Roman"/>
          <w:sz w:val="20"/>
          <w:szCs w:val="15"/>
        </w:rPr>
        <w:t>：表型变异系数；</w:t>
      </w:r>
      <w:r w:rsidRPr="00C13E37">
        <w:rPr>
          <w:rFonts w:ascii="Times New Roman" w:hAnsi="Times New Roman" w:cs="Times New Roman"/>
          <w:sz w:val="20"/>
          <w:szCs w:val="15"/>
        </w:rPr>
        <w:t>RPH</w:t>
      </w:r>
      <w:r w:rsidRPr="00C13E37">
        <w:rPr>
          <w:rFonts w:ascii="Times New Roman" w:hAnsi="Times New Roman" w:cs="Times New Roman"/>
          <w:sz w:val="20"/>
          <w:szCs w:val="15"/>
        </w:rPr>
        <w:t>：株高相对值；</w:t>
      </w:r>
      <w:r w:rsidRPr="00C13E37">
        <w:rPr>
          <w:rFonts w:ascii="Times New Roman" w:hAnsi="Times New Roman" w:cs="Times New Roman"/>
          <w:sz w:val="20"/>
          <w:szCs w:val="15"/>
        </w:rPr>
        <w:t>r</w:t>
      </w:r>
      <w:r w:rsidRPr="00C13E37">
        <w:rPr>
          <w:rFonts w:ascii="Times New Roman" w:hAnsi="Times New Roman" w:cs="Times New Roman"/>
          <w:sz w:val="20"/>
          <w:szCs w:val="15"/>
        </w:rPr>
        <w:t>：株高</w:t>
      </w:r>
    </w:p>
    <w:p w14:paraId="4A190A12" w14:textId="77777777" w:rsidR="003713E8" w:rsidRPr="00C13E37" w:rsidRDefault="003713E8" w:rsidP="003713E8">
      <w:pPr>
        <w:rPr>
          <w:rFonts w:ascii="Times New Roman" w:hAnsi="Times New Roman" w:cs="Times New Roman"/>
          <w:sz w:val="20"/>
          <w:szCs w:val="15"/>
        </w:rPr>
      </w:pPr>
      <w:r w:rsidRPr="00C13E37">
        <w:rPr>
          <w:rFonts w:ascii="Times New Roman" w:hAnsi="Times New Roman" w:cs="Times New Roman"/>
          <w:sz w:val="20"/>
          <w:szCs w:val="15"/>
        </w:rPr>
        <w:t>相对值与目测耐荫级别的相关系数</w:t>
      </w:r>
    </w:p>
    <w:p w14:paraId="3DA43AAB" w14:textId="29DA87C7" w:rsidR="003713E8" w:rsidRPr="00C13E37" w:rsidRDefault="003713E8" w:rsidP="003713E8">
      <w:pPr>
        <w:jc w:val="center"/>
        <w:rPr>
          <w:rFonts w:ascii="Times New Roman" w:eastAsia="黑体" w:hAnsi="Times New Roman" w:cs="Times New Roman"/>
          <w:sz w:val="24"/>
          <w:szCs w:val="18"/>
        </w:rPr>
      </w:pPr>
      <w:r w:rsidRPr="00C13E37">
        <w:rPr>
          <w:rFonts w:ascii="Times New Roman" w:eastAsia="黑体" w:hAnsi="Times New Roman" w:cs="Times New Roman"/>
          <w:sz w:val="24"/>
          <w:szCs w:val="18"/>
        </w:rPr>
        <w:t>图</w:t>
      </w:r>
      <w:r w:rsidRPr="00C13E37">
        <w:rPr>
          <w:rFonts w:ascii="Times New Roman" w:eastAsia="黑体" w:hAnsi="Times New Roman" w:cs="Times New Roman"/>
          <w:sz w:val="24"/>
          <w:szCs w:val="18"/>
        </w:rPr>
        <w:t xml:space="preserve">1 </w:t>
      </w:r>
      <w:r w:rsidRPr="00C13E37">
        <w:rPr>
          <w:rFonts w:ascii="Times New Roman" w:eastAsia="黑体" w:hAnsi="Times New Roman" w:cs="Times New Roman"/>
          <w:sz w:val="24"/>
          <w:szCs w:val="18"/>
        </w:rPr>
        <w:t>不同遮光度下各参数的变化</w:t>
      </w:r>
    </w:p>
    <w:p w14:paraId="16756A1B" w14:textId="15A3F238" w:rsidR="003713E8" w:rsidRPr="00184C14" w:rsidRDefault="00184C14" w:rsidP="00184C1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bookmarkStart w:id="1" w:name="_Hlk216346207"/>
      <w:r w:rsidRPr="00184C14">
        <w:rPr>
          <w:rFonts w:ascii="Times New Roman" w:eastAsia="楷体" w:hAnsi="Times New Roman" w:cs="Times New Roman" w:hint="eastAsia"/>
          <w:b/>
          <w:bCs/>
          <w:color w:val="000000" w:themeColor="text1"/>
          <w:kern w:val="0"/>
          <w:sz w:val="32"/>
          <w:szCs w:val="32"/>
        </w:rPr>
        <w:t>（</w:t>
      </w:r>
      <w:r>
        <w:rPr>
          <w:rFonts w:ascii="Times New Roman" w:eastAsia="楷体" w:hAnsi="Times New Roman" w:cs="Times New Roman" w:hint="eastAsia"/>
          <w:b/>
          <w:bCs/>
          <w:color w:val="000000" w:themeColor="text1"/>
          <w:kern w:val="0"/>
          <w:sz w:val="32"/>
          <w:szCs w:val="32"/>
        </w:rPr>
        <w:t>二</w:t>
      </w:r>
      <w:r w:rsidRPr="00184C14">
        <w:rPr>
          <w:rFonts w:ascii="Times New Roman" w:eastAsia="楷体" w:hAnsi="Times New Roman" w:cs="Times New Roman" w:hint="eastAsia"/>
          <w:b/>
          <w:bCs/>
          <w:color w:val="000000" w:themeColor="text1"/>
          <w:kern w:val="0"/>
          <w:sz w:val="32"/>
          <w:szCs w:val="32"/>
        </w:rPr>
        <w:t>）</w:t>
      </w:r>
      <w:r w:rsidR="003713E8" w:rsidRPr="00184C14">
        <w:rPr>
          <w:rFonts w:ascii="Times New Roman" w:eastAsia="楷体" w:hAnsi="Times New Roman" w:cs="Times New Roman"/>
          <w:b/>
          <w:bCs/>
          <w:color w:val="000000" w:themeColor="text1"/>
          <w:kern w:val="0"/>
          <w:sz w:val="32"/>
          <w:szCs w:val="32"/>
        </w:rPr>
        <w:t>耐荫性评价指标的确定</w:t>
      </w:r>
    </w:p>
    <w:bookmarkEnd w:id="1"/>
    <w:p w14:paraId="31744CC0" w14:textId="77777777" w:rsidR="003713E8" w:rsidRPr="00C13E37" w:rsidRDefault="003713E8" w:rsidP="00C13E37">
      <w:pPr>
        <w:spacing w:line="560" w:lineRule="exact"/>
        <w:ind w:firstLineChars="200" w:firstLine="643"/>
        <w:rPr>
          <w:rFonts w:ascii="仿宋_GB2312" w:eastAsia="仿宋_GB2312" w:hAnsi="楷体" w:cs="Times New Roman"/>
          <w:b/>
          <w:color w:val="000000" w:themeColor="text1"/>
          <w:sz w:val="32"/>
          <w:szCs w:val="32"/>
        </w:rPr>
      </w:pPr>
      <w:r w:rsidRPr="00C13E37">
        <w:rPr>
          <w:rFonts w:ascii="仿宋_GB2312" w:eastAsia="仿宋_GB2312" w:hAnsi="楷体" w:cs="Times New Roman"/>
          <w:b/>
          <w:color w:val="000000" w:themeColor="text1"/>
          <w:sz w:val="32"/>
          <w:szCs w:val="32"/>
        </w:rPr>
        <w:t>1 材料与方法</w:t>
      </w:r>
    </w:p>
    <w:p w14:paraId="55B12B67" w14:textId="77777777" w:rsidR="003713E8" w:rsidRPr="00C13E37" w:rsidRDefault="003713E8" w:rsidP="00C13E37">
      <w:pPr>
        <w:spacing w:line="520" w:lineRule="exact"/>
        <w:ind w:firstLineChars="200" w:firstLine="640"/>
        <w:rPr>
          <w:rFonts w:ascii="仿宋_GB2312" w:eastAsia="仿宋_GB2312"/>
          <w:color w:val="000000" w:themeColor="text1"/>
          <w:sz w:val="32"/>
          <w:szCs w:val="32"/>
        </w:rPr>
      </w:pPr>
      <w:r w:rsidRPr="00C13E37">
        <w:rPr>
          <w:rFonts w:ascii="仿宋_GB2312" w:eastAsia="仿宋_GB2312"/>
          <w:color w:val="000000" w:themeColor="text1"/>
          <w:sz w:val="32"/>
          <w:szCs w:val="32"/>
        </w:rPr>
        <w:t>依据性状遮荫后的相对值（遮荫后的相对值=遮光处理表型值/对照表型值）的以下参数确定耐荫指标：（1）误差变异系数小和遗传率高则指标准确；（2）不同环境间相关系数越大越稳定；（3）表型变异系数和遗传变异系数大则指标灵敏；（4）与田间目测耐荫级别的相关系数越大越能反映实际耐荫的情况。2014年将上述 60 份材料在广西农业科学院南宁科研基地（经度 108.33，纬度 22.84）及里建科研基地（经度108.27，纬度 23.17）进行试验，南宁地处南亚热带西部气候区，里建地处南亚热带中部气候区，两地区降水较充沛，光照丰富、无霜期为 339~365 d，土壤均为酸性红壤土。田间种植同上述遮光度筛选试验。播期分别在 3 月 14 日和 3 月 18 日，设 30%遮光度和正常光照(图2)，各 3 个区组。在中间行随机选取 5 株，测定播种后 32、50 和 63 d 株高，并在播种后 63 d 测定第五节间长、倒三节间长、第五节间粗、倒三节间粗、主茎节数、叶长、叶宽、柄长、</w:t>
      </w:r>
      <w:r w:rsidRPr="00C13E37">
        <w:rPr>
          <w:rFonts w:ascii="仿宋_GB2312" w:eastAsia="仿宋_GB2312"/>
          <w:color w:val="000000" w:themeColor="text1"/>
          <w:sz w:val="32"/>
          <w:szCs w:val="32"/>
        </w:rPr>
        <w:lastRenderedPageBreak/>
        <w:t>茎叶鲜重、茎叶干重和分枝数，并计算叶形指数和平均节间长，其中，叶形指数=叶长/叶宽。利用 GreenSeeker Handheld Crop Sensor（Trimble，美国）光谱仪测定离冠层 80 cm 的反射光谱。</w:t>
      </w:r>
    </w:p>
    <w:p w14:paraId="08DAFD77" w14:textId="77777777" w:rsidR="003713E8" w:rsidRPr="003713E8" w:rsidRDefault="003713E8" w:rsidP="003713E8">
      <w:pPr>
        <w:jc w:val="center"/>
        <w:rPr>
          <w:rFonts w:ascii="Times New Roman" w:eastAsia="楷体" w:hAnsi="Times New Roman" w:cs="Times New Roman"/>
          <w:b/>
          <w:bCs/>
          <w:sz w:val="28"/>
          <w:szCs w:val="28"/>
        </w:rPr>
      </w:pPr>
      <w:r w:rsidRPr="003713E8">
        <w:rPr>
          <w:rFonts w:ascii="Times New Roman" w:eastAsia="等线" w:hAnsi="Times New Roman" w:cs="Times New Roman"/>
          <w:noProof/>
          <w:szCs w:val="22"/>
        </w:rPr>
        <w:drawing>
          <wp:inline distT="0" distB="0" distL="0" distR="0" wp14:anchorId="0CF7C37A" wp14:editId="1812C430">
            <wp:extent cx="5274310" cy="2266315"/>
            <wp:effectExtent l="0" t="0" r="2540" b="635"/>
            <wp:docPr id="7785499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549902" name=""/>
                    <pic:cNvPicPr/>
                  </pic:nvPicPr>
                  <pic:blipFill>
                    <a:blip r:embed="rId10"/>
                    <a:stretch>
                      <a:fillRect/>
                    </a:stretch>
                  </pic:blipFill>
                  <pic:spPr>
                    <a:xfrm>
                      <a:off x="0" y="0"/>
                      <a:ext cx="5274310" cy="2266315"/>
                    </a:xfrm>
                    <a:prstGeom prst="rect">
                      <a:avLst/>
                    </a:prstGeom>
                  </pic:spPr>
                </pic:pic>
              </a:graphicData>
            </a:graphic>
          </wp:inline>
        </w:drawing>
      </w:r>
    </w:p>
    <w:p w14:paraId="543A790C" w14:textId="77777777" w:rsidR="003713E8" w:rsidRPr="003713E8" w:rsidRDefault="003713E8" w:rsidP="003713E8">
      <w:pPr>
        <w:jc w:val="center"/>
        <w:rPr>
          <w:rFonts w:ascii="Times New Roman" w:eastAsia="黑体" w:hAnsi="Times New Roman" w:cs="Times New Roman"/>
          <w:b/>
          <w:bCs/>
          <w:sz w:val="18"/>
          <w:szCs w:val="18"/>
        </w:rPr>
      </w:pPr>
      <w:r w:rsidRPr="003713E8">
        <w:rPr>
          <w:rFonts w:ascii="Times New Roman" w:eastAsia="黑体" w:hAnsi="Times New Roman" w:cs="Times New Roman"/>
          <w:b/>
          <w:bCs/>
          <w:sz w:val="18"/>
          <w:szCs w:val="18"/>
        </w:rPr>
        <w:t>图</w:t>
      </w:r>
      <w:r w:rsidRPr="003713E8">
        <w:rPr>
          <w:rFonts w:ascii="Times New Roman" w:eastAsia="黑体" w:hAnsi="Times New Roman" w:cs="Times New Roman"/>
          <w:b/>
          <w:bCs/>
          <w:sz w:val="18"/>
          <w:szCs w:val="18"/>
        </w:rPr>
        <w:t xml:space="preserve">2 </w:t>
      </w:r>
      <w:r w:rsidRPr="003713E8">
        <w:rPr>
          <w:rFonts w:ascii="Times New Roman" w:eastAsia="黑体" w:hAnsi="Times New Roman" w:cs="Times New Roman"/>
          <w:b/>
          <w:bCs/>
          <w:sz w:val="18"/>
          <w:szCs w:val="18"/>
        </w:rPr>
        <w:t>大豆耐荫性田间鉴定体系</w:t>
      </w:r>
    </w:p>
    <w:p w14:paraId="6242B1C0" w14:textId="77777777" w:rsidR="003713E8" w:rsidRPr="00C13E37" w:rsidRDefault="003713E8" w:rsidP="003713E8">
      <w:pPr>
        <w:spacing w:line="360" w:lineRule="auto"/>
        <w:jc w:val="left"/>
        <w:rPr>
          <w:rFonts w:ascii="仿宋_GB2312" w:eastAsia="仿宋_GB2312" w:hAnsi="楷体" w:cs="Times New Roman"/>
          <w:b/>
          <w:color w:val="000000" w:themeColor="text1"/>
          <w:sz w:val="32"/>
          <w:szCs w:val="32"/>
        </w:rPr>
      </w:pPr>
      <w:r w:rsidRPr="00C13E37">
        <w:rPr>
          <w:rFonts w:ascii="仿宋_GB2312" w:eastAsia="仿宋_GB2312" w:hAnsi="楷体" w:cs="Times New Roman"/>
          <w:b/>
          <w:color w:val="000000" w:themeColor="text1"/>
          <w:sz w:val="32"/>
          <w:szCs w:val="32"/>
        </w:rPr>
        <w:t>2 材料与方法</w:t>
      </w:r>
    </w:p>
    <w:p w14:paraId="33A9FE46" w14:textId="255541EF" w:rsidR="003713E8" w:rsidRDefault="003713E8" w:rsidP="00C13E37">
      <w:pPr>
        <w:spacing w:line="520" w:lineRule="exact"/>
        <w:ind w:firstLineChars="200" w:firstLine="640"/>
        <w:rPr>
          <w:rFonts w:ascii="仿宋_GB2312" w:eastAsia="仿宋_GB2312"/>
          <w:color w:val="000000" w:themeColor="text1"/>
          <w:sz w:val="32"/>
          <w:szCs w:val="32"/>
        </w:rPr>
      </w:pPr>
      <w:r w:rsidRPr="00C13E37">
        <w:rPr>
          <w:rFonts w:ascii="仿宋_GB2312" w:eastAsia="仿宋_GB2312"/>
          <w:color w:val="000000" w:themeColor="text1"/>
          <w:sz w:val="32"/>
          <w:szCs w:val="32"/>
        </w:rPr>
        <w:t>表 1 为 2014 年各性状遮荫后相对值的描述统计结果，以 2 个环境的平均值进行分析。误差变异系数（7.17%</w:t>
      </w:r>
      <w:r w:rsidRPr="00C13E37">
        <w:rPr>
          <w:rFonts w:ascii="仿宋_GB2312" w:eastAsia="仿宋_GB2312"/>
          <w:color w:val="000000" w:themeColor="text1"/>
          <w:sz w:val="32"/>
          <w:szCs w:val="32"/>
        </w:rPr>
        <w:t>—</w:t>
      </w:r>
      <w:r w:rsidRPr="00C13E37">
        <w:rPr>
          <w:rFonts w:ascii="仿宋_GB2312" w:eastAsia="仿宋_GB2312"/>
          <w:color w:val="000000" w:themeColor="text1"/>
          <w:sz w:val="32"/>
          <w:szCs w:val="32"/>
        </w:rPr>
        <w:t>18.9%）、遗传率（51.4%</w:t>
      </w:r>
      <w:r w:rsidRPr="00C13E37">
        <w:rPr>
          <w:rFonts w:ascii="仿宋_GB2312" w:eastAsia="仿宋_GB2312"/>
          <w:color w:val="000000" w:themeColor="text1"/>
          <w:sz w:val="32"/>
          <w:szCs w:val="32"/>
        </w:rPr>
        <w:t>—</w:t>
      </w:r>
      <w:r w:rsidRPr="00C13E37">
        <w:rPr>
          <w:rFonts w:ascii="仿宋_GB2312" w:eastAsia="仿宋_GB2312"/>
          <w:color w:val="000000" w:themeColor="text1"/>
          <w:sz w:val="32"/>
          <w:szCs w:val="32"/>
        </w:rPr>
        <w:t>95.59%）、两环境间相关系数（0.35</w:t>
      </w:r>
      <w:r w:rsidRPr="00C13E37">
        <w:rPr>
          <w:rFonts w:ascii="仿宋_GB2312" w:eastAsia="仿宋_GB2312"/>
          <w:color w:val="000000" w:themeColor="text1"/>
          <w:sz w:val="32"/>
          <w:szCs w:val="32"/>
        </w:rPr>
        <w:t>—</w:t>
      </w:r>
      <w:r w:rsidRPr="00C13E37">
        <w:rPr>
          <w:rFonts w:ascii="仿宋_GB2312" w:eastAsia="仿宋_GB2312"/>
          <w:color w:val="000000" w:themeColor="text1"/>
          <w:sz w:val="32"/>
          <w:szCs w:val="32"/>
        </w:rPr>
        <w:t>0.92）、表型变异系数（5.43%</w:t>
      </w:r>
      <w:r w:rsidRPr="00C13E37">
        <w:rPr>
          <w:rFonts w:ascii="仿宋_GB2312" w:eastAsia="仿宋_GB2312"/>
          <w:color w:val="000000" w:themeColor="text1"/>
          <w:sz w:val="32"/>
          <w:szCs w:val="32"/>
        </w:rPr>
        <w:t>—</w:t>
      </w:r>
      <w:r w:rsidRPr="00C13E37">
        <w:rPr>
          <w:rFonts w:ascii="仿宋_GB2312" w:eastAsia="仿宋_GB2312"/>
          <w:color w:val="000000" w:themeColor="text1"/>
          <w:sz w:val="32"/>
          <w:szCs w:val="32"/>
        </w:rPr>
        <w:t>34.04%）、遗传变异系数（4%</w:t>
      </w:r>
      <w:r w:rsidRPr="00C13E37">
        <w:rPr>
          <w:rFonts w:ascii="仿宋_GB2312" w:eastAsia="仿宋_GB2312"/>
          <w:color w:val="000000" w:themeColor="text1"/>
          <w:sz w:val="32"/>
          <w:szCs w:val="32"/>
        </w:rPr>
        <w:t>—</w:t>
      </w:r>
      <w:r w:rsidRPr="00C13E37">
        <w:rPr>
          <w:rFonts w:ascii="仿宋_GB2312" w:eastAsia="仿宋_GB2312"/>
          <w:color w:val="000000" w:themeColor="text1"/>
          <w:sz w:val="32"/>
          <w:szCs w:val="32"/>
        </w:rPr>
        <w:t>31.17%）和与目测耐荫级别的相关系数（-0.26</w:t>
      </w:r>
      <w:r w:rsidRPr="00C13E37">
        <w:rPr>
          <w:rFonts w:ascii="仿宋_GB2312" w:eastAsia="仿宋_GB2312"/>
          <w:color w:val="000000" w:themeColor="text1"/>
          <w:sz w:val="32"/>
          <w:szCs w:val="32"/>
        </w:rPr>
        <w:t>—</w:t>
      </w:r>
      <w:r w:rsidRPr="00C13E37">
        <w:rPr>
          <w:rFonts w:ascii="仿宋_GB2312" w:eastAsia="仿宋_GB2312"/>
          <w:color w:val="000000" w:themeColor="text1"/>
          <w:sz w:val="32"/>
          <w:szCs w:val="32"/>
        </w:rPr>
        <w:t>0.73）在各性状间均表现出不同的变异，说明遮荫对大豆植株各性状影响程度不同。其中，茎叶鲜重、茎叶干重、第五节间粗、倒三节间粗和分枝数遮荫后的相对值误差变异系数较大（分别为 15.33%、16.14%、16.98%、17.04%和 18.9%），不够准确；叶长、叶宽、柄长、叶形指数、光谱和节数遮荫后的相对值在品种间的表型变异系数较小（分别为 11.65%、13.39%、13.97%、5.43%、8.7%和 8.99%），不能有效地区分耐荫和不耐荫材料；且以上各性状遮荫后的相对值与目测耐荫级别相关不显著（表 1），不适合作田间耐荫性鉴定指标。播种后 32、50 和 63 d 株高及第五节间长、倒三节间长和平均节间长等株高相关的性状中，播种后32 d 株高遮荫后的相对值</w:t>
      </w:r>
      <w:r w:rsidRPr="00C13E37">
        <w:rPr>
          <w:rFonts w:ascii="仿宋_GB2312" w:eastAsia="仿宋_GB2312"/>
          <w:color w:val="000000" w:themeColor="text1"/>
          <w:sz w:val="32"/>
          <w:szCs w:val="32"/>
        </w:rPr>
        <w:lastRenderedPageBreak/>
        <w:t>表型变异系数和遗传变异系数最小（15.89%和 14.9%），区分度不够；播种后 63 d 株高、第五节间长和倒三节间长遮荫后的相对值误差系数较大（15.44%、16.67%和 17.4%），影响耐荫鉴定结果的准确性；播种后 50 d 株高和平均节间长遮荫后的相对值误差变异系数较小（12.82%和 13.49%）、遗传率高（89.3%和 92%）、两环境间相关系数也较大（0.82 和 0.87）、表型变异系数（31.69%和 31.47%）和遗传变异系数（30.26%和30.17%）较大，与目测耐荫级别相关系数分别达到0.73 和 0.72。因此，播种后 50 d 株高和平均节间长都适合作耐荫性鉴定指标。由于 50 d 株高和平均节间长遮荫后的相对值相关系数较大（0.95），可将二者的平均数作为大豆耐荫指数，计算公式：耐荫指数（Shading Tolerance Index,STI）=（株高遮荫后的相对值+平均节间长遮荫后的相对值）/2。其误差变异系数由12.82%和 13.49%降低至 9.36%，遗传率由 89.83%和92%上升到 95.43%，环境间相关性由 0.82 和 0.87 上升到 0.92，表型变异系数基本不变（分别为 31.69%、31.47%和 31.25%），遗传变异系数由 30.26%和 30.17%升高到 30.52%；与目测耐荫级别相关系数为 0.73，达到极显著水平（表 1）。因此，将 50 d 株高和平均节间长综合起来作为鉴定大豆耐荫性的指标较其他指标更优。</w:t>
      </w:r>
    </w:p>
    <w:p w14:paraId="52CF2712" w14:textId="539263A8" w:rsidR="00C13E37" w:rsidRDefault="00C13E37" w:rsidP="00C13E37">
      <w:pPr>
        <w:pStyle w:val="BodyText2"/>
      </w:pPr>
    </w:p>
    <w:p w14:paraId="32061327" w14:textId="7B2231F6" w:rsidR="00C13E37" w:rsidRDefault="00C13E37" w:rsidP="00C13E37">
      <w:pPr>
        <w:pStyle w:val="BodyText2"/>
      </w:pPr>
    </w:p>
    <w:p w14:paraId="69E39896" w14:textId="77777777" w:rsidR="00C13E37" w:rsidRDefault="00C13E37" w:rsidP="00C13E37">
      <w:pPr>
        <w:pStyle w:val="BodyText2"/>
        <w:rPr>
          <w:rFonts w:hint="eastAsia"/>
        </w:rPr>
      </w:pPr>
    </w:p>
    <w:p w14:paraId="5E7C2B3D" w14:textId="77777777" w:rsidR="00C13E37" w:rsidRDefault="00C13E37" w:rsidP="00C13E37">
      <w:pPr>
        <w:pStyle w:val="BodyText2"/>
        <w:rPr>
          <w:rFonts w:hint="eastAsia"/>
        </w:rPr>
      </w:pPr>
    </w:p>
    <w:p w14:paraId="0E792E41" w14:textId="77777777" w:rsidR="00C13E37" w:rsidRPr="00C13E37" w:rsidRDefault="00C13E37" w:rsidP="00C13E37">
      <w:pPr>
        <w:pStyle w:val="BodyText2"/>
        <w:rPr>
          <w:rFonts w:hint="eastAsia"/>
        </w:rPr>
      </w:pPr>
    </w:p>
    <w:p w14:paraId="1B8C9002" w14:textId="77777777" w:rsidR="003713E8" w:rsidRPr="003713E8" w:rsidRDefault="003713E8" w:rsidP="003713E8">
      <w:pPr>
        <w:spacing w:line="360" w:lineRule="auto"/>
        <w:jc w:val="center"/>
        <w:rPr>
          <w:rFonts w:ascii="Times New Roman" w:eastAsia="黑体" w:hAnsi="Times New Roman" w:cs="Times New Roman"/>
          <w:sz w:val="18"/>
          <w:szCs w:val="18"/>
        </w:rPr>
      </w:pPr>
      <w:r w:rsidRPr="003713E8">
        <w:rPr>
          <w:rFonts w:ascii="Times New Roman" w:eastAsia="黑体" w:hAnsi="Times New Roman" w:cs="Times New Roman"/>
          <w:sz w:val="18"/>
          <w:szCs w:val="18"/>
        </w:rPr>
        <w:lastRenderedPageBreak/>
        <w:t>表</w:t>
      </w:r>
      <w:r w:rsidRPr="003713E8">
        <w:rPr>
          <w:rFonts w:ascii="Times New Roman" w:eastAsia="黑体" w:hAnsi="Times New Roman" w:cs="Times New Roman"/>
          <w:sz w:val="18"/>
          <w:szCs w:val="18"/>
        </w:rPr>
        <w:t xml:space="preserve">1  60 </w:t>
      </w:r>
      <w:r w:rsidRPr="003713E8">
        <w:rPr>
          <w:rFonts w:ascii="Times New Roman" w:eastAsia="黑体" w:hAnsi="Times New Roman" w:cs="Times New Roman"/>
          <w:sz w:val="18"/>
          <w:szCs w:val="18"/>
        </w:rPr>
        <w:t>份材料各性状遮荫后的相对值统计分析</w:t>
      </w:r>
    </w:p>
    <w:p w14:paraId="7A7D68A0" w14:textId="77777777" w:rsidR="003713E8" w:rsidRPr="003713E8" w:rsidRDefault="003713E8" w:rsidP="003713E8">
      <w:pPr>
        <w:rPr>
          <w:rFonts w:ascii="Times New Roman" w:eastAsia="仿宋" w:hAnsi="Times New Roman" w:cs="Times New Roman"/>
          <w:szCs w:val="21"/>
        </w:rPr>
      </w:pPr>
      <w:r w:rsidRPr="003713E8">
        <w:rPr>
          <w:rFonts w:ascii="Times New Roman" w:eastAsia="等线" w:hAnsi="Times New Roman" w:cs="Times New Roman"/>
          <w:noProof/>
          <w:szCs w:val="22"/>
        </w:rPr>
        <w:drawing>
          <wp:inline distT="0" distB="0" distL="0" distR="0" wp14:anchorId="22FD2700" wp14:editId="64CE025D">
            <wp:extent cx="5274310" cy="3465195"/>
            <wp:effectExtent l="0" t="0" r="2540" b="1905"/>
            <wp:docPr id="15785515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551577" name=""/>
                    <pic:cNvPicPr/>
                  </pic:nvPicPr>
                  <pic:blipFill>
                    <a:blip r:embed="rId11"/>
                    <a:stretch>
                      <a:fillRect/>
                    </a:stretch>
                  </pic:blipFill>
                  <pic:spPr>
                    <a:xfrm>
                      <a:off x="0" y="0"/>
                      <a:ext cx="5274310" cy="3465195"/>
                    </a:xfrm>
                    <a:prstGeom prst="rect">
                      <a:avLst/>
                    </a:prstGeom>
                  </pic:spPr>
                </pic:pic>
              </a:graphicData>
            </a:graphic>
          </wp:inline>
        </w:drawing>
      </w:r>
    </w:p>
    <w:p w14:paraId="3823C267" w14:textId="77777777" w:rsidR="003713E8" w:rsidRPr="00066CE7" w:rsidRDefault="003713E8" w:rsidP="003713E8">
      <w:pPr>
        <w:rPr>
          <w:rFonts w:ascii="Times New Roman" w:eastAsia="仿宋" w:hAnsi="Times New Roman" w:cs="Times New Roman"/>
          <w:sz w:val="20"/>
          <w:szCs w:val="18"/>
        </w:rPr>
      </w:pPr>
      <w:r w:rsidRPr="00066CE7">
        <w:rPr>
          <w:rFonts w:ascii="Times New Roman" w:eastAsia="仿宋" w:hAnsi="Times New Roman" w:cs="Times New Roman"/>
          <w:sz w:val="20"/>
          <w:szCs w:val="18"/>
        </w:rPr>
        <w:t>注：</w:t>
      </w:r>
      <w:r w:rsidRPr="00066CE7">
        <w:rPr>
          <w:rFonts w:ascii="Times New Roman" w:eastAsia="仿宋" w:hAnsi="Times New Roman" w:cs="Times New Roman"/>
          <w:sz w:val="20"/>
          <w:szCs w:val="18"/>
        </w:rPr>
        <w:t>PH32:</w:t>
      </w:r>
      <w:r w:rsidRPr="00066CE7">
        <w:rPr>
          <w:rFonts w:ascii="Times New Roman" w:eastAsia="仿宋" w:hAnsi="Times New Roman" w:cs="Times New Roman"/>
          <w:sz w:val="20"/>
          <w:szCs w:val="18"/>
        </w:rPr>
        <w:t>播种后</w:t>
      </w:r>
      <w:r w:rsidRPr="00066CE7">
        <w:rPr>
          <w:rFonts w:ascii="Times New Roman" w:eastAsia="仿宋" w:hAnsi="Times New Roman" w:cs="Times New Roman"/>
          <w:sz w:val="20"/>
          <w:szCs w:val="18"/>
        </w:rPr>
        <w:t xml:space="preserve"> 32 d </w:t>
      </w:r>
      <w:r w:rsidRPr="00066CE7">
        <w:rPr>
          <w:rFonts w:ascii="Times New Roman" w:eastAsia="仿宋" w:hAnsi="Times New Roman" w:cs="Times New Roman"/>
          <w:sz w:val="20"/>
          <w:szCs w:val="18"/>
        </w:rPr>
        <w:t>株高；</w:t>
      </w:r>
      <w:r w:rsidRPr="00066CE7">
        <w:rPr>
          <w:rFonts w:ascii="Times New Roman" w:eastAsia="仿宋" w:hAnsi="Times New Roman" w:cs="Times New Roman"/>
          <w:sz w:val="20"/>
          <w:szCs w:val="18"/>
        </w:rPr>
        <w:t>PH50</w:t>
      </w:r>
      <w:r w:rsidRPr="00066CE7">
        <w:rPr>
          <w:rFonts w:ascii="Times New Roman" w:eastAsia="仿宋" w:hAnsi="Times New Roman" w:cs="Times New Roman"/>
          <w:sz w:val="20"/>
          <w:szCs w:val="18"/>
        </w:rPr>
        <w:t>：播种后</w:t>
      </w:r>
      <w:r w:rsidRPr="00066CE7">
        <w:rPr>
          <w:rFonts w:ascii="Times New Roman" w:eastAsia="仿宋" w:hAnsi="Times New Roman" w:cs="Times New Roman"/>
          <w:sz w:val="20"/>
          <w:szCs w:val="18"/>
        </w:rPr>
        <w:t xml:space="preserve"> 50 d </w:t>
      </w:r>
      <w:r w:rsidRPr="00066CE7">
        <w:rPr>
          <w:rFonts w:ascii="Times New Roman" w:eastAsia="仿宋" w:hAnsi="Times New Roman" w:cs="Times New Roman"/>
          <w:sz w:val="20"/>
          <w:szCs w:val="18"/>
        </w:rPr>
        <w:t>株高；</w:t>
      </w:r>
      <w:r w:rsidRPr="00066CE7">
        <w:rPr>
          <w:rFonts w:ascii="Times New Roman" w:eastAsia="仿宋" w:hAnsi="Times New Roman" w:cs="Times New Roman"/>
          <w:sz w:val="20"/>
          <w:szCs w:val="18"/>
        </w:rPr>
        <w:t>PH63</w:t>
      </w:r>
      <w:r w:rsidRPr="00066CE7">
        <w:rPr>
          <w:rFonts w:ascii="Times New Roman" w:eastAsia="仿宋" w:hAnsi="Times New Roman" w:cs="Times New Roman"/>
          <w:sz w:val="20"/>
          <w:szCs w:val="18"/>
        </w:rPr>
        <w:t>：播种后</w:t>
      </w:r>
      <w:r w:rsidRPr="00066CE7">
        <w:rPr>
          <w:rFonts w:ascii="Times New Roman" w:eastAsia="仿宋" w:hAnsi="Times New Roman" w:cs="Times New Roman"/>
          <w:sz w:val="20"/>
          <w:szCs w:val="18"/>
        </w:rPr>
        <w:t xml:space="preserve"> 63 d </w:t>
      </w:r>
      <w:r w:rsidRPr="00066CE7">
        <w:rPr>
          <w:rFonts w:ascii="Times New Roman" w:eastAsia="仿宋" w:hAnsi="Times New Roman" w:cs="Times New Roman"/>
          <w:sz w:val="20"/>
          <w:szCs w:val="18"/>
        </w:rPr>
        <w:t>株高；</w:t>
      </w:r>
      <w:r w:rsidRPr="00066CE7">
        <w:rPr>
          <w:rFonts w:ascii="Times New Roman" w:eastAsia="仿宋" w:hAnsi="Times New Roman" w:cs="Times New Roman"/>
          <w:sz w:val="20"/>
          <w:szCs w:val="18"/>
        </w:rPr>
        <w:t>MIL</w:t>
      </w:r>
      <w:r w:rsidRPr="00066CE7">
        <w:rPr>
          <w:rFonts w:ascii="Times New Roman" w:eastAsia="仿宋" w:hAnsi="Times New Roman" w:cs="Times New Roman"/>
          <w:sz w:val="20"/>
          <w:szCs w:val="18"/>
        </w:rPr>
        <w:t>：平均节间长；</w:t>
      </w:r>
      <w:r w:rsidRPr="00066CE7">
        <w:rPr>
          <w:rFonts w:ascii="Times New Roman" w:eastAsia="仿宋" w:hAnsi="Times New Roman" w:cs="Times New Roman"/>
          <w:sz w:val="20"/>
          <w:szCs w:val="18"/>
        </w:rPr>
        <w:t>FIL</w:t>
      </w:r>
      <w:r w:rsidRPr="00066CE7">
        <w:rPr>
          <w:rFonts w:ascii="Times New Roman" w:eastAsia="仿宋" w:hAnsi="Times New Roman" w:cs="Times New Roman"/>
          <w:sz w:val="20"/>
          <w:szCs w:val="18"/>
        </w:rPr>
        <w:t>：第五节间长；</w:t>
      </w:r>
      <w:r w:rsidRPr="00066CE7">
        <w:rPr>
          <w:rFonts w:ascii="Times New Roman" w:eastAsia="仿宋" w:hAnsi="Times New Roman" w:cs="Times New Roman"/>
          <w:sz w:val="20"/>
          <w:szCs w:val="18"/>
        </w:rPr>
        <w:t>AIL</w:t>
      </w:r>
      <w:r w:rsidRPr="00066CE7">
        <w:rPr>
          <w:rFonts w:ascii="Times New Roman" w:eastAsia="仿宋" w:hAnsi="Times New Roman" w:cs="Times New Roman"/>
          <w:sz w:val="20"/>
          <w:szCs w:val="18"/>
        </w:rPr>
        <w:t>：倒三节间长；</w:t>
      </w:r>
      <w:r w:rsidRPr="00066CE7">
        <w:rPr>
          <w:rFonts w:ascii="Times New Roman" w:eastAsia="仿宋" w:hAnsi="Times New Roman" w:cs="Times New Roman"/>
          <w:sz w:val="20"/>
          <w:szCs w:val="18"/>
        </w:rPr>
        <w:t>NMS</w:t>
      </w:r>
      <w:r w:rsidRPr="00066CE7">
        <w:rPr>
          <w:rFonts w:ascii="Times New Roman" w:eastAsia="仿宋" w:hAnsi="Times New Roman" w:cs="Times New Roman"/>
          <w:sz w:val="20"/>
          <w:szCs w:val="18"/>
        </w:rPr>
        <w:t>：主茎节数；</w:t>
      </w:r>
      <w:r w:rsidRPr="00066CE7">
        <w:rPr>
          <w:rFonts w:ascii="Times New Roman" w:eastAsia="仿宋" w:hAnsi="Times New Roman" w:cs="Times New Roman"/>
          <w:sz w:val="20"/>
          <w:szCs w:val="18"/>
        </w:rPr>
        <w:t>FID</w:t>
      </w:r>
      <w:r w:rsidRPr="00066CE7">
        <w:rPr>
          <w:rFonts w:ascii="Times New Roman" w:eastAsia="仿宋" w:hAnsi="Times New Roman" w:cs="Times New Roman"/>
          <w:sz w:val="20"/>
          <w:szCs w:val="18"/>
        </w:rPr>
        <w:t>：第五节间粗；</w:t>
      </w:r>
      <w:r w:rsidRPr="00066CE7">
        <w:rPr>
          <w:rFonts w:ascii="Times New Roman" w:eastAsia="仿宋" w:hAnsi="Times New Roman" w:cs="Times New Roman"/>
          <w:sz w:val="20"/>
          <w:szCs w:val="18"/>
        </w:rPr>
        <w:t>AID</w:t>
      </w:r>
      <w:r w:rsidRPr="00066CE7">
        <w:rPr>
          <w:rFonts w:ascii="Times New Roman" w:eastAsia="仿宋" w:hAnsi="Times New Roman" w:cs="Times New Roman"/>
          <w:sz w:val="20"/>
          <w:szCs w:val="18"/>
        </w:rPr>
        <w:t>：倒三节间粗；</w:t>
      </w:r>
      <w:r w:rsidRPr="00066CE7">
        <w:rPr>
          <w:rFonts w:ascii="Times New Roman" w:eastAsia="仿宋" w:hAnsi="Times New Roman" w:cs="Times New Roman"/>
          <w:sz w:val="20"/>
          <w:szCs w:val="18"/>
        </w:rPr>
        <w:t>LL</w:t>
      </w:r>
      <w:r w:rsidRPr="00066CE7">
        <w:rPr>
          <w:rFonts w:ascii="Times New Roman" w:eastAsia="仿宋" w:hAnsi="Times New Roman" w:cs="Times New Roman"/>
          <w:sz w:val="20"/>
          <w:szCs w:val="18"/>
        </w:rPr>
        <w:t>：叶长；</w:t>
      </w:r>
      <w:r w:rsidRPr="00066CE7">
        <w:rPr>
          <w:rFonts w:ascii="Times New Roman" w:eastAsia="仿宋" w:hAnsi="Times New Roman" w:cs="Times New Roman"/>
          <w:sz w:val="20"/>
          <w:szCs w:val="18"/>
        </w:rPr>
        <w:t>LW</w:t>
      </w:r>
      <w:r w:rsidRPr="00066CE7">
        <w:rPr>
          <w:rFonts w:ascii="Times New Roman" w:eastAsia="仿宋" w:hAnsi="Times New Roman" w:cs="Times New Roman"/>
          <w:sz w:val="20"/>
          <w:szCs w:val="18"/>
        </w:rPr>
        <w:t>：叶宽；</w:t>
      </w:r>
      <w:r w:rsidRPr="00066CE7">
        <w:rPr>
          <w:rFonts w:ascii="Times New Roman" w:eastAsia="仿宋" w:hAnsi="Times New Roman" w:cs="Times New Roman"/>
          <w:sz w:val="20"/>
          <w:szCs w:val="18"/>
        </w:rPr>
        <w:t>LSI</w:t>
      </w:r>
      <w:r w:rsidRPr="00066CE7">
        <w:rPr>
          <w:rFonts w:ascii="Times New Roman" w:eastAsia="仿宋" w:hAnsi="Times New Roman" w:cs="Times New Roman"/>
          <w:sz w:val="20"/>
          <w:szCs w:val="18"/>
        </w:rPr>
        <w:t>：叶形指数；</w:t>
      </w:r>
      <w:r w:rsidRPr="00066CE7">
        <w:rPr>
          <w:rFonts w:ascii="Times New Roman" w:eastAsia="仿宋" w:hAnsi="Times New Roman" w:cs="Times New Roman"/>
          <w:sz w:val="20"/>
          <w:szCs w:val="18"/>
        </w:rPr>
        <w:t>PL</w:t>
      </w:r>
      <w:r w:rsidRPr="00066CE7">
        <w:rPr>
          <w:rFonts w:ascii="Times New Roman" w:eastAsia="仿宋" w:hAnsi="Times New Roman" w:cs="Times New Roman"/>
          <w:sz w:val="20"/>
          <w:szCs w:val="18"/>
        </w:rPr>
        <w:t>：柄长；</w:t>
      </w:r>
      <w:r w:rsidRPr="00066CE7">
        <w:rPr>
          <w:rFonts w:ascii="Times New Roman" w:eastAsia="仿宋" w:hAnsi="Times New Roman" w:cs="Times New Roman"/>
          <w:sz w:val="20"/>
          <w:szCs w:val="18"/>
        </w:rPr>
        <w:t>SFW</w:t>
      </w:r>
      <w:r w:rsidRPr="00066CE7">
        <w:rPr>
          <w:rFonts w:ascii="Times New Roman" w:eastAsia="仿宋" w:hAnsi="Times New Roman" w:cs="Times New Roman"/>
          <w:sz w:val="20"/>
          <w:szCs w:val="18"/>
        </w:rPr>
        <w:t>：茎叶鲜重；</w:t>
      </w:r>
      <w:r w:rsidRPr="00066CE7">
        <w:rPr>
          <w:rFonts w:ascii="Times New Roman" w:eastAsia="仿宋" w:hAnsi="Times New Roman" w:cs="Times New Roman"/>
          <w:sz w:val="20"/>
          <w:szCs w:val="18"/>
        </w:rPr>
        <w:t>SDW</w:t>
      </w:r>
      <w:r w:rsidRPr="00066CE7">
        <w:rPr>
          <w:rFonts w:ascii="Times New Roman" w:eastAsia="仿宋" w:hAnsi="Times New Roman" w:cs="Times New Roman"/>
          <w:sz w:val="20"/>
          <w:szCs w:val="18"/>
        </w:rPr>
        <w:t>：茎叶干重；</w:t>
      </w:r>
      <w:r w:rsidRPr="00066CE7">
        <w:rPr>
          <w:rFonts w:ascii="Times New Roman" w:eastAsia="仿宋" w:hAnsi="Times New Roman" w:cs="Times New Roman"/>
          <w:sz w:val="20"/>
          <w:szCs w:val="18"/>
        </w:rPr>
        <w:t>BN</w:t>
      </w:r>
      <w:r w:rsidRPr="00066CE7">
        <w:rPr>
          <w:rFonts w:ascii="Times New Roman" w:eastAsia="仿宋" w:hAnsi="Times New Roman" w:cs="Times New Roman"/>
          <w:sz w:val="20"/>
          <w:szCs w:val="18"/>
        </w:rPr>
        <w:t>：分枝数；</w:t>
      </w:r>
      <w:r w:rsidRPr="00066CE7">
        <w:rPr>
          <w:rFonts w:ascii="Times New Roman" w:eastAsia="仿宋" w:hAnsi="Times New Roman" w:cs="Times New Roman"/>
          <w:sz w:val="20"/>
          <w:szCs w:val="18"/>
        </w:rPr>
        <w:t>SP</w:t>
      </w:r>
      <w:r w:rsidRPr="00066CE7">
        <w:rPr>
          <w:rFonts w:ascii="Times New Roman" w:eastAsia="仿宋" w:hAnsi="Times New Roman" w:cs="Times New Roman"/>
          <w:sz w:val="20"/>
          <w:szCs w:val="18"/>
        </w:rPr>
        <w:t>：光谱。</w:t>
      </w:r>
      <w:r w:rsidRPr="00066CE7">
        <w:rPr>
          <w:rFonts w:ascii="Times New Roman" w:eastAsia="仿宋" w:hAnsi="Times New Roman" w:cs="Times New Roman"/>
          <w:sz w:val="20"/>
          <w:szCs w:val="18"/>
        </w:rPr>
        <w:t>STI</w:t>
      </w:r>
      <w:r w:rsidRPr="00066CE7">
        <w:rPr>
          <w:rFonts w:ascii="Times New Roman" w:eastAsia="仿宋" w:hAnsi="Times New Roman" w:cs="Times New Roman"/>
          <w:sz w:val="20"/>
          <w:szCs w:val="18"/>
        </w:rPr>
        <w:t>：耐荫指数；</w:t>
      </w:r>
      <w:r w:rsidRPr="00066CE7">
        <w:rPr>
          <w:rFonts w:ascii="Times New Roman" w:eastAsia="仿宋" w:hAnsi="Times New Roman" w:cs="Times New Roman"/>
          <w:sz w:val="20"/>
          <w:szCs w:val="18"/>
        </w:rPr>
        <w:t>ra</w:t>
      </w:r>
      <w:r w:rsidRPr="00066CE7">
        <w:rPr>
          <w:rFonts w:ascii="Times New Roman" w:eastAsia="仿宋" w:hAnsi="Times New Roman" w:cs="Times New Roman"/>
          <w:sz w:val="20"/>
          <w:szCs w:val="18"/>
        </w:rPr>
        <w:t>：两环境间表型相关系数；</w:t>
      </w:r>
      <w:r w:rsidRPr="00066CE7">
        <w:rPr>
          <w:rFonts w:ascii="Times New Roman" w:eastAsia="仿宋" w:hAnsi="Times New Roman" w:cs="Times New Roman"/>
          <w:sz w:val="20"/>
          <w:szCs w:val="18"/>
        </w:rPr>
        <w:t>h2</w:t>
      </w:r>
      <w:r w:rsidRPr="00066CE7">
        <w:rPr>
          <w:rFonts w:ascii="Times New Roman" w:eastAsia="仿宋" w:hAnsi="Times New Roman" w:cs="Times New Roman"/>
          <w:sz w:val="20"/>
          <w:szCs w:val="18"/>
        </w:rPr>
        <w:t>：遗传率；</w:t>
      </w:r>
      <w:r w:rsidRPr="00066CE7">
        <w:rPr>
          <w:rFonts w:ascii="Times New Roman" w:eastAsia="仿宋" w:hAnsi="Times New Roman" w:cs="Times New Roman"/>
          <w:sz w:val="20"/>
          <w:szCs w:val="18"/>
        </w:rPr>
        <w:t>GCV</w:t>
      </w:r>
      <w:r w:rsidRPr="00066CE7">
        <w:rPr>
          <w:rFonts w:ascii="Times New Roman" w:eastAsia="仿宋" w:hAnsi="Times New Roman" w:cs="Times New Roman"/>
          <w:sz w:val="20"/>
          <w:szCs w:val="18"/>
        </w:rPr>
        <w:t>：遗传变异系数；</w:t>
      </w:r>
      <w:r w:rsidRPr="00066CE7">
        <w:rPr>
          <w:rFonts w:ascii="Times New Roman" w:eastAsia="仿宋" w:hAnsi="Times New Roman" w:cs="Times New Roman"/>
          <w:sz w:val="20"/>
          <w:szCs w:val="18"/>
        </w:rPr>
        <w:t>rb</w:t>
      </w:r>
      <w:r w:rsidRPr="00066CE7">
        <w:rPr>
          <w:rFonts w:ascii="Times New Roman" w:eastAsia="仿宋" w:hAnsi="Times New Roman" w:cs="Times New Roman"/>
          <w:sz w:val="20"/>
          <w:szCs w:val="18"/>
        </w:rPr>
        <w:t>：性状遮荫后的相对值与目测耐荫级别的相关系数。除</w:t>
      </w:r>
      <w:r w:rsidRPr="00066CE7">
        <w:rPr>
          <w:rFonts w:ascii="Times New Roman" w:eastAsia="仿宋" w:hAnsi="Times New Roman" w:cs="Times New Roman"/>
          <w:sz w:val="20"/>
          <w:szCs w:val="18"/>
        </w:rPr>
        <w:t xml:space="preserve"> PH32 </w:t>
      </w:r>
      <w:r w:rsidRPr="00066CE7">
        <w:rPr>
          <w:rFonts w:ascii="Times New Roman" w:eastAsia="仿宋" w:hAnsi="Times New Roman" w:cs="Times New Roman"/>
          <w:sz w:val="20"/>
          <w:szCs w:val="18"/>
        </w:rPr>
        <w:t>和</w:t>
      </w:r>
      <w:r w:rsidRPr="00066CE7">
        <w:rPr>
          <w:rFonts w:ascii="Times New Roman" w:eastAsia="仿宋" w:hAnsi="Times New Roman" w:cs="Times New Roman"/>
          <w:sz w:val="20"/>
          <w:szCs w:val="18"/>
        </w:rPr>
        <w:t xml:space="preserve"> PH50 </w:t>
      </w:r>
      <w:r w:rsidRPr="00066CE7">
        <w:rPr>
          <w:rFonts w:ascii="Times New Roman" w:eastAsia="仿宋" w:hAnsi="Times New Roman" w:cs="Times New Roman"/>
          <w:sz w:val="20"/>
          <w:szCs w:val="18"/>
        </w:rPr>
        <w:t>其余性状均在播种后</w:t>
      </w:r>
      <w:r w:rsidRPr="00066CE7">
        <w:rPr>
          <w:rFonts w:ascii="Times New Roman" w:eastAsia="仿宋" w:hAnsi="Times New Roman" w:cs="Times New Roman"/>
          <w:sz w:val="20"/>
          <w:szCs w:val="18"/>
        </w:rPr>
        <w:t xml:space="preserve"> 63 d </w:t>
      </w:r>
      <w:r w:rsidRPr="00066CE7">
        <w:rPr>
          <w:rFonts w:ascii="Times New Roman" w:eastAsia="仿宋" w:hAnsi="Times New Roman" w:cs="Times New Roman"/>
          <w:sz w:val="20"/>
          <w:szCs w:val="18"/>
        </w:rPr>
        <w:t>测定。</w:t>
      </w:r>
      <w:r w:rsidRPr="00066CE7">
        <w:rPr>
          <w:rFonts w:ascii="Times New Roman" w:eastAsia="仿宋" w:hAnsi="Times New Roman" w:cs="Times New Roman"/>
          <w:sz w:val="20"/>
          <w:szCs w:val="18"/>
        </w:rPr>
        <w:t>*</w:t>
      </w:r>
      <w:r w:rsidRPr="00066CE7">
        <w:rPr>
          <w:rFonts w:ascii="Times New Roman" w:eastAsia="仿宋" w:hAnsi="Times New Roman" w:cs="Times New Roman"/>
          <w:sz w:val="20"/>
          <w:szCs w:val="18"/>
        </w:rPr>
        <w:t>和</w:t>
      </w:r>
      <w:r w:rsidRPr="00066CE7">
        <w:rPr>
          <w:rFonts w:ascii="Times New Roman" w:eastAsia="仿宋" w:hAnsi="Times New Roman" w:cs="Times New Roman"/>
          <w:sz w:val="20"/>
          <w:szCs w:val="18"/>
        </w:rPr>
        <w:t>**</w:t>
      </w:r>
      <w:r w:rsidRPr="00066CE7">
        <w:rPr>
          <w:rFonts w:ascii="Times New Roman" w:eastAsia="仿宋" w:hAnsi="Times New Roman" w:cs="Times New Roman"/>
          <w:sz w:val="20"/>
          <w:szCs w:val="18"/>
        </w:rPr>
        <w:t>分别表示在</w:t>
      </w:r>
      <w:r w:rsidRPr="00066CE7">
        <w:rPr>
          <w:rFonts w:ascii="Times New Roman" w:eastAsia="仿宋" w:hAnsi="Times New Roman" w:cs="Times New Roman"/>
          <w:sz w:val="20"/>
          <w:szCs w:val="18"/>
        </w:rPr>
        <w:t xml:space="preserve"> 5%</w:t>
      </w:r>
      <w:r w:rsidRPr="00066CE7">
        <w:rPr>
          <w:rFonts w:ascii="Times New Roman" w:eastAsia="仿宋" w:hAnsi="Times New Roman" w:cs="Times New Roman"/>
          <w:sz w:val="20"/>
          <w:szCs w:val="18"/>
        </w:rPr>
        <w:t>和</w:t>
      </w:r>
      <w:r w:rsidRPr="00066CE7">
        <w:rPr>
          <w:rFonts w:ascii="Times New Roman" w:eastAsia="仿宋" w:hAnsi="Times New Roman" w:cs="Times New Roman"/>
          <w:sz w:val="20"/>
          <w:szCs w:val="18"/>
        </w:rPr>
        <w:t xml:space="preserve"> 1%</w:t>
      </w:r>
      <w:r w:rsidRPr="00066CE7">
        <w:rPr>
          <w:rFonts w:ascii="Times New Roman" w:eastAsia="仿宋" w:hAnsi="Times New Roman" w:cs="Times New Roman"/>
          <w:sz w:val="20"/>
          <w:szCs w:val="18"/>
        </w:rPr>
        <w:t>水平差异显著。</w:t>
      </w:r>
    </w:p>
    <w:p w14:paraId="4EE5C20F" w14:textId="68939160" w:rsidR="003713E8" w:rsidRPr="00184C14" w:rsidRDefault="00184C14" w:rsidP="00184C1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bookmarkStart w:id="2" w:name="_Hlk216346767"/>
      <w:r>
        <w:rPr>
          <w:rFonts w:ascii="Times New Roman" w:eastAsia="楷体" w:hAnsi="Times New Roman" w:cs="Times New Roman" w:hint="eastAsia"/>
          <w:b/>
          <w:bCs/>
          <w:color w:val="000000" w:themeColor="text1"/>
          <w:kern w:val="0"/>
          <w:sz w:val="32"/>
          <w:szCs w:val="32"/>
        </w:rPr>
        <w:t>（三）</w:t>
      </w:r>
      <w:r w:rsidR="003713E8" w:rsidRPr="00184C14">
        <w:rPr>
          <w:rFonts w:ascii="Times New Roman" w:eastAsia="楷体" w:hAnsi="Times New Roman" w:cs="Times New Roman"/>
          <w:b/>
          <w:bCs/>
          <w:color w:val="000000" w:themeColor="text1"/>
          <w:kern w:val="0"/>
          <w:sz w:val="32"/>
          <w:szCs w:val="32"/>
        </w:rPr>
        <w:t>耐荫性鉴定时期的确定</w:t>
      </w:r>
    </w:p>
    <w:bookmarkEnd w:id="2"/>
    <w:p w14:paraId="5F528EB7" w14:textId="77777777" w:rsidR="003713E8" w:rsidRPr="00C13E37" w:rsidRDefault="003713E8" w:rsidP="00C13E37">
      <w:pPr>
        <w:spacing w:line="360" w:lineRule="auto"/>
        <w:ind w:firstLineChars="200" w:firstLine="643"/>
        <w:jc w:val="left"/>
        <w:rPr>
          <w:rFonts w:ascii="仿宋_GB2312" w:eastAsia="仿宋_GB2312" w:hAnsi="楷体" w:cs="Times New Roman"/>
          <w:b/>
          <w:color w:val="000000" w:themeColor="text1"/>
          <w:sz w:val="32"/>
          <w:szCs w:val="32"/>
        </w:rPr>
      </w:pPr>
      <w:r w:rsidRPr="00C13E37">
        <w:rPr>
          <w:rFonts w:ascii="仿宋_GB2312" w:eastAsia="仿宋_GB2312" w:hAnsi="楷体" w:cs="Times New Roman"/>
          <w:b/>
          <w:color w:val="000000" w:themeColor="text1"/>
          <w:sz w:val="32"/>
          <w:szCs w:val="32"/>
        </w:rPr>
        <w:t>1 材料与方法</w:t>
      </w:r>
    </w:p>
    <w:p w14:paraId="7D39F771" w14:textId="77777777" w:rsidR="003713E8" w:rsidRPr="00C13E37" w:rsidRDefault="003713E8" w:rsidP="00C13E37">
      <w:pPr>
        <w:spacing w:line="520" w:lineRule="exact"/>
        <w:ind w:firstLineChars="200" w:firstLine="640"/>
        <w:rPr>
          <w:rFonts w:ascii="仿宋_GB2312" w:eastAsia="仿宋_GB2312"/>
          <w:color w:val="000000" w:themeColor="text1"/>
          <w:sz w:val="32"/>
          <w:szCs w:val="32"/>
        </w:rPr>
      </w:pPr>
      <w:r w:rsidRPr="00C13E37">
        <w:rPr>
          <w:rFonts w:ascii="仿宋_GB2312" w:eastAsia="仿宋_GB2312"/>
          <w:color w:val="000000" w:themeColor="text1"/>
          <w:sz w:val="32"/>
          <w:szCs w:val="32"/>
        </w:rPr>
        <w:t>从 2012 和 2013 年预试验中依据初荚期株高遮荫后的相对值和田间观察选出 453 份材料，于 2015 年在广西农业科学院里建基地 3 月 15 日和 7 月 18 日播种，参考 2014 年指标筛选结果，为进一步确定较准确的鉴定时期，分别设定播种后 40、50 和 60 d 3 个时期，并进行筛选。</w:t>
      </w:r>
    </w:p>
    <w:p w14:paraId="33D698A5" w14:textId="77777777" w:rsidR="003713E8" w:rsidRPr="00C13E37" w:rsidRDefault="003713E8" w:rsidP="00C13E37">
      <w:pPr>
        <w:spacing w:line="360" w:lineRule="auto"/>
        <w:ind w:firstLineChars="200" w:firstLine="643"/>
        <w:jc w:val="left"/>
        <w:rPr>
          <w:rFonts w:ascii="仿宋_GB2312" w:eastAsia="仿宋_GB2312" w:hAnsi="楷体" w:cs="Times New Roman"/>
          <w:b/>
          <w:color w:val="000000" w:themeColor="text1"/>
          <w:sz w:val="32"/>
          <w:szCs w:val="32"/>
        </w:rPr>
      </w:pPr>
      <w:r w:rsidRPr="00C13E37">
        <w:rPr>
          <w:rFonts w:ascii="仿宋_GB2312" w:eastAsia="仿宋_GB2312" w:hAnsi="楷体" w:cs="Times New Roman"/>
          <w:b/>
          <w:color w:val="000000" w:themeColor="text1"/>
          <w:sz w:val="32"/>
          <w:szCs w:val="32"/>
        </w:rPr>
        <w:t>2 结果</w:t>
      </w:r>
    </w:p>
    <w:p w14:paraId="4AAACFAD" w14:textId="3AB17F92" w:rsidR="003713E8" w:rsidRPr="00C13E37" w:rsidRDefault="003713E8" w:rsidP="00C13E37">
      <w:pPr>
        <w:spacing w:line="520" w:lineRule="exact"/>
        <w:ind w:firstLineChars="200" w:firstLine="640"/>
        <w:rPr>
          <w:rFonts w:ascii="仿宋_GB2312" w:eastAsia="仿宋_GB2312"/>
          <w:color w:val="000000" w:themeColor="text1"/>
          <w:sz w:val="32"/>
          <w:szCs w:val="32"/>
        </w:rPr>
      </w:pPr>
      <w:r w:rsidRPr="00C13E37">
        <w:rPr>
          <w:rFonts w:ascii="仿宋_GB2312" w:eastAsia="仿宋_GB2312"/>
          <w:color w:val="000000" w:themeColor="text1"/>
          <w:sz w:val="32"/>
          <w:szCs w:val="32"/>
        </w:rPr>
        <w:t>通过对 453 份南方材料在 2 个环境中播种后 40、50 和 60 d 的耐荫指数进行统计分析（表 2）。结果表明，误差变异系数分别为 7.99%、7.75%和 8.01%，遗传率分别为 83.65%、91.13%和 80.57%；环境间相关系数分别为 0.75、0.87 和 0.69；</w:t>
      </w:r>
      <w:r w:rsidRPr="00C13E37">
        <w:rPr>
          <w:rFonts w:ascii="仿宋_GB2312" w:eastAsia="仿宋_GB2312"/>
          <w:color w:val="000000" w:themeColor="text1"/>
          <w:sz w:val="32"/>
          <w:szCs w:val="32"/>
        </w:rPr>
        <w:lastRenderedPageBreak/>
        <w:t>表型变异系数为 9.93%、13.55% 和 12% ，遗 传 变 异 系 数 为 9% 、 13.01% 和10.03%；与目测耐荫级别相关系数为 0.71、0.73 和0.70。在 30%遮光度下，播种后 50 d 相对于 40 d 和60 d 的耐荫指数，其遗传率、环境间相关系数、表型变异系数、遗传变异系数及与目测耐荫级别的相关系数均是最高，而误差系数最小，且环境间误差不显著，品种与环境间互作较小（表 3）。因此，在 30%遮光度下，大豆耐荫性在播种后50 d 鉴定较准确。</w:t>
      </w:r>
    </w:p>
    <w:p w14:paraId="15EE029B" w14:textId="77777777" w:rsidR="003713E8" w:rsidRPr="003713E8" w:rsidRDefault="003713E8" w:rsidP="003713E8">
      <w:pPr>
        <w:spacing w:line="360" w:lineRule="auto"/>
        <w:jc w:val="center"/>
        <w:rPr>
          <w:rFonts w:ascii="Times New Roman" w:eastAsia="黑体" w:hAnsi="Times New Roman" w:cs="Times New Roman"/>
          <w:sz w:val="18"/>
          <w:szCs w:val="18"/>
        </w:rPr>
      </w:pPr>
      <w:r w:rsidRPr="003713E8">
        <w:rPr>
          <w:rFonts w:ascii="Times New Roman" w:eastAsia="黑体" w:hAnsi="Times New Roman" w:cs="Times New Roman"/>
          <w:sz w:val="18"/>
          <w:szCs w:val="18"/>
        </w:rPr>
        <w:t>表</w:t>
      </w:r>
      <w:r w:rsidRPr="003713E8">
        <w:rPr>
          <w:rFonts w:ascii="Times New Roman" w:eastAsia="黑体" w:hAnsi="Times New Roman" w:cs="Times New Roman"/>
          <w:sz w:val="18"/>
          <w:szCs w:val="18"/>
        </w:rPr>
        <w:t xml:space="preserve">2 2015 </w:t>
      </w:r>
      <w:r w:rsidRPr="003713E8">
        <w:rPr>
          <w:rFonts w:ascii="Times New Roman" w:eastAsia="黑体" w:hAnsi="Times New Roman" w:cs="Times New Roman"/>
          <w:sz w:val="18"/>
          <w:szCs w:val="18"/>
        </w:rPr>
        <w:t>里建基地大豆耐荫鉴定试验各时期耐荫指数统计分析</w:t>
      </w:r>
    </w:p>
    <w:p w14:paraId="66E6B738" w14:textId="77777777" w:rsidR="003713E8" w:rsidRPr="003713E8" w:rsidRDefault="003713E8" w:rsidP="003713E8">
      <w:pPr>
        <w:spacing w:line="360" w:lineRule="auto"/>
        <w:jc w:val="left"/>
        <w:rPr>
          <w:rFonts w:ascii="Times New Roman" w:eastAsia="仿宋" w:hAnsi="Times New Roman" w:cs="Times New Roman"/>
          <w:sz w:val="18"/>
          <w:szCs w:val="18"/>
        </w:rPr>
      </w:pPr>
      <w:r w:rsidRPr="003713E8">
        <w:rPr>
          <w:rFonts w:ascii="Times New Roman" w:eastAsia="等线" w:hAnsi="Times New Roman" w:cs="Times New Roman"/>
          <w:noProof/>
          <w:szCs w:val="22"/>
        </w:rPr>
        <w:drawing>
          <wp:inline distT="0" distB="0" distL="0" distR="0" wp14:anchorId="4E3DA20B" wp14:editId="2D7E6E4B">
            <wp:extent cx="5274310" cy="869315"/>
            <wp:effectExtent l="0" t="0" r="2540" b="6985"/>
            <wp:docPr id="12936055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605526" name=""/>
                    <pic:cNvPicPr/>
                  </pic:nvPicPr>
                  <pic:blipFill>
                    <a:blip r:embed="rId12"/>
                    <a:stretch>
                      <a:fillRect/>
                    </a:stretch>
                  </pic:blipFill>
                  <pic:spPr>
                    <a:xfrm>
                      <a:off x="0" y="0"/>
                      <a:ext cx="5274310" cy="869315"/>
                    </a:xfrm>
                    <a:prstGeom prst="rect">
                      <a:avLst/>
                    </a:prstGeom>
                  </pic:spPr>
                </pic:pic>
              </a:graphicData>
            </a:graphic>
          </wp:inline>
        </w:drawing>
      </w:r>
    </w:p>
    <w:p w14:paraId="3C0FC10D" w14:textId="77777777" w:rsidR="003713E8" w:rsidRPr="003713E8" w:rsidRDefault="003713E8" w:rsidP="003713E8">
      <w:pPr>
        <w:spacing w:line="360" w:lineRule="auto"/>
        <w:jc w:val="center"/>
        <w:rPr>
          <w:rFonts w:ascii="Times New Roman" w:eastAsia="黑体" w:hAnsi="Times New Roman" w:cs="Times New Roman"/>
          <w:sz w:val="18"/>
          <w:szCs w:val="18"/>
        </w:rPr>
      </w:pPr>
      <w:r w:rsidRPr="003713E8">
        <w:rPr>
          <w:rFonts w:ascii="Times New Roman" w:eastAsia="黑体" w:hAnsi="Times New Roman" w:cs="Times New Roman"/>
          <w:sz w:val="18"/>
          <w:szCs w:val="18"/>
        </w:rPr>
        <w:t>表</w:t>
      </w:r>
      <w:r w:rsidRPr="003713E8">
        <w:rPr>
          <w:rFonts w:ascii="Times New Roman" w:eastAsia="黑体" w:hAnsi="Times New Roman" w:cs="Times New Roman"/>
          <w:sz w:val="18"/>
          <w:szCs w:val="18"/>
        </w:rPr>
        <w:t xml:space="preserve">3  2015 </w:t>
      </w:r>
      <w:r w:rsidRPr="003713E8">
        <w:rPr>
          <w:rFonts w:ascii="Times New Roman" w:eastAsia="黑体" w:hAnsi="Times New Roman" w:cs="Times New Roman"/>
          <w:sz w:val="18"/>
          <w:szCs w:val="18"/>
        </w:rPr>
        <w:t>年不同环境间各时期耐荫指数联合方差分析</w:t>
      </w:r>
    </w:p>
    <w:p w14:paraId="436DE42B" w14:textId="77777777" w:rsidR="003713E8" w:rsidRPr="003713E8" w:rsidRDefault="003713E8" w:rsidP="003713E8">
      <w:pPr>
        <w:spacing w:line="360" w:lineRule="auto"/>
        <w:jc w:val="center"/>
        <w:rPr>
          <w:rFonts w:ascii="Times New Roman" w:eastAsia="黑体" w:hAnsi="Times New Roman" w:cs="Times New Roman"/>
          <w:sz w:val="18"/>
          <w:szCs w:val="18"/>
        </w:rPr>
      </w:pPr>
      <w:r w:rsidRPr="003713E8">
        <w:rPr>
          <w:rFonts w:ascii="Times New Roman" w:eastAsia="等线" w:hAnsi="Times New Roman" w:cs="Times New Roman"/>
          <w:noProof/>
          <w:szCs w:val="22"/>
        </w:rPr>
        <w:drawing>
          <wp:inline distT="0" distB="0" distL="0" distR="0" wp14:anchorId="6659F51B" wp14:editId="241D000D">
            <wp:extent cx="5274310" cy="1666875"/>
            <wp:effectExtent l="0" t="0" r="2540" b="9525"/>
            <wp:docPr id="4506224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622492" name=""/>
                    <pic:cNvPicPr/>
                  </pic:nvPicPr>
                  <pic:blipFill>
                    <a:blip r:embed="rId13"/>
                    <a:stretch>
                      <a:fillRect/>
                    </a:stretch>
                  </pic:blipFill>
                  <pic:spPr>
                    <a:xfrm>
                      <a:off x="0" y="0"/>
                      <a:ext cx="5274310" cy="1666875"/>
                    </a:xfrm>
                    <a:prstGeom prst="rect">
                      <a:avLst/>
                    </a:prstGeom>
                  </pic:spPr>
                </pic:pic>
              </a:graphicData>
            </a:graphic>
          </wp:inline>
        </w:drawing>
      </w:r>
    </w:p>
    <w:p w14:paraId="69D7144B" w14:textId="7A7F1931" w:rsidR="003713E8" w:rsidRPr="00184C14" w:rsidRDefault="00184C14" w:rsidP="00184C1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（四）</w:t>
      </w:r>
      <w:r w:rsidR="003713E8" w:rsidRPr="00184C14">
        <w:rPr>
          <w:rFonts w:ascii="Times New Roman" w:eastAsia="楷体" w:hAnsi="Times New Roman" w:cs="Times New Roman"/>
          <w:b/>
          <w:bCs/>
          <w:color w:val="000000" w:themeColor="text1"/>
          <w:kern w:val="0"/>
          <w:sz w:val="32"/>
          <w:szCs w:val="32"/>
        </w:rPr>
        <w:t>中国南方大豆群体耐荫性鉴定试验</w:t>
      </w:r>
    </w:p>
    <w:p w14:paraId="7B3276CE" w14:textId="77777777" w:rsidR="003713E8" w:rsidRPr="00C13E37" w:rsidRDefault="003713E8" w:rsidP="00C13E37">
      <w:pPr>
        <w:spacing w:line="360" w:lineRule="auto"/>
        <w:ind w:firstLineChars="200" w:firstLine="643"/>
        <w:jc w:val="left"/>
        <w:rPr>
          <w:rFonts w:ascii="仿宋_GB2312" w:eastAsia="仿宋_GB2312" w:hAnsi="楷体" w:cs="Times New Roman"/>
          <w:b/>
          <w:color w:val="000000" w:themeColor="text1"/>
          <w:sz w:val="32"/>
          <w:szCs w:val="32"/>
        </w:rPr>
      </w:pPr>
      <w:r w:rsidRPr="00C13E37">
        <w:rPr>
          <w:rFonts w:ascii="仿宋_GB2312" w:eastAsia="仿宋_GB2312" w:hAnsi="楷体" w:cs="Times New Roman"/>
          <w:b/>
          <w:color w:val="000000" w:themeColor="text1"/>
          <w:sz w:val="32"/>
          <w:szCs w:val="32"/>
        </w:rPr>
        <w:t>1材料与方法</w:t>
      </w:r>
    </w:p>
    <w:p w14:paraId="5A04BCD0" w14:textId="77777777" w:rsidR="003713E8" w:rsidRPr="00066CE7" w:rsidRDefault="003713E8" w:rsidP="00066CE7">
      <w:pPr>
        <w:spacing w:line="520" w:lineRule="exact"/>
        <w:ind w:firstLineChars="200" w:firstLine="640"/>
        <w:rPr>
          <w:rFonts w:ascii="仿宋_GB2312" w:eastAsia="仿宋_GB2312"/>
          <w:color w:val="000000" w:themeColor="text1"/>
          <w:sz w:val="32"/>
          <w:szCs w:val="32"/>
        </w:rPr>
      </w:pPr>
      <w:r w:rsidRPr="00066CE7">
        <w:rPr>
          <w:rFonts w:ascii="仿宋_GB2312" w:eastAsia="仿宋_GB2312"/>
          <w:color w:val="000000" w:themeColor="text1"/>
          <w:sz w:val="32"/>
          <w:szCs w:val="32"/>
        </w:rPr>
        <w:t>以上述建立的耐荫性评价方法对453份中国南方大豆群体进行耐荫性评价。</w:t>
      </w:r>
    </w:p>
    <w:p w14:paraId="02CC5AB2" w14:textId="77777777" w:rsidR="003713E8" w:rsidRPr="00C13E37" w:rsidRDefault="003713E8" w:rsidP="00C13E37">
      <w:pPr>
        <w:spacing w:line="360" w:lineRule="auto"/>
        <w:ind w:firstLineChars="200" w:firstLine="643"/>
        <w:jc w:val="left"/>
        <w:rPr>
          <w:rFonts w:ascii="仿宋_GB2312" w:eastAsia="仿宋_GB2312" w:hAnsi="楷体" w:cs="Times New Roman"/>
          <w:b/>
          <w:color w:val="000000" w:themeColor="text1"/>
          <w:sz w:val="32"/>
          <w:szCs w:val="32"/>
        </w:rPr>
      </w:pPr>
      <w:r w:rsidRPr="00C13E37">
        <w:rPr>
          <w:rFonts w:ascii="仿宋_GB2312" w:eastAsia="仿宋_GB2312" w:hAnsi="楷体" w:cs="Times New Roman"/>
          <w:b/>
          <w:color w:val="000000" w:themeColor="text1"/>
          <w:sz w:val="32"/>
          <w:szCs w:val="32"/>
        </w:rPr>
        <w:t>2 结果</w:t>
      </w:r>
    </w:p>
    <w:p w14:paraId="094DCC31" w14:textId="2F664ED9" w:rsidR="003713E8" w:rsidRPr="00066CE7" w:rsidRDefault="003713E8" w:rsidP="00066CE7">
      <w:pPr>
        <w:spacing w:line="520" w:lineRule="exact"/>
        <w:ind w:firstLineChars="200" w:firstLine="640"/>
        <w:rPr>
          <w:rFonts w:ascii="仿宋_GB2312" w:eastAsia="仿宋_GB2312"/>
          <w:color w:val="000000" w:themeColor="text1"/>
          <w:sz w:val="32"/>
          <w:szCs w:val="32"/>
        </w:rPr>
      </w:pPr>
      <w:r w:rsidRPr="00066CE7">
        <w:rPr>
          <w:rFonts w:ascii="仿宋_GB2312" w:eastAsia="仿宋_GB2312"/>
          <w:color w:val="000000" w:themeColor="text1"/>
          <w:sz w:val="32"/>
          <w:szCs w:val="32"/>
        </w:rPr>
        <w:t>表</w:t>
      </w:r>
      <w:r w:rsidR="00066CE7">
        <w:rPr>
          <w:rFonts w:ascii="仿宋_GB2312" w:eastAsia="仿宋_GB2312"/>
          <w:color w:val="000000" w:themeColor="text1"/>
          <w:sz w:val="32"/>
          <w:szCs w:val="32"/>
        </w:rPr>
        <w:t>3</w:t>
      </w:r>
      <w:r w:rsidRPr="00066CE7">
        <w:rPr>
          <w:rFonts w:ascii="仿宋_GB2312" w:eastAsia="仿宋_GB2312"/>
          <w:color w:val="000000" w:themeColor="text1"/>
          <w:sz w:val="32"/>
          <w:szCs w:val="32"/>
        </w:rPr>
        <w:t>显示材料个体间差异均达到极显著水平，虽然环境和个体间存在着互作，耐荫性状受环境等外界因素影响，但遗传率较高，约有91%的表型变异由遗传变异解释。以 2 个环境下耐荫指数的平均值进行分析，耐荫指数越小则该品种越耐荫，越大则该</w:t>
      </w:r>
      <w:r w:rsidRPr="00066CE7">
        <w:rPr>
          <w:rFonts w:ascii="仿宋_GB2312" w:eastAsia="仿宋_GB2312"/>
          <w:color w:val="000000" w:themeColor="text1"/>
          <w:sz w:val="32"/>
          <w:szCs w:val="32"/>
        </w:rPr>
        <w:lastRenderedPageBreak/>
        <w:t>品种越不耐荫。南方 453 份大豆耐荫性状存在广泛的变异，变幅是 1.11</w:t>
      </w:r>
      <w:r w:rsidRPr="00066CE7">
        <w:rPr>
          <w:rFonts w:ascii="仿宋_GB2312" w:eastAsia="仿宋_GB2312"/>
          <w:color w:val="000000" w:themeColor="text1"/>
          <w:sz w:val="32"/>
          <w:szCs w:val="32"/>
        </w:rPr>
        <w:t>—</w:t>
      </w:r>
      <w:r w:rsidRPr="00066CE7">
        <w:rPr>
          <w:rFonts w:ascii="仿宋_GB2312" w:eastAsia="仿宋_GB2312"/>
          <w:color w:val="000000" w:themeColor="text1"/>
          <w:sz w:val="32"/>
          <w:szCs w:val="32"/>
        </w:rPr>
        <w:t>2.61，平均值是 1.55，表型变异系数为13.55%，遗传变异系数是 13.01%（表 4）。次数分布显示，群体偏向耐荫指数较小一侧，是由于试验群体加入预试验中的耐荫材料。依据 2 个环境间耐荫指数的平均数升序排名，群体前 5%（23 份材料）为耐荫材料，考虑到其稳定性，选出在各环境中排名都在前5%的 11 个品种（表 5）作为耐荫种质资源，田间表现为植株生长健壮，主茎直立向上，茎秆强度大，株型收敛（图 3）。依据盖钧镒等生态区划分，453 份材料分布在</w:t>
      </w:r>
      <w:r w:rsidRPr="00066CE7">
        <w:rPr>
          <w:rFonts w:ascii="仿宋_GB2312" w:eastAsia="仿宋_GB2312" w:hint="eastAsia"/>
          <w:color w:val="000000" w:themeColor="text1"/>
          <w:sz w:val="32"/>
          <w:szCs w:val="32"/>
        </w:rPr>
        <w:t>Ⅲ</w:t>
      </w:r>
      <w:r w:rsidRPr="00066CE7">
        <w:rPr>
          <w:rFonts w:ascii="仿宋_GB2312" w:eastAsia="仿宋_GB2312"/>
          <w:color w:val="000000" w:themeColor="text1"/>
          <w:sz w:val="32"/>
          <w:szCs w:val="32"/>
        </w:rPr>
        <w:t>、</w:t>
      </w:r>
      <w:r w:rsidRPr="00066CE7">
        <w:rPr>
          <w:rFonts w:ascii="仿宋_GB2312" w:eastAsia="仿宋_GB2312" w:hint="eastAsia"/>
          <w:color w:val="000000" w:themeColor="text1"/>
          <w:sz w:val="32"/>
          <w:szCs w:val="32"/>
        </w:rPr>
        <w:t>Ⅳ</w:t>
      </w:r>
      <w:r w:rsidRPr="00066CE7">
        <w:rPr>
          <w:rFonts w:ascii="仿宋_GB2312" w:eastAsia="仿宋_GB2312"/>
          <w:color w:val="000000" w:themeColor="text1"/>
          <w:sz w:val="32"/>
          <w:szCs w:val="32"/>
        </w:rPr>
        <w:t>、</w:t>
      </w:r>
      <w:r w:rsidRPr="00066CE7">
        <w:rPr>
          <w:rFonts w:ascii="仿宋_GB2312" w:eastAsia="仿宋_GB2312" w:hint="eastAsia"/>
          <w:color w:val="000000" w:themeColor="text1"/>
          <w:sz w:val="32"/>
          <w:szCs w:val="32"/>
        </w:rPr>
        <w:t>Ⅴ</w:t>
      </w:r>
      <w:r w:rsidRPr="00066CE7">
        <w:rPr>
          <w:rFonts w:ascii="仿宋_GB2312" w:eastAsia="仿宋_GB2312"/>
          <w:color w:val="000000" w:themeColor="text1"/>
          <w:sz w:val="32"/>
          <w:szCs w:val="32"/>
        </w:rPr>
        <w:t>和</w:t>
      </w:r>
      <w:r w:rsidRPr="00066CE7">
        <w:rPr>
          <w:rFonts w:ascii="仿宋_GB2312" w:eastAsia="仿宋_GB2312" w:hint="eastAsia"/>
          <w:color w:val="000000" w:themeColor="text1"/>
          <w:sz w:val="32"/>
          <w:szCs w:val="32"/>
        </w:rPr>
        <w:t>Ⅵ</w:t>
      </w:r>
      <w:r w:rsidRPr="00066CE7">
        <w:rPr>
          <w:rFonts w:ascii="仿宋_GB2312" w:eastAsia="仿宋_GB2312"/>
          <w:color w:val="000000" w:themeColor="text1"/>
          <w:sz w:val="32"/>
          <w:szCs w:val="32"/>
        </w:rPr>
        <w:t xml:space="preserve"> 4 个生态区（表 4）。各生态区的材料都存在丰富的遗传变异，耐荫指数变幅分别为 1.19</w:t>
      </w:r>
      <w:r w:rsidR="00066CE7" w:rsidRPr="00066CE7">
        <w:rPr>
          <w:rFonts w:ascii="仿宋_GB2312" w:eastAsia="仿宋_GB2312" w:hint="eastAsia"/>
          <w:color w:val="000000" w:themeColor="text1"/>
          <w:sz w:val="32"/>
          <w:szCs w:val="32"/>
        </w:rPr>
        <w:t>～</w:t>
      </w:r>
      <w:r w:rsidRPr="00066CE7">
        <w:rPr>
          <w:rFonts w:ascii="仿宋_GB2312" w:eastAsia="仿宋_GB2312"/>
          <w:color w:val="000000" w:themeColor="text1"/>
          <w:sz w:val="32"/>
          <w:szCs w:val="32"/>
        </w:rPr>
        <w:t>2.08、1.17</w:t>
      </w:r>
      <w:r w:rsidR="00066CE7" w:rsidRPr="00066CE7">
        <w:rPr>
          <w:rFonts w:ascii="仿宋_GB2312" w:eastAsia="仿宋_GB2312" w:hint="eastAsia"/>
          <w:color w:val="000000" w:themeColor="text1"/>
          <w:sz w:val="32"/>
          <w:szCs w:val="32"/>
        </w:rPr>
        <w:t>～</w:t>
      </w:r>
      <w:r w:rsidRPr="00066CE7">
        <w:rPr>
          <w:rFonts w:ascii="仿宋_GB2312" w:eastAsia="仿宋_GB2312"/>
          <w:color w:val="000000" w:themeColor="text1"/>
          <w:sz w:val="32"/>
          <w:szCs w:val="32"/>
        </w:rPr>
        <w:t>2.61、1.27</w:t>
      </w:r>
      <w:r w:rsidR="00066CE7" w:rsidRPr="00066CE7">
        <w:rPr>
          <w:rFonts w:ascii="仿宋_GB2312" w:eastAsia="仿宋_GB2312" w:hint="eastAsia"/>
          <w:color w:val="000000" w:themeColor="text1"/>
          <w:sz w:val="32"/>
          <w:szCs w:val="32"/>
        </w:rPr>
        <w:t>～</w:t>
      </w:r>
      <w:r w:rsidRPr="00066CE7">
        <w:rPr>
          <w:rFonts w:ascii="仿宋_GB2312" w:eastAsia="仿宋_GB2312"/>
          <w:color w:val="000000" w:themeColor="text1"/>
          <w:sz w:val="32"/>
          <w:szCs w:val="32"/>
        </w:rPr>
        <w:t>2.37 和 1.11</w:t>
      </w:r>
      <w:r w:rsidR="00066CE7" w:rsidRPr="00066CE7">
        <w:rPr>
          <w:rFonts w:ascii="仿宋_GB2312" w:eastAsia="仿宋_GB2312" w:hint="eastAsia"/>
          <w:color w:val="000000" w:themeColor="text1"/>
          <w:sz w:val="32"/>
          <w:szCs w:val="32"/>
        </w:rPr>
        <w:t>～</w:t>
      </w:r>
      <w:r w:rsidRPr="00066CE7">
        <w:rPr>
          <w:rFonts w:ascii="仿宋_GB2312" w:eastAsia="仿宋_GB2312"/>
          <w:color w:val="000000" w:themeColor="text1"/>
          <w:sz w:val="32"/>
          <w:szCs w:val="32"/>
        </w:rPr>
        <w:t>2.54，为各生态区改良该性状提供材料基础。各生态区间耐荫指数平均值差异不显著，误差变异系数、遗传率、遗传变异系数及与目测耐荫级别相关系数相近。地方品种与栽培大豆耐荫指数变幅分别为 1.11</w:t>
      </w:r>
      <w:r w:rsidR="00066CE7">
        <w:rPr>
          <w:rFonts w:ascii="仿宋_GB2312" w:eastAsia="仿宋_GB2312" w:hint="eastAsia"/>
          <w:color w:val="000000" w:themeColor="text1"/>
          <w:sz w:val="32"/>
          <w:szCs w:val="32"/>
        </w:rPr>
        <w:t>～</w:t>
      </w:r>
      <w:r w:rsidRPr="00066CE7">
        <w:rPr>
          <w:rFonts w:ascii="仿宋_GB2312" w:eastAsia="仿宋_GB2312"/>
          <w:color w:val="000000" w:themeColor="text1"/>
          <w:sz w:val="32"/>
          <w:szCs w:val="32"/>
        </w:rPr>
        <w:t>2.61 和 1.17</w:t>
      </w:r>
      <w:r w:rsidR="00066CE7" w:rsidRPr="00066CE7">
        <w:rPr>
          <w:rFonts w:ascii="仿宋_GB2312" w:eastAsia="仿宋_GB2312" w:hint="eastAsia"/>
          <w:color w:val="000000" w:themeColor="text1"/>
          <w:sz w:val="32"/>
          <w:szCs w:val="32"/>
        </w:rPr>
        <w:t>～</w:t>
      </w:r>
      <w:r w:rsidRPr="00066CE7">
        <w:rPr>
          <w:rFonts w:ascii="仿宋_GB2312" w:eastAsia="仿宋_GB2312"/>
          <w:color w:val="000000" w:themeColor="text1"/>
          <w:sz w:val="32"/>
          <w:szCs w:val="32"/>
        </w:rPr>
        <w:t>2.54，都存在着大量变异，值得注意的是，上述选出较稳定的</w:t>
      </w:r>
      <w:r w:rsidR="00066CE7">
        <w:rPr>
          <w:rFonts w:ascii="仿宋_GB2312" w:eastAsia="仿宋_GB2312"/>
          <w:color w:val="000000" w:themeColor="text1"/>
          <w:sz w:val="32"/>
          <w:szCs w:val="32"/>
        </w:rPr>
        <w:t>11</w:t>
      </w:r>
      <w:r w:rsidRPr="00066CE7">
        <w:rPr>
          <w:rFonts w:ascii="仿宋_GB2312" w:eastAsia="仿宋_GB2312"/>
          <w:color w:val="000000" w:themeColor="text1"/>
          <w:sz w:val="32"/>
          <w:szCs w:val="32"/>
        </w:rPr>
        <w:t>份耐荫资源中（表 5），地方品种有</w:t>
      </w:r>
      <w:r w:rsidR="00066CE7">
        <w:rPr>
          <w:rFonts w:ascii="仿宋_GB2312" w:eastAsia="仿宋_GB2312"/>
          <w:color w:val="000000" w:themeColor="text1"/>
          <w:sz w:val="32"/>
          <w:szCs w:val="32"/>
        </w:rPr>
        <w:t>3</w:t>
      </w:r>
      <w:r w:rsidRPr="00066CE7">
        <w:rPr>
          <w:rFonts w:ascii="仿宋_GB2312" w:eastAsia="仿宋_GB2312"/>
          <w:color w:val="000000" w:themeColor="text1"/>
          <w:sz w:val="32"/>
          <w:szCs w:val="32"/>
        </w:rPr>
        <w:t>个，栽培品种有 8 个，这可能与长期的人工选择有关。</w:t>
      </w:r>
    </w:p>
    <w:p w14:paraId="089F3AC3" w14:textId="77777777" w:rsidR="003713E8" w:rsidRPr="003713E8" w:rsidRDefault="003713E8" w:rsidP="003713E8">
      <w:pPr>
        <w:spacing w:line="360" w:lineRule="auto"/>
        <w:jc w:val="center"/>
        <w:rPr>
          <w:rFonts w:ascii="Times New Roman" w:eastAsia="黑体" w:hAnsi="Times New Roman" w:cs="Times New Roman"/>
          <w:sz w:val="18"/>
          <w:szCs w:val="18"/>
        </w:rPr>
      </w:pPr>
      <w:r w:rsidRPr="003713E8">
        <w:rPr>
          <w:rFonts w:ascii="Times New Roman" w:eastAsia="黑体" w:hAnsi="Times New Roman" w:cs="Times New Roman"/>
          <w:sz w:val="18"/>
          <w:szCs w:val="18"/>
        </w:rPr>
        <w:t>表</w:t>
      </w:r>
      <w:r w:rsidRPr="003713E8">
        <w:rPr>
          <w:rFonts w:ascii="Times New Roman" w:eastAsia="黑体" w:hAnsi="Times New Roman" w:cs="Times New Roman"/>
          <w:sz w:val="18"/>
          <w:szCs w:val="18"/>
        </w:rPr>
        <w:t xml:space="preserve">4  </w:t>
      </w:r>
      <w:r w:rsidRPr="003713E8">
        <w:rPr>
          <w:rFonts w:ascii="Times New Roman" w:eastAsia="黑体" w:hAnsi="Times New Roman" w:cs="Times New Roman"/>
          <w:sz w:val="18"/>
          <w:szCs w:val="18"/>
        </w:rPr>
        <w:t>中国南方大豆耐荫指数频率分布及描述统计分析</w:t>
      </w:r>
    </w:p>
    <w:p w14:paraId="5F9DFED7" w14:textId="77777777" w:rsidR="003713E8" w:rsidRPr="003713E8" w:rsidRDefault="003713E8" w:rsidP="003713E8">
      <w:pPr>
        <w:spacing w:line="360" w:lineRule="auto"/>
        <w:rPr>
          <w:rFonts w:ascii="Times New Roman" w:eastAsia="仿宋" w:hAnsi="Times New Roman" w:cs="Times New Roman"/>
          <w:szCs w:val="21"/>
        </w:rPr>
      </w:pPr>
      <w:r w:rsidRPr="003713E8">
        <w:rPr>
          <w:rFonts w:ascii="Times New Roman" w:eastAsia="等线" w:hAnsi="Times New Roman" w:cs="Times New Roman"/>
          <w:noProof/>
          <w:szCs w:val="22"/>
        </w:rPr>
        <w:drawing>
          <wp:inline distT="0" distB="0" distL="0" distR="0" wp14:anchorId="0797B424" wp14:editId="61E66C25">
            <wp:extent cx="5274310" cy="2103755"/>
            <wp:effectExtent l="0" t="0" r="2540" b="0"/>
            <wp:docPr id="1329595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59579" name=""/>
                    <pic:cNvPicPr/>
                  </pic:nvPicPr>
                  <pic:blipFill>
                    <a:blip r:embed="rId14"/>
                    <a:stretch>
                      <a:fillRect/>
                    </a:stretch>
                  </pic:blipFill>
                  <pic:spPr>
                    <a:xfrm>
                      <a:off x="0" y="0"/>
                      <a:ext cx="5274310" cy="2103755"/>
                    </a:xfrm>
                    <a:prstGeom prst="rect">
                      <a:avLst/>
                    </a:prstGeom>
                  </pic:spPr>
                </pic:pic>
              </a:graphicData>
            </a:graphic>
          </wp:inline>
        </w:drawing>
      </w:r>
    </w:p>
    <w:p w14:paraId="4B465A31" w14:textId="77777777" w:rsidR="003713E8" w:rsidRPr="00066CE7" w:rsidRDefault="003713E8" w:rsidP="003713E8">
      <w:pPr>
        <w:spacing w:line="360" w:lineRule="auto"/>
        <w:rPr>
          <w:rFonts w:ascii="Times New Roman" w:eastAsia="仿宋" w:hAnsi="Times New Roman" w:cs="Times New Roman"/>
          <w:szCs w:val="18"/>
        </w:rPr>
      </w:pPr>
      <w:r w:rsidRPr="00066CE7">
        <w:rPr>
          <w:rFonts w:ascii="Times New Roman" w:eastAsia="仿宋" w:hAnsi="Times New Roman" w:cs="Times New Roman"/>
          <w:szCs w:val="18"/>
        </w:rPr>
        <w:t>注</w:t>
      </w:r>
      <w:r w:rsidRPr="00066CE7">
        <w:rPr>
          <w:rFonts w:ascii="Times New Roman" w:eastAsia="仿宋" w:hAnsi="Times New Roman" w:cs="Times New Roman"/>
          <w:szCs w:val="18"/>
        </w:rPr>
        <w:t>:</w:t>
      </w:r>
      <w:r w:rsidRPr="00066CE7">
        <w:rPr>
          <w:rFonts w:ascii="Times New Roman" w:eastAsia="等线" w:hAnsi="Times New Roman" w:cs="Times New Roman"/>
          <w:szCs w:val="18"/>
        </w:rPr>
        <w:t xml:space="preserve"> </w:t>
      </w:r>
      <w:r w:rsidRPr="00066CE7">
        <w:rPr>
          <w:rFonts w:ascii="Times New Roman" w:eastAsia="仿宋" w:hAnsi="Times New Roman" w:cs="Times New Roman"/>
          <w:szCs w:val="18"/>
        </w:rPr>
        <w:t>15-LJ1</w:t>
      </w:r>
      <w:r w:rsidRPr="00066CE7">
        <w:rPr>
          <w:rFonts w:ascii="Times New Roman" w:eastAsia="仿宋" w:hAnsi="Times New Roman" w:cs="Times New Roman"/>
          <w:szCs w:val="18"/>
        </w:rPr>
        <w:t>：</w:t>
      </w:r>
      <w:r w:rsidRPr="00066CE7">
        <w:rPr>
          <w:rFonts w:ascii="Times New Roman" w:eastAsia="仿宋" w:hAnsi="Times New Roman" w:cs="Times New Roman"/>
          <w:szCs w:val="18"/>
        </w:rPr>
        <w:t xml:space="preserve">2015 </w:t>
      </w:r>
      <w:r w:rsidRPr="00066CE7">
        <w:rPr>
          <w:rFonts w:ascii="Times New Roman" w:eastAsia="仿宋" w:hAnsi="Times New Roman" w:cs="Times New Roman"/>
          <w:szCs w:val="18"/>
        </w:rPr>
        <w:t>年在里建第一次试验；</w:t>
      </w:r>
      <w:r w:rsidRPr="00066CE7">
        <w:rPr>
          <w:rFonts w:ascii="Times New Roman" w:eastAsia="仿宋" w:hAnsi="Times New Roman" w:cs="Times New Roman"/>
          <w:szCs w:val="18"/>
        </w:rPr>
        <w:t>15-LJ2</w:t>
      </w:r>
      <w:r w:rsidRPr="00066CE7">
        <w:rPr>
          <w:rFonts w:ascii="Times New Roman" w:eastAsia="仿宋" w:hAnsi="Times New Roman" w:cs="Times New Roman"/>
          <w:szCs w:val="18"/>
        </w:rPr>
        <w:t>：</w:t>
      </w:r>
      <w:r w:rsidRPr="00066CE7">
        <w:rPr>
          <w:rFonts w:ascii="Times New Roman" w:eastAsia="仿宋" w:hAnsi="Times New Roman" w:cs="Times New Roman"/>
          <w:szCs w:val="18"/>
        </w:rPr>
        <w:t xml:space="preserve">2015 </w:t>
      </w:r>
      <w:r w:rsidRPr="00066CE7">
        <w:rPr>
          <w:rFonts w:ascii="Times New Roman" w:eastAsia="仿宋" w:hAnsi="Times New Roman" w:cs="Times New Roman"/>
          <w:szCs w:val="18"/>
        </w:rPr>
        <w:t>年在里建第二次试验；下同。</w:t>
      </w:r>
      <w:r w:rsidRPr="00066CE7">
        <w:rPr>
          <w:rFonts w:ascii="宋体" w:hAnsi="宋体" w:cs="宋体" w:hint="eastAsia"/>
          <w:szCs w:val="18"/>
        </w:rPr>
        <w:t>Ⅲ</w:t>
      </w:r>
      <w:r w:rsidRPr="00066CE7">
        <w:rPr>
          <w:rFonts w:ascii="Times New Roman" w:eastAsia="仿宋" w:hAnsi="Times New Roman" w:cs="Times New Roman"/>
          <w:szCs w:val="18"/>
        </w:rPr>
        <w:t>：长江中下游二熟制春夏作大豆品种生态区；</w:t>
      </w:r>
      <w:r w:rsidRPr="00066CE7">
        <w:rPr>
          <w:rFonts w:ascii="宋体" w:hAnsi="宋体" w:cs="宋体" w:hint="eastAsia"/>
          <w:szCs w:val="18"/>
        </w:rPr>
        <w:t>Ⅳ</w:t>
      </w:r>
      <w:r w:rsidRPr="00066CE7">
        <w:rPr>
          <w:rFonts w:ascii="Times New Roman" w:eastAsia="仿宋" w:hAnsi="Times New Roman" w:cs="Times New Roman"/>
          <w:szCs w:val="18"/>
        </w:rPr>
        <w:t>：中南多熟制春夏秋作大豆品种生态区；</w:t>
      </w:r>
      <w:r w:rsidRPr="00066CE7">
        <w:rPr>
          <w:rFonts w:ascii="宋体" w:hAnsi="宋体" w:cs="宋体" w:hint="eastAsia"/>
          <w:szCs w:val="18"/>
        </w:rPr>
        <w:t>Ⅴ</w:t>
      </w:r>
      <w:r w:rsidRPr="00066CE7">
        <w:rPr>
          <w:rFonts w:ascii="Times New Roman" w:eastAsia="仿宋" w:hAnsi="Times New Roman" w:cs="Times New Roman"/>
          <w:szCs w:val="18"/>
        </w:rPr>
        <w:t>：西南高原二熟</w:t>
      </w:r>
      <w:r w:rsidRPr="00066CE7">
        <w:rPr>
          <w:rFonts w:ascii="Times New Roman" w:eastAsia="仿宋" w:hAnsi="Times New Roman" w:cs="Times New Roman"/>
          <w:szCs w:val="18"/>
        </w:rPr>
        <w:lastRenderedPageBreak/>
        <w:t>制春夏作大豆品种生态区；</w:t>
      </w:r>
      <w:r w:rsidRPr="00066CE7">
        <w:rPr>
          <w:rFonts w:ascii="宋体" w:hAnsi="宋体" w:cs="宋体" w:hint="eastAsia"/>
          <w:szCs w:val="18"/>
        </w:rPr>
        <w:t>Ⅵ</w:t>
      </w:r>
      <w:r w:rsidRPr="00066CE7">
        <w:rPr>
          <w:rFonts w:ascii="Times New Roman" w:eastAsia="仿宋" w:hAnsi="Times New Roman" w:cs="Times New Roman"/>
          <w:szCs w:val="18"/>
        </w:rPr>
        <w:t>：华南热带多熟制四季大豆品种生态区。</w:t>
      </w:r>
      <w:r w:rsidRPr="00066CE7">
        <w:rPr>
          <w:rFonts w:ascii="Times New Roman" w:eastAsia="仿宋" w:hAnsi="Times New Roman" w:cs="Times New Roman"/>
          <w:szCs w:val="18"/>
        </w:rPr>
        <w:t>C</w:t>
      </w:r>
      <w:r w:rsidRPr="00066CE7">
        <w:rPr>
          <w:rFonts w:ascii="Times New Roman" w:eastAsia="仿宋" w:hAnsi="Times New Roman" w:cs="Times New Roman"/>
          <w:szCs w:val="18"/>
        </w:rPr>
        <w:t>：育成品种；</w:t>
      </w:r>
      <w:r w:rsidRPr="00066CE7">
        <w:rPr>
          <w:rFonts w:ascii="Times New Roman" w:eastAsia="仿宋" w:hAnsi="Times New Roman" w:cs="Times New Roman"/>
          <w:szCs w:val="18"/>
        </w:rPr>
        <w:t>L</w:t>
      </w:r>
      <w:r w:rsidRPr="00066CE7">
        <w:rPr>
          <w:rFonts w:ascii="Times New Roman" w:eastAsia="仿宋" w:hAnsi="Times New Roman" w:cs="Times New Roman"/>
          <w:szCs w:val="18"/>
        </w:rPr>
        <w:t>：地方品种。标以相同字母的值表示不同生态区间在</w:t>
      </w:r>
      <w:r w:rsidRPr="00066CE7">
        <w:rPr>
          <w:rFonts w:ascii="Times New Roman" w:eastAsia="仿宋" w:hAnsi="Times New Roman" w:cs="Times New Roman"/>
          <w:szCs w:val="18"/>
        </w:rPr>
        <w:t xml:space="preserve"> P=0.05 </w:t>
      </w:r>
      <w:r w:rsidRPr="00066CE7">
        <w:rPr>
          <w:rFonts w:ascii="Times New Roman" w:eastAsia="仿宋" w:hAnsi="Times New Roman" w:cs="Times New Roman"/>
          <w:szCs w:val="18"/>
        </w:rPr>
        <w:t>水平上差异不显著。</w:t>
      </w:r>
    </w:p>
    <w:p w14:paraId="64FEECB4" w14:textId="77777777" w:rsidR="003713E8" w:rsidRPr="003713E8" w:rsidRDefault="003713E8" w:rsidP="003713E8">
      <w:pPr>
        <w:spacing w:line="360" w:lineRule="auto"/>
        <w:jc w:val="center"/>
        <w:rPr>
          <w:rFonts w:ascii="Times New Roman" w:eastAsia="黑体" w:hAnsi="Times New Roman" w:cs="Times New Roman"/>
          <w:sz w:val="18"/>
          <w:szCs w:val="18"/>
        </w:rPr>
      </w:pPr>
      <w:r w:rsidRPr="003713E8">
        <w:rPr>
          <w:rFonts w:ascii="Times New Roman" w:eastAsia="黑体" w:hAnsi="Times New Roman" w:cs="Times New Roman"/>
          <w:sz w:val="18"/>
          <w:szCs w:val="18"/>
        </w:rPr>
        <w:t>表</w:t>
      </w:r>
      <w:r w:rsidRPr="003713E8">
        <w:rPr>
          <w:rFonts w:ascii="Times New Roman" w:eastAsia="黑体" w:hAnsi="Times New Roman" w:cs="Times New Roman"/>
          <w:sz w:val="18"/>
          <w:szCs w:val="18"/>
        </w:rPr>
        <w:t xml:space="preserve">5  </w:t>
      </w:r>
      <w:r w:rsidRPr="003713E8">
        <w:rPr>
          <w:rFonts w:ascii="Times New Roman" w:eastAsia="黑体" w:hAnsi="Times New Roman" w:cs="Times New Roman"/>
          <w:sz w:val="18"/>
          <w:szCs w:val="18"/>
        </w:rPr>
        <w:t>从</w:t>
      </w:r>
      <w:r w:rsidRPr="003713E8">
        <w:rPr>
          <w:rFonts w:ascii="Times New Roman" w:eastAsia="黑体" w:hAnsi="Times New Roman" w:cs="Times New Roman"/>
          <w:sz w:val="18"/>
          <w:szCs w:val="18"/>
        </w:rPr>
        <w:t xml:space="preserve"> 453 </w:t>
      </w:r>
      <w:r w:rsidRPr="003713E8">
        <w:rPr>
          <w:rFonts w:ascii="Times New Roman" w:eastAsia="黑体" w:hAnsi="Times New Roman" w:cs="Times New Roman"/>
          <w:sz w:val="18"/>
          <w:szCs w:val="18"/>
        </w:rPr>
        <w:t>份大豆材料中筛选出的耐荫资源</w:t>
      </w:r>
    </w:p>
    <w:p w14:paraId="22CBAC9B" w14:textId="77777777" w:rsidR="003713E8" w:rsidRPr="003713E8" w:rsidRDefault="003713E8" w:rsidP="003713E8">
      <w:pPr>
        <w:spacing w:line="360" w:lineRule="auto"/>
        <w:rPr>
          <w:rFonts w:ascii="Times New Roman" w:eastAsia="黑体" w:hAnsi="Times New Roman" w:cs="Times New Roman"/>
          <w:sz w:val="18"/>
          <w:szCs w:val="18"/>
        </w:rPr>
      </w:pPr>
      <w:r w:rsidRPr="003713E8">
        <w:rPr>
          <w:rFonts w:ascii="Times New Roman" w:eastAsia="等线" w:hAnsi="Times New Roman" w:cs="Times New Roman"/>
          <w:noProof/>
          <w:szCs w:val="22"/>
        </w:rPr>
        <w:drawing>
          <wp:inline distT="0" distB="0" distL="0" distR="0" wp14:anchorId="5FCFA194" wp14:editId="3B769850">
            <wp:extent cx="5274310" cy="2072640"/>
            <wp:effectExtent l="0" t="0" r="2540" b="3810"/>
            <wp:docPr id="9814870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487086" name=""/>
                    <pic:cNvPicPr/>
                  </pic:nvPicPr>
                  <pic:blipFill>
                    <a:blip r:embed="rId15"/>
                    <a:stretch>
                      <a:fillRect/>
                    </a:stretch>
                  </pic:blipFill>
                  <pic:spPr>
                    <a:xfrm>
                      <a:off x="0" y="0"/>
                      <a:ext cx="5274310" cy="2072640"/>
                    </a:xfrm>
                    <a:prstGeom prst="rect">
                      <a:avLst/>
                    </a:prstGeom>
                  </pic:spPr>
                </pic:pic>
              </a:graphicData>
            </a:graphic>
          </wp:inline>
        </w:drawing>
      </w:r>
    </w:p>
    <w:p w14:paraId="7AA96968" w14:textId="7122BDE5" w:rsidR="003713E8" w:rsidRPr="00066CE7" w:rsidRDefault="003713E8" w:rsidP="00066CE7">
      <w:pPr>
        <w:spacing w:line="520" w:lineRule="exact"/>
        <w:ind w:firstLineChars="200" w:firstLine="640"/>
        <w:rPr>
          <w:rFonts w:ascii="仿宋_GB2312" w:eastAsia="仿宋_GB2312"/>
          <w:color w:val="000000" w:themeColor="text1"/>
          <w:sz w:val="32"/>
          <w:szCs w:val="32"/>
        </w:rPr>
      </w:pPr>
      <w:r w:rsidRPr="00066CE7">
        <w:rPr>
          <w:rFonts w:ascii="仿宋_GB2312" w:eastAsia="仿宋_GB2312"/>
          <w:color w:val="000000" w:themeColor="text1"/>
          <w:sz w:val="32"/>
          <w:szCs w:val="32"/>
        </w:rPr>
        <w:t>以上实验结果表明，由30%遮光度、播种后</w:t>
      </w:r>
      <w:r w:rsidR="00284B7F" w:rsidRPr="00066CE7">
        <w:rPr>
          <w:rFonts w:ascii="仿宋_GB2312" w:eastAsia="仿宋_GB2312"/>
          <w:color w:val="000000" w:themeColor="text1"/>
          <w:sz w:val="32"/>
          <w:szCs w:val="32"/>
        </w:rPr>
        <w:t>50 d</w:t>
      </w:r>
      <w:r w:rsidRPr="00066CE7">
        <w:rPr>
          <w:rFonts w:ascii="仿宋_GB2312" w:eastAsia="仿宋_GB2312"/>
          <w:color w:val="000000" w:themeColor="text1"/>
          <w:sz w:val="32"/>
          <w:szCs w:val="32"/>
        </w:rPr>
        <w:t>的株高和平均节间长构成的</w:t>
      </w:r>
      <w:bookmarkStart w:id="3" w:name="_Hlk216778168"/>
      <w:r w:rsidRPr="00066CE7">
        <w:rPr>
          <w:rFonts w:ascii="仿宋_GB2312" w:eastAsia="仿宋_GB2312"/>
          <w:color w:val="000000" w:themeColor="text1"/>
          <w:sz w:val="32"/>
          <w:szCs w:val="32"/>
        </w:rPr>
        <w:t>耐荫指数（STI）</w:t>
      </w:r>
      <w:bookmarkEnd w:id="3"/>
      <w:r w:rsidRPr="00066CE7">
        <w:rPr>
          <w:rFonts w:ascii="仿宋_GB2312" w:eastAsia="仿宋_GB2312"/>
          <w:color w:val="000000" w:themeColor="text1"/>
          <w:sz w:val="32"/>
          <w:szCs w:val="32"/>
        </w:rPr>
        <w:t>是相对准确、稳定、灵敏、实用的耐荫性评价体系。</w:t>
      </w:r>
      <w:r w:rsidRPr="00066CE7">
        <w:rPr>
          <w:rFonts w:ascii="仿宋_GB2312" w:eastAsia="仿宋_GB2312" w:hint="eastAsia"/>
          <w:color w:val="000000" w:themeColor="text1"/>
          <w:sz w:val="32"/>
          <w:szCs w:val="32"/>
        </w:rPr>
        <w:t>相关研究以“大豆耐荫性评价体系的建立与中国南方大豆资源耐荫性变异”为题于2017年发表在《中国农业科学》期刊。</w:t>
      </w:r>
    </w:p>
    <w:p w14:paraId="503DB656" w14:textId="78259FC1" w:rsidR="003713E8" w:rsidRPr="00D14E4A" w:rsidRDefault="00D14E4A" w:rsidP="00D14E4A">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bookmarkStart w:id="4" w:name="_Hlk216778279"/>
      <w:r>
        <w:rPr>
          <w:rFonts w:ascii="Times New Roman" w:eastAsia="楷体" w:hAnsi="Times New Roman" w:cs="Times New Roman" w:hint="eastAsia"/>
          <w:b/>
          <w:bCs/>
          <w:color w:val="000000" w:themeColor="text1"/>
          <w:kern w:val="0"/>
          <w:sz w:val="32"/>
          <w:szCs w:val="32"/>
        </w:rPr>
        <w:t>（五）</w:t>
      </w:r>
      <w:r w:rsidR="003713E8" w:rsidRPr="00D14E4A">
        <w:rPr>
          <w:rFonts w:ascii="Times New Roman" w:eastAsia="楷体" w:hAnsi="Times New Roman" w:cs="Times New Roman" w:hint="eastAsia"/>
          <w:b/>
          <w:bCs/>
          <w:color w:val="000000" w:themeColor="text1"/>
          <w:kern w:val="0"/>
          <w:sz w:val="32"/>
          <w:szCs w:val="32"/>
        </w:rPr>
        <w:t>大豆耐荫性鉴定评价技术</w:t>
      </w:r>
      <w:bookmarkEnd w:id="4"/>
      <w:r w:rsidR="003713E8" w:rsidRPr="00D14E4A">
        <w:rPr>
          <w:rFonts w:ascii="Times New Roman" w:eastAsia="楷体" w:hAnsi="Times New Roman" w:cs="Times New Roman" w:hint="eastAsia"/>
          <w:b/>
          <w:bCs/>
          <w:color w:val="000000" w:themeColor="text1"/>
          <w:kern w:val="0"/>
          <w:sz w:val="32"/>
          <w:szCs w:val="32"/>
        </w:rPr>
        <w:t>的应用情况</w:t>
      </w:r>
    </w:p>
    <w:p w14:paraId="6A88EF4F" w14:textId="12DAB85B" w:rsidR="003713E8" w:rsidRPr="00066CE7" w:rsidRDefault="003713E8" w:rsidP="00066CE7">
      <w:pPr>
        <w:spacing w:line="520" w:lineRule="exact"/>
        <w:ind w:firstLineChars="200" w:firstLine="640"/>
        <w:rPr>
          <w:rFonts w:ascii="仿宋_GB2312" w:eastAsia="仿宋_GB2312"/>
          <w:color w:val="000000" w:themeColor="text1"/>
          <w:sz w:val="32"/>
          <w:szCs w:val="32"/>
        </w:rPr>
      </w:pPr>
      <w:bookmarkStart w:id="5" w:name="_Hlk216793708"/>
      <w:r w:rsidRPr="00066CE7">
        <w:rPr>
          <w:rFonts w:ascii="仿宋_GB2312" w:eastAsia="仿宋_GB2312" w:hint="eastAsia"/>
          <w:color w:val="000000" w:themeColor="text1"/>
          <w:sz w:val="32"/>
          <w:szCs w:val="32"/>
        </w:rPr>
        <w:t>基于耐荫指数（STI）的大豆耐荫性鉴定评价技术由本标准起草团队首创</w:t>
      </w:r>
      <w:bookmarkEnd w:id="5"/>
      <w:r w:rsidRPr="00066CE7">
        <w:rPr>
          <w:rFonts w:ascii="仿宋_GB2312" w:eastAsia="仿宋_GB2312" w:hint="eastAsia"/>
          <w:color w:val="000000" w:themeColor="text1"/>
          <w:sz w:val="32"/>
          <w:szCs w:val="32"/>
        </w:rPr>
        <w:t>，该大豆耐荫性鉴定评价技术于2017年发表在《中国农业科学》期刊，一经发表受到国内外科研人员广泛引用。目前中国知网</w:t>
      </w:r>
      <w:bookmarkStart w:id="6" w:name="_GoBack"/>
      <w:bookmarkEnd w:id="6"/>
      <w:r w:rsidRPr="00066CE7">
        <w:rPr>
          <w:rFonts w:ascii="仿宋_GB2312" w:eastAsia="仿宋_GB2312" w:hint="eastAsia"/>
          <w:color w:val="000000" w:themeColor="text1"/>
          <w:sz w:val="32"/>
          <w:szCs w:val="32"/>
        </w:rPr>
        <w:t>的被引量达47次。如谭玉荣等（2025）利用该大豆耐荫性鉴定评价技术对1 033份南方大豆种质资源进行耐荫性鉴定，共筛选出20份适合南方种植的优异耐荫材料，为培育出适合南方地区间套作的大豆新品种提供良好的材料基础；Su 等（2024）以耐荫指数（STI）为指标，在两个耐荫性极端亲本构建的重组自交系（RIL）群体中进行全基因组关联分析（GWAS），筛选出99个与大豆耐荫指数相关的候选基因，结合转录组分析构建了大豆耐荫性基因调控网络；张志鹏等（2019）利用该大豆</w:t>
      </w:r>
      <w:r w:rsidRPr="00066CE7">
        <w:rPr>
          <w:rFonts w:ascii="仿宋_GB2312" w:eastAsia="仿宋_GB2312" w:hint="eastAsia"/>
          <w:color w:val="000000" w:themeColor="text1"/>
          <w:sz w:val="32"/>
          <w:szCs w:val="32"/>
        </w:rPr>
        <w:lastRenderedPageBreak/>
        <w:t>耐荫性鉴定评价技术对来自中国南方13个省（自治区）的915份大豆进行了耐荫性鉴定，经 三个环境鉴定，挖掘出贡豆7号（四川），矮脚早（湖北），横县黑豆-2（广西）和启东关青豆甲（江苏）等优异耐荫种质资源；Su 等（2023）基于</w:t>
      </w:r>
      <w:bookmarkStart w:id="7" w:name="OLE_LINK1"/>
      <w:r w:rsidRPr="00066CE7">
        <w:rPr>
          <w:rFonts w:ascii="仿宋_GB2312" w:eastAsia="仿宋_GB2312" w:hint="eastAsia"/>
          <w:color w:val="000000" w:themeColor="text1"/>
          <w:sz w:val="32"/>
          <w:szCs w:val="32"/>
        </w:rPr>
        <w:t>耐荫指数（STI）</w:t>
      </w:r>
      <w:bookmarkEnd w:id="7"/>
      <w:r w:rsidRPr="00066CE7">
        <w:rPr>
          <w:rFonts w:ascii="仿宋_GB2312" w:eastAsia="仿宋_GB2312" w:hint="eastAsia"/>
          <w:color w:val="000000" w:themeColor="text1"/>
          <w:sz w:val="32"/>
          <w:szCs w:val="32"/>
        </w:rPr>
        <w:t>对来自中国南方各省的394份大豆自然群体进行耐荫性全基因组关联分析，最终找到53个具有主要效应的耐荫指数（STI）候选基因和281个等位基因，并对优化的杂交组合、进化驱动因素以及基因-等位基因网络进行了探索。</w:t>
      </w:r>
    </w:p>
    <w:p w14:paraId="2251A363" w14:textId="77777777" w:rsidR="003713E8" w:rsidRPr="00066CE7" w:rsidRDefault="003713E8" w:rsidP="00066CE7">
      <w:pPr>
        <w:spacing w:line="520" w:lineRule="exact"/>
        <w:ind w:firstLineChars="200" w:firstLine="640"/>
        <w:rPr>
          <w:rFonts w:ascii="仿宋_GB2312" w:eastAsia="仿宋_GB2312"/>
          <w:color w:val="000000" w:themeColor="text1"/>
          <w:sz w:val="32"/>
          <w:szCs w:val="32"/>
        </w:rPr>
      </w:pPr>
      <w:r w:rsidRPr="00066CE7">
        <w:rPr>
          <w:rFonts w:ascii="仿宋_GB2312" w:eastAsia="仿宋_GB2312" w:hint="eastAsia"/>
          <w:color w:val="000000" w:themeColor="text1"/>
          <w:sz w:val="32"/>
          <w:szCs w:val="32"/>
        </w:rPr>
        <w:t>本标准起草团队首创的基于耐荫指数（STI）的大豆耐荫性鉴定评价技术具有较高的认可度，已广泛应用于大豆耐荫性鉴定，耐荫性遗传解析及大豆耐荫性遗传改良等方面。</w:t>
      </w:r>
    </w:p>
    <w:p w14:paraId="08106F0E"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六、重大意见分歧的处理依据和结果</w:t>
      </w:r>
    </w:p>
    <w:p w14:paraId="798124BB"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本标准研制过程中无重大分歧意见。</w:t>
      </w:r>
    </w:p>
    <w:p w14:paraId="6A6B000F"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七、实施标准的措施</w:t>
      </w:r>
    </w:p>
    <w:p w14:paraId="25EE2F78"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（一）标准报批发布后，成立标准宣贯工作组</w:t>
      </w:r>
    </w:p>
    <w:p w14:paraId="3D9FD746"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3812799D"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（二）组织开展标准宣贯培训</w:t>
      </w:r>
    </w:p>
    <w:p w14:paraId="37D04611" w14:textId="14FAC1A4" w:rsidR="00D634F2" w:rsidRDefault="008854C0">
      <w:pPr>
        <w:spacing w:line="520" w:lineRule="exact"/>
        <w:ind w:firstLineChars="200" w:firstLine="640"/>
        <w:rPr>
          <w:rFonts w:ascii="仿宋" w:eastAsia="仿宋" w:hAnsi="仿宋"/>
          <w:color w:val="000000" w:themeColor="text1"/>
          <w:sz w:val="32"/>
          <w:szCs w:val="32"/>
        </w:rPr>
      </w:pPr>
      <w:r>
        <w:rPr>
          <w:rFonts w:ascii="仿宋_GB2312" w:eastAsia="仿宋_GB2312" w:hint="eastAsia"/>
          <w:color w:val="000000" w:themeColor="text1"/>
          <w:sz w:val="32"/>
          <w:szCs w:val="32"/>
        </w:rPr>
        <w:t>标准发布实施后，标准宣贯工作小组制作标准解读宣贯培训PPT课件和标准核心技术明白书，并按标准宣贯培训计划深入各市县相关机构，对相关技术人员开展标准宣贯培训，对标准进行逐条解读，让相关技术人员掌握标准核心技术内容，助力标准实施落地，促进</w:t>
      </w:r>
      <w:r w:rsidR="003A694A" w:rsidRPr="003713E8">
        <w:rPr>
          <w:rFonts w:ascii="仿宋_GB2312" w:eastAsia="仿宋_GB2312" w:hint="eastAsia"/>
          <w:color w:val="000000" w:themeColor="text1"/>
          <w:sz w:val="32"/>
          <w:szCs w:val="32"/>
        </w:rPr>
        <w:t>大豆</w:t>
      </w:r>
      <w:r w:rsidR="00204829" w:rsidRPr="003713E8">
        <w:rPr>
          <w:rFonts w:ascii="仿宋_GB2312" w:eastAsia="仿宋_GB2312"/>
          <w:color w:val="000000" w:themeColor="text1"/>
          <w:sz w:val="32"/>
          <w:szCs w:val="32"/>
        </w:rPr>
        <w:t>产业</w:t>
      </w:r>
      <w:r>
        <w:rPr>
          <w:rFonts w:ascii="仿宋_GB2312" w:eastAsia="仿宋_GB2312" w:hint="eastAsia"/>
          <w:color w:val="000000" w:themeColor="text1"/>
          <w:sz w:val="32"/>
          <w:szCs w:val="32"/>
        </w:rPr>
        <w:t>健康发展。</w:t>
      </w:r>
    </w:p>
    <w:p w14:paraId="4C1CBF56"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（三）开展标准实施交流会，收集标准实施反馈信息</w:t>
      </w:r>
    </w:p>
    <w:p w14:paraId="05E512D3" w14:textId="43D220ED"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lastRenderedPageBreak/>
        <w:t>标准起草小组深入各市县相关机构技术人员召开标准实施交流会，听取标准实施过程中存在的问题并做好记录和解答，对存在的问题组织专家团队进行研讨，为标准的复审修订做准备。</w:t>
      </w:r>
    </w:p>
    <w:p w14:paraId="400FCE31" w14:textId="77777777" w:rsidR="00D634F2" w:rsidRDefault="008854C0">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（四）开展标准实施效果评估</w:t>
      </w:r>
    </w:p>
    <w:p w14:paraId="396607B7"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标准实施满2年，每年标准宣贯工作组采取网络调查、问卷调查、实地调研、召开座谈会或论证会、专家咨询等方式开展标准实施效果评估，并形成标准实施效果评估报告，为标准的复审修订做准备。</w:t>
      </w:r>
    </w:p>
    <w:p w14:paraId="1A42D020" w14:textId="77777777" w:rsidR="00D634F2" w:rsidRDefault="008854C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Pr>
          <w:rFonts w:ascii="Times New Roman" w:eastAsia="黑体" w:hAnsi="Times New Roman" w:cs="Times New Roman" w:hint="eastAsia"/>
          <w:color w:val="000000" w:themeColor="text1"/>
          <w:sz w:val="32"/>
          <w:szCs w:val="32"/>
        </w:rPr>
        <w:t>八、其他应当说明的事项</w:t>
      </w:r>
    </w:p>
    <w:p w14:paraId="10370A89"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_GB2312" w:eastAsia="仿宋_GB2312" w:hint="eastAsia"/>
          <w:color w:val="000000" w:themeColor="text1"/>
          <w:sz w:val="32"/>
          <w:szCs w:val="32"/>
        </w:rPr>
        <w:t>无。</w:t>
      </w:r>
    </w:p>
    <w:p w14:paraId="36D45EF5" w14:textId="77777777" w:rsidR="00D634F2" w:rsidRDefault="00D634F2">
      <w:pPr>
        <w:pStyle w:val="-1"/>
        <w:rPr>
          <w:rFonts w:ascii="仿宋_GB2312" w:eastAsia="仿宋_GB2312"/>
          <w:color w:val="000000" w:themeColor="text1"/>
          <w:sz w:val="28"/>
          <w:szCs w:val="28"/>
        </w:rPr>
      </w:pPr>
    </w:p>
    <w:p w14:paraId="0C4BBABE" w14:textId="77777777" w:rsidR="00D634F2" w:rsidRDefault="00D634F2">
      <w:pPr>
        <w:pStyle w:val="-1"/>
        <w:rPr>
          <w:rFonts w:ascii="仿宋_GB2312" w:eastAsia="仿宋_GB2312"/>
          <w:color w:val="000000" w:themeColor="text1"/>
          <w:sz w:val="28"/>
          <w:szCs w:val="28"/>
        </w:rPr>
      </w:pPr>
    </w:p>
    <w:p w14:paraId="5047C76A" w14:textId="4CFBED1A" w:rsidR="00D634F2" w:rsidRDefault="008854C0">
      <w:pPr>
        <w:spacing w:line="520" w:lineRule="exact"/>
        <w:ind w:firstLineChars="200" w:firstLine="640"/>
        <w:jc w:val="right"/>
        <w:rPr>
          <w:rFonts w:ascii="仿宋_GB2312" w:eastAsia="仿宋_GB2312"/>
          <w:color w:val="000000" w:themeColor="text1"/>
          <w:sz w:val="32"/>
          <w:szCs w:val="32"/>
        </w:rPr>
      </w:pPr>
      <w:r>
        <w:rPr>
          <w:rFonts w:ascii="仿宋_GB2312" w:eastAsia="仿宋_GB2312" w:hint="eastAsia"/>
          <w:color w:val="000000" w:themeColor="text1"/>
          <w:sz w:val="32"/>
          <w:szCs w:val="32"/>
        </w:rPr>
        <w:t>团体标准《</w:t>
      </w:r>
      <w:r w:rsidR="004B146F">
        <w:rPr>
          <w:rFonts w:ascii="仿宋_GB2312" w:eastAsia="仿宋_GB2312" w:hint="eastAsia"/>
          <w:color w:val="000000" w:themeColor="text1"/>
          <w:sz w:val="32"/>
          <w:szCs w:val="32"/>
        </w:rPr>
        <w:t>大豆耐荫性鉴定评价技术规程</w:t>
      </w:r>
      <w:r>
        <w:rPr>
          <w:rFonts w:ascii="仿宋_GB2312" w:eastAsia="仿宋_GB2312" w:hint="eastAsia"/>
          <w:color w:val="000000" w:themeColor="text1"/>
          <w:sz w:val="32"/>
          <w:szCs w:val="32"/>
        </w:rPr>
        <w:t>》</w:t>
      </w:r>
    </w:p>
    <w:p w14:paraId="6CBA16C8" w14:textId="77777777" w:rsidR="00D634F2" w:rsidRDefault="008854C0">
      <w:pPr>
        <w:spacing w:line="520" w:lineRule="exact"/>
        <w:ind w:firstLineChars="200" w:firstLine="640"/>
        <w:rPr>
          <w:rFonts w:ascii="仿宋_GB2312" w:eastAsia="仿宋_GB2312"/>
          <w:color w:val="000000" w:themeColor="text1"/>
          <w:sz w:val="32"/>
          <w:szCs w:val="32"/>
        </w:rPr>
      </w:pPr>
      <w:r>
        <w:rPr>
          <w:rFonts w:ascii="仿宋" w:eastAsia="仿宋" w:hAnsi="仿宋" w:hint="eastAsia"/>
          <w:color w:val="000000" w:themeColor="text1"/>
          <w:sz w:val="32"/>
          <w:szCs w:val="32"/>
        </w:rPr>
        <w:t xml:space="preserve">                             </w:t>
      </w:r>
      <w:r>
        <w:rPr>
          <w:rFonts w:ascii="仿宋_GB2312" w:eastAsia="仿宋_GB2312" w:hint="eastAsia"/>
          <w:color w:val="000000" w:themeColor="text1"/>
          <w:sz w:val="32"/>
          <w:szCs w:val="32"/>
        </w:rPr>
        <w:t>标准编制工作组</w:t>
      </w:r>
    </w:p>
    <w:p w14:paraId="3A08D85D" w14:textId="1541B7C8" w:rsidR="00D634F2" w:rsidRDefault="008854C0">
      <w:pPr>
        <w:spacing w:line="520" w:lineRule="exact"/>
        <w:ind w:firstLineChars="200" w:firstLine="640"/>
        <w:rPr>
          <w:rFonts w:ascii="仿宋_GB2312" w:eastAsia="仿宋_GB2312"/>
          <w:color w:val="000000" w:themeColor="text1"/>
          <w:sz w:val="32"/>
          <w:szCs w:val="32"/>
        </w:rPr>
      </w:pPr>
      <w:r>
        <w:rPr>
          <w:rFonts w:ascii="仿宋" w:eastAsia="仿宋" w:hAnsi="仿宋" w:hint="eastAsia"/>
          <w:color w:val="000000" w:themeColor="text1"/>
          <w:sz w:val="32"/>
          <w:szCs w:val="32"/>
        </w:rPr>
        <w:t xml:space="preserve">                             </w:t>
      </w:r>
      <w:r>
        <w:rPr>
          <w:rFonts w:ascii="仿宋_GB2312" w:eastAsia="仿宋_GB2312" w:hint="eastAsia"/>
          <w:color w:val="000000" w:themeColor="text1"/>
          <w:sz w:val="32"/>
          <w:szCs w:val="32"/>
        </w:rPr>
        <w:t>202</w:t>
      </w:r>
      <w:r>
        <w:rPr>
          <w:rFonts w:ascii="仿宋_GB2312" w:eastAsia="仿宋_GB2312"/>
          <w:color w:val="000000" w:themeColor="text1"/>
          <w:sz w:val="32"/>
          <w:szCs w:val="32"/>
        </w:rPr>
        <w:t>5</w:t>
      </w:r>
      <w:r>
        <w:rPr>
          <w:rFonts w:ascii="仿宋_GB2312" w:eastAsia="仿宋_GB2312" w:hint="eastAsia"/>
          <w:color w:val="000000" w:themeColor="text1"/>
          <w:sz w:val="32"/>
          <w:szCs w:val="32"/>
        </w:rPr>
        <w:t>年</w:t>
      </w:r>
      <w:r w:rsidR="004F6C5C">
        <w:rPr>
          <w:rFonts w:ascii="仿宋_GB2312" w:eastAsia="仿宋_GB2312"/>
          <w:color w:val="000000" w:themeColor="text1"/>
          <w:sz w:val="32"/>
          <w:szCs w:val="32"/>
        </w:rPr>
        <w:t>12</w:t>
      </w:r>
      <w:r>
        <w:rPr>
          <w:rFonts w:ascii="仿宋_GB2312" w:eastAsia="仿宋_GB2312" w:hint="eastAsia"/>
          <w:color w:val="000000" w:themeColor="text1"/>
          <w:sz w:val="32"/>
          <w:szCs w:val="32"/>
        </w:rPr>
        <w:t>月</w:t>
      </w:r>
      <w:r w:rsidR="004F6C5C">
        <w:rPr>
          <w:rFonts w:ascii="仿宋_GB2312" w:eastAsia="仿宋_GB2312"/>
          <w:color w:val="000000" w:themeColor="text1"/>
          <w:sz w:val="32"/>
          <w:szCs w:val="32"/>
        </w:rPr>
        <w:t>17</w:t>
      </w:r>
      <w:r>
        <w:rPr>
          <w:rFonts w:ascii="仿宋_GB2312" w:eastAsia="仿宋_GB2312" w:hint="eastAsia"/>
          <w:color w:val="000000" w:themeColor="text1"/>
          <w:sz w:val="32"/>
          <w:szCs w:val="32"/>
        </w:rPr>
        <w:t>日</w:t>
      </w:r>
    </w:p>
    <w:p w14:paraId="3443FBC0" w14:textId="77777777" w:rsidR="00D157EE" w:rsidRPr="00D157EE" w:rsidRDefault="00D157EE" w:rsidP="000C3F40">
      <w:pPr>
        <w:pStyle w:val="BodyText2"/>
        <w:jc w:val="center"/>
      </w:pPr>
    </w:p>
    <w:sectPr w:rsidR="00D157EE" w:rsidRPr="00D157EE">
      <w:footerReference w:type="default" r:id="rId16"/>
      <w:pgSz w:w="11906" w:h="16838"/>
      <w:pgMar w:top="1474" w:right="1474" w:bottom="1474" w:left="1474" w:header="851" w:footer="992" w:gutter="0"/>
      <w:cols w:space="72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38D9EB" w14:textId="77777777" w:rsidR="00D70E9E" w:rsidRDefault="00D70E9E">
      <w:r>
        <w:separator/>
      </w:r>
    </w:p>
  </w:endnote>
  <w:endnote w:type="continuationSeparator" w:id="0">
    <w:p w14:paraId="0EA7084F" w14:textId="77777777" w:rsidR="00D70E9E" w:rsidRDefault="00D70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379F2DAE-C46F-4395-B081-D0213CE2D1E3}"/>
    <w:embedBold r:id="rId2" w:subsetted="1" w:fontKey="{1F25AF6E-0DFB-43B1-8ECC-1C070B9E8020}"/>
  </w:font>
  <w:font w:name="Calibri">
    <w:panose1 w:val="020F0502020204030204"/>
    <w:charset w:val="00"/>
    <w:family w:val="swiss"/>
    <w:pitch w:val="variable"/>
    <w:sig w:usb0="E00002FF" w:usb1="4000ACFF" w:usb2="00000001" w:usb3="00000000" w:csb0="0000019F" w:csb1="00000000"/>
    <w:embedRegular r:id="rId3" w:subsetted="1" w:fontKey="{D52D459F-5084-47F2-AC14-2CBE59A5D9A2}"/>
  </w:font>
  <w:font w:name="Cambria">
    <w:panose1 w:val="02040503050406030204"/>
    <w:charset w:val="00"/>
    <w:family w:val="roman"/>
    <w:pitch w:val="variable"/>
    <w:sig w:usb0="E00002FF" w:usb1="400004FF" w:usb2="00000000" w:usb3="00000000" w:csb0="0000019F" w:csb1="00000000"/>
  </w:font>
  <w:font w:name="仿宋">
    <w:panose1 w:val="02010609060101010101"/>
    <w:charset w:val="86"/>
    <w:family w:val="modern"/>
    <w:pitch w:val="fixed"/>
    <w:sig w:usb0="800002BF" w:usb1="38CF7CFA" w:usb2="00000016" w:usb3="00000000" w:csb0="00040001" w:csb1="00000000"/>
    <w:embedRegular r:id="rId4" w:subsetted="1" w:fontKey="{06FFED6E-A937-49DD-9B20-05F3A66E1831}"/>
  </w:font>
  <w:font w:name="等线">
    <w:altName w:val="DengXian"/>
    <w:panose1 w:val="02010600030101010101"/>
    <w:charset w:val="86"/>
    <w:family w:val="auto"/>
    <w:pitch w:val="variable"/>
    <w:sig w:usb0="A00002BF" w:usb1="38CF7CFA" w:usb2="00000016" w:usb3="00000000" w:csb0="0004000F" w:csb1="00000000"/>
  </w:font>
  <w:font w:name="方正小标宋简体">
    <w:panose1 w:val="02010601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embedRegular r:id="rId5" w:subsetted="1" w:fontKey="{51285C96-10CE-49E3-93B8-B858BBC8C649}"/>
    <w:embedBold r:id="rId6" w:subsetted="1" w:fontKey="{3C908F5E-8882-45B4-8379-3E21BE8BAE17}"/>
  </w:font>
  <w:font w:name="楷体">
    <w:panose1 w:val="02010609060101010101"/>
    <w:charset w:val="86"/>
    <w:family w:val="modern"/>
    <w:pitch w:val="fixed"/>
    <w:sig w:usb0="800002BF" w:usb1="38CF7CFA" w:usb2="00000016" w:usb3="00000000" w:csb0="00040001" w:csb1="00000000"/>
    <w:embedBold r:id="rId7" w:subsetted="1" w:fontKey="{6688EE61-FE3E-4706-9296-43ADF4519233}"/>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765792" w14:textId="77777777" w:rsidR="00AC1923" w:rsidRDefault="00AC1923">
    <w:pPr>
      <w:pStyle w:val="af8"/>
      <w:ind w:firstLine="378"/>
    </w:pPr>
    <w:r>
      <w:rPr>
        <w:noProof/>
      </w:rPr>
      <mc:AlternateContent>
        <mc:Choice Requires="wps">
          <w:drawing>
            <wp:anchor distT="0" distB="0" distL="114300" distR="114300" simplePos="0" relativeHeight="251659264" behindDoc="0" locked="0" layoutInCell="1" allowOverlap="1" wp14:anchorId="26AD30D5" wp14:editId="5D371AB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2607E4CD" w14:textId="06839300" w:rsidR="00AC1923" w:rsidRDefault="00AC1923">
                          <w:pPr>
                            <w:pStyle w:val="af8"/>
                            <w:rPr>
                              <w:rFonts w:ascii="宋体" w:hAnsi="宋体"/>
                              <w:sz w:val="21"/>
                            </w:rPr>
                          </w:pPr>
                          <w:r>
                            <w:rPr>
                              <w:rFonts w:ascii="宋体" w:hAnsi="宋体" w:hint="eastAsia"/>
                              <w:sz w:val="21"/>
                            </w:rPr>
                            <w:fldChar w:fldCharType="begin"/>
                          </w:r>
                          <w:r>
                            <w:rPr>
                              <w:rFonts w:ascii="宋体" w:hAnsi="宋体" w:hint="eastAsia"/>
                              <w:sz w:val="21"/>
                            </w:rPr>
                            <w:instrText xml:space="preserve"> PAGE  \* MERGEFORMAT </w:instrText>
                          </w:r>
                          <w:r>
                            <w:rPr>
                              <w:rFonts w:ascii="宋体" w:hAnsi="宋体" w:hint="eastAsia"/>
                              <w:sz w:val="21"/>
                            </w:rPr>
                            <w:fldChar w:fldCharType="separate"/>
                          </w:r>
                          <w:r w:rsidR="00066CE7">
                            <w:rPr>
                              <w:rFonts w:ascii="宋体" w:hAnsi="宋体"/>
                              <w:noProof/>
                              <w:sz w:val="21"/>
                            </w:rPr>
                            <w:t>19</w:t>
                          </w:r>
                          <w:r>
                            <w:rPr>
                              <w:rFonts w:ascii="宋体" w:hAnsi="宋体" w:hint="eastAsia"/>
                              <w:sz w:val="21"/>
                            </w:rPr>
                            <w:fldChar w:fldCharType="end"/>
                          </w:r>
                        </w:p>
                      </w:txbxContent>
                    </wps:txbx>
                    <wps:bodyPr wrap="none" lIns="0" tIns="0" rIns="0" bIns="0" upright="1">
                      <a:spAutoFit/>
                    </wps:bodyPr>
                  </wps:wsp>
                </a:graphicData>
              </a:graphic>
            </wp:anchor>
          </w:drawing>
        </mc:Choice>
        <mc:Fallback>
          <w:pict>
            <v:shapetype w14:anchorId="26AD30D5" id="_x0000_t202" coordsize="21600,21600" o:spt="202" path="m,l,21600r21600,l21600,xe">
              <v:stroke joinstyle="miter"/>
              <v:path gradientshapeok="t" o:connecttype="rect"/>
            </v:shapetype>
            <v:shape id="文本框 1" o:spid="_x0000_s1026" type="#_x0000_t202" style="position:absolute;left:0;text-align:left;margin-left:0;margin-top:0;width:4.45pt;height:10.35pt;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" filled="f" stroked="f" strokeweight=".5pt">
              <v:textbox style="mso-fit-shape-to-text:t" inset="0,0,0,0">
                <w:txbxContent>
                  <w:p w14:paraId="2607E4CD" w14:textId="06839300" w:rsidR="00AC1923" w:rsidRDefault="00AC1923">
                    <w:pPr>
                      <w:pStyle w:val="af8"/>
                      <w:rPr>
                        <w:rFonts w:ascii="宋体" w:hAnsi="宋体"/>
                        <w:sz w:val="21"/>
                      </w:rPr>
                    </w:pPr>
                    <w:r>
                      <w:rPr>
                        <w:rFonts w:ascii="宋体" w:hAnsi="宋体" w:hint="eastAsia"/>
                        <w:sz w:val="21"/>
                      </w:rPr>
                      <w:fldChar w:fldCharType="begin"/>
                    </w:r>
                    <w:r>
                      <w:rPr>
                        <w:rFonts w:ascii="宋体" w:hAnsi="宋体" w:hint="eastAsia"/>
                        <w:sz w:val="21"/>
                      </w:rPr>
                      <w:instrText xml:space="preserve"> PAGE  \* MERGEFORMAT </w:instrText>
                    </w:r>
                    <w:r>
                      <w:rPr>
                        <w:rFonts w:ascii="宋体" w:hAnsi="宋体" w:hint="eastAsia"/>
                        <w:sz w:val="21"/>
                      </w:rPr>
                      <w:fldChar w:fldCharType="separate"/>
                    </w:r>
                    <w:r w:rsidR="00066CE7">
                      <w:rPr>
                        <w:rFonts w:ascii="宋体" w:hAnsi="宋体"/>
                        <w:noProof/>
                        <w:sz w:val="21"/>
                      </w:rPr>
                      <w:t>19</w:t>
                    </w:r>
                    <w:r>
                      <w:rPr>
                        <w:rFonts w:ascii="宋体" w:hAnsi="宋体" w:hint="eastAsia"/>
                        <w:sz w:val="21"/>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E72B04" w14:textId="77777777" w:rsidR="00D70E9E" w:rsidRDefault="00D70E9E">
      <w:r>
        <w:separator/>
      </w:r>
    </w:p>
  </w:footnote>
  <w:footnote w:type="continuationSeparator" w:id="0">
    <w:p w14:paraId="2270C6BE" w14:textId="77777777" w:rsidR="00D70E9E" w:rsidRDefault="00D70E9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CF5396"/>
    <w:multiLevelType w:val="singleLevel"/>
    <w:tmpl w:val="81CF5396"/>
    <w:lvl w:ilvl="0">
      <w:start w:val="1"/>
      <w:numFmt w:val="decimal"/>
      <w:suff w:val="nothing"/>
      <w:lvlText w:val="%1）"/>
      <w:lvlJc w:val="left"/>
    </w:lvl>
  </w:abstractNum>
  <w:abstractNum w:abstractNumId="1" w15:restartNumberingAfterBreak="0">
    <w:nsid w:val="8DDF8329"/>
    <w:multiLevelType w:val="multilevel"/>
    <w:tmpl w:val="8DDF8329"/>
    <w:lvl w:ilvl="0">
      <w:start w:val="1"/>
      <w:numFmt w:val="decimal"/>
      <w:pStyle w:val="a"/>
      <w:suff w:val="nothing"/>
      <w:lvlText w:val="表%1　"/>
      <w:legacy w:legacy="1" w:legacySpace="0" w:legacyIndent="0"/>
      <w:lvlJc w:val="left"/>
      <w:pPr>
        <w:ind w:left="0" w:firstLine="0"/>
      </w:pPr>
    </w:lvl>
    <w:lvl w:ilvl="1">
      <w:start w:val="1"/>
      <w:numFmt w:val="decimal"/>
      <w:lvlText w:val="%1.%2"/>
      <w:legacy w:legacy="1" w:legacySpace="0" w:legacyIndent="567"/>
      <w:lvlJc w:val="left"/>
      <w:pPr>
        <w:ind w:left="992" w:hanging="567"/>
      </w:pPr>
    </w:lvl>
    <w:lvl w:ilvl="2">
      <w:start w:val="1"/>
      <w:numFmt w:val="decimal"/>
      <w:lvlText w:val="%1.%2.%3"/>
      <w:legacy w:legacy="1" w:legacySpace="0" w:legacyIndent="567"/>
      <w:lvlJc w:val="left"/>
      <w:pPr>
        <w:ind w:left="1417" w:hanging="567"/>
      </w:pPr>
    </w:lvl>
    <w:lvl w:ilvl="3">
      <w:start w:val="1"/>
      <w:numFmt w:val="decimal"/>
      <w:lvlText w:val="%1.%2.%3.%4"/>
      <w:legacy w:legacy="1" w:legacySpace="0" w:legacyIndent="708"/>
      <w:lvlJc w:val="left"/>
      <w:pPr>
        <w:ind w:left="1984" w:hanging="708"/>
      </w:pPr>
    </w:lvl>
    <w:lvl w:ilvl="4">
      <w:start w:val="1"/>
      <w:numFmt w:val="decimal"/>
      <w:lvlText w:val="%1.%2.%3.%4.%5"/>
      <w:legacy w:legacy="1" w:legacySpace="0" w:legacyIndent="850"/>
      <w:lvlJc w:val="left"/>
      <w:pPr>
        <w:ind w:left="2551" w:hanging="850"/>
      </w:pPr>
    </w:lvl>
    <w:lvl w:ilvl="5">
      <w:start w:val="1"/>
      <w:numFmt w:val="decimal"/>
      <w:lvlText w:val="%1.%2.%3.%4.%5.%6"/>
      <w:legacy w:legacy="1" w:legacySpace="0" w:legacyIndent="1134"/>
      <w:lvlJc w:val="left"/>
      <w:pPr>
        <w:ind w:left="3260" w:hanging="1134"/>
      </w:pPr>
    </w:lvl>
    <w:lvl w:ilvl="6">
      <w:start w:val="1"/>
      <w:numFmt w:val="decimal"/>
      <w:lvlText w:val="%1.%2.%3.%4.%5.%6.%7"/>
      <w:legacy w:legacy="1" w:legacySpace="0" w:legacyIndent="1276"/>
      <w:lvlJc w:val="left"/>
      <w:pPr>
        <w:ind w:left="3827" w:hanging="1276"/>
      </w:pPr>
    </w:lvl>
    <w:lvl w:ilvl="7">
      <w:start w:val="1"/>
      <w:numFmt w:val="decimal"/>
      <w:lvlText w:val="%1.%2.%3.%4.%5.%6.%7.%8"/>
      <w:legacy w:legacy="1" w:legacySpace="0" w:legacyIndent="1418"/>
      <w:lvlJc w:val="left"/>
      <w:pPr>
        <w:ind w:left="4394" w:hanging="1418"/>
      </w:pPr>
    </w:lvl>
    <w:lvl w:ilvl="8">
      <w:start w:val="1"/>
      <w:numFmt w:val="decimal"/>
      <w:lvlText w:val="%1.%2.%3.%4.%5.%6.%7.%8.%9"/>
      <w:legacy w:legacy="1" w:legacySpace="0" w:legacyIndent="1700"/>
      <w:lvlJc w:val="left"/>
      <w:pPr>
        <w:ind w:left="5102" w:hanging="1700"/>
      </w:pPr>
    </w:lvl>
  </w:abstractNum>
  <w:abstractNum w:abstractNumId="2" w15:restartNumberingAfterBreak="0">
    <w:nsid w:val="A1098D4C"/>
    <w:multiLevelType w:val="singleLevel"/>
    <w:tmpl w:val="A1098D4C"/>
    <w:lvl w:ilvl="0">
      <w:start w:val="1"/>
      <w:numFmt w:val="decimal"/>
      <w:suff w:val="nothing"/>
      <w:lvlText w:val="%1、"/>
      <w:lvlJc w:val="left"/>
    </w:lvl>
  </w:abstractNum>
  <w:abstractNum w:abstractNumId="3" w15:restartNumberingAfterBreak="0">
    <w:nsid w:val="0BDC1670"/>
    <w:multiLevelType w:val="multilevel"/>
    <w:tmpl w:val="0BDC1670"/>
    <w:lvl w:ilvl="0">
      <w:start w:val="1"/>
      <w:numFmt w:val="decimal"/>
      <w:pStyle w:val="a0"/>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4" w15:restartNumberingAfterBreak="0">
    <w:nsid w:val="2C5917C3"/>
    <w:multiLevelType w:val="multilevel"/>
    <w:tmpl w:val="2C5917C3"/>
    <w:lvl w:ilvl="0">
      <w:start w:val="1"/>
      <w:numFmt w:val="none"/>
      <w:pStyle w:val="a1"/>
      <w:lvlText w:val="%1——"/>
      <w:lvlJc w:val="left"/>
      <w:pPr>
        <w:tabs>
          <w:tab w:val="left" w:pos="851"/>
        </w:tabs>
        <w:ind w:left="636" w:hanging="426"/>
      </w:pPr>
      <w:rPr>
        <w:rFonts w:ascii="宋体" w:eastAsia="宋体" w:hAnsi="Times New Roman" w:hint="eastAsia"/>
        <w:b w:val="0"/>
        <w:i w:val="0"/>
        <w:sz w:val="21"/>
      </w:rPr>
    </w:lvl>
    <w:lvl w:ilvl="1">
      <w:start w:val="1"/>
      <w:numFmt w:val="none"/>
      <w:lvlText w:val=""/>
      <w:lvlJc w:val="left"/>
      <w:pPr>
        <w:ind w:left="636" w:hanging="431"/>
      </w:pPr>
      <w:rPr>
        <w:rFonts w:ascii="Symbol" w:hAnsi="Symbol" w:hint="default"/>
        <w:sz w:val="21"/>
      </w:rPr>
    </w:lvl>
    <w:lvl w:ilvl="2">
      <w:start w:val="1"/>
      <w:numFmt w:val="bullet"/>
      <w:lvlText w:val=""/>
      <w:lvlJc w:val="left"/>
      <w:pPr>
        <w:ind w:left="636" w:hanging="426"/>
      </w:pPr>
      <w:rPr>
        <w:rFonts w:ascii="Wingdings" w:hAnsi="Wingdings" w:hint="default"/>
        <w:sz w:val="21"/>
      </w:rPr>
    </w:lvl>
    <w:lvl w:ilvl="3">
      <w:start w:val="1"/>
      <w:numFmt w:val="decimal"/>
      <w:lvlText w:val="%4."/>
      <w:lvlJc w:val="left"/>
      <w:pPr>
        <w:tabs>
          <w:tab w:val="left" w:pos="2071"/>
        </w:tabs>
        <w:ind w:left="1669" w:hanging="528"/>
      </w:pPr>
      <w:rPr>
        <w:rFonts w:hint="eastAsia"/>
      </w:rPr>
    </w:lvl>
    <w:lvl w:ilvl="4">
      <w:start w:val="1"/>
      <w:numFmt w:val="lowerLetter"/>
      <w:lvlText w:val="%5)"/>
      <w:lvlJc w:val="left"/>
      <w:pPr>
        <w:tabs>
          <w:tab w:val="left" w:pos="2383"/>
        </w:tabs>
        <w:ind w:left="1981" w:hanging="528"/>
      </w:pPr>
      <w:rPr>
        <w:rFonts w:hint="eastAsia"/>
      </w:rPr>
    </w:lvl>
    <w:lvl w:ilvl="5">
      <w:start w:val="1"/>
      <w:numFmt w:val="lowerRoman"/>
      <w:lvlText w:val="%6."/>
      <w:lvlJc w:val="right"/>
      <w:pPr>
        <w:tabs>
          <w:tab w:val="left" w:pos="2695"/>
        </w:tabs>
        <w:ind w:left="2293" w:hanging="528"/>
      </w:pPr>
      <w:rPr>
        <w:rFonts w:hint="eastAsia"/>
      </w:rPr>
    </w:lvl>
    <w:lvl w:ilvl="6">
      <w:start w:val="1"/>
      <w:numFmt w:val="decimal"/>
      <w:lvlText w:val="%7."/>
      <w:lvlJc w:val="left"/>
      <w:pPr>
        <w:tabs>
          <w:tab w:val="left" w:pos="3007"/>
        </w:tabs>
        <w:ind w:left="2605" w:hanging="528"/>
      </w:pPr>
      <w:rPr>
        <w:rFonts w:hint="eastAsia"/>
      </w:rPr>
    </w:lvl>
    <w:lvl w:ilvl="7">
      <w:start w:val="1"/>
      <w:numFmt w:val="lowerLetter"/>
      <w:lvlText w:val="%8)"/>
      <w:lvlJc w:val="left"/>
      <w:pPr>
        <w:tabs>
          <w:tab w:val="left" w:pos="3319"/>
        </w:tabs>
        <w:ind w:left="2917" w:hanging="528"/>
      </w:pPr>
      <w:rPr>
        <w:rFonts w:hint="eastAsia"/>
      </w:rPr>
    </w:lvl>
    <w:lvl w:ilvl="8">
      <w:start w:val="1"/>
      <w:numFmt w:val="lowerRoman"/>
      <w:lvlText w:val="%9."/>
      <w:lvlJc w:val="right"/>
      <w:pPr>
        <w:tabs>
          <w:tab w:val="left" w:pos="3631"/>
        </w:tabs>
        <w:ind w:left="3229" w:hanging="528"/>
      </w:pPr>
      <w:rPr>
        <w:rFonts w:hint="eastAsia"/>
      </w:rPr>
    </w:lvl>
  </w:abstractNum>
  <w:abstractNum w:abstractNumId="5" w15:restartNumberingAfterBreak="0">
    <w:nsid w:val="44C50F90"/>
    <w:multiLevelType w:val="multilevel"/>
    <w:tmpl w:val="44C50F90"/>
    <w:lvl w:ilvl="0">
      <w:start w:val="1"/>
      <w:numFmt w:val="lowerLetter"/>
      <w:pStyle w:val="a2"/>
      <w:lvlText w:val="%1)"/>
      <w:lvlJc w:val="left"/>
      <w:pPr>
        <w:tabs>
          <w:tab w:val="left" w:pos="851"/>
        </w:tabs>
        <w:ind w:left="851" w:hanging="426"/>
      </w:pPr>
      <w:rPr>
        <w:rFonts w:ascii="宋体" w:eastAsia="宋体" w:hAnsi="Times New Roman" w:hint="eastAsia"/>
        <w:sz w:val="21"/>
      </w:rPr>
    </w:lvl>
    <w:lvl w:ilvl="1">
      <w:start w:val="1"/>
      <w:numFmt w:val="decimal"/>
      <w:pStyle w:val="a3"/>
      <w:lvlText w:val="%2)"/>
      <w:lvlJc w:val="left"/>
      <w:pPr>
        <w:tabs>
          <w:tab w:val="left" w:pos="1276"/>
        </w:tabs>
        <w:ind w:left="1276" w:hanging="425"/>
      </w:pPr>
      <w:rPr>
        <w:rFonts w:ascii="宋体" w:eastAsia="宋体" w:hAnsi="Times New Roman" w:hint="eastAsia"/>
        <w:sz w:val="21"/>
      </w:rPr>
    </w:lvl>
    <w:lvl w:ilvl="2">
      <w:start w:val="1"/>
      <w:numFmt w:val="decimal"/>
      <w:pStyle w:val="a4"/>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6" w15:restartNumberingAfterBreak="0">
    <w:nsid w:val="5A9B6960"/>
    <w:multiLevelType w:val="multilevel"/>
    <w:tmpl w:val="5A9B6960"/>
    <w:lvl w:ilvl="0">
      <w:start w:val="1"/>
      <w:numFmt w:val="none"/>
      <w:pStyle w:val="a5"/>
      <w:suff w:val="nothing"/>
      <w:lvlText w:val="%1"/>
      <w:legacy w:legacy="1" w:legacySpace="0" w:legacyIndent="0"/>
      <w:lvlJc w:val="left"/>
      <w:pPr>
        <w:ind w:left="0" w:firstLine="0"/>
      </w:pPr>
      <w:rPr>
        <w:rFonts w:hint="eastAsia"/>
      </w:rPr>
    </w:lvl>
    <w:lvl w:ilvl="1">
      <w:start w:val="1"/>
      <w:numFmt w:val="decimal"/>
      <w:pStyle w:val="a6"/>
      <w:suff w:val="nothing"/>
      <w:lvlText w:val="%1%2　"/>
      <w:legacy w:legacy="1" w:legacySpace="0" w:legacyIndent="0"/>
      <w:lvlJc w:val="left"/>
      <w:pPr>
        <w:ind w:left="0" w:firstLine="0"/>
      </w:pPr>
      <w:rPr>
        <w:rFonts w:ascii="黑体" w:eastAsia="黑体" w:hAnsi="黑体" w:hint="eastAsia"/>
        <w:b w:val="0"/>
        <w:i w:val="0"/>
        <w:sz w:val="21"/>
      </w:rPr>
    </w:lvl>
    <w:lvl w:ilvl="2">
      <w:start w:val="1"/>
      <w:numFmt w:val="decimal"/>
      <w:pStyle w:val="a7"/>
      <w:suff w:val="nothing"/>
      <w:lvlText w:val="%1%2.%3　"/>
      <w:legacy w:legacy="1" w:legacySpace="0" w:legacyIndent="0"/>
      <w:lvlJc w:val="left"/>
      <w:pPr>
        <w:ind w:left="0"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egacy w:legacy="1" w:legacySpace="0" w:legacyIndent="0"/>
      <w:lvlJc w:val="left"/>
      <w:pPr>
        <w:ind w:left="0" w:firstLine="0"/>
      </w:pPr>
      <w:rPr>
        <w:rFonts w:ascii="黑体" w:eastAsia="黑体" w:hAnsi="黑体" w:hint="eastAsia"/>
        <w:b w:val="0"/>
        <w:i w:val="0"/>
        <w:sz w:val="21"/>
      </w:rPr>
    </w:lvl>
    <w:lvl w:ilvl="4">
      <w:start w:val="1"/>
      <w:numFmt w:val="decimal"/>
      <w:pStyle w:val="a8"/>
      <w:suff w:val="nothing"/>
      <w:lvlText w:val="%1%2.%3.%4.%5　"/>
      <w:legacy w:legacy="1" w:legacySpace="0" w:legacyIndent="0"/>
      <w:lvlJc w:val="left"/>
      <w:pPr>
        <w:ind w:left="0" w:firstLine="0"/>
      </w:pPr>
      <w:rPr>
        <w:rFonts w:ascii="黑体" w:eastAsia="黑体" w:hAnsi="黑体" w:hint="eastAsia"/>
        <w:b w:val="0"/>
        <w:i w:val="0"/>
        <w:sz w:val="21"/>
      </w:rPr>
    </w:lvl>
    <w:lvl w:ilvl="5">
      <w:start w:val="1"/>
      <w:numFmt w:val="decimal"/>
      <w:pStyle w:val="a9"/>
      <w:suff w:val="nothing"/>
      <w:lvlText w:val="%1%2.%3.%4.%5.%6　"/>
      <w:legacy w:legacy="1" w:legacySpace="0" w:legacyIndent="0"/>
      <w:lvlJc w:val="left"/>
      <w:pPr>
        <w:ind w:left="0" w:firstLine="0"/>
      </w:pPr>
      <w:rPr>
        <w:rFonts w:ascii="黑体" w:eastAsia="黑体" w:hAnsi="黑体" w:hint="eastAsia"/>
        <w:b w:val="0"/>
        <w:i w:val="0"/>
        <w:sz w:val="21"/>
      </w:rPr>
    </w:lvl>
    <w:lvl w:ilvl="6">
      <w:start w:val="1"/>
      <w:numFmt w:val="decimal"/>
      <w:pStyle w:val="aa"/>
      <w:suff w:val="nothing"/>
      <w:lvlText w:val="%1%2.%3.%4.%5.%6.%7　"/>
      <w:legacy w:legacy="1" w:legacySpace="0" w:legacyIndent="0"/>
      <w:lvlJc w:val="left"/>
      <w:pPr>
        <w:ind w:left="0" w:firstLine="0"/>
      </w:pPr>
      <w:rPr>
        <w:rFonts w:ascii="黑体" w:eastAsia="黑体" w:hAnsi="黑体" w:hint="eastAsia"/>
        <w:b w:val="0"/>
        <w:i w:val="0"/>
        <w:sz w:val="21"/>
      </w:rPr>
    </w:lvl>
    <w:lvl w:ilvl="7">
      <w:start w:val="1"/>
      <w:numFmt w:val="decimal"/>
      <w:lvlText w:val="%1.%2.%3.%4.%5.%6.%7.%8"/>
      <w:legacy w:legacy="1" w:legacySpace="0" w:legacyIndent="1418"/>
      <w:lvlJc w:val="left"/>
      <w:pPr>
        <w:ind w:left="3969" w:hanging="1418"/>
      </w:pPr>
      <w:rPr>
        <w:rFonts w:hint="eastAsia"/>
      </w:rPr>
    </w:lvl>
    <w:lvl w:ilvl="8">
      <w:start w:val="1"/>
      <w:numFmt w:val="decimal"/>
      <w:lvlText w:val="%1.%2.%3.%4.%5.%6.%7.%8.%9"/>
      <w:legacy w:legacy="1" w:legacySpace="0" w:legacyIndent="1700"/>
      <w:lvlJc w:val="left"/>
      <w:pPr>
        <w:ind w:left="4677" w:hanging="1700"/>
      </w:pPr>
      <w:rPr>
        <w:rFonts w:hint="eastAsia"/>
      </w:rPr>
    </w:lvl>
  </w:abstractNum>
  <w:abstractNum w:abstractNumId="7" w15:restartNumberingAfterBreak="0">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b"/>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num w:numId="1">
    <w:abstractNumId w:val="6"/>
  </w:num>
  <w:num w:numId="2">
    <w:abstractNumId w:val="1"/>
  </w:num>
  <w:num w:numId="3">
    <w:abstractNumId w:val="5"/>
  </w:num>
  <w:num w:numId="4">
    <w:abstractNumId w:val="4"/>
  </w:num>
  <w:num w:numId="5">
    <w:abstractNumId w:val="7"/>
  </w:num>
  <w:num w:numId="6">
    <w:abstractNumId w:val="3"/>
  </w:num>
  <w:num w:numId="7">
    <w:abstractNumId w:val="2"/>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TrueTypeFonts/>
  <w:saveSubset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cwMDc0ZjI4NzNlMjMwZWM0OGFmYTgxZDU4M2Y4NDAifQ=="/>
  </w:docVars>
  <w:rsids>
    <w:rsidRoot w:val="000D75AA"/>
    <w:rsid w:val="D9BF3AD6"/>
    <w:rsid w:val="E7FFD9D9"/>
    <w:rsid w:val="000026B4"/>
    <w:rsid w:val="000068A2"/>
    <w:rsid w:val="00014983"/>
    <w:rsid w:val="00014F92"/>
    <w:rsid w:val="000171F6"/>
    <w:rsid w:val="000178C8"/>
    <w:rsid w:val="00021AEF"/>
    <w:rsid w:val="00024C52"/>
    <w:rsid w:val="00032FD8"/>
    <w:rsid w:val="0004185E"/>
    <w:rsid w:val="00041CA7"/>
    <w:rsid w:val="000424C0"/>
    <w:rsid w:val="000513F3"/>
    <w:rsid w:val="00051A80"/>
    <w:rsid w:val="00051C74"/>
    <w:rsid w:val="00051F5E"/>
    <w:rsid w:val="000540AB"/>
    <w:rsid w:val="00055442"/>
    <w:rsid w:val="00061BDC"/>
    <w:rsid w:val="0006459C"/>
    <w:rsid w:val="00066CE7"/>
    <w:rsid w:val="000671D8"/>
    <w:rsid w:val="000709A1"/>
    <w:rsid w:val="00071CAA"/>
    <w:rsid w:val="00072103"/>
    <w:rsid w:val="000743B4"/>
    <w:rsid w:val="00075653"/>
    <w:rsid w:val="00076330"/>
    <w:rsid w:val="00082613"/>
    <w:rsid w:val="00092E1F"/>
    <w:rsid w:val="00094B6B"/>
    <w:rsid w:val="000968C6"/>
    <w:rsid w:val="000969BE"/>
    <w:rsid w:val="00097E01"/>
    <w:rsid w:val="000A2616"/>
    <w:rsid w:val="000A77F5"/>
    <w:rsid w:val="000B2F3C"/>
    <w:rsid w:val="000B3320"/>
    <w:rsid w:val="000B3E65"/>
    <w:rsid w:val="000B4242"/>
    <w:rsid w:val="000B6E76"/>
    <w:rsid w:val="000C3C30"/>
    <w:rsid w:val="000C3F40"/>
    <w:rsid w:val="000C517B"/>
    <w:rsid w:val="000C6800"/>
    <w:rsid w:val="000C7685"/>
    <w:rsid w:val="000D1FCA"/>
    <w:rsid w:val="000D211A"/>
    <w:rsid w:val="000D2BE1"/>
    <w:rsid w:val="000D35F1"/>
    <w:rsid w:val="000D47AC"/>
    <w:rsid w:val="000D688C"/>
    <w:rsid w:val="000D6AA8"/>
    <w:rsid w:val="000D75AA"/>
    <w:rsid w:val="000E0C0E"/>
    <w:rsid w:val="000E53EA"/>
    <w:rsid w:val="000F03C9"/>
    <w:rsid w:val="000F21F0"/>
    <w:rsid w:val="000F2317"/>
    <w:rsid w:val="000F2861"/>
    <w:rsid w:val="000F7AED"/>
    <w:rsid w:val="00101040"/>
    <w:rsid w:val="00110AC2"/>
    <w:rsid w:val="001121F0"/>
    <w:rsid w:val="001133E6"/>
    <w:rsid w:val="001133EF"/>
    <w:rsid w:val="001143BC"/>
    <w:rsid w:val="00116CEA"/>
    <w:rsid w:val="0012345E"/>
    <w:rsid w:val="00132D8B"/>
    <w:rsid w:val="001334A1"/>
    <w:rsid w:val="00133F3E"/>
    <w:rsid w:val="0013596D"/>
    <w:rsid w:val="00141D5D"/>
    <w:rsid w:val="00141D9D"/>
    <w:rsid w:val="001437B3"/>
    <w:rsid w:val="00152CB3"/>
    <w:rsid w:val="001530FB"/>
    <w:rsid w:val="001548F8"/>
    <w:rsid w:val="001655CC"/>
    <w:rsid w:val="0018012C"/>
    <w:rsid w:val="001821C9"/>
    <w:rsid w:val="00183018"/>
    <w:rsid w:val="00184C14"/>
    <w:rsid w:val="00190E01"/>
    <w:rsid w:val="00192A37"/>
    <w:rsid w:val="001968C3"/>
    <w:rsid w:val="001A0550"/>
    <w:rsid w:val="001A3825"/>
    <w:rsid w:val="001A7570"/>
    <w:rsid w:val="001B0030"/>
    <w:rsid w:val="001B3580"/>
    <w:rsid w:val="001B6B04"/>
    <w:rsid w:val="001C21D4"/>
    <w:rsid w:val="001C4C8F"/>
    <w:rsid w:val="001C7DE8"/>
    <w:rsid w:val="001D03FF"/>
    <w:rsid w:val="001D0584"/>
    <w:rsid w:val="001D3156"/>
    <w:rsid w:val="001D4971"/>
    <w:rsid w:val="001E1206"/>
    <w:rsid w:val="001E130D"/>
    <w:rsid w:val="001E1CA6"/>
    <w:rsid w:val="001E29C4"/>
    <w:rsid w:val="001E2D73"/>
    <w:rsid w:val="001F251A"/>
    <w:rsid w:val="001F2A8F"/>
    <w:rsid w:val="001F4D35"/>
    <w:rsid w:val="001F5F5D"/>
    <w:rsid w:val="00200252"/>
    <w:rsid w:val="0020127F"/>
    <w:rsid w:val="00204829"/>
    <w:rsid w:val="00205352"/>
    <w:rsid w:val="00205D69"/>
    <w:rsid w:val="00210FD3"/>
    <w:rsid w:val="00212227"/>
    <w:rsid w:val="0021503F"/>
    <w:rsid w:val="00215478"/>
    <w:rsid w:val="002209F0"/>
    <w:rsid w:val="002210B4"/>
    <w:rsid w:val="00221DEA"/>
    <w:rsid w:val="0022236C"/>
    <w:rsid w:val="0022377B"/>
    <w:rsid w:val="002251A3"/>
    <w:rsid w:val="00226607"/>
    <w:rsid w:val="002324B6"/>
    <w:rsid w:val="00234F7D"/>
    <w:rsid w:val="00235F58"/>
    <w:rsid w:val="00236909"/>
    <w:rsid w:val="00236EB4"/>
    <w:rsid w:val="00237A0A"/>
    <w:rsid w:val="00241F8A"/>
    <w:rsid w:val="00242A75"/>
    <w:rsid w:val="00242E52"/>
    <w:rsid w:val="0024606D"/>
    <w:rsid w:val="00246E41"/>
    <w:rsid w:val="00251C09"/>
    <w:rsid w:val="0025373A"/>
    <w:rsid w:val="00253845"/>
    <w:rsid w:val="002546EF"/>
    <w:rsid w:val="00262001"/>
    <w:rsid w:val="00263E80"/>
    <w:rsid w:val="002679F0"/>
    <w:rsid w:val="00271E05"/>
    <w:rsid w:val="00280BDB"/>
    <w:rsid w:val="00281F39"/>
    <w:rsid w:val="00284B7F"/>
    <w:rsid w:val="0028500C"/>
    <w:rsid w:val="0028575C"/>
    <w:rsid w:val="002879F6"/>
    <w:rsid w:val="00291CD8"/>
    <w:rsid w:val="002920DE"/>
    <w:rsid w:val="00292F73"/>
    <w:rsid w:val="0029554A"/>
    <w:rsid w:val="00297734"/>
    <w:rsid w:val="002A2DDC"/>
    <w:rsid w:val="002A3479"/>
    <w:rsid w:val="002A3683"/>
    <w:rsid w:val="002B7B10"/>
    <w:rsid w:val="002B7C92"/>
    <w:rsid w:val="002C0F07"/>
    <w:rsid w:val="002C176B"/>
    <w:rsid w:val="002C3627"/>
    <w:rsid w:val="002D005F"/>
    <w:rsid w:val="002D0B78"/>
    <w:rsid w:val="002D2273"/>
    <w:rsid w:val="002D4342"/>
    <w:rsid w:val="002D5597"/>
    <w:rsid w:val="002E1B63"/>
    <w:rsid w:val="002E357A"/>
    <w:rsid w:val="002E3B58"/>
    <w:rsid w:val="002E4234"/>
    <w:rsid w:val="002E5273"/>
    <w:rsid w:val="002F03C6"/>
    <w:rsid w:val="002F0D8E"/>
    <w:rsid w:val="002F4C45"/>
    <w:rsid w:val="002F5C0C"/>
    <w:rsid w:val="00300FDB"/>
    <w:rsid w:val="00302739"/>
    <w:rsid w:val="00302A1F"/>
    <w:rsid w:val="00310A68"/>
    <w:rsid w:val="0031223D"/>
    <w:rsid w:val="00312804"/>
    <w:rsid w:val="00313922"/>
    <w:rsid w:val="00315D1F"/>
    <w:rsid w:val="003160CF"/>
    <w:rsid w:val="00316571"/>
    <w:rsid w:val="00317091"/>
    <w:rsid w:val="00317530"/>
    <w:rsid w:val="00320CB4"/>
    <w:rsid w:val="00321E92"/>
    <w:rsid w:val="00322535"/>
    <w:rsid w:val="003259AF"/>
    <w:rsid w:val="00325EB1"/>
    <w:rsid w:val="00325F9F"/>
    <w:rsid w:val="0032620D"/>
    <w:rsid w:val="0033062D"/>
    <w:rsid w:val="003306DD"/>
    <w:rsid w:val="00330A4E"/>
    <w:rsid w:val="00332242"/>
    <w:rsid w:val="003329C7"/>
    <w:rsid w:val="003332BA"/>
    <w:rsid w:val="003348AA"/>
    <w:rsid w:val="00340D9B"/>
    <w:rsid w:val="00340FDE"/>
    <w:rsid w:val="003460F3"/>
    <w:rsid w:val="00346534"/>
    <w:rsid w:val="003479E3"/>
    <w:rsid w:val="003517E7"/>
    <w:rsid w:val="00351C4B"/>
    <w:rsid w:val="00357BDF"/>
    <w:rsid w:val="00360A67"/>
    <w:rsid w:val="00360BAF"/>
    <w:rsid w:val="00361596"/>
    <w:rsid w:val="00362C01"/>
    <w:rsid w:val="00367D5E"/>
    <w:rsid w:val="003713E8"/>
    <w:rsid w:val="00371B5F"/>
    <w:rsid w:val="00372E66"/>
    <w:rsid w:val="00373160"/>
    <w:rsid w:val="00375933"/>
    <w:rsid w:val="0037633C"/>
    <w:rsid w:val="00382E35"/>
    <w:rsid w:val="00384168"/>
    <w:rsid w:val="003872E4"/>
    <w:rsid w:val="00390AD8"/>
    <w:rsid w:val="00390C14"/>
    <w:rsid w:val="00391F54"/>
    <w:rsid w:val="00393447"/>
    <w:rsid w:val="00396F2C"/>
    <w:rsid w:val="003A3F27"/>
    <w:rsid w:val="003A49FF"/>
    <w:rsid w:val="003A5862"/>
    <w:rsid w:val="003A694A"/>
    <w:rsid w:val="003B0042"/>
    <w:rsid w:val="003B45A7"/>
    <w:rsid w:val="003B4F42"/>
    <w:rsid w:val="003B4FCF"/>
    <w:rsid w:val="003B6088"/>
    <w:rsid w:val="003C0E61"/>
    <w:rsid w:val="003D3CB2"/>
    <w:rsid w:val="003D485E"/>
    <w:rsid w:val="003D5559"/>
    <w:rsid w:val="003D5741"/>
    <w:rsid w:val="003D7E9E"/>
    <w:rsid w:val="003E080C"/>
    <w:rsid w:val="003E2B4C"/>
    <w:rsid w:val="00400A69"/>
    <w:rsid w:val="00400B2B"/>
    <w:rsid w:val="00400F75"/>
    <w:rsid w:val="004012D1"/>
    <w:rsid w:val="00405301"/>
    <w:rsid w:val="00406CA3"/>
    <w:rsid w:val="00411EFB"/>
    <w:rsid w:val="0041392D"/>
    <w:rsid w:val="00417593"/>
    <w:rsid w:val="00422CC8"/>
    <w:rsid w:val="00424FB3"/>
    <w:rsid w:val="00426402"/>
    <w:rsid w:val="0042686B"/>
    <w:rsid w:val="00426DC5"/>
    <w:rsid w:val="00430411"/>
    <w:rsid w:val="004314F4"/>
    <w:rsid w:val="00432DC4"/>
    <w:rsid w:val="004373E9"/>
    <w:rsid w:val="00440265"/>
    <w:rsid w:val="0044036C"/>
    <w:rsid w:val="0044048B"/>
    <w:rsid w:val="0044065E"/>
    <w:rsid w:val="00444679"/>
    <w:rsid w:val="004458BB"/>
    <w:rsid w:val="0045095B"/>
    <w:rsid w:val="00455701"/>
    <w:rsid w:val="00460660"/>
    <w:rsid w:val="00460A36"/>
    <w:rsid w:val="004612C5"/>
    <w:rsid w:val="00461AA3"/>
    <w:rsid w:val="00462FF9"/>
    <w:rsid w:val="00471CEC"/>
    <w:rsid w:val="00473D8F"/>
    <w:rsid w:val="00474293"/>
    <w:rsid w:val="0047786D"/>
    <w:rsid w:val="004805DB"/>
    <w:rsid w:val="00480B2B"/>
    <w:rsid w:val="0048511D"/>
    <w:rsid w:val="00495AFE"/>
    <w:rsid w:val="00496185"/>
    <w:rsid w:val="00496EA4"/>
    <w:rsid w:val="004A18D9"/>
    <w:rsid w:val="004A4C72"/>
    <w:rsid w:val="004A75FF"/>
    <w:rsid w:val="004B0877"/>
    <w:rsid w:val="004B146F"/>
    <w:rsid w:val="004B4D68"/>
    <w:rsid w:val="004C181C"/>
    <w:rsid w:val="004C445A"/>
    <w:rsid w:val="004C4477"/>
    <w:rsid w:val="004C4F1D"/>
    <w:rsid w:val="004C6673"/>
    <w:rsid w:val="004C7096"/>
    <w:rsid w:val="004C78DD"/>
    <w:rsid w:val="004C78FD"/>
    <w:rsid w:val="004C7CD6"/>
    <w:rsid w:val="004D3C4E"/>
    <w:rsid w:val="004D70EE"/>
    <w:rsid w:val="004D7C66"/>
    <w:rsid w:val="004E0167"/>
    <w:rsid w:val="004E152E"/>
    <w:rsid w:val="004E2983"/>
    <w:rsid w:val="004E5371"/>
    <w:rsid w:val="004E6459"/>
    <w:rsid w:val="004E77D0"/>
    <w:rsid w:val="004F29B4"/>
    <w:rsid w:val="004F3228"/>
    <w:rsid w:val="004F61ED"/>
    <w:rsid w:val="004F6C5C"/>
    <w:rsid w:val="004F6DB3"/>
    <w:rsid w:val="005020DE"/>
    <w:rsid w:val="005051BE"/>
    <w:rsid w:val="00506D43"/>
    <w:rsid w:val="00507297"/>
    <w:rsid w:val="00510DCF"/>
    <w:rsid w:val="00510F10"/>
    <w:rsid w:val="00511151"/>
    <w:rsid w:val="005124A3"/>
    <w:rsid w:val="00512A66"/>
    <w:rsid w:val="00515B82"/>
    <w:rsid w:val="0051608A"/>
    <w:rsid w:val="0051755E"/>
    <w:rsid w:val="005208D0"/>
    <w:rsid w:val="00524029"/>
    <w:rsid w:val="00524E15"/>
    <w:rsid w:val="00527354"/>
    <w:rsid w:val="00527E33"/>
    <w:rsid w:val="00533B2A"/>
    <w:rsid w:val="0053400A"/>
    <w:rsid w:val="0053501E"/>
    <w:rsid w:val="0053635F"/>
    <w:rsid w:val="00536C3C"/>
    <w:rsid w:val="00537853"/>
    <w:rsid w:val="00537E5F"/>
    <w:rsid w:val="00540C2F"/>
    <w:rsid w:val="00540ED5"/>
    <w:rsid w:val="0054119B"/>
    <w:rsid w:val="00542F30"/>
    <w:rsid w:val="00544407"/>
    <w:rsid w:val="0054736C"/>
    <w:rsid w:val="00547941"/>
    <w:rsid w:val="00547AAF"/>
    <w:rsid w:val="005505FD"/>
    <w:rsid w:val="0055431F"/>
    <w:rsid w:val="00554B7D"/>
    <w:rsid w:val="00564A0C"/>
    <w:rsid w:val="00564F91"/>
    <w:rsid w:val="00565DC9"/>
    <w:rsid w:val="0056706B"/>
    <w:rsid w:val="00571433"/>
    <w:rsid w:val="00571BCB"/>
    <w:rsid w:val="005734DC"/>
    <w:rsid w:val="00573DE7"/>
    <w:rsid w:val="00575956"/>
    <w:rsid w:val="00575C51"/>
    <w:rsid w:val="005777D1"/>
    <w:rsid w:val="00583E03"/>
    <w:rsid w:val="005873FB"/>
    <w:rsid w:val="005910DC"/>
    <w:rsid w:val="00594F6B"/>
    <w:rsid w:val="0059544C"/>
    <w:rsid w:val="00597C52"/>
    <w:rsid w:val="005A067E"/>
    <w:rsid w:val="005A7C01"/>
    <w:rsid w:val="005B304B"/>
    <w:rsid w:val="005B6868"/>
    <w:rsid w:val="005C07C8"/>
    <w:rsid w:val="005C2C71"/>
    <w:rsid w:val="005C5910"/>
    <w:rsid w:val="005C5B2E"/>
    <w:rsid w:val="005C68B4"/>
    <w:rsid w:val="005C6BB1"/>
    <w:rsid w:val="005D2ABC"/>
    <w:rsid w:val="005D3003"/>
    <w:rsid w:val="005D616B"/>
    <w:rsid w:val="005D6C2D"/>
    <w:rsid w:val="005E3C13"/>
    <w:rsid w:val="005E47AA"/>
    <w:rsid w:val="005E5F8F"/>
    <w:rsid w:val="005E7B33"/>
    <w:rsid w:val="005F09D2"/>
    <w:rsid w:val="005F1668"/>
    <w:rsid w:val="005F2769"/>
    <w:rsid w:val="005F2AD0"/>
    <w:rsid w:val="005F2FD2"/>
    <w:rsid w:val="005F4961"/>
    <w:rsid w:val="005F529E"/>
    <w:rsid w:val="0060186C"/>
    <w:rsid w:val="00605A2E"/>
    <w:rsid w:val="0060769D"/>
    <w:rsid w:val="00611B2F"/>
    <w:rsid w:val="006121F4"/>
    <w:rsid w:val="00617539"/>
    <w:rsid w:val="00617590"/>
    <w:rsid w:val="00617B08"/>
    <w:rsid w:val="006260BB"/>
    <w:rsid w:val="00627AB4"/>
    <w:rsid w:val="00631D1E"/>
    <w:rsid w:val="006335ED"/>
    <w:rsid w:val="00633E53"/>
    <w:rsid w:val="006342DB"/>
    <w:rsid w:val="006343EC"/>
    <w:rsid w:val="0063539D"/>
    <w:rsid w:val="006371EA"/>
    <w:rsid w:val="00637F53"/>
    <w:rsid w:val="006477EC"/>
    <w:rsid w:val="00650F3D"/>
    <w:rsid w:val="00650FD7"/>
    <w:rsid w:val="006511A8"/>
    <w:rsid w:val="00653CD9"/>
    <w:rsid w:val="00654C80"/>
    <w:rsid w:val="00660ECB"/>
    <w:rsid w:val="00661F06"/>
    <w:rsid w:val="00664AC8"/>
    <w:rsid w:val="0066650C"/>
    <w:rsid w:val="0066728E"/>
    <w:rsid w:val="0067031D"/>
    <w:rsid w:val="0067378F"/>
    <w:rsid w:val="0067489E"/>
    <w:rsid w:val="006773E1"/>
    <w:rsid w:val="0068386A"/>
    <w:rsid w:val="00685738"/>
    <w:rsid w:val="00691000"/>
    <w:rsid w:val="00692A20"/>
    <w:rsid w:val="00695D34"/>
    <w:rsid w:val="006A0FCD"/>
    <w:rsid w:val="006A4226"/>
    <w:rsid w:val="006A4FC1"/>
    <w:rsid w:val="006A5636"/>
    <w:rsid w:val="006A6711"/>
    <w:rsid w:val="006A6CB4"/>
    <w:rsid w:val="006B0BA0"/>
    <w:rsid w:val="006B12C0"/>
    <w:rsid w:val="006B71A8"/>
    <w:rsid w:val="006C0607"/>
    <w:rsid w:val="006C3771"/>
    <w:rsid w:val="006C3BB0"/>
    <w:rsid w:val="006C5213"/>
    <w:rsid w:val="006C5D9F"/>
    <w:rsid w:val="006D0AF0"/>
    <w:rsid w:val="006D35DC"/>
    <w:rsid w:val="006D4F09"/>
    <w:rsid w:val="006E1443"/>
    <w:rsid w:val="006E2C64"/>
    <w:rsid w:val="006E4C07"/>
    <w:rsid w:val="006E6BFD"/>
    <w:rsid w:val="006E746B"/>
    <w:rsid w:val="006F3E35"/>
    <w:rsid w:val="006F55FA"/>
    <w:rsid w:val="007016D6"/>
    <w:rsid w:val="00704968"/>
    <w:rsid w:val="00707BC6"/>
    <w:rsid w:val="007105C4"/>
    <w:rsid w:val="0071134C"/>
    <w:rsid w:val="007125F7"/>
    <w:rsid w:val="00714DDE"/>
    <w:rsid w:val="00720AF6"/>
    <w:rsid w:val="00726FA5"/>
    <w:rsid w:val="00727802"/>
    <w:rsid w:val="007300E1"/>
    <w:rsid w:val="00731B29"/>
    <w:rsid w:val="00733795"/>
    <w:rsid w:val="00734E08"/>
    <w:rsid w:val="007351D6"/>
    <w:rsid w:val="00737200"/>
    <w:rsid w:val="00737872"/>
    <w:rsid w:val="00737D62"/>
    <w:rsid w:val="007400B5"/>
    <w:rsid w:val="0074491A"/>
    <w:rsid w:val="00747D22"/>
    <w:rsid w:val="00754349"/>
    <w:rsid w:val="00754D85"/>
    <w:rsid w:val="007557E4"/>
    <w:rsid w:val="00756356"/>
    <w:rsid w:val="00757FD8"/>
    <w:rsid w:val="007605F1"/>
    <w:rsid w:val="00763D7D"/>
    <w:rsid w:val="0076553F"/>
    <w:rsid w:val="00774434"/>
    <w:rsid w:val="007756AB"/>
    <w:rsid w:val="00777833"/>
    <w:rsid w:val="007805DF"/>
    <w:rsid w:val="007811F6"/>
    <w:rsid w:val="00781D6C"/>
    <w:rsid w:val="007845E1"/>
    <w:rsid w:val="00785759"/>
    <w:rsid w:val="007936EA"/>
    <w:rsid w:val="007940A9"/>
    <w:rsid w:val="007940BF"/>
    <w:rsid w:val="00795EA0"/>
    <w:rsid w:val="007A149B"/>
    <w:rsid w:val="007B1EA3"/>
    <w:rsid w:val="007C08A9"/>
    <w:rsid w:val="007C244C"/>
    <w:rsid w:val="007C66E4"/>
    <w:rsid w:val="007D641F"/>
    <w:rsid w:val="007D725F"/>
    <w:rsid w:val="007E18F0"/>
    <w:rsid w:val="007E608C"/>
    <w:rsid w:val="007F2B8D"/>
    <w:rsid w:val="007F3206"/>
    <w:rsid w:val="007F44C1"/>
    <w:rsid w:val="007F6D75"/>
    <w:rsid w:val="008003BA"/>
    <w:rsid w:val="00801A7F"/>
    <w:rsid w:val="0080563C"/>
    <w:rsid w:val="00806BAC"/>
    <w:rsid w:val="008105E1"/>
    <w:rsid w:val="00812DC4"/>
    <w:rsid w:val="00813A84"/>
    <w:rsid w:val="00814260"/>
    <w:rsid w:val="00814DA3"/>
    <w:rsid w:val="00815F39"/>
    <w:rsid w:val="008206EE"/>
    <w:rsid w:val="008216E8"/>
    <w:rsid w:val="008247C4"/>
    <w:rsid w:val="00825F04"/>
    <w:rsid w:val="00826611"/>
    <w:rsid w:val="00826BFA"/>
    <w:rsid w:val="00831A18"/>
    <w:rsid w:val="0083680B"/>
    <w:rsid w:val="00836EA3"/>
    <w:rsid w:val="00840B0D"/>
    <w:rsid w:val="00850053"/>
    <w:rsid w:val="00853F5C"/>
    <w:rsid w:val="00854417"/>
    <w:rsid w:val="00854678"/>
    <w:rsid w:val="00856862"/>
    <w:rsid w:val="00856A9B"/>
    <w:rsid w:val="00860AE3"/>
    <w:rsid w:val="008653C3"/>
    <w:rsid w:val="008715CA"/>
    <w:rsid w:val="00874BB5"/>
    <w:rsid w:val="00875B83"/>
    <w:rsid w:val="008779C2"/>
    <w:rsid w:val="0088204E"/>
    <w:rsid w:val="00882F78"/>
    <w:rsid w:val="008854C0"/>
    <w:rsid w:val="0088596D"/>
    <w:rsid w:val="00885A19"/>
    <w:rsid w:val="00886CE3"/>
    <w:rsid w:val="00887632"/>
    <w:rsid w:val="00890AB3"/>
    <w:rsid w:val="00893A2E"/>
    <w:rsid w:val="00895F4A"/>
    <w:rsid w:val="008973E6"/>
    <w:rsid w:val="008A010A"/>
    <w:rsid w:val="008B22AA"/>
    <w:rsid w:val="008B3416"/>
    <w:rsid w:val="008B3930"/>
    <w:rsid w:val="008B422F"/>
    <w:rsid w:val="008B4863"/>
    <w:rsid w:val="008B579D"/>
    <w:rsid w:val="008B6B5F"/>
    <w:rsid w:val="008B744A"/>
    <w:rsid w:val="008C0D0B"/>
    <w:rsid w:val="008C1022"/>
    <w:rsid w:val="008C2552"/>
    <w:rsid w:val="008C50FF"/>
    <w:rsid w:val="008D00AC"/>
    <w:rsid w:val="008D02D8"/>
    <w:rsid w:val="008D1A38"/>
    <w:rsid w:val="008D7187"/>
    <w:rsid w:val="008D78B0"/>
    <w:rsid w:val="008E1EB5"/>
    <w:rsid w:val="008E63DC"/>
    <w:rsid w:val="008E7ADB"/>
    <w:rsid w:val="008E7C88"/>
    <w:rsid w:val="008F0233"/>
    <w:rsid w:val="008F0327"/>
    <w:rsid w:val="008F3A33"/>
    <w:rsid w:val="008F77D3"/>
    <w:rsid w:val="008F7B61"/>
    <w:rsid w:val="00901A8D"/>
    <w:rsid w:val="009029CF"/>
    <w:rsid w:val="009031D1"/>
    <w:rsid w:val="00905E4B"/>
    <w:rsid w:val="00907D3C"/>
    <w:rsid w:val="00913E57"/>
    <w:rsid w:val="00915D1D"/>
    <w:rsid w:val="00917DDE"/>
    <w:rsid w:val="00920F97"/>
    <w:rsid w:val="00921E53"/>
    <w:rsid w:val="0092324A"/>
    <w:rsid w:val="00923402"/>
    <w:rsid w:val="00923653"/>
    <w:rsid w:val="00924305"/>
    <w:rsid w:val="00926112"/>
    <w:rsid w:val="00926E1B"/>
    <w:rsid w:val="00927696"/>
    <w:rsid w:val="009312DF"/>
    <w:rsid w:val="009317D5"/>
    <w:rsid w:val="00932BA3"/>
    <w:rsid w:val="00933182"/>
    <w:rsid w:val="00933571"/>
    <w:rsid w:val="00940E07"/>
    <w:rsid w:val="009411E1"/>
    <w:rsid w:val="009425CD"/>
    <w:rsid w:val="00943727"/>
    <w:rsid w:val="0094544E"/>
    <w:rsid w:val="00947EBA"/>
    <w:rsid w:val="00952A6C"/>
    <w:rsid w:val="00953891"/>
    <w:rsid w:val="00954DC7"/>
    <w:rsid w:val="00954FD2"/>
    <w:rsid w:val="0096388F"/>
    <w:rsid w:val="00963992"/>
    <w:rsid w:val="00966431"/>
    <w:rsid w:val="00966E03"/>
    <w:rsid w:val="009706A4"/>
    <w:rsid w:val="00970FC4"/>
    <w:rsid w:val="00971556"/>
    <w:rsid w:val="009718CC"/>
    <w:rsid w:val="009750C1"/>
    <w:rsid w:val="00975641"/>
    <w:rsid w:val="00985F7F"/>
    <w:rsid w:val="00991C98"/>
    <w:rsid w:val="00994827"/>
    <w:rsid w:val="00997F40"/>
    <w:rsid w:val="009A13B3"/>
    <w:rsid w:val="009A4141"/>
    <w:rsid w:val="009A5CFB"/>
    <w:rsid w:val="009A62C4"/>
    <w:rsid w:val="009B36FD"/>
    <w:rsid w:val="009B795D"/>
    <w:rsid w:val="009C0BDB"/>
    <w:rsid w:val="009C174F"/>
    <w:rsid w:val="009C2645"/>
    <w:rsid w:val="009C5B24"/>
    <w:rsid w:val="009D1C9B"/>
    <w:rsid w:val="009D2D7E"/>
    <w:rsid w:val="009D438F"/>
    <w:rsid w:val="009D5100"/>
    <w:rsid w:val="009D6865"/>
    <w:rsid w:val="009E3161"/>
    <w:rsid w:val="009F0F09"/>
    <w:rsid w:val="009F33B1"/>
    <w:rsid w:val="009F7D99"/>
    <w:rsid w:val="00A0200B"/>
    <w:rsid w:val="00A05C7B"/>
    <w:rsid w:val="00A065E9"/>
    <w:rsid w:val="00A11DCA"/>
    <w:rsid w:val="00A12161"/>
    <w:rsid w:val="00A1234F"/>
    <w:rsid w:val="00A1372A"/>
    <w:rsid w:val="00A16A3E"/>
    <w:rsid w:val="00A16D74"/>
    <w:rsid w:val="00A204FE"/>
    <w:rsid w:val="00A22171"/>
    <w:rsid w:val="00A22C63"/>
    <w:rsid w:val="00A23C1F"/>
    <w:rsid w:val="00A24C55"/>
    <w:rsid w:val="00A263D3"/>
    <w:rsid w:val="00A2656A"/>
    <w:rsid w:val="00A30314"/>
    <w:rsid w:val="00A324C0"/>
    <w:rsid w:val="00A356AD"/>
    <w:rsid w:val="00A365A2"/>
    <w:rsid w:val="00A37FDF"/>
    <w:rsid w:val="00A42C5E"/>
    <w:rsid w:val="00A4360A"/>
    <w:rsid w:val="00A43914"/>
    <w:rsid w:val="00A449BB"/>
    <w:rsid w:val="00A467C0"/>
    <w:rsid w:val="00A511A6"/>
    <w:rsid w:val="00A52D71"/>
    <w:rsid w:val="00A52E40"/>
    <w:rsid w:val="00A55696"/>
    <w:rsid w:val="00A602E9"/>
    <w:rsid w:val="00A72EA5"/>
    <w:rsid w:val="00A73E5A"/>
    <w:rsid w:val="00A75476"/>
    <w:rsid w:val="00A80798"/>
    <w:rsid w:val="00A84390"/>
    <w:rsid w:val="00A86090"/>
    <w:rsid w:val="00A865BA"/>
    <w:rsid w:val="00A877C5"/>
    <w:rsid w:val="00A87F41"/>
    <w:rsid w:val="00A87F8B"/>
    <w:rsid w:val="00A93EC6"/>
    <w:rsid w:val="00A94D0D"/>
    <w:rsid w:val="00AA112C"/>
    <w:rsid w:val="00AA4E65"/>
    <w:rsid w:val="00AA703E"/>
    <w:rsid w:val="00AB10F4"/>
    <w:rsid w:val="00AB565E"/>
    <w:rsid w:val="00AC1923"/>
    <w:rsid w:val="00AC3575"/>
    <w:rsid w:val="00AC57C3"/>
    <w:rsid w:val="00AC63CF"/>
    <w:rsid w:val="00AD0169"/>
    <w:rsid w:val="00AD0172"/>
    <w:rsid w:val="00AD2BF7"/>
    <w:rsid w:val="00AD4D17"/>
    <w:rsid w:val="00AD5449"/>
    <w:rsid w:val="00AD6E16"/>
    <w:rsid w:val="00AE261F"/>
    <w:rsid w:val="00AE277B"/>
    <w:rsid w:val="00AE2D3E"/>
    <w:rsid w:val="00AE2DC3"/>
    <w:rsid w:val="00AE3954"/>
    <w:rsid w:val="00AE3AD9"/>
    <w:rsid w:val="00AE5727"/>
    <w:rsid w:val="00AE6AA1"/>
    <w:rsid w:val="00AE7155"/>
    <w:rsid w:val="00AE7B31"/>
    <w:rsid w:val="00AF11A3"/>
    <w:rsid w:val="00AF1EF8"/>
    <w:rsid w:val="00B02088"/>
    <w:rsid w:val="00B0340D"/>
    <w:rsid w:val="00B03636"/>
    <w:rsid w:val="00B046DF"/>
    <w:rsid w:val="00B0506E"/>
    <w:rsid w:val="00B05BC1"/>
    <w:rsid w:val="00B07A8A"/>
    <w:rsid w:val="00B11249"/>
    <w:rsid w:val="00B11CC1"/>
    <w:rsid w:val="00B122F4"/>
    <w:rsid w:val="00B13D72"/>
    <w:rsid w:val="00B144D3"/>
    <w:rsid w:val="00B1480E"/>
    <w:rsid w:val="00B213D1"/>
    <w:rsid w:val="00B233CC"/>
    <w:rsid w:val="00B23C80"/>
    <w:rsid w:val="00B258C7"/>
    <w:rsid w:val="00B339D7"/>
    <w:rsid w:val="00B37157"/>
    <w:rsid w:val="00B37261"/>
    <w:rsid w:val="00B429E8"/>
    <w:rsid w:val="00B43752"/>
    <w:rsid w:val="00B50F8B"/>
    <w:rsid w:val="00B53F5C"/>
    <w:rsid w:val="00B54989"/>
    <w:rsid w:val="00B54E52"/>
    <w:rsid w:val="00B5537F"/>
    <w:rsid w:val="00B55800"/>
    <w:rsid w:val="00B56568"/>
    <w:rsid w:val="00B63784"/>
    <w:rsid w:val="00B65AE9"/>
    <w:rsid w:val="00B66676"/>
    <w:rsid w:val="00B6740B"/>
    <w:rsid w:val="00B708B2"/>
    <w:rsid w:val="00B73416"/>
    <w:rsid w:val="00B77477"/>
    <w:rsid w:val="00B81E53"/>
    <w:rsid w:val="00B82470"/>
    <w:rsid w:val="00B8532C"/>
    <w:rsid w:val="00B938A5"/>
    <w:rsid w:val="00B94E0B"/>
    <w:rsid w:val="00B94EFE"/>
    <w:rsid w:val="00B954B8"/>
    <w:rsid w:val="00B95769"/>
    <w:rsid w:val="00B95AA9"/>
    <w:rsid w:val="00BA1E45"/>
    <w:rsid w:val="00BA33F4"/>
    <w:rsid w:val="00BA570D"/>
    <w:rsid w:val="00BA5A89"/>
    <w:rsid w:val="00BA67F2"/>
    <w:rsid w:val="00BB0302"/>
    <w:rsid w:val="00BB0578"/>
    <w:rsid w:val="00BB14F3"/>
    <w:rsid w:val="00BB2599"/>
    <w:rsid w:val="00BB4557"/>
    <w:rsid w:val="00BB4A60"/>
    <w:rsid w:val="00BB6932"/>
    <w:rsid w:val="00BB7B52"/>
    <w:rsid w:val="00BC09B1"/>
    <w:rsid w:val="00BC0AE7"/>
    <w:rsid w:val="00BC0EBE"/>
    <w:rsid w:val="00BC1466"/>
    <w:rsid w:val="00BC2838"/>
    <w:rsid w:val="00BC75E3"/>
    <w:rsid w:val="00BD0462"/>
    <w:rsid w:val="00BD049A"/>
    <w:rsid w:val="00BD1C9B"/>
    <w:rsid w:val="00BD2990"/>
    <w:rsid w:val="00BD46AC"/>
    <w:rsid w:val="00BD50BC"/>
    <w:rsid w:val="00BD58F8"/>
    <w:rsid w:val="00BE1405"/>
    <w:rsid w:val="00BE2434"/>
    <w:rsid w:val="00BE4828"/>
    <w:rsid w:val="00BE7E1C"/>
    <w:rsid w:val="00BF1BCD"/>
    <w:rsid w:val="00BF2633"/>
    <w:rsid w:val="00C01697"/>
    <w:rsid w:val="00C0404B"/>
    <w:rsid w:val="00C07069"/>
    <w:rsid w:val="00C10DDC"/>
    <w:rsid w:val="00C11840"/>
    <w:rsid w:val="00C123EE"/>
    <w:rsid w:val="00C13CB6"/>
    <w:rsid w:val="00C13E37"/>
    <w:rsid w:val="00C16960"/>
    <w:rsid w:val="00C20386"/>
    <w:rsid w:val="00C24084"/>
    <w:rsid w:val="00C240EA"/>
    <w:rsid w:val="00C24E08"/>
    <w:rsid w:val="00C25A1B"/>
    <w:rsid w:val="00C3071D"/>
    <w:rsid w:val="00C32608"/>
    <w:rsid w:val="00C3263C"/>
    <w:rsid w:val="00C34527"/>
    <w:rsid w:val="00C34EF5"/>
    <w:rsid w:val="00C353E2"/>
    <w:rsid w:val="00C370DD"/>
    <w:rsid w:val="00C417EA"/>
    <w:rsid w:val="00C43474"/>
    <w:rsid w:val="00C452A4"/>
    <w:rsid w:val="00C45AB0"/>
    <w:rsid w:val="00C4615A"/>
    <w:rsid w:val="00C47943"/>
    <w:rsid w:val="00C53DA6"/>
    <w:rsid w:val="00C556A8"/>
    <w:rsid w:val="00C5603B"/>
    <w:rsid w:val="00C6357F"/>
    <w:rsid w:val="00C63CAC"/>
    <w:rsid w:val="00C63F98"/>
    <w:rsid w:val="00C6457A"/>
    <w:rsid w:val="00C65F66"/>
    <w:rsid w:val="00C7120B"/>
    <w:rsid w:val="00C7355C"/>
    <w:rsid w:val="00C75439"/>
    <w:rsid w:val="00C76192"/>
    <w:rsid w:val="00C76CBA"/>
    <w:rsid w:val="00C83F05"/>
    <w:rsid w:val="00C84144"/>
    <w:rsid w:val="00C84726"/>
    <w:rsid w:val="00C8714F"/>
    <w:rsid w:val="00C877FA"/>
    <w:rsid w:val="00C91BC6"/>
    <w:rsid w:val="00C94DE6"/>
    <w:rsid w:val="00CA061C"/>
    <w:rsid w:val="00CA42EE"/>
    <w:rsid w:val="00CA4819"/>
    <w:rsid w:val="00CA66D2"/>
    <w:rsid w:val="00CB1526"/>
    <w:rsid w:val="00CB15D9"/>
    <w:rsid w:val="00CB4195"/>
    <w:rsid w:val="00CB4AE0"/>
    <w:rsid w:val="00CC2D94"/>
    <w:rsid w:val="00CC3BA7"/>
    <w:rsid w:val="00CC657B"/>
    <w:rsid w:val="00CC6C27"/>
    <w:rsid w:val="00CC71EF"/>
    <w:rsid w:val="00CD1247"/>
    <w:rsid w:val="00CD39C3"/>
    <w:rsid w:val="00CD641B"/>
    <w:rsid w:val="00CD7D4C"/>
    <w:rsid w:val="00CE3911"/>
    <w:rsid w:val="00CE4310"/>
    <w:rsid w:val="00CE618C"/>
    <w:rsid w:val="00CE6464"/>
    <w:rsid w:val="00CE7CD2"/>
    <w:rsid w:val="00CF1134"/>
    <w:rsid w:val="00CF2652"/>
    <w:rsid w:val="00CF4569"/>
    <w:rsid w:val="00D01B13"/>
    <w:rsid w:val="00D0457A"/>
    <w:rsid w:val="00D04C1F"/>
    <w:rsid w:val="00D056CC"/>
    <w:rsid w:val="00D07689"/>
    <w:rsid w:val="00D12C1A"/>
    <w:rsid w:val="00D14E4A"/>
    <w:rsid w:val="00D157EE"/>
    <w:rsid w:val="00D244E8"/>
    <w:rsid w:val="00D25186"/>
    <w:rsid w:val="00D26FDE"/>
    <w:rsid w:val="00D32A78"/>
    <w:rsid w:val="00D32D33"/>
    <w:rsid w:val="00D35977"/>
    <w:rsid w:val="00D40471"/>
    <w:rsid w:val="00D41B12"/>
    <w:rsid w:val="00D43F5A"/>
    <w:rsid w:val="00D46122"/>
    <w:rsid w:val="00D46946"/>
    <w:rsid w:val="00D47978"/>
    <w:rsid w:val="00D51137"/>
    <w:rsid w:val="00D51397"/>
    <w:rsid w:val="00D63277"/>
    <w:rsid w:val="00D63378"/>
    <w:rsid w:val="00D634F2"/>
    <w:rsid w:val="00D64597"/>
    <w:rsid w:val="00D65554"/>
    <w:rsid w:val="00D6558E"/>
    <w:rsid w:val="00D67816"/>
    <w:rsid w:val="00D70E9E"/>
    <w:rsid w:val="00D729EB"/>
    <w:rsid w:val="00D742F6"/>
    <w:rsid w:val="00D75133"/>
    <w:rsid w:val="00D75388"/>
    <w:rsid w:val="00D76935"/>
    <w:rsid w:val="00D779E8"/>
    <w:rsid w:val="00D82669"/>
    <w:rsid w:val="00D830DE"/>
    <w:rsid w:val="00D85995"/>
    <w:rsid w:val="00D87A69"/>
    <w:rsid w:val="00D87F07"/>
    <w:rsid w:val="00D90E31"/>
    <w:rsid w:val="00D9142A"/>
    <w:rsid w:val="00D9558F"/>
    <w:rsid w:val="00D960EC"/>
    <w:rsid w:val="00D9735E"/>
    <w:rsid w:val="00D97782"/>
    <w:rsid w:val="00DA50C3"/>
    <w:rsid w:val="00DA7438"/>
    <w:rsid w:val="00DB0788"/>
    <w:rsid w:val="00DB7F6F"/>
    <w:rsid w:val="00DC55D0"/>
    <w:rsid w:val="00DC5BB0"/>
    <w:rsid w:val="00DD0BAD"/>
    <w:rsid w:val="00DD0DE2"/>
    <w:rsid w:val="00DD2CE2"/>
    <w:rsid w:val="00DD60DE"/>
    <w:rsid w:val="00DD642A"/>
    <w:rsid w:val="00DD71A7"/>
    <w:rsid w:val="00DE1406"/>
    <w:rsid w:val="00DE14F6"/>
    <w:rsid w:val="00DE35BE"/>
    <w:rsid w:val="00DF2589"/>
    <w:rsid w:val="00DF360F"/>
    <w:rsid w:val="00DF36CA"/>
    <w:rsid w:val="00DF4FB8"/>
    <w:rsid w:val="00DF63E3"/>
    <w:rsid w:val="00DF7385"/>
    <w:rsid w:val="00E00473"/>
    <w:rsid w:val="00E02F0D"/>
    <w:rsid w:val="00E1061C"/>
    <w:rsid w:val="00E10692"/>
    <w:rsid w:val="00E14738"/>
    <w:rsid w:val="00E1479A"/>
    <w:rsid w:val="00E15A16"/>
    <w:rsid w:val="00E206A3"/>
    <w:rsid w:val="00E20C64"/>
    <w:rsid w:val="00E24DB8"/>
    <w:rsid w:val="00E26EB0"/>
    <w:rsid w:val="00E27034"/>
    <w:rsid w:val="00E32D4B"/>
    <w:rsid w:val="00E33957"/>
    <w:rsid w:val="00E40749"/>
    <w:rsid w:val="00E41116"/>
    <w:rsid w:val="00E414EF"/>
    <w:rsid w:val="00E424DA"/>
    <w:rsid w:val="00E45390"/>
    <w:rsid w:val="00E455A5"/>
    <w:rsid w:val="00E56CCD"/>
    <w:rsid w:val="00E5722D"/>
    <w:rsid w:val="00E62643"/>
    <w:rsid w:val="00E62938"/>
    <w:rsid w:val="00E642D3"/>
    <w:rsid w:val="00E702F6"/>
    <w:rsid w:val="00E7387C"/>
    <w:rsid w:val="00E73C17"/>
    <w:rsid w:val="00E73E5F"/>
    <w:rsid w:val="00E768B8"/>
    <w:rsid w:val="00E778AE"/>
    <w:rsid w:val="00E77A0F"/>
    <w:rsid w:val="00E82D4E"/>
    <w:rsid w:val="00E835A1"/>
    <w:rsid w:val="00E83E2D"/>
    <w:rsid w:val="00E85164"/>
    <w:rsid w:val="00E8739B"/>
    <w:rsid w:val="00E90652"/>
    <w:rsid w:val="00E948B4"/>
    <w:rsid w:val="00E95C43"/>
    <w:rsid w:val="00E96570"/>
    <w:rsid w:val="00EA31DB"/>
    <w:rsid w:val="00EA68E9"/>
    <w:rsid w:val="00EA7D7F"/>
    <w:rsid w:val="00EB3C38"/>
    <w:rsid w:val="00EC12A0"/>
    <w:rsid w:val="00EC1E5F"/>
    <w:rsid w:val="00EC64A8"/>
    <w:rsid w:val="00EC78B7"/>
    <w:rsid w:val="00ED14BD"/>
    <w:rsid w:val="00ED24F1"/>
    <w:rsid w:val="00ED41E5"/>
    <w:rsid w:val="00ED49B5"/>
    <w:rsid w:val="00EE332B"/>
    <w:rsid w:val="00EE6C01"/>
    <w:rsid w:val="00EF1519"/>
    <w:rsid w:val="00EF2896"/>
    <w:rsid w:val="00EF2C61"/>
    <w:rsid w:val="00EF4610"/>
    <w:rsid w:val="00EF6CB2"/>
    <w:rsid w:val="00EF7939"/>
    <w:rsid w:val="00F01A5C"/>
    <w:rsid w:val="00F04DE2"/>
    <w:rsid w:val="00F076E3"/>
    <w:rsid w:val="00F11CFC"/>
    <w:rsid w:val="00F1463A"/>
    <w:rsid w:val="00F15936"/>
    <w:rsid w:val="00F20B68"/>
    <w:rsid w:val="00F23DBE"/>
    <w:rsid w:val="00F31085"/>
    <w:rsid w:val="00F31737"/>
    <w:rsid w:val="00F329A7"/>
    <w:rsid w:val="00F40513"/>
    <w:rsid w:val="00F41C5C"/>
    <w:rsid w:val="00F424A9"/>
    <w:rsid w:val="00F4459F"/>
    <w:rsid w:val="00F508C7"/>
    <w:rsid w:val="00F52F72"/>
    <w:rsid w:val="00F5729F"/>
    <w:rsid w:val="00F60524"/>
    <w:rsid w:val="00F65587"/>
    <w:rsid w:val="00F656A1"/>
    <w:rsid w:val="00F65B62"/>
    <w:rsid w:val="00F71AE6"/>
    <w:rsid w:val="00F72DC7"/>
    <w:rsid w:val="00F74B26"/>
    <w:rsid w:val="00F772DD"/>
    <w:rsid w:val="00F776C3"/>
    <w:rsid w:val="00F77E06"/>
    <w:rsid w:val="00F8101C"/>
    <w:rsid w:val="00F850F4"/>
    <w:rsid w:val="00F85AD8"/>
    <w:rsid w:val="00F9021F"/>
    <w:rsid w:val="00F93464"/>
    <w:rsid w:val="00F95594"/>
    <w:rsid w:val="00F973A7"/>
    <w:rsid w:val="00FA35E2"/>
    <w:rsid w:val="00FA5DE1"/>
    <w:rsid w:val="00FA6CB8"/>
    <w:rsid w:val="00FA7D60"/>
    <w:rsid w:val="00FB260A"/>
    <w:rsid w:val="00FB2B02"/>
    <w:rsid w:val="00FB4897"/>
    <w:rsid w:val="00FB6664"/>
    <w:rsid w:val="00FC2464"/>
    <w:rsid w:val="00FC3224"/>
    <w:rsid w:val="00FC60C3"/>
    <w:rsid w:val="00FC6311"/>
    <w:rsid w:val="00FC7CE6"/>
    <w:rsid w:val="00FD0795"/>
    <w:rsid w:val="00FD0A4E"/>
    <w:rsid w:val="00FD3A37"/>
    <w:rsid w:val="00FD577E"/>
    <w:rsid w:val="00FD6497"/>
    <w:rsid w:val="00FD73BD"/>
    <w:rsid w:val="00FE14B4"/>
    <w:rsid w:val="00FE1EBE"/>
    <w:rsid w:val="00FE46CE"/>
    <w:rsid w:val="00FE4E43"/>
    <w:rsid w:val="00FF1103"/>
    <w:rsid w:val="00FF2EC3"/>
    <w:rsid w:val="00FF462C"/>
    <w:rsid w:val="00FF66DC"/>
    <w:rsid w:val="00FF7CD6"/>
    <w:rsid w:val="012A4E2C"/>
    <w:rsid w:val="02DC2156"/>
    <w:rsid w:val="03CC3F79"/>
    <w:rsid w:val="05CD222A"/>
    <w:rsid w:val="06084616"/>
    <w:rsid w:val="06A9292B"/>
    <w:rsid w:val="08EF7A39"/>
    <w:rsid w:val="0A5844F0"/>
    <w:rsid w:val="0DFF0ECB"/>
    <w:rsid w:val="0EE41D10"/>
    <w:rsid w:val="11386E78"/>
    <w:rsid w:val="11B73ED3"/>
    <w:rsid w:val="12277661"/>
    <w:rsid w:val="133D4C82"/>
    <w:rsid w:val="138D4967"/>
    <w:rsid w:val="13D12EE6"/>
    <w:rsid w:val="13EE1CEA"/>
    <w:rsid w:val="13F37300"/>
    <w:rsid w:val="174D6D27"/>
    <w:rsid w:val="18CE5C46"/>
    <w:rsid w:val="1A2A2D28"/>
    <w:rsid w:val="1B9C64CF"/>
    <w:rsid w:val="1E6C7E3E"/>
    <w:rsid w:val="20346CD6"/>
    <w:rsid w:val="206E043A"/>
    <w:rsid w:val="21B75E11"/>
    <w:rsid w:val="2443573A"/>
    <w:rsid w:val="25496D80"/>
    <w:rsid w:val="27095D8A"/>
    <w:rsid w:val="277B51EB"/>
    <w:rsid w:val="279E6744"/>
    <w:rsid w:val="29EF532D"/>
    <w:rsid w:val="2BAD2B02"/>
    <w:rsid w:val="2E0C3040"/>
    <w:rsid w:val="2E40384E"/>
    <w:rsid w:val="2F083808"/>
    <w:rsid w:val="2F0B058C"/>
    <w:rsid w:val="2F7C5FA4"/>
    <w:rsid w:val="344833B2"/>
    <w:rsid w:val="3D6C58AA"/>
    <w:rsid w:val="3E799816"/>
    <w:rsid w:val="403F2E01"/>
    <w:rsid w:val="431A1904"/>
    <w:rsid w:val="45413951"/>
    <w:rsid w:val="46E47FFF"/>
    <w:rsid w:val="4779601E"/>
    <w:rsid w:val="493E1AE1"/>
    <w:rsid w:val="4B2238EC"/>
    <w:rsid w:val="4C6C7CEB"/>
    <w:rsid w:val="4DDD59C1"/>
    <w:rsid w:val="4EAE0286"/>
    <w:rsid w:val="51FB0B52"/>
    <w:rsid w:val="531F075A"/>
    <w:rsid w:val="55D63DB0"/>
    <w:rsid w:val="56DA342C"/>
    <w:rsid w:val="57A01936"/>
    <w:rsid w:val="57A57FD6"/>
    <w:rsid w:val="57F01F2D"/>
    <w:rsid w:val="58D367F3"/>
    <w:rsid w:val="592C1295"/>
    <w:rsid w:val="59DD74BB"/>
    <w:rsid w:val="5A8C449C"/>
    <w:rsid w:val="5B571FFB"/>
    <w:rsid w:val="5BFB00CD"/>
    <w:rsid w:val="5C452F47"/>
    <w:rsid w:val="5D086F45"/>
    <w:rsid w:val="5D4D6706"/>
    <w:rsid w:val="60252B89"/>
    <w:rsid w:val="616C2448"/>
    <w:rsid w:val="63DF2082"/>
    <w:rsid w:val="654A16B4"/>
    <w:rsid w:val="660F1D12"/>
    <w:rsid w:val="67277FC8"/>
    <w:rsid w:val="677C2407"/>
    <w:rsid w:val="68C47A98"/>
    <w:rsid w:val="68C53F3C"/>
    <w:rsid w:val="6CC80E6D"/>
    <w:rsid w:val="6FDD1529"/>
    <w:rsid w:val="710B6BAC"/>
    <w:rsid w:val="71CC633B"/>
    <w:rsid w:val="71F238C8"/>
    <w:rsid w:val="738A5B9F"/>
    <w:rsid w:val="741F6AAA"/>
    <w:rsid w:val="74A0585D"/>
    <w:rsid w:val="77A7157C"/>
    <w:rsid w:val="78B143BF"/>
    <w:rsid w:val="7A035425"/>
    <w:rsid w:val="7AB465B7"/>
    <w:rsid w:val="7AFEC822"/>
    <w:rsid w:val="7B215011"/>
    <w:rsid w:val="7CB63E70"/>
    <w:rsid w:val="7D221505"/>
    <w:rsid w:val="7E2B61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7B34D4F7"/>
  <w15:docId w15:val="{6ED72273-B959-4277-9FE0-EF6A35E8CF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uiPriority="0" w:qFormat="1"/>
    <w:lsdException w:name="footnote reference" w:uiPriority="0" w:qFormat="1"/>
    <w:lsdException w:name="annotation reference" w:qFormat="1"/>
    <w:lsdException w:name="line number" w:uiPriority="0" w:qFormat="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39" w:qFormat="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c">
    <w:name w:val="Normal"/>
    <w:next w:val="BodyText2"/>
    <w:qFormat/>
    <w:pPr>
      <w:widowControl w:val="0"/>
      <w:jc w:val="both"/>
    </w:pPr>
    <w:rPr>
      <w:rFonts w:ascii="Calibri" w:hAnsi="Calibri" w:cs="Calibri"/>
      <w:kern w:val="2"/>
      <w:sz w:val="21"/>
      <w:szCs w:val="24"/>
    </w:rPr>
  </w:style>
  <w:style w:type="paragraph" w:styleId="1">
    <w:name w:val="heading 1"/>
    <w:basedOn w:val="ac"/>
    <w:next w:val="ac"/>
    <w:qFormat/>
    <w:pPr>
      <w:keepNext/>
      <w:keepLines/>
      <w:spacing w:before="340" w:after="330" w:line="578" w:lineRule="auto"/>
      <w:outlineLvl w:val="0"/>
    </w:pPr>
    <w:rPr>
      <w:b/>
      <w:bCs/>
      <w:kern w:val="44"/>
      <w:sz w:val="44"/>
    </w:rPr>
  </w:style>
  <w:style w:type="paragraph" w:styleId="2">
    <w:name w:val="heading 2"/>
    <w:basedOn w:val="ac"/>
    <w:next w:val="ac"/>
    <w:qFormat/>
    <w:pPr>
      <w:keepNext/>
      <w:keepLines/>
      <w:spacing w:before="260" w:after="260" w:line="415" w:lineRule="auto"/>
      <w:outlineLvl w:val="1"/>
    </w:pPr>
    <w:rPr>
      <w:rFonts w:ascii="Times New Roman" w:eastAsia="黑体" w:hAnsi="Times New Roman"/>
      <w:b/>
      <w:sz w:val="32"/>
    </w:rPr>
  </w:style>
  <w:style w:type="paragraph" w:styleId="3">
    <w:name w:val="heading 3"/>
    <w:basedOn w:val="ac"/>
    <w:next w:val="ac"/>
    <w:qFormat/>
    <w:pPr>
      <w:keepNext/>
      <w:keepLines/>
      <w:spacing w:before="260" w:after="260" w:line="415" w:lineRule="auto"/>
      <w:outlineLvl w:val="2"/>
    </w:pPr>
    <w:rPr>
      <w:b/>
      <w:sz w:val="32"/>
    </w:rPr>
  </w:style>
  <w:style w:type="paragraph" w:styleId="7">
    <w:name w:val="heading 7"/>
    <w:basedOn w:val="ac"/>
    <w:next w:val="ac"/>
    <w:link w:val="70"/>
    <w:uiPriority w:val="9"/>
    <w:qFormat/>
    <w:pPr>
      <w:keepNext/>
      <w:keepLines/>
      <w:spacing w:before="240" w:after="64" w:line="320" w:lineRule="auto"/>
      <w:outlineLvl w:val="6"/>
    </w:pPr>
    <w:rPr>
      <w:b/>
      <w:bCs/>
      <w:sz w:val="24"/>
    </w:rPr>
  </w:style>
  <w:style w:type="character" w:default="1" w:styleId="ad">
    <w:name w:val="Default Paragraph Font"/>
    <w:uiPriority w:val="1"/>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paragraph" w:customStyle="1" w:styleId="BodyText2">
    <w:name w:val="BodyText2"/>
    <w:basedOn w:val="ac"/>
    <w:qFormat/>
    <w:pPr>
      <w:spacing w:after="120" w:line="480" w:lineRule="auto"/>
      <w:textAlignment w:val="baseline"/>
    </w:pPr>
    <w:rPr>
      <w:rFonts w:cs="Times New Roman"/>
      <w:sz w:val="32"/>
      <w:szCs w:val="32"/>
    </w:rPr>
  </w:style>
  <w:style w:type="paragraph" w:styleId="af0">
    <w:name w:val="annotation text"/>
    <w:basedOn w:val="ac"/>
    <w:link w:val="af1"/>
    <w:uiPriority w:val="99"/>
    <w:unhideWhenUsed/>
    <w:qFormat/>
    <w:pPr>
      <w:adjustRightInd w:val="0"/>
      <w:spacing w:line="400" w:lineRule="exact"/>
      <w:jc w:val="left"/>
    </w:pPr>
    <w:rPr>
      <w:szCs w:val="21"/>
    </w:rPr>
  </w:style>
  <w:style w:type="paragraph" w:styleId="af2">
    <w:name w:val="Date"/>
    <w:basedOn w:val="ac"/>
    <w:next w:val="ac"/>
    <w:link w:val="af3"/>
    <w:uiPriority w:val="99"/>
    <w:semiHidden/>
    <w:unhideWhenUsed/>
    <w:qFormat/>
    <w:pPr>
      <w:ind w:leftChars="2500" w:left="100"/>
    </w:pPr>
  </w:style>
  <w:style w:type="paragraph" w:styleId="af4">
    <w:name w:val="endnote text"/>
    <w:basedOn w:val="ac"/>
    <w:link w:val="af5"/>
    <w:uiPriority w:val="99"/>
    <w:semiHidden/>
    <w:unhideWhenUsed/>
    <w:qFormat/>
    <w:pPr>
      <w:snapToGrid w:val="0"/>
      <w:jc w:val="left"/>
    </w:pPr>
  </w:style>
  <w:style w:type="paragraph" w:styleId="af6">
    <w:name w:val="Balloon Text"/>
    <w:basedOn w:val="ac"/>
    <w:link w:val="af7"/>
    <w:uiPriority w:val="99"/>
    <w:unhideWhenUsed/>
    <w:qFormat/>
    <w:rPr>
      <w:sz w:val="18"/>
      <w:szCs w:val="18"/>
    </w:rPr>
  </w:style>
  <w:style w:type="paragraph" w:styleId="af8">
    <w:name w:val="footer"/>
    <w:basedOn w:val="ac"/>
    <w:link w:val="af9"/>
    <w:uiPriority w:val="99"/>
    <w:qFormat/>
    <w:pPr>
      <w:tabs>
        <w:tab w:val="center" w:pos="4153"/>
        <w:tab w:val="right" w:pos="8306"/>
      </w:tabs>
      <w:snapToGrid w:val="0"/>
      <w:jc w:val="left"/>
    </w:pPr>
    <w:rPr>
      <w:sz w:val="18"/>
      <w:szCs w:val="18"/>
    </w:rPr>
  </w:style>
  <w:style w:type="paragraph" w:styleId="afa">
    <w:name w:val="envelope return"/>
    <w:basedOn w:val="ac"/>
    <w:qFormat/>
    <w:pPr>
      <w:snapToGrid w:val="0"/>
    </w:pPr>
    <w:rPr>
      <w:rFonts w:ascii="Times New Roman" w:hAnsi="Times New Roman"/>
    </w:rPr>
  </w:style>
  <w:style w:type="paragraph" w:styleId="afb">
    <w:name w:val="header"/>
    <w:basedOn w:val="ac"/>
    <w:link w:val="afc"/>
    <w:qFormat/>
    <w:pPr>
      <w:pBdr>
        <w:bottom w:val="single" w:sz="6" w:space="1" w:color="auto"/>
      </w:pBdr>
      <w:tabs>
        <w:tab w:val="center" w:pos="4153"/>
        <w:tab w:val="right" w:pos="8306"/>
      </w:tabs>
      <w:snapToGrid w:val="0"/>
      <w:jc w:val="center"/>
    </w:pPr>
    <w:rPr>
      <w:sz w:val="18"/>
      <w:szCs w:val="18"/>
    </w:rPr>
  </w:style>
  <w:style w:type="paragraph" w:styleId="4">
    <w:name w:val="toc 4"/>
    <w:basedOn w:val="ac"/>
    <w:next w:val="ac"/>
    <w:uiPriority w:val="39"/>
    <w:unhideWhenUsed/>
    <w:qFormat/>
    <w:pPr>
      <w:tabs>
        <w:tab w:val="right" w:leader="dot" w:pos="9344"/>
      </w:tabs>
      <w:adjustRightInd w:val="0"/>
      <w:spacing w:line="300" w:lineRule="exact"/>
      <w:ind w:left="629"/>
    </w:pPr>
    <w:rPr>
      <w:rFonts w:ascii="宋体"/>
      <w:szCs w:val="21"/>
    </w:rPr>
  </w:style>
  <w:style w:type="paragraph" w:styleId="afd">
    <w:name w:val="Normal (Web)"/>
    <w:basedOn w:val="ac"/>
    <w:uiPriority w:val="99"/>
    <w:semiHidden/>
    <w:unhideWhenUsed/>
    <w:qFormat/>
    <w:rPr>
      <w:sz w:val="24"/>
    </w:rPr>
  </w:style>
  <w:style w:type="paragraph" w:styleId="afe">
    <w:name w:val="Title"/>
    <w:basedOn w:val="ac"/>
    <w:next w:val="ac"/>
    <w:link w:val="aff"/>
    <w:uiPriority w:val="10"/>
    <w:qFormat/>
    <w:pPr>
      <w:spacing w:before="240" w:after="60"/>
      <w:jc w:val="center"/>
      <w:outlineLvl w:val="0"/>
    </w:pPr>
    <w:rPr>
      <w:rFonts w:asciiTheme="majorHAnsi" w:eastAsiaTheme="majorEastAsia" w:hAnsiTheme="majorHAnsi" w:cstheme="majorBidi"/>
      <w:b/>
      <w:bCs/>
      <w:sz w:val="32"/>
      <w:szCs w:val="32"/>
    </w:rPr>
  </w:style>
  <w:style w:type="paragraph" w:styleId="aff0">
    <w:name w:val="annotation subject"/>
    <w:basedOn w:val="af0"/>
    <w:next w:val="af0"/>
    <w:link w:val="aff1"/>
    <w:uiPriority w:val="99"/>
    <w:semiHidden/>
    <w:unhideWhenUsed/>
    <w:qFormat/>
    <w:pPr>
      <w:adjustRightInd/>
      <w:spacing w:line="240" w:lineRule="auto"/>
    </w:pPr>
    <w:rPr>
      <w:b/>
      <w:bCs/>
      <w:szCs w:val="24"/>
    </w:rPr>
  </w:style>
  <w:style w:type="table" w:styleId="aff2">
    <w:name w:val="Table Grid"/>
    <w:basedOn w:val="ae"/>
    <w:uiPriority w:val="39"/>
    <w:qFormat/>
    <w:pPr>
      <w:widowControl w:val="0"/>
      <w:jc w:val="both"/>
    </w:pPr>
    <w:tblPr>
      <w:tblBorders>
        <w:top w:val="single" w:sz="4" w:space="0" w:color="auto"/>
        <w:bottom w:val="single" w:sz="4" w:space="0" w:color="auto"/>
      </w:tblBorders>
    </w:tblPr>
  </w:style>
  <w:style w:type="character" w:styleId="aff3">
    <w:name w:val="Strong"/>
    <w:basedOn w:val="ad"/>
    <w:uiPriority w:val="22"/>
    <w:qFormat/>
    <w:rPr>
      <w:b/>
    </w:rPr>
  </w:style>
  <w:style w:type="character" w:styleId="aff4">
    <w:name w:val="endnote reference"/>
    <w:basedOn w:val="ad"/>
    <w:uiPriority w:val="99"/>
    <w:semiHidden/>
    <w:unhideWhenUsed/>
    <w:qFormat/>
    <w:rPr>
      <w:vertAlign w:val="superscript"/>
    </w:rPr>
  </w:style>
  <w:style w:type="character" w:styleId="aff5">
    <w:name w:val="line number"/>
    <w:qFormat/>
  </w:style>
  <w:style w:type="character" w:styleId="aff6">
    <w:name w:val="Hyperlink"/>
    <w:qFormat/>
    <w:rPr>
      <w:rFonts w:ascii="宋体" w:eastAsia="宋体"/>
      <w:color w:val="auto"/>
      <w:spacing w:val="0"/>
      <w:w w:val="100"/>
      <w:position w:val="0"/>
      <w:sz w:val="21"/>
      <w:u w:val="none"/>
      <w:vertAlign w:val="baseline"/>
    </w:rPr>
  </w:style>
  <w:style w:type="character" w:styleId="aff7">
    <w:name w:val="annotation reference"/>
    <w:uiPriority w:val="99"/>
    <w:qFormat/>
    <w:rPr>
      <w:sz w:val="21"/>
    </w:rPr>
  </w:style>
  <w:style w:type="character" w:styleId="aff8">
    <w:name w:val="footnote reference"/>
    <w:qFormat/>
    <w:rPr>
      <w:vertAlign w:val="superscript"/>
    </w:rPr>
  </w:style>
  <w:style w:type="paragraph" w:customStyle="1" w:styleId="-1">
    <w:name w:val="正文-公1"/>
    <w:uiPriority w:val="99"/>
    <w:qFormat/>
    <w:pPr>
      <w:widowControl w:val="0"/>
      <w:suppressAutoHyphens/>
      <w:jc w:val="both"/>
    </w:pPr>
    <w:rPr>
      <w:rFonts w:ascii="Calibri" w:hAnsi="Calibri"/>
      <w:kern w:val="2"/>
      <w:sz w:val="21"/>
      <w:szCs w:val="24"/>
    </w:rPr>
  </w:style>
  <w:style w:type="character" w:customStyle="1" w:styleId="70">
    <w:name w:val="标题 7 字符"/>
    <w:link w:val="7"/>
    <w:qFormat/>
    <w:rPr>
      <w:rFonts w:eastAsia="宋体"/>
      <w:b/>
      <w:bCs/>
      <w:kern w:val="2"/>
      <w:sz w:val="24"/>
      <w:szCs w:val="24"/>
    </w:rPr>
  </w:style>
  <w:style w:type="character" w:customStyle="1" w:styleId="af1">
    <w:name w:val="批注文字 字符"/>
    <w:link w:val="af0"/>
    <w:uiPriority w:val="99"/>
    <w:semiHidden/>
    <w:qFormat/>
    <w:rPr>
      <w:rFonts w:ascii="Calibri" w:eastAsia="宋体" w:hAnsi="Calibri"/>
      <w:kern w:val="2"/>
      <w:sz w:val="21"/>
      <w:szCs w:val="21"/>
    </w:rPr>
  </w:style>
  <w:style w:type="character" w:customStyle="1" w:styleId="af7">
    <w:name w:val="批注框文本 字符"/>
    <w:link w:val="af6"/>
    <w:uiPriority w:val="99"/>
    <w:semiHidden/>
    <w:qFormat/>
    <w:rPr>
      <w:rFonts w:eastAsia="宋体"/>
      <w:kern w:val="2"/>
      <w:sz w:val="18"/>
      <w:szCs w:val="18"/>
    </w:rPr>
  </w:style>
  <w:style w:type="character" w:customStyle="1" w:styleId="af9">
    <w:name w:val="页脚 字符"/>
    <w:link w:val="af8"/>
    <w:uiPriority w:val="99"/>
    <w:qFormat/>
    <w:locked/>
    <w:rPr>
      <w:rFonts w:eastAsia="宋体"/>
      <w:kern w:val="2"/>
      <w:sz w:val="18"/>
      <w:szCs w:val="18"/>
    </w:rPr>
  </w:style>
  <w:style w:type="paragraph" w:customStyle="1" w:styleId="aff9">
    <w:name w:val="其他标准称谓"/>
    <w:qFormat/>
    <w:pPr>
      <w:spacing w:line="0" w:lineRule="atLeast"/>
      <w:jc w:val="distribute"/>
    </w:pPr>
    <w:rPr>
      <w:rFonts w:ascii="黑体" w:eastAsia="黑体" w:hAnsi="Calibri" w:cs="Calibri"/>
      <w:sz w:val="52"/>
    </w:rPr>
  </w:style>
  <w:style w:type="paragraph" w:customStyle="1" w:styleId="10">
    <w:name w:val="封面标准号1"/>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fa">
    <w:name w:val="标准文件_段"/>
    <w:link w:val="Char"/>
    <w:qFormat/>
    <w:pPr>
      <w:autoSpaceDE w:val="0"/>
      <w:autoSpaceDN w:val="0"/>
      <w:spacing w:line="520" w:lineRule="exact"/>
      <w:ind w:firstLineChars="200" w:firstLine="640"/>
      <w:jc w:val="both"/>
    </w:pPr>
    <w:rPr>
      <w:rFonts w:ascii="仿宋" w:eastAsia="仿宋" w:hAnsi="仿宋" w:cs="Calibri"/>
      <w:kern w:val="2"/>
      <w:sz w:val="32"/>
      <w:szCs w:val="32"/>
    </w:rPr>
  </w:style>
  <w:style w:type="character" w:customStyle="1" w:styleId="Char">
    <w:name w:val="标准文件_段 Char"/>
    <w:link w:val="affa"/>
    <w:qFormat/>
    <w:rPr>
      <w:rFonts w:ascii="仿宋" w:eastAsia="仿宋" w:hAnsi="仿宋" w:cs="Calibri"/>
      <w:kern w:val="2"/>
      <w:sz w:val="32"/>
      <w:szCs w:val="32"/>
    </w:rPr>
  </w:style>
  <w:style w:type="paragraph" w:customStyle="1" w:styleId="a6">
    <w:name w:val="标准文件_章标题"/>
    <w:next w:val="affa"/>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fb">
    <w:name w:val="标准文件_二级条标题"/>
    <w:next w:val="affa"/>
    <w:qFormat/>
    <w:pPr>
      <w:widowControl w:val="0"/>
      <w:spacing w:beforeLines="50" w:before="50" w:afterLines="50" w:after="50"/>
      <w:jc w:val="both"/>
      <w:outlineLvl w:val="2"/>
    </w:pPr>
    <w:rPr>
      <w:rFonts w:ascii="黑体" w:eastAsia="黑体" w:hAnsi="Calibri" w:cs="Calibri"/>
      <w:sz w:val="21"/>
    </w:rPr>
  </w:style>
  <w:style w:type="paragraph" w:customStyle="1" w:styleId="a7">
    <w:name w:val="标准文件_一级条标题"/>
    <w:basedOn w:val="a6"/>
    <w:next w:val="affa"/>
    <w:qFormat/>
    <w:pPr>
      <w:numPr>
        <w:ilvl w:val="2"/>
      </w:numPr>
      <w:spacing w:beforeLines="0" w:before="50" w:afterLines="0" w:after="50"/>
      <w:outlineLvl w:val="1"/>
    </w:pPr>
  </w:style>
  <w:style w:type="paragraph" w:customStyle="1" w:styleId="affc">
    <w:name w:val="标准文件_三级条标题"/>
    <w:basedOn w:val="affb"/>
    <w:next w:val="affa"/>
    <w:qFormat/>
    <w:pPr>
      <w:outlineLvl w:val="3"/>
    </w:pPr>
  </w:style>
  <w:style w:type="paragraph" w:customStyle="1" w:styleId="affd">
    <w:name w:val="标准文件_四级条标题"/>
    <w:next w:val="affa"/>
    <w:qFormat/>
    <w:pPr>
      <w:widowControl w:val="0"/>
      <w:spacing w:beforeLines="50" w:before="50" w:afterLines="50" w:after="50"/>
      <w:jc w:val="both"/>
      <w:outlineLvl w:val="4"/>
    </w:pPr>
    <w:rPr>
      <w:rFonts w:ascii="黑体" w:eastAsia="黑体" w:hAnsi="Calibri" w:cs="Calibri"/>
      <w:sz w:val="21"/>
    </w:rPr>
  </w:style>
  <w:style w:type="paragraph" w:customStyle="1" w:styleId="aa">
    <w:name w:val="标准文件_五级条标题"/>
    <w:next w:val="affb"/>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5">
    <w:name w:val="前言标题"/>
    <w:next w:val="ac"/>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9">
    <w:name w:val="标准文件_四级无标题"/>
    <w:basedOn w:val="affd"/>
    <w:qFormat/>
    <w:pPr>
      <w:numPr>
        <w:ilvl w:val="5"/>
        <w:numId w:val="1"/>
      </w:numPr>
    </w:pPr>
    <w:rPr>
      <w:rFonts w:ascii="宋体" w:eastAsia="宋体"/>
      <w:szCs w:val="52"/>
    </w:rPr>
  </w:style>
  <w:style w:type="paragraph" w:customStyle="1" w:styleId="a8">
    <w:name w:val="标准文件_三级无标题"/>
    <w:basedOn w:val="affc"/>
    <w:qFormat/>
    <w:pPr>
      <w:numPr>
        <w:ilvl w:val="4"/>
        <w:numId w:val="1"/>
      </w:numPr>
    </w:pPr>
    <w:rPr>
      <w:rFonts w:ascii="宋体" w:eastAsia="宋体"/>
    </w:rPr>
  </w:style>
  <w:style w:type="paragraph" w:customStyle="1" w:styleId="a">
    <w:name w:val="标准文件_正文表标题"/>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qFormat/>
    <w:rPr>
      <w:rFonts w:ascii="等线" w:eastAsia="等线"/>
      <w:b/>
      <w:bCs/>
      <w:color w:val="FF0000"/>
      <w:sz w:val="22"/>
      <w:szCs w:val="22"/>
      <w:u w:val="none"/>
    </w:rPr>
  </w:style>
  <w:style w:type="character" w:customStyle="1" w:styleId="font01">
    <w:name w:val="font01"/>
    <w:qFormat/>
    <w:rPr>
      <w:rFonts w:ascii="等线" w:eastAsia="等线"/>
      <w:color w:val="000000"/>
      <w:sz w:val="22"/>
      <w:szCs w:val="22"/>
      <w:u w:val="none"/>
    </w:rPr>
  </w:style>
  <w:style w:type="paragraph" w:customStyle="1" w:styleId="affe">
    <w:name w:val="段"/>
    <w:qFormat/>
    <w:pPr>
      <w:autoSpaceDE w:val="0"/>
      <w:autoSpaceDN w:val="0"/>
      <w:ind w:firstLineChars="200" w:firstLine="200"/>
      <w:jc w:val="both"/>
    </w:pPr>
    <w:rPr>
      <w:rFonts w:ascii="宋体" w:hAnsi="Calibri" w:cs="Calibri"/>
      <w:sz w:val="21"/>
    </w:rPr>
  </w:style>
  <w:style w:type="paragraph" w:customStyle="1" w:styleId="afff">
    <w:name w:val="二级无"/>
    <w:basedOn w:val="ac"/>
    <w:qFormat/>
    <w:pPr>
      <w:widowControl/>
      <w:tabs>
        <w:tab w:val="left" w:pos="780"/>
      </w:tabs>
      <w:ind w:left="780" w:hanging="360"/>
      <w:jc w:val="left"/>
      <w:outlineLvl w:val="3"/>
    </w:pPr>
    <w:rPr>
      <w:rFonts w:ascii="宋体"/>
      <w:kern w:val="0"/>
      <w:szCs w:val="21"/>
    </w:rPr>
  </w:style>
  <w:style w:type="paragraph" w:customStyle="1" w:styleId="afff0">
    <w:name w:val="标准文件_二级无标题"/>
    <w:basedOn w:val="affb"/>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c"/>
    <w:qFormat/>
  </w:style>
  <w:style w:type="paragraph" w:customStyle="1" w:styleId="a3">
    <w:name w:val="标准文件_数字编号列项（二级）"/>
    <w:qFormat/>
    <w:pPr>
      <w:numPr>
        <w:ilvl w:val="1"/>
        <w:numId w:val="3"/>
      </w:numPr>
      <w:jc w:val="both"/>
    </w:pPr>
    <w:rPr>
      <w:rFonts w:ascii="宋体" w:hAnsi="Calibri" w:cs="Calibri"/>
      <w:sz w:val="21"/>
    </w:rPr>
  </w:style>
  <w:style w:type="paragraph" w:customStyle="1" w:styleId="a4">
    <w:name w:val="标准文件_编号列项（三级）"/>
    <w:qFormat/>
    <w:pPr>
      <w:numPr>
        <w:ilvl w:val="2"/>
        <w:numId w:val="3"/>
      </w:numPr>
    </w:pPr>
    <w:rPr>
      <w:rFonts w:ascii="宋体" w:hAnsi="Calibri" w:cs="Calibri"/>
      <w:sz w:val="21"/>
    </w:rPr>
  </w:style>
  <w:style w:type="paragraph" w:customStyle="1" w:styleId="a2">
    <w:name w:val="标准文件_字母编号列项（一级）"/>
    <w:qFormat/>
    <w:pPr>
      <w:numPr>
        <w:numId w:val="3"/>
      </w:numPr>
      <w:jc w:val="both"/>
    </w:pPr>
    <w:rPr>
      <w:rFonts w:ascii="宋体" w:hAnsi="Calibri" w:cs="Calibri"/>
      <w:sz w:val="21"/>
    </w:rPr>
  </w:style>
  <w:style w:type="paragraph" w:customStyle="1" w:styleId="afff1">
    <w:name w:val="标准文件_术语条一"/>
    <w:basedOn w:val="ac"/>
    <w:next w:val="affa"/>
    <w:qFormat/>
    <w:pPr>
      <w:widowControl/>
    </w:pPr>
    <w:rPr>
      <w:rFonts w:ascii="宋体"/>
      <w:kern w:val="0"/>
      <w:szCs w:val="20"/>
    </w:rPr>
  </w:style>
  <w:style w:type="paragraph" w:customStyle="1" w:styleId="abstract">
    <w:name w:val="abstract"/>
    <w:basedOn w:val="ac"/>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c"/>
    <w:qFormat/>
    <w:pPr>
      <w:widowControl/>
      <w:spacing w:before="100" w:beforeAutospacing="1" w:after="100" w:afterAutospacing="1"/>
      <w:jc w:val="left"/>
    </w:pPr>
    <w:rPr>
      <w:rFonts w:ascii="宋体" w:hAnsi="宋体" w:cs="宋体"/>
      <w:kern w:val="0"/>
      <w:sz w:val="24"/>
    </w:rPr>
  </w:style>
  <w:style w:type="paragraph" w:styleId="afff2">
    <w:name w:val="No Spacing"/>
    <w:uiPriority w:val="99"/>
    <w:qFormat/>
    <w:pPr>
      <w:widowControl w:val="0"/>
      <w:jc w:val="both"/>
    </w:pPr>
    <w:rPr>
      <w:rFonts w:ascii="Calibri" w:hAnsi="Calibri"/>
      <w:kern w:val="2"/>
      <w:sz w:val="21"/>
      <w:szCs w:val="24"/>
    </w:rPr>
  </w:style>
  <w:style w:type="paragraph" w:customStyle="1" w:styleId="a1">
    <w:name w:val="标准文件_一级项"/>
    <w:qFormat/>
    <w:pPr>
      <w:numPr>
        <w:numId w:val="4"/>
      </w:numPr>
    </w:pPr>
    <w:rPr>
      <w:rFonts w:ascii="宋体"/>
      <w:sz w:val="21"/>
    </w:rPr>
  </w:style>
  <w:style w:type="paragraph" w:customStyle="1" w:styleId="ab">
    <w:name w:val="附录表标题"/>
    <w:basedOn w:val="ac"/>
    <w:next w:val="affe"/>
    <w:qFormat/>
    <w:pPr>
      <w:numPr>
        <w:ilvl w:val="1"/>
        <w:numId w:val="5"/>
      </w:numPr>
      <w:tabs>
        <w:tab w:val="left" w:pos="180"/>
      </w:tabs>
      <w:spacing w:beforeLines="50" w:afterLines="50"/>
      <w:ind w:left="0" w:firstLine="0"/>
      <w:jc w:val="center"/>
    </w:pPr>
    <w:rPr>
      <w:rFonts w:ascii="黑体" w:eastAsia="黑体" w:hAnsi="Times New Roman" w:cs="Times New Roman"/>
      <w:szCs w:val="21"/>
    </w:rPr>
  </w:style>
  <w:style w:type="paragraph" w:styleId="afff3">
    <w:name w:val="List Paragraph"/>
    <w:basedOn w:val="ac"/>
    <w:uiPriority w:val="99"/>
    <w:unhideWhenUsed/>
    <w:qFormat/>
    <w:pPr>
      <w:ind w:firstLineChars="200" w:firstLine="420"/>
    </w:pPr>
    <w:rPr>
      <w:rFonts w:ascii="Times New Roman" w:hAnsi="Times New Roman" w:cs="Times New Roman"/>
    </w:rPr>
  </w:style>
  <w:style w:type="character" w:customStyle="1" w:styleId="afc">
    <w:name w:val="页眉 字符"/>
    <w:basedOn w:val="ad"/>
    <w:link w:val="afb"/>
    <w:qFormat/>
    <w:rPr>
      <w:rFonts w:ascii="Calibri" w:hAnsi="Calibri" w:cs="Calibri"/>
      <w:kern w:val="2"/>
      <w:sz w:val="18"/>
      <w:szCs w:val="18"/>
    </w:rPr>
  </w:style>
  <w:style w:type="character" w:customStyle="1" w:styleId="aff1">
    <w:name w:val="批注主题 字符"/>
    <w:basedOn w:val="af1"/>
    <w:link w:val="aff0"/>
    <w:uiPriority w:val="99"/>
    <w:semiHidden/>
    <w:qFormat/>
    <w:rPr>
      <w:rFonts w:ascii="Calibri" w:eastAsia="宋体" w:hAnsi="Calibri" w:cs="Calibri"/>
      <w:b/>
      <w:bCs/>
      <w:kern w:val="2"/>
      <w:sz w:val="21"/>
      <w:szCs w:val="24"/>
    </w:rPr>
  </w:style>
  <w:style w:type="character" w:customStyle="1" w:styleId="af5">
    <w:name w:val="尾注文本 字符"/>
    <w:basedOn w:val="ad"/>
    <w:link w:val="af4"/>
    <w:uiPriority w:val="99"/>
    <w:semiHidden/>
    <w:qFormat/>
    <w:rPr>
      <w:rFonts w:ascii="Calibri" w:hAnsi="Calibri" w:cs="Calibri"/>
      <w:kern w:val="2"/>
      <w:sz w:val="21"/>
      <w:szCs w:val="24"/>
    </w:rPr>
  </w:style>
  <w:style w:type="paragraph" w:customStyle="1" w:styleId="a0">
    <w:name w:val="标准文件_方框数字列项"/>
    <w:basedOn w:val="affa"/>
    <w:qFormat/>
    <w:pPr>
      <w:numPr>
        <w:numId w:val="6"/>
      </w:numPr>
      <w:spacing w:line="240" w:lineRule="auto"/>
      <w:ind w:firstLineChars="0" w:firstLine="0"/>
    </w:pPr>
    <w:rPr>
      <w:rFonts w:ascii="宋体" w:eastAsia="宋体" w:hAnsi="Times New Roman" w:cs="Times New Roman"/>
      <w:kern w:val="0"/>
      <w:sz w:val="21"/>
      <w:szCs w:val="20"/>
    </w:rPr>
  </w:style>
  <w:style w:type="character" w:customStyle="1" w:styleId="af3">
    <w:name w:val="日期 字符"/>
    <w:basedOn w:val="ad"/>
    <w:link w:val="af2"/>
    <w:uiPriority w:val="99"/>
    <w:semiHidden/>
    <w:qFormat/>
    <w:rPr>
      <w:rFonts w:ascii="Calibri" w:hAnsi="Calibri" w:cs="Calibri"/>
      <w:kern w:val="2"/>
      <w:sz w:val="21"/>
      <w:szCs w:val="24"/>
    </w:rPr>
  </w:style>
  <w:style w:type="character" w:customStyle="1" w:styleId="aff">
    <w:name w:val="标题 字符"/>
    <w:basedOn w:val="ad"/>
    <w:link w:val="afe"/>
    <w:uiPriority w:val="10"/>
    <w:qFormat/>
    <w:rPr>
      <w:rFonts w:asciiTheme="majorHAnsi" w:eastAsiaTheme="majorEastAsia" w:hAnsiTheme="majorHAnsi" w:cstheme="majorBidi"/>
      <w:b/>
      <w:bCs/>
      <w:kern w:val="2"/>
      <w:sz w:val="32"/>
      <w:szCs w:val="32"/>
    </w:rPr>
  </w:style>
  <w:style w:type="table" w:customStyle="1" w:styleId="11">
    <w:name w:val="网格型1"/>
    <w:basedOn w:val="ae"/>
    <w:next w:val="aff2"/>
    <w:uiPriority w:val="39"/>
    <w:qFormat/>
    <w:rsid w:val="00D157EE"/>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FBC6E72-23D2-4334-9149-2976D2178D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1038</TotalTime>
  <Pages>19</Pages>
  <Words>1714</Words>
  <Characters>9774</Characters>
  <Application>Microsoft Office Word</Application>
  <DocSecurity>0</DocSecurity>
  <Lines>81</Lines>
  <Paragraphs>22</Paragraphs>
  <ScaleCrop>false</ScaleCrop>
  <Company>微软中国</Company>
  <LinksUpToDate>false</LinksUpToDate>
  <CharactersWithSpaces>11466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405</cp:revision>
  <cp:lastPrinted>2025-05-09T02:21:00Z</cp:lastPrinted>
  <dcterms:created xsi:type="dcterms:W3CDTF">2024-09-29T09:06:00Z</dcterms:created>
  <dcterms:modified xsi:type="dcterms:W3CDTF">2025-12-22T08:30:00Z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A922D90BF3B641DA8C66AE267C36FA1E_13</vt:lpwstr>
  </property>
  <property fmtid="{D5CDD505-2E9C-101B-9397-08002B2CF9AE}" pid="4" name="KSOTemplateDocerSaveRecord">
    <vt:lpwstr>eyJoZGlkIjoiNmQ1ZTAxODgwYWQ1NjFmNGMzNjRlNmY2MTk2ZjA3M2MiLCJ1c2VySWQiOiI1NjkwODQ0OTAifQ==</vt:lpwstr>
  </property>
</Properties>
</file>