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85B2C">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《颅脑损伤中西医结合诊疗规范》（</w:t>
      </w:r>
      <w:r>
        <w:rPr>
          <w:rFonts w:hint="eastAsia" w:ascii="方正小标宋简体" w:eastAsia="方正小标宋简体" w:cs="仿宋_GB2312"/>
          <w:bCs/>
          <w:color w:val="auto"/>
          <w:sz w:val="36"/>
          <w:szCs w:val="32"/>
          <w:lang w:eastAsia="zh-CN"/>
        </w:rPr>
        <w:t>送审</w:t>
      </w:r>
      <w:r>
        <w:rPr>
          <w:rFonts w:hint="eastAsia" w:ascii="方正小标宋简体" w:eastAsia="方正小标宋简体" w:cs="仿宋_GB2312"/>
          <w:bCs/>
          <w:color w:val="auto"/>
          <w:sz w:val="36"/>
          <w:szCs w:val="32"/>
        </w:rPr>
        <w:t>稿）编制说明</w:t>
      </w:r>
      <w:bookmarkStart w:id="25" w:name="_GoBack"/>
      <w:bookmarkEnd w:id="25"/>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37CF72A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eastAsia="zh-CN"/>
        </w:rPr>
        <w:t>广西标准化协会</w:t>
      </w:r>
      <w:r>
        <w:rPr>
          <w:rFonts w:hint="eastAsia" w:ascii="仿宋_GB2312" w:eastAsia="仿宋_GB2312"/>
          <w:color w:val="auto"/>
          <w:sz w:val="28"/>
          <w:szCs w:val="28"/>
        </w:rPr>
        <w:t>关于下达202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年第</w:t>
      </w:r>
      <w:r>
        <w:rPr>
          <w:rFonts w:hint="eastAsia" w:ascii="仿宋_GB2312" w:eastAsia="仿宋_GB2312"/>
          <w:color w:val="auto"/>
          <w:sz w:val="28"/>
          <w:szCs w:val="28"/>
          <w:lang w:val="en-US" w:eastAsia="zh-CN"/>
        </w:rPr>
        <w:t>三十八</w:t>
      </w:r>
      <w:r>
        <w:rPr>
          <w:rFonts w:hint="eastAsia" w:ascii="仿宋_GB2312" w:eastAsia="仿宋_GB2312"/>
          <w:color w:val="auto"/>
          <w:sz w:val="28"/>
          <w:szCs w:val="28"/>
        </w:rPr>
        <w:t>批团体标准制修订项目计划的通知》（桂标协〔202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332</w:t>
      </w:r>
      <w:r>
        <w:rPr>
          <w:rFonts w:hint="eastAsia" w:ascii="仿宋_GB2312" w:eastAsia="仿宋_GB2312"/>
          <w:color w:val="auto"/>
          <w:sz w:val="28"/>
          <w:szCs w:val="28"/>
        </w:rPr>
        <w:t>号）精神，由广西医科大学第一附属医院提出，广西医科大学第一附属医院、广西壮族自治区江滨医院、合浦县人民医院等单位共同起草的团体标准《颅脑损伤中西医结合诊疗规范》（项目编号</w:t>
      </w:r>
      <w:r>
        <w:rPr>
          <w:rFonts w:hint="eastAsia" w:ascii="仿宋_GB2312" w:eastAsia="仿宋_GB2312"/>
          <w:color w:val="auto"/>
          <w:sz w:val="28"/>
          <w:szCs w:val="28"/>
          <w:lang w:eastAsia="zh-CN"/>
        </w:rPr>
        <w:t>：</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2811</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E7ED8E7">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标准《颅脑损伤中西医结合诊疗规范》，由起草单位成立标准编制工作组并进行如下分工：</w:t>
      </w:r>
    </w:p>
    <w:tbl>
      <w:tblPr>
        <w:tblStyle w:val="14"/>
        <w:tblW w:w="4996" w:type="pct"/>
        <w:jc w:val="center"/>
        <w:tblLayout w:type="autofit"/>
        <w:tblCellMar>
          <w:top w:w="0" w:type="dxa"/>
          <w:left w:w="108" w:type="dxa"/>
          <w:bottom w:w="0" w:type="dxa"/>
          <w:right w:w="108" w:type="dxa"/>
        </w:tblCellMar>
      </w:tblPr>
      <w:tblGrid>
        <w:gridCol w:w="584"/>
        <w:gridCol w:w="950"/>
        <w:gridCol w:w="1558"/>
        <w:gridCol w:w="1644"/>
        <w:gridCol w:w="1710"/>
        <w:gridCol w:w="2721"/>
      </w:tblGrid>
      <w:tr w14:paraId="25407A55">
        <w:tblPrEx>
          <w:tblCellMar>
            <w:top w:w="0" w:type="dxa"/>
            <w:left w:w="108" w:type="dxa"/>
            <w:bottom w:w="0" w:type="dxa"/>
            <w:right w:w="108" w:type="dxa"/>
          </w:tblCellMar>
        </w:tblPrEx>
        <w:trPr>
          <w:cantSplit/>
          <w:trHeight w:val="410"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39057BC3">
            <w:pPr>
              <w:keepNext w:val="0"/>
              <w:keepLines w:val="0"/>
              <w:suppressLineNumbers w:val="0"/>
              <w:spacing w:before="0" w:beforeAutospacing="0" w:after="0" w:afterAutospacing="0"/>
              <w:ind w:left="0" w:right="0"/>
              <w:jc w:val="both"/>
              <w:rPr>
                <w:rFonts w:hint="eastAsia" w:ascii="仿宋" w:hAnsi="仿宋" w:eastAsia="仿宋" w:cs="仿宋"/>
                <w:b/>
                <w:bCs/>
              </w:rPr>
            </w:pPr>
            <w:r>
              <w:rPr>
                <w:rFonts w:hint="eastAsia" w:ascii="仿宋" w:hAnsi="仿宋" w:eastAsia="仿宋" w:cs="仿宋"/>
                <w:b/>
                <w:bCs/>
              </w:rPr>
              <w:t>序号</w:t>
            </w:r>
          </w:p>
        </w:tc>
        <w:tc>
          <w:tcPr>
            <w:tcW w:w="518" w:type="pct"/>
            <w:tcBorders>
              <w:top w:val="single" w:color="auto" w:sz="4" w:space="0"/>
              <w:left w:val="single" w:color="auto" w:sz="4" w:space="0"/>
              <w:bottom w:val="single" w:color="auto" w:sz="4" w:space="0"/>
              <w:right w:val="single" w:color="auto" w:sz="4" w:space="0"/>
            </w:tcBorders>
            <w:noWrap w:val="0"/>
            <w:vAlign w:val="center"/>
          </w:tcPr>
          <w:p w14:paraId="1BAF2236">
            <w:pPr>
              <w:keepNext w:val="0"/>
              <w:keepLines w:val="0"/>
              <w:suppressLineNumbers w:val="0"/>
              <w:spacing w:before="0" w:beforeAutospacing="0" w:after="0" w:afterAutospacing="0"/>
              <w:ind w:left="0" w:right="0"/>
              <w:jc w:val="both"/>
              <w:rPr>
                <w:rFonts w:hint="eastAsia" w:ascii="仿宋" w:hAnsi="仿宋" w:eastAsia="仿宋" w:cs="仿宋"/>
                <w:b/>
                <w:bCs/>
              </w:rPr>
            </w:pPr>
            <w:r>
              <w:rPr>
                <w:rFonts w:hint="eastAsia" w:ascii="仿宋" w:hAnsi="仿宋" w:eastAsia="仿宋" w:cs="仿宋"/>
                <w:b/>
                <w:bCs/>
              </w:rPr>
              <w:t>姓名</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5BD041DE">
            <w:pPr>
              <w:keepNext w:val="0"/>
              <w:keepLines w:val="0"/>
              <w:suppressLineNumbers w:val="0"/>
              <w:spacing w:before="0" w:beforeAutospacing="0" w:after="0" w:afterAutospacing="0"/>
              <w:ind w:left="0" w:right="0"/>
              <w:jc w:val="both"/>
              <w:rPr>
                <w:rFonts w:hint="eastAsia" w:ascii="仿宋" w:hAnsi="仿宋" w:eastAsia="仿宋" w:cs="仿宋"/>
                <w:b/>
                <w:bCs/>
              </w:rPr>
            </w:pPr>
            <w:r>
              <w:rPr>
                <w:rFonts w:hint="eastAsia" w:ascii="仿宋" w:hAnsi="仿宋" w:eastAsia="仿宋" w:cs="仿宋"/>
                <w:b/>
                <w:bCs/>
              </w:rPr>
              <w:t>单位</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23793106">
            <w:pPr>
              <w:keepNext w:val="0"/>
              <w:keepLines w:val="0"/>
              <w:suppressLineNumbers w:val="0"/>
              <w:spacing w:before="0" w:beforeAutospacing="0" w:after="0" w:afterAutospacing="0"/>
              <w:ind w:left="0" w:right="0"/>
              <w:jc w:val="both"/>
              <w:rPr>
                <w:rFonts w:hint="eastAsia" w:ascii="仿宋" w:hAnsi="仿宋" w:eastAsia="仿宋" w:cs="仿宋"/>
                <w:b/>
                <w:bCs/>
              </w:rPr>
            </w:pPr>
            <w:r>
              <w:rPr>
                <w:rFonts w:hint="eastAsia" w:ascii="仿宋" w:hAnsi="仿宋" w:eastAsia="仿宋" w:cs="仿宋"/>
                <w:b/>
                <w:bCs/>
              </w:rPr>
              <w:t>职务/职称</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20EA1EAE">
            <w:pPr>
              <w:keepNext w:val="0"/>
              <w:keepLines w:val="0"/>
              <w:suppressLineNumbers w:val="0"/>
              <w:spacing w:before="0" w:beforeAutospacing="0" w:after="0" w:afterAutospacing="0"/>
              <w:ind w:left="0" w:right="0"/>
              <w:jc w:val="both"/>
              <w:rPr>
                <w:rFonts w:hint="eastAsia" w:ascii="仿宋" w:hAnsi="仿宋" w:eastAsia="仿宋" w:cs="仿宋"/>
                <w:b/>
                <w:bCs/>
                <w:lang w:eastAsia="zh-CN"/>
              </w:rPr>
            </w:pPr>
            <w:r>
              <w:rPr>
                <w:rFonts w:hint="eastAsia" w:ascii="仿宋" w:hAnsi="仿宋" w:eastAsia="仿宋" w:cs="仿宋"/>
                <w:b/>
                <w:bCs/>
                <w:lang w:eastAsia="zh-CN"/>
              </w:rPr>
              <w:t>从事专业</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661D84BC">
            <w:pPr>
              <w:keepNext w:val="0"/>
              <w:keepLines w:val="0"/>
              <w:suppressLineNumbers w:val="0"/>
              <w:spacing w:before="0" w:beforeAutospacing="0" w:after="0" w:afterAutospacing="0"/>
              <w:ind w:left="0" w:right="0"/>
              <w:jc w:val="both"/>
              <w:rPr>
                <w:rFonts w:hint="eastAsia" w:ascii="仿宋" w:hAnsi="仿宋" w:eastAsia="仿宋" w:cs="仿宋"/>
                <w:b/>
                <w:bCs/>
                <w:lang w:eastAsia="zh-CN"/>
              </w:rPr>
            </w:pPr>
            <w:r>
              <w:rPr>
                <w:rFonts w:hint="eastAsia" w:ascii="仿宋" w:hAnsi="仿宋" w:eastAsia="仿宋" w:cs="仿宋"/>
                <w:b/>
                <w:bCs/>
              </w:rPr>
              <w:t>参与编制标准分工情况</w:t>
            </w:r>
          </w:p>
        </w:tc>
      </w:tr>
      <w:tr w14:paraId="7F535E05">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5C29851E">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BDCEAAB">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吕军影</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71DE031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1EF20F42">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5EC08818">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2B92A971">
            <w:pPr>
              <w:keepNext w:val="0"/>
              <w:keepLines w:val="0"/>
              <w:suppressLineNumbers w:val="0"/>
              <w:spacing w:before="0" w:beforeAutospacing="0" w:after="0" w:afterAutospacing="0"/>
              <w:ind w:left="0" w:leftChars="0" w:right="0" w:rightChars="0"/>
              <w:jc w:val="both"/>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统筹主持标准编制工作</w:t>
            </w:r>
          </w:p>
        </w:tc>
      </w:tr>
      <w:tr w14:paraId="4EE494CA">
        <w:tblPrEx>
          <w:tblCellMar>
            <w:top w:w="0" w:type="dxa"/>
            <w:left w:w="108" w:type="dxa"/>
            <w:bottom w:w="0" w:type="dxa"/>
            <w:right w:w="108" w:type="dxa"/>
          </w:tblCellMar>
        </w:tblPrEx>
        <w:trPr>
          <w:cantSplit/>
          <w:trHeight w:val="857"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1CB2BB07">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80641F5">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李 凯</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478AB965">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7528595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4081952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101CB75A">
            <w:pPr>
              <w:keepNext w:val="0"/>
              <w:keepLines w:val="0"/>
              <w:suppressLineNumbers w:val="0"/>
              <w:spacing w:before="0" w:beforeAutospacing="0" w:after="0" w:afterAutospacing="0"/>
              <w:ind w:left="0" w:leftChars="0" w:right="0" w:rightChars="0"/>
              <w:jc w:val="both"/>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参与标准文本及编制说明编写，质量控制</w:t>
            </w:r>
          </w:p>
        </w:tc>
      </w:tr>
      <w:tr w14:paraId="416D10EB">
        <w:tblPrEx>
          <w:tblCellMar>
            <w:top w:w="0" w:type="dxa"/>
            <w:left w:w="108" w:type="dxa"/>
            <w:bottom w:w="0" w:type="dxa"/>
            <w:right w:w="108" w:type="dxa"/>
          </w:tblCellMar>
        </w:tblPrEx>
        <w:trPr>
          <w:cantSplit/>
          <w:trHeight w:val="893"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6E8A321B">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7393DC71">
            <w:pPr>
              <w:keepNext w:val="0"/>
              <w:keepLines w:val="0"/>
              <w:suppressLineNumbers w:val="0"/>
              <w:spacing w:before="0" w:beforeAutospacing="0" w:after="0" w:afterAutospacing="0"/>
              <w:ind w:left="0" w:right="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刘启华</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39F9D2A3">
            <w:pPr>
              <w:keepNext w:val="0"/>
              <w:keepLines w:val="0"/>
              <w:suppressLineNumbers w:val="0"/>
              <w:spacing w:before="0" w:beforeAutospacing="0" w:after="0" w:afterAutospacing="0"/>
              <w:ind w:left="0" w:right="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15D9362E">
            <w:pPr>
              <w:keepNext w:val="0"/>
              <w:keepLines w:val="0"/>
              <w:suppressLineNumbers w:val="0"/>
              <w:spacing w:before="0" w:beforeAutospacing="0" w:after="0" w:afterAutospacing="0"/>
              <w:ind w:left="0" w:right="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3A6EFAED">
            <w:pPr>
              <w:keepNext w:val="0"/>
              <w:keepLines w:val="0"/>
              <w:suppressLineNumbers w:val="0"/>
              <w:spacing w:before="0" w:beforeAutospacing="0" w:after="0" w:afterAutospacing="0"/>
              <w:ind w:left="0" w:right="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03298C2F">
            <w:pPr>
              <w:keepNext w:val="0"/>
              <w:keepLines w:val="0"/>
              <w:suppressLineNumbers w:val="0"/>
              <w:spacing w:before="0" w:beforeAutospacing="0" w:after="0" w:afterAutospacing="0"/>
              <w:ind w:left="0" w:leftChars="0" w:right="0" w:rightChars="0"/>
              <w:jc w:val="both"/>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参与标准编制工作，组织人员进行标准发布后的宣贯培训</w:t>
            </w:r>
          </w:p>
        </w:tc>
      </w:tr>
      <w:tr w14:paraId="3B81AE3E">
        <w:tblPrEx>
          <w:tblCellMar>
            <w:top w:w="0" w:type="dxa"/>
            <w:left w:w="108" w:type="dxa"/>
            <w:bottom w:w="0" w:type="dxa"/>
            <w:right w:w="108" w:type="dxa"/>
          </w:tblCellMar>
        </w:tblPrEx>
        <w:trPr>
          <w:cantSplit/>
          <w:trHeight w:val="893"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0CD4F9D0">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C9317C7">
            <w:pPr>
              <w:keepNext w:val="0"/>
              <w:keepLines w:val="0"/>
              <w:suppressLineNumbers w:val="0"/>
              <w:spacing w:before="0" w:beforeAutospacing="0" w:after="0" w:afterAutospacing="0"/>
              <w:ind w:left="0" w:right="0"/>
              <w:jc w:val="both"/>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张钰琴</w:t>
            </w:r>
          </w:p>
        </w:tc>
        <w:tc>
          <w:tcPr>
            <w:tcW w:w="1558" w:type="dxa"/>
            <w:tcBorders>
              <w:top w:val="single" w:color="auto" w:sz="4" w:space="0"/>
              <w:left w:val="single" w:color="auto" w:sz="4" w:space="0"/>
              <w:bottom w:val="single" w:color="auto" w:sz="4" w:space="0"/>
              <w:right w:val="single" w:color="auto" w:sz="4" w:space="0"/>
            </w:tcBorders>
            <w:noWrap w:val="0"/>
            <w:vAlign w:val="center"/>
          </w:tcPr>
          <w:p w14:paraId="6251A41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广西医科大学第一附属医院</w:t>
            </w:r>
          </w:p>
        </w:tc>
        <w:tc>
          <w:tcPr>
            <w:tcW w:w="1644" w:type="dxa"/>
            <w:tcBorders>
              <w:top w:val="single" w:color="auto" w:sz="4" w:space="0"/>
              <w:left w:val="single" w:color="auto" w:sz="4" w:space="0"/>
              <w:bottom w:val="single" w:color="auto" w:sz="4" w:space="0"/>
              <w:right w:val="single" w:color="auto" w:sz="4" w:space="0"/>
            </w:tcBorders>
            <w:noWrap w:val="0"/>
            <w:vAlign w:val="center"/>
          </w:tcPr>
          <w:p w14:paraId="0D77D53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副主任医师</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1DD91759">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2A7E6FA9">
            <w:pPr>
              <w:keepNext w:val="0"/>
              <w:keepLines w:val="0"/>
              <w:suppressLineNumbers w:val="0"/>
              <w:spacing w:before="0" w:beforeAutospacing="0" w:after="0" w:afterAutospacing="0"/>
              <w:ind w:left="0" w:leftChars="0" w:right="0" w:rightChars="0"/>
              <w:jc w:val="both"/>
              <w:rPr>
                <w:rFonts w:hint="eastAsia" w:ascii="仿宋" w:hAnsi="仿宋" w:eastAsia="仿宋" w:cs="仿宋"/>
                <w:b w:val="0"/>
                <w:bCs w:val="0"/>
                <w:color w:val="auto"/>
                <w:sz w:val="24"/>
                <w:szCs w:val="24"/>
                <w:lang w:bidi="ar"/>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35AEF2F1">
        <w:tblPrEx>
          <w:tblCellMar>
            <w:top w:w="0" w:type="dxa"/>
            <w:left w:w="108" w:type="dxa"/>
            <w:bottom w:w="0" w:type="dxa"/>
            <w:right w:w="108" w:type="dxa"/>
          </w:tblCellMar>
        </w:tblPrEx>
        <w:trPr>
          <w:cantSplit/>
          <w:trHeight w:val="1518"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6DF227CA">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3AD494B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韦相兰</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7066EDFD">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广西壮族自治区江滨医院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76BF6C36">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7BA23213">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6487419F">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6A49E1AC">
        <w:tblPrEx>
          <w:tblCellMar>
            <w:top w:w="0" w:type="dxa"/>
            <w:left w:w="108" w:type="dxa"/>
            <w:bottom w:w="0" w:type="dxa"/>
            <w:right w:w="108" w:type="dxa"/>
          </w:tblCellMar>
        </w:tblPrEx>
        <w:trPr>
          <w:cantSplit/>
          <w:trHeight w:val="936"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73E28747">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021F361D">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杨 通</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54CCD744">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合浦县人民医院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7B2D5061">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10087F36">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center"/>
          </w:tcPr>
          <w:p w14:paraId="42D0793E">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651E722A">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585670A4">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7A1528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黄 乐</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3C26FE6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合浦县人民医院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1EDC6E14">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3C3F0112">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0230E41D">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20D363D0">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4FA408E8">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0B8DCD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彭玲玲</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3991379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60097E5B">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22DF9EBD">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29CE0DFB">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val="en-US" w:eastAsia="zh-CN" w:bidi="ar"/>
              </w:rPr>
              <w:t>参与标准文本及编制说明的编写；组织开展标准征求意见会；对标准实施情况进行总结分析，不断对标准提出修正意见</w:t>
            </w:r>
          </w:p>
        </w:tc>
      </w:tr>
      <w:tr w14:paraId="3B3B6BA3">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6EF0C9B6">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1D58892">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黄宗轩</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501851DD">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66A891D2">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副主任医师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03058434">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45234062">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6A39F7A0">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12B6F2CE">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E778A45">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谢天一</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6A5B682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5EA5FD27">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主治医师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5FE58FF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中西医结合脑病</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78D56446">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038546CA">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2B640644">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700FD96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陈观城</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6EBAA746">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2C5A8B15">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住院医师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75584E0A">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针灸</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5B7ED544">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r w14:paraId="6656C108">
        <w:tblPrEx>
          <w:tblCellMar>
            <w:top w:w="0" w:type="dxa"/>
            <w:left w:w="108" w:type="dxa"/>
            <w:bottom w:w="0" w:type="dxa"/>
            <w:right w:w="108" w:type="dxa"/>
          </w:tblCellMar>
        </w:tblPrEx>
        <w:trPr>
          <w:cantSplit/>
          <w:trHeight w:val="881" w:hRule="atLeast"/>
          <w:jc w:val="center"/>
        </w:trPr>
        <w:tc>
          <w:tcPr>
            <w:tcW w:w="319" w:type="pct"/>
            <w:tcBorders>
              <w:top w:val="single" w:color="auto" w:sz="4" w:space="0"/>
              <w:left w:val="single" w:color="auto" w:sz="4" w:space="0"/>
              <w:bottom w:val="single" w:color="auto" w:sz="4" w:space="0"/>
              <w:right w:val="single" w:color="auto" w:sz="4" w:space="0"/>
            </w:tcBorders>
            <w:noWrap w:val="0"/>
            <w:vAlign w:val="center"/>
          </w:tcPr>
          <w:p w14:paraId="5251C314">
            <w:pPr>
              <w:keepNext w:val="0"/>
              <w:keepLines w:val="0"/>
              <w:numPr>
                <w:ilvl w:val="0"/>
                <w:numId w:val="7"/>
              </w:numPr>
              <w:suppressLineNumbers w:val="0"/>
              <w:spacing w:before="0" w:beforeAutospacing="0" w:after="0" w:afterAutospacing="0"/>
              <w:ind w:left="425" w:leftChars="0" w:right="0" w:hanging="425" w:firstLineChars="0"/>
              <w:jc w:val="both"/>
              <w:rPr>
                <w:rFonts w:hint="eastAsia" w:ascii="仿宋" w:hAnsi="仿宋" w:eastAsia="仿宋" w:cs="仿宋"/>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0333C71E">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陶雪斌</w:t>
            </w:r>
          </w:p>
        </w:tc>
        <w:tc>
          <w:tcPr>
            <w:tcW w:w="849" w:type="pct"/>
            <w:tcBorders>
              <w:top w:val="single" w:color="auto" w:sz="4" w:space="0"/>
              <w:left w:val="single" w:color="auto" w:sz="4" w:space="0"/>
              <w:bottom w:val="single" w:color="auto" w:sz="4" w:space="0"/>
              <w:right w:val="single" w:color="auto" w:sz="4" w:space="0"/>
            </w:tcBorders>
            <w:noWrap w:val="0"/>
            <w:vAlign w:val="center"/>
          </w:tcPr>
          <w:p w14:paraId="3E624D39">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广西医科大学第一附属医院</w:t>
            </w:r>
          </w:p>
        </w:tc>
        <w:tc>
          <w:tcPr>
            <w:tcW w:w="896" w:type="pct"/>
            <w:tcBorders>
              <w:top w:val="single" w:color="auto" w:sz="4" w:space="0"/>
              <w:left w:val="single" w:color="auto" w:sz="4" w:space="0"/>
              <w:bottom w:val="single" w:color="auto" w:sz="4" w:space="0"/>
              <w:right w:val="single" w:color="auto" w:sz="4" w:space="0"/>
            </w:tcBorders>
            <w:noWrap w:val="0"/>
            <w:vAlign w:val="center"/>
          </w:tcPr>
          <w:p w14:paraId="57392B42">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副主任护师</w:t>
            </w:r>
          </w:p>
        </w:tc>
        <w:tc>
          <w:tcPr>
            <w:tcW w:w="932" w:type="pct"/>
            <w:tcBorders>
              <w:top w:val="single" w:color="auto" w:sz="4" w:space="0"/>
              <w:left w:val="single" w:color="auto" w:sz="4" w:space="0"/>
              <w:bottom w:val="single" w:color="auto" w:sz="4" w:space="0"/>
              <w:right w:val="single" w:color="auto" w:sz="4" w:space="0"/>
            </w:tcBorders>
            <w:noWrap w:val="0"/>
            <w:vAlign w:val="center"/>
          </w:tcPr>
          <w:p w14:paraId="2574ADE0">
            <w:pPr>
              <w:keepNext w:val="0"/>
              <w:keepLines w:val="0"/>
              <w:suppressLineNumbers w:val="0"/>
              <w:spacing w:before="0" w:beforeAutospacing="0" w:after="0" w:afterAutospacing="0"/>
              <w:ind w:left="0" w:right="0"/>
              <w:jc w:val="both"/>
              <w:rPr>
                <w:rFonts w:hint="eastAsia" w:ascii="仿宋" w:hAnsi="仿宋" w:eastAsia="仿宋" w:cs="仿宋"/>
                <w:b w:val="0"/>
                <w:bCs w:val="0"/>
                <w:sz w:val="24"/>
                <w:szCs w:val="24"/>
                <w:lang w:val="en-US"/>
              </w:rPr>
            </w:pPr>
            <w:r>
              <w:rPr>
                <w:rFonts w:hint="eastAsia" w:ascii="仿宋" w:hAnsi="仿宋" w:eastAsia="仿宋" w:cs="仿宋"/>
                <w:b w:val="0"/>
                <w:bCs w:val="0"/>
                <w:sz w:val="24"/>
                <w:szCs w:val="24"/>
                <w:lang w:val="en-US" w:eastAsia="zh-CN"/>
              </w:rPr>
              <w:t>护理</w:t>
            </w:r>
          </w:p>
        </w:tc>
        <w:tc>
          <w:tcPr>
            <w:tcW w:w="1483" w:type="pct"/>
            <w:tcBorders>
              <w:top w:val="single" w:color="auto" w:sz="4" w:space="0"/>
              <w:left w:val="single" w:color="auto" w:sz="4" w:space="0"/>
              <w:bottom w:val="single" w:color="auto" w:sz="4" w:space="0"/>
              <w:right w:val="single" w:color="auto" w:sz="4" w:space="0"/>
            </w:tcBorders>
            <w:noWrap w:val="0"/>
            <w:vAlign w:val="top"/>
          </w:tcPr>
          <w:p w14:paraId="0249B3FF">
            <w:pPr>
              <w:keepNext w:val="0"/>
              <w:keepLines w:val="0"/>
              <w:suppressLineNumbers w:val="0"/>
              <w:spacing w:before="0" w:beforeAutospacing="0" w:after="0" w:afterAutospacing="0"/>
              <w:ind w:left="0" w:leftChars="0" w:right="0" w:rightChars="0"/>
              <w:jc w:val="left"/>
              <w:rPr>
                <w:rFonts w:hint="eastAsia" w:ascii="仿宋" w:hAnsi="仿宋" w:eastAsia="仿宋" w:cs="仿宋"/>
                <w:b w:val="0"/>
                <w:bCs w:val="0"/>
                <w:sz w:val="24"/>
                <w:szCs w:val="24"/>
              </w:rPr>
            </w:pPr>
            <w:r>
              <w:rPr>
                <w:rFonts w:hint="eastAsia" w:ascii="仿宋" w:hAnsi="仿宋" w:eastAsia="仿宋" w:cs="仿宋"/>
                <w:b w:val="0"/>
                <w:bCs w:val="0"/>
                <w:color w:val="auto"/>
                <w:sz w:val="24"/>
                <w:szCs w:val="24"/>
                <w:lang w:bidi="ar"/>
              </w:rPr>
              <w:t>参与标准文本及编制说明的编写；组织开展标准征求意见会；对标准实施情况进行总结分析，不断对标准提出修正意见</w:t>
            </w:r>
          </w:p>
        </w:tc>
      </w:tr>
    </w:tbl>
    <w:p w14:paraId="25CD50C9">
      <w:pPr>
        <w:spacing w:line="520" w:lineRule="exact"/>
        <w:ind w:firstLine="640" w:firstLineChars="200"/>
        <w:rPr>
          <w:rFonts w:hint="eastAsia" w:ascii="黑体" w:eastAsia="黑体" w:cs="仿宋_GB2312"/>
          <w:color w:val="auto"/>
          <w:sz w:val="32"/>
          <w:szCs w:val="32"/>
        </w:rPr>
      </w:pPr>
    </w:p>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758A5711">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颅脑损伤作为神经外科常见的急性创伤性疾病，其发病率在全球创伤体系中位居前列，据估计，至2024年，颅脑损伤将成为全球第3大致死和致残原因。我国每年新发病例超百万，且呈现年轻化趋势，主要诱因包括交通事故、高空坠落、意外撞击等。该疾病具有起病急、病情进展快、致残致死率高的特点，重症患者病死率可达30%-50%，存活者中约70%会遗留不同程度的认知障碍、运动功能丧失、癫痫等后遗症，不仅给患者带来终身痛苦，更给家庭和社会造成沉重的医疗负担与经济压力。当前临床诊疗中，西医以手术清除血肿、脱水降颅压、预防感染等急症干预为主，虽能快速控制致命性损伤，但在神经功能修复、并发症防治、后期康复等方面存在明显局限，部分患者因术后神经递质紊乱、脑组织微循环障碍等问题，康复进程缓慢，生活质量难以提升。</w:t>
      </w:r>
    </w:p>
    <w:p w14:paraId="74399B1C">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中西医结合诊疗在颅脑损伤的治疗中展现出独特优势，其核心优势在于实现了西医急症救治与中医辨证调理的有机互补。西医在颅脑损伤的紧急救治、手术干预和重症监护方面具有显著优势，能够快速稳定患者生命体征，解除危急情况。而中医则在改善神经功能、促进康复、减轻并发症等方面发挥重要作用，如中药方剂可调节气血运行，改善脑部血液循环；针灸、推拿等疗法能缓解疼痛、改善肢体功能；中医康复训练可帮助患者恢复运动能力和日常生活能力。中西医结合不仅能够优势互补，提高治疗效果，还能减少单一治疗方法的副作用，缩短康复周期，提高患者生活质量。进入康复期，中医针灸、推拿、中药方剂等疗法在促进神经功能恢复、缓解肌肉痉挛、改善认知障碍等方面展现出显著疗效，相关临床研究表明，接受中西医结合治疗的患者，其运动功能恢复率较单纯西医治疗提高20%-30%，并发症发生率降低15%以上。然而，目前中西医结合诊疗在颅脑损伤领域的应用尚未形成标准化、规范化的体系，缺乏统一的诊疗路径和操作规范，这限制了其临床推广和应用效果。</w:t>
      </w:r>
    </w:p>
    <w:p w14:paraId="3A5579FE">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制定标准规范具有重要的行业引领意义、临床实用价值与社会公益价值。从行业层面来看，该标准的出台能够整合国内外最新诊疗研究成果与临床实践经验，明确中西医结合诊疗的适用范围、辨证分型标准、治疗流程、疗效评价体系等核心内容，为各级医疗机构提供统一的技术指引，有效规范诊疗行为，缩小不同地区、不同科室之间的诊疗差距，推动我国颅脑损伤诊疗水平的整体提升。从患者层面而言，标准化的诊疗规范能够保障患者获得科学、精准、连贯的治疗服务，减少因诊疗不规范导致的医疗风险，提高治愈率，降低致残率与病死率，切实改善患者的预后与生活质量。从学科与产业发展层面，该标准的制定有助于梳理中西医结合诊疗的核心技术体系，为学科人才培养、临床教学提供权威教材，同时为相关科研工作提供统一的研究基准，推动中西医结合神经外科学科的规范化发展。此外，该标准符合国家大力发展中医药事业、推进中西医协同发展的政策导向，能够进一步挖掘中医药在创伤救治领域的独特价值，提升我国在该领域的诊疗话语权，为全球颅脑损伤的治疗提供中国方案，具有深远的社会与行业影响。</w:t>
      </w:r>
    </w:p>
    <w:p w14:paraId="5B52D9B8">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202</w:t>
      </w:r>
      <w:r>
        <w:rPr>
          <w:rFonts w:hint="eastAsia" w:ascii="仿宋_GB2312" w:eastAsia="仿宋_GB2312"/>
          <w:color w:val="auto"/>
          <w:sz w:val="28"/>
          <w:szCs w:val="28"/>
          <w:lang w:val="en-US" w:eastAsia="zh-CN"/>
        </w:rPr>
        <w:t>2</w:t>
      </w:r>
      <w:r>
        <w:rPr>
          <w:rFonts w:hint="eastAsia" w:ascii="仿宋_GB2312" w:eastAsia="仿宋_GB2312"/>
          <w:color w:val="auto"/>
          <w:sz w:val="28"/>
          <w:szCs w:val="28"/>
          <w:lang w:eastAsia="zh-CN"/>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lang w:eastAsia="zh-CN"/>
        </w:rPr>
        <w:t>近三年广西</w:t>
      </w:r>
      <w:r>
        <w:rPr>
          <w:rFonts w:hint="eastAsia" w:ascii="仿宋_GB2312" w:eastAsia="仿宋_GB2312"/>
          <w:color w:val="auto"/>
          <w:sz w:val="28"/>
          <w:szCs w:val="28"/>
          <w:lang w:val="en-US" w:eastAsia="zh-CN"/>
        </w:rPr>
        <w:t>医科大学第一附属医院</w:t>
      </w:r>
      <w:r>
        <w:rPr>
          <w:rFonts w:hint="eastAsia" w:ascii="仿宋_GB2312" w:eastAsia="仿宋_GB2312"/>
          <w:color w:val="auto"/>
          <w:sz w:val="28"/>
          <w:szCs w:val="28"/>
          <w:lang w:eastAsia="zh-CN"/>
        </w:rPr>
        <w:t>使用中西医结合治疗的颅脑损伤患者，数量</w:t>
      </w:r>
      <w:r>
        <w:rPr>
          <w:rFonts w:hint="eastAsia" w:ascii="仿宋_GB2312" w:eastAsia="仿宋_GB2312"/>
          <w:color w:val="auto"/>
          <w:sz w:val="28"/>
          <w:szCs w:val="28"/>
          <w:lang w:val="en-US" w:eastAsia="zh-CN"/>
        </w:rPr>
        <w:t>有300余例，有效率达90%以上，合浦县人民医院近3年共收治颅脑损伤患者300余例。</w:t>
      </w:r>
      <w:r>
        <w:rPr>
          <w:rFonts w:hint="eastAsia" w:ascii="仿宋_GB2312" w:eastAsia="仿宋_GB2312"/>
          <w:color w:val="auto"/>
          <w:sz w:val="28"/>
          <w:szCs w:val="28"/>
          <w:lang w:eastAsia="zh-CN"/>
        </w:rPr>
        <w:t>且由于广西人口基数较大且老龄化趋势逐渐显现，脑血管疾病和颅脑损伤的发病率呈上升趋势，预计对中西医结合治疗的需求较高。目前广西共有各级医疗机构数千家，其中具备中西医结合诊疗能力的医院数量有限，多数基层医院可能需要相关技术指导以提升治疗水平。</w:t>
      </w:r>
    </w:p>
    <w:p w14:paraId="4047666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eastAsia="zh-CN"/>
        </w:rPr>
        <w:t>通过制定团体标准《颅脑损伤中西医结合诊疗规范》，以标准为抓手，统一规范颅脑损伤中西医结合诊疗规范中西医结合诊疗要求，提高颅脑损伤中西医结合诊疗水平，进一步发挥中西医诊疗技术优势，提高颅脑损伤患者的生活质量，促进医疗事业健康发展具有重要意义。</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团体标准《</w:t>
      </w:r>
      <w:r>
        <w:rPr>
          <w:rFonts w:hint="eastAsia" w:ascii="仿宋_GB2312" w:eastAsia="仿宋_GB2312"/>
          <w:color w:val="auto"/>
          <w:sz w:val="28"/>
          <w:szCs w:val="28"/>
          <w:lang w:val="en-US" w:eastAsia="zh-CN"/>
        </w:rPr>
        <w:t>颅脑损伤中西医结合诊疗规范</w:t>
      </w:r>
      <w:r>
        <w:rPr>
          <w:rFonts w:hint="eastAsia" w:ascii="仿宋_GB2312" w:eastAsia="仿宋_GB2312"/>
          <w:color w:val="auto"/>
          <w:sz w:val="28"/>
          <w:szCs w:val="28"/>
        </w:rPr>
        <w:t>》项目任务下达后，</w:t>
      </w:r>
      <w:r>
        <w:rPr>
          <w:rFonts w:hint="eastAsia" w:ascii="仿宋_GB2312" w:eastAsia="仿宋_GB2312"/>
          <w:color w:val="auto"/>
          <w:sz w:val="28"/>
          <w:szCs w:val="28"/>
          <w:lang w:val="en-US" w:eastAsia="zh-CN"/>
        </w:rPr>
        <w:t>广西医科大学第一附属医院、广西壮族自治区江滨医院、合浦县人民医院</w:t>
      </w:r>
      <w:r>
        <w:rPr>
          <w:rFonts w:hint="eastAsia" w:ascii="仿宋_GB2312" w:eastAsia="仿宋_GB2312"/>
          <w:color w:val="auto"/>
          <w:sz w:val="28"/>
          <w:szCs w:val="28"/>
        </w:rPr>
        <w:t>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US" w:eastAsia="zh-CN"/>
        </w:rPr>
        <w:t>颅脑损伤中西医结合诊疗</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US" w:eastAsia="zh-CN"/>
        </w:rPr>
        <w:t>颅脑损伤中西医结合</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val="en-US" w:eastAsia="zh-CN"/>
        </w:rPr>
        <w:t>颅脑损伤中西医</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标准编制工作组收集了国内有关颅脑损伤中西医结合的相关文献资料。主要有：</w:t>
      </w:r>
    </w:p>
    <w:p w14:paraId="06E40792">
      <w:pPr>
        <w:spacing w:line="520" w:lineRule="exact"/>
        <w:ind w:firstLine="560" w:firstLineChars="200"/>
        <w:rPr>
          <w:rFonts w:hint="eastAsia" w:ascii="仿宋_GB2312" w:eastAsia="仿宋_GB2312"/>
          <w:color w:val="auto"/>
          <w:sz w:val="28"/>
          <w:szCs w:val="28"/>
          <w:lang w:val="en-US"/>
        </w:rPr>
      </w:pPr>
      <w:bookmarkStart w:id="0" w:name="OLE_LINK114"/>
      <w:bookmarkStart w:id="1" w:name="OLE_LINK113"/>
      <w:bookmarkStart w:id="2" w:name="OLE_LINK109"/>
      <w:bookmarkStart w:id="3" w:name="OLE_LINK110"/>
      <w:r>
        <w:rPr>
          <w:rFonts w:hint="eastAsia" w:ascii="仿宋_GB2312" w:eastAsia="仿宋_GB2312"/>
          <w:color w:val="auto"/>
          <w:sz w:val="28"/>
          <w:szCs w:val="28"/>
          <w:lang w:val="en-US" w:eastAsia="zh-CN"/>
        </w:rPr>
        <w:t>[1]  陈孝平，汪建平，赵继宗主编.</w:t>
      </w:r>
      <w:bookmarkStart w:id="4" w:name="OLE_LINK116"/>
      <w:bookmarkStart w:id="5" w:name="OLE_LINK115"/>
      <w:r>
        <w:rPr>
          <w:rFonts w:hint="eastAsia" w:ascii="仿宋_GB2312" w:eastAsia="仿宋_GB2312"/>
          <w:color w:val="auto"/>
          <w:sz w:val="28"/>
          <w:szCs w:val="28"/>
          <w:lang w:val="en-US" w:eastAsia="zh-CN"/>
        </w:rPr>
        <w:t>外科学</w:t>
      </w:r>
      <w:bookmarkEnd w:id="4"/>
      <w:bookmarkEnd w:id="5"/>
      <w:r>
        <w:rPr>
          <w:rFonts w:hint="eastAsia" w:ascii="仿宋_GB2312" w:eastAsia="仿宋_GB2312"/>
          <w:color w:val="auto"/>
          <w:sz w:val="28"/>
          <w:szCs w:val="28"/>
          <w:lang w:val="en-US" w:eastAsia="zh-CN"/>
        </w:rPr>
        <w:t>[M].9版.北京：人民卫生出版社，2018.</w:t>
      </w:r>
    </w:p>
    <w:p w14:paraId="0D66F821">
      <w:pPr>
        <w:spacing w:line="520" w:lineRule="exact"/>
        <w:ind w:firstLine="560" w:firstLineChars="200"/>
        <w:rPr>
          <w:rFonts w:hint="eastAsia" w:ascii="仿宋_GB2312" w:eastAsia="仿宋_GB2312"/>
          <w:color w:val="auto"/>
          <w:sz w:val="28"/>
          <w:szCs w:val="28"/>
          <w:lang w:val="en-US"/>
        </w:rPr>
      </w:pPr>
      <w:r>
        <w:rPr>
          <w:rFonts w:hint="eastAsia" w:ascii="仿宋_GB2312" w:eastAsia="仿宋_GB2312"/>
          <w:color w:val="auto"/>
          <w:sz w:val="28"/>
          <w:szCs w:val="28"/>
          <w:lang w:val="en-US" w:eastAsia="zh-CN"/>
        </w:rPr>
        <w:t>[2]</w:t>
      </w:r>
      <w:bookmarkEnd w:id="0"/>
      <w:bookmarkEnd w:id="1"/>
      <w:r>
        <w:rPr>
          <w:rFonts w:hint="eastAsia" w:ascii="仿宋_GB2312" w:eastAsia="仿宋_GB2312"/>
          <w:color w:val="auto"/>
          <w:sz w:val="28"/>
          <w:szCs w:val="28"/>
          <w:lang w:val="en-US" w:eastAsia="zh-CN"/>
        </w:rPr>
        <w:t xml:space="preserve">  国家中医药管理局.</w:t>
      </w:r>
      <w:bookmarkStart w:id="6" w:name="OLE_LINK107"/>
      <w:bookmarkStart w:id="7" w:name="OLE_LINK108"/>
      <w:r>
        <w:rPr>
          <w:rFonts w:hint="eastAsia" w:ascii="仿宋_GB2312" w:eastAsia="仿宋_GB2312"/>
          <w:color w:val="auto"/>
          <w:sz w:val="28"/>
          <w:szCs w:val="28"/>
          <w:lang w:val="en-US" w:eastAsia="zh-CN"/>
        </w:rPr>
        <w:t>头部内伤(颅脑损伤)恢复期中医临床路径</w:t>
      </w:r>
      <w:bookmarkEnd w:id="6"/>
      <w:bookmarkEnd w:id="7"/>
      <w:r>
        <w:rPr>
          <w:rFonts w:hint="eastAsia" w:ascii="仿宋_GB2312" w:eastAsia="仿宋_GB2312"/>
          <w:color w:val="auto"/>
          <w:sz w:val="28"/>
          <w:szCs w:val="28"/>
          <w:lang w:val="en-US" w:eastAsia="zh-CN"/>
        </w:rPr>
        <w:t>(2017年版)[Z].2017</w:t>
      </w:r>
      <w:bookmarkEnd w:id="2"/>
      <w:bookmarkEnd w:id="3"/>
      <w:r>
        <w:rPr>
          <w:rFonts w:hint="eastAsia" w:ascii="仿宋_GB2312" w:eastAsia="仿宋_GB2312"/>
          <w:color w:val="auto"/>
          <w:sz w:val="28"/>
          <w:szCs w:val="28"/>
          <w:lang w:val="en-US" w:eastAsia="zh-CN"/>
        </w:rPr>
        <w:t>.</w:t>
      </w:r>
    </w:p>
    <w:p w14:paraId="609DAAA4">
      <w:pPr>
        <w:spacing w:line="520" w:lineRule="exact"/>
        <w:ind w:firstLine="560" w:firstLineChars="200"/>
        <w:rPr>
          <w:rFonts w:hint="eastAsia" w:ascii="仿宋_GB2312" w:eastAsia="仿宋_GB2312"/>
          <w:color w:val="auto"/>
          <w:sz w:val="28"/>
          <w:szCs w:val="28"/>
          <w:lang w:val="en-US"/>
        </w:rPr>
      </w:pPr>
      <w:r>
        <w:rPr>
          <w:rFonts w:hint="eastAsia" w:ascii="仿宋_GB2312" w:eastAsia="仿宋_GB2312"/>
          <w:color w:val="auto"/>
          <w:sz w:val="28"/>
          <w:szCs w:val="28"/>
          <w:lang w:val="en-US" w:eastAsia="zh-CN"/>
        </w:rPr>
        <w:t>[3]  赵建阳,张民,薄红梅,李辉,孙强等.中西医结合治疗急性重型颅脑损伤临床研究[J].中国中西医结合杂志，2021.</w:t>
      </w:r>
    </w:p>
    <w:p w14:paraId="7FE79CD8">
      <w:pPr>
        <w:spacing w:line="520" w:lineRule="exact"/>
        <w:ind w:firstLine="560" w:firstLineChars="200"/>
        <w:rPr>
          <w:rFonts w:hint="eastAsia" w:ascii="仿宋_GB2312" w:eastAsia="仿宋_GB2312"/>
          <w:color w:val="auto"/>
          <w:sz w:val="28"/>
          <w:szCs w:val="28"/>
        </w:rPr>
      </w:pPr>
      <w:bookmarkStart w:id="8" w:name="OLE_LINK102"/>
      <w:bookmarkStart w:id="9" w:name="OLE_LINK101"/>
      <w:r>
        <w:rPr>
          <w:rFonts w:hint="eastAsia" w:ascii="仿宋_GB2312" w:eastAsia="仿宋_GB2312"/>
          <w:color w:val="auto"/>
          <w:sz w:val="28"/>
          <w:szCs w:val="28"/>
          <w:lang w:val="en-US" w:eastAsia="zh-CN"/>
        </w:rPr>
        <w:t>[4]  滕丽丽，朱路文，商晓英.颅脑损伤的中西医结合康复现状[J].华西医学，2022,37(5):662-667.</w:t>
      </w:r>
      <w:bookmarkEnd w:id="8"/>
      <w:bookmarkEnd w:id="9"/>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（三）研讨确定标准主体内容</w:t>
      </w:r>
      <w:r>
        <w:rPr>
          <w:rFonts w:hint="eastAsia" w:ascii="仿宋_GB2312" w:eastAsia="仿宋_GB2312" w:cs="仿宋_GB2312"/>
          <w:b/>
          <w:color w:val="auto"/>
          <w:sz w:val="28"/>
          <w:szCs w:val="28"/>
          <w:lang w:eastAsia="zh-CN"/>
        </w:rPr>
        <w:t>、核心技术及创新点</w:t>
      </w:r>
    </w:p>
    <w:p w14:paraId="7D714B21">
      <w:pPr>
        <w:pStyle w:val="30"/>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US" w:eastAsia="zh-CN"/>
        </w:rPr>
        <w:t>界定了</w:t>
      </w:r>
      <w:bookmarkStart w:id="10" w:name="OLE_LINK91"/>
      <w:bookmarkStart w:id="11" w:name="OLE_LINK49"/>
      <w:bookmarkStart w:id="12" w:name="OLE_LINK48"/>
      <w:bookmarkStart w:id="13" w:name="OLE_LINK32"/>
      <w:bookmarkStart w:id="14" w:name="OLE_LINK28"/>
      <w:bookmarkStart w:id="15" w:name="OLE_LINK29"/>
      <w:bookmarkStart w:id="16" w:name="OLE_LINK100"/>
      <w:r>
        <w:rPr>
          <w:rFonts w:hint="eastAsia" w:ascii="仿宋_GB2312" w:eastAsia="仿宋_GB2312"/>
          <w:color w:val="auto"/>
          <w:sz w:val="28"/>
          <w:szCs w:val="28"/>
          <w:lang w:val="en-US" w:eastAsia="zh-CN"/>
        </w:rPr>
        <w:t>颅脑损伤</w:t>
      </w:r>
      <w:bookmarkEnd w:id="10"/>
      <w:bookmarkEnd w:id="11"/>
      <w:bookmarkEnd w:id="12"/>
      <w:bookmarkEnd w:id="13"/>
      <w:bookmarkEnd w:id="14"/>
      <w:bookmarkEnd w:id="15"/>
      <w:bookmarkEnd w:id="16"/>
      <w:r>
        <w:rPr>
          <w:rFonts w:hint="eastAsia" w:ascii="仿宋_GB2312" w:eastAsia="仿宋_GB2312"/>
          <w:color w:val="auto"/>
          <w:sz w:val="28"/>
          <w:szCs w:val="28"/>
          <w:lang w:val="en-US" w:eastAsia="zh-CN"/>
        </w:rPr>
        <w:t>的术语和定义，规定了颅脑损伤中西医结合的诊断、治疗、禁忌症、日常调护的要求</w:t>
      </w:r>
      <w:r>
        <w:rPr>
          <w:rFonts w:hint="eastAsia" w:ascii="仿宋_GB2312" w:eastAsia="仿宋_GB2312"/>
          <w:color w:val="auto"/>
          <w:sz w:val="28"/>
          <w:szCs w:val="28"/>
        </w:rPr>
        <w:t>。</w:t>
      </w:r>
      <w:r>
        <w:rPr>
          <w:rFonts w:hint="eastAsia" w:ascii="仿宋_GB2312" w:eastAsia="仿宋_GB2312"/>
          <w:color w:val="auto"/>
          <w:sz w:val="28"/>
          <w:szCs w:val="28"/>
          <w:lang w:eastAsia="zh-CN"/>
        </w:rPr>
        <w:t>核心技术及创新点在于：</w:t>
      </w:r>
    </w:p>
    <w:p w14:paraId="09C2D1CE">
      <w:pPr>
        <w:pStyle w:val="30"/>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lang w:eastAsia="zh-CN"/>
        </w:rPr>
        <w:t>建立西医诊断先行，中医辨证分型的诊疗模式，实现中西医诊断的有机结合。明确西医诊断依据《外科学》（第九版），中医诊断采用四诊合参，实现标准化辨证。</w:t>
      </w:r>
    </w:p>
    <w:p w14:paraId="60718C48">
      <w:pPr>
        <w:pStyle w:val="30"/>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2、</w:t>
      </w:r>
      <w:r>
        <w:rPr>
          <w:rFonts w:hint="eastAsia" w:ascii="仿宋_GB2312" w:eastAsia="仿宋_GB2312"/>
          <w:color w:val="auto"/>
          <w:sz w:val="28"/>
          <w:szCs w:val="28"/>
          <w:lang w:eastAsia="zh-CN"/>
        </w:rPr>
        <w:t>将治疗分为急性期（2周内）、恢复期（2周至6个月）和后遗症期（6个月后），每阶段治疗目标明确，体现个体化与阶段性结合。</w:t>
      </w:r>
    </w:p>
    <w:p w14:paraId="32B991D7">
      <w:pPr>
        <w:pStyle w:val="30"/>
        <w:numPr>
          <w:ilvl w:val="0"/>
          <w:numId w:val="0"/>
        </w:numPr>
        <w:spacing w:line="520" w:lineRule="exact"/>
        <w:ind w:firstLine="560" w:firstLineChars="20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3、</w:t>
      </w:r>
      <w:r>
        <w:rPr>
          <w:rFonts w:hint="eastAsia" w:ascii="仿宋_GB2312" w:eastAsia="仿宋_GB2312"/>
          <w:color w:val="auto"/>
          <w:sz w:val="28"/>
          <w:szCs w:val="28"/>
          <w:lang w:eastAsia="zh-CN"/>
        </w:rPr>
        <w:t>提出5种中医证型（气滞血瘀、瘀阻清窍、气虚血瘀、痰瘀交阻、肝肾亏虚），每型均明确治法、方药、疗程及外治方法。外治法涵盖针刺、推拿、点穴、穴位贴敷、中药直肠滴注、中药涂擦等</w:t>
      </w:r>
      <w:r>
        <w:rPr>
          <w:rFonts w:hint="eastAsia" w:ascii="仿宋_GB2312" w:eastAsia="仿宋_GB2312"/>
          <w:color w:val="auto"/>
          <w:sz w:val="28"/>
          <w:szCs w:val="28"/>
          <w:lang w:val="en-US" w:eastAsia="zh-CN"/>
        </w:rPr>
        <w:t>。</w:t>
      </w:r>
    </w:p>
    <w:p w14:paraId="32EC1651">
      <w:pPr>
        <w:pStyle w:val="30"/>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4、</w:t>
      </w:r>
      <w:r>
        <w:rPr>
          <w:rFonts w:hint="eastAsia" w:ascii="仿宋_GB2312" w:eastAsia="仿宋_GB2312"/>
          <w:color w:val="auto"/>
          <w:sz w:val="28"/>
          <w:szCs w:val="28"/>
          <w:lang w:eastAsia="zh-CN"/>
        </w:rPr>
        <w:t>针对肺部感染、尿路感染、颅内感染、癫痫、肺栓塞、下肢静脉血栓、精神异常、脑积水等常见并发症，提出中西医结合治疗方案，体现综合治疗优势。</w:t>
      </w:r>
    </w:p>
    <w:p w14:paraId="41EA77E7">
      <w:pPr>
        <w:pStyle w:val="30"/>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5、</w:t>
      </w:r>
      <w:r>
        <w:rPr>
          <w:rFonts w:hint="eastAsia" w:ascii="仿宋_GB2312" w:eastAsia="仿宋_GB2312"/>
          <w:color w:val="auto"/>
          <w:sz w:val="28"/>
          <w:szCs w:val="28"/>
          <w:lang w:eastAsia="zh-CN"/>
        </w:rPr>
        <w:t>引入现代康复技术（如经颅磁电刺激、电动站立床、电脑中频电治疗等）与中医传统康复方法（如推拿、点穴、太极拳、八段锦）相结合。</w:t>
      </w:r>
    </w:p>
    <w:p w14:paraId="32F21DDF">
      <w:pPr>
        <w:pStyle w:val="30"/>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创新点</w:t>
      </w:r>
      <w:r>
        <w:rPr>
          <w:rFonts w:hint="eastAsia" w:ascii="仿宋_GB2312" w:eastAsia="仿宋_GB2312"/>
          <w:color w:val="auto"/>
          <w:sz w:val="28"/>
          <w:szCs w:val="28"/>
          <w:lang w:val="en-US" w:eastAsia="zh-CN"/>
        </w:rPr>
        <w:t>在于：1、</w:t>
      </w:r>
      <w:r>
        <w:rPr>
          <w:rFonts w:hint="eastAsia" w:ascii="仿宋_GB2312" w:eastAsia="仿宋_GB2312"/>
          <w:color w:val="auto"/>
          <w:sz w:val="28"/>
          <w:szCs w:val="28"/>
          <w:lang w:eastAsia="zh-CN"/>
        </w:rPr>
        <w:t>首次系统构建颅脑损伤的中西医结合诊疗规范，填补了该领域标准化空白。将中医外治法（如针刺、推拿、穴位贴敷等）的操作步骤、取穴标准、治疗时长等具体化，提升可操作性与安全性。</w:t>
      </w:r>
      <w:r>
        <w:rPr>
          <w:rFonts w:hint="eastAsia" w:ascii="仿宋_GB2312" w:eastAsia="仿宋_GB2312"/>
          <w:color w:val="auto"/>
          <w:sz w:val="28"/>
          <w:szCs w:val="28"/>
          <w:lang w:val="en-US" w:eastAsia="zh-CN"/>
        </w:rPr>
        <w:t>2、</w:t>
      </w:r>
      <w:r>
        <w:rPr>
          <w:rFonts w:hint="eastAsia" w:ascii="仿宋_GB2312" w:eastAsia="仿宋_GB2312"/>
          <w:color w:val="auto"/>
          <w:sz w:val="28"/>
          <w:szCs w:val="28"/>
          <w:lang w:eastAsia="zh-CN"/>
        </w:rPr>
        <w:t>中药直肠滴注与涂擦治疗的应用创新，针对无法口服或鼻饲患者，提出中药直肠滴注疗法，具有通腑、退热、不增加颅内压的优势，体现临床实用性创新。</w:t>
      </w:r>
      <w:r>
        <w:rPr>
          <w:rFonts w:hint="eastAsia" w:ascii="仿宋_GB2312" w:eastAsia="仿宋_GB2312"/>
          <w:color w:val="auto"/>
          <w:sz w:val="28"/>
          <w:szCs w:val="28"/>
          <w:lang w:val="en-US" w:eastAsia="zh-CN"/>
        </w:rPr>
        <w:t>3、</w:t>
      </w:r>
      <w:r>
        <w:rPr>
          <w:rFonts w:hint="eastAsia" w:ascii="仿宋_GB2312" w:eastAsia="仿宋_GB2312"/>
          <w:color w:val="auto"/>
          <w:sz w:val="28"/>
          <w:szCs w:val="28"/>
          <w:lang w:eastAsia="zh-CN"/>
        </w:rPr>
        <w:t>明确列出中西医治疗的禁忌症，并系统提出日常调护建议，涵盖饮食、情绪、康复、生活规律等方面，体现全病程管理理念。</w:t>
      </w:r>
    </w:p>
    <w:p w14:paraId="32F8A475">
      <w:pPr>
        <w:pStyle w:val="30"/>
        <w:numPr>
          <w:ilvl w:val="0"/>
          <w:numId w:val="0"/>
        </w:numPr>
        <w:spacing w:line="520" w:lineRule="exact"/>
        <w:ind w:firstLine="560" w:firstLineChars="200"/>
        <w:rPr>
          <w:rFonts w:hint="eastAsia" w:ascii="仿宋_GB2312" w:eastAsia="仿宋_GB2312"/>
          <w:color w:val="auto"/>
          <w:sz w:val="28"/>
          <w:szCs w:val="28"/>
          <w:lang w:eastAsia="zh-CN"/>
        </w:rPr>
      </w:pPr>
    </w:p>
    <w:p w14:paraId="31A81503">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9</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10</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US" w:eastAsia="zh-CN"/>
        </w:rPr>
        <w:t>颅脑损伤中西医结合</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颅脑损伤中西医结合诊疗规范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kern w:val="0"/>
          <w:sz w:val="28"/>
          <w:szCs w:val="28"/>
          <w:lang w:eastAsia="zh-CN"/>
        </w:rPr>
        <w:t>颅脑损伤中西医结合诊疗</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目前颅脑损伤中西医结合诊疗</w:t>
      </w:r>
      <w:r>
        <w:rPr>
          <w:rFonts w:hint="eastAsia" w:ascii="仿宋_GB2312" w:eastAsia="仿宋_GB2312"/>
          <w:color w:val="auto"/>
          <w:kern w:val="0"/>
          <w:sz w:val="28"/>
          <w:szCs w:val="28"/>
        </w:rPr>
        <w:t>实际</w:t>
      </w:r>
      <w:r>
        <w:rPr>
          <w:rFonts w:hint="eastAsia" w:ascii="仿宋_GB2312" w:eastAsia="仿宋_GB2312"/>
          <w:color w:val="auto"/>
          <w:kern w:val="0"/>
          <w:sz w:val="28"/>
          <w:szCs w:val="28"/>
          <w:lang w:eastAsia="zh-CN"/>
        </w:rPr>
        <w:t>治疗</w:t>
      </w:r>
      <w:r>
        <w:rPr>
          <w:rFonts w:hint="eastAsia" w:ascii="仿宋_GB2312" w:eastAsia="仿宋_GB2312"/>
          <w:color w:val="auto"/>
          <w:kern w:val="0"/>
          <w:sz w:val="28"/>
          <w:szCs w:val="28"/>
        </w:rPr>
        <w:t>操作的基础上，按照简化、统一等原则编制完成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颅脑损伤中西医结合诊疗规范</w:t>
      </w:r>
      <w:r>
        <w:rPr>
          <w:rFonts w:hint="eastAsia" w:ascii="仿宋_GB2312" w:eastAsia="仿宋_GB2312"/>
          <w:color w:val="auto"/>
          <w:kern w:val="0"/>
          <w:sz w:val="28"/>
          <w:szCs w:val="28"/>
        </w:rPr>
        <w:t>》（草案）。</w:t>
      </w:r>
    </w:p>
    <w:p w14:paraId="24684DDC">
      <w:pPr>
        <w:spacing w:line="520" w:lineRule="exact"/>
        <w:ind w:firstLine="560" w:firstLineChars="200"/>
        <w:rPr>
          <w:rFonts w:hint="eastAsia"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月，标准编制工作组</w:t>
      </w:r>
      <w:r>
        <w:rPr>
          <w:rFonts w:hint="eastAsia" w:ascii="仿宋_GB2312" w:eastAsia="仿宋_GB2312"/>
          <w:color w:val="auto"/>
          <w:kern w:val="0"/>
          <w:sz w:val="28"/>
          <w:szCs w:val="28"/>
          <w:lang w:val="en-US" w:eastAsia="zh-CN"/>
        </w:rPr>
        <w:t>充分调研分析了南宁、</w:t>
      </w:r>
      <w:r>
        <w:rPr>
          <w:rFonts w:hint="eastAsia" w:ascii="仿宋_GB2312" w:eastAsia="仿宋_GB2312"/>
          <w:color w:val="auto"/>
          <w:sz w:val="28"/>
          <w:szCs w:val="28"/>
        </w:rPr>
        <w:t>合浦</w:t>
      </w:r>
      <w:r>
        <w:rPr>
          <w:rFonts w:hint="eastAsia" w:ascii="仿宋_GB2312" w:eastAsia="仿宋_GB2312"/>
          <w:color w:val="auto"/>
          <w:sz w:val="28"/>
          <w:szCs w:val="28"/>
          <w:lang w:val="en-US" w:eastAsia="zh-CN"/>
        </w:rPr>
        <w:t>等地的</w:t>
      </w:r>
      <w:r>
        <w:rPr>
          <w:rFonts w:hint="eastAsia" w:ascii="仿宋_GB2312" w:eastAsia="仿宋_GB2312"/>
          <w:color w:val="auto"/>
          <w:sz w:val="28"/>
          <w:szCs w:val="28"/>
        </w:rPr>
        <w:t>广西医科大学第一附属医院、广西壮族自治区江滨医院、合浦县人民医院</w:t>
      </w:r>
      <w:r>
        <w:rPr>
          <w:rFonts w:hint="eastAsia" w:ascii="仿宋_GB2312" w:eastAsia="仿宋_GB2312"/>
          <w:color w:val="auto"/>
          <w:sz w:val="28"/>
          <w:szCs w:val="28"/>
          <w:lang w:val="en-US" w:eastAsia="zh-CN"/>
        </w:rPr>
        <w:t>等的实施</w:t>
      </w:r>
      <w:r>
        <w:rPr>
          <w:rFonts w:hint="eastAsia" w:ascii="仿宋_GB2312" w:eastAsia="仿宋_GB2312"/>
          <w:color w:val="auto"/>
          <w:kern w:val="0"/>
          <w:sz w:val="28"/>
          <w:szCs w:val="28"/>
          <w:lang w:eastAsia="zh-CN"/>
        </w:rPr>
        <w:t>颅脑损伤中西医</w:t>
      </w:r>
      <w:r>
        <w:rPr>
          <w:rFonts w:hint="eastAsia" w:ascii="仿宋_GB2312" w:eastAsia="仿宋_GB2312"/>
          <w:color w:val="auto"/>
          <w:kern w:val="0"/>
          <w:sz w:val="28"/>
          <w:szCs w:val="28"/>
          <w:lang w:val="en-US" w:eastAsia="zh-CN"/>
        </w:rPr>
        <w:t>的</w:t>
      </w:r>
      <w:r>
        <w:rPr>
          <w:rFonts w:hint="eastAsia" w:ascii="仿宋_GB2312" w:eastAsia="仿宋_GB2312"/>
          <w:color w:val="auto"/>
          <w:sz w:val="28"/>
          <w:szCs w:val="28"/>
          <w:lang w:val="en-US" w:eastAsia="zh-CN"/>
        </w:rPr>
        <w:t>代表性建议意见</w:t>
      </w:r>
      <w:r>
        <w:rPr>
          <w:rFonts w:hint="eastAsia" w:ascii="仿宋_GB2312" w:eastAsia="仿宋_GB2312"/>
          <w:color w:val="auto"/>
          <w:kern w:val="0"/>
          <w:sz w:val="28"/>
          <w:szCs w:val="28"/>
        </w:rPr>
        <w:t>，并组织相关</w:t>
      </w:r>
      <w:r>
        <w:rPr>
          <w:rFonts w:hint="eastAsia" w:ascii="仿宋_GB2312" w:eastAsia="仿宋_GB2312"/>
          <w:color w:val="auto"/>
          <w:kern w:val="0"/>
          <w:sz w:val="28"/>
          <w:szCs w:val="28"/>
          <w:lang w:val="en-US" w:eastAsia="zh-CN"/>
        </w:rPr>
        <w:t>起草单位</w:t>
      </w:r>
      <w:r>
        <w:rPr>
          <w:rFonts w:hint="eastAsia" w:ascii="仿宋_GB2312" w:eastAsia="仿宋_GB2312"/>
          <w:color w:val="auto"/>
          <w:kern w:val="0"/>
          <w:sz w:val="28"/>
          <w:szCs w:val="28"/>
        </w:rPr>
        <w:t>等召开标准研讨会，收集反馈了大量意见，对标准草案进行了反复修改和研究讨论，掌握了</w:t>
      </w:r>
      <w:r>
        <w:rPr>
          <w:rFonts w:hint="eastAsia" w:ascii="仿宋_GB2312" w:eastAsia="仿宋_GB2312"/>
          <w:color w:val="auto"/>
          <w:kern w:val="0"/>
          <w:sz w:val="28"/>
          <w:szCs w:val="28"/>
          <w:lang w:eastAsia="zh-CN"/>
        </w:rPr>
        <w:t>颅脑损伤中西医结合诊疗</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17"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颅脑损伤中西医结合诊疗规范</w:t>
      </w:r>
      <w:r>
        <w:rPr>
          <w:rFonts w:hint="eastAsia" w:ascii="仿宋_GB2312" w:eastAsia="仿宋_GB2312"/>
          <w:color w:val="auto"/>
          <w:kern w:val="0"/>
          <w:sz w:val="28"/>
          <w:szCs w:val="28"/>
        </w:rPr>
        <w:t>》（征求意见稿）及其编制说明。</w:t>
      </w:r>
      <w:bookmarkEnd w:id="17"/>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颅脑损伤中西医结合诊疗技术</w:t>
      </w:r>
      <w:r>
        <w:rPr>
          <w:rFonts w:hint="eastAsia" w:ascii="仿宋_GB2312" w:eastAsia="仿宋_GB2312" w:cs="仿宋"/>
          <w:color w:val="auto"/>
          <w:sz w:val="28"/>
          <w:szCs w:val="28"/>
        </w:rPr>
        <w:t>现状，结合起草单位前期研究工作取得的研究成果及积累的中医实践经验，并借鉴国内</w:t>
      </w:r>
      <w:r>
        <w:rPr>
          <w:rFonts w:hint="eastAsia" w:ascii="仿宋_GB2312" w:eastAsia="仿宋_GB2312"/>
          <w:color w:val="auto"/>
          <w:kern w:val="0"/>
          <w:sz w:val="28"/>
          <w:szCs w:val="28"/>
          <w:lang w:eastAsia="zh-CN"/>
        </w:rPr>
        <w:t>颅脑损伤中西医结合诊疗</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颅脑损伤中西医结合诊疗</w:t>
      </w:r>
      <w:r>
        <w:rPr>
          <w:rFonts w:hint="eastAsia" w:ascii="仿宋_GB2312" w:eastAsia="仿宋_GB2312"/>
          <w:color w:val="auto"/>
          <w:kern w:val="0"/>
          <w:sz w:val="28"/>
          <w:szCs w:val="28"/>
          <w:lang w:val="en-US" w:eastAsia="zh-CN"/>
        </w:rPr>
        <w:t>技术</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颅脑损伤中西医结合诊疗</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颅脑损伤中西医结合诊疗技术</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颅脑损伤中西医结合诊疗技术操作</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kern w:val="0"/>
          <w:sz w:val="28"/>
          <w:szCs w:val="28"/>
          <w:lang w:eastAsia="zh-CN"/>
        </w:rPr>
        <w:t>颅脑损伤中西医结合诊疗</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颅脑损伤中西医结合诊疗技术</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2805F10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eastAsia="zh-CN"/>
        </w:rPr>
        <w:t>经查询，</w:t>
      </w:r>
      <w:r>
        <w:rPr>
          <w:rFonts w:hint="eastAsia" w:ascii="仿宋_GB2312" w:eastAsia="仿宋_GB2312"/>
          <w:color w:val="auto"/>
          <w:sz w:val="28"/>
          <w:szCs w:val="28"/>
        </w:rPr>
        <w:t>国内暂无与“</w:t>
      </w:r>
      <w:r>
        <w:rPr>
          <w:rFonts w:hint="eastAsia" w:ascii="仿宋_GB2312" w:eastAsia="仿宋_GB2312"/>
          <w:color w:val="auto"/>
          <w:sz w:val="28"/>
          <w:szCs w:val="28"/>
          <w:lang w:eastAsia="zh-CN"/>
        </w:rPr>
        <w:t>颅脑损伤中西医结合诊疗</w:t>
      </w:r>
      <w:r>
        <w:rPr>
          <w:rFonts w:hint="eastAsia" w:ascii="仿宋_GB2312" w:eastAsia="仿宋_GB2312"/>
          <w:color w:val="auto"/>
          <w:sz w:val="28"/>
          <w:szCs w:val="28"/>
        </w:rPr>
        <w:t>”的标准。</w:t>
      </w:r>
    </w:p>
    <w:p w14:paraId="28FB9046">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与“颅脑”相关的标准有：YY/T 1287.1-2016  颅外引流系统 第1部分：颅脑穿刺外引流收集装置、YY/T 1287.3-2016  颅脑外引流系统 第3部分：颅脑外引流导管、YY/T 1287.2-2016  颅脑外引流系统 第2部分：腰椎穿刺脑脊液外引流收集装置、T/CRHA 126—2025</w:t>
      </w:r>
      <w:r>
        <w:rPr>
          <w:rFonts w:hint="eastAsia" w:ascii="仿宋_GB2312" w:eastAsia="仿宋_GB2312"/>
          <w:color w:val="auto"/>
          <w:sz w:val="28"/>
          <w:szCs w:val="28"/>
          <w:lang w:eastAsia="zh-CN"/>
        </w:rPr>
        <w:tab/>
      </w:r>
      <w:r>
        <w:rPr>
          <w:rFonts w:hint="eastAsia" w:ascii="仿宋_GB2312" w:eastAsia="仿宋_GB2312"/>
          <w:color w:val="auto"/>
          <w:sz w:val="28"/>
          <w:szCs w:val="28"/>
          <w:lang w:eastAsia="zh-CN"/>
        </w:rPr>
        <w:t>颅脑创伤现场评估与急救。</w:t>
      </w:r>
    </w:p>
    <w:p w14:paraId="1BCFDAA7">
      <w:pPr>
        <w:spacing w:line="520" w:lineRule="exact"/>
        <w:ind w:firstLine="560" w:firstLineChars="200"/>
        <w:rPr>
          <w:rFonts w:hint="eastAsia" w:ascii="仿宋_GB2312" w:eastAsia="仿宋_GB2312"/>
          <w:color w:val="auto"/>
          <w:sz w:val="28"/>
          <w:szCs w:val="28"/>
          <w:lang w:eastAsia="zh-CN"/>
        </w:rPr>
      </w:pPr>
      <w:r>
        <w:rPr>
          <w:rFonts w:hint="default" w:ascii="仿宋_GB2312" w:eastAsia="仿宋_GB2312"/>
          <w:color w:val="auto"/>
          <w:sz w:val="28"/>
          <w:szCs w:val="28"/>
          <w:lang w:val="en-US" w:eastAsia="zh-CN"/>
        </w:rPr>
        <w:t>上述标准主要针对颅外引流系统产品、颅脑创伤现场评估与急救等方面的内容，未有涉及头部内伤（颅脑损伤）中西医结合方面的标准。其中，《T/CRHA 126—2025</w:t>
      </w:r>
      <w:r>
        <w:rPr>
          <w:rFonts w:hint="default" w:ascii="仿宋_GB2312" w:eastAsia="仿宋_GB2312"/>
          <w:color w:val="auto"/>
          <w:sz w:val="28"/>
          <w:szCs w:val="28"/>
          <w:lang w:val="en-US" w:eastAsia="zh-CN"/>
        </w:rPr>
        <w:tab/>
      </w:r>
      <w:r>
        <w:rPr>
          <w:rFonts w:hint="default" w:ascii="仿宋_GB2312" w:eastAsia="仿宋_GB2312"/>
          <w:color w:val="auto"/>
          <w:sz w:val="28"/>
          <w:szCs w:val="28"/>
          <w:lang w:val="en-US" w:eastAsia="zh-CN"/>
        </w:rPr>
        <w:t>颅脑创伤现场评估与急救》规定了颅脑创伤现场伤情评估与急救技术；适用于各级医疗机构医务人员对各类颅脑创伤的诊疗工作。</w:t>
      </w:r>
      <w:r>
        <w:rPr>
          <w:rFonts w:hint="eastAsia" w:ascii="仿宋_GB2312" w:eastAsia="仿宋_GB2312"/>
          <w:color w:val="auto"/>
          <w:sz w:val="28"/>
          <w:szCs w:val="28"/>
          <w:lang w:val="en-US" w:eastAsia="zh-CN"/>
        </w:rPr>
        <w:t>不涉及相关的</w:t>
      </w:r>
      <w:r>
        <w:rPr>
          <w:rFonts w:hint="default" w:ascii="仿宋_GB2312" w:eastAsia="仿宋_GB2312"/>
          <w:color w:val="auto"/>
          <w:sz w:val="28"/>
          <w:szCs w:val="28"/>
          <w:lang w:val="en-US" w:eastAsia="zh-CN"/>
        </w:rPr>
        <w:t>中西医结合诊疗</w:t>
      </w:r>
      <w:r>
        <w:rPr>
          <w:rFonts w:hint="eastAsia" w:ascii="仿宋_GB2312" w:eastAsia="仿宋_GB2312"/>
          <w:color w:val="auto"/>
          <w:sz w:val="28"/>
          <w:szCs w:val="28"/>
          <w:lang w:val="en-US" w:eastAsia="zh-CN"/>
        </w:rPr>
        <w:t>方案和中医治疗方法。</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ACAF5FA">
      <w:pPr>
        <w:pStyle w:val="30"/>
        <w:ind w:firstLine="420"/>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rPr>
        <w:t>标准技术内容规定了颅脑损伤中西医结合的诊断、治疗、禁忌症、日常调护的要求</w:t>
      </w:r>
      <w:r>
        <w:rPr>
          <w:rFonts w:hint="eastAsia" w:ascii="仿宋_GB2312" w:eastAsia="仿宋_GB2312" w:cs="仿宋"/>
          <w:b w:val="0"/>
          <w:bCs w:val="0"/>
          <w:color w:val="auto"/>
          <w:sz w:val="28"/>
          <w:szCs w:val="28"/>
          <w:lang w:eastAsia="zh-CN"/>
        </w:rPr>
        <w:t>。</w:t>
      </w:r>
    </w:p>
    <w:p w14:paraId="3A3B9ADA">
      <w:pPr>
        <w:pStyle w:val="30"/>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（一）</w:t>
      </w:r>
      <w:r>
        <w:rPr>
          <w:rFonts w:hint="eastAsia" w:ascii="仿宋_GB2312" w:eastAsia="仿宋_GB2312" w:cs="仿宋"/>
          <w:b/>
          <w:bCs/>
          <w:color w:val="auto"/>
          <w:sz w:val="28"/>
          <w:szCs w:val="28"/>
        </w:rPr>
        <w:t>术语和定义</w:t>
      </w:r>
    </w:p>
    <w:p w14:paraId="4E9D8A96">
      <w:pPr>
        <w:pStyle w:val="30"/>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bCs w:val="0"/>
          <w:color w:val="auto"/>
          <w:sz w:val="28"/>
          <w:szCs w:val="28"/>
          <w:lang w:val="en-US" w:eastAsia="zh-CN"/>
        </w:rPr>
        <w:t>颅脑损伤</w:t>
      </w:r>
      <w:r>
        <w:rPr>
          <w:rFonts w:hint="eastAsia" w:ascii="仿宋_GB2312" w:eastAsia="仿宋_GB2312" w:cs="仿宋"/>
          <w:b w:val="0"/>
          <w:bCs/>
          <w:color w:val="auto"/>
          <w:sz w:val="28"/>
          <w:szCs w:val="28"/>
          <w:lang w:val="en-US" w:eastAsia="zh-CN"/>
        </w:rPr>
        <w:t>指因暴力作用于头颅引起的损伤。</w:t>
      </w:r>
      <w:r>
        <w:rPr>
          <w:rFonts w:hint="eastAsia" w:ascii="仿宋_GB2312" w:eastAsia="仿宋_GB2312" w:cs="仿宋"/>
          <w:b w:val="0"/>
          <w:bCs w:val="0"/>
          <w:color w:val="auto"/>
          <w:sz w:val="28"/>
          <w:szCs w:val="28"/>
        </w:rPr>
        <w:t>首要参考了世界卫生组织（WHO）以及国际疾病分类（ICD）中关于“创伤性脑损伤”的通用定义核心，即强调“外部机械力导致的大脑功能或病理学改变”。同时，紧密结合我国现行的、最具权威性和共识度的医学标准——人民卫生出版社《外科学》（第九版）中关于“颅脑损伤”的论述。高度概括了疾病的核心病因（暴力）和部位（头颅），语言精练、指向明确，易于理解和应用。它首先从病因学上将“颅脑损伤”与其他原因（如卒中、肿瘤、感染）导致的脑部病变区分开来。</w:t>
      </w:r>
    </w:p>
    <w:p w14:paraId="3F14D0B5">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对西医而言，这一定义直接对接其诊断分类（如脑震荡、脑挫裂伤、颅内血肿）和干预策略（如针对原发性骨折的手术、针对继发性水肿的药物）。对中医而言，“暴力作用于头颅”是导致“脑络损伤、血溢脉外、瘀血内停”的始动病因。定义中隐含的损伤由表及里、由形及神的层次，也与中医“伤及皮肉筋骨，内及经络脏腑，上扰清窍神明”的认识相通。因此，该定义为后续中医进行“瘀阻脑络”、“窍闭神匿”等病机分析和辨证分型提供了明确的现代医学对应，是实现“病证结合”诊断的逻辑起点。</w:t>
      </w:r>
    </w:p>
    <w:p w14:paraId="0DFD8598">
      <w:pPr>
        <w:pStyle w:val="30"/>
        <w:numPr>
          <w:ilvl w:val="0"/>
          <w:numId w:val="0"/>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bidi="ar-SA"/>
        </w:rPr>
        <w:t>（二）</w:t>
      </w:r>
      <w:r>
        <w:rPr>
          <w:rFonts w:hint="eastAsia" w:ascii="仿宋_GB2312" w:eastAsia="仿宋_GB2312" w:cs="仿宋"/>
          <w:b/>
          <w:bCs w:val="0"/>
          <w:color w:val="auto"/>
          <w:sz w:val="28"/>
          <w:szCs w:val="28"/>
          <w:lang w:val="en-US" w:eastAsia="zh-CN"/>
        </w:rPr>
        <w:t>诊断</w:t>
      </w:r>
    </w:p>
    <w:p w14:paraId="1CD709F2">
      <w:pPr>
        <w:pStyle w:val="34"/>
        <w:numPr>
          <w:numId w:val="0"/>
        </w:numPr>
        <w:spacing w:before="0" w:after="0" w:line="520" w:lineRule="exact"/>
        <w:ind w:left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1.诊断方案</w:t>
      </w:r>
    </w:p>
    <w:p w14:paraId="14A69A3B">
      <w:pPr>
        <w:pStyle w:val="34"/>
        <w:numPr>
          <w:numId w:val="0"/>
        </w:numPr>
        <w:spacing w:before="0" w:after="0" w:line="520" w:lineRule="exact"/>
        <w:ind w:leftChars="20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遵循中西医结合诊疗的根本原则，本条款确立了“西医辨病”与“中医辨证”相结合的核心诊断模式。首先，颅脑损伤作为急危重症，其病理生理机制、损伤程度分级、紧急手术指征等必须依赖现代医学（西医）的影像学（CT/MRI）、生命体征监测、神经系统检查等手段进行明确诊断和危险分层，这是保障患者生命安全、指导急诊处置的前提和基础。在明确西医诊断的基础上，运用中医“四诊”（望、闻、问、切）进行辨证分型，旨在从中医理论体系出发，分析患者伤后的整体功能状态、病理产物（如瘀、痰、虚）及其相互作用。这为后续实施个体化的中医内治、外治及康复方案提供了直接依据，体现了中医整体观念和辨证论治的优势。同时规定“先西后中”的顺序，符合临床实际工作流程，即先解决危及生命的紧急问题（西医诊断与处置），再系统评估功能状态与证候特点（中医辨证）。</w:t>
      </w:r>
    </w:p>
    <w:p w14:paraId="3F55618E">
      <w:pPr>
        <w:pStyle w:val="34"/>
        <w:numPr>
          <w:numId w:val="0"/>
        </w:numPr>
        <w:spacing w:before="0" w:after="0" w:line="520" w:lineRule="exact"/>
        <w:ind w:left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2.西医诊断</w:t>
      </w:r>
    </w:p>
    <w:p w14:paraId="02C0EE7D">
      <w:pPr>
        <w:pStyle w:val="34"/>
        <w:numPr>
          <w:numId w:val="0"/>
        </w:numPr>
        <w:spacing w:before="0" w:after="0" w:line="520" w:lineRule="exact"/>
        <w:ind w:leftChars="20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主要依据《外科学》（人民卫生出版社，陈孝平、汪建平、赵继宗主编，第九版）是我国临床外科领域公认的权威教材和诊疗指南重要依据。其“颅脑损伤”章节系统、全面地阐述了各类颅脑损伤的定义、病理、临床表现、诊断标准和治疗原则，具有最高的行业共识度和临床指导价值。</w:t>
      </w:r>
    </w:p>
    <w:p w14:paraId="71A1570B">
      <w:pPr>
        <w:pStyle w:val="34"/>
        <w:numPr>
          <w:numId w:val="0"/>
        </w:numPr>
        <w:spacing w:before="0" w:after="0" w:line="520" w:lineRule="exact"/>
        <w:ind w:left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采用“原发性损伤”与“继发性损伤”的分类框架，清晰区分了外力直接导致的损伤和后续继发的病理过程（如血肿、水肿、感染等）。这一分类对于指导治疗（如继发性损伤的预防与干预）和判断预后至关重要。注中列举的常见类型为临床最常见情况，具有代表性和实用性。</w:t>
      </w:r>
    </w:p>
    <w:p w14:paraId="21254435">
      <w:pPr>
        <w:pStyle w:val="34"/>
        <w:numPr>
          <w:numId w:val="0"/>
        </w:numPr>
        <w:spacing w:before="0" w:after="0" w:line="520" w:lineRule="exact"/>
        <w:ind w:left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3</w:t>
      </w:r>
      <w:r>
        <w:rPr>
          <w:rFonts w:hint="eastAsia" w:ascii="仿宋_GB2312" w:eastAsia="仿宋_GB2312" w:cs="仿宋"/>
          <w:b/>
          <w:bCs w:val="0"/>
          <w:color w:val="auto"/>
          <w:sz w:val="28"/>
          <w:szCs w:val="28"/>
          <w:lang w:val="en-US" w:eastAsia="zh-CN"/>
        </w:rPr>
        <w:t>.中医诊断</w:t>
      </w:r>
    </w:p>
    <w:p w14:paraId="015D9A9D">
      <w:pPr>
        <w:pStyle w:val="34"/>
        <w:numPr>
          <w:numId w:val="0"/>
        </w:numPr>
        <w:spacing w:before="0" w:after="0" w:line="520" w:lineRule="exact"/>
        <w:ind w:leftChars="20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基于中医对“脑为元神之府”和“脑主神明”的认识。颅脑外伤直接损及脑髓，扰乱神明，故将症状归纳为“神明失用”（精神、意识、认知障碍）和“躯体失用”（感觉、运动、二便等功能障碍）两大类。此分类法提纲挈领，便于临床医生快速抓住颅脑损伤后最核心的功能障碍表现，与西医的“意识障碍”、“神经功能缺损”等评估有对应，但更侧重于从功能整体观进行归纳，为后续辨证提供症状学基础。所列症状涵盖了颅脑损伤急性期、恢复期及后遗症期最常见的中医临床见证，确保了诊断的覆盖面。</w:t>
      </w:r>
    </w:p>
    <w:p w14:paraId="45B95F53">
      <w:pPr>
        <w:pStyle w:val="34"/>
        <w:numPr>
          <w:numId w:val="0"/>
        </w:numPr>
        <w:spacing w:before="0" w:after="0" w:line="520" w:lineRule="exact"/>
        <w:ind w:left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辨证分型（4.3.2）主要依据中医“气血津液”和“脏腑”理论。颅脑损伤的基本病机核心为“瘀血阻络”（外伤致瘀），但随病情发展及个体差异，可衍生出“气滞”、“气虚”、“痰浊”、“肝肾亏虚”等不同兼夹证或后期转归。</w:t>
      </w:r>
    </w:p>
    <w:p w14:paraId="462D552C">
      <w:pPr>
        <w:pStyle w:val="34"/>
        <w:numPr>
          <w:numId w:val="0"/>
        </w:numPr>
        <w:spacing w:before="0" w:after="0" w:line="520" w:lineRule="exact"/>
        <w:ind w:leftChars="20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参考五种证型（气滞血瘀、瘀阻清窍、气虚血瘀、痰瘀交阻、肝肾亏虚）是对近年来中医脑病领域关于颅脑损伤辨证论治的大量临床研究、专家共识及诊疗方案（如国家中医药管理局相关临床路径）的系统梳理和归纳。例如：气滞血瘀型常见于损伤早期，以局部疼痛、胀满及瘀血征象为主。瘀阻清窍型突出了瘀血闭阻清窍导致神昏、痉厥等重证。气虚血瘀型体现了损伤中期或素体气虚者，无力推动血行，瘀血难消的特点。痰瘀交阻型反映了损伤后津液代谢失常，痰浊内生与瘀血互结的复杂病况，常见于伴有精神症状或恢复缓慢者。肝肾亏虚型代表了损伤后期或重伤耗竭，精髓亏虚，功能恢复困难的阶段。每一证型均对应特定的病机、治法和方药（在后续治疗章节中体现），使得辨证结果能够直接、有效地指导临床用药和治疗方案选择，实现了诊断与治疗的紧密衔接。</w:t>
      </w:r>
    </w:p>
    <w:p w14:paraId="64A13D81">
      <w:pPr>
        <w:pStyle w:val="30"/>
        <w:spacing w:line="520" w:lineRule="exact"/>
        <w:ind w:left="0" w:leftChars="0" w:firstLine="0" w:firstLineChars="0"/>
        <w:rPr>
          <w:rFonts w:hint="default" w:ascii="仿宋_GB2312" w:hAnsi="Calibri" w:eastAsia="仿宋_GB2312" w:cs="Calibri"/>
          <w:b/>
          <w:bCs w:val="0"/>
          <w:color w:val="auto"/>
          <w:sz w:val="28"/>
          <w:szCs w:val="28"/>
          <w:lang w:val="en-US" w:eastAsia="zh-CN"/>
        </w:rPr>
      </w:pPr>
      <w:r>
        <w:rPr>
          <w:rFonts w:hint="eastAsia" w:ascii="仿宋_GB2312" w:hAnsi="Calibri" w:eastAsia="仿宋_GB2312" w:cs="仿宋"/>
          <w:b/>
          <w:bCs w:val="0"/>
          <w:color w:val="auto"/>
          <w:sz w:val="28"/>
          <w:szCs w:val="28"/>
          <w:lang w:val="en-US" w:eastAsia="zh-CN"/>
        </w:rPr>
        <w:t>（</w:t>
      </w:r>
      <w:r>
        <w:rPr>
          <w:rFonts w:hint="eastAsia" w:ascii="仿宋_GB2312" w:eastAsia="仿宋_GB2312" w:cs="仿宋"/>
          <w:b/>
          <w:bCs w:val="0"/>
          <w:color w:val="auto"/>
          <w:sz w:val="28"/>
          <w:szCs w:val="28"/>
          <w:lang w:val="en-US" w:eastAsia="zh-CN"/>
        </w:rPr>
        <w:t>三</w:t>
      </w:r>
      <w:r>
        <w:rPr>
          <w:rFonts w:hint="eastAsia" w:ascii="仿宋_GB2312" w:hAnsi="Calibri" w:eastAsia="仿宋_GB2312" w:cs="仿宋"/>
          <w:b/>
          <w:bCs w:val="0"/>
          <w:color w:val="auto"/>
          <w:sz w:val="28"/>
          <w:szCs w:val="28"/>
          <w:lang w:val="en-US" w:eastAsia="zh-CN"/>
        </w:rPr>
        <w:t>）</w:t>
      </w:r>
      <w:bookmarkStart w:id="18" w:name="_Toc214985009"/>
      <w:bookmarkStart w:id="19" w:name="_Toc214990886"/>
      <w:bookmarkStart w:id="20" w:name="_Toc129855049"/>
      <w:bookmarkStart w:id="21" w:name="_Toc130001751"/>
      <w:bookmarkStart w:id="22" w:name="_Toc130001592"/>
      <w:bookmarkStart w:id="23" w:name="_Toc130001562"/>
      <w:bookmarkStart w:id="24" w:name="_Toc129855215"/>
      <w:r>
        <w:rPr>
          <w:rFonts w:hint="eastAsia" w:ascii="仿宋_GB2312" w:hAnsi="Calibri" w:eastAsia="仿宋_GB2312" w:cs="仿宋"/>
          <w:b/>
          <w:bCs w:val="0"/>
          <w:color w:val="auto"/>
          <w:sz w:val="28"/>
          <w:szCs w:val="28"/>
          <w:lang w:val="en-US" w:eastAsia="zh-CN"/>
        </w:rPr>
        <w:t>治疗</w:t>
      </w:r>
      <w:bookmarkEnd w:id="18"/>
      <w:bookmarkEnd w:id="19"/>
    </w:p>
    <w:bookmarkEnd w:id="20"/>
    <w:bookmarkEnd w:id="21"/>
    <w:bookmarkEnd w:id="22"/>
    <w:bookmarkEnd w:id="23"/>
    <w:bookmarkEnd w:id="24"/>
    <w:p w14:paraId="3464046F">
      <w:pPr>
        <w:pStyle w:val="34"/>
        <w:numPr>
          <w:ilvl w:val="0"/>
          <w:numId w:val="0"/>
        </w:numPr>
        <w:spacing w:before="0" w:after="0"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1.治疗原则</w:t>
      </w:r>
    </w:p>
    <w:p w14:paraId="56A07A09">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颅脑损伤的病理生理过程及功能恢复具有明显的阶段性特征。分期治疗原则（急性期、恢复期、后遗症期）是中西医结合治疗本病的核心策略，符合国内外颅脑损伤诊疗指南的普遍共识。它要求治疗重点随疾病主要矛盾的变化而动态调整。</w:t>
      </w:r>
    </w:p>
    <w:p w14:paraId="3C8B9865">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急性期（发病2周以内）原则“急救开窍、活血化瘀，兼顾防脱”：此期病机关键为“瘀血闭窍”，重症者伴“元神散脱”。中医治疗在积极的生命支持基础上，早期介入以“开窍醒神”（如使用安宫牛黄丸、醒脑静注射液等）促苏醒，“活血化瘀”以改善脑循环、减轻继发性损伤。同时，鉴于重症患者易出现气随血脱、阳气外越的“脱证”，强调“防脱”以固护正气，选用参麦、参附等注射液，体现“既病防变”思想。改原则明确了中医在危重期并非辅助，而是针对核心病机进行干预，与西医的“降颅压、维持生命体征”形成机理互补。</w:t>
      </w:r>
    </w:p>
    <w:p w14:paraId="5755907C">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恢复期（发病2周至6个月）原则“益气活血、通窍醒脑，兼顾脾胃”：</w:t>
      </w:r>
    </w:p>
    <w:p w14:paraId="0CD727CC">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急性期后，瘀血未完全祛除，但正气（尤其是气）已伤，推动无力，故治法转为“益气”与“活血”并重，代表方如补阳还五汤。继续“通窍醒脑”以促进高级神经功能恢复。“脾胃为后天之本”，此期患者常需长期用药及营养支持，调理脾胃能保障药物吸收与气血生化，是功能恢复的重要基础。该原则指导临床合理调整活血药物的药性（减少峻猛，选用平和之品）和扶正药物的比例，标志着治疗从“祛邪为主”向“扶正祛邪兼顾”的战略转移。</w:t>
      </w:r>
    </w:p>
    <w:p w14:paraId="1E43E060">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后遗症期（发病6个月后）原则“扶正固本、化瘀通络”，理论依据：病程迁延，常现“久病多虚”、“久病入络”之候，正气亏虚（气血、肝肾不足）成为矛盾主要方面，残留之瘀血与虚损之络脉相互影响。故治疗以“扶正固本”为要，重在补益气血、滋养肝肾，充养脑髓；同时配合“化瘀通络”，以搜剔络脉之瘀，改善神经功能。</w:t>
      </w:r>
      <w:r>
        <w:rPr>
          <w:rFonts w:hint="eastAsia" w:ascii="仿宋_GB2312" w:eastAsia="仿宋_GB2312" w:cs="仿宋"/>
          <w:b w:val="0"/>
          <w:bCs/>
          <w:color w:val="auto"/>
          <w:sz w:val="28"/>
          <w:szCs w:val="28"/>
          <w:lang w:val="en-US" w:eastAsia="zh-CN"/>
        </w:rPr>
        <w:t>该</w:t>
      </w:r>
      <w:r>
        <w:rPr>
          <w:rFonts w:hint="eastAsia" w:ascii="仿宋_GB2312" w:eastAsia="仿宋_GB2312" w:cs="仿宋"/>
          <w:b w:val="0"/>
          <w:bCs/>
          <w:color w:val="auto"/>
          <w:sz w:val="28"/>
          <w:szCs w:val="28"/>
          <w:lang w:val="en-US" w:eastAsia="zh-CN"/>
        </w:rPr>
        <w:t>原则为后遗症期的长期康复管理提供了中医治疗方向，强调通过补益根本来促进残留功能障碍的恢复，避免一味攻伐。</w:t>
      </w:r>
    </w:p>
    <w:p w14:paraId="7C9AA55F">
      <w:pPr>
        <w:pStyle w:val="34"/>
        <w:numPr>
          <w:ilvl w:val="0"/>
          <w:numId w:val="0"/>
        </w:numPr>
        <w:spacing w:before="0" w:after="0"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2.治疗方案</w:t>
      </w:r>
    </w:p>
    <w:p w14:paraId="2C721345">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与治疗原则对应，细化了各期工作重点，治疗方案是治疗原则在临床各阶段的具体落实。它明确了每一时期中西医各自的主要任务和介入时机。</w:t>
      </w:r>
    </w:p>
    <w:p w14:paraId="2BC8934A">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强调急性期中西医协同的时效性，明确急性期在“积极救治”（以西医为主）的同时“配合中药/中成药”，并点明康复治疗在“生命体征稳定后”开始，这既符合医疗安全规范，也体现了中医早期介入的可行性与价值。</w:t>
      </w:r>
    </w:p>
    <w:p w14:paraId="01550FA2">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突出恢复期与后遗症期的综合康复核心地位，两期均强调“加强康复训练”和“综合治疗方法”。这反映了现代康复医学与中医传统康复技术（中药、针灸、推拿）在此阶段的深度融合是提升疗效的关键。</w:t>
      </w:r>
    </w:p>
    <w:p w14:paraId="61965CDD">
      <w:pPr>
        <w:pStyle w:val="34"/>
        <w:numPr>
          <w:ilvl w:val="0"/>
          <w:numId w:val="0"/>
        </w:numPr>
        <w:spacing w:before="0" w:after="0"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3</w:t>
      </w:r>
      <w:r>
        <w:rPr>
          <w:rFonts w:hint="eastAsia" w:ascii="仿宋_GB2312" w:eastAsia="仿宋_GB2312" w:cs="仿宋"/>
          <w:b/>
          <w:bCs w:val="0"/>
          <w:color w:val="auto"/>
          <w:sz w:val="28"/>
          <w:szCs w:val="28"/>
          <w:lang w:val="en-US" w:eastAsia="zh-CN"/>
        </w:rPr>
        <w:t>.治疗方法</w:t>
      </w:r>
    </w:p>
    <w:p w14:paraId="1D5FAA97">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（1）西医治疗</w:t>
      </w:r>
    </w:p>
    <w:p w14:paraId="4EA7400E">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基于循证医学与权威指南：“基础治疗”、“脑保护药物”及“康复治疗”中列举的各项措施，均来源于《外科学》、美国《重型颅脑损伤救治指南》等国内外权威文献及临床实践共识，是颅脑损伤现代治疗的标准核心内容。纳入本标准旨在确保中西医结合诊疗的基石是规范、安全的现代医学处理。</w:t>
      </w:r>
    </w:p>
    <w:p w14:paraId="284BD625">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体现全面支持与重点干预：从一般生命支持（气道、循环）、到关键病理环节控制（降颅压、止血、降温、抗感染）、再到并发症防治（消化道出血、便秘）和手术干预，条款系统覆盖了颅脑损伤全程管理的各个关键节点。引入现代康复技术：将运动疗法、物理因子治疗（中频电）、电动站立床、空气压力泵、经颅磁刺激等现代康复手段标准化列出，明确了它们在促醒、防并发症、功能训练中的具体应用，使康复治疗部分更具操作性。同时注重安全性警示，在具体操作中加入了必要的监测（如心肾功能、凝血功能）和禁忌（如经颅磁刺激的禁忌情况），体现了医疗安全第一的原则。</w:t>
      </w:r>
    </w:p>
    <w:p w14:paraId="5F04935D">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（2）中医辨证论治</w:t>
      </w:r>
    </w:p>
    <w:p w14:paraId="11E37DA4">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五种证型的治法、方药与诊断章节的辨证分型一一对应，血府逐瘀汤（气滞血瘀型）：出自《医林改错》，是活血化瘀、行气止痛的经典方，广泛应用于外伤及各种血瘀证。通窍活血汤（瘀阻清窍型）：同为王清任所创，长于通窍活络，专为“头面四肢周身血管血瘀之症”而设，切中瘀阻清窍病机。补阳还五汤（气虚血瘀型）：益气活血的代表方，大量黄芪配伍活血药，为治疗中风后遗症（包括脑外伤后）气虚血瘀证的公认有效方剂。通窍活血汤合二陈汤（痰瘀交阻型）：两方合用，兼顾活血开窍与燥湿化痰，针对痰瘀互结这一复杂证型。杞菊地黄丸（肝肾亏虚型）：在六味地黄丸滋补肝肾基础上，加枸杞、菊花益肝明目，适用于颅脑损伤后期肝肾不足、髓海空虚之证。</w:t>
      </w:r>
    </w:p>
    <w:p w14:paraId="3893E3C3">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针刺取穴、推拿手法、点穴位置及时间均给出了具体参数，并引用GB/T 12346确保穴位定位规范，极大提升了中医外治法的可重复性和临床可操作性。整合了针刺、推拿、点穴、贴敷、中药直肠滴注、中药涂擦等多种外治手段，体现了中医“综合外治”的优势，可根据患者病情和条件灵活选用或组合。</w:t>
      </w:r>
    </w:p>
    <w:p w14:paraId="167EAF8A">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重点技术：特别将中药直肠滴注/灌肠作为一种重要治疗方法列出。这不仅是针对“腑气不通”的有效措施（如用大承气汤类方），更是一种重要的给药途径（用于颅内感染、痰热腑实等），其“不增加颅内压”的优势在颅脑损伤患者中尤为重要，是本标准一项具有临床实用价值的特色创新点。</w:t>
      </w:r>
    </w:p>
    <w:p w14:paraId="41447685">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疗程：内治法统一以“7日为一疗程”，是基于中药汤剂常规服用周期和临床疗效观察的常见间隔，便于临床安排复查和调整方药。</w:t>
      </w:r>
    </w:p>
    <w:p w14:paraId="2DA007D1">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（3）常见并发症的处理</w:t>
      </w:r>
    </w:p>
    <w:p w14:paraId="67EC1104">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体现中西医结合处理并发症的优势： 针对颅脑损伤后最常见的八大并发症，每一条款均遵循“西医对因对症处理为基础，中医辨证论治为协同”的模式。明确中西医各自的角色与结合点：</w:t>
      </w:r>
    </w:p>
    <w:p w14:paraId="63576DA2">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抗感染（肺、尿路、颅内）： 强调西医抗生素（根据药敏）的核心地位，同时提供经验性中药方（肺感方、尿感方）或辨证处方，旨在利用中药的清热解毒、化痰利湿等作用，可能起到协同增效、减少抗生素副作用、调节整体状态的作用。</w:t>
      </w:r>
    </w:p>
    <w:p w14:paraId="6949F250">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栓塞性疾病（肺栓塞、下肢静脉血栓）： 在西医抗凝、溶栓等规范治疗基础上，可“配合活血化瘀中药”，理论上可能有助于改善高凝状态，但明确重症必须转专科处理，界限清晰。</w:t>
      </w:r>
    </w:p>
    <w:p w14:paraId="0790B4D0">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功能紊乱性并发症（癫痫、精神异常）： 明确提出“西医药物治疗，配合中医辨证论治，标本兼治，中西协同”。中医可从熄风化痰、清心安神、滋补肝肾等角度进行整体调理，可能有助于减少西药用量、改善症状。</w:t>
      </w:r>
    </w:p>
    <w:p w14:paraId="25A4AF9B">
      <w:pPr>
        <w:pStyle w:val="34"/>
        <w:numPr>
          <w:ilvl w:val="0"/>
          <w:numId w:val="0"/>
        </w:numPr>
        <w:spacing w:before="0" w:after="0"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强化转诊与多科协作意识，在颅内感染、肺栓塞、重症血栓、脑积水等条款中，均明确指出了转ICU或外科手术的指征，体现了本标准以患者安全为重、不排斥不延误必要西医干预的严谨态度。</w:t>
      </w:r>
    </w:p>
    <w:p w14:paraId="7269925B">
      <w:pPr>
        <w:pStyle w:val="30"/>
        <w:numPr>
          <w:ilvl w:val="0"/>
          <w:numId w:val="0"/>
        </w:numPr>
        <w:spacing w:line="520" w:lineRule="exact"/>
        <w:ind w:left="0" w:leftChars="0" w:firstLine="0" w:firstLineChars="0"/>
        <w:rPr>
          <w:rFonts w:hint="eastAsia" w:ascii="仿宋_GB2312" w:hAnsi="Calibri"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bidi="ar-SA"/>
        </w:rPr>
        <w:t>（</w:t>
      </w:r>
      <w:r>
        <w:rPr>
          <w:rFonts w:hint="eastAsia" w:ascii="仿宋_GB2312" w:eastAsia="仿宋_GB2312" w:cs="仿宋"/>
          <w:b/>
          <w:bCs w:val="0"/>
          <w:color w:val="auto"/>
          <w:sz w:val="28"/>
          <w:szCs w:val="28"/>
          <w:lang w:val="en-US" w:eastAsia="zh-CN" w:bidi="ar-SA"/>
        </w:rPr>
        <w:t>四</w:t>
      </w:r>
      <w:r>
        <w:rPr>
          <w:rFonts w:hint="eastAsia" w:ascii="仿宋_GB2312" w:hAnsi="Calibri" w:eastAsia="仿宋_GB2312" w:cs="仿宋"/>
          <w:b/>
          <w:bCs w:val="0"/>
          <w:color w:val="auto"/>
          <w:sz w:val="28"/>
          <w:szCs w:val="28"/>
          <w:lang w:val="en-US" w:eastAsia="zh-CN" w:bidi="ar-SA"/>
        </w:rPr>
        <w:t>）</w:t>
      </w:r>
      <w:r>
        <w:rPr>
          <w:rFonts w:hint="eastAsia" w:ascii="仿宋_GB2312" w:hAnsi="Calibri" w:eastAsia="仿宋_GB2312" w:cs="仿宋"/>
          <w:b/>
          <w:bCs w:val="0"/>
          <w:color w:val="auto"/>
          <w:sz w:val="28"/>
          <w:szCs w:val="28"/>
          <w:lang w:val="en-US" w:eastAsia="zh-CN"/>
        </w:rPr>
        <w:t>禁忌症</w:t>
      </w:r>
    </w:p>
    <w:p w14:paraId="0C70E71E">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本章节旨在明确界定中西医结合治疗颅脑损伤过程中的安全边界，是确保医疗安全、防范风险、实现个体化治疗不可或缺的部分。制定禁忌症并非限制治疗，而是为了更精准、更安全地实施治疗。</w:t>
      </w:r>
    </w:p>
    <w:p w14:paraId="018BF4D4">
      <w:pPr>
        <w:pStyle w:val="30"/>
        <w:numPr>
          <w:ilvl w:val="0"/>
          <w:numId w:val="0"/>
        </w:numPr>
        <w:spacing w:line="520" w:lineRule="exact"/>
        <w:ind w:leftChars="0" w:firstLine="562" w:firstLineChars="200"/>
        <w:rPr>
          <w:rFonts w:hint="eastAsia" w:ascii="仿宋_GB2312" w:eastAsia="仿宋_GB2312" w:cs="仿宋"/>
          <w:b/>
          <w:bCs w:val="0"/>
          <w:color w:val="auto"/>
          <w:sz w:val="28"/>
          <w:szCs w:val="28"/>
          <w:lang w:val="en-US" w:eastAsia="zh-CN" w:bidi="ar-SA"/>
        </w:rPr>
      </w:pPr>
      <w:r>
        <w:rPr>
          <w:rFonts w:hint="eastAsia" w:ascii="仿宋_GB2312" w:eastAsia="仿宋_GB2312" w:cs="仿宋"/>
          <w:b/>
          <w:bCs w:val="0"/>
          <w:color w:val="auto"/>
          <w:sz w:val="28"/>
          <w:szCs w:val="28"/>
          <w:lang w:val="en-US" w:eastAsia="zh-CN" w:bidi="ar-SA"/>
        </w:rPr>
        <w:t>1.西医治疗禁忌症</w:t>
      </w:r>
    </w:p>
    <w:p w14:paraId="7A4EDADF">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规定了药物过敏与不良反应防范，明确列出对甘露醇、抗癫痫药等常用药物的过敏禁忌，是基于基本的药学安全原则。这要求临床用药前必须详细询问过敏史，避免发生严重的过敏反应。</w:t>
      </w:r>
    </w:p>
    <w:p w14:paraId="154DBAEC">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规定了脏器功能与用药安全，“严重肝肾功能不全者慎用脱水剂或神经药物”的条款，源于这些药物的代谢和排泄途径。例如，甘露醇依赖肾脏排泄，在肾功能不全时可能加重损害；许多神经药物需经肝脏代谢。此条款强制要求医生在用药前评估患者脏器功能，调整剂量或选择替代方案，体现了精准医疗与安全用药的理念。</w:t>
      </w:r>
    </w:p>
    <w:p w14:paraId="615832C1">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规定了手术风险评估：手术禁忌条款（凝血功能障碍、严重心肺疾病、生命体征不稳定）直接来源于外科手术风险评估的通用标准和循证医学证据。它强调了并非所有颅脑损伤都适合立即手术，必须进行全面的术前评估，权衡手术获益与风险，这是医疗决策科学性的体现。</w:t>
      </w:r>
    </w:p>
    <w:p w14:paraId="5B431F40">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针对妊娠期、哺乳期患者的条款，反映了对母婴双重安全的考量。此条款要求医生必须超越常规方案，综合评估疾病对母体的威胁与治疗对胎儿/婴儿的潜在影响，进行多学科会诊和充分的知情同意，是医学伦理和个体化治疗的明确要求。</w:t>
      </w:r>
    </w:p>
    <w:p w14:paraId="4333ED71">
      <w:pPr>
        <w:pStyle w:val="30"/>
        <w:numPr>
          <w:ilvl w:val="0"/>
          <w:numId w:val="0"/>
        </w:numPr>
        <w:spacing w:line="520" w:lineRule="exact"/>
        <w:ind w:leftChars="0" w:firstLine="562" w:firstLineChars="200"/>
        <w:rPr>
          <w:rFonts w:hint="eastAsia" w:ascii="仿宋_GB2312" w:eastAsia="仿宋_GB2312" w:cs="仿宋"/>
          <w:b/>
          <w:bCs w:val="0"/>
          <w:color w:val="auto"/>
          <w:sz w:val="28"/>
          <w:szCs w:val="28"/>
          <w:lang w:val="en-US" w:eastAsia="zh-CN" w:bidi="ar-SA"/>
        </w:rPr>
      </w:pPr>
      <w:r>
        <w:rPr>
          <w:rFonts w:hint="eastAsia" w:ascii="仿宋_GB2312" w:eastAsia="仿宋_GB2312" w:cs="仿宋"/>
          <w:b/>
          <w:bCs w:val="0"/>
          <w:color w:val="auto"/>
          <w:sz w:val="28"/>
          <w:szCs w:val="28"/>
          <w:lang w:val="en-US" w:eastAsia="zh-CN" w:bidi="ar-SA"/>
        </w:rPr>
        <w:t>2.中医治疗禁忌症</w:t>
      </w:r>
    </w:p>
    <w:p w14:paraId="6F079839">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妊娠期妇女慎用活血化瘀类中药（如桃仁、红花）是中医妇科和临床药理学的重要共识。此类药物具有活血通经之力，理论上存在扰动胎元的风险。</w:t>
      </w:r>
    </w:p>
    <w:p w14:paraId="7D4D6C3B">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中医辨证论治的核心禁忌——寒热虚实：“虚寒证忌用寒凉药，实热证忌用温补药”是中医治疗“勿犯虚虚实实之戒”的根本原则。此条款旨在防止因药性与证候相反而导致的病情加重。例如，给虚寒患者使用寒凉药会重伤阳气；给实热患者使用温补药无异于“火上浇油”。这强制要求中医治疗必须严格基于准确的辨证，是保证中医疗效和安全性的生命线。</w:t>
      </w:r>
    </w:p>
    <w:p w14:paraId="118704FD">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p>
    <w:p w14:paraId="78B6609C">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针灸禁忌条款综合了操作安全和患者状态。皮肤感染处针刺会导致感染扩散；有出血倾向（如凝血障碍、正在使用抗凝药）者易导致局部血肿；严重虚弱者可能无法耐受刺激而发生晕针。此条款规范了针灸治疗的适用范围，确保了这项特色技术的安全性。</w:t>
      </w:r>
    </w:p>
    <w:p w14:paraId="7065A7B9">
      <w:pPr>
        <w:pStyle w:val="30"/>
        <w:numPr>
          <w:ilvl w:val="0"/>
          <w:numId w:val="0"/>
        </w:numPr>
        <w:spacing w:line="520" w:lineRule="exact"/>
        <w:ind w:left="0" w:leftChars="0" w:firstLine="0" w:firstLineChars="0"/>
        <w:rPr>
          <w:rFonts w:hint="eastAsia" w:ascii="仿宋_GB2312" w:hAnsi="Calibri"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bidi="ar-SA"/>
        </w:rPr>
        <w:t>（</w:t>
      </w:r>
      <w:r>
        <w:rPr>
          <w:rFonts w:hint="eastAsia" w:ascii="仿宋_GB2312" w:eastAsia="仿宋_GB2312" w:cs="仿宋"/>
          <w:b/>
          <w:bCs w:val="0"/>
          <w:color w:val="auto"/>
          <w:sz w:val="28"/>
          <w:szCs w:val="28"/>
          <w:lang w:val="en-US" w:eastAsia="zh-CN" w:bidi="ar-SA"/>
        </w:rPr>
        <w:t>五</w:t>
      </w:r>
      <w:r>
        <w:rPr>
          <w:rFonts w:hint="eastAsia" w:ascii="仿宋_GB2312" w:hAnsi="Calibri" w:eastAsia="仿宋_GB2312" w:cs="仿宋"/>
          <w:b/>
          <w:bCs w:val="0"/>
          <w:color w:val="auto"/>
          <w:sz w:val="28"/>
          <w:szCs w:val="28"/>
          <w:lang w:val="en-US" w:eastAsia="zh-CN" w:bidi="ar-SA"/>
        </w:rPr>
        <w:t>）日常调护</w:t>
      </w:r>
    </w:p>
    <w:p w14:paraId="336845D8">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本章节将治疗从医院延伸到家庭和社区，体现了“三分治，七分养”的中医康复理念和现代康复医学的全程管理思想。它旨在通过系统的生活方式指导，巩固疗效、促进功能恢复、预防并发症和复发，提升患者长期生活质量。</w:t>
      </w:r>
    </w:p>
    <w:p w14:paraId="459CF94E">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建议“清淡、易消化、高蛋白、多蔬果”符合颅脑损伤患者代谢增高、消化功能可能减弱、需要营养支持的现代营养学原则。“避免辛辣油腻”减少了刺激性食物对神经和消化系统的不良影响。推荐的“黄芪炖鸡”（补气）和“天麻鱼头汤”（平肝熄风）是经典的中医食疗方，将食物与药物结合，针对损伤后常见的气虚和肝阳上扰病机，提供了具体、可行的家庭调养方案，实现了营养支持与辨证施膳的统一。</w:t>
      </w:r>
    </w:p>
    <w:p w14:paraId="09C69B1C">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情绪管理的身心整体观： 颅脑损伤患者常伴有情绪障碍（如烦躁、抑郁）。“保持情绪稳定，避免激动”是防止情绪波动引起血压升高、加重病情的通用原则。引入“中医情志疗法”（如音乐疗法、冥想），是基于中医“形神合一”理论和现代心理康复证据，提供主动的情绪调节方法，有助于心神安定，促进神经修复。</w:t>
      </w:r>
    </w:p>
    <w:p w14:paraId="0EB942DD">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循序渐进进行肢体和认知训练是现代康复的核心理念。特别提出结合“太极拳、八段锦等传统功法”，是因为这些低强度、身心同练的功法已被研究证实能改善平衡、协调、肌力及心理状态，非常适合恢复期及后遗症期患者进行长期锻炼，是中医“动静结合”康复思想的体现。</w:t>
      </w:r>
    </w:p>
    <w:p w14:paraId="3FABD153">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保证充足睡眠是大脑修复的基本生理需求。“避免劳累和头部外伤风险”是重要的二级预防措施。“定期复查”则是监测病情变化、及时调整治疗方案的必要医疗行为。这几条共同构成了健康管理的基石。</w:t>
      </w:r>
    </w:p>
    <w:p w14:paraId="0ED3297E">
      <w:pPr>
        <w:pStyle w:val="30"/>
        <w:numPr>
          <w:ilvl w:val="0"/>
          <w:numId w:val="0"/>
        </w:numPr>
        <w:spacing w:line="520" w:lineRule="exact"/>
        <w:ind w:leftChars="0" w:firstLine="560" w:firstLineChars="200"/>
        <w:rPr>
          <w:rFonts w:hint="eastAsia" w:ascii="仿宋_GB2312" w:eastAsia="仿宋_GB2312" w:cs="仿宋"/>
          <w:b w:val="0"/>
          <w:bCs/>
          <w:color w:val="auto"/>
          <w:sz w:val="28"/>
          <w:szCs w:val="28"/>
          <w:lang w:val="en-US" w:eastAsia="zh-CN" w:bidi="ar-SA"/>
        </w:rPr>
      </w:pPr>
      <w:r>
        <w:rPr>
          <w:rFonts w:hint="eastAsia" w:ascii="仿宋_GB2312" w:eastAsia="仿宋_GB2312" w:cs="仿宋"/>
          <w:b w:val="0"/>
          <w:bCs/>
          <w:color w:val="auto"/>
          <w:sz w:val="28"/>
          <w:szCs w:val="28"/>
          <w:lang w:val="en-US" w:eastAsia="zh-CN" w:bidi="ar-SA"/>
        </w:rPr>
        <w:t>根据体质进行穴位按摩（如太阳穴缓解头痛、足三里健脾胃）或艾灸（温通经络、补益元气）”是将专业中医技术转化为患者及家属可操作的自我保健方法。它强调了在医生指导下，根据患者不同体质（如气虚、阳虚）进行针对性调护，使中医养生保健理念融入日常生活。</w:t>
      </w:r>
    </w:p>
    <w:p w14:paraId="0D6B7526">
      <w:pPr>
        <w:pStyle w:val="32"/>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3"/>
        <w:rPr>
          <w:rFonts w:hint="eastAsia" w:ascii="仿宋_GB2312" w:eastAsia="仿宋_GB2312"/>
          <w:color w:val="auto"/>
          <w:sz w:val="28"/>
          <w:szCs w:val="28"/>
        </w:rPr>
      </w:pPr>
    </w:p>
    <w:p w14:paraId="7696C500">
      <w:pPr>
        <w:pStyle w:val="23"/>
        <w:rPr>
          <w:rFonts w:hint="eastAsia" w:ascii="仿宋_GB2312" w:eastAsia="仿宋_GB2312"/>
          <w:color w:val="auto"/>
          <w:sz w:val="28"/>
          <w:szCs w:val="28"/>
        </w:rPr>
      </w:pPr>
    </w:p>
    <w:p w14:paraId="62C157D1">
      <w:pPr>
        <w:pStyle w:val="23"/>
        <w:rPr>
          <w:rFonts w:hint="eastAsia" w:ascii="仿宋_GB2312" w:eastAsia="仿宋_GB2312"/>
          <w:color w:val="auto"/>
          <w:sz w:val="28"/>
          <w:szCs w:val="28"/>
        </w:rPr>
      </w:pPr>
    </w:p>
    <w:p w14:paraId="753963BB">
      <w:pPr>
        <w:spacing w:before="240" w:after="60" w:line="520" w:lineRule="exact"/>
        <w:ind w:firstLine="3360" w:firstLineChars="12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颅脑损伤中西医结合诊疗规范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804818C">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12</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25</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EA761C-0B99-41E3-923C-A39A79C266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8B9B058-EC49-48E4-8D02-8D2FB1AEB948}"/>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21829555-2115-4A81-AD16-AB8405EBDB3F}"/>
  </w:font>
  <w:font w:name="仿宋">
    <w:panose1 w:val="02010609060101010101"/>
    <w:charset w:val="86"/>
    <w:family w:val="modern"/>
    <w:pitch w:val="default"/>
    <w:sig w:usb0="800002BF" w:usb1="38CF7CFA" w:usb2="00000016" w:usb3="00000000" w:csb0="00040001" w:csb1="00000000"/>
    <w:embedRegular r:id="rId4" w:fontKey="{E2732EBB-8B3B-4C33-8E89-5E302B0571E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1"/>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CC6EF6A0"/>
    <w:multiLevelType w:val="singleLevel"/>
    <w:tmpl w:val="CC6EF6A0"/>
    <w:lvl w:ilvl="0" w:tentative="0">
      <w:start w:val="1"/>
      <w:numFmt w:val="decimal"/>
      <w:lvlText w:val="%1"/>
      <w:lvlJc w:val="left"/>
      <w:pPr>
        <w:tabs>
          <w:tab w:val="left" w:pos="420"/>
        </w:tabs>
        <w:ind w:left="425" w:hanging="425"/>
      </w:pPr>
      <w:rPr>
        <w:rFonts w:hint="default"/>
      </w:rPr>
    </w:lvl>
  </w:abstractNum>
  <w:abstractNum w:abstractNumId="2">
    <w:nsid w:val="0FFFFF7E"/>
    <w:multiLevelType w:val="singleLevel"/>
    <w:tmpl w:val="0FFFFF7E"/>
    <w:lvl w:ilvl="0" w:tentative="0">
      <w:start w:val="1"/>
      <w:numFmt w:val="decimal"/>
      <w:lvlText w:val="%1."/>
      <w:lvlJc w:val="left"/>
      <w:pPr>
        <w:tabs>
          <w:tab w:val="left" w:pos="1200"/>
        </w:tabs>
        <w:ind w:left="1200" w:hanging="360"/>
      </w:pPr>
    </w:lvl>
  </w:abstractNum>
  <w:abstractNum w:abstractNumId="3">
    <w:nsid w:val="0FFFFF7F"/>
    <w:multiLevelType w:val="singleLevel"/>
    <w:tmpl w:val="0FFFFF7F"/>
    <w:lvl w:ilvl="0" w:tentative="0">
      <w:start w:val="1"/>
      <w:numFmt w:val="decimal"/>
      <w:lvlText w:val="%1."/>
      <w:lvlJc w:val="left"/>
      <w:pPr>
        <w:tabs>
          <w:tab w:val="left" w:pos="780"/>
        </w:tabs>
        <w:ind w:left="780" w:hanging="360"/>
      </w:pPr>
    </w:lvl>
  </w:abstractNum>
  <w:abstractNum w:abstractNumId="4">
    <w:nsid w:val="2C5917C3"/>
    <w:multiLevelType w:val="multilevel"/>
    <w:tmpl w:val="2C5917C3"/>
    <w:lvl w:ilvl="0" w:tentative="0">
      <w:start w:val="1"/>
      <w:numFmt w:val="none"/>
      <w:pStyle w:val="55"/>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5">
    <w:nsid w:val="44C50F90"/>
    <w:multiLevelType w:val="multilevel"/>
    <w:tmpl w:val="44C50F90"/>
    <w:lvl w:ilvl="0" w:tentative="0">
      <w:start w:val="1"/>
      <w:numFmt w:val="lowerLetter"/>
      <w:pStyle w:val="50"/>
      <w:lvlText w:val="%1)"/>
      <w:lvlJc w:val="left"/>
      <w:pPr>
        <w:tabs>
          <w:tab w:val="left" w:pos="851"/>
        </w:tabs>
        <w:ind w:left="851" w:hanging="426"/>
      </w:pPr>
      <w:rPr>
        <w:rFonts w:hint="eastAsia" w:ascii="宋体" w:hAnsi="Times New Roman" w:eastAsia="宋体"/>
        <w:sz w:val="21"/>
      </w:rPr>
    </w:lvl>
    <w:lvl w:ilvl="1" w:tentative="0">
      <w:start w:val="1"/>
      <w:numFmt w:val="decimal"/>
      <w:pStyle w:val="48"/>
      <w:lvlText w:val="%2)"/>
      <w:lvlJc w:val="left"/>
      <w:pPr>
        <w:tabs>
          <w:tab w:val="left" w:pos="1276"/>
        </w:tabs>
        <w:ind w:left="1276" w:hanging="425"/>
      </w:pPr>
      <w:rPr>
        <w:rFonts w:hint="eastAsia" w:ascii="宋体" w:hAnsi="Times New Roman" w:eastAsia="宋体"/>
        <w:sz w:val="21"/>
      </w:rPr>
    </w:lvl>
    <w:lvl w:ilvl="2" w:tentative="0">
      <w:start w:val="1"/>
      <w:numFmt w:val="decimal"/>
      <w:pStyle w:val="4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A9B6960"/>
    <w:multiLevelType w:val="multilevel"/>
    <w:tmpl w:val="5A9B6960"/>
    <w:lvl w:ilvl="0" w:tentative="0">
      <w:start w:val="1"/>
      <w:numFmt w:val="none"/>
      <w:pStyle w:val="38"/>
      <w:suff w:val="nothing"/>
      <w:lvlText w:val="%1"/>
      <w:legacy w:legacy="1" w:legacySpace="0" w:legacyIndent="0"/>
      <w:lvlJc w:val="left"/>
      <w:pPr>
        <w:ind w:left="0" w:firstLine="0"/>
      </w:pPr>
      <w:rPr>
        <w:rFonts w:hint="eastAsia"/>
      </w:rPr>
    </w:lvl>
    <w:lvl w:ilvl="1" w:tentative="0">
      <w:start w:val="1"/>
      <w:numFmt w:val="decimal"/>
      <w:pStyle w:val="32"/>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4"/>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0"/>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9"/>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7"/>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6"/>
  </w:num>
  <w:num w:numId="2">
    <w:abstractNumId w:val="0"/>
  </w:num>
  <w:num w:numId="3">
    <w:abstractNumId w:val="3"/>
  </w:num>
  <w:num w:numId="4">
    <w:abstractNumId w:val="2"/>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1A6C4F"/>
    <w:rsid w:val="02DC2156"/>
    <w:rsid w:val="033D6629"/>
    <w:rsid w:val="03CC3F79"/>
    <w:rsid w:val="05CD222A"/>
    <w:rsid w:val="06084616"/>
    <w:rsid w:val="06A9292B"/>
    <w:rsid w:val="077257E5"/>
    <w:rsid w:val="08EF7A39"/>
    <w:rsid w:val="093F343F"/>
    <w:rsid w:val="0A5844F0"/>
    <w:rsid w:val="0B564508"/>
    <w:rsid w:val="0C364870"/>
    <w:rsid w:val="0CCE2B10"/>
    <w:rsid w:val="0EB92622"/>
    <w:rsid w:val="0EE41D10"/>
    <w:rsid w:val="110E3E23"/>
    <w:rsid w:val="11386E78"/>
    <w:rsid w:val="11B73ED3"/>
    <w:rsid w:val="11DF729D"/>
    <w:rsid w:val="12277661"/>
    <w:rsid w:val="133D4C82"/>
    <w:rsid w:val="13D12EE6"/>
    <w:rsid w:val="13EE1CEA"/>
    <w:rsid w:val="13F37300"/>
    <w:rsid w:val="174D6D27"/>
    <w:rsid w:val="18CE5C46"/>
    <w:rsid w:val="1A2A2D28"/>
    <w:rsid w:val="1A611AD4"/>
    <w:rsid w:val="1B43291B"/>
    <w:rsid w:val="1B9C64CF"/>
    <w:rsid w:val="1E4A1472"/>
    <w:rsid w:val="1E6C7E3E"/>
    <w:rsid w:val="1F7503F6"/>
    <w:rsid w:val="20346CD6"/>
    <w:rsid w:val="206E043A"/>
    <w:rsid w:val="21B36690"/>
    <w:rsid w:val="21B75E11"/>
    <w:rsid w:val="2443573A"/>
    <w:rsid w:val="2472253C"/>
    <w:rsid w:val="25496D80"/>
    <w:rsid w:val="27095D8A"/>
    <w:rsid w:val="273250B0"/>
    <w:rsid w:val="27750300"/>
    <w:rsid w:val="277B51EB"/>
    <w:rsid w:val="279E6744"/>
    <w:rsid w:val="2AB253C7"/>
    <w:rsid w:val="2BAD2B02"/>
    <w:rsid w:val="2C413AFB"/>
    <w:rsid w:val="2C6C6F3C"/>
    <w:rsid w:val="2E0C3040"/>
    <w:rsid w:val="2E40384E"/>
    <w:rsid w:val="2E826991"/>
    <w:rsid w:val="2F083808"/>
    <w:rsid w:val="2F0B058C"/>
    <w:rsid w:val="2F7C5FA4"/>
    <w:rsid w:val="2FDD0EDC"/>
    <w:rsid w:val="31A33CBC"/>
    <w:rsid w:val="32F32A21"/>
    <w:rsid w:val="34337579"/>
    <w:rsid w:val="344833B2"/>
    <w:rsid w:val="35146A33"/>
    <w:rsid w:val="39CD7B28"/>
    <w:rsid w:val="3CC2722D"/>
    <w:rsid w:val="3D6C58AA"/>
    <w:rsid w:val="3E6639DC"/>
    <w:rsid w:val="3FC7172D"/>
    <w:rsid w:val="403A5A6A"/>
    <w:rsid w:val="403F2E01"/>
    <w:rsid w:val="431A1904"/>
    <w:rsid w:val="442944F4"/>
    <w:rsid w:val="45413951"/>
    <w:rsid w:val="454F3408"/>
    <w:rsid w:val="46E47FFF"/>
    <w:rsid w:val="4779601E"/>
    <w:rsid w:val="493E1AE1"/>
    <w:rsid w:val="4B2238EC"/>
    <w:rsid w:val="4C6C7CEB"/>
    <w:rsid w:val="4C7311D9"/>
    <w:rsid w:val="4DDD59C1"/>
    <w:rsid w:val="50370ABF"/>
    <w:rsid w:val="51A650B5"/>
    <w:rsid w:val="51FB0B52"/>
    <w:rsid w:val="52845057"/>
    <w:rsid w:val="531F075A"/>
    <w:rsid w:val="53F87A3F"/>
    <w:rsid w:val="54232BEA"/>
    <w:rsid w:val="56DA342C"/>
    <w:rsid w:val="57A01936"/>
    <w:rsid w:val="57A57FD6"/>
    <w:rsid w:val="57F01F2D"/>
    <w:rsid w:val="58D367F3"/>
    <w:rsid w:val="592B4413"/>
    <w:rsid w:val="592C1295"/>
    <w:rsid w:val="59DD74BB"/>
    <w:rsid w:val="5A8C449C"/>
    <w:rsid w:val="5B571FFB"/>
    <w:rsid w:val="5BD06662"/>
    <w:rsid w:val="5BFB00CD"/>
    <w:rsid w:val="5C452F47"/>
    <w:rsid w:val="5D086F45"/>
    <w:rsid w:val="5D4D6706"/>
    <w:rsid w:val="60252B89"/>
    <w:rsid w:val="616C2448"/>
    <w:rsid w:val="63057E95"/>
    <w:rsid w:val="63DF2082"/>
    <w:rsid w:val="654A16B4"/>
    <w:rsid w:val="660F1D12"/>
    <w:rsid w:val="66A21530"/>
    <w:rsid w:val="67277FC8"/>
    <w:rsid w:val="677C2407"/>
    <w:rsid w:val="67C27CF0"/>
    <w:rsid w:val="68C47A98"/>
    <w:rsid w:val="68C53F3C"/>
    <w:rsid w:val="6AB2229E"/>
    <w:rsid w:val="6B550249"/>
    <w:rsid w:val="6CC80E6D"/>
    <w:rsid w:val="710B6BAC"/>
    <w:rsid w:val="71525B1E"/>
    <w:rsid w:val="716444DA"/>
    <w:rsid w:val="7189529F"/>
    <w:rsid w:val="71CC633B"/>
    <w:rsid w:val="71F238C8"/>
    <w:rsid w:val="729F516E"/>
    <w:rsid w:val="738A5B9F"/>
    <w:rsid w:val="741F6AAA"/>
    <w:rsid w:val="74A0585D"/>
    <w:rsid w:val="754A5489"/>
    <w:rsid w:val="763864CA"/>
    <w:rsid w:val="764D461B"/>
    <w:rsid w:val="77A7157C"/>
    <w:rsid w:val="77D048EE"/>
    <w:rsid w:val="785D703D"/>
    <w:rsid w:val="78B143BF"/>
    <w:rsid w:val="79693102"/>
    <w:rsid w:val="7A035425"/>
    <w:rsid w:val="7AB465B7"/>
    <w:rsid w:val="7B215011"/>
    <w:rsid w:val="7CB63E70"/>
    <w:rsid w:val="7D221505"/>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4"/>
    <w:autoRedefine/>
    <w:qFormat/>
    <w:uiPriority w:val="9"/>
    <w:pPr>
      <w:keepNext/>
      <w:keepLines/>
      <w:spacing w:before="240" w:after="64" w:line="320" w:lineRule="auto"/>
      <w:outlineLvl w:val="6"/>
    </w:pPr>
    <w:rPr>
      <w:b/>
      <w:bCs/>
      <w:sz w:val="24"/>
    </w:rPr>
  </w:style>
  <w:style w:type="character" w:default="1" w:styleId="16">
    <w:name w:val="Default Paragraph Font"/>
    <w:autoRedefine/>
    <w:qFormat/>
    <w:uiPriority w:val="0"/>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annotation text"/>
    <w:basedOn w:val="1"/>
    <w:link w:val="25"/>
    <w:autoRedefine/>
    <w:unhideWhenUsed/>
    <w:qFormat/>
    <w:uiPriority w:val="99"/>
    <w:pPr>
      <w:adjustRightInd w:val="0"/>
      <w:spacing w:line="400" w:lineRule="exact"/>
      <w:jc w:val="left"/>
    </w:pPr>
    <w:rPr>
      <w:rFonts w:ascii="Calibri" w:hAnsi="Calibri"/>
      <w:szCs w:val="21"/>
    </w:rPr>
  </w:style>
  <w:style w:type="paragraph" w:styleId="8">
    <w:name w:val="Balloon Text"/>
    <w:basedOn w:val="1"/>
    <w:link w:val="26"/>
    <w:autoRedefine/>
    <w:unhideWhenUsed/>
    <w:qFormat/>
    <w:uiPriority w:val="99"/>
    <w:rPr>
      <w:sz w:val="18"/>
      <w:szCs w:val="18"/>
    </w:rPr>
  </w:style>
  <w:style w:type="paragraph" w:styleId="9">
    <w:name w:val="footer"/>
    <w:basedOn w:val="1"/>
    <w:link w:val="27"/>
    <w:autoRedefine/>
    <w:qFormat/>
    <w:uiPriority w:val="99"/>
    <w:pPr>
      <w:tabs>
        <w:tab w:val="center" w:pos="4153"/>
        <w:tab w:val="right" w:pos="8306"/>
      </w:tabs>
      <w:snapToGrid w:val="0"/>
      <w:jc w:val="left"/>
    </w:pPr>
    <w:rPr>
      <w:sz w:val="18"/>
      <w:szCs w:val="18"/>
    </w:rPr>
  </w:style>
  <w:style w:type="paragraph" w:styleId="10">
    <w:name w:val="envelope return"/>
    <w:basedOn w:val="1"/>
    <w:autoRedefine/>
    <w:qFormat/>
    <w:uiPriority w:val="0"/>
    <w:pPr>
      <w:snapToGrid w:val="0"/>
    </w:pPr>
    <w:rPr>
      <w:rFonts w:ascii="Times New Roman" w:hAnsi="Times New Roman"/>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7">
    <w:name w:val="Strong"/>
    <w:basedOn w:val="16"/>
    <w:autoRedefine/>
    <w:qFormat/>
    <w:uiPriority w:val="22"/>
    <w:rPr>
      <w:b/>
    </w:rPr>
  </w:style>
  <w:style w:type="character" w:styleId="18">
    <w:name w:val="line number"/>
    <w:autoRedefine/>
    <w:qFormat/>
    <w:uiPriority w:val="0"/>
  </w:style>
  <w:style w:type="character" w:styleId="19">
    <w:name w:val="Hyperlink"/>
    <w:autoRedefine/>
    <w:qFormat/>
    <w:uiPriority w:val="0"/>
    <w:rPr>
      <w:rFonts w:ascii="宋体" w:eastAsia="宋体"/>
      <w:color w:val="auto"/>
      <w:spacing w:val="0"/>
      <w:w w:val="100"/>
      <w:position w:val="0"/>
      <w:sz w:val="21"/>
      <w:u w:val="none"/>
      <w:vertAlign w:val="baseline"/>
    </w:rPr>
  </w:style>
  <w:style w:type="character" w:styleId="20">
    <w:name w:val="annotation reference"/>
    <w:autoRedefine/>
    <w:qFormat/>
    <w:uiPriority w:val="99"/>
    <w:rPr>
      <w:sz w:val="21"/>
    </w:rPr>
  </w:style>
  <w:style w:type="character" w:styleId="21">
    <w:name w:val="footnote reference"/>
    <w:autoRedefine/>
    <w:qFormat/>
    <w:uiPriority w:val="0"/>
    <w:rPr>
      <w:vertAlign w:val="superscript"/>
    </w:rPr>
  </w:style>
  <w:style w:type="paragraph" w:customStyle="1" w:styleId="22">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3">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4">
    <w:name w:val="标题 7 字符"/>
    <w:link w:val="6"/>
    <w:autoRedefine/>
    <w:qFormat/>
    <w:uiPriority w:val="0"/>
    <w:rPr>
      <w:rFonts w:eastAsia="宋体"/>
      <w:b/>
      <w:bCs/>
      <w:kern w:val="2"/>
      <w:sz w:val="24"/>
      <w:szCs w:val="24"/>
    </w:rPr>
  </w:style>
  <w:style w:type="character" w:customStyle="1" w:styleId="25">
    <w:name w:val="批注文字 字符"/>
    <w:link w:val="7"/>
    <w:autoRedefine/>
    <w:semiHidden/>
    <w:qFormat/>
    <w:uiPriority w:val="99"/>
    <w:rPr>
      <w:rFonts w:ascii="Calibri" w:hAnsi="Calibri" w:eastAsia="宋体"/>
      <w:kern w:val="2"/>
      <w:sz w:val="21"/>
      <w:szCs w:val="21"/>
    </w:rPr>
  </w:style>
  <w:style w:type="character" w:customStyle="1" w:styleId="26">
    <w:name w:val="批注框文本 字符"/>
    <w:link w:val="8"/>
    <w:autoRedefine/>
    <w:semiHidden/>
    <w:qFormat/>
    <w:uiPriority w:val="99"/>
    <w:rPr>
      <w:rFonts w:eastAsia="宋体"/>
      <w:kern w:val="2"/>
      <w:sz w:val="18"/>
      <w:szCs w:val="18"/>
    </w:rPr>
  </w:style>
  <w:style w:type="character" w:customStyle="1" w:styleId="27">
    <w:name w:val="页脚 字符"/>
    <w:link w:val="9"/>
    <w:autoRedefine/>
    <w:qFormat/>
    <w:locked/>
    <w:uiPriority w:val="99"/>
    <w:rPr>
      <w:rFonts w:eastAsia="宋体"/>
      <w:kern w:val="2"/>
      <w:sz w:val="18"/>
      <w:szCs w:val="18"/>
    </w:rPr>
  </w:style>
  <w:style w:type="paragraph" w:customStyle="1" w:styleId="28">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29">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0">
    <w:name w:val="标准文件_段"/>
    <w:link w:val="31"/>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1">
    <w:name w:val="标准文件_段 Char"/>
    <w:link w:val="30"/>
    <w:autoRedefine/>
    <w:qFormat/>
    <w:uiPriority w:val="0"/>
    <w:rPr>
      <w:rFonts w:ascii="宋体" w:eastAsia="宋体"/>
      <w:sz w:val="21"/>
    </w:rPr>
  </w:style>
  <w:style w:type="paragraph" w:customStyle="1" w:styleId="32">
    <w:name w:val="标准文件_章标题"/>
    <w:next w:val="30"/>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3">
    <w:name w:val="标准文件_二级条标题"/>
    <w:next w:val="30"/>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4">
    <w:name w:val="标准文件_一级条标题"/>
    <w:basedOn w:val="32"/>
    <w:next w:val="30"/>
    <w:autoRedefine/>
    <w:qFormat/>
    <w:uiPriority w:val="0"/>
    <w:pPr>
      <w:numPr>
        <w:ilvl w:val="2"/>
        <w:numId w:val="1"/>
      </w:numPr>
      <w:spacing w:before="50" w:beforeLines="0" w:after="50" w:afterLines="0"/>
      <w:outlineLvl w:val="1"/>
    </w:pPr>
  </w:style>
  <w:style w:type="paragraph" w:customStyle="1" w:styleId="35">
    <w:name w:val="标准文件_三级条标题"/>
    <w:basedOn w:val="33"/>
    <w:next w:val="30"/>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6">
    <w:name w:val="标准文件_四级条标题"/>
    <w:next w:val="30"/>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7">
    <w:name w:val="标准文件_五级条标题"/>
    <w:next w:val="33"/>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8">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9">
    <w:name w:val="标准文件_四级无标题"/>
    <w:basedOn w:val="36"/>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40">
    <w:name w:val="标准文件_三级无标题"/>
    <w:basedOn w:val="35"/>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1">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2">
    <w:name w:val="font11"/>
    <w:autoRedefine/>
    <w:qFormat/>
    <w:uiPriority w:val="0"/>
    <w:rPr>
      <w:rFonts w:ascii="等线" w:eastAsia="等线"/>
      <w:b/>
      <w:bCs/>
      <w:color w:val="FF0000"/>
      <w:sz w:val="22"/>
      <w:szCs w:val="22"/>
      <w:u w:val="none"/>
    </w:rPr>
  </w:style>
  <w:style w:type="character" w:customStyle="1" w:styleId="43">
    <w:name w:val="font01"/>
    <w:autoRedefine/>
    <w:qFormat/>
    <w:uiPriority w:val="0"/>
    <w:rPr>
      <w:rFonts w:ascii="等线" w:eastAsia="等线"/>
      <w:color w:val="000000"/>
      <w:sz w:val="22"/>
      <w:szCs w:val="22"/>
      <w:u w:val="none"/>
    </w:rPr>
  </w:style>
  <w:style w:type="paragraph" w:customStyle="1" w:styleId="44">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5">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6">
    <w:name w:val="标准文件_二级无标题"/>
    <w:basedOn w:val="33"/>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7">
    <w:name w:val="Char Char Char Char"/>
    <w:basedOn w:val="1"/>
    <w:autoRedefine/>
    <w:qFormat/>
    <w:uiPriority w:val="0"/>
  </w:style>
  <w:style w:type="paragraph" w:customStyle="1" w:styleId="48">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49">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50">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1">
    <w:name w:val="标准文件_术语条一"/>
    <w:basedOn w:val="1"/>
    <w:next w:val="30"/>
    <w:autoRedefine/>
    <w:qFormat/>
    <w:uiPriority w:val="0"/>
    <w:pPr>
      <w:widowControl/>
    </w:pPr>
    <w:rPr>
      <w:rFonts w:ascii="宋体"/>
      <w:kern w:val="0"/>
      <w:szCs w:val="20"/>
    </w:rPr>
  </w:style>
  <w:style w:type="paragraph" w:customStyle="1" w:styleId="52">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3">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4">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标准文件_一级项"/>
    <w:autoRedefine/>
    <w:qFormat/>
    <w:uiPriority w:val="0"/>
    <w:pPr>
      <w:numPr>
        <w:ilvl w:val="0"/>
        <w:numId w:val="6"/>
      </w:numPr>
    </w:pPr>
    <w:rPr>
      <w:rFonts w:ascii="宋体" w:hAnsi="Times New Roman" w:eastAsia="宋体" w:cs="Times New Roman"/>
      <w:sz w:val="21"/>
      <w:lang w:val="en-US" w:eastAsia="zh-CN" w:bidi="ar-SA"/>
    </w:rPr>
  </w:style>
  <w:style w:type="paragraph" w:customStyle="1" w:styleId="56">
    <w:name w:val="标准文件_一级无标题"/>
    <w:basedOn w:val="34"/>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8704</Words>
  <Characters>9369</Characters>
  <Lines>140</Lines>
  <Paragraphs>39</Paragraphs>
  <TotalTime>0</TotalTime>
  <ScaleCrop>false</ScaleCrop>
  <LinksUpToDate>false</LinksUpToDate>
  <CharactersWithSpaces>9443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誰念誰川</cp:lastModifiedBy>
  <cp:lastPrinted>2025-06-12T03:01:00Z</cp:lastPrinted>
  <dcterms:modified xsi:type="dcterms:W3CDTF">2025-12-31T10:31:39Z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D3FFC54FB7C44F35AF0A3AFAE9814F0F_13</vt:lpwstr>
  </property>
  <property fmtid="{D5CDD505-2E9C-101B-9397-08002B2CF9AE}" pid="4" name="KSOTemplateDocerSaveRecord">
    <vt:lpwstr>eyJoZGlkIjoiZGNjZmU2ZjU2NGYxNTkyZTA5NjFjOTMxMGY5NTQyNTYiLCJ1c2VySWQiOiIxOTA2MDI2MDgifQ==</vt:lpwstr>
  </property>
</Properties>
</file>