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CB75B1" w14:textId="77777777" w:rsidR="00A10F3C" w:rsidRPr="002E0428" w:rsidRDefault="00000000">
      <w:pPr>
        <w:ind w:firstLineChars="0" w:firstLine="0"/>
        <w:jc w:val="center"/>
        <w:rPr>
          <w:rFonts w:ascii="宋体" w:eastAsia="宋体" w:cs="宋体" w:hint="eastAsia"/>
          <w:b/>
          <w:w w:val="95"/>
          <w:sz w:val="44"/>
          <w:szCs w:val="44"/>
        </w:rPr>
      </w:pPr>
      <w:r w:rsidRPr="002E0428">
        <w:rPr>
          <w:rFonts w:ascii="宋体" w:eastAsia="宋体" w:cs="宋体" w:hint="eastAsia"/>
          <w:b/>
          <w:w w:val="95"/>
          <w:sz w:val="44"/>
          <w:szCs w:val="44"/>
        </w:rPr>
        <w:t>团体标准《骨科护理质量评价规范》（征求意见稿）编制说明</w:t>
      </w:r>
    </w:p>
    <w:p w14:paraId="3D6EE76F" w14:textId="77777777" w:rsidR="00A10F3C" w:rsidRDefault="00000000">
      <w:pPr>
        <w:spacing w:line="360" w:lineRule="auto"/>
        <w:ind w:firstLine="640"/>
        <w:rPr>
          <w:rFonts w:ascii="黑体" w:eastAsia="黑体" w:hAnsi="黑体" w:hint="eastAsia"/>
          <w:bCs/>
          <w:sz w:val="32"/>
          <w:szCs w:val="32"/>
        </w:rPr>
      </w:pPr>
      <w:r>
        <w:rPr>
          <w:rFonts w:ascii="黑体" w:eastAsia="黑体" w:hAnsi="黑体" w:hint="eastAsia"/>
          <w:bCs/>
          <w:sz w:val="32"/>
          <w:szCs w:val="32"/>
        </w:rPr>
        <w:t>一、项目来源、起草单位、主要起草人</w:t>
      </w:r>
    </w:p>
    <w:p w14:paraId="62B168E3"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根据关于《</w:t>
      </w:r>
      <w:r>
        <w:rPr>
          <w:rFonts w:ascii="仿宋" w:eastAsia="仿宋" w:hAnsi="仿宋" w:hint="eastAsia"/>
        </w:rPr>
        <w:t>广西标准化协会关于下达2024年第二十六批团体标准制修订项目计划的通知</w:t>
      </w:r>
      <w:r>
        <w:rPr>
          <w:rFonts w:ascii="仿宋" w:eastAsia="仿宋" w:hAnsi="仿宋" w:hint="eastAsia"/>
          <w:bCs/>
        </w:rPr>
        <w:t>》（桂标协〔2024〕188号）文件精神，由</w:t>
      </w:r>
      <w:r w:rsidR="00EE4B6B" w:rsidRPr="00EE4B6B">
        <w:rPr>
          <w:rFonts w:ascii="仿宋" w:eastAsia="仿宋" w:hAnsi="仿宋" w:hint="eastAsia"/>
          <w:bCs/>
        </w:rPr>
        <w:t>中山大学附属第一医院广西医院、柳州市人民医院、南宁市第一人民医院、河池市第一人民医院、广西壮族自治区南溪山医院、桂林医学院附属医院、玉林市第一人民医院、广西壮族自治区人民医院</w:t>
      </w:r>
      <w:r>
        <w:rPr>
          <w:rFonts w:ascii="仿宋" w:eastAsia="仿宋" w:hAnsi="仿宋" w:hint="eastAsia"/>
          <w:bCs/>
        </w:rPr>
        <w:t>等单位共同起草的团体标准《骨科护理质量评价规范》（项目编号：2024-2604）被获批立项。</w:t>
      </w:r>
    </w:p>
    <w:p w14:paraId="4B11A4F4" w14:textId="77777777" w:rsidR="00A10F3C" w:rsidRDefault="00000000">
      <w:pPr>
        <w:spacing w:line="360" w:lineRule="auto"/>
        <w:ind w:firstLine="560"/>
        <w:rPr>
          <w:rFonts w:ascii="仿宋" w:eastAsia="仿宋" w:hAnsi="仿宋" w:hint="eastAsia"/>
          <w:bCs/>
          <w:sz w:val="22"/>
          <w:szCs w:val="22"/>
        </w:rPr>
      </w:pPr>
      <w:r>
        <w:rPr>
          <w:rFonts w:ascii="仿宋" w:eastAsia="仿宋" w:hAnsi="仿宋" w:hint="eastAsia"/>
          <w:bCs/>
        </w:rPr>
        <w:t>为高质量编制团体标准《骨科护理质量评价规范》，由起草单位成立标准编制工作组并进行如下分工：</w:t>
      </w:r>
    </w:p>
    <w:tbl>
      <w:tblPr>
        <w:tblStyle w:val="af0"/>
        <w:tblW w:w="0" w:type="auto"/>
        <w:jc w:val="center"/>
        <w:tblLook w:val="04A0" w:firstRow="1" w:lastRow="0" w:firstColumn="1" w:lastColumn="0" w:noHBand="0" w:noVBand="1"/>
      </w:tblPr>
      <w:tblGrid>
        <w:gridCol w:w="989"/>
        <w:gridCol w:w="1613"/>
        <w:gridCol w:w="1504"/>
        <w:gridCol w:w="1780"/>
        <w:gridCol w:w="3062"/>
      </w:tblGrid>
      <w:tr w:rsidR="00A10F3C" w14:paraId="42087349"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7EF21255" w14:textId="77777777" w:rsidR="00A10F3C" w:rsidRPr="00EE4B6B" w:rsidRDefault="00000000">
            <w:pPr>
              <w:spacing w:line="360" w:lineRule="auto"/>
              <w:ind w:firstLineChars="0" w:firstLine="0"/>
              <w:jc w:val="center"/>
              <w:rPr>
                <w:rFonts w:ascii="仿宋" w:eastAsia="仿宋" w:hAnsi="仿宋" w:hint="eastAsia"/>
                <w:b/>
                <w:sz w:val="24"/>
                <w:szCs w:val="24"/>
              </w:rPr>
            </w:pPr>
            <w:r w:rsidRPr="00EE4B6B">
              <w:rPr>
                <w:rFonts w:ascii="仿宋" w:eastAsia="仿宋" w:hAnsi="仿宋" w:hint="eastAsia"/>
                <w:b/>
                <w:sz w:val="24"/>
                <w:szCs w:val="24"/>
              </w:rPr>
              <w:t>姓名</w:t>
            </w:r>
          </w:p>
        </w:tc>
        <w:tc>
          <w:tcPr>
            <w:tcW w:w="1613" w:type="dxa"/>
            <w:tcBorders>
              <w:top w:val="single" w:sz="4" w:space="0" w:color="auto"/>
              <w:left w:val="single" w:sz="4" w:space="0" w:color="auto"/>
              <w:bottom w:val="single" w:sz="4" w:space="0" w:color="auto"/>
              <w:right w:val="single" w:sz="4" w:space="0" w:color="auto"/>
            </w:tcBorders>
            <w:vAlign w:val="center"/>
          </w:tcPr>
          <w:p w14:paraId="27B64416" w14:textId="77777777" w:rsidR="00A10F3C" w:rsidRPr="00EE4B6B" w:rsidRDefault="00000000">
            <w:pPr>
              <w:spacing w:line="360" w:lineRule="auto"/>
              <w:ind w:firstLineChars="0" w:firstLine="0"/>
              <w:jc w:val="center"/>
              <w:rPr>
                <w:rFonts w:ascii="仿宋" w:eastAsia="仿宋" w:hAnsi="仿宋" w:hint="eastAsia"/>
                <w:b/>
                <w:sz w:val="24"/>
                <w:szCs w:val="24"/>
              </w:rPr>
            </w:pPr>
            <w:r w:rsidRPr="00EE4B6B">
              <w:rPr>
                <w:rFonts w:ascii="仿宋" w:eastAsia="仿宋" w:hAnsi="仿宋" w:hint="eastAsia"/>
                <w:b/>
                <w:sz w:val="24"/>
                <w:szCs w:val="24"/>
              </w:rPr>
              <w:t>职务/职称</w:t>
            </w:r>
          </w:p>
        </w:tc>
        <w:tc>
          <w:tcPr>
            <w:tcW w:w="1504" w:type="dxa"/>
            <w:tcBorders>
              <w:top w:val="single" w:sz="4" w:space="0" w:color="auto"/>
              <w:left w:val="single" w:sz="4" w:space="0" w:color="auto"/>
              <w:bottom w:val="single" w:sz="4" w:space="0" w:color="auto"/>
              <w:right w:val="single" w:sz="4" w:space="0" w:color="auto"/>
            </w:tcBorders>
            <w:vAlign w:val="center"/>
          </w:tcPr>
          <w:p w14:paraId="165EC78D" w14:textId="77777777" w:rsidR="00A10F3C" w:rsidRPr="00EE4B6B" w:rsidRDefault="00000000">
            <w:pPr>
              <w:spacing w:line="360" w:lineRule="auto"/>
              <w:ind w:firstLineChars="0" w:firstLine="0"/>
              <w:jc w:val="center"/>
              <w:rPr>
                <w:rFonts w:ascii="仿宋" w:eastAsia="仿宋" w:hAnsi="仿宋" w:hint="eastAsia"/>
                <w:b/>
                <w:sz w:val="24"/>
                <w:szCs w:val="24"/>
              </w:rPr>
            </w:pPr>
            <w:r w:rsidRPr="00EE4B6B">
              <w:rPr>
                <w:rFonts w:ascii="仿宋" w:eastAsia="仿宋" w:hAnsi="仿宋" w:hint="eastAsia"/>
                <w:b/>
                <w:sz w:val="24"/>
                <w:szCs w:val="24"/>
              </w:rPr>
              <w:t>从事专业</w:t>
            </w:r>
          </w:p>
        </w:tc>
        <w:tc>
          <w:tcPr>
            <w:tcW w:w="1780" w:type="dxa"/>
            <w:tcBorders>
              <w:top w:val="single" w:sz="4" w:space="0" w:color="auto"/>
              <w:left w:val="single" w:sz="4" w:space="0" w:color="auto"/>
              <w:bottom w:val="single" w:sz="4" w:space="0" w:color="auto"/>
              <w:right w:val="single" w:sz="4" w:space="0" w:color="auto"/>
            </w:tcBorders>
            <w:vAlign w:val="center"/>
          </w:tcPr>
          <w:p w14:paraId="4D1A319B" w14:textId="77777777" w:rsidR="00A10F3C" w:rsidRPr="00EE4B6B" w:rsidRDefault="00000000">
            <w:pPr>
              <w:spacing w:line="360" w:lineRule="auto"/>
              <w:ind w:firstLineChars="0" w:firstLine="0"/>
              <w:jc w:val="center"/>
              <w:rPr>
                <w:rFonts w:ascii="仿宋" w:eastAsia="仿宋" w:hAnsi="仿宋" w:hint="eastAsia"/>
                <w:b/>
                <w:sz w:val="24"/>
                <w:szCs w:val="24"/>
              </w:rPr>
            </w:pPr>
            <w:r w:rsidRPr="00EE4B6B">
              <w:rPr>
                <w:rFonts w:ascii="仿宋" w:eastAsia="仿宋" w:hAnsi="仿宋" w:hint="eastAsia"/>
                <w:b/>
                <w:sz w:val="24"/>
                <w:szCs w:val="24"/>
              </w:rPr>
              <w:t>工作单位</w:t>
            </w:r>
          </w:p>
        </w:tc>
        <w:tc>
          <w:tcPr>
            <w:tcW w:w="3062" w:type="dxa"/>
            <w:tcBorders>
              <w:top w:val="single" w:sz="4" w:space="0" w:color="auto"/>
              <w:left w:val="single" w:sz="4" w:space="0" w:color="auto"/>
              <w:bottom w:val="single" w:sz="4" w:space="0" w:color="auto"/>
              <w:right w:val="single" w:sz="4" w:space="0" w:color="auto"/>
            </w:tcBorders>
            <w:vAlign w:val="center"/>
          </w:tcPr>
          <w:p w14:paraId="00EDE8CB" w14:textId="77777777" w:rsidR="00A10F3C" w:rsidRPr="00EE4B6B" w:rsidRDefault="00000000">
            <w:pPr>
              <w:spacing w:line="360" w:lineRule="auto"/>
              <w:ind w:firstLineChars="0" w:firstLine="0"/>
              <w:jc w:val="center"/>
              <w:rPr>
                <w:rFonts w:ascii="仿宋" w:eastAsia="仿宋" w:hAnsi="仿宋" w:hint="eastAsia"/>
                <w:b/>
                <w:sz w:val="24"/>
                <w:szCs w:val="24"/>
              </w:rPr>
            </w:pPr>
            <w:r w:rsidRPr="00EE4B6B">
              <w:rPr>
                <w:rFonts w:ascii="仿宋" w:eastAsia="仿宋" w:hAnsi="仿宋" w:hint="eastAsia"/>
                <w:b/>
                <w:sz w:val="24"/>
                <w:szCs w:val="24"/>
              </w:rPr>
              <w:t>主要负责工作</w:t>
            </w:r>
          </w:p>
        </w:tc>
      </w:tr>
      <w:tr w:rsidR="00A10F3C" w14:paraId="5D4DFD22"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593B928F" w14:textId="77777777" w:rsidR="00A10F3C" w:rsidRPr="00EE4B6B" w:rsidRDefault="00000000">
            <w:pPr>
              <w:spacing w:line="360" w:lineRule="auto"/>
              <w:ind w:firstLineChars="0" w:firstLine="0"/>
              <w:jc w:val="center"/>
              <w:rPr>
                <w:rFonts w:ascii="仿宋" w:eastAsia="仿宋" w:hAnsi="仿宋" w:hint="eastAsia"/>
                <w:bCs/>
                <w:sz w:val="24"/>
                <w:szCs w:val="24"/>
              </w:rPr>
            </w:pPr>
            <w:r w:rsidRPr="00EE4B6B">
              <w:rPr>
                <w:rFonts w:ascii="仿宋" w:eastAsia="仿宋" w:hAnsi="仿宋" w:hint="eastAsia"/>
                <w:bCs/>
                <w:sz w:val="24"/>
                <w:szCs w:val="24"/>
              </w:rPr>
              <w:t>何红艳</w:t>
            </w:r>
          </w:p>
        </w:tc>
        <w:tc>
          <w:tcPr>
            <w:tcW w:w="1613" w:type="dxa"/>
            <w:tcBorders>
              <w:top w:val="single" w:sz="4" w:space="0" w:color="auto"/>
              <w:left w:val="single" w:sz="4" w:space="0" w:color="auto"/>
              <w:bottom w:val="single" w:sz="4" w:space="0" w:color="auto"/>
              <w:right w:val="single" w:sz="4" w:space="0" w:color="auto"/>
            </w:tcBorders>
            <w:vAlign w:val="center"/>
          </w:tcPr>
          <w:p w14:paraId="5D72517D" w14:textId="77777777" w:rsidR="00A10F3C" w:rsidRPr="00EE4B6B" w:rsidRDefault="00000000">
            <w:pPr>
              <w:spacing w:line="360" w:lineRule="auto"/>
              <w:ind w:firstLineChars="0" w:firstLine="0"/>
              <w:jc w:val="center"/>
              <w:rPr>
                <w:rFonts w:ascii="仿宋" w:eastAsia="仿宋" w:hAnsi="仿宋" w:hint="eastAsia"/>
                <w:bCs/>
                <w:sz w:val="24"/>
                <w:szCs w:val="24"/>
              </w:rPr>
            </w:pPr>
            <w:r w:rsidRPr="00EE4B6B">
              <w:rPr>
                <w:rFonts w:ascii="仿宋" w:eastAsia="仿宋" w:hAnsi="仿宋" w:hint="eastAsia"/>
                <w:bCs/>
                <w:sz w:val="24"/>
                <w:szCs w:val="24"/>
              </w:rPr>
              <w:t>骨科执行护士长/主任护师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05AD0493" w14:textId="77777777" w:rsidR="00A10F3C" w:rsidRPr="00EE4B6B" w:rsidRDefault="00000000">
            <w:pPr>
              <w:spacing w:line="360" w:lineRule="auto"/>
              <w:ind w:firstLineChars="0" w:firstLine="0"/>
              <w:jc w:val="center"/>
              <w:rPr>
                <w:rFonts w:ascii="仿宋" w:eastAsia="仿宋" w:hAnsi="仿宋" w:hint="eastAsia"/>
                <w:bCs/>
                <w:sz w:val="24"/>
                <w:szCs w:val="24"/>
              </w:rPr>
            </w:pPr>
            <w:r w:rsidRPr="00EE4B6B">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9953EE9" w14:textId="77777777" w:rsidR="00A10F3C" w:rsidRPr="00EE4B6B" w:rsidRDefault="00000000">
            <w:pPr>
              <w:spacing w:line="360" w:lineRule="auto"/>
              <w:ind w:firstLineChars="0" w:firstLine="0"/>
              <w:jc w:val="center"/>
              <w:rPr>
                <w:rFonts w:ascii="仿宋" w:eastAsia="仿宋" w:hAnsi="仿宋" w:hint="eastAsia"/>
                <w:bCs/>
                <w:sz w:val="24"/>
                <w:szCs w:val="24"/>
              </w:rPr>
            </w:pPr>
            <w:r w:rsidRPr="00EE4B6B">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vAlign w:val="center"/>
          </w:tcPr>
          <w:p w14:paraId="4D9B63BC" w14:textId="77777777" w:rsidR="00A10F3C" w:rsidRPr="00EE4B6B" w:rsidRDefault="00000000">
            <w:pPr>
              <w:spacing w:line="360" w:lineRule="auto"/>
              <w:ind w:firstLineChars="0" w:firstLine="0"/>
              <w:rPr>
                <w:rFonts w:ascii="仿宋" w:eastAsia="仿宋" w:hAnsi="仿宋" w:hint="eastAsia"/>
                <w:bCs/>
                <w:sz w:val="24"/>
                <w:szCs w:val="24"/>
              </w:rPr>
            </w:pPr>
            <w:r w:rsidRPr="00EE4B6B">
              <w:rPr>
                <w:rFonts w:ascii="仿宋" w:eastAsia="仿宋" w:hAnsi="仿宋" w:hint="eastAsia"/>
                <w:bCs/>
                <w:sz w:val="24"/>
                <w:szCs w:val="24"/>
              </w:rPr>
              <w:t>统筹主持标准编制工作。</w:t>
            </w:r>
          </w:p>
        </w:tc>
      </w:tr>
      <w:tr w:rsidR="00A10F3C" w14:paraId="0D4C30AB"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13F4F964"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邱小芩</w:t>
            </w:r>
          </w:p>
        </w:tc>
        <w:tc>
          <w:tcPr>
            <w:tcW w:w="1613" w:type="dxa"/>
            <w:tcBorders>
              <w:top w:val="single" w:sz="4" w:space="0" w:color="auto"/>
              <w:left w:val="single" w:sz="4" w:space="0" w:color="auto"/>
              <w:bottom w:val="single" w:sz="4" w:space="0" w:color="auto"/>
              <w:right w:val="single" w:sz="4" w:space="0" w:color="auto"/>
            </w:tcBorders>
            <w:vAlign w:val="center"/>
          </w:tcPr>
          <w:p w14:paraId="3810245B"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护理部执行主任/主任护师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5E4F8548"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2BB90D46"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vAlign w:val="center"/>
          </w:tcPr>
          <w:p w14:paraId="753F0267"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参与标准编制工作，组织人员进行标准发布后的宣贯培训。</w:t>
            </w:r>
          </w:p>
        </w:tc>
      </w:tr>
      <w:tr w:rsidR="00A10F3C" w14:paraId="27B9DA04"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EF3BE5A"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徐敏</w:t>
            </w:r>
          </w:p>
        </w:tc>
        <w:tc>
          <w:tcPr>
            <w:tcW w:w="1613" w:type="dxa"/>
            <w:tcBorders>
              <w:top w:val="single" w:sz="4" w:space="0" w:color="auto"/>
              <w:left w:val="single" w:sz="4" w:space="0" w:color="auto"/>
              <w:bottom w:val="single" w:sz="4" w:space="0" w:color="auto"/>
              <w:right w:val="single" w:sz="4" w:space="0" w:color="auto"/>
            </w:tcBorders>
            <w:vAlign w:val="center"/>
          </w:tcPr>
          <w:p w14:paraId="27DA5F4F"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护理部主任/副主任护师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7F8720A7"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7DFCA764"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vAlign w:val="center"/>
          </w:tcPr>
          <w:p w14:paraId="60AEA9ED"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参与标准文本及编制说明编写，质量控制。</w:t>
            </w:r>
          </w:p>
        </w:tc>
      </w:tr>
      <w:tr w:rsidR="00A10F3C" w14:paraId="17014142"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1FED9B07"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熊伟昕</w:t>
            </w:r>
          </w:p>
        </w:tc>
        <w:tc>
          <w:tcPr>
            <w:tcW w:w="1613" w:type="dxa"/>
            <w:tcBorders>
              <w:top w:val="single" w:sz="4" w:space="0" w:color="auto"/>
              <w:left w:val="single" w:sz="4" w:space="0" w:color="auto"/>
              <w:bottom w:val="single" w:sz="4" w:space="0" w:color="auto"/>
              <w:right w:val="single" w:sz="4" w:space="0" w:color="auto"/>
            </w:tcBorders>
            <w:vAlign w:val="center"/>
          </w:tcPr>
          <w:p w14:paraId="796131A2"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护理部副主任/副主任护师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20BA08BE"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1BEE224A"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vAlign w:val="center"/>
          </w:tcPr>
          <w:p w14:paraId="19A62C61"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参与标准文本及编制说明的编写。</w:t>
            </w:r>
          </w:p>
        </w:tc>
      </w:tr>
      <w:tr w:rsidR="00A10F3C" w14:paraId="0356D3BB"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6314769"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lastRenderedPageBreak/>
              <w:t>李书振</w:t>
            </w:r>
          </w:p>
        </w:tc>
        <w:tc>
          <w:tcPr>
            <w:tcW w:w="1613" w:type="dxa"/>
            <w:tcBorders>
              <w:top w:val="single" w:sz="4" w:space="0" w:color="auto"/>
              <w:left w:val="single" w:sz="4" w:space="0" w:color="auto"/>
              <w:bottom w:val="single" w:sz="4" w:space="0" w:color="auto"/>
              <w:right w:val="single" w:sz="4" w:space="0" w:color="auto"/>
            </w:tcBorders>
            <w:vAlign w:val="center"/>
          </w:tcPr>
          <w:p w14:paraId="4B8D5718"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骨科执行主任/主任医师</w:t>
            </w:r>
          </w:p>
        </w:tc>
        <w:tc>
          <w:tcPr>
            <w:tcW w:w="1504" w:type="dxa"/>
            <w:tcBorders>
              <w:top w:val="single" w:sz="4" w:space="0" w:color="auto"/>
              <w:left w:val="single" w:sz="4" w:space="0" w:color="auto"/>
              <w:bottom w:val="single" w:sz="4" w:space="0" w:color="auto"/>
              <w:right w:val="single" w:sz="4" w:space="0" w:color="auto"/>
            </w:tcBorders>
            <w:vAlign w:val="center"/>
          </w:tcPr>
          <w:p w14:paraId="0853064B"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7425252A"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vAlign w:val="center"/>
          </w:tcPr>
          <w:p w14:paraId="500FA5C2"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参与标准编制工作，组织人员进行标准发布后的宣贯培训。</w:t>
            </w:r>
          </w:p>
        </w:tc>
      </w:tr>
      <w:tr w:rsidR="00A10F3C" w14:paraId="0FD56163"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5054EA7"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覃冬玲</w:t>
            </w:r>
          </w:p>
        </w:tc>
        <w:tc>
          <w:tcPr>
            <w:tcW w:w="1613" w:type="dxa"/>
            <w:tcBorders>
              <w:top w:val="single" w:sz="4" w:space="0" w:color="auto"/>
              <w:left w:val="single" w:sz="4" w:space="0" w:color="auto"/>
              <w:bottom w:val="single" w:sz="4" w:space="0" w:color="auto"/>
              <w:right w:val="single" w:sz="4" w:space="0" w:color="auto"/>
            </w:tcBorders>
            <w:vAlign w:val="center"/>
          </w:tcPr>
          <w:p w14:paraId="27A72C78"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主管护师</w:t>
            </w:r>
          </w:p>
        </w:tc>
        <w:tc>
          <w:tcPr>
            <w:tcW w:w="1504" w:type="dxa"/>
            <w:tcBorders>
              <w:top w:val="single" w:sz="4" w:space="0" w:color="auto"/>
              <w:left w:val="single" w:sz="4" w:space="0" w:color="auto"/>
              <w:bottom w:val="single" w:sz="4" w:space="0" w:color="auto"/>
              <w:right w:val="single" w:sz="4" w:space="0" w:color="auto"/>
            </w:tcBorders>
            <w:vAlign w:val="center"/>
          </w:tcPr>
          <w:p w14:paraId="5361BC3A"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677EE598"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vAlign w:val="center"/>
          </w:tcPr>
          <w:p w14:paraId="0A3AE0F9"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参与标准文本及编制说明编写，质量控制。</w:t>
            </w:r>
          </w:p>
        </w:tc>
      </w:tr>
      <w:tr w:rsidR="00A10F3C" w14:paraId="1F485535"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805DDE6"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黄宇霞</w:t>
            </w:r>
          </w:p>
        </w:tc>
        <w:tc>
          <w:tcPr>
            <w:tcW w:w="1613" w:type="dxa"/>
            <w:tcBorders>
              <w:top w:val="single" w:sz="4" w:space="0" w:color="auto"/>
              <w:left w:val="single" w:sz="4" w:space="0" w:color="auto"/>
              <w:bottom w:val="single" w:sz="4" w:space="0" w:color="auto"/>
              <w:right w:val="single" w:sz="4" w:space="0" w:color="auto"/>
            </w:tcBorders>
            <w:vAlign w:val="center"/>
          </w:tcPr>
          <w:p w14:paraId="641E663E"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7D45405F"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64C37345"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柳州市人民医院</w:t>
            </w:r>
          </w:p>
        </w:tc>
        <w:tc>
          <w:tcPr>
            <w:tcW w:w="3062" w:type="dxa"/>
            <w:tcBorders>
              <w:top w:val="single" w:sz="4" w:space="0" w:color="auto"/>
              <w:left w:val="single" w:sz="4" w:space="0" w:color="auto"/>
              <w:bottom w:val="single" w:sz="4" w:space="0" w:color="auto"/>
              <w:right w:val="single" w:sz="4" w:space="0" w:color="auto"/>
            </w:tcBorders>
            <w:vAlign w:val="center"/>
          </w:tcPr>
          <w:p w14:paraId="392A1A86"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参与标准文本及编制说明的编写。</w:t>
            </w:r>
          </w:p>
        </w:tc>
      </w:tr>
      <w:tr w:rsidR="00A10F3C" w14:paraId="102C2DEA"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4F99384"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汪莉</w:t>
            </w:r>
          </w:p>
        </w:tc>
        <w:tc>
          <w:tcPr>
            <w:tcW w:w="1613" w:type="dxa"/>
            <w:tcBorders>
              <w:top w:val="single" w:sz="4" w:space="0" w:color="auto"/>
              <w:left w:val="single" w:sz="4" w:space="0" w:color="auto"/>
              <w:bottom w:val="single" w:sz="4" w:space="0" w:color="auto"/>
              <w:right w:val="single" w:sz="4" w:space="0" w:color="auto"/>
            </w:tcBorders>
            <w:vAlign w:val="center"/>
          </w:tcPr>
          <w:p w14:paraId="659D10CF"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559AB794"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2B819590" w14:textId="77777777" w:rsidR="00A10F3C" w:rsidRDefault="00000000">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南宁市第一人民医院</w:t>
            </w:r>
          </w:p>
        </w:tc>
        <w:tc>
          <w:tcPr>
            <w:tcW w:w="3062" w:type="dxa"/>
            <w:tcBorders>
              <w:top w:val="single" w:sz="4" w:space="0" w:color="auto"/>
              <w:left w:val="single" w:sz="4" w:space="0" w:color="auto"/>
              <w:bottom w:val="single" w:sz="4" w:space="0" w:color="auto"/>
              <w:right w:val="single" w:sz="4" w:space="0" w:color="auto"/>
            </w:tcBorders>
            <w:vAlign w:val="center"/>
          </w:tcPr>
          <w:p w14:paraId="25538543" w14:textId="77777777" w:rsidR="00A10F3C" w:rsidRDefault="00000000">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参与标准文本及编制说明的编写；组织开展标准征求意见会。</w:t>
            </w:r>
          </w:p>
        </w:tc>
      </w:tr>
      <w:tr w:rsidR="009F52B3" w14:paraId="3FAC1484"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9EA23EE" w14:textId="77777777" w:rsidR="009F52B3" w:rsidRDefault="009F52B3" w:rsidP="009F52B3">
            <w:pPr>
              <w:spacing w:line="360" w:lineRule="auto"/>
              <w:ind w:firstLineChars="0" w:firstLine="0"/>
              <w:jc w:val="center"/>
              <w:rPr>
                <w:rFonts w:ascii="仿宋" w:eastAsia="仿宋" w:hAnsi="仿宋" w:hint="eastAsia"/>
                <w:bCs/>
                <w:sz w:val="24"/>
                <w:szCs w:val="24"/>
              </w:rPr>
            </w:pPr>
            <w:r w:rsidRPr="009F52B3">
              <w:rPr>
                <w:rFonts w:ascii="仿宋" w:eastAsia="仿宋" w:hAnsi="仿宋" w:hint="eastAsia"/>
                <w:bCs/>
                <w:sz w:val="24"/>
                <w:szCs w:val="24"/>
              </w:rPr>
              <w:t>李芳</w:t>
            </w:r>
          </w:p>
        </w:tc>
        <w:tc>
          <w:tcPr>
            <w:tcW w:w="1613" w:type="dxa"/>
            <w:tcBorders>
              <w:top w:val="single" w:sz="4" w:space="0" w:color="auto"/>
              <w:left w:val="single" w:sz="4" w:space="0" w:color="auto"/>
              <w:bottom w:val="single" w:sz="4" w:space="0" w:color="auto"/>
              <w:right w:val="single" w:sz="4" w:space="0" w:color="auto"/>
            </w:tcBorders>
            <w:vAlign w:val="center"/>
          </w:tcPr>
          <w:p w14:paraId="76712498" w14:textId="77777777" w:rsidR="009F52B3" w:rsidRDefault="007E4361" w:rsidP="009F52B3">
            <w:pPr>
              <w:spacing w:line="360" w:lineRule="auto"/>
              <w:ind w:firstLineChars="0" w:firstLine="0"/>
              <w:jc w:val="center"/>
              <w:rPr>
                <w:rFonts w:ascii="仿宋" w:eastAsia="仿宋" w:hAnsi="仿宋" w:hint="eastAsia"/>
                <w:bCs/>
                <w:sz w:val="24"/>
                <w:szCs w:val="24"/>
              </w:rPr>
            </w:pPr>
            <w:r w:rsidRPr="007E4361">
              <w:rPr>
                <w:rFonts w:ascii="仿宋" w:eastAsia="仿宋" w:hAnsi="仿宋" w:hint="eastAsia"/>
                <w:bCs/>
                <w:sz w:val="24"/>
                <w:szCs w:val="24"/>
              </w:rPr>
              <w:t>护理部主任/主任护师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6D95D1D4" w14:textId="77777777" w:rsidR="009F52B3" w:rsidRDefault="007E4361" w:rsidP="009F52B3">
            <w:pPr>
              <w:spacing w:line="360" w:lineRule="auto"/>
              <w:ind w:firstLineChars="0" w:firstLine="0"/>
              <w:jc w:val="center"/>
              <w:rPr>
                <w:rFonts w:ascii="仿宋" w:eastAsia="仿宋" w:hAnsi="仿宋" w:hint="eastAsia"/>
                <w:bCs/>
                <w:sz w:val="24"/>
                <w:szCs w:val="24"/>
              </w:rPr>
            </w:pPr>
            <w:r w:rsidRPr="007E4361">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279FA089" w14:textId="77777777" w:rsidR="009F52B3" w:rsidRDefault="007E4361" w:rsidP="009F52B3">
            <w:pPr>
              <w:spacing w:line="360" w:lineRule="auto"/>
              <w:ind w:firstLineChars="0" w:firstLine="0"/>
              <w:jc w:val="center"/>
              <w:rPr>
                <w:rFonts w:ascii="仿宋" w:eastAsia="仿宋" w:hAnsi="仿宋" w:hint="eastAsia"/>
                <w:bCs/>
                <w:sz w:val="24"/>
                <w:szCs w:val="24"/>
              </w:rPr>
            </w:pPr>
            <w:r w:rsidRPr="007E4361">
              <w:rPr>
                <w:rFonts w:ascii="仿宋" w:eastAsia="仿宋" w:hAnsi="仿宋" w:hint="eastAsia"/>
                <w:bCs/>
                <w:sz w:val="24"/>
                <w:szCs w:val="24"/>
              </w:rPr>
              <w:t>桂林医学院附属医院</w:t>
            </w:r>
          </w:p>
        </w:tc>
        <w:tc>
          <w:tcPr>
            <w:tcW w:w="3062" w:type="dxa"/>
            <w:tcBorders>
              <w:top w:val="single" w:sz="4" w:space="0" w:color="auto"/>
              <w:left w:val="single" w:sz="4" w:space="0" w:color="auto"/>
              <w:bottom w:val="single" w:sz="4" w:space="0" w:color="auto"/>
              <w:right w:val="single" w:sz="4" w:space="0" w:color="auto"/>
            </w:tcBorders>
            <w:vAlign w:val="center"/>
          </w:tcPr>
          <w:p w14:paraId="31DE7E9D"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参与标准文本及编制说明的编写；组织开展标准征求意见会。</w:t>
            </w:r>
          </w:p>
        </w:tc>
      </w:tr>
      <w:tr w:rsidR="009F52B3" w14:paraId="2AC2AE06" w14:textId="77777777">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79BF0B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朱新青</w:t>
            </w:r>
          </w:p>
        </w:tc>
        <w:tc>
          <w:tcPr>
            <w:tcW w:w="1613" w:type="dxa"/>
            <w:tcBorders>
              <w:top w:val="single" w:sz="4" w:space="0" w:color="auto"/>
              <w:left w:val="single" w:sz="4" w:space="0" w:color="auto"/>
              <w:bottom w:val="single" w:sz="4" w:space="0" w:color="auto"/>
              <w:right w:val="single" w:sz="4" w:space="0" w:color="auto"/>
            </w:tcBorders>
            <w:vAlign w:val="center"/>
          </w:tcPr>
          <w:p w14:paraId="446F1B8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75803C4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3960E2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玉林市第一人民医院</w:t>
            </w:r>
          </w:p>
        </w:tc>
        <w:tc>
          <w:tcPr>
            <w:tcW w:w="3062" w:type="dxa"/>
            <w:tcBorders>
              <w:top w:val="single" w:sz="4" w:space="0" w:color="auto"/>
              <w:left w:val="single" w:sz="4" w:space="0" w:color="auto"/>
              <w:bottom w:val="single" w:sz="4" w:space="0" w:color="auto"/>
              <w:right w:val="single" w:sz="4" w:space="0" w:color="auto"/>
            </w:tcBorders>
            <w:vAlign w:val="center"/>
          </w:tcPr>
          <w:p w14:paraId="3EAA6A74"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625C6499"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99AD36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卢艳如</w:t>
            </w:r>
          </w:p>
        </w:tc>
        <w:tc>
          <w:tcPr>
            <w:tcW w:w="1613" w:type="dxa"/>
            <w:tcBorders>
              <w:top w:val="single" w:sz="4" w:space="0" w:color="auto"/>
              <w:left w:val="single" w:sz="4" w:space="0" w:color="auto"/>
              <w:bottom w:val="single" w:sz="4" w:space="0" w:color="auto"/>
              <w:right w:val="single" w:sz="4" w:space="0" w:color="auto"/>
            </w:tcBorders>
            <w:vAlign w:val="center"/>
          </w:tcPr>
          <w:p w14:paraId="13ACEB3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6BC94E5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24CE3406"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河池市第一人民医院</w:t>
            </w:r>
          </w:p>
        </w:tc>
        <w:tc>
          <w:tcPr>
            <w:tcW w:w="3062" w:type="dxa"/>
            <w:tcBorders>
              <w:top w:val="single" w:sz="4" w:space="0" w:color="auto"/>
              <w:left w:val="single" w:sz="4" w:space="0" w:color="auto"/>
              <w:bottom w:val="single" w:sz="4" w:space="0" w:color="auto"/>
              <w:right w:val="single" w:sz="4" w:space="0" w:color="auto"/>
            </w:tcBorders>
          </w:tcPr>
          <w:p w14:paraId="15AE7F75"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3F854A28"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D8C2B2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罗海燕</w:t>
            </w:r>
          </w:p>
        </w:tc>
        <w:tc>
          <w:tcPr>
            <w:tcW w:w="1613" w:type="dxa"/>
            <w:tcBorders>
              <w:top w:val="single" w:sz="4" w:space="0" w:color="auto"/>
              <w:left w:val="single" w:sz="4" w:space="0" w:color="auto"/>
              <w:bottom w:val="single" w:sz="4" w:space="0" w:color="auto"/>
              <w:right w:val="single" w:sz="4" w:space="0" w:color="auto"/>
            </w:tcBorders>
            <w:vAlign w:val="center"/>
          </w:tcPr>
          <w:p w14:paraId="556074B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护理部主任/主任护师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706BADB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6DF3EF4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广西壮族自治区南溪山医院</w:t>
            </w:r>
          </w:p>
        </w:tc>
        <w:tc>
          <w:tcPr>
            <w:tcW w:w="3062" w:type="dxa"/>
            <w:tcBorders>
              <w:top w:val="single" w:sz="4" w:space="0" w:color="auto"/>
              <w:left w:val="single" w:sz="4" w:space="0" w:color="auto"/>
              <w:bottom w:val="single" w:sz="4" w:space="0" w:color="auto"/>
              <w:right w:val="single" w:sz="4" w:space="0" w:color="auto"/>
            </w:tcBorders>
          </w:tcPr>
          <w:p w14:paraId="422FD182"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7466ACC9"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777AC9E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欧裕福</w:t>
            </w:r>
          </w:p>
        </w:tc>
        <w:tc>
          <w:tcPr>
            <w:tcW w:w="1613" w:type="dxa"/>
            <w:tcBorders>
              <w:top w:val="single" w:sz="4" w:space="0" w:color="auto"/>
              <w:left w:val="single" w:sz="4" w:space="0" w:color="auto"/>
              <w:bottom w:val="single" w:sz="4" w:space="0" w:color="auto"/>
              <w:right w:val="single" w:sz="4" w:space="0" w:color="auto"/>
            </w:tcBorders>
            <w:vAlign w:val="center"/>
          </w:tcPr>
          <w:p w14:paraId="3C9FA56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副主任/主任医师</w:t>
            </w:r>
          </w:p>
        </w:tc>
        <w:tc>
          <w:tcPr>
            <w:tcW w:w="1504" w:type="dxa"/>
            <w:tcBorders>
              <w:top w:val="single" w:sz="4" w:space="0" w:color="auto"/>
              <w:left w:val="single" w:sz="4" w:space="0" w:color="auto"/>
              <w:bottom w:val="single" w:sz="4" w:space="0" w:color="auto"/>
              <w:right w:val="single" w:sz="4" w:space="0" w:color="auto"/>
            </w:tcBorders>
            <w:vAlign w:val="center"/>
          </w:tcPr>
          <w:p w14:paraId="5399A3E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4831D14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3A373E88"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661A0499"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1FFA2D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赵勇</w:t>
            </w:r>
          </w:p>
        </w:tc>
        <w:tc>
          <w:tcPr>
            <w:tcW w:w="1613" w:type="dxa"/>
            <w:tcBorders>
              <w:top w:val="single" w:sz="4" w:space="0" w:color="auto"/>
              <w:left w:val="single" w:sz="4" w:space="0" w:color="auto"/>
              <w:bottom w:val="single" w:sz="4" w:space="0" w:color="auto"/>
              <w:right w:val="single" w:sz="4" w:space="0" w:color="auto"/>
            </w:tcBorders>
            <w:vAlign w:val="center"/>
          </w:tcPr>
          <w:p w14:paraId="6717DE4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副主任医师</w:t>
            </w:r>
          </w:p>
        </w:tc>
        <w:tc>
          <w:tcPr>
            <w:tcW w:w="1504" w:type="dxa"/>
            <w:tcBorders>
              <w:top w:val="single" w:sz="4" w:space="0" w:color="auto"/>
              <w:left w:val="single" w:sz="4" w:space="0" w:color="auto"/>
              <w:bottom w:val="single" w:sz="4" w:space="0" w:color="auto"/>
              <w:right w:val="single" w:sz="4" w:space="0" w:color="auto"/>
            </w:tcBorders>
            <w:vAlign w:val="center"/>
          </w:tcPr>
          <w:p w14:paraId="19B6925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0C192A4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3C781713"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335B2CF5"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F2F537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lastRenderedPageBreak/>
              <w:t>覃俊君</w:t>
            </w:r>
          </w:p>
        </w:tc>
        <w:tc>
          <w:tcPr>
            <w:tcW w:w="1613" w:type="dxa"/>
            <w:tcBorders>
              <w:top w:val="single" w:sz="4" w:space="0" w:color="auto"/>
              <w:left w:val="single" w:sz="4" w:space="0" w:color="auto"/>
              <w:bottom w:val="single" w:sz="4" w:space="0" w:color="auto"/>
              <w:right w:val="single" w:sz="4" w:space="0" w:color="auto"/>
            </w:tcBorders>
            <w:vAlign w:val="center"/>
          </w:tcPr>
          <w:p w14:paraId="25A2266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副主任医师</w:t>
            </w:r>
          </w:p>
        </w:tc>
        <w:tc>
          <w:tcPr>
            <w:tcW w:w="1504" w:type="dxa"/>
            <w:tcBorders>
              <w:top w:val="single" w:sz="4" w:space="0" w:color="auto"/>
              <w:left w:val="single" w:sz="4" w:space="0" w:color="auto"/>
              <w:bottom w:val="single" w:sz="4" w:space="0" w:color="auto"/>
              <w:right w:val="single" w:sz="4" w:space="0" w:color="auto"/>
            </w:tcBorders>
            <w:vAlign w:val="center"/>
          </w:tcPr>
          <w:p w14:paraId="58A7B79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353A55C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9FA5352"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09EBE4CF"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BD8875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梁海波</w:t>
            </w:r>
          </w:p>
        </w:tc>
        <w:tc>
          <w:tcPr>
            <w:tcW w:w="1613" w:type="dxa"/>
            <w:tcBorders>
              <w:top w:val="single" w:sz="4" w:space="0" w:color="auto"/>
              <w:left w:val="single" w:sz="4" w:space="0" w:color="auto"/>
              <w:bottom w:val="single" w:sz="4" w:space="0" w:color="auto"/>
              <w:right w:val="single" w:sz="4" w:space="0" w:color="auto"/>
            </w:tcBorders>
            <w:vAlign w:val="center"/>
          </w:tcPr>
          <w:p w14:paraId="4CCE359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主治医师</w:t>
            </w:r>
          </w:p>
        </w:tc>
        <w:tc>
          <w:tcPr>
            <w:tcW w:w="1504" w:type="dxa"/>
            <w:tcBorders>
              <w:top w:val="single" w:sz="4" w:space="0" w:color="auto"/>
              <w:left w:val="single" w:sz="4" w:space="0" w:color="auto"/>
              <w:bottom w:val="single" w:sz="4" w:space="0" w:color="auto"/>
              <w:right w:val="single" w:sz="4" w:space="0" w:color="auto"/>
            </w:tcBorders>
            <w:vAlign w:val="center"/>
          </w:tcPr>
          <w:p w14:paraId="1DEA687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44B5DD0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0FECC91C"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05E162B3"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9B57E1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覃金莲</w:t>
            </w:r>
          </w:p>
        </w:tc>
        <w:tc>
          <w:tcPr>
            <w:tcW w:w="1613" w:type="dxa"/>
            <w:tcBorders>
              <w:top w:val="single" w:sz="4" w:space="0" w:color="auto"/>
              <w:left w:val="single" w:sz="4" w:space="0" w:color="auto"/>
              <w:bottom w:val="single" w:sz="4" w:space="0" w:color="auto"/>
              <w:right w:val="single" w:sz="4" w:space="0" w:color="auto"/>
            </w:tcBorders>
            <w:vAlign w:val="center"/>
          </w:tcPr>
          <w:p w14:paraId="02B213B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执行护士长/副主任护师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04AC110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8160B7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60C1CCF9"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036B8A40"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294124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李金莲</w:t>
            </w:r>
          </w:p>
        </w:tc>
        <w:tc>
          <w:tcPr>
            <w:tcW w:w="1613" w:type="dxa"/>
            <w:tcBorders>
              <w:top w:val="single" w:sz="4" w:space="0" w:color="auto"/>
              <w:left w:val="single" w:sz="4" w:space="0" w:color="auto"/>
              <w:bottom w:val="single" w:sz="4" w:space="0" w:color="auto"/>
              <w:right w:val="single" w:sz="4" w:space="0" w:color="auto"/>
            </w:tcBorders>
            <w:vAlign w:val="center"/>
          </w:tcPr>
          <w:p w14:paraId="758D9F1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执行护士长/副主任护师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551DB7E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70261FA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0199C6C8"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7F1A8390"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FA3777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陆艳兰</w:t>
            </w:r>
          </w:p>
        </w:tc>
        <w:tc>
          <w:tcPr>
            <w:tcW w:w="1613" w:type="dxa"/>
            <w:tcBorders>
              <w:top w:val="single" w:sz="4" w:space="0" w:color="auto"/>
              <w:left w:val="single" w:sz="4" w:space="0" w:color="auto"/>
              <w:bottom w:val="single" w:sz="4" w:space="0" w:color="auto"/>
              <w:right w:val="single" w:sz="4" w:space="0" w:color="auto"/>
            </w:tcBorders>
            <w:vAlign w:val="center"/>
          </w:tcPr>
          <w:p w14:paraId="4D2A063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执行护士长/副主任护师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603E717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69375C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721A8984"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228A57A9"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73619D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周彦</w:t>
            </w:r>
          </w:p>
        </w:tc>
        <w:tc>
          <w:tcPr>
            <w:tcW w:w="1613" w:type="dxa"/>
            <w:tcBorders>
              <w:top w:val="single" w:sz="4" w:space="0" w:color="auto"/>
              <w:left w:val="single" w:sz="4" w:space="0" w:color="auto"/>
              <w:bottom w:val="single" w:sz="4" w:space="0" w:color="auto"/>
              <w:right w:val="single" w:sz="4" w:space="0" w:color="auto"/>
            </w:tcBorders>
            <w:vAlign w:val="center"/>
          </w:tcPr>
          <w:p w14:paraId="3189D73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执行护士长/主任护师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10126D3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2DF3AF3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7895B695"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49F14E77"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3051A6A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罗彩远</w:t>
            </w:r>
          </w:p>
        </w:tc>
        <w:tc>
          <w:tcPr>
            <w:tcW w:w="1613" w:type="dxa"/>
            <w:tcBorders>
              <w:top w:val="single" w:sz="4" w:space="0" w:color="auto"/>
              <w:left w:val="single" w:sz="4" w:space="0" w:color="auto"/>
              <w:bottom w:val="single" w:sz="4" w:space="0" w:color="auto"/>
              <w:right w:val="single" w:sz="4" w:space="0" w:color="auto"/>
            </w:tcBorders>
            <w:vAlign w:val="center"/>
          </w:tcPr>
          <w:p w14:paraId="4773B16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执行护士长/副主任护师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3C69C0F7"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401CA9E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26B00660"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7CE593C6"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95C10E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廖君娟</w:t>
            </w:r>
          </w:p>
        </w:tc>
        <w:tc>
          <w:tcPr>
            <w:tcW w:w="1613" w:type="dxa"/>
            <w:tcBorders>
              <w:top w:val="single" w:sz="4" w:space="0" w:color="auto"/>
              <w:left w:val="single" w:sz="4" w:space="0" w:color="auto"/>
              <w:bottom w:val="single" w:sz="4" w:space="0" w:color="auto"/>
              <w:right w:val="single" w:sz="4" w:space="0" w:color="auto"/>
            </w:tcBorders>
            <w:vAlign w:val="center"/>
          </w:tcPr>
          <w:p w14:paraId="6C0180C6"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执行护士长/副主任护师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10B62CB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37DEE51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7D067C90"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187E7528"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E630FB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陈闵</w:t>
            </w:r>
          </w:p>
        </w:tc>
        <w:tc>
          <w:tcPr>
            <w:tcW w:w="1613" w:type="dxa"/>
            <w:tcBorders>
              <w:top w:val="single" w:sz="4" w:space="0" w:color="auto"/>
              <w:left w:val="single" w:sz="4" w:space="0" w:color="auto"/>
              <w:bottom w:val="single" w:sz="4" w:space="0" w:color="auto"/>
              <w:right w:val="single" w:sz="4" w:space="0" w:color="auto"/>
            </w:tcBorders>
            <w:vAlign w:val="center"/>
          </w:tcPr>
          <w:p w14:paraId="095D970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护士长/主任护师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6678857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38A52BD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广西壮族自治区人民医院</w:t>
            </w:r>
          </w:p>
        </w:tc>
        <w:tc>
          <w:tcPr>
            <w:tcW w:w="3062" w:type="dxa"/>
            <w:tcBorders>
              <w:top w:val="single" w:sz="4" w:space="0" w:color="auto"/>
              <w:left w:val="single" w:sz="4" w:space="0" w:color="auto"/>
              <w:bottom w:val="single" w:sz="4" w:space="0" w:color="auto"/>
              <w:right w:val="single" w:sz="4" w:space="0" w:color="auto"/>
            </w:tcBorders>
          </w:tcPr>
          <w:p w14:paraId="338F38B0"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0E0D39AE"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661425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lastRenderedPageBreak/>
              <w:t>兰敏东</w:t>
            </w:r>
          </w:p>
        </w:tc>
        <w:tc>
          <w:tcPr>
            <w:tcW w:w="1613" w:type="dxa"/>
            <w:tcBorders>
              <w:top w:val="single" w:sz="4" w:space="0" w:color="auto"/>
              <w:left w:val="single" w:sz="4" w:space="0" w:color="auto"/>
              <w:bottom w:val="single" w:sz="4" w:space="0" w:color="auto"/>
              <w:right w:val="single" w:sz="4" w:space="0" w:color="auto"/>
            </w:tcBorders>
            <w:vAlign w:val="center"/>
          </w:tcPr>
          <w:p w14:paraId="1C3BEAE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主治医师</w:t>
            </w:r>
          </w:p>
        </w:tc>
        <w:tc>
          <w:tcPr>
            <w:tcW w:w="1504" w:type="dxa"/>
            <w:tcBorders>
              <w:top w:val="single" w:sz="4" w:space="0" w:color="auto"/>
              <w:left w:val="single" w:sz="4" w:space="0" w:color="auto"/>
              <w:bottom w:val="single" w:sz="4" w:space="0" w:color="auto"/>
              <w:right w:val="single" w:sz="4" w:space="0" w:color="auto"/>
            </w:tcBorders>
            <w:vAlign w:val="center"/>
          </w:tcPr>
          <w:p w14:paraId="41AEDF0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6CAF0434" w14:textId="77777777" w:rsidR="009F52B3" w:rsidRDefault="009F52B3" w:rsidP="009F52B3">
            <w:pPr>
              <w:spacing w:line="360" w:lineRule="auto"/>
              <w:ind w:firstLineChars="0" w:firstLine="0"/>
              <w:jc w:val="center"/>
              <w:rPr>
                <w:rFonts w:ascii="仿宋" w:eastAsia="仿宋" w:hAnsi="仿宋" w:hint="eastAsia"/>
                <w:bCs/>
                <w:sz w:val="24"/>
                <w:szCs w:val="24"/>
              </w:rPr>
            </w:pPr>
            <w:bookmarkStart w:id="0" w:name="_Hlk216960114"/>
            <w:r>
              <w:rPr>
                <w:rFonts w:ascii="仿宋" w:eastAsia="仿宋" w:hAnsi="仿宋" w:hint="eastAsia"/>
                <w:bCs/>
                <w:sz w:val="24"/>
                <w:szCs w:val="24"/>
              </w:rPr>
              <w:t>中山大学附属第一医院广西医院</w:t>
            </w:r>
            <w:bookmarkEnd w:id="0"/>
          </w:p>
        </w:tc>
        <w:tc>
          <w:tcPr>
            <w:tcW w:w="3062" w:type="dxa"/>
            <w:tcBorders>
              <w:top w:val="single" w:sz="4" w:space="0" w:color="auto"/>
              <w:left w:val="single" w:sz="4" w:space="0" w:color="auto"/>
              <w:bottom w:val="single" w:sz="4" w:space="0" w:color="auto"/>
              <w:right w:val="single" w:sz="4" w:space="0" w:color="auto"/>
            </w:tcBorders>
          </w:tcPr>
          <w:p w14:paraId="114137FA"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6FF196AD"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C6A831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林媛</w:t>
            </w:r>
          </w:p>
        </w:tc>
        <w:tc>
          <w:tcPr>
            <w:tcW w:w="1613" w:type="dxa"/>
            <w:tcBorders>
              <w:top w:val="single" w:sz="4" w:space="0" w:color="auto"/>
              <w:left w:val="single" w:sz="4" w:space="0" w:color="auto"/>
              <w:bottom w:val="single" w:sz="4" w:space="0" w:color="auto"/>
              <w:right w:val="single" w:sz="4" w:space="0" w:color="auto"/>
            </w:tcBorders>
            <w:vAlign w:val="center"/>
          </w:tcPr>
          <w:p w14:paraId="0D3473C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主管护师</w:t>
            </w:r>
          </w:p>
        </w:tc>
        <w:tc>
          <w:tcPr>
            <w:tcW w:w="1504" w:type="dxa"/>
            <w:tcBorders>
              <w:top w:val="single" w:sz="4" w:space="0" w:color="auto"/>
              <w:left w:val="single" w:sz="4" w:space="0" w:color="auto"/>
              <w:bottom w:val="single" w:sz="4" w:space="0" w:color="auto"/>
              <w:right w:val="single" w:sz="4" w:space="0" w:color="auto"/>
            </w:tcBorders>
            <w:vAlign w:val="center"/>
          </w:tcPr>
          <w:p w14:paraId="304B8D3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D762A1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93A62EB"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3463D612"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22E6BB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梁绮瑄</w:t>
            </w:r>
          </w:p>
        </w:tc>
        <w:tc>
          <w:tcPr>
            <w:tcW w:w="1613" w:type="dxa"/>
            <w:tcBorders>
              <w:top w:val="single" w:sz="4" w:space="0" w:color="auto"/>
              <w:left w:val="single" w:sz="4" w:space="0" w:color="auto"/>
              <w:bottom w:val="single" w:sz="4" w:space="0" w:color="auto"/>
              <w:right w:val="single" w:sz="4" w:space="0" w:color="auto"/>
            </w:tcBorders>
            <w:vAlign w:val="center"/>
          </w:tcPr>
          <w:p w14:paraId="69E7823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主管护师</w:t>
            </w:r>
          </w:p>
        </w:tc>
        <w:tc>
          <w:tcPr>
            <w:tcW w:w="1504" w:type="dxa"/>
            <w:tcBorders>
              <w:top w:val="single" w:sz="4" w:space="0" w:color="auto"/>
              <w:left w:val="single" w:sz="4" w:space="0" w:color="auto"/>
              <w:bottom w:val="single" w:sz="4" w:space="0" w:color="auto"/>
              <w:right w:val="single" w:sz="4" w:space="0" w:color="auto"/>
            </w:tcBorders>
            <w:vAlign w:val="center"/>
          </w:tcPr>
          <w:p w14:paraId="717BEC1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3A1D4CA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11381B6"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2DEDDC6A"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751837C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陆潇榕</w:t>
            </w:r>
          </w:p>
        </w:tc>
        <w:tc>
          <w:tcPr>
            <w:tcW w:w="1613" w:type="dxa"/>
            <w:tcBorders>
              <w:top w:val="single" w:sz="4" w:space="0" w:color="auto"/>
              <w:left w:val="single" w:sz="4" w:space="0" w:color="auto"/>
              <w:bottom w:val="single" w:sz="4" w:space="0" w:color="auto"/>
              <w:right w:val="single" w:sz="4" w:space="0" w:color="auto"/>
            </w:tcBorders>
            <w:vAlign w:val="center"/>
          </w:tcPr>
          <w:p w14:paraId="3D215CF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主管护师</w:t>
            </w:r>
          </w:p>
        </w:tc>
        <w:tc>
          <w:tcPr>
            <w:tcW w:w="1504" w:type="dxa"/>
            <w:tcBorders>
              <w:top w:val="single" w:sz="4" w:space="0" w:color="auto"/>
              <w:left w:val="single" w:sz="4" w:space="0" w:color="auto"/>
              <w:bottom w:val="single" w:sz="4" w:space="0" w:color="auto"/>
              <w:right w:val="single" w:sz="4" w:space="0" w:color="auto"/>
            </w:tcBorders>
            <w:vAlign w:val="center"/>
          </w:tcPr>
          <w:p w14:paraId="43F8FB4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41CD84F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04723F2A"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636188A3"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192DA427"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陆巧云</w:t>
            </w:r>
          </w:p>
        </w:tc>
        <w:tc>
          <w:tcPr>
            <w:tcW w:w="1613" w:type="dxa"/>
            <w:tcBorders>
              <w:top w:val="single" w:sz="4" w:space="0" w:color="auto"/>
              <w:left w:val="single" w:sz="4" w:space="0" w:color="auto"/>
              <w:bottom w:val="single" w:sz="4" w:space="0" w:color="auto"/>
              <w:right w:val="single" w:sz="4" w:space="0" w:color="auto"/>
            </w:tcBorders>
            <w:vAlign w:val="center"/>
          </w:tcPr>
          <w:p w14:paraId="06FF374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07F745E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344081F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29C771B2"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5F776972"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FC3C04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苏健</w:t>
            </w:r>
          </w:p>
        </w:tc>
        <w:tc>
          <w:tcPr>
            <w:tcW w:w="1613" w:type="dxa"/>
            <w:tcBorders>
              <w:top w:val="single" w:sz="4" w:space="0" w:color="auto"/>
              <w:left w:val="single" w:sz="4" w:space="0" w:color="auto"/>
              <w:bottom w:val="single" w:sz="4" w:space="0" w:color="auto"/>
              <w:right w:val="single" w:sz="4" w:space="0" w:color="auto"/>
            </w:tcBorders>
            <w:vAlign w:val="center"/>
          </w:tcPr>
          <w:p w14:paraId="03B4A00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副主任护师</w:t>
            </w:r>
          </w:p>
        </w:tc>
        <w:tc>
          <w:tcPr>
            <w:tcW w:w="1504" w:type="dxa"/>
            <w:tcBorders>
              <w:top w:val="single" w:sz="4" w:space="0" w:color="auto"/>
              <w:left w:val="single" w:sz="4" w:space="0" w:color="auto"/>
              <w:bottom w:val="single" w:sz="4" w:space="0" w:color="auto"/>
              <w:right w:val="single" w:sz="4" w:space="0" w:color="auto"/>
            </w:tcBorders>
            <w:vAlign w:val="center"/>
          </w:tcPr>
          <w:p w14:paraId="436B77B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0CDCA58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07C65A00"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2B0DD5C8"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315242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罗湘岚</w:t>
            </w:r>
          </w:p>
        </w:tc>
        <w:tc>
          <w:tcPr>
            <w:tcW w:w="1613" w:type="dxa"/>
            <w:tcBorders>
              <w:top w:val="single" w:sz="4" w:space="0" w:color="auto"/>
              <w:left w:val="single" w:sz="4" w:space="0" w:color="auto"/>
              <w:bottom w:val="single" w:sz="4" w:space="0" w:color="auto"/>
              <w:right w:val="single" w:sz="4" w:space="0" w:color="auto"/>
            </w:tcBorders>
            <w:vAlign w:val="center"/>
          </w:tcPr>
          <w:p w14:paraId="5D1837D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主管护师</w:t>
            </w:r>
          </w:p>
        </w:tc>
        <w:tc>
          <w:tcPr>
            <w:tcW w:w="1504" w:type="dxa"/>
            <w:tcBorders>
              <w:top w:val="single" w:sz="4" w:space="0" w:color="auto"/>
              <w:left w:val="single" w:sz="4" w:space="0" w:color="auto"/>
              <w:bottom w:val="single" w:sz="4" w:space="0" w:color="auto"/>
              <w:right w:val="single" w:sz="4" w:space="0" w:color="auto"/>
            </w:tcBorders>
            <w:vAlign w:val="center"/>
          </w:tcPr>
          <w:p w14:paraId="052421B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62EEAD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60F4D149"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4AD96EF0"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CCF2196"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吴琼芬</w:t>
            </w:r>
          </w:p>
        </w:tc>
        <w:tc>
          <w:tcPr>
            <w:tcW w:w="1613" w:type="dxa"/>
            <w:tcBorders>
              <w:top w:val="single" w:sz="4" w:space="0" w:color="auto"/>
              <w:left w:val="single" w:sz="4" w:space="0" w:color="auto"/>
              <w:bottom w:val="single" w:sz="4" w:space="0" w:color="auto"/>
              <w:right w:val="single" w:sz="4" w:space="0" w:color="auto"/>
            </w:tcBorders>
            <w:vAlign w:val="center"/>
          </w:tcPr>
          <w:p w14:paraId="41485FB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主管护师</w:t>
            </w:r>
          </w:p>
        </w:tc>
        <w:tc>
          <w:tcPr>
            <w:tcW w:w="1504" w:type="dxa"/>
            <w:tcBorders>
              <w:top w:val="single" w:sz="4" w:space="0" w:color="auto"/>
              <w:left w:val="single" w:sz="4" w:space="0" w:color="auto"/>
              <w:bottom w:val="single" w:sz="4" w:space="0" w:color="auto"/>
              <w:right w:val="single" w:sz="4" w:space="0" w:color="auto"/>
            </w:tcBorders>
            <w:vAlign w:val="center"/>
          </w:tcPr>
          <w:p w14:paraId="108CE2B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07E294A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A6C6132"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3C7B16E1"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1281DAB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黎嘉奕</w:t>
            </w:r>
          </w:p>
        </w:tc>
        <w:tc>
          <w:tcPr>
            <w:tcW w:w="1613" w:type="dxa"/>
            <w:tcBorders>
              <w:top w:val="single" w:sz="4" w:space="0" w:color="auto"/>
              <w:left w:val="single" w:sz="4" w:space="0" w:color="auto"/>
              <w:bottom w:val="single" w:sz="4" w:space="0" w:color="auto"/>
              <w:right w:val="single" w:sz="4" w:space="0" w:color="auto"/>
            </w:tcBorders>
            <w:vAlign w:val="center"/>
          </w:tcPr>
          <w:p w14:paraId="1AB1273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1939C59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585EFC1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4EF8DE75"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460FF6CE"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5929908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lastRenderedPageBreak/>
              <w:t>杨琪琪</w:t>
            </w:r>
          </w:p>
        </w:tc>
        <w:tc>
          <w:tcPr>
            <w:tcW w:w="1613" w:type="dxa"/>
            <w:tcBorders>
              <w:top w:val="single" w:sz="4" w:space="0" w:color="auto"/>
              <w:left w:val="single" w:sz="4" w:space="0" w:color="auto"/>
              <w:bottom w:val="single" w:sz="4" w:space="0" w:color="auto"/>
              <w:right w:val="single" w:sz="4" w:space="0" w:color="auto"/>
            </w:tcBorders>
            <w:vAlign w:val="center"/>
          </w:tcPr>
          <w:p w14:paraId="2A9B50C2"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2375ECA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7E04BC2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6B20253"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66A00111"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6D7C0FB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罗诗婷</w:t>
            </w:r>
          </w:p>
        </w:tc>
        <w:tc>
          <w:tcPr>
            <w:tcW w:w="1613" w:type="dxa"/>
            <w:tcBorders>
              <w:top w:val="single" w:sz="4" w:space="0" w:color="auto"/>
              <w:left w:val="single" w:sz="4" w:space="0" w:color="auto"/>
              <w:bottom w:val="single" w:sz="4" w:space="0" w:color="auto"/>
              <w:right w:val="single" w:sz="4" w:space="0" w:color="auto"/>
            </w:tcBorders>
            <w:vAlign w:val="center"/>
          </w:tcPr>
          <w:p w14:paraId="4B73688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257E9BF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053191F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59BA9982"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605BE310"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355D826"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郭富临</w:t>
            </w:r>
          </w:p>
        </w:tc>
        <w:tc>
          <w:tcPr>
            <w:tcW w:w="1613" w:type="dxa"/>
            <w:tcBorders>
              <w:top w:val="single" w:sz="4" w:space="0" w:color="auto"/>
              <w:left w:val="single" w:sz="4" w:space="0" w:color="auto"/>
              <w:bottom w:val="single" w:sz="4" w:space="0" w:color="auto"/>
              <w:right w:val="single" w:sz="4" w:space="0" w:color="auto"/>
            </w:tcBorders>
            <w:vAlign w:val="center"/>
          </w:tcPr>
          <w:p w14:paraId="2F51DDA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72B1442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159183D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0A7C5F2C"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2F227C52"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022D2F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农远红</w:t>
            </w:r>
          </w:p>
        </w:tc>
        <w:tc>
          <w:tcPr>
            <w:tcW w:w="1613" w:type="dxa"/>
            <w:tcBorders>
              <w:top w:val="single" w:sz="4" w:space="0" w:color="auto"/>
              <w:left w:val="single" w:sz="4" w:space="0" w:color="auto"/>
              <w:bottom w:val="single" w:sz="4" w:space="0" w:color="auto"/>
              <w:right w:val="single" w:sz="4" w:space="0" w:color="auto"/>
            </w:tcBorders>
            <w:vAlign w:val="center"/>
          </w:tcPr>
          <w:p w14:paraId="1304857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2F809BA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73E0B18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0E069F85"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50FE8092"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590828CF"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蔡树林</w:t>
            </w:r>
          </w:p>
        </w:tc>
        <w:tc>
          <w:tcPr>
            <w:tcW w:w="1613" w:type="dxa"/>
            <w:tcBorders>
              <w:top w:val="single" w:sz="4" w:space="0" w:color="auto"/>
              <w:left w:val="single" w:sz="4" w:space="0" w:color="auto"/>
              <w:bottom w:val="single" w:sz="4" w:space="0" w:color="auto"/>
              <w:right w:val="single" w:sz="4" w:space="0" w:color="auto"/>
            </w:tcBorders>
            <w:vAlign w:val="center"/>
          </w:tcPr>
          <w:p w14:paraId="291270E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43832B3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1A1E6F4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CA06990"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3767F0C0"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E9730E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黄忆萍</w:t>
            </w:r>
          </w:p>
        </w:tc>
        <w:tc>
          <w:tcPr>
            <w:tcW w:w="1613" w:type="dxa"/>
            <w:tcBorders>
              <w:top w:val="single" w:sz="4" w:space="0" w:color="auto"/>
              <w:left w:val="single" w:sz="4" w:space="0" w:color="auto"/>
              <w:bottom w:val="single" w:sz="4" w:space="0" w:color="auto"/>
              <w:right w:val="single" w:sz="4" w:space="0" w:color="auto"/>
            </w:tcBorders>
            <w:vAlign w:val="center"/>
          </w:tcPr>
          <w:p w14:paraId="193C4C9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护师</w:t>
            </w:r>
          </w:p>
        </w:tc>
        <w:tc>
          <w:tcPr>
            <w:tcW w:w="1504" w:type="dxa"/>
            <w:tcBorders>
              <w:top w:val="single" w:sz="4" w:space="0" w:color="auto"/>
              <w:left w:val="single" w:sz="4" w:space="0" w:color="auto"/>
              <w:bottom w:val="single" w:sz="4" w:space="0" w:color="auto"/>
              <w:right w:val="single" w:sz="4" w:space="0" w:color="auto"/>
            </w:tcBorders>
            <w:vAlign w:val="center"/>
          </w:tcPr>
          <w:p w14:paraId="3953E11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61EE7F06"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58C0351"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54E94D74"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298BC3A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黄丽杨</w:t>
            </w:r>
          </w:p>
        </w:tc>
        <w:tc>
          <w:tcPr>
            <w:tcW w:w="1613" w:type="dxa"/>
            <w:tcBorders>
              <w:top w:val="single" w:sz="4" w:space="0" w:color="auto"/>
              <w:left w:val="single" w:sz="4" w:space="0" w:color="auto"/>
              <w:bottom w:val="single" w:sz="4" w:space="0" w:color="auto"/>
              <w:right w:val="single" w:sz="4" w:space="0" w:color="auto"/>
            </w:tcBorders>
            <w:vAlign w:val="center"/>
          </w:tcPr>
          <w:p w14:paraId="71DE9A16"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护士</w:t>
            </w:r>
          </w:p>
        </w:tc>
        <w:tc>
          <w:tcPr>
            <w:tcW w:w="1504" w:type="dxa"/>
            <w:tcBorders>
              <w:top w:val="single" w:sz="4" w:space="0" w:color="auto"/>
              <w:left w:val="single" w:sz="4" w:space="0" w:color="auto"/>
              <w:bottom w:val="single" w:sz="4" w:space="0" w:color="auto"/>
              <w:right w:val="single" w:sz="4" w:space="0" w:color="auto"/>
            </w:tcBorders>
            <w:vAlign w:val="center"/>
          </w:tcPr>
          <w:p w14:paraId="03CA40D2"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护理</w:t>
            </w:r>
          </w:p>
        </w:tc>
        <w:tc>
          <w:tcPr>
            <w:tcW w:w="1780" w:type="dxa"/>
            <w:tcBorders>
              <w:top w:val="single" w:sz="4" w:space="0" w:color="auto"/>
              <w:left w:val="single" w:sz="4" w:space="0" w:color="auto"/>
              <w:bottom w:val="single" w:sz="4" w:space="0" w:color="auto"/>
              <w:right w:val="single" w:sz="4" w:space="0" w:color="auto"/>
            </w:tcBorders>
            <w:vAlign w:val="center"/>
          </w:tcPr>
          <w:p w14:paraId="01257177"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147E860D"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0E39D5C8"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154D515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邓海权</w:t>
            </w:r>
          </w:p>
        </w:tc>
        <w:tc>
          <w:tcPr>
            <w:tcW w:w="1613" w:type="dxa"/>
            <w:tcBorders>
              <w:top w:val="single" w:sz="4" w:space="0" w:color="auto"/>
              <w:left w:val="single" w:sz="4" w:space="0" w:color="auto"/>
              <w:bottom w:val="single" w:sz="4" w:space="0" w:color="auto"/>
              <w:right w:val="single" w:sz="4" w:space="0" w:color="auto"/>
            </w:tcBorders>
            <w:vAlign w:val="center"/>
          </w:tcPr>
          <w:p w14:paraId="523651DE"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主治医师</w:t>
            </w:r>
          </w:p>
        </w:tc>
        <w:tc>
          <w:tcPr>
            <w:tcW w:w="1504" w:type="dxa"/>
            <w:tcBorders>
              <w:top w:val="single" w:sz="4" w:space="0" w:color="auto"/>
              <w:left w:val="single" w:sz="4" w:space="0" w:color="auto"/>
              <w:bottom w:val="single" w:sz="4" w:space="0" w:color="auto"/>
              <w:right w:val="single" w:sz="4" w:space="0" w:color="auto"/>
            </w:tcBorders>
            <w:vAlign w:val="center"/>
          </w:tcPr>
          <w:p w14:paraId="08EF94A2"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6A25BC4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44B5D1AE"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4DC61AB6"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5BCB1DC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蒋杰</w:t>
            </w:r>
          </w:p>
        </w:tc>
        <w:tc>
          <w:tcPr>
            <w:tcW w:w="1613" w:type="dxa"/>
            <w:tcBorders>
              <w:top w:val="single" w:sz="4" w:space="0" w:color="auto"/>
              <w:left w:val="single" w:sz="4" w:space="0" w:color="auto"/>
              <w:bottom w:val="single" w:sz="4" w:space="0" w:color="auto"/>
              <w:right w:val="single" w:sz="4" w:space="0" w:color="auto"/>
            </w:tcBorders>
            <w:vAlign w:val="center"/>
          </w:tcPr>
          <w:p w14:paraId="1A41C651"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医师</w:t>
            </w:r>
          </w:p>
        </w:tc>
        <w:tc>
          <w:tcPr>
            <w:tcW w:w="1504" w:type="dxa"/>
            <w:tcBorders>
              <w:top w:val="single" w:sz="4" w:space="0" w:color="auto"/>
              <w:left w:val="single" w:sz="4" w:space="0" w:color="auto"/>
              <w:bottom w:val="single" w:sz="4" w:space="0" w:color="auto"/>
              <w:right w:val="single" w:sz="4" w:space="0" w:color="auto"/>
            </w:tcBorders>
            <w:vAlign w:val="center"/>
          </w:tcPr>
          <w:p w14:paraId="6861CA4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0A9A9A48"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681D795F"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5AC323B2"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43FB92DB"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lastRenderedPageBreak/>
              <w:t>孙建超</w:t>
            </w:r>
          </w:p>
        </w:tc>
        <w:tc>
          <w:tcPr>
            <w:tcW w:w="1613" w:type="dxa"/>
            <w:tcBorders>
              <w:top w:val="single" w:sz="4" w:space="0" w:color="auto"/>
              <w:left w:val="single" w:sz="4" w:space="0" w:color="auto"/>
              <w:bottom w:val="single" w:sz="4" w:space="0" w:color="auto"/>
              <w:right w:val="single" w:sz="4" w:space="0" w:color="auto"/>
            </w:tcBorders>
            <w:vAlign w:val="center"/>
          </w:tcPr>
          <w:p w14:paraId="253DB420"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主治医师</w:t>
            </w:r>
          </w:p>
        </w:tc>
        <w:tc>
          <w:tcPr>
            <w:tcW w:w="1504" w:type="dxa"/>
            <w:tcBorders>
              <w:top w:val="single" w:sz="4" w:space="0" w:color="auto"/>
              <w:left w:val="single" w:sz="4" w:space="0" w:color="auto"/>
              <w:bottom w:val="single" w:sz="4" w:space="0" w:color="auto"/>
              <w:right w:val="single" w:sz="4" w:space="0" w:color="auto"/>
            </w:tcBorders>
            <w:vAlign w:val="center"/>
          </w:tcPr>
          <w:p w14:paraId="4B33FDED"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24A13FD2"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591A2325"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3A4F5A4F"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0B3D5B07"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吴开添</w:t>
            </w:r>
          </w:p>
        </w:tc>
        <w:tc>
          <w:tcPr>
            <w:tcW w:w="1613" w:type="dxa"/>
            <w:tcBorders>
              <w:top w:val="single" w:sz="4" w:space="0" w:color="auto"/>
              <w:left w:val="single" w:sz="4" w:space="0" w:color="auto"/>
              <w:bottom w:val="single" w:sz="4" w:space="0" w:color="auto"/>
              <w:right w:val="single" w:sz="4" w:space="0" w:color="auto"/>
            </w:tcBorders>
            <w:vAlign w:val="center"/>
          </w:tcPr>
          <w:p w14:paraId="4BD9DC95"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医师</w:t>
            </w:r>
          </w:p>
        </w:tc>
        <w:tc>
          <w:tcPr>
            <w:tcW w:w="1504" w:type="dxa"/>
            <w:tcBorders>
              <w:top w:val="single" w:sz="4" w:space="0" w:color="auto"/>
              <w:left w:val="single" w:sz="4" w:space="0" w:color="auto"/>
              <w:bottom w:val="single" w:sz="4" w:space="0" w:color="auto"/>
              <w:right w:val="single" w:sz="4" w:space="0" w:color="auto"/>
            </w:tcBorders>
            <w:vAlign w:val="center"/>
          </w:tcPr>
          <w:p w14:paraId="7FF00D14"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3732A70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2D3DE38D"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r w:rsidR="009F52B3" w14:paraId="03E03AD9" w14:textId="77777777" w:rsidTr="00187F00">
        <w:trPr>
          <w:cantSplit/>
          <w:jc w:val="center"/>
        </w:trPr>
        <w:tc>
          <w:tcPr>
            <w:tcW w:w="989" w:type="dxa"/>
            <w:tcBorders>
              <w:top w:val="single" w:sz="4" w:space="0" w:color="auto"/>
              <w:left w:val="single" w:sz="4" w:space="0" w:color="auto"/>
              <w:bottom w:val="single" w:sz="4" w:space="0" w:color="auto"/>
              <w:right w:val="single" w:sz="4" w:space="0" w:color="auto"/>
            </w:tcBorders>
            <w:vAlign w:val="center"/>
          </w:tcPr>
          <w:p w14:paraId="11486A7C"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黄龙鳌</w:t>
            </w:r>
          </w:p>
        </w:tc>
        <w:tc>
          <w:tcPr>
            <w:tcW w:w="1613" w:type="dxa"/>
            <w:tcBorders>
              <w:top w:val="single" w:sz="4" w:space="0" w:color="auto"/>
              <w:left w:val="single" w:sz="4" w:space="0" w:color="auto"/>
              <w:bottom w:val="single" w:sz="4" w:space="0" w:color="auto"/>
              <w:right w:val="single" w:sz="4" w:space="0" w:color="auto"/>
            </w:tcBorders>
            <w:vAlign w:val="center"/>
          </w:tcPr>
          <w:p w14:paraId="2229CC19"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医师</w:t>
            </w:r>
          </w:p>
        </w:tc>
        <w:tc>
          <w:tcPr>
            <w:tcW w:w="1504" w:type="dxa"/>
            <w:tcBorders>
              <w:top w:val="single" w:sz="4" w:space="0" w:color="auto"/>
              <w:left w:val="single" w:sz="4" w:space="0" w:color="auto"/>
              <w:bottom w:val="single" w:sz="4" w:space="0" w:color="auto"/>
              <w:right w:val="single" w:sz="4" w:space="0" w:color="auto"/>
            </w:tcBorders>
            <w:vAlign w:val="center"/>
          </w:tcPr>
          <w:p w14:paraId="3887A5A3"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医疗</w:t>
            </w:r>
          </w:p>
        </w:tc>
        <w:tc>
          <w:tcPr>
            <w:tcW w:w="1780" w:type="dxa"/>
            <w:tcBorders>
              <w:top w:val="single" w:sz="4" w:space="0" w:color="auto"/>
              <w:left w:val="single" w:sz="4" w:space="0" w:color="auto"/>
              <w:bottom w:val="single" w:sz="4" w:space="0" w:color="auto"/>
              <w:right w:val="single" w:sz="4" w:space="0" w:color="auto"/>
            </w:tcBorders>
            <w:vAlign w:val="center"/>
          </w:tcPr>
          <w:p w14:paraId="46EA2DCA" w14:textId="77777777" w:rsidR="009F52B3" w:rsidRDefault="009F52B3" w:rsidP="009F52B3">
            <w:pPr>
              <w:spacing w:line="360" w:lineRule="auto"/>
              <w:ind w:firstLineChars="0" w:firstLine="0"/>
              <w:jc w:val="center"/>
              <w:rPr>
                <w:rFonts w:ascii="仿宋" w:eastAsia="仿宋" w:hAnsi="仿宋" w:hint="eastAsia"/>
                <w:bCs/>
                <w:sz w:val="24"/>
                <w:szCs w:val="24"/>
              </w:rPr>
            </w:pPr>
            <w:r>
              <w:rPr>
                <w:rFonts w:ascii="仿宋" w:eastAsia="仿宋" w:hAnsi="仿宋" w:hint="eastAsia"/>
                <w:bCs/>
                <w:sz w:val="24"/>
                <w:szCs w:val="24"/>
              </w:rPr>
              <w:t>中山大学附属第一医院广西医院</w:t>
            </w:r>
          </w:p>
        </w:tc>
        <w:tc>
          <w:tcPr>
            <w:tcW w:w="3062" w:type="dxa"/>
            <w:tcBorders>
              <w:top w:val="single" w:sz="4" w:space="0" w:color="auto"/>
              <w:left w:val="single" w:sz="4" w:space="0" w:color="auto"/>
              <w:bottom w:val="single" w:sz="4" w:space="0" w:color="auto"/>
              <w:right w:val="single" w:sz="4" w:space="0" w:color="auto"/>
            </w:tcBorders>
          </w:tcPr>
          <w:p w14:paraId="20EB747A" w14:textId="77777777" w:rsidR="009F52B3" w:rsidRDefault="009F52B3" w:rsidP="009F52B3">
            <w:pPr>
              <w:spacing w:line="360" w:lineRule="auto"/>
              <w:ind w:firstLineChars="0" w:firstLine="0"/>
              <w:rPr>
                <w:rFonts w:ascii="仿宋" w:eastAsia="仿宋" w:hAnsi="仿宋" w:hint="eastAsia"/>
                <w:bCs/>
                <w:sz w:val="24"/>
                <w:szCs w:val="24"/>
              </w:rPr>
            </w:pPr>
            <w:r>
              <w:rPr>
                <w:rFonts w:ascii="仿宋" w:eastAsia="仿宋" w:hAnsi="仿宋" w:hint="eastAsia"/>
                <w:bCs/>
                <w:sz w:val="24"/>
                <w:szCs w:val="24"/>
              </w:rPr>
              <w:t>对标准实施情况进行总结分析，不断对标准提出修正意见。</w:t>
            </w:r>
          </w:p>
        </w:tc>
      </w:tr>
    </w:tbl>
    <w:p w14:paraId="4C3E5818" w14:textId="77777777" w:rsidR="00A10F3C" w:rsidRDefault="00000000">
      <w:pPr>
        <w:spacing w:line="360" w:lineRule="auto"/>
        <w:ind w:firstLine="640"/>
        <w:rPr>
          <w:rFonts w:ascii="黑体" w:eastAsia="黑体" w:hAnsi="黑体" w:hint="eastAsia"/>
          <w:bCs/>
          <w:sz w:val="32"/>
          <w:szCs w:val="32"/>
        </w:rPr>
      </w:pPr>
      <w:r>
        <w:rPr>
          <w:rFonts w:ascii="黑体" w:eastAsia="黑体" w:hAnsi="黑体" w:hint="eastAsia"/>
          <w:bCs/>
          <w:sz w:val="32"/>
          <w:szCs w:val="32"/>
        </w:rPr>
        <w:t>二、制定标准的必要性和意义</w:t>
      </w:r>
    </w:p>
    <w:p w14:paraId="0EC67294"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随着我国人口结构的变化和医疗技术的持续进步，骨科疾病谱日益复杂，对专业、精细化骨科护理服务的需求呈现爆发式增长。高质量的骨科护理是保障骨科手术成功、加速患者功能康复、预防并发症、提升患者生活质量的核心要素。在此背景下，制定一套科学、统一、具有前瞻性的《骨科护理质量评价规范》具备高度的必要性和战略意义。</w:t>
      </w:r>
    </w:p>
    <w:p w14:paraId="6E2653C8" w14:textId="6004CF01" w:rsidR="00A10F3C" w:rsidRDefault="00000000">
      <w:pPr>
        <w:spacing w:line="360" w:lineRule="auto"/>
        <w:ind w:firstLine="560"/>
        <w:rPr>
          <w:rFonts w:ascii="仿宋" w:eastAsia="仿宋" w:hAnsi="仿宋" w:hint="eastAsia"/>
          <w:bCs/>
        </w:rPr>
      </w:pPr>
      <w:r>
        <w:rPr>
          <w:rFonts w:ascii="仿宋" w:eastAsia="仿宋" w:hAnsi="仿宋" w:hint="eastAsia"/>
          <w:bCs/>
        </w:rPr>
        <w:t>1.提升服务同质化水平，保障患者安全</w:t>
      </w:r>
    </w:p>
    <w:p w14:paraId="4F690C74"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当前，不同医疗机构间的骨科护理服务质量评价体系存在指标体系不系统、评价维度不统一、结果可比性差等突出问题。这种不规范性直接导致了护理质量的参差不齐，难以有效识别和控制如压疮、深静脉血栓（DVT）、跌倒、切口感染等骨科常见并发症的风险。</w:t>
      </w:r>
    </w:p>
    <w:p w14:paraId="0C0F8E18"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标准的制定，旨在构建一套科学、系统的质量评价框架，统一结构质量、过程质量和结果质量的核心评价指标，使各级医疗机构的骨科护理质量评估有据可依、结果可信。通过标准化的评价导向，能够引导护理人员聚焦于核心安全指标和规范化操作流程，最终实现骨科护理服务的同质</w:t>
      </w:r>
      <w:r>
        <w:rPr>
          <w:rFonts w:ascii="仿宋" w:eastAsia="仿宋" w:hAnsi="仿宋" w:hint="eastAsia"/>
          <w:bCs/>
        </w:rPr>
        <w:lastRenderedPageBreak/>
        <w:t>化，切实保障患者的生命安全和功能恢复。</w:t>
      </w:r>
    </w:p>
    <w:p w14:paraId="4BCADAED"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2.促进学科专业化与职业化发展</w:t>
      </w:r>
    </w:p>
    <w:p w14:paraId="403D9661"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规范化的质量评价标准是推动骨科护理学科向专业化、职业化迈进的关键抓手。</w:t>
      </w:r>
    </w:p>
    <w:p w14:paraId="15BEF0BD"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指导人才培养：本标准所确立的评价指标，清晰地反映了骨科护理专业的核心能力要求。它将为骨科专科护士的培训、考核以及在职教育提供明确的指导方向，激励护理人员不断提升自身的专业素质和技能水平。</w:t>
      </w:r>
    </w:p>
    <w:p w14:paraId="592652E8"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优化资源配置：通过对结构质量的评价（如人员资质、专科设备配置），可以科学指导医疗机构进行人力资源和硬件设施的优化配置，确保为患者提供高质量服务的物质基础。</w:t>
      </w:r>
    </w:p>
    <w:p w14:paraId="2E477CBA"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驱动持续改进：质量评价报告能够精确诊断护理流程中的薄弱环节。本标准将以结果为导向，促进各医疗机构建立基于PDCA（计划-执行-检查-改进）循环的质量持续改进机制，从而不断优化临床路径，提升整体护理效率和效果。</w:t>
      </w:r>
    </w:p>
    <w:p w14:paraId="0788BB5F"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3.响应国家政策导向，减少医疗纠纷</w:t>
      </w:r>
    </w:p>
    <w:p w14:paraId="2388F026"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标准的制定与国家医疗质量管理政策高度契合。2024年《国家医疗质量安全改进目标》等文件均强调医疗质量安全管理的深入推进与目标管理。本规范的落地，是响应国家“以评促建、以评促改”方针的具体实践，有助于医疗机构将宏观政策要求转化为可量化、可执行的专科质量控制措施。同时，统一、透明的质量评价标准，有助于明确医护人员的职责与质量目标，减少因护理操作或流程不规范导致的医疗纠纷，维护和谐的医患/护患关系，提升患者的就医体验和满意度。</w:t>
      </w:r>
    </w:p>
    <w:p w14:paraId="5771A3F7" w14:textId="77777777" w:rsidR="00A10F3C" w:rsidRDefault="00000000">
      <w:pPr>
        <w:spacing w:line="360" w:lineRule="auto"/>
        <w:ind w:firstLine="560"/>
        <w:rPr>
          <w:rFonts w:ascii="仿宋" w:eastAsia="仿宋" w:hAnsi="仿宋" w:hint="eastAsia"/>
          <w:bCs/>
        </w:rPr>
      </w:pPr>
      <w:r>
        <w:rPr>
          <w:rFonts w:ascii="仿宋" w:eastAsia="仿宋" w:hAnsi="仿宋" w:hint="eastAsia"/>
          <w:bCs/>
        </w:rPr>
        <w:lastRenderedPageBreak/>
        <w:t>综上所述，团体标准《骨科护理质量评价规范》的制定，不仅是弥补当前行业标准空白的迫切需求，更是以标准化手段提升骨科护理质量、推动学科高质量发展、保障人民群众健康权益的重要举措。。</w:t>
      </w:r>
    </w:p>
    <w:p w14:paraId="3DAC237B" w14:textId="77777777" w:rsidR="00A10F3C" w:rsidRDefault="00000000">
      <w:pPr>
        <w:spacing w:line="360" w:lineRule="auto"/>
        <w:ind w:firstLine="640"/>
        <w:rPr>
          <w:rFonts w:ascii="黑体" w:eastAsia="黑体" w:hAnsi="黑体" w:hint="eastAsia"/>
          <w:bCs/>
          <w:sz w:val="32"/>
          <w:szCs w:val="32"/>
        </w:rPr>
      </w:pPr>
      <w:r>
        <w:rPr>
          <w:rFonts w:ascii="黑体" w:eastAsia="黑体" w:hAnsi="黑体" w:hint="eastAsia"/>
          <w:bCs/>
          <w:sz w:val="32"/>
          <w:szCs w:val="32"/>
        </w:rPr>
        <w:t>三、编制工作简况</w:t>
      </w:r>
    </w:p>
    <w:p w14:paraId="0FD9FCFA" w14:textId="77777777" w:rsidR="00A10F3C" w:rsidRDefault="00000000">
      <w:pPr>
        <w:spacing w:line="360" w:lineRule="auto"/>
        <w:ind w:firstLine="643"/>
        <w:rPr>
          <w:rFonts w:ascii="楷体" w:eastAsia="楷体" w:hAnsi="楷体" w:hint="eastAsia"/>
          <w:b/>
          <w:sz w:val="32"/>
          <w:szCs w:val="32"/>
        </w:rPr>
      </w:pPr>
      <w:r>
        <w:rPr>
          <w:rFonts w:ascii="楷体" w:eastAsia="楷体" w:hAnsi="楷体" w:hint="eastAsia"/>
          <w:b/>
          <w:sz w:val="32"/>
          <w:szCs w:val="32"/>
        </w:rPr>
        <w:t>（一）成立标准编制工作组</w:t>
      </w:r>
    </w:p>
    <w:p w14:paraId="38CACDC0" w14:textId="77777777" w:rsidR="00A10F3C" w:rsidRDefault="00000000">
      <w:pPr>
        <w:spacing w:line="360" w:lineRule="auto"/>
        <w:ind w:firstLine="560"/>
        <w:rPr>
          <w:rFonts w:ascii="仿宋" w:eastAsia="仿宋" w:hAnsi="仿宋" w:hint="eastAsia"/>
          <w:bCs/>
        </w:rPr>
      </w:pPr>
      <w:bookmarkStart w:id="1" w:name="OLE_LINK1"/>
      <w:r>
        <w:rPr>
          <w:rFonts w:ascii="仿宋" w:eastAsia="仿宋" w:hAnsi="仿宋" w:hint="eastAsia"/>
          <w:bCs/>
        </w:rPr>
        <w:t>团体标准《骨科护理质量评价规范》项目任务下达后，中山大学附属第一医院广西医院成立了标准编制工作组，起草单位制定了起草编写方案与进度安排，明确任务职责，确定工作技术路线，开展标准研制工作。具体标准编制工作由</w:t>
      </w:r>
      <w:r w:rsidR="00977C1E" w:rsidRPr="00977C1E">
        <w:rPr>
          <w:rFonts w:hint="eastAsia"/>
        </w:rPr>
        <w:t>中山大学附属第一医院广西医院、柳州市人民医院、南宁市第一人民医院、河池市第一人民医院、广西壮族自治区南溪山医院、桂林医学院附属医院、玉林市第一人民医院、广西壮族自治区人民医院</w:t>
      </w:r>
      <w:r>
        <w:rPr>
          <w:rFonts w:ascii="仿宋" w:eastAsia="仿宋" w:hAnsi="仿宋" w:hint="eastAsia"/>
          <w:bCs/>
        </w:rPr>
        <w:t>等单位负责人组成的标准编制工作组完成。</w:t>
      </w:r>
    </w:p>
    <w:p w14:paraId="57440ACD"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编制工作组下设三个组，分别是资料收集组、草案编写组、标准实施组。</w:t>
      </w:r>
    </w:p>
    <w:bookmarkEnd w:id="1"/>
    <w:p w14:paraId="685F4252"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资料收集组负责国内外有关骨科护理质量评价的文献资料、法律法规、标准规范的查询、收集和整理工作，查阅前人对骨科护理质量评价的研究情况和科学界的研究进展。</w:t>
      </w:r>
    </w:p>
    <w:p w14:paraId="29803A8D"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标准编写组负责起草标准工作组讨论稿、征求意见稿和标准编制说明、送审稿及编制说明的编写工作，包括后期召开征求意见会、网上征求意见，以及标准的不断修改和完善。</w:t>
      </w:r>
    </w:p>
    <w:p w14:paraId="3753093E"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标准实施组负责《</w:t>
      </w:r>
      <w:r>
        <w:rPr>
          <w:rFonts w:ascii="仿宋" w:eastAsia="仿宋" w:hAnsi="仿宋" w:hint="eastAsia"/>
        </w:rPr>
        <w:t>骨科护理质量评价规范</w:t>
      </w:r>
      <w:r>
        <w:rPr>
          <w:rFonts w:ascii="仿宋" w:eastAsia="仿宋" w:hAnsi="仿宋" w:hint="eastAsia"/>
          <w:bCs/>
        </w:rPr>
        <w:t>》团体标准发布后，组织相关医疗单位开展标准宣贯培训会，对标准进行详细解读，引导相关人员了</w:t>
      </w:r>
      <w:r>
        <w:rPr>
          <w:rFonts w:ascii="仿宋" w:eastAsia="仿宋" w:hAnsi="仿宋" w:hint="eastAsia"/>
          <w:bCs/>
        </w:rPr>
        <w:lastRenderedPageBreak/>
        <w:t>解标准，并根据标准对骨科护理质量评价进行规范化操作，对标准实施情况进行总结分析，不断对团体标准提出修正意见。</w:t>
      </w:r>
    </w:p>
    <w:p w14:paraId="07965715" w14:textId="77777777" w:rsidR="00A10F3C" w:rsidRDefault="00000000">
      <w:pPr>
        <w:spacing w:line="360" w:lineRule="auto"/>
        <w:ind w:firstLine="643"/>
        <w:rPr>
          <w:rFonts w:ascii="楷体" w:eastAsia="楷体" w:hAnsi="楷体" w:hint="eastAsia"/>
          <w:b/>
          <w:sz w:val="32"/>
          <w:szCs w:val="32"/>
        </w:rPr>
      </w:pPr>
      <w:r>
        <w:rPr>
          <w:rFonts w:ascii="楷体" w:eastAsia="楷体" w:hAnsi="楷体" w:hint="eastAsia"/>
          <w:b/>
          <w:sz w:val="32"/>
          <w:szCs w:val="32"/>
        </w:rPr>
        <w:t>（二）收集整理文献资料</w:t>
      </w:r>
    </w:p>
    <w:p w14:paraId="2D978604"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标准编制工作组收集了国内外有关骨科护理质量评价相关的文献资料及标准。主要有：</w:t>
      </w:r>
    </w:p>
    <w:p w14:paraId="28FD0293" w14:textId="33864722" w:rsidR="00A10F3C" w:rsidRDefault="00000000">
      <w:pPr>
        <w:spacing w:line="360" w:lineRule="auto"/>
        <w:ind w:firstLine="560"/>
        <w:rPr>
          <w:rFonts w:ascii="仿宋" w:eastAsia="仿宋" w:hAnsi="仿宋" w:hint="eastAsia"/>
          <w:bCs/>
        </w:rPr>
      </w:pPr>
      <w:r>
        <w:rPr>
          <w:rFonts w:ascii="仿宋" w:eastAsia="仿宋" w:hAnsi="仿宋" w:hint="eastAsia"/>
          <w:bCs/>
        </w:rPr>
        <w:t>《WS/T431—2023护理分级标准》</w:t>
      </w:r>
    </w:p>
    <w:p w14:paraId="0D5880F2" w14:textId="4163C129" w:rsidR="00A10F3C" w:rsidRDefault="00000000">
      <w:pPr>
        <w:spacing w:line="360" w:lineRule="auto"/>
        <w:ind w:firstLine="560"/>
        <w:rPr>
          <w:rFonts w:ascii="仿宋" w:eastAsia="仿宋" w:hAnsi="仿宋" w:hint="eastAsia"/>
          <w:bCs/>
        </w:rPr>
      </w:pPr>
      <w:r>
        <w:rPr>
          <w:rFonts w:ascii="仿宋" w:eastAsia="仿宋" w:hAnsi="仿宋" w:hint="eastAsia"/>
          <w:bCs/>
        </w:rPr>
        <w:t>《T/GXAS922—2024医疗护理员服务质量评价规范》</w:t>
      </w:r>
    </w:p>
    <w:p w14:paraId="17577897"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《老年髋部骨折患者围术期营养护理管理专家共识（2023版）》</w:t>
      </w:r>
    </w:p>
    <w:p w14:paraId="11BA06EF"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《老年髋部骨折围术期护理临床实践专家共识（2023版）》</w:t>
      </w:r>
    </w:p>
    <w:p w14:paraId="28A8BCA4"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《护理专业医疗质量控制指标(2020年版)》</w:t>
      </w:r>
    </w:p>
    <w:p w14:paraId="6C59B3CC"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《常用临床护理技术服务规范》</w:t>
      </w:r>
    </w:p>
    <w:p w14:paraId="4853793E"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《护理技术操作规范》2009年版</w:t>
      </w:r>
    </w:p>
    <w:p w14:paraId="455F1B29" w14:textId="77777777" w:rsidR="00A10F3C" w:rsidRDefault="00000000">
      <w:pPr>
        <w:spacing w:line="360" w:lineRule="auto"/>
        <w:ind w:firstLine="643"/>
        <w:rPr>
          <w:rFonts w:ascii="楷体" w:eastAsia="楷体" w:hAnsi="楷体" w:hint="eastAsia"/>
          <w:b/>
          <w:sz w:val="32"/>
          <w:szCs w:val="32"/>
        </w:rPr>
      </w:pPr>
      <w:r>
        <w:rPr>
          <w:rFonts w:ascii="楷体" w:eastAsia="楷体" w:hAnsi="楷体" w:hint="eastAsia"/>
          <w:b/>
          <w:sz w:val="32"/>
          <w:szCs w:val="32"/>
        </w:rPr>
        <w:t>（三）研讨确定标准特色、创新点和主要内容</w:t>
      </w:r>
    </w:p>
    <w:p w14:paraId="6CA1D35A"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标准编制工作组对收集的资料进行系统整理研究后，召开了标准编制会议，确定了标准的整体框架结构，并对关键性内容进行了初步探讨。经过研究，标准的主体内容为骨科护理质量评价的术语和定义、评价维度、指标与权重、评价方法、质量持续改进等。标准的核心技术及创新点在于：</w:t>
      </w:r>
    </w:p>
    <w:p w14:paraId="17360D46"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1.构建科学完备的“结构-过程-结果”三维评价体系本标准首次系统性地将骨科护理质量划分为结构质量（如人力资源配置、环境设备、制度流程）、过程质量（如护理评估、专科措施执行、健康教育）和结果质量（如患者安全、满意度、专科敏感指标）三大维度。这一体系设计突破了以往单一侧重操作流程或不良事件发生率的局限，实现了对骨科护理服务保障</w:t>
      </w:r>
      <w:r>
        <w:rPr>
          <w:rFonts w:ascii="仿宋" w:eastAsia="仿宋" w:hAnsi="仿宋" w:hint="eastAsia"/>
          <w:bCs/>
        </w:rPr>
        <w:lastRenderedPageBreak/>
        <w:t>基础、实施过程、最终成效的全面、系统性评价，为医疗机构提供了全要素、全周期的质量管理工具。</w:t>
      </w:r>
    </w:p>
    <w:p w14:paraId="0FA7E75C"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2.引入高度敏感的骨科专科结果指标本标准创新性地设立并强调了四项关键的专科护理敏感指标，使其成为评价结果质量的核心要素。这些指标包括：深静脉血栓（DVT）发生率关节功能恢复优良率住院患者康复锻炼执行率骨科手术患者术后24h疼痛控制率这些指标的设定，将护理质量评价从通用的不良事件监测，提升至对功能恢复和临床疗效的关注，能够更精准地反映骨科护理专业技能对患者健康结局的实际贡献与价值。</w:t>
      </w:r>
    </w:p>
    <w:p w14:paraId="37637F5A"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3.创新量化评价模式，实现护理质量可测可比本标准明确规定了评价实施的量化方法，包括使用统一的评价表、采用精确的公式S=y/z计算分数，并设置了五个等级（优秀、良好、一般、合格、不合格）的评定标准。这种量化评价模式：确保了评价结果的客观性与可比性,使得不同时间、不同科室、不同人员之间的护理质量评估结果具有可量化、可比较的基础。强化了管理和改进的针对性,为护理管理层精确诊断质量薄弱环节、制定基于数据的改进措施提供了科学依据。</w:t>
      </w:r>
    </w:p>
    <w:p w14:paraId="7F196BBE"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4.建立“评价-反馈-持续改进”的闭环机制本标准超越了简单的评分功能，在结果运用章节中明确要求建立一套完整的质量管理闭环。它规定了评价结果的及时（5个工作日内）、个体化反馈流程，要求针对“不合格”人员制定个人改进计划，并要求管理层定期采用根因分析法、鱼骨图等工具进行质量分析和追踪整改效果。这确保了评价工作的最终目的是促进质量的持续提升和护理人员的能力发展。</w:t>
      </w:r>
    </w:p>
    <w:p w14:paraId="0D47663E" w14:textId="77777777" w:rsidR="00A10F3C" w:rsidRDefault="00000000">
      <w:pPr>
        <w:spacing w:line="360" w:lineRule="auto"/>
        <w:ind w:firstLine="643"/>
        <w:rPr>
          <w:rFonts w:ascii="楷体" w:eastAsia="楷体" w:hAnsi="楷体" w:hint="eastAsia"/>
          <w:b/>
          <w:sz w:val="32"/>
          <w:szCs w:val="32"/>
        </w:rPr>
      </w:pPr>
      <w:r>
        <w:rPr>
          <w:rFonts w:ascii="楷体" w:eastAsia="楷体" w:hAnsi="楷体" w:hint="eastAsia"/>
          <w:b/>
          <w:sz w:val="32"/>
          <w:szCs w:val="32"/>
        </w:rPr>
        <w:t>（四）调研及形成草案、征求意见稿</w:t>
      </w:r>
    </w:p>
    <w:p w14:paraId="072A02B6" w14:textId="77777777" w:rsidR="00A10F3C" w:rsidRDefault="00000000">
      <w:pPr>
        <w:spacing w:line="360" w:lineRule="auto"/>
        <w:ind w:firstLine="560"/>
        <w:rPr>
          <w:rFonts w:ascii="仿宋" w:eastAsia="仿宋" w:hAnsi="仿宋" w:hint="eastAsia"/>
          <w:bCs/>
        </w:rPr>
      </w:pPr>
      <w:r>
        <w:rPr>
          <w:rFonts w:ascii="仿宋" w:eastAsia="仿宋" w:hAnsi="仿宋" w:hint="eastAsia"/>
          <w:bCs/>
        </w:rPr>
        <w:lastRenderedPageBreak/>
        <w:t>2024年8月，标准编制工作组查阅了大量的国内文献资料，对骨科护理质量评价相关的文件进行系统总结，形成了标准的基本构架，对主要内容进行了讨论并对项目的工作进行了部署和安排。</w:t>
      </w:r>
    </w:p>
    <w:p w14:paraId="71B6BDB5"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2024年9月，团体标准《骨科护理质量评价规范》获批立项，在前期工作的基础之上，通过理清逻辑脉络，整合已有参考资料中有关骨科护理质量评价的要求，并在目前骨科护理质量评价规范内容的基础上，按照简化、统一等原则编制完成团体标准《骨科护理质量评价规范》（草案）。</w:t>
      </w:r>
    </w:p>
    <w:p w14:paraId="0A98AE6F" w14:textId="77777777" w:rsidR="00A10F3C" w:rsidRDefault="00000000">
      <w:pPr>
        <w:spacing w:line="360" w:lineRule="auto"/>
        <w:ind w:firstLine="560"/>
        <w:rPr>
          <w:rFonts w:hint="eastAsia"/>
          <w:bCs/>
        </w:rPr>
      </w:pPr>
      <w:r>
        <w:rPr>
          <w:rFonts w:ascii="仿宋" w:eastAsia="仿宋" w:hAnsi="仿宋" w:hint="eastAsia"/>
          <w:bCs/>
        </w:rPr>
        <w:t>2024年9月～2025年11月，标准编制工作组深入各地进行骨科护理质量评价的有代表性的医院，</w:t>
      </w:r>
      <w:r w:rsidR="009F52B3" w:rsidRPr="009F52B3">
        <w:rPr>
          <w:rFonts w:ascii="仿宋" w:eastAsia="仿宋" w:hAnsi="仿宋" w:hint="eastAsia"/>
          <w:bCs/>
        </w:rPr>
        <w:t>中山大学附属第一医院广西医院、柳州市人民医院、南宁市第一人民医院、河池市第一人民医院、广西壮族自治区南溪山医院、桂林医学院附属医院、玉林市第一人民医院、广西壮族自治区人民医院</w:t>
      </w:r>
      <w:r>
        <w:rPr>
          <w:rFonts w:ascii="仿宋" w:eastAsia="仿宋" w:hAnsi="仿宋" w:hint="eastAsia"/>
          <w:bCs/>
        </w:rPr>
        <w:t>等召开标准研讨会，收集反馈了大量意见，对标准草案进行了反复修改和研究讨论，掌握了骨科护理质量评价的基本情况以及要求，最终形成了团体标准《骨科护理质量评价规范》（征求意见稿）及其编制说明。</w:t>
      </w:r>
    </w:p>
    <w:p w14:paraId="1E689E89" w14:textId="77777777" w:rsidR="00A10F3C" w:rsidRDefault="00000000">
      <w:pPr>
        <w:spacing w:line="360" w:lineRule="auto"/>
        <w:ind w:firstLine="640"/>
        <w:rPr>
          <w:rFonts w:ascii="黑体" w:eastAsia="黑体" w:hAnsi="黑体" w:hint="eastAsia"/>
          <w:bCs/>
          <w:sz w:val="32"/>
          <w:szCs w:val="32"/>
        </w:rPr>
      </w:pPr>
      <w:r>
        <w:rPr>
          <w:rFonts w:ascii="黑体" w:eastAsia="黑体" w:hAnsi="黑体" w:hint="eastAsia"/>
          <w:bCs/>
          <w:sz w:val="32"/>
          <w:szCs w:val="32"/>
        </w:rPr>
        <w:t>四、制定标准的原则和依据，与现行法律、法规的关系，与有关国家标准、行业标准的协调情况</w:t>
      </w:r>
    </w:p>
    <w:p w14:paraId="2E96A8D0" w14:textId="77777777" w:rsidR="00A10F3C" w:rsidRDefault="00000000">
      <w:pPr>
        <w:spacing w:line="360" w:lineRule="auto"/>
        <w:ind w:firstLine="562"/>
        <w:rPr>
          <w:rFonts w:ascii="仿宋" w:eastAsia="仿宋" w:hAnsi="仿宋" w:hint="eastAsia"/>
          <w:b/>
        </w:rPr>
      </w:pPr>
      <w:r>
        <w:rPr>
          <w:rFonts w:ascii="仿宋" w:eastAsia="仿宋" w:hAnsi="仿宋" w:hint="eastAsia"/>
          <w:b/>
        </w:rPr>
        <w:t>（一）编制原则</w:t>
      </w:r>
    </w:p>
    <w:p w14:paraId="64D7127F" w14:textId="77777777" w:rsidR="00A10F3C" w:rsidRDefault="00000000">
      <w:pPr>
        <w:spacing w:line="360" w:lineRule="auto"/>
        <w:ind w:firstLine="562"/>
        <w:rPr>
          <w:rFonts w:ascii="仿宋" w:eastAsia="仿宋" w:hAnsi="仿宋" w:hint="eastAsia"/>
          <w:b/>
        </w:rPr>
      </w:pPr>
      <w:r>
        <w:rPr>
          <w:rFonts w:ascii="仿宋" w:eastAsia="仿宋" w:hAnsi="仿宋" w:hint="eastAsia"/>
          <w:b/>
        </w:rPr>
        <w:t>1、实用性原则</w:t>
      </w:r>
    </w:p>
    <w:p w14:paraId="29ED714C"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标准是在广泛收集国内外关于骨科护理质量管理的相关文献资料和行业标准的基础上起草的。起草工作深度分析了当前我国骨科护理质量评价体系的现状与挑战，并严格依据国家发布的医疗质量管理要求和技术规范。标准内容充分结合了中山大学附属第一医院广西医院等起草单位在</w:t>
      </w:r>
      <w:r>
        <w:rPr>
          <w:rFonts w:ascii="仿宋" w:eastAsia="仿宋" w:hAnsi="仿宋" w:hint="eastAsia"/>
          <w:bCs/>
        </w:rPr>
        <w:lastRenderedPageBreak/>
        <w:t>骨科护理管理与质量持续改进方面的丰富实践经验，总结提炼出科学、可行的评价指标。本标准旨在顺应社会对骨科护理服务高质量、精细化的迫切需求，有力推动骨科护理质量评价体系的标准化建设与高质量发展，最终提升骨科护理服务的规范性、专业性与患者的安全水平。</w:t>
      </w:r>
    </w:p>
    <w:p w14:paraId="15203E50" w14:textId="77777777" w:rsidR="00A10F3C" w:rsidRDefault="00000000">
      <w:pPr>
        <w:spacing w:line="360" w:lineRule="auto"/>
        <w:ind w:firstLine="562"/>
        <w:rPr>
          <w:rFonts w:ascii="仿宋" w:eastAsia="仿宋" w:hAnsi="仿宋" w:hint="eastAsia"/>
          <w:b/>
        </w:rPr>
      </w:pPr>
      <w:r>
        <w:rPr>
          <w:rFonts w:ascii="仿宋" w:eastAsia="仿宋" w:hAnsi="仿宋" w:hint="eastAsia"/>
          <w:b/>
        </w:rPr>
        <w:t>2、协调性原则</w:t>
      </w:r>
    </w:p>
    <w:p w14:paraId="11034467"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本标准编写过程中注意了与骨科护理质量评价相关法律法规的协调问题，在内容上与现行法律法规、标准协调一致。</w:t>
      </w:r>
    </w:p>
    <w:p w14:paraId="4563E5E1" w14:textId="77777777" w:rsidR="00A10F3C" w:rsidRDefault="00000000">
      <w:pPr>
        <w:spacing w:line="360" w:lineRule="auto"/>
        <w:ind w:firstLine="562"/>
        <w:rPr>
          <w:rFonts w:ascii="仿宋" w:eastAsia="仿宋" w:hAnsi="仿宋" w:hint="eastAsia"/>
          <w:b/>
        </w:rPr>
      </w:pPr>
      <w:r>
        <w:rPr>
          <w:rFonts w:ascii="仿宋" w:eastAsia="仿宋" w:hAnsi="仿宋" w:hint="eastAsia"/>
          <w:b/>
        </w:rPr>
        <w:t>3、规范性原则</w:t>
      </w:r>
    </w:p>
    <w:p w14:paraId="2476C700" w14:textId="40F4318D" w:rsidR="00A10F3C" w:rsidRDefault="00000000">
      <w:pPr>
        <w:spacing w:line="360" w:lineRule="auto"/>
        <w:ind w:firstLine="560"/>
        <w:rPr>
          <w:rFonts w:ascii="仿宋" w:eastAsia="仿宋" w:hAnsi="仿宋" w:hint="eastAsia"/>
          <w:bCs/>
        </w:rPr>
      </w:pPr>
      <w:r>
        <w:rPr>
          <w:rFonts w:ascii="仿宋" w:eastAsia="仿宋" w:hAnsi="仿宋" w:hint="eastAsia"/>
          <w:bCs/>
        </w:rPr>
        <w:t>本标准严格按照GB/T1.1—2020《标准化工作导则第1部分：标准化文件的结构和起草规则》的要求和规定编写本标准的内容，保证标准的编写规范。</w:t>
      </w:r>
    </w:p>
    <w:p w14:paraId="7BBD11CE" w14:textId="77777777" w:rsidR="00A10F3C" w:rsidRDefault="00000000">
      <w:pPr>
        <w:spacing w:line="360" w:lineRule="auto"/>
        <w:ind w:firstLine="562"/>
        <w:rPr>
          <w:rFonts w:ascii="仿宋" w:eastAsia="仿宋" w:hAnsi="仿宋" w:hint="eastAsia"/>
          <w:b/>
        </w:rPr>
      </w:pPr>
      <w:r>
        <w:rPr>
          <w:rFonts w:ascii="仿宋" w:eastAsia="仿宋" w:hAnsi="仿宋" w:hint="eastAsia"/>
          <w:b/>
        </w:rPr>
        <w:t>4、前瞻性原则</w:t>
      </w:r>
    </w:p>
    <w:p w14:paraId="1F60FEA1"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本标准在兼顾我国骨科护理质量评价现状的同时，还充分考虑到骨科护理学科发展趋势与骨科护理质量评价规范的需求，在标准中体现了个别特色性、前瞻性和先进性条款，作为对骨科护理质量评价的指导。</w:t>
      </w:r>
    </w:p>
    <w:p w14:paraId="67152474" w14:textId="77777777" w:rsidR="00A10F3C" w:rsidRDefault="00000000">
      <w:pPr>
        <w:spacing w:line="520" w:lineRule="exact"/>
        <w:ind w:firstLine="562"/>
        <w:rPr>
          <w:rFonts w:ascii="仿宋" w:eastAsia="仿宋" w:hAnsi="仿宋" w:hint="eastAsia"/>
          <w:b/>
          <w:bCs/>
        </w:rPr>
      </w:pPr>
      <w:r>
        <w:rPr>
          <w:rFonts w:ascii="仿宋" w:eastAsia="仿宋" w:hAnsi="仿宋" w:hint="eastAsia"/>
          <w:b/>
          <w:bCs/>
        </w:rPr>
        <w:t>（二）编制依据</w:t>
      </w:r>
    </w:p>
    <w:p w14:paraId="3124584C" w14:textId="2B1BF169" w:rsidR="00A10F3C" w:rsidRDefault="00000000">
      <w:pPr>
        <w:spacing w:line="360" w:lineRule="auto"/>
        <w:ind w:firstLine="560"/>
        <w:rPr>
          <w:rFonts w:ascii="仿宋" w:eastAsia="仿宋" w:hAnsi="仿宋" w:hint="eastAsia"/>
          <w:bCs/>
        </w:rPr>
      </w:pPr>
      <w:r>
        <w:rPr>
          <w:rFonts w:ascii="仿宋" w:eastAsia="仿宋" w:hAnsi="仿宋" w:hint="eastAsia"/>
          <w:bCs/>
        </w:rPr>
        <w:t>本标准严格按照GB/T1.1—2020《标准化工作导则第1部分：标准化文件的结构和起草规则》的规则起草，标准主要内容依据起草单位在骨科护理质量评价过程中的实践经验确定。</w:t>
      </w:r>
    </w:p>
    <w:p w14:paraId="5A5C3380" w14:textId="77777777" w:rsidR="00A10F3C" w:rsidRDefault="00000000">
      <w:pPr>
        <w:spacing w:line="520" w:lineRule="exact"/>
        <w:ind w:firstLine="562"/>
        <w:rPr>
          <w:rFonts w:ascii="仿宋" w:eastAsia="仿宋" w:hAnsi="仿宋" w:hint="eastAsia"/>
          <w:b/>
          <w:bCs/>
        </w:rPr>
      </w:pPr>
      <w:r>
        <w:rPr>
          <w:rFonts w:ascii="仿宋" w:eastAsia="仿宋" w:hAnsi="仿宋" w:hint="eastAsia"/>
          <w:b/>
          <w:bCs/>
        </w:rPr>
        <w:t>（三）与现行法律、法规的关系，与有关国家标准、行业标准的协调情况</w:t>
      </w:r>
    </w:p>
    <w:p w14:paraId="1E3091D0" w14:textId="77777777" w:rsidR="00A10F3C" w:rsidRDefault="00000000">
      <w:pPr>
        <w:spacing w:line="520" w:lineRule="exact"/>
        <w:ind w:firstLine="560"/>
        <w:rPr>
          <w:rFonts w:ascii="仿宋" w:eastAsia="仿宋" w:hAnsi="仿宋" w:hint="eastAsia"/>
        </w:rPr>
      </w:pPr>
      <w:r>
        <w:rPr>
          <w:rFonts w:ascii="仿宋" w:eastAsia="仿宋" w:hAnsi="仿宋" w:hint="eastAsia"/>
        </w:rPr>
        <w:t>本标准与相关法律法规、强制性标准协调一致，无冲突。</w:t>
      </w:r>
    </w:p>
    <w:p w14:paraId="4856AA02" w14:textId="77777777" w:rsidR="00A10F3C" w:rsidRDefault="00000000">
      <w:pPr>
        <w:spacing w:line="520" w:lineRule="exact"/>
        <w:ind w:firstLine="560"/>
        <w:rPr>
          <w:rFonts w:ascii="仿宋" w:eastAsia="仿宋" w:hAnsi="仿宋" w:hint="eastAsia"/>
        </w:rPr>
      </w:pPr>
      <w:r>
        <w:rPr>
          <w:rFonts w:ascii="仿宋" w:eastAsia="仿宋" w:hAnsi="仿宋" w:hint="eastAsia"/>
        </w:rPr>
        <w:lastRenderedPageBreak/>
        <w:t>经查询，国内暂无与“骨科护理质量评价”的标准。</w:t>
      </w:r>
    </w:p>
    <w:p w14:paraId="3FC4F993"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在国际上，关于骨科护理质量评价规范的标准，主要来自于国际护理理事会（ICN）、世界卫生组织（WHO）和国际骨科协会（SICOT）等权威机构发布的指南和建议。</w:t>
      </w:r>
    </w:p>
    <w:p w14:paraId="02A756FF"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国际护理理事会（ICN）：ICN发布了全球护理质量指标，涵盖了患者安全（如压疮、跌倒）和护理过程等多个维度。本标准在结果质量指标的选取上，借鉴了ICN对护理敏感指标的定义和监测方法，确保与国际先进理念接轨。</w:t>
      </w:r>
    </w:p>
    <w:p w14:paraId="68C118E6"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国际骨科协会（SICOT）推荐指南：虽然SICOT未直接制定质量评价标准，但其发布的关于骨折治疗、康复及护理的推荐指南中，对功能恢复、疼痛管理、并发症预防等提出了严格的临床要求。本标准的过程质量和专科敏感指标，均以此类指南所定义的最佳临床实践为基础，将过程规范性转化为可评价指标。</w:t>
      </w:r>
    </w:p>
    <w:p w14:paraId="52E52C76"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世界卫生组织（WHO）卫生标准：WHO虽未直接发布关于骨科护理质量评价规范的特定标准，但其发布的《手术安全核对表》和《患者安全标准》等文件，强调了手术和护理过程中患者安全的重要性，为骨科护理质量评价规范化提供了基础性的指导原则。</w:t>
      </w:r>
    </w:p>
    <w:p w14:paraId="3CE793D8" w14:textId="77777777" w:rsidR="00A10F3C" w:rsidRDefault="00000000">
      <w:pPr>
        <w:spacing w:line="360" w:lineRule="auto"/>
        <w:ind w:firstLine="560"/>
        <w:rPr>
          <w:rFonts w:ascii="黑体" w:eastAsia="黑体" w:hAnsi="黑体" w:hint="eastAsia"/>
          <w:bCs/>
          <w:sz w:val="32"/>
          <w:szCs w:val="32"/>
        </w:rPr>
      </w:pPr>
      <w:r>
        <w:rPr>
          <w:rFonts w:ascii="仿宋" w:eastAsia="仿宋" w:hAnsi="仿宋" w:hint="eastAsia"/>
          <w:bCs/>
        </w:rPr>
        <w:t>在国内，骨科护理质量评价的实施主要依赖于国家卫生健康委员会发布的通用医疗质量管理文件和各级护理质量控制中心下发的通用质量控制指标。本标准是在这些宏观指导文件的基础上的深化和专科化，将通用的质量管理理念具体细化为骨科专科护理领域的结构、过程和结果评价要素，有效提升了质量评价的针对性和指导性。</w:t>
      </w:r>
    </w:p>
    <w:p w14:paraId="1B1F8B4E" w14:textId="77777777" w:rsidR="00A10F3C" w:rsidRDefault="00000000">
      <w:pPr>
        <w:spacing w:line="360" w:lineRule="auto"/>
        <w:ind w:firstLine="640"/>
        <w:rPr>
          <w:rFonts w:ascii="黑体" w:eastAsia="黑体" w:hAnsi="黑体" w:hint="eastAsia"/>
          <w:bCs/>
          <w:sz w:val="32"/>
          <w:szCs w:val="32"/>
        </w:rPr>
      </w:pPr>
      <w:r>
        <w:rPr>
          <w:rFonts w:ascii="黑体" w:eastAsia="黑体" w:hAnsi="黑体" w:hint="eastAsia"/>
          <w:bCs/>
          <w:sz w:val="32"/>
          <w:szCs w:val="32"/>
        </w:rPr>
        <w:lastRenderedPageBreak/>
        <w:t>五、主要条款的说明</w:t>
      </w:r>
    </w:p>
    <w:p w14:paraId="242FEDE7"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本文件规定了骨科护理质量评价的评价内容和评价指标、评价实施和结果运用。本文件主要内容如下：</w:t>
      </w:r>
    </w:p>
    <w:p w14:paraId="5DC68418" w14:textId="77777777" w:rsidR="00A10F3C" w:rsidRDefault="00000000">
      <w:pPr>
        <w:spacing w:line="360" w:lineRule="auto"/>
        <w:ind w:firstLine="562"/>
        <w:rPr>
          <w:rFonts w:ascii="仿宋" w:eastAsia="仿宋" w:hAnsi="仿宋" w:hint="eastAsia"/>
          <w:b/>
        </w:rPr>
      </w:pPr>
      <w:r>
        <w:rPr>
          <w:rFonts w:ascii="仿宋" w:eastAsia="仿宋" w:hAnsi="仿宋" w:hint="eastAsia"/>
          <w:b/>
        </w:rPr>
        <w:t>（一）范围</w:t>
      </w:r>
    </w:p>
    <w:p w14:paraId="23C66A02"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本文件规定了骨科护理质量评价的评价内容和评价指标、评价实施和结果运用。</w:t>
      </w:r>
    </w:p>
    <w:p w14:paraId="0DDD87AD"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本文件适用于各类医疗机构开展的骨科护理质量评价工作。</w:t>
      </w:r>
    </w:p>
    <w:p w14:paraId="06AAAD20" w14:textId="77777777" w:rsidR="00A10F3C" w:rsidRDefault="00000000">
      <w:pPr>
        <w:spacing w:line="360" w:lineRule="auto"/>
        <w:ind w:firstLine="562"/>
        <w:rPr>
          <w:rFonts w:ascii="仿宋" w:eastAsia="仿宋" w:hAnsi="仿宋" w:hint="eastAsia"/>
          <w:b/>
        </w:rPr>
      </w:pPr>
      <w:r>
        <w:rPr>
          <w:rFonts w:ascii="仿宋" w:eastAsia="仿宋" w:hAnsi="仿宋" w:hint="eastAsia"/>
          <w:b/>
        </w:rPr>
        <w:t>（二）规范性引用文件</w:t>
      </w:r>
    </w:p>
    <w:p w14:paraId="5CC05DB8"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本文件没有规范性引用文件。</w:t>
      </w:r>
    </w:p>
    <w:p w14:paraId="5AD8456B" w14:textId="77777777" w:rsidR="00A10F3C" w:rsidRDefault="00000000">
      <w:pPr>
        <w:spacing w:line="360" w:lineRule="auto"/>
        <w:ind w:firstLine="562"/>
        <w:rPr>
          <w:rFonts w:ascii="仿宋" w:eastAsia="仿宋" w:hAnsi="仿宋" w:hint="eastAsia"/>
          <w:b/>
        </w:rPr>
      </w:pPr>
      <w:r>
        <w:rPr>
          <w:rFonts w:ascii="仿宋" w:eastAsia="仿宋" w:hAnsi="仿宋" w:hint="eastAsia"/>
          <w:b/>
        </w:rPr>
        <w:t>（三）术语和定义</w:t>
      </w:r>
    </w:p>
    <w:p w14:paraId="35EBF117" w14:textId="77777777" w:rsidR="00A10F3C" w:rsidRDefault="00000000">
      <w:pPr>
        <w:spacing w:line="360" w:lineRule="auto"/>
        <w:ind w:firstLine="560"/>
        <w:rPr>
          <w:rFonts w:ascii="仿宋" w:eastAsia="仿宋" w:hAnsi="仿宋" w:hint="eastAsia"/>
          <w:bCs/>
        </w:rPr>
      </w:pPr>
      <w:r>
        <w:rPr>
          <w:rFonts w:ascii="仿宋" w:eastAsia="仿宋" w:hAnsi="仿宋" w:hint="eastAsia"/>
          <w:bCs/>
        </w:rPr>
        <w:t>本文件没有需要界定的术语和定义。</w:t>
      </w:r>
    </w:p>
    <w:p w14:paraId="378CC351" w14:textId="77777777" w:rsidR="00A10F3C" w:rsidRDefault="00000000">
      <w:pPr>
        <w:spacing w:line="360" w:lineRule="auto"/>
        <w:ind w:firstLine="562"/>
        <w:rPr>
          <w:rFonts w:ascii="仿宋" w:eastAsia="仿宋" w:hAnsi="仿宋" w:hint="eastAsia"/>
          <w:b/>
        </w:rPr>
      </w:pPr>
      <w:r>
        <w:rPr>
          <w:rFonts w:ascii="仿宋" w:eastAsia="仿宋" w:hAnsi="仿宋"/>
          <w:b/>
        </w:rPr>
        <w:t>（四）评价内容和评价指标</w:t>
      </w:r>
    </w:p>
    <w:p w14:paraId="6E8692D5" w14:textId="5DA0EB8F" w:rsidR="0091709B" w:rsidRPr="0091709B" w:rsidRDefault="0091709B" w:rsidP="0091709B">
      <w:pPr>
        <w:spacing w:line="360" w:lineRule="auto"/>
        <w:ind w:firstLine="560"/>
        <w:rPr>
          <w:rFonts w:ascii="仿宋" w:eastAsia="仿宋" w:hAnsi="仿宋" w:hint="eastAsia"/>
          <w:bCs/>
          <w:color w:val="EE0000"/>
        </w:rPr>
      </w:pPr>
      <w:r w:rsidRPr="0091709B">
        <w:rPr>
          <w:rFonts w:ascii="仿宋" w:eastAsia="仿宋" w:hAnsi="仿宋" w:hint="eastAsia"/>
          <w:bCs/>
          <w:color w:val="EE0000"/>
        </w:rPr>
        <w:t>1.评价内容</w:t>
      </w:r>
    </w:p>
    <w:p w14:paraId="3BBBF8E1" w14:textId="06038846" w:rsidR="0091709B" w:rsidRDefault="00EC5856" w:rsidP="00340071">
      <w:pPr>
        <w:ind w:firstLine="560"/>
        <w:rPr>
          <w:rFonts w:ascii="仿宋" w:eastAsia="仿宋" w:hAnsi="仿宋" w:hint="eastAsia"/>
          <w:bCs/>
          <w:color w:val="EE0000"/>
        </w:rPr>
      </w:pPr>
      <w:r>
        <w:rPr>
          <w:rFonts w:ascii="仿宋" w:eastAsia="仿宋" w:hAnsi="仿宋" w:hint="eastAsia"/>
          <w:bCs/>
          <w:color w:val="EE0000"/>
        </w:rPr>
        <w:t>“4</w:t>
      </w:r>
      <w:r w:rsidRPr="00EC5856">
        <w:rPr>
          <w:rFonts w:ascii="仿宋" w:eastAsia="仿宋" w:hAnsi="仿宋" w:hint="eastAsia"/>
          <w:bCs/>
          <w:color w:val="EE0000"/>
        </w:rPr>
        <w:t>评价内容和评价指标</w:t>
      </w:r>
      <w:r>
        <w:rPr>
          <w:rFonts w:ascii="仿宋" w:eastAsia="仿宋" w:hAnsi="仿宋" w:hint="eastAsia"/>
          <w:bCs/>
          <w:color w:val="EE0000"/>
        </w:rPr>
        <w:t>”“</w:t>
      </w:r>
      <w:r w:rsidRPr="00EC5856">
        <w:rPr>
          <w:rFonts w:ascii="仿宋" w:eastAsia="仿宋" w:hAnsi="仿宋" w:hint="eastAsia"/>
          <w:bCs/>
          <w:color w:val="EE0000"/>
        </w:rPr>
        <w:t>4.1　评价内容</w:t>
      </w:r>
      <w:r>
        <w:rPr>
          <w:rFonts w:ascii="仿宋" w:eastAsia="仿宋" w:hAnsi="仿宋" w:hint="eastAsia"/>
          <w:bCs/>
          <w:color w:val="EE0000"/>
        </w:rPr>
        <w:t>”</w:t>
      </w:r>
      <w:r w:rsidR="00A36F07" w:rsidRPr="00A36F07">
        <w:rPr>
          <w:rFonts w:ascii="仿宋" w:eastAsia="仿宋" w:hAnsi="仿宋" w:hint="eastAsia"/>
          <w:bCs/>
          <w:color w:val="EE0000"/>
        </w:rPr>
        <w:t>明确构建了涵盖“基础护理、围术期护理、康复护理、心理支持与健康教育”四个维度的骨科护理质量评价内容框架。</w:t>
      </w:r>
      <w:r>
        <w:rPr>
          <w:rFonts w:ascii="仿宋" w:eastAsia="仿宋" w:hAnsi="仿宋" w:hint="eastAsia"/>
          <w:bCs/>
          <w:color w:val="EE0000"/>
        </w:rPr>
        <w:t>直接</w:t>
      </w:r>
      <w:r w:rsidR="0091709B" w:rsidRPr="0091709B">
        <w:rPr>
          <w:rFonts w:ascii="仿宋" w:eastAsia="仿宋" w:hAnsi="仿宋" w:hint="eastAsia"/>
          <w:bCs/>
          <w:color w:val="EE0000"/>
        </w:rPr>
        <w:t>依据《骨科护理质量标准与质量监测指标(2017版)》</w:t>
      </w:r>
      <w:r w:rsidR="00340071">
        <w:rPr>
          <w:rFonts w:ascii="仿宋" w:eastAsia="仿宋" w:hAnsi="仿宋" w:hint="eastAsia"/>
          <w:bCs/>
          <w:color w:val="EE0000"/>
        </w:rPr>
        <w:t>、</w:t>
      </w:r>
      <w:r w:rsidR="00340071" w:rsidRPr="00340071">
        <w:rPr>
          <w:rFonts w:ascii="仿宋" w:eastAsia="仿宋" w:hAnsi="仿宋" w:hint="eastAsia"/>
          <w:bCs/>
          <w:color w:val="EE0000"/>
        </w:rPr>
        <w:t>《老年髋部骨折围手术期衰弱护理管理专家共识（2024）》</w:t>
      </w:r>
      <w:r w:rsidR="00340071">
        <w:rPr>
          <w:rFonts w:ascii="仿宋" w:eastAsia="仿宋" w:hAnsi="仿宋" w:hint="eastAsia"/>
          <w:bCs/>
          <w:color w:val="EE0000"/>
        </w:rPr>
        <w:t>的内容及《</w:t>
      </w:r>
      <w:r w:rsidR="00340071" w:rsidRPr="00340071">
        <w:rPr>
          <w:rFonts w:ascii="仿宋" w:eastAsia="仿宋" w:hAnsi="仿宋" w:hint="eastAsia"/>
          <w:bCs/>
          <w:color w:val="EE0000"/>
        </w:rPr>
        <w:t>进一步改善护理服务行动计划（2023-2025年）</w:t>
      </w:r>
      <w:r w:rsidR="00340071">
        <w:rPr>
          <w:rFonts w:ascii="仿宋" w:eastAsia="仿宋" w:hAnsi="仿宋" w:hint="eastAsia"/>
          <w:bCs/>
          <w:color w:val="EE0000"/>
        </w:rPr>
        <w:t>》（</w:t>
      </w:r>
      <w:r w:rsidR="00340071" w:rsidRPr="00340071">
        <w:rPr>
          <w:rFonts w:ascii="仿宋" w:eastAsia="仿宋" w:hAnsi="仿宋" w:hint="eastAsia"/>
          <w:bCs/>
          <w:color w:val="EE0000"/>
        </w:rPr>
        <w:t>国卫医政发﹝2023﹞16号</w:t>
      </w:r>
      <w:r w:rsidR="00340071">
        <w:rPr>
          <w:rFonts w:ascii="仿宋" w:eastAsia="仿宋" w:hAnsi="仿宋" w:hint="eastAsia"/>
          <w:bCs/>
          <w:color w:val="EE0000"/>
        </w:rPr>
        <w:t>）的规定，</w:t>
      </w:r>
      <w:r w:rsidR="0091709B" w:rsidRPr="0091709B">
        <w:rPr>
          <w:rFonts w:ascii="仿宋" w:eastAsia="仿宋" w:hAnsi="仿宋" w:hint="eastAsia"/>
          <w:bCs/>
          <w:color w:val="EE0000"/>
        </w:rPr>
        <w:t>结合骨科护理专业特点</w:t>
      </w:r>
      <w:r>
        <w:rPr>
          <w:rFonts w:ascii="仿宋" w:eastAsia="仿宋" w:hAnsi="仿宋" w:hint="eastAsia"/>
          <w:bCs/>
          <w:color w:val="EE0000"/>
        </w:rPr>
        <w:t>归纳而出</w:t>
      </w:r>
      <w:r w:rsidR="0091709B" w:rsidRPr="0091709B">
        <w:rPr>
          <w:rFonts w:ascii="仿宋" w:eastAsia="仿宋" w:hAnsi="仿宋" w:hint="eastAsia"/>
          <w:bCs/>
          <w:color w:val="EE0000"/>
        </w:rPr>
        <w:t>，确定了基础护理、围术期护理、康复护理、心理支持与健康教育共4</w:t>
      </w:r>
      <w:r>
        <w:rPr>
          <w:rFonts w:ascii="仿宋" w:eastAsia="仿宋" w:hAnsi="仿宋" w:hint="eastAsia"/>
          <w:bCs/>
          <w:color w:val="EE0000"/>
        </w:rPr>
        <w:t>大</w:t>
      </w:r>
      <w:r w:rsidR="0091709B" w:rsidRPr="0091709B">
        <w:rPr>
          <w:rFonts w:ascii="仿宋" w:eastAsia="仿宋" w:hAnsi="仿宋" w:hint="eastAsia"/>
          <w:bCs/>
          <w:color w:val="EE0000"/>
        </w:rPr>
        <w:t>项。此设计旨在全面覆盖骨科患者从入院到出院的全程护理服务，并突出围术期管理、功能康复等骨科专科护理核心环节。</w:t>
      </w:r>
    </w:p>
    <w:p w14:paraId="30053229" w14:textId="59E04F12" w:rsidR="008B66F3" w:rsidRDefault="008B66F3" w:rsidP="0091709B">
      <w:pPr>
        <w:spacing w:line="360" w:lineRule="auto"/>
        <w:ind w:firstLine="560"/>
        <w:rPr>
          <w:rFonts w:ascii="仿宋" w:eastAsia="仿宋" w:hAnsi="仿宋" w:hint="eastAsia"/>
          <w:bCs/>
          <w:color w:val="EE0000"/>
        </w:rPr>
      </w:pPr>
      <w:r>
        <w:rPr>
          <w:noProof/>
        </w:rPr>
        <w:lastRenderedPageBreak/>
        <w:drawing>
          <wp:inline distT="0" distB="0" distL="0" distR="0" wp14:anchorId="0D465E2D" wp14:editId="5F97A8C1">
            <wp:extent cx="4905326" cy="3038586"/>
            <wp:effectExtent l="0" t="0" r="0" b="0"/>
            <wp:docPr id="16270624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062497" name=""/>
                    <pic:cNvPicPr/>
                  </pic:nvPicPr>
                  <pic:blipFill>
                    <a:blip r:embed="rId7">
                      <a:extLst>
                        <a:ext uri="{28A0092B-C50C-407E-A947-70E740481C1C}">
                          <a14:useLocalDpi xmlns:a14="http://schemas.microsoft.com/office/drawing/2010/main" val="0"/>
                        </a:ext>
                      </a:extLst>
                    </a:blip>
                    <a:stretch>
                      <a:fillRect/>
                    </a:stretch>
                  </pic:blipFill>
                  <pic:spPr>
                    <a:xfrm>
                      <a:off x="0" y="0"/>
                      <a:ext cx="4905326" cy="3038586"/>
                    </a:xfrm>
                    <a:prstGeom prst="rect">
                      <a:avLst/>
                    </a:prstGeom>
                  </pic:spPr>
                </pic:pic>
              </a:graphicData>
            </a:graphic>
          </wp:inline>
        </w:drawing>
      </w:r>
    </w:p>
    <w:p w14:paraId="0FFF84AE" w14:textId="7DE95934" w:rsidR="00340071" w:rsidRDefault="00340071" w:rsidP="00340071">
      <w:pPr>
        <w:spacing w:line="360" w:lineRule="auto"/>
        <w:ind w:firstLine="560"/>
        <w:jc w:val="center"/>
        <w:rPr>
          <w:rFonts w:ascii="仿宋" w:eastAsia="仿宋" w:hAnsi="仿宋" w:hint="eastAsia"/>
          <w:bCs/>
          <w:color w:val="EE0000"/>
        </w:rPr>
      </w:pPr>
      <w:r w:rsidRPr="00340071">
        <w:rPr>
          <w:rFonts w:ascii="仿宋" w:eastAsia="仿宋" w:hAnsi="仿宋" w:hint="eastAsia"/>
          <w:bCs/>
          <w:color w:val="EE0000"/>
        </w:rPr>
        <w:t>来源：《进一步改善护理服务行动计划（2023-2025年）》</w:t>
      </w:r>
    </w:p>
    <w:p w14:paraId="1DA8CE54" w14:textId="1562AB9E" w:rsidR="00340071" w:rsidRDefault="00340071" w:rsidP="00340071">
      <w:pPr>
        <w:spacing w:line="360" w:lineRule="auto"/>
        <w:ind w:firstLine="560"/>
        <w:jc w:val="center"/>
        <w:rPr>
          <w:rFonts w:ascii="仿宋" w:eastAsia="仿宋" w:hAnsi="仿宋" w:hint="eastAsia"/>
          <w:bCs/>
          <w:color w:val="EE0000"/>
        </w:rPr>
      </w:pPr>
      <w:r>
        <w:rPr>
          <w:noProof/>
        </w:rPr>
        <w:drawing>
          <wp:inline distT="0" distB="0" distL="0" distR="0" wp14:anchorId="055E7DB5" wp14:editId="076DF026">
            <wp:extent cx="4865581" cy="2243229"/>
            <wp:effectExtent l="0" t="0" r="0" b="5080"/>
            <wp:docPr id="9136750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675012" name=""/>
                    <pic:cNvPicPr/>
                  </pic:nvPicPr>
                  <pic:blipFill>
                    <a:blip r:embed="rId8">
                      <a:extLst>
                        <a:ext uri="{28A0092B-C50C-407E-A947-70E740481C1C}">
                          <a14:useLocalDpi xmlns:a14="http://schemas.microsoft.com/office/drawing/2010/main" val="0"/>
                        </a:ext>
                      </a:extLst>
                    </a:blip>
                    <a:stretch>
                      <a:fillRect/>
                    </a:stretch>
                  </pic:blipFill>
                  <pic:spPr>
                    <a:xfrm>
                      <a:off x="0" y="0"/>
                      <a:ext cx="4875168" cy="2247649"/>
                    </a:xfrm>
                    <a:prstGeom prst="rect">
                      <a:avLst/>
                    </a:prstGeom>
                  </pic:spPr>
                </pic:pic>
              </a:graphicData>
            </a:graphic>
          </wp:inline>
        </w:drawing>
      </w:r>
      <w:r>
        <w:rPr>
          <w:noProof/>
        </w:rPr>
        <w:drawing>
          <wp:inline distT="0" distB="0" distL="0" distR="0" wp14:anchorId="7B1F1368" wp14:editId="6083365B">
            <wp:extent cx="4993419" cy="1719101"/>
            <wp:effectExtent l="0" t="0" r="0" b="0"/>
            <wp:docPr id="3569657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965723" name=""/>
                    <pic:cNvPicPr/>
                  </pic:nvPicPr>
                  <pic:blipFill>
                    <a:blip r:embed="rId9">
                      <a:extLst>
                        <a:ext uri="{28A0092B-C50C-407E-A947-70E740481C1C}">
                          <a14:useLocalDpi xmlns:a14="http://schemas.microsoft.com/office/drawing/2010/main" val="0"/>
                        </a:ext>
                      </a:extLst>
                    </a:blip>
                    <a:stretch>
                      <a:fillRect/>
                    </a:stretch>
                  </pic:blipFill>
                  <pic:spPr>
                    <a:xfrm>
                      <a:off x="0" y="0"/>
                      <a:ext cx="5005045" cy="1723103"/>
                    </a:xfrm>
                    <a:prstGeom prst="rect">
                      <a:avLst/>
                    </a:prstGeom>
                  </pic:spPr>
                </pic:pic>
              </a:graphicData>
            </a:graphic>
          </wp:inline>
        </w:drawing>
      </w:r>
    </w:p>
    <w:p w14:paraId="52C63377" w14:textId="580E680A" w:rsidR="00340071" w:rsidRPr="008B66F3" w:rsidRDefault="00340071" w:rsidP="00340071">
      <w:pPr>
        <w:spacing w:line="360" w:lineRule="auto"/>
        <w:ind w:firstLine="560"/>
        <w:jc w:val="center"/>
        <w:rPr>
          <w:rFonts w:ascii="仿宋" w:eastAsia="仿宋" w:hAnsi="仿宋" w:hint="eastAsia"/>
          <w:bCs/>
          <w:color w:val="EE0000"/>
        </w:rPr>
      </w:pPr>
      <w:r w:rsidRPr="00340071">
        <w:rPr>
          <w:rFonts w:ascii="仿宋" w:eastAsia="仿宋" w:hAnsi="仿宋" w:hint="eastAsia"/>
          <w:bCs/>
          <w:color w:val="EE0000"/>
        </w:rPr>
        <w:t>来源：《进一步改善护理服务行动计划（2023-2025年）》</w:t>
      </w:r>
    </w:p>
    <w:p w14:paraId="3DE8A253" w14:textId="754D8E89" w:rsidR="0091709B" w:rsidRPr="0091709B" w:rsidRDefault="0091709B" w:rsidP="0091709B">
      <w:pPr>
        <w:spacing w:line="360" w:lineRule="auto"/>
        <w:ind w:firstLine="560"/>
        <w:rPr>
          <w:rFonts w:ascii="仿宋" w:eastAsia="仿宋" w:hAnsi="仿宋" w:hint="eastAsia"/>
          <w:bCs/>
          <w:color w:val="EE0000"/>
        </w:rPr>
      </w:pPr>
      <w:r w:rsidRPr="0091709B">
        <w:rPr>
          <w:rFonts w:ascii="仿宋" w:eastAsia="仿宋" w:hAnsi="仿宋" w:hint="eastAsia"/>
          <w:bCs/>
          <w:color w:val="EE0000"/>
        </w:rPr>
        <w:t>2.评价指标</w:t>
      </w:r>
    </w:p>
    <w:p w14:paraId="77996F9C" w14:textId="4CD59794" w:rsidR="00A10F3C" w:rsidRDefault="0091709B" w:rsidP="0091709B">
      <w:pPr>
        <w:spacing w:line="360" w:lineRule="auto"/>
        <w:ind w:firstLine="560"/>
        <w:rPr>
          <w:rFonts w:ascii="仿宋" w:eastAsia="仿宋" w:hAnsi="仿宋" w:hint="eastAsia"/>
          <w:bCs/>
          <w:color w:val="EE0000"/>
        </w:rPr>
      </w:pPr>
      <w:r w:rsidRPr="0091709B">
        <w:rPr>
          <w:rFonts w:ascii="仿宋" w:eastAsia="仿宋" w:hAnsi="仿宋" w:hint="eastAsia"/>
          <w:bCs/>
          <w:color w:val="EE0000"/>
        </w:rPr>
        <w:lastRenderedPageBreak/>
        <w:t>依据《骨科护理质量标准与质量监测指标(2017版)》</w:t>
      </w:r>
      <w:r w:rsidR="00A36F07">
        <w:rPr>
          <w:rFonts w:ascii="仿宋" w:eastAsia="仿宋" w:hAnsi="仿宋" w:hint="eastAsia"/>
          <w:bCs/>
          <w:color w:val="EE0000"/>
        </w:rPr>
        <w:t>《</w:t>
      </w:r>
      <w:r w:rsidR="00A36F07" w:rsidRPr="00A36F07">
        <w:rPr>
          <w:rFonts w:ascii="仿宋" w:eastAsia="仿宋" w:hAnsi="仿宋" w:hint="eastAsia"/>
          <w:bCs/>
          <w:color w:val="EE0000"/>
        </w:rPr>
        <w:t>骨科康复护理质量评价指标的构建</w:t>
      </w:r>
      <w:r w:rsidR="00A36F07">
        <w:rPr>
          <w:rFonts w:ascii="仿宋" w:eastAsia="仿宋" w:hAnsi="仿宋" w:hint="eastAsia"/>
          <w:bCs/>
          <w:color w:val="EE0000"/>
        </w:rPr>
        <w:t>》等文献，</w:t>
      </w:r>
      <w:r w:rsidRPr="0091709B">
        <w:rPr>
          <w:rFonts w:ascii="仿宋" w:eastAsia="仿宋" w:hAnsi="仿宋" w:hint="eastAsia"/>
          <w:bCs/>
          <w:color w:val="EE0000"/>
        </w:rPr>
        <w:t>并遵循“结构-过程-结果”质量管理理论，构建了包含3个一级指标、14个二级指标及69条具体评价内容的指标体系。该结构化、层级化的设计确保了评价的系统性与科学性。</w:t>
      </w:r>
      <w:r w:rsidR="00EC5856" w:rsidRPr="00EC5856">
        <w:rPr>
          <w:rFonts w:ascii="仿宋" w:eastAsia="仿宋" w:hAnsi="仿宋" w:hint="eastAsia"/>
          <w:bCs/>
          <w:color w:val="EE0000"/>
        </w:rPr>
        <w:t>为最大限度地提升评价工具的可操作性与统一性，所有3个一级指标、14个二级指标及对应的69条具体评价内容、评价要点、评价方法，均已系统性地整合并以规范性表格形式列于附录A《骨科护理质量评价表》中。该表格的设计遵循“清晰、简便、可追溯”原则，评价者可直接依据表格进行逐项核查与判断，极大减少了评价过程中的主观歧义，保障了评价结果的一致性与可比性，为各级医疗机构开展内部或同质化质量评价提供了标准化工具</w:t>
      </w:r>
      <w:r w:rsidRPr="0091709B">
        <w:rPr>
          <w:rFonts w:ascii="仿宋" w:eastAsia="仿宋" w:hAnsi="仿宋" w:hint="eastAsia"/>
          <w:bCs/>
          <w:color w:val="EE0000"/>
        </w:rPr>
        <w:t>。</w:t>
      </w:r>
    </w:p>
    <w:p w14:paraId="123CD054" w14:textId="57CEB679" w:rsidR="009D77AD" w:rsidRPr="0091709B" w:rsidRDefault="009D77AD" w:rsidP="0091709B">
      <w:pPr>
        <w:spacing w:line="360" w:lineRule="auto"/>
        <w:ind w:firstLine="560"/>
        <w:rPr>
          <w:rFonts w:ascii="仿宋" w:eastAsia="仿宋" w:hAnsi="仿宋" w:hint="eastAsia"/>
          <w:bCs/>
          <w:color w:val="EE0000"/>
        </w:rPr>
      </w:pPr>
      <w:r w:rsidRPr="009D77AD">
        <w:rPr>
          <w:rFonts w:ascii="仿宋" w:eastAsia="仿宋" w:hAnsi="仿宋" w:hint="eastAsia"/>
          <w:bCs/>
          <w:color w:val="EE0000"/>
        </w:rPr>
        <w:t>该指标体系已在各主要起草单位进行了为期半年的临床试用与验证。202</w:t>
      </w:r>
      <w:r w:rsidR="00FC6FC9">
        <w:rPr>
          <w:rFonts w:ascii="仿宋" w:eastAsia="仿宋" w:hAnsi="仿宋" w:hint="eastAsia"/>
          <w:bCs/>
          <w:color w:val="EE0000"/>
        </w:rPr>
        <w:t>4</w:t>
      </w:r>
      <w:r w:rsidRPr="009D77AD">
        <w:rPr>
          <w:rFonts w:ascii="仿宋" w:eastAsia="仿宋" w:hAnsi="仿宋" w:hint="eastAsia"/>
          <w:bCs/>
          <w:color w:val="EE0000"/>
        </w:rPr>
        <w:t>年，中山大学附属第一医院广西医院、柳州市人民医院、南宁市第一人民医院的骨科病区，累计应用此评价工具完成内部质量评价超过40次，收集有效评价数据超500份。通过试用反馈，编制组对其中8条指标的评价要点进行了细化明确，对3条临床收集依从性较低的指标进行了简化或替换，使整体指标体系更具可操作性。试用结果显示，该工具能有效识别流程薄弱环节，例如在中山大学附属第一医院广西医院的试点中，通过评价发现并系统改进了围手术期健康教育内容碎片化的问题，使该院骨科患者术前准备知晓率从试点前的78%提升至93%。</w:t>
      </w: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8"/>
      </w:tblGrid>
      <w:tr w:rsidR="0091709B" w:rsidRPr="0091709B" w14:paraId="27ADDD47" w14:textId="77777777" w:rsidTr="009D2391">
        <w:tc>
          <w:tcPr>
            <w:tcW w:w="8948" w:type="dxa"/>
            <w:vAlign w:val="center"/>
          </w:tcPr>
          <w:p w14:paraId="269E72FB" w14:textId="72E4F765" w:rsidR="0091709B" w:rsidRPr="0091709B" w:rsidRDefault="0091709B" w:rsidP="00A36F07">
            <w:pPr>
              <w:spacing w:line="360" w:lineRule="auto"/>
              <w:ind w:firstLineChars="0" w:firstLine="0"/>
              <w:jc w:val="center"/>
              <w:rPr>
                <w:rFonts w:ascii="仿宋" w:eastAsia="仿宋" w:hAnsi="仿宋" w:hint="eastAsia"/>
                <w:bCs/>
                <w:color w:val="EE0000"/>
              </w:rPr>
            </w:pPr>
            <w:r w:rsidRPr="0091709B">
              <w:rPr>
                <w:noProof/>
                <w:color w:val="EE0000"/>
              </w:rPr>
              <w:lastRenderedPageBreak/>
              <w:drawing>
                <wp:inline distT="0" distB="0" distL="0" distR="0" wp14:anchorId="49A2B9C5" wp14:editId="0F13AD1A">
                  <wp:extent cx="2689860" cy="3352800"/>
                  <wp:effectExtent l="0" t="0" r="0" b="0"/>
                  <wp:docPr id="1134190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038494" name="图片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89860" cy="3352800"/>
                          </a:xfrm>
                          <a:prstGeom prst="rect">
                            <a:avLst/>
                          </a:prstGeom>
                        </pic:spPr>
                      </pic:pic>
                    </a:graphicData>
                  </a:graphic>
                </wp:inline>
              </w:drawing>
            </w:r>
          </w:p>
        </w:tc>
      </w:tr>
      <w:tr w:rsidR="0091709B" w:rsidRPr="0091709B" w14:paraId="5434FA0D" w14:textId="77777777" w:rsidTr="009D2391">
        <w:tc>
          <w:tcPr>
            <w:tcW w:w="8948" w:type="dxa"/>
            <w:vAlign w:val="center"/>
          </w:tcPr>
          <w:p w14:paraId="540EBB51" w14:textId="624F72F1" w:rsidR="0091709B" w:rsidRPr="0091709B" w:rsidRDefault="0091709B" w:rsidP="0091709B">
            <w:pPr>
              <w:spacing w:line="360" w:lineRule="auto"/>
              <w:ind w:firstLineChars="0" w:firstLine="0"/>
              <w:jc w:val="center"/>
              <w:rPr>
                <w:rFonts w:ascii="仿宋" w:eastAsia="仿宋" w:hAnsi="仿宋" w:hint="eastAsia"/>
                <w:bCs/>
                <w:color w:val="EE0000"/>
              </w:rPr>
            </w:pPr>
            <w:r w:rsidRPr="0091709B">
              <w:rPr>
                <w:noProof/>
                <w:color w:val="EE0000"/>
              </w:rPr>
              <w:drawing>
                <wp:inline distT="0" distB="0" distL="0" distR="0" wp14:anchorId="04AB2C62" wp14:editId="1DA99DB3">
                  <wp:extent cx="2654974" cy="3681454"/>
                  <wp:effectExtent l="0" t="0" r="0" b="0"/>
                  <wp:docPr id="17854060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209653" name="图片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55992" cy="3682865"/>
                          </a:xfrm>
                          <a:prstGeom prst="rect">
                            <a:avLst/>
                          </a:prstGeom>
                        </pic:spPr>
                      </pic:pic>
                    </a:graphicData>
                  </a:graphic>
                </wp:inline>
              </w:drawing>
            </w:r>
          </w:p>
        </w:tc>
      </w:tr>
      <w:tr w:rsidR="009D2391" w:rsidRPr="0091709B" w14:paraId="7A27C4AB" w14:textId="77777777" w:rsidTr="009D2391">
        <w:tc>
          <w:tcPr>
            <w:tcW w:w="8948" w:type="dxa"/>
            <w:vAlign w:val="center"/>
          </w:tcPr>
          <w:p w14:paraId="58DB8FC8" w14:textId="0F85E08B" w:rsidR="00A36F07" w:rsidRPr="0091709B" w:rsidRDefault="00A36F07" w:rsidP="00A36F07">
            <w:pPr>
              <w:spacing w:line="360" w:lineRule="auto"/>
              <w:ind w:firstLineChars="0" w:firstLine="0"/>
              <w:jc w:val="center"/>
              <w:rPr>
                <w:rFonts w:hint="eastAsia"/>
                <w:noProof/>
                <w:color w:val="EE0000"/>
              </w:rPr>
            </w:pPr>
            <w:r>
              <w:rPr>
                <w:noProof/>
              </w:rPr>
              <w:lastRenderedPageBreak/>
              <w:drawing>
                <wp:inline distT="0" distB="0" distL="0" distR="0" wp14:anchorId="3676DE2F" wp14:editId="09368C1E">
                  <wp:extent cx="2955290" cy="3843020"/>
                  <wp:effectExtent l="0" t="0" r="0" b="5080"/>
                  <wp:docPr id="5978731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873187" name=""/>
                          <pic:cNvPicPr/>
                        </pic:nvPicPr>
                        <pic:blipFill>
                          <a:blip r:embed="rId12">
                            <a:extLst>
                              <a:ext uri="{28A0092B-C50C-407E-A947-70E740481C1C}">
                                <a14:useLocalDpi xmlns:a14="http://schemas.microsoft.com/office/drawing/2010/main" val="0"/>
                              </a:ext>
                            </a:extLst>
                          </a:blip>
                          <a:stretch>
                            <a:fillRect/>
                          </a:stretch>
                        </pic:blipFill>
                        <pic:spPr>
                          <a:xfrm>
                            <a:off x="0" y="0"/>
                            <a:ext cx="2955290" cy="3843020"/>
                          </a:xfrm>
                          <a:prstGeom prst="rect">
                            <a:avLst/>
                          </a:prstGeom>
                        </pic:spPr>
                      </pic:pic>
                    </a:graphicData>
                  </a:graphic>
                </wp:inline>
              </w:drawing>
            </w:r>
          </w:p>
        </w:tc>
      </w:tr>
      <w:tr w:rsidR="009D2391" w:rsidRPr="0091709B" w14:paraId="3397D3DE" w14:textId="77777777" w:rsidTr="009D2391">
        <w:tc>
          <w:tcPr>
            <w:tcW w:w="8948" w:type="dxa"/>
            <w:vAlign w:val="center"/>
          </w:tcPr>
          <w:p w14:paraId="62B0CC3B" w14:textId="77D23E65" w:rsidR="009D2391" w:rsidRPr="0091709B" w:rsidRDefault="009D2391" w:rsidP="00A36F07">
            <w:pPr>
              <w:spacing w:line="360" w:lineRule="auto"/>
              <w:ind w:firstLineChars="0" w:firstLine="0"/>
              <w:rPr>
                <w:rFonts w:hint="eastAsia"/>
                <w:noProof/>
                <w:color w:val="EE0000"/>
              </w:rPr>
            </w:pPr>
          </w:p>
        </w:tc>
      </w:tr>
      <w:tr w:rsidR="009D2391" w:rsidRPr="0091709B" w14:paraId="48EF01D3" w14:textId="77777777" w:rsidTr="009D2391">
        <w:tc>
          <w:tcPr>
            <w:tcW w:w="8948" w:type="dxa"/>
            <w:vAlign w:val="center"/>
          </w:tcPr>
          <w:p w14:paraId="10111F62" w14:textId="77777777" w:rsidR="009D2391" w:rsidRDefault="009D2391" w:rsidP="0091709B">
            <w:pPr>
              <w:spacing w:line="360" w:lineRule="auto"/>
              <w:ind w:firstLineChars="0" w:firstLine="0"/>
              <w:jc w:val="center"/>
              <w:rPr>
                <w:rFonts w:hint="eastAsia"/>
                <w:noProof/>
                <w:color w:val="EE0000"/>
              </w:rPr>
            </w:pPr>
            <w:r>
              <w:rPr>
                <w:noProof/>
              </w:rPr>
              <w:drawing>
                <wp:anchor distT="0" distB="0" distL="114300" distR="114300" simplePos="0" relativeHeight="251684864" behindDoc="0" locked="0" layoutInCell="1" allowOverlap="1" wp14:anchorId="005A5B32" wp14:editId="2F4E7A3F">
                  <wp:simplePos x="0" y="0"/>
                  <wp:positionH relativeFrom="column">
                    <wp:posOffset>1181735</wp:posOffset>
                  </wp:positionH>
                  <wp:positionV relativeFrom="paragraph">
                    <wp:posOffset>-3279775</wp:posOffset>
                  </wp:positionV>
                  <wp:extent cx="2679065" cy="3277870"/>
                  <wp:effectExtent l="0" t="0" r="6985" b="0"/>
                  <wp:wrapTopAndBottom/>
                  <wp:docPr id="5699985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998554" name=""/>
                          <pic:cNvPicPr/>
                        </pic:nvPicPr>
                        <pic:blipFill>
                          <a:blip r:embed="rId13"/>
                          <a:stretch>
                            <a:fillRect/>
                          </a:stretch>
                        </pic:blipFill>
                        <pic:spPr>
                          <a:xfrm>
                            <a:off x="0" y="0"/>
                            <a:ext cx="2679065" cy="3277870"/>
                          </a:xfrm>
                          <a:prstGeom prst="rect">
                            <a:avLst/>
                          </a:prstGeom>
                        </pic:spPr>
                      </pic:pic>
                    </a:graphicData>
                  </a:graphic>
                  <wp14:sizeRelH relativeFrom="margin">
                    <wp14:pctWidth>0</wp14:pctWidth>
                  </wp14:sizeRelH>
                  <wp14:sizeRelV relativeFrom="margin">
                    <wp14:pctHeight>0</wp14:pctHeight>
                  </wp14:sizeRelV>
                </wp:anchor>
              </w:drawing>
            </w:r>
            <w:r w:rsidRPr="009D2391">
              <w:rPr>
                <w:rFonts w:hint="eastAsia"/>
                <w:noProof/>
                <w:color w:val="EE0000"/>
              </w:rPr>
              <w:t>来源：《骨科护理质量标准与质量监测指标(2017版)》</w:t>
            </w:r>
          </w:p>
          <w:p w14:paraId="06B77D56" w14:textId="77777777" w:rsidR="00EC5856" w:rsidRDefault="00EC5856" w:rsidP="0091709B">
            <w:pPr>
              <w:spacing w:line="360" w:lineRule="auto"/>
              <w:ind w:firstLineChars="0" w:firstLine="0"/>
              <w:jc w:val="center"/>
              <w:rPr>
                <w:rFonts w:hint="eastAsia"/>
                <w:noProof/>
                <w:color w:val="EE0000"/>
              </w:rPr>
            </w:pPr>
            <w:r>
              <w:rPr>
                <w:noProof/>
              </w:rPr>
              <w:lastRenderedPageBreak/>
              <w:drawing>
                <wp:inline distT="0" distB="0" distL="0" distR="0" wp14:anchorId="01C5744B" wp14:editId="11425292">
                  <wp:extent cx="3558284" cy="1367624"/>
                  <wp:effectExtent l="0" t="0" r="4445" b="4445"/>
                  <wp:docPr id="19541233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123336" name=""/>
                          <pic:cNvPicPr/>
                        </pic:nvPicPr>
                        <pic:blipFill>
                          <a:blip r:embed="rId14">
                            <a:extLst>
                              <a:ext uri="{28A0092B-C50C-407E-A947-70E740481C1C}">
                                <a14:useLocalDpi xmlns:a14="http://schemas.microsoft.com/office/drawing/2010/main" val="0"/>
                              </a:ext>
                            </a:extLst>
                          </a:blip>
                          <a:stretch>
                            <a:fillRect/>
                          </a:stretch>
                        </pic:blipFill>
                        <pic:spPr>
                          <a:xfrm>
                            <a:off x="0" y="0"/>
                            <a:ext cx="3611054" cy="1387906"/>
                          </a:xfrm>
                          <a:prstGeom prst="rect">
                            <a:avLst/>
                          </a:prstGeom>
                        </pic:spPr>
                      </pic:pic>
                    </a:graphicData>
                  </a:graphic>
                </wp:inline>
              </w:drawing>
            </w:r>
          </w:p>
          <w:p w14:paraId="0E5AB671" w14:textId="77777777" w:rsidR="00EC5856" w:rsidRDefault="00EC5856" w:rsidP="0091709B">
            <w:pPr>
              <w:spacing w:line="360" w:lineRule="auto"/>
              <w:ind w:firstLineChars="0" w:firstLine="0"/>
              <w:jc w:val="center"/>
              <w:rPr>
                <w:rFonts w:hint="eastAsia"/>
                <w:noProof/>
                <w:color w:val="EE0000"/>
              </w:rPr>
            </w:pPr>
            <w:r>
              <w:rPr>
                <w:noProof/>
              </w:rPr>
              <w:drawing>
                <wp:inline distT="0" distB="0" distL="0" distR="0" wp14:anchorId="635FBF02" wp14:editId="07C0BC88">
                  <wp:extent cx="3187615" cy="3132814"/>
                  <wp:effectExtent l="0" t="0" r="0" b="0"/>
                  <wp:docPr id="1388345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345690" name=""/>
                          <pic:cNvPicPr/>
                        </pic:nvPicPr>
                        <pic:blipFill>
                          <a:blip r:embed="rId15">
                            <a:extLst>
                              <a:ext uri="{28A0092B-C50C-407E-A947-70E740481C1C}">
                                <a14:useLocalDpi xmlns:a14="http://schemas.microsoft.com/office/drawing/2010/main" val="0"/>
                              </a:ext>
                            </a:extLst>
                          </a:blip>
                          <a:stretch>
                            <a:fillRect/>
                          </a:stretch>
                        </pic:blipFill>
                        <pic:spPr>
                          <a:xfrm>
                            <a:off x="0" y="0"/>
                            <a:ext cx="3213373" cy="3158130"/>
                          </a:xfrm>
                          <a:prstGeom prst="rect">
                            <a:avLst/>
                          </a:prstGeom>
                        </pic:spPr>
                      </pic:pic>
                    </a:graphicData>
                  </a:graphic>
                </wp:inline>
              </w:drawing>
            </w:r>
          </w:p>
          <w:p w14:paraId="29255177" w14:textId="77777777" w:rsidR="00EC5856" w:rsidRDefault="00EC5856" w:rsidP="0091709B">
            <w:pPr>
              <w:spacing w:line="360" w:lineRule="auto"/>
              <w:ind w:firstLineChars="0" w:firstLine="0"/>
              <w:jc w:val="center"/>
              <w:rPr>
                <w:noProof/>
                <w:color w:val="EE0000"/>
              </w:rPr>
            </w:pPr>
            <w:r w:rsidRPr="00EC5856">
              <w:rPr>
                <w:rFonts w:hint="eastAsia"/>
                <w:noProof/>
                <w:color w:val="EE0000"/>
              </w:rPr>
              <w:t>来源：《骨科康复护理质量评价指标的构建</w:t>
            </w:r>
            <w:r>
              <w:rPr>
                <w:rFonts w:hint="eastAsia"/>
                <w:noProof/>
                <w:color w:val="EE0000"/>
              </w:rPr>
              <w:t>》</w:t>
            </w:r>
          </w:p>
          <w:p w14:paraId="4BE7201E" w14:textId="5E7D3F37" w:rsidR="00D16775" w:rsidRDefault="00D16775" w:rsidP="0091709B">
            <w:pPr>
              <w:spacing w:line="360" w:lineRule="auto"/>
              <w:ind w:firstLineChars="0" w:firstLine="0"/>
              <w:jc w:val="center"/>
              <w:rPr>
                <w:noProof/>
                <w:color w:val="EE0000"/>
              </w:rPr>
            </w:pPr>
            <w:r>
              <w:rPr>
                <w:noProof/>
              </w:rPr>
              <w:drawing>
                <wp:inline distT="0" distB="0" distL="0" distR="0" wp14:anchorId="05EEFDF8" wp14:editId="7ABADDBA">
                  <wp:extent cx="5113020" cy="3339616"/>
                  <wp:effectExtent l="0" t="0" r="0" b="0"/>
                  <wp:docPr id="12143506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350619" name=""/>
                          <pic:cNvPicPr/>
                        </pic:nvPicPr>
                        <pic:blipFill>
                          <a:blip r:embed="rId16"/>
                          <a:stretch>
                            <a:fillRect/>
                          </a:stretch>
                        </pic:blipFill>
                        <pic:spPr>
                          <a:xfrm>
                            <a:off x="0" y="0"/>
                            <a:ext cx="5120302" cy="3344372"/>
                          </a:xfrm>
                          <a:prstGeom prst="rect">
                            <a:avLst/>
                          </a:prstGeom>
                        </pic:spPr>
                      </pic:pic>
                    </a:graphicData>
                  </a:graphic>
                </wp:inline>
              </w:drawing>
            </w:r>
          </w:p>
          <w:p w14:paraId="1FC64F04" w14:textId="77777777" w:rsidR="00D16775" w:rsidRDefault="00D16775" w:rsidP="0091709B">
            <w:pPr>
              <w:spacing w:line="360" w:lineRule="auto"/>
              <w:ind w:firstLineChars="0" w:firstLine="0"/>
              <w:jc w:val="center"/>
              <w:rPr>
                <w:noProof/>
                <w:color w:val="EE0000"/>
              </w:rPr>
            </w:pPr>
          </w:p>
          <w:p w14:paraId="33E6E40C" w14:textId="28FC07B8" w:rsidR="00D16775" w:rsidRDefault="00D16775" w:rsidP="0091709B">
            <w:pPr>
              <w:spacing w:line="360" w:lineRule="auto"/>
              <w:ind w:firstLineChars="0" w:firstLine="0"/>
              <w:jc w:val="center"/>
              <w:rPr>
                <w:noProof/>
                <w:color w:val="EE0000"/>
              </w:rPr>
            </w:pPr>
            <w:r>
              <w:rPr>
                <w:noProof/>
              </w:rPr>
              <w:lastRenderedPageBreak/>
              <w:drawing>
                <wp:inline distT="0" distB="0" distL="0" distR="0" wp14:anchorId="67C0DCB5" wp14:editId="6CDFF4CD">
                  <wp:extent cx="5688330" cy="3459480"/>
                  <wp:effectExtent l="0" t="0" r="7620" b="7620"/>
                  <wp:docPr id="5314561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456186" name=""/>
                          <pic:cNvPicPr/>
                        </pic:nvPicPr>
                        <pic:blipFill>
                          <a:blip r:embed="rId17"/>
                          <a:stretch>
                            <a:fillRect/>
                          </a:stretch>
                        </pic:blipFill>
                        <pic:spPr>
                          <a:xfrm>
                            <a:off x="0" y="0"/>
                            <a:ext cx="5688330" cy="3459480"/>
                          </a:xfrm>
                          <a:prstGeom prst="rect">
                            <a:avLst/>
                          </a:prstGeom>
                        </pic:spPr>
                      </pic:pic>
                    </a:graphicData>
                  </a:graphic>
                </wp:inline>
              </w:drawing>
            </w:r>
          </w:p>
          <w:p w14:paraId="4A5F6693" w14:textId="0947253E" w:rsidR="00D16775" w:rsidRPr="0091709B" w:rsidRDefault="00D16775" w:rsidP="00D16775">
            <w:pPr>
              <w:spacing w:line="360" w:lineRule="auto"/>
              <w:ind w:firstLineChars="0" w:firstLine="0"/>
              <w:jc w:val="center"/>
              <w:rPr>
                <w:rFonts w:hint="eastAsia"/>
                <w:noProof/>
                <w:color w:val="EE0000"/>
              </w:rPr>
            </w:pPr>
            <w:r w:rsidRPr="00EC5856">
              <w:rPr>
                <w:rFonts w:hint="eastAsia"/>
                <w:noProof/>
                <w:color w:val="EE0000"/>
              </w:rPr>
              <w:t>来源：《</w:t>
            </w:r>
            <w:r w:rsidRPr="00D16775">
              <w:rPr>
                <w:rFonts w:hint="eastAsia"/>
                <w:noProof/>
                <w:color w:val="EE0000"/>
              </w:rPr>
              <w:t>中山大学附属第一医院骨科健康宣教单</w:t>
            </w:r>
            <w:r>
              <w:rPr>
                <w:rFonts w:hint="eastAsia"/>
                <w:noProof/>
                <w:color w:val="EE0000"/>
              </w:rPr>
              <w:t>》</w:t>
            </w:r>
          </w:p>
        </w:tc>
      </w:tr>
    </w:tbl>
    <w:p w14:paraId="5CA32F09" w14:textId="35FFB21E" w:rsidR="00A10F3C" w:rsidRDefault="00000000">
      <w:pPr>
        <w:spacing w:line="360" w:lineRule="auto"/>
        <w:ind w:firstLine="562"/>
        <w:rPr>
          <w:rFonts w:ascii="仿宋" w:eastAsia="仿宋" w:hAnsi="仿宋" w:hint="eastAsia"/>
          <w:b/>
        </w:rPr>
      </w:pPr>
      <w:r>
        <w:rPr>
          <w:rFonts w:ascii="仿宋" w:eastAsia="仿宋" w:hAnsi="仿宋"/>
          <w:b/>
        </w:rPr>
        <w:lastRenderedPageBreak/>
        <w:t>（五）评价实施</w:t>
      </w:r>
    </w:p>
    <w:p w14:paraId="2085087A" w14:textId="6A091A37" w:rsidR="008F7F30" w:rsidRPr="008F7F30" w:rsidRDefault="009D2391" w:rsidP="008F7F30">
      <w:pPr>
        <w:spacing w:line="360" w:lineRule="auto"/>
        <w:ind w:firstLine="562"/>
        <w:rPr>
          <w:rFonts w:ascii="仿宋" w:eastAsia="仿宋" w:hAnsi="仿宋" w:hint="eastAsia"/>
          <w:bCs/>
          <w:color w:val="EE0000"/>
        </w:rPr>
      </w:pPr>
      <w:r w:rsidRPr="009D2391">
        <w:rPr>
          <w:rFonts w:ascii="仿宋" w:eastAsia="仿宋" w:hAnsi="仿宋"/>
          <w:b/>
          <w:bCs/>
          <w:color w:val="EE0000"/>
        </w:rPr>
        <w:t>1.评价实施</w:t>
      </w:r>
    </w:p>
    <w:p w14:paraId="24C8F8F8" w14:textId="3F6DE4D8" w:rsidR="009D2391" w:rsidRDefault="009D2391" w:rsidP="008F7F30">
      <w:pPr>
        <w:spacing w:line="360" w:lineRule="auto"/>
        <w:ind w:firstLine="560"/>
        <w:rPr>
          <w:rFonts w:ascii="仿宋" w:eastAsia="仿宋" w:hAnsi="仿宋" w:hint="eastAsia"/>
          <w:bCs/>
          <w:color w:val="EE0000"/>
        </w:rPr>
      </w:pPr>
      <w:r w:rsidRPr="009D2391">
        <w:rPr>
          <w:rFonts w:ascii="仿宋" w:eastAsia="仿宋" w:hAnsi="仿宋"/>
          <w:bCs/>
          <w:color w:val="EE0000"/>
        </w:rPr>
        <w:t>依据《骨科护理质量标准与质量监测指标(2017版)》并参考</w:t>
      </w:r>
      <w:r w:rsidR="008F7F30" w:rsidRPr="008F7F30">
        <w:rPr>
          <w:rFonts w:ascii="仿宋" w:eastAsia="仿宋" w:hAnsi="仿宋" w:hint="eastAsia"/>
          <w:bCs/>
          <w:color w:val="EE0000"/>
        </w:rPr>
        <w:t>中山大学附属第一医院广西医院的</w:t>
      </w:r>
      <w:r w:rsidRPr="009D2391">
        <w:rPr>
          <w:rFonts w:ascii="仿宋" w:eastAsia="仿宋" w:hAnsi="仿宋"/>
          <w:bCs/>
          <w:color w:val="EE0000"/>
        </w:rPr>
        <w:t>管理实践，本文件规定了以“是/否”判定为基础的评价方法，并</w:t>
      </w:r>
      <w:r w:rsidR="008F7F30" w:rsidRPr="008F7F30">
        <w:rPr>
          <w:rFonts w:ascii="仿宋" w:eastAsia="仿宋" w:hAnsi="仿宋" w:hint="eastAsia"/>
          <w:bCs/>
          <w:color w:val="EE0000"/>
        </w:rPr>
        <w:t>充分考虑了“不适用”的情况，</w:t>
      </w:r>
      <w:r w:rsidRPr="009D2391">
        <w:rPr>
          <w:rFonts w:ascii="仿宋" w:eastAsia="仿宋" w:hAnsi="仿宋"/>
          <w:bCs/>
          <w:color w:val="EE0000"/>
        </w:rPr>
        <w:t>制定了具体的评价表格。采用</w:t>
      </w:r>
      <w:r w:rsidR="008F7F30" w:rsidRPr="008F7F30">
        <w:rPr>
          <w:rFonts w:ascii="仿宋" w:eastAsia="仿宋" w:hAnsi="仿宋" w:hint="eastAsia"/>
          <w:bCs/>
          <w:color w:val="EE0000"/>
        </w:rPr>
        <w:t>该</w:t>
      </w:r>
      <w:r w:rsidRPr="009D2391">
        <w:rPr>
          <w:rFonts w:ascii="仿宋" w:eastAsia="仿宋" w:hAnsi="仿宋"/>
          <w:bCs/>
          <w:color w:val="EE0000"/>
        </w:rPr>
        <w:t>判定方式，能够清晰、客观地确认各项护理措施或标准的执行情况，有效减少因评价人员主观理解差异造成的评分偏差，确保评价结果的一致性与可靠性。</w:t>
      </w:r>
    </w:p>
    <w:p w14:paraId="2B62599E" w14:textId="7E1E1719" w:rsidR="009D77AD" w:rsidRPr="009D2391" w:rsidRDefault="009D77AD" w:rsidP="008F7F30">
      <w:pPr>
        <w:spacing w:line="360" w:lineRule="auto"/>
        <w:ind w:firstLine="560"/>
        <w:rPr>
          <w:rFonts w:ascii="仿宋" w:eastAsia="仿宋" w:hAnsi="仿宋" w:hint="eastAsia"/>
          <w:b/>
          <w:bCs/>
          <w:color w:val="EE0000"/>
        </w:rPr>
      </w:pPr>
      <w:r w:rsidRPr="009D77AD">
        <w:rPr>
          <w:rFonts w:ascii="仿宋" w:eastAsia="仿宋" w:hAnsi="仿宋" w:hint="eastAsia"/>
          <w:bCs/>
          <w:color w:val="EE0000"/>
        </w:rPr>
        <w:t>自评价体系在各起草单位试运行以来，已初步形成常态化的质量监测机制。以202</w:t>
      </w:r>
      <w:r w:rsidR="00C25438">
        <w:rPr>
          <w:rFonts w:ascii="仿宋" w:eastAsia="仿宋" w:hAnsi="仿宋" w:hint="eastAsia"/>
          <w:bCs/>
          <w:color w:val="EE0000"/>
        </w:rPr>
        <w:t>4</w:t>
      </w:r>
      <w:r w:rsidRPr="009D77AD">
        <w:rPr>
          <w:rFonts w:ascii="仿宋" w:eastAsia="仿宋" w:hAnsi="仿宋" w:hint="eastAsia"/>
          <w:bCs/>
          <w:color w:val="EE0000"/>
        </w:rPr>
        <w:t>年第</w:t>
      </w:r>
      <w:r w:rsidR="00C25438">
        <w:rPr>
          <w:rFonts w:ascii="仿宋" w:eastAsia="仿宋" w:hAnsi="仿宋" w:hint="eastAsia"/>
          <w:bCs/>
          <w:color w:val="EE0000"/>
        </w:rPr>
        <w:t>三</w:t>
      </w:r>
      <w:r w:rsidRPr="009D77AD">
        <w:rPr>
          <w:rFonts w:ascii="仿宋" w:eastAsia="仿宋" w:hAnsi="仿宋" w:hint="eastAsia"/>
          <w:bCs/>
          <w:color w:val="EE0000"/>
        </w:rPr>
        <w:t>、</w:t>
      </w:r>
      <w:r w:rsidR="00C25438">
        <w:rPr>
          <w:rFonts w:ascii="仿宋" w:eastAsia="仿宋" w:hAnsi="仿宋" w:hint="eastAsia"/>
          <w:bCs/>
          <w:color w:val="EE0000"/>
        </w:rPr>
        <w:t>四</w:t>
      </w:r>
      <w:r w:rsidRPr="009D77AD">
        <w:rPr>
          <w:rFonts w:ascii="仿宋" w:eastAsia="仿宋" w:hAnsi="仿宋" w:hint="eastAsia"/>
          <w:bCs/>
          <w:color w:val="EE0000"/>
        </w:rPr>
        <w:t>季度为例，中山大学附属第一医院广西医院骨科严格按照每季度1次的周期开展评价2轮，覆盖</w:t>
      </w:r>
      <w:r w:rsidR="00180713">
        <w:rPr>
          <w:rFonts w:ascii="仿宋" w:eastAsia="仿宋" w:hAnsi="仿宋" w:hint="eastAsia"/>
          <w:bCs/>
          <w:color w:val="EE0000"/>
        </w:rPr>
        <w:t>整个</w:t>
      </w:r>
      <w:r w:rsidRPr="009D77AD">
        <w:rPr>
          <w:rFonts w:ascii="仿宋" w:eastAsia="仿宋" w:hAnsi="仿宋" w:hint="eastAsia"/>
          <w:bCs/>
          <w:color w:val="EE0000"/>
        </w:rPr>
        <w:t>骨科病区；广西壮族自治区民族医院骨科同步完成2轮评价，并针对5名新入职</w:t>
      </w:r>
      <w:r w:rsidR="00485BD4">
        <w:rPr>
          <w:rFonts w:ascii="仿宋" w:eastAsia="仿宋" w:hAnsi="仿宋" w:hint="eastAsia"/>
          <w:bCs/>
          <w:color w:val="EE0000"/>
        </w:rPr>
        <w:t>及规培</w:t>
      </w:r>
      <w:r w:rsidRPr="009D77AD">
        <w:rPr>
          <w:rFonts w:ascii="仿宋" w:eastAsia="仿宋" w:hAnsi="仿宋" w:hint="eastAsia"/>
          <w:bCs/>
          <w:color w:val="EE0000"/>
        </w:rPr>
        <w:t>护士增</w:t>
      </w:r>
      <w:r w:rsidRPr="009D77AD">
        <w:rPr>
          <w:rFonts w:ascii="仿宋" w:eastAsia="仿宋" w:hAnsi="仿宋" w:hint="eastAsia"/>
          <w:bCs/>
          <w:color w:val="EE0000"/>
        </w:rPr>
        <w:lastRenderedPageBreak/>
        <w:t>加了每月1次的跟班专项评价。从累计超过200份的科室评价结果初步分析显示，评价总分（S）的分布基本符合“多数达标、部分良好、少量优秀”的管理预期，约65%的科室评价位于“良好”区间（80≤S</w:t>
      </w:r>
      <w:r w:rsidR="00485BD4">
        <w:rPr>
          <w:rFonts w:ascii="仿宋" w:eastAsia="仿宋" w:hAnsi="仿宋" w:hint="eastAsia"/>
          <w:bCs/>
          <w:color w:val="EE0000"/>
        </w:rPr>
        <w:t>＜</w:t>
      </w:r>
      <w:r w:rsidRPr="009D77AD">
        <w:rPr>
          <w:rFonts w:ascii="仿宋" w:eastAsia="仿宋" w:hAnsi="仿宋" w:hint="eastAsia"/>
          <w:bCs/>
          <w:color w:val="EE0000"/>
        </w:rPr>
        <w:t>90），为等级阈值的最终确定提供了现实数据支撑。</w:t>
      </w:r>
    </w:p>
    <w:p w14:paraId="44458FA0" w14:textId="7A3F9E59" w:rsidR="008F7F30" w:rsidRPr="008F7F30" w:rsidRDefault="009D2391" w:rsidP="009D2391">
      <w:pPr>
        <w:spacing w:line="360" w:lineRule="auto"/>
        <w:ind w:firstLine="562"/>
        <w:rPr>
          <w:rFonts w:ascii="仿宋" w:eastAsia="仿宋" w:hAnsi="仿宋" w:hint="eastAsia"/>
          <w:bCs/>
          <w:color w:val="EE0000"/>
        </w:rPr>
      </w:pPr>
      <w:r w:rsidRPr="009D2391">
        <w:rPr>
          <w:rFonts w:ascii="仿宋" w:eastAsia="仿宋" w:hAnsi="仿宋"/>
          <w:b/>
          <w:bCs/>
          <w:color w:val="EE0000"/>
        </w:rPr>
        <w:t>2.结果计算</w:t>
      </w:r>
    </w:p>
    <w:p w14:paraId="4D040D19" w14:textId="651635EE" w:rsidR="009D2391" w:rsidRPr="009D2391" w:rsidRDefault="009D2391" w:rsidP="009D2391">
      <w:pPr>
        <w:spacing w:line="360" w:lineRule="auto"/>
        <w:ind w:firstLine="560"/>
        <w:rPr>
          <w:rFonts w:ascii="仿宋" w:eastAsia="仿宋" w:hAnsi="仿宋" w:hint="eastAsia"/>
          <w:bCs/>
          <w:color w:val="EE0000"/>
        </w:rPr>
      </w:pPr>
      <w:r w:rsidRPr="009D2391">
        <w:rPr>
          <w:rFonts w:ascii="仿宋" w:eastAsia="仿宋" w:hAnsi="仿宋"/>
          <w:bCs/>
          <w:color w:val="EE0000"/>
        </w:rPr>
        <w:t>规定评价总分计算公式为S=y/z。其中，y为评价结果为“是”的项目总数，z为当期所有应评价项目总数。该统一、简洁的量化计算方式，确保了评价结果生成的客观性与可追溯性，使得不同评价周期、不同评价主体之间的结果具有可比性。</w:t>
      </w:r>
    </w:p>
    <w:p w14:paraId="609A0776" w14:textId="201FD915" w:rsidR="008F7F30" w:rsidRPr="008F7F30" w:rsidRDefault="009D2391" w:rsidP="009D2391">
      <w:pPr>
        <w:spacing w:line="360" w:lineRule="auto"/>
        <w:ind w:firstLine="562"/>
        <w:rPr>
          <w:rFonts w:ascii="仿宋" w:eastAsia="仿宋" w:hAnsi="仿宋" w:hint="eastAsia"/>
          <w:bCs/>
          <w:color w:val="EE0000"/>
        </w:rPr>
      </w:pPr>
      <w:r w:rsidRPr="009D2391">
        <w:rPr>
          <w:rFonts w:ascii="仿宋" w:eastAsia="仿宋" w:hAnsi="仿宋"/>
          <w:b/>
          <w:bCs/>
          <w:color w:val="EE0000"/>
        </w:rPr>
        <w:t>3.等级评定</w:t>
      </w:r>
    </w:p>
    <w:p w14:paraId="2F774B1B" w14:textId="75F1099B" w:rsidR="009D2391" w:rsidRPr="009D2391" w:rsidRDefault="009D2391" w:rsidP="009D2391">
      <w:pPr>
        <w:spacing w:line="360" w:lineRule="auto"/>
        <w:ind w:firstLine="560"/>
        <w:rPr>
          <w:rFonts w:ascii="仿宋" w:eastAsia="仿宋" w:hAnsi="仿宋" w:hint="eastAsia"/>
          <w:bCs/>
          <w:color w:val="EE0000"/>
        </w:rPr>
      </w:pPr>
      <w:r w:rsidRPr="009D2391">
        <w:rPr>
          <w:rFonts w:ascii="仿宋" w:eastAsia="仿宋" w:hAnsi="仿宋"/>
          <w:bCs/>
          <w:color w:val="EE0000"/>
        </w:rPr>
        <w:t>为将量化分数转化为直观的</w:t>
      </w:r>
      <w:r w:rsidR="008F7F30" w:rsidRPr="008F7F30">
        <w:rPr>
          <w:rFonts w:ascii="仿宋" w:eastAsia="仿宋" w:hAnsi="仿宋" w:hint="eastAsia"/>
          <w:bCs/>
          <w:color w:val="EE0000"/>
        </w:rPr>
        <w:t>骨科护理</w:t>
      </w:r>
      <w:r w:rsidRPr="009D2391">
        <w:rPr>
          <w:rFonts w:ascii="仿宋" w:eastAsia="仿宋" w:hAnsi="仿宋"/>
          <w:bCs/>
          <w:color w:val="EE0000"/>
        </w:rPr>
        <w:t>质量等级，本文件设定了“优秀”、“良好”、“一般”、“合格”、“不合格”五个评定等级。等级划分旨在为管理决策提供明确依据，其中“合格”等级的设定是确保护理服务达到基本安全与质量要求的底线。等级的阈值设定参考了起草单位既往的内部质量评价经验，并遵循“多数达标、部分良好、少量优秀”的普遍管理原则。</w:t>
      </w:r>
    </w:p>
    <w:p w14:paraId="6EDD5CD1" w14:textId="00D7CA82" w:rsidR="008F7F30" w:rsidRPr="008F7F30" w:rsidRDefault="009D2391" w:rsidP="008F7F30">
      <w:pPr>
        <w:spacing w:line="360" w:lineRule="auto"/>
        <w:ind w:firstLine="562"/>
        <w:rPr>
          <w:rFonts w:ascii="仿宋" w:eastAsia="仿宋" w:hAnsi="仿宋" w:hint="eastAsia"/>
          <w:b/>
          <w:bCs/>
          <w:color w:val="EE0000"/>
        </w:rPr>
      </w:pPr>
      <w:r w:rsidRPr="009D2391">
        <w:rPr>
          <w:rFonts w:ascii="仿宋" w:eastAsia="仿宋" w:hAnsi="仿宋"/>
          <w:b/>
          <w:bCs/>
          <w:color w:val="EE0000"/>
        </w:rPr>
        <w:t>4.评价周期</w:t>
      </w:r>
    </w:p>
    <w:p w14:paraId="0E89082E" w14:textId="053CA44F" w:rsidR="009D2391" w:rsidRPr="009D2391" w:rsidRDefault="009D2391" w:rsidP="008F7F30">
      <w:pPr>
        <w:spacing w:line="360" w:lineRule="auto"/>
        <w:ind w:firstLine="560"/>
        <w:rPr>
          <w:rFonts w:ascii="仿宋" w:eastAsia="仿宋" w:hAnsi="仿宋" w:hint="eastAsia"/>
          <w:bCs/>
          <w:color w:val="EE0000"/>
        </w:rPr>
      </w:pPr>
      <w:r w:rsidRPr="009D2391">
        <w:rPr>
          <w:rFonts w:ascii="仿宋" w:eastAsia="仿宋" w:hAnsi="仿宋"/>
          <w:bCs/>
          <w:color w:val="EE0000"/>
        </w:rPr>
        <w:t>提高骨科护理质量并实现动态监测，建议评价周期为每季度1次。对于新入职的护理人员，应在试用期内适当增加评价频率。此设计旨在建立常态化的质量监测机制，并对新入职人员的能力与患者安全予以审慎关注。</w:t>
      </w:r>
    </w:p>
    <w:p w14:paraId="3C057410" w14:textId="7DC1BFB5" w:rsidR="00A10F3C" w:rsidRDefault="009D2391">
      <w:pPr>
        <w:spacing w:line="360" w:lineRule="auto"/>
        <w:ind w:firstLine="560"/>
        <w:rPr>
          <w:rFonts w:ascii="仿宋" w:eastAsia="仿宋" w:hAnsi="仿宋" w:hint="eastAsia"/>
          <w:bCs/>
        </w:rPr>
      </w:pPr>
      <w:r>
        <w:rPr>
          <w:noProof/>
        </w:rPr>
        <w:lastRenderedPageBreak/>
        <w:drawing>
          <wp:anchor distT="0" distB="0" distL="114300" distR="114300" simplePos="0" relativeHeight="251686912" behindDoc="0" locked="0" layoutInCell="1" allowOverlap="1" wp14:anchorId="29FFF30C" wp14:editId="07E3E641">
            <wp:simplePos x="0" y="0"/>
            <wp:positionH relativeFrom="margin">
              <wp:posOffset>349857</wp:posOffset>
            </wp:positionH>
            <wp:positionV relativeFrom="paragraph">
              <wp:posOffset>393700</wp:posOffset>
            </wp:positionV>
            <wp:extent cx="5010785" cy="5299075"/>
            <wp:effectExtent l="0" t="0" r="0" b="0"/>
            <wp:wrapTopAndBottom/>
            <wp:docPr id="479556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55617" name="图片 1"/>
                    <pic:cNvPicPr>
                      <a:picLocks noChangeAspect="1"/>
                    </pic:cNvPicPr>
                  </pic:nvPicPr>
                  <pic:blipFill>
                    <a:blip r:embed="rId18"/>
                    <a:stretch>
                      <a:fillRect/>
                    </a:stretch>
                  </pic:blipFill>
                  <pic:spPr>
                    <a:xfrm>
                      <a:off x="0" y="0"/>
                      <a:ext cx="5010785" cy="5299075"/>
                    </a:xfrm>
                    <a:prstGeom prst="rect">
                      <a:avLst/>
                    </a:prstGeom>
                  </pic:spPr>
                </pic:pic>
              </a:graphicData>
            </a:graphic>
            <wp14:sizeRelH relativeFrom="margin">
              <wp14:pctWidth>0</wp14:pctWidth>
            </wp14:sizeRelH>
            <wp14:sizeRelV relativeFrom="margin">
              <wp14:pctHeight>0</wp14:pctHeight>
            </wp14:sizeRelV>
          </wp:anchor>
        </w:drawing>
      </w:r>
    </w:p>
    <w:p w14:paraId="4CB91E2A" w14:textId="6A19F3A2" w:rsidR="009D2391" w:rsidRPr="009D2391" w:rsidRDefault="009D2391" w:rsidP="009D2391">
      <w:pPr>
        <w:spacing w:line="360" w:lineRule="auto"/>
        <w:ind w:firstLine="560"/>
        <w:jc w:val="center"/>
        <w:rPr>
          <w:rFonts w:ascii="仿宋" w:eastAsia="仿宋" w:hAnsi="仿宋" w:hint="eastAsia"/>
          <w:bCs/>
        </w:rPr>
      </w:pPr>
      <w:r w:rsidRPr="009D2391">
        <w:rPr>
          <w:rFonts w:ascii="仿宋" w:eastAsia="仿宋" w:hAnsi="仿宋" w:hint="eastAsia"/>
          <w:bCs/>
        </w:rPr>
        <w:t>来源：</w:t>
      </w:r>
      <w:r w:rsidR="008F7F30" w:rsidRPr="008F7F30">
        <w:rPr>
          <w:rFonts w:ascii="仿宋" w:eastAsia="仿宋" w:hAnsi="仿宋" w:hint="eastAsia"/>
          <w:bCs/>
        </w:rPr>
        <w:t>《T/GXAS922—2024医疗护理员服务质量评价规范》</w:t>
      </w:r>
    </w:p>
    <w:p w14:paraId="38424C46" w14:textId="2B67EB42" w:rsidR="00A10F3C" w:rsidRDefault="00000000">
      <w:pPr>
        <w:spacing w:line="360" w:lineRule="auto"/>
        <w:ind w:firstLine="562"/>
        <w:rPr>
          <w:rFonts w:ascii="仿宋" w:eastAsia="仿宋" w:hAnsi="仿宋" w:hint="eastAsia"/>
          <w:b/>
        </w:rPr>
      </w:pPr>
      <w:r>
        <w:rPr>
          <w:rFonts w:ascii="仿宋" w:eastAsia="仿宋" w:hAnsi="仿宋"/>
          <w:b/>
        </w:rPr>
        <w:t>（六）结果运用</w:t>
      </w:r>
    </w:p>
    <w:p w14:paraId="49885243" w14:textId="4DE88E06" w:rsidR="006D716E" w:rsidRPr="00B579D5" w:rsidRDefault="006D716E" w:rsidP="006D716E">
      <w:pPr>
        <w:spacing w:line="360" w:lineRule="auto"/>
        <w:ind w:firstLine="560"/>
        <w:rPr>
          <w:rFonts w:ascii="仿宋" w:eastAsia="仿宋" w:hAnsi="仿宋" w:hint="eastAsia"/>
          <w:bCs/>
          <w:color w:val="EE0000"/>
        </w:rPr>
      </w:pPr>
      <w:r w:rsidRPr="00B579D5">
        <w:rPr>
          <w:rFonts w:ascii="仿宋" w:eastAsia="仿宋" w:hAnsi="仿宋" w:hint="eastAsia"/>
          <w:bCs/>
          <w:color w:val="EE0000"/>
        </w:rPr>
        <w:t>1.评价结果反馈</w:t>
      </w:r>
    </w:p>
    <w:p w14:paraId="09B3E482" w14:textId="77777777" w:rsidR="00E74091" w:rsidRDefault="00EC5856" w:rsidP="00E74091">
      <w:pPr>
        <w:spacing w:line="360" w:lineRule="auto"/>
        <w:ind w:firstLine="560"/>
        <w:jc w:val="left"/>
        <w:rPr>
          <w:rFonts w:ascii="仿宋" w:eastAsia="仿宋" w:hAnsi="仿宋" w:hint="eastAsia"/>
          <w:bCs/>
          <w:color w:val="EE0000"/>
        </w:rPr>
      </w:pPr>
      <w:r>
        <w:rPr>
          <w:rFonts w:ascii="仿宋" w:eastAsia="仿宋" w:hAnsi="仿宋" w:hint="eastAsia"/>
          <w:bCs/>
          <w:color w:val="EE0000"/>
        </w:rPr>
        <w:t>“</w:t>
      </w:r>
      <w:r w:rsidRPr="00EC5856">
        <w:rPr>
          <w:rFonts w:ascii="仿宋" w:eastAsia="仿宋" w:hAnsi="仿宋" w:hint="eastAsia"/>
          <w:bCs/>
          <w:color w:val="EE0000"/>
        </w:rPr>
        <w:t>6.1　评价结果反馈</w:t>
      </w:r>
      <w:r>
        <w:rPr>
          <w:rFonts w:ascii="仿宋" w:eastAsia="仿宋" w:hAnsi="仿宋" w:hint="eastAsia"/>
          <w:bCs/>
          <w:color w:val="EE0000"/>
        </w:rPr>
        <w:t>”该条款中规定“</w:t>
      </w:r>
      <w:r w:rsidRPr="00EC5856">
        <w:rPr>
          <w:rFonts w:ascii="仿宋" w:eastAsia="仿宋" w:hAnsi="仿宋" w:hint="eastAsia"/>
          <w:bCs/>
          <w:color w:val="EE0000"/>
        </w:rPr>
        <w:t>评价结束后5个工作日内，应向被评价的骨科护理人员本人出具骨科护理质量个人评价报告”</w:t>
      </w:r>
      <w:r w:rsidR="00B579D5" w:rsidRPr="00B579D5">
        <w:rPr>
          <w:rFonts w:ascii="仿宋" w:eastAsia="仿宋" w:hAnsi="仿宋" w:hint="eastAsia"/>
          <w:bCs/>
          <w:color w:val="EE0000"/>
        </w:rPr>
        <w:t>。此条款旨在将评价从单向考核转变为促进双向沟通与能力提升的改进工具。对于评价结果为“不合格”的人员，强制要求制定并落实 个人改进计</w:t>
      </w:r>
      <w:r w:rsidR="00B579D5" w:rsidRPr="00B579D5">
        <w:rPr>
          <w:rFonts w:ascii="仿宋" w:eastAsia="仿宋" w:hAnsi="仿宋" w:hint="eastAsia"/>
          <w:bCs/>
          <w:color w:val="EE0000"/>
        </w:rPr>
        <w:lastRenderedPageBreak/>
        <w:t>划，且需被评价者签署确认。该设计主要依据《医疗护理员国家职业标准（2024年版）》中关于职业技能评价应“引导职业教育培训的方向”的根本目的，旨在实现评价后的能力复核与持续改进。相关流程设计同时吸收了中山大学附属第一医院广西医院等起草单位在绩效反馈与规范化培训管理中</w:t>
      </w:r>
      <w:r w:rsidR="006D716E" w:rsidRPr="00B579D5">
        <w:rPr>
          <w:rFonts w:ascii="仿宋" w:eastAsia="仿宋" w:hAnsi="仿宋" w:hint="eastAsia"/>
          <w:bCs/>
          <w:color w:val="EE0000"/>
        </w:rPr>
        <w:t>。</w:t>
      </w:r>
    </w:p>
    <w:p w14:paraId="4469FA25" w14:textId="4E3926D9" w:rsidR="00E74091" w:rsidRDefault="00E74091" w:rsidP="00E74091">
      <w:pPr>
        <w:spacing w:line="360" w:lineRule="auto"/>
        <w:ind w:firstLine="560"/>
        <w:jc w:val="left"/>
        <w:rPr>
          <w:rFonts w:ascii="仿宋" w:eastAsia="仿宋" w:hAnsi="仿宋" w:hint="eastAsia"/>
          <w:bCs/>
          <w:color w:val="EE0000"/>
        </w:rPr>
      </w:pPr>
      <w:r w:rsidRPr="00E74091">
        <w:rPr>
          <w:rFonts w:ascii="仿宋" w:eastAsia="仿宋" w:hAnsi="仿宋" w:hint="eastAsia"/>
          <w:bCs/>
          <w:color w:val="EE0000"/>
        </w:rPr>
        <w:t>评价结果反馈与改进机制已在起草单位初步落地。202</w:t>
      </w:r>
      <w:r w:rsidR="00C25438">
        <w:rPr>
          <w:rFonts w:ascii="仿宋" w:eastAsia="仿宋" w:hAnsi="仿宋" w:hint="eastAsia"/>
          <w:bCs/>
          <w:color w:val="EE0000"/>
        </w:rPr>
        <w:t>4</w:t>
      </w:r>
      <w:r w:rsidRPr="00E74091">
        <w:rPr>
          <w:rFonts w:ascii="仿宋" w:eastAsia="仿宋" w:hAnsi="仿宋" w:hint="eastAsia"/>
          <w:bCs/>
          <w:color w:val="EE0000"/>
        </w:rPr>
        <w:t>年下半年，依据本标准流程，中山大学附属第一医院广西医院骨科共生成并反馈个人评价报告62份，为8名评价中存在短板的护士制定了个人改进计划，签署落实率达100%。在持续改进方面，各参编单位运用本标准推荐的根因分析（RCA）等工具，针对评价中发现的共性质量问题开展专题改进。例如，中山大学附属第一医院广西医院骨科针对“深静脉血栓预防措施执行率波动”的问题，通过RCA分析出主要原因为交接班流程不清晰，经流程再造后，该措施执行率稳定在98%以上，体现了评价结果驱动质量改进的闭环管理成效。</w:t>
      </w:r>
    </w:p>
    <w:p w14:paraId="54900C49" w14:textId="2CA3244A" w:rsidR="00DC028A" w:rsidRPr="00B579D5" w:rsidRDefault="00E74091" w:rsidP="00E74091">
      <w:pPr>
        <w:spacing w:line="360" w:lineRule="auto"/>
        <w:ind w:firstLine="560"/>
        <w:jc w:val="center"/>
        <w:rPr>
          <w:rFonts w:ascii="仿宋" w:eastAsia="仿宋" w:hAnsi="仿宋" w:hint="eastAsia"/>
          <w:bCs/>
          <w:color w:val="EE0000"/>
        </w:rPr>
      </w:pPr>
      <w:r w:rsidRPr="00B579D5">
        <w:rPr>
          <w:noProof/>
          <w:color w:val="EE0000"/>
        </w:rPr>
        <w:lastRenderedPageBreak/>
        <w:drawing>
          <wp:inline distT="0" distB="0" distL="0" distR="0" wp14:anchorId="0F0E5318" wp14:editId="33966B67">
            <wp:extent cx="3588385" cy="4845050"/>
            <wp:effectExtent l="0" t="0" r="0" b="0"/>
            <wp:docPr id="5426276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627643" name=""/>
                    <pic:cNvPicPr/>
                  </pic:nvPicPr>
                  <pic:blipFill>
                    <a:blip r:embed="rId19">
                      <a:extLst>
                        <a:ext uri="{28A0092B-C50C-407E-A947-70E740481C1C}">
                          <a14:useLocalDpi xmlns:a14="http://schemas.microsoft.com/office/drawing/2010/main" val="0"/>
                        </a:ext>
                      </a:extLst>
                    </a:blip>
                    <a:stretch>
                      <a:fillRect/>
                    </a:stretch>
                  </pic:blipFill>
                  <pic:spPr>
                    <a:xfrm>
                      <a:off x="0" y="0"/>
                      <a:ext cx="3588385" cy="4845050"/>
                    </a:xfrm>
                    <a:prstGeom prst="rect">
                      <a:avLst/>
                    </a:prstGeom>
                  </pic:spPr>
                </pic:pic>
              </a:graphicData>
            </a:graphic>
          </wp:inline>
        </w:drawing>
      </w:r>
    </w:p>
    <w:p w14:paraId="3BCFB105" w14:textId="7883EF28" w:rsidR="00B579D5" w:rsidRPr="00B579D5" w:rsidRDefault="00B579D5" w:rsidP="00B579D5">
      <w:pPr>
        <w:spacing w:line="360" w:lineRule="auto"/>
        <w:ind w:firstLine="560"/>
        <w:jc w:val="center"/>
        <w:rPr>
          <w:rFonts w:ascii="仿宋" w:eastAsia="仿宋" w:hAnsi="仿宋" w:hint="eastAsia"/>
          <w:bCs/>
          <w:color w:val="EE0000"/>
        </w:rPr>
      </w:pPr>
      <w:r w:rsidRPr="00B579D5">
        <w:rPr>
          <w:rFonts w:ascii="仿宋" w:eastAsia="仿宋" w:hAnsi="仿宋" w:hint="eastAsia"/>
          <w:bCs/>
          <w:color w:val="EE0000"/>
        </w:rPr>
        <w:t>来源：《医疗护理员国家职业标准（2024年版）》</w:t>
      </w:r>
    </w:p>
    <w:p w14:paraId="40C839FA" w14:textId="2CAABE25" w:rsidR="00B579D5" w:rsidRPr="00E74091" w:rsidRDefault="00B579D5" w:rsidP="00DC028A">
      <w:pPr>
        <w:spacing w:line="360" w:lineRule="auto"/>
        <w:ind w:firstLine="560"/>
        <w:rPr>
          <w:rFonts w:ascii="仿宋" w:eastAsia="仿宋" w:hAnsi="仿宋" w:hint="eastAsia"/>
          <w:bCs/>
          <w:color w:val="EE0000"/>
        </w:rPr>
      </w:pPr>
      <w:r w:rsidRPr="00E74091">
        <w:rPr>
          <w:rFonts w:ascii="仿宋" w:eastAsia="仿宋" w:hAnsi="仿宋" w:hint="eastAsia"/>
          <w:bCs/>
          <w:color w:val="EE0000"/>
        </w:rPr>
        <w:t>2.</w:t>
      </w:r>
      <w:r w:rsidR="00DC028A" w:rsidRPr="00E74091">
        <w:rPr>
          <w:rFonts w:ascii="仿宋" w:eastAsia="仿宋" w:hAnsi="仿宋" w:hint="eastAsia"/>
          <w:bCs/>
          <w:color w:val="EE0000"/>
        </w:rPr>
        <w:t>持续改进：</w:t>
      </w:r>
    </w:p>
    <w:p w14:paraId="6274F7B0" w14:textId="41EE6E54" w:rsidR="00A10F3C" w:rsidRPr="00E74091" w:rsidRDefault="00E74091" w:rsidP="00DC028A">
      <w:pPr>
        <w:spacing w:line="360" w:lineRule="auto"/>
        <w:ind w:firstLine="560"/>
        <w:rPr>
          <w:rFonts w:ascii="仿宋" w:eastAsia="仿宋" w:hAnsi="仿宋" w:hint="eastAsia"/>
          <w:bCs/>
          <w:color w:val="EE0000"/>
        </w:rPr>
      </w:pPr>
      <w:r>
        <w:rPr>
          <w:rFonts w:ascii="仿宋" w:eastAsia="仿宋" w:hAnsi="仿宋" w:hint="eastAsia"/>
          <w:bCs/>
          <w:color w:val="EE0000"/>
        </w:rPr>
        <w:t>“</w:t>
      </w:r>
      <w:r w:rsidRPr="00E74091">
        <w:rPr>
          <w:rFonts w:ascii="仿宋" w:eastAsia="仿宋" w:hAnsi="仿宋" w:hint="eastAsia"/>
          <w:bCs/>
          <w:color w:val="EE0000"/>
        </w:rPr>
        <w:t>6.2　持续改进</w:t>
      </w:r>
      <w:r>
        <w:rPr>
          <w:rFonts w:ascii="仿宋" w:eastAsia="仿宋" w:hAnsi="仿宋" w:hint="eastAsia"/>
          <w:bCs/>
          <w:color w:val="EE0000"/>
        </w:rPr>
        <w:t>”中</w:t>
      </w:r>
      <w:r w:rsidR="00973985">
        <w:rPr>
          <w:rFonts w:ascii="仿宋" w:eastAsia="仿宋" w:hAnsi="仿宋" w:hint="eastAsia"/>
          <w:bCs/>
          <w:color w:val="EE0000"/>
        </w:rPr>
        <w:t>提出</w:t>
      </w:r>
      <w:r>
        <w:rPr>
          <w:rFonts w:ascii="仿宋" w:eastAsia="仿宋" w:hAnsi="仿宋" w:hint="eastAsia"/>
          <w:bCs/>
          <w:color w:val="EE0000"/>
        </w:rPr>
        <w:t>“</w:t>
      </w:r>
      <w:r w:rsidRPr="00E74091">
        <w:rPr>
          <w:rFonts w:ascii="仿宋" w:eastAsia="仿宋" w:hAnsi="仿宋" w:hint="eastAsia"/>
          <w:bCs/>
          <w:color w:val="EE0000"/>
        </w:rPr>
        <w:t>定期对骨科护理质量进行检查</w:t>
      </w:r>
      <w:r>
        <w:rPr>
          <w:rFonts w:ascii="仿宋" w:eastAsia="仿宋" w:hAnsi="仿宋" w:hint="eastAsia"/>
          <w:bCs/>
          <w:color w:val="EE0000"/>
        </w:rPr>
        <w:t>、</w:t>
      </w:r>
      <w:r w:rsidRPr="00E74091">
        <w:rPr>
          <w:rFonts w:ascii="仿宋" w:eastAsia="仿宋" w:hAnsi="仿宋" w:hint="eastAsia"/>
          <w:bCs/>
          <w:color w:val="EE0000"/>
        </w:rPr>
        <w:t>护理质量指标数据的收集方法</w:t>
      </w:r>
      <w:r>
        <w:rPr>
          <w:rFonts w:ascii="仿宋" w:eastAsia="仿宋" w:hAnsi="仿宋" w:hint="eastAsia"/>
          <w:bCs/>
          <w:color w:val="EE0000"/>
        </w:rPr>
        <w:t>、</w:t>
      </w:r>
      <w:r w:rsidRPr="00E74091">
        <w:rPr>
          <w:rFonts w:ascii="仿宋" w:eastAsia="仿宋" w:hAnsi="仿宋" w:hint="eastAsia"/>
          <w:bCs/>
          <w:color w:val="EE0000"/>
        </w:rPr>
        <w:t>骨科护理质量问题</w:t>
      </w:r>
      <w:r>
        <w:rPr>
          <w:rFonts w:ascii="仿宋" w:eastAsia="仿宋" w:hAnsi="仿宋" w:hint="eastAsia"/>
          <w:bCs/>
          <w:color w:val="EE0000"/>
        </w:rPr>
        <w:t>分析、</w:t>
      </w:r>
      <w:r w:rsidRPr="00E74091">
        <w:rPr>
          <w:rFonts w:ascii="仿宋" w:eastAsia="仿宋" w:hAnsi="仿宋" w:hint="eastAsia"/>
          <w:bCs/>
          <w:color w:val="EE0000"/>
        </w:rPr>
        <w:t>定期开展教育活动</w:t>
      </w:r>
      <w:r>
        <w:rPr>
          <w:rFonts w:ascii="仿宋" w:eastAsia="仿宋" w:hAnsi="仿宋" w:hint="eastAsia"/>
          <w:bCs/>
          <w:color w:val="EE0000"/>
        </w:rPr>
        <w:t>、</w:t>
      </w:r>
      <w:r w:rsidRPr="00E74091">
        <w:rPr>
          <w:rFonts w:ascii="仿宋" w:eastAsia="仿宋" w:hAnsi="仿宋" w:hint="eastAsia"/>
          <w:bCs/>
          <w:color w:val="EE0000"/>
        </w:rPr>
        <w:t>奖励措施</w:t>
      </w:r>
      <w:r>
        <w:rPr>
          <w:rFonts w:ascii="仿宋" w:eastAsia="仿宋" w:hAnsi="仿宋" w:hint="eastAsia"/>
          <w:bCs/>
          <w:color w:val="EE0000"/>
        </w:rPr>
        <w:t>、</w:t>
      </w:r>
      <w:r w:rsidRPr="00E74091">
        <w:rPr>
          <w:rFonts w:ascii="仿宋" w:eastAsia="仿宋" w:hAnsi="仿宋" w:hint="eastAsia"/>
          <w:bCs/>
          <w:color w:val="EE0000"/>
        </w:rPr>
        <w:t>工作台账</w:t>
      </w:r>
      <w:r>
        <w:rPr>
          <w:rFonts w:ascii="仿宋" w:eastAsia="仿宋" w:hAnsi="仿宋" w:hint="eastAsia"/>
          <w:bCs/>
          <w:color w:val="EE0000"/>
        </w:rPr>
        <w:t>”</w:t>
      </w:r>
      <w:r w:rsidR="00973985">
        <w:rPr>
          <w:rFonts w:ascii="仿宋" w:eastAsia="仿宋" w:hAnsi="仿宋" w:hint="eastAsia"/>
          <w:bCs/>
          <w:color w:val="EE0000"/>
        </w:rPr>
        <w:t>具体的要求，</w:t>
      </w:r>
      <w:r w:rsidR="00DC028A" w:rsidRPr="00E74091">
        <w:rPr>
          <w:rFonts w:ascii="仿宋" w:eastAsia="仿宋" w:hAnsi="仿宋" w:hint="eastAsia"/>
          <w:bCs/>
          <w:color w:val="EE0000"/>
        </w:rPr>
        <w:t>要求运用根因分析（RCA）、鱼骨图等工具进行质量分析。是对各起草单位现有PDCA质量管理工具在骨科专科层面的标准化与强化。</w:t>
      </w:r>
      <w:r w:rsidR="00973985">
        <w:rPr>
          <w:rFonts w:ascii="仿宋" w:eastAsia="仿宋" w:hAnsi="仿宋" w:hint="eastAsia"/>
          <w:bCs/>
          <w:color w:val="EE0000"/>
        </w:rPr>
        <w:t>本部分内容</w:t>
      </w:r>
      <w:r w:rsidR="00DC028A" w:rsidRPr="00E74091">
        <w:rPr>
          <w:rFonts w:ascii="仿宋" w:eastAsia="仿宋" w:hAnsi="仿宋" w:hint="eastAsia"/>
          <w:bCs/>
          <w:color w:val="EE0000"/>
        </w:rPr>
        <w:t>将此实践经验提炼为</w:t>
      </w:r>
      <w:r w:rsidR="00973985">
        <w:rPr>
          <w:rFonts w:ascii="仿宋" w:eastAsia="仿宋" w:hAnsi="仿宋" w:hint="eastAsia"/>
          <w:bCs/>
          <w:color w:val="EE0000"/>
        </w:rPr>
        <w:t>持续改进的</w:t>
      </w:r>
      <w:r w:rsidR="00DC028A" w:rsidRPr="00E74091">
        <w:rPr>
          <w:rFonts w:ascii="仿宋" w:eastAsia="仿宋" w:hAnsi="仿宋" w:hint="eastAsia"/>
          <w:bCs/>
          <w:color w:val="EE0000"/>
        </w:rPr>
        <w:t>要求</w:t>
      </w:r>
      <w:r w:rsidR="00DC028A" w:rsidRPr="00E74091">
        <w:rPr>
          <w:rFonts w:ascii="仿宋" w:eastAsia="仿宋" w:hAnsi="仿宋"/>
          <w:bCs/>
          <w:color w:val="EE0000"/>
        </w:rPr>
        <w:t>。</w:t>
      </w:r>
      <w:r w:rsidR="000F668B" w:rsidRPr="00E74091">
        <w:rPr>
          <w:rFonts w:ascii="仿宋" w:eastAsia="仿宋" w:hAnsi="仿宋" w:hint="eastAsia"/>
          <w:bCs/>
          <w:color w:val="EE0000"/>
        </w:rPr>
        <w:t>本条</w:t>
      </w:r>
      <w:r w:rsidR="00DC028A" w:rsidRPr="00E74091">
        <w:rPr>
          <w:rFonts w:ascii="仿宋" w:eastAsia="仿宋" w:hAnsi="仿宋" w:hint="eastAsia"/>
          <w:bCs/>
          <w:color w:val="EE0000"/>
        </w:rPr>
        <w:t>参考</w:t>
      </w:r>
      <w:r w:rsidR="000F668B" w:rsidRPr="00E74091">
        <w:rPr>
          <w:rFonts w:ascii="仿宋" w:eastAsia="仿宋" w:hAnsi="仿宋" w:hint="eastAsia"/>
          <w:bCs/>
          <w:color w:val="EE0000"/>
        </w:rPr>
        <w:t>《医疗护理员国家职业标准(2024年版)</w:t>
      </w:r>
      <w:r w:rsidRPr="00E74091">
        <w:rPr>
          <w:rFonts w:ascii="仿宋" w:eastAsia="仿宋" w:hAnsi="仿宋" w:hint="eastAsia"/>
          <w:bCs/>
          <w:color w:val="EE0000"/>
        </w:rPr>
        <w:t>、</w:t>
      </w:r>
      <w:r w:rsidR="000F668B" w:rsidRPr="00E74091">
        <w:rPr>
          <w:rFonts w:ascii="仿宋" w:eastAsia="仿宋" w:hAnsi="仿宋" w:hint="eastAsia"/>
          <w:bCs/>
          <w:color w:val="EE0000"/>
        </w:rPr>
        <w:t>《三级医院评审标准（2025年版）》</w:t>
      </w:r>
      <w:r w:rsidR="00DC028A" w:rsidRPr="00E74091">
        <w:rPr>
          <w:rFonts w:ascii="仿宋" w:eastAsia="仿宋" w:hAnsi="仿宋" w:hint="eastAsia"/>
          <w:bCs/>
          <w:color w:val="EE0000"/>
        </w:rPr>
        <w:t>相关条例</w:t>
      </w:r>
      <w:r w:rsidRPr="00E74091">
        <w:rPr>
          <w:rFonts w:ascii="仿宋" w:eastAsia="仿宋" w:hAnsi="仿宋" w:hint="eastAsia"/>
          <w:bCs/>
          <w:color w:val="EE0000"/>
        </w:rPr>
        <w:t>及《根本原因分析法在提高骨科患者功能锻炼依从性中的</w:t>
      </w:r>
      <w:r w:rsidRPr="00E74091">
        <w:rPr>
          <w:rFonts w:ascii="仿宋" w:eastAsia="仿宋" w:hAnsi="仿宋" w:hint="eastAsia"/>
          <w:bCs/>
          <w:color w:val="EE0000"/>
        </w:rPr>
        <w:lastRenderedPageBreak/>
        <w:t>研究》研究结果</w:t>
      </w:r>
      <w:r w:rsidR="00DC028A" w:rsidRPr="00E74091">
        <w:rPr>
          <w:rFonts w:ascii="仿宋" w:eastAsia="仿宋" w:hAnsi="仿宋" w:hint="eastAsia"/>
          <w:bCs/>
          <w:color w:val="EE0000"/>
        </w:rPr>
        <w:t>归纳而来</w:t>
      </w:r>
      <w:r w:rsidR="000F668B" w:rsidRPr="00E74091">
        <w:rPr>
          <w:rFonts w:ascii="仿宋" w:eastAsia="仿宋" w:hAnsi="仿宋" w:hint="eastAsia"/>
          <w:bCs/>
          <w:color w:val="EE0000"/>
        </w:rPr>
        <w:t>。</w:t>
      </w:r>
    </w:p>
    <w:p w14:paraId="586E51D7" w14:textId="1948761E" w:rsidR="00E74091" w:rsidRDefault="00E74091" w:rsidP="00E74091">
      <w:pPr>
        <w:spacing w:line="360" w:lineRule="auto"/>
        <w:ind w:firstLine="560"/>
        <w:jc w:val="center"/>
        <w:rPr>
          <w:rFonts w:ascii="仿宋" w:eastAsia="仿宋" w:hAnsi="仿宋" w:hint="eastAsia"/>
          <w:bCs/>
        </w:rPr>
      </w:pPr>
      <w:r>
        <w:rPr>
          <w:noProof/>
        </w:rPr>
        <w:drawing>
          <wp:inline distT="0" distB="0" distL="0" distR="0" wp14:anchorId="0BE814CC" wp14:editId="09EEC7EC">
            <wp:extent cx="4393871" cy="4056408"/>
            <wp:effectExtent l="0" t="0" r="6985" b="1270"/>
            <wp:docPr id="10965392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539260" name=""/>
                    <pic:cNvPicPr/>
                  </pic:nvPicPr>
                  <pic:blipFill>
                    <a:blip r:embed="rId20">
                      <a:extLst>
                        <a:ext uri="{28A0092B-C50C-407E-A947-70E740481C1C}">
                          <a14:useLocalDpi xmlns:a14="http://schemas.microsoft.com/office/drawing/2010/main" val="0"/>
                        </a:ext>
                      </a:extLst>
                    </a:blip>
                    <a:stretch>
                      <a:fillRect/>
                    </a:stretch>
                  </pic:blipFill>
                  <pic:spPr>
                    <a:xfrm>
                      <a:off x="0" y="0"/>
                      <a:ext cx="4401844" cy="4063768"/>
                    </a:xfrm>
                    <a:prstGeom prst="rect">
                      <a:avLst/>
                    </a:prstGeom>
                  </pic:spPr>
                </pic:pic>
              </a:graphicData>
            </a:graphic>
          </wp:inline>
        </w:drawing>
      </w:r>
    </w:p>
    <w:p w14:paraId="6732D939" w14:textId="1EC4BE82" w:rsidR="00E74091" w:rsidRPr="00E74091" w:rsidRDefault="00E74091" w:rsidP="00E74091">
      <w:pPr>
        <w:spacing w:line="360" w:lineRule="auto"/>
        <w:ind w:firstLine="560"/>
        <w:jc w:val="center"/>
        <w:rPr>
          <w:rFonts w:ascii="仿宋" w:eastAsia="仿宋" w:hAnsi="仿宋" w:hint="eastAsia"/>
          <w:bCs/>
          <w:color w:val="EE0000"/>
        </w:rPr>
      </w:pPr>
      <w:r w:rsidRPr="00E74091">
        <w:rPr>
          <w:rFonts w:ascii="仿宋" w:eastAsia="仿宋" w:hAnsi="仿宋" w:hint="eastAsia"/>
          <w:bCs/>
          <w:color w:val="EE0000"/>
        </w:rPr>
        <w:t>来源：《根本原因分析法在提高骨科患者功能锻炼依从性中的研究》</w:t>
      </w:r>
    </w:p>
    <w:p w14:paraId="6C5FDAE3" w14:textId="6C2DA292" w:rsidR="00B579D5" w:rsidRDefault="00B579D5" w:rsidP="00B579D5">
      <w:pPr>
        <w:spacing w:line="360" w:lineRule="auto"/>
        <w:ind w:firstLine="560"/>
        <w:rPr>
          <w:rFonts w:ascii="仿宋" w:eastAsia="仿宋" w:hAnsi="仿宋" w:hint="eastAsia"/>
          <w:bCs/>
        </w:rPr>
      </w:pPr>
      <w:r>
        <w:rPr>
          <w:rFonts w:ascii="仿宋" w:eastAsia="仿宋" w:hAnsi="仿宋" w:hint="eastAsia"/>
          <w:bCs/>
        </w:rPr>
        <w:t>3.</w:t>
      </w:r>
      <w:r>
        <w:rPr>
          <w:rFonts w:ascii="仿宋" w:eastAsia="仿宋" w:hAnsi="仿宋"/>
          <w:bCs/>
        </w:rPr>
        <w:t>能力发展</w:t>
      </w:r>
    </w:p>
    <w:p w14:paraId="73BF435C" w14:textId="763C636C" w:rsidR="00A10F3C" w:rsidRDefault="00B579D5" w:rsidP="00B579D5">
      <w:pPr>
        <w:spacing w:line="360" w:lineRule="auto"/>
        <w:ind w:firstLine="560"/>
        <w:rPr>
          <w:rFonts w:ascii="仿宋" w:eastAsia="仿宋" w:hAnsi="仿宋" w:hint="eastAsia"/>
          <w:bCs/>
        </w:rPr>
      </w:pPr>
      <w:r>
        <w:rPr>
          <w:rFonts w:ascii="仿宋" w:eastAsia="仿宋" w:hAnsi="仿宋"/>
          <w:bCs/>
        </w:rPr>
        <w:t>鼓励护理人员根据评价结果选择专病发展方向，参与临床教学和科研工作。将质量评价结果与护理人员的职业发展和专业成长相结合，鼓励将临床实践中的问题转化为科研课题，实现个人价值与科室能力发展的双重促进。</w:t>
      </w:r>
    </w:p>
    <w:p w14:paraId="0F4C9E5E" w14:textId="09644309" w:rsidR="00E74091" w:rsidRDefault="00E74091" w:rsidP="009D2391">
      <w:pPr>
        <w:spacing w:line="360" w:lineRule="auto"/>
        <w:ind w:firstLine="560"/>
        <w:jc w:val="center"/>
        <w:rPr>
          <w:rFonts w:ascii="仿宋" w:eastAsia="仿宋" w:hAnsi="仿宋" w:hint="eastAsia"/>
          <w:bCs/>
        </w:rPr>
      </w:pPr>
      <w:r>
        <w:rPr>
          <w:noProof/>
        </w:rPr>
        <w:lastRenderedPageBreak/>
        <w:drawing>
          <wp:inline distT="0" distB="0" distL="0" distR="0" wp14:anchorId="666C5D4D" wp14:editId="2BD246E5">
            <wp:extent cx="5688330" cy="3253740"/>
            <wp:effectExtent l="0" t="0" r="7620" b="3810"/>
            <wp:docPr id="9988334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833447" name="图片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8330" cy="3253740"/>
                    </a:xfrm>
                    <a:prstGeom prst="rect">
                      <a:avLst/>
                    </a:prstGeom>
                  </pic:spPr>
                </pic:pic>
              </a:graphicData>
            </a:graphic>
          </wp:inline>
        </w:drawing>
      </w:r>
    </w:p>
    <w:p w14:paraId="4BFFC80B" w14:textId="05BF19C7" w:rsidR="009D2391" w:rsidRDefault="009D2391" w:rsidP="009D2391">
      <w:pPr>
        <w:spacing w:line="360" w:lineRule="auto"/>
        <w:ind w:firstLine="560"/>
        <w:jc w:val="center"/>
        <w:rPr>
          <w:rFonts w:ascii="仿宋" w:eastAsia="仿宋" w:hAnsi="仿宋" w:hint="eastAsia"/>
          <w:bCs/>
        </w:rPr>
      </w:pPr>
      <w:r w:rsidRPr="009D2391">
        <w:rPr>
          <w:rFonts w:ascii="仿宋" w:eastAsia="仿宋" w:hAnsi="仿宋" w:hint="eastAsia"/>
          <w:bCs/>
        </w:rPr>
        <w:t>来源：《三级医院评审标准（2025年版）》</w:t>
      </w:r>
    </w:p>
    <w:p w14:paraId="72A304A0" w14:textId="77777777" w:rsidR="008F7F30" w:rsidRPr="008F7F30" w:rsidRDefault="008F7F30" w:rsidP="009D2391">
      <w:pPr>
        <w:spacing w:line="360" w:lineRule="auto"/>
        <w:ind w:firstLine="560"/>
        <w:jc w:val="center"/>
        <w:rPr>
          <w:rFonts w:ascii="仿宋" w:eastAsia="仿宋" w:hAnsi="仿宋" w:hint="eastAsia"/>
          <w:bCs/>
        </w:rPr>
      </w:pPr>
    </w:p>
    <w:p w14:paraId="0B88231A" w14:textId="7A167E7F" w:rsidR="00A10F3C" w:rsidRDefault="00000000">
      <w:pPr>
        <w:spacing w:line="360" w:lineRule="auto"/>
        <w:ind w:firstLine="640"/>
        <w:rPr>
          <w:rFonts w:ascii="黑体" w:eastAsia="黑体" w:hAnsi="黑体" w:hint="eastAsia"/>
          <w:bCs/>
          <w:sz w:val="24"/>
          <w:szCs w:val="24"/>
        </w:rPr>
      </w:pPr>
      <w:r>
        <w:rPr>
          <w:rFonts w:ascii="黑体" w:eastAsia="黑体" w:hAnsi="黑体" w:hint="eastAsia"/>
          <w:sz w:val="32"/>
          <w:szCs w:val="32"/>
        </w:rPr>
        <w:t>六、重大意见分歧的处理依据和结果</w:t>
      </w:r>
    </w:p>
    <w:p w14:paraId="00B74789" w14:textId="77777777" w:rsidR="00A10F3C" w:rsidRDefault="00000000">
      <w:pPr>
        <w:ind w:firstLine="560"/>
        <w:rPr>
          <w:rFonts w:ascii="仿宋" w:eastAsia="仿宋" w:hAnsi="仿宋" w:hint="eastAsia"/>
        </w:rPr>
      </w:pPr>
      <w:r>
        <w:rPr>
          <w:rFonts w:ascii="仿宋" w:eastAsia="仿宋" w:hAnsi="仿宋" w:hint="eastAsia"/>
        </w:rPr>
        <w:t>本标准研制过程中无重大分歧意见。</w:t>
      </w:r>
    </w:p>
    <w:p w14:paraId="123FF0E5" w14:textId="77777777" w:rsidR="00A10F3C" w:rsidRDefault="00000000">
      <w:pPr>
        <w:spacing w:line="360" w:lineRule="auto"/>
        <w:ind w:firstLine="640"/>
        <w:rPr>
          <w:rFonts w:ascii="黑体" w:eastAsia="黑体" w:hAnsi="黑体" w:hint="eastAsia"/>
          <w:bCs/>
          <w:sz w:val="32"/>
          <w:szCs w:val="32"/>
        </w:rPr>
      </w:pPr>
      <w:r>
        <w:rPr>
          <w:rFonts w:ascii="黑体" w:eastAsia="黑体" w:hAnsi="黑体" w:hint="eastAsia"/>
          <w:bCs/>
          <w:sz w:val="32"/>
          <w:szCs w:val="32"/>
        </w:rPr>
        <w:t>七、实施标准的措施</w:t>
      </w:r>
    </w:p>
    <w:p w14:paraId="3A09356B" w14:textId="77777777" w:rsidR="00A10F3C" w:rsidRDefault="00000000">
      <w:pPr>
        <w:spacing w:line="500" w:lineRule="exact"/>
        <w:ind w:firstLine="562"/>
        <w:rPr>
          <w:rFonts w:ascii="仿宋" w:eastAsia="仿宋" w:hAnsi="仿宋" w:hint="eastAsia"/>
          <w:b/>
        </w:rPr>
      </w:pPr>
      <w:r>
        <w:rPr>
          <w:rFonts w:ascii="仿宋" w:eastAsia="仿宋" w:hAnsi="仿宋" w:hint="eastAsia"/>
          <w:b/>
        </w:rPr>
        <w:t>（一）标准报批发布后，成立标准宣贯工作组</w:t>
      </w:r>
    </w:p>
    <w:p w14:paraId="0E532001" w14:textId="77777777" w:rsidR="00A10F3C" w:rsidRDefault="00000000">
      <w:pPr>
        <w:spacing w:line="500" w:lineRule="exact"/>
        <w:ind w:firstLine="560"/>
        <w:rPr>
          <w:rFonts w:ascii="仿宋" w:eastAsia="仿宋" w:hAnsi="仿宋" w:hint="eastAsia"/>
        </w:rPr>
      </w:pPr>
      <w:r>
        <w:rPr>
          <w:rFonts w:ascii="仿宋" w:eastAsia="仿宋" w:hAnsi="仿宋" w:hint="eastAsia"/>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5FF8528" w14:textId="77777777" w:rsidR="00A10F3C" w:rsidRDefault="00000000">
      <w:pPr>
        <w:spacing w:line="500" w:lineRule="exact"/>
        <w:ind w:firstLine="562"/>
        <w:rPr>
          <w:rFonts w:ascii="仿宋" w:eastAsia="仿宋" w:hAnsi="仿宋" w:hint="eastAsia"/>
          <w:b/>
        </w:rPr>
      </w:pPr>
      <w:r>
        <w:rPr>
          <w:rFonts w:ascii="仿宋" w:eastAsia="仿宋" w:hAnsi="仿宋" w:hint="eastAsia"/>
          <w:b/>
        </w:rPr>
        <w:t>（二）组织开展标准宣贯培训</w:t>
      </w:r>
    </w:p>
    <w:p w14:paraId="56A40B3F" w14:textId="77777777" w:rsidR="00A10F3C" w:rsidRDefault="00000000">
      <w:pPr>
        <w:spacing w:line="500" w:lineRule="exact"/>
        <w:ind w:firstLine="560"/>
        <w:rPr>
          <w:rFonts w:ascii="仿宋" w:eastAsia="仿宋" w:hAnsi="仿宋" w:hint="eastAsia"/>
        </w:rPr>
      </w:pPr>
      <w:r>
        <w:rPr>
          <w:rFonts w:ascii="仿宋" w:eastAsia="仿宋" w:hAnsi="仿宋" w:hint="eastAsia"/>
        </w:rPr>
        <w:t>标准发布实施后，标准宣贯工作小组制作标准解读宣贯培训PPT课件和标准核心技术说明书，并按标准宣贯培训计划深入各级医院骨科科室，对骨科护理人员开展标准宣贯培训，对标准进行逐条解读，让骨科护理人员掌握标准核心技术内容，助力标准实施落地，推动广西骨科护理服务质</w:t>
      </w:r>
      <w:r>
        <w:rPr>
          <w:rFonts w:ascii="仿宋" w:eastAsia="仿宋" w:hAnsi="仿宋" w:hint="eastAsia"/>
        </w:rPr>
        <w:lastRenderedPageBreak/>
        <w:t>量标准化提升。</w:t>
      </w:r>
    </w:p>
    <w:p w14:paraId="6E50672C" w14:textId="77777777" w:rsidR="00A10F3C" w:rsidRDefault="00000000">
      <w:pPr>
        <w:spacing w:line="500" w:lineRule="exact"/>
        <w:ind w:firstLine="562"/>
        <w:rPr>
          <w:rFonts w:ascii="仿宋" w:eastAsia="仿宋" w:hAnsi="仿宋" w:hint="eastAsia"/>
          <w:b/>
        </w:rPr>
      </w:pPr>
      <w:r>
        <w:rPr>
          <w:rFonts w:ascii="仿宋" w:eastAsia="仿宋" w:hAnsi="仿宋" w:hint="eastAsia"/>
          <w:b/>
        </w:rPr>
        <w:t>（三）开展标准实施交流会，收集标准实施反馈信息</w:t>
      </w:r>
    </w:p>
    <w:p w14:paraId="1D92E36B" w14:textId="77777777" w:rsidR="00A10F3C" w:rsidRDefault="00000000">
      <w:pPr>
        <w:spacing w:line="500" w:lineRule="exact"/>
        <w:ind w:firstLine="560"/>
        <w:rPr>
          <w:rFonts w:ascii="仿宋" w:eastAsia="仿宋" w:hAnsi="仿宋" w:hint="eastAsia"/>
        </w:rPr>
      </w:pPr>
      <w:r>
        <w:rPr>
          <w:rFonts w:ascii="仿宋" w:eastAsia="仿宋" w:hAnsi="仿宋" w:hint="eastAsia"/>
        </w:rPr>
        <w:t>标准起草小组深入各级医院骨科科室组织骨科护理人员召开标准实施交流会，听取标准实施过程中存在的问题并做好记录和解答，对存在的问题组织专家团队进行研讨，为标准的复审修订做准备。</w:t>
      </w:r>
    </w:p>
    <w:p w14:paraId="272B5105" w14:textId="77777777" w:rsidR="00A10F3C" w:rsidRDefault="00000000">
      <w:pPr>
        <w:spacing w:line="500" w:lineRule="exact"/>
        <w:ind w:firstLine="562"/>
        <w:rPr>
          <w:rFonts w:ascii="仿宋" w:eastAsia="仿宋" w:hAnsi="仿宋" w:hint="eastAsia"/>
          <w:b/>
        </w:rPr>
      </w:pPr>
      <w:r>
        <w:rPr>
          <w:rFonts w:ascii="仿宋" w:eastAsia="仿宋" w:hAnsi="仿宋" w:hint="eastAsia"/>
          <w:b/>
        </w:rPr>
        <w:t>（四）开展标准实施效果评估</w:t>
      </w:r>
    </w:p>
    <w:p w14:paraId="43CFFBCA" w14:textId="77777777" w:rsidR="00A10F3C" w:rsidRDefault="00000000">
      <w:pPr>
        <w:spacing w:line="500" w:lineRule="exact"/>
        <w:ind w:firstLine="560"/>
        <w:rPr>
          <w:rFonts w:ascii="仿宋" w:eastAsia="仿宋" w:hAnsi="仿宋" w:hint="eastAsia"/>
        </w:rPr>
      </w:pPr>
      <w:r>
        <w:rPr>
          <w:rFonts w:ascii="仿宋" w:eastAsia="仿宋" w:hAnsi="仿宋" w:hint="eastAsia"/>
        </w:rPr>
        <w:t>标准实施满2年，每年标准宣贯工作组采取网络调查、问卷调查、实地调研、召开座谈会或论证会、专家咨询等方式开展标准实施效果评估，并形成标准实施效果评估报告，为标准的复审修订做准备。</w:t>
      </w:r>
    </w:p>
    <w:p w14:paraId="1CFB5F75" w14:textId="77777777" w:rsidR="00A10F3C" w:rsidRDefault="00000000">
      <w:pPr>
        <w:spacing w:line="500" w:lineRule="exact"/>
        <w:ind w:firstLine="640"/>
        <w:rPr>
          <w:rFonts w:hint="eastAsia"/>
        </w:rPr>
      </w:pPr>
      <w:r>
        <w:rPr>
          <w:rFonts w:ascii="黑体" w:eastAsia="黑体" w:hAnsi="黑体" w:hint="eastAsia"/>
          <w:bCs/>
          <w:sz w:val="32"/>
          <w:szCs w:val="32"/>
        </w:rPr>
        <w:t>八、其他应当说明的事项</w:t>
      </w:r>
    </w:p>
    <w:p w14:paraId="7289D4A2" w14:textId="77777777" w:rsidR="00A10F3C" w:rsidRDefault="00000000">
      <w:pPr>
        <w:spacing w:line="520" w:lineRule="exact"/>
        <w:ind w:firstLine="560"/>
        <w:rPr>
          <w:rFonts w:ascii="仿宋" w:eastAsia="仿宋" w:hAnsi="仿宋" w:hint="eastAsia"/>
        </w:rPr>
      </w:pPr>
      <w:r>
        <w:rPr>
          <w:rFonts w:ascii="仿宋" w:eastAsia="仿宋" w:hAnsi="仿宋" w:hint="eastAsia"/>
        </w:rPr>
        <w:t>无。</w:t>
      </w:r>
    </w:p>
    <w:p w14:paraId="2CAF2F7B" w14:textId="77777777" w:rsidR="00A10F3C" w:rsidRDefault="00000000">
      <w:pPr>
        <w:spacing w:line="520" w:lineRule="exact"/>
        <w:ind w:firstLine="640"/>
        <w:rPr>
          <w:rFonts w:hint="eastAsia"/>
        </w:rPr>
      </w:pPr>
      <w:r>
        <w:rPr>
          <w:rFonts w:ascii="黑体" w:eastAsia="黑体" w:hAnsi="黑体" w:hint="eastAsia"/>
          <w:sz w:val="32"/>
          <w:szCs w:val="32"/>
        </w:rPr>
        <w:t>九、自我承诺</w:t>
      </w:r>
    </w:p>
    <w:p w14:paraId="57BD596C" w14:textId="2A4CD143" w:rsidR="00A10F3C" w:rsidRDefault="00000000">
      <w:pPr>
        <w:ind w:firstLine="560"/>
        <w:rPr>
          <w:rFonts w:ascii="仿宋" w:eastAsia="仿宋" w:hAnsi="仿宋" w:hint="eastAsia"/>
        </w:rPr>
      </w:pPr>
      <w:r>
        <w:rPr>
          <w:rFonts w:ascii="仿宋" w:eastAsia="仿宋" w:hAnsi="仿宋" w:hint="eastAsia"/>
        </w:rPr>
        <w:t>该标准的内容符合国家相关法律法规，技术要求不低于强制性国家标准的相关技术要求，与相关的国家、行业推荐性标准协调一致，标准的编写符合GB/T1.1-2020的要求。</w:t>
      </w:r>
    </w:p>
    <w:p w14:paraId="161C78FA" w14:textId="77777777" w:rsidR="00A10F3C" w:rsidRDefault="00A10F3C">
      <w:pPr>
        <w:ind w:firstLine="560"/>
        <w:rPr>
          <w:rFonts w:ascii="仿宋" w:eastAsia="仿宋" w:hAnsi="仿宋" w:hint="eastAsia"/>
        </w:rPr>
      </w:pPr>
    </w:p>
    <w:p w14:paraId="5D59C225" w14:textId="77777777" w:rsidR="00A10F3C" w:rsidRDefault="00000000">
      <w:pPr>
        <w:spacing w:line="360" w:lineRule="auto"/>
        <w:ind w:firstLine="560"/>
        <w:jc w:val="right"/>
        <w:rPr>
          <w:rFonts w:ascii="仿宋" w:eastAsia="仿宋" w:hAnsi="仿宋" w:hint="eastAsia"/>
          <w:bCs/>
        </w:rPr>
      </w:pPr>
      <w:r>
        <w:rPr>
          <w:rFonts w:ascii="仿宋" w:eastAsia="仿宋" w:hAnsi="仿宋" w:hint="eastAsia"/>
          <w:bCs/>
        </w:rPr>
        <w:t>团体标准《</w:t>
      </w:r>
      <w:r>
        <w:rPr>
          <w:rFonts w:ascii="仿宋" w:eastAsia="仿宋" w:hAnsi="仿宋" w:hint="eastAsia"/>
        </w:rPr>
        <w:t>骨科护理质量评价规范</w:t>
      </w:r>
      <w:r>
        <w:rPr>
          <w:rFonts w:ascii="仿宋" w:eastAsia="仿宋" w:hAnsi="仿宋" w:hint="eastAsia"/>
          <w:bCs/>
        </w:rPr>
        <w:t>》</w:t>
      </w:r>
    </w:p>
    <w:p w14:paraId="5779EF8A" w14:textId="77777777" w:rsidR="00A10F3C" w:rsidRDefault="00000000">
      <w:pPr>
        <w:spacing w:line="360" w:lineRule="auto"/>
        <w:ind w:firstLine="560"/>
        <w:jc w:val="right"/>
        <w:rPr>
          <w:rFonts w:ascii="仿宋" w:eastAsia="仿宋" w:hAnsi="仿宋" w:hint="eastAsia"/>
          <w:bCs/>
        </w:rPr>
      </w:pPr>
      <w:r>
        <w:rPr>
          <w:rFonts w:ascii="仿宋" w:eastAsia="仿宋" w:hAnsi="仿宋" w:hint="eastAsia"/>
          <w:bCs/>
        </w:rPr>
        <w:t>标准编制工作组</w:t>
      </w:r>
    </w:p>
    <w:p w14:paraId="7BE762C3" w14:textId="5A316F28" w:rsidR="00A10F3C" w:rsidRDefault="00000000">
      <w:pPr>
        <w:spacing w:line="360" w:lineRule="auto"/>
        <w:ind w:firstLine="560"/>
        <w:jc w:val="right"/>
        <w:rPr>
          <w:rFonts w:ascii="仿宋" w:eastAsia="仿宋" w:hAnsi="仿宋" w:hint="eastAsia"/>
          <w:bCs/>
        </w:rPr>
      </w:pPr>
      <w:r>
        <w:rPr>
          <w:rFonts w:ascii="仿宋" w:eastAsia="仿宋" w:hAnsi="仿宋" w:hint="eastAsia"/>
          <w:bCs/>
        </w:rPr>
        <w:t>202</w:t>
      </w:r>
      <w:r w:rsidR="00A865F3">
        <w:rPr>
          <w:rFonts w:ascii="仿宋" w:eastAsia="仿宋" w:hAnsi="仿宋" w:hint="eastAsia"/>
          <w:bCs/>
        </w:rPr>
        <w:t>6</w:t>
      </w:r>
      <w:r>
        <w:rPr>
          <w:rFonts w:ascii="仿宋" w:eastAsia="仿宋" w:hAnsi="仿宋" w:hint="eastAsia"/>
          <w:bCs/>
        </w:rPr>
        <w:t>年</w:t>
      </w:r>
      <w:r w:rsidR="00A865F3">
        <w:rPr>
          <w:rFonts w:ascii="仿宋" w:eastAsia="仿宋" w:hAnsi="仿宋" w:hint="eastAsia"/>
          <w:bCs/>
        </w:rPr>
        <w:t>1</w:t>
      </w:r>
      <w:r>
        <w:rPr>
          <w:rFonts w:ascii="仿宋" w:eastAsia="仿宋" w:hAnsi="仿宋" w:hint="eastAsia"/>
          <w:bCs/>
        </w:rPr>
        <w:t>月</w:t>
      </w:r>
      <w:r w:rsidR="00A865F3">
        <w:rPr>
          <w:rFonts w:ascii="仿宋" w:eastAsia="仿宋" w:hAnsi="仿宋" w:hint="eastAsia"/>
          <w:bCs/>
        </w:rPr>
        <w:t>2</w:t>
      </w:r>
      <w:r>
        <w:rPr>
          <w:rFonts w:ascii="仿宋" w:eastAsia="仿宋" w:hAnsi="仿宋" w:hint="eastAsia"/>
          <w:bCs/>
        </w:rPr>
        <w:t>日</w:t>
      </w:r>
    </w:p>
    <w:sectPr w:rsidR="00A10F3C">
      <w:headerReference w:type="even" r:id="rId22"/>
      <w:headerReference w:type="default" r:id="rId23"/>
      <w:footerReference w:type="even" r:id="rId24"/>
      <w:footerReference w:type="default" r:id="rId25"/>
      <w:headerReference w:type="first" r:id="rId26"/>
      <w:footerReference w:type="first" r:id="rId27"/>
      <w:pgSz w:w="11906" w:h="16838"/>
      <w:pgMar w:top="1474" w:right="1474" w:bottom="1474" w:left="147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4230DA" w14:textId="77777777" w:rsidR="000A3E1A" w:rsidRDefault="000A3E1A">
      <w:pPr>
        <w:ind w:firstLine="560"/>
        <w:rPr>
          <w:rFonts w:hint="eastAsia"/>
        </w:rPr>
      </w:pPr>
      <w:r>
        <w:separator/>
      </w:r>
    </w:p>
  </w:endnote>
  <w:endnote w:type="continuationSeparator" w:id="0">
    <w:p w14:paraId="58CDBD33" w14:textId="77777777" w:rsidR="000A3E1A" w:rsidRDefault="000A3E1A">
      <w:pPr>
        <w:ind w:firstLine="56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altName w:val="仿宋"/>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Microsoft JhengHei Light">
    <w:panose1 w:val="020B0304030504040204"/>
    <w:charset w:val="88"/>
    <w:family w:val="swiss"/>
    <w:pitch w:val="variable"/>
    <w:sig w:usb0="800002A7" w:usb1="28CF4400" w:usb2="00000016" w:usb3="00000000" w:csb0="00100009" w:csb1="00000000"/>
  </w:font>
  <w:font w:name="黑体">
    <w:altName w:val="SimHei"/>
    <w:panose1 w:val="02010609060101010101"/>
    <w:charset w:val="86"/>
    <w:family w:val="modern"/>
    <w:pitch w:val="fixed"/>
    <w:sig w:usb0="800002BF" w:usb1="38CF7CFA" w:usb2="00000016" w:usb3="00000000" w:csb0="00040001" w:csb1="00000000"/>
    <w:embedRegular r:id="rId1" w:subsetted="1" w:fontKey="{A95F1CC7-2D06-4035-9C05-2F93FBB8CD64}"/>
  </w:font>
  <w:font w:name="仿宋">
    <w:panose1 w:val="02010609060101010101"/>
    <w:charset w:val="86"/>
    <w:family w:val="modern"/>
    <w:pitch w:val="fixed"/>
    <w:sig w:usb0="800002BF" w:usb1="38CF7CFA" w:usb2="00000016" w:usb3="00000000" w:csb0="00040001" w:csb1="00000000"/>
    <w:embedRegular r:id="rId2" w:subsetted="1" w:fontKey="{B69CE300-A31F-44B3-8CCC-D5BBC0C2CF5B}"/>
    <w:embedBold r:id="rId3" w:subsetted="1" w:fontKey="{37FDDF4E-C973-47EF-A471-95378036D851}"/>
  </w:font>
  <w:font w:name="楷体">
    <w:panose1 w:val="02010609060101010101"/>
    <w:charset w:val="86"/>
    <w:family w:val="modern"/>
    <w:pitch w:val="fixed"/>
    <w:sig w:usb0="800002BF" w:usb1="38CF7CFA" w:usb2="00000016" w:usb3="00000000" w:csb0="00040001" w:csb1="00000000"/>
    <w:embedBold r:id="rId4" w:subsetted="1" w:fontKey="{85C50E0C-CCA6-4C25-BF4A-685B0E11555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14E6D7" w14:textId="77777777" w:rsidR="00A10F3C" w:rsidRDefault="00A10F3C">
    <w:pPr>
      <w:pStyle w:val="a6"/>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21"/>
        <w:szCs w:val="21"/>
      </w:rPr>
      <w:id w:val="898794691"/>
    </w:sdtPr>
    <w:sdtEndPr>
      <w:rPr>
        <w:rFonts w:ascii="宋体" w:eastAsia="宋体" w:hAnsi="宋体"/>
      </w:rPr>
    </w:sdtEndPr>
    <w:sdtContent>
      <w:p w14:paraId="6ECD594A" w14:textId="77777777" w:rsidR="00A10F3C" w:rsidRDefault="00000000">
        <w:pPr>
          <w:pStyle w:val="a6"/>
          <w:ind w:firstLine="560"/>
          <w:jc w:val="center"/>
          <w:rPr>
            <w:rFonts w:ascii="宋体" w:eastAsia="宋体" w:hAnsi="宋体" w:hint="eastAsia"/>
            <w:sz w:val="21"/>
            <w:szCs w:val="21"/>
          </w:rPr>
        </w:pPr>
        <w:r>
          <w:rPr>
            <w:rFonts w:ascii="宋体" w:eastAsia="宋体" w:hAnsi="宋体"/>
            <w:sz w:val="21"/>
            <w:szCs w:val="21"/>
          </w:rPr>
          <w:fldChar w:fldCharType="begin"/>
        </w:r>
        <w:r>
          <w:rPr>
            <w:rFonts w:ascii="宋体" w:eastAsia="宋体" w:hAnsi="宋体"/>
            <w:sz w:val="21"/>
            <w:szCs w:val="21"/>
          </w:rPr>
          <w:instrText>PAGE   \* MERGEFORMAT</w:instrText>
        </w:r>
        <w:r>
          <w:rPr>
            <w:rFonts w:ascii="宋体" w:eastAsia="宋体" w:hAnsi="宋体"/>
            <w:sz w:val="21"/>
            <w:szCs w:val="21"/>
          </w:rPr>
          <w:fldChar w:fldCharType="separate"/>
        </w:r>
        <w:r>
          <w:rPr>
            <w:rFonts w:ascii="宋体" w:eastAsia="宋体" w:hAnsi="宋体"/>
            <w:sz w:val="21"/>
            <w:szCs w:val="21"/>
            <w:lang w:val="zh-CN"/>
          </w:rPr>
          <w:t>2</w:t>
        </w:r>
        <w:r>
          <w:rPr>
            <w:rFonts w:ascii="宋体" w:eastAsia="宋体" w:hAnsi="宋体"/>
            <w:sz w:val="21"/>
            <w:szCs w:val="21"/>
          </w:rPr>
          <w:fldChar w:fldCharType="end"/>
        </w:r>
      </w:p>
    </w:sdtContent>
  </w:sdt>
  <w:p w14:paraId="56E75A2D" w14:textId="77777777" w:rsidR="00A10F3C" w:rsidRDefault="00A10F3C">
    <w:pPr>
      <w:pStyle w:val="a6"/>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575579" w14:textId="77777777" w:rsidR="00A10F3C" w:rsidRDefault="00A10F3C">
    <w:pPr>
      <w:pStyle w:val="a6"/>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A02A0D" w14:textId="77777777" w:rsidR="000A3E1A" w:rsidRDefault="000A3E1A">
      <w:pPr>
        <w:ind w:firstLine="560"/>
        <w:rPr>
          <w:rFonts w:hint="eastAsia"/>
        </w:rPr>
      </w:pPr>
      <w:r>
        <w:separator/>
      </w:r>
    </w:p>
  </w:footnote>
  <w:footnote w:type="continuationSeparator" w:id="0">
    <w:p w14:paraId="4E0A1B7C" w14:textId="77777777" w:rsidR="000A3E1A" w:rsidRDefault="000A3E1A">
      <w:pPr>
        <w:ind w:firstLine="560"/>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2626E" w14:textId="77777777" w:rsidR="00A10F3C" w:rsidRDefault="00A10F3C">
    <w:pPr>
      <w:pStyle w:val="a8"/>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43A4A6" w14:textId="77777777" w:rsidR="00A10F3C" w:rsidRDefault="00A10F3C">
    <w:pPr>
      <w:pStyle w:val="a8"/>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1CC48" w14:textId="77777777" w:rsidR="00A10F3C" w:rsidRDefault="00A10F3C">
    <w:pPr>
      <w:pStyle w:val="a8"/>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46260FA"/>
    <w:multiLevelType w:val="multilevel"/>
    <w:tmpl w:val="646260FA"/>
    <w:lvl w:ilvl="0">
      <w:start w:val="1"/>
      <w:numFmt w:val="decimal"/>
      <w:pStyle w:val="a"/>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num w:numId="1" w16cid:durableId="2994644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TJkMTdhMmRjZjM1OGUzZTcwYWQzYTMxOTUzYWZhZjcifQ=="/>
  </w:docVars>
  <w:rsids>
    <w:rsidRoot w:val="00D8504A"/>
    <w:rsid w:val="00010798"/>
    <w:rsid w:val="000130E4"/>
    <w:rsid w:val="00014759"/>
    <w:rsid w:val="00016982"/>
    <w:rsid w:val="00017240"/>
    <w:rsid w:val="00025346"/>
    <w:rsid w:val="00036370"/>
    <w:rsid w:val="00043970"/>
    <w:rsid w:val="000457DF"/>
    <w:rsid w:val="00047B89"/>
    <w:rsid w:val="00065133"/>
    <w:rsid w:val="000764B6"/>
    <w:rsid w:val="00081630"/>
    <w:rsid w:val="00082650"/>
    <w:rsid w:val="00087593"/>
    <w:rsid w:val="00097EC3"/>
    <w:rsid w:val="000A3E1A"/>
    <w:rsid w:val="000A5F04"/>
    <w:rsid w:val="000A5F81"/>
    <w:rsid w:val="000B3703"/>
    <w:rsid w:val="000B3E3C"/>
    <w:rsid w:val="000B3E49"/>
    <w:rsid w:val="000B694D"/>
    <w:rsid w:val="000E7880"/>
    <w:rsid w:val="000F668B"/>
    <w:rsid w:val="001004D4"/>
    <w:rsid w:val="00101A56"/>
    <w:rsid w:val="001063F4"/>
    <w:rsid w:val="00112EBC"/>
    <w:rsid w:val="00115540"/>
    <w:rsid w:val="00115E0A"/>
    <w:rsid w:val="001204ED"/>
    <w:rsid w:val="001205C6"/>
    <w:rsid w:val="00123CDB"/>
    <w:rsid w:val="001327BD"/>
    <w:rsid w:val="0013624D"/>
    <w:rsid w:val="001373FB"/>
    <w:rsid w:val="001440A8"/>
    <w:rsid w:val="00144AC7"/>
    <w:rsid w:val="00147AEB"/>
    <w:rsid w:val="001506FF"/>
    <w:rsid w:val="00152F60"/>
    <w:rsid w:val="00154BA2"/>
    <w:rsid w:val="001632E2"/>
    <w:rsid w:val="00167C82"/>
    <w:rsid w:val="00170878"/>
    <w:rsid w:val="001731D7"/>
    <w:rsid w:val="00175883"/>
    <w:rsid w:val="00180713"/>
    <w:rsid w:val="001878F2"/>
    <w:rsid w:val="001952D3"/>
    <w:rsid w:val="00196688"/>
    <w:rsid w:val="001A1D48"/>
    <w:rsid w:val="001A7DA4"/>
    <w:rsid w:val="001B39E4"/>
    <w:rsid w:val="001B7A46"/>
    <w:rsid w:val="001B7D90"/>
    <w:rsid w:val="001C07BE"/>
    <w:rsid w:val="001C499C"/>
    <w:rsid w:val="001C4A2F"/>
    <w:rsid w:val="001D5F68"/>
    <w:rsid w:val="001E7E59"/>
    <w:rsid w:val="001F5FA7"/>
    <w:rsid w:val="001F6028"/>
    <w:rsid w:val="002005AB"/>
    <w:rsid w:val="00201843"/>
    <w:rsid w:val="002023D9"/>
    <w:rsid w:val="00205475"/>
    <w:rsid w:val="00206F76"/>
    <w:rsid w:val="00207B25"/>
    <w:rsid w:val="0021006B"/>
    <w:rsid w:val="00211BC3"/>
    <w:rsid w:val="00212BD2"/>
    <w:rsid w:val="002202F9"/>
    <w:rsid w:val="00220313"/>
    <w:rsid w:val="00220605"/>
    <w:rsid w:val="002210AD"/>
    <w:rsid w:val="00226BA3"/>
    <w:rsid w:val="0023134C"/>
    <w:rsid w:val="002332B8"/>
    <w:rsid w:val="00240FBD"/>
    <w:rsid w:val="002411EF"/>
    <w:rsid w:val="00241E5A"/>
    <w:rsid w:val="00241F5B"/>
    <w:rsid w:val="002475E6"/>
    <w:rsid w:val="0025375D"/>
    <w:rsid w:val="0025646F"/>
    <w:rsid w:val="00257096"/>
    <w:rsid w:val="00257223"/>
    <w:rsid w:val="00260909"/>
    <w:rsid w:val="00271A29"/>
    <w:rsid w:val="002728C4"/>
    <w:rsid w:val="00272BA7"/>
    <w:rsid w:val="00274288"/>
    <w:rsid w:val="00292138"/>
    <w:rsid w:val="00292BAB"/>
    <w:rsid w:val="00294BB0"/>
    <w:rsid w:val="00297112"/>
    <w:rsid w:val="002A57F2"/>
    <w:rsid w:val="002A75F0"/>
    <w:rsid w:val="002A7EE6"/>
    <w:rsid w:val="002B0E18"/>
    <w:rsid w:val="002B211A"/>
    <w:rsid w:val="002C1258"/>
    <w:rsid w:val="002C24C6"/>
    <w:rsid w:val="002D032C"/>
    <w:rsid w:val="002D7B2E"/>
    <w:rsid w:val="002E0428"/>
    <w:rsid w:val="002E6ADA"/>
    <w:rsid w:val="002F0437"/>
    <w:rsid w:val="002F3130"/>
    <w:rsid w:val="002F3C85"/>
    <w:rsid w:val="002F7AC0"/>
    <w:rsid w:val="00304D3B"/>
    <w:rsid w:val="00311822"/>
    <w:rsid w:val="0031277A"/>
    <w:rsid w:val="00314749"/>
    <w:rsid w:val="00314FE9"/>
    <w:rsid w:val="00315E04"/>
    <w:rsid w:val="00316143"/>
    <w:rsid w:val="00320F17"/>
    <w:rsid w:val="00323289"/>
    <w:rsid w:val="00324C4A"/>
    <w:rsid w:val="00331D3C"/>
    <w:rsid w:val="00340071"/>
    <w:rsid w:val="003429C1"/>
    <w:rsid w:val="003438A4"/>
    <w:rsid w:val="00343B34"/>
    <w:rsid w:val="00347A7E"/>
    <w:rsid w:val="00350735"/>
    <w:rsid w:val="0035087D"/>
    <w:rsid w:val="00353087"/>
    <w:rsid w:val="00357630"/>
    <w:rsid w:val="003635D2"/>
    <w:rsid w:val="00367078"/>
    <w:rsid w:val="00370C5E"/>
    <w:rsid w:val="003725BE"/>
    <w:rsid w:val="0037290D"/>
    <w:rsid w:val="00383A63"/>
    <w:rsid w:val="00391298"/>
    <w:rsid w:val="00392760"/>
    <w:rsid w:val="0039753E"/>
    <w:rsid w:val="003A02F6"/>
    <w:rsid w:val="003A239E"/>
    <w:rsid w:val="003A60F4"/>
    <w:rsid w:val="003A6677"/>
    <w:rsid w:val="003B02FC"/>
    <w:rsid w:val="003B07BB"/>
    <w:rsid w:val="003B0B21"/>
    <w:rsid w:val="003B13E6"/>
    <w:rsid w:val="003B6EC5"/>
    <w:rsid w:val="003C1F02"/>
    <w:rsid w:val="003C364E"/>
    <w:rsid w:val="003D1959"/>
    <w:rsid w:val="003D2C1A"/>
    <w:rsid w:val="003D33A5"/>
    <w:rsid w:val="003D7DA0"/>
    <w:rsid w:val="003E50B9"/>
    <w:rsid w:val="003E7142"/>
    <w:rsid w:val="003F0176"/>
    <w:rsid w:val="0040418D"/>
    <w:rsid w:val="00405121"/>
    <w:rsid w:val="00411568"/>
    <w:rsid w:val="00416809"/>
    <w:rsid w:val="00425124"/>
    <w:rsid w:val="004271B1"/>
    <w:rsid w:val="004278A3"/>
    <w:rsid w:val="0044032B"/>
    <w:rsid w:val="0044207F"/>
    <w:rsid w:val="0044291B"/>
    <w:rsid w:val="0044352C"/>
    <w:rsid w:val="00443784"/>
    <w:rsid w:val="00446A07"/>
    <w:rsid w:val="00451DF6"/>
    <w:rsid w:val="0045444C"/>
    <w:rsid w:val="00454986"/>
    <w:rsid w:val="00461A17"/>
    <w:rsid w:val="00473FC3"/>
    <w:rsid w:val="00474F61"/>
    <w:rsid w:val="00480875"/>
    <w:rsid w:val="00484BF5"/>
    <w:rsid w:val="00485BD4"/>
    <w:rsid w:val="0049028C"/>
    <w:rsid w:val="00492678"/>
    <w:rsid w:val="004A4C7A"/>
    <w:rsid w:val="004A67C7"/>
    <w:rsid w:val="004A68A2"/>
    <w:rsid w:val="004B17BD"/>
    <w:rsid w:val="004B46FE"/>
    <w:rsid w:val="004B4B6D"/>
    <w:rsid w:val="004B58A8"/>
    <w:rsid w:val="004B6BAD"/>
    <w:rsid w:val="004C0FC7"/>
    <w:rsid w:val="004C12BB"/>
    <w:rsid w:val="004C1C3B"/>
    <w:rsid w:val="004C33B3"/>
    <w:rsid w:val="004D0588"/>
    <w:rsid w:val="004D4599"/>
    <w:rsid w:val="004D4D14"/>
    <w:rsid w:val="004D7CCC"/>
    <w:rsid w:val="004E6E45"/>
    <w:rsid w:val="004E7209"/>
    <w:rsid w:val="004E74E5"/>
    <w:rsid w:val="004E7FC2"/>
    <w:rsid w:val="004F3B2E"/>
    <w:rsid w:val="004F4EEC"/>
    <w:rsid w:val="004F5E2D"/>
    <w:rsid w:val="004F6D98"/>
    <w:rsid w:val="00500037"/>
    <w:rsid w:val="0050108C"/>
    <w:rsid w:val="00503329"/>
    <w:rsid w:val="00504C5A"/>
    <w:rsid w:val="005058CA"/>
    <w:rsid w:val="00507C1B"/>
    <w:rsid w:val="00513801"/>
    <w:rsid w:val="005151C6"/>
    <w:rsid w:val="00516486"/>
    <w:rsid w:val="0052010C"/>
    <w:rsid w:val="005268AE"/>
    <w:rsid w:val="00530633"/>
    <w:rsid w:val="00530CFD"/>
    <w:rsid w:val="005321CD"/>
    <w:rsid w:val="005356EA"/>
    <w:rsid w:val="00535B74"/>
    <w:rsid w:val="00542602"/>
    <w:rsid w:val="00563422"/>
    <w:rsid w:val="00575BB6"/>
    <w:rsid w:val="0058471F"/>
    <w:rsid w:val="00594F68"/>
    <w:rsid w:val="005A256F"/>
    <w:rsid w:val="005A2AD2"/>
    <w:rsid w:val="005A3536"/>
    <w:rsid w:val="005A6FF3"/>
    <w:rsid w:val="005B025F"/>
    <w:rsid w:val="005B4869"/>
    <w:rsid w:val="005B7B36"/>
    <w:rsid w:val="005D0116"/>
    <w:rsid w:val="005D01C9"/>
    <w:rsid w:val="005D0A71"/>
    <w:rsid w:val="005D0AF3"/>
    <w:rsid w:val="005D182F"/>
    <w:rsid w:val="005D29EC"/>
    <w:rsid w:val="005D6BC8"/>
    <w:rsid w:val="005E10DD"/>
    <w:rsid w:val="005E5DA5"/>
    <w:rsid w:val="005F45B4"/>
    <w:rsid w:val="00607551"/>
    <w:rsid w:val="00613387"/>
    <w:rsid w:val="0061457F"/>
    <w:rsid w:val="00615357"/>
    <w:rsid w:val="0062040D"/>
    <w:rsid w:val="00624DB1"/>
    <w:rsid w:val="00630B4B"/>
    <w:rsid w:val="0063122D"/>
    <w:rsid w:val="0063151D"/>
    <w:rsid w:val="006321AE"/>
    <w:rsid w:val="0064083A"/>
    <w:rsid w:val="0064508D"/>
    <w:rsid w:val="006503C0"/>
    <w:rsid w:val="006507EF"/>
    <w:rsid w:val="00651011"/>
    <w:rsid w:val="00652179"/>
    <w:rsid w:val="00654469"/>
    <w:rsid w:val="006559BF"/>
    <w:rsid w:val="00666142"/>
    <w:rsid w:val="006753BB"/>
    <w:rsid w:val="00684B07"/>
    <w:rsid w:val="0068659B"/>
    <w:rsid w:val="00687C01"/>
    <w:rsid w:val="00687D43"/>
    <w:rsid w:val="0069101A"/>
    <w:rsid w:val="00693E57"/>
    <w:rsid w:val="00696703"/>
    <w:rsid w:val="006969B9"/>
    <w:rsid w:val="006B1761"/>
    <w:rsid w:val="006B5837"/>
    <w:rsid w:val="006B698C"/>
    <w:rsid w:val="006B73FA"/>
    <w:rsid w:val="006C3935"/>
    <w:rsid w:val="006C5A98"/>
    <w:rsid w:val="006C6CDE"/>
    <w:rsid w:val="006D44A1"/>
    <w:rsid w:val="006D716E"/>
    <w:rsid w:val="006E55CA"/>
    <w:rsid w:val="006E620E"/>
    <w:rsid w:val="006F1008"/>
    <w:rsid w:val="006F239D"/>
    <w:rsid w:val="006F5A5C"/>
    <w:rsid w:val="006F7E23"/>
    <w:rsid w:val="007020A1"/>
    <w:rsid w:val="00706D01"/>
    <w:rsid w:val="00712488"/>
    <w:rsid w:val="00714202"/>
    <w:rsid w:val="00715F72"/>
    <w:rsid w:val="00717109"/>
    <w:rsid w:val="007173A8"/>
    <w:rsid w:val="00720B47"/>
    <w:rsid w:val="007239E6"/>
    <w:rsid w:val="0072667B"/>
    <w:rsid w:val="00733644"/>
    <w:rsid w:val="007402A3"/>
    <w:rsid w:val="0074422D"/>
    <w:rsid w:val="00755475"/>
    <w:rsid w:val="00757F26"/>
    <w:rsid w:val="00765D73"/>
    <w:rsid w:val="00770B08"/>
    <w:rsid w:val="0077350C"/>
    <w:rsid w:val="00776C9F"/>
    <w:rsid w:val="00786357"/>
    <w:rsid w:val="007877AB"/>
    <w:rsid w:val="00793D4C"/>
    <w:rsid w:val="007A6D09"/>
    <w:rsid w:val="007C0708"/>
    <w:rsid w:val="007D26C6"/>
    <w:rsid w:val="007E4361"/>
    <w:rsid w:val="007E6795"/>
    <w:rsid w:val="007E7BAC"/>
    <w:rsid w:val="007F6B85"/>
    <w:rsid w:val="007F7331"/>
    <w:rsid w:val="00801271"/>
    <w:rsid w:val="008062AF"/>
    <w:rsid w:val="00810F12"/>
    <w:rsid w:val="008114E9"/>
    <w:rsid w:val="00822439"/>
    <w:rsid w:val="00823F09"/>
    <w:rsid w:val="00830B18"/>
    <w:rsid w:val="00843C6A"/>
    <w:rsid w:val="00846E25"/>
    <w:rsid w:val="00850910"/>
    <w:rsid w:val="00851DD5"/>
    <w:rsid w:val="008610A0"/>
    <w:rsid w:val="00861205"/>
    <w:rsid w:val="00864D3A"/>
    <w:rsid w:val="00866879"/>
    <w:rsid w:val="00880C3E"/>
    <w:rsid w:val="00881BE6"/>
    <w:rsid w:val="008841C6"/>
    <w:rsid w:val="008A3319"/>
    <w:rsid w:val="008A5F5B"/>
    <w:rsid w:val="008B66F3"/>
    <w:rsid w:val="008C6406"/>
    <w:rsid w:val="008D25D8"/>
    <w:rsid w:val="008D50AC"/>
    <w:rsid w:val="008D72B7"/>
    <w:rsid w:val="008E0369"/>
    <w:rsid w:val="008F7F30"/>
    <w:rsid w:val="00900112"/>
    <w:rsid w:val="00901854"/>
    <w:rsid w:val="00903A69"/>
    <w:rsid w:val="0090705D"/>
    <w:rsid w:val="00911703"/>
    <w:rsid w:val="00914170"/>
    <w:rsid w:val="0091709B"/>
    <w:rsid w:val="0092446B"/>
    <w:rsid w:val="00927CC8"/>
    <w:rsid w:val="00936988"/>
    <w:rsid w:val="00937417"/>
    <w:rsid w:val="00943098"/>
    <w:rsid w:val="00943DC6"/>
    <w:rsid w:val="00945E42"/>
    <w:rsid w:val="009549CF"/>
    <w:rsid w:val="009551E9"/>
    <w:rsid w:val="009558BC"/>
    <w:rsid w:val="00960FE3"/>
    <w:rsid w:val="00964836"/>
    <w:rsid w:val="00967483"/>
    <w:rsid w:val="009678E2"/>
    <w:rsid w:val="00970DC9"/>
    <w:rsid w:val="00972790"/>
    <w:rsid w:val="00973985"/>
    <w:rsid w:val="00976365"/>
    <w:rsid w:val="00977C1E"/>
    <w:rsid w:val="00980459"/>
    <w:rsid w:val="009816DE"/>
    <w:rsid w:val="00993FB7"/>
    <w:rsid w:val="00996AE2"/>
    <w:rsid w:val="009973AA"/>
    <w:rsid w:val="009A4E1B"/>
    <w:rsid w:val="009B2120"/>
    <w:rsid w:val="009C0C2A"/>
    <w:rsid w:val="009C4545"/>
    <w:rsid w:val="009D2391"/>
    <w:rsid w:val="009D77AD"/>
    <w:rsid w:val="009E6E5A"/>
    <w:rsid w:val="009F52B3"/>
    <w:rsid w:val="00A00CC8"/>
    <w:rsid w:val="00A10F3C"/>
    <w:rsid w:val="00A12D75"/>
    <w:rsid w:val="00A164A6"/>
    <w:rsid w:val="00A1702A"/>
    <w:rsid w:val="00A177F4"/>
    <w:rsid w:val="00A270CF"/>
    <w:rsid w:val="00A33C21"/>
    <w:rsid w:val="00A33FE2"/>
    <w:rsid w:val="00A364AE"/>
    <w:rsid w:val="00A36F07"/>
    <w:rsid w:val="00A41F8B"/>
    <w:rsid w:val="00A47FD5"/>
    <w:rsid w:val="00A51457"/>
    <w:rsid w:val="00A51C6C"/>
    <w:rsid w:val="00A5496D"/>
    <w:rsid w:val="00A569EC"/>
    <w:rsid w:val="00A62CA7"/>
    <w:rsid w:val="00A64043"/>
    <w:rsid w:val="00A7151D"/>
    <w:rsid w:val="00A72338"/>
    <w:rsid w:val="00A7402E"/>
    <w:rsid w:val="00A74098"/>
    <w:rsid w:val="00A74C71"/>
    <w:rsid w:val="00A76400"/>
    <w:rsid w:val="00A82108"/>
    <w:rsid w:val="00A865F3"/>
    <w:rsid w:val="00A87AB6"/>
    <w:rsid w:val="00A92B63"/>
    <w:rsid w:val="00AA0378"/>
    <w:rsid w:val="00AA4C55"/>
    <w:rsid w:val="00AA4D84"/>
    <w:rsid w:val="00AA5F3E"/>
    <w:rsid w:val="00AB39B1"/>
    <w:rsid w:val="00AC5054"/>
    <w:rsid w:val="00AE0906"/>
    <w:rsid w:val="00AE4016"/>
    <w:rsid w:val="00AE570E"/>
    <w:rsid w:val="00AF08DA"/>
    <w:rsid w:val="00AF262F"/>
    <w:rsid w:val="00AF5CBE"/>
    <w:rsid w:val="00B2608B"/>
    <w:rsid w:val="00B319B8"/>
    <w:rsid w:val="00B33E75"/>
    <w:rsid w:val="00B37351"/>
    <w:rsid w:val="00B40CD2"/>
    <w:rsid w:val="00B510F2"/>
    <w:rsid w:val="00B579D5"/>
    <w:rsid w:val="00B610C6"/>
    <w:rsid w:val="00B613F1"/>
    <w:rsid w:val="00B66F82"/>
    <w:rsid w:val="00B7239A"/>
    <w:rsid w:val="00B80B64"/>
    <w:rsid w:val="00B848F7"/>
    <w:rsid w:val="00B85848"/>
    <w:rsid w:val="00B86A72"/>
    <w:rsid w:val="00B91C4A"/>
    <w:rsid w:val="00B94ECF"/>
    <w:rsid w:val="00BA5A85"/>
    <w:rsid w:val="00BA6617"/>
    <w:rsid w:val="00BB37C0"/>
    <w:rsid w:val="00BB798F"/>
    <w:rsid w:val="00BC201B"/>
    <w:rsid w:val="00BD3CA0"/>
    <w:rsid w:val="00BD7497"/>
    <w:rsid w:val="00BF2716"/>
    <w:rsid w:val="00BF38A0"/>
    <w:rsid w:val="00BF40C3"/>
    <w:rsid w:val="00C0288C"/>
    <w:rsid w:val="00C06326"/>
    <w:rsid w:val="00C07771"/>
    <w:rsid w:val="00C14E3C"/>
    <w:rsid w:val="00C15607"/>
    <w:rsid w:val="00C168A6"/>
    <w:rsid w:val="00C16925"/>
    <w:rsid w:val="00C248DD"/>
    <w:rsid w:val="00C24ACA"/>
    <w:rsid w:val="00C25438"/>
    <w:rsid w:val="00C314E1"/>
    <w:rsid w:val="00C35624"/>
    <w:rsid w:val="00C47869"/>
    <w:rsid w:val="00C52213"/>
    <w:rsid w:val="00C55053"/>
    <w:rsid w:val="00C602F1"/>
    <w:rsid w:val="00C63BE7"/>
    <w:rsid w:val="00C64304"/>
    <w:rsid w:val="00C65138"/>
    <w:rsid w:val="00C70A47"/>
    <w:rsid w:val="00C73E3E"/>
    <w:rsid w:val="00C76E04"/>
    <w:rsid w:val="00C91DBB"/>
    <w:rsid w:val="00C9683E"/>
    <w:rsid w:val="00C96C48"/>
    <w:rsid w:val="00CA7343"/>
    <w:rsid w:val="00CA78C9"/>
    <w:rsid w:val="00CB0D6F"/>
    <w:rsid w:val="00CB1591"/>
    <w:rsid w:val="00CB1C77"/>
    <w:rsid w:val="00CC07A5"/>
    <w:rsid w:val="00CC1078"/>
    <w:rsid w:val="00CC3139"/>
    <w:rsid w:val="00CC5EEF"/>
    <w:rsid w:val="00CD11ED"/>
    <w:rsid w:val="00CE39E8"/>
    <w:rsid w:val="00CE468D"/>
    <w:rsid w:val="00CF258A"/>
    <w:rsid w:val="00CF319E"/>
    <w:rsid w:val="00CF7E36"/>
    <w:rsid w:val="00D03EF7"/>
    <w:rsid w:val="00D115AA"/>
    <w:rsid w:val="00D12D4A"/>
    <w:rsid w:val="00D16775"/>
    <w:rsid w:val="00D23DB4"/>
    <w:rsid w:val="00D34FE0"/>
    <w:rsid w:val="00D439BF"/>
    <w:rsid w:val="00D52F51"/>
    <w:rsid w:val="00D53A47"/>
    <w:rsid w:val="00D63C25"/>
    <w:rsid w:val="00D8141B"/>
    <w:rsid w:val="00D82BE0"/>
    <w:rsid w:val="00D8324D"/>
    <w:rsid w:val="00D8504A"/>
    <w:rsid w:val="00D9081C"/>
    <w:rsid w:val="00D91446"/>
    <w:rsid w:val="00D91EFB"/>
    <w:rsid w:val="00D92FB2"/>
    <w:rsid w:val="00D9788B"/>
    <w:rsid w:val="00DB2613"/>
    <w:rsid w:val="00DB2BEE"/>
    <w:rsid w:val="00DC028A"/>
    <w:rsid w:val="00DC2180"/>
    <w:rsid w:val="00DC5308"/>
    <w:rsid w:val="00DC7E31"/>
    <w:rsid w:val="00DD0B77"/>
    <w:rsid w:val="00DE3F69"/>
    <w:rsid w:val="00DE3FF5"/>
    <w:rsid w:val="00DE69C3"/>
    <w:rsid w:val="00DF1101"/>
    <w:rsid w:val="00DF12D3"/>
    <w:rsid w:val="00DF43E2"/>
    <w:rsid w:val="00DF646E"/>
    <w:rsid w:val="00E00F76"/>
    <w:rsid w:val="00E029CD"/>
    <w:rsid w:val="00E07B0B"/>
    <w:rsid w:val="00E12583"/>
    <w:rsid w:val="00E12BDC"/>
    <w:rsid w:val="00E16171"/>
    <w:rsid w:val="00E248C5"/>
    <w:rsid w:val="00E37F10"/>
    <w:rsid w:val="00E44154"/>
    <w:rsid w:val="00E45CAE"/>
    <w:rsid w:val="00E51AC1"/>
    <w:rsid w:val="00E52EBE"/>
    <w:rsid w:val="00E57BE0"/>
    <w:rsid w:val="00E6267E"/>
    <w:rsid w:val="00E65CCA"/>
    <w:rsid w:val="00E74091"/>
    <w:rsid w:val="00E81EB0"/>
    <w:rsid w:val="00E86FAD"/>
    <w:rsid w:val="00E90BEF"/>
    <w:rsid w:val="00E9350A"/>
    <w:rsid w:val="00E97894"/>
    <w:rsid w:val="00E97D31"/>
    <w:rsid w:val="00EB5124"/>
    <w:rsid w:val="00EC5856"/>
    <w:rsid w:val="00EC7C70"/>
    <w:rsid w:val="00EC7E60"/>
    <w:rsid w:val="00ED39E6"/>
    <w:rsid w:val="00EE4B6B"/>
    <w:rsid w:val="00EE6401"/>
    <w:rsid w:val="00EE6BC4"/>
    <w:rsid w:val="00EE7F8D"/>
    <w:rsid w:val="00EF0DD7"/>
    <w:rsid w:val="00F043D7"/>
    <w:rsid w:val="00F04BA2"/>
    <w:rsid w:val="00F10DFD"/>
    <w:rsid w:val="00F1101A"/>
    <w:rsid w:val="00F146F6"/>
    <w:rsid w:val="00F201C6"/>
    <w:rsid w:val="00F240DE"/>
    <w:rsid w:val="00F33E58"/>
    <w:rsid w:val="00F33F24"/>
    <w:rsid w:val="00F35C5D"/>
    <w:rsid w:val="00F36A17"/>
    <w:rsid w:val="00F4626D"/>
    <w:rsid w:val="00F47287"/>
    <w:rsid w:val="00F55C9C"/>
    <w:rsid w:val="00F60112"/>
    <w:rsid w:val="00F650F1"/>
    <w:rsid w:val="00F679B0"/>
    <w:rsid w:val="00F76FAC"/>
    <w:rsid w:val="00F833F5"/>
    <w:rsid w:val="00F875A3"/>
    <w:rsid w:val="00F923FC"/>
    <w:rsid w:val="00F934EB"/>
    <w:rsid w:val="00F93913"/>
    <w:rsid w:val="00FA63A7"/>
    <w:rsid w:val="00FB0A50"/>
    <w:rsid w:val="00FC0711"/>
    <w:rsid w:val="00FC2868"/>
    <w:rsid w:val="00FC6FC9"/>
    <w:rsid w:val="00FD2932"/>
    <w:rsid w:val="00FD6D37"/>
    <w:rsid w:val="00FE16EC"/>
    <w:rsid w:val="00FE3684"/>
    <w:rsid w:val="00FE456E"/>
    <w:rsid w:val="08444A26"/>
    <w:rsid w:val="0B261650"/>
    <w:rsid w:val="11426AF7"/>
    <w:rsid w:val="18FB195C"/>
    <w:rsid w:val="2A0911D4"/>
    <w:rsid w:val="38C7292A"/>
    <w:rsid w:val="41BC582D"/>
    <w:rsid w:val="43BA0EF4"/>
    <w:rsid w:val="497A4D8A"/>
    <w:rsid w:val="503F4025"/>
    <w:rsid w:val="54BF45EB"/>
    <w:rsid w:val="5B16319D"/>
    <w:rsid w:val="6B0369E6"/>
    <w:rsid w:val="6D675D52"/>
    <w:rsid w:val="6FE078AE"/>
    <w:rsid w:val="72DB14B3"/>
    <w:rsid w:val="753D4D69"/>
    <w:rsid w:val="77375FC6"/>
    <w:rsid w:val="7C1103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698DD348"/>
  <w15:docId w15:val="{E54C3909-5185-4189-ABE9-C4FBFBD74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Calibri"/>
        <w:lang w:val="en-US" w:eastAsia="zh-CN"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uiPriority w:val="1"/>
    <w:qFormat/>
    <w:pPr>
      <w:widowControl w:val="0"/>
      <w:ind w:firstLineChars="200" w:firstLine="720"/>
      <w:jc w:val="both"/>
    </w:pPr>
    <w:rPr>
      <w:rFonts w:ascii="仿宋_GB2312" w:eastAsia="仿宋_GB2312" w:hAnsi="宋体"/>
      <w:kern w:val="2"/>
      <w:sz w:val="28"/>
      <w:szCs w:val="28"/>
    </w:rPr>
  </w:style>
  <w:style w:type="paragraph" w:styleId="1">
    <w:name w:val="heading 1"/>
    <w:basedOn w:val="a0"/>
    <w:next w:val="a0"/>
    <w:link w:val="10"/>
    <w:uiPriority w:val="9"/>
    <w:qFormat/>
    <w:pPr>
      <w:keepNext/>
      <w:keepLines/>
      <w:spacing w:before="480" w:after="80"/>
      <w:ind w:firstLineChars="0" w:firstLine="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0"/>
    <w:next w:val="a0"/>
    <w:link w:val="20"/>
    <w:uiPriority w:val="9"/>
    <w:semiHidden/>
    <w:unhideWhenUsed/>
    <w:qFormat/>
    <w:pPr>
      <w:keepNext/>
      <w:keepLines/>
      <w:spacing w:before="160" w:after="80"/>
      <w:ind w:firstLineChars="0" w:firstLine="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0"/>
    <w:next w:val="a0"/>
    <w:link w:val="30"/>
    <w:uiPriority w:val="9"/>
    <w:semiHidden/>
    <w:unhideWhenUsed/>
    <w:qFormat/>
    <w:pPr>
      <w:keepNext/>
      <w:keepLines/>
      <w:spacing w:before="160" w:after="80"/>
      <w:ind w:firstLineChars="0" w:firstLine="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0"/>
    <w:next w:val="a0"/>
    <w:link w:val="40"/>
    <w:uiPriority w:val="9"/>
    <w:semiHidden/>
    <w:unhideWhenUsed/>
    <w:qFormat/>
    <w:pPr>
      <w:keepNext/>
      <w:keepLines/>
      <w:spacing w:before="80" w:after="40"/>
      <w:ind w:firstLineChars="0" w:firstLine="0"/>
      <w:outlineLvl w:val="3"/>
    </w:pPr>
    <w:rPr>
      <w:rFonts w:asciiTheme="minorHAnsi" w:eastAsiaTheme="minorEastAsia" w:hAnsiTheme="minorHAnsi" w:cstheme="majorBidi"/>
      <w:color w:val="0F4761" w:themeColor="accent1" w:themeShade="BF"/>
    </w:rPr>
  </w:style>
  <w:style w:type="paragraph" w:styleId="5">
    <w:name w:val="heading 5"/>
    <w:basedOn w:val="a0"/>
    <w:next w:val="a0"/>
    <w:link w:val="50"/>
    <w:uiPriority w:val="9"/>
    <w:semiHidden/>
    <w:unhideWhenUsed/>
    <w:qFormat/>
    <w:pPr>
      <w:keepNext/>
      <w:keepLines/>
      <w:spacing w:before="80" w:after="40"/>
      <w:ind w:firstLineChars="0" w:firstLine="0"/>
      <w:outlineLvl w:val="4"/>
    </w:pPr>
    <w:rPr>
      <w:rFonts w:asciiTheme="minorHAnsi" w:eastAsiaTheme="minorEastAsia" w:hAnsiTheme="minorHAnsi" w:cstheme="majorBidi"/>
      <w:color w:val="0F4761" w:themeColor="accent1" w:themeShade="BF"/>
      <w:sz w:val="24"/>
      <w:szCs w:val="24"/>
    </w:rPr>
  </w:style>
  <w:style w:type="paragraph" w:styleId="6">
    <w:name w:val="heading 6"/>
    <w:basedOn w:val="a0"/>
    <w:next w:val="a0"/>
    <w:link w:val="60"/>
    <w:uiPriority w:val="9"/>
    <w:semiHidden/>
    <w:unhideWhenUsed/>
    <w:qFormat/>
    <w:pPr>
      <w:keepNext/>
      <w:keepLines/>
      <w:spacing w:before="40"/>
      <w:ind w:firstLineChars="0" w:firstLine="0"/>
      <w:outlineLvl w:val="5"/>
    </w:pPr>
    <w:rPr>
      <w:rFonts w:asciiTheme="minorHAnsi" w:eastAsiaTheme="minorEastAsia" w:hAnsiTheme="minorHAnsi" w:cstheme="majorBidi"/>
      <w:b/>
      <w:bCs/>
      <w:color w:val="0F4761" w:themeColor="accent1" w:themeShade="BF"/>
      <w:sz w:val="21"/>
      <w:szCs w:val="22"/>
    </w:rPr>
  </w:style>
  <w:style w:type="paragraph" w:styleId="7">
    <w:name w:val="heading 7"/>
    <w:basedOn w:val="a0"/>
    <w:next w:val="a0"/>
    <w:link w:val="70"/>
    <w:uiPriority w:val="9"/>
    <w:semiHidden/>
    <w:unhideWhenUsed/>
    <w:qFormat/>
    <w:pPr>
      <w:keepNext/>
      <w:keepLines/>
      <w:spacing w:before="40"/>
      <w:ind w:firstLineChars="0" w:firstLine="0"/>
      <w:outlineLvl w:val="6"/>
    </w:pPr>
    <w:rPr>
      <w:rFonts w:asciiTheme="minorHAnsi" w:eastAsiaTheme="minorEastAsia" w:hAnsiTheme="minorHAnsi" w:cstheme="majorBidi"/>
      <w:b/>
      <w:bCs/>
      <w:color w:val="595959" w:themeColor="text1" w:themeTint="A6"/>
      <w:sz w:val="21"/>
      <w:szCs w:val="22"/>
    </w:rPr>
  </w:style>
  <w:style w:type="paragraph" w:styleId="8">
    <w:name w:val="heading 8"/>
    <w:basedOn w:val="a0"/>
    <w:next w:val="a0"/>
    <w:link w:val="80"/>
    <w:uiPriority w:val="9"/>
    <w:semiHidden/>
    <w:unhideWhenUsed/>
    <w:qFormat/>
    <w:pPr>
      <w:keepNext/>
      <w:keepLines/>
      <w:ind w:firstLineChars="0" w:firstLine="0"/>
      <w:outlineLvl w:val="7"/>
    </w:pPr>
    <w:rPr>
      <w:rFonts w:asciiTheme="minorHAnsi" w:eastAsiaTheme="minorEastAsia" w:hAnsiTheme="minorHAnsi" w:cstheme="majorBidi"/>
      <w:color w:val="595959" w:themeColor="text1" w:themeTint="A6"/>
      <w:sz w:val="21"/>
      <w:szCs w:val="22"/>
    </w:rPr>
  </w:style>
  <w:style w:type="paragraph" w:styleId="9">
    <w:name w:val="heading 9"/>
    <w:basedOn w:val="a0"/>
    <w:next w:val="a0"/>
    <w:link w:val="90"/>
    <w:uiPriority w:val="9"/>
    <w:semiHidden/>
    <w:unhideWhenUsed/>
    <w:qFormat/>
    <w:pPr>
      <w:keepNext/>
      <w:keepLines/>
      <w:ind w:firstLineChars="0" w:firstLine="0"/>
      <w:outlineLvl w:val="8"/>
    </w:pPr>
    <w:rPr>
      <w:rFonts w:asciiTheme="minorHAnsi" w:eastAsiaTheme="majorEastAsia" w:hAnsiTheme="minorHAnsi" w:cstheme="majorBidi"/>
      <w:color w:val="595959" w:themeColor="text1" w:themeTint="A6"/>
      <w:sz w:val="21"/>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annotation text"/>
    <w:basedOn w:val="a0"/>
    <w:link w:val="a5"/>
    <w:uiPriority w:val="99"/>
    <w:semiHidden/>
    <w:unhideWhenUsed/>
    <w:qFormat/>
    <w:pPr>
      <w:jc w:val="left"/>
    </w:pPr>
  </w:style>
  <w:style w:type="paragraph" w:styleId="a6">
    <w:name w:val="footer"/>
    <w:basedOn w:val="a0"/>
    <w:link w:val="a7"/>
    <w:uiPriority w:val="99"/>
    <w:unhideWhenUsed/>
    <w:qFormat/>
    <w:pPr>
      <w:tabs>
        <w:tab w:val="center" w:pos="4153"/>
        <w:tab w:val="right" w:pos="8306"/>
      </w:tabs>
      <w:autoSpaceDE w:val="0"/>
      <w:autoSpaceDN w:val="0"/>
      <w:snapToGrid w:val="0"/>
      <w:ind w:firstLineChars="0" w:firstLine="0"/>
      <w:jc w:val="left"/>
    </w:pPr>
    <w:rPr>
      <w:rFonts w:ascii="Microsoft JhengHei Light" w:eastAsia="Microsoft JhengHei Light" w:hAnsi="Microsoft JhengHei Light" w:cs="Microsoft JhengHei Light"/>
      <w:kern w:val="0"/>
      <w:sz w:val="18"/>
      <w:szCs w:val="18"/>
    </w:rPr>
  </w:style>
  <w:style w:type="paragraph" w:styleId="a8">
    <w:name w:val="header"/>
    <w:basedOn w:val="a0"/>
    <w:link w:val="a9"/>
    <w:uiPriority w:val="99"/>
    <w:unhideWhenUsed/>
    <w:qFormat/>
    <w:pPr>
      <w:tabs>
        <w:tab w:val="center" w:pos="4153"/>
        <w:tab w:val="right" w:pos="8306"/>
      </w:tabs>
      <w:autoSpaceDE w:val="0"/>
      <w:autoSpaceDN w:val="0"/>
      <w:snapToGrid w:val="0"/>
      <w:ind w:firstLineChars="0" w:firstLine="0"/>
      <w:jc w:val="center"/>
    </w:pPr>
    <w:rPr>
      <w:rFonts w:ascii="Microsoft JhengHei Light" w:eastAsia="Microsoft JhengHei Light" w:hAnsi="Microsoft JhengHei Light" w:cs="Microsoft JhengHei Light"/>
      <w:kern w:val="0"/>
      <w:sz w:val="18"/>
      <w:szCs w:val="18"/>
    </w:rPr>
  </w:style>
  <w:style w:type="paragraph" w:styleId="aa">
    <w:name w:val="Subtitle"/>
    <w:basedOn w:val="a0"/>
    <w:next w:val="a0"/>
    <w:link w:val="ab"/>
    <w:uiPriority w:val="11"/>
    <w:qFormat/>
    <w:pPr>
      <w:spacing w:after="160"/>
      <w:ind w:firstLineChars="0" w:firstLine="0"/>
      <w:jc w:val="center"/>
    </w:pPr>
    <w:rPr>
      <w:rFonts w:asciiTheme="majorHAnsi" w:eastAsiaTheme="majorEastAsia" w:hAnsiTheme="majorHAnsi" w:cstheme="majorBidi"/>
      <w:color w:val="595959" w:themeColor="text1" w:themeTint="A6"/>
      <w:spacing w:val="15"/>
    </w:rPr>
  </w:style>
  <w:style w:type="paragraph" w:styleId="ac">
    <w:name w:val="Title"/>
    <w:basedOn w:val="a0"/>
    <w:next w:val="a0"/>
    <w:link w:val="ad"/>
    <w:uiPriority w:val="10"/>
    <w:qFormat/>
    <w:pPr>
      <w:spacing w:after="80"/>
      <w:ind w:firstLineChars="0" w:firstLine="0"/>
      <w:contextualSpacing/>
      <w:jc w:val="center"/>
    </w:pPr>
    <w:rPr>
      <w:rFonts w:asciiTheme="majorHAnsi" w:eastAsiaTheme="majorEastAsia" w:hAnsiTheme="majorHAnsi" w:cstheme="majorBidi"/>
      <w:spacing w:val="-10"/>
      <w:kern w:val="28"/>
      <w:sz w:val="56"/>
      <w:szCs w:val="56"/>
    </w:rPr>
  </w:style>
  <w:style w:type="paragraph" w:styleId="ae">
    <w:name w:val="annotation subject"/>
    <w:basedOn w:val="a4"/>
    <w:next w:val="a4"/>
    <w:link w:val="af"/>
    <w:uiPriority w:val="99"/>
    <w:semiHidden/>
    <w:unhideWhenUsed/>
    <w:qFormat/>
    <w:rPr>
      <w:b/>
      <w:bCs/>
    </w:rPr>
  </w:style>
  <w:style w:type="table" w:styleId="af0">
    <w:name w:val="Table Grid"/>
    <w:basedOn w:val="a2"/>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Theme="majorHAnsi" w:eastAsiaTheme="majorEastAsia" w:hAnsiTheme="majorHAnsi" w:cstheme="majorBidi"/>
      <w:color w:val="0F4761" w:themeColor="accent1" w:themeShade="BF"/>
      <w:sz w:val="48"/>
      <w:szCs w:val="48"/>
    </w:rPr>
  </w:style>
  <w:style w:type="character" w:customStyle="1" w:styleId="20">
    <w:name w:val="标题 2 字符"/>
    <w:basedOn w:val="a1"/>
    <w:link w:val="2"/>
    <w:uiPriority w:val="9"/>
    <w:semiHidden/>
    <w:qFormat/>
    <w:rPr>
      <w:rFonts w:asciiTheme="majorHAnsi" w:eastAsiaTheme="majorEastAsia" w:hAnsiTheme="majorHAnsi" w:cstheme="majorBidi"/>
      <w:color w:val="0F4761" w:themeColor="accent1" w:themeShade="BF"/>
      <w:sz w:val="40"/>
      <w:szCs w:val="40"/>
    </w:rPr>
  </w:style>
  <w:style w:type="character" w:customStyle="1" w:styleId="30">
    <w:name w:val="标题 3 字符"/>
    <w:basedOn w:val="a1"/>
    <w:link w:val="3"/>
    <w:uiPriority w:val="9"/>
    <w:semiHidden/>
    <w:qFormat/>
    <w:rPr>
      <w:rFonts w:asciiTheme="majorHAnsi" w:eastAsiaTheme="majorEastAsia" w:hAnsiTheme="majorHAnsi" w:cstheme="majorBidi"/>
      <w:color w:val="0F4761" w:themeColor="accent1" w:themeShade="BF"/>
      <w:sz w:val="32"/>
      <w:szCs w:val="32"/>
    </w:rPr>
  </w:style>
  <w:style w:type="character" w:customStyle="1" w:styleId="40">
    <w:name w:val="标题 4 字符"/>
    <w:basedOn w:val="a1"/>
    <w:link w:val="4"/>
    <w:uiPriority w:val="9"/>
    <w:semiHidden/>
    <w:qFormat/>
    <w:rPr>
      <w:rFonts w:cstheme="majorBidi"/>
      <w:color w:val="0F4761" w:themeColor="accent1" w:themeShade="BF"/>
      <w:sz w:val="28"/>
      <w:szCs w:val="28"/>
    </w:rPr>
  </w:style>
  <w:style w:type="character" w:customStyle="1" w:styleId="50">
    <w:name w:val="标题 5 字符"/>
    <w:basedOn w:val="a1"/>
    <w:link w:val="5"/>
    <w:uiPriority w:val="9"/>
    <w:semiHidden/>
    <w:qFormat/>
    <w:rPr>
      <w:rFonts w:cstheme="majorBidi"/>
      <w:color w:val="0F4761" w:themeColor="accent1" w:themeShade="BF"/>
      <w:sz w:val="24"/>
      <w:szCs w:val="24"/>
    </w:rPr>
  </w:style>
  <w:style w:type="character" w:customStyle="1" w:styleId="60">
    <w:name w:val="标题 6 字符"/>
    <w:basedOn w:val="a1"/>
    <w:link w:val="6"/>
    <w:uiPriority w:val="9"/>
    <w:semiHidden/>
    <w:qFormat/>
    <w:rPr>
      <w:rFonts w:cstheme="majorBidi"/>
      <w:b/>
      <w:bCs/>
      <w:color w:val="0F4761" w:themeColor="accent1" w:themeShade="BF"/>
    </w:rPr>
  </w:style>
  <w:style w:type="character" w:customStyle="1" w:styleId="70">
    <w:name w:val="标题 7 字符"/>
    <w:basedOn w:val="a1"/>
    <w:link w:val="7"/>
    <w:uiPriority w:val="9"/>
    <w:semiHidden/>
    <w:qFormat/>
    <w:rPr>
      <w:rFonts w:cstheme="majorBidi"/>
      <w:b/>
      <w:bCs/>
      <w:color w:val="595959" w:themeColor="text1" w:themeTint="A6"/>
    </w:rPr>
  </w:style>
  <w:style w:type="character" w:customStyle="1" w:styleId="80">
    <w:name w:val="标题 8 字符"/>
    <w:basedOn w:val="a1"/>
    <w:link w:val="8"/>
    <w:uiPriority w:val="9"/>
    <w:semiHidden/>
    <w:qFormat/>
    <w:rPr>
      <w:rFonts w:cstheme="majorBidi"/>
      <w:color w:val="595959" w:themeColor="text1" w:themeTint="A6"/>
    </w:rPr>
  </w:style>
  <w:style w:type="character" w:customStyle="1" w:styleId="90">
    <w:name w:val="标题 9 字符"/>
    <w:basedOn w:val="a1"/>
    <w:link w:val="9"/>
    <w:uiPriority w:val="9"/>
    <w:semiHidden/>
    <w:qFormat/>
    <w:rPr>
      <w:rFonts w:eastAsiaTheme="majorEastAsia" w:cstheme="majorBidi"/>
      <w:color w:val="595959" w:themeColor="text1" w:themeTint="A6"/>
    </w:rPr>
  </w:style>
  <w:style w:type="character" w:customStyle="1" w:styleId="ad">
    <w:name w:val="标题 字符"/>
    <w:basedOn w:val="a1"/>
    <w:link w:val="ac"/>
    <w:uiPriority w:val="10"/>
    <w:qFormat/>
    <w:rPr>
      <w:rFonts w:asciiTheme="majorHAnsi" w:eastAsiaTheme="majorEastAsia" w:hAnsiTheme="majorHAnsi" w:cstheme="majorBidi"/>
      <w:spacing w:val="-10"/>
      <w:kern w:val="28"/>
      <w:sz w:val="56"/>
      <w:szCs w:val="56"/>
    </w:rPr>
  </w:style>
  <w:style w:type="character" w:customStyle="1" w:styleId="ab">
    <w:name w:val="副标题 字符"/>
    <w:basedOn w:val="a1"/>
    <w:link w:val="aa"/>
    <w:uiPriority w:val="11"/>
    <w:qFormat/>
    <w:rPr>
      <w:rFonts w:asciiTheme="majorHAnsi" w:eastAsiaTheme="majorEastAsia" w:hAnsiTheme="majorHAnsi" w:cstheme="majorBidi"/>
      <w:color w:val="595959" w:themeColor="text1" w:themeTint="A6"/>
      <w:spacing w:val="15"/>
      <w:sz w:val="28"/>
      <w:szCs w:val="28"/>
    </w:rPr>
  </w:style>
  <w:style w:type="paragraph" w:styleId="af2">
    <w:name w:val="Quote"/>
    <w:basedOn w:val="a0"/>
    <w:next w:val="a0"/>
    <w:link w:val="af3"/>
    <w:uiPriority w:val="29"/>
    <w:qFormat/>
    <w:pPr>
      <w:spacing w:before="160" w:after="160"/>
      <w:ind w:firstLineChars="0" w:firstLine="0"/>
      <w:jc w:val="center"/>
    </w:pPr>
    <w:rPr>
      <w:rFonts w:asciiTheme="minorHAnsi" w:eastAsiaTheme="minorEastAsia" w:hAnsiTheme="minorHAnsi" w:cstheme="minorBidi"/>
      <w:i/>
      <w:iCs/>
      <w:color w:val="404040" w:themeColor="text1" w:themeTint="BF"/>
      <w:sz w:val="21"/>
      <w:szCs w:val="22"/>
    </w:rPr>
  </w:style>
  <w:style w:type="character" w:customStyle="1" w:styleId="af3">
    <w:name w:val="引用 字符"/>
    <w:basedOn w:val="a1"/>
    <w:link w:val="af2"/>
    <w:uiPriority w:val="29"/>
    <w:qFormat/>
    <w:rPr>
      <w:i/>
      <w:iCs/>
      <w:color w:val="404040" w:themeColor="text1" w:themeTint="BF"/>
    </w:rPr>
  </w:style>
  <w:style w:type="paragraph" w:styleId="af4">
    <w:name w:val="List Paragraph"/>
    <w:basedOn w:val="a0"/>
    <w:uiPriority w:val="34"/>
    <w:qFormat/>
    <w:pPr>
      <w:ind w:left="720" w:firstLineChars="0" w:firstLine="0"/>
      <w:contextualSpacing/>
    </w:pPr>
    <w:rPr>
      <w:rFonts w:asciiTheme="minorHAnsi" w:eastAsiaTheme="minorEastAsia" w:hAnsiTheme="minorHAnsi" w:cstheme="minorBidi"/>
      <w:sz w:val="21"/>
      <w:szCs w:val="22"/>
    </w:rPr>
  </w:style>
  <w:style w:type="character" w:customStyle="1" w:styleId="11">
    <w:name w:val="明显强调1"/>
    <w:basedOn w:val="a1"/>
    <w:uiPriority w:val="21"/>
    <w:qFormat/>
    <w:rPr>
      <w:i/>
      <w:iCs/>
      <w:color w:val="0F4761" w:themeColor="accent1" w:themeShade="BF"/>
    </w:rPr>
  </w:style>
  <w:style w:type="paragraph" w:styleId="af5">
    <w:name w:val="Intense Quote"/>
    <w:basedOn w:val="a0"/>
    <w:next w:val="a0"/>
    <w:link w:val="af6"/>
    <w:uiPriority w:val="30"/>
    <w:qFormat/>
    <w:pPr>
      <w:pBdr>
        <w:top w:val="single" w:sz="4" w:space="10" w:color="0F4761" w:themeColor="accent1" w:themeShade="BF"/>
        <w:bottom w:val="single" w:sz="4" w:space="10" w:color="0F4761" w:themeColor="accent1" w:themeShade="BF"/>
      </w:pBdr>
      <w:spacing w:before="360" w:after="360"/>
      <w:ind w:left="864" w:right="864" w:firstLineChars="0" w:firstLine="0"/>
      <w:jc w:val="center"/>
    </w:pPr>
    <w:rPr>
      <w:rFonts w:asciiTheme="minorHAnsi" w:eastAsiaTheme="minorEastAsia" w:hAnsiTheme="minorHAnsi" w:cstheme="minorBidi"/>
      <w:i/>
      <w:iCs/>
      <w:color w:val="0F4761" w:themeColor="accent1" w:themeShade="BF"/>
      <w:sz w:val="21"/>
      <w:szCs w:val="22"/>
    </w:rPr>
  </w:style>
  <w:style w:type="character" w:customStyle="1" w:styleId="af6">
    <w:name w:val="明显引用 字符"/>
    <w:basedOn w:val="a1"/>
    <w:link w:val="af5"/>
    <w:uiPriority w:val="30"/>
    <w:qFormat/>
    <w:rPr>
      <w:i/>
      <w:iCs/>
      <w:color w:val="0F4761" w:themeColor="accent1" w:themeShade="BF"/>
    </w:rPr>
  </w:style>
  <w:style w:type="character" w:customStyle="1" w:styleId="12">
    <w:name w:val="明显参考1"/>
    <w:basedOn w:val="a1"/>
    <w:uiPriority w:val="32"/>
    <w:qFormat/>
    <w:rPr>
      <w:b/>
      <w:bCs/>
      <w:smallCaps/>
      <w:color w:val="0F4761" w:themeColor="accent1" w:themeShade="BF"/>
      <w:spacing w:val="5"/>
    </w:rPr>
  </w:style>
  <w:style w:type="character" w:customStyle="1" w:styleId="a9">
    <w:name w:val="页眉 字符"/>
    <w:basedOn w:val="a1"/>
    <w:link w:val="a8"/>
    <w:uiPriority w:val="99"/>
    <w:qFormat/>
    <w:rPr>
      <w:rFonts w:ascii="Microsoft JhengHei Light" w:eastAsia="Microsoft JhengHei Light" w:hAnsi="Microsoft JhengHei Light" w:cs="Microsoft JhengHei Light"/>
      <w:kern w:val="0"/>
      <w:sz w:val="18"/>
      <w:szCs w:val="18"/>
    </w:rPr>
  </w:style>
  <w:style w:type="character" w:customStyle="1" w:styleId="a7">
    <w:name w:val="页脚 字符"/>
    <w:basedOn w:val="a1"/>
    <w:link w:val="a6"/>
    <w:uiPriority w:val="99"/>
    <w:qFormat/>
    <w:rPr>
      <w:rFonts w:ascii="Microsoft JhengHei Light" w:eastAsia="Microsoft JhengHei Light" w:hAnsi="Microsoft JhengHei Light" w:cs="Microsoft JhengHei Light"/>
      <w:kern w:val="0"/>
      <w:sz w:val="18"/>
      <w:szCs w:val="18"/>
    </w:rPr>
  </w:style>
  <w:style w:type="paragraph" w:customStyle="1" w:styleId="af7">
    <w:name w:val="标准文件_章标题"/>
    <w:basedOn w:val="a0"/>
    <w:next w:val="a0"/>
    <w:qFormat/>
    <w:pPr>
      <w:widowControl/>
      <w:spacing w:beforeLines="100" w:afterLines="100"/>
      <w:ind w:firstLineChars="0" w:firstLine="0"/>
      <w:outlineLvl w:val="0"/>
    </w:pPr>
    <w:rPr>
      <w:rFonts w:ascii="黑体" w:eastAsia="黑体" w:hAnsi="Calibri"/>
      <w:kern w:val="0"/>
      <w:sz w:val="21"/>
      <w:szCs w:val="21"/>
    </w:rPr>
  </w:style>
  <w:style w:type="paragraph" w:customStyle="1" w:styleId="af8">
    <w:name w:val="标准文件_表格"/>
    <w:basedOn w:val="a0"/>
    <w:qFormat/>
    <w:pPr>
      <w:widowControl/>
      <w:autoSpaceDE w:val="0"/>
      <w:autoSpaceDN w:val="0"/>
      <w:ind w:firstLineChars="0" w:firstLine="0"/>
      <w:jc w:val="center"/>
    </w:pPr>
    <w:rPr>
      <w:rFonts w:ascii="宋体" w:eastAsia="宋体" w:hAnsi="Times New Roman" w:cs="Times New Roman"/>
      <w:kern w:val="0"/>
      <w:sz w:val="18"/>
      <w:szCs w:val="20"/>
    </w:rPr>
  </w:style>
  <w:style w:type="paragraph" w:customStyle="1" w:styleId="af9">
    <w:name w:val="标准文件_段"/>
    <w:link w:val="Char"/>
    <w:qFormat/>
    <w:pPr>
      <w:autoSpaceDE w:val="0"/>
      <w:autoSpaceDN w:val="0"/>
      <w:ind w:firstLineChars="200" w:firstLine="200"/>
      <w:jc w:val="both"/>
    </w:pPr>
    <w:rPr>
      <w:rFonts w:ascii="宋体" w:hAnsi="Times New Roman" w:cs="Times New Roman"/>
      <w:sz w:val="21"/>
    </w:rPr>
  </w:style>
  <w:style w:type="paragraph" w:customStyle="1" w:styleId="a">
    <w:name w:val="标准文件_正文表标题"/>
    <w:next w:val="af9"/>
    <w:qFormat/>
    <w:pPr>
      <w:numPr>
        <w:numId w:val="1"/>
      </w:numPr>
      <w:tabs>
        <w:tab w:val="left" w:pos="0"/>
      </w:tabs>
      <w:spacing w:beforeLines="50" w:before="50" w:afterLines="50" w:after="50"/>
      <w:jc w:val="center"/>
    </w:pPr>
    <w:rPr>
      <w:rFonts w:ascii="黑体" w:eastAsia="黑体" w:hAnsi="Times New Roman" w:cs="Times New Roman"/>
      <w:sz w:val="21"/>
    </w:rPr>
  </w:style>
  <w:style w:type="character" w:customStyle="1" w:styleId="Char">
    <w:name w:val="标准文件_段 Char"/>
    <w:link w:val="af9"/>
    <w:qFormat/>
    <w:rPr>
      <w:rFonts w:ascii="宋体" w:hAnsi="Times New Roman" w:cs="Times New Roman"/>
      <w:sz w:val="21"/>
    </w:rPr>
  </w:style>
  <w:style w:type="character" w:customStyle="1" w:styleId="a5">
    <w:name w:val="批注文字 字符"/>
    <w:basedOn w:val="a1"/>
    <w:link w:val="a4"/>
    <w:uiPriority w:val="99"/>
    <w:semiHidden/>
    <w:qFormat/>
    <w:rPr>
      <w:rFonts w:ascii="仿宋_GB2312" w:eastAsia="仿宋_GB2312" w:hAnsi="宋体"/>
      <w:kern w:val="2"/>
      <w:sz w:val="28"/>
      <w:szCs w:val="28"/>
    </w:rPr>
  </w:style>
  <w:style w:type="character" w:customStyle="1" w:styleId="af">
    <w:name w:val="批注主题 字符"/>
    <w:basedOn w:val="a5"/>
    <w:link w:val="ae"/>
    <w:uiPriority w:val="99"/>
    <w:semiHidden/>
    <w:qFormat/>
    <w:rPr>
      <w:rFonts w:ascii="仿宋_GB2312" w:eastAsia="仿宋_GB2312" w:hAnsi="宋体"/>
      <w:b/>
      <w:bCs/>
      <w:kern w:val="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 Id="rId27"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240</TotalTime>
  <Pages>27</Pages>
  <Words>5412</Words>
  <Characters>5684</Characters>
  <Application>Microsoft Office Word</Application>
  <DocSecurity>0</DocSecurity>
  <Lines>1421</Lines>
  <Paragraphs>616</Paragraphs>
  <ScaleCrop>false</ScaleCrop>
  <Company/>
  <LinksUpToDate>false</LinksUpToDate>
  <CharactersWithSpaces>10480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mingli chen</dc:creator>
  <cp:lastModifiedBy>dongling qin</cp:lastModifiedBy>
  <cp:revision>233</cp:revision>
  <cp:lastPrinted>2025-09-30T07:40:00Z</cp:lastPrinted>
  <dcterms:created xsi:type="dcterms:W3CDTF">2025-09-12T03:34:00Z</dcterms:created>
  <dcterms:modified xsi:type="dcterms:W3CDTF">2026-01-01T19:36:00Z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eyJoZGlkIjoiYmM3YzBlMmJkOTdlNDE5YWVkMmU3YzUxMmU4YzJjN2QiLCJ1c2VySWQiOiI2NTg1ODk2OTMifQ==</vt:lpwstr>
  </property>
  <property fmtid="{D5CDD505-2E9C-101B-9397-08002B2CF9AE}" pid="3" name="KSOProductBuildVer">
    <vt:lpwstr>2052-12.1.0.23542</vt:lpwstr>
  </property>
  <property fmtid="{D5CDD505-2E9C-101B-9397-08002B2CF9AE}" pid="4" name="ICV">
    <vt:lpwstr>B38F32679B894901A5B93515A9740989_12</vt:lpwstr>
  </property>
</Properties>
</file>