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64BF13">
      <w:pPr>
        <w:spacing w:line="560" w:lineRule="exact"/>
        <w:jc w:val="center"/>
        <w:rPr>
          <w:rFonts w:ascii="黑体" w:hAnsi="黑体" w:eastAsia="黑体" w:cs="黑体"/>
          <w:color w:val="000000"/>
          <w:sz w:val="44"/>
          <w:szCs w:val="44"/>
        </w:rPr>
      </w:pPr>
      <w:r>
        <w:rPr>
          <w:rFonts w:hint="eastAsia" w:ascii="黑体" w:hAnsi="黑体" w:eastAsia="黑体" w:cs="黑体"/>
          <w:color w:val="000000"/>
          <w:sz w:val="44"/>
          <w:szCs w:val="44"/>
        </w:rPr>
        <w:t>团体标准《孕妇产前母乳喂养评估规范》</w:t>
      </w:r>
    </w:p>
    <w:p w14:paraId="0C031F43">
      <w:pPr>
        <w:spacing w:line="560" w:lineRule="exact"/>
        <w:jc w:val="center"/>
        <w:rPr>
          <w:rFonts w:ascii="黑体" w:hAnsi="黑体" w:eastAsia="黑体" w:cs="黑体"/>
          <w:color w:val="000000"/>
          <w:sz w:val="44"/>
          <w:szCs w:val="44"/>
        </w:rPr>
      </w:pPr>
      <w:r>
        <w:rPr>
          <w:rFonts w:hint="eastAsia" w:ascii="黑体" w:hAnsi="黑体" w:eastAsia="黑体" w:cs="黑体"/>
          <w:color w:val="000000"/>
          <w:sz w:val="44"/>
          <w:szCs w:val="44"/>
        </w:rPr>
        <w:t>（征求意见稿）编制说明</w:t>
      </w:r>
    </w:p>
    <w:p w14:paraId="6ED2FB45">
      <w:pPr>
        <w:pStyle w:val="9"/>
        <w:ind w:firstLine="640" w:firstLineChars="200"/>
        <w:jc w:val="left"/>
        <w:rPr>
          <w:rFonts w:ascii="黑体" w:hAnsi="黑体" w:eastAsia="黑体"/>
          <w:b w:val="0"/>
        </w:rPr>
      </w:pPr>
      <w:r>
        <w:rPr>
          <w:rFonts w:hint="eastAsia" w:ascii="黑体" w:hAnsi="黑体" w:eastAsia="黑体"/>
          <w:b w:val="0"/>
        </w:rPr>
        <w:t>一、项目来源</w:t>
      </w:r>
    </w:p>
    <w:p w14:paraId="2EFE6D2B">
      <w:pPr>
        <w:spacing w:line="560" w:lineRule="exact"/>
        <w:ind w:firstLine="640" w:firstLineChars="200"/>
        <w:rPr>
          <w:rFonts w:ascii="仿宋" w:hAnsi="仿宋" w:eastAsia="仿宋"/>
          <w:sz w:val="32"/>
          <w:szCs w:val="32"/>
        </w:rPr>
      </w:pPr>
      <w:r>
        <w:rPr>
          <w:rFonts w:hint="eastAsia" w:ascii="仿宋" w:hAnsi="仿宋" w:eastAsia="仿宋"/>
          <w:sz w:val="32"/>
          <w:szCs w:val="32"/>
        </w:rPr>
        <w:t>根据《广西标准化协会关于下达2026年第一批团体标准制修定项目计划的通知》（桂标协〔2026〕25号）文件精神，由广西医科大学第二附属医院提出，广西医科大学第二附属医院、北京大学第一医院、常州市妇幼保健院、东莞市中医院、广西壮族自治区人民医院、南宁市第一人民医院、广西壮族自治区妇幼保健院、广西医科大学第一附属医院、右江民族医学院附属医院、桂平市人民医院、中国人民解放军联勤保障部队第九二四医院、钦州市第一人民医院、钦州市妇幼保健院、广西医科大学护理学院、广西医科大学附属武鸣医院、南宁市妇幼保健院、广西国际壮医医院、大新县人民医院共同起草的团体标准《孕妇产前母乳喂养评估规范》（项目编号2026-0120）获批立项。</w:t>
      </w:r>
    </w:p>
    <w:p w14:paraId="71AEE20F">
      <w:pPr>
        <w:spacing w:line="560" w:lineRule="exact"/>
        <w:ind w:firstLine="640" w:firstLineChars="200"/>
        <w:rPr>
          <w:rFonts w:ascii="仿宋" w:hAnsi="仿宋" w:eastAsia="仿宋"/>
          <w:sz w:val="32"/>
          <w:szCs w:val="32"/>
        </w:rPr>
      </w:pPr>
      <w:r>
        <w:rPr>
          <w:rFonts w:hint="eastAsia" w:ascii="仿宋" w:hAnsi="仿宋" w:eastAsia="仿宋"/>
          <w:sz w:val="32"/>
          <w:szCs w:val="32"/>
        </w:rPr>
        <w:t>主要分工如下：</w:t>
      </w:r>
    </w:p>
    <w:tbl>
      <w:tblPr>
        <w:tblStyle w:val="10"/>
        <w:tblW w:w="5461" w:type="pct"/>
        <w:tblInd w:w="-3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184"/>
        <w:gridCol w:w="1455"/>
        <w:gridCol w:w="2401"/>
        <w:gridCol w:w="3162"/>
      </w:tblGrid>
      <w:tr w14:paraId="363D3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4" w:type="pct"/>
            <w:tcBorders>
              <w:top w:val="single" w:color="auto" w:sz="4" w:space="0"/>
              <w:left w:val="single" w:color="auto" w:sz="4" w:space="0"/>
              <w:bottom w:val="single" w:color="auto" w:sz="4" w:space="0"/>
              <w:right w:val="single" w:color="auto" w:sz="4" w:space="0"/>
            </w:tcBorders>
            <w:vAlign w:val="center"/>
          </w:tcPr>
          <w:p w14:paraId="5D2358AD">
            <w:pPr>
              <w:jc w:val="center"/>
              <w:rPr>
                <w:rFonts w:ascii="仿宋_GB2312" w:hAnsi="仿宋_GB2312" w:eastAsia="仿宋_GB2312" w:cs="仿宋_GB2312"/>
                <w:b/>
                <w:sz w:val="24"/>
              </w:rPr>
            </w:pPr>
            <w:r>
              <w:rPr>
                <w:rFonts w:hint="eastAsia" w:ascii="仿宋_GB2312" w:hAnsi="仿宋_GB2312" w:eastAsia="仿宋_GB2312" w:cs="仿宋_GB2312"/>
                <w:b/>
                <w:sz w:val="24"/>
                <w:lang w:bidi="ar"/>
              </w:rPr>
              <w:t>姓名</w:t>
            </w:r>
          </w:p>
        </w:tc>
        <w:tc>
          <w:tcPr>
            <w:tcW w:w="636" w:type="pct"/>
            <w:tcBorders>
              <w:top w:val="single" w:color="auto" w:sz="4" w:space="0"/>
              <w:left w:val="single" w:color="auto" w:sz="4" w:space="0"/>
              <w:bottom w:val="single" w:color="auto" w:sz="4" w:space="0"/>
              <w:right w:val="single" w:color="auto" w:sz="4" w:space="0"/>
            </w:tcBorders>
            <w:vAlign w:val="center"/>
          </w:tcPr>
          <w:p w14:paraId="300DCF06">
            <w:pPr>
              <w:jc w:val="center"/>
              <w:rPr>
                <w:rFonts w:ascii="仿宋_GB2312" w:hAnsi="仿宋_GB2312" w:eastAsia="仿宋_GB2312" w:cs="仿宋_GB2312"/>
                <w:b/>
                <w:sz w:val="24"/>
              </w:rPr>
            </w:pPr>
            <w:r>
              <w:rPr>
                <w:rFonts w:hint="eastAsia" w:ascii="仿宋_GB2312" w:hAnsi="仿宋_GB2312" w:eastAsia="仿宋_GB2312" w:cs="仿宋_GB2312"/>
                <w:b/>
                <w:sz w:val="24"/>
                <w:lang w:bidi="ar"/>
              </w:rPr>
              <w:t>职务/职称</w:t>
            </w:r>
          </w:p>
        </w:tc>
        <w:tc>
          <w:tcPr>
            <w:tcW w:w="781" w:type="pct"/>
            <w:tcBorders>
              <w:top w:val="single" w:color="auto" w:sz="4" w:space="0"/>
              <w:left w:val="single" w:color="auto" w:sz="4" w:space="0"/>
              <w:bottom w:val="single" w:color="auto" w:sz="4" w:space="0"/>
              <w:right w:val="single" w:color="auto" w:sz="4" w:space="0"/>
            </w:tcBorders>
            <w:vAlign w:val="center"/>
          </w:tcPr>
          <w:p w14:paraId="1CCBDB6B">
            <w:pPr>
              <w:jc w:val="center"/>
              <w:rPr>
                <w:rFonts w:ascii="仿宋_GB2312" w:hAnsi="仿宋_GB2312" w:eastAsia="仿宋_GB2312" w:cs="仿宋_GB2312"/>
                <w:b/>
                <w:sz w:val="24"/>
              </w:rPr>
            </w:pPr>
            <w:r>
              <w:rPr>
                <w:rFonts w:hint="eastAsia" w:ascii="仿宋_GB2312" w:hAnsi="仿宋_GB2312" w:eastAsia="仿宋_GB2312" w:cs="仿宋_GB2312"/>
                <w:b/>
                <w:sz w:val="24"/>
                <w:lang w:bidi="ar"/>
              </w:rPr>
              <w:t>从事专业</w:t>
            </w:r>
          </w:p>
        </w:tc>
        <w:tc>
          <w:tcPr>
            <w:tcW w:w="1289" w:type="pct"/>
            <w:tcBorders>
              <w:top w:val="single" w:color="auto" w:sz="4" w:space="0"/>
              <w:left w:val="single" w:color="auto" w:sz="4" w:space="0"/>
              <w:bottom w:val="single" w:color="auto" w:sz="4" w:space="0"/>
              <w:right w:val="single" w:color="auto" w:sz="4" w:space="0"/>
            </w:tcBorders>
            <w:vAlign w:val="center"/>
          </w:tcPr>
          <w:p w14:paraId="53AD613A">
            <w:pPr>
              <w:jc w:val="center"/>
              <w:rPr>
                <w:rFonts w:ascii="仿宋_GB2312" w:hAnsi="仿宋_GB2312" w:eastAsia="仿宋_GB2312" w:cs="仿宋_GB2312"/>
                <w:b/>
                <w:sz w:val="24"/>
              </w:rPr>
            </w:pPr>
            <w:r>
              <w:rPr>
                <w:rFonts w:hint="eastAsia" w:ascii="仿宋_GB2312" w:hAnsi="仿宋_GB2312" w:eastAsia="仿宋_GB2312" w:cs="仿宋_GB2312"/>
                <w:b/>
                <w:sz w:val="24"/>
                <w:lang w:bidi="ar"/>
              </w:rPr>
              <w:t>工作单位</w:t>
            </w:r>
          </w:p>
        </w:tc>
        <w:tc>
          <w:tcPr>
            <w:tcW w:w="1698" w:type="pct"/>
            <w:tcBorders>
              <w:top w:val="single" w:color="auto" w:sz="4" w:space="0"/>
              <w:left w:val="single" w:color="auto" w:sz="4" w:space="0"/>
              <w:bottom w:val="single" w:color="auto" w:sz="4" w:space="0"/>
              <w:right w:val="single" w:color="auto" w:sz="4" w:space="0"/>
            </w:tcBorders>
            <w:vAlign w:val="center"/>
          </w:tcPr>
          <w:p w14:paraId="3D77C13E">
            <w:pPr>
              <w:jc w:val="center"/>
              <w:rPr>
                <w:rFonts w:ascii="仿宋_GB2312" w:hAnsi="仿宋_GB2312" w:eastAsia="仿宋_GB2312" w:cs="仿宋_GB2312"/>
                <w:b/>
                <w:sz w:val="24"/>
              </w:rPr>
            </w:pPr>
            <w:r>
              <w:rPr>
                <w:rFonts w:hint="eastAsia" w:ascii="仿宋_GB2312" w:hAnsi="仿宋_GB2312" w:eastAsia="仿宋_GB2312" w:cs="仿宋_GB2312"/>
                <w:b/>
                <w:sz w:val="24"/>
                <w:lang w:bidi="ar"/>
              </w:rPr>
              <w:t>责任分工</w:t>
            </w:r>
          </w:p>
        </w:tc>
      </w:tr>
      <w:tr w14:paraId="08843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4D3B78B">
            <w:pPr>
              <w:jc w:val="center"/>
              <w:rPr>
                <w:rFonts w:ascii="仿宋_GB2312" w:hAnsi="仿宋_GB2312" w:eastAsia="仿宋_GB2312" w:cs="仿宋_GB2312"/>
                <w:sz w:val="24"/>
              </w:rPr>
            </w:pPr>
            <w:r>
              <w:rPr>
                <w:rFonts w:hint="eastAsia" w:ascii="仿宋_GB2312" w:hAnsi="仿宋" w:eastAsia="仿宋_GB2312" w:cs="仿宋"/>
                <w:sz w:val="24"/>
                <w:lang w:bidi="ar"/>
              </w:rPr>
              <w:t>黄燕</w:t>
            </w:r>
          </w:p>
        </w:tc>
        <w:tc>
          <w:tcPr>
            <w:tcW w:w="636" w:type="pct"/>
            <w:tcBorders>
              <w:top w:val="single" w:color="auto" w:sz="4" w:space="0"/>
              <w:left w:val="single" w:color="auto" w:sz="4" w:space="0"/>
              <w:bottom w:val="single" w:color="auto" w:sz="4" w:space="0"/>
              <w:right w:val="single" w:color="auto" w:sz="4" w:space="0"/>
            </w:tcBorders>
            <w:vAlign w:val="center"/>
          </w:tcPr>
          <w:p w14:paraId="2935491B">
            <w:pPr>
              <w:jc w:val="center"/>
              <w:rPr>
                <w:rFonts w:ascii="仿宋_GB2312" w:hAnsi="仿宋_GB2312" w:eastAsia="仿宋_GB2312" w:cs="仿宋_GB2312"/>
                <w:sz w:val="24"/>
              </w:rPr>
            </w:pPr>
            <w:r>
              <w:rPr>
                <w:rFonts w:hint="eastAsia" w:ascii="仿宋_GB2312" w:hAnsi="仿宋" w:eastAsia="仿宋_GB2312" w:cs="仿宋"/>
                <w:sz w:val="24"/>
                <w:lang w:bidi="ar"/>
              </w:rPr>
              <w:t>主任医师</w:t>
            </w:r>
          </w:p>
        </w:tc>
        <w:tc>
          <w:tcPr>
            <w:tcW w:w="781" w:type="pct"/>
            <w:tcBorders>
              <w:top w:val="single" w:color="auto" w:sz="4" w:space="0"/>
              <w:left w:val="single" w:color="auto" w:sz="4" w:space="0"/>
              <w:bottom w:val="single" w:color="auto" w:sz="4" w:space="0"/>
              <w:right w:val="single" w:color="auto" w:sz="4" w:space="0"/>
            </w:tcBorders>
            <w:vAlign w:val="center"/>
          </w:tcPr>
          <w:p w14:paraId="7C426314">
            <w:pPr>
              <w:jc w:val="center"/>
              <w:rPr>
                <w:rFonts w:ascii="仿宋_GB2312" w:hAnsi="仿宋_GB2312" w:eastAsia="仿宋_GB2312" w:cs="仿宋_GB2312"/>
                <w:sz w:val="24"/>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19DFE10B">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3CC91054">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76D8F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54079BD8">
            <w:pPr>
              <w:jc w:val="center"/>
              <w:rPr>
                <w:rFonts w:ascii="仿宋_GB2312" w:hAnsi="仿宋_GB2312" w:eastAsia="仿宋_GB2312" w:cs="仿宋_GB2312"/>
                <w:sz w:val="24"/>
              </w:rPr>
            </w:pPr>
            <w:r>
              <w:rPr>
                <w:rFonts w:hint="eastAsia" w:ascii="仿宋_GB2312" w:hAnsi="仿宋" w:eastAsia="仿宋_GB2312" w:cs="仿宋"/>
                <w:sz w:val="24"/>
                <w:lang w:bidi="ar"/>
              </w:rPr>
              <w:t>黄秋红</w:t>
            </w:r>
          </w:p>
        </w:tc>
        <w:tc>
          <w:tcPr>
            <w:tcW w:w="636" w:type="pct"/>
            <w:tcBorders>
              <w:top w:val="single" w:color="auto" w:sz="4" w:space="0"/>
              <w:left w:val="single" w:color="auto" w:sz="4" w:space="0"/>
              <w:bottom w:val="single" w:color="auto" w:sz="4" w:space="0"/>
              <w:right w:val="single" w:color="auto" w:sz="4" w:space="0"/>
            </w:tcBorders>
            <w:vAlign w:val="center"/>
          </w:tcPr>
          <w:p w14:paraId="42F28356">
            <w:pPr>
              <w:jc w:val="center"/>
              <w:rPr>
                <w:rFonts w:ascii="仿宋_GB2312" w:hAnsi="仿宋_GB2312" w:eastAsia="仿宋_GB2312" w:cs="仿宋_GB2312"/>
                <w:sz w:val="24"/>
              </w:rPr>
            </w:pPr>
            <w:r>
              <w:rPr>
                <w:rFonts w:hint="eastAsia" w:ascii="仿宋_GB2312" w:hAnsi="仿宋" w:eastAsia="仿宋_GB2312" w:cs="仿宋"/>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6CA55A39">
            <w:pPr>
              <w:jc w:val="center"/>
              <w:rPr>
                <w:rFonts w:ascii="仿宋_GB2312" w:hAnsi="仿宋_GB2312" w:eastAsia="仿宋_GB2312" w:cs="仿宋_GB2312"/>
                <w:sz w:val="24"/>
              </w:rPr>
            </w:pPr>
            <w:r>
              <w:rPr>
                <w:rFonts w:hint="eastAsia" w:ascii="仿宋_GB2312" w:hAnsi="仿宋" w:eastAsia="仿宋_GB2312" w:cs="仿宋"/>
                <w:sz w:val="24"/>
                <w:lang w:bidi="ar"/>
              </w:rPr>
              <w:t>护理管理、妇产科护理</w:t>
            </w:r>
          </w:p>
        </w:tc>
        <w:tc>
          <w:tcPr>
            <w:tcW w:w="1289" w:type="pct"/>
            <w:tcBorders>
              <w:top w:val="single" w:color="auto" w:sz="4" w:space="0"/>
              <w:left w:val="single" w:color="auto" w:sz="4" w:space="0"/>
              <w:bottom w:val="single" w:color="auto" w:sz="4" w:space="0"/>
              <w:right w:val="single" w:color="auto" w:sz="4" w:space="0"/>
            </w:tcBorders>
            <w:vAlign w:val="center"/>
          </w:tcPr>
          <w:p w14:paraId="1E8330B3">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29EFFD66">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44C08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CC76319">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刘军</w:t>
            </w:r>
          </w:p>
        </w:tc>
        <w:tc>
          <w:tcPr>
            <w:tcW w:w="636" w:type="pct"/>
            <w:tcBorders>
              <w:top w:val="single" w:color="auto" w:sz="4" w:space="0"/>
              <w:left w:val="single" w:color="auto" w:sz="4" w:space="0"/>
              <w:bottom w:val="single" w:color="auto" w:sz="4" w:space="0"/>
              <w:right w:val="single" w:color="auto" w:sz="4" w:space="0"/>
            </w:tcBorders>
            <w:vAlign w:val="center"/>
          </w:tcPr>
          <w:p w14:paraId="0831A6D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73DABAE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护理管理、护理教育</w:t>
            </w:r>
          </w:p>
        </w:tc>
        <w:tc>
          <w:tcPr>
            <w:tcW w:w="1289" w:type="pct"/>
            <w:tcBorders>
              <w:top w:val="single" w:color="auto" w:sz="4" w:space="0"/>
              <w:left w:val="single" w:color="auto" w:sz="4" w:space="0"/>
              <w:bottom w:val="single" w:color="auto" w:sz="4" w:space="0"/>
              <w:right w:val="single" w:color="auto" w:sz="4" w:space="0"/>
            </w:tcBorders>
            <w:vAlign w:val="center"/>
          </w:tcPr>
          <w:p w14:paraId="29413B96">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北京大学第一医院</w:t>
            </w:r>
          </w:p>
        </w:tc>
        <w:tc>
          <w:tcPr>
            <w:tcW w:w="1698" w:type="pct"/>
            <w:tcBorders>
              <w:top w:val="single" w:color="auto" w:sz="4" w:space="0"/>
              <w:left w:val="single" w:color="auto" w:sz="4" w:space="0"/>
              <w:bottom w:val="single" w:color="auto" w:sz="4" w:space="0"/>
              <w:right w:val="single" w:color="auto" w:sz="4" w:space="0"/>
            </w:tcBorders>
            <w:vAlign w:val="center"/>
          </w:tcPr>
          <w:p w14:paraId="4697B326">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参与标准文本及编制说明编写，质量控制。</w:t>
            </w:r>
          </w:p>
        </w:tc>
      </w:tr>
      <w:tr w14:paraId="5A36F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2834533B">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魏卫红</w:t>
            </w:r>
          </w:p>
        </w:tc>
        <w:tc>
          <w:tcPr>
            <w:tcW w:w="636" w:type="pct"/>
            <w:tcBorders>
              <w:top w:val="single" w:color="auto" w:sz="4" w:space="0"/>
              <w:left w:val="single" w:color="auto" w:sz="4" w:space="0"/>
              <w:bottom w:val="single" w:color="auto" w:sz="4" w:space="0"/>
              <w:right w:val="single" w:color="auto" w:sz="4" w:space="0"/>
            </w:tcBorders>
            <w:vAlign w:val="center"/>
          </w:tcPr>
          <w:p w14:paraId="7A69C876">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473C4264">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护理管理、母婴护理</w:t>
            </w:r>
          </w:p>
        </w:tc>
        <w:tc>
          <w:tcPr>
            <w:tcW w:w="1289" w:type="pct"/>
            <w:tcBorders>
              <w:top w:val="single" w:color="auto" w:sz="4" w:space="0"/>
              <w:left w:val="single" w:color="auto" w:sz="4" w:space="0"/>
              <w:bottom w:val="single" w:color="auto" w:sz="4" w:space="0"/>
              <w:right w:val="single" w:color="auto" w:sz="4" w:space="0"/>
            </w:tcBorders>
            <w:vAlign w:val="center"/>
          </w:tcPr>
          <w:p w14:paraId="6DCBC2F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常州市妇幼保健院</w:t>
            </w:r>
          </w:p>
        </w:tc>
        <w:tc>
          <w:tcPr>
            <w:tcW w:w="1698" w:type="pct"/>
            <w:tcBorders>
              <w:top w:val="single" w:color="auto" w:sz="4" w:space="0"/>
              <w:left w:val="single" w:color="auto" w:sz="4" w:space="0"/>
              <w:bottom w:val="single" w:color="auto" w:sz="4" w:space="0"/>
              <w:right w:val="single" w:color="auto" w:sz="4" w:space="0"/>
            </w:tcBorders>
            <w:vAlign w:val="center"/>
          </w:tcPr>
          <w:p w14:paraId="3D03EA0E">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参与标准文本及编制说明编写，质量控制。</w:t>
            </w:r>
          </w:p>
        </w:tc>
      </w:tr>
      <w:tr w14:paraId="46F1F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08C3C0C2">
            <w:pPr>
              <w:jc w:val="center"/>
              <w:rPr>
                <w:rFonts w:ascii="仿宋_GB2312" w:hAnsi="仿宋_GB2312" w:eastAsia="仿宋_GB2312" w:cs="仿宋_GB2312"/>
                <w:sz w:val="24"/>
              </w:rPr>
            </w:pPr>
            <w:r>
              <w:rPr>
                <w:rFonts w:hint="eastAsia" w:ascii="仿宋_GB2312" w:hAnsi="仿宋_GB2312" w:eastAsia="仿宋_GB2312" w:cs="仿宋_GB2312"/>
                <w:sz w:val="24"/>
              </w:rPr>
              <w:t>赵伟</w:t>
            </w:r>
          </w:p>
        </w:tc>
        <w:tc>
          <w:tcPr>
            <w:tcW w:w="636" w:type="pct"/>
            <w:tcBorders>
              <w:top w:val="single" w:color="auto" w:sz="4" w:space="0"/>
              <w:left w:val="single" w:color="auto" w:sz="4" w:space="0"/>
              <w:bottom w:val="single" w:color="auto" w:sz="4" w:space="0"/>
              <w:right w:val="single" w:color="auto" w:sz="4" w:space="0"/>
            </w:tcBorders>
            <w:vAlign w:val="center"/>
          </w:tcPr>
          <w:p w14:paraId="58C67DDC">
            <w:pPr>
              <w:jc w:val="center"/>
              <w:rPr>
                <w:rFonts w:ascii="仿宋_GB2312" w:hAnsi="仿宋" w:eastAsia="仿宋_GB2312" w:cs="仿宋"/>
                <w:sz w:val="24"/>
                <w:lang w:bidi="ar"/>
              </w:rPr>
            </w:pPr>
            <w:r>
              <w:rPr>
                <w:rFonts w:hint="eastAsia" w:ascii="仿宋_GB2312" w:hAnsi="仿宋" w:eastAsia="仿宋_GB2312" w:cs="仿宋"/>
                <w:sz w:val="24"/>
                <w:lang w:bidi="ar"/>
              </w:rPr>
              <w:t>主任医师</w:t>
            </w:r>
          </w:p>
        </w:tc>
        <w:tc>
          <w:tcPr>
            <w:tcW w:w="781" w:type="pct"/>
            <w:tcBorders>
              <w:top w:val="single" w:color="auto" w:sz="4" w:space="0"/>
              <w:left w:val="single" w:color="auto" w:sz="4" w:space="0"/>
              <w:bottom w:val="single" w:color="auto" w:sz="4" w:space="0"/>
              <w:right w:val="single" w:color="auto" w:sz="4" w:space="0"/>
            </w:tcBorders>
            <w:vAlign w:val="center"/>
          </w:tcPr>
          <w:p w14:paraId="51D74147">
            <w:pPr>
              <w:jc w:val="center"/>
              <w:rPr>
                <w:rFonts w:ascii="仿宋_GB2312" w:hAnsi="仿宋" w:eastAsia="仿宋_GB2312" w:cs="仿宋"/>
                <w:sz w:val="24"/>
                <w:lang w:bidi="ar"/>
              </w:rPr>
            </w:pPr>
            <w:r>
              <w:rPr>
                <w:rFonts w:hint="eastAsia" w:ascii="仿宋_GB2312" w:hAnsi="仿宋" w:eastAsia="仿宋_GB2312" w:cs="仿宋"/>
                <w:sz w:val="24"/>
                <w:lang w:bidi="ar"/>
              </w:rPr>
              <w:t>医院管理、肿瘤诊疗学</w:t>
            </w:r>
          </w:p>
        </w:tc>
        <w:tc>
          <w:tcPr>
            <w:tcW w:w="1289" w:type="pct"/>
            <w:tcBorders>
              <w:top w:val="single" w:color="auto" w:sz="4" w:space="0"/>
              <w:left w:val="single" w:color="auto" w:sz="4" w:space="0"/>
              <w:bottom w:val="single" w:color="auto" w:sz="4" w:space="0"/>
              <w:right w:val="single" w:color="auto" w:sz="4" w:space="0"/>
            </w:tcBorders>
            <w:vAlign w:val="center"/>
          </w:tcPr>
          <w:p w14:paraId="49F03143">
            <w:pPr>
              <w:jc w:val="center"/>
              <w:rPr>
                <w:rFonts w:ascii="仿宋_GB2312" w:hAnsi="仿宋" w:eastAsia="仿宋_GB2312" w:cs="仿宋"/>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1E9EA378">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26D4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C38EE00">
            <w:pPr>
              <w:jc w:val="center"/>
              <w:rPr>
                <w:rFonts w:ascii="仿宋_GB2312" w:hAnsi="仿宋_GB2312" w:eastAsia="仿宋_GB2312" w:cs="仿宋_GB2312"/>
                <w:sz w:val="24"/>
              </w:rPr>
            </w:pPr>
            <w:r>
              <w:rPr>
                <w:rFonts w:hint="eastAsia" w:ascii="仿宋_GB2312" w:hAnsi="仿宋" w:eastAsia="仿宋_GB2312" w:cs="仿宋"/>
                <w:sz w:val="24"/>
                <w:lang w:bidi="ar"/>
              </w:rPr>
              <w:t>黄惠桥</w:t>
            </w:r>
          </w:p>
        </w:tc>
        <w:tc>
          <w:tcPr>
            <w:tcW w:w="636" w:type="pct"/>
            <w:tcBorders>
              <w:top w:val="single" w:color="auto" w:sz="4" w:space="0"/>
              <w:left w:val="single" w:color="auto" w:sz="4" w:space="0"/>
              <w:bottom w:val="single" w:color="auto" w:sz="4" w:space="0"/>
              <w:right w:val="single" w:color="auto" w:sz="4" w:space="0"/>
            </w:tcBorders>
            <w:vAlign w:val="center"/>
          </w:tcPr>
          <w:p w14:paraId="3F0F4C65">
            <w:pPr>
              <w:jc w:val="center"/>
              <w:rPr>
                <w:rFonts w:ascii="仿宋_GB2312" w:hAnsi="仿宋_GB2312" w:eastAsia="仿宋_GB2312" w:cs="仿宋_GB2312"/>
                <w:sz w:val="24"/>
              </w:rPr>
            </w:pPr>
            <w:r>
              <w:rPr>
                <w:rFonts w:hint="eastAsia" w:ascii="仿宋_GB2312" w:hAnsi="仿宋" w:eastAsia="仿宋_GB2312" w:cs="仿宋"/>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48F282BA">
            <w:pPr>
              <w:jc w:val="center"/>
              <w:rPr>
                <w:rFonts w:ascii="仿宋_GB2312" w:hAnsi="仿宋_GB2312" w:eastAsia="仿宋_GB2312" w:cs="仿宋_GB2312"/>
                <w:sz w:val="24"/>
              </w:rPr>
            </w:pPr>
            <w:r>
              <w:rPr>
                <w:rFonts w:hint="eastAsia" w:ascii="仿宋_GB2312" w:hAnsi="仿宋" w:eastAsia="仿宋_GB2312" w:cs="仿宋"/>
                <w:sz w:val="24"/>
                <w:lang w:bidi="ar"/>
              </w:rPr>
              <w:t>护理管理、外科护理</w:t>
            </w:r>
          </w:p>
        </w:tc>
        <w:tc>
          <w:tcPr>
            <w:tcW w:w="1289" w:type="pct"/>
            <w:tcBorders>
              <w:top w:val="single" w:color="auto" w:sz="4" w:space="0"/>
              <w:left w:val="single" w:color="auto" w:sz="4" w:space="0"/>
              <w:bottom w:val="single" w:color="auto" w:sz="4" w:space="0"/>
              <w:right w:val="single" w:color="auto" w:sz="4" w:space="0"/>
            </w:tcBorders>
            <w:vAlign w:val="center"/>
          </w:tcPr>
          <w:p w14:paraId="1A8DF0B7">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2585979">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50222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55ECBD5A">
            <w:pPr>
              <w:jc w:val="center"/>
              <w:rPr>
                <w:rFonts w:ascii="仿宋_GB2312" w:hAnsi="仿宋" w:eastAsia="仿宋_GB2312" w:cs="仿宋"/>
                <w:sz w:val="24"/>
                <w:lang w:bidi="ar"/>
              </w:rPr>
            </w:pPr>
            <w:r>
              <w:rPr>
                <w:rFonts w:hint="eastAsia" w:ascii="仿宋_GB2312" w:hAnsi="仿宋" w:eastAsia="仿宋_GB2312" w:cs="仿宋"/>
                <w:sz w:val="24"/>
                <w:lang w:bidi="ar"/>
              </w:rPr>
              <w:t>陈红</w:t>
            </w:r>
          </w:p>
        </w:tc>
        <w:tc>
          <w:tcPr>
            <w:tcW w:w="636" w:type="pct"/>
            <w:tcBorders>
              <w:top w:val="single" w:color="auto" w:sz="4" w:space="0"/>
              <w:left w:val="single" w:color="auto" w:sz="4" w:space="0"/>
              <w:bottom w:val="single" w:color="auto" w:sz="4" w:space="0"/>
              <w:right w:val="single" w:color="auto" w:sz="4" w:space="0"/>
            </w:tcBorders>
            <w:vAlign w:val="center"/>
          </w:tcPr>
          <w:p w14:paraId="7628FD22">
            <w:pPr>
              <w:jc w:val="center"/>
              <w:rPr>
                <w:rFonts w:ascii="仿宋_GB2312" w:hAnsi="仿宋" w:eastAsia="仿宋_GB2312" w:cs="仿宋"/>
                <w:sz w:val="24"/>
                <w:lang w:bidi="ar"/>
              </w:rPr>
            </w:pPr>
            <w:r>
              <w:rPr>
                <w:rFonts w:hint="eastAsia" w:ascii="仿宋_GB2312" w:hAnsi="仿宋" w:eastAsia="仿宋_GB2312" w:cs="仿宋"/>
                <w:sz w:val="24"/>
                <w:lang w:bidi="ar"/>
              </w:rPr>
              <w:t>全国母乳喂养专家组组长</w:t>
            </w:r>
          </w:p>
        </w:tc>
        <w:tc>
          <w:tcPr>
            <w:tcW w:w="781" w:type="pct"/>
            <w:tcBorders>
              <w:top w:val="single" w:color="auto" w:sz="4" w:space="0"/>
              <w:left w:val="single" w:color="auto" w:sz="4" w:space="0"/>
              <w:bottom w:val="single" w:color="auto" w:sz="4" w:space="0"/>
              <w:right w:val="single" w:color="auto" w:sz="4" w:space="0"/>
            </w:tcBorders>
            <w:vAlign w:val="center"/>
          </w:tcPr>
          <w:p w14:paraId="1D840095">
            <w:pPr>
              <w:jc w:val="center"/>
              <w:rPr>
                <w:rFonts w:ascii="仿宋_GB2312" w:hAnsi="仿宋" w:eastAsia="仿宋_GB2312" w:cs="仿宋"/>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6C1717F0">
            <w:pPr>
              <w:jc w:val="center"/>
              <w:rPr>
                <w:rFonts w:ascii="仿宋_GB2312" w:hAnsi="仿宋" w:eastAsia="仿宋_GB2312" w:cs="仿宋"/>
                <w:sz w:val="24"/>
                <w:lang w:bidi="ar"/>
              </w:rPr>
            </w:pPr>
            <w:r>
              <w:rPr>
                <w:rFonts w:hint="eastAsia" w:ascii="仿宋_GB2312" w:hAnsi="仿宋" w:eastAsia="仿宋_GB2312" w:cs="仿宋"/>
                <w:sz w:val="24"/>
                <w:lang w:bidi="ar"/>
              </w:rPr>
              <w:t>原湖南中医药大学第一附属医院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CFE3AC9">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FF00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84EC5D5">
            <w:pPr>
              <w:jc w:val="center"/>
              <w:rPr>
                <w:rFonts w:ascii="仿宋_GB2312" w:hAnsi="仿宋_GB2312" w:eastAsia="仿宋_GB2312" w:cs="仿宋_GB2312"/>
                <w:sz w:val="24"/>
              </w:rPr>
            </w:pPr>
            <w:r>
              <w:rPr>
                <w:rFonts w:hint="eastAsia" w:ascii="仿宋_GB2312" w:hAnsi="仿宋" w:eastAsia="仿宋_GB2312" w:cs="仿宋"/>
                <w:sz w:val="24"/>
                <w:lang w:bidi="ar"/>
              </w:rPr>
              <w:t>蒙晓慧</w:t>
            </w:r>
          </w:p>
        </w:tc>
        <w:tc>
          <w:tcPr>
            <w:tcW w:w="636" w:type="pct"/>
            <w:tcBorders>
              <w:top w:val="single" w:color="auto" w:sz="4" w:space="0"/>
              <w:left w:val="single" w:color="auto" w:sz="4" w:space="0"/>
              <w:bottom w:val="single" w:color="auto" w:sz="4" w:space="0"/>
              <w:right w:val="single" w:color="auto" w:sz="4" w:space="0"/>
            </w:tcBorders>
            <w:vAlign w:val="center"/>
          </w:tcPr>
          <w:p w14:paraId="110847AF">
            <w:pPr>
              <w:jc w:val="center"/>
              <w:rPr>
                <w:rFonts w:ascii="仿宋_GB2312" w:hAnsi="仿宋_GB2312" w:eastAsia="仿宋_GB2312" w:cs="仿宋_GB2312"/>
                <w:sz w:val="24"/>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05B2CD1C">
            <w:pPr>
              <w:jc w:val="center"/>
              <w:rPr>
                <w:rFonts w:ascii="仿宋_GB2312" w:hAnsi="仿宋_GB2312" w:eastAsia="仿宋_GB2312" w:cs="仿宋_GB2312"/>
                <w:sz w:val="24"/>
              </w:rPr>
            </w:pPr>
            <w:r>
              <w:rPr>
                <w:rFonts w:hint="eastAsia" w:ascii="仿宋_GB2312" w:hAnsi="仿宋" w:eastAsia="仿宋_GB2312" w:cs="仿宋"/>
                <w:sz w:val="24"/>
                <w:lang w:bidi="ar"/>
              </w:rPr>
              <w:t>护理学、产科护理</w:t>
            </w:r>
          </w:p>
        </w:tc>
        <w:tc>
          <w:tcPr>
            <w:tcW w:w="1289" w:type="pct"/>
            <w:tcBorders>
              <w:top w:val="single" w:color="auto" w:sz="4" w:space="0"/>
              <w:left w:val="single" w:color="auto" w:sz="4" w:space="0"/>
              <w:bottom w:val="single" w:color="auto" w:sz="4" w:space="0"/>
              <w:right w:val="single" w:color="auto" w:sz="4" w:space="0"/>
            </w:tcBorders>
            <w:vAlign w:val="center"/>
          </w:tcPr>
          <w:p w14:paraId="3773580E">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F05E35B">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473C5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5F63300">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梁玉莲</w:t>
            </w:r>
          </w:p>
        </w:tc>
        <w:tc>
          <w:tcPr>
            <w:tcW w:w="636" w:type="pct"/>
            <w:tcBorders>
              <w:top w:val="single" w:color="auto" w:sz="4" w:space="0"/>
              <w:left w:val="single" w:color="auto" w:sz="4" w:space="0"/>
              <w:bottom w:val="single" w:color="auto" w:sz="4" w:space="0"/>
              <w:right w:val="single" w:color="auto" w:sz="4" w:space="0"/>
            </w:tcBorders>
            <w:vAlign w:val="center"/>
          </w:tcPr>
          <w:p w14:paraId="410F55C0">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护士长/副主任护师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04597CEC">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助产临床护理</w:t>
            </w:r>
          </w:p>
        </w:tc>
        <w:tc>
          <w:tcPr>
            <w:tcW w:w="1289" w:type="pct"/>
            <w:tcBorders>
              <w:top w:val="single" w:color="auto" w:sz="4" w:space="0"/>
              <w:left w:val="single" w:color="auto" w:sz="4" w:space="0"/>
              <w:bottom w:val="single" w:color="auto" w:sz="4" w:space="0"/>
              <w:right w:val="single" w:color="auto" w:sz="4" w:space="0"/>
            </w:tcBorders>
            <w:vAlign w:val="center"/>
          </w:tcPr>
          <w:p w14:paraId="781A18DC">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广东省东莞市中医院</w:t>
            </w:r>
          </w:p>
        </w:tc>
        <w:tc>
          <w:tcPr>
            <w:tcW w:w="1698" w:type="pct"/>
            <w:tcBorders>
              <w:top w:val="single" w:color="auto" w:sz="4" w:space="0"/>
              <w:left w:val="single" w:color="auto" w:sz="4" w:space="0"/>
              <w:bottom w:val="single" w:color="auto" w:sz="4" w:space="0"/>
              <w:right w:val="single" w:color="auto" w:sz="4" w:space="0"/>
            </w:tcBorders>
            <w:vAlign w:val="center"/>
          </w:tcPr>
          <w:p w14:paraId="1C38B9CB">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30DAB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1B9D1E4">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张静</w:t>
            </w:r>
          </w:p>
        </w:tc>
        <w:tc>
          <w:tcPr>
            <w:tcW w:w="636" w:type="pct"/>
            <w:tcBorders>
              <w:top w:val="single" w:color="auto" w:sz="4" w:space="0"/>
              <w:left w:val="single" w:color="auto" w:sz="4" w:space="0"/>
              <w:bottom w:val="single" w:color="auto" w:sz="4" w:space="0"/>
              <w:right w:val="single" w:color="auto" w:sz="4" w:space="0"/>
            </w:tcBorders>
            <w:vAlign w:val="center"/>
          </w:tcPr>
          <w:p w14:paraId="00B6166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64857F7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079196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广西壮族自治区人民医院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70D184A6">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6719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52F2752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魏榕</w:t>
            </w:r>
          </w:p>
        </w:tc>
        <w:tc>
          <w:tcPr>
            <w:tcW w:w="636" w:type="pct"/>
            <w:tcBorders>
              <w:top w:val="single" w:color="auto" w:sz="4" w:space="0"/>
              <w:left w:val="single" w:color="auto" w:sz="4" w:space="0"/>
              <w:bottom w:val="single" w:color="auto" w:sz="4" w:space="0"/>
              <w:right w:val="single" w:color="auto" w:sz="4" w:space="0"/>
            </w:tcBorders>
            <w:vAlign w:val="center"/>
          </w:tcPr>
          <w:p w14:paraId="3A866F6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526DA341">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531CDBB7">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南宁市第一人民医院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1525D2ED">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2BE95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586757C1">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唐丽春</w:t>
            </w:r>
          </w:p>
        </w:tc>
        <w:tc>
          <w:tcPr>
            <w:tcW w:w="636" w:type="pct"/>
            <w:tcBorders>
              <w:top w:val="single" w:color="auto" w:sz="4" w:space="0"/>
              <w:left w:val="single" w:color="auto" w:sz="4" w:space="0"/>
              <w:bottom w:val="single" w:color="auto" w:sz="4" w:space="0"/>
              <w:right w:val="single" w:color="auto" w:sz="4" w:space="0"/>
            </w:tcBorders>
            <w:vAlign w:val="center"/>
          </w:tcPr>
          <w:p w14:paraId="0F9E6FB7">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4C3088D6">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CFE4CE9">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广西壮族自治区妇幼保健院</w:t>
            </w:r>
          </w:p>
        </w:tc>
        <w:tc>
          <w:tcPr>
            <w:tcW w:w="1698" w:type="pct"/>
            <w:tcBorders>
              <w:top w:val="single" w:color="auto" w:sz="4" w:space="0"/>
              <w:left w:val="single" w:color="auto" w:sz="4" w:space="0"/>
              <w:bottom w:val="single" w:color="auto" w:sz="4" w:space="0"/>
              <w:right w:val="single" w:color="auto" w:sz="4" w:space="0"/>
            </w:tcBorders>
            <w:vAlign w:val="center"/>
          </w:tcPr>
          <w:p w14:paraId="42D97850">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3D18E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2BB4356">
            <w:pPr>
              <w:jc w:val="center"/>
              <w:rPr>
                <w:rFonts w:ascii="仿宋_GB2312" w:hAnsi="仿宋_GB2312" w:eastAsia="仿宋_GB2312" w:cs="仿宋_GB2312"/>
                <w:sz w:val="24"/>
              </w:rPr>
            </w:pPr>
            <w:r>
              <w:rPr>
                <w:rFonts w:hint="eastAsia" w:ascii="仿宋_GB2312" w:hAnsi="仿宋" w:eastAsia="仿宋_GB2312" w:cs="仿宋"/>
                <w:sz w:val="24"/>
                <w:lang w:bidi="ar"/>
              </w:rPr>
              <w:t>王琦</w:t>
            </w:r>
          </w:p>
        </w:tc>
        <w:tc>
          <w:tcPr>
            <w:tcW w:w="636" w:type="pct"/>
            <w:tcBorders>
              <w:top w:val="single" w:color="auto" w:sz="4" w:space="0"/>
              <w:left w:val="single" w:color="auto" w:sz="4" w:space="0"/>
              <w:bottom w:val="single" w:color="auto" w:sz="4" w:space="0"/>
              <w:right w:val="single" w:color="auto" w:sz="4" w:space="0"/>
            </w:tcBorders>
            <w:vAlign w:val="center"/>
          </w:tcPr>
          <w:p w14:paraId="55130864">
            <w:pPr>
              <w:jc w:val="center"/>
              <w:rPr>
                <w:rFonts w:ascii="仿宋_GB2312" w:hAnsi="仿宋_GB2312" w:eastAsia="仿宋_GB2312" w:cs="仿宋_GB2312"/>
                <w:sz w:val="24"/>
              </w:rPr>
            </w:pPr>
            <w:r>
              <w:rPr>
                <w:rFonts w:hint="eastAsia" w:ascii="仿宋_GB2312" w:hAnsi="仿宋" w:eastAsia="仿宋_GB2312" w:cs="仿宋"/>
                <w:sz w:val="24"/>
                <w:lang w:bidi="ar"/>
              </w:rPr>
              <w:t>国际泌乳顾问</w:t>
            </w:r>
          </w:p>
        </w:tc>
        <w:tc>
          <w:tcPr>
            <w:tcW w:w="781" w:type="pct"/>
            <w:tcBorders>
              <w:top w:val="single" w:color="auto" w:sz="4" w:space="0"/>
              <w:left w:val="single" w:color="auto" w:sz="4" w:space="0"/>
              <w:bottom w:val="single" w:color="auto" w:sz="4" w:space="0"/>
              <w:right w:val="single" w:color="auto" w:sz="4" w:space="0"/>
            </w:tcBorders>
            <w:vAlign w:val="center"/>
          </w:tcPr>
          <w:p w14:paraId="5635CF79">
            <w:pPr>
              <w:jc w:val="center"/>
              <w:rPr>
                <w:rFonts w:ascii="仿宋_GB2312" w:hAnsi="仿宋_GB2312" w:eastAsia="仿宋_GB2312" w:cs="仿宋_GB2312"/>
                <w:sz w:val="24"/>
              </w:rPr>
            </w:pPr>
            <w:r>
              <w:rPr>
                <w:rFonts w:hint="eastAsia" w:ascii="仿宋_GB2312" w:hAnsi="仿宋" w:eastAsia="仿宋_GB2312" w:cs="仿宋"/>
                <w:sz w:val="24"/>
                <w:lang w:bidi="ar"/>
              </w:rPr>
              <w:t>母婴护理</w:t>
            </w:r>
          </w:p>
        </w:tc>
        <w:tc>
          <w:tcPr>
            <w:tcW w:w="1289" w:type="pct"/>
            <w:tcBorders>
              <w:top w:val="single" w:color="auto" w:sz="4" w:space="0"/>
              <w:left w:val="single" w:color="auto" w:sz="4" w:space="0"/>
              <w:bottom w:val="single" w:color="auto" w:sz="4" w:space="0"/>
              <w:right w:val="single" w:color="auto" w:sz="4" w:space="0"/>
            </w:tcBorders>
            <w:vAlign w:val="center"/>
          </w:tcPr>
          <w:p w14:paraId="69654B6B">
            <w:pPr>
              <w:jc w:val="center"/>
              <w:rPr>
                <w:rFonts w:ascii="仿宋_GB2312" w:hAnsi="仿宋_GB2312" w:eastAsia="仿宋_GB2312" w:cs="仿宋_GB2312"/>
                <w:sz w:val="24"/>
              </w:rPr>
            </w:pPr>
            <w:r>
              <w:rPr>
                <w:rFonts w:hint="eastAsia" w:ascii="仿宋_GB2312" w:hAnsi="仿宋" w:eastAsia="仿宋_GB2312" w:cs="仿宋"/>
                <w:sz w:val="24"/>
                <w:lang w:bidi="ar"/>
              </w:rPr>
              <w:t>独立职业</w:t>
            </w:r>
          </w:p>
        </w:tc>
        <w:tc>
          <w:tcPr>
            <w:tcW w:w="1698" w:type="pct"/>
            <w:tcBorders>
              <w:top w:val="single" w:color="auto" w:sz="4" w:space="0"/>
              <w:left w:val="single" w:color="auto" w:sz="4" w:space="0"/>
              <w:bottom w:val="single" w:color="auto" w:sz="4" w:space="0"/>
              <w:right w:val="single" w:color="auto" w:sz="4" w:space="0"/>
            </w:tcBorders>
            <w:vAlign w:val="center"/>
          </w:tcPr>
          <w:p w14:paraId="6E0B2860">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321A7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FBA331D">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凌静</w:t>
            </w:r>
          </w:p>
        </w:tc>
        <w:tc>
          <w:tcPr>
            <w:tcW w:w="636" w:type="pct"/>
            <w:tcBorders>
              <w:top w:val="single" w:color="auto" w:sz="4" w:space="0"/>
              <w:left w:val="single" w:color="auto" w:sz="4" w:space="0"/>
              <w:bottom w:val="single" w:color="auto" w:sz="4" w:space="0"/>
              <w:right w:val="single" w:color="auto" w:sz="4" w:space="0"/>
            </w:tcBorders>
            <w:vAlign w:val="center"/>
          </w:tcPr>
          <w:p w14:paraId="2547D61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4FEC5804">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38F96560">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广西医科大学第一附属医院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2B2D822">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12D6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D232C0C">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顾亚丽</w:t>
            </w:r>
          </w:p>
        </w:tc>
        <w:tc>
          <w:tcPr>
            <w:tcW w:w="636" w:type="pct"/>
            <w:tcBorders>
              <w:top w:val="single" w:color="auto" w:sz="4" w:space="0"/>
              <w:left w:val="single" w:color="auto" w:sz="4" w:space="0"/>
              <w:bottom w:val="single" w:color="auto" w:sz="4" w:space="0"/>
              <w:right w:val="single" w:color="auto" w:sz="4" w:space="0"/>
            </w:tcBorders>
            <w:vAlign w:val="center"/>
          </w:tcPr>
          <w:p w14:paraId="095D9DC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677AB7D4">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69EB265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右江民族医学院附属医院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7D2BC2A1">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4F73B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E4126BD">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李美玲</w:t>
            </w:r>
          </w:p>
        </w:tc>
        <w:tc>
          <w:tcPr>
            <w:tcW w:w="636" w:type="pct"/>
            <w:tcBorders>
              <w:top w:val="single" w:color="auto" w:sz="4" w:space="0"/>
              <w:left w:val="single" w:color="auto" w:sz="4" w:space="0"/>
              <w:bottom w:val="single" w:color="auto" w:sz="4" w:space="0"/>
              <w:right w:val="single" w:color="auto" w:sz="4" w:space="0"/>
            </w:tcBorders>
            <w:vAlign w:val="center"/>
          </w:tcPr>
          <w:p w14:paraId="3478061D">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7B8F5E1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461AD86D">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桂平市人民医院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0EEDAF88">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2AFDD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254F6001">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蒋艳</w:t>
            </w:r>
          </w:p>
        </w:tc>
        <w:tc>
          <w:tcPr>
            <w:tcW w:w="636" w:type="pct"/>
            <w:tcBorders>
              <w:top w:val="single" w:color="auto" w:sz="4" w:space="0"/>
              <w:left w:val="single" w:color="auto" w:sz="4" w:space="0"/>
              <w:bottom w:val="single" w:color="auto" w:sz="4" w:space="0"/>
              <w:right w:val="single" w:color="auto" w:sz="4" w:space="0"/>
            </w:tcBorders>
            <w:vAlign w:val="center"/>
          </w:tcPr>
          <w:p w14:paraId="7122D6A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6092ECFC">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F9A71A9">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中国人民解放军联勤保障部队第九二四医院</w:t>
            </w:r>
          </w:p>
        </w:tc>
        <w:tc>
          <w:tcPr>
            <w:tcW w:w="1698" w:type="pct"/>
            <w:tcBorders>
              <w:top w:val="single" w:color="auto" w:sz="4" w:space="0"/>
              <w:left w:val="single" w:color="auto" w:sz="4" w:space="0"/>
              <w:bottom w:val="single" w:color="auto" w:sz="4" w:space="0"/>
              <w:right w:val="single" w:color="auto" w:sz="4" w:space="0"/>
            </w:tcBorders>
            <w:vAlign w:val="center"/>
          </w:tcPr>
          <w:p w14:paraId="630752BC">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4F865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734D43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黄秀群</w:t>
            </w:r>
          </w:p>
        </w:tc>
        <w:tc>
          <w:tcPr>
            <w:tcW w:w="636" w:type="pct"/>
            <w:tcBorders>
              <w:top w:val="single" w:color="auto" w:sz="4" w:space="0"/>
              <w:left w:val="single" w:color="auto" w:sz="4" w:space="0"/>
              <w:bottom w:val="single" w:color="auto" w:sz="4" w:space="0"/>
              <w:right w:val="single" w:color="auto" w:sz="4" w:space="0"/>
            </w:tcBorders>
            <w:vAlign w:val="center"/>
          </w:tcPr>
          <w:p w14:paraId="70BEB11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5E9C175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253864F6">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钦州市第一人民医院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7F85EA9C">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01A7E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03E8C1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潘延婷</w:t>
            </w:r>
          </w:p>
        </w:tc>
        <w:tc>
          <w:tcPr>
            <w:tcW w:w="636" w:type="pct"/>
            <w:tcBorders>
              <w:top w:val="single" w:color="auto" w:sz="4" w:space="0"/>
              <w:left w:val="single" w:color="auto" w:sz="4" w:space="0"/>
              <w:bottom w:val="single" w:color="auto" w:sz="4" w:space="0"/>
              <w:right w:val="single" w:color="auto" w:sz="4" w:space="0"/>
            </w:tcBorders>
            <w:vAlign w:val="center"/>
          </w:tcPr>
          <w:p w14:paraId="2A92734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护理部副主任/副主任护师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4F5E3C5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6D3DE0F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钦州市妇幼保健院</w:t>
            </w:r>
          </w:p>
        </w:tc>
        <w:tc>
          <w:tcPr>
            <w:tcW w:w="1698" w:type="pct"/>
            <w:tcBorders>
              <w:top w:val="single" w:color="auto" w:sz="4" w:space="0"/>
              <w:left w:val="single" w:color="auto" w:sz="4" w:space="0"/>
              <w:bottom w:val="single" w:color="auto" w:sz="4" w:space="0"/>
              <w:right w:val="single" w:color="auto" w:sz="4" w:space="0"/>
            </w:tcBorders>
            <w:vAlign w:val="center"/>
          </w:tcPr>
          <w:p w14:paraId="79EC8499">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601C2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2076AEC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吕雯彦</w:t>
            </w:r>
          </w:p>
        </w:tc>
        <w:tc>
          <w:tcPr>
            <w:tcW w:w="636" w:type="pct"/>
            <w:tcBorders>
              <w:top w:val="single" w:color="auto" w:sz="4" w:space="0"/>
              <w:left w:val="single" w:color="auto" w:sz="4" w:space="0"/>
              <w:bottom w:val="single" w:color="auto" w:sz="4" w:space="0"/>
              <w:right w:val="single" w:color="auto" w:sz="4" w:space="0"/>
            </w:tcBorders>
            <w:vAlign w:val="center"/>
          </w:tcPr>
          <w:p w14:paraId="041CC971">
            <w:pPr>
              <w:jc w:val="center"/>
              <w:rPr>
                <w:rFonts w:hint="eastAsia" w:ascii="仿宋_GB2312" w:hAnsi="仿宋" w:eastAsia="仿宋_GB2312" w:cs="仿宋"/>
                <w:color w:val="auto"/>
                <w:sz w:val="24"/>
                <w:lang w:val="en-US" w:eastAsia="zh-CN" w:bidi="ar"/>
              </w:rPr>
            </w:pPr>
            <w:r>
              <w:rPr>
                <w:rFonts w:hint="eastAsia" w:ascii="仿宋_GB2312" w:hAnsi="仿宋" w:eastAsia="仿宋_GB2312" w:cs="仿宋"/>
                <w:color w:val="auto"/>
                <w:sz w:val="24"/>
                <w:lang w:val="en-US" w:eastAsia="zh-CN" w:bidi="ar"/>
              </w:rPr>
              <w:t>/</w:t>
            </w:r>
          </w:p>
        </w:tc>
        <w:tc>
          <w:tcPr>
            <w:tcW w:w="781" w:type="pct"/>
            <w:tcBorders>
              <w:top w:val="single" w:color="auto" w:sz="4" w:space="0"/>
              <w:left w:val="single" w:color="auto" w:sz="4" w:space="0"/>
              <w:bottom w:val="single" w:color="auto" w:sz="4" w:space="0"/>
              <w:right w:val="single" w:color="auto" w:sz="4" w:space="0"/>
            </w:tcBorders>
            <w:vAlign w:val="center"/>
          </w:tcPr>
          <w:p w14:paraId="5F68A04B">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4BDA5432">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广西医科大学护理学院</w:t>
            </w:r>
          </w:p>
        </w:tc>
        <w:tc>
          <w:tcPr>
            <w:tcW w:w="1698" w:type="pct"/>
            <w:tcBorders>
              <w:top w:val="single" w:color="auto" w:sz="4" w:space="0"/>
              <w:left w:val="single" w:color="auto" w:sz="4" w:space="0"/>
              <w:bottom w:val="single" w:color="auto" w:sz="4" w:space="0"/>
              <w:right w:val="single" w:color="auto" w:sz="4" w:space="0"/>
            </w:tcBorders>
            <w:vAlign w:val="center"/>
          </w:tcPr>
          <w:p w14:paraId="11DCD676">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6FEA8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40E6AC0">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凌银婵</w:t>
            </w:r>
          </w:p>
        </w:tc>
        <w:tc>
          <w:tcPr>
            <w:tcW w:w="636" w:type="pct"/>
            <w:tcBorders>
              <w:top w:val="single" w:color="auto" w:sz="4" w:space="0"/>
              <w:left w:val="single" w:color="auto" w:sz="4" w:space="0"/>
              <w:bottom w:val="single" w:color="auto" w:sz="4" w:space="0"/>
              <w:right w:val="single" w:color="auto" w:sz="4" w:space="0"/>
            </w:tcBorders>
            <w:vAlign w:val="center"/>
          </w:tcPr>
          <w:p w14:paraId="2822209E">
            <w:pPr>
              <w:jc w:val="center"/>
              <w:rPr>
                <w:rFonts w:hint="eastAsia" w:ascii="仿宋_GB2312" w:hAnsi="仿宋" w:eastAsia="仿宋_GB2312" w:cs="仿宋"/>
                <w:color w:val="auto"/>
                <w:sz w:val="24"/>
                <w:lang w:val="en-US" w:eastAsia="zh-CN" w:bidi="ar"/>
              </w:rPr>
            </w:pPr>
            <w:r>
              <w:rPr>
                <w:rFonts w:hint="eastAsia" w:ascii="仿宋_GB2312" w:hAnsi="仿宋" w:eastAsia="仿宋_GB2312" w:cs="仿宋"/>
                <w:color w:val="auto"/>
                <w:sz w:val="24"/>
                <w:lang w:val="en-US" w:eastAsia="zh-CN" w:bidi="ar"/>
              </w:rPr>
              <w:t>/</w:t>
            </w:r>
          </w:p>
        </w:tc>
        <w:tc>
          <w:tcPr>
            <w:tcW w:w="781" w:type="pct"/>
            <w:tcBorders>
              <w:top w:val="single" w:color="auto" w:sz="4" w:space="0"/>
              <w:left w:val="single" w:color="auto" w:sz="4" w:space="0"/>
              <w:bottom w:val="single" w:color="auto" w:sz="4" w:space="0"/>
              <w:right w:val="single" w:color="auto" w:sz="4" w:space="0"/>
            </w:tcBorders>
            <w:vAlign w:val="center"/>
          </w:tcPr>
          <w:p w14:paraId="404A1135">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48306D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广西医科大学护理学院</w:t>
            </w:r>
          </w:p>
        </w:tc>
        <w:tc>
          <w:tcPr>
            <w:tcW w:w="1698" w:type="pct"/>
            <w:tcBorders>
              <w:top w:val="single" w:color="auto" w:sz="4" w:space="0"/>
              <w:left w:val="single" w:color="auto" w:sz="4" w:space="0"/>
              <w:bottom w:val="single" w:color="auto" w:sz="4" w:space="0"/>
              <w:right w:val="single" w:color="auto" w:sz="4" w:space="0"/>
            </w:tcBorders>
            <w:vAlign w:val="center"/>
          </w:tcPr>
          <w:p w14:paraId="61AAC8E9">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18A6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14136BE3">
            <w:pPr>
              <w:jc w:val="center"/>
              <w:rPr>
                <w:rFonts w:ascii="仿宋_GB2312" w:hAnsi="仿宋_GB2312" w:eastAsia="仿宋_GB2312" w:cs="仿宋_GB2312"/>
                <w:sz w:val="24"/>
              </w:rPr>
            </w:pPr>
            <w:r>
              <w:rPr>
                <w:rFonts w:hint="eastAsia" w:ascii="仿宋_GB2312" w:hAnsi="仿宋" w:eastAsia="仿宋_GB2312" w:cs="仿宋"/>
                <w:sz w:val="24"/>
                <w:lang w:bidi="ar"/>
              </w:rPr>
              <w:t>温美灵</w:t>
            </w:r>
          </w:p>
        </w:tc>
        <w:tc>
          <w:tcPr>
            <w:tcW w:w="636" w:type="pct"/>
            <w:tcBorders>
              <w:top w:val="single" w:color="auto" w:sz="4" w:space="0"/>
              <w:left w:val="single" w:color="auto" w:sz="4" w:space="0"/>
              <w:bottom w:val="single" w:color="auto" w:sz="4" w:space="0"/>
              <w:right w:val="single" w:color="auto" w:sz="4" w:space="0"/>
            </w:tcBorders>
            <w:vAlign w:val="center"/>
          </w:tcPr>
          <w:p w14:paraId="481EA7E0">
            <w:pPr>
              <w:jc w:val="center"/>
              <w:rPr>
                <w:rFonts w:ascii="仿宋_GB2312" w:hAnsi="仿宋_GB2312" w:eastAsia="仿宋_GB2312" w:cs="仿宋_GB2312"/>
                <w:sz w:val="24"/>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5B1B0FFE">
            <w:pPr>
              <w:jc w:val="center"/>
              <w:rPr>
                <w:rFonts w:ascii="仿宋_GB2312" w:hAnsi="仿宋_GB2312" w:eastAsia="仿宋_GB2312" w:cs="仿宋_GB2312"/>
                <w:sz w:val="24"/>
              </w:rPr>
            </w:pPr>
            <w:r>
              <w:rPr>
                <w:rFonts w:hint="eastAsia" w:ascii="仿宋_GB2312" w:hAnsi="仿宋" w:eastAsia="仿宋_GB2312" w:cs="仿宋"/>
                <w:sz w:val="24"/>
                <w:lang w:bidi="ar"/>
              </w:rPr>
              <w:t>护理管理、助产护理</w:t>
            </w:r>
          </w:p>
        </w:tc>
        <w:tc>
          <w:tcPr>
            <w:tcW w:w="1289" w:type="pct"/>
            <w:tcBorders>
              <w:top w:val="single" w:color="auto" w:sz="4" w:space="0"/>
              <w:left w:val="single" w:color="auto" w:sz="4" w:space="0"/>
              <w:bottom w:val="single" w:color="auto" w:sz="4" w:space="0"/>
              <w:right w:val="single" w:color="auto" w:sz="4" w:space="0"/>
            </w:tcBorders>
            <w:vAlign w:val="center"/>
          </w:tcPr>
          <w:p w14:paraId="38417863">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2B44422">
            <w:pPr>
              <w:jc w:val="center"/>
              <w:rPr>
                <w:rFonts w:ascii="仿宋_GB2312" w:hAnsi="仿宋_GB2312" w:eastAsia="仿宋_GB2312" w:cs="仿宋_GB2312"/>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BE28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B9BBEF9">
            <w:pPr>
              <w:jc w:val="center"/>
              <w:rPr>
                <w:rFonts w:ascii="仿宋_GB2312" w:hAnsi="仿宋_GB2312" w:eastAsia="仿宋_GB2312" w:cs="仿宋_GB2312"/>
                <w:sz w:val="24"/>
              </w:rPr>
            </w:pPr>
            <w:r>
              <w:rPr>
                <w:rFonts w:hint="eastAsia" w:ascii="仿宋_GB2312" w:hAnsi="仿宋" w:eastAsia="仿宋_GB2312" w:cs="仿宋"/>
                <w:sz w:val="24"/>
                <w:lang w:bidi="ar"/>
              </w:rPr>
              <w:t>邓丽</w:t>
            </w:r>
          </w:p>
        </w:tc>
        <w:tc>
          <w:tcPr>
            <w:tcW w:w="636" w:type="pct"/>
            <w:tcBorders>
              <w:top w:val="single" w:color="auto" w:sz="4" w:space="0"/>
              <w:left w:val="single" w:color="auto" w:sz="4" w:space="0"/>
              <w:bottom w:val="single" w:color="auto" w:sz="4" w:space="0"/>
              <w:right w:val="single" w:color="auto" w:sz="4" w:space="0"/>
            </w:tcBorders>
            <w:vAlign w:val="center"/>
          </w:tcPr>
          <w:p w14:paraId="30FA38B0">
            <w:pPr>
              <w:jc w:val="center"/>
              <w:rPr>
                <w:rFonts w:ascii="仿宋_GB2312" w:hAnsi="仿宋_GB2312" w:eastAsia="仿宋_GB2312" w:cs="仿宋_GB2312"/>
                <w:sz w:val="24"/>
              </w:rPr>
            </w:pPr>
            <w:r>
              <w:rPr>
                <w:rFonts w:hint="eastAsia" w:ascii="仿宋_GB2312" w:hAnsi="仿宋" w:eastAsia="仿宋_GB2312" w:cs="仿宋"/>
                <w:sz w:val="24"/>
                <w:lang w:bidi="ar"/>
              </w:rPr>
              <w:t>主任医师</w:t>
            </w:r>
          </w:p>
        </w:tc>
        <w:tc>
          <w:tcPr>
            <w:tcW w:w="781" w:type="pct"/>
            <w:tcBorders>
              <w:top w:val="single" w:color="auto" w:sz="4" w:space="0"/>
              <w:left w:val="single" w:color="auto" w:sz="4" w:space="0"/>
              <w:bottom w:val="single" w:color="auto" w:sz="4" w:space="0"/>
              <w:right w:val="single" w:color="auto" w:sz="4" w:space="0"/>
            </w:tcBorders>
            <w:vAlign w:val="center"/>
          </w:tcPr>
          <w:p w14:paraId="0A5D96CD">
            <w:pPr>
              <w:jc w:val="center"/>
              <w:rPr>
                <w:rFonts w:ascii="仿宋_GB2312" w:hAnsi="仿宋_GB2312" w:eastAsia="仿宋_GB2312" w:cs="仿宋_GB2312"/>
                <w:sz w:val="24"/>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436EE84D">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10D2A3CC">
            <w:pPr>
              <w:jc w:val="center"/>
              <w:rPr>
                <w:rFonts w:ascii="仿宋_GB2312" w:hAnsi="仿宋_GB2312" w:eastAsia="仿宋_GB2312" w:cs="仿宋_GB2312"/>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16B02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CD7C0E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农梅君</w:t>
            </w:r>
          </w:p>
        </w:tc>
        <w:tc>
          <w:tcPr>
            <w:tcW w:w="636" w:type="pct"/>
            <w:tcBorders>
              <w:top w:val="single" w:color="auto" w:sz="4" w:space="0"/>
              <w:left w:val="single" w:color="auto" w:sz="4" w:space="0"/>
              <w:bottom w:val="single" w:color="auto" w:sz="4" w:space="0"/>
              <w:right w:val="single" w:color="auto" w:sz="4" w:space="0"/>
            </w:tcBorders>
            <w:vAlign w:val="center"/>
          </w:tcPr>
          <w:p w14:paraId="3C0F90F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w:t>
            </w:r>
          </w:p>
        </w:tc>
        <w:tc>
          <w:tcPr>
            <w:tcW w:w="781" w:type="pct"/>
            <w:tcBorders>
              <w:top w:val="single" w:color="auto" w:sz="4" w:space="0"/>
              <w:left w:val="single" w:color="auto" w:sz="4" w:space="0"/>
              <w:bottom w:val="single" w:color="auto" w:sz="4" w:space="0"/>
              <w:right w:val="single" w:color="auto" w:sz="4" w:space="0"/>
            </w:tcBorders>
            <w:vAlign w:val="center"/>
          </w:tcPr>
          <w:p w14:paraId="3C393F07">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B33CD9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广西医科大学附属武鸣医院</w:t>
            </w:r>
          </w:p>
        </w:tc>
        <w:tc>
          <w:tcPr>
            <w:tcW w:w="1698" w:type="pct"/>
            <w:tcBorders>
              <w:top w:val="single" w:color="auto" w:sz="4" w:space="0"/>
              <w:left w:val="single" w:color="auto" w:sz="4" w:space="0"/>
              <w:bottom w:val="single" w:color="auto" w:sz="4" w:space="0"/>
              <w:right w:val="single" w:color="auto" w:sz="4" w:space="0"/>
            </w:tcBorders>
            <w:vAlign w:val="center"/>
          </w:tcPr>
          <w:p w14:paraId="0D627F09">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5437B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FFC45DE">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卢长江</w:t>
            </w:r>
          </w:p>
        </w:tc>
        <w:tc>
          <w:tcPr>
            <w:tcW w:w="636" w:type="pct"/>
            <w:tcBorders>
              <w:top w:val="single" w:color="auto" w:sz="4" w:space="0"/>
              <w:left w:val="single" w:color="auto" w:sz="4" w:space="0"/>
              <w:bottom w:val="single" w:color="auto" w:sz="4" w:space="0"/>
              <w:right w:val="single" w:color="auto" w:sz="4" w:space="0"/>
            </w:tcBorders>
            <w:vAlign w:val="center"/>
          </w:tcPr>
          <w:p w14:paraId="0C11425F">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0D2BFF92">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6BF83B55">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南宁市妇幼保健院</w:t>
            </w:r>
          </w:p>
        </w:tc>
        <w:tc>
          <w:tcPr>
            <w:tcW w:w="1698" w:type="pct"/>
            <w:tcBorders>
              <w:top w:val="single" w:color="auto" w:sz="4" w:space="0"/>
              <w:left w:val="single" w:color="auto" w:sz="4" w:space="0"/>
              <w:bottom w:val="single" w:color="auto" w:sz="4" w:space="0"/>
              <w:right w:val="single" w:color="auto" w:sz="4" w:space="0"/>
            </w:tcBorders>
            <w:vAlign w:val="center"/>
          </w:tcPr>
          <w:p w14:paraId="2D092E08">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540A5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7684B6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宋庆华</w:t>
            </w:r>
          </w:p>
        </w:tc>
        <w:tc>
          <w:tcPr>
            <w:tcW w:w="636" w:type="pct"/>
            <w:tcBorders>
              <w:top w:val="single" w:color="auto" w:sz="4" w:space="0"/>
              <w:left w:val="single" w:color="auto" w:sz="4" w:space="0"/>
              <w:bottom w:val="single" w:color="auto" w:sz="4" w:space="0"/>
              <w:right w:val="single" w:color="auto" w:sz="4" w:space="0"/>
            </w:tcBorders>
            <w:vAlign w:val="center"/>
          </w:tcPr>
          <w:p w14:paraId="77210F2B">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w:t>
            </w:r>
          </w:p>
        </w:tc>
        <w:tc>
          <w:tcPr>
            <w:tcW w:w="781" w:type="pct"/>
            <w:tcBorders>
              <w:top w:val="single" w:color="auto" w:sz="4" w:space="0"/>
              <w:left w:val="single" w:color="auto" w:sz="4" w:space="0"/>
              <w:bottom w:val="single" w:color="auto" w:sz="4" w:space="0"/>
              <w:right w:val="single" w:color="auto" w:sz="4" w:space="0"/>
            </w:tcBorders>
            <w:vAlign w:val="center"/>
          </w:tcPr>
          <w:p w14:paraId="4A4FEEB7">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785B353">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南宁市妇幼保健院</w:t>
            </w:r>
          </w:p>
        </w:tc>
        <w:tc>
          <w:tcPr>
            <w:tcW w:w="1698" w:type="pct"/>
            <w:tcBorders>
              <w:top w:val="single" w:color="auto" w:sz="4" w:space="0"/>
              <w:left w:val="single" w:color="auto" w:sz="4" w:space="0"/>
              <w:bottom w:val="single" w:color="auto" w:sz="4" w:space="0"/>
              <w:right w:val="single" w:color="auto" w:sz="4" w:space="0"/>
            </w:tcBorders>
            <w:vAlign w:val="center"/>
          </w:tcPr>
          <w:p w14:paraId="5F3D76FA">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6B01A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2ABA60DF">
            <w:pPr>
              <w:jc w:val="center"/>
              <w:rPr>
                <w:rFonts w:ascii="仿宋_GB2312" w:hAnsi="仿宋" w:eastAsia="仿宋_GB2312" w:cs="仿宋"/>
                <w:sz w:val="24"/>
                <w:lang w:bidi="ar"/>
              </w:rPr>
            </w:pPr>
            <w:r>
              <w:rPr>
                <w:rFonts w:hint="eastAsia" w:ascii="仿宋_GB2312" w:hAnsi="仿宋" w:eastAsia="仿宋_GB2312" w:cs="仿宋"/>
                <w:sz w:val="24"/>
                <w:lang w:bidi="ar"/>
              </w:rPr>
              <w:t>韦海兰</w:t>
            </w:r>
          </w:p>
        </w:tc>
        <w:tc>
          <w:tcPr>
            <w:tcW w:w="636" w:type="pct"/>
            <w:tcBorders>
              <w:top w:val="single" w:color="auto" w:sz="4" w:space="0"/>
              <w:left w:val="single" w:color="auto" w:sz="4" w:space="0"/>
              <w:bottom w:val="single" w:color="auto" w:sz="4" w:space="0"/>
              <w:right w:val="single" w:color="auto" w:sz="4" w:space="0"/>
            </w:tcBorders>
            <w:vAlign w:val="center"/>
          </w:tcPr>
          <w:p w14:paraId="4B23175D">
            <w:pPr>
              <w:jc w:val="center"/>
              <w:rPr>
                <w:rFonts w:ascii="仿宋_GB2312" w:hAnsi="仿宋" w:eastAsia="仿宋_GB2312" w:cs="仿宋"/>
                <w:sz w:val="24"/>
                <w:lang w:bidi="ar"/>
              </w:rPr>
            </w:pPr>
            <w:r>
              <w:rPr>
                <w:rFonts w:hint="eastAsia" w:ascii="仿宋_GB2312" w:hAnsi="仿宋" w:eastAsia="仿宋_GB2312" w:cs="仿宋"/>
                <w:sz w:val="24"/>
                <w:lang w:bidi="ar"/>
              </w:rPr>
              <w:t>副主任护师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1C442826">
            <w:pPr>
              <w:jc w:val="center"/>
              <w:rPr>
                <w:rFonts w:ascii="仿宋_GB2312" w:hAnsi="仿宋" w:eastAsia="仿宋_GB2312" w:cs="仿宋"/>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7DC4F9B7">
            <w:pPr>
              <w:jc w:val="center"/>
              <w:rPr>
                <w:rFonts w:ascii="仿宋_GB2312" w:hAnsi="仿宋" w:eastAsia="仿宋_GB2312" w:cs="仿宋"/>
                <w:sz w:val="24"/>
                <w:lang w:bidi="ar"/>
              </w:rPr>
            </w:pPr>
            <w:r>
              <w:rPr>
                <w:rFonts w:hint="eastAsia" w:ascii="仿宋_GB2312" w:hAnsi="仿宋" w:eastAsia="仿宋_GB2312" w:cs="仿宋"/>
                <w:sz w:val="24"/>
                <w:lang w:bidi="ar"/>
              </w:rPr>
              <w:t>南宁市第一人民医院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08ACDF5D">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3160A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A3A1FAB">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刘东苹</w:t>
            </w:r>
          </w:p>
        </w:tc>
        <w:tc>
          <w:tcPr>
            <w:tcW w:w="636" w:type="pct"/>
            <w:tcBorders>
              <w:top w:val="single" w:color="auto" w:sz="4" w:space="0"/>
              <w:left w:val="single" w:color="auto" w:sz="4" w:space="0"/>
              <w:bottom w:val="single" w:color="auto" w:sz="4" w:space="0"/>
              <w:right w:val="single" w:color="auto" w:sz="4" w:space="0"/>
            </w:tcBorders>
            <w:vAlign w:val="center"/>
          </w:tcPr>
          <w:p w14:paraId="62DDA5BB">
            <w:pPr>
              <w:jc w:val="center"/>
              <w:rPr>
                <w:rFonts w:hint="eastAsia" w:ascii="仿宋_GB2312" w:hAnsi="仿宋" w:eastAsia="仿宋_GB2312" w:cs="仿宋"/>
                <w:color w:val="auto"/>
                <w:sz w:val="24"/>
                <w:lang w:val="en-US" w:eastAsia="zh-CN" w:bidi="ar"/>
              </w:rPr>
            </w:pPr>
            <w:r>
              <w:rPr>
                <w:rFonts w:hint="eastAsia" w:ascii="仿宋_GB2312" w:hAnsi="仿宋" w:eastAsia="仿宋_GB2312" w:cs="仿宋"/>
                <w:color w:val="auto"/>
                <w:sz w:val="24"/>
                <w:lang w:val="en-US" w:eastAsia="zh-CN" w:bidi="ar"/>
              </w:rPr>
              <w:t>/</w:t>
            </w:r>
          </w:p>
        </w:tc>
        <w:tc>
          <w:tcPr>
            <w:tcW w:w="781" w:type="pct"/>
            <w:tcBorders>
              <w:top w:val="single" w:color="auto" w:sz="4" w:space="0"/>
              <w:left w:val="single" w:color="auto" w:sz="4" w:space="0"/>
              <w:bottom w:val="single" w:color="auto" w:sz="4" w:space="0"/>
              <w:right w:val="single" w:color="auto" w:sz="4" w:space="0"/>
            </w:tcBorders>
            <w:vAlign w:val="center"/>
          </w:tcPr>
          <w:p w14:paraId="6C2BE321">
            <w:pPr>
              <w:jc w:val="center"/>
              <w:rPr>
                <w:rFonts w:hint="eastAsia" w:ascii="仿宋_GB2312" w:hAnsi="仿宋" w:eastAsia="仿宋_GB2312" w:cs="仿宋"/>
                <w:color w:val="auto"/>
                <w:sz w:val="24"/>
                <w:lang w:val="en-US" w:eastAsia="zh-CN" w:bidi="ar"/>
              </w:rPr>
            </w:pPr>
            <w:r>
              <w:rPr>
                <w:rFonts w:hint="eastAsia" w:ascii="仿宋_GB2312" w:hAnsi="仿宋" w:eastAsia="仿宋_GB2312" w:cs="仿宋"/>
                <w:color w:val="auto"/>
                <w:sz w:val="24"/>
                <w:lang w:val="en-US" w:eastAsia="zh-CN" w:bidi="ar"/>
              </w:rPr>
              <w:t>/</w:t>
            </w:r>
          </w:p>
        </w:tc>
        <w:tc>
          <w:tcPr>
            <w:tcW w:w="1289" w:type="pct"/>
            <w:tcBorders>
              <w:top w:val="single" w:color="auto" w:sz="4" w:space="0"/>
              <w:left w:val="single" w:color="auto" w:sz="4" w:space="0"/>
              <w:bottom w:val="single" w:color="auto" w:sz="4" w:space="0"/>
              <w:right w:val="single" w:color="auto" w:sz="4" w:space="0"/>
            </w:tcBorders>
            <w:vAlign w:val="center"/>
          </w:tcPr>
          <w:p w14:paraId="6AB54DE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广西国际壮医医院</w:t>
            </w:r>
          </w:p>
        </w:tc>
        <w:tc>
          <w:tcPr>
            <w:tcW w:w="1698" w:type="pct"/>
            <w:tcBorders>
              <w:top w:val="single" w:color="auto" w:sz="4" w:space="0"/>
              <w:left w:val="single" w:color="auto" w:sz="4" w:space="0"/>
              <w:bottom w:val="single" w:color="auto" w:sz="4" w:space="0"/>
              <w:right w:val="single" w:color="auto" w:sz="4" w:space="0"/>
            </w:tcBorders>
            <w:vAlign w:val="center"/>
          </w:tcPr>
          <w:p w14:paraId="487AFD9F">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42E53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30DF1A4">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陈泽洋</w:t>
            </w:r>
          </w:p>
        </w:tc>
        <w:tc>
          <w:tcPr>
            <w:tcW w:w="636" w:type="pct"/>
            <w:tcBorders>
              <w:top w:val="single" w:color="auto" w:sz="4" w:space="0"/>
              <w:left w:val="single" w:color="auto" w:sz="4" w:space="0"/>
              <w:bottom w:val="single" w:color="auto" w:sz="4" w:space="0"/>
              <w:right w:val="single" w:color="auto" w:sz="4" w:space="0"/>
            </w:tcBorders>
            <w:vAlign w:val="center"/>
          </w:tcPr>
          <w:p w14:paraId="28FBFC9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w:t>
            </w:r>
          </w:p>
        </w:tc>
        <w:tc>
          <w:tcPr>
            <w:tcW w:w="781" w:type="pct"/>
            <w:tcBorders>
              <w:top w:val="single" w:color="auto" w:sz="4" w:space="0"/>
              <w:left w:val="single" w:color="auto" w:sz="4" w:space="0"/>
              <w:bottom w:val="single" w:color="auto" w:sz="4" w:space="0"/>
              <w:right w:val="single" w:color="auto" w:sz="4" w:space="0"/>
            </w:tcBorders>
            <w:vAlign w:val="center"/>
          </w:tcPr>
          <w:p w14:paraId="661608CA">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765C28B6">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大新县人民医院</w:t>
            </w:r>
          </w:p>
        </w:tc>
        <w:tc>
          <w:tcPr>
            <w:tcW w:w="1698" w:type="pct"/>
            <w:tcBorders>
              <w:top w:val="single" w:color="auto" w:sz="4" w:space="0"/>
              <w:left w:val="single" w:color="auto" w:sz="4" w:space="0"/>
              <w:bottom w:val="single" w:color="auto" w:sz="4" w:space="0"/>
              <w:right w:val="single" w:color="auto" w:sz="4" w:space="0"/>
            </w:tcBorders>
            <w:vAlign w:val="center"/>
          </w:tcPr>
          <w:p w14:paraId="4892CD92">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766AB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DDBD238">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朱小英</w:t>
            </w:r>
          </w:p>
        </w:tc>
        <w:tc>
          <w:tcPr>
            <w:tcW w:w="636" w:type="pct"/>
            <w:tcBorders>
              <w:top w:val="single" w:color="auto" w:sz="4" w:space="0"/>
              <w:left w:val="single" w:color="auto" w:sz="4" w:space="0"/>
              <w:bottom w:val="single" w:color="auto" w:sz="4" w:space="0"/>
              <w:right w:val="single" w:color="auto" w:sz="4" w:space="0"/>
            </w:tcBorders>
            <w:vAlign w:val="center"/>
          </w:tcPr>
          <w:p w14:paraId="251C9B11">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护士长、副主任护师</w:t>
            </w:r>
          </w:p>
        </w:tc>
        <w:tc>
          <w:tcPr>
            <w:tcW w:w="781" w:type="pct"/>
            <w:tcBorders>
              <w:top w:val="single" w:color="auto" w:sz="4" w:space="0"/>
              <w:left w:val="single" w:color="auto" w:sz="4" w:space="0"/>
              <w:bottom w:val="single" w:color="auto" w:sz="4" w:space="0"/>
              <w:right w:val="single" w:color="auto" w:sz="4" w:space="0"/>
            </w:tcBorders>
            <w:vAlign w:val="center"/>
          </w:tcPr>
          <w:p w14:paraId="5575A43B">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护理学</w:t>
            </w:r>
          </w:p>
        </w:tc>
        <w:tc>
          <w:tcPr>
            <w:tcW w:w="1289" w:type="pct"/>
            <w:tcBorders>
              <w:top w:val="single" w:color="auto" w:sz="4" w:space="0"/>
              <w:left w:val="single" w:color="auto" w:sz="4" w:space="0"/>
              <w:bottom w:val="single" w:color="auto" w:sz="4" w:space="0"/>
              <w:right w:val="single" w:color="auto" w:sz="4" w:space="0"/>
            </w:tcBorders>
            <w:vAlign w:val="center"/>
          </w:tcPr>
          <w:p w14:paraId="1D2A4919">
            <w:pPr>
              <w:jc w:val="center"/>
              <w:rPr>
                <w:rFonts w:ascii="仿宋_GB2312" w:hAnsi="仿宋" w:eastAsia="仿宋_GB2312" w:cs="仿宋"/>
                <w:color w:val="auto"/>
                <w:sz w:val="24"/>
                <w:lang w:bidi="ar"/>
              </w:rPr>
            </w:pPr>
            <w:r>
              <w:rPr>
                <w:rFonts w:hint="eastAsia" w:ascii="仿宋_GB2312" w:hAnsi="仿宋" w:eastAsia="仿宋_GB2312" w:cs="仿宋"/>
                <w:color w:val="auto"/>
                <w:sz w:val="24"/>
                <w:lang w:bidi="ar"/>
              </w:rPr>
              <w:t>右江民族医学院附属医院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7A42F981">
            <w:pPr>
              <w:jc w:val="center"/>
              <w:rPr>
                <w:rFonts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参与标准文本及编制说明的编写；组织开展标准征求意见会；对标准实施情况进行总结分析，不断对地方标准提出修正意见。</w:t>
            </w:r>
          </w:p>
        </w:tc>
      </w:tr>
      <w:tr w14:paraId="63D85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705404E">
            <w:pPr>
              <w:jc w:val="center"/>
              <w:rPr>
                <w:rFonts w:ascii="仿宋_GB2312" w:hAnsi="仿宋_GB2312" w:eastAsia="仿宋_GB2312" w:cs="仿宋_GB2312"/>
                <w:sz w:val="24"/>
              </w:rPr>
            </w:pPr>
            <w:r>
              <w:rPr>
                <w:rFonts w:hint="eastAsia" w:ascii="仿宋_GB2312" w:hAnsi="仿宋" w:eastAsia="仿宋_GB2312" w:cs="仿宋"/>
                <w:sz w:val="24"/>
                <w:lang w:bidi="ar"/>
              </w:rPr>
              <w:t>覃尹</w:t>
            </w:r>
          </w:p>
        </w:tc>
        <w:tc>
          <w:tcPr>
            <w:tcW w:w="636" w:type="pct"/>
            <w:tcBorders>
              <w:top w:val="single" w:color="auto" w:sz="4" w:space="0"/>
              <w:left w:val="single" w:color="auto" w:sz="4" w:space="0"/>
              <w:bottom w:val="single" w:color="auto" w:sz="4" w:space="0"/>
              <w:right w:val="single" w:color="auto" w:sz="4" w:space="0"/>
            </w:tcBorders>
            <w:vAlign w:val="center"/>
          </w:tcPr>
          <w:p w14:paraId="1F80EEBE">
            <w:pPr>
              <w:jc w:val="center"/>
              <w:rPr>
                <w:rFonts w:ascii="仿宋_GB2312" w:hAnsi="仿宋_GB2312" w:eastAsia="仿宋_GB2312" w:cs="仿宋_GB2312"/>
                <w:sz w:val="24"/>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3053B2FC">
            <w:pPr>
              <w:jc w:val="center"/>
              <w:rPr>
                <w:rFonts w:ascii="仿宋_GB2312" w:hAnsi="仿宋_GB2312" w:eastAsia="仿宋_GB2312" w:cs="仿宋_GB2312"/>
                <w:sz w:val="24"/>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16063DB9">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087AA353">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1BD46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D368E60">
            <w:pPr>
              <w:jc w:val="center"/>
              <w:rPr>
                <w:rFonts w:ascii="仿宋_GB2312" w:hAnsi="仿宋_GB2312" w:eastAsia="仿宋_GB2312" w:cs="仿宋_GB2312"/>
                <w:sz w:val="24"/>
              </w:rPr>
            </w:pPr>
            <w:r>
              <w:rPr>
                <w:rFonts w:hint="eastAsia" w:ascii="仿宋_GB2312" w:hAnsi="仿宋" w:eastAsia="仿宋_GB2312" w:cs="仿宋"/>
                <w:sz w:val="24"/>
                <w:lang w:bidi="ar"/>
              </w:rPr>
              <w:t>罗璇璇</w:t>
            </w:r>
          </w:p>
        </w:tc>
        <w:tc>
          <w:tcPr>
            <w:tcW w:w="636" w:type="pct"/>
            <w:tcBorders>
              <w:top w:val="single" w:color="auto" w:sz="4" w:space="0"/>
              <w:left w:val="single" w:color="auto" w:sz="4" w:space="0"/>
              <w:bottom w:val="single" w:color="auto" w:sz="4" w:space="0"/>
              <w:right w:val="single" w:color="auto" w:sz="4" w:space="0"/>
            </w:tcBorders>
            <w:vAlign w:val="center"/>
          </w:tcPr>
          <w:p w14:paraId="3100E4EC">
            <w:pPr>
              <w:jc w:val="center"/>
              <w:rPr>
                <w:rFonts w:ascii="仿宋_GB2312" w:hAnsi="仿宋_GB2312" w:eastAsia="仿宋_GB2312" w:cs="仿宋_GB2312"/>
                <w:sz w:val="24"/>
              </w:rPr>
            </w:pPr>
            <w:r>
              <w:rPr>
                <w:rFonts w:hint="eastAsia" w:ascii="仿宋_GB2312" w:hAnsi="仿宋" w:eastAsia="仿宋_GB2312" w:cs="仿宋"/>
                <w:sz w:val="24"/>
                <w:lang w:bidi="ar"/>
              </w:rPr>
              <w:t>护师</w:t>
            </w:r>
          </w:p>
        </w:tc>
        <w:tc>
          <w:tcPr>
            <w:tcW w:w="781" w:type="pct"/>
            <w:tcBorders>
              <w:top w:val="single" w:color="auto" w:sz="4" w:space="0"/>
              <w:left w:val="single" w:color="auto" w:sz="4" w:space="0"/>
              <w:bottom w:val="single" w:color="auto" w:sz="4" w:space="0"/>
              <w:right w:val="single" w:color="auto" w:sz="4" w:space="0"/>
            </w:tcBorders>
            <w:vAlign w:val="center"/>
          </w:tcPr>
          <w:p w14:paraId="0A5B08BB">
            <w:pPr>
              <w:jc w:val="center"/>
              <w:rPr>
                <w:rFonts w:ascii="仿宋_GB2312" w:hAnsi="仿宋_GB2312" w:eastAsia="仿宋_GB2312" w:cs="仿宋_GB2312"/>
                <w:sz w:val="24"/>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616A9CFD">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2157272">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6162E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E50EEB0">
            <w:pPr>
              <w:jc w:val="center"/>
              <w:rPr>
                <w:rFonts w:ascii="仿宋_GB2312" w:hAnsi="仿宋_GB2312" w:eastAsia="仿宋_GB2312" w:cs="仿宋_GB2312"/>
                <w:sz w:val="24"/>
              </w:rPr>
            </w:pPr>
            <w:r>
              <w:rPr>
                <w:rFonts w:hint="eastAsia" w:ascii="仿宋_GB2312" w:hAnsi="仿宋" w:eastAsia="仿宋_GB2312" w:cs="仿宋"/>
                <w:sz w:val="24"/>
                <w:lang w:bidi="ar"/>
              </w:rPr>
              <w:t>林丽莉</w:t>
            </w:r>
          </w:p>
        </w:tc>
        <w:tc>
          <w:tcPr>
            <w:tcW w:w="636" w:type="pct"/>
            <w:tcBorders>
              <w:top w:val="single" w:color="auto" w:sz="4" w:space="0"/>
              <w:left w:val="single" w:color="auto" w:sz="4" w:space="0"/>
              <w:bottom w:val="single" w:color="auto" w:sz="4" w:space="0"/>
              <w:right w:val="single" w:color="auto" w:sz="4" w:space="0"/>
            </w:tcBorders>
            <w:vAlign w:val="center"/>
          </w:tcPr>
          <w:p w14:paraId="41E1B1A6">
            <w:pPr>
              <w:jc w:val="center"/>
              <w:rPr>
                <w:rFonts w:ascii="仿宋_GB2312" w:hAnsi="仿宋_GB2312" w:eastAsia="仿宋_GB2312" w:cs="仿宋_GB2312"/>
                <w:sz w:val="24"/>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0A6913BC">
            <w:pPr>
              <w:jc w:val="center"/>
              <w:rPr>
                <w:rFonts w:ascii="仿宋_GB2312" w:hAnsi="仿宋_GB2312" w:eastAsia="仿宋_GB2312" w:cs="仿宋_GB2312"/>
                <w:sz w:val="24"/>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7C26D262">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7861F78E">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52B4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2AA33CD8">
            <w:pPr>
              <w:jc w:val="center"/>
              <w:rPr>
                <w:rFonts w:ascii="仿宋_GB2312" w:hAnsi="仿宋_GB2312" w:eastAsia="仿宋_GB2312" w:cs="仿宋_GB2312"/>
                <w:sz w:val="24"/>
              </w:rPr>
            </w:pPr>
            <w:r>
              <w:rPr>
                <w:rFonts w:hint="eastAsia" w:ascii="仿宋_GB2312" w:hAnsi="仿宋" w:eastAsia="仿宋_GB2312" w:cs="仿宋"/>
                <w:sz w:val="24"/>
                <w:lang w:bidi="ar"/>
              </w:rPr>
              <w:t>刘菁菁</w:t>
            </w:r>
          </w:p>
        </w:tc>
        <w:tc>
          <w:tcPr>
            <w:tcW w:w="636" w:type="pct"/>
            <w:tcBorders>
              <w:top w:val="single" w:color="auto" w:sz="4" w:space="0"/>
              <w:left w:val="single" w:color="auto" w:sz="4" w:space="0"/>
              <w:bottom w:val="single" w:color="auto" w:sz="4" w:space="0"/>
              <w:right w:val="single" w:color="auto" w:sz="4" w:space="0"/>
            </w:tcBorders>
            <w:vAlign w:val="center"/>
          </w:tcPr>
          <w:p w14:paraId="5361F04D">
            <w:pPr>
              <w:jc w:val="center"/>
              <w:rPr>
                <w:rFonts w:ascii="仿宋_GB2312" w:hAnsi="仿宋_GB2312" w:eastAsia="仿宋_GB2312" w:cs="仿宋_GB2312"/>
                <w:sz w:val="24"/>
              </w:rPr>
            </w:pPr>
            <w:r>
              <w:rPr>
                <w:rFonts w:hint="eastAsia" w:ascii="仿宋_GB2312" w:hAnsi="仿宋" w:eastAsia="仿宋_GB2312" w:cs="仿宋"/>
                <w:sz w:val="24"/>
                <w:lang w:bidi="ar"/>
              </w:rPr>
              <w:t>护师</w:t>
            </w:r>
          </w:p>
        </w:tc>
        <w:tc>
          <w:tcPr>
            <w:tcW w:w="781" w:type="pct"/>
            <w:tcBorders>
              <w:top w:val="single" w:color="auto" w:sz="4" w:space="0"/>
              <w:left w:val="single" w:color="auto" w:sz="4" w:space="0"/>
              <w:bottom w:val="single" w:color="auto" w:sz="4" w:space="0"/>
              <w:right w:val="single" w:color="auto" w:sz="4" w:space="0"/>
            </w:tcBorders>
            <w:vAlign w:val="center"/>
          </w:tcPr>
          <w:p w14:paraId="6F4C9EE6">
            <w:pPr>
              <w:jc w:val="center"/>
              <w:rPr>
                <w:rFonts w:ascii="仿宋_GB2312" w:hAnsi="仿宋_GB2312" w:eastAsia="仿宋_GB2312" w:cs="仿宋_GB2312"/>
                <w:sz w:val="24"/>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6978D118">
            <w:pPr>
              <w:jc w:val="center"/>
              <w:rPr>
                <w:rFonts w:ascii="仿宋_GB2312" w:hAnsi="仿宋_GB2312" w:eastAsia="仿宋_GB2312" w:cs="仿宋_GB2312"/>
                <w:sz w:val="24"/>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AFA6301">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3F483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044E2E20">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廖诗</w:t>
            </w:r>
          </w:p>
        </w:tc>
        <w:tc>
          <w:tcPr>
            <w:tcW w:w="636" w:type="pct"/>
            <w:tcBorders>
              <w:top w:val="single" w:color="auto" w:sz="4" w:space="0"/>
              <w:left w:val="single" w:color="auto" w:sz="4" w:space="0"/>
              <w:bottom w:val="single" w:color="auto" w:sz="4" w:space="0"/>
              <w:right w:val="single" w:color="auto" w:sz="4" w:space="0"/>
            </w:tcBorders>
            <w:vAlign w:val="center"/>
          </w:tcPr>
          <w:p w14:paraId="464C3AB8">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主治医师</w:t>
            </w:r>
          </w:p>
        </w:tc>
        <w:tc>
          <w:tcPr>
            <w:tcW w:w="781" w:type="pct"/>
            <w:tcBorders>
              <w:top w:val="single" w:color="auto" w:sz="4" w:space="0"/>
              <w:left w:val="single" w:color="auto" w:sz="4" w:space="0"/>
              <w:bottom w:val="single" w:color="auto" w:sz="4" w:space="0"/>
              <w:right w:val="single" w:color="auto" w:sz="4" w:space="0"/>
            </w:tcBorders>
            <w:vAlign w:val="center"/>
          </w:tcPr>
          <w:p w14:paraId="75758E6A">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39E57617">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32F01451">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1C7D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5089D00F">
            <w:pPr>
              <w:jc w:val="center"/>
              <w:rPr>
                <w:rFonts w:ascii="仿宋_GB2312" w:hAnsi="仿宋_GB2312" w:eastAsia="仿宋_GB2312" w:cs="仿宋_GB2312"/>
                <w:bCs/>
                <w:sz w:val="24"/>
                <w:lang w:bidi="ar"/>
              </w:rPr>
            </w:pPr>
            <w:r>
              <w:rPr>
                <w:rFonts w:hint="eastAsia" w:ascii="仿宋_GB2312" w:hAnsi="仿宋_GB2312" w:eastAsia="仿宋_GB2312" w:cs="仿宋_GB2312"/>
                <w:bCs/>
                <w:sz w:val="24"/>
                <w:lang w:bidi="ar"/>
              </w:rPr>
              <w:t>刘嘉聪</w:t>
            </w:r>
          </w:p>
        </w:tc>
        <w:tc>
          <w:tcPr>
            <w:tcW w:w="636" w:type="pct"/>
            <w:tcBorders>
              <w:top w:val="single" w:color="auto" w:sz="4" w:space="0"/>
              <w:left w:val="single" w:color="auto" w:sz="4" w:space="0"/>
              <w:bottom w:val="single" w:color="auto" w:sz="4" w:space="0"/>
              <w:right w:val="single" w:color="auto" w:sz="4" w:space="0"/>
            </w:tcBorders>
            <w:vAlign w:val="center"/>
          </w:tcPr>
          <w:p w14:paraId="51FFA35E">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主治医师</w:t>
            </w:r>
          </w:p>
        </w:tc>
        <w:tc>
          <w:tcPr>
            <w:tcW w:w="781" w:type="pct"/>
            <w:tcBorders>
              <w:top w:val="single" w:color="auto" w:sz="4" w:space="0"/>
              <w:left w:val="single" w:color="auto" w:sz="4" w:space="0"/>
              <w:bottom w:val="single" w:color="auto" w:sz="4" w:space="0"/>
              <w:right w:val="single" w:color="auto" w:sz="4" w:space="0"/>
            </w:tcBorders>
            <w:vAlign w:val="center"/>
          </w:tcPr>
          <w:p w14:paraId="572B37C5">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30076C9D">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27DE9A07">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D488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0A1B60E8">
            <w:pPr>
              <w:jc w:val="center"/>
              <w:rPr>
                <w:rFonts w:ascii="仿宋_GB2312" w:hAnsi="仿宋_GB2312" w:eastAsia="仿宋_GB2312" w:cs="仿宋_GB2312"/>
                <w:bCs/>
                <w:sz w:val="24"/>
                <w:lang w:bidi="ar"/>
              </w:rPr>
            </w:pPr>
            <w:r>
              <w:rPr>
                <w:rFonts w:hint="eastAsia" w:ascii="仿宋_GB2312" w:hAnsi="仿宋_GB2312" w:eastAsia="仿宋_GB2312" w:cs="仿宋_GB2312"/>
                <w:bCs/>
                <w:sz w:val="24"/>
                <w:lang w:bidi="ar"/>
              </w:rPr>
              <w:t>韦利林</w:t>
            </w:r>
          </w:p>
        </w:tc>
        <w:tc>
          <w:tcPr>
            <w:tcW w:w="636" w:type="pct"/>
            <w:tcBorders>
              <w:top w:val="single" w:color="auto" w:sz="4" w:space="0"/>
              <w:left w:val="single" w:color="auto" w:sz="4" w:space="0"/>
              <w:bottom w:val="single" w:color="auto" w:sz="4" w:space="0"/>
              <w:right w:val="single" w:color="auto" w:sz="4" w:space="0"/>
            </w:tcBorders>
            <w:vAlign w:val="center"/>
          </w:tcPr>
          <w:p w14:paraId="57616445">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主治医师</w:t>
            </w:r>
          </w:p>
        </w:tc>
        <w:tc>
          <w:tcPr>
            <w:tcW w:w="781" w:type="pct"/>
            <w:tcBorders>
              <w:top w:val="single" w:color="auto" w:sz="4" w:space="0"/>
              <w:left w:val="single" w:color="auto" w:sz="4" w:space="0"/>
              <w:bottom w:val="single" w:color="auto" w:sz="4" w:space="0"/>
              <w:right w:val="single" w:color="auto" w:sz="4" w:space="0"/>
            </w:tcBorders>
            <w:vAlign w:val="center"/>
          </w:tcPr>
          <w:p w14:paraId="4E50898D">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02B9C1F0">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2B51D441">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482EB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17E67FC">
            <w:pPr>
              <w:jc w:val="center"/>
              <w:rPr>
                <w:rFonts w:ascii="仿宋_GB2312" w:hAnsi="仿宋_GB2312" w:eastAsia="仿宋_GB2312" w:cs="仿宋_GB2312"/>
                <w:bCs/>
                <w:sz w:val="24"/>
                <w:lang w:bidi="ar"/>
              </w:rPr>
            </w:pPr>
            <w:r>
              <w:rPr>
                <w:rFonts w:hint="eastAsia" w:ascii="仿宋_GB2312" w:hAnsi="仿宋_GB2312" w:eastAsia="仿宋_GB2312" w:cs="仿宋_GB2312"/>
                <w:bCs/>
                <w:sz w:val="24"/>
                <w:lang w:bidi="ar"/>
              </w:rPr>
              <w:t>罗静</w:t>
            </w:r>
          </w:p>
        </w:tc>
        <w:tc>
          <w:tcPr>
            <w:tcW w:w="636" w:type="pct"/>
            <w:tcBorders>
              <w:top w:val="single" w:color="auto" w:sz="4" w:space="0"/>
              <w:left w:val="single" w:color="auto" w:sz="4" w:space="0"/>
              <w:bottom w:val="single" w:color="auto" w:sz="4" w:space="0"/>
              <w:right w:val="single" w:color="auto" w:sz="4" w:space="0"/>
            </w:tcBorders>
            <w:vAlign w:val="center"/>
          </w:tcPr>
          <w:p w14:paraId="49680C48">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主治医师</w:t>
            </w:r>
          </w:p>
        </w:tc>
        <w:tc>
          <w:tcPr>
            <w:tcW w:w="781" w:type="pct"/>
            <w:tcBorders>
              <w:top w:val="single" w:color="auto" w:sz="4" w:space="0"/>
              <w:left w:val="single" w:color="auto" w:sz="4" w:space="0"/>
              <w:bottom w:val="single" w:color="auto" w:sz="4" w:space="0"/>
              <w:right w:val="single" w:color="auto" w:sz="4" w:space="0"/>
            </w:tcBorders>
            <w:vAlign w:val="center"/>
          </w:tcPr>
          <w:p w14:paraId="37AC08EA">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产科诊疗学</w:t>
            </w:r>
          </w:p>
        </w:tc>
        <w:tc>
          <w:tcPr>
            <w:tcW w:w="1289" w:type="pct"/>
            <w:tcBorders>
              <w:top w:val="single" w:color="auto" w:sz="4" w:space="0"/>
              <w:left w:val="single" w:color="auto" w:sz="4" w:space="0"/>
              <w:bottom w:val="single" w:color="auto" w:sz="4" w:space="0"/>
              <w:right w:val="single" w:color="auto" w:sz="4" w:space="0"/>
            </w:tcBorders>
            <w:vAlign w:val="center"/>
          </w:tcPr>
          <w:p w14:paraId="5DDEBBEB">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4DC0814">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6E7AC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3E403CB">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韦小连</w:t>
            </w:r>
          </w:p>
        </w:tc>
        <w:tc>
          <w:tcPr>
            <w:tcW w:w="636" w:type="pct"/>
            <w:tcBorders>
              <w:top w:val="single" w:color="auto" w:sz="4" w:space="0"/>
              <w:left w:val="single" w:color="auto" w:sz="4" w:space="0"/>
              <w:bottom w:val="single" w:color="auto" w:sz="4" w:space="0"/>
              <w:right w:val="single" w:color="auto" w:sz="4" w:space="0"/>
            </w:tcBorders>
            <w:vAlign w:val="center"/>
          </w:tcPr>
          <w:p w14:paraId="1D7251F3">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45BE8A87">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39D5402C">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50BBDBD">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64E9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774B727">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董娴</w:t>
            </w:r>
          </w:p>
        </w:tc>
        <w:tc>
          <w:tcPr>
            <w:tcW w:w="636" w:type="pct"/>
            <w:tcBorders>
              <w:top w:val="single" w:color="auto" w:sz="4" w:space="0"/>
              <w:left w:val="single" w:color="auto" w:sz="4" w:space="0"/>
              <w:bottom w:val="single" w:color="auto" w:sz="4" w:space="0"/>
              <w:right w:val="single" w:color="auto" w:sz="4" w:space="0"/>
            </w:tcBorders>
            <w:vAlign w:val="center"/>
          </w:tcPr>
          <w:p w14:paraId="53A35CF6">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护师</w:t>
            </w:r>
          </w:p>
        </w:tc>
        <w:tc>
          <w:tcPr>
            <w:tcW w:w="781" w:type="pct"/>
            <w:tcBorders>
              <w:top w:val="single" w:color="auto" w:sz="4" w:space="0"/>
              <w:left w:val="single" w:color="auto" w:sz="4" w:space="0"/>
              <w:bottom w:val="single" w:color="auto" w:sz="4" w:space="0"/>
              <w:right w:val="single" w:color="auto" w:sz="4" w:space="0"/>
            </w:tcBorders>
            <w:vAlign w:val="center"/>
          </w:tcPr>
          <w:p w14:paraId="3D3224B5">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47B6F757">
            <w:pPr>
              <w:jc w:val="center"/>
              <w:rPr>
                <w:rFonts w:ascii="仿宋_GB2312" w:hAnsi="仿宋_GB2312" w:eastAsia="仿宋_GB2312" w:cs="仿宋_GB2312"/>
                <w:bCs/>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13B984D">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6054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01E3359">
            <w:pPr>
              <w:jc w:val="center"/>
              <w:rPr>
                <w:rFonts w:ascii="仿宋_GB2312" w:hAnsi="仿宋" w:eastAsia="仿宋_GB2312" w:cs="仿宋"/>
                <w:sz w:val="24"/>
                <w:lang w:bidi="ar"/>
              </w:rPr>
            </w:pPr>
            <w:r>
              <w:rPr>
                <w:rFonts w:hint="eastAsia" w:ascii="仿宋_GB2312" w:hAnsi="仿宋" w:eastAsia="仿宋_GB2312" w:cs="仿宋"/>
                <w:sz w:val="24"/>
                <w:lang w:bidi="ar"/>
              </w:rPr>
              <w:t>欧干锋</w:t>
            </w:r>
          </w:p>
        </w:tc>
        <w:tc>
          <w:tcPr>
            <w:tcW w:w="636" w:type="pct"/>
            <w:tcBorders>
              <w:top w:val="single" w:color="auto" w:sz="4" w:space="0"/>
              <w:left w:val="single" w:color="auto" w:sz="4" w:space="0"/>
              <w:bottom w:val="single" w:color="auto" w:sz="4" w:space="0"/>
              <w:right w:val="single" w:color="auto" w:sz="4" w:space="0"/>
            </w:tcBorders>
            <w:vAlign w:val="center"/>
          </w:tcPr>
          <w:p w14:paraId="61A4B346">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067E6B63">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3AEA581B">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B42E4EA">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2C3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080419B">
            <w:pPr>
              <w:jc w:val="center"/>
              <w:rPr>
                <w:rFonts w:ascii="仿宋_GB2312" w:hAnsi="仿宋" w:eastAsia="仿宋_GB2312" w:cs="仿宋"/>
                <w:sz w:val="24"/>
                <w:lang w:bidi="ar"/>
              </w:rPr>
            </w:pPr>
            <w:r>
              <w:rPr>
                <w:rFonts w:hint="eastAsia" w:ascii="仿宋_GB2312" w:hAnsi="仿宋" w:eastAsia="仿宋_GB2312" w:cs="仿宋"/>
                <w:sz w:val="24"/>
                <w:lang w:bidi="ar"/>
              </w:rPr>
              <w:t>陆巧红</w:t>
            </w:r>
          </w:p>
        </w:tc>
        <w:tc>
          <w:tcPr>
            <w:tcW w:w="636" w:type="pct"/>
            <w:tcBorders>
              <w:top w:val="single" w:color="auto" w:sz="4" w:space="0"/>
              <w:left w:val="single" w:color="auto" w:sz="4" w:space="0"/>
              <w:bottom w:val="single" w:color="auto" w:sz="4" w:space="0"/>
              <w:right w:val="single" w:color="auto" w:sz="4" w:space="0"/>
            </w:tcBorders>
            <w:vAlign w:val="center"/>
          </w:tcPr>
          <w:p w14:paraId="4361A383">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13CAA804">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609C699B">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6B8C5C70">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1D52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12054C4A">
            <w:pPr>
              <w:jc w:val="center"/>
              <w:rPr>
                <w:rFonts w:ascii="仿宋_GB2312" w:hAnsi="仿宋" w:eastAsia="仿宋_GB2312" w:cs="仿宋"/>
                <w:sz w:val="24"/>
                <w:lang w:bidi="ar"/>
              </w:rPr>
            </w:pPr>
            <w:r>
              <w:rPr>
                <w:rFonts w:hint="eastAsia" w:ascii="仿宋_GB2312" w:hAnsi="仿宋" w:eastAsia="仿宋_GB2312" w:cs="仿宋"/>
                <w:sz w:val="24"/>
                <w:lang w:bidi="ar"/>
              </w:rPr>
              <w:t>杜权娥</w:t>
            </w:r>
          </w:p>
        </w:tc>
        <w:tc>
          <w:tcPr>
            <w:tcW w:w="636" w:type="pct"/>
            <w:tcBorders>
              <w:top w:val="single" w:color="auto" w:sz="4" w:space="0"/>
              <w:left w:val="single" w:color="auto" w:sz="4" w:space="0"/>
              <w:bottom w:val="single" w:color="auto" w:sz="4" w:space="0"/>
              <w:right w:val="single" w:color="auto" w:sz="4" w:space="0"/>
            </w:tcBorders>
            <w:vAlign w:val="center"/>
          </w:tcPr>
          <w:p w14:paraId="704C78B7">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40C0006A">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20DCA69F">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4BF0D982">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07FD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1A8A968A">
            <w:pPr>
              <w:jc w:val="center"/>
              <w:rPr>
                <w:rFonts w:ascii="仿宋_GB2312" w:hAnsi="仿宋" w:eastAsia="仿宋_GB2312" w:cs="仿宋"/>
                <w:sz w:val="24"/>
                <w:lang w:bidi="ar"/>
              </w:rPr>
            </w:pPr>
            <w:r>
              <w:rPr>
                <w:rFonts w:hint="eastAsia" w:ascii="仿宋_GB2312" w:hAnsi="仿宋" w:eastAsia="仿宋_GB2312" w:cs="仿宋"/>
                <w:sz w:val="24"/>
                <w:lang w:bidi="ar"/>
              </w:rPr>
              <w:t>唐丹丹</w:t>
            </w:r>
          </w:p>
        </w:tc>
        <w:tc>
          <w:tcPr>
            <w:tcW w:w="636" w:type="pct"/>
            <w:tcBorders>
              <w:top w:val="single" w:color="auto" w:sz="4" w:space="0"/>
              <w:left w:val="single" w:color="auto" w:sz="4" w:space="0"/>
              <w:bottom w:val="single" w:color="auto" w:sz="4" w:space="0"/>
              <w:right w:val="single" w:color="auto" w:sz="4" w:space="0"/>
            </w:tcBorders>
            <w:vAlign w:val="center"/>
          </w:tcPr>
          <w:p w14:paraId="51BDE959">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7DADE487">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13251026">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0FE93416">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1323E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4496EC28">
            <w:pPr>
              <w:jc w:val="center"/>
              <w:rPr>
                <w:rFonts w:ascii="仿宋_GB2312" w:hAnsi="仿宋" w:eastAsia="仿宋_GB2312" w:cs="仿宋"/>
                <w:sz w:val="24"/>
                <w:lang w:bidi="ar"/>
              </w:rPr>
            </w:pPr>
            <w:r>
              <w:rPr>
                <w:rFonts w:hint="eastAsia" w:ascii="仿宋_GB2312" w:hAnsi="仿宋" w:eastAsia="仿宋_GB2312" w:cs="仿宋"/>
                <w:sz w:val="24"/>
                <w:lang w:bidi="ar"/>
              </w:rPr>
              <w:t>朱丽红</w:t>
            </w:r>
          </w:p>
        </w:tc>
        <w:tc>
          <w:tcPr>
            <w:tcW w:w="636" w:type="pct"/>
            <w:tcBorders>
              <w:top w:val="single" w:color="auto" w:sz="4" w:space="0"/>
              <w:left w:val="single" w:color="auto" w:sz="4" w:space="0"/>
              <w:bottom w:val="single" w:color="auto" w:sz="4" w:space="0"/>
              <w:right w:val="single" w:color="auto" w:sz="4" w:space="0"/>
            </w:tcBorders>
            <w:vAlign w:val="center"/>
          </w:tcPr>
          <w:p w14:paraId="6CEE82C3">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151B5C0B">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55A6C65F">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7A150313">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3D5D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63046178">
            <w:pPr>
              <w:jc w:val="center"/>
              <w:rPr>
                <w:rFonts w:ascii="仿宋_GB2312" w:hAnsi="仿宋" w:eastAsia="仿宋_GB2312" w:cs="仿宋"/>
                <w:sz w:val="24"/>
                <w:lang w:bidi="ar"/>
              </w:rPr>
            </w:pPr>
            <w:r>
              <w:rPr>
                <w:rFonts w:hint="eastAsia" w:ascii="仿宋_GB2312" w:hAnsi="仿宋" w:eastAsia="仿宋_GB2312" w:cs="仿宋"/>
                <w:sz w:val="24"/>
                <w:lang w:bidi="ar"/>
              </w:rPr>
              <w:t>王志丽</w:t>
            </w:r>
          </w:p>
        </w:tc>
        <w:tc>
          <w:tcPr>
            <w:tcW w:w="636" w:type="pct"/>
            <w:tcBorders>
              <w:top w:val="single" w:color="auto" w:sz="4" w:space="0"/>
              <w:left w:val="single" w:color="auto" w:sz="4" w:space="0"/>
              <w:bottom w:val="single" w:color="auto" w:sz="4" w:space="0"/>
              <w:right w:val="single" w:color="auto" w:sz="4" w:space="0"/>
            </w:tcBorders>
            <w:vAlign w:val="center"/>
          </w:tcPr>
          <w:p w14:paraId="3A1C2DC8">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66152ECA">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55B0F31E">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006BA9C8">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CE4D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3721EE9F">
            <w:pPr>
              <w:jc w:val="center"/>
              <w:rPr>
                <w:rFonts w:ascii="仿宋_GB2312" w:hAnsi="仿宋" w:eastAsia="仿宋_GB2312" w:cs="仿宋"/>
                <w:sz w:val="24"/>
                <w:lang w:bidi="ar"/>
              </w:rPr>
            </w:pPr>
            <w:r>
              <w:rPr>
                <w:rFonts w:hint="eastAsia" w:ascii="仿宋_GB2312" w:hAnsi="仿宋" w:eastAsia="仿宋_GB2312" w:cs="仿宋"/>
                <w:sz w:val="24"/>
                <w:lang w:bidi="ar"/>
              </w:rPr>
              <w:t>秦雅萍</w:t>
            </w:r>
          </w:p>
        </w:tc>
        <w:tc>
          <w:tcPr>
            <w:tcW w:w="636" w:type="pct"/>
            <w:tcBorders>
              <w:top w:val="single" w:color="auto" w:sz="4" w:space="0"/>
              <w:left w:val="single" w:color="auto" w:sz="4" w:space="0"/>
              <w:bottom w:val="single" w:color="auto" w:sz="4" w:space="0"/>
              <w:right w:val="single" w:color="auto" w:sz="4" w:space="0"/>
            </w:tcBorders>
            <w:vAlign w:val="center"/>
          </w:tcPr>
          <w:p w14:paraId="2BCC08EE">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4D7F4AA8">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275FF1B7">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26C8B56D">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527D9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4" w:type="pct"/>
            <w:tcBorders>
              <w:top w:val="single" w:color="auto" w:sz="4" w:space="0"/>
              <w:left w:val="single" w:color="auto" w:sz="4" w:space="0"/>
              <w:bottom w:val="single" w:color="auto" w:sz="4" w:space="0"/>
              <w:right w:val="single" w:color="auto" w:sz="4" w:space="0"/>
            </w:tcBorders>
            <w:vAlign w:val="center"/>
          </w:tcPr>
          <w:p w14:paraId="71F4F7E1">
            <w:pPr>
              <w:jc w:val="center"/>
              <w:rPr>
                <w:rFonts w:ascii="仿宋_GB2312" w:hAnsi="仿宋" w:eastAsia="仿宋_GB2312" w:cs="仿宋"/>
                <w:sz w:val="24"/>
                <w:lang w:bidi="ar"/>
              </w:rPr>
            </w:pPr>
            <w:r>
              <w:rPr>
                <w:rFonts w:hint="eastAsia" w:ascii="仿宋_GB2312" w:hAnsi="仿宋" w:eastAsia="仿宋_GB2312" w:cs="仿宋"/>
                <w:sz w:val="24"/>
                <w:lang w:bidi="ar"/>
              </w:rPr>
              <w:t>林清华</w:t>
            </w:r>
          </w:p>
        </w:tc>
        <w:tc>
          <w:tcPr>
            <w:tcW w:w="636" w:type="pct"/>
            <w:tcBorders>
              <w:top w:val="single" w:color="auto" w:sz="4" w:space="0"/>
              <w:left w:val="single" w:color="auto" w:sz="4" w:space="0"/>
              <w:bottom w:val="single" w:color="auto" w:sz="4" w:space="0"/>
              <w:right w:val="single" w:color="auto" w:sz="4" w:space="0"/>
            </w:tcBorders>
            <w:vAlign w:val="center"/>
          </w:tcPr>
          <w:p w14:paraId="5DD66B4C">
            <w:pPr>
              <w:jc w:val="center"/>
              <w:rPr>
                <w:rFonts w:ascii="仿宋_GB2312" w:hAnsi="Calibri" w:eastAsia="仿宋_GB2312" w:cs="仿宋_GB2312"/>
                <w:sz w:val="24"/>
                <w:lang w:bidi="ar"/>
              </w:rPr>
            </w:pPr>
            <w:r>
              <w:rPr>
                <w:rFonts w:hint="eastAsia" w:ascii="仿宋_GB2312" w:hAnsi="仿宋" w:eastAsia="仿宋_GB2312" w:cs="仿宋"/>
                <w:sz w:val="24"/>
                <w:lang w:bidi="ar"/>
              </w:rPr>
              <w:t>主管护师</w:t>
            </w:r>
          </w:p>
        </w:tc>
        <w:tc>
          <w:tcPr>
            <w:tcW w:w="781" w:type="pct"/>
            <w:tcBorders>
              <w:top w:val="single" w:color="auto" w:sz="4" w:space="0"/>
              <w:left w:val="single" w:color="auto" w:sz="4" w:space="0"/>
              <w:bottom w:val="single" w:color="auto" w:sz="4" w:space="0"/>
              <w:right w:val="single" w:color="auto" w:sz="4" w:space="0"/>
            </w:tcBorders>
            <w:vAlign w:val="center"/>
          </w:tcPr>
          <w:p w14:paraId="05DF267E">
            <w:pPr>
              <w:jc w:val="center"/>
              <w:rPr>
                <w:rFonts w:ascii="仿宋_GB2312" w:hAnsi="仿宋_GB2312" w:eastAsia="仿宋_GB2312" w:cs="仿宋_GB2312"/>
                <w:sz w:val="24"/>
                <w:lang w:bidi="ar"/>
              </w:rPr>
            </w:pPr>
            <w:r>
              <w:rPr>
                <w:rFonts w:hint="eastAsia" w:ascii="仿宋_GB2312" w:hAnsi="仿宋" w:eastAsia="仿宋_GB2312" w:cs="仿宋"/>
                <w:sz w:val="24"/>
                <w:lang w:bidi="ar"/>
              </w:rPr>
              <w:t>产科护理学</w:t>
            </w:r>
          </w:p>
        </w:tc>
        <w:tc>
          <w:tcPr>
            <w:tcW w:w="1289" w:type="pct"/>
            <w:tcBorders>
              <w:top w:val="single" w:color="auto" w:sz="4" w:space="0"/>
              <w:left w:val="single" w:color="auto" w:sz="4" w:space="0"/>
              <w:bottom w:val="single" w:color="auto" w:sz="4" w:space="0"/>
              <w:right w:val="single" w:color="auto" w:sz="4" w:space="0"/>
            </w:tcBorders>
            <w:vAlign w:val="center"/>
          </w:tcPr>
          <w:p w14:paraId="5CD4681E">
            <w:pPr>
              <w:jc w:val="center"/>
              <w:rPr>
                <w:rFonts w:ascii="仿宋_GB2312" w:eastAsia="仿宋_GB2312" w:cs="仿宋_GB2312"/>
                <w:sz w:val="24"/>
                <w:lang w:bidi="ar"/>
              </w:rPr>
            </w:pPr>
            <w:r>
              <w:rPr>
                <w:rFonts w:hint="eastAsia" w:ascii="仿宋_GB2312" w:hAnsi="仿宋" w:eastAsia="仿宋_GB2312" w:cs="仿宋"/>
                <w:sz w:val="24"/>
                <w:lang w:bidi="ar"/>
              </w:rPr>
              <w:t>广西医科大学第二附属医院</w:t>
            </w:r>
          </w:p>
        </w:tc>
        <w:tc>
          <w:tcPr>
            <w:tcW w:w="1698" w:type="pct"/>
            <w:tcBorders>
              <w:top w:val="single" w:color="auto" w:sz="4" w:space="0"/>
              <w:left w:val="single" w:color="auto" w:sz="4" w:space="0"/>
              <w:bottom w:val="single" w:color="auto" w:sz="4" w:space="0"/>
              <w:right w:val="single" w:color="auto" w:sz="4" w:space="0"/>
            </w:tcBorders>
            <w:vAlign w:val="center"/>
          </w:tcPr>
          <w:p w14:paraId="5BAB3784">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bl>
    <w:p w14:paraId="37FD8908">
      <w:pPr>
        <w:pStyle w:val="9"/>
        <w:ind w:firstLine="640" w:firstLineChars="200"/>
        <w:jc w:val="left"/>
        <w:rPr>
          <w:rFonts w:ascii="黑体" w:hAnsi="黑体" w:eastAsia="黑体"/>
          <w:b w:val="0"/>
        </w:rPr>
      </w:pPr>
      <w:r>
        <w:rPr>
          <w:rFonts w:hint="eastAsia" w:ascii="黑体" w:hAnsi="黑体" w:eastAsia="黑体"/>
          <w:b w:val="0"/>
        </w:rPr>
        <w:t>二、项目背景及目的意义</w:t>
      </w:r>
    </w:p>
    <w:p w14:paraId="147EC4EF">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2021年，国家卫生健康委、国家发展改革委等多部门联合印发的《关于印发母乳喂养促进行动计划（2021-2025年）的通知》（国卫妇幼发〔2021〕38号）中明确提出，完善母乳喂养咨询服务网络。鼓励综合医院、妇幼保健机构、妇产医院和儿童医院、有条件的乡镇卫生院和社区卫生服务中心设立母乳喂养咨询门诊或营养门诊，为家庭提供母乳喂养咨询指导，增加服务供给，提高服务可及性。针对孕产保健科、妇产科、儿科、儿童保健科、儿童营养门诊、乳腺保健门诊等科室加强能力建设，将母乳喂养知识技能作为重点内容，定期开展医护人员专业知识技能培训。以促进母乳喂养为重点，推进爱婴医院建设，持续强化爱婴医院影响力。推动孕产期保健、新生儿保健、儿童营养特色专科建设，促进医疗机构推广适宜技术，提升母乳喂养率。2022年，国家卫生健康委员会关于印发《“十四五”卫生健康标准化工作规划的通知》（国卫法规发〔2022〕2号）提出以标准化引领医疗卫生服务高质量发展，提高不同地区、不同医院医疗服务同质化水平。2022年，自治区卫生健康委印发的《广西健康儿童行动提升计划实施方案（2021-2025年）》中指出，强化儿童营养喂养与运动指导。强化孕前、孕产期营养评价与膳食指导，提高母婴营养水平，施母乳喂养促进行动。</w:t>
      </w:r>
    </w:p>
    <w:p w14:paraId="5E55D42C">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国家卫生健康委、国家发展改革委等多部门联合印发的《关于印发母乳喂养促进行动计划（2021-2025年）的通知》（国卫妇幼发〔2021〕38号）中明确提出，完善母乳喂养咨询服务网络。鼓励综合医院、妇幼保健机构、妇产医院和儿童医院、有条件的乡镇卫生院和社区卫生服务中心设立母乳喂养咨询门诊或营养门诊，为家庭提供母乳喂养咨询指导，增加服务供给，提高服务可及性。作为临床医护人员，更需要通过有效且可信的母乳喂养评估工具和方法对孕妇进行产前风险筛查和乳房检查和评估，从而更有效地指导母乳喂养。临床证明通过产前乳房护理/干预，能改善乳头及乳房条件，已便于产后宝宝吸吮；通过干预刺激催乳素的产生及射乳反射的形成，使乳汁分泌的时间提前；减轻胀痛，促进乳腺管的通畅，顺利度过产后涨奶期，增强母亲哺乳的顺利进行；促进血液循环，同时增加乳房皮肤的抵抗力和韧性，预防乳头皲裂；产后促进子宫复原，预防产后出血，有利于新生儿的生长发育及母亲子宫复旧，增进母子感情；母乳喂养专业技术指导，让孕妇产前掌握科学母乳喂养知识及正确哺乳姿势，能让新生儿顺利吸吮第一口初乳。因此医疗机构、医务人员和母乳喂养指导师（哺乳顾问）应给予孕产妇更加科学的技术指导和心理支持，并大力开展以家庭为中心的母乳喂养健康教育，普及哺乳知识，只有这样，才能不断加强母乳喂养社会支持，从而增加母乳喂养启动和持续时间，提高母乳喂养率，这就有赖于医疗机构做出行之有效的促进母乳喂养的措施。</w:t>
      </w:r>
    </w:p>
    <w:p w14:paraId="1DB9838A">
      <w:pPr>
        <w:autoSpaceDE w:val="0"/>
        <w:autoSpaceDN w:val="0"/>
        <w:adjustRightInd w:val="0"/>
        <w:spacing w:line="560" w:lineRule="exact"/>
        <w:ind w:firstLine="640" w:firstLineChars="200"/>
        <w:rPr>
          <w:rFonts w:ascii="仿宋" w:hAnsi="仿宋" w:eastAsia="仿宋"/>
          <w:color w:val="0070C0"/>
          <w:sz w:val="32"/>
          <w:szCs w:val="32"/>
        </w:rPr>
      </w:pPr>
      <w:r>
        <w:rPr>
          <w:rFonts w:hint="eastAsia" w:ascii="仿宋" w:hAnsi="仿宋" w:eastAsia="仿宋"/>
          <w:sz w:val="32"/>
          <w:szCs w:val="32"/>
        </w:rPr>
        <w:t>经编制组前期调研调查显示</w:t>
      </w:r>
      <w:r>
        <w:rPr>
          <w:rFonts w:hint="eastAsia" w:ascii="仿宋" w:hAnsi="仿宋" w:eastAsia="仿宋"/>
          <w:color w:val="auto"/>
          <w:sz w:val="32"/>
          <w:szCs w:val="32"/>
        </w:rPr>
        <w:t>，据统计2024年全球6个月以下婴儿纯母乳喂养率为48%，而2024年我国0～6月龄婴幼儿的纯母乳喂养率仅为34.7％。2019年，广西儿童发展统计监测报告显示2019年全区0—6个月婴儿纯母乳喂养率为87.6%。然而自2019年广西医科大学第二附属医院临床上开展母乳喂养评估以来，母乳喂养咨询门诊就诊量年均1000人次，临床上呈专业化和规模化发展态势。近</w:t>
      </w:r>
      <w:r>
        <w:rPr>
          <w:rFonts w:hint="eastAsia" w:ascii="仿宋" w:hAnsi="仿宋" w:eastAsia="仿宋"/>
          <w:color w:val="000000" w:themeColor="text1"/>
          <w:sz w:val="32"/>
          <w:szCs w:val="32"/>
          <w14:textFill>
            <w14:solidFill>
              <w14:schemeClr w14:val="tx1"/>
            </w14:solidFill>
          </w14:textFill>
        </w:rPr>
        <w:t>7年来广西医科大学第二附属医院母乳喂养门诊就诊数据分析结果显示：母乳喂养评估中，产后母乳喂养评估占80.2%，产前母乳喂养评估占19.8%。其中广西医科大学第二附属医院立卡分娩的孕产妇占比76.6%，外院立卡分娩占比23.4%，存在母乳喂养问题如少奶、堵奶、哺乳疼痛、乳头皲裂、乳腺脓肿等高达87.65%，出院后6月内纯母乳喂养率仅为40.3%，通过母乳喂养产前评估及专业指导后的产妇0-6月内纯母乳喂养问题发生率同比下降65.6%,综上显示广西分娩产妇发生母乳喂养问题数量持续保持较高水平，目前我国三胎政策开放，每年孕产妇数量也在逐年增长，实施的母乳喂养评估技术临床应用已趋近成熟。</w:t>
      </w:r>
    </w:p>
    <w:p w14:paraId="70F7F9A8">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据前期所查询资料显示，在58所提供孕产保健医疗卫生服务的机构中，能提供基本孕妇母乳喂养指导服务（包括产前母乳喂养及产后母乳喂养指导）的机构占95%，能提供综合孕妇产前母乳喂养指导服务（包括2项基本孕产保健服务、产前母乳喂养风险筛查、乳房检查）的机构占15%，基层医疗卫生机构孕产保健医护人员的数量不足、技术能力不高是制约适宜技术推广应用的主要因素，特别是农村地区仍存在较大差距。目前广西孕产保健护士、助产士每年外出培训率约为70%，且约有85%的医疗卫生机构开展了孕产保健护士培训。全区医务人员对孕妇产前母乳喂养评估等的培训需求较高。由于缺乏统一的孕妇产前母乳喂养评估指南，各医院根据教科书知识制定本院的流程；但现有教科书的相关内容已过时，没有体现最新的评估措施，从而造成各医院流程的不一致和缺乏评估依据。其次，医护人员和孕产妇及家属不了解孕妇产前母乳喂养评估推荐的评估措施背后的循证依据，例如产前母乳喂养评估的重要性、影响母乳喂养的因素、产前母乳喂养指导的益处等。</w:t>
      </w:r>
    </w:p>
    <w:p w14:paraId="74318888">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根据编制组前期临床研究显示，虽然母乳喂养产前评估只是母乳喂养护理中的一个环节，但如不加以重视和及时评估指导,会增加产后母乳喂养并发症的发生率，影响产后母乳喂养率。所以，应当高度重视这种现象，了解母乳喂养问题发生的原因、预防及护理方法，积极采取更安全、更科学的护理措施，有利于维持机体的最佳生理状态，降低母乳喂养并发症的发生率，进而提高母乳喂养率。</w:t>
      </w:r>
    </w:p>
    <w:p w14:paraId="2B4FB5D4">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虽然目前国内对母乳喂养护理展开了一系列研究和措施，但仍存在以下问题：①缺乏统一规范的母乳喂养支持体系。②护士因工作量繁重、工作节奏快、工作压力大等易导致护士执业怠倦，而忽视或未及时给予母乳喂养护理措施。③缺乏质量监管，缺乏标准制度、流程。④护士理论认知不足，参与相关培训较少。因此，针对母乳喂养影响因素，制定团体标准《孕妇产前母乳喂养评估规范》，规范相关的综合措施，进行母乳喂养干预显得至关重要。</w:t>
      </w:r>
    </w:p>
    <w:p w14:paraId="2BFF5990">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对于妊娠晚期的孕妇，特别是对孕妇产前的乳房外观、乳头的形态、乳腺发育、乳房手术、合并有激素代谢类疾病等影响产后泌乳的评估和管理方面尚缺乏相关的指南及标准。广西地区的母乳喂养管理理念相对滞后、特别是产前母乳喂养评估管理需要进一步的规范化、标准化。因此，通过制定团体标准《孕妇产前母乳喂养评估规范》，统一规范产前泌乳评估管理，通过制定母乳喂养产前评估管理路径、风险筛查、预防措施、护理措施及处理要点，从而统一规范管理母乳喂养产前评估，最终减少其发生或带来的危害。通过专业的产前泌乳评估工具和标准化的评估方法，进行母乳喂养产前风险筛查和乳房检查，针对评估结果进行有针对性母乳喂养指导，提前进行护理干预，为有困难的母亲提供专业的、有循证依据的母乳喂养指导和支持，是推动母乳喂养成功的关键一步，对提高产后母乳喂养成功率和母乳喂养质量具有重要意义。</w:t>
      </w:r>
    </w:p>
    <w:p w14:paraId="7E1BB117">
      <w:pPr>
        <w:autoSpaceDE w:val="0"/>
        <w:autoSpaceDN w:val="0"/>
        <w:adjustRightInd w:val="0"/>
        <w:spacing w:line="56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auto"/>
          <w:sz w:val="32"/>
          <w:szCs w:val="32"/>
        </w:rPr>
        <w:t>截止2025年12月，广西医科大学第二附属医院产科护理团队完成了母乳喂养评估将近1000例，包括产前、产后的评估。然而，由于母乳喂养评估需要耗费一定的人力、时间、没有统一的</w:t>
      </w:r>
      <w:r>
        <w:rPr>
          <w:rFonts w:hint="eastAsia" w:ascii="仿宋" w:hAnsi="仿宋" w:eastAsia="仿宋"/>
          <w:color w:val="000000" w:themeColor="text1"/>
          <w:sz w:val="32"/>
          <w:szCs w:val="32"/>
          <w14:textFill>
            <w14:solidFill>
              <w14:schemeClr w14:val="tx1"/>
            </w14:solidFill>
          </w14:textFill>
        </w:rPr>
        <w:t>规范和标准及表格等原因，可使50% -70%的孕产妇没有得到常规的母乳喂养产前评估，导致产后发生母乳喂养问题。由于没有接受专业母乳喂养评估指导可影响孕产妇母乳喂养信心、产后乳头错觉、哺乳姿势不正确等甚至误认为奶少而自行添加奶粉，随着生活水平的提高、商业媒体的宣传误导，部分产妇在产后放弃母乳喂养，选择母乳代用品，导致母乳喂养率降低。且临床许多产妇因乳汁分泌不足、乳房胀痛等原因导致被迫终止母乳喂养，改为人工喂养，导致母乳喂养问题恶性循环。因此在妊娠晚期，如何规范进行母乳喂养评估，避免产后母乳喂养问题发生是护理的关键。母乳喂养能够满足婴儿成长所需所有抗体和营养，增进母婴感情，促进母婴心理健康，亦改善产妇健康状况。母乳喂养评估能应给予孕产妇更加科学的技术指导和心理支持，能不断加强母乳喂养社会支持，提高母乳喂养率。目前，广西尚未产前母乳喂养评估相关规范。</w:t>
      </w:r>
    </w:p>
    <w:p w14:paraId="0765C003">
      <w:pPr>
        <w:autoSpaceDE w:val="0"/>
        <w:autoSpaceDN w:val="0"/>
        <w:adjustRightInd w:val="0"/>
        <w:spacing w:line="560" w:lineRule="exact"/>
        <w:ind w:firstLine="640" w:firstLineChars="200"/>
        <w:rPr>
          <w:rFonts w:ascii="仿宋" w:hAnsi="仿宋" w:eastAsia="仿宋"/>
          <w:sz w:val="32"/>
          <w:szCs w:val="32"/>
        </w:rPr>
      </w:pPr>
      <w:r>
        <w:rPr>
          <w:rFonts w:hint="eastAsia" w:ascii="仿宋" w:hAnsi="仿宋" w:eastAsia="仿宋"/>
          <w:sz w:val="32"/>
          <w:szCs w:val="32"/>
        </w:rPr>
        <w:t>通过制定团体标准《孕妇产前母乳喂养评估规范》，以标准为抓手，统一规范孕妇产前母乳喂养评估涉及的术语和定义、基本要求、评估工具、评估流程、评估内容等要求，用标准化和规范化将更好的指导孕妇产前母乳喂养评估工作，对促进医疗机构工作职能社会化、精细化、效益化发展，有助于完善医疗机构孕妇产前母乳喂养评估标准化体系，尽快建立统一完善的孕妇产前母乳喂养评估操作体系，对促进孕妇产前母乳喂养评估操作专业化具有重要意义。</w:t>
      </w:r>
    </w:p>
    <w:p w14:paraId="6583E1EB">
      <w:pPr>
        <w:pStyle w:val="9"/>
        <w:ind w:firstLine="640" w:firstLineChars="200"/>
        <w:jc w:val="left"/>
        <w:rPr>
          <w:rFonts w:ascii="黑体" w:hAnsi="黑体" w:eastAsia="黑体"/>
          <w:b w:val="0"/>
        </w:rPr>
      </w:pPr>
      <w:r>
        <w:rPr>
          <w:rFonts w:hint="eastAsia" w:ascii="黑体" w:hAnsi="黑体" w:eastAsia="黑体"/>
          <w:b w:val="0"/>
        </w:rPr>
        <w:t>三、项目编制过程</w:t>
      </w:r>
    </w:p>
    <w:p w14:paraId="0F7EE25E">
      <w:pPr>
        <w:spacing w:line="560" w:lineRule="exact"/>
        <w:ind w:firstLine="643" w:firstLineChars="200"/>
        <w:rPr>
          <w:rFonts w:ascii="楷体" w:hAnsi="楷体" w:eastAsia="楷体" w:cs="仿宋_GB2312"/>
          <w:b/>
          <w:sz w:val="32"/>
          <w:szCs w:val="32"/>
        </w:rPr>
      </w:pPr>
      <w:r>
        <w:rPr>
          <w:rFonts w:hint="eastAsia" w:ascii="楷体" w:hAnsi="楷体" w:eastAsia="楷体" w:cs="仿宋_GB2312"/>
          <w:b/>
          <w:sz w:val="32"/>
          <w:szCs w:val="32"/>
        </w:rPr>
        <w:t>（一）成立标准编制工作组</w:t>
      </w:r>
    </w:p>
    <w:p w14:paraId="11BEFC81">
      <w:pPr>
        <w:spacing w:line="560" w:lineRule="exact"/>
        <w:ind w:firstLine="640" w:firstLineChars="200"/>
        <w:rPr>
          <w:rFonts w:ascii="仿宋" w:hAnsi="仿宋" w:eastAsia="仿宋"/>
          <w:sz w:val="32"/>
          <w:szCs w:val="32"/>
        </w:rPr>
      </w:pPr>
      <w:r>
        <w:rPr>
          <w:rFonts w:hint="eastAsia" w:ascii="仿宋" w:hAnsi="仿宋" w:eastAsia="仿宋"/>
          <w:sz w:val="32"/>
          <w:szCs w:val="32"/>
        </w:rPr>
        <w:t>团体标准《孕妇产前母乳喂养评估规范》项目任务下达后，广西医科大学第二附属医院、广西壮族自治区人民医院成立了标准编制工作组，制定了标准编写方案，明确任务职责，确定工作技术路线，开展标准研制工作。</w:t>
      </w:r>
    </w:p>
    <w:p w14:paraId="66E997DC">
      <w:pPr>
        <w:spacing w:line="560" w:lineRule="exact"/>
        <w:ind w:firstLine="643" w:firstLineChars="200"/>
        <w:rPr>
          <w:rFonts w:ascii="楷体" w:hAnsi="楷体" w:eastAsia="楷体" w:cs="仿宋_GB2312"/>
          <w:b/>
          <w:sz w:val="32"/>
          <w:szCs w:val="32"/>
        </w:rPr>
      </w:pPr>
      <w:r>
        <w:rPr>
          <w:rFonts w:hint="eastAsia" w:ascii="楷体" w:hAnsi="楷体" w:eastAsia="楷体" w:cs="仿宋_GB2312"/>
          <w:b/>
          <w:sz w:val="32"/>
          <w:szCs w:val="32"/>
        </w:rPr>
        <w:t>（二）收集整理文献资料</w:t>
      </w:r>
    </w:p>
    <w:p w14:paraId="2A73B933">
      <w:pPr>
        <w:spacing w:line="560" w:lineRule="exact"/>
        <w:ind w:firstLine="640" w:firstLineChars="200"/>
        <w:rPr>
          <w:rFonts w:ascii="仿宋" w:hAnsi="仿宋" w:eastAsia="仿宋"/>
          <w:sz w:val="32"/>
          <w:szCs w:val="32"/>
        </w:rPr>
      </w:pPr>
      <w:r>
        <w:rPr>
          <w:rFonts w:hint="eastAsia" w:ascii="仿宋" w:hAnsi="仿宋" w:eastAsia="仿宋"/>
          <w:sz w:val="32"/>
          <w:szCs w:val="32"/>
        </w:rPr>
        <w:t>标准编制工作组收集了国内有关孕妇产前母乳喂养评估的相关技术文献资料。主要有：</w:t>
      </w:r>
    </w:p>
    <w:p w14:paraId="3494B10B">
      <w:pPr>
        <w:spacing w:line="560" w:lineRule="exact"/>
        <w:ind w:firstLine="640" w:firstLineChars="200"/>
        <w:rPr>
          <w:rFonts w:ascii="仿宋" w:hAnsi="仿宋" w:eastAsia="仿宋"/>
          <w:sz w:val="32"/>
          <w:szCs w:val="32"/>
        </w:rPr>
      </w:pPr>
      <w:r>
        <w:rPr>
          <w:rFonts w:hint="eastAsia" w:ascii="仿宋" w:hAnsi="仿宋" w:eastAsia="仿宋"/>
          <w:sz w:val="32"/>
          <w:szCs w:val="32"/>
        </w:rPr>
        <w:t>《DB3212/T 1014-2020</w:t>
      </w:r>
      <w:r>
        <w:rPr>
          <w:rFonts w:hint="eastAsia" w:ascii="仿宋" w:hAnsi="仿宋" w:eastAsia="仿宋"/>
          <w:sz w:val="32"/>
          <w:szCs w:val="32"/>
        </w:rPr>
        <w:tab/>
      </w:r>
      <w:r>
        <w:rPr>
          <w:rFonts w:hint="eastAsia" w:ascii="仿宋" w:hAnsi="仿宋" w:eastAsia="仿宋"/>
          <w:sz w:val="32"/>
          <w:szCs w:val="32"/>
        </w:rPr>
        <w:t>母乳喂养服务规范》</w:t>
      </w:r>
    </w:p>
    <w:p w14:paraId="4758D2D4">
      <w:pPr>
        <w:spacing w:line="560" w:lineRule="exact"/>
        <w:ind w:firstLine="640" w:firstLineChars="200"/>
        <w:rPr>
          <w:rFonts w:ascii="仿宋" w:hAnsi="仿宋" w:eastAsia="仿宋"/>
          <w:sz w:val="32"/>
          <w:szCs w:val="32"/>
        </w:rPr>
      </w:pPr>
      <w:r>
        <w:rPr>
          <w:rFonts w:hint="eastAsia" w:ascii="仿宋" w:hAnsi="仿宋" w:eastAsia="仿宋"/>
          <w:sz w:val="32"/>
          <w:szCs w:val="32"/>
        </w:rPr>
        <w:t>《DB36/T 1237-2020</w:t>
      </w:r>
      <w:r>
        <w:rPr>
          <w:rFonts w:hint="eastAsia" w:ascii="仿宋" w:hAnsi="仿宋" w:eastAsia="仿宋"/>
          <w:sz w:val="32"/>
          <w:szCs w:val="32"/>
        </w:rPr>
        <w:tab/>
      </w:r>
      <w:r>
        <w:rPr>
          <w:rFonts w:hint="eastAsia" w:ascii="仿宋" w:hAnsi="仿宋" w:eastAsia="仿宋"/>
          <w:sz w:val="32"/>
          <w:szCs w:val="32"/>
        </w:rPr>
        <w:t>母乳喂养指导师（催乳师）服务质量规范》</w:t>
      </w:r>
    </w:p>
    <w:p w14:paraId="359CF512">
      <w:pPr>
        <w:spacing w:line="560" w:lineRule="exact"/>
        <w:ind w:firstLine="640" w:firstLineChars="200"/>
        <w:rPr>
          <w:rFonts w:ascii="仿宋" w:hAnsi="仿宋" w:eastAsia="仿宋"/>
          <w:sz w:val="32"/>
          <w:szCs w:val="32"/>
        </w:rPr>
      </w:pPr>
      <w:r>
        <w:rPr>
          <w:rFonts w:hint="eastAsia" w:ascii="仿宋" w:hAnsi="仿宋" w:eastAsia="仿宋"/>
          <w:sz w:val="32"/>
          <w:szCs w:val="32"/>
        </w:rPr>
        <w:t>《T/GDNAS 013—2022母乳喂养居家护理技术规范》</w:t>
      </w:r>
    </w:p>
    <w:p w14:paraId="61727626">
      <w:pPr>
        <w:spacing w:line="560" w:lineRule="exact"/>
        <w:ind w:firstLine="640" w:firstLineChars="200"/>
        <w:rPr>
          <w:rFonts w:ascii="仿宋" w:hAnsi="仿宋" w:eastAsia="仿宋"/>
          <w:sz w:val="32"/>
          <w:szCs w:val="32"/>
        </w:rPr>
      </w:pPr>
      <w:r>
        <w:rPr>
          <w:rFonts w:hint="eastAsia" w:ascii="仿宋" w:hAnsi="仿宋" w:eastAsia="仿宋"/>
          <w:sz w:val="32"/>
          <w:szCs w:val="32"/>
        </w:rPr>
        <w:t>《T/CMSS 0003—2022 母乳喂养指导师岗位能力要求》</w:t>
      </w:r>
    </w:p>
    <w:p w14:paraId="7F2B7BFF">
      <w:pPr>
        <w:spacing w:line="560" w:lineRule="exact"/>
        <w:ind w:firstLine="640" w:firstLineChars="200"/>
        <w:rPr>
          <w:rFonts w:ascii="仿宋" w:hAnsi="仿宋" w:eastAsia="仿宋"/>
          <w:sz w:val="32"/>
          <w:szCs w:val="32"/>
        </w:rPr>
      </w:pPr>
      <w:r>
        <w:rPr>
          <w:rFonts w:hint="eastAsia" w:ascii="仿宋" w:hAnsi="仿宋" w:eastAsia="仿宋"/>
          <w:sz w:val="32"/>
          <w:szCs w:val="32"/>
        </w:rPr>
        <w:t>《T/ZZJX 001—2020 母乳喂养指导师培训规范》</w:t>
      </w:r>
    </w:p>
    <w:p w14:paraId="4240F0EE">
      <w:pPr>
        <w:spacing w:line="560" w:lineRule="exact"/>
        <w:ind w:firstLine="643" w:firstLineChars="200"/>
        <w:rPr>
          <w:rFonts w:ascii="楷体" w:hAnsi="楷体" w:eastAsia="楷体" w:cs="仿宋_GB2312"/>
          <w:b/>
          <w:sz w:val="32"/>
          <w:szCs w:val="32"/>
        </w:rPr>
      </w:pPr>
      <w:r>
        <w:rPr>
          <w:rFonts w:hint="eastAsia" w:ascii="楷体" w:hAnsi="楷体" w:eastAsia="楷体" w:cs="仿宋_GB2312"/>
          <w:b/>
          <w:sz w:val="32"/>
          <w:szCs w:val="32"/>
        </w:rPr>
        <w:t>（三）研讨确定标准主体内容</w:t>
      </w:r>
    </w:p>
    <w:p w14:paraId="5067A7B6">
      <w:pPr>
        <w:spacing w:line="56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sz w:val="32"/>
          <w:szCs w:val="32"/>
        </w:rPr>
        <w:t>标准编制工作组在对收集的资料进行整理研究之后，标准编制工作组召开了标准编制会议，对标准的整体框架结构进行了研究，并对标准的关键性内容进行了初步探讨。经过研究，标准的主体内容为规定了孕妇产前母乳喂养评估的评估原则、评估环境、评估人员、评估流程、评估内容等要求</w:t>
      </w:r>
      <w:r>
        <w:rPr>
          <w:rFonts w:hint="eastAsia" w:ascii="仿宋" w:hAnsi="仿宋" w:eastAsia="仿宋"/>
          <w:color w:val="000000" w:themeColor="text1"/>
          <w:sz w:val="32"/>
          <w:szCs w:val="32"/>
          <w14:textFill>
            <w14:solidFill>
              <w14:schemeClr w14:val="tx1"/>
            </w14:solidFill>
          </w14:textFill>
        </w:rPr>
        <w:t>。</w:t>
      </w:r>
    </w:p>
    <w:p w14:paraId="3399D55F">
      <w:pPr>
        <w:spacing w:line="560" w:lineRule="exact"/>
        <w:ind w:firstLine="643" w:firstLineChars="200"/>
        <w:rPr>
          <w:rFonts w:ascii="楷体" w:hAnsi="楷体" w:eastAsia="楷体" w:cs="仿宋_GB2312"/>
          <w:b/>
          <w:sz w:val="32"/>
          <w:szCs w:val="32"/>
        </w:rPr>
      </w:pPr>
      <w:r>
        <w:rPr>
          <w:rFonts w:hint="eastAsia" w:ascii="楷体" w:hAnsi="楷体" w:eastAsia="楷体" w:cs="仿宋_GB2312"/>
          <w:b/>
          <w:sz w:val="32"/>
          <w:szCs w:val="32"/>
        </w:rPr>
        <w:t>（四）调研及形成草案、征求意见稿</w:t>
      </w:r>
    </w:p>
    <w:p w14:paraId="2F9B78B3">
      <w:pPr>
        <w:spacing w:line="560" w:lineRule="exact"/>
        <w:ind w:firstLine="640" w:firstLineChars="200"/>
        <w:rPr>
          <w:rFonts w:ascii="仿宋" w:hAnsi="仿宋" w:eastAsia="仿宋"/>
          <w:sz w:val="32"/>
          <w:szCs w:val="32"/>
        </w:rPr>
      </w:pPr>
      <w:r>
        <w:rPr>
          <w:rFonts w:hint="eastAsia" w:ascii="仿宋" w:hAnsi="仿宋" w:eastAsia="仿宋"/>
          <w:sz w:val="32"/>
          <w:szCs w:val="32"/>
        </w:rPr>
        <w:t>2023年1月～2025年3月</w:t>
      </w:r>
      <w:r>
        <w:rPr>
          <w:rFonts w:ascii="仿宋" w:hAnsi="仿宋" w:eastAsia="仿宋"/>
          <w:sz w:val="32"/>
          <w:szCs w:val="32"/>
        </w:rPr>
        <w:t>，</w:t>
      </w:r>
      <w:r>
        <w:rPr>
          <w:rFonts w:hint="eastAsia" w:ascii="仿宋" w:hAnsi="仿宋" w:eastAsia="仿宋"/>
          <w:sz w:val="32"/>
          <w:szCs w:val="32"/>
        </w:rPr>
        <w:t>标准编制工作组进行了标准编制准备工作，查阅了大量的国内外有关孕妇产前母乳喂养评估的文献资料，并针对目前</w:t>
      </w:r>
      <w:r>
        <w:rPr>
          <w:rFonts w:hint="eastAsia" w:ascii="仿宋" w:hAnsi="仿宋" w:eastAsia="仿宋"/>
          <w:color w:val="000000" w:themeColor="text1"/>
          <w:sz w:val="32"/>
          <w:szCs w:val="32"/>
          <w14:textFill>
            <w14:solidFill>
              <w14:schemeClr w14:val="tx1"/>
            </w14:solidFill>
          </w14:textFill>
        </w:rPr>
        <w:t>孕妇产前母乳喂养评估</w:t>
      </w:r>
      <w:r>
        <w:rPr>
          <w:rFonts w:hint="eastAsia" w:ascii="仿宋" w:hAnsi="仿宋" w:eastAsia="仿宋"/>
          <w:sz w:val="32"/>
          <w:szCs w:val="32"/>
        </w:rPr>
        <w:t>到广西妇幼保健院、柳州市妇幼保健院、南宁市妇幼保健院等58家相关医疗机构进行实地考察调研。调研的同时召集多家有关单位开展了标准研讨会，对</w:t>
      </w:r>
      <w:r>
        <w:rPr>
          <w:rFonts w:hint="eastAsia" w:ascii="仿宋" w:hAnsi="仿宋" w:eastAsia="仿宋"/>
          <w:color w:val="000000" w:themeColor="text1"/>
          <w:sz w:val="32"/>
          <w:szCs w:val="32"/>
          <w14:textFill>
            <w14:solidFill>
              <w14:schemeClr w14:val="tx1"/>
            </w14:solidFill>
          </w14:textFill>
        </w:rPr>
        <w:t>孕妇产前母乳喂养评估</w:t>
      </w:r>
      <w:r>
        <w:rPr>
          <w:rFonts w:hint="eastAsia" w:ascii="仿宋" w:hAnsi="仿宋" w:eastAsia="仿宋"/>
          <w:sz w:val="32"/>
          <w:szCs w:val="32"/>
        </w:rPr>
        <w:t>相关资料进行系统总结。形成了标准的基本构架，对主要内容进行了讨论并对项目的工作进行了部署和安排。</w:t>
      </w:r>
    </w:p>
    <w:p w14:paraId="7A724709">
      <w:pPr>
        <w:spacing w:line="560" w:lineRule="exact"/>
        <w:ind w:firstLine="640" w:firstLineChars="200"/>
        <w:rPr>
          <w:rFonts w:ascii="仿宋" w:hAnsi="仿宋" w:eastAsia="仿宋"/>
          <w:sz w:val="32"/>
          <w:szCs w:val="32"/>
        </w:rPr>
      </w:pPr>
      <w:r>
        <w:rPr>
          <w:rFonts w:hint="eastAsia" w:ascii="仿宋" w:hAnsi="仿宋" w:eastAsia="仿宋"/>
          <w:sz w:val="32"/>
          <w:szCs w:val="32"/>
        </w:rPr>
        <w:t>2025年3月-8月，在前期工作的基础之上，通过理清逻辑脉络，整合已有的参考资料中有关</w:t>
      </w:r>
      <w:bookmarkStart w:id="0" w:name="_Toc526940083"/>
      <w:r>
        <w:rPr>
          <w:rFonts w:hint="eastAsia" w:ascii="仿宋" w:hAnsi="仿宋" w:eastAsia="仿宋"/>
          <w:sz w:val="32"/>
          <w:szCs w:val="32"/>
        </w:rPr>
        <w:t>孕妇产前母乳喂养评估的要求，并结合赴相关企事业单位实地考察调研以及标准研讨会上意见整合的基础上，按照简化、统一等原则编制完成团体标准《孕妇产前母乳喂养评估规范》（草案）。</w:t>
      </w:r>
    </w:p>
    <w:p w14:paraId="0D1C2693">
      <w:pPr>
        <w:spacing w:line="560" w:lineRule="exact"/>
        <w:ind w:firstLine="640" w:firstLineChars="200"/>
        <w:rPr>
          <w:rFonts w:ascii="仿宋" w:hAnsi="仿宋" w:eastAsia="仿宋"/>
          <w:sz w:val="32"/>
          <w:szCs w:val="32"/>
        </w:rPr>
      </w:pPr>
      <w:r>
        <w:rPr>
          <w:rFonts w:hint="eastAsia" w:ascii="仿宋" w:hAnsi="仿宋" w:eastAsia="仿宋"/>
          <w:sz w:val="32"/>
          <w:szCs w:val="32"/>
        </w:rPr>
        <w:t>2025年8月-2026年1月，标准编制工作组再次召开标准研讨会，收集反馈了大量意见和建议，明确了孕妇产前母乳喂养评估多方面的要求。通过再次前往孕妇产前母乳喂养评估有关的企事业单位实地座谈调研并多次召开讨论会议，并在单位官网挂网公开征求意见、发函征求广东省妇幼保健院、广西中医药大学附属瑞康医院、广西壮族自治区江滨医院、崇左市大新县人民医院、崇左市人民医院、河池市巴马瑶族自治县人民医院、钦州市灵山县人民医院、河池市罗城仫佬族自治县人民医院、防城港市防城区人民医院等9家单位意见，对标准草案进行了反复修改和研究讨论。最终形成了团体标准《孕妇产前母乳喂养评估规范》（征求意见稿）和（征求意见稿）编制说明。</w:t>
      </w:r>
    </w:p>
    <w:bookmarkEnd w:id="0"/>
    <w:p w14:paraId="0C008416">
      <w:pPr>
        <w:spacing w:line="560" w:lineRule="exact"/>
        <w:ind w:firstLine="640" w:firstLineChars="200"/>
        <w:rPr>
          <w:rFonts w:ascii="黑体" w:hAnsi="黑体" w:eastAsia="黑体" w:cstheme="majorBidi"/>
          <w:bCs/>
          <w:sz w:val="32"/>
          <w:szCs w:val="32"/>
        </w:rPr>
      </w:pPr>
      <w:r>
        <w:rPr>
          <w:rFonts w:hint="eastAsia" w:ascii="黑体" w:hAnsi="黑体" w:eastAsia="黑体" w:cstheme="majorBidi"/>
          <w:bCs/>
          <w:sz w:val="32"/>
          <w:szCs w:val="32"/>
        </w:rPr>
        <w:t>四、制定标准的原则和依据，与现行法律、法规的关系，与有关国家标准、行业标准的协调情况</w:t>
      </w:r>
    </w:p>
    <w:p w14:paraId="0AD7F9B1">
      <w:pPr>
        <w:spacing w:line="560" w:lineRule="exact"/>
        <w:ind w:firstLine="643" w:firstLineChars="200"/>
        <w:rPr>
          <w:rFonts w:ascii="楷体" w:hAnsi="楷体" w:eastAsia="楷体"/>
          <w:b/>
          <w:sz w:val="32"/>
          <w:szCs w:val="32"/>
        </w:rPr>
      </w:pPr>
      <w:r>
        <w:rPr>
          <w:rFonts w:hint="eastAsia" w:ascii="楷体" w:hAnsi="楷体" w:eastAsia="楷体"/>
          <w:b/>
          <w:sz w:val="32"/>
          <w:szCs w:val="32"/>
        </w:rPr>
        <w:t>1.实用性原则</w:t>
      </w:r>
    </w:p>
    <w:p w14:paraId="1A92A989">
      <w:pPr>
        <w:spacing w:line="560" w:lineRule="exact"/>
        <w:ind w:firstLine="640" w:firstLineChars="200"/>
        <w:rPr>
          <w:rFonts w:ascii="仿宋" w:hAnsi="仿宋" w:eastAsia="仿宋"/>
          <w:sz w:val="32"/>
          <w:szCs w:val="32"/>
        </w:rPr>
      </w:pPr>
      <w:r>
        <w:rPr>
          <w:rFonts w:hint="eastAsia" w:ascii="仿宋" w:hAnsi="仿宋" w:eastAsia="仿宋"/>
          <w:sz w:val="32"/>
          <w:szCs w:val="32"/>
        </w:rPr>
        <w:t>本文件是在充分收集相关资料和文献，分析当前现状，调研孕妇产前母乳喂养评估的实际情况，在现有国家、行业标准中相关孕妇产前母乳喂养评估的基础上，结合多年经验而总结起草的。符合当前孕妇产前母乳喂养评估工作的方向与需求，有利于行业的长远发展，具有较强的实用性和可操作性。</w:t>
      </w:r>
    </w:p>
    <w:p w14:paraId="077EA305">
      <w:pPr>
        <w:spacing w:line="560" w:lineRule="exact"/>
        <w:ind w:firstLine="643" w:firstLineChars="200"/>
        <w:rPr>
          <w:rFonts w:ascii="楷体" w:hAnsi="楷体" w:eastAsia="楷体"/>
          <w:b/>
          <w:sz w:val="32"/>
          <w:szCs w:val="32"/>
        </w:rPr>
      </w:pPr>
      <w:r>
        <w:rPr>
          <w:rFonts w:hint="eastAsia" w:ascii="楷体" w:hAnsi="楷体" w:eastAsia="楷体"/>
          <w:b/>
          <w:sz w:val="32"/>
          <w:szCs w:val="32"/>
        </w:rPr>
        <w:t>2.协调性原则</w:t>
      </w:r>
    </w:p>
    <w:p w14:paraId="2040BDC7">
      <w:pPr>
        <w:spacing w:line="560" w:lineRule="exact"/>
        <w:ind w:firstLine="640" w:firstLineChars="200"/>
        <w:rPr>
          <w:rFonts w:ascii="仿宋" w:hAnsi="仿宋" w:eastAsia="仿宋"/>
          <w:sz w:val="32"/>
          <w:szCs w:val="32"/>
        </w:rPr>
      </w:pPr>
      <w:r>
        <w:rPr>
          <w:rFonts w:hint="eastAsia" w:ascii="仿宋" w:hAnsi="仿宋" w:eastAsia="仿宋"/>
          <w:sz w:val="32"/>
          <w:szCs w:val="32"/>
        </w:rPr>
        <w:t>本文件编写过程中注意了与孕妇产前母乳喂养评估相关法律法规的协调问题，在内容上与现行法律法规、标准协调一致。</w:t>
      </w:r>
    </w:p>
    <w:p w14:paraId="6EBD2F4A">
      <w:pPr>
        <w:spacing w:line="560" w:lineRule="exact"/>
        <w:ind w:firstLine="643" w:firstLineChars="200"/>
        <w:rPr>
          <w:rFonts w:ascii="楷体" w:hAnsi="楷体" w:eastAsia="楷体"/>
          <w:b/>
          <w:sz w:val="32"/>
          <w:szCs w:val="32"/>
        </w:rPr>
      </w:pPr>
      <w:r>
        <w:rPr>
          <w:rFonts w:hint="eastAsia" w:ascii="楷体" w:hAnsi="楷体" w:eastAsia="楷体"/>
          <w:b/>
          <w:sz w:val="32"/>
          <w:szCs w:val="32"/>
        </w:rPr>
        <w:t>3.规范性原则</w:t>
      </w:r>
    </w:p>
    <w:p w14:paraId="6ACC2C55">
      <w:pPr>
        <w:spacing w:line="560" w:lineRule="exact"/>
        <w:ind w:firstLine="640" w:firstLineChars="200"/>
        <w:rPr>
          <w:rFonts w:ascii="仿宋" w:hAnsi="仿宋" w:eastAsia="仿宋"/>
          <w:sz w:val="32"/>
          <w:szCs w:val="32"/>
        </w:rPr>
      </w:pPr>
      <w:r>
        <w:rPr>
          <w:rFonts w:hint="eastAsia" w:ascii="仿宋" w:hAnsi="仿宋" w:eastAsia="仿宋"/>
          <w:sz w:val="32"/>
          <w:szCs w:val="32"/>
        </w:rPr>
        <w:t>本文件严格按照GB/T 1.1—2020《标准化工作导则 第1部分：标准化文件的结构和起草规则》的要求和规定编写本标准的内容，保证标准的编写质量。</w:t>
      </w:r>
    </w:p>
    <w:p w14:paraId="35CD9BDC">
      <w:pPr>
        <w:spacing w:line="560" w:lineRule="exact"/>
        <w:ind w:firstLine="643" w:firstLineChars="200"/>
        <w:rPr>
          <w:rFonts w:ascii="楷体" w:hAnsi="楷体" w:eastAsia="楷体"/>
          <w:b/>
          <w:sz w:val="32"/>
          <w:szCs w:val="32"/>
        </w:rPr>
      </w:pPr>
      <w:r>
        <w:rPr>
          <w:rFonts w:hint="eastAsia" w:ascii="楷体" w:hAnsi="楷体" w:eastAsia="楷体"/>
          <w:b/>
          <w:sz w:val="32"/>
          <w:szCs w:val="32"/>
        </w:rPr>
        <w:t>4.前瞻性原则</w:t>
      </w:r>
    </w:p>
    <w:p w14:paraId="2BE11ED0">
      <w:pPr>
        <w:spacing w:line="560" w:lineRule="exact"/>
        <w:ind w:firstLine="640" w:firstLineChars="200"/>
        <w:rPr>
          <w:rFonts w:ascii="仿宋" w:hAnsi="仿宋" w:eastAsia="仿宋"/>
          <w:sz w:val="32"/>
          <w:szCs w:val="32"/>
        </w:rPr>
      </w:pPr>
      <w:r>
        <w:rPr>
          <w:rFonts w:hint="eastAsia" w:ascii="仿宋" w:hAnsi="仿宋" w:eastAsia="仿宋"/>
          <w:sz w:val="32"/>
          <w:szCs w:val="32"/>
        </w:rPr>
        <w:t>本文件在兼顾当前区内外孕妇产前母乳喂养评估现实情况的同时，还考虑到了孕妇产前母乳喂养评估操作专业化发展的趋势和需要，在标准中体现了个别特色性、前瞻性和先进性条款，作为对开展孕妇产前母乳喂养评估工作的指导。</w:t>
      </w:r>
    </w:p>
    <w:p w14:paraId="7667EDDF">
      <w:pPr>
        <w:widowControl/>
        <w:tabs>
          <w:tab w:val="center" w:pos="4201"/>
          <w:tab w:val="right" w:leader="dot" w:pos="9298"/>
        </w:tabs>
        <w:autoSpaceDE w:val="0"/>
        <w:autoSpaceDN w:val="0"/>
        <w:spacing w:line="560" w:lineRule="exact"/>
        <w:ind w:firstLine="643" w:firstLineChars="200"/>
        <w:outlineLvl w:val="1"/>
        <w:rPr>
          <w:rFonts w:eastAsia="楷体"/>
          <w:b/>
          <w:bCs/>
          <w:kern w:val="0"/>
          <w:sz w:val="32"/>
          <w:szCs w:val="32"/>
        </w:rPr>
      </w:pPr>
      <w:r>
        <w:rPr>
          <w:rFonts w:hint="eastAsia" w:eastAsia="楷体"/>
          <w:b/>
          <w:bCs/>
          <w:kern w:val="0"/>
          <w:sz w:val="32"/>
          <w:szCs w:val="32"/>
        </w:rPr>
        <w:t>（二）编制依据</w:t>
      </w:r>
    </w:p>
    <w:p w14:paraId="0C1D7BD3">
      <w:pPr>
        <w:ind w:firstLine="640" w:firstLineChars="200"/>
        <w:rPr>
          <w:rFonts w:ascii="仿宋" w:hAnsi="仿宋" w:eastAsia="仿宋"/>
          <w:sz w:val="32"/>
          <w:szCs w:val="32"/>
        </w:rPr>
      </w:pPr>
      <w:r>
        <w:rPr>
          <w:rFonts w:ascii="仿宋" w:hAnsi="仿宋" w:eastAsia="仿宋"/>
          <w:sz w:val="32"/>
          <w:szCs w:val="32"/>
        </w:rPr>
        <w:t>本标准严格按照GB/T 1.1</w:t>
      </w:r>
      <w:r>
        <w:rPr>
          <w:rFonts w:hint="eastAsia" w:ascii="仿宋" w:hAnsi="仿宋" w:eastAsia="仿宋"/>
          <w:sz w:val="32"/>
          <w:szCs w:val="32"/>
        </w:rPr>
        <w:t>—</w:t>
      </w:r>
      <w:r>
        <w:rPr>
          <w:rFonts w:ascii="仿宋" w:hAnsi="仿宋" w:eastAsia="仿宋"/>
          <w:sz w:val="32"/>
          <w:szCs w:val="32"/>
        </w:rPr>
        <w:t>2020《标准化工作导则  第1部分：标准化文件的结构和起草规则》的</w:t>
      </w:r>
      <w:r>
        <w:rPr>
          <w:rFonts w:hint="eastAsia" w:ascii="仿宋" w:hAnsi="仿宋" w:eastAsia="仿宋"/>
          <w:sz w:val="32"/>
          <w:szCs w:val="32"/>
        </w:rPr>
        <w:t>规则</w:t>
      </w:r>
      <w:r>
        <w:rPr>
          <w:rFonts w:ascii="仿宋" w:hAnsi="仿宋" w:eastAsia="仿宋"/>
          <w:sz w:val="32"/>
          <w:szCs w:val="32"/>
        </w:rPr>
        <w:t>起草</w:t>
      </w:r>
      <w:r>
        <w:rPr>
          <w:rFonts w:hint="eastAsia" w:ascii="仿宋" w:hAnsi="仿宋" w:eastAsia="仿宋"/>
          <w:sz w:val="32"/>
          <w:szCs w:val="32"/>
        </w:rPr>
        <w:t>，标准主要内容根据相关指南和专家共识，以及临床工作经验制定《产前母乳喂养评估表》，对妊娠晚期孕妇的母乳喂养产前风险筛查及乳房检查进行统一规范和护理实施要求。技术内容主要涉及孕妇产前母乳喂养相关评估与指导管理，能够更加全面、综合性的进行评估指导，适应于所有的产科临床科室、产科门诊、母乳喂养咨询门诊。目前国内缺乏统一的孕妇产前母乳喂养评估指南，本标准通过规范孕妇产前母乳喂养评估要求，加强母乳喂养知识宣教指导、分娩住院期间专人对初产妇进行正确的哺乳姿势指导，从而进一步提高母乳喂养率，延长母乳喂养持续时间。</w:t>
      </w:r>
    </w:p>
    <w:p w14:paraId="62241236">
      <w:pPr>
        <w:widowControl/>
        <w:tabs>
          <w:tab w:val="center" w:pos="4201"/>
          <w:tab w:val="right" w:leader="dot" w:pos="9298"/>
        </w:tabs>
        <w:autoSpaceDE w:val="0"/>
        <w:autoSpaceDN w:val="0"/>
        <w:spacing w:line="560" w:lineRule="exact"/>
        <w:ind w:firstLine="643" w:firstLineChars="200"/>
        <w:outlineLvl w:val="1"/>
        <w:rPr>
          <w:rFonts w:eastAsia="楷体"/>
          <w:b/>
          <w:bCs/>
          <w:kern w:val="0"/>
          <w:sz w:val="32"/>
          <w:szCs w:val="32"/>
        </w:rPr>
      </w:pPr>
      <w:r>
        <w:rPr>
          <w:rFonts w:hint="eastAsia" w:eastAsia="楷体"/>
          <w:b/>
          <w:bCs/>
          <w:kern w:val="0"/>
          <w:sz w:val="32"/>
          <w:szCs w:val="32"/>
        </w:rPr>
        <w:t>（三）与现行法律、法规的关系，与有关国家标准、行业标准的协调情况</w:t>
      </w:r>
    </w:p>
    <w:p w14:paraId="1CDB832D">
      <w:pPr>
        <w:ind w:firstLine="640" w:firstLineChars="200"/>
        <w:rPr>
          <w:rFonts w:ascii="仿宋" w:hAnsi="仿宋" w:eastAsia="仿宋"/>
          <w:sz w:val="32"/>
          <w:szCs w:val="32"/>
        </w:rPr>
      </w:pPr>
      <w:r>
        <w:rPr>
          <w:rFonts w:hint="eastAsia" w:ascii="仿宋" w:hAnsi="仿宋" w:eastAsia="仿宋"/>
          <w:sz w:val="32"/>
          <w:szCs w:val="32"/>
        </w:rPr>
        <w:t>本标准与相关法律法规、强制性标准协调一致，无冲突。</w:t>
      </w:r>
    </w:p>
    <w:p w14:paraId="2C441BDB">
      <w:pPr>
        <w:ind w:firstLine="640" w:firstLineChars="200"/>
        <w:rPr>
          <w:rFonts w:ascii="仿宋" w:hAnsi="仿宋" w:eastAsia="仿宋"/>
          <w:sz w:val="32"/>
          <w:szCs w:val="32"/>
        </w:rPr>
      </w:pPr>
      <w:r>
        <w:rPr>
          <w:rFonts w:hint="eastAsia" w:ascii="仿宋" w:hAnsi="仿宋" w:eastAsia="仿宋"/>
          <w:sz w:val="32"/>
          <w:szCs w:val="32"/>
        </w:rPr>
        <w:t>经查新，截至目前，国内暂无与“孕妇产前母乳喂养评估”“孕妇母乳喂养评估”相关的国家标准、行业标准、团体标准及团体标准。与“母乳喂养”相关的标准主要有：《DB3212/T 1014-2020</w:t>
      </w:r>
      <w:r>
        <w:rPr>
          <w:rFonts w:hint="eastAsia" w:ascii="仿宋" w:hAnsi="仿宋" w:eastAsia="仿宋"/>
          <w:sz w:val="32"/>
          <w:szCs w:val="32"/>
        </w:rPr>
        <w:tab/>
      </w:r>
      <w:r>
        <w:rPr>
          <w:rFonts w:hint="eastAsia" w:ascii="仿宋" w:hAnsi="仿宋" w:eastAsia="仿宋"/>
          <w:sz w:val="32"/>
          <w:szCs w:val="32"/>
        </w:rPr>
        <w:t>母乳喂养服务规范》、《DB36/T 1237-2020母乳喂养指导师（催乳师）服务质量规范》、《T/GDNAS 013—2022母乳喂养居家护理技术规范》、《T/CMSS 0003—2022母乳喂养指导师岗位能力要求》、《T/ZZJX 001—2020母乳喂养指导师培训规范》。</w:t>
      </w:r>
    </w:p>
    <w:p w14:paraId="4BED777A">
      <w:pPr>
        <w:ind w:firstLine="640" w:firstLineChars="200"/>
        <w:rPr>
          <w:rFonts w:ascii="仿宋" w:hAnsi="仿宋" w:eastAsia="仿宋"/>
          <w:sz w:val="32"/>
          <w:szCs w:val="32"/>
        </w:rPr>
      </w:pPr>
      <w:r>
        <w:rPr>
          <w:rFonts w:hint="eastAsia" w:ascii="仿宋" w:hAnsi="仿宋" w:eastAsia="仿宋"/>
          <w:sz w:val="32"/>
          <w:szCs w:val="32"/>
        </w:rPr>
        <w:t>分析情况如下：（1）《DB3212/T 1014-2020 母乳喂养服务规范》规定了母乳喂养服务的术语与定义，规定了人员要求、服务要求、投诉处理及满意度评估，适用于月子会所、母婴护理中心等服务机构协议期内的母乳喂养服务。而本标准是针对孕妇产前母乳喂养评估进行要求，对医疗机构的孕妇产前母乳喂养评估工作进行要求。（2）《DB36/T 1237-2020 母乳喂养指导师（催乳师）服务质量规范》规定了母乳喂养指导师（催乳师)服务的术语和定义、基本要求、服务内容、操作流程、等级划分和评定规则等内容，适用于家庭服务机构提供的母乳喂养指导师（催乳师）服务质量要求。本标准是孕妇产前母乳喂养评估要求，针对的对象不一样。（3）《T/GDNAS 013—2022 母乳喂养居家护理技术规范》对产后母乳喂养居家护理相关术语和定义、基本要求、哺乳体位与姿势、含接姿势、拍背拍嗝、挤奶（手或吸乳器）、乳汁储存与使用、乳汁不足、乳房肿胀、乳头发育异常、婴儿口腔发育异常、乳头皲裂、乳头错觉等居家护理技术要求做了规定。而本标准根据相关指南和专家共识，以及临床工作经验制定《产前母乳喂养评估表》，对妊娠晚期孕妇的母乳喂养产前风险筛查及乳房检查进行统一规范和护理实施要求。本标准和其他标准相比存在较大区别及创新点，主要技术方向不同，内容涉及孕妇产前母乳喂养相关评估与指导管理，更加全面，能全面的综合性的进行评估指导，适应于所有的产科临床科室、产科门诊、母乳喂养咨询门诊。上述标准均不是规定母乳喂养评估的要求，且广西和其他省均没有这方面的标准，属于标准空白。</w:t>
      </w:r>
    </w:p>
    <w:p w14:paraId="700D51C5">
      <w:pPr>
        <w:spacing w:before="240" w:after="60"/>
        <w:ind w:firstLine="640" w:firstLineChars="200"/>
        <w:jc w:val="left"/>
        <w:outlineLvl w:val="0"/>
        <w:rPr>
          <w:rFonts w:ascii="黑体" w:hAnsi="黑体" w:eastAsia="黑体"/>
          <w:bCs/>
          <w:sz w:val="32"/>
          <w:szCs w:val="32"/>
        </w:rPr>
      </w:pPr>
      <w:r>
        <w:rPr>
          <w:rFonts w:ascii="黑体" w:hAnsi="黑体" w:eastAsia="黑体"/>
          <w:bCs/>
          <w:sz w:val="32"/>
          <w:szCs w:val="32"/>
        </w:rPr>
        <w:t>五、</w:t>
      </w:r>
      <w:r>
        <w:rPr>
          <w:rFonts w:hint="eastAsia" w:ascii="黑体" w:hAnsi="黑体" w:eastAsia="黑体"/>
          <w:bCs/>
          <w:sz w:val="32"/>
          <w:szCs w:val="32"/>
        </w:rPr>
        <w:t>主要条款的说明</w:t>
      </w:r>
    </w:p>
    <w:p w14:paraId="4A06D339">
      <w:pPr>
        <w:spacing w:line="560" w:lineRule="exact"/>
        <w:ind w:firstLine="640" w:firstLineChars="200"/>
        <w:rPr>
          <w:rFonts w:ascii="仿宋" w:hAnsi="仿宋" w:eastAsia="仿宋"/>
          <w:sz w:val="32"/>
          <w:szCs w:val="32"/>
        </w:rPr>
      </w:pPr>
      <w:r>
        <w:rPr>
          <w:rFonts w:hint="eastAsia" w:ascii="仿宋" w:hAnsi="仿宋" w:eastAsia="仿宋"/>
          <w:sz w:val="32"/>
          <w:szCs w:val="32"/>
        </w:rPr>
        <w:t>团体标准《孕妇产前母乳喂养评估规范》主要内容为孕妇产前母乳喂养的评估和指导，规定了妊娠晚期孕妇母乳喂养产前风险筛查及乳房检查的管理路径、评估工具、评估内容</w:t>
      </w:r>
      <w:r>
        <w:rPr>
          <w:rFonts w:hint="eastAsia" w:ascii="仿宋" w:hAnsi="仿宋" w:eastAsia="仿宋"/>
          <w:sz w:val="32"/>
          <w:szCs w:val="32"/>
          <w:lang w:val="en-US" w:eastAsia="zh-CN"/>
        </w:rPr>
        <w:t>及要求</w:t>
      </w:r>
      <w:r>
        <w:rPr>
          <w:rFonts w:hint="eastAsia" w:ascii="仿宋" w:hAnsi="仿宋" w:eastAsia="仿宋"/>
          <w:sz w:val="32"/>
          <w:szCs w:val="32"/>
        </w:rPr>
        <w:t>、预防护理措施、处理要点及随访要求、监督与改进。该标准主要内容及依据来源说明如下：</w:t>
      </w:r>
    </w:p>
    <w:p w14:paraId="02E217B0">
      <w:pPr>
        <w:spacing w:line="560" w:lineRule="exact"/>
        <w:ind w:firstLine="643" w:firstLineChars="200"/>
        <w:rPr>
          <w:rFonts w:ascii="楷体" w:hAnsi="楷体" w:eastAsia="楷体"/>
          <w:b/>
          <w:sz w:val="32"/>
          <w:szCs w:val="32"/>
        </w:rPr>
      </w:pPr>
      <w:r>
        <w:rPr>
          <w:rFonts w:hint="eastAsia" w:ascii="楷体" w:hAnsi="楷体" w:eastAsia="楷体"/>
          <w:b/>
          <w:sz w:val="32"/>
          <w:szCs w:val="32"/>
        </w:rPr>
        <w:t>（一）评估原则</w:t>
      </w:r>
    </w:p>
    <w:p w14:paraId="36B37695">
      <w:pPr>
        <w:pStyle w:val="23"/>
        <w:spacing w:line="560" w:lineRule="exact"/>
        <w:ind w:firstLine="640"/>
        <w:rPr>
          <w:rFonts w:ascii="仿宋" w:hAnsi="仿宋" w:eastAsia="仿宋"/>
          <w:color w:val="000000" w:themeColor="text1"/>
          <w:sz w:val="32"/>
          <w:szCs w:val="32"/>
          <w14:textFill>
            <w14:solidFill>
              <w14:schemeClr w14:val="tx1"/>
            </w14:solidFill>
          </w14:textFill>
        </w:rPr>
      </w:pPr>
      <w:r>
        <w:rPr>
          <w:rFonts w:hint="eastAsia" w:ascii="仿宋" w:hAnsi="仿宋" w:eastAsia="仿宋"/>
          <w:sz w:val="32"/>
          <w:szCs w:val="32"/>
        </w:rPr>
        <w:t>主要依据世界卫生组织对母乳喂养指导要求及《母乳喂养图册》《母乳喂养指导手册》等相关指南和专家共识，以及临床工作经验制定《产前母乳喂养评估表，对妊娠晚期孕妇的母乳喂养产前风险筛查及乳房检查进行统一规范和护理实施要求。</w:t>
      </w:r>
      <w:r>
        <w:rPr>
          <w:rFonts w:hint="eastAsia" w:ascii="仿宋" w:hAnsi="仿宋" w:eastAsia="仿宋"/>
          <w:b/>
          <w:bCs/>
          <w:color w:val="000000" w:themeColor="text1"/>
          <w:sz w:val="32"/>
          <w:szCs w:val="32"/>
          <w14:textFill>
            <w14:solidFill>
              <w14:schemeClr w14:val="tx1"/>
            </w14:solidFill>
          </w14:textFill>
        </w:rPr>
        <w:t>功能定向原则</w:t>
      </w:r>
      <w:r>
        <w:rPr>
          <w:rFonts w:hint="eastAsia" w:ascii="仿宋" w:hAnsi="仿宋" w:eastAsia="仿宋"/>
          <w:color w:val="000000" w:themeColor="text1"/>
          <w:sz w:val="32"/>
          <w:szCs w:val="32"/>
          <w14:textFill>
            <w14:solidFill>
              <w14:schemeClr w14:val="tx1"/>
            </w14:solidFill>
          </w14:textFill>
        </w:rPr>
        <w:t>：以孕妇为中心的产前母乳喂养评估，充分考虑孕妇的身体结构与功能、活动和参与以及存在可能干扰乳房发育、哺乳或母乳喂养的某些生理、心理和社会风险因素三个维度，以达到全面了解孕妇产前母乳喂养状态的目的，为孕妇制定精准母乳喂养提供依据。</w:t>
      </w:r>
      <w:r>
        <w:rPr>
          <w:rFonts w:hint="eastAsia" w:ascii="仿宋" w:hAnsi="仿宋" w:eastAsia="仿宋"/>
          <w:b/>
          <w:bCs/>
          <w:color w:val="000000" w:themeColor="text1"/>
          <w:sz w:val="32"/>
          <w:szCs w:val="32"/>
          <w14:textFill>
            <w14:solidFill>
              <w14:schemeClr w14:val="tx1"/>
            </w14:solidFill>
          </w14:textFill>
        </w:rPr>
        <w:t>全面性原则</w:t>
      </w:r>
      <w:r>
        <w:rPr>
          <w:rFonts w:hint="eastAsia" w:ascii="仿宋" w:hAnsi="仿宋" w:eastAsia="仿宋"/>
          <w:color w:val="000000" w:themeColor="text1"/>
          <w:sz w:val="32"/>
          <w:szCs w:val="32"/>
          <w14:textFill>
            <w14:solidFill>
              <w14:schemeClr w14:val="tx1"/>
            </w14:solidFill>
          </w14:textFill>
        </w:rPr>
        <w:t>：基于循证医学，应遵循孕妇产前的特征与规律，结合孕妇自身的身体功能水平，选择适合的评估工具进行有效评估。</w:t>
      </w:r>
    </w:p>
    <w:p w14:paraId="1DD8FC16">
      <w:pPr>
        <w:pStyle w:val="23"/>
        <w:spacing w:line="560" w:lineRule="exact"/>
        <w:ind w:firstLine="643"/>
        <w:rPr>
          <w:rFonts w:ascii="楷体" w:hAnsi="楷体" w:eastAsia="楷体"/>
          <w:b/>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（二）评估环境</w:t>
      </w:r>
    </w:p>
    <w:p w14:paraId="284BAD30">
      <w:pPr>
        <w:pStyle w:val="23"/>
        <w:ind w:firstLine="640"/>
        <w:rPr>
          <w:rFonts w:ascii="仿宋" w:hAnsi="仿宋" w:eastAsia="仿宋"/>
          <w:color w:val="000000" w:themeColor="text1"/>
          <w:sz w:val="32"/>
          <w:szCs w:val="32"/>
          <w14:textFill>
            <w14:solidFill>
              <w14:schemeClr w14:val="tx1"/>
            </w14:solidFill>
          </w14:textFill>
        </w:rPr>
      </w:pPr>
      <w:r>
        <w:rPr>
          <w:rFonts w:hint="eastAsia" w:ascii="仿宋" w:hAnsi="仿宋" w:eastAsia="仿宋"/>
          <w:sz w:val="32"/>
          <w:szCs w:val="32"/>
        </w:rPr>
        <w:t>主要依据《母婴保健技术服务执业许可证》的要求、《中华人民共和国母婴保健法》及国家卫生部“爱婴医院”的要求。医疗保健机构</w:t>
      </w:r>
      <w:r>
        <w:rPr>
          <w:rFonts w:hint="eastAsia" w:ascii="仿宋" w:hAnsi="仿宋" w:eastAsia="仿宋"/>
          <w:color w:val="000000" w:themeColor="text1"/>
          <w:sz w:val="32"/>
          <w:szCs w:val="32"/>
          <w14:textFill>
            <w14:solidFill>
              <w14:schemeClr w14:val="tx1"/>
            </w14:solidFill>
          </w14:textFill>
        </w:rPr>
        <w:t>应配备有相对独立的、固定的、专用的评估场地。评估环境干净整洁，物品放置有序。应配备室温调节设备。室外环境空气质量应符合GB 3095中二类标准的要求。室内空气应符合GB/T 18883的要求。声环境应符合GB 3096中1类标准的要求。</w:t>
      </w:r>
    </w:p>
    <w:p w14:paraId="7A3FD211">
      <w:pPr>
        <w:widowControl/>
        <w:autoSpaceDE w:val="0"/>
        <w:autoSpaceDN w:val="0"/>
        <w:spacing w:line="560" w:lineRule="exact"/>
        <w:ind w:firstLine="643" w:firstLineChars="200"/>
        <w:rPr>
          <w:rFonts w:ascii="楷体" w:hAnsi="楷体" w:eastAsia="楷体"/>
          <w:b/>
          <w:kern w:val="0"/>
          <w:sz w:val="32"/>
          <w:szCs w:val="32"/>
        </w:rPr>
      </w:pPr>
      <w:r>
        <w:rPr>
          <w:rFonts w:hint="eastAsia" w:ascii="楷体" w:hAnsi="楷体" w:eastAsia="楷体"/>
          <w:b/>
          <w:kern w:val="0"/>
          <w:sz w:val="32"/>
          <w:szCs w:val="32"/>
        </w:rPr>
        <w:t>（三）评估人员</w:t>
      </w:r>
    </w:p>
    <w:p w14:paraId="7D6AC8E3">
      <w:pPr>
        <w:spacing w:line="560" w:lineRule="exact"/>
        <w:ind w:firstLine="640" w:firstLineChars="200"/>
        <w:rPr>
          <w:rFonts w:ascii="仿宋" w:hAnsi="仿宋" w:eastAsia="仿宋"/>
          <w:sz w:val="32"/>
          <w:szCs w:val="32"/>
        </w:rPr>
      </w:pPr>
      <w:r>
        <w:rPr>
          <w:rFonts w:hint="eastAsia" w:ascii="仿宋" w:hAnsi="仿宋" w:eastAsia="仿宋"/>
          <w:sz w:val="32"/>
          <w:szCs w:val="32"/>
        </w:rPr>
        <w:t>主要依据区内外孕产保健医疗卫生服务机构的实际情况、考察、进行多方面讨论确定，对评估人员的组成、资质进行相应的要求。主要也考虑到了医师、助产士、母乳喂养指导师、护士、医疗助理、各种哺乳专家/顾问[国际认证泌乳顾问]等是基本孕妇母乳喂养指导服务工作顺利和更好的开展的基本条件。要求评估人员应取得护士执业资格证、医师执业资格证的资质，或接受过母乳喂养评估专业培训并获得相应合格证书。母乳喂养咨询人员应具备中级以上技术职称，有5年以上母乳喂养临床医疗或护理、助产工作经验，具备基本沟通交流技巧，能解决常见母乳喂养问题。医务人员接受母乳喂养评估指导管理方面的培训，以做到做法同质化的护理服务。</w:t>
      </w:r>
    </w:p>
    <w:p w14:paraId="04A9B045">
      <w:pPr>
        <w:widowControl/>
        <w:autoSpaceDE w:val="0"/>
        <w:autoSpaceDN w:val="0"/>
        <w:spacing w:line="560" w:lineRule="exact"/>
        <w:ind w:firstLine="643" w:firstLineChars="200"/>
        <w:rPr>
          <w:rFonts w:hint="default" w:ascii="楷体" w:hAnsi="楷体" w:eastAsia="楷体"/>
          <w:b/>
          <w:color w:val="0000FF"/>
          <w:kern w:val="0"/>
          <w:sz w:val="32"/>
          <w:szCs w:val="32"/>
          <w:lang w:val="en-US" w:eastAsia="zh-CN"/>
        </w:rPr>
      </w:pPr>
      <w:r>
        <w:rPr>
          <w:rFonts w:hint="eastAsia" w:ascii="楷体" w:hAnsi="楷体" w:eastAsia="楷体"/>
          <w:b/>
          <w:kern w:val="0"/>
          <w:sz w:val="32"/>
          <w:szCs w:val="32"/>
        </w:rPr>
        <w:t>（四）评估</w:t>
      </w:r>
      <w:r>
        <w:rPr>
          <w:rFonts w:hint="eastAsia" w:ascii="楷体" w:hAnsi="楷体" w:eastAsia="楷体"/>
          <w:b/>
          <w:kern w:val="0"/>
          <w:sz w:val="32"/>
          <w:szCs w:val="32"/>
          <w:lang w:val="en-US" w:eastAsia="zh-CN"/>
        </w:rPr>
        <w:t>内容及要求</w:t>
      </w:r>
    </w:p>
    <w:p w14:paraId="7CDBE7A8">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sz w:val="32"/>
          <w:szCs w:val="32"/>
        </w:rPr>
        <w:t>评估</w:t>
      </w:r>
      <w:r>
        <w:rPr>
          <w:rFonts w:hint="eastAsia" w:ascii="仿宋" w:hAnsi="仿宋" w:eastAsia="仿宋"/>
          <w:sz w:val="32"/>
          <w:szCs w:val="32"/>
          <w:lang w:val="en-US" w:eastAsia="zh-CN"/>
        </w:rPr>
        <w:t>内容</w:t>
      </w:r>
      <w:r>
        <w:rPr>
          <w:rFonts w:hint="eastAsia" w:ascii="仿宋" w:hAnsi="仿宋" w:eastAsia="仿宋"/>
          <w:sz w:val="32"/>
          <w:szCs w:val="32"/>
        </w:rPr>
        <w:t>主要依据广西医科大学第二附属医院、北京大学第一医院、常州市妇幼保健院、东莞市中医院、广西壮族自治区人民医院等医疗机构实际孕妇产前母乳喂养评估的工作流程及要求确定，通过专业的产前泌乳评估工具和标准化的评估方法，进行母乳喂养产前风险筛查和乳房检查，针对评估结果进行有针对性母乳喂养指导，提前进行护理干预，为有困难的母亲提供专业的、有循证依据的母乳喂养指导和支持，是推动母乳喂养成功的关键一步，对提高产后母乳喂养成功率和母乳喂养质量具有重要意义。</w:t>
      </w:r>
    </w:p>
    <w:p w14:paraId="67A7C537">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sz w:val="32"/>
          <w:szCs w:val="32"/>
        </w:rPr>
        <w:t>广西医科大学第二附属医院产科广西医科大学第二附属医院产科，集医疗、教学、科研为一体，拥有精湛的医疗技术、良好的科研能力、高素质、高专业水平、力量雄厚的医疗团队。是广西妇产科重点专科孵化基地，是广西妇产科规培基地，是广西医疗卫生重点（培育）学科，在研国家级课题1项、广西省自然基金课题1项、广西适宜技术项目1项、在研省级课题20多项，教育厅课题4项。获得广西适宜技术推广奖二等奖1项、三等奖2项，获实用新型专利授权20多项。</w:t>
      </w:r>
    </w:p>
    <w:p w14:paraId="2A45C631">
      <w:pPr>
        <w:widowControl/>
        <w:autoSpaceDE w:val="0"/>
        <w:autoSpaceDN w:val="0"/>
        <w:spacing w:line="56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自2020年以来，广西医科大学第二附属医院产科年均门诊量达45000人次，年均分娩量1800人次，母乳喂养评估及指导1000人次，其中：产后母乳喂养评估800人次，产前母乳喂养评估200人次，76.6%为本院立卡分娩的孕产妇，23.4%为外院立卡分娩。在这200例母乳喂养产前评估指导中包括48例有妊娠合并症(糖尿病、高血压等）、22例乳头异常、12例孕前孕前BMI值增高、10例月经期无乳房胀痛、5例合并甲状腺功能低下、2例既往患有多囊卵巢综合征、1例乳房、腋下相关部位经历过手术。通过母乳喂养产前风险筛查和乳房检查，评估及护理指导，提前进行护理干预后产妇产后母乳喂养率、喂养风险发生情况、新生儿发育情况等到良好改善，80%无产后母乳喂养问题，根据我院第三方满意度我院孕产妇的满意度提高到92.64%，住院产妇就医体验提高。</w:t>
      </w:r>
    </w:p>
    <w:p w14:paraId="51D11F44">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color w:val="000000" w:themeColor="text1"/>
          <w:sz w:val="32"/>
          <w:szCs w:val="32"/>
          <w14:textFill>
            <w14:solidFill>
              <w14:schemeClr w14:val="tx1"/>
            </w14:solidFill>
          </w14:textFill>
        </w:rPr>
        <w:t>团队紧紧围绕孕妇产前母乳喂养评估操作，服</w:t>
      </w:r>
      <w:r>
        <w:rPr>
          <w:rFonts w:hint="eastAsia" w:ascii="仿宋" w:hAnsi="仿宋" w:eastAsia="仿宋"/>
          <w:sz w:val="32"/>
          <w:szCs w:val="32"/>
        </w:rPr>
        <w:t>务广西医疗项目，进行了多年的经验积累，在孕妇产前母乳喂养评估研究方向具有的优势及积累的实践经验如下：</w:t>
      </w:r>
    </w:p>
    <w:p w14:paraId="5EA948E5">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sz w:val="32"/>
          <w:szCs w:val="32"/>
        </w:rPr>
        <w:t>本项目前期开展了母乳喂养咨询门诊应用产前母乳喂养咨询提升母乳喂养率的效果研究项目，通过选取广西医科大学第二附属医院</w:t>
      </w:r>
      <w:r>
        <w:rPr>
          <w:rFonts w:hint="eastAsia" w:ascii="仿宋" w:hAnsi="仿宋" w:eastAsia="仿宋"/>
          <w:color w:val="auto"/>
          <w:sz w:val="32"/>
          <w:szCs w:val="32"/>
        </w:rPr>
        <w:t>2021年1月-2025年12月期间到产科门诊就诊的产妇126例进行临床分析、研究，将126例产妇使用随机抽签法分为研究组、对照组两组，每组产妇人数63例，</w:t>
      </w:r>
      <w:r>
        <w:rPr>
          <w:rFonts w:hint="eastAsia" w:ascii="仿宋" w:hAnsi="仿宋" w:eastAsia="仿宋"/>
          <w:sz w:val="32"/>
          <w:szCs w:val="32"/>
        </w:rPr>
        <w:t>其中对照组使用常规健康宣教，护理人员通过孕妇学校，录制视频、口头、宣传册等为孕妇讲解对乳房的护理方式、注意事项、喂养方法、体位等，使产妇认识到母乳喂养的重要性，并通知产妇定期参与相关知识讲座。研究组使用产前母乳喂养评估与指导，首先成立母乳喂养咨询门诊小组，对小组成员进行专业、全面的培训，完成考核并取得母乳喂养指导师资格证后投放到临床指导服务中。</w:t>
      </w:r>
    </w:p>
    <w:p w14:paraId="1F5E6730">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sz w:val="32"/>
          <w:szCs w:val="32"/>
        </w:rPr>
        <w:t>开通母乳喂养咨询门诊，安排母乳喂养指导师每周二、周五出诊，出诊的老师们均拥有国家级专业的高级母乳喂养指导师证书，整个母乳喂养支持团队在产前泌乳评估，产后乳胀、追奶、减奶、乳腺疏通等方面具有丰富的临床经验，均能很好的开展个体化的咨询指导和提供有效的干预措施。妊娠满37周后孕妇产检时医生转介到母乳喂养咨询门诊，护士根据孕妇时间安排预约门诊咨询时间，至分娩前可至少到母乳喂养咨询门诊进行产前泌乳评估1-2次。孕妇就诊时，护理人员使用本科自制的产前泌乳评估表（打钩式）对孕妇乳房、乳头、乳晕、是否妊娠合并症、并发症及手术特别是胸部手术史等可能影响产后泌乳或哺乳困难征象进行评估，并针对孕妇存在的可能影响产后哺乳困难征象的问题进行针对性的指导，同时护理人员积极为孕妇宣讲母乳喂养的优势、方法、喂养姿势、饮食均衡标准、注意事项等，为产妇发放母乳喂养知识宣传手册，孕妇学校课程视频二维码等，便于产妇利用闲暇时间进行学习，同时利用产妇产前、产后时间对母乳喂养相关手法进行模拟练习。咨询期间对所有母乳喂养咨询的孕妇建立档案记录并追踪随访，指导产后42天到母乳喂养咨询门诊进行产后母乳喂养评估，哺乳期间存在堵奶、乳胀、哺乳姿势不正确、哺乳疼痛、追奶、减奶、乳腺疏通等问题及时处理。母乳喂养指导期间重点强调母乳喂养期间，严禁饮酒、吸烟等，提高产妇母乳喂养能力，同时考虑到部分产妇无法将母乳喂养效果最大化，广西医科大学第二附属医院特建立企业微信孕产妇群统一管理，开设母乳喂养线上咨询，设立相关专家，解答产妇喂养期间存在问题，便于更好的帮助产妇，提高母乳喂养效果。</w:t>
      </w:r>
    </w:p>
    <w:p w14:paraId="03A968CB">
      <w:pPr>
        <w:widowControl/>
        <w:autoSpaceDE w:val="0"/>
        <w:autoSpaceDN w:val="0"/>
        <w:spacing w:line="560" w:lineRule="exact"/>
        <w:ind w:firstLine="640" w:firstLineChars="200"/>
        <w:rPr>
          <w:rFonts w:ascii="仿宋" w:hAnsi="仿宋" w:eastAsia="仿宋"/>
          <w:sz w:val="32"/>
          <w:szCs w:val="32"/>
        </w:rPr>
      </w:pPr>
      <w:r>
        <w:rPr>
          <w:rFonts w:hint="eastAsia" w:ascii="仿宋" w:hAnsi="仿宋" w:eastAsia="仿宋"/>
          <w:sz w:val="32"/>
          <w:szCs w:val="32"/>
        </w:rPr>
        <w:t>通过干预实施后使用SPSS24.0统计学相关软件进行专业数据分析，应用t，X2检测临床数据对比两组产妇母乳喂养率、喂养风险发生情况、新生儿发育情况。分析结果显示经临床干预后，研究组产后母乳喂养率（98.41%）、产后6个月母乳喂养率（93.65%）显著高于对照组（88.89%）、（80.95%）；研究组新生儿喂养风险发生情况（3.17%）明显低于对照组（12.70%）；研究组新生儿体质量、身高等发育情况明显优于对照组，对比差异显著具有统计学意义,（P&lt;0.05）。综上所述：使用产前母乳喂养指导能够有效提高产妇树立新生儿喂养价值观，提高产后母乳喂养率，降低喂养风险，全面保障新生儿生长发育及母婴健康，值得临床推广。</w:t>
      </w:r>
    </w:p>
    <w:p w14:paraId="1525EABF">
      <w:pPr>
        <w:widowControl/>
        <w:autoSpaceDE w:val="0"/>
        <w:autoSpaceDN w:val="0"/>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2022年全年产科门诊进行母乳喂养产前风险筛查及乳房检查，针对评估结果进行有针对性母乳喂养指导，提前进行护理干预，为有困难的母亲提供专业的、有循证依据的母乳喂养指导和支持管理。调查结果显示：2022年母乳喂养门诊就诊量共918人，其中产前母乳喂养评估246人，比2021年同比增长78.6%，产后母乳喂养率同比增长48.2%，产后生理性乳胀发生率下降19.8%，孕产妇满意率82.0%。2022年时间广西医科大学第二附属医院母乳喂养产前评估管理覆盖所有妊娠晚期孕妇的情况下，根据我院第三方满意度我院孕产妇的满意度提高到92.64%，住院产妇就医体验提高。</w:t>
      </w:r>
    </w:p>
    <w:p w14:paraId="4BC09E7D">
      <w:pPr>
        <w:pStyle w:val="14"/>
        <w:ind w:firstLine="640" w:firstLineChars="200"/>
      </w:pPr>
      <w:r>
        <w:rPr>
          <w:rFonts w:hint="eastAsia" w:ascii="仿宋" w:hAnsi="仿宋" w:eastAsia="仿宋"/>
          <w:bCs/>
        </w:rPr>
        <w:t>在各级卫生行政部门的领导下，认真贯彻执行世界卫生组织（WHO）和联合国儿童基金会（UNICEF）制定的《促使母乳喂养成功的十点措施》和《国际母乳代用品销售守则》及《中国母乳代用品销售管理办法》，不断改善产、儿科工作条件，做好母乳喂养工作。培训内容以ＷＨＯ、ＵＮＩＣＥＦ共同制定的１８学时母乳喂养培训教材和４０学时母乳喂养咨询技巧培训课程为基本内容。严格按照爱婴医院管理的政策、相关法律法规、母乳喂养的知识及技巧等。评估内容主要包括接诊、</w:t>
      </w:r>
      <w:r>
        <w:rPr>
          <w:rFonts w:hint="eastAsia" w:ascii="仿宋" w:hAnsi="仿宋" w:eastAsia="仿宋"/>
          <w:bCs/>
          <w:lang w:val="en-US" w:eastAsia="zh-CN"/>
        </w:rPr>
        <w:t>制定评估方案</w:t>
      </w:r>
      <w:r>
        <w:rPr>
          <w:rFonts w:hint="eastAsia" w:ascii="仿宋" w:hAnsi="仿宋" w:eastAsia="仿宋"/>
          <w:bCs/>
        </w:rPr>
        <w:t>、实施评估</w:t>
      </w:r>
      <w:r>
        <w:rPr>
          <w:rFonts w:hint="eastAsia" w:ascii="仿宋" w:hAnsi="仿宋" w:eastAsia="仿宋"/>
          <w:bCs/>
          <w:lang w:val="en-US" w:eastAsia="zh-CN"/>
        </w:rPr>
        <w:t>及指导</w:t>
      </w:r>
      <w:r>
        <w:rPr>
          <w:rFonts w:hint="eastAsia" w:ascii="仿宋" w:hAnsi="仿宋" w:eastAsia="仿宋"/>
          <w:bCs/>
        </w:rPr>
        <w:t>。</w:t>
      </w:r>
    </w:p>
    <w:p w14:paraId="378D013F">
      <w:pPr>
        <w:widowControl/>
        <w:autoSpaceDE w:val="0"/>
        <w:autoSpaceDN w:val="0"/>
        <w:spacing w:line="560" w:lineRule="exact"/>
        <w:ind w:firstLine="643" w:firstLineChars="200"/>
        <w:rPr>
          <w:rFonts w:hint="eastAsia" w:ascii="仿宋" w:hAnsi="仿宋" w:eastAsia="仿宋"/>
          <w:bCs/>
          <w:sz w:val="32"/>
          <w:szCs w:val="32"/>
        </w:rPr>
      </w:pPr>
      <w:r>
        <w:rPr>
          <w:rFonts w:hint="eastAsia" w:ascii="仿宋" w:hAnsi="仿宋" w:eastAsia="仿宋"/>
          <w:b/>
          <w:sz w:val="32"/>
          <w:szCs w:val="32"/>
        </w:rPr>
        <w:t>接诊：</w:t>
      </w:r>
      <w:r>
        <w:rPr>
          <w:rFonts w:hint="eastAsia" w:ascii="仿宋" w:hAnsi="仿宋" w:eastAsia="仿宋"/>
          <w:bCs/>
          <w:sz w:val="32"/>
          <w:szCs w:val="32"/>
        </w:rPr>
        <w:t>应详细询问孕妇的现病史、既往史、生育史、哺乳经历，了解孕妇心理和社会风险因素，收集相关胸部彩超检查，可通过体检结果了解孕前乳腺健康情况。</w:t>
      </w:r>
    </w:p>
    <w:p w14:paraId="1FEADD64">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0DBE56D5">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16913426">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58FCA792">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46202159">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3ECA071C">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68611D7C">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32FEC059">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p>
    <w:p w14:paraId="151ADA0A">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default" w:eastAsiaTheme="minorEastAsia"/>
          <w:lang w:val="en-US" w:eastAsia="zh-CN"/>
        </w:rPr>
      </w:pPr>
      <w:r>
        <w:rPr>
          <w:rFonts w:hint="default" w:eastAsia="宋体"/>
          <w:lang w:eastAsia="zh-CN"/>
        </w:rPr>
        <w:drawing>
          <wp:anchor distT="0" distB="0" distL="114300" distR="114300" simplePos="0" relativeHeight="251660288" behindDoc="0" locked="0" layoutInCell="1" allowOverlap="1">
            <wp:simplePos x="0" y="0"/>
            <wp:positionH relativeFrom="column">
              <wp:posOffset>980440</wp:posOffset>
            </wp:positionH>
            <wp:positionV relativeFrom="paragraph">
              <wp:posOffset>177800</wp:posOffset>
            </wp:positionV>
            <wp:extent cx="3483610" cy="2612390"/>
            <wp:effectExtent l="0" t="0" r="2540" b="16510"/>
            <wp:wrapTopAndBottom/>
            <wp:docPr id="14" name="图片 14" descr="image_176890562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age_1768905624612"/>
                    <pic:cNvPicPr>
                      <a:picLocks noChangeAspect="1"/>
                    </pic:cNvPicPr>
                  </pic:nvPicPr>
                  <pic:blipFill>
                    <a:blip r:embed="rId5"/>
                    <a:stretch>
                      <a:fillRect/>
                    </a:stretch>
                  </pic:blipFill>
                  <pic:spPr>
                    <a:xfrm>
                      <a:off x="1143000" y="3966845"/>
                      <a:ext cx="3483610" cy="2612390"/>
                    </a:xfrm>
                    <a:prstGeom prst="rect">
                      <a:avLst/>
                    </a:prstGeom>
                  </pic:spPr>
                </pic:pic>
              </a:graphicData>
            </a:graphic>
          </wp:anchor>
        </w:drawing>
      </w:r>
      <w:r>
        <w:rPr>
          <w:rFonts w:hint="eastAsia" w:eastAsiaTheme="minorEastAsia"/>
          <w:lang w:val="en-US" w:eastAsia="zh-CN"/>
        </w:rPr>
        <w:t>图  检查乳房情况</w:t>
      </w:r>
    </w:p>
    <w:p w14:paraId="598AF5E1">
      <w:pPr>
        <w:widowControl/>
        <w:autoSpaceDE w:val="0"/>
        <w:autoSpaceDN w:val="0"/>
        <w:spacing w:line="560" w:lineRule="exact"/>
        <w:ind w:firstLine="643" w:firstLineChars="200"/>
        <w:rPr>
          <w:rFonts w:hint="eastAsia" w:ascii="仿宋" w:hAnsi="仿宋" w:eastAsia="仿宋"/>
          <w:bCs/>
          <w:sz w:val="32"/>
          <w:szCs w:val="32"/>
          <w:lang w:eastAsia="zh-CN"/>
        </w:rPr>
      </w:pPr>
      <w:r>
        <w:rPr>
          <w:rFonts w:hint="eastAsia" w:ascii="仿宋" w:hAnsi="仿宋" w:eastAsia="仿宋"/>
          <w:b/>
          <w:bCs w:val="0"/>
          <w:sz w:val="32"/>
          <w:szCs w:val="32"/>
          <w:lang w:val="en-US" w:eastAsia="zh-CN"/>
        </w:rPr>
        <w:t>制定评估方案</w:t>
      </w:r>
      <w:r>
        <w:rPr>
          <w:rFonts w:hint="eastAsia" w:ascii="仿宋" w:hAnsi="仿宋" w:eastAsia="仿宋"/>
          <w:bCs/>
          <w:sz w:val="32"/>
          <w:szCs w:val="32"/>
        </w:rPr>
        <w:t>：确定评估方案，包括评估项目、评估人员及评估</w:t>
      </w:r>
      <w:r>
        <w:rPr>
          <w:rFonts w:hint="eastAsia" w:ascii="仿宋" w:hAnsi="仿宋" w:eastAsia="仿宋"/>
          <w:bCs/>
          <w:sz w:val="32"/>
          <w:szCs w:val="32"/>
          <w:lang w:val="en-US" w:eastAsia="zh-CN"/>
        </w:rPr>
        <w:t>时机</w:t>
      </w:r>
      <w:r>
        <w:rPr>
          <w:rFonts w:hint="eastAsia" w:ascii="仿宋" w:hAnsi="仿宋" w:eastAsia="仿宋"/>
          <w:bCs/>
          <w:sz w:val="32"/>
          <w:szCs w:val="32"/>
          <w:lang w:eastAsia="zh-CN"/>
        </w:rPr>
        <w:t>。</w:t>
      </w:r>
    </w:p>
    <w:p w14:paraId="0F9D9E7D">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689350" cy="2767965"/>
            <wp:effectExtent l="0" t="0" r="6350" b="13335"/>
            <wp:docPr id="7" name="图片 7" descr="858cf97323b1135749090191a5f886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858cf97323b1135749090191a5f8865a"/>
                    <pic:cNvPicPr>
                      <a:picLocks noChangeAspect="1"/>
                    </pic:cNvPicPr>
                  </pic:nvPicPr>
                  <pic:blipFill>
                    <a:blip r:embed="rId6"/>
                    <a:stretch>
                      <a:fillRect/>
                    </a:stretch>
                  </pic:blipFill>
                  <pic:spPr>
                    <a:xfrm>
                      <a:off x="0" y="0"/>
                      <a:ext cx="3689350" cy="2767965"/>
                    </a:xfrm>
                    <a:prstGeom prst="rect">
                      <a:avLst/>
                    </a:prstGeom>
                  </pic:spPr>
                </pic:pic>
              </a:graphicData>
            </a:graphic>
          </wp:inline>
        </w:drawing>
      </w:r>
    </w:p>
    <w:p w14:paraId="5487F10B">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default" w:eastAsiaTheme="minorEastAsia"/>
          <w:lang w:val="en-US" w:eastAsia="zh-CN"/>
        </w:rPr>
      </w:pPr>
      <w:r>
        <w:rPr>
          <w:rFonts w:hint="eastAsia" w:eastAsiaTheme="minorEastAsia"/>
          <w:lang w:val="en-US" w:eastAsia="zh-CN"/>
        </w:rPr>
        <w:t>图  制定评估方案</w:t>
      </w:r>
    </w:p>
    <w:p w14:paraId="19B47D9C">
      <w:pPr>
        <w:widowControl/>
        <w:autoSpaceDE w:val="0"/>
        <w:autoSpaceDN w:val="0"/>
        <w:spacing w:line="560" w:lineRule="exact"/>
        <w:ind w:firstLine="643" w:firstLineChars="200"/>
        <w:rPr>
          <w:rFonts w:hint="eastAsia" w:ascii="仿宋" w:hAnsi="仿宋" w:eastAsia="仿宋"/>
          <w:bCs/>
          <w:sz w:val="32"/>
          <w:szCs w:val="32"/>
          <w:lang w:eastAsia="zh-CN"/>
        </w:rPr>
      </w:pPr>
      <w:r>
        <w:rPr>
          <w:rFonts w:hint="eastAsia" w:ascii="仿宋" w:hAnsi="仿宋" w:eastAsia="仿宋"/>
          <w:b/>
          <w:bCs w:val="0"/>
          <w:sz w:val="32"/>
          <w:szCs w:val="32"/>
        </w:rPr>
        <w:t>实施评估及指导</w:t>
      </w:r>
      <w:r>
        <w:rPr>
          <w:rFonts w:hint="eastAsia" w:ascii="仿宋" w:hAnsi="仿宋" w:eastAsia="仿宋"/>
          <w:bCs/>
          <w:sz w:val="32"/>
          <w:szCs w:val="32"/>
          <w:lang w:eastAsia="zh-CN"/>
        </w:rPr>
        <w:t>：</w:t>
      </w:r>
      <w:r>
        <w:rPr>
          <w:rFonts w:hint="eastAsia" w:ascii="仿宋" w:hAnsi="仿宋" w:eastAsia="仿宋"/>
          <w:bCs/>
          <w:sz w:val="32"/>
          <w:szCs w:val="32"/>
        </w:rPr>
        <w:t>孕妇妊娠晚期至产前进行综合评估，</w:t>
      </w:r>
      <w:r>
        <w:rPr>
          <w:rFonts w:hint="eastAsia" w:ascii="仿宋" w:hAnsi="仿宋" w:eastAsia="仿宋"/>
          <w:bCs/>
          <w:sz w:val="32"/>
          <w:szCs w:val="32"/>
          <w:lang w:val="en-US" w:eastAsia="zh-CN"/>
        </w:rPr>
        <w:t>即</w:t>
      </w:r>
      <w:r>
        <w:rPr>
          <w:rFonts w:hint="eastAsia" w:ascii="仿宋" w:hAnsi="仿宋" w:eastAsia="仿宋"/>
          <w:bCs/>
          <w:sz w:val="32"/>
          <w:szCs w:val="32"/>
          <w:lang w:eastAsia="zh-CN"/>
        </w:rPr>
        <w:t>每位孕妇妊娠满37周至分娩前至少评估1次。评估人员使用《孕妇产前母乳喂养评估表》进行母乳喂养产前风险筛查和乳房检查，并记录评估结果。</w:t>
      </w:r>
    </w:p>
    <w:p w14:paraId="74A7120C">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601085" cy="2701925"/>
            <wp:effectExtent l="0" t="0" r="18415" b="3175"/>
            <wp:docPr id="4" name="图片 4" descr="b282fa79714f4fb3620e0f9b29e17b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282fa79714f4fb3620e0f9b29e17b8f"/>
                    <pic:cNvPicPr>
                      <a:picLocks noChangeAspect="1"/>
                    </pic:cNvPicPr>
                  </pic:nvPicPr>
                  <pic:blipFill>
                    <a:blip r:embed="rId7"/>
                    <a:stretch>
                      <a:fillRect/>
                    </a:stretch>
                  </pic:blipFill>
                  <pic:spPr>
                    <a:xfrm>
                      <a:off x="0" y="0"/>
                      <a:ext cx="3601085" cy="2701925"/>
                    </a:xfrm>
                    <a:prstGeom prst="rect">
                      <a:avLst/>
                    </a:prstGeom>
                  </pic:spPr>
                </pic:pic>
              </a:graphicData>
            </a:graphic>
          </wp:inline>
        </w:drawing>
      </w:r>
    </w:p>
    <w:p w14:paraId="6DB22B24">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default" w:eastAsiaTheme="minorEastAsia"/>
          <w:lang w:val="en-US" w:eastAsia="zh-CN"/>
        </w:rPr>
      </w:pPr>
      <w:r>
        <w:rPr>
          <w:rFonts w:hint="eastAsia" w:eastAsiaTheme="minorEastAsia"/>
          <w:lang w:val="en-US" w:eastAsia="zh-CN"/>
        </w:rPr>
        <w:t xml:space="preserve">图 </w:t>
      </w:r>
      <w:r>
        <w:rPr>
          <w:rFonts w:hint="eastAsia" w:eastAsiaTheme="minorEastAsia"/>
          <w:lang w:eastAsia="zh-CN"/>
        </w:rPr>
        <w:t>使用《孕妇产前母乳喂养评估表》</w:t>
      </w:r>
      <w:r>
        <w:rPr>
          <w:rFonts w:hint="eastAsia" w:eastAsiaTheme="minorEastAsia"/>
          <w:lang w:val="en-US" w:eastAsia="zh-CN"/>
        </w:rPr>
        <w:t>进行评估</w:t>
      </w:r>
    </w:p>
    <w:p w14:paraId="31413F16">
      <w:pPr>
        <w:widowControl/>
        <w:autoSpaceDE w:val="0"/>
        <w:autoSpaceDN w:val="0"/>
        <w:spacing w:line="560" w:lineRule="exact"/>
        <w:ind w:firstLine="640" w:firstLineChars="200"/>
        <w:rPr>
          <w:rFonts w:hint="eastAsia" w:ascii="仿宋" w:hAnsi="仿宋" w:eastAsia="仿宋"/>
          <w:bCs/>
          <w:sz w:val="32"/>
          <w:szCs w:val="32"/>
          <w:lang w:eastAsia="zh-CN"/>
        </w:rPr>
      </w:pPr>
      <w:r>
        <w:rPr>
          <w:rFonts w:hint="eastAsia" w:ascii="仿宋" w:hAnsi="仿宋" w:eastAsia="仿宋"/>
          <w:bCs/>
          <w:sz w:val="32"/>
          <w:szCs w:val="32"/>
          <w:lang w:eastAsia="zh-CN"/>
        </w:rPr>
        <w:t>针对孕妇存在的可能影响产后哺乳困难征象的问题进行针对性的指导，同时评估人员为孕妇宣讲母乳喂养的优势、方法、喂养姿势、饮食营养、预防措施和注意事项。根据风险筛查及乳房检查结果进行有针对性的护理指导和处理措施。</w:t>
      </w:r>
      <w:r>
        <w:rPr>
          <w:rFonts w:hint="eastAsia" w:ascii="仿宋" w:hAnsi="仿宋" w:eastAsia="仿宋"/>
          <w:bCs/>
          <w:sz w:val="32"/>
          <w:szCs w:val="32"/>
        </w:rPr>
        <w:t>让母乳喂养指导师或出诊护理人员对孕妇的乳房和对母乳喂养影响的风险进行筛查，帮助临床医务人员克服现有技术的缺陷，现有孕妇的母乳喂养评估难度，和耗费医务人员工作时间问题提供更便捷的服务于临床管理。对妊娠晚期孕妇的母乳喂养评估记录进行规范要求。</w:t>
      </w:r>
    </w:p>
    <w:p w14:paraId="33C52961">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862070" cy="2897505"/>
            <wp:effectExtent l="0" t="0" r="5080" b="17145"/>
            <wp:docPr id="5" name="图片 5" descr="740775b8d80dd8c2516c7bae2ad860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40775b8d80dd8c2516c7bae2ad8607b"/>
                    <pic:cNvPicPr>
                      <a:picLocks noChangeAspect="1"/>
                    </pic:cNvPicPr>
                  </pic:nvPicPr>
                  <pic:blipFill>
                    <a:blip r:embed="rId8"/>
                    <a:stretch>
                      <a:fillRect/>
                    </a:stretch>
                  </pic:blipFill>
                  <pic:spPr>
                    <a:xfrm>
                      <a:off x="0" y="0"/>
                      <a:ext cx="3862070" cy="2897505"/>
                    </a:xfrm>
                    <a:prstGeom prst="rect">
                      <a:avLst/>
                    </a:prstGeom>
                  </pic:spPr>
                </pic:pic>
              </a:graphicData>
            </a:graphic>
          </wp:inline>
        </w:drawing>
      </w:r>
    </w:p>
    <w:p w14:paraId="1509ACA8">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val="en-US" w:eastAsia="zh-CN"/>
        </w:rPr>
      </w:pPr>
      <w:r>
        <w:rPr>
          <w:rFonts w:hint="eastAsia" w:eastAsiaTheme="minorEastAsia"/>
          <w:lang w:val="en-US" w:eastAsia="zh-CN"/>
        </w:rPr>
        <w:t>图 指导正确喂养姿势</w:t>
      </w:r>
    </w:p>
    <w:p w14:paraId="45D243E4">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494405" cy="3906520"/>
            <wp:effectExtent l="0" t="0" r="10795" b="17780"/>
            <wp:docPr id="2" name="图片 2" descr="71f8ac9fb6fef179910fafab4dab2f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1f8ac9fb6fef179910fafab4dab2fc7"/>
                    <pic:cNvPicPr>
                      <a:picLocks noChangeAspect="1"/>
                    </pic:cNvPicPr>
                  </pic:nvPicPr>
                  <pic:blipFill>
                    <a:blip r:embed="rId9"/>
                    <a:stretch>
                      <a:fillRect/>
                    </a:stretch>
                  </pic:blipFill>
                  <pic:spPr>
                    <a:xfrm>
                      <a:off x="0" y="0"/>
                      <a:ext cx="3494405" cy="3906520"/>
                    </a:xfrm>
                    <a:prstGeom prst="rect">
                      <a:avLst/>
                    </a:prstGeom>
                  </pic:spPr>
                </pic:pic>
              </a:graphicData>
            </a:graphic>
          </wp:inline>
        </w:drawing>
      </w:r>
    </w:p>
    <w:p w14:paraId="0644DC52">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default" w:eastAsiaTheme="minorEastAsia"/>
          <w:lang w:val="en-US" w:eastAsia="zh-CN"/>
        </w:rPr>
      </w:pPr>
      <w:r>
        <w:rPr>
          <w:rFonts w:hint="eastAsia" w:eastAsiaTheme="minorEastAsia"/>
          <w:lang w:val="en-US" w:eastAsia="zh-CN"/>
        </w:rPr>
        <w:t>图 指导使用</w:t>
      </w:r>
      <w:r>
        <w:rPr>
          <w:rFonts w:hint="default" w:eastAsiaTheme="minorEastAsia"/>
          <w:lang w:val="en-US" w:eastAsia="zh-CN"/>
        </w:rPr>
        <w:t>吸奶器吸奶</w:t>
      </w:r>
    </w:p>
    <w:p w14:paraId="6A460706">
      <w:pPr>
        <w:widowControl/>
        <w:autoSpaceDE w:val="0"/>
        <w:autoSpaceDN w:val="0"/>
        <w:spacing w:line="560" w:lineRule="exact"/>
        <w:ind w:firstLine="643" w:firstLineChars="200"/>
        <w:rPr>
          <w:rFonts w:hint="eastAsia" w:ascii="仿宋" w:hAnsi="仿宋" w:eastAsia="仿宋"/>
          <w:b/>
          <w:sz w:val="32"/>
          <w:szCs w:val="32"/>
        </w:rPr>
      </w:pPr>
      <w:r>
        <w:rPr>
          <w:rFonts w:hint="eastAsia" w:ascii="仿宋" w:hAnsi="仿宋" w:eastAsia="仿宋"/>
          <w:b/>
          <w:sz w:val="32"/>
          <w:szCs w:val="32"/>
          <w:lang w:eastAsia="zh-CN"/>
        </w:rPr>
        <w:t>（</w:t>
      </w:r>
      <w:r>
        <w:rPr>
          <w:rFonts w:hint="eastAsia" w:ascii="仿宋" w:hAnsi="仿宋" w:eastAsia="仿宋"/>
          <w:b/>
          <w:sz w:val="32"/>
          <w:szCs w:val="32"/>
          <w:lang w:val="en-US" w:eastAsia="zh-CN"/>
        </w:rPr>
        <w:t>五）</w:t>
      </w:r>
      <w:r>
        <w:rPr>
          <w:rFonts w:hint="eastAsia" w:ascii="仿宋" w:hAnsi="仿宋" w:eastAsia="仿宋"/>
          <w:b/>
          <w:sz w:val="32"/>
          <w:szCs w:val="32"/>
        </w:rPr>
        <w:t>健康教育</w:t>
      </w:r>
    </w:p>
    <w:p w14:paraId="2DD13413">
      <w:pPr>
        <w:widowControl/>
        <w:autoSpaceDE w:val="0"/>
        <w:autoSpaceDN w:val="0"/>
        <w:spacing w:line="560" w:lineRule="exact"/>
        <w:ind w:firstLine="640" w:firstLineChars="200"/>
        <w:rPr>
          <w:rFonts w:ascii="仿宋" w:hAnsi="仿宋" w:eastAsia="仿宋"/>
          <w:bCs/>
          <w:sz w:val="32"/>
          <w:szCs w:val="32"/>
        </w:rPr>
      </w:pPr>
      <w:r>
        <w:rPr>
          <w:rFonts w:hint="eastAsia" w:ascii="仿宋" w:hAnsi="仿宋" w:eastAsia="仿宋"/>
          <w:bCs/>
          <w:sz w:val="32"/>
          <w:szCs w:val="32"/>
        </w:rPr>
        <w:t>确保孕妇获得全方位的母乳喂养健康管理，让孕妇认识到需要从怀孕初期阶段就要做好母乳喂养的准备工作特别是妊娠晚期。如指导孕妇每天保持乳房、乳头保持干燥和清洁，不可以使用酒精以及肥皂水来清洗乳头；指导孕妇若是乳腺凹陷或者扁平乳头情况，需要在孕早期就要给予干预，避免在胎儿出生后无法哺乳，做好产后哺乳含接方法的宣教；“三明治”技术重塑乳房形状，帮助婴儿更好的含接乳头；产后哺乳前双手指提捏凹陷乳头姿势帮助婴儿含接。乳头凹陷或酒窝状乳头者产后可使用一些装置如乳盾帮助婴儿含接；37周后可尝试使用乳头矫正器，但过多乳头刺激也是导致乳房受损或引起乳腺炎的危险，提醒孕妇动作温和，避免引起疼痛和对乳头反复操作；可选择吸奶瓶喂的方式持续母乳喂养。哺乳后或吸奶后指导母亲清理乳头残液，保持酒窝乳头风干，避免乳头窝状处乳汁或水分浸渍，预防感染；如乳头出现感染，应咨询医生是否需要局部消毒或涂抹抗生素。</w:t>
      </w:r>
    </w:p>
    <w:p w14:paraId="4DC77B78">
      <w:pPr>
        <w:widowControl/>
        <w:autoSpaceDE w:val="0"/>
        <w:autoSpaceDN w:val="0"/>
        <w:spacing w:line="560" w:lineRule="exact"/>
        <w:ind w:firstLine="640" w:firstLineChars="200"/>
        <w:rPr>
          <w:rFonts w:hint="eastAsia" w:ascii="仿宋" w:hAnsi="仿宋" w:eastAsia="仿宋"/>
          <w:bCs/>
          <w:sz w:val="32"/>
          <w:szCs w:val="32"/>
        </w:rPr>
      </w:pPr>
      <w:r>
        <w:rPr>
          <w:rFonts w:hint="eastAsia" w:ascii="仿宋" w:hAnsi="仿宋" w:eastAsia="仿宋"/>
          <w:bCs/>
          <w:sz w:val="32"/>
          <w:szCs w:val="32"/>
        </w:rPr>
        <w:t>如果得到家人和朋友的支持，女性更有可能在母乳喂养方面取得成功。在产前期应注重在家庭，朋友和社区之间营造积极的情感环境。家庭支持：一直以来，女性进行母乳喂养的决定一直得到祖母、姐妹或朋友的支持。如今，随着传统家庭结构的解体，缺乏相应支持往往最终导致女性放弃母乳喂养。伴侣支持：青少年单身母亲因为没有伴侣而承受很大压力，为了继续无忧无虑的青少年生活，她们可能选择更自由的人工喂养而非母乳喂养。伴侣的支持已被证明是帮助增加母乳喂养持续时间的有效方法。社区支持：许多女性在公共场合对母乳喂养感到尴尬。产前进行关于公共场所母乳喂养问题的讨论会有所帮助。在外工作未必是停止母乳喂养的理由。有计划、灵活的和良好的儿童关怀可以让母亲在面对长达数小时的分离时仍能保持哺乳，指导产后42 d到母乳喂养咨询门诊进行产后母乳喂养评估，哺乳期间存在堵奶、乳胀、哺乳姿势不正确、哺乳疼痛、追奶、减奶、乳腺疏通等问题及时到母乳喂养咨询门诊或乳腺外科就诊。</w:t>
      </w:r>
    </w:p>
    <w:p w14:paraId="51D02139">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907155" cy="2931160"/>
            <wp:effectExtent l="0" t="0" r="17145" b="2540"/>
            <wp:docPr id="10" name="图片 10" descr="76b8142f12634830a82db06adfc2d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6b8142f12634830a82db06adfc2d2c3"/>
                    <pic:cNvPicPr>
                      <a:picLocks noChangeAspect="1"/>
                    </pic:cNvPicPr>
                  </pic:nvPicPr>
                  <pic:blipFill>
                    <a:blip r:embed="rId10"/>
                    <a:stretch>
                      <a:fillRect/>
                    </a:stretch>
                  </pic:blipFill>
                  <pic:spPr>
                    <a:xfrm>
                      <a:off x="0" y="0"/>
                      <a:ext cx="3907155" cy="2931160"/>
                    </a:xfrm>
                    <a:prstGeom prst="rect">
                      <a:avLst/>
                    </a:prstGeom>
                  </pic:spPr>
                </pic:pic>
              </a:graphicData>
            </a:graphic>
          </wp:inline>
        </w:drawing>
      </w:r>
    </w:p>
    <w:p w14:paraId="4D4F04C4">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3910965" cy="3544570"/>
            <wp:effectExtent l="0" t="0" r="13335" b="17780"/>
            <wp:docPr id="6" name="图片 6" descr="904f3f7f4dbe6056a92b6203b608d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04f3f7f4dbe6056a92b6203b608d8a5"/>
                    <pic:cNvPicPr>
                      <a:picLocks noChangeAspect="1"/>
                    </pic:cNvPicPr>
                  </pic:nvPicPr>
                  <pic:blipFill>
                    <a:blip r:embed="rId11"/>
                    <a:srcRect t="17696"/>
                    <a:stretch>
                      <a:fillRect/>
                    </a:stretch>
                  </pic:blipFill>
                  <pic:spPr>
                    <a:xfrm>
                      <a:off x="0" y="0"/>
                      <a:ext cx="3910965" cy="3544570"/>
                    </a:xfrm>
                    <a:prstGeom prst="rect">
                      <a:avLst/>
                    </a:prstGeom>
                  </pic:spPr>
                </pic:pic>
              </a:graphicData>
            </a:graphic>
          </wp:inline>
        </w:drawing>
      </w:r>
    </w:p>
    <w:p w14:paraId="7404CD4E">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val="en-US" w:eastAsia="zh-CN"/>
        </w:rPr>
      </w:pPr>
      <w:r>
        <w:rPr>
          <w:rFonts w:hint="eastAsia" w:eastAsiaTheme="minorEastAsia"/>
          <w:lang w:val="en-US" w:eastAsia="zh-CN"/>
        </w:rPr>
        <w:t>图 对产妇进行健康教育</w:t>
      </w:r>
    </w:p>
    <w:p w14:paraId="5D0A162C">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eastAsiaTheme="minorEastAsia"/>
          <w:lang w:val="en-US" w:eastAsia="zh-CN"/>
        </w:rPr>
      </w:pPr>
    </w:p>
    <w:p w14:paraId="31715D41">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default" w:eastAsiaTheme="minorEastAsia"/>
          <w:lang w:val="en-US" w:eastAsia="zh-CN"/>
        </w:rPr>
      </w:pPr>
      <w:bookmarkStart w:id="1" w:name="_GoBack"/>
      <w:bookmarkEnd w:id="1"/>
    </w:p>
    <w:p w14:paraId="06371EA1">
      <w:pPr>
        <w:widowControl/>
        <w:autoSpaceDE w:val="0"/>
        <w:autoSpaceDN w:val="0"/>
        <w:spacing w:line="560" w:lineRule="exact"/>
        <w:ind w:firstLine="643" w:firstLineChars="200"/>
        <w:rPr>
          <w:rFonts w:hint="eastAsia" w:ascii="仿宋" w:hAnsi="仿宋" w:eastAsia="仿宋"/>
          <w:b/>
          <w:sz w:val="32"/>
          <w:szCs w:val="32"/>
          <w:lang w:val="en-US" w:eastAsia="zh-CN"/>
        </w:rPr>
      </w:pPr>
      <w:r>
        <w:rPr>
          <w:rFonts w:hint="eastAsia" w:ascii="仿宋" w:hAnsi="仿宋" w:eastAsia="仿宋"/>
          <w:b/>
          <w:sz w:val="32"/>
          <w:szCs w:val="32"/>
          <w:lang w:eastAsia="zh-CN"/>
        </w:rPr>
        <w:t>（</w:t>
      </w:r>
      <w:r>
        <w:rPr>
          <w:rFonts w:hint="eastAsia" w:ascii="仿宋" w:hAnsi="仿宋" w:eastAsia="仿宋"/>
          <w:b/>
          <w:sz w:val="32"/>
          <w:szCs w:val="32"/>
          <w:lang w:val="en-US" w:eastAsia="zh-CN"/>
        </w:rPr>
        <w:t>六）</w:t>
      </w:r>
      <w:r>
        <w:rPr>
          <w:rFonts w:hint="eastAsia" w:ascii="仿宋" w:hAnsi="仿宋" w:eastAsia="仿宋"/>
          <w:b/>
          <w:sz w:val="32"/>
          <w:szCs w:val="32"/>
        </w:rPr>
        <w:t>档案</w:t>
      </w:r>
      <w:r>
        <w:rPr>
          <w:rFonts w:hint="eastAsia" w:ascii="仿宋" w:hAnsi="仿宋" w:eastAsia="仿宋"/>
          <w:b/>
          <w:sz w:val="32"/>
          <w:szCs w:val="32"/>
          <w:lang w:val="en-US" w:eastAsia="zh-CN"/>
        </w:rPr>
        <w:t>管理</w:t>
      </w:r>
    </w:p>
    <w:p w14:paraId="78D877C4">
      <w:pPr>
        <w:widowControl/>
        <w:autoSpaceDE w:val="0"/>
        <w:autoSpaceDN w:val="0"/>
        <w:spacing w:line="560" w:lineRule="exact"/>
        <w:ind w:firstLine="640" w:firstLineChars="200"/>
        <w:rPr>
          <w:rFonts w:ascii="仿宋" w:hAnsi="仿宋" w:eastAsia="仿宋"/>
          <w:bCs/>
          <w:sz w:val="32"/>
          <w:szCs w:val="32"/>
        </w:rPr>
      </w:pPr>
      <w:r>
        <w:rPr>
          <w:rFonts w:hint="eastAsia" w:ascii="仿宋" w:hAnsi="仿宋" w:eastAsia="仿宋"/>
          <w:bCs/>
          <w:sz w:val="32"/>
          <w:szCs w:val="32"/>
        </w:rPr>
        <w:t>咨询期间对所有母乳喂养咨询的孕妇建立档案记录并追踪随访。</w:t>
      </w:r>
    </w:p>
    <w:p w14:paraId="05458EA1">
      <w:pPr>
        <w:widowControl/>
        <w:autoSpaceDE w:val="0"/>
        <w:autoSpaceDN w:val="0"/>
        <w:spacing w:line="560" w:lineRule="exact"/>
        <w:ind w:firstLine="643" w:firstLineChars="200"/>
        <w:rPr>
          <w:rFonts w:hint="eastAsia" w:ascii="仿宋" w:hAnsi="仿宋" w:eastAsia="仿宋"/>
          <w:b/>
          <w:sz w:val="32"/>
          <w:szCs w:val="32"/>
        </w:rPr>
      </w:pPr>
      <w:r>
        <w:rPr>
          <w:rFonts w:hint="eastAsia" w:ascii="仿宋" w:hAnsi="仿宋" w:eastAsia="仿宋"/>
          <w:b/>
          <w:sz w:val="32"/>
          <w:szCs w:val="32"/>
          <w:lang w:eastAsia="zh-CN"/>
        </w:rPr>
        <w:t>（</w:t>
      </w:r>
      <w:r>
        <w:rPr>
          <w:rFonts w:hint="eastAsia" w:ascii="仿宋" w:hAnsi="仿宋" w:eastAsia="仿宋"/>
          <w:b/>
          <w:sz w:val="32"/>
          <w:szCs w:val="32"/>
          <w:lang w:val="en-US" w:eastAsia="zh-CN"/>
        </w:rPr>
        <w:t>七）</w:t>
      </w:r>
      <w:r>
        <w:rPr>
          <w:rFonts w:hint="eastAsia" w:ascii="仿宋" w:hAnsi="仿宋" w:eastAsia="仿宋"/>
          <w:b/>
          <w:sz w:val="32"/>
          <w:szCs w:val="32"/>
        </w:rPr>
        <w:t>监督与改进</w:t>
      </w:r>
    </w:p>
    <w:p w14:paraId="23779DDB">
      <w:pPr>
        <w:widowControl/>
        <w:autoSpaceDE w:val="0"/>
        <w:autoSpaceDN w:val="0"/>
        <w:spacing w:line="560" w:lineRule="exact"/>
        <w:ind w:firstLine="640" w:firstLineChars="200"/>
        <w:rPr>
          <w:rFonts w:ascii="仿宋" w:hAnsi="仿宋" w:eastAsia="仿宋"/>
          <w:bCs/>
          <w:sz w:val="32"/>
          <w:szCs w:val="32"/>
        </w:rPr>
      </w:pPr>
      <w:r>
        <w:rPr>
          <w:rFonts w:hint="eastAsia" w:ascii="仿宋" w:hAnsi="仿宋" w:eastAsia="仿宋"/>
          <w:bCs/>
          <w:sz w:val="32"/>
          <w:szCs w:val="32"/>
        </w:rPr>
        <w:t>应有专人负责管理，进行日常管理、协调与持续质量评价母乳喂养护理质量。严格患者隐私保护，不应泄露患者信息。妥善处理投诉，定期收集孕妇反馈意见，核实、分析与整改。建立母乳喂养咨询登记表并规范登记，负责人每周质控检查进行分析改进。查检妊娠晚期孕妇产前母乳喂养评估情况，督促孕妇按时进行母乳喂养咨询，预约咨询登记。及时总结、分析母乳喂养咨询记录、随访记录和本院母乳喂养情况，定期向爱婴医院领导小组和科室负责人反馈。及时总结母乳喂养咨询指导中的典型案例，积极开展科内及医院间反馈和交流。</w:t>
      </w:r>
    </w:p>
    <w:p w14:paraId="3EEF9394">
      <w:pPr>
        <w:spacing w:before="240" w:after="60"/>
        <w:ind w:firstLine="643" w:firstLineChars="200"/>
        <w:outlineLvl w:val="0"/>
        <w:rPr>
          <w:rFonts w:ascii="黑体" w:hAnsi="黑体" w:eastAsia="黑体"/>
          <w:bCs/>
          <w:sz w:val="32"/>
          <w:szCs w:val="32"/>
        </w:rPr>
      </w:pPr>
      <w:r>
        <w:rPr>
          <w:rFonts w:hint="eastAsia" w:ascii="Cambria" w:hAnsi="Cambria"/>
          <w:b/>
          <w:bCs/>
          <w:sz w:val="32"/>
          <w:szCs w:val="32"/>
        </w:rPr>
        <w:t>六</w:t>
      </w:r>
      <w:r>
        <w:rPr>
          <w:rFonts w:hint="eastAsia" w:ascii="黑体" w:hAnsi="黑体" w:eastAsia="黑体"/>
          <w:bCs/>
          <w:sz w:val="32"/>
          <w:szCs w:val="32"/>
        </w:rPr>
        <w:t>、重大分歧意见的处理经过和依据</w:t>
      </w:r>
    </w:p>
    <w:p w14:paraId="07FD7760">
      <w:pPr>
        <w:spacing w:line="560" w:lineRule="exact"/>
        <w:ind w:firstLine="640" w:firstLineChars="200"/>
        <w:rPr>
          <w:rFonts w:ascii="仿宋" w:hAnsi="仿宋" w:eastAsia="仿宋"/>
          <w:bCs/>
          <w:sz w:val="32"/>
          <w:szCs w:val="32"/>
        </w:rPr>
      </w:pPr>
      <w:r>
        <w:rPr>
          <w:rFonts w:hint="eastAsia" w:ascii="仿宋" w:hAnsi="仿宋" w:eastAsia="仿宋"/>
          <w:bCs/>
          <w:sz w:val="32"/>
          <w:szCs w:val="32"/>
        </w:rPr>
        <w:t>本标准研制过程中无重大分歧意见。</w:t>
      </w:r>
    </w:p>
    <w:p w14:paraId="21D952DA">
      <w:pPr>
        <w:spacing w:before="240" w:after="60"/>
        <w:ind w:firstLine="640" w:firstLineChars="200"/>
        <w:jc w:val="left"/>
        <w:outlineLvl w:val="0"/>
        <w:rPr>
          <w:rFonts w:ascii="黑体" w:hAnsi="黑体" w:eastAsia="黑体"/>
          <w:bCs/>
          <w:color w:val="000000"/>
          <w:sz w:val="32"/>
          <w:szCs w:val="32"/>
        </w:rPr>
      </w:pPr>
      <w:r>
        <w:rPr>
          <w:rFonts w:hint="eastAsia" w:ascii="黑体" w:hAnsi="黑体" w:eastAsia="黑体"/>
          <w:bCs/>
          <w:sz w:val="32"/>
          <w:szCs w:val="32"/>
        </w:rPr>
        <w:t>七、</w:t>
      </w:r>
      <w:r>
        <w:rPr>
          <w:rFonts w:hint="eastAsia" w:ascii="黑体" w:hAnsi="黑体" w:eastAsia="黑体"/>
          <w:bCs/>
          <w:color w:val="000000"/>
          <w:sz w:val="32"/>
          <w:szCs w:val="32"/>
        </w:rPr>
        <w:t>贯彻标准的措施和建议</w:t>
      </w:r>
    </w:p>
    <w:p w14:paraId="294C38C8">
      <w:pPr>
        <w:spacing w:line="520" w:lineRule="exact"/>
        <w:ind w:firstLine="640" w:firstLineChars="200"/>
        <w:rPr>
          <w:rFonts w:ascii="仿宋" w:hAnsi="仿宋" w:eastAsia="仿宋"/>
          <w:sz w:val="32"/>
          <w:szCs w:val="32"/>
        </w:rPr>
      </w:pPr>
      <w:r>
        <w:rPr>
          <w:rFonts w:hint="eastAsia" w:ascii="仿宋" w:hAnsi="仿宋" w:eastAsia="仿宋"/>
          <w:sz w:val="32"/>
          <w:szCs w:val="32"/>
        </w:rPr>
        <w:t>（一）标准报批发布后，成立标准宣贯工作组</w:t>
      </w:r>
    </w:p>
    <w:p w14:paraId="6C2B2459">
      <w:pPr>
        <w:spacing w:line="520" w:lineRule="exact"/>
        <w:ind w:firstLine="640" w:firstLineChars="200"/>
        <w:rPr>
          <w:rFonts w:ascii="仿宋" w:hAnsi="仿宋" w:eastAsia="仿宋"/>
          <w:sz w:val="32"/>
          <w:szCs w:val="32"/>
        </w:rPr>
      </w:pPr>
      <w:r>
        <w:rPr>
          <w:rFonts w:hint="eastAsia" w:ascii="仿宋" w:hAnsi="仿宋" w:eastAsia="仿宋"/>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E1E666A">
      <w:pPr>
        <w:spacing w:line="520" w:lineRule="exact"/>
        <w:ind w:firstLine="640" w:firstLineChars="200"/>
        <w:rPr>
          <w:rFonts w:ascii="仿宋" w:hAnsi="仿宋" w:eastAsia="仿宋"/>
          <w:sz w:val="32"/>
          <w:szCs w:val="32"/>
        </w:rPr>
      </w:pPr>
      <w:r>
        <w:rPr>
          <w:rFonts w:hint="eastAsia" w:ascii="仿宋" w:hAnsi="仿宋" w:eastAsia="仿宋"/>
          <w:sz w:val="32"/>
          <w:szCs w:val="32"/>
        </w:rPr>
        <w:t>（二）组织开展标准宣贯培训</w:t>
      </w:r>
    </w:p>
    <w:p w14:paraId="7F4BC28D">
      <w:pPr>
        <w:spacing w:line="520" w:lineRule="exact"/>
        <w:ind w:firstLine="640" w:firstLineChars="200"/>
        <w:rPr>
          <w:rFonts w:ascii="仿宋" w:hAnsi="仿宋" w:eastAsia="仿宋"/>
          <w:sz w:val="32"/>
          <w:szCs w:val="32"/>
        </w:rPr>
      </w:pPr>
      <w:r>
        <w:rPr>
          <w:rFonts w:hint="eastAsia" w:ascii="仿宋" w:hAnsi="仿宋" w:eastAsia="仿宋"/>
          <w:sz w:val="32"/>
          <w:szCs w:val="32"/>
        </w:rPr>
        <w:t>标准发布实施后，标准宣贯工作小组制作标准解读宣贯培训PPT课件和标准核心技术明白书，并按标准宣贯培训计划深入广西各个城市组织医护人员开展标准宣贯培训，对标准进行逐条解读，让医护人员掌握标准核心技术内容，助力标准实施落地，推动医疗产业高质量发展。</w:t>
      </w:r>
    </w:p>
    <w:p w14:paraId="18739775">
      <w:pPr>
        <w:spacing w:line="520" w:lineRule="exact"/>
        <w:ind w:firstLine="640" w:firstLineChars="200"/>
        <w:rPr>
          <w:rFonts w:ascii="仿宋" w:hAnsi="仿宋" w:eastAsia="仿宋"/>
          <w:sz w:val="32"/>
          <w:szCs w:val="32"/>
        </w:rPr>
      </w:pPr>
      <w:r>
        <w:rPr>
          <w:rFonts w:hint="eastAsia" w:ascii="仿宋" w:hAnsi="仿宋" w:eastAsia="仿宋"/>
          <w:sz w:val="32"/>
          <w:szCs w:val="32"/>
        </w:rPr>
        <w:t>（三）开展标准实施交流会，收集标准实施反馈信息</w:t>
      </w:r>
    </w:p>
    <w:p w14:paraId="25861D20">
      <w:pPr>
        <w:spacing w:line="520" w:lineRule="exact"/>
        <w:ind w:firstLine="640" w:firstLineChars="200"/>
        <w:rPr>
          <w:rFonts w:ascii="仿宋" w:hAnsi="仿宋" w:eastAsia="仿宋"/>
          <w:sz w:val="32"/>
          <w:szCs w:val="32"/>
        </w:rPr>
      </w:pPr>
      <w:r>
        <w:rPr>
          <w:rFonts w:hint="eastAsia" w:ascii="仿宋" w:hAnsi="仿宋" w:eastAsia="仿宋"/>
          <w:sz w:val="32"/>
          <w:szCs w:val="32"/>
        </w:rPr>
        <w:t>标准起草小组深入广西各个医院组织医护人员召开标准实施交流会，听取标准实施过程中存在的问题并做好记录和解答，对存在的问题组织专家团队进行研讨，为标准的复审修订做准备。</w:t>
      </w:r>
    </w:p>
    <w:p w14:paraId="25182241">
      <w:pPr>
        <w:spacing w:line="520" w:lineRule="exact"/>
        <w:ind w:firstLine="640" w:firstLineChars="200"/>
        <w:rPr>
          <w:rFonts w:ascii="仿宋" w:hAnsi="仿宋" w:eastAsia="仿宋"/>
          <w:sz w:val="32"/>
          <w:szCs w:val="32"/>
        </w:rPr>
      </w:pPr>
      <w:r>
        <w:rPr>
          <w:rFonts w:hint="eastAsia" w:ascii="仿宋" w:hAnsi="仿宋" w:eastAsia="仿宋"/>
          <w:sz w:val="32"/>
          <w:szCs w:val="32"/>
        </w:rPr>
        <w:t>（四）开展标准实施效果评估</w:t>
      </w:r>
    </w:p>
    <w:p w14:paraId="29E6D1FC">
      <w:pPr>
        <w:spacing w:line="520" w:lineRule="exact"/>
        <w:ind w:firstLine="640" w:firstLineChars="200"/>
        <w:rPr>
          <w:rFonts w:ascii="仿宋_GB2312" w:hAnsi="宋体" w:eastAsia="仿宋_GB2312"/>
          <w:sz w:val="32"/>
          <w:szCs w:val="32"/>
        </w:rPr>
      </w:pPr>
      <w:r>
        <w:rPr>
          <w:rFonts w:hint="eastAsia" w:ascii="仿宋" w:hAnsi="仿宋" w:eastAsia="仿宋"/>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17127722">
      <w:pPr>
        <w:autoSpaceDE w:val="0"/>
        <w:autoSpaceDN w:val="0"/>
        <w:adjustRightInd w:val="0"/>
        <w:spacing w:before="156" w:beforeLines="50" w:after="156" w:afterLines="50" w:line="400" w:lineRule="exact"/>
        <w:ind w:firstLine="640" w:firstLineChars="200"/>
        <w:outlineLvl w:val="0"/>
        <w:rPr>
          <w:rFonts w:ascii="黑体" w:hAnsi="黑体" w:eastAsia="黑体" w:cs="仿宋_GB2312"/>
          <w:sz w:val="32"/>
          <w:szCs w:val="32"/>
        </w:rPr>
      </w:pPr>
      <w:r>
        <w:rPr>
          <w:rFonts w:hint="eastAsia" w:ascii="黑体" w:hAnsi="黑体" w:eastAsia="黑体" w:cs="仿宋_GB2312"/>
          <w:sz w:val="32"/>
          <w:szCs w:val="32"/>
        </w:rPr>
        <w:t>八、其他应当说明的事项</w:t>
      </w:r>
    </w:p>
    <w:p w14:paraId="3A710AE0">
      <w:pPr>
        <w:spacing w:line="520" w:lineRule="exact"/>
        <w:ind w:firstLine="640" w:firstLineChars="200"/>
        <w:rPr>
          <w:rFonts w:ascii="仿宋_GB2312" w:hAnsi="宋体" w:eastAsia="仿宋_GB2312"/>
          <w:sz w:val="32"/>
          <w:szCs w:val="32"/>
        </w:rPr>
      </w:pPr>
      <w:r>
        <w:rPr>
          <w:rFonts w:hint="eastAsia" w:ascii="仿宋_GB2312" w:hAnsi="宋体" w:eastAsia="仿宋_GB2312"/>
          <w:sz w:val="32"/>
          <w:szCs w:val="32"/>
        </w:rPr>
        <w:t>无。</w:t>
      </w:r>
    </w:p>
    <w:p w14:paraId="1DBAFDB5">
      <w:pPr>
        <w:spacing w:line="560" w:lineRule="exact"/>
        <w:ind w:firstLine="1600" w:firstLineChars="500"/>
        <w:rPr>
          <w:rFonts w:ascii="仿宋" w:hAnsi="仿宋" w:eastAsia="仿宋"/>
          <w:sz w:val="32"/>
          <w:szCs w:val="32"/>
        </w:rPr>
      </w:pPr>
    </w:p>
    <w:p w14:paraId="29A3C36D">
      <w:pPr>
        <w:spacing w:line="560" w:lineRule="exact"/>
        <w:ind w:firstLine="1920" w:firstLineChars="600"/>
        <w:jc w:val="right"/>
        <w:rPr>
          <w:rFonts w:ascii="仿宋" w:hAnsi="仿宋" w:eastAsia="仿宋"/>
          <w:sz w:val="32"/>
          <w:szCs w:val="32"/>
        </w:rPr>
      </w:pPr>
      <w:r>
        <w:rPr>
          <w:rFonts w:hint="eastAsia" w:ascii="仿宋" w:hAnsi="仿宋" w:eastAsia="仿宋"/>
          <w:sz w:val="32"/>
          <w:szCs w:val="32"/>
        </w:rPr>
        <w:t xml:space="preserve">  团体标准《孕妇产前母乳喂养评估规范》                     </w:t>
      </w:r>
    </w:p>
    <w:p w14:paraId="0A8CE8B2">
      <w:pPr>
        <w:spacing w:line="560" w:lineRule="exact"/>
        <w:ind w:firstLine="640" w:firstLineChars="200"/>
        <w:rPr>
          <w:rFonts w:ascii="仿宋" w:hAnsi="仿宋" w:eastAsia="仿宋"/>
          <w:sz w:val="32"/>
          <w:szCs w:val="32"/>
        </w:rPr>
      </w:pPr>
      <w:r>
        <w:rPr>
          <w:rFonts w:hint="eastAsia" w:ascii="仿宋" w:hAnsi="仿宋" w:eastAsia="仿宋"/>
          <w:sz w:val="32"/>
          <w:szCs w:val="32"/>
        </w:rPr>
        <w:t xml:space="preserve">                                标准编制工作组</w:t>
      </w:r>
    </w:p>
    <w:p w14:paraId="5AC79BB3">
      <w:pPr>
        <w:tabs>
          <w:tab w:val="left" w:pos="7797"/>
        </w:tabs>
        <w:spacing w:line="560" w:lineRule="exact"/>
        <w:ind w:firstLine="640" w:firstLineChars="200"/>
        <w:rPr>
          <w:rFonts w:ascii="仿宋" w:hAnsi="仿宋" w:eastAsia="仿宋"/>
          <w:color w:val="1F497D" w:themeColor="text2"/>
          <w:sz w:val="32"/>
          <w:szCs w:val="32"/>
          <w14:textFill>
            <w14:solidFill>
              <w14:schemeClr w14:val="tx2"/>
            </w14:solidFill>
          </w14:textFill>
        </w:rPr>
      </w:pPr>
      <w:r>
        <w:rPr>
          <w:rFonts w:hint="eastAsia" w:ascii="仿宋" w:hAnsi="仿宋" w:eastAsia="仿宋"/>
          <w:sz w:val="32"/>
          <w:szCs w:val="32"/>
        </w:rPr>
        <w:t xml:space="preserve">                               2026年1月15日</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仿宋">
    <w:panose1 w:val="02010609060101010101"/>
    <w:charset w:val="86"/>
    <w:family w:val="modern"/>
    <w:pitch w:val="default"/>
    <w:sig w:usb0="800002BF" w:usb1="38CF7CFA" w:usb2="00000016" w:usb3="00000000" w:csb0="00040001" w:csb1="00000000"/>
  </w:font>
  <w:font w:name="仿宋_GB2312">
    <w:altName w:val="仿宋"/>
    <w:panose1 w:val="020B0604020202020204"/>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E22FEE">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281802" name="Text Box 1"/>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7A8BC924">
                          <w:pPr>
                            <w:pStyle w:val="5"/>
                          </w:pPr>
                          <w:r>
                            <w:fldChar w:fldCharType="begin"/>
                          </w:r>
                          <w:r>
                            <w:instrText xml:space="preserve"> PAGE  \* MERGEFORMAT </w:instrText>
                          </w:r>
                          <w:r>
                            <w:fldChar w:fldCharType="separate"/>
                          </w:r>
                          <w:r>
                            <w:t>25</w:t>
                          </w:r>
                          <w:r>
                            <w:fldChar w:fldCharType="end"/>
                          </w:r>
                        </w:p>
                      </w:txbxContent>
                    </wps:txbx>
                    <wps:bodyPr rot="0" vert="horz" wrap="none" lIns="0" tIns="0" rIns="0" bIns="0" anchor="t" anchorCtr="0" upright="1">
                      <a:spAutoFit/>
                    </wps:bodyPr>
                  </wps:wsp>
                </a:graphicData>
              </a:graphic>
            </wp:anchor>
          </w:drawing>
        </mc:Choice>
        <mc:Fallback>
          <w:pict>
            <v:shape id="Text Box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A+zMvP4QEAANsDAAAOAAAA&#10;AAAAAAEAIAAAAB4BAABkcnMvZTJvRG9jLnhtbFBLBQYAAAAABgAGAFkBAABxBQAAAAA=&#10;">
              <v:fill on="f" focussize="0,0"/>
              <v:stroke on="f"/>
              <v:imagedata o:title=""/>
              <o:lock v:ext="edit" aspectratio="f"/>
              <v:textbox inset="0mm,0mm,0mm,0mm" style="mso-fit-shape-to-text:t;">
                <w:txbxContent>
                  <w:p w14:paraId="7A8BC924">
                    <w:pPr>
                      <w:pStyle w:val="5"/>
                    </w:pPr>
                    <w:r>
                      <w:fldChar w:fldCharType="begin"/>
                    </w:r>
                    <w:r>
                      <w:instrText xml:space="preserve"> PAGE  \* MERGEFORMAT </w:instrText>
                    </w:r>
                    <w:r>
                      <w:fldChar w:fldCharType="separate"/>
                    </w:r>
                    <w:r>
                      <w:t>25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33"/>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1">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1"/>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32"/>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3">
    <w:nsid w:val="6CEA2025"/>
    <w:multiLevelType w:val="multilevel"/>
    <w:tmpl w:val="6CEA2025"/>
    <w:lvl w:ilvl="0" w:tentative="0">
      <w:start w:val="1"/>
      <w:numFmt w:val="none"/>
      <w:pStyle w:val="31"/>
      <w:suff w:val="nothing"/>
      <w:lvlText w:val="%1"/>
      <w:lvlJc w:val="left"/>
      <w:pPr>
        <w:ind w:left="0" w:firstLine="0"/>
      </w:pPr>
      <w:rPr>
        <w:rFonts w:hint="eastAsia"/>
      </w:rPr>
    </w:lvl>
    <w:lvl w:ilvl="1" w:tentative="0">
      <w:start w:val="1"/>
      <w:numFmt w:val="decimal"/>
      <w:pStyle w:val="29"/>
      <w:suff w:val="nothing"/>
      <w:lvlText w:val="%1%2　"/>
      <w:lvlJc w:val="left"/>
      <w:pPr>
        <w:ind w:left="0" w:firstLine="0"/>
      </w:pPr>
      <w:rPr>
        <w:rFonts w:hint="eastAsia" w:ascii="黑体" w:eastAsia="黑体"/>
        <w:b w:val="0"/>
        <w:i w:val="0"/>
        <w:sz w:val="21"/>
      </w:rPr>
    </w:lvl>
    <w:lvl w:ilvl="2" w:tentative="0">
      <w:start w:val="1"/>
      <w:numFmt w:val="decimal"/>
      <w:pStyle w:val="3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5"/>
      <w:suff w:val="nothing"/>
      <w:lvlText w:val="%1%2.%3.%4　"/>
      <w:lvlJc w:val="left"/>
      <w:pPr>
        <w:ind w:left="142" w:firstLine="0"/>
      </w:pPr>
      <w:rPr>
        <w:rFonts w:hint="eastAsia" w:ascii="黑体" w:eastAsia="黑体"/>
        <w:b w:val="0"/>
        <w:i w:val="0"/>
        <w:sz w:val="21"/>
      </w:rPr>
    </w:lvl>
    <w:lvl w:ilvl="4" w:tentative="0">
      <w:start w:val="1"/>
      <w:numFmt w:val="decimal"/>
      <w:pStyle w:val="26"/>
      <w:suff w:val="nothing"/>
      <w:lvlText w:val="%1%2.%3.%4.%5　"/>
      <w:lvlJc w:val="left"/>
      <w:pPr>
        <w:ind w:left="0" w:firstLine="0"/>
      </w:pPr>
      <w:rPr>
        <w:rFonts w:hint="eastAsia" w:ascii="黑体" w:eastAsia="黑体"/>
        <w:b w:val="0"/>
        <w:i w:val="0"/>
        <w:sz w:val="21"/>
      </w:rPr>
    </w:lvl>
    <w:lvl w:ilvl="5" w:tentative="0">
      <w:start w:val="1"/>
      <w:numFmt w:val="decimal"/>
      <w:pStyle w:val="27"/>
      <w:suff w:val="nothing"/>
      <w:lvlText w:val="%1%2.%3.%4.%5.%6　"/>
      <w:lvlJc w:val="left"/>
      <w:pPr>
        <w:ind w:left="0" w:firstLine="0"/>
      </w:pPr>
      <w:rPr>
        <w:rFonts w:hint="eastAsia" w:ascii="黑体" w:eastAsia="黑体"/>
        <w:b w:val="0"/>
        <w:i w:val="0"/>
        <w:sz w:val="21"/>
      </w:rPr>
    </w:lvl>
    <w:lvl w:ilvl="6" w:tentative="0">
      <w:start w:val="1"/>
      <w:numFmt w:val="decimal"/>
      <w:pStyle w:val="2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cxMGUyZTQ1YWMwNzQ5MWJjY2U0ZGUzZTFlZDAxMjcifQ=="/>
  </w:docVars>
  <w:rsids>
    <w:rsidRoot w:val="0037490B"/>
    <w:rsid w:val="0000053F"/>
    <w:rsid w:val="000005CA"/>
    <w:rsid w:val="00001814"/>
    <w:rsid w:val="0000242E"/>
    <w:rsid w:val="00002DC8"/>
    <w:rsid w:val="000032E6"/>
    <w:rsid w:val="00003B4F"/>
    <w:rsid w:val="00003DB3"/>
    <w:rsid w:val="00006EE5"/>
    <w:rsid w:val="00015103"/>
    <w:rsid w:val="000255FF"/>
    <w:rsid w:val="000258DE"/>
    <w:rsid w:val="00030EE3"/>
    <w:rsid w:val="0005176B"/>
    <w:rsid w:val="00055E93"/>
    <w:rsid w:val="00064EA0"/>
    <w:rsid w:val="000718F2"/>
    <w:rsid w:val="00071923"/>
    <w:rsid w:val="0008204D"/>
    <w:rsid w:val="00084F63"/>
    <w:rsid w:val="00087B41"/>
    <w:rsid w:val="00091F8D"/>
    <w:rsid w:val="0009384C"/>
    <w:rsid w:val="000A119D"/>
    <w:rsid w:val="000A5A53"/>
    <w:rsid w:val="000A6B6E"/>
    <w:rsid w:val="000A7270"/>
    <w:rsid w:val="000B0DA3"/>
    <w:rsid w:val="000B47AB"/>
    <w:rsid w:val="000B7385"/>
    <w:rsid w:val="000C1656"/>
    <w:rsid w:val="000D722D"/>
    <w:rsid w:val="000E0C1D"/>
    <w:rsid w:val="000E57B1"/>
    <w:rsid w:val="000E7313"/>
    <w:rsid w:val="000F561B"/>
    <w:rsid w:val="000F7DAF"/>
    <w:rsid w:val="00102195"/>
    <w:rsid w:val="001037D6"/>
    <w:rsid w:val="00110FBA"/>
    <w:rsid w:val="00111C5E"/>
    <w:rsid w:val="00115C18"/>
    <w:rsid w:val="001170DA"/>
    <w:rsid w:val="00120F4F"/>
    <w:rsid w:val="00125DD8"/>
    <w:rsid w:val="00126855"/>
    <w:rsid w:val="00131174"/>
    <w:rsid w:val="001344C5"/>
    <w:rsid w:val="0013567B"/>
    <w:rsid w:val="001441C8"/>
    <w:rsid w:val="00147A7A"/>
    <w:rsid w:val="00151C29"/>
    <w:rsid w:val="00160FAE"/>
    <w:rsid w:val="00165102"/>
    <w:rsid w:val="00167644"/>
    <w:rsid w:val="00170088"/>
    <w:rsid w:val="00172847"/>
    <w:rsid w:val="00176892"/>
    <w:rsid w:val="00180583"/>
    <w:rsid w:val="00182AD3"/>
    <w:rsid w:val="00184502"/>
    <w:rsid w:val="00184700"/>
    <w:rsid w:val="00185CA3"/>
    <w:rsid w:val="00192792"/>
    <w:rsid w:val="001A03FA"/>
    <w:rsid w:val="001A2348"/>
    <w:rsid w:val="001A585A"/>
    <w:rsid w:val="001A68FB"/>
    <w:rsid w:val="001B4E68"/>
    <w:rsid w:val="001B6DB3"/>
    <w:rsid w:val="001D093C"/>
    <w:rsid w:val="001D2157"/>
    <w:rsid w:val="001D55A2"/>
    <w:rsid w:val="001D694F"/>
    <w:rsid w:val="001E1747"/>
    <w:rsid w:val="001E21D6"/>
    <w:rsid w:val="001E4488"/>
    <w:rsid w:val="001E7634"/>
    <w:rsid w:val="001F67DD"/>
    <w:rsid w:val="002034E1"/>
    <w:rsid w:val="00205861"/>
    <w:rsid w:val="002102FA"/>
    <w:rsid w:val="00212291"/>
    <w:rsid w:val="002127FC"/>
    <w:rsid w:val="0021475C"/>
    <w:rsid w:val="0021538A"/>
    <w:rsid w:val="00217985"/>
    <w:rsid w:val="0022020B"/>
    <w:rsid w:val="0022233B"/>
    <w:rsid w:val="00224BFE"/>
    <w:rsid w:val="002251CA"/>
    <w:rsid w:val="00225F22"/>
    <w:rsid w:val="002306BF"/>
    <w:rsid w:val="00230783"/>
    <w:rsid w:val="00230FE3"/>
    <w:rsid w:val="0023444B"/>
    <w:rsid w:val="00234EC1"/>
    <w:rsid w:val="00235D2E"/>
    <w:rsid w:val="00236512"/>
    <w:rsid w:val="0024687D"/>
    <w:rsid w:val="002513A0"/>
    <w:rsid w:val="00252C67"/>
    <w:rsid w:val="00255076"/>
    <w:rsid w:val="00255234"/>
    <w:rsid w:val="00261EAF"/>
    <w:rsid w:val="00266674"/>
    <w:rsid w:val="0027055E"/>
    <w:rsid w:val="002718CB"/>
    <w:rsid w:val="00272ECD"/>
    <w:rsid w:val="002741A6"/>
    <w:rsid w:val="00282225"/>
    <w:rsid w:val="00282392"/>
    <w:rsid w:val="00284186"/>
    <w:rsid w:val="00286E92"/>
    <w:rsid w:val="002878B9"/>
    <w:rsid w:val="00290CF8"/>
    <w:rsid w:val="002946D7"/>
    <w:rsid w:val="00296164"/>
    <w:rsid w:val="002A1DE2"/>
    <w:rsid w:val="002A7C92"/>
    <w:rsid w:val="002B09FB"/>
    <w:rsid w:val="002B176E"/>
    <w:rsid w:val="002C0587"/>
    <w:rsid w:val="002C17C7"/>
    <w:rsid w:val="002C3262"/>
    <w:rsid w:val="002C38F8"/>
    <w:rsid w:val="002C3D9D"/>
    <w:rsid w:val="002D0EC0"/>
    <w:rsid w:val="002D4741"/>
    <w:rsid w:val="002E1BFD"/>
    <w:rsid w:val="002E33C3"/>
    <w:rsid w:val="002E49B5"/>
    <w:rsid w:val="002F5EC2"/>
    <w:rsid w:val="002F79E6"/>
    <w:rsid w:val="002F7C9D"/>
    <w:rsid w:val="00301094"/>
    <w:rsid w:val="00301FF5"/>
    <w:rsid w:val="0030273D"/>
    <w:rsid w:val="00306E58"/>
    <w:rsid w:val="0030718D"/>
    <w:rsid w:val="00307DD9"/>
    <w:rsid w:val="00310AD3"/>
    <w:rsid w:val="00311598"/>
    <w:rsid w:val="00311ABF"/>
    <w:rsid w:val="003134D1"/>
    <w:rsid w:val="00316454"/>
    <w:rsid w:val="003176CC"/>
    <w:rsid w:val="00322809"/>
    <w:rsid w:val="003251CC"/>
    <w:rsid w:val="003278E9"/>
    <w:rsid w:val="0033088E"/>
    <w:rsid w:val="00330D99"/>
    <w:rsid w:val="00331591"/>
    <w:rsid w:val="0033254E"/>
    <w:rsid w:val="00332F81"/>
    <w:rsid w:val="00335B12"/>
    <w:rsid w:val="00336DA4"/>
    <w:rsid w:val="00342F19"/>
    <w:rsid w:val="00347B3A"/>
    <w:rsid w:val="0035282E"/>
    <w:rsid w:val="00355B91"/>
    <w:rsid w:val="003579E3"/>
    <w:rsid w:val="00364329"/>
    <w:rsid w:val="00364C43"/>
    <w:rsid w:val="0036507A"/>
    <w:rsid w:val="00365FBD"/>
    <w:rsid w:val="00366B48"/>
    <w:rsid w:val="00367CD0"/>
    <w:rsid w:val="003717AA"/>
    <w:rsid w:val="00372023"/>
    <w:rsid w:val="00373076"/>
    <w:rsid w:val="0037336B"/>
    <w:rsid w:val="00374750"/>
    <w:rsid w:val="0037490B"/>
    <w:rsid w:val="00376373"/>
    <w:rsid w:val="00376424"/>
    <w:rsid w:val="003804FF"/>
    <w:rsid w:val="00387FD0"/>
    <w:rsid w:val="00390362"/>
    <w:rsid w:val="003905EF"/>
    <w:rsid w:val="00390D7F"/>
    <w:rsid w:val="0039622B"/>
    <w:rsid w:val="003A00DE"/>
    <w:rsid w:val="003A049C"/>
    <w:rsid w:val="003A3E22"/>
    <w:rsid w:val="003A5B7E"/>
    <w:rsid w:val="003B1B33"/>
    <w:rsid w:val="003B35C2"/>
    <w:rsid w:val="003C0AB3"/>
    <w:rsid w:val="003C2CCE"/>
    <w:rsid w:val="003C5994"/>
    <w:rsid w:val="003D0BAC"/>
    <w:rsid w:val="003D2062"/>
    <w:rsid w:val="003D226C"/>
    <w:rsid w:val="003D43E5"/>
    <w:rsid w:val="003D44FB"/>
    <w:rsid w:val="003D4B79"/>
    <w:rsid w:val="003E11BD"/>
    <w:rsid w:val="003E30BD"/>
    <w:rsid w:val="003F6173"/>
    <w:rsid w:val="003F654A"/>
    <w:rsid w:val="003F76B0"/>
    <w:rsid w:val="00401CDE"/>
    <w:rsid w:val="0040429A"/>
    <w:rsid w:val="00410DE4"/>
    <w:rsid w:val="0041563D"/>
    <w:rsid w:val="00415EA5"/>
    <w:rsid w:val="00417E13"/>
    <w:rsid w:val="004211A8"/>
    <w:rsid w:val="00421213"/>
    <w:rsid w:val="00421BEA"/>
    <w:rsid w:val="00435C24"/>
    <w:rsid w:val="00441BC7"/>
    <w:rsid w:val="00441F46"/>
    <w:rsid w:val="004427F9"/>
    <w:rsid w:val="00444EC0"/>
    <w:rsid w:val="0044688A"/>
    <w:rsid w:val="0045218D"/>
    <w:rsid w:val="00456F07"/>
    <w:rsid w:val="00461779"/>
    <w:rsid w:val="00461AFD"/>
    <w:rsid w:val="004661AA"/>
    <w:rsid w:val="004671EF"/>
    <w:rsid w:val="00475657"/>
    <w:rsid w:val="004846D3"/>
    <w:rsid w:val="004859DB"/>
    <w:rsid w:val="004861A8"/>
    <w:rsid w:val="00487336"/>
    <w:rsid w:val="00493851"/>
    <w:rsid w:val="00494BAB"/>
    <w:rsid w:val="00496F72"/>
    <w:rsid w:val="004A140C"/>
    <w:rsid w:val="004A2CDA"/>
    <w:rsid w:val="004A39ED"/>
    <w:rsid w:val="004A6425"/>
    <w:rsid w:val="004B0BD5"/>
    <w:rsid w:val="004B2C31"/>
    <w:rsid w:val="004C4A35"/>
    <w:rsid w:val="004C5FE7"/>
    <w:rsid w:val="004C719A"/>
    <w:rsid w:val="004D135A"/>
    <w:rsid w:val="004D23BA"/>
    <w:rsid w:val="004D6013"/>
    <w:rsid w:val="004E2471"/>
    <w:rsid w:val="004E51D1"/>
    <w:rsid w:val="004E6B96"/>
    <w:rsid w:val="004E702B"/>
    <w:rsid w:val="004E71C4"/>
    <w:rsid w:val="004E7E83"/>
    <w:rsid w:val="004F0893"/>
    <w:rsid w:val="004F1802"/>
    <w:rsid w:val="00501338"/>
    <w:rsid w:val="0050150E"/>
    <w:rsid w:val="005042E8"/>
    <w:rsid w:val="00504915"/>
    <w:rsid w:val="00513629"/>
    <w:rsid w:val="0051458C"/>
    <w:rsid w:val="0051786E"/>
    <w:rsid w:val="00523C6F"/>
    <w:rsid w:val="00530FD2"/>
    <w:rsid w:val="0053180E"/>
    <w:rsid w:val="00531B59"/>
    <w:rsid w:val="005334D7"/>
    <w:rsid w:val="00541753"/>
    <w:rsid w:val="00543D0A"/>
    <w:rsid w:val="00544778"/>
    <w:rsid w:val="00545712"/>
    <w:rsid w:val="005510D6"/>
    <w:rsid w:val="005548A7"/>
    <w:rsid w:val="0055683E"/>
    <w:rsid w:val="00560E6C"/>
    <w:rsid w:val="00565DD4"/>
    <w:rsid w:val="00566365"/>
    <w:rsid w:val="00567988"/>
    <w:rsid w:val="00570D65"/>
    <w:rsid w:val="005712CA"/>
    <w:rsid w:val="0058257B"/>
    <w:rsid w:val="0059288F"/>
    <w:rsid w:val="005955E7"/>
    <w:rsid w:val="00596C48"/>
    <w:rsid w:val="005A40E0"/>
    <w:rsid w:val="005A4739"/>
    <w:rsid w:val="005B1226"/>
    <w:rsid w:val="005B3727"/>
    <w:rsid w:val="005B63E1"/>
    <w:rsid w:val="005C1586"/>
    <w:rsid w:val="005C527C"/>
    <w:rsid w:val="005D564B"/>
    <w:rsid w:val="005E02C6"/>
    <w:rsid w:val="005E1E2D"/>
    <w:rsid w:val="005E31F1"/>
    <w:rsid w:val="005E3295"/>
    <w:rsid w:val="005E40E3"/>
    <w:rsid w:val="005E6EF3"/>
    <w:rsid w:val="005E7CEF"/>
    <w:rsid w:val="005F0BBC"/>
    <w:rsid w:val="005F3192"/>
    <w:rsid w:val="0060440D"/>
    <w:rsid w:val="00607703"/>
    <w:rsid w:val="0061180E"/>
    <w:rsid w:val="0061249A"/>
    <w:rsid w:val="00613D28"/>
    <w:rsid w:val="00615634"/>
    <w:rsid w:val="006210DA"/>
    <w:rsid w:val="00626CAA"/>
    <w:rsid w:val="00630A5B"/>
    <w:rsid w:val="00631339"/>
    <w:rsid w:val="0064289F"/>
    <w:rsid w:val="00643304"/>
    <w:rsid w:val="006512FA"/>
    <w:rsid w:val="006527B2"/>
    <w:rsid w:val="00654231"/>
    <w:rsid w:val="00654D0F"/>
    <w:rsid w:val="006574D1"/>
    <w:rsid w:val="00667A7D"/>
    <w:rsid w:val="006703D4"/>
    <w:rsid w:val="006747D2"/>
    <w:rsid w:val="006758CC"/>
    <w:rsid w:val="006765DB"/>
    <w:rsid w:val="006800B4"/>
    <w:rsid w:val="00683CD7"/>
    <w:rsid w:val="00690488"/>
    <w:rsid w:val="00692728"/>
    <w:rsid w:val="00692A7C"/>
    <w:rsid w:val="00692C1F"/>
    <w:rsid w:val="00692C29"/>
    <w:rsid w:val="00692D38"/>
    <w:rsid w:val="00695D4B"/>
    <w:rsid w:val="006A07E1"/>
    <w:rsid w:val="006A180E"/>
    <w:rsid w:val="006A412A"/>
    <w:rsid w:val="006B40AB"/>
    <w:rsid w:val="006B48C6"/>
    <w:rsid w:val="006B5ED6"/>
    <w:rsid w:val="006B6C36"/>
    <w:rsid w:val="006C5EE9"/>
    <w:rsid w:val="006C5FB0"/>
    <w:rsid w:val="006C7CB3"/>
    <w:rsid w:val="006D23B4"/>
    <w:rsid w:val="006D5BF6"/>
    <w:rsid w:val="006E38F2"/>
    <w:rsid w:val="006E4B45"/>
    <w:rsid w:val="006E566F"/>
    <w:rsid w:val="006E7331"/>
    <w:rsid w:val="006F2CAD"/>
    <w:rsid w:val="006F375B"/>
    <w:rsid w:val="006F7E60"/>
    <w:rsid w:val="00703D01"/>
    <w:rsid w:val="00703F7C"/>
    <w:rsid w:val="00710402"/>
    <w:rsid w:val="00710ECD"/>
    <w:rsid w:val="0071226C"/>
    <w:rsid w:val="007141DD"/>
    <w:rsid w:val="00722471"/>
    <w:rsid w:val="007225E8"/>
    <w:rsid w:val="00722609"/>
    <w:rsid w:val="007250B5"/>
    <w:rsid w:val="00735168"/>
    <w:rsid w:val="007470DB"/>
    <w:rsid w:val="00747CE8"/>
    <w:rsid w:val="00752912"/>
    <w:rsid w:val="00753137"/>
    <w:rsid w:val="007553F2"/>
    <w:rsid w:val="00755CBF"/>
    <w:rsid w:val="007607E1"/>
    <w:rsid w:val="007708E8"/>
    <w:rsid w:val="007714A8"/>
    <w:rsid w:val="00775793"/>
    <w:rsid w:val="007766C6"/>
    <w:rsid w:val="00781965"/>
    <w:rsid w:val="007848C2"/>
    <w:rsid w:val="00785E77"/>
    <w:rsid w:val="0079403E"/>
    <w:rsid w:val="00795047"/>
    <w:rsid w:val="00795B1E"/>
    <w:rsid w:val="0079601F"/>
    <w:rsid w:val="007A3953"/>
    <w:rsid w:val="007A6653"/>
    <w:rsid w:val="007A6F5F"/>
    <w:rsid w:val="007B2E04"/>
    <w:rsid w:val="007C042F"/>
    <w:rsid w:val="007C7133"/>
    <w:rsid w:val="007D2CB6"/>
    <w:rsid w:val="007E0CA5"/>
    <w:rsid w:val="007E36BC"/>
    <w:rsid w:val="007E4C32"/>
    <w:rsid w:val="007E6CEA"/>
    <w:rsid w:val="007E7A36"/>
    <w:rsid w:val="007F53A2"/>
    <w:rsid w:val="007F5D50"/>
    <w:rsid w:val="008003A1"/>
    <w:rsid w:val="00803B2E"/>
    <w:rsid w:val="008045EA"/>
    <w:rsid w:val="00806728"/>
    <w:rsid w:val="0081073D"/>
    <w:rsid w:val="0081081B"/>
    <w:rsid w:val="008117B3"/>
    <w:rsid w:val="00816FA6"/>
    <w:rsid w:val="0082113C"/>
    <w:rsid w:val="008237FB"/>
    <w:rsid w:val="00826830"/>
    <w:rsid w:val="00836079"/>
    <w:rsid w:val="0083640A"/>
    <w:rsid w:val="008366FC"/>
    <w:rsid w:val="00837CE2"/>
    <w:rsid w:val="008411FD"/>
    <w:rsid w:val="00841E33"/>
    <w:rsid w:val="00845F7F"/>
    <w:rsid w:val="00850528"/>
    <w:rsid w:val="0086510E"/>
    <w:rsid w:val="00865892"/>
    <w:rsid w:val="00865915"/>
    <w:rsid w:val="00870F5A"/>
    <w:rsid w:val="00871EA3"/>
    <w:rsid w:val="00872B61"/>
    <w:rsid w:val="0087663F"/>
    <w:rsid w:val="008801E9"/>
    <w:rsid w:val="00882892"/>
    <w:rsid w:val="00885125"/>
    <w:rsid w:val="0088623D"/>
    <w:rsid w:val="00893534"/>
    <w:rsid w:val="00895D07"/>
    <w:rsid w:val="008966FB"/>
    <w:rsid w:val="008971CA"/>
    <w:rsid w:val="008A02CD"/>
    <w:rsid w:val="008A0E43"/>
    <w:rsid w:val="008A1992"/>
    <w:rsid w:val="008A3DD1"/>
    <w:rsid w:val="008A5F63"/>
    <w:rsid w:val="008A70F4"/>
    <w:rsid w:val="008B1BAF"/>
    <w:rsid w:val="008B1DBA"/>
    <w:rsid w:val="008B52B5"/>
    <w:rsid w:val="008B7C53"/>
    <w:rsid w:val="008C0317"/>
    <w:rsid w:val="008C04B2"/>
    <w:rsid w:val="008C2BFA"/>
    <w:rsid w:val="008C7069"/>
    <w:rsid w:val="008D0205"/>
    <w:rsid w:val="008D078E"/>
    <w:rsid w:val="008D17BC"/>
    <w:rsid w:val="008E1A8E"/>
    <w:rsid w:val="008E6CA6"/>
    <w:rsid w:val="008E7778"/>
    <w:rsid w:val="008F406F"/>
    <w:rsid w:val="008F5D4C"/>
    <w:rsid w:val="008F7646"/>
    <w:rsid w:val="009060E8"/>
    <w:rsid w:val="00910FED"/>
    <w:rsid w:val="009127EE"/>
    <w:rsid w:val="00912A0E"/>
    <w:rsid w:val="009150B1"/>
    <w:rsid w:val="0091618E"/>
    <w:rsid w:val="0091702A"/>
    <w:rsid w:val="009304AE"/>
    <w:rsid w:val="00936BDC"/>
    <w:rsid w:val="0094248A"/>
    <w:rsid w:val="00942680"/>
    <w:rsid w:val="00945D92"/>
    <w:rsid w:val="00947569"/>
    <w:rsid w:val="00951C14"/>
    <w:rsid w:val="00956D3B"/>
    <w:rsid w:val="00960B94"/>
    <w:rsid w:val="00961A93"/>
    <w:rsid w:val="00964155"/>
    <w:rsid w:val="00966787"/>
    <w:rsid w:val="009711E6"/>
    <w:rsid w:val="009719BB"/>
    <w:rsid w:val="009777B1"/>
    <w:rsid w:val="009825D4"/>
    <w:rsid w:val="00982CE4"/>
    <w:rsid w:val="00984CC6"/>
    <w:rsid w:val="00985335"/>
    <w:rsid w:val="009927DA"/>
    <w:rsid w:val="00995626"/>
    <w:rsid w:val="00997142"/>
    <w:rsid w:val="009A0F45"/>
    <w:rsid w:val="009A10F4"/>
    <w:rsid w:val="009A1999"/>
    <w:rsid w:val="009A27DB"/>
    <w:rsid w:val="009B249A"/>
    <w:rsid w:val="009B39A8"/>
    <w:rsid w:val="009B6FF8"/>
    <w:rsid w:val="009C38E2"/>
    <w:rsid w:val="009C4476"/>
    <w:rsid w:val="009C5D70"/>
    <w:rsid w:val="009D294C"/>
    <w:rsid w:val="009D5483"/>
    <w:rsid w:val="009E09EA"/>
    <w:rsid w:val="009E1CE9"/>
    <w:rsid w:val="009E462D"/>
    <w:rsid w:val="009E78FC"/>
    <w:rsid w:val="009F318F"/>
    <w:rsid w:val="009F48D0"/>
    <w:rsid w:val="009F4E84"/>
    <w:rsid w:val="00A01560"/>
    <w:rsid w:val="00A03BDF"/>
    <w:rsid w:val="00A047A6"/>
    <w:rsid w:val="00A076BD"/>
    <w:rsid w:val="00A101F9"/>
    <w:rsid w:val="00A12A1B"/>
    <w:rsid w:val="00A13F53"/>
    <w:rsid w:val="00A168DB"/>
    <w:rsid w:val="00A22078"/>
    <w:rsid w:val="00A22129"/>
    <w:rsid w:val="00A27211"/>
    <w:rsid w:val="00A319BB"/>
    <w:rsid w:val="00A324A8"/>
    <w:rsid w:val="00A34A3B"/>
    <w:rsid w:val="00A36077"/>
    <w:rsid w:val="00A43E33"/>
    <w:rsid w:val="00A4427D"/>
    <w:rsid w:val="00A52282"/>
    <w:rsid w:val="00A53EE6"/>
    <w:rsid w:val="00A578B0"/>
    <w:rsid w:val="00A57BB6"/>
    <w:rsid w:val="00A60B2D"/>
    <w:rsid w:val="00A62EA4"/>
    <w:rsid w:val="00A666DE"/>
    <w:rsid w:val="00A66B4F"/>
    <w:rsid w:val="00A709DA"/>
    <w:rsid w:val="00A731D8"/>
    <w:rsid w:val="00A74CFD"/>
    <w:rsid w:val="00A8384F"/>
    <w:rsid w:val="00A84FBA"/>
    <w:rsid w:val="00A928B4"/>
    <w:rsid w:val="00A9290C"/>
    <w:rsid w:val="00A965A7"/>
    <w:rsid w:val="00A96A06"/>
    <w:rsid w:val="00AA1F4C"/>
    <w:rsid w:val="00AA275F"/>
    <w:rsid w:val="00AA4761"/>
    <w:rsid w:val="00AA6978"/>
    <w:rsid w:val="00AB6779"/>
    <w:rsid w:val="00AB7ED2"/>
    <w:rsid w:val="00AC1895"/>
    <w:rsid w:val="00AC36C1"/>
    <w:rsid w:val="00AC5111"/>
    <w:rsid w:val="00AC7DBF"/>
    <w:rsid w:val="00AD1F08"/>
    <w:rsid w:val="00AD5664"/>
    <w:rsid w:val="00AD6032"/>
    <w:rsid w:val="00AE1143"/>
    <w:rsid w:val="00AE3C92"/>
    <w:rsid w:val="00AE5A98"/>
    <w:rsid w:val="00AF0B2F"/>
    <w:rsid w:val="00AF2B38"/>
    <w:rsid w:val="00AF71BF"/>
    <w:rsid w:val="00B220CD"/>
    <w:rsid w:val="00B22DD0"/>
    <w:rsid w:val="00B24F3A"/>
    <w:rsid w:val="00B31650"/>
    <w:rsid w:val="00B33842"/>
    <w:rsid w:val="00B37061"/>
    <w:rsid w:val="00B4227A"/>
    <w:rsid w:val="00B425E0"/>
    <w:rsid w:val="00B5342D"/>
    <w:rsid w:val="00B540E3"/>
    <w:rsid w:val="00B54282"/>
    <w:rsid w:val="00B64EEC"/>
    <w:rsid w:val="00B702EE"/>
    <w:rsid w:val="00B81783"/>
    <w:rsid w:val="00B85612"/>
    <w:rsid w:val="00B86EFD"/>
    <w:rsid w:val="00B90454"/>
    <w:rsid w:val="00B92057"/>
    <w:rsid w:val="00B9246E"/>
    <w:rsid w:val="00B9332E"/>
    <w:rsid w:val="00B94FB6"/>
    <w:rsid w:val="00B96487"/>
    <w:rsid w:val="00BA361F"/>
    <w:rsid w:val="00BA3CAE"/>
    <w:rsid w:val="00BB0F1F"/>
    <w:rsid w:val="00BB2B12"/>
    <w:rsid w:val="00BB4FBC"/>
    <w:rsid w:val="00BB557D"/>
    <w:rsid w:val="00BB5ACE"/>
    <w:rsid w:val="00BB7BA4"/>
    <w:rsid w:val="00BC1E7D"/>
    <w:rsid w:val="00BC2A6D"/>
    <w:rsid w:val="00BC450C"/>
    <w:rsid w:val="00BC67F6"/>
    <w:rsid w:val="00BD1922"/>
    <w:rsid w:val="00BD5364"/>
    <w:rsid w:val="00BE0A61"/>
    <w:rsid w:val="00BE3A50"/>
    <w:rsid w:val="00BF08D7"/>
    <w:rsid w:val="00C00151"/>
    <w:rsid w:val="00C04B16"/>
    <w:rsid w:val="00C07C20"/>
    <w:rsid w:val="00C143A9"/>
    <w:rsid w:val="00C17E72"/>
    <w:rsid w:val="00C229F1"/>
    <w:rsid w:val="00C2442E"/>
    <w:rsid w:val="00C34B53"/>
    <w:rsid w:val="00C40234"/>
    <w:rsid w:val="00C45C6D"/>
    <w:rsid w:val="00C4700B"/>
    <w:rsid w:val="00C50AB5"/>
    <w:rsid w:val="00C51B2C"/>
    <w:rsid w:val="00C57985"/>
    <w:rsid w:val="00C61B04"/>
    <w:rsid w:val="00C625CB"/>
    <w:rsid w:val="00C6305D"/>
    <w:rsid w:val="00C63A0A"/>
    <w:rsid w:val="00C6783E"/>
    <w:rsid w:val="00C708E8"/>
    <w:rsid w:val="00C716A7"/>
    <w:rsid w:val="00C731FB"/>
    <w:rsid w:val="00C80B83"/>
    <w:rsid w:val="00C867CF"/>
    <w:rsid w:val="00C8766F"/>
    <w:rsid w:val="00C87EB0"/>
    <w:rsid w:val="00C955C6"/>
    <w:rsid w:val="00CA0C88"/>
    <w:rsid w:val="00CA0CAF"/>
    <w:rsid w:val="00CA6144"/>
    <w:rsid w:val="00CA6701"/>
    <w:rsid w:val="00CB015F"/>
    <w:rsid w:val="00CB0DE0"/>
    <w:rsid w:val="00CB28F2"/>
    <w:rsid w:val="00CC289E"/>
    <w:rsid w:val="00CC371C"/>
    <w:rsid w:val="00CC4FDE"/>
    <w:rsid w:val="00CC59CE"/>
    <w:rsid w:val="00CC72B5"/>
    <w:rsid w:val="00CC75AC"/>
    <w:rsid w:val="00CD0613"/>
    <w:rsid w:val="00CD55BF"/>
    <w:rsid w:val="00CD6B20"/>
    <w:rsid w:val="00CE1044"/>
    <w:rsid w:val="00CE599F"/>
    <w:rsid w:val="00CE6678"/>
    <w:rsid w:val="00CF00C7"/>
    <w:rsid w:val="00CF04F7"/>
    <w:rsid w:val="00CF51B5"/>
    <w:rsid w:val="00CF6CEC"/>
    <w:rsid w:val="00D0334C"/>
    <w:rsid w:val="00D06F9B"/>
    <w:rsid w:val="00D12130"/>
    <w:rsid w:val="00D130CC"/>
    <w:rsid w:val="00D148CF"/>
    <w:rsid w:val="00D15437"/>
    <w:rsid w:val="00D15A89"/>
    <w:rsid w:val="00D215D4"/>
    <w:rsid w:val="00D23F7C"/>
    <w:rsid w:val="00D2583B"/>
    <w:rsid w:val="00D302A0"/>
    <w:rsid w:val="00D33444"/>
    <w:rsid w:val="00D3549B"/>
    <w:rsid w:val="00D37C1A"/>
    <w:rsid w:val="00D4581F"/>
    <w:rsid w:val="00D45956"/>
    <w:rsid w:val="00D469CC"/>
    <w:rsid w:val="00D51C99"/>
    <w:rsid w:val="00D61FA1"/>
    <w:rsid w:val="00D63C5A"/>
    <w:rsid w:val="00D645EF"/>
    <w:rsid w:val="00D66CB0"/>
    <w:rsid w:val="00D66E95"/>
    <w:rsid w:val="00D675D1"/>
    <w:rsid w:val="00D70D2F"/>
    <w:rsid w:val="00D726BE"/>
    <w:rsid w:val="00D77582"/>
    <w:rsid w:val="00D8072E"/>
    <w:rsid w:val="00D81F58"/>
    <w:rsid w:val="00D82338"/>
    <w:rsid w:val="00D835B0"/>
    <w:rsid w:val="00D87ED0"/>
    <w:rsid w:val="00D933B2"/>
    <w:rsid w:val="00D940B8"/>
    <w:rsid w:val="00D962C9"/>
    <w:rsid w:val="00D96882"/>
    <w:rsid w:val="00D978F2"/>
    <w:rsid w:val="00DA14F8"/>
    <w:rsid w:val="00DA4627"/>
    <w:rsid w:val="00DA7DEC"/>
    <w:rsid w:val="00DB07E1"/>
    <w:rsid w:val="00DB1372"/>
    <w:rsid w:val="00DB6038"/>
    <w:rsid w:val="00DB7632"/>
    <w:rsid w:val="00DC24F7"/>
    <w:rsid w:val="00DC4FC7"/>
    <w:rsid w:val="00DE1404"/>
    <w:rsid w:val="00DE5CFF"/>
    <w:rsid w:val="00DE5FE4"/>
    <w:rsid w:val="00DF3D6A"/>
    <w:rsid w:val="00DF57E5"/>
    <w:rsid w:val="00E006AE"/>
    <w:rsid w:val="00E12CDE"/>
    <w:rsid w:val="00E14671"/>
    <w:rsid w:val="00E17298"/>
    <w:rsid w:val="00E1768A"/>
    <w:rsid w:val="00E2083D"/>
    <w:rsid w:val="00E22415"/>
    <w:rsid w:val="00E23F22"/>
    <w:rsid w:val="00E30715"/>
    <w:rsid w:val="00E318ED"/>
    <w:rsid w:val="00E32149"/>
    <w:rsid w:val="00E330B4"/>
    <w:rsid w:val="00E33107"/>
    <w:rsid w:val="00E3439A"/>
    <w:rsid w:val="00E362F0"/>
    <w:rsid w:val="00E36F7F"/>
    <w:rsid w:val="00E40396"/>
    <w:rsid w:val="00E409D2"/>
    <w:rsid w:val="00E411C0"/>
    <w:rsid w:val="00E50FC5"/>
    <w:rsid w:val="00E52CEF"/>
    <w:rsid w:val="00E53F4A"/>
    <w:rsid w:val="00E544B8"/>
    <w:rsid w:val="00E65CF2"/>
    <w:rsid w:val="00E73DFB"/>
    <w:rsid w:val="00E756CB"/>
    <w:rsid w:val="00E8149E"/>
    <w:rsid w:val="00E8396E"/>
    <w:rsid w:val="00E91514"/>
    <w:rsid w:val="00E91D23"/>
    <w:rsid w:val="00E92D69"/>
    <w:rsid w:val="00E932CD"/>
    <w:rsid w:val="00E93998"/>
    <w:rsid w:val="00EA10B0"/>
    <w:rsid w:val="00EA34AF"/>
    <w:rsid w:val="00EA381E"/>
    <w:rsid w:val="00EB4D6E"/>
    <w:rsid w:val="00EB6DA7"/>
    <w:rsid w:val="00EB7885"/>
    <w:rsid w:val="00EB7F64"/>
    <w:rsid w:val="00EC234B"/>
    <w:rsid w:val="00EC34AC"/>
    <w:rsid w:val="00EC3BDB"/>
    <w:rsid w:val="00EC6708"/>
    <w:rsid w:val="00ED2493"/>
    <w:rsid w:val="00ED67C7"/>
    <w:rsid w:val="00EE3EBC"/>
    <w:rsid w:val="00EE410E"/>
    <w:rsid w:val="00EF1F86"/>
    <w:rsid w:val="00EF39BD"/>
    <w:rsid w:val="00EF7178"/>
    <w:rsid w:val="00EF72F7"/>
    <w:rsid w:val="00F017E9"/>
    <w:rsid w:val="00F12CCB"/>
    <w:rsid w:val="00F2008F"/>
    <w:rsid w:val="00F2219C"/>
    <w:rsid w:val="00F26FCF"/>
    <w:rsid w:val="00F35A42"/>
    <w:rsid w:val="00F36D7E"/>
    <w:rsid w:val="00F434A5"/>
    <w:rsid w:val="00F445C1"/>
    <w:rsid w:val="00F54499"/>
    <w:rsid w:val="00F57579"/>
    <w:rsid w:val="00F578B5"/>
    <w:rsid w:val="00F61FB3"/>
    <w:rsid w:val="00F622CB"/>
    <w:rsid w:val="00F62C92"/>
    <w:rsid w:val="00F849B6"/>
    <w:rsid w:val="00F90843"/>
    <w:rsid w:val="00F934D9"/>
    <w:rsid w:val="00FA42B8"/>
    <w:rsid w:val="00FA7D03"/>
    <w:rsid w:val="00FB26AF"/>
    <w:rsid w:val="00FB7431"/>
    <w:rsid w:val="00FC2D35"/>
    <w:rsid w:val="00FC5622"/>
    <w:rsid w:val="00FD253C"/>
    <w:rsid w:val="00FD6B99"/>
    <w:rsid w:val="00FD7EB5"/>
    <w:rsid w:val="00FE2832"/>
    <w:rsid w:val="00FE38C2"/>
    <w:rsid w:val="00FE39D5"/>
    <w:rsid w:val="00FE3CFD"/>
    <w:rsid w:val="00FE610E"/>
    <w:rsid w:val="00FE77FA"/>
    <w:rsid w:val="00FF0FEE"/>
    <w:rsid w:val="00FF1518"/>
    <w:rsid w:val="00FF1B9A"/>
    <w:rsid w:val="00FF3785"/>
    <w:rsid w:val="00FF3CBF"/>
    <w:rsid w:val="00FF40B9"/>
    <w:rsid w:val="00FF4E71"/>
    <w:rsid w:val="00FF6ECF"/>
    <w:rsid w:val="046C5AA3"/>
    <w:rsid w:val="07DF2906"/>
    <w:rsid w:val="09FE743C"/>
    <w:rsid w:val="0A8F6E15"/>
    <w:rsid w:val="0D8837E5"/>
    <w:rsid w:val="0E017470"/>
    <w:rsid w:val="13405DEA"/>
    <w:rsid w:val="1457788F"/>
    <w:rsid w:val="156F0CA4"/>
    <w:rsid w:val="15BD6ADF"/>
    <w:rsid w:val="16506B42"/>
    <w:rsid w:val="19533EE7"/>
    <w:rsid w:val="19D92807"/>
    <w:rsid w:val="1BDD3606"/>
    <w:rsid w:val="1C7949CB"/>
    <w:rsid w:val="20A14A4C"/>
    <w:rsid w:val="21550065"/>
    <w:rsid w:val="22626CAD"/>
    <w:rsid w:val="230166D9"/>
    <w:rsid w:val="24910641"/>
    <w:rsid w:val="2588488F"/>
    <w:rsid w:val="27D1544B"/>
    <w:rsid w:val="28037FA1"/>
    <w:rsid w:val="29070055"/>
    <w:rsid w:val="29A313AF"/>
    <w:rsid w:val="2B1C386E"/>
    <w:rsid w:val="2E66470A"/>
    <w:rsid w:val="3011060A"/>
    <w:rsid w:val="334119DE"/>
    <w:rsid w:val="3660007A"/>
    <w:rsid w:val="37A4253C"/>
    <w:rsid w:val="38074E65"/>
    <w:rsid w:val="3AE76EB1"/>
    <w:rsid w:val="3C1501DD"/>
    <w:rsid w:val="3CD66F9A"/>
    <w:rsid w:val="41602D1B"/>
    <w:rsid w:val="41C773E2"/>
    <w:rsid w:val="432307B8"/>
    <w:rsid w:val="43850527"/>
    <w:rsid w:val="481334F1"/>
    <w:rsid w:val="4A073590"/>
    <w:rsid w:val="4A2F79E5"/>
    <w:rsid w:val="4B0F7EDA"/>
    <w:rsid w:val="52B00AE6"/>
    <w:rsid w:val="531C58AE"/>
    <w:rsid w:val="54D91D1C"/>
    <w:rsid w:val="557F56DE"/>
    <w:rsid w:val="5A0C4B83"/>
    <w:rsid w:val="5D0A6F78"/>
    <w:rsid w:val="629848C7"/>
    <w:rsid w:val="65F32107"/>
    <w:rsid w:val="66E153E2"/>
    <w:rsid w:val="66FB5C7F"/>
    <w:rsid w:val="679D48D8"/>
    <w:rsid w:val="69C53861"/>
    <w:rsid w:val="6BC960D2"/>
    <w:rsid w:val="6BD46E9D"/>
    <w:rsid w:val="6DB9718A"/>
    <w:rsid w:val="6E5B0646"/>
    <w:rsid w:val="6ECB6EFB"/>
    <w:rsid w:val="74730CF0"/>
    <w:rsid w:val="79E50C45"/>
    <w:rsid w:val="7BE55F53"/>
    <w:rsid w:val="7D996D0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6"/>
    <w:basedOn w:val="1"/>
    <w:next w:val="1"/>
    <w:link w:val="22"/>
    <w:qFormat/>
    <w:uiPriority w:val="0"/>
    <w:pPr>
      <w:keepNext/>
      <w:keepLines/>
      <w:spacing w:before="240" w:after="64" w:line="320" w:lineRule="auto"/>
      <w:outlineLvl w:val="5"/>
    </w:pPr>
    <w:rPr>
      <w:rFonts w:ascii="Arial" w:hAnsi="Arial" w:eastAsia="黑体"/>
      <w:b/>
      <w:bCs/>
      <w:sz w:val="24"/>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3">
    <w:name w:val="Date"/>
    <w:basedOn w:val="1"/>
    <w:next w:val="1"/>
    <w:link w:val="34"/>
    <w:semiHidden/>
    <w:unhideWhenUsed/>
    <w:qFormat/>
    <w:uiPriority w:val="99"/>
    <w:pPr>
      <w:ind w:left="100" w:leftChars="2500"/>
    </w:pPr>
  </w:style>
  <w:style w:type="paragraph" w:styleId="4">
    <w:name w:val="Balloon Text"/>
    <w:basedOn w:val="1"/>
    <w:link w:val="36"/>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HTML Preformatted"/>
    <w:basedOn w:val="1"/>
    <w:link w:val="38"/>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styleId="8">
    <w:name w:val="Normal (Web)"/>
    <w:basedOn w:val="1"/>
    <w:semiHidden/>
    <w:unhideWhenUsed/>
    <w:qFormat/>
    <w:uiPriority w:val="99"/>
    <w:rPr>
      <w:sz w:val="24"/>
    </w:rPr>
  </w:style>
  <w:style w:type="paragraph" w:styleId="9">
    <w:name w:val="Title"/>
    <w:basedOn w:val="1"/>
    <w:next w:val="1"/>
    <w:link w:val="35"/>
    <w:qFormat/>
    <w:uiPriority w:val="10"/>
    <w:pPr>
      <w:spacing w:before="240" w:after="60"/>
      <w:jc w:val="center"/>
      <w:outlineLvl w:val="0"/>
    </w:pPr>
    <w:rPr>
      <w:rFonts w:asciiTheme="majorHAnsi" w:hAnsiTheme="majorHAnsi" w:eastAsiaTheme="majorEastAsia" w:cstheme="majorBidi"/>
      <w:b/>
      <w:bCs/>
      <w:sz w:val="32"/>
      <w:szCs w:val="32"/>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qFormat/>
    <w:uiPriority w:val="0"/>
    <w:rPr>
      <w:color w:val="2440B3"/>
      <w:u w:val="single"/>
    </w:rPr>
  </w:style>
  <w:style w:type="paragraph" w:customStyle="1" w:styleId="14">
    <w:name w:val="BodyText2"/>
    <w:basedOn w:val="1"/>
    <w:qFormat/>
    <w:uiPriority w:val="0"/>
    <w:pPr>
      <w:spacing w:after="120" w:line="480" w:lineRule="auto"/>
      <w:textAlignment w:val="baseline"/>
    </w:pPr>
    <w:rPr>
      <w:sz w:val="32"/>
      <w:szCs w:val="32"/>
    </w:rPr>
  </w:style>
  <w:style w:type="paragraph" w:customStyle="1" w:styleId="15">
    <w:name w:val="Heading2"/>
    <w:basedOn w:val="1"/>
    <w:next w:val="1"/>
    <w:qFormat/>
    <w:uiPriority w:val="0"/>
    <w:pPr>
      <w:widowControl/>
      <w:spacing w:before="100" w:beforeAutospacing="1" w:after="100" w:afterAutospacing="1"/>
      <w:jc w:val="left"/>
      <w:textAlignment w:val="baseline"/>
    </w:pPr>
    <w:rPr>
      <w:rFonts w:ascii="宋体" w:hAnsi="宋体"/>
      <w:b/>
      <w:bCs/>
      <w:kern w:val="0"/>
      <w:sz w:val="36"/>
      <w:szCs w:val="36"/>
    </w:rPr>
  </w:style>
  <w:style w:type="character" w:customStyle="1" w:styleId="16">
    <w:name w:val="页眉 字符"/>
    <w:basedOn w:val="12"/>
    <w:link w:val="6"/>
    <w:qFormat/>
    <w:uiPriority w:val="99"/>
    <w:rPr>
      <w:sz w:val="18"/>
      <w:szCs w:val="18"/>
    </w:rPr>
  </w:style>
  <w:style w:type="character" w:customStyle="1" w:styleId="17">
    <w:name w:val="页脚 字符"/>
    <w:basedOn w:val="12"/>
    <w:link w:val="5"/>
    <w:qFormat/>
    <w:uiPriority w:val="99"/>
    <w:rPr>
      <w:sz w:val="18"/>
      <w:szCs w:val="18"/>
    </w:rPr>
  </w:style>
  <w:style w:type="character" w:customStyle="1" w:styleId="18">
    <w:name w:val="段 Char"/>
    <w:link w:val="19"/>
    <w:qFormat/>
    <w:uiPriority w:val="0"/>
    <w:rPr>
      <w:rFonts w:ascii="宋体"/>
    </w:rPr>
  </w:style>
  <w:style w:type="paragraph" w:customStyle="1" w:styleId="19">
    <w:name w:val="段"/>
    <w:link w:val="18"/>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0">
    <w:name w:val="章标题"/>
    <w:next w:val="19"/>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1">
    <w:name w:val="二级无"/>
    <w:basedOn w:val="1"/>
    <w:qFormat/>
    <w:uiPriority w:val="0"/>
    <w:pPr>
      <w:widowControl/>
      <w:numPr>
        <w:ilvl w:val="2"/>
        <w:numId w:val="1"/>
      </w:numPr>
      <w:jc w:val="left"/>
      <w:outlineLvl w:val="3"/>
    </w:pPr>
    <w:rPr>
      <w:rFonts w:ascii="宋体"/>
      <w:kern w:val="0"/>
      <w:szCs w:val="21"/>
    </w:rPr>
  </w:style>
  <w:style w:type="character" w:customStyle="1" w:styleId="22">
    <w:name w:val="标题 6 字符"/>
    <w:basedOn w:val="12"/>
    <w:link w:val="2"/>
    <w:qFormat/>
    <w:uiPriority w:val="0"/>
    <w:rPr>
      <w:rFonts w:ascii="Arial" w:hAnsi="Arial" w:eastAsia="黑体" w:cs="Times New Roman"/>
      <w:b/>
      <w:bCs/>
      <w:sz w:val="24"/>
      <w:szCs w:val="24"/>
    </w:rPr>
  </w:style>
  <w:style w:type="paragraph" w:customStyle="1" w:styleId="23">
    <w:name w:val="标准文件_段"/>
    <w:link w:val="2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4">
    <w:name w:val="标准文件_段 Char"/>
    <w:link w:val="23"/>
    <w:qFormat/>
    <w:uiPriority w:val="0"/>
    <w:rPr>
      <w:rFonts w:ascii="宋体" w:hAnsi="Times New Roman" w:eastAsia="宋体" w:cs="Times New Roman"/>
      <w:kern w:val="0"/>
      <w:szCs w:val="20"/>
    </w:rPr>
  </w:style>
  <w:style w:type="paragraph" w:customStyle="1" w:styleId="25">
    <w:name w:val="标准文件_二级条标题"/>
    <w:next w:val="23"/>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26">
    <w:name w:val="标准文件_三级条标题"/>
    <w:basedOn w:val="25"/>
    <w:next w:val="23"/>
    <w:qFormat/>
    <w:uiPriority w:val="0"/>
    <w:pPr>
      <w:widowControl/>
      <w:numPr>
        <w:ilvl w:val="4"/>
      </w:numPr>
      <w:outlineLvl w:val="3"/>
    </w:pPr>
  </w:style>
  <w:style w:type="paragraph" w:customStyle="1" w:styleId="27">
    <w:name w:val="标准文件_四级条标题"/>
    <w:next w:val="23"/>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28">
    <w:name w:val="标准文件_五级条标题"/>
    <w:next w:val="23"/>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29">
    <w:name w:val="标准文件_章标题"/>
    <w:next w:val="23"/>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0">
    <w:name w:val="标准文件_一级条标题"/>
    <w:basedOn w:val="29"/>
    <w:next w:val="23"/>
    <w:qFormat/>
    <w:uiPriority w:val="0"/>
    <w:pPr>
      <w:numPr>
        <w:ilvl w:val="2"/>
      </w:numPr>
      <w:spacing w:beforeLines="50" w:afterLines="50"/>
      <w:outlineLvl w:val="1"/>
    </w:pPr>
  </w:style>
  <w:style w:type="paragraph" w:customStyle="1" w:styleId="31">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2">
    <w:name w:val="标准文件_四级无标题"/>
    <w:basedOn w:val="27"/>
    <w:qFormat/>
    <w:uiPriority w:val="0"/>
    <w:pPr>
      <w:numPr>
        <w:numId w:val="3"/>
      </w:numPr>
      <w:spacing w:beforeLines="0"/>
      <w:outlineLvl w:val="9"/>
    </w:pPr>
    <w:rPr>
      <w:rFonts w:hint="eastAsia" w:ascii="宋体" w:hAnsi="宋体" w:eastAsia="宋体"/>
      <w:szCs w:val="52"/>
    </w:rPr>
  </w:style>
  <w:style w:type="paragraph" w:customStyle="1" w:styleId="33">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character" w:customStyle="1" w:styleId="34">
    <w:name w:val="日期 字符"/>
    <w:basedOn w:val="12"/>
    <w:link w:val="3"/>
    <w:semiHidden/>
    <w:qFormat/>
    <w:uiPriority w:val="99"/>
    <w:rPr>
      <w:rFonts w:ascii="Times New Roman" w:hAnsi="Times New Roman" w:cs="Times New Roman"/>
      <w:kern w:val="2"/>
      <w:sz w:val="21"/>
      <w:szCs w:val="24"/>
    </w:rPr>
  </w:style>
  <w:style w:type="character" w:customStyle="1" w:styleId="35">
    <w:name w:val="标题 字符"/>
    <w:basedOn w:val="12"/>
    <w:link w:val="9"/>
    <w:qFormat/>
    <w:uiPriority w:val="10"/>
    <w:rPr>
      <w:rFonts w:asciiTheme="majorHAnsi" w:hAnsiTheme="majorHAnsi" w:eastAsiaTheme="majorEastAsia" w:cstheme="majorBidi"/>
      <w:b/>
      <w:bCs/>
      <w:kern w:val="2"/>
      <w:sz w:val="32"/>
      <w:szCs w:val="32"/>
    </w:rPr>
  </w:style>
  <w:style w:type="character" w:customStyle="1" w:styleId="36">
    <w:name w:val="批注框文本 字符"/>
    <w:basedOn w:val="12"/>
    <w:link w:val="4"/>
    <w:semiHidden/>
    <w:qFormat/>
    <w:uiPriority w:val="99"/>
    <w:rPr>
      <w:rFonts w:ascii="Times New Roman" w:hAnsi="Times New Roman" w:cs="Times New Roman"/>
      <w:kern w:val="2"/>
      <w:sz w:val="18"/>
      <w:szCs w:val="18"/>
    </w:rPr>
  </w:style>
  <w:style w:type="character" w:customStyle="1" w:styleId="37">
    <w:name w:val="HTML 预设格式 Char"/>
    <w:basedOn w:val="12"/>
    <w:semiHidden/>
    <w:qFormat/>
    <w:uiPriority w:val="99"/>
    <w:rPr>
      <w:rFonts w:ascii="Courier New" w:hAnsi="Courier New" w:cs="Courier New"/>
      <w:kern w:val="2"/>
    </w:rPr>
  </w:style>
  <w:style w:type="character" w:customStyle="1" w:styleId="38">
    <w:name w:val="HTML 预设格式 字符"/>
    <w:link w:val="7"/>
    <w:qFormat/>
    <w:uiPriority w:val="0"/>
    <w:rPr>
      <w:rFonts w:ascii="宋体" w:hAnsi="宋体" w:cs="Times New Roman"/>
      <w:sz w:val="24"/>
    </w:rPr>
  </w:style>
  <w:style w:type="paragraph" w:styleId="39">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2CEE276-C047-4839-B828-55E08005F985}">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30</Pages>
  <Words>15336</Words>
  <Characters>15876</Characters>
  <Lines>116</Lines>
  <Paragraphs>32</Paragraphs>
  <TotalTime>1</TotalTime>
  <ScaleCrop>false</ScaleCrop>
  <LinksUpToDate>false</LinksUpToDate>
  <CharactersWithSpaces>15999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2026-01-20T04:33:00Z</dcterms:created>
  <dc:creator>xiaojie man</dc:creator>
  <cp:lastModifiedBy>冯流莹</cp:lastModifiedBy>
  <cp:lastPrinted>2022-04-25T09:29:00Z</cp:lastPrinted>
  <dcterms:modified xsi:type="dcterms:W3CDTF">2026-01-22T07:24:58Z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C820D4A7360641C79D1878BAA68E30CC</vt:lpwstr>
  </property>
  <property fmtid="{D5CDD505-2E9C-101B-9397-08002B2CF9AE}" pid="4" name="KSOTemplateDocerSaveRecord">
    <vt:lpwstr>eyJoZGlkIjoiOGFkZjVhNDJiMGExNWUxMjVmMmMwZDU4OWJmZWEzNzAiLCJ1c2VySWQiOiIyNDQ0MTQwMzQifQ==</vt:lpwstr>
  </property>
</Properties>
</file>