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41D1D">
      <w:pPr>
        <w:jc w:val="center"/>
        <w:rPr>
          <w:rFonts w:hint="eastAsia" w:ascii="方正小标宋简体" w:hAnsi="方正小标宋简体" w:eastAsia="方正小标宋简体" w:cs="方正小标宋简体"/>
          <w:bCs/>
          <w:sz w:val="36"/>
          <w:szCs w:val="32"/>
        </w:rPr>
      </w:pPr>
      <w:r>
        <w:rPr>
          <w:rFonts w:hint="eastAsia" w:ascii="方正小标宋简体" w:hAnsi="方正小标宋简体" w:eastAsia="方正小标宋简体" w:cs="方正小标宋简体"/>
          <w:bCs/>
          <w:sz w:val="36"/>
          <w:szCs w:val="32"/>
        </w:rPr>
        <w:t>团体标准《无痛化导尿技术操作规范》</w:t>
      </w:r>
    </w:p>
    <w:p w14:paraId="344DC783">
      <w:pPr>
        <w:jc w:val="center"/>
        <w:rPr>
          <w:rFonts w:hint="eastAsia" w:ascii="方正小标宋简体" w:hAnsi="方正小标宋简体" w:eastAsia="方正小标宋简体" w:cs="方正小标宋简体"/>
          <w:bCs/>
          <w:sz w:val="36"/>
          <w:szCs w:val="32"/>
        </w:rPr>
      </w:pPr>
      <w:r>
        <w:rPr>
          <w:rFonts w:hint="eastAsia" w:ascii="方正小标宋简体" w:hAnsi="方正小标宋简体" w:eastAsia="方正小标宋简体" w:cs="方正小标宋简体"/>
          <w:bCs/>
          <w:sz w:val="36"/>
          <w:szCs w:val="32"/>
        </w:rPr>
        <w:t>（征求意见稿）编制说明</w:t>
      </w:r>
    </w:p>
    <w:p w14:paraId="26EBCE99">
      <w:pPr>
        <w:ind w:firstLine="360"/>
        <w:jc w:val="center"/>
        <w:rPr>
          <w:rFonts w:ascii="微软雅黑" w:eastAsia="微软雅黑" w:cs="仿宋_GB2312"/>
          <w:bCs/>
          <w:sz w:val="18"/>
          <w:szCs w:val="18"/>
        </w:rPr>
      </w:pPr>
    </w:p>
    <w:p w14:paraId="3F618D89">
      <w:pPr>
        <w:spacing w:line="520" w:lineRule="exact"/>
        <w:ind w:firstLine="640" w:firstLineChars="200"/>
        <w:outlineLvl w:val="0"/>
        <w:rPr>
          <w:rFonts w:ascii="黑体" w:eastAsia="黑体" w:cs="仿宋_GB2312"/>
          <w:bCs/>
          <w:sz w:val="32"/>
          <w:szCs w:val="32"/>
        </w:rPr>
      </w:pPr>
      <w:r>
        <w:rPr>
          <w:rFonts w:hint="eastAsia" w:ascii="黑体" w:eastAsia="黑体" w:cs="仿宋_GB2312"/>
          <w:sz w:val="32"/>
          <w:szCs w:val="32"/>
        </w:rPr>
        <w:t>一、任务来源、起草单位、主要起草人</w:t>
      </w:r>
    </w:p>
    <w:p w14:paraId="1C7FA553">
      <w:pPr>
        <w:spacing w:line="520" w:lineRule="exact"/>
        <w:ind w:firstLine="560" w:firstLineChars="200"/>
        <w:rPr>
          <w:rFonts w:ascii="仿宋_GB2312" w:eastAsia="仿宋_GB2312"/>
          <w:sz w:val="28"/>
          <w:szCs w:val="28"/>
        </w:rPr>
      </w:pPr>
      <w:r>
        <w:rPr>
          <w:rFonts w:hint="eastAsia" w:ascii="仿宋_GB2312" w:eastAsia="仿宋_GB2312"/>
          <w:sz w:val="28"/>
          <w:szCs w:val="28"/>
        </w:rPr>
        <w:t>根据《广西标准化协会关于下达2025年第二十八批团体标准制修订项目计划的通知》（桂标协〔2025〕255号）精神，由广西护理学会提出，桂林市人民医院、广西医科大学第附属医院、中山大学附属第六医院、中山大学附属第一医院广西医院、桂林医学院附属医院、广州市妇女儿童医疗中心柳州医院、右江民族医学院附属医院、玉林市人民医院、中国人民解放军联勤保障部队第九二四医院、桂林医学院第二附属医院、中南大学湘雅二医院桂林医院、桂林市中医医院、定西市人民医院、灵川县中医医院、平乐县人民医院、荔浦市人民医院、桂林市卫生学校等单位共同起草的团体标准《无痛化导尿技术操作规范》（项目编号：2025-2805），已获立项。</w:t>
      </w:r>
    </w:p>
    <w:p w14:paraId="67F631D9">
      <w:pPr>
        <w:spacing w:line="520" w:lineRule="exact"/>
        <w:ind w:firstLine="560" w:firstLineChars="200"/>
        <w:rPr>
          <w:rFonts w:ascii="仿宋_GB2312" w:eastAsia="仿宋_GB2312"/>
          <w:sz w:val="28"/>
          <w:szCs w:val="28"/>
        </w:rPr>
      </w:pPr>
      <w:r>
        <w:rPr>
          <w:rFonts w:hint="eastAsia" w:ascii="仿宋_GB2312" w:eastAsia="仿宋_GB2312"/>
          <w:sz w:val="28"/>
          <w:szCs w:val="28"/>
        </w:rPr>
        <w:t>为高质量编制团体标准《无痛化导尿技术操作规范》，由起草单位成立标准编制工作组并进行如下分工：</w:t>
      </w:r>
    </w:p>
    <w:tbl>
      <w:tblPr>
        <w:tblStyle w:val="17"/>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538"/>
        <w:gridCol w:w="2386"/>
        <w:gridCol w:w="2948"/>
      </w:tblGrid>
      <w:tr w14:paraId="4B7FD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E343B9">
            <w:pPr>
              <w:jc w:val="center"/>
              <w:rPr>
                <w:rFonts w:hint="eastAsia" w:ascii="仿宋_GB2312" w:hAnsi="仿宋_GB2312" w:eastAsia="仿宋_GB2312" w:cs="仿宋_GB2312"/>
                <w:b/>
                <w:sz w:val="24"/>
              </w:rPr>
            </w:pPr>
            <w:r>
              <w:rPr>
                <w:rFonts w:hint="eastAsia" w:ascii="仿宋_GB2312" w:hAnsi="仿宋_GB2312" w:eastAsia="仿宋_GB2312" w:cs="仿宋_GB2312"/>
                <w:b/>
                <w:sz w:val="24"/>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2BA9EDA5">
            <w:pPr>
              <w:jc w:val="center"/>
              <w:rPr>
                <w:rFonts w:hint="eastAsia" w:ascii="仿宋_GB2312" w:hAnsi="仿宋_GB2312" w:eastAsia="仿宋_GB2312" w:cs="仿宋_GB2312"/>
                <w:b/>
                <w:sz w:val="24"/>
              </w:rPr>
            </w:pPr>
            <w:r>
              <w:rPr>
                <w:rFonts w:hint="eastAsia" w:ascii="仿宋_GB2312" w:hAnsi="仿宋_GB2312" w:eastAsia="仿宋_GB2312" w:cs="仿宋_GB2312"/>
                <w:b/>
                <w:sz w:val="24"/>
              </w:rPr>
              <w:t>职务/职称</w:t>
            </w:r>
          </w:p>
        </w:tc>
        <w:tc>
          <w:tcPr>
            <w:tcW w:w="1538" w:type="dxa"/>
            <w:tcBorders>
              <w:top w:val="single" w:color="auto" w:sz="4" w:space="0"/>
              <w:left w:val="single" w:color="auto" w:sz="4" w:space="0"/>
              <w:bottom w:val="single" w:color="auto" w:sz="4" w:space="0"/>
              <w:right w:val="single" w:color="auto" w:sz="4" w:space="0"/>
            </w:tcBorders>
            <w:vAlign w:val="center"/>
          </w:tcPr>
          <w:p w14:paraId="310E99E6">
            <w:pPr>
              <w:jc w:val="center"/>
              <w:rPr>
                <w:rFonts w:hint="eastAsia" w:ascii="仿宋_GB2312" w:hAnsi="仿宋_GB2312" w:eastAsia="仿宋_GB2312" w:cs="仿宋_GB2312"/>
                <w:b/>
                <w:sz w:val="24"/>
              </w:rPr>
            </w:pPr>
            <w:r>
              <w:rPr>
                <w:rFonts w:hint="eastAsia" w:ascii="仿宋_GB2312" w:hAnsi="仿宋_GB2312" w:eastAsia="仿宋_GB2312" w:cs="仿宋_GB2312"/>
                <w:b/>
                <w:sz w:val="24"/>
              </w:rPr>
              <w:t>从事</w:t>
            </w:r>
          </w:p>
          <w:p w14:paraId="1832E6EC">
            <w:pPr>
              <w:jc w:val="center"/>
              <w:rPr>
                <w:rFonts w:hint="eastAsia" w:ascii="仿宋_GB2312" w:hAnsi="仿宋_GB2312" w:eastAsia="仿宋_GB2312" w:cs="仿宋_GB2312"/>
                <w:b/>
                <w:sz w:val="24"/>
              </w:rPr>
            </w:pPr>
            <w:r>
              <w:rPr>
                <w:rFonts w:hint="eastAsia" w:ascii="仿宋_GB2312" w:hAnsi="仿宋_GB2312" w:eastAsia="仿宋_GB2312" w:cs="仿宋_GB2312"/>
                <w:b/>
                <w:sz w:val="24"/>
              </w:rPr>
              <w:t>专业</w:t>
            </w:r>
          </w:p>
        </w:tc>
        <w:tc>
          <w:tcPr>
            <w:tcW w:w="2386" w:type="dxa"/>
            <w:tcBorders>
              <w:top w:val="single" w:color="auto" w:sz="4" w:space="0"/>
              <w:left w:val="single" w:color="auto" w:sz="4" w:space="0"/>
              <w:bottom w:val="single" w:color="auto" w:sz="4" w:space="0"/>
              <w:right w:val="single" w:color="auto" w:sz="4" w:space="0"/>
            </w:tcBorders>
            <w:vAlign w:val="center"/>
          </w:tcPr>
          <w:p w14:paraId="73D1A175">
            <w:pPr>
              <w:jc w:val="center"/>
              <w:rPr>
                <w:rFonts w:hint="eastAsia" w:ascii="仿宋_GB2312" w:hAnsi="仿宋_GB2312" w:eastAsia="仿宋_GB2312" w:cs="仿宋_GB2312"/>
                <w:b/>
                <w:sz w:val="24"/>
              </w:rPr>
            </w:pPr>
            <w:r>
              <w:rPr>
                <w:rFonts w:hint="eastAsia" w:ascii="仿宋_GB2312" w:hAnsi="仿宋_GB2312" w:eastAsia="仿宋_GB2312" w:cs="仿宋_GB2312"/>
                <w:b/>
                <w:sz w:val="24"/>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4C2BE869">
            <w:pPr>
              <w:jc w:val="center"/>
              <w:rPr>
                <w:rFonts w:hint="eastAsia" w:ascii="仿宋_GB2312" w:hAnsi="仿宋_GB2312" w:eastAsia="仿宋_GB2312" w:cs="仿宋_GB2312"/>
                <w:b/>
                <w:sz w:val="24"/>
              </w:rPr>
            </w:pPr>
            <w:r>
              <w:rPr>
                <w:rFonts w:hint="eastAsia" w:ascii="仿宋_GB2312" w:hAnsi="仿宋_GB2312" w:eastAsia="仿宋_GB2312" w:cs="仿宋_GB2312"/>
                <w:b/>
                <w:sz w:val="24"/>
              </w:rPr>
              <w:t>主要负责工作</w:t>
            </w:r>
          </w:p>
        </w:tc>
      </w:tr>
      <w:tr w14:paraId="20551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21AEDBE">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曾丽媛</w:t>
            </w:r>
          </w:p>
        </w:tc>
        <w:tc>
          <w:tcPr>
            <w:tcW w:w="1583" w:type="dxa"/>
            <w:tcBorders>
              <w:top w:val="single" w:color="auto" w:sz="4" w:space="0"/>
              <w:left w:val="single" w:color="auto" w:sz="4" w:space="0"/>
              <w:bottom w:val="single" w:color="auto" w:sz="4" w:space="0"/>
              <w:right w:val="single" w:color="auto" w:sz="4" w:space="0"/>
            </w:tcBorders>
            <w:vAlign w:val="center"/>
          </w:tcPr>
          <w:p w14:paraId="5E1F40D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泌尿外科护士长/副主任护师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7007D93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7824102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A8CA2F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统筹规范编制工作，组织人员进行规范发布后的宣贯培训</w:t>
            </w:r>
          </w:p>
        </w:tc>
      </w:tr>
      <w:tr w14:paraId="262E2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CA8FA34">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张凤娟</w:t>
            </w:r>
          </w:p>
        </w:tc>
        <w:tc>
          <w:tcPr>
            <w:tcW w:w="1583" w:type="dxa"/>
            <w:tcBorders>
              <w:top w:val="single" w:color="auto" w:sz="4" w:space="0"/>
              <w:left w:val="single" w:color="auto" w:sz="4" w:space="0"/>
              <w:bottom w:val="single" w:color="auto" w:sz="4" w:space="0"/>
              <w:right w:val="single" w:color="auto" w:sz="4" w:space="0"/>
            </w:tcBorders>
            <w:vAlign w:val="center"/>
          </w:tcPr>
          <w:p w14:paraId="799398B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2E57BAF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76AC7F0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2912B1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系统检索和梳理中外文文献、国家规范、行业标准，证据整合与质量评价</w:t>
            </w:r>
          </w:p>
        </w:tc>
      </w:tr>
      <w:tr w14:paraId="21230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3740339">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谭凤兰</w:t>
            </w:r>
          </w:p>
        </w:tc>
        <w:tc>
          <w:tcPr>
            <w:tcW w:w="1583" w:type="dxa"/>
            <w:tcBorders>
              <w:top w:val="single" w:color="auto" w:sz="4" w:space="0"/>
              <w:left w:val="single" w:color="auto" w:sz="4" w:space="0"/>
              <w:bottom w:val="single" w:color="auto" w:sz="4" w:space="0"/>
              <w:right w:val="single" w:color="auto" w:sz="4" w:space="0"/>
            </w:tcBorders>
            <w:vAlign w:val="center"/>
          </w:tcPr>
          <w:p w14:paraId="24AC70E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06744DE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36DD2D5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E20888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管理团队后勤事务</w:t>
            </w:r>
          </w:p>
        </w:tc>
      </w:tr>
      <w:tr w14:paraId="514C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83408E6">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吴翠萍</w:t>
            </w:r>
          </w:p>
        </w:tc>
        <w:tc>
          <w:tcPr>
            <w:tcW w:w="1583" w:type="dxa"/>
            <w:tcBorders>
              <w:top w:val="single" w:color="auto" w:sz="4" w:space="0"/>
              <w:left w:val="single" w:color="auto" w:sz="4" w:space="0"/>
              <w:bottom w:val="single" w:color="auto" w:sz="4" w:space="0"/>
              <w:right w:val="single" w:color="auto" w:sz="4" w:space="0"/>
            </w:tcBorders>
            <w:vAlign w:val="center"/>
          </w:tcPr>
          <w:p w14:paraId="5F4642F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258498D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护理部干事</w:t>
            </w:r>
          </w:p>
        </w:tc>
        <w:tc>
          <w:tcPr>
            <w:tcW w:w="2386" w:type="dxa"/>
            <w:tcBorders>
              <w:top w:val="single" w:color="auto" w:sz="4" w:space="0"/>
              <w:left w:val="single" w:color="auto" w:sz="4" w:space="0"/>
              <w:bottom w:val="single" w:color="auto" w:sz="4" w:space="0"/>
              <w:right w:val="single" w:color="auto" w:sz="4" w:space="0"/>
            </w:tcBorders>
            <w:vAlign w:val="center"/>
          </w:tcPr>
          <w:p w14:paraId="6AE7202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3FCA5C8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CD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E4CB788">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唐利娟</w:t>
            </w:r>
          </w:p>
        </w:tc>
        <w:tc>
          <w:tcPr>
            <w:tcW w:w="1583" w:type="dxa"/>
            <w:tcBorders>
              <w:top w:val="single" w:color="auto" w:sz="4" w:space="0"/>
              <w:left w:val="single" w:color="auto" w:sz="4" w:space="0"/>
              <w:bottom w:val="single" w:color="auto" w:sz="4" w:space="0"/>
              <w:right w:val="single" w:color="auto" w:sz="4" w:space="0"/>
            </w:tcBorders>
            <w:vAlign w:val="center"/>
          </w:tcPr>
          <w:p w14:paraId="6029C6E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护士长/副主任护师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3DBF83E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普通外科胃肠疝外科</w:t>
            </w:r>
          </w:p>
        </w:tc>
        <w:tc>
          <w:tcPr>
            <w:tcW w:w="2386" w:type="dxa"/>
            <w:tcBorders>
              <w:top w:val="single" w:color="auto" w:sz="4" w:space="0"/>
              <w:left w:val="single" w:color="auto" w:sz="4" w:space="0"/>
              <w:bottom w:val="single" w:color="auto" w:sz="4" w:space="0"/>
              <w:right w:val="single" w:color="auto" w:sz="4" w:space="0"/>
            </w:tcBorders>
            <w:vAlign w:val="center"/>
          </w:tcPr>
          <w:p w14:paraId="7734DAE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41BFF9B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3814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70F15B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周莉</w:t>
            </w:r>
          </w:p>
        </w:tc>
        <w:tc>
          <w:tcPr>
            <w:tcW w:w="1583" w:type="dxa"/>
            <w:tcBorders>
              <w:top w:val="single" w:color="auto" w:sz="4" w:space="0"/>
              <w:left w:val="single" w:color="auto" w:sz="4" w:space="0"/>
              <w:bottom w:val="single" w:color="auto" w:sz="4" w:space="0"/>
              <w:right w:val="single" w:color="auto" w:sz="4" w:space="0"/>
            </w:tcBorders>
            <w:vAlign w:val="center"/>
          </w:tcPr>
          <w:p w14:paraId="6E45351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护士长/副主任护师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1B7E918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儿科</w:t>
            </w:r>
          </w:p>
        </w:tc>
        <w:tc>
          <w:tcPr>
            <w:tcW w:w="2386" w:type="dxa"/>
            <w:tcBorders>
              <w:top w:val="single" w:color="auto" w:sz="4" w:space="0"/>
              <w:left w:val="single" w:color="auto" w:sz="4" w:space="0"/>
              <w:bottom w:val="single" w:color="auto" w:sz="4" w:space="0"/>
              <w:right w:val="single" w:color="auto" w:sz="4" w:space="0"/>
            </w:tcBorders>
            <w:vAlign w:val="center"/>
          </w:tcPr>
          <w:p w14:paraId="6067C6C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0A55C5E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4EDE4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2F3ADCD">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廖倩</w:t>
            </w:r>
          </w:p>
        </w:tc>
        <w:tc>
          <w:tcPr>
            <w:tcW w:w="1583" w:type="dxa"/>
            <w:tcBorders>
              <w:top w:val="single" w:color="auto" w:sz="4" w:space="0"/>
              <w:left w:val="single" w:color="auto" w:sz="4" w:space="0"/>
              <w:bottom w:val="single" w:color="auto" w:sz="4" w:space="0"/>
              <w:right w:val="single" w:color="auto" w:sz="4" w:space="0"/>
            </w:tcBorders>
            <w:vAlign w:val="center"/>
          </w:tcPr>
          <w:p w14:paraId="495F53A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6918569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5BF293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19DD41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负责与学会、评审专家及征求意见单位的日常联络及材料报送</w:t>
            </w:r>
          </w:p>
        </w:tc>
      </w:tr>
      <w:tr w14:paraId="426E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FA677B5">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廖君娟</w:t>
            </w:r>
          </w:p>
        </w:tc>
        <w:tc>
          <w:tcPr>
            <w:tcW w:w="1583" w:type="dxa"/>
            <w:tcBorders>
              <w:top w:val="single" w:color="auto" w:sz="4" w:space="0"/>
              <w:left w:val="single" w:color="auto" w:sz="4" w:space="0"/>
              <w:bottom w:val="single" w:color="auto" w:sz="4" w:space="0"/>
              <w:right w:val="single" w:color="auto" w:sz="4" w:space="0"/>
            </w:tcBorders>
            <w:vAlign w:val="center"/>
          </w:tcPr>
          <w:p w14:paraId="704B321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0FCEA12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050969E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中山大学附属第一医院广西医院</w:t>
            </w:r>
          </w:p>
        </w:tc>
        <w:tc>
          <w:tcPr>
            <w:tcW w:w="2948" w:type="dxa"/>
            <w:tcBorders>
              <w:top w:val="single" w:color="auto" w:sz="4" w:space="0"/>
              <w:left w:val="single" w:color="auto" w:sz="4" w:space="0"/>
              <w:bottom w:val="single" w:color="auto" w:sz="4" w:space="0"/>
              <w:right w:val="single" w:color="auto" w:sz="4" w:space="0"/>
            </w:tcBorders>
            <w:vAlign w:val="center"/>
          </w:tcPr>
          <w:p w14:paraId="55308BB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数据收集，撰写现状调研报告，揭示当前存在的问题和需求</w:t>
            </w:r>
          </w:p>
        </w:tc>
      </w:tr>
      <w:tr w14:paraId="3B669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308F604">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黄柳琴</w:t>
            </w:r>
          </w:p>
        </w:tc>
        <w:tc>
          <w:tcPr>
            <w:tcW w:w="1583" w:type="dxa"/>
            <w:tcBorders>
              <w:top w:val="single" w:color="auto" w:sz="4" w:space="0"/>
              <w:left w:val="single" w:color="auto" w:sz="4" w:space="0"/>
              <w:bottom w:val="single" w:color="auto" w:sz="4" w:space="0"/>
              <w:right w:val="single" w:color="auto" w:sz="4" w:space="0"/>
            </w:tcBorders>
            <w:vAlign w:val="center"/>
          </w:tcPr>
          <w:p w14:paraId="59D2BD5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04B75E5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09AA38D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广州市妇女儿童医疗中心柳州医院</w:t>
            </w:r>
          </w:p>
        </w:tc>
        <w:tc>
          <w:tcPr>
            <w:tcW w:w="2948" w:type="dxa"/>
            <w:tcBorders>
              <w:top w:val="single" w:color="auto" w:sz="4" w:space="0"/>
              <w:left w:val="single" w:color="auto" w:sz="4" w:space="0"/>
              <w:bottom w:val="single" w:color="auto" w:sz="4" w:space="0"/>
              <w:right w:val="single" w:color="auto" w:sz="4" w:space="0"/>
            </w:tcBorders>
            <w:vAlign w:val="center"/>
          </w:tcPr>
          <w:p w14:paraId="6253942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2B560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B9A5FB0">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何新禧</w:t>
            </w:r>
          </w:p>
        </w:tc>
        <w:tc>
          <w:tcPr>
            <w:tcW w:w="1583" w:type="dxa"/>
            <w:tcBorders>
              <w:top w:val="single" w:color="auto" w:sz="4" w:space="0"/>
              <w:left w:val="single" w:color="auto" w:sz="4" w:space="0"/>
              <w:bottom w:val="single" w:color="auto" w:sz="4" w:space="0"/>
              <w:right w:val="single" w:color="auto" w:sz="4" w:space="0"/>
            </w:tcBorders>
            <w:vAlign w:val="center"/>
          </w:tcPr>
          <w:p w14:paraId="7C55BFC5">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00AAEAC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37FE3BE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桂林医科大学第一附属医院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2F4CAB5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54D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DEABE1D">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蒙月梅</w:t>
            </w:r>
          </w:p>
        </w:tc>
        <w:tc>
          <w:tcPr>
            <w:tcW w:w="1583" w:type="dxa"/>
            <w:tcBorders>
              <w:top w:val="single" w:color="auto" w:sz="4" w:space="0"/>
              <w:left w:val="single" w:color="auto" w:sz="4" w:space="0"/>
              <w:bottom w:val="single" w:color="auto" w:sz="4" w:space="0"/>
              <w:right w:val="single" w:color="auto" w:sz="4" w:space="0"/>
            </w:tcBorders>
            <w:vAlign w:val="center"/>
          </w:tcPr>
          <w:p w14:paraId="518C25D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08958C7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C3B854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桂林医科大学第二附属医院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4273F36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根据反馈意见进行文字修改</w:t>
            </w:r>
          </w:p>
        </w:tc>
      </w:tr>
      <w:tr w14:paraId="62D7D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6B5EB1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姚莉</w:t>
            </w:r>
          </w:p>
        </w:tc>
        <w:tc>
          <w:tcPr>
            <w:tcW w:w="1583" w:type="dxa"/>
            <w:tcBorders>
              <w:top w:val="single" w:color="auto" w:sz="4" w:space="0"/>
              <w:left w:val="single" w:color="auto" w:sz="4" w:space="0"/>
              <w:bottom w:val="single" w:color="auto" w:sz="4" w:space="0"/>
              <w:right w:val="single" w:color="auto" w:sz="4" w:space="0"/>
            </w:tcBorders>
            <w:vAlign w:val="center"/>
          </w:tcPr>
          <w:p w14:paraId="1EA064F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1AA3D91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2B7B476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桂林医科大学第二附属医院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0D7FACE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59C1A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0EFA20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滕美艳</w:t>
            </w:r>
          </w:p>
        </w:tc>
        <w:tc>
          <w:tcPr>
            <w:tcW w:w="1583" w:type="dxa"/>
            <w:tcBorders>
              <w:top w:val="single" w:color="auto" w:sz="4" w:space="0"/>
              <w:left w:val="single" w:color="auto" w:sz="4" w:space="0"/>
              <w:bottom w:val="single" w:color="auto" w:sz="4" w:space="0"/>
              <w:right w:val="single" w:color="auto" w:sz="4" w:space="0"/>
            </w:tcBorders>
            <w:vAlign w:val="center"/>
          </w:tcPr>
          <w:p w14:paraId="732F822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护理部主任/主任护师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6546FEC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6CB6BFB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联勤保障部队第924医院</w:t>
            </w:r>
          </w:p>
        </w:tc>
        <w:tc>
          <w:tcPr>
            <w:tcW w:w="2948" w:type="dxa"/>
            <w:tcBorders>
              <w:top w:val="single" w:color="auto" w:sz="4" w:space="0"/>
              <w:left w:val="single" w:color="auto" w:sz="4" w:space="0"/>
              <w:bottom w:val="single" w:color="auto" w:sz="4" w:space="0"/>
              <w:right w:val="single" w:color="auto" w:sz="4" w:space="0"/>
            </w:tcBorders>
            <w:vAlign w:val="center"/>
          </w:tcPr>
          <w:p w14:paraId="0F2DA03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CA4A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628145E">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唐易姿</w:t>
            </w:r>
          </w:p>
        </w:tc>
        <w:tc>
          <w:tcPr>
            <w:tcW w:w="1583" w:type="dxa"/>
            <w:tcBorders>
              <w:top w:val="single" w:color="auto" w:sz="4" w:space="0"/>
              <w:left w:val="single" w:color="auto" w:sz="4" w:space="0"/>
              <w:bottom w:val="single" w:color="auto" w:sz="4" w:space="0"/>
              <w:right w:val="single" w:color="auto" w:sz="4" w:space="0"/>
            </w:tcBorders>
            <w:vAlign w:val="center"/>
          </w:tcPr>
          <w:p w14:paraId="7BC30B6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514E4C7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40C0524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联勤保障部队第924医院</w:t>
            </w:r>
          </w:p>
        </w:tc>
        <w:tc>
          <w:tcPr>
            <w:tcW w:w="2948" w:type="dxa"/>
            <w:tcBorders>
              <w:top w:val="single" w:color="auto" w:sz="4" w:space="0"/>
              <w:left w:val="single" w:color="auto" w:sz="4" w:space="0"/>
              <w:bottom w:val="single" w:color="auto" w:sz="4" w:space="0"/>
              <w:right w:val="single" w:color="auto" w:sz="4" w:space="0"/>
            </w:tcBorders>
            <w:vAlign w:val="center"/>
          </w:tcPr>
          <w:p w14:paraId="2D5BCC0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根据反馈意见进行文字修改</w:t>
            </w:r>
          </w:p>
        </w:tc>
      </w:tr>
      <w:tr w14:paraId="2A364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C2AF7D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陶丽芬</w:t>
            </w:r>
          </w:p>
        </w:tc>
        <w:tc>
          <w:tcPr>
            <w:tcW w:w="1583" w:type="dxa"/>
            <w:tcBorders>
              <w:top w:val="single" w:color="auto" w:sz="4" w:space="0"/>
              <w:left w:val="single" w:color="auto" w:sz="4" w:space="0"/>
              <w:bottom w:val="single" w:color="auto" w:sz="4" w:space="0"/>
              <w:right w:val="single" w:color="auto" w:sz="4" w:space="0"/>
            </w:tcBorders>
            <w:vAlign w:val="center"/>
          </w:tcPr>
          <w:p w14:paraId="07738D5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7702E57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452A581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联勤保障部队第924医院</w:t>
            </w:r>
          </w:p>
        </w:tc>
        <w:tc>
          <w:tcPr>
            <w:tcW w:w="2948" w:type="dxa"/>
            <w:tcBorders>
              <w:top w:val="single" w:color="auto" w:sz="4" w:space="0"/>
              <w:left w:val="single" w:color="auto" w:sz="4" w:space="0"/>
              <w:bottom w:val="single" w:color="auto" w:sz="4" w:space="0"/>
              <w:right w:val="single" w:color="auto" w:sz="4" w:space="0"/>
            </w:tcBorders>
            <w:vAlign w:val="center"/>
          </w:tcPr>
          <w:p w14:paraId="0482D51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429E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BECFC3E">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蒋云霞</w:t>
            </w:r>
          </w:p>
        </w:tc>
        <w:tc>
          <w:tcPr>
            <w:tcW w:w="1583" w:type="dxa"/>
            <w:tcBorders>
              <w:top w:val="single" w:color="auto" w:sz="4" w:space="0"/>
              <w:left w:val="single" w:color="auto" w:sz="4" w:space="0"/>
              <w:bottom w:val="single" w:color="auto" w:sz="4" w:space="0"/>
              <w:right w:val="single" w:color="auto" w:sz="4" w:space="0"/>
            </w:tcBorders>
            <w:vAlign w:val="center"/>
          </w:tcPr>
          <w:p w14:paraId="482657F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264A86A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5C02A17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联勤保障部队第924医院</w:t>
            </w:r>
          </w:p>
        </w:tc>
        <w:tc>
          <w:tcPr>
            <w:tcW w:w="2948" w:type="dxa"/>
            <w:tcBorders>
              <w:top w:val="single" w:color="auto" w:sz="4" w:space="0"/>
              <w:left w:val="single" w:color="auto" w:sz="4" w:space="0"/>
              <w:bottom w:val="single" w:color="auto" w:sz="4" w:space="0"/>
              <w:right w:val="single" w:color="auto" w:sz="4" w:space="0"/>
            </w:tcBorders>
            <w:vAlign w:val="center"/>
          </w:tcPr>
          <w:p w14:paraId="4E3F3FA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DEA8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8853A56">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陈凤玲</w:t>
            </w:r>
          </w:p>
        </w:tc>
        <w:tc>
          <w:tcPr>
            <w:tcW w:w="1583" w:type="dxa"/>
            <w:tcBorders>
              <w:top w:val="single" w:color="auto" w:sz="4" w:space="0"/>
              <w:left w:val="single" w:color="auto" w:sz="4" w:space="0"/>
              <w:bottom w:val="single" w:color="auto" w:sz="4" w:space="0"/>
              <w:right w:val="single" w:color="auto" w:sz="4" w:space="0"/>
            </w:tcBorders>
            <w:vAlign w:val="center"/>
          </w:tcPr>
          <w:p w14:paraId="5B83EFC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17C717E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1A86207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中山大学附属第六医院</w:t>
            </w:r>
          </w:p>
        </w:tc>
        <w:tc>
          <w:tcPr>
            <w:tcW w:w="2948" w:type="dxa"/>
            <w:tcBorders>
              <w:top w:val="single" w:color="auto" w:sz="4" w:space="0"/>
              <w:left w:val="single" w:color="auto" w:sz="4" w:space="0"/>
              <w:bottom w:val="single" w:color="auto" w:sz="4" w:space="0"/>
              <w:right w:val="single" w:color="auto" w:sz="4" w:space="0"/>
            </w:tcBorders>
            <w:vAlign w:val="center"/>
          </w:tcPr>
          <w:p w14:paraId="7E8A00C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数据收集，撰写现状调研报告，揭示当前存在的问题和需求</w:t>
            </w:r>
          </w:p>
        </w:tc>
      </w:tr>
      <w:tr w14:paraId="53EB1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62D05E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李群</w:t>
            </w:r>
          </w:p>
        </w:tc>
        <w:tc>
          <w:tcPr>
            <w:tcW w:w="1583" w:type="dxa"/>
            <w:tcBorders>
              <w:top w:val="single" w:color="auto" w:sz="4" w:space="0"/>
              <w:left w:val="single" w:color="auto" w:sz="4" w:space="0"/>
              <w:bottom w:val="single" w:color="auto" w:sz="4" w:space="0"/>
              <w:right w:val="single" w:color="auto" w:sz="4" w:space="0"/>
            </w:tcBorders>
            <w:vAlign w:val="center"/>
          </w:tcPr>
          <w:p w14:paraId="67C0F29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7B3871C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527FC2B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中南大学湘雅二医院桂林医院</w:t>
            </w:r>
          </w:p>
        </w:tc>
        <w:tc>
          <w:tcPr>
            <w:tcW w:w="2948" w:type="dxa"/>
            <w:tcBorders>
              <w:top w:val="single" w:color="auto" w:sz="4" w:space="0"/>
              <w:left w:val="single" w:color="auto" w:sz="4" w:space="0"/>
              <w:bottom w:val="single" w:color="auto" w:sz="4" w:space="0"/>
              <w:right w:val="single" w:color="auto" w:sz="4" w:space="0"/>
            </w:tcBorders>
            <w:vAlign w:val="center"/>
          </w:tcPr>
          <w:p w14:paraId="7116F2D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负责标准全文的统一格式和规范化</w:t>
            </w:r>
          </w:p>
        </w:tc>
      </w:tr>
      <w:tr w14:paraId="1DC4E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D34478F">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宋仕芬</w:t>
            </w:r>
          </w:p>
        </w:tc>
        <w:tc>
          <w:tcPr>
            <w:tcW w:w="1583" w:type="dxa"/>
            <w:tcBorders>
              <w:top w:val="single" w:color="auto" w:sz="4" w:space="0"/>
              <w:left w:val="single" w:color="auto" w:sz="4" w:space="0"/>
              <w:bottom w:val="single" w:color="auto" w:sz="4" w:space="0"/>
              <w:right w:val="single" w:color="auto" w:sz="4" w:space="0"/>
            </w:tcBorders>
            <w:vAlign w:val="center"/>
          </w:tcPr>
          <w:p w14:paraId="41ACD5D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3769573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神经内科护理学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7174D8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玉林市人民医院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F7AF3A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15FF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8E4AA5E">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莫玉芳</w:t>
            </w:r>
          </w:p>
        </w:tc>
        <w:tc>
          <w:tcPr>
            <w:tcW w:w="1583" w:type="dxa"/>
            <w:tcBorders>
              <w:top w:val="single" w:color="auto" w:sz="4" w:space="0"/>
              <w:left w:val="single" w:color="auto" w:sz="4" w:space="0"/>
              <w:bottom w:val="single" w:color="auto" w:sz="4" w:space="0"/>
              <w:right w:val="single" w:color="auto" w:sz="4" w:space="0"/>
            </w:tcBorders>
            <w:vAlign w:val="center"/>
          </w:tcPr>
          <w:p w14:paraId="5B9D7B6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护士长/主管护师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4A3E071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56BD69A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中南大学湘雅二医院桂林医院</w:t>
            </w:r>
          </w:p>
        </w:tc>
        <w:tc>
          <w:tcPr>
            <w:tcW w:w="2948" w:type="dxa"/>
            <w:tcBorders>
              <w:top w:val="single" w:color="auto" w:sz="4" w:space="0"/>
              <w:left w:val="single" w:color="auto" w:sz="4" w:space="0"/>
              <w:bottom w:val="single" w:color="auto" w:sz="4" w:space="0"/>
              <w:right w:val="single" w:color="auto" w:sz="4" w:space="0"/>
            </w:tcBorders>
            <w:vAlign w:val="center"/>
          </w:tcPr>
          <w:p w14:paraId="197091E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4828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D60768B">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李兰芳</w:t>
            </w:r>
          </w:p>
        </w:tc>
        <w:tc>
          <w:tcPr>
            <w:tcW w:w="1583" w:type="dxa"/>
            <w:tcBorders>
              <w:top w:val="single" w:color="auto" w:sz="4" w:space="0"/>
              <w:left w:val="single" w:color="auto" w:sz="4" w:space="0"/>
              <w:bottom w:val="single" w:color="auto" w:sz="4" w:space="0"/>
              <w:right w:val="single" w:color="auto" w:sz="4" w:space="0"/>
            </w:tcBorders>
            <w:vAlign w:val="center"/>
          </w:tcPr>
          <w:p w14:paraId="47A16AC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护士长/主管护师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6010F8F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3171ACA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中南大学湘雅二医院桂林医院</w:t>
            </w:r>
          </w:p>
        </w:tc>
        <w:tc>
          <w:tcPr>
            <w:tcW w:w="2948" w:type="dxa"/>
            <w:tcBorders>
              <w:top w:val="single" w:color="auto" w:sz="4" w:space="0"/>
              <w:left w:val="single" w:color="auto" w:sz="4" w:space="0"/>
              <w:bottom w:val="single" w:color="auto" w:sz="4" w:space="0"/>
              <w:right w:val="single" w:color="auto" w:sz="4" w:space="0"/>
            </w:tcBorders>
            <w:vAlign w:val="center"/>
          </w:tcPr>
          <w:p w14:paraId="0150548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601A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15AD0F0">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熊丽君</w:t>
            </w:r>
          </w:p>
        </w:tc>
        <w:tc>
          <w:tcPr>
            <w:tcW w:w="1583" w:type="dxa"/>
            <w:tcBorders>
              <w:top w:val="single" w:color="auto" w:sz="4" w:space="0"/>
              <w:left w:val="single" w:color="auto" w:sz="4" w:space="0"/>
              <w:bottom w:val="single" w:color="auto" w:sz="4" w:space="0"/>
              <w:right w:val="single" w:color="auto" w:sz="4" w:space="0"/>
            </w:tcBorders>
            <w:vAlign w:val="center"/>
          </w:tcPr>
          <w:p w14:paraId="058F1BF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护士长/主管护师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780D64D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0CA17E5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玉林市人民医院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2E5830E5">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1FC7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3AB8A41">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范元仙</w:t>
            </w:r>
          </w:p>
        </w:tc>
        <w:tc>
          <w:tcPr>
            <w:tcW w:w="1583" w:type="dxa"/>
            <w:tcBorders>
              <w:top w:val="single" w:color="auto" w:sz="4" w:space="0"/>
              <w:left w:val="single" w:color="auto" w:sz="4" w:space="0"/>
              <w:bottom w:val="single" w:color="auto" w:sz="4" w:space="0"/>
              <w:right w:val="single" w:color="auto" w:sz="4" w:space="0"/>
            </w:tcBorders>
            <w:vAlign w:val="center"/>
          </w:tcPr>
          <w:p w14:paraId="074C616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44AD47F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A2129A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右江民族医学院附属医院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795F8E9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425ED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FCFB660">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冉媚</w:t>
            </w:r>
          </w:p>
        </w:tc>
        <w:tc>
          <w:tcPr>
            <w:tcW w:w="1583" w:type="dxa"/>
            <w:tcBorders>
              <w:top w:val="single" w:color="auto" w:sz="4" w:space="0"/>
              <w:left w:val="single" w:color="auto" w:sz="4" w:space="0"/>
              <w:bottom w:val="single" w:color="auto" w:sz="4" w:space="0"/>
              <w:right w:val="single" w:color="auto" w:sz="4" w:space="0"/>
            </w:tcBorders>
            <w:vAlign w:val="center"/>
          </w:tcPr>
          <w:p w14:paraId="07C83F05">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22AB9AB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0D8E96A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右江民族医学院附属医院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17002E0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4CA76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EABC8D1">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杨小松</w:t>
            </w:r>
          </w:p>
        </w:tc>
        <w:tc>
          <w:tcPr>
            <w:tcW w:w="1583" w:type="dxa"/>
            <w:tcBorders>
              <w:top w:val="single" w:color="auto" w:sz="4" w:space="0"/>
              <w:left w:val="single" w:color="auto" w:sz="4" w:space="0"/>
              <w:bottom w:val="single" w:color="auto" w:sz="4" w:space="0"/>
              <w:right w:val="single" w:color="auto" w:sz="4" w:space="0"/>
            </w:tcBorders>
            <w:vAlign w:val="center"/>
          </w:tcPr>
          <w:p w14:paraId="3859B38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4FC50FD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13AFBBF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右江民族医学院附属医院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2ABCB27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06E36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30E7C8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苟红红</w:t>
            </w:r>
          </w:p>
        </w:tc>
        <w:tc>
          <w:tcPr>
            <w:tcW w:w="1583" w:type="dxa"/>
            <w:tcBorders>
              <w:top w:val="single" w:color="auto" w:sz="4" w:space="0"/>
              <w:left w:val="single" w:color="auto" w:sz="4" w:space="0"/>
              <w:bottom w:val="single" w:color="auto" w:sz="4" w:space="0"/>
              <w:right w:val="single" w:color="auto" w:sz="4" w:space="0"/>
            </w:tcBorders>
            <w:vAlign w:val="center"/>
          </w:tcPr>
          <w:p w14:paraId="1B63E99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54FFCB0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B5C8A4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定西市人民医院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8E4934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管理团队共享文档</w:t>
            </w:r>
          </w:p>
        </w:tc>
      </w:tr>
      <w:tr w14:paraId="34C57B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C50972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刘小艳</w:t>
            </w:r>
          </w:p>
        </w:tc>
        <w:tc>
          <w:tcPr>
            <w:tcW w:w="1583" w:type="dxa"/>
            <w:tcBorders>
              <w:top w:val="single" w:color="auto" w:sz="4" w:space="0"/>
              <w:left w:val="single" w:color="auto" w:sz="4" w:space="0"/>
              <w:bottom w:val="single" w:color="auto" w:sz="4" w:space="0"/>
              <w:right w:val="single" w:color="auto" w:sz="4" w:space="0"/>
            </w:tcBorders>
            <w:vAlign w:val="center"/>
          </w:tcPr>
          <w:p w14:paraId="07C9EF4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32416EB5">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中医护理学</w:t>
            </w:r>
          </w:p>
        </w:tc>
        <w:tc>
          <w:tcPr>
            <w:tcW w:w="2386" w:type="dxa"/>
            <w:tcBorders>
              <w:top w:val="single" w:color="auto" w:sz="4" w:space="0"/>
              <w:left w:val="single" w:color="auto" w:sz="4" w:space="0"/>
              <w:bottom w:val="single" w:color="auto" w:sz="4" w:space="0"/>
              <w:right w:val="single" w:color="auto" w:sz="4" w:space="0"/>
            </w:tcBorders>
            <w:vAlign w:val="center"/>
          </w:tcPr>
          <w:p w14:paraId="7FBFC2A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757EEF5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制定详细的时间进度表，跟踪各项任务</w:t>
            </w:r>
          </w:p>
        </w:tc>
      </w:tr>
      <w:tr w14:paraId="4CA30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F78DF96">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秦志英</w:t>
            </w:r>
          </w:p>
        </w:tc>
        <w:tc>
          <w:tcPr>
            <w:tcW w:w="1583" w:type="dxa"/>
            <w:tcBorders>
              <w:top w:val="single" w:color="auto" w:sz="4" w:space="0"/>
              <w:left w:val="single" w:color="auto" w:sz="4" w:space="0"/>
              <w:bottom w:val="single" w:color="auto" w:sz="4" w:space="0"/>
              <w:right w:val="single" w:color="auto" w:sz="4" w:space="0"/>
            </w:tcBorders>
            <w:vAlign w:val="center"/>
          </w:tcPr>
          <w:p w14:paraId="50C1694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76708AE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中医护理学</w:t>
            </w:r>
          </w:p>
        </w:tc>
        <w:tc>
          <w:tcPr>
            <w:tcW w:w="2386" w:type="dxa"/>
            <w:tcBorders>
              <w:top w:val="single" w:color="auto" w:sz="4" w:space="0"/>
              <w:left w:val="single" w:color="auto" w:sz="4" w:space="0"/>
              <w:bottom w:val="single" w:color="auto" w:sz="4" w:space="0"/>
              <w:right w:val="single" w:color="auto" w:sz="4" w:space="0"/>
            </w:tcBorders>
            <w:vAlign w:val="center"/>
          </w:tcPr>
          <w:p w14:paraId="70A3720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灵川县中医医院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4FF661C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56FFC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075CDB4">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康冬燕</w:t>
            </w:r>
          </w:p>
        </w:tc>
        <w:tc>
          <w:tcPr>
            <w:tcW w:w="1583" w:type="dxa"/>
            <w:tcBorders>
              <w:top w:val="single" w:color="auto" w:sz="4" w:space="0"/>
              <w:left w:val="single" w:color="auto" w:sz="4" w:space="0"/>
              <w:bottom w:val="single" w:color="auto" w:sz="4" w:space="0"/>
              <w:right w:val="single" w:color="auto" w:sz="4" w:space="0"/>
            </w:tcBorders>
            <w:vAlign w:val="center"/>
          </w:tcPr>
          <w:p w14:paraId="5D5278C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721F28E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中医护理学</w:t>
            </w:r>
          </w:p>
        </w:tc>
        <w:tc>
          <w:tcPr>
            <w:tcW w:w="2386" w:type="dxa"/>
            <w:tcBorders>
              <w:top w:val="single" w:color="auto" w:sz="4" w:space="0"/>
              <w:left w:val="single" w:color="auto" w:sz="4" w:space="0"/>
              <w:bottom w:val="single" w:color="auto" w:sz="4" w:space="0"/>
              <w:right w:val="single" w:color="auto" w:sz="4" w:space="0"/>
            </w:tcBorders>
            <w:vAlign w:val="center"/>
          </w:tcPr>
          <w:p w14:paraId="180925E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灵川县中医医院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499FBA8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27CF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59540A9">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蒙月宁</w:t>
            </w:r>
          </w:p>
        </w:tc>
        <w:tc>
          <w:tcPr>
            <w:tcW w:w="1583" w:type="dxa"/>
            <w:tcBorders>
              <w:top w:val="single" w:color="auto" w:sz="4" w:space="0"/>
              <w:left w:val="single" w:color="auto" w:sz="4" w:space="0"/>
              <w:bottom w:val="single" w:color="auto" w:sz="4" w:space="0"/>
              <w:right w:val="single" w:color="auto" w:sz="4" w:space="0"/>
            </w:tcBorders>
            <w:vAlign w:val="center"/>
          </w:tcPr>
          <w:p w14:paraId="34420F8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副主任护师/副院长</w:t>
            </w:r>
          </w:p>
        </w:tc>
        <w:tc>
          <w:tcPr>
            <w:tcW w:w="1538" w:type="dxa"/>
            <w:tcBorders>
              <w:top w:val="single" w:color="auto" w:sz="4" w:space="0"/>
              <w:left w:val="single" w:color="auto" w:sz="4" w:space="0"/>
              <w:bottom w:val="single" w:color="auto" w:sz="4" w:space="0"/>
              <w:right w:val="single" w:color="auto" w:sz="4" w:space="0"/>
            </w:tcBorders>
            <w:vAlign w:val="center"/>
          </w:tcPr>
          <w:p w14:paraId="2D5F983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4C5DE73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平乐县人民医院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54538C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7523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1152D20">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郭巧凤</w:t>
            </w:r>
          </w:p>
        </w:tc>
        <w:tc>
          <w:tcPr>
            <w:tcW w:w="1583" w:type="dxa"/>
            <w:tcBorders>
              <w:top w:val="single" w:color="auto" w:sz="4" w:space="0"/>
              <w:left w:val="single" w:color="auto" w:sz="4" w:space="0"/>
              <w:bottom w:val="single" w:color="auto" w:sz="4" w:space="0"/>
              <w:right w:val="single" w:color="auto" w:sz="4" w:space="0"/>
            </w:tcBorders>
            <w:vAlign w:val="center"/>
          </w:tcPr>
          <w:p w14:paraId="1927165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3879831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461785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平乐县人民医院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3D59109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7503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952C68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郭芝佑</w:t>
            </w:r>
          </w:p>
        </w:tc>
        <w:tc>
          <w:tcPr>
            <w:tcW w:w="1583" w:type="dxa"/>
            <w:tcBorders>
              <w:top w:val="single" w:color="auto" w:sz="4" w:space="0"/>
              <w:left w:val="single" w:color="auto" w:sz="4" w:space="0"/>
              <w:bottom w:val="single" w:color="auto" w:sz="4" w:space="0"/>
              <w:right w:val="single" w:color="auto" w:sz="4" w:space="0"/>
            </w:tcBorders>
            <w:vAlign w:val="center"/>
          </w:tcPr>
          <w:p w14:paraId="0EB704C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0234792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3DA005E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平乐县人民医院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BC62D1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20A01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9E21AB5">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农佳佳</w:t>
            </w:r>
          </w:p>
        </w:tc>
        <w:tc>
          <w:tcPr>
            <w:tcW w:w="1583" w:type="dxa"/>
            <w:tcBorders>
              <w:top w:val="single" w:color="auto" w:sz="4" w:space="0"/>
              <w:left w:val="single" w:color="auto" w:sz="4" w:space="0"/>
              <w:bottom w:val="single" w:color="auto" w:sz="4" w:space="0"/>
              <w:right w:val="single" w:color="auto" w:sz="4" w:space="0"/>
            </w:tcBorders>
            <w:vAlign w:val="center"/>
          </w:tcPr>
          <w:p w14:paraId="2621E4D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73DC5F0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76E21F6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荔浦市人民医院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52DAC6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C0E0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4268FEF">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莫晓芳</w:t>
            </w:r>
          </w:p>
        </w:tc>
        <w:tc>
          <w:tcPr>
            <w:tcW w:w="1583" w:type="dxa"/>
            <w:tcBorders>
              <w:top w:val="single" w:color="auto" w:sz="4" w:space="0"/>
              <w:left w:val="single" w:color="auto" w:sz="4" w:space="0"/>
              <w:bottom w:val="single" w:color="auto" w:sz="4" w:space="0"/>
              <w:right w:val="single" w:color="auto" w:sz="4" w:space="0"/>
            </w:tcBorders>
            <w:vAlign w:val="center"/>
          </w:tcPr>
          <w:p w14:paraId="31F5535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265C19C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妇产科护理学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037E530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AAA2A1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2B672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7F72615">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冯立钰</w:t>
            </w:r>
          </w:p>
        </w:tc>
        <w:tc>
          <w:tcPr>
            <w:tcW w:w="1583" w:type="dxa"/>
            <w:tcBorders>
              <w:top w:val="single" w:color="auto" w:sz="4" w:space="0"/>
              <w:left w:val="single" w:color="auto" w:sz="4" w:space="0"/>
              <w:bottom w:val="single" w:color="auto" w:sz="4" w:space="0"/>
              <w:right w:val="single" w:color="auto" w:sz="4" w:space="0"/>
            </w:tcBorders>
            <w:vAlign w:val="center"/>
          </w:tcPr>
          <w:p w14:paraId="6045335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162C3AB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2864E23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4701D2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47D9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D2134B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蒋玲玲</w:t>
            </w:r>
          </w:p>
        </w:tc>
        <w:tc>
          <w:tcPr>
            <w:tcW w:w="1583" w:type="dxa"/>
            <w:tcBorders>
              <w:top w:val="single" w:color="auto" w:sz="4" w:space="0"/>
              <w:left w:val="single" w:color="auto" w:sz="4" w:space="0"/>
              <w:bottom w:val="single" w:color="auto" w:sz="4" w:space="0"/>
              <w:right w:val="single" w:color="auto" w:sz="4" w:space="0"/>
            </w:tcBorders>
            <w:vAlign w:val="center"/>
          </w:tcPr>
          <w:p w14:paraId="353CD8F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245F1CF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16087E2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36B49F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6EA5B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8B4623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周艳莲</w:t>
            </w:r>
          </w:p>
        </w:tc>
        <w:tc>
          <w:tcPr>
            <w:tcW w:w="1583" w:type="dxa"/>
            <w:tcBorders>
              <w:top w:val="single" w:color="auto" w:sz="4" w:space="0"/>
              <w:left w:val="single" w:color="auto" w:sz="4" w:space="0"/>
              <w:bottom w:val="single" w:color="auto" w:sz="4" w:space="0"/>
              <w:right w:val="single" w:color="auto" w:sz="4" w:space="0"/>
            </w:tcBorders>
            <w:vAlign w:val="center"/>
          </w:tcPr>
          <w:p w14:paraId="7857478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06D4D03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3026E07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8EBB8A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5AA6E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AB0BC8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琚蓉蓉</w:t>
            </w:r>
          </w:p>
        </w:tc>
        <w:tc>
          <w:tcPr>
            <w:tcW w:w="1583" w:type="dxa"/>
            <w:tcBorders>
              <w:top w:val="single" w:color="auto" w:sz="4" w:space="0"/>
              <w:left w:val="single" w:color="auto" w:sz="4" w:space="0"/>
              <w:bottom w:val="single" w:color="auto" w:sz="4" w:space="0"/>
              <w:right w:val="single" w:color="auto" w:sz="4" w:space="0"/>
            </w:tcBorders>
            <w:vAlign w:val="center"/>
          </w:tcPr>
          <w:p w14:paraId="385B622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459DB14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0466792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92ADF5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ACC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DFFA58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汤黎</w:t>
            </w:r>
          </w:p>
        </w:tc>
        <w:tc>
          <w:tcPr>
            <w:tcW w:w="1583" w:type="dxa"/>
            <w:tcBorders>
              <w:top w:val="single" w:color="auto" w:sz="4" w:space="0"/>
              <w:left w:val="single" w:color="auto" w:sz="4" w:space="0"/>
              <w:bottom w:val="single" w:color="auto" w:sz="4" w:space="0"/>
              <w:right w:val="single" w:color="auto" w:sz="4" w:space="0"/>
            </w:tcBorders>
            <w:vAlign w:val="center"/>
          </w:tcPr>
          <w:p w14:paraId="45B02A5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203C375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5F013AC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3B60069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4B5F2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A0A2564">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田玲</w:t>
            </w:r>
          </w:p>
        </w:tc>
        <w:tc>
          <w:tcPr>
            <w:tcW w:w="1583" w:type="dxa"/>
            <w:tcBorders>
              <w:top w:val="single" w:color="auto" w:sz="4" w:space="0"/>
              <w:left w:val="single" w:color="auto" w:sz="4" w:space="0"/>
              <w:bottom w:val="single" w:color="auto" w:sz="4" w:space="0"/>
              <w:right w:val="single" w:color="auto" w:sz="4" w:space="0"/>
            </w:tcBorders>
            <w:vAlign w:val="center"/>
          </w:tcPr>
          <w:p w14:paraId="13F3189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58455A7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4F1E7E0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886B77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27AE5A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B4811A6">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刘润香</w:t>
            </w:r>
          </w:p>
        </w:tc>
        <w:tc>
          <w:tcPr>
            <w:tcW w:w="1583" w:type="dxa"/>
            <w:tcBorders>
              <w:top w:val="single" w:color="auto" w:sz="4" w:space="0"/>
              <w:left w:val="single" w:color="auto" w:sz="4" w:space="0"/>
              <w:bottom w:val="single" w:color="auto" w:sz="4" w:space="0"/>
              <w:right w:val="single" w:color="auto" w:sz="4" w:space="0"/>
            </w:tcBorders>
            <w:vAlign w:val="center"/>
          </w:tcPr>
          <w:p w14:paraId="667CDDE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25D7B23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20BB7A8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F1EC01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047B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5CFDAE4">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陈彩虹</w:t>
            </w:r>
          </w:p>
        </w:tc>
        <w:tc>
          <w:tcPr>
            <w:tcW w:w="1583" w:type="dxa"/>
            <w:tcBorders>
              <w:top w:val="single" w:color="auto" w:sz="4" w:space="0"/>
              <w:left w:val="single" w:color="auto" w:sz="4" w:space="0"/>
              <w:bottom w:val="single" w:color="auto" w:sz="4" w:space="0"/>
              <w:right w:val="single" w:color="auto" w:sz="4" w:space="0"/>
            </w:tcBorders>
            <w:vAlign w:val="center"/>
          </w:tcPr>
          <w:p w14:paraId="574217B5">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6E9BF5A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197ABB8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4739ED3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08CA9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14561AD">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曾桂敏</w:t>
            </w:r>
          </w:p>
        </w:tc>
        <w:tc>
          <w:tcPr>
            <w:tcW w:w="1583" w:type="dxa"/>
            <w:tcBorders>
              <w:top w:val="single" w:color="auto" w:sz="4" w:space="0"/>
              <w:left w:val="single" w:color="auto" w:sz="4" w:space="0"/>
              <w:bottom w:val="single" w:color="auto" w:sz="4" w:space="0"/>
              <w:right w:val="single" w:color="auto" w:sz="4" w:space="0"/>
            </w:tcBorders>
            <w:vAlign w:val="center"/>
          </w:tcPr>
          <w:p w14:paraId="5C1B580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32CEC87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6733815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056645A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DF32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4BB200A">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欧唤</w:t>
            </w:r>
          </w:p>
        </w:tc>
        <w:tc>
          <w:tcPr>
            <w:tcW w:w="1583" w:type="dxa"/>
            <w:tcBorders>
              <w:top w:val="single" w:color="auto" w:sz="4" w:space="0"/>
              <w:left w:val="single" w:color="auto" w:sz="4" w:space="0"/>
              <w:bottom w:val="single" w:color="auto" w:sz="4" w:space="0"/>
              <w:right w:val="single" w:color="auto" w:sz="4" w:space="0"/>
            </w:tcBorders>
            <w:vAlign w:val="center"/>
          </w:tcPr>
          <w:p w14:paraId="4F0F60E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16D9DC0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5C7738A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291AA21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62358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ED164A1">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梁庆萍</w:t>
            </w:r>
          </w:p>
        </w:tc>
        <w:tc>
          <w:tcPr>
            <w:tcW w:w="1583" w:type="dxa"/>
            <w:tcBorders>
              <w:top w:val="single" w:color="auto" w:sz="4" w:space="0"/>
              <w:left w:val="single" w:color="auto" w:sz="4" w:space="0"/>
              <w:bottom w:val="single" w:color="auto" w:sz="4" w:space="0"/>
              <w:right w:val="single" w:color="auto" w:sz="4" w:space="0"/>
            </w:tcBorders>
            <w:vAlign w:val="center"/>
          </w:tcPr>
          <w:p w14:paraId="62B15D6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4536E60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2DBBECD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35485BB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BB38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0172B9F">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黎素珍</w:t>
            </w:r>
          </w:p>
        </w:tc>
        <w:tc>
          <w:tcPr>
            <w:tcW w:w="1583" w:type="dxa"/>
            <w:tcBorders>
              <w:top w:val="single" w:color="auto" w:sz="4" w:space="0"/>
              <w:left w:val="single" w:color="auto" w:sz="4" w:space="0"/>
              <w:bottom w:val="single" w:color="auto" w:sz="4" w:space="0"/>
              <w:right w:val="single" w:color="auto" w:sz="4" w:space="0"/>
            </w:tcBorders>
            <w:vAlign w:val="center"/>
          </w:tcPr>
          <w:p w14:paraId="7C212B6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37EF1BF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3F67B5F5">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3D0DC7D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1907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FE31F7D">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范海萍</w:t>
            </w:r>
          </w:p>
        </w:tc>
        <w:tc>
          <w:tcPr>
            <w:tcW w:w="1583" w:type="dxa"/>
            <w:tcBorders>
              <w:top w:val="single" w:color="auto" w:sz="4" w:space="0"/>
              <w:left w:val="single" w:color="auto" w:sz="4" w:space="0"/>
              <w:bottom w:val="single" w:color="auto" w:sz="4" w:space="0"/>
              <w:right w:val="single" w:color="auto" w:sz="4" w:space="0"/>
            </w:tcBorders>
            <w:vAlign w:val="center"/>
          </w:tcPr>
          <w:p w14:paraId="292C7FD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403FEE2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2FD1734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4A7516E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27F94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899D7C0">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文永永</w:t>
            </w:r>
          </w:p>
        </w:tc>
        <w:tc>
          <w:tcPr>
            <w:tcW w:w="1583" w:type="dxa"/>
            <w:tcBorders>
              <w:top w:val="single" w:color="auto" w:sz="4" w:space="0"/>
              <w:left w:val="single" w:color="auto" w:sz="4" w:space="0"/>
              <w:bottom w:val="single" w:color="auto" w:sz="4" w:space="0"/>
              <w:right w:val="single" w:color="auto" w:sz="4" w:space="0"/>
            </w:tcBorders>
            <w:vAlign w:val="center"/>
          </w:tcPr>
          <w:p w14:paraId="6C95217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778D3AB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464462E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1D6EF0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9E35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D26AEB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和丽荣</w:t>
            </w:r>
          </w:p>
        </w:tc>
        <w:tc>
          <w:tcPr>
            <w:tcW w:w="1583" w:type="dxa"/>
            <w:tcBorders>
              <w:top w:val="single" w:color="auto" w:sz="4" w:space="0"/>
              <w:left w:val="single" w:color="auto" w:sz="4" w:space="0"/>
              <w:bottom w:val="single" w:color="auto" w:sz="4" w:space="0"/>
              <w:right w:val="single" w:color="auto" w:sz="4" w:space="0"/>
            </w:tcBorders>
            <w:vAlign w:val="center"/>
          </w:tcPr>
          <w:p w14:paraId="0EE4635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18F3728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3DFC565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22EE24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A6DC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DC29AAF">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杨敏</w:t>
            </w:r>
          </w:p>
        </w:tc>
        <w:tc>
          <w:tcPr>
            <w:tcW w:w="1583" w:type="dxa"/>
            <w:tcBorders>
              <w:top w:val="single" w:color="auto" w:sz="4" w:space="0"/>
              <w:left w:val="single" w:color="auto" w:sz="4" w:space="0"/>
              <w:bottom w:val="single" w:color="auto" w:sz="4" w:space="0"/>
              <w:right w:val="single" w:color="auto" w:sz="4" w:space="0"/>
            </w:tcBorders>
            <w:vAlign w:val="center"/>
          </w:tcPr>
          <w:p w14:paraId="4BB09F8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270F19F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021C716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786DB5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5C34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5B52A08">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梁金兰</w:t>
            </w:r>
          </w:p>
        </w:tc>
        <w:tc>
          <w:tcPr>
            <w:tcW w:w="1583" w:type="dxa"/>
            <w:tcBorders>
              <w:top w:val="single" w:color="auto" w:sz="4" w:space="0"/>
              <w:left w:val="single" w:color="auto" w:sz="4" w:space="0"/>
              <w:bottom w:val="single" w:color="auto" w:sz="4" w:space="0"/>
              <w:right w:val="single" w:color="auto" w:sz="4" w:space="0"/>
            </w:tcBorders>
            <w:vAlign w:val="center"/>
          </w:tcPr>
          <w:p w14:paraId="2D7A30F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701F817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5801949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1311E3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2668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F95BF4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秦小华</w:t>
            </w:r>
          </w:p>
        </w:tc>
        <w:tc>
          <w:tcPr>
            <w:tcW w:w="1583" w:type="dxa"/>
            <w:tcBorders>
              <w:top w:val="single" w:color="auto" w:sz="4" w:space="0"/>
              <w:left w:val="single" w:color="auto" w:sz="4" w:space="0"/>
              <w:bottom w:val="single" w:color="auto" w:sz="4" w:space="0"/>
              <w:right w:val="single" w:color="auto" w:sz="4" w:space="0"/>
            </w:tcBorders>
            <w:vAlign w:val="center"/>
          </w:tcPr>
          <w:p w14:paraId="2FF5B32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6B81D71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2A74657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440313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0F4DC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F0D417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伍燕玲</w:t>
            </w:r>
          </w:p>
        </w:tc>
        <w:tc>
          <w:tcPr>
            <w:tcW w:w="1583" w:type="dxa"/>
            <w:tcBorders>
              <w:top w:val="single" w:color="auto" w:sz="4" w:space="0"/>
              <w:left w:val="single" w:color="auto" w:sz="4" w:space="0"/>
              <w:bottom w:val="single" w:color="auto" w:sz="4" w:space="0"/>
              <w:right w:val="single" w:color="auto" w:sz="4" w:space="0"/>
            </w:tcBorders>
            <w:vAlign w:val="center"/>
          </w:tcPr>
          <w:p w14:paraId="6D6562E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6C76DCB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DE3673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024B16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D462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D13BBF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苏悦</w:t>
            </w:r>
          </w:p>
        </w:tc>
        <w:tc>
          <w:tcPr>
            <w:tcW w:w="1583" w:type="dxa"/>
            <w:tcBorders>
              <w:top w:val="single" w:color="auto" w:sz="4" w:space="0"/>
              <w:left w:val="single" w:color="auto" w:sz="4" w:space="0"/>
              <w:bottom w:val="single" w:color="auto" w:sz="4" w:space="0"/>
              <w:right w:val="single" w:color="auto" w:sz="4" w:space="0"/>
            </w:tcBorders>
            <w:vAlign w:val="center"/>
          </w:tcPr>
          <w:p w14:paraId="3717AC1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6C6240F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1DEB4D5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2FE21B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FA60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CCD16FF">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曾林利</w:t>
            </w:r>
          </w:p>
        </w:tc>
        <w:tc>
          <w:tcPr>
            <w:tcW w:w="1583" w:type="dxa"/>
            <w:tcBorders>
              <w:top w:val="single" w:color="auto" w:sz="4" w:space="0"/>
              <w:left w:val="single" w:color="auto" w:sz="4" w:space="0"/>
              <w:bottom w:val="single" w:color="auto" w:sz="4" w:space="0"/>
              <w:right w:val="single" w:color="auto" w:sz="4" w:space="0"/>
            </w:tcBorders>
            <w:vAlign w:val="center"/>
          </w:tcPr>
          <w:p w14:paraId="5DB8EF7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4635BEB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3479353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20C6DD5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5F89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A5EE71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潘乐</w:t>
            </w:r>
          </w:p>
        </w:tc>
        <w:tc>
          <w:tcPr>
            <w:tcW w:w="1583" w:type="dxa"/>
            <w:tcBorders>
              <w:top w:val="single" w:color="auto" w:sz="4" w:space="0"/>
              <w:left w:val="single" w:color="auto" w:sz="4" w:space="0"/>
              <w:bottom w:val="single" w:color="auto" w:sz="4" w:space="0"/>
              <w:right w:val="single" w:color="auto" w:sz="4" w:space="0"/>
            </w:tcBorders>
            <w:vAlign w:val="center"/>
          </w:tcPr>
          <w:p w14:paraId="72E962E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564FB0C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25C7A9B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10BC40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79518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80E3664">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杨博</w:t>
            </w:r>
          </w:p>
        </w:tc>
        <w:tc>
          <w:tcPr>
            <w:tcW w:w="1583" w:type="dxa"/>
            <w:tcBorders>
              <w:top w:val="single" w:color="auto" w:sz="4" w:space="0"/>
              <w:left w:val="single" w:color="auto" w:sz="4" w:space="0"/>
              <w:bottom w:val="single" w:color="auto" w:sz="4" w:space="0"/>
              <w:right w:val="single" w:color="auto" w:sz="4" w:space="0"/>
            </w:tcBorders>
            <w:vAlign w:val="center"/>
          </w:tcPr>
          <w:p w14:paraId="75CE49C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5BBF9DB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泌尿外科学</w:t>
            </w:r>
          </w:p>
        </w:tc>
        <w:tc>
          <w:tcPr>
            <w:tcW w:w="2386" w:type="dxa"/>
            <w:tcBorders>
              <w:top w:val="single" w:color="auto" w:sz="4" w:space="0"/>
              <w:left w:val="single" w:color="auto" w:sz="4" w:space="0"/>
              <w:bottom w:val="single" w:color="auto" w:sz="4" w:space="0"/>
              <w:right w:val="single" w:color="auto" w:sz="4" w:space="0"/>
            </w:tcBorders>
            <w:vAlign w:val="center"/>
          </w:tcPr>
          <w:p w14:paraId="7A486B9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46646B5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E5E7C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D247A7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梁伟霞</w:t>
            </w:r>
          </w:p>
        </w:tc>
        <w:tc>
          <w:tcPr>
            <w:tcW w:w="1583" w:type="dxa"/>
            <w:tcBorders>
              <w:top w:val="single" w:color="auto" w:sz="4" w:space="0"/>
              <w:left w:val="single" w:color="auto" w:sz="4" w:space="0"/>
              <w:bottom w:val="single" w:color="auto" w:sz="4" w:space="0"/>
              <w:right w:val="single" w:color="auto" w:sz="4" w:space="0"/>
            </w:tcBorders>
            <w:vAlign w:val="center"/>
          </w:tcPr>
          <w:p w14:paraId="7AA0B4E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26865EC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1FA03F1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广西医科大学第一附属医院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632AE5E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确保标准内容切合临床实际，具有可操作性</w:t>
            </w:r>
          </w:p>
        </w:tc>
      </w:tr>
      <w:tr w14:paraId="52E85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963C8DC">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全翔凤</w:t>
            </w:r>
          </w:p>
        </w:tc>
        <w:tc>
          <w:tcPr>
            <w:tcW w:w="1583" w:type="dxa"/>
            <w:tcBorders>
              <w:top w:val="single" w:color="auto" w:sz="4" w:space="0"/>
              <w:left w:val="single" w:color="auto" w:sz="4" w:space="0"/>
              <w:bottom w:val="single" w:color="auto" w:sz="4" w:space="0"/>
              <w:right w:val="single" w:color="auto" w:sz="4" w:space="0"/>
            </w:tcBorders>
            <w:vAlign w:val="center"/>
          </w:tcPr>
          <w:p w14:paraId="11D3060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06CF1CA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4767DE7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桂林医学院附属医院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0DEE918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5B376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575D65A">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栗霞</w:t>
            </w:r>
          </w:p>
        </w:tc>
        <w:tc>
          <w:tcPr>
            <w:tcW w:w="1583" w:type="dxa"/>
            <w:tcBorders>
              <w:top w:val="single" w:color="auto" w:sz="4" w:space="0"/>
              <w:left w:val="single" w:color="auto" w:sz="4" w:space="0"/>
              <w:bottom w:val="single" w:color="auto" w:sz="4" w:space="0"/>
              <w:right w:val="single" w:color="auto" w:sz="4" w:space="0"/>
            </w:tcBorders>
            <w:vAlign w:val="center"/>
          </w:tcPr>
          <w:p w14:paraId="7077979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护理部主任/主任护师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7827B4F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3CDDE51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中山大学附属第六医院</w:t>
            </w:r>
          </w:p>
        </w:tc>
        <w:tc>
          <w:tcPr>
            <w:tcW w:w="2948" w:type="dxa"/>
            <w:tcBorders>
              <w:top w:val="single" w:color="auto" w:sz="4" w:space="0"/>
              <w:left w:val="single" w:color="auto" w:sz="4" w:space="0"/>
              <w:bottom w:val="single" w:color="auto" w:sz="4" w:space="0"/>
              <w:right w:val="single" w:color="auto" w:sz="4" w:space="0"/>
            </w:tcBorders>
            <w:vAlign w:val="center"/>
          </w:tcPr>
          <w:p w14:paraId="372C9E0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449CB1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7DFE653">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周燕</w:t>
            </w:r>
          </w:p>
        </w:tc>
        <w:tc>
          <w:tcPr>
            <w:tcW w:w="1583" w:type="dxa"/>
            <w:tcBorders>
              <w:top w:val="single" w:color="auto" w:sz="4" w:space="0"/>
              <w:left w:val="single" w:color="auto" w:sz="4" w:space="0"/>
              <w:bottom w:val="single" w:color="auto" w:sz="4" w:space="0"/>
              <w:right w:val="single" w:color="auto" w:sz="4" w:space="0"/>
            </w:tcBorders>
            <w:vAlign w:val="center"/>
          </w:tcPr>
          <w:p w14:paraId="0110E0F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护理部主任/主任护师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6918019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11FDAD8E">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06CB9F3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确定标准的技术框架及核心内容，最终审核所有重要文件</w:t>
            </w:r>
          </w:p>
        </w:tc>
      </w:tr>
      <w:tr w14:paraId="3EA2B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B3A427D">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申萍</w:t>
            </w:r>
          </w:p>
        </w:tc>
        <w:tc>
          <w:tcPr>
            <w:tcW w:w="1583" w:type="dxa"/>
            <w:tcBorders>
              <w:top w:val="single" w:color="auto" w:sz="4" w:space="0"/>
              <w:left w:val="single" w:color="auto" w:sz="4" w:space="0"/>
              <w:bottom w:val="single" w:color="auto" w:sz="4" w:space="0"/>
              <w:right w:val="single" w:color="auto" w:sz="4" w:space="0"/>
            </w:tcBorders>
            <w:vAlign w:val="center"/>
          </w:tcPr>
          <w:p w14:paraId="2E37D36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护理部副主任/副主任护师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432F31D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61384CFB">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D4FEB5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1CADE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77EC1B6">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潘慧蓉</w:t>
            </w:r>
          </w:p>
        </w:tc>
        <w:tc>
          <w:tcPr>
            <w:tcW w:w="1583" w:type="dxa"/>
            <w:tcBorders>
              <w:top w:val="single" w:color="auto" w:sz="4" w:space="0"/>
              <w:left w:val="single" w:color="auto" w:sz="4" w:space="0"/>
              <w:bottom w:val="single" w:color="auto" w:sz="4" w:space="0"/>
              <w:right w:val="single" w:color="auto" w:sz="4" w:space="0"/>
            </w:tcBorders>
            <w:vAlign w:val="center"/>
          </w:tcPr>
          <w:p w14:paraId="7210D8BA">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副主任护师/护士长</w:t>
            </w:r>
          </w:p>
        </w:tc>
        <w:tc>
          <w:tcPr>
            <w:tcW w:w="1538" w:type="dxa"/>
            <w:tcBorders>
              <w:top w:val="single" w:color="auto" w:sz="4" w:space="0"/>
              <w:left w:val="single" w:color="auto" w:sz="4" w:space="0"/>
              <w:bottom w:val="single" w:color="auto" w:sz="4" w:space="0"/>
              <w:right w:val="single" w:color="auto" w:sz="4" w:space="0"/>
            </w:tcBorders>
            <w:vAlign w:val="center"/>
          </w:tcPr>
          <w:p w14:paraId="002CA9B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53B71E4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3A50ABE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250024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7F7039D">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王胜</w:t>
            </w:r>
          </w:p>
        </w:tc>
        <w:tc>
          <w:tcPr>
            <w:tcW w:w="1583" w:type="dxa"/>
            <w:tcBorders>
              <w:top w:val="single" w:color="auto" w:sz="4" w:space="0"/>
              <w:left w:val="single" w:color="auto" w:sz="4" w:space="0"/>
              <w:bottom w:val="single" w:color="auto" w:sz="4" w:space="0"/>
              <w:right w:val="single" w:color="auto" w:sz="4" w:space="0"/>
            </w:tcBorders>
            <w:vAlign w:val="center"/>
          </w:tcPr>
          <w:p w14:paraId="3E12FD4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主任医师/科主任</w:t>
            </w:r>
          </w:p>
        </w:tc>
        <w:tc>
          <w:tcPr>
            <w:tcW w:w="1538" w:type="dxa"/>
            <w:tcBorders>
              <w:top w:val="single" w:color="auto" w:sz="4" w:space="0"/>
              <w:left w:val="single" w:color="auto" w:sz="4" w:space="0"/>
              <w:bottom w:val="single" w:color="auto" w:sz="4" w:space="0"/>
              <w:right w:val="single" w:color="auto" w:sz="4" w:space="0"/>
            </w:tcBorders>
            <w:vAlign w:val="center"/>
          </w:tcPr>
          <w:p w14:paraId="2E53FC9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泌尿外科学</w:t>
            </w:r>
          </w:p>
        </w:tc>
        <w:tc>
          <w:tcPr>
            <w:tcW w:w="2386" w:type="dxa"/>
            <w:tcBorders>
              <w:top w:val="single" w:color="auto" w:sz="4" w:space="0"/>
              <w:left w:val="single" w:color="auto" w:sz="4" w:space="0"/>
              <w:bottom w:val="single" w:color="auto" w:sz="4" w:space="0"/>
              <w:right w:val="single" w:color="auto" w:sz="4" w:space="0"/>
            </w:tcBorders>
            <w:vAlign w:val="center"/>
          </w:tcPr>
          <w:p w14:paraId="3F4A2D9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1ACEDBB9">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07D0D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43B7B01">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范明珍</w:t>
            </w:r>
          </w:p>
        </w:tc>
        <w:tc>
          <w:tcPr>
            <w:tcW w:w="1583" w:type="dxa"/>
            <w:tcBorders>
              <w:top w:val="single" w:color="auto" w:sz="4" w:space="0"/>
              <w:left w:val="single" w:color="auto" w:sz="4" w:space="0"/>
              <w:bottom w:val="single" w:color="auto" w:sz="4" w:space="0"/>
              <w:right w:val="single" w:color="auto" w:sz="4" w:space="0"/>
            </w:tcBorders>
            <w:vAlign w:val="center"/>
          </w:tcPr>
          <w:p w14:paraId="2BA6850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高级讲师</w:t>
            </w:r>
          </w:p>
        </w:tc>
        <w:tc>
          <w:tcPr>
            <w:tcW w:w="1538" w:type="dxa"/>
            <w:tcBorders>
              <w:top w:val="single" w:color="auto" w:sz="4" w:space="0"/>
              <w:left w:val="single" w:color="auto" w:sz="4" w:space="0"/>
              <w:bottom w:val="single" w:color="auto" w:sz="4" w:space="0"/>
              <w:right w:val="single" w:color="auto" w:sz="4" w:space="0"/>
            </w:tcBorders>
            <w:vAlign w:val="center"/>
          </w:tcPr>
          <w:p w14:paraId="3E62541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42170AC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桂林市卫校</w:t>
            </w:r>
          </w:p>
        </w:tc>
        <w:tc>
          <w:tcPr>
            <w:tcW w:w="2948" w:type="dxa"/>
            <w:tcBorders>
              <w:top w:val="single" w:color="auto" w:sz="4" w:space="0"/>
              <w:left w:val="single" w:color="auto" w:sz="4" w:space="0"/>
              <w:bottom w:val="single" w:color="auto" w:sz="4" w:space="0"/>
              <w:right w:val="single" w:color="auto" w:sz="4" w:space="0"/>
            </w:tcBorders>
            <w:vAlign w:val="center"/>
          </w:tcPr>
          <w:p w14:paraId="42FEBBF3">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4D422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188B407">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唐晓岚</w:t>
            </w:r>
          </w:p>
        </w:tc>
        <w:tc>
          <w:tcPr>
            <w:tcW w:w="1583" w:type="dxa"/>
            <w:tcBorders>
              <w:top w:val="single" w:color="auto" w:sz="4" w:space="0"/>
              <w:left w:val="single" w:color="auto" w:sz="4" w:space="0"/>
              <w:bottom w:val="single" w:color="auto" w:sz="4" w:space="0"/>
              <w:right w:val="single" w:color="auto" w:sz="4" w:space="0"/>
            </w:tcBorders>
            <w:vAlign w:val="center"/>
          </w:tcPr>
          <w:p w14:paraId="612D8BF7">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副主任护师</w:t>
            </w:r>
          </w:p>
        </w:tc>
        <w:tc>
          <w:tcPr>
            <w:tcW w:w="1538" w:type="dxa"/>
            <w:tcBorders>
              <w:top w:val="single" w:color="auto" w:sz="4" w:space="0"/>
              <w:left w:val="single" w:color="auto" w:sz="4" w:space="0"/>
              <w:bottom w:val="single" w:color="auto" w:sz="4" w:space="0"/>
              <w:right w:val="single" w:color="auto" w:sz="4" w:space="0"/>
            </w:tcBorders>
            <w:vAlign w:val="center"/>
          </w:tcPr>
          <w:p w14:paraId="768959D2">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儿科护理学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1A26F35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7B5807D">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6BFDFE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C930150">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邓勇泉</w:t>
            </w:r>
          </w:p>
        </w:tc>
        <w:tc>
          <w:tcPr>
            <w:tcW w:w="1583" w:type="dxa"/>
            <w:tcBorders>
              <w:top w:val="single" w:color="auto" w:sz="4" w:space="0"/>
              <w:left w:val="single" w:color="auto" w:sz="4" w:space="0"/>
              <w:bottom w:val="single" w:color="auto" w:sz="4" w:space="0"/>
              <w:right w:val="single" w:color="auto" w:sz="4" w:space="0"/>
            </w:tcBorders>
            <w:vAlign w:val="center"/>
          </w:tcPr>
          <w:p w14:paraId="2937BF0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主治医师</w:t>
            </w:r>
          </w:p>
        </w:tc>
        <w:tc>
          <w:tcPr>
            <w:tcW w:w="1538" w:type="dxa"/>
            <w:tcBorders>
              <w:top w:val="single" w:color="auto" w:sz="4" w:space="0"/>
              <w:left w:val="single" w:color="auto" w:sz="4" w:space="0"/>
              <w:bottom w:val="single" w:color="auto" w:sz="4" w:space="0"/>
              <w:right w:val="single" w:color="auto" w:sz="4" w:space="0"/>
            </w:tcBorders>
            <w:vAlign w:val="center"/>
          </w:tcPr>
          <w:p w14:paraId="345955C8">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泌尿外科</w:t>
            </w:r>
          </w:p>
        </w:tc>
        <w:tc>
          <w:tcPr>
            <w:tcW w:w="2386" w:type="dxa"/>
            <w:tcBorders>
              <w:top w:val="single" w:color="auto" w:sz="4" w:space="0"/>
              <w:left w:val="single" w:color="auto" w:sz="4" w:space="0"/>
              <w:bottom w:val="single" w:color="auto" w:sz="4" w:space="0"/>
              <w:right w:val="single" w:color="auto" w:sz="4" w:space="0"/>
            </w:tcBorders>
            <w:vAlign w:val="center"/>
          </w:tcPr>
          <w:p w14:paraId="6995F9C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735B390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46157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262EAE6">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吴沁芸</w:t>
            </w:r>
          </w:p>
        </w:tc>
        <w:tc>
          <w:tcPr>
            <w:tcW w:w="1583" w:type="dxa"/>
            <w:tcBorders>
              <w:top w:val="single" w:color="auto" w:sz="4" w:space="0"/>
              <w:left w:val="single" w:color="auto" w:sz="4" w:space="0"/>
              <w:bottom w:val="single" w:color="auto" w:sz="4" w:space="0"/>
              <w:right w:val="single" w:color="auto" w:sz="4" w:space="0"/>
            </w:tcBorders>
            <w:vAlign w:val="center"/>
          </w:tcPr>
          <w:p w14:paraId="1A055561">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护师</w:t>
            </w:r>
          </w:p>
        </w:tc>
        <w:tc>
          <w:tcPr>
            <w:tcW w:w="1538" w:type="dxa"/>
            <w:tcBorders>
              <w:top w:val="single" w:color="auto" w:sz="4" w:space="0"/>
              <w:left w:val="single" w:color="auto" w:sz="4" w:space="0"/>
              <w:bottom w:val="single" w:color="auto" w:sz="4" w:space="0"/>
              <w:right w:val="single" w:color="auto" w:sz="4" w:space="0"/>
            </w:tcBorders>
            <w:vAlign w:val="center"/>
          </w:tcPr>
          <w:p w14:paraId="65FD0E0F">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内科护理学</w:t>
            </w:r>
          </w:p>
        </w:tc>
        <w:tc>
          <w:tcPr>
            <w:tcW w:w="2386" w:type="dxa"/>
            <w:tcBorders>
              <w:top w:val="single" w:color="auto" w:sz="4" w:space="0"/>
              <w:left w:val="single" w:color="auto" w:sz="4" w:space="0"/>
              <w:bottom w:val="single" w:color="auto" w:sz="4" w:space="0"/>
              <w:right w:val="single" w:color="auto" w:sz="4" w:space="0"/>
            </w:tcBorders>
            <w:vAlign w:val="center"/>
          </w:tcPr>
          <w:p w14:paraId="6FC1944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6F081B40">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r w14:paraId="35943D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983A67E">
            <w:pPr>
              <w:widowControl/>
              <w:jc w:val="center"/>
              <w:textAlignment w:val="center"/>
              <w:rPr>
                <w:rFonts w:hint="eastAsia" w:ascii="仿宋_GB2312" w:hAnsi="仿宋_GB2312" w:eastAsia="仿宋_GB2312" w:cs="仿宋_GB2312"/>
                <w:sz w:val="24"/>
                <w:lang w:bidi="ar"/>
              </w:rPr>
            </w:pPr>
            <w:r>
              <w:rPr>
                <w:rFonts w:hint="eastAsia" w:ascii="仿宋_GB2312" w:hAnsi="仿宋_GB2312" w:eastAsia="仿宋_GB2312" w:cs="仿宋_GB2312"/>
                <w:color w:val="000000"/>
                <w:kern w:val="0"/>
                <w:sz w:val="24"/>
                <w:lang w:bidi="ar"/>
              </w:rPr>
              <w:t>杨中华</w:t>
            </w:r>
          </w:p>
        </w:tc>
        <w:tc>
          <w:tcPr>
            <w:tcW w:w="1583" w:type="dxa"/>
            <w:tcBorders>
              <w:top w:val="single" w:color="auto" w:sz="4" w:space="0"/>
              <w:left w:val="single" w:color="auto" w:sz="4" w:space="0"/>
              <w:bottom w:val="single" w:color="auto" w:sz="4" w:space="0"/>
              <w:right w:val="single" w:color="auto" w:sz="4" w:space="0"/>
            </w:tcBorders>
            <w:vAlign w:val="center"/>
          </w:tcPr>
          <w:p w14:paraId="571D34AC">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主管护师</w:t>
            </w:r>
          </w:p>
        </w:tc>
        <w:tc>
          <w:tcPr>
            <w:tcW w:w="1538" w:type="dxa"/>
            <w:tcBorders>
              <w:top w:val="single" w:color="auto" w:sz="4" w:space="0"/>
              <w:left w:val="single" w:color="auto" w:sz="4" w:space="0"/>
              <w:bottom w:val="single" w:color="auto" w:sz="4" w:space="0"/>
              <w:right w:val="single" w:color="auto" w:sz="4" w:space="0"/>
            </w:tcBorders>
            <w:vAlign w:val="center"/>
          </w:tcPr>
          <w:p w14:paraId="348F8EC4">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护理学</w:t>
            </w:r>
          </w:p>
        </w:tc>
        <w:tc>
          <w:tcPr>
            <w:tcW w:w="2386" w:type="dxa"/>
            <w:tcBorders>
              <w:top w:val="single" w:color="auto" w:sz="4" w:space="0"/>
              <w:left w:val="single" w:color="auto" w:sz="4" w:space="0"/>
              <w:bottom w:val="single" w:color="auto" w:sz="4" w:space="0"/>
              <w:right w:val="single" w:color="auto" w:sz="4" w:space="0"/>
            </w:tcBorders>
            <w:vAlign w:val="center"/>
          </w:tcPr>
          <w:p w14:paraId="1F2FCEE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桂林市人民医院</w:t>
            </w:r>
          </w:p>
        </w:tc>
        <w:tc>
          <w:tcPr>
            <w:tcW w:w="2948" w:type="dxa"/>
            <w:tcBorders>
              <w:top w:val="single" w:color="auto" w:sz="4" w:space="0"/>
              <w:left w:val="single" w:color="auto" w:sz="4" w:space="0"/>
              <w:bottom w:val="single" w:color="auto" w:sz="4" w:space="0"/>
              <w:right w:val="single" w:color="auto" w:sz="4" w:space="0"/>
            </w:tcBorders>
            <w:vAlign w:val="center"/>
          </w:tcPr>
          <w:p w14:paraId="5C9E6316">
            <w:pPr>
              <w:widowControl/>
              <w:jc w:val="center"/>
              <w:textAlignment w:val="center"/>
              <w:rPr>
                <w:rFonts w:hint="eastAsia" w:ascii="仿宋_GB2312" w:hAnsi="仿宋_GB2312" w:eastAsia="仿宋_GB2312" w:cs="仿宋_GB2312"/>
                <w:color w:val="000000"/>
                <w:kern w:val="0"/>
                <w:sz w:val="24"/>
                <w:lang w:bidi="ar"/>
              </w:rPr>
            </w:pPr>
            <w:r>
              <w:rPr>
                <w:rFonts w:hint="eastAsia" w:ascii="仿宋_GB2312" w:hAnsi="仿宋_GB2312" w:eastAsia="仿宋_GB2312" w:cs="仿宋_GB2312"/>
                <w:color w:val="000000"/>
                <w:kern w:val="0"/>
                <w:sz w:val="24"/>
                <w:lang w:bidi="ar"/>
              </w:rPr>
              <w:t>根据文献和调研结果，撰写标准草案</w:t>
            </w:r>
          </w:p>
        </w:tc>
      </w:tr>
    </w:tbl>
    <w:p w14:paraId="0ABC08B2">
      <w:pPr>
        <w:spacing w:line="520" w:lineRule="exact"/>
        <w:ind w:firstLine="640" w:firstLineChars="200"/>
        <w:outlineLvl w:val="0"/>
        <w:rPr>
          <w:rFonts w:ascii="黑体" w:eastAsia="黑体" w:cs="仿宋_GB2312"/>
          <w:sz w:val="32"/>
          <w:szCs w:val="32"/>
        </w:rPr>
      </w:pPr>
      <w:r>
        <w:rPr>
          <w:rFonts w:hint="eastAsia" w:ascii="黑体" w:eastAsia="黑体" w:cs="仿宋_GB2312"/>
          <w:sz w:val="32"/>
          <w:szCs w:val="32"/>
        </w:rPr>
        <w:t>二、制定标准的必要性和意义</w:t>
      </w:r>
    </w:p>
    <w:p w14:paraId="0CE7A7D4">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据记载，早在唐代，孙思邈就已使用“葱管导尿法”为尿潴留患者解决排尿难题。但据流行病学调查及临床统计65％～67％的导尿患者会出现不同程度的不适感。因此，如何在导尿的同时减轻患者的不适感，是所有医护人员值得关注的问题。疼痛和机械性刺激不仅给患者带来不适感，部分患者还可能出现尿道平滑肌痉挛，使尿管插入变得困难，甚至是失败。反复地插入导尿管，对患者的身体和心理都会造成不同程度的伤害。</w:t>
      </w:r>
    </w:p>
    <w:p w14:paraId="07389A1E">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导尿术是患者术前准备的常规内容之一，是一种有创性操作，患者极易出现紧张情绪，在留置尿管的操作过程中，常因尿道狭窄、前列腺增生、对疼痛敏感、紧张、害羞等原因导致插尿管困难甚至失败。而无痛导尿术，是改变传统病房术前常规导尿的护理操作，通过尿管置入时使用局麻药，改变气囊注水方法，耳穴压豆，特殊拔管操作等，可减少尿道刺激和粘膜的损伤、减少尿路感染。尿道有丰富的神经支配，对疼痛特别敏感，未麻醉时插尿管容易引起尿道括约肌强烈收缩，容易损伤黏膜、引起水肿。行无痛导尿术，麻醉后肌肉松弛，各种应激反应降低，此时导尿，尿道阻力比未麻醉时插管阻力大大降低，减少对粘膜的损伤。无痛导尿可减轻患者的心理负担和疼痛刺激。疼痛是伴随着留置尿管的常见症状。</w:t>
      </w:r>
    </w:p>
    <w:p w14:paraId="27A96F95">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根据真实世界数据显示，尿管置入时中重度疼痛发生率（VAS≥4分）国内三甲医院为28％～42％（《中华护理杂志》2021），高危人群（男性/前列腺增生）高达50％～65％（《中国疼痛医学杂志》2022），留置期间持续性疼痛发生率：18％～35％（《Journal of Clinical Nursing》2023中国多中心研究）膀胱痉挛发生率：20％～30％（《中国医疗质量安全管理》第7卷，2023）。因疼痛导致的不良事件：非计划性拔管（UEX）导尿管占比12％～18％（《中国医疗质量安全管理》2023），自拔管中因疼痛所致占UEX事件的35％～50％（广西医科大一附院2022年护理不良事件报告），依从性下降拒绝护理操作15％～22％（《中国护理管理》2022）。根据《中国医疗质量安全管理》（2023）相关数据显示，导尿管相关并发症：CAUTI发生率为0.8～1.5例/千导管日，尿道损伤置入时发生率为1.2％～2.5％，肉眼血尿留置期间发生率为3.8％～7.6％。广西近3年三甲医院区域性数据显示，CAUTI发生率为0.9～1.8例/千导管日（广西医院感染控制中心2023年报），尿道损伤发生率为1.5％～3.0％（广西区人民医院2021～2023年统计），导尿管相关疼痛投诉占比25.3％（广西护理质控中心2022年调研）。广西地区CAUTI率略高于全国均值，凸显操作规范化需求。疼痛相关不良事件在区域数据中占比突出（如自拔管占UEX事件40.2％）。</w:t>
      </w:r>
    </w:p>
    <w:p w14:paraId="3994E203">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当前广西具备无痛化导尿技术，可进行无痛导尿术的医疗机构大约有894家医院，全区每年收治相关患者近百万人次。根据《广西医疗卫生服务体系“十四五”规划》，到2025年，每千常住人口医疗卫生机构床位数计划达到7.5张较2020年的5.9张，增加27.1％的，预计今后无痛化导尿需求更甚。</w:t>
      </w:r>
    </w:p>
    <w:p w14:paraId="739F5257">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当前，各医疗机构在无痛化导尿技术的具体操作要求、疼痛评估标准及护理措施上存在差异。为推进无痛化导尿技术操作的科学化、系统化与标准化，提高患者舒适度，改善就医体验，制定团体标准《无痛化导尿技术操作规范》具有重要意义。</w:t>
      </w:r>
    </w:p>
    <w:p w14:paraId="441B3EEE">
      <w:pPr>
        <w:autoSpaceDE w:val="0"/>
        <w:autoSpaceDN w:val="0"/>
        <w:adjustRightInd w:val="0"/>
        <w:spacing w:line="520" w:lineRule="exact"/>
        <w:ind w:firstLine="640" w:firstLineChars="200"/>
        <w:jc w:val="left"/>
        <w:outlineLvl w:val="0"/>
        <w:rPr>
          <w:rFonts w:ascii="黑体" w:eastAsia="黑体" w:cs="仿宋_GB2312"/>
          <w:sz w:val="32"/>
          <w:szCs w:val="32"/>
        </w:rPr>
      </w:pPr>
      <w:r>
        <w:rPr>
          <w:rFonts w:hint="eastAsia" w:ascii="黑体" w:eastAsia="黑体" w:cs="仿宋_GB2312"/>
          <w:sz w:val="32"/>
          <w:szCs w:val="32"/>
        </w:rPr>
        <w:t>三、主要起草过程</w:t>
      </w:r>
    </w:p>
    <w:p w14:paraId="6449F9D0">
      <w:pPr>
        <w:spacing w:line="520" w:lineRule="exact"/>
        <w:ind w:firstLine="562" w:firstLineChars="200"/>
        <w:outlineLvl w:val="1"/>
        <w:rPr>
          <w:rFonts w:ascii="仿宋_GB2312" w:eastAsia="仿宋_GB2312"/>
          <w:sz w:val="28"/>
          <w:szCs w:val="28"/>
        </w:rPr>
      </w:pPr>
      <w:r>
        <w:rPr>
          <w:rFonts w:hint="eastAsia" w:ascii="仿宋_GB2312" w:eastAsia="仿宋_GB2312" w:cs="仿宋_GB2312"/>
          <w:b/>
          <w:sz w:val="28"/>
          <w:szCs w:val="28"/>
        </w:rPr>
        <w:t>（一）成立标准编制工作组</w:t>
      </w:r>
    </w:p>
    <w:p w14:paraId="05019A1A">
      <w:pPr>
        <w:spacing w:line="520" w:lineRule="exact"/>
        <w:ind w:firstLine="560" w:firstLineChars="200"/>
        <w:jc w:val="left"/>
        <w:rPr>
          <w:rFonts w:ascii="仿宋_GB2312" w:eastAsia="仿宋_GB2312"/>
          <w:sz w:val="28"/>
          <w:szCs w:val="28"/>
        </w:rPr>
      </w:pPr>
      <w:r>
        <w:rPr>
          <w:rFonts w:hint="eastAsia" w:ascii="仿宋_GB2312" w:hAnsi="宋体" w:eastAsia="仿宋_GB2312"/>
          <w:sz w:val="28"/>
          <w:szCs w:val="28"/>
        </w:rPr>
        <w:t>团体标准</w:t>
      </w:r>
      <w:r>
        <w:rPr>
          <w:rFonts w:hint="eastAsia" w:ascii="仿宋_GB2312" w:eastAsia="仿宋_GB2312"/>
          <w:sz w:val="28"/>
          <w:szCs w:val="28"/>
        </w:rPr>
        <w:t>《无痛化导尿技术操作规范》项目任务下达后，由广西壮族自治区脑科医院牵头组织成立了标准编制工作组，制定了起草编写方案与进度安排，明确任务职责，确定工作技术路线，开展标准研制工作。具体标准编制工作由起草单位相关人员配合完成。</w:t>
      </w:r>
    </w:p>
    <w:p w14:paraId="29817C63">
      <w:pPr>
        <w:spacing w:line="520" w:lineRule="exact"/>
        <w:ind w:firstLine="560" w:firstLineChars="200"/>
        <w:rPr>
          <w:rFonts w:ascii="仿宋_GB2312" w:eastAsia="仿宋_GB2312" w:cs="仿宋_GB2312"/>
          <w:sz w:val="28"/>
          <w:szCs w:val="28"/>
        </w:rPr>
      </w:pPr>
      <w:r>
        <w:rPr>
          <w:rFonts w:hint="eastAsia" w:ascii="仿宋_GB2312" w:eastAsia="仿宋_GB2312"/>
          <w:sz w:val="28"/>
          <w:szCs w:val="28"/>
        </w:rPr>
        <w:t>为明确标准编制的任务职责，确定工作技术路线，开展标准研制工作，标准编制工作组下设两个组，分别是资料收集组、草案编写组。资料收集组负责国内外有关无痛化导尿技术操作方面的文献资料的查询、收集和整理工作，查阅前期对无痛化导尿技术操作方面的有关研究情况和目前科学界无痛化导尿技术操作的研究进展；草案编写组负责起草标准草案及后续征求意见稿和标准编制说明、送审稿及编制说明等编写工作，包括后期召开征求意见会、网上征求意见，以及标准的不断修改和完善。</w:t>
      </w:r>
    </w:p>
    <w:p w14:paraId="678DAA7E">
      <w:pPr>
        <w:spacing w:line="520" w:lineRule="exact"/>
        <w:ind w:firstLine="562" w:firstLineChars="200"/>
        <w:outlineLvl w:val="1"/>
        <w:rPr>
          <w:rFonts w:ascii="仿宋_GB2312" w:eastAsia="仿宋_GB2312" w:cs="仿宋_GB2312"/>
          <w:b/>
          <w:sz w:val="28"/>
          <w:szCs w:val="28"/>
        </w:rPr>
      </w:pPr>
      <w:r>
        <w:rPr>
          <w:rFonts w:hint="eastAsia" w:ascii="仿宋_GB2312" w:eastAsia="仿宋_GB2312" w:cs="仿宋_GB2312"/>
          <w:b/>
          <w:sz w:val="28"/>
          <w:szCs w:val="28"/>
        </w:rPr>
        <w:t>（二）收集整理文献资料</w:t>
      </w:r>
    </w:p>
    <w:p w14:paraId="40D29D62">
      <w:pPr>
        <w:spacing w:line="520" w:lineRule="exact"/>
        <w:ind w:firstLine="560" w:firstLineChars="200"/>
        <w:rPr>
          <w:rFonts w:ascii="仿宋_GB2312" w:eastAsia="仿宋_GB2312"/>
          <w:sz w:val="28"/>
          <w:szCs w:val="28"/>
        </w:rPr>
      </w:pPr>
      <w:r>
        <w:rPr>
          <w:rFonts w:hint="eastAsia" w:ascii="仿宋_GB2312" w:eastAsia="仿宋_GB2312"/>
          <w:sz w:val="28"/>
          <w:szCs w:val="28"/>
        </w:rPr>
        <w:t>标准编制工作组收集了国内有关无痛化导尿技术操作的相关文献资料。主要有：</w:t>
      </w:r>
    </w:p>
    <w:p w14:paraId="01931EE9">
      <w:pPr>
        <w:spacing w:line="520" w:lineRule="exact"/>
        <w:ind w:firstLine="560" w:firstLineChars="200"/>
        <w:rPr>
          <w:rFonts w:ascii="仿宋_GB2312" w:eastAsia="仿宋_GB2312"/>
          <w:sz w:val="28"/>
          <w:szCs w:val="28"/>
        </w:rPr>
      </w:pPr>
      <w:r>
        <w:rPr>
          <w:rFonts w:ascii="仿宋_GB2312" w:eastAsia="仿宋_GB2312"/>
          <w:sz w:val="28"/>
          <w:szCs w:val="28"/>
        </w:rPr>
        <w:t>[1]</w:t>
      </w:r>
      <w:r>
        <w:rPr>
          <w:rFonts w:ascii="仿宋_GB2312" w:eastAsia="仿宋_GB2312"/>
          <w:sz w:val="28"/>
          <w:szCs w:val="28"/>
        </w:rPr>
        <w:tab/>
      </w:r>
      <w:r>
        <w:rPr>
          <w:rFonts w:ascii="仿宋_GB2312" w:eastAsia="仿宋_GB2312"/>
          <w:sz w:val="28"/>
          <w:szCs w:val="28"/>
        </w:rPr>
        <w:t>WS/T 509  医院导尿管相关感染预防与控制规范</w:t>
      </w:r>
    </w:p>
    <w:p w14:paraId="2F92F65E">
      <w:pPr>
        <w:spacing w:line="520" w:lineRule="exact"/>
        <w:ind w:firstLine="560" w:firstLineChars="200"/>
        <w:rPr>
          <w:rFonts w:ascii="仿宋_GB2312" w:eastAsia="仿宋_GB2312"/>
          <w:sz w:val="28"/>
          <w:szCs w:val="28"/>
        </w:rPr>
      </w:pPr>
      <w:r>
        <w:rPr>
          <w:rFonts w:ascii="仿宋_GB2312" w:eastAsia="仿宋_GB2312"/>
          <w:sz w:val="28"/>
          <w:szCs w:val="28"/>
        </w:rPr>
        <w:t>[2]</w:t>
      </w:r>
      <w:r>
        <w:rPr>
          <w:rFonts w:ascii="仿宋_GB2312" w:eastAsia="仿宋_GB2312"/>
          <w:sz w:val="28"/>
          <w:szCs w:val="28"/>
        </w:rPr>
        <w:tab/>
      </w:r>
      <w:r>
        <w:rPr>
          <w:rFonts w:ascii="仿宋_GB2312" w:eastAsia="仿宋_GB2312"/>
          <w:sz w:val="28"/>
          <w:szCs w:val="28"/>
        </w:rPr>
        <w:t>黄健. 2022版中国泌尿外科和男性疾病诊断治疗指南[M]. 北京：科学出版社， 2022: 815-817.</w:t>
      </w:r>
    </w:p>
    <w:p w14:paraId="207F0C61">
      <w:pPr>
        <w:spacing w:line="520" w:lineRule="exact"/>
        <w:ind w:firstLine="560" w:firstLineChars="200"/>
        <w:rPr>
          <w:rFonts w:ascii="仿宋_GB2312" w:eastAsia="仿宋_GB2312"/>
          <w:sz w:val="28"/>
          <w:szCs w:val="28"/>
        </w:rPr>
      </w:pPr>
      <w:r>
        <w:rPr>
          <w:rFonts w:ascii="仿宋_GB2312" w:eastAsia="仿宋_GB2312"/>
          <w:sz w:val="28"/>
          <w:szCs w:val="28"/>
        </w:rPr>
        <w:t>[3]</w:t>
      </w:r>
      <w:r>
        <w:rPr>
          <w:rFonts w:ascii="仿宋_GB2312" w:eastAsia="仿宋_GB2312"/>
          <w:sz w:val="28"/>
          <w:szCs w:val="28"/>
        </w:rPr>
        <w:tab/>
      </w:r>
      <w:r>
        <w:rPr>
          <w:rFonts w:ascii="仿宋_GB2312" w:eastAsia="仿宋_GB2312"/>
          <w:sz w:val="28"/>
          <w:szCs w:val="28"/>
        </w:rPr>
        <w:t>European Association of Urology. Guidelines on Urological Catheterisation. 2023.</w:t>
      </w:r>
    </w:p>
    <w:p w14:paraId="2E7D1AF3">
      <w:pPr>
        <w:spacing w:line="520" w:lineRule="exact"/>
        <w:ind w:firstLine="560" w:firstLineChars="200"/>
        <w:rPr>
          <w:rFonts w:ascii="仿宋_GB2312" w:eastAsia="仿宋_GB2312"/>
          <w:sz w:val="28"/>
          <w:szCs w:val="28"/>
        </w:rPr>
      </w:pPr>
      <w:r>
        <w:rPr>
          <w:rFonts w:ascii="仿宋_GB2312" w:eastAsia="仿宋_GB2312"/>
          <w:sz w:val="28"/>
          <w:szCs w:val="28"/>
        </w:rPr>
        <w:t>[4]</w:t>
      </w:r>
      <w:r>
        <w:rPr>
          <w:rFonts w:ascii="仿宋_GB2312" w:eastAsia="仿宋_GB2312"/>
          <w:sz w:val="28"/>
          <w:szCs w:val="28"/>
        </w:rPr>
        <w:tab/>
      </w:r>
      <w:r>
        <w:rPr>
          <w:rFonts w:ascii="仿宋_GB2312" w:eastAsia="仿宋_GB2312"/>
          <w:sz w:val="28"/>
          <w:szCs w:val="28"/>
        </w:rPr>
        <w:t>中华护理学会. 导尿管护理专家共识. 中华护理杂志, 2023, 58(5): 1-8.</w:t>
      </w:r>
    </w:p>
    <w:p w14:paraId="0838DCF4">
      <w:pPr>
        <w:spacing w:line="520" w:lineRule="exact"/>
        <w:ind w:firstLine="560" w:firstLineChars="200"/>
        <w:rPr>
          <w:rFonts w:ascii="仿宋_GB2312" w:eastAsia="仿宋_GB2312"/>
          <w:sz w:val="28"/>
          <w:szCs w:val="28"/>
        </w:rPr>
      </w:pPr>
      <w:r>
        <w:rPr>
          <w:rFonts w:ascii="仿宋_GB2312" w:eastAsia="仿宋_GB2312"/>
          <w:sz w:val="28"/>
          <w:szCs w:val="28"/>
        </w:rPr>
        <w:t>[5]</w:t>
      </w:r>
      <w:r>
        <w:rPr>
          <w:rFonts w:ascii="仿宋_GB2312" w:eastAsia="仿宋_GB2312"/>
          <w:sz w:val="28"/>
          <w:szCs w:val="28"/>
        </w:rPr>
        <w:tab/>
      </w:r>
      <w:r>
        <w:rPr>
          <w:rFonts w:ascii="仿宋_GB2312" w:eastAsia="仿宋_GB2312"/>
          <w:sz w:val="28"/>
          <w:szCs w:val="28"/>
        </w:rPr>
        <w:t>汪海滨,侯旭,于晋辉,等.导尿患者通过自我穴位按摩配合导尿术对改善疼痛、尿道黏膜损伤和尿道刺激症状的研究[J].河北医药,2016,38(12):1901-1903.</w:t>
      </w:r>
    </w:p>
    <w:p w14:paraId="739A9B43">
      <w:pPr>
        <w:spacing w:line="520" w:lineRule="exact"/>
        <w:ind w:firstLine="560" w:firstLineChars="200"/>
        <w:rPr>
          <w:rFonts w:ascii="仿宋_GB2312" w:eastAsia="仿宋_GB2312"/>
          <w:sz w:val="28"/>
          <w:szCs w:val="28"/>
        </w:rPr>
      </w:pPr>
      <w:r>
        <w:rPr>
          <w:rFonts w:ascii="仿宋_GB2312" w:eastAsia="仿宋_GB2312"/>
          <w:sz w:val="28"/>
          <w:szCs w:val="28"/>
        </w:rPr>
        <w:t>[6]</w:t>
      </w:r>
      <w:r>
        <w:rPr>
          <w:rFonts w:ascii="仿宋_GB2312" w:eastAsia="仿宋_GB2312"/>
          <w:sz w:val="28"/>
          <w:szCs w:val="28"/>
        </w:rPr>
        <w:tab/>
      </w:r>
      <w:r>
        <w:rPr>
          <w:rFonts w:ascii="仿宋_GB2312" w:eastAsia="仿宋_GB2312"/>
          <w:sz w:val="28"/>
          <w:szCs w:val="28"/>
        </w:rPr>
        <w:t>兰婷钰,贺洪武,明星,等.综合干预措施降低导尿管相关尿路感染的效果评价[J].中国感染控制杂志,2025,24(02):201-206.</w:t>
      </w:r>
    </w:p>
    <w:p w14:paraId="17E06B02">
      <w:pPr>
        <w:spacing w:line="520" w:lineRule="exact"/>
        <w:ind w:firstLine="560" w:firstLineChars="200"/>
        <w:rPr>
          <w:rFonts w:ascii="仿宋_GB2312" w:eastAsia="仿宋_GB2312"/>
          <w:sz w:val="28"/>
          <w:szCs w:val="28"/>
        </w:rPr>
      </w:pPr>
      <w:r>
        <w:rPr>
          <w:rFonts w:ascii="仿宋_GB2312" w:eastAsia="仿宋_GB2312"/>
          <w:sz w:val="28"/>
          <w:szCs w:val="28"/>
        </w:rPr>
        <w:t>[7]</w:t>
      </w:r>
      <w:r>
        <w:rPr>
          <w:rFonts w:ascii="仿宋_GB2312" w:eastAsia="仿宋_GB2312"/>
          <w:sz w:val="28"/>
          <w:szCs w:val="28"/>
        </w:rPr>
        <w:tab/>
      </w:r>
      <w:r>
        <w:rPr>
          <w:rFonts w:ascii="仿宋_GB2312" w:eastAsia="仿宋_GB2312"/>
          <w:sz w:val="28"/>
          <w:szCs w:val="28"/>
        </w:rPr>
        <w:t>胡平,孟海兵,梁桂金,来伟,郑增露,甘金娣.利多卡因胶浆辅助导尿对老年男性前列腺增生患者导尿管留置成功率及并发症的影响[J].中国当代医药,2023,30(36):125-128.</w:t>
      </w:r>
    </w:p>
    <w:p w14:paraId="43F9C896">
      <w:pPr>
        <w:spacing w:line="520" w:lineRule="exact"/>
        <w:ind w:firstLine="560" w:firstLineChars="200"/>
        <w:rPr>
          <w:rFonts w:ascii="仿宋_GB2312" w:eastAsia="仿宋_GB2312"/>
          <w:sz w:val="28"/>
          <w:szCs w:val="28"/>
        </w:rPr>
      </w:pPr>
      <w:r>
        <w:rPr>
          <w:rFonts w:ascii="仿宋_GB2312" w:eastAsia="仿宋_GB2312"/>
          <w:sz w:val="28"/>
          <w:szCs w:val="28"/>
        </w:rPr>
        <w:t>[8]</w:t>
      </w:r>
      <w:r>
        <w:rPr>
          <w:rFonts w:ascii="仿宋_GB2312" w:eastAsia="仿宋_GB2312"/>
          <w:sz w:val="28"/>
          <w:szCs w:val="28"/>
        </w:rPr>
        <w:tab/>
      </w:r>
      <w:r>
        <w:rPr>
          <w:rFonts w:ascii="仿宋_GB2312" w:eastAsia="仿宋_GB2312"/>
          <w:sz w:val="28"/>
          <w:szCs w:val="28"/>
        </w:rPr>
        <w:t>马莉.盐酸利多卡因胶浆在无痛导尿术中的临床应用[J].中国当代医药,2014,21(02):110-112.</w:t>
      </w:r>
    </w:p>
    <w:p w14:paraId="3C7E5092">
      <w:pPr>
        <w:spacing w:line="520" w:lineRule="exact"/>
        <w:ind w:firstLine="560" w:firstLineChars="200"/>
        <w:rPr>
          <w:rFonts w:ascii="仿宋_GB2312" w:eastAsia="仿宋_GB2312"/>
          <w:sz w:val="28"/>
          <w:szCs w:val="28"/>
        </w:rPr>
      </w:pPr>
      <w:r>
        <w:rPr>
          <w:rFonts w:ascii="仿宋_GB2312" w:eastAsia="仿宋_GB2312"/>
          <w:sz w:val="28"/>
          <w:szCs w:val="28"/>
        </w:rPr>
        <w:t>[9]</w:t>
      </w:r>
      <w:r>
        <w:rPr>
          <w:rFonts w:ascii="仿宋_GB2312" w:eastAsia="仿宋_GB2312"/>
          <w:sz w:val="28"/>
          <w:szCs w:val="28"/>
        </w:rPr>
        <w:tab/>
      </w:r>
      <w:r>
        <w:rPr>
          <w:rFonts w:ascii="仿宋_GB2312" w:eastAsia="仿宋_GB2312"/>
          <w:sz w:val="28"/>
          <w:szCs w:val="28"/>
        </w:rPr>
        <w:t>丁玉峰.改良拔尿管方法在前列腺增生电切术后留置三腔尿管患者中的应用[J].实用中西医结合临床,2024,v.24(11):103-106.</w:t>
      </w:r>
    </w:p>
    <w:p w14:paraId="2EED95BF">
      <w:pPr>
        <w:spacing w:line="520" w:lineRule="exact"/>
        <w:ind w:firstLine="560" w:firstLineChars="200"/>
        <w:rPr>
          <w:rFonts w:ascii="仿宋_GB2312" w:eastAsia="仿宋_GB2312"/>
          <w:sz w:val="28"/>
          <w:szCs w:val="28"/>
        </w:rPr>
      </w:pPr>
      <w:r>
        <w:rPr>
          <w:rFonts w:ascii="仿宋_GB2312" w:eastAsia="仿宋_GB2312"/>
          <w:sz w:val="28"/>
          <w:szCs w:val="28"/>
        </w:rPr>
        <w:t>[10]</w:t>
      </w:r>
      <w:r>
        <w:rPr>
          <w:rFonts w:ascii="仿宋_GB2312" w:eastAsia="仿宋_GB2312"/>
          <w:sz w:val="28"/>
          <w:szCs w:val="28"/>
        </w:rPr>
        <w:tab/>
      </w:r>
      <w:r>
        <w:rPr>
          <w:rFonts w:ascii="仿宋_GB2312" w:eastAsia="仿宋_GB2312"/>
          <w:sz w:val="28"/>
          <w:szCs w:val="28"/>
        </w:rPr>
        <w:t>胡萍.留置气囊尿管气囊内注水加注气预防尿液渗漏的研究[J].中国医药科学,2016, 6(06):87-89.</w:t>
      </w:r>
    </w:p>
    <w:p w14:paraId="13FAAE6A">
      <w:pPr>
        <w:spacing w:line="520" w:lineRule="exact"/>
        <w:ind w:firstLine="560" w:firstLineChars="200"/>
        <w:rPr>
          <w:rFonts w:ascii="仿宋_GB2312" w:eastAsia="仿宋_GB2312"/>
          <w:sz w:val="28"/>
          <w:szCs w:val="28"/>
        </w:rPr>
      </w:pPr>
      <w:r>
        <w:rPr>
          <w:rFonts w:ascii="仿宋_GB2312" w:eastAsia="仿宋_GB2312"/>
          <w:sz w:val="28"/>
          <w:szCs w:val="28"/>
        </w:rPr>
        <w:t>[11]</w:t>
      </w:r>
      <w:r>
        <w:rPr>
          <w:rFonts w:ascii="仿宋_GB2312" w:eastAsia="仿宋_GB2312"/>
          <w:sz w:val="28"/>
          <w:szCs w:val="28"/>
        </w:rPr>
        <w:tab/>
      </w:r>
      <w:r>
        <w:rPr>
          <w:rFonts w:ascii="仿宋_GB2312" w:eastAsia="仿宋_GB2312"/>
          <w:sz w:val="28"/>
          <w:szCs w:val="28"/>
        </w:rPr>
        <w:t>杨静,杨涛,白细兰.中医护理干预在预防膀胱肿瘤患者术后膀胱痉挛发生的应用[J].光明中医,2022,37(19):3598-3600.</w:t>
      </w:r>
    </w:p>
    <w:p w14:paraId="3386B0FE">
      <w:pPr>
        <w:spacing w:line="520" w:lineRule="exact"/>
        <w:ind w:firstLine="560" w:firstLineChars="200"/>
        <w:rPr>
          <w:rFonts w:ascii="仿宋_GB2312" w:eastAsia="仿宋_GB2312"/>
          <w:sz w:val="28"/>
          <w:szCs w:val="28"/>
        </w:rPr>
      </w:pPr>
      <w:r>
        <w:rPr>
          <w:rFonts w:ascii="仿宋_GB2312" w:eastAsia="仿宋_GB2312"/>
          <w:sz w:val="28"/>
          <w:szCs w:val="28"/>
        </w:rPr>
        <w:t>[12]</w:t>
      </w:r>
      <w:r>
        <w:rPr>
          <w:rFonts w:ascii="仿宋_GB2312" w:eastAsia="仿宋_GB2312"/>
          <w:sz w:val="28"/>
          <w:szCs w:val="28"/>
        </w:rPr>
        <w:tab/>
      </w:r>
      <w:r>
        <w:rPr>
          <w:rFonts w:ascii="仿宋_GB2312" w:eastAsia="仿宋_GB2312"/>
          <w:sz w:val="28"/>
          <w:szCs w:val="28"/>
        </w:rPr>
        <w:t>刘敏婕,郑海霞,张龙辉.耳穴压豆联合经络排石操对经尿道输尿管肾盂激光碎石术后排石的影响[J].浙江中医杂志,2025,60(03):226-227.</w:t>
      </w:r>
    </w:p>
    <w:p w14:paraId="144D6926">
      <w:pPr>
        <w:spacing w:line="520" w:lineRule="exact"/>
        <w:ind w:firstLine="560" w:firstLineChars="200"/>
        <w:rPr>
          <w:rFonts w:ascii="仿宋_GB2312" w:eastAsia="仿宋_GB2312"/>
          <w:sz w:val="28"/>
          <w:szCs w:val="28"/>
        </w:rPr>
      </w:pPr>
      <w:r>
        <w:rPr>
          <w:rFonts w:ascii="仿宋_GB2312" w:eastAsia="仿宋_GB2312"/>
          <w:sz w:val="28"/>
          <w:szCs w:val="28"/>
        </w:rPr>
        <w:t>[13]</w:t>
      </w:r>
      <w:r>
        <w:rPr>
          <w:rFonts w:ascii="仿宋_GB2312" w:eastAsia="仿宋_GB2312"/>
          <w:sz w:val="28"/>
          <w:szCs w:val="28"/>
        </w:rPr>
        <w:tab/>
      </w:r>
      <w:r>
        <w:rPr>
          <w:rFonts w:ascii="仿宋_GB2312" w:eastAsia="仿宋_GB2312"/>
          <w:sz w:val="28"/>
          <w:szCs w:val="28"/>
        </w:rPr>
        <w:t>中华中医药学会.中医护理常规技术操作规程[M].中国中医药出版社,2006.</w:t>
      </w:r>
    </w:p>
    <w:p w14:paraId="1A0DDEC9">
      <w:pPr>
        <w:spacing w:line="520" w:lineRule="exact"/>
        <w:ind w:firstLine="562" w:firstLineChars="200"/>
        <w:outlineLvl w:val="1"/>
        <w:rPr>
          <w:rFonts w:ascii="仿宋_GB2312" w:eastAsia="仿宋_GB2312" w:cs="仿宋_GB2312"/>
          <w:b/>
          <w:sz w:val="28"/>
          <w:szCs w:val="28"/>
        </w:rPr>
      </w:pPr>
      <w:r>
        <w:rPr>
          <w:rFonts w:hint="eastAsia" w:ascii="仿宋_GB2312" w:eastAsia="仿宋_GB2312" w:cs="仿宋_GB2312"/>
          <w:b/>
          <w:sz w:val="28"/>
          <w:szCs w:val="28"/>
        </w:rPr>
        <w:t>（三）研讨确定标准主体内容及标准创新点</w:t>
      </w:r>
    </w:p>
    <w:p w14:paraId="2128798C">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标准编制工作组在对收集的资料进行整理研究之后，召开了标准编制会议，对标准的整体框架结构进行了研究，并对标准的关键性内容进行了初步探讨。经过研究，标准的主体内容为无痛化导尿技术操作的基本要求、适应症和禁忌症、导尿操作、并发症处理等。</w:t>
      </w:r>
    </w:p>
    <w:p w14:paraId="1779E2FB">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本标准创新点主要为：</w:t>
      </w:r>
    </w:p>
    <w:p w14:paraId="660D45C4">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1.尿管置入时使</w:t>
      </w:r>
      <w:bookmarkStart w:id="0" w:name="OLE_LINK3"/>
      <w:bookmarkStart w:id="1" w:name="OLE_LINK4"/>
      <w:r>
        <w:rPr>
          <w:rFonts w:hint="eastAsia" w:ascii="仿宋_GB2312" w:hAnsi="仿宋_GB2312" w:eastAsia="仿宋_GB2312" w:cs="仿宋_GB2312"/>
          <w:sz w:val="28"/>
          <w:szCs w:val="28"/>
          <w:lang w:val="en-US" w:eastAsia="zh-CN"/>
        </w:rPr>
        <w:t>用无菌麻醉性药物润滑凝胶，涂于尿道外口，适量凝胶润滑导尿管。1 min后，取无菌纱布包裹阴茎体，左手握住纱布包裹处固定阴茎，同时拇指与食指，纵向挤压龟头前端，使尿道口充分张开，将</w:t>
      </w:r>
      <w:bookmarkStart w:id="2" w:name="OLE_LINK80"/>
      <w:bookmarkStart w:id="3" w:name="OLE_LINK81"/>
      <w:r>
        <w:rPr>
          <w:rFonts w:hint="eastAsia" w:ascii="仿宋_GB2312" w:hAnsi="仿宋_GB2312" w:eastAsia="仿宋_GB2312" w:cs="仿宋_GB2312"/>
          <w:sz w:val="28"/>
          <w:szCs w:val="28"/>
          <w:lang w:val="en-US" w:eastAsia="zh-CN"/>
        </w:rPr>
        <w:t>无菌麻醉性药物润滑凝胶</w:t>
      </w:r>
      <w:bookmarkEnd w:id="2"/>
      <w:bookmarkEnd w:id="3"/>
      <w:r>
        <w:rPr>
          <w:rFonts w:hint="eastAsia" w:ascii="仿宋_GB2312" w:hAnsi="仿宋_GB2312" w:eastAsia="仿宋_GB2312" w:cs="仿宋_GB2312"/>
          <w:sz w:val="28"/>
          <w:szCs w:val="28"/>
          <w:lang w:val="en-US" w:eastAsia="zh-CN"/>
        </w:rPr>
        <w:t>的管头插入尿道口，男性患者插入4 cm～8 cm，女性患者插入2 cm～4 cm；缓慢注入尿道，男性患者注入5 mL</w:t>
      </w:r>
      <w:bookmarkStart w:id="4" w:name="OLE_LINK34"/>
      <w:bookmarkStart w:id="5" w:name="OLE_LINK9"/>
      <w:bookmarkStart w:id="6" w:name="OLE_LINK8"/>
      <w:r>
        <w:rPr>
          <w:rFonts w:hint="eastAsia" w:ascii="仿宋_GB2312" w:hAnsi="仿宋_GB2312" w:eastAsia="仿宋_GB2312" w:cs="仿宋_GB2312"/>
          <w:sz w:val="28"/>
          <w:szCs w:val="28"/>
          <w:lang w:val="en-US" w:eastAsia="zh-CN"/>
        </w:rPr>
        <w:t>～</w:t>
      </w:r>
      <w:bookmarkEnd w:id="4"/>
      <w:bookmarkEnd w:id="5"/>
      <w:bookmarkEnd w:id="6"/>
      <w:r>
        <w:rPr>
          <w:rFonts w:hint="eastAsia" w:ascii="仿宋_GB2312" w:hAnsi="仿宋_GB2312" w:eastAsia="仿宋_GB2312" w:cs="仿宋_GB2312"/>
          <w:sz w:val="28"/>
          <w:szCs w:val="28"/>
          <w:lang w:val="en-US" w:eastAsia="zh-CN"/>
        </w:rPr>
        <w:t>10 mL；女性患者注入3 mL～5 mL。起到局部麻醉的作用，使尿道平滑肌舒张，尿道松弛，插管更顺畅，减轻导尿管置入时的疼痛不适，提高患者的舒适度和配合度。</w:t>
      </w:r>
    </w:p>
    <w:p w14:paraId="7E167FD2">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2.改变气囊注水方法。导尿及预防导尿管相关尿路感染的指南中，成人导尿管气囊的注水量为10</w:t>
      </w:r>
      <w:r>
        <w:rPr>
          <w:rFonts w:hint="eastAsia" w:ascii="仿宋_GB2312" w:hAnsi="仿宋_GB2312" w:eastAsia="仿宋_GB2312" w:cs="仿宋_GB2312"/>
          <w:sz w:val="28"/>
          <w:szCs w:val="28"/>
          <w:lang w:val="en"/>
        </w:rPr>
        <w:t>mL</w:t>
      </w:r>
      <w:r>
        <w:rPr>
          <w:rFonts w:hint="eastAsia" w:ascii="仿宋_GB2312" w:hAnsi="仿宋_GB2312" w:eastAsia="仿宋_GB2312" w:cs="仿宋_GB2312"/>
          <w:sz w:val="28"/>
          <w:szCs w:val="28"/>
        </w:rPr>
        <w:t>～15</w:t>
      </w:r>
      <w:r>
        <w:rPr>
          <w:rFonts w:hint="eastAsia" w:ascii="仿宋_GB2312" w:hAnsi="仿宋_GB2312" w:eastAsia="仿宋_GB2312" w:cs="仿宋_GB2312"/>
          <w:sz w:val="28"/>
          <w:szCs w:val="28"/>
          <w:lang w:val="en"/>
        </w:rPr>
        <w:t>mL</w:t>
      </w:r>
      <w:r>
        <w:rPr>
          <w:rFonts w:hint="eastAsia" w:ascii="仿宋_GB2312" w:hAnsi="仿宋_GB2312" w:eastAsia="仿宋_GB2312" w:cs="仿宋_GB2312"/>
          <w:sz w:val="28"/>
          <w:szCs w:val="28"/>
        </w:rPr>
        <w:t>。通过体外多次模拟实验发现，直接注水至10</w:t>
      </w:r>
      <w:r>
        <w:rPr>
          <w:rFonts w:hint="eastAsia" w:ascii="仿宋_GB2312" w:hAnsi="仿宋_GB2312" w:eastAsia="仿宋_GB2312" w:cs="仿宋_GB2312"/>
          <w:sz w:val="28"/>
          <w:szCs w:val="28"/>
          <w:lang w:val="en"/>
        </w:rPr>
        <w:t>mL</w:t>
      </w:r>
      <w:r>
        <w:rPr>
          <w:rFonts w:hint="eastAsia" w:ascii="仿宋_GB2312" w:hAnsi="仿宋_GB2312" w:eastAsia="仿宋_GB2312" w:cs="仿宋_GB2312"/>
          <w:sz w:val="28"/>
          <w:szCs w:val="28"/>
        </w:rPr>
        <w:t>气囊明显偏移，偏移的气囊导致膀胱颈受力不均，刺激较明显，而采用注水≥15</w:t>
      </w:r>
      <w:r>
        <w:rPr>
          <w:rFonts w:hint="eastAsia" w:ascii="仿宋_GB2312" w:hAnsi="仿宋_GB2312" w:eastAsia="仿宋_GB2312" w:cs="仿宋_GB2312"/>
          <w:sz w:val="28"/>
          <w:szCs w:val="28"/>
          <w:lang w:val="en"/>
        </w:rPr>
        <w:t>mL</w:t>
      </w:r>
      <w:r>
        <w:rPr>
          <w:rFonts w:hint="eastAsia" w:ascii="仿宋_GB2312" w:hAnsi="仿宋_GB2312" w:eastAsia="仿宋_GB2312" w:cs="仿宋_GB2312"/>
          <w:sz w:val="28"/>
          <w:szCs w:val="28"/>
        </w:rPr>
        <w:t>后再回抽水至10</w:t>
      </w:r>
      <w:r>
        <w:rPr>
          <w:rFonts w:hint="eastAsia" w:ascii="仿宋_GB2312" w:hAnsi="仿宋_GB2312" w:eastAsia="仿宋_GB2312" w:cs="仿宋_GB2312"/>
          <w:sz w:val="28"/>
          <w:szCs w:val="28"/>
          <w:lang w:val="en"/>
        </w:rPr>
        <w:t>mL</w:t>
      </w:r>
      <w:r>
        <w:rPr>
          <w:rFonts w:hint="eastAsia" w:ascii="仿宋_GB2312" w:hAnsi="仿宋_GB2312" w:eastAsia="仿宋_GB2312" w:cs="仿宋_GB2312"/>
          <w:sz w:val="28"/>
          <w:szCs w:val="28"/>
        </w:rPr>
        <w:t>，气囊形状正常，膀胱刺激征也明显减轻。</w:t>
      </w:r>
    </w:p>
    <w:p w14:paraId="25099288">
      <w:pPr>
        <w:pStyle w:val="58"/>
        <w:numPr>
          <w:ilvl w:val="0"/>
          <w:numId w:val="0"/>
        </w:numPr>
        <w:ind w:firstLine="280" w:firstLineChars="1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3.运用中医适宜技术。穴位按摩：操作者用拇指指腹按压或采用一指禅推法，每个穴位按摩1 min～2 min，力度以患者感到酸、胀、痛为宜，每日按压3～5次，再行耳穴压豆：选择交感、膀胱、神门、肾、尿道等耳穴，穴位定位应符合GB/T 13734的规定。局部消毒后，用耳穴压豆贴贴在相应的耳穴上，指导患者每日自行按压3次，每个穴位每次按压1 min～2 min。预防膀胱痉挛，缓解疼痛不适。</w:t>
      </w:r>
    </w:p>
    <w:p w14:paraId="73786FF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4.拔管过程中：连接注射器让气囊内液体自动退出，抽空导尿管气囊内液体后，使用注射器将0.2～0.8</w:t>
      </w:r>
      <w:r>
        <w:rPr>
          <w:rFonts w:hint="eastAsia" w:ascii="仿宋_GB2312" w:hAnsi="仿宋_GB2312" w:eastAsia="仿宋_GB2312" w:cs="仿宋_GB2312"/>
          <w:sz w:val="28"/>
          <w:szCs w:val="28"/>
          <w:lang w:val="en"/>
        </w:rPr>
        <w:t>mL</w:t>
      </w:r>
      <w:r>
        <w:rPr>
          <w:rFonts w:hint="eastAsia" w:ascii="仿宋_GB2312" w:hAnsi="仿宋_GB2312" w:eastAsia="仿宋_GB2312" w:cs="仿宋_GB2312"/>
          <w:sz w:val="28"/>
          <w:szCs w:val="28"/>
        </w:rPr>
        <w:t>空气或者无菌注射用水重新注入气囊，可防止皱褶形成，减少尿道损伤。</w:t>
      </w:r>
    </w:p>
    <w:p w14:paraId="2AF5CA0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5</w:t>
      </w:r>
      <w:r>
        <w:rPr>
          <w:rFonts w:hint="eastAsia" w:ascii="仿宋_GB2312" w:hAnsi="仿宋_GB2312" w:eastAsia="仿宋_GB2312" w:cs="仿宋_GB2312"/>
          <w:sz w:val="28"/>
          <w:szCs w:val="28"/>
        </w:rPr>
        <w:t>.操作流程包含拔尿管在内，填补了拔尿管操作规范的空白。</w:t>
      </w:r>
      <w:bookmarkEnd w:id="0"/>
      <w:bookmarkEnd w:id="1"/>
    </w:p>
    <w:p w14:paraId="53CB7ECF">
      <w:pPr>
        <w:spacing w:line="520" w:lineRule="exact"/>
        <w:ind w:firstLine="562" w:firstLineChars="200"/>
        <w:outlineLvl w:val="1"/>
        <w:rPr>
          <w:rFonts w:ascii="仿宋_GB2312" w:eastAsia="仿宋_GB2312" w:cs="仿宋_GB2312"/>
          <w:b/>
          <w:sz w:val="28"/>
          <w:szCs w:val="28"/>
        </w:rPr>
      </w:pPr>
      <w:r>
        <w:rPr>
          <w:rFonts w:hint="eastAsia" w:ascii="仿宋_GB2312" w:eastAsia="仿宋_GB2312" w:cs="仿宋_GB2312"/>
          <w:b/>
          <w:sz w:val="28"/>
          <w:szCs w:val="28"/>
        </w:rPr>
        <w:t>（四）调研及形成草案、征求意见稿</w:t>
      </w:r>
    </w:p>
    <w:p w14:paraId="6B45C48F">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2025年7月，标准编制工作组查阅了大量的国内文献资料，对无痛化导尿技术操作相关的文件进行系统总结。形成了标准的基本构架，对主要内容进行了讨论并对项目的工作进行了部署和安排。</w:t>
      </w:r>
    </w:p>
    <w:p w14:paraId="2896F763">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8月，团体标准《无痛化导尿技术操作规范》获批立项，在前期工作的基础之上，通过理清逻辑脉络，整合已有参考资料中有关无痛化导尿技术操作的要求，并在目前无痛化导尿技术操作实际操作的基础上，按照简化、统一等原则编制完成团体标准《无痛化导尿技术操作规范》（草案）。</w:t>
      </w:r>
    </w:p>
    <w:p w14:paraId="7E71AC25">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2026年1月，标准编制工作组深入各地实施无痛化导尿技术操作的有代表性的医院，如</w:t>
      </w:r>
      <w:r>
        <w:rPr>
          <w:rFonts w:hint="eastAsia" w:ascii="仿宋_GB2312" w:eastAsia="仿宋_GB2312"/>
          <w:sz w:val="28"/>
          <w:szCs w:val="28"/>
        </w:rPr>
        <w:t>桂林市人民医院、广西医科大学第附属医院、中山大学附属第六医院、中山大学附属第一医院广西医院、桂林医学院附属医院、广州市妇女儿童医疗中心柳州医院、右江民族医学院附属医院、玉林市人民医院、中国人民解放军联勤保障部队第九二四医院、桂林医学院第二附属医院、中南大学湘雅二医院桂林医院、桂林市中医医院、定西市人民医院、灵川县中医医院、平乐县人民医院、荔浦市人民医院、桂林市卫生学校</w:t>
      </w:r>
      <w:r>
        <w:rPr>
          <w:rFonts w:hint="eastAsia" w:ascii="仿宋_GB2312" w:eastAsia="仿宋_GB2312"/>
          <w:kern w:val="0"/>
          <w:sz w:val="28"/>
          <w:szCs w:val="28"/>
        </w:rPr>
        <w:t>等召开标准研讨会，收集反馈了大量意见，对标准草案进行了反复修改和研究讨论，掌握了无痛化导尿技术操作的基本情况以及要求，最终形成了团体标准《无痛化导尿技术操作规范》（征求意见稿）及其编制说明。</w:t>
      </w:r>
    </w:p>
    <w:p w14:paraId="5F1AB458">
      <w:pPr>
        <w:jc w:val="center"/>
        <w:rPr>
          <w:rFonts w:hint="eastAsia" w:ascii="仿宋_GB2312" w:eastAsia="仿宋_GB2312"/>
          <w:kern w:val="0"/>
          <w:sz w:val="28"/>
          <w:szCs w:val="28"/>
          <w:lang w:eastAsia="zh-CN"/>
        </w:rPr>
      </w:pPr>
      <w:r>
        <w:rPr>
          <w:rFonts w:hint="eastAsia" w:ascii="仿宋_GB2312" w:eastAsia="仿宋_GB2312"/>
          <w:kern w:val="0"/>
          <w:sz w:val="28"/>
          <w:szCs w:val="28"/>
          <w:lang w:eastAsia="zh-CN"/>
        </w:rPr>
        <w:drawing>
          <wp:inline distT="0" distB="0" distL="114300" distR="114300">
            <wp:extent cx="3856355" cy="2891155"/>
            <wp:effectExtent l="0" t="0" r="10795" b="4445"/>
            <wp:docPr id="13" name="图片 13" descr="8223d4aca9508fdf14083ef78ca77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8223d4aca9508fdf14083ef78ca77869"/>
                    <pic:cNvPicPr>
                      <a:picLocks noChangeAspect="1"/>
                    </pic:cNvPicPr>
                  </pic:nvPicPr>
                  <pic:blipFill>
                    <a:blip r:embed="rId5"/>
                    <a:stretch>
                      <a:fillRect/>
                    </a:stretch>
                  </pic:blipFill>
                  <pic:spPr>
                    <a:xfrm>
                      <a:off x="0" y="0"/>
                      <a:ext cx="3856355" cy="2891155"/>
                    </a:xfrm>
                    <a:prstGeom prst="rect">
                      <a:avLst/>
                    </a:prstGeom>
                  </pic:spPr>
                </pic:pic>
              </a:graphicData>
            </a:graphic>
          </wp:inline>
        </w:drawing>
      </w:r>
    </w:p>
    <w:p w14:paraId="4C773D6A">
      <w:pPr>
        <w:jc w:val="center"/>
        <w:rPr>
          <w:rFonts w:ascii="仿宋_GB2312" w:eastAsia="仿宋_GB2312"/>
          <w:kern w:val="0"/>
          <w:sz w:val="28"/>
          <w:szCs w:val="28"/>
        </w:rPr>
      </w:pPr>
      <w:r>
        <w:rPr>
          <w:rFonts w:hint="eastAsia" w:ascii="黑体" w:hAnsi="黑体" w:eastAsia="黑体" w:cs="黑体"/>
          <w:kern w:val="0"/>
          <w:sz w:val="24"/>
        </w:rPr>
        <w:t>团体标准《无痛化导尿技术操作规范》研讨会现场</w:t>
      </w:r>
    </w:p>
    <w:p w14:paraId="3026C158">
      <w:pPr>
        <w:autoSpaceDE w:val="0"/>
        <w:autoSpaceDN w:val="0"/>
        <w:adjustRightInd w:val="0"/>
        <w:spacing w:line="520" w:lineRule="exact"/>
        <w:ind w:firstLine="640" w:firstLineChars="200"/>
        <w:jc w:val="left"/>
        <w:outlineLvl w:val="0"/>
        <w:rPr>
          <w:rFonts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59D42203">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kern w:val="0"/>
          <w:sz w:val="28"/>
          <w:szCs w:val="28"/>
        </w:rPr>
      </w:pPr>
      <w:r>
        <w:rPr>
          <w:rFonts w:hint="eastAsia" w:ascii="仿宋_GB2312" w:eastAsia="仿宋_GB2312"/>
          <w:b/>
          <w:bCs/>
          <w:kern w:val="0"/>
          <w:sz w:val="28"/>
          <w:szCs w:val="28"/>
        </w:rPr>
        <w:t>（一）编制原则</w:t>
      </w:r>
    </w:p>
    <w:p w14:paraId="3A29AD26">
      <w:pPr>
        <w:spacing w:line="520" w:lineRule="exact"/>
        <w:ind w:firstLine="562" w:firstLineChars="200"/>
        <w:rPr>
          <w:rFonts w:ascii="仿宋_GB2312" w:eastAsia="仿宋_GB2312"/>
          <w:b/>
          <w:sz w:val="28"/>
          <w:szCs w:val="28"/>
        </w:rPr>
      </w:pPr>
      <w:r>
        <w:rPr>
          <w:rFonts w:hint="eastAsia" w:ascii="仿宋_GB2312" w:eastAsia="仿宋_GB2312"/>
          <w:b/>
          <w:sz w:val="28"/>
          <w:szCs w:val="28"/>
        </w:rPr>
        <w:t>1.实用性原则</w:t>
      </w:r>
    </w:p>
    <w:p w14:paraId="6BE45F65">
      <w:pPr>
        <w:spacing w:line="520" w:lineRule="exact"/>
        <w:ind w:firstLine="560" w:firstLineChars="200"/>
        <w:rPr>
          <w:rFonts w:ascii="仿宋_GB2312" w:eastAsia="仿宋_GB2312" w:cs="仿宋"/>
          <w:sz w:val="28"/>
          <w:szCs w:val="28"/>
        </w:rPr>
      </w:pPr>
      <w:r>
        <w:rPr>
          <w:rFonts w:hint="eastAsia" w:ascii="仿宋_GB2312" w:eastAsia="仿宋_GB2312" w:cs="仿宋"/>
          <w:sz w:val="28"/>
          <w:szCs w:val="28"/>
        </w:rPr>
        <w:t>本标准是在充分收集国内外相关资料和文献、调研分析</w:t>
      </w:r>
      <w:r>
        <w:rPr>
          <w:rFonts w:hint="eastAsia" w:ascii="仿宋_GB2312" w:eastAsia="仿宋_GB2312"/>
          <w:kern w:val="0"/>
          <w:sz w:val="28"/>
          <w:szCs w:val="28"/>
        </w:rPr>
        <w:t>无痛化导尿技术操作</w:t>
      </w:r>
      <w:r>
        <w:rPr>
          <w:rFonts w:hint="eastAsia" w:ascii="仿宋_GB2312" w:eastAsia="仿宋_GB2312" w:cs="仿宋"/>
          <w:sz w:val="28"/>
          <w:szCs w:val="28"/>
        </w:rPr>
        <w:t>现状，结合起草单位前期研究工作取得的研究成果及积累的</w:t>
      </w:r>
      <w:r>
        <w:rPr>
          <w:rFonts w:hint="eastAsia" w:ascii="仿宋_GB2312" w:eastAsia="仿宋_GB2312"/>
          <w:kern w:val="0"/>
          <w:sz w:val="28"/>
          <w:szCs w:val="28"/>
        </w:rPr>
        <w:t>无痛化导尿技术操作</w:t>
      </w:r>
      <w:r>
        <w:rPr>
          <w:rFonts w:hint="eastAsia" w:ascii="仿宋_GB2312" w:eastAsia="仿宋_GB2312" w:cs="仿宋"/>
          <w:sz w:val="28"/>
          <w:szCs w:val="28"/>
        </w:rPr>
        <w:t>实践经验，并借鉴国内</w:t>
      </w:r>
      <w:r>
        <w:rPr>
          <w:rFonts w:hint="eastAsia" w:ascii="仿宋_GB2312" w:eastAsia="仿宋_GB2312"/>
          <w:kern w:val="0"/>
          <w:sz w:val="28"/>
          <w:szCs w:val="28"/>
        </w:rPr>
        <w:t>无痛化导尿技术操作</w:t>
      </w:r>
      <w:r>
        <w:rPr>
          <w:rFonts w:hint="eastAsia" w:ascii="仿宋_GB2312" w:eastAsia="仿宋_GB2312" w:cs="仿宋"/>
          <w:sz w:val="28"/>
          <w:szCs w:val="28"/>
        </w:rPr>
        <w:t>进行总结起草的，符合工作实际，利于</w:t>
      </w:r>
      <w:r>
        <w:rPr>
          <w:rFonts w:hint="eastAsia" w:ascii="仿宋_GB2312" w:eastAsia="仿宋_GB2312"/>
          <w:kern w:val="0"/>
          <w:sz w:val="28"/>
          <w:szCs w:val="28"/>
        </w:rPr>
        <w:t>无痛化导尿技术操作</w:t>
      </w:r>
      <w:r>
        <w:rPr>
          <w:rFonts w:hint="eastAsia" w:ascii="仿宋_GB2312" w:eastAsia="仿宋_GB2312" w:cs="仿宋"/>
          <w:sz w:val="28"/>
          <w:szCs w:val="28"/>
        </w:rPr>
        <w:t>的实施与推广，具有可操作性和实用性。</w:t>
      </w:r>
    </w:p>
    <w:p w14:paraId="332CA8AB">
      <w:pPr>
        <w:spacing w:line="520" w:lineRule="exact"/>
        <w:ind w:firstLine="562" w:firstLineChars="200"/>
        <w:rPr>
          <w:rFonts w:ascii="仿宋_GB2312" w:eastAsia="仿宋_GB2312"/>
          <w:b/>
          <w:sz w:val="28"/>
          <w:szCs w:val="28"/>
        </w:rPr>
      </w:pPr>
      <w:r>
        <w:rPr>
          <w:rFonts w:hint="eastAsia" w:ascii="仿宋_GB2312" w:eastAsia="仿宋_GB2312"/>
          <w:b/>
          <w:sz w:val="28"/>
          <w:szCs w:val="28"/>
        </w:rPr>
        <w:t>2.协调性原则</w:t>
      </w:r>
    </w:p>
    <w:p w14:paraId="534F6F14">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本文件编写过程中注意了与</w:t>
      </w:r>
      <w:r>
        <w:rPr>
          <w:rFonts w:hint="eastAsia" w:ascii="仿宋_GB2312" w:eastAsia="仿宋_GB2312"/>
          <w:kern w:val="0"/>
          <w:sz w:val="28"/>
          <w:szCs w:val="28"/>
        </w:rPr>
        <w:t>无痛化导尿技术操作</w:t>
      </w:r>
      <w:r>
        <w:rPr>
          <w:rFonts w:hint="eastAsia" w:ascii="仿宋_GB2312" w:eastAsia="仿宋_GB2312"/>
          <w:sz w:val="28"/>
          <w:szCs w:val="28"/>
        </w:rPr>
        <w:t>相关法律法规的协调问题，在内容上与现行法律法规、标准协调一致。</w:t>
      </w:r>
    </w:p>
    <w:p w14:paraId="29652CA1">
      <w:pPr>
        <w:spacing w:line="520" w:lineRule="exact"/>
        <w:ind w:firstLine="562" w:firstLineChars="200"/>
        <w:rPr>
          <w:rFonts w:ascii="仿宋_GB2312" w:eastAsia="仿宋_GB2312"/>
          <w:b/>
          <w:sz w:val="28"/>
          <w:szCs w:val="28"/>
        </w:rPr>
      </w:pPr>
      <w:r>
        <w:rPr>
          <w:rFonts w:hint="eastAsia" w:ascii="仿宋_GB2312" w:eastAsia="仿宋_GB2312"/>
          <w:b/>
          <w:sz w:val="28"/>
          <w:szCs w:val="28"/>
        </w:rPr>
        <w:t>3.规范性原则</w:t>
      </w:r>
    </w:p>
    <w:p w14:paraId="296DF894">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本文件严格按照GB/T 1.1—2020《标准化工作导则  第1部分：标准化文件的结构和起草规则》编写本标准的内容，保证标准的编写质量。</w:t>
      </w:r>
    </w:p>
    <w:p w14:paraId="7AE6024E">
      <w:pPr>
        <w:spacing w:line="520" w:lineRule="exact"/>
        <w:ind w:firstLine="562" w:firstLineChars="200"/>
        <w:rPr>
          <w:rFonts w:ascii="仿宋_GB2312" w:eastAsia="仿宋_GB2312"/>
          <w:b/>
          <w:sz w:val="28"/>
          <w:szCs w:val="28"/>
        </w:rPr>
      </w:pPr>
      <w:r>
        <w:rPr>
          <w:rFonts w:hint="eastAsia" w:ascii="仿宋_GB2312" w:eastAsia="仿宋_GB2312"/>
          <w:b/>
          <w:sz w:val="28"/>
          <w:szCs w:val="28"/>
        </w:rPr>
        <w:t>4.前瞻性原则</w:t>
      </w:r>
    </w:p>
    <w:p w14:paraId="64F3618C">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本文件在兼顾当前区内</w:t>
      </w:r>
      <w:r>
        <w:rPr>
          <w:rFonts w:hint="eastAsia" w:ascii="仿宋_GB2312" w:eastAsia="仿宋_GB2312"/>
          <w:kern w:val="0"/>
          <w:sz w:val="28"/>
          <w:szCs w:val="28"/>
        </w:rPr>
        <w:t>无痛化导尿技术操作</w:t>
      </w:r>
      <w:r>
        <w:rPr>
          <w:rFonts w:hint="eastAsia" w:ascii="仿宋_GB2312" w:eastAsia="仿宋_GB2312"/>
          <w:sz w:val="28"/>
          <w:szCs w:val="28"/>
        </w:rPr>
        <w:t>现实情况的同时，还考虑到了</w:t>
      </w:r>
      <w:r>
        <w:rPr>
          <w:rFonts w:hint="eastAsia" w:ascii="仿宋_GB2312" w:eastAsia="仿宋_GB2312"/>
          <w:kern w:val="0"/>
          <w:sz w:val="28"/>
          <w:szCs w:val="28"/>
        </w:rPr>
        <w:t>无痛化导尿技术操作</w:t>
      </w:r>
      <w:r>
        <w:rPr>
          <w:rFonts w:hint="eastAsia" w:ascii="仿宋_GB2312" w:eastAsia="仿宋_GB2312"/>
          <w:sz w:val="28"/>
          <w:szCs w:val="28"/>
        </w:rPr>
        <w:t>的需要，在标准中体现了个别特色性、前瞻性和先进性条款，作为对</w:t>
      </w:r>
      <w:r>
        <w:rPr>
          <w:rFonts w:hint="eastAsia" w:ascii="仿宋_GB2312" w:eastAsia="仿宋_GB2312"/>
          <w:kern w:val="0"/>
          <w:sz w:val="28"/>
          <w:szCs w:val="28"/>
        </w:rPr>
        <w:t>无痛化导尿技术操作</w:t>
      </w:r>
      <w:r>
        <w:rPr>
          <w:rFonts w:hint="eastAsia" w:ascii="仿宋_GB2312" w:eastAsia="仿宋_GB2312"/>
          <w:sz w:val="28"/>
          <w:szCs w:val="28"/>
        </w:rPr>
        <w:t>发展的指导。</w:t>
      </w:r>
    </w:p>
    <w:p w14:paraId="67F21166">
      <w:pPr>
        <w:spacing w:line="520" w:lineRule="exact"/>
        <w:ind w:firstLine="562" w:firstLineChars="200"/>
        <w:outlineLvl w:val="1"/>
        <w:rPr>
          <w:rFonts w:ascii="仿宋_GB2312" w:eastAsia="仿宋_GB2312"/>
          <w:b/>
          <w:bCs/>
          <w:sz w:val="28"/>
          <w:szCs w:val="28"/>
        </w:rPr>
      </w:pPr>
      <w:r>
        <w:rPr>
          <w:rFonts w:hint="eastAsia" w:ascii="仿宋_GB2312" w:eastAsia="仿宋_GB2312"/>
          <w:b/>
          <w:bCs/>
          <w:sz w:val="28"/>
          <w:szCs w:val="28"/>
        </w:rPr>
        <w:t>（二）编制依据</w:t>
      </w:r>
    </w:p>
    <w:p w14:paraId="4C925237">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本标准严格按照GB/T 1.1—2020《标准化工作导则  第1部分：标准化文件的结构和起草规则》的规则起草，标准主要内容依据起草单位在</w:t>
      </w:r>
      <w:r>
        <w:rPr>
          <w:rFonts w:hint="eastAsia" w:ascii="仿宋_GB2312" w:eastAsia="仿宋_GB2312"/>
          <w:kern w:val="0"/>
          <w:sz w:val="28"/>
          <w:szCs w:val="28"/>
        </w:rPr>
        <w:t>无痛化导尿技术操作</w:t>
      </w:r>
      <w:r>
        <w:rPr>
          <w:rFonts w:hint="eastAsia" w:ascii="仿宋_GB2312" w:eastAsia="仿宋_GB2312"/>
          <w:sz w:val="28"/>
          <w:szCs w:val="28"/>
        </w:rPr>
        <w:t>研究应用过程中的实践经验确定。</w:t>
      </w:r>
    </w:p>
    <w:p w14:paraId="2468F1DB">
      <w:pPr>
        <w:spacing w:line="520" w:lineRule="exact"/>
        <w:ind w:firstLine="562" w:firstLineChars="200"/>
        <w:outlineLvl w:val="1"/>
        <w:rPr>
          <w:rFonts w:ascii="仿宋_GB2312" w:eastAsia="仿宋_GB2312"/>
          <w:b/>
          <w:bCs/>
          <w:sz w:val="28"/>
          <w:szCs w:val="28"/>
        </w:rPr>
      </w:pPr>
      <w:r>
        <w:rPr>
          <w:rFonts w:hint="eastAsia" w:ascii="仿宋_GB2312" w:eastAsia="仿宋_GB2312"/>
          <w:b/>
          <w:bCs/>
          <w:sz w:val="28"/>
          <w:szCs w:val="28"/>
        </w:rPr>
        <w:t>（三）与现行法律法规的关系，与有关国家标准、行业标准的协调情况</w:t>
      </w:r>
    </w:p>
    <w:p w14:paraId="5C9936D7">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经查阅，目前国内暂无与“无痛化导尿技术操作”相关的国家、行业、地方以及团体标准，与“导尿技术”相关的标准有：DB22/T 3362—2022《无菌间歇性导尿护理规范》、DB22/T 2767—2017《留置导尿术护理规范》、T/CRHA 073—2024《成人清洁间歇导尿护理》。</w:t>
      </w:r>
    </w:p>
    <w:p w14:paraId="5BDAA963">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上述标准与本标准的区别在于：</w:t>
      </w:r>
    </w:p>
    <w:p w14:paraId="2492CF99">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1.间歇性导尿和留置导尿术定义不同，规范的内容完全不同。</w:t>
      </w:r>
    </w:p>
    <w:p w14:paraId="3517A4A1">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2.DB22/T 3362—2022《无菌间歇性导尿护理规范》和T/CRHA 073—2024《成人清洁间歇导尿护理》重点规范间歇性导尿的频次和操作流程，DB22/T 2767—2017《留置导尿术护理规范》主要规范留置导尿术操作流程。</w:t>
      </w:r>
    </w:p>
    <w:p w14:paraId="7D433766">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3.本标准的核心是解决医护人员留置患者尿管过程中的疼痛问题，技术内容包括在导尿管置入时应用局麻药物，改变气囊注水方法保持尿管气囊正常形态，通过拔管过程相关操作使尿管气囊皱褶消失以及运用中医适宜技术等，总体达到减少导尿管置入时、留置期间及尿管拔除过程中的不适及疼痛感，提高患者舒适度，改善就医体验。本标准注重建立一套关于无痛化导尿技术完善的专科操作要求及流程。</w:t>
      </w:r>
    </w:p>
    <w:p w14:paraId="58A54127">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当前未制定有团体标准《无痛化导尿技术操作规范》。</w:t>
      </w:r>
    </w:p>
    <w:p w14:paraId="3686C018">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本标准的内容与现行的法律法规及强制性标准无冲突，标准的编写符合GB/T 1.1—2020的要求。</w:t>
      </w:r>
    </w:p>
    <w:p w14:paraId="6A84321B">
      <w:pPr>
        <w:spacing w:before="240" w:after="60" w:line="520" w:lineRule="exact"/>
        <w:ind w:firstLine="640" w:firstLineChars="200"/>
        <w:jc w:val="left"/>
        <w:outlineLvl w:val="0"/>
        <w:rPr>
          <w:rFonts w:ascii="仿宋_GB2312" w:eastAsia="仿宋_GB2312" w:cs="仿宋"/>
          <w:bCs/>
          <w:sz w:val="28"/>
          <w:szCs w:val="28"/>
        </w:rPr>
      </w:pPr>
      <w:r>
        <w:rPr>
          <w:rFonts w:hint="eastAsia" w:ascii="黑体" w:eastAsia="黑体"/>
          <w:bCs/>
          <w:sz w:val="32"/>
          <w:szCs w:val="32"/>
        </w:rPr>
        <w:t>五、主要条款的说明</w:t>
      </w:r>
    </w:p>
    <w:p w14:paraId="6C832A65">
      <w:pPr>
        <w:pStyle w:val="33"/>
        <w:spacing w:before="0" w:beforeLines="0" w:after="0" w:afterLines="0"/>
        <w:ind w:firstLine="562"/>
        <w:jc w:val="both"/>
        <w:outlineLvl w:val="1"/>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（一）术语和定义</w:t>
      </w:r>
    </w:p>
    <w:p w14:paraId="1D9037F1">
      <w:pPr>
        <w:pStyle w:val="33"/>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无痛化导尿技术  painless catheterization</w:t>
      </w:r>
    </w:p>
    <w:p w14:paraId="01B91989">
      <w:pPr>
        <w:pStyle w:val="33"/>
        <w:spacing w:before="0" w:beforeLines="0" w:after="0" w:afterLines="0"/>
        <w:ind w:firstLine="560"/>
        <w:jc w:val="both"/>
        <w:rPr>
          <w:rFonts w:hint="eastAsia" w:ascii="仿宋_GB2312" w:hAnsi="仿宋_GB2312" w:eastAsia="仿宋_GB2312" w:cs="仿宋_GB2312"/>
          <w:sz w:val="28"/>
          <w:szCs w:val="28"/>
          <w:highlight w:val="none"/>
          <w:lang w:eastAsia="zh-CN"/>
        </w:rPr>
      </w:pPr>
      <w:r>
        <w:rPr>
          <w:rFonts w:hint="eastAsia" w:ascii="仿宋_GB2312" w:hAnsi="仿宋_GB2312" w:eastAsia="仿宋_GB2312" w:cs="仿宋_GB2312"/>
          <w:sz w:val="28"/>
          <w:szCs w:val="28"/>
          <w:highlight w:val="none"/>
        </w:rPr>
        <w:t>在《留置导尿管护理指南》等相关文件中，会明确提出“减轻插管时疼痛”的措施建议，包括使用利多卡因凝胶。</w:t>
      </w:r>
      <w:r>
        <w:rPr>
          <w:rFonts w:hint="eastAsia" w:ascii="仿宋_GB2312" w:hAnsi="仿宋_GB2312" w:eastAsia="仿宋_GB2312" w:cs="仿宋_GB2312"/>
          <w:sz w:val="28"/>
          <w:szCs w:val="28"/>
          <w:highlight w:val="none"/>
          <w:lang w:eastAsia="zh-CN"/>
        </w:rPr>
        <w:t>该术语结合该文献以及各起草单位的工作实际而确定。</w:t>
      </w:r>
    </w:p>
    <w:p w14:paraId="5C35B904">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drawing>
          <wp:inline distT="0" distB="0" distL="114300" distR="114300">
            <wp:extent cx="2680335" cy="2879725"/>
            <wp:effectExtent l="0" t="0" r="5715" b="15875"/>
            <wp:docPr id="18" name="图片 18" descr="45607e2c1a9b847dd29c3ba0c2d91b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45607e2c1a9b847dd29c3ba0c2d91b73"/>
                    <pic:cNvPicPr>
                      <a:picLocks noChangeAspect="1"/>
                    </pic:cNvPicPr>
                  </pic:nvPicPr>
                  <pic:blipFill>
                    <a:blip r:embed="rId6"/>
                    <a:stretch>
                      <a:fillRect/>
                    </a:stretch>
                  </pic:blipFill>
                  <pic:spPr>
                    <a:xfrm>
                      <a:off x="0" y="0"/>
                      <a:ext cx="2680335" cy="2879725"/>
                    </a:xfrm>
                    <a:prstGeom prst="rect">
                      <a:avLst/>
                    </a:prstGeom>
                  </pic:spPr>
                </pic:pic>
              </a:graphicData>
            </a:graphic>
          </wp:inline>
        </w:drawing>
      </w:r>
      <w:r>
        <w:rPr>
          <w:rFonts w:hint="eastAsia" w:ascii="仿宋_GB2312" w:hAnsi="仿宋_GB2312" w:eastAsia="仿宋_GB2312" w:cs="仿宋_GB2312"/>
          <w:sz w:val="28"/>
          <w:szCs w:val="28"/>
          <w:lang w:eastAsia="zh-CN"/>
        </w:rPr>
        <w:drawing>
          <wp:inline distT="0" distB="0" distL="114300" distR="114300">
            <wp:extent cx="2440305" cy="2879725"/>
            <wp:effectExtent l="0" t="0" r="17145" b="15875"/>
            <wp:docPr id="19" name="图片 19" descr="db524195585cc937594e7c40e8cd40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db524195585cc937594e7c40e8cd403a"/>
                    <pic:cNvPicPr>
                      <a:picLocks noChangeAspect="1"/>
                    </pic:cNvPicPr>
                  </pic:nvPicPr>
                  <pic:blipFill>
                    <a:blip r:embed="rId7"/>
                    <a:stretch>
                      <a:fillRect/>
                    </a:stretch>
                  </pic:blipFill>
                  <pic:spPr>
                    <a:xfrm>
                      <a:off x="0" y="0"/>
                      <a:ext cx="2440305" cy="2879725"/>
                    </a:xfrm>
                    <a:prstGeom prst="rect">
                      <a:avLst/>
                    </a:prstGeom>
                  </pic:spPr>
                </pic:pic>
              </a:graphicData>
            </a:graphic>
          </wp:inline>
        </w:drawing>
      </w:r>
    </w:p>
    <w:p w14:paraId="0CC849F5">
      <w:pPr>
        <w:pStyle w:val="33"/>
        <w:spacing w:before="0" w:beforeLines="0" w:after="0" w:afterLines="0" w:line="240" w:lineRule="auto"/>
        <w:ind w:left="0" w:leftChars="0" w:firstLine="0" w:firstLineChars="0"/>
        <w:jc w:val="center"/>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来源：中国泌尿外科和男科疾病诊断治疗指南</w:t>
      </w:r>
    </w:p>
    <w:p w14:paraId="0ABE0AF0">
      <w:pPr>
        <w:pStyle w:val="33"/>
        <w:spacing w:before="0" w:beforeLines="0" w:after="0" w:afterLines="0"/>
        <w:ind w:firstLine="562"/>
        <w:jc w:val="both"/>
        <w:outlineLvl w:val="1"/>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（二）基本要求</w:t>
      </w:r>
    </w:p>
    <w:p w14:paraId="4195704F">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 人员要求</w:t>
      </w:r>
    </w:p>
    <w:p w14:paraId="4F64B7C5">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1.1 无痛化导尿技术集成了药物镇痛（如涂抹无菌麻醉性药物润滑胶浆）、物理干预（如优化气囊注水与固定）与中医适宜技术（如中医镇痛技术）以及拔尿管操作优化等综合措施，其复杂程度高于常规操作。为确保患者安全与技术效果，操作者必须接受上述技术要点的系统、专项培训并考核合格，这是统一技术标准、保障临床同质化应用的必需环节。</w:t>
      </w:r>
    </w:p>
    <w:p w14:paraId="6540BBD0">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1.2 中医镇痛技术如穴位按摩、耳穴压豆具有独立的理论体系和操作规范。其有效性及安全性建立在精准取穴和正确手法基础上。在相关培训中，应确保操作者掌握正确的中医镇痛技术原理与操作方法，旨在尊重学科专业性，防止因操作不当导致效果不佳或增加患者风险，是技术整合中质量控制的重要组成部分。</w:t>
      </w:r>
    </w:p>
    <w:p w14:paraId="79411660">
      <w:pPr>
        <w:pStyle w:val="33"/>
        <w:spacing w:before="0" w:beforeLines="0" w:after="0" w:afterLines="0"/>
        <w:ind w:firstLine="562"/>
        <w:jc w:val="both"/>
        <w:rPr>
          <w:rFonts w:hint="eastAsia" w:ascii="仿宋_GB2312" w:hAnsi="仿宋_GB2312" w:eastAsia="仿宋_GB2312" w:cs="仿宋_GB2312"/>
          <w:sz w:val="28"/>
          <w:szCs w:val="28"/>
        </w:rPr>
      </w:pPr>
      <w:r>
        <w:rPr>
          <w:rFonts w:hint="eastAsia" w:ascii="仿宋_GB2312" w:hAnsi="仿宋_GB2312" w:eastAsia="仿宋_GB2312" w:cs="仿宋_GB2312"/>
          <w:b/>
          <w:bCs w:val="0"/>
          <w:sz w:val="28"/>
          <w:szCs w:val="28"/>
        </w:rPr>
        <w:t>2. 环境要求</w:t>
      </w:r>
    </w:p>
    <w:p w14:paraId="033282C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2.1 导尿操作需暴露患者隐私部位，易引发紧张、焦虑和不适感。这些负面情绪会直接导致患者肌肉紧张，增加操作阻力和疼痛感知。规定操作空间必须具备良好私密性，旨在从根本上尊重患者尊严，通过消除环境干扰帮助患者身心放松，这是实现“无痛化”目标的重要前提和人文关怀的具体体现。</w:t>
      </w:r>
    </w:p>
    <w:p w14:paraId="6D2ED38D">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2.2 导尿术属于侵入性操作，打破人体泌尿系统的自然防御屏障。操作环境的卫生状况是预防外源性感染的关键可控因素。因此，空气质量、物体表面清洁与消毒等卫生状况必须符合GB 15982《医院消毒卫生标准》的规定，以最大程度降低感染风险。</w:t>
      </w:r>
    </w:p>
    <w:p w14:paraId="565B0138">
      <w:pPr>
        <w:pStyle w:val="33"/>
        <w:spacing w:before="0" w:beforeLines="0" w:after="0" w:afterLines="0" w:line="240" w:lineRule="auto"/>
        <w:ind w:firstLine="0" w:firstLineChars="0"/>
        <w:rPr>
          <w:rFonts w:hint="eastAsia"/>
        </w:rPr>
      </w:pPr>
      <w:r>
        <w:drawing>
          <wp:inline distT="0" distB="0" distL="114300" distR="114300">
            <wp:extent cx="3239770" cy="1343025"/>
            <wp:effectExtent l="9525" t="9525" r="27305"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3239770" cy="1343025"/>
                    </a:xfrm>
                    <a:prstGeom prst="rect">
                      <a:avLst/>
                    </a:prstGeom>
                    <a:noFill/>
                    <a:ln>
                      <a:solidFill>
                        <a:schemeClr val="tx1"/>
                      </a:solidFill>
                    </a:ln>
                  </pic:spPr>
                </pic:pic>
              </a:graphicData>
            </a:graphic>
          </wp:inline>
        </w:drawing>
      </w:r>
    </w:p>
    <w:p w14:paraId="14AC046A">
      <w:pPr>
        <w:pStyle w:val="33"/>
        <w:spacing w:before="0" w:beforeLines="0" w:after="0" w:afterLines="0" w:line="240" w:lineRule="auto"/>
        <w:ind w:firstLine="0" w:firstLineChars="0"/>
        <w:rPr>
          <w:rFonts w:hint="eastAsia"/>
        </w:rPr>
      </w:pPr>
      <w:r>
        <w:rPr>
          <w:rFonts w:hint="eastAsia"/>
        </w:rPr>
        <w:t>来源：GB 15982  医院消毒卫生标准</w:t>
      </w:r>
    </w:p>
    <w:p w14:paraId="3AFCB117">
      <w:pPr>
        <w:pStyle w:val="33"/>
        <w:spacing w:before="0" w:beforeLines="0" w:after="0" w:afterLines="0"/>
        <w:ind w:firstLine="562"/>
        <w:jc w:val="both"/>
        <w:rPr>
          <w:rFonts w:hint="eastAsia" w:ascii="仿宋_GB2312" w:hAnsi="仿宋_GB2312" w:eastAsia="仿宋_GB2312" w:cs="仿宋_GB2312"/>
          <w:sz w:val="28"/>
          <w:szCs w:val="28"/>
        </w:rPr>
      </w:pPr>
      <w:r>
        <w:rPr>
          <w:rFonts w:hint="eastAsia" w:ascii="仿宋_GB2312" w:hAnsi="仿宋_GB2312" w:eastAsia="仿宋_GB2312" w:cs="仿宋_GB2312"/>
          <w:b/>
          <w:bCs w:val="0"/>
          <w:sz w:val="28"/>
          <w:szCs w:val="28"/>
        </w:rPr>
        <w:t xml:space="preserve">3. </w:t>
      </w:r>
      <w:r>
        <w:rPr>
          <w:rFonts w:hint="eastAsia" w:ascii="仿宋_GB2312" w:hAnsi="仿宋_GB2312" w:eastAsia="仿宋_GB2312" w:cs="仿宋_GB2312"/>
          <w:b/>
          <w:bCs w:val="0"/>
          <w:sz w:val="28"/>
          <w:szCs w:val="28"/>
          <w:lang w:eastAsia="zh-CN"/>
        </w:rPr>
        <w:t>器械和耗材</w:t>
      </w:r>
      <w:r>
        <w:rPr>
          <w:rFonts w:hint="eastAsia" w:ascii="仿宋_GB2312" w:hAnsi="仿宋_GB2312" w:eastAsia="仿宋_GB2312" w:cs="仿宋_GB2312"/>
          <w:b/>
          <w:bCs w:val="0"/>
          <w:sz w:val="28"/>
          <w:szCs w:val="28"/>
        </w:rPr>
        <w:t>要求</w:t>
      </w:r>
    </w:p>
    <w:p w14:paraId="2CDA39F5">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3.1 一次性使用无菌导尿包应符合YY/T 0325《一次性使用无菌导尿管》的规定，一次性使用无菌注射器应符合GB 15810《一次性使用无菌注射器》的规定。 这些引用确保了导尿包、注射器等关键器械在材料安全、物理性能、无菌状态及生物相容性上满足统一的质量底线，是保障操作安全、有效的基础，也是规范市场采购与验收的技术依据。</w:t>
      </w:r>
    </w:p>
    <w:p w14:paraId="052B297D">
      <w:pPr>
        <w:pStyle w:val="33"/>
        <w:spacing w:before="0" w:beforeLines="0" w:after="0" w:afterLines="0" w:line="240" w:lineRule="auto"/>
        <w:ind w:firstLine="0" w:firstLineChars="0"/>
        <w:rPr>
          <w:rFonts w:hint="eastAsia"/>
        </w:rPr>
      </w:pPr>
      <w:r>
        <w:drawing>
          <wp:inline distT="0" distB="0" distL="114300" distR="114300">
            <wp:extent cx="3239770" cy="3274695"/>
            <wp:effectExtent l="9525" t="9525" r="27305" b="114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3239770" cy="3274695"/>
                    </a:xfrm>
                    <a:prstGeom prst="rect">
                      <a:avLst/>
                    </a:prstGeom>
                    <a:noFill/>
                    <a:ln>
                      <a:solidFill>
                        <a:schemeClr val="tx1"/>
                      </a:solidFill>
                    </a:ln>
                  </pic:spPr>
                </pic:pic>
              </a:graphicData>
            </a:graphic>
          </wp:inline>
        </w:drawing>
      </w:r>
    </w:p>
    <w:p w14:paraId="2418E115">
      <w:pPr>
        <w:pStyle w:val="33"/>
        <w:spacing w:before="0" w:beforeLines="0" w:after="0" w:afterLines="0" w:line="240" w:lineRule="auto"/>
        <w:ind w:firstLine="0" w:firstLineChars="0"/>
        <w:rPr>
          <w:rFonts w:hint="eastAsia"/>
        </w:rPr>
      </w:pPr>
      <w:r>
        <w:rPr>
          <w:rFonts w:hint="eastAsia"/>
        </w:rPr>
        <w:t>来源：YY/T 0325  一次性使用无菌导尿管</w:t>
      </w:r>
    </w:p>
    <w:p w14:paraId="331C4677">
      <w:pPr>
        <w:pStyle w:val="33"/>
        <w:spacing w:before="0" w:beforeLines="0" w:after="0" w:afterLines="0" w:line="240" w:lineRule="auto"/>
        <w:ind w:firstLine="0" w:firstLineChars="0"/>
        <w:rPr>
          <w:rFonts w:hint="eastAsia"/>
        </w:rPr>
      </w:pPr>
      <w:r>
        <w:drawing>
          <wp:inline distT="0" distB="0" distL="114300" distR="114300">
            <wp:extent cx="3239770" cy="3830955"/>
            <wp:effectExtent l="9525" t="9525" r="27305" b="266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3239770" cy="3830955"/>
                    </a:xfrm>
                    <a:prstGeom prst="rect">
                      <a:avLst/>
                    </a:prstGeom>
                    <a:noFill/>
                    <a:ln>
                      <a:solidFill>
                        <a:schemeClr val="tx1"/>
                      </a:solidFill>
                    </a:ln>
                  </pic:spPr>
                </pic:pic>
              </a:graphicData>
            </a:graphic>
          </wp:inline>
        </w:drawing>
      </w:r>
    </w:p>
    <w:p w14:paraId="0AB04D4A">
      <w:pPr>
        <w:pStyle w:val="33"/>
        <w:spacing w:before="0" w:beforeLines="0" w:after="0" w:afterLines="0" w:line="240" w:lineRule="auto"/>
        <w:ind w:firstLine="0" w:firstLineChars="0"/>
        <w:rPr>
          <w:rFonts w:hint="eastAsia"/>
        </w:rPr>
      </w:pPr>
      <w:r>
        <w:rPr>
          <w:rFonts w:hint="eastAsia"/>
        </w:rPr>
        <w:t>来源：GB  15810  一次性使用无菌注射器</w:t>
      </w:r>
    </w:p>
    <w:p w14:paraId="2F32BA8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3.2 医用手套应符合GB 24788《医用手套安全技术要求》的规定。 这是防止交叉感染、保护操作者和患者的基础安全要求。</w:t>
      </w:r>
    </w:p>
    <w:p w14:paraId="59614CFC">
      <w:pPr>
        <w:pStyle w:val="33"/>
        <w:spacing w:before="0" w:beforeLines="0" w:after="0" w:afterLines="0" w:line="240" w:lineRule="auto"/>
        <w:ind w:firstLine="0" w:firstLineChars="0"/>
        <w:rPr>
          <w:rFonts w:hint="eastAsia"/>
        </w:rPr>
      </w:pPr>
      <w:r>
        <w:drawing>
          <wp:inline distT="0" distB="0" distL="114300" distR="114300">
            <wp:extent cx="3239770" cy="2222500"/>
            <wp:effectExtent l="9525" t="9525" r="27305" b="158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3239770" cy="2222500"/>
                    </a:xfrm>
                    <a:prstGeom prst="rect">
                      <a:avLst/>
                    </a:prstGeom>
                    <a:noFill/>
                    <a:ln>
                      <a:solidFill>
                        <a:schemeClr val="tx1"/>
                      </a:solidFill>
                    </a:ln>
                  </pic:spPr>
                </pic:pic>
              </a:graphicData>
            </a:graphic>
          </wp:inline>
        </w:drawing>
      </w:r>
    </w:p>
    <w:p w14:paraId="7ECDBDD3">
      <w:pPr>
        <w:pStyle w:val="33"/>
        <w:spacing w:before="0" w:beforeLines="0" w:after="0" w:afterLines="0" w:line="240" w:lineRule="auto"/>
        <w:ind w:firstLine="0" w:firstLineChars="0"/>
        <w:rPr>
          <w:rFonts w:hint="eastAsia"/>
        </w:rPr>
      </w:pPr>
      <w:r>
        <w:rPr>
          <w:rFonts w:hint="eastAsia"/>
        </w:rPr>
        <w:t>来源：GB 24788  医用手套安全技术要求</w:t>
      </w:r>
    </w:p>
    <w:p w14:paraId="29B2DBEB">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3.3 耳穴贴、无菌麻醉性药物润滑胶浆等应符合国家医疗器械相关标准。 无痛化导尿技术集成了麻醉药物与中医器械等特殊物品。无菌麻醉性药物润滑胶浆属于药械结合产品，其安全性、有效性与剂量准确性至关重要。耳穴贴等中医器械直接接触患者皮肤。要求它们符合国家医疗器械相关标准，是为了对这些特殊物品的注册、生产质量及临床适用性进行强制约束，确保其在镇痛环节中发挥预期作用，且不对患者造成额外伤害。</w:t>
      </w:r>
    </w:p>
    <w:p w14:paraId="2FC4B893">
      <w:pPr>
        <w:pStyle w:val="33"/>
        <w:spacing w:before="0" w:beforeLines="0" w:after="0" w:afterLines="0"/>
        <w:ind w:firstLine="562"/>
        <w:jc w:val="both"/>
        <w:outlineLvl w:val="1"/>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w:t>
      </w:r>
      <w:r>
        <w:rPr>
          <w:rFonts w:hint="eastAsia" w:ascii="仿宋_GB2312" w:hAnsi="仿宋_GB2312" w:eastAsia="仿宋_GB2312" w:cs="仿宋_GB2312"/>
          <w:b/>
          <w:bCs w:val="0"/>
          <w:sz w:val="28"/>
          <w:szCs w:val="28"/>
          <w:lang w:eastAsia="zh-CN"/>
        </w:rPr>
        <w:t>三</w:t>
      </w:r>
      <w:r>
        <w:rPr>
          <w:rFonts w:hint="eastAsia" w:ascii="仿宋_GB2312" w:hAnsi="仿宋_GB2312" w:eastAsia="仿宋_GB2312" w:cs="仿宋_GB2312"/>
          <w:b/>
          <w:bCs w:val="0"/>
          <w:sz w:val="28"/>
          <w:szCs w:val="28"/>
        </w:rPr>
        <w:t>）导尿操作</w:t>
      </w:r>
    </w:p>
    <w:p w14:paraId="622E776E">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 操作前准备</w:t>
      </w:r>
    </w:p>
    <w:p w14:paraId="53F085DB">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1.1 评估</w:t>
      </w:r>
    </w:p>
    <w:p w14:paraId="69DF129A">
      <w:pPr>
        <w:pStyle w:val="33"/>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无痛化导尿不仅为引流尿液，更追求操作全程的舒适与安全。因此，评估需全面且具有针对性：</w:t>
      </w:r>
    </w:p>
    <w:p w14:paraId="79C43A05">
      <w:pPr>
        <w:pStyle w:val="33"/>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综合评估患者性别、年龄、病史、膀胱充盈度、合作程度、会阴部皮肤黏膜情况及清洁度。 病史用于识别风险（如过敏史、手术史）及预测操作难度（如前列腺增生）；会阴部情况的评估是预防感染和判断麻醉润滑剂使用安全性的基础。综合评估结果为后续个体化操作方案的制定提供了核心依据。</w:t>
      </w:r>
    </w:p>
    <w:p w14:paraId="472CF17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进行中医镇痛操作前，必须专门评估操作部位（如耳廓、肢体穴位处）的皮肤完整性。 这是确保中医适宜技术（如耳穴压豆、穴位按摩）安全实施的前提，可避免在皮肤破损处操作，防止感染或加重损伤。</w:t>
      </w:r>
    </w:p>
    <w:p w14:paraId="02A4D78A">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必须遵医嘱，严格评估患者是否存在已知对所用局麻药物过敏、尿道严重损伤或断裂、急性前列腺炎等禁忌症。 此项评估是保障患者安全的首要关卡，能有效避免因操作引发严重过敏反应、加重组织损伤或导致感染扩散等风险。</w:t>
      </w:r>
    </w:p>
    <w:p w14:paraId="1D48BA33">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1.2 物品</w:t>
      </w:r>
    </w:p>
    <w:p w14:paraId="2EBD3447">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1.2.1 应根据患者具体情况（如性别、年龄、尿道状况）选择合适的导尿管型号。 例如，男性、儿童或存在前列腺增生的患者可能需要不同型号。这是实现无痛、顺利置管的重要基础。</w:t>
      </w:r>
    </w:p>
    <w:p w14:paraId="6A6F3267">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1.2.2 应准备齐全所有必需物品，包括：一次性使用无菌导尿包、一次性使用无菌注射器、医用手套、消毒液、集尿袋、固定装置、无菌麻醉性药物润滑胶浆（如2％利多卡因胶浆）等。 其中，“无菌麻醉性药物润滑胶浆”是无痛化技术的关键耗材，必须明确列出以确保其准备不被遗漏。</w:t>
      </w:r>
    </w:p>
    <w:p w14:paraId="4E58FBCC">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1.3 体位</w:t>
      </w:r>
    </w:p>
    <w:p w14:paraId="55490CC2">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体位摆放的核心目的是充分显露操作野并顺应或调整尿道生理结构，为无痛、顺利置管创造最佳解剖条件。</w:t>
      </w:r>
    </w:p>
    <w:p w14:paraId="34896D1B">
      <w:pPr>
        <w:pStyle w:val="33"/>
        <w:spacing w:before="0" w:beforeLines="0" w:after="0" w:afterLines="0"/>
        <w:ind w:firstLine="560"/>
        <w:jc w:val="both"/>
        <w:rPr>
          <w:rFonts w:ascii="仿宋_GB2312" w:hAnsi="仿宋_GB2312" w:eastAsia="仿宋_GB2312" w:cs="仿宋_GB2312"/>
          <w:sz w:val="28"/>
          <w:szCs w:val="28"/>
          <w:highlight w:val="none"/>
        </w:rPr>
      </w:pPr>
      <w:r>
        <w:rPr>
          <w:rFonts w:hint="eastAsia" w:ascii="仿宋_GB2312" w:hAnsi="仿宋_GB2312" w:eastAsia="仿宋_GB2312" w:cs="仿宋_GB2312"/>
          <w:sz w:val="28"/>
          <w:szCs w:val="28"/>
        </w:rPr>
        <w:t>1.3.1 男性患者应取仰卧位。操作时提起阴茎，旨在消除其生理弯曲（耻骨前弯和耻骨下弯），这是克服男性尿道解剖特点、减少置管阻力和黏膜损伤的关键步骤。该</w:t>
      </w:r>
      <w:r>
        <w:rPr>
          <w:rFonts w:hint="eastAsia" w:ascii="仿宋_GB2312" w:hAnsi="仿宋_GB2312" w:eastAsia="仿宋_GB2312" w:cs="仿宋_GB2312"/>
          <w:sz w:val="28"/>
          <w:szCs w:val="28"/>
          <w:lang w:eastAsia="zh-CN"/>
        </w:rPr>
        <w:t>操作</w:t>
      </w:r>
      <w:r>
        <w:rPr>
          <w:rFonts w:hint="eastAsia" w:ascii="仿宋_GB2312" w:hAnsi="仿宋_GB2312" w:eastAsia="仿宋_GB2312" w:cs="仿宋_GB2312"/>
          <w:sz w:val="28"/>
          <w:szCs w:val="28"/>
        </w:rPr>
        <w:t>参</w:t>
      </w:r>
      <w:r>
        <w:rPr>
          <w:rFonts w:hint="eastAsia" w:ascii="仿宋_GB2312" w:hAnsi="仿宋_GB2312" w:eastAsia="仿宋_GB2312" w:cs="仿宋_GB2312"/>
          <w:sz w:val="28"/>
          <w:szCs w:val="28"/>
          <w:highlight w:val="none"/>
        </w:rPr>
        <w:t>考《</w:t>
      </w:r>
      <w:r>
        <w:rPr>
          <w:rFonts w:ascii="仿宋_GB2312" w:hAnsi="仿宋_GB2312" w:eastAsia="仿宋_GB2312" w:cs="仿宋_GB2312"/>
          <w:sz w:val="28"/>
          <w:szCs w:val="28"/>
          <w:highlight w:val="none"/>
        </w:rPr>
        <w:t>中国泌尿外科和男科疾病诊断治疗指南</w:t>
      </w:r>
      <w:r>
        <w:rPr>
          <w:rFonts w:hint="eastAsia" w:ascii="仿宋_GB2312" w:hAnsi="仿宋_GB2312" w:eastAsia="仿宋_GB2312" w:cs="仿宋_GB2312"/>
          <w:sz w:val="28"/>
          <w:szCs w:val="28"/>
          <w:highlight w:val="none"/>
          <w:lang w:eastAsia="zh-CN"/>
        </w:rPr>
        <w:t>》《</w:t>
      </w:r>
      <w:r>
        <w:rPr>
          <w:rFonts w:ascii="仿宋_GB2312" w:hAnsi="仿宋_GB2312" w:eastAsia="仿宋_GB2312" w:cs="仿宋_GB2312"/>
          <w:sz w:val="28"/>
          <w:szCs w:val="28"/>
          <w:highlight w:val="none"/>
        </w:rPr>
        <w:t>2022版留置导尿管护理指南</w:t>
      </w:r>
      <w:r>
        <w:rPr>
          <w:rFonts w:hint="eastAsia" w:ascii="仿宋_GB2312" w:hAnsi="仿宋_GB2312" w:eastAsia="仿宋_GB2312" w:cs="仿宋_GB2312"/>
          <w:sz w:val="28"/>
          <w:szCs w:val="28"/>
          <w:highlight w:val="none"/>
        </w:rPr>
        <w:t>》</w:t>
      </w:r>
      <w:r>
        <w:rPr>
          <w:rFonts w:ascii="仿宋_GB2312" w:hAnsi="仿宋_GB2312" w:eastAsia="仿宋_GB2312" w:cs="仿宋_GB2312"/>
          <w:sz w:val="28"/>
          <w:szCs w:val="28"/>
          <w:highlight w:val="none"/>
        </w:rPr>
        <w:t>。</w:t>
      </w:r>
    </w:p>
    <w:p w14:paraId="661EE8B9">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drawing>
          <wp:inline distT="0" distB="0" distL="114300" distR="114300">
            <wp:extent cx="2660015" cy="3599815"/>
            <wp:effectExtent l="9525" t="9525" r="16510" b="10160"/>
            <wp:docPr id="8" name="图片 8" descr="6a8a199dfd5c820ae0db1e5e1ab6de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6a8a199dfd5c820ae0db1e5e1ab6de94"/>
                    <pic:cNvPicPr>
                      <a:picLocks noChangeAspect="1"/>
                    </pic:cNvPicPr>
                  </pic:nvPicPr>
                  <pic:blipFill>
                    <a:blip r:embed="rId12"/>
                    <a:stretch>
                      <a:fillRect/>
                    </a:stretch>
                  </pic:blipFill>
                  <pic:spPr>
                    <a:xfrm>
                      <a:off x="0" y="0"/>
                      <a:ext cx="2660015" cy="3599815"/>
                    </a:xfrm>
                    <a:prstGeom prst="rect">
                      <a:avLst/>
                    </a:prstGeom>
                    <a:ln>
                      <a:solidFill>
                        <a:schemeClr val="tx1"/>
                      </a:solidFill>
                    </a:ln>
                  </pic:spPr>
                </pic:pic>
              </a:graphicData>
            </a:graphic>
          </wp:inline>
        </w:drawing>
      </w:r>
      <w:r>
        <w:rPr>
          <w:rFonts w:hint="eastAsia" w:ascii="仿宋_GB2312" w:hAnsi="仿宋_GB2312" w:eastAsia="仿宋_GB2312" w:cs="仿宋_GB2312"/>
          <w:sz w:val="28"/>
          <w:szCs w:val="28"/>
          <w:lang w:eastAsia="zh-CN"/>
        </w:rPr>
        <w:drawing>
          <wp:inline distT="0" distB="0" distL="114300" distR="114300">
            <wp:extent cx="2721610" cy="3599815"/>
            <wp:effectExtent l="9525" t="9525" r="12065" b="10160"/>
            <wp:docPr id="9" name="图片 9" descr="b4de577ed3e0948a093581c8a64f5e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b4de577ed3e0948a093581c8a64f5e58"/>
                    <pic:cNvPicPr>
                      <a:picLocks noChangeAspect="1"/>
                    </pic:cNvPicPr>
                  </pic:nvPicPr>
                  <pic:blipFill>
                    <a:blip r:embed="rId13"/>
                    <a:srcRect b="5076"/>
                    <a:stretch>
                      <a:fillRect/>
                    </a:stretch>
                  </pic:blipFill>
                  <pic:spPr>
                    <a:xfrm>
                      <a:off x="0" y="0"/>
                      <a:ext cx="2721610" cy="3599815"/>
                    </a:xfrm>
                    <a:prstGeom prst="rect">
                      <a:avLst/>
                    </a:prstGeom>
                    <a:ln>
                      <a:solidFill>
                        <a:schemeClr val="tx1"/>
                      </a:solidFill>
                    </a:ln>
                  </pic:spPr>
                </pic:pic>
              </a:graphicData>
            </a:graphic>
          </wp:inline>
        </w:drawing>
      </w:r>
    </w:p>
    <w:p w14:paraId="3753CD7B">
      <w:pPr>
        <w:pStyle w:val="33"/>
        <w:spacing w:before="0" w:beforeLines="0" w:after="0" w:afterLines="0" w:line="240" w:lineRule="auto"/>
        <w:ind w:left="0" w:leftChars="0" w:firstLine="0" w:firstLineChars="0"/>
        <w:jc w:val="center"/>
        <w:rPr>
          <w:rFonts w:hint="eastAsia" w:ascii="黑体" w:hAnsi="黑体" w:eastAsia="黑体" w:cs="黑体"/>
          <w:sz w:val="24"/>
          <w:szCs w:val="24"/>
          <w:highlight w:val="none"/>
          <w:lang w:eastAsia="zh-CN"/>
        </w:rPr>
      </w:pPr>
      <w:r>
        <w:rPr>
          <w:rFonts w:hint="eastAsia" w:ascii="黑体" w:hAnsi="黑体" w:eastAsia="黑体" w:cs="黑体"/>
          <w:sz w:val="24"/>
          <w:szCs w:val="24"/>
          <w:highlight w:val="none"/>
          <w:lang w:eastAsia="zh-CN"/>
        </w:rPr>
        <w:t>来源：</w:t>
      </w:r>
      <w:r>
        <w:rPr>
          <w:rFonts w:hint="eastAsia" w:ascii="黑体" w:hAnsi="黑体" w:eastAsia="黑体" w:cs="黑体"/>
          <w:sz w:val="24"/>
          <w:szCs w:val="24"/>
          <w:highlight w:val="none"/>
        </w:rPr>
        <w:t>中国泌尿外科和男科疾病诊断治疗指南</w:t>
      </w:r>
      <w:r>
        <w:rPr>
          <w:rFonts w:hint="eastAsia" w:cs="黑体"/>
          <w:sz w:val="24"/>
          <w:szCs w:val="24"/>
          <w:highlight w:val="none"/>
          <w:lang w:eastAsia="zh-CN"/>
        </w:rPr>
        <w:t>，</w:t>
      </w:r>
      <w:r>
        <w:rPr>
          <w:rFonts w:hint="eastAsia" w:ascii="黑体" w:hAnsi="黑体" w:eastAsia="黑体" w:cs="黑体"/>
          <w:sz w:val="24"/>
          <w:szCs w:val="24"/>
          <w:highlight w:val="none"/>
        </w:rPr>
        <w:t>2022版留置导尿管护理指南</w:t>
      </w:r>
    </w:p>
    <w:p w14:paraId="0637BC84">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1.3.2 女性患者常规取仰卧位，双膝屈曲并外展以充分暴露会阴部。根据患者病情（如活动受限）或特殊操作需要，亦可采用俯卧位等其他体位。在保证操作安全与有效的前提下，体现了对患者个体情况与舒适度的灵活考量，是人文关怀的体现。</w:t>
      </w:r>
    </w:p>
    <w:p w14:paraId="17C7B4C0">
      <w:pPr>
        <w:pStyle w:val="33"/>
        <w:spacing w:before="0" w:beforeLines="0" w:after="0" w:afterLines="0"/>
        <w:ind w:firstLine="562"/>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rPr>
        <w:t xml:space="preserve">1.4 </w:t>
      </w:r>
      <w:r>
        <w:rPr>
          <w:rFonts w:hint="eastAsia" w:ascii="仿宋_GB2312" w:hAnsi="仿宋_GB2312" w:eastAsia="仿宋_GB2312" w:cs="仿宋_GB2312"/>
          <w:b/>
          <w:bCs w:val="0"/>
          <w:sz w:val="28"/>
          <w:szCs w:val="28"/>
          <w:lang w:eastAsia="zh-CN"/>
        </w:rPr>
        <w:t>操作者</w:t>
      </w:r>
    </w:p>
    <w:p w14:paraId="453595C0">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1.4.1 </w:t>
      </w:r>
      <w:r>
        <w:rPr>
          <w:rFonts w:hint="eastAsia" w:ascii="仿宋_GB2312" w:hAnsi="仿宋_GB2312" w:eastAsia="仿宋_GB2312" w:cs="仿宋_GB2312"/>
          <w:sz w:val="28"/>
          <w:szCs w:val="28"/>
        </w:rPr>
        <w:t>操作前须严格按照WS/T 313《医务人员手卫生规范》的规定执行手卫生。 手卫生是预防医源性感染最基本、最有效和最经济的措施。导尿为无菌操作，严格执行手卫生是保证操作无菌、预防外源性感染的首要前提。</w:t>
      </w:r>
    </w:p>
    <w:p w14:paraId="14AB26EE">
      <w:pPr>
        <w:pStyle w:val="33"/>
        <w:spacing w:before="0" w:beforeLines="0" w:after="0" w:afterLines="0" w:line="240" w:lineRule="auto"/>
        <w:ind w:firstLine="0" w:firstLineChars="0"/>
        <w:rPr>
          <w:rFonts w:hint="eastAsia"/>
        </w:rPr>
      </w:pPr>
      <w:r>
        <w:drawing>
          <wp:inline distT="0" distB="0" distL="114300" distR="114300">
            <wp:extent cx="3239770" cy="1477010"/>
            <wp:effectExtent l="9525" t="9525" r="27305" b="184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lum bright="-6000"/>
                    </a:blip>
                    <a:stretch>
                      <a:fillRect/>
                    </a:stretch>
                  </pic:blipFill>
                  <pic:spPr>
                    <a:xfrm>
                      <a:off x="0" y="0"/>
                      <a:ext cx="3239770" cy="1477010"/>
                    </a:xfrm>
                    <a:prstGeom prst="rect">
                      <a:avLst/>
                    </a:prstGeom>
                    <a:noFill/>
                    <a:ln>
                      <a:solidFill>
                        <a:schemeClr val="tx1"/>
                      </a:solidFill>
                    </a:ln>
                  </pic:spPr>
                </pic:pic>
              </a:graphicData>
            </a:graphic>
          </wp:inline>
        </w:drawing>
      </w:r>
    </w:p>
    <w:p w14:paraId="0A4ED3A6">
      <w:pPr>
        <w:pStyle w:val="33"/>
        <w:spacing w:before="0" w:beforeLines="0" w:after="0" w:afterLines="0" w:line="240" w:lineRule="auto"/>
        <w:ind w:firstLine="0" w:firstLineChars="0"/>
        <w:rPr>
          <w:rFonts w:hint="eastAsia"/>
        </w:rPr>
      </w:pPr>
      <w:r>
        <w:rPr>
          <w:rFonts w:hint="eastAsia"/>
        </w:rPr>
        <w:t>来源：WS/T 313  医务人员手卫生规范</w:t>
      </w:r>
    </w:p>
    <w:p w14:paraId="53DF115E">
      <w:pPr>
        <w:pStyle w:val="33"/>
        <w:spacing w:before="0" w:beforeLines="0" w:after="0" w:afterLines="0"/>
        <w:ind w:firstLine="562"/>
        <w:jc w:val="both"/>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1.4.2 操作前须严格按照WS/T 367《医疗机构消毒技术规范》的要求进行消毒。规范、有效的消毒是确保操作区域（如会阴部皮肤、操作者手部）达到无菌操作要求、进一步阻断感染途径的核心技术环节。</w:t>
      </w:r>
    </w:p>
    <w:p w14:paraId="086E34D3">
      <w:pPr>
        <w:pStyle w:val="33"/>
        <w:spacing w:before="0" w:beforeLines="0" w:after="0" w:afterLines="0" w:line="240" w:lineRule="auto"/>
        <w:ind w:left="0" w:leftChars="0" w:firstLine="0" w:firstLineChars="0"/>
        <w:jc w:val="center"/>
        <w:rPr>
          <w:rFonts w:hint="default" w:ascii="仿宋_GB2312" w:hAnsi="仿宋_GB2312" w:eastAsia="仿宋_GB2312" w:cs="仿宋_GB2312"/>
          <w:b w:val="0"/>
          <w:bCs/>
          <w:sz w:val="28"/>
          <w:szCs w:val="28"/>
          <w:lang w:val="en-US" w:eastAsia="zh-CN"/>
        </w:rPr>
      </w:pPr>
      <w:r>
        <w:drawing>
          <wp:inline distT="0" distB="0" distL="114300" distR="114300">
            <wp:extent cx="3779520" cy="2515870"/>
            <wp:effectExtent l="9525" t="9525" r="20955" b="2730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5"/>
                    <a:stretch>
                      <a:fillRect/>
                    </a:stretch>
                  </pic:blipFill>
                  <pic:spPr>
                    <a:xfrm>
                      <a:off x="0" y="0"/>
                      <a:ext cx="3779520" cy="2515870"/>
                    </a:xfrm>
                    <a:prstGeom prst="rect">
                      <a:avLst/>
                    </a:prstGeom>
                    <a:noFill/>
                    <a:ln>
                      <a:solidFill>
                        <a:schemeClr val="tx1"/>
                      </a:solidFill>
                    </a:ln>
                  </pic:spPr>
                </pic:pic>
              </a:graphicData>
            </a:graphic>
          </wp:inline>
        </w:drawing>
      </w:r>
    </w:p>
    <w:p w14:paraId="70D4D682">
      <w:pPr>
        <w:pStyle w:val="33"/>
        <w:spacing w:before="0" w:beforeLines="0" w:after="0" w:afterLines="0" w:line="240" w:lineRule="auto"/>
        <w:ind w:firstLine="0" w:firstLineChars="0"/>
        <w:rPr>
          <w:rFonts w:hint="eastAsia"/>
        </w:rPr>
      </w:pPr>
      <w:r>
        <w:rPr>
          <w:rFonts w:hint="eastAsia"/>
        </w:rPr>
        <w:t xml:space="preserve">来源：WS/T </w:t>
      </w:r>
      <w:r>
        <w:rPr>
          <w:rFonts w:hint="eastAsia"/>
          <w:lang w:val="en-US" w:eastAsia="zh-CN"/>
        </w:rPr>
        <w:t>367</w:t>
      </w:r>
      <w:r>
        <w:rPr>
          <w:rFonts w:hint="eastAsia"/>
        </w:rPr>
        <w:t xml:space="preserve">  医疗机构消毒技术规范</w:t>
      </w:r>
    </w:p>
    <w:p w14:paraId="5ECEBA69">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 操作方法</w:t>
      </w:r>
    </w:p>
    <w:p w14:paraId="744DB409">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2.1 表面润滑与麻醉</w:t>
      </w:r>
    </w:p>
    <w:p w14:paraId="73D42952">
      <w:pPr>
        <w:pStyle w:val="33"/>
        <w:keepNext w:val="0"/>
        <w:keepLines w:val="0"/>
        <w:pageBreakBefore w:val="0"/>
        <w:widowControl w:val="0"/>
        <w:kinsoku/>
        <w:wordWrap/>
        <w:overflowPunct/>
        <w:topLinePunct w:val="0"/>
        <w:autoSpaceDE w:val="0"/>
        <w:autoSpaceDN w:val="0"/>
        <w:bidi w:val="0"/>
        <w:adjustRightInd/>
        <w:snapToGrid/>
        <w:spacing w:before="0" w:beforeLines="0" w:after="0" w:afterLines="0"/>
        <w:ind w:firstLine="562"/>
        <w:jc w:val="both"/>
        <w:textAlignment w:val="auto"/>
        <w:rPr>
          <w:rFonts w:hint="eastAsia" w:ascii="仿宋_GB2312" w:hAnsi="仿宋_GB2312" w:eastAsia="仿宋_GB2312" w:cs="仿宋_GB2312"/>
          <w:b w:val="0"/>
          <w:bCs/>
          <w:sz w:val="28"/>
          <w:szCs w:val="28"/>
        </w:rPr>
      </w:pPr>
      <w:r>
        <w:rPr>
          <w:rFonts w:hint="eastAsia" w:ascii="仿宋_GB2312" w:hAnsi="仿宋_GB2312" w:eastAsia="仿宋_GB2312" w:cs="仿宋_GB2312"/>
          <w:b w:val="0"/>
          <w:bCs/>
          <w:sz w:val="28"/>
          <w:szCs w:val="28"/>
        </w:rPr>
        <w:t>本部分规定了实施无痛化导尿的关键步骤——尿道黏膜的表面麻醉与润滑。所有操作参数均基于人体解剖学、药理学及不同患者群体的生理特点制定，旨在确保麻醉效果最大化，同时保障操作安全。</w:t>
      </w:r>
    </w:p>
    <w:p w14:paraId="37F7F311">
      <w:pPr>
        <w:pStyle w:val="33"/>
        <w:spacing w:before="0" w:beforeLines="0" w:after="0" w:afterLines="0"/>
        <w:ind w:firstLine="560"/>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val="en-US" w:eastAsia="zh-CN"/>
        </w:rPr>
        <w:t xml:space="preserve">2.1.1 </w:t>
      </w:r>
      <w:r>
        <w:rPr>
          <w:rFonts w:hint="eastAsia" w:ascii="仿宋_GB2312" w:hAnsi="仿宋_GB2312" w:eastAsia="仿宋_GB2312" w:cs="仿宋_GB2312"/>
          <w:b/>
          <w:bCs w:val="0"/>
          <w:sz w:val="28"/>
          <w:szCs w:val="28"/>
          <w:lang w:eastAsia="zh-CN"/>
        </w:rPr>
        <w:t>成年患者</w:t>
      </w:r>
    </w:p>
    <w:p w14:paraId="1C291C6D">
      <w:pPr>
        <w:pStyle w:val="33"/>
        <w:keepNext w:val="0"/>
        <w:keepLines w:val="0"/>
        <w:pageBreakBefore w:val="0"/>
        <w:widowControl w:val="0"/>
        <w:kinsoku/>
        <w:wordWrap/>
        <w:overflowPunct/>
        <w:topLinePunct w:val="0"/>
        <w:autoSpaceDE w:val="0"/>
        <w:autoSpaceDN w:val="0"/>
        <w:bidi w:val="0"/>
        <w:adjustRightInd/>
        <w:snapToGrid/>
        <w:spacing w:before="0" w:beforeLines="0" w:after="0" w:afterLines="0"/>
        <w:ind w:firstLine="560"/>
        <w:jc w:val="both"/>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2.1.1.1 </w:t>
      </w:r>
      <w:r>
        <w:rPr>
          <w:rFonts w:hint="eastAsia" w:ascii="仿宋_GB2312" w:hAnsi="仿宋_GB2312" w:eastAsia="仿宋_GB2312" w:cs="仿宋_GB2312"/>
          <w:sz w:val="28"/>
          <w:szCs w:val="28"/>
        </w:rPr>
        <w:t>将少量无菌麻醉性药物润滑胶浆涂于尿道外口并润滑导尿管前端。此步骤旨在利用药物的表面麻醉作用，立即降低尿道口神经末梢的敏感性，并为导尿管提供初始润滑，以减轻后续操作的最初不适与摩擦。</w:t>
      </w:r>
    </w:p>
    <w:p w14:paraId="4DB7011B">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2.1.1.2 </w:t>
      </w:r>
      <w:r>
        <w:rPr>
          <w:rFonts w:hint="eastAsia" w:ascii="仿宋_GB2312" w:hAnsi="仿宋_GB2312" w:eastAsia="仿宋_GB2312" w:cs="仿宋_GB2312"/>
          <w:sz w:val="28"/>
          <w:szCs w:val="28"/>
        </w:rPr>
        <w:t>等待约一分钟后，将注药管头</w:t>
      </w:r>
      <w:r>
        <w:rPr>
          <w:rFonts w:hint="eastAsia" w:ascii="仿宋_GB2312" w:hAnsi="仿宋_GB2312" w:eastAsia="仿宋_GB2312" w:cs="仿宋_GB2312"/>
          <w:sz w:val="28"/>
          <w:szCs w:val="28"/>
          <w:highlight w:val="none"/>
        </w:rPr>
        <w:t>插入尿道特定深度</w:t>
      </w:r>
      <w:r>
        <w:rPr>
          <w:rFonts w:hint="eastAsia" w:ascii="仿宋_GB2312" w:hAnsi="仿宋_GB2312" w:eastAsia="仿宋_GB2312" w:cs="仿宋_GB2312"/>
          <w:color w:val="auto"/>
          <w:sz w:val="28"/>
          <w:szCs w:val="28"/>
          <w:highlight w:val="none"/>
        </w:rPr>
        <w:t>（男性4 cm～8 cm，女性2 cm～4 cm）</w:t>
      </w:r>
      <w:r>
        <w:rPr>
          <w:rFonts w:hint="eastAsia" w:ascii="仿宋_GB2312" w:hAnsi="仿宋_GB2312" w:eastAsia="仿宋_GB2312" w:cs="仿宋_GB2312"/>
          <w:sz w:val="28"/>
          <w:szCs w:val="28"/>
          <w:highlight w:val="none"/>
        </w:rPr>
        <w:t>，并缓慢注入规定剂量的胶浆（男性5 mL～10 mL，女性3 mL～5 mL）。此约一分钟的等待时间，主要依据《盐酸利多卡因凝胶使用说明书》中载明的起效时间而设定，以确保尿道口黏膜达到初步麻醉效果。注入深度范围是根据各主要起草单位的临床实践与经验总结确定的，旨在有效覆盖尿道起始敏感区。注入剂量的性别差异，则主要参考《泌尿生殖系统疾病-MSD诊疗手册》中关于尿道解剖长度的数据（男性尿道长约16-22cm，女性约3-5cm），以确保药液能充分充盈目标尿道段黏膜。 “缓慢注入”的要求是为了避免因压力过大导致患者胀</w:t>
      </w:r>
      <w:r>
        <w:rPr>
          <w:rFonts w:hint="eastAsia" w:ascii="仿宋_GB2312" w:hAnsi="仿宋_GB2312" w:eastAsia="仿宋_GB2312" w:cs="仿宋_GB2312"/>
          <w:sz w:val="28"/>
          <w:szCs w:val="28"/>
        </w:rPr>
        <w:t>痛或药液外溢。</w:t>
      </w:r>
    </w:p>
    <w:p w14:paraId="3580143F">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drawing>
          <wp:inline distT="0" distB="0" distL="114300" distR="114300">
            <wp:extent cx="2863215" cy="3599815"/>
            <wp:effectExtent l="0" t="0" r="13335" b="635"/>
            <wp:docPr id="12" name="图片 12" descr="微信图片_20260123155115_105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微信图片_20260123155115_105_18"/>
                    <pic:cNvPicPr>
                      <a:picLocks noChangeAspect="1"/>
                    </pic:cNvPicPr>
                  </pic:nvPicPr>
                  <pic:blipFill>
                    <a:blip r:embed="rId16"/>
                    <a:stretch>
                      <a:fillRect/>
                    </a:stretch>
                  </pic:blipFill>
                  <pic:spPr>
                    <a:xfrm>
                      <a:off x="0" y="0"/>
                      <a:ext cx="2863215" cy="3599815"/>
                    </a:xfrm>
                    <a:prstGeom prst="rect">
                      <a:avLst/>
                    </a:prstGeom>
                  </pic:spPr>
                </pic:pic>
              </a:graphicData>
            </a:graphic>
          </wp:inline>
        </w:drawing>
      </w:r>
      <w:r>
        <w:rPr>
          <w:rFonts w:hint="eastAsia" w:ascii="仿宋_GB2312" w:hAnsi="仿宋_GB2312" w:eastAsia="仿宋_GB2312" w:cs="仿宋_GB2312"/>
          <w:sz w:val="28"/>
          <w:szCs w:val="28"/>
          <w:lang w:eastAsia="zh-CN"/>
        </w:rPr>
        <w:drawing>
          <wp:inline distT="0" distB="0" distL="114300" distR="114300">
            <wp:extent cx="2795270" cy="3599815"/>
            <wp:effectExtent l="0" t="0" r="5080" b="635"/>
            <wp:docPr id="11" name="图片 11" descr="fec507a008f9e233ac97f1bda67d33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fec507a008f9e233ac97f1bda67d332f"/>
                    <pic:cNvPicPr>
                      <a:picLocks noChangeAspect="1"/>
                    </pic:cNvPicPr>
                  </pic:nvPicPr>
                  <pic:blipFill>
                    <a:blip r:embed="rId17"/>
                    <a:stretch>
                      <a:fillRect/>
                    </a:stretch>
                  </pic:blipFill>
                  <pic:spPr>
                    <a:xfrm>
                      <a:off x="0" y="0"/>
                      <a:ext cx="2795270" cy="3599815"/>
                    </a:xfrm>
                    <a:prstGeom prst="rect">
                      <a:avLst/>
                    </a:prstGeom>
                  </pic:spPr>
                </pic:pic>
              </a:graphicData>
            </a:graphic>
          </wp:inline>
        </w:drawing>
      </w:r>
    </w:p>
    <w:p w14:paraId="3C8389BF">
      <w:pPr>
        <w:pStyle w:val="33"/>
        <w:spacing w:before="0" w:beforeLines="0" w:after="0" w:afterLines="0" w:line="240" w:lineRule="auto"/>
        <w:ind w:left="0" w:leftChars="0" w:firstLine="0" w:firstLineChars="0"/>
        <w:jc w:val="center"/>
        <w:rPr>
          <w:rFonts w:hint="eastAsia" w:ascii="黑体" w:hAnsi="黑体" w:eastAsia="黑体" w:cs="黑体"/>
          <w:sz w:val="24"/>
          <w:szCs w:val="24"/>
          <w:lang w:eastAsia="zh-CN"/>
        </w:rPr>
      </w:pPr>
      <w:r>
        <w:rPr>
          <w:rFonts w:hint="eastAsia" w:ascii="黑体" w:hAnsi="黑体" w:eastAsia="黑体" w:cs="黑体"/>
          <w:sz w:val="24"/>
          <w:szCs w:val="24"/>
          <w:lang w:eastAsia="zh-CN"/>
        </w:rPr>
        <w:t>来源：盐酸利多卡因凝胶说明书、泌尿生殖系统疾病-MSD诊疗手册</w:t>
      </w:r>
    </w:p>
    <w:p w14:paraId="659556C7">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关于注药管头插入深度（男性4 cm～8 cm，女性2 cm～4 cm），该参数范围是在参考解剖学数据的基础上，综合调查了各主要起草单位的临床实际操作经验而确定的。</w:t>
      </w:r>
    </w:p>
    <w:p w14:paraId="72C2D4B7">
      <w:pPr>
        <w:pStyle w:val="33"/>
        <w:spacing w:before="0" w:beforeLines="0" w:after="0" w:afterLines="0"/>
        <w:ind w:left="0" w:leftChars="0" w:firstLine="0" w:firstLineChars="0"/>
        <w:jc w:val="center"/>
        <w:rPr>
          <w:rFonts w:hint="eastAsia" w:ascii="黑体" w:hAnsi="黑体" w:eastAsia="黑体" w:cs="黑体"/>
          <w:sz w:val="24"/>
          <w:szCs w:val="24"/>
        </w:rPr>
      </w:pPr>
      <w:r>
        <w:rPr>
          <w:rFonts w:hint="eastAsia" w:ascii="黑体" w:hAnsi="黑体" w:eastAsia="黑体" w:cs="黑体"/>
          <w:sz w:val="24"/>
          <w:szCs w:val="24"/>
        </w:rPr>
        <w:t>各起草单位报告的无菌麻醉性药物润滑凝胶管头插入深度（男性）</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72"/>
        <w:gridCol w:w="4476"/>
      </w:tblGrid>
      <w:tr w14:paraId="144C8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7" w:type="dxa"/>
          </w:tcPr>
          <w:p w14:paraId="64361E59">
            <w:pPr>
              <w:pStyle w:val="33"/>
              <w:spacing w:before="0" w:beforeLines="0" w:after="0" w:afterLines="0"/>
              <w:jc w:val="center"/>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起草单位</w:t>
            </w:r>
          </w:p>
        </w:tc>
        <w:tc>
          <w:tcPr>
            <w:tcW w:w="4587" w:type="dxa"/>
          </w:tcPr>
          <w:p w14:paraId="3B1DF07D">
            <w:pPr>
              <w:pStyle w:val="33"/>
              <w:spacing w:before="0" w:beforeLines="0" w:after="0" w:afterLines="0"/>
              <w:jc w:val="center"/>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rPr>
              <w:t>深度</w:t>
            </w:r>
            <w:r>
              <w:rPr>
                <w:rFonts w:hint="eastAsia" w:ascii="仿宋_GB2312" w:hAnsi="仿宋_GB2312" w:eastAsia="仿宋_GB2312" w:cs="仿宋_GB2312"/>
                <w:sz w:val="24"/>
                <w:szCs w:val="24"/>
                <w:vertAlign w:val="baseline"/>
                <w:lang w:eastAsia="zh-CN"/>
              </w:rPr>
              <w:t>（</w:t>
            </w:r>
            <w:r>
              <w:rPr>
                <w:rFonts w:hint="eastAsia" w:ascii="仿宋_GB2312" w:hAnsi="仿宋_GB2312" w:eastAsia="仿宋_GB2312" w:cs="仿宋_GB2312"/>
                <w:sz w:val="24"/>
                <w:szCs w:val="24"/>
                <w:vertAlign w:val="baseline"/>
                <w:lang w:val="en-US" w:eastAsia="zh-CN"/>
              </w:rPr>
              <w:t>cm</w:t>
            </w:r>
            <w:r>
              <w:rPr>
                <w:rFonts w:hint="eastAsia" w:ascii="仿宋_GB2312" w:hAnsi="仿宋_GB2312" w:eastAsia="仿宋_GB2312" w:cs="仿宋_GB2312"/>
                <w:sz w:val="24"/>
                <w:szCs w:val="24"/>
                <w:vertAlign w:val="baseline"/>
                <w:lang w:eastAsia="zh-CN"/>
              </w:rPr>
              <w:t>）</w:t>
            </w:r>
          </w:p>
        </w:tc>
      </w:tr>
      <w:tr w14:paraId="26E9CF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7" w:type="dxa"/>
          </w:tcPr>
          <w:p w14:paraId="0D064307">
            <w:pPr>
              <w:pStyle w:val="33"/>
              <w:spacing w:before="0" w:beforeLines="0" w:after="0" w:afterLines="0"/>
              <w:jc w:val="center"/>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A</w:t>
            </w:r>
          </w:p>
        </w:tc>
        <w:tc>
          <w:tcPr>
            <w:tcW w:w="4587" w:type="dxa"/>
          </w:tcPr>
          <w:p w14:paraId="2FD7FD84">
            <w:pPr>
              <w:pStyle w:val="33"/>
              <w:spacing w:before="0" w:beforeLines="0" w:after="0" w:afterLines="0"/>
              <w:jc w:val="center"/>
              <w:rPr>
                <w:rFonts w:hint="eastAsia" w:ascii="仿宋_GB2312" w:hAnsi="仿宋_GB2312" w:eastAsia="仿宋_GB2312" w:cs="仿宋_GB2312"/>
                <w:sz w:val="24"/>
                <w:szCs w:val="24"/>
                <w:vertAlign w:val="baseline"/>
              </w:rPr>
            </w:pPr>
            <w:r>
              <w:rPr>
                <w:rFonts w:hint="eastAsia" w:ascii="仿宋_GB2312" w:hAnsi="仿宋_GB2312" w:eastAsia="仿宋_GB2312" w:cs="仿宋_GB2312"/>
                <w:sz w:val="24"/>
                <w:szCs w:val="24"/>
                <w:vertAlign w:val="baseline"/>
              </w:rPr>
              <w:t>4-8</w:t>
            </w:r>
          </w:p>
        </w:tc>
      </w:tr>
      <w:tr w14:paraId="57F08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7" w:type="dxa"/>
          </w:tcPr>
          <w:p w14:paraId="2583A34D">
            <w:pPr>
              <w:pStyle w:val="33"/>
              <w:spacing w:before="0" w:beforeLines="0" w:after="0" w:afterLines="0"/>
              <w:jc w:val="center"/>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B</w:t>
            </w:r>
          </w:p>
        </w:tc>
        <w:tc>
          <w:tcPr>
            <w:tcW w:w="4587" w:type="dxa"/>
          </w:tcPr>
          <w:p w14:paraId="3A0E06B0">
            <w:pPr>
              <w:pStyle w:val="33"/>
              <w:spacing w:before="0" w:beforeLines="0" w:after="0" w:afterLines="0"/>
              <w:jc w:val="center"/>
              <w:rPr>
                <w:rFonts w:hint="eastAsia" w:ascii="仿宋_GB2312" w:hAnsi="仿宋_GB2312" w:eastAsia="仿宋_GB2312" w:cs="仿宋_GB2312"/>
                <w:sz w:val="24"/>
                <w:szCs w:val="24"/>
                <w:vertAlign w:val="baseline"/>
              </w:rPr>
            </w:pPr>
            <w:r>
              <w:rPr>
                <w:rFonts w:hint="eastAsia" w:ascii="仿宋_GB2312" w:hAnsi="仿宋_GB2312" w:eastAsia="仿宋_GB2312" w:cs="仿宋_GB2312"/>
                <w:sz w:val="24"/>
                <w:szCs w:val="24"/>
                <w:vertAlign w:val="baseline"/>
              </w:rPr>
              <w:t>4-8</w:t>
            </w:r>
          </w:p>
        </w:tc>
      </w:tr>
      <w:tr w14:paraId="49FF2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7" w:type="dxa"/>
          </w:tcPr>
          <w:p w14:paraId="4EEF4647">
            <w:pPr>
              <w:pStyle w:val="33"/>
              <w:spacing w:before="0" w:beforeLines="0" w:after="0" w:afterLines="0"/>
              <w:jc w:val="center"/>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C</w:t>
            </w:r>
          </w:p>
        </w:tc>
        <w:tc>
          <w:tcPr>
            <w:tcW w:w="4587" w:type="dxa"/>
          </w:tcPr>
          <w:p w14:paraId="4FDAB0B1">
            <w:pPr>
              <w:pStyle w:val="33"/>
              <w:spacing w:before="0" w:beforeLines="0" w:after="0" w:afterLines="0"/>
              <w:jc w:val="center"/>
              <w:rPr>
                <w:rFonts w:hint="eastAsia" w:ascii="仿宋_GB2312" w:hAnsi="仿宋_GB2312" w:eastAsia="仿宋_GB2312" w:cs="仿宋_GB2312"/>
                <w:sz w:val="24"/>
                <w:szCs w:val="24"/>
                <w:vertAlign w:val="baseline"/>
              </w:rPr>
            </w:pPr>
            <w:r>
              <w:rPr>
                <w:rFonts w:hint="eastAsia" w:ascii="仿宋_GB2312" w:hAnsi="仿宋_GB2312" w:eastAsia="仿宋_GB2312" w:cs="仿宋_GB2312"/>
                <w:sz w:val="24"/>
                <w:szCs w:val="24"/>
                <w:vertAlign w:val="baseline"/>
              </w:rPr>
              <w:t>6-8</w:t>
            </w:r>
          </w:p>
        </w:tc>
      </w:tr>
      <w:tr w14:paraId="15299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7" w:type="dxa"/>
          </w:tcPr>
          <w:p w14:paraId="0F9B2875">
            <w:pPr>
              <w:pStyle w:val="33"/>
              <w:spacing w:before="0" w:beforeLines="0" w:after="0" w:afterLines="0"/>
              <w:jc w:val="center"/>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D</w:t>
            </w:r>
          </w:p>
        </w:tc>
        <w:tc>
          <w:tcPr>
            <w:tcW w:w="4587" w:type="dxa"/>
          </w:tcPr>
          <w:p w14:paraId="6647EB92">
            <w:pPr>
              <w:pStyle w:val="33"/>
              <w:spacing w:before="0" w:beforeLines="0" w:after="0" w:afterLines="0"/>
              <w:jc w:val="center"/>
              <w:rPr>
                <w:rFonts w:hint="eastAsia" w:ascii="仿宋_GB2312" w:hAnsi="仿宋_GB2312" w:eastAsia="仿宋_GB2312" w:cs="仿宋_GB2312"/>
                <w:sz w:val="24"/>
                <w:szCs w:val="24"/>
                <w:vertAlign w:val="baseline"/>
              </w:rPr>
            </w:pPr>
            <w:r>
              <w:rPr>
                <w:rFonts w:hint="eastAsia" w:ascii="仿宋_GB2312" w:hAnsi="仿宋_GB2312" w:eastAsia="仿宋_GB2312" w:cs="仿宋_GB2312"/>
                <w:sz w:val="24"/>
                <w:szCs w:val="24"/>
                <w:vertAlign w:val="baseline"/>
              </w:rPr>
              <w:t>2-3</w:t>
            </w:r>
          </w:p>
        </w:tc>
      </w:tr>
    </w:tbl>
    <w:p w14:paraId="18E89EF5">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调查显示，多家</w:t>
      </w:r>
      <w:r>
        <w:rPr>
          <w:rFonts w:hint="eastAsia" w:ascii="仿宋_GB2312" w:hAnsi="仿宋_GB2312" w:eastAsia="仿宋_GB2312" w:cs="仿宋_GB2312"/>
          <w:sz w:val="28"/>
          <w:szCs w:val="28"/>
          <w:lang w:eastAsia="zh-CN"/>
        </w:rPr>
        <w:t>起草单位</w:t>
      </w:r>
      <w:r>
        <w:rPr>
          <w:rFonts w:hint="eastAsia" w:ascii="仿宋_GB2312" w:hAnsi="仿宋_GB2312" w:eastAsia="仿宋_GB2312" w:cs="仿宋_GB2312"/>
          <w:sz w:val="28"/>
          <w:szCs w:val="28"/>
        </w:rPr>
        <w:t>报告的操作深度集中在4-8厘米范围内。本标准采纳此共识，旨在确保麻醉凝胶能有效覆盖尿道起始敏感段，同时兼顾不同患者个体差异与操作安全性。</w:t>
      </w:r>
    </w:p>
    <w:p w14:paraId="0B9987F1">
      <w:pPr>
        <w:pStyle w:val="33"/>
        <w:spacing w:before="0" w:beforeLines="0" w:after="0" w:afterLines="0"/>
        <w:ind w:firstLine="560"/>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val="en-US" w:eastAsia="zh-CN"/>
        </w:rPr>
        <w:t xml:space="preserve">2.1.2 </w:t>
      </w:r>
      <w:r>
        <w:rPr>
          <w:rFonts w:hint="eastAsia" w:ascii="仿宋_GB2312" w:hAnsi="仿宋_GB2312" w:eastAsia="仿宋_GB2312" w:cs="仿宋_GB2312"/>
          <w:b/>
          <w:bCs w:val="0"/>
          <w:sz w:val="28"/>
          <w:szCs w:val="28"/>
          <w:lang w:eastAsia="zh-CN"/>
        </w:rPr>
        <w:t>儿童患者</w:t>
      </w:r>
    </w:p>
    <w:p w14:paraId="6651FB0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考虑到儿童尿道结构更为细小、黏膜更娇嫩且配合度低的特殊性，其操作原则以安全性、简易性和有效性为首要考量。</w:t>
      </w:r>
    </w:p>
    <w:p w14:paraId="0B3CCFF7">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主要操作是将足量的无菌麻醉性药物润滑胶浆均匀涂抹于整个导尿管拟插入部分。这一“以导尿管外涂为主”的方案，是基于儿童患者的生理与心理特点，优先确保操作安全，同时也能达到有效润滑与麻醉的目的。 对于男性患儿，在尿道口额外补充涂抹胶浆，旨在为其相对较长的尿道起始段提供额外的麻醉效果。</w:t>
      </w:r>
    </w:p>
    <w:p w14:paraId="6BC11E53">
      <w:pPr>
        <w:pStyle w:val="33"/>
        <w:spacing w:before="0" w:beforeLines="0" w:after="0" w:afterLines="0"/>
        <w:ind w:firstLine="562"/>
        <w:jc w:val="both"/>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2.2 导尿管置入</w:t>
      </w:r>
    </w:p>
    <w:p w14:paraId="5806ACC3">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导尿管应在表面润滑麻</w:t>
      </w:r>
      <w:r>
        <w:rPr>
          <w:rFonts w:hint="eastAsia" w:ascii="仿宋_GB2312" w:hAnsi="仿宋_GB2312" w:eastAsia="仿宋_GB2312" w:cs="仿宋_GB2312"/>
          <w:sz w:val="28"/>
          <w:szCs w:val="28"/>
          <w:highlight w:val="none"/>
        </w:rPr>
        <w:t>醉完成2 min～3 min后置入。此等待时间依据《盐酸</w:t>
      </w:r>
      <w:r>
        <w:rPr>
          <w:rFonts w:hint="eastAsia" w:ascii="仿宋_GB2312" w:hAnsi="仿宋_GB2312" w:eastAsia="仿宋_GB2312" w:cs="仿宋_GB2312"/>
          <w:sz w:val="28"/>
          <w:szCs w:val="28"/>
          <w:highlight w:val="none"/>
          <w:lang w:val="en-US" w:eastAsia="zh-CN"/>
        </w:rPr>
        <w:t>丁</w:t>
      </w:r>
      <w:r>
        <w:rPr>
          <w:rFonts w:hint="eastAsia" w:ascii="仿宋_GB2312" w:hAnsi="仿宋_GB2312" w:eastAsia="仿宋_GB2312" w:cs="仿宋_GB2312"/>
          <w:sz w:val="28"/>
          <w:szCs w:val="28"/>
          <w:highlight w:val="none"/>
        </w:rPr>
        <w:t>卡因凝胶使用说明书》中载明</w:t>
      </w:r>
      <w:r>
        <w:rPr>
          <w:rFonts w:hint="eastAsia" w:ascii="仿宋_GB2312" w:hAnsi="仿宋_GB2312" w:eastAsia="仿宋_GB2312" w:cs="仿宋_GB2312"/>
          <w:sz w:val="28"/>
          <w:szCs w:val="28"/>
        </w:rPr>
        <w:t>的药物完全起效时间范围确定，是确保尿道黏膜达到充分麻醉、实现无痛置管的关键前提。置入时，需首先严格按无菌操作流程进行消毒。</w:t>
      </w:r>
    </w:p>
    <w:p w14:paraId="0FE3747B">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drawing>
          <wp:inline distT="0" distB="0" distL="114300" distR="114300">
            <wp:extent cx="3020060" cy="3070860"/>
            <wp:effectExtent l="0" t="0" r="8890" b="15240"/>
            <wp:docPr id="17" name="图片 17" descr="8874f9b336bad861eb840721633c99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8874f9b336bad861eb840721633c99f0"/>
                    <pic:cNvPicPr>
                      <a:picLocks noChangeAspect="1"/>
                    </pic:cNvPicPr>
                  </pic:nvPicPr>
                  <pic:blipFill>
                    <a:blip r:embed="rId18"/>
                    <a:srcRect l="2402" t="4552" b="2028"/>
                    <a:stretch>
                      <a:fillRect/>
                    </a:stretch>
                  </pic:blipFill>
                  <pic:spPr>
                    <a:xfrm>
                      <a:off x="0" y="0"/>
                      <a:ext cx="3020060" cy="3070860"/>
                    </a:xfrm>
                    <a:prstGeom prst="rect">
                      <a:avLst/>
                    </a:prstGeom>
                  </pic:spPr>
                </pic:pic>
              </a:graphicData>
            </a:graphic>
          </wp:inline>
        </w:drawing>
      </w:r>
    </w:p>
    <w:p w14:paraId="58486A36">
      <w:pPr>
        <w:pStyle w:val="33"/>
        <w:spacing w:before="0" w:beforeLines="0" w:after="0" w:afterLines="0" w:line="240" w:lineRule="auto"/>
        <w:ind w:left="0" w:leftChars="0" w:firstLine="0" w:firstLineChars="0"/>
        <w:jc w:val="center"/>
        <w:rPr>
          <w:rFonts w:hint="eastAsia" w:ascii="黑体" w:hAnsi="黑体" w:eastAsia="黑体" w:cs="黑体"/>
          <w:sz w:val="24"/>
          <w:szCs w:val="24"/>
          <w:highlight w:val="none"/>
          <w:lang w:eastAsia="zh-CN"/>
        </w:rPr>
      </w:pPr>
      <w:r>
        <w:rPr>
          <w:rFonts w:hint="eastAsia" w:ascii="黑体" w:hAnsi="黑体" w:eastAsia="黑体" w:cs="黑体"/>
          <w:sz w:val="24"/>
          <w:szCs w:val="24"/>
          <w:highlight w:val="none"/>
          <w:lang w:eastAsia="zh-CN"/>
        </w:rPr>
        <w:t>来源：</w:t>
      </w:r>
      <w:r>
        <w:rPr>
          <w:rFonts w:hint="eastAsia" w:ascii="黑体" w:hAnsi="黑体" w:eastAsia="黑体" w:cs="黑体"/>
          <w:sz w:val="24"/>
          <w:szCs w:val="24"/>
          <w:highlight w:val="none"/>
        </w:rPr>
        <w:t>盐酸</w:t>
      </w:r>
      <w:r>
        <w:rPr>
          <w:rFonts w:hint="eastAsia" w:ascii="黑体" w:hAnsi="黑体" w:eastAsia="黑体" w:cs="黑体"/>
          <w:sz w:val="24"/>
          <w:szCs w:val="24"/>
          <w:highlight w:val="none"/>
          <w:lang w:val="en-US" w:eastAsia="zh-CN"/>
        </w:rPr>
        <w:t>丁</w:t>
      </w:r>
      <w:r>
        <w:rPr>
          <w:rFonts w:hint="eastAsia" w:ascii="黑体" w:hAnsi="黑体" w:eastAsia="黑体" w:cs="黑体"/>
          <w:sz w:val="24"/>
          <w:szCs w:val="24"/>
          <w:highlight w:val="none"/>
        </w:rPr>
        <w:t>卡因凝胶使用说明书</w:t>
      </w:r>
    </w:p>
    <w:p w14:paraId="7DC025B8">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操作者应将已充分润滑的导尿管对准尿道口轻轻插入。如因膀胱颈部肌肉收缩产生阻力，应立即嘱患者张口缓慢深呼吸，利用此动作反射性放松盆底肌群以解除痉挛，随后再缓慢插入导尿管。此法可有效避免暴力操作导致的损伤。</w:t>
      </w:r>
    </w:p>
    <w:p w14:paraId="56CECBB4">
      <w:pPr>
        <w:pStyle w:val="33"/>
        <w:spacing w:before="0" w:beforeLines="0" w:after="0" w:afterLines="0"/>
        <w:ind w:firstLine="560"/>
        <w:jc w:val="both"/>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rPr>
        <w:t>见尿液流出后，对男性患者应将导尿管直插至导尿管Y型处；女性患者则需再送入5 cm～7 cm。此差异化要求基于男、女性尿道解剖结构的根本不同：男性尿道较长，插至分叉处可确保气囊完全进入膀胱；女性尿道较短，需额外送入一段距离，以使气囊完全通过膀胱颈进入膀胱腔体，从而避免气囊在尿道内充胀导致剧痛和损伤。该深度设定参考</w:t>
      </w:r>
      <w:r>
        <w:rPr>
          <w:rFonts w:hint="eastAsia" w:ascii="仿宋_GB2312" w:hAnsi="仿宋_GB2312" w:eastAsia="仿宋_GB2312" w:cs="仿宋_GB2312"/>
          <w:sz w:val="28"/>
          <w:szCs w:val="28"/>
          <w:highlight w:val="none"/>
        </w:rPr>
        <w:t>了《中国泌尿外科和男科疾病诊断治疗指南》的相关建议。</w:t>
      </w:r>
    </w:p>
    <w:p w14:paraId="08AEEC64">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drawing>
          <wp:inline distT="0" distB="0" distL="114300" distR="114300">
            <wp:extent cx="2985770" cy="4044315"/>
            <wp:effectExtent l="9525" t="9525" r="14605" b="22860"/>
            <wp:docPr id="14" name="图片 14" descr="e133725bfddcd5ae820aaddc7084e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e133725bfddcd5ae820aaddc7084ea12"/>
                    <pic:cNvPicPr>
                      <a:picLocks noChangeAspect="1"/>
                    </pic:cNvPicPr>
                  </pic:nvPicPr>
                  <pic:blipFill>
                    <a:blip r:embed="rId19"/>
                    <a:stretch>
                      <a:fillRect/>
                    </a:stretch>
                  </pic:blipFill>
                  <pic:spPr>
                    <a:xfrm>
                      <a:off x="0" y="0"/>
                      <a:ext cx="2985770" cy="4044315"/>
                    </a:xfrm>
                    <a:prstGeom prst="rect">
                      <a:avLst/>
                    </a:prstGeom>
                    <a:ln>
                      <a:solidFill>
                        <a:schemeClr val="tx1"/>
                      </a:solidFill>
                    </a:ln>
                  </pic:spPr>
                </pic:pic>
              </a:graphicData>
            </a:graphic>
          </wp:inline>
        </w:drawing>
      </w:r>
    </w:p>
    <w:p w14:paraId="2D5D9287">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lang w:eastAsia="zh-CN"/>
        </w:rPr>
      </w:pPr>
      <w:r>
        <w:rPr>
          <w:rFonts w:hint="eastAsia" w:ascii="黑体" w:hAnsi="黑体" w:eastAsia="黑体" w:cs="黑体"/>
          <w:sz w:val="24"/>
          <w:szCs w:val="24"/>
          <w:lang w:eastAsia="zh-CN"/>
        </w:rPr>
        <w:t>来源：中国泌尿外科和男科疾病诊断治疗指南</w:t>
      </w:r>
    </w:p>
    <w:p w14:paraId="76EE8727">
      <w:pPr>
        <w:pStyle w:val="33"/>
        <w:spacing w:before="0" w:beforeLines="0" w:after="0" w:afterLines="0"/>
        <w:ind w:firstLine="562"/>
        <w:jc w:val="both"/>
        <w:rPr>
          <w:rFonts w:hint="eastAsia" w:ascii="仿宋_GB2312" w:hAnsi="仿宋_GB2312" w:eastAsia="仿宋_GB2312" w:cs="仿宋_GB2312"/>
          <w:b/>
          <w:bCs w:val="0"/>
          <w:sz w:val="28"/>
          <w:szCs w:val="28"/>
        </w:rPr>
      </w:pPr>
      <w:r>
        <w:rPr>
          <w:rFonts w:ascii="仿宋_GB2312" w:hAnsi="仿宋_GB2312" w:eastAsia="仿宋_GB2312" w:cs="仿宋_GB2312"/>
          <w:b/>
          <w:bCs w:val="0"/>
          <w:sz w:val="28"/>
          <w:szCs w:val="28"/>
        </w:rPr>
        <w:t>2.3</w:t>
      </w:r>
      <w:r>
        <w:rPr>
          <w:rFonts w:hint="eastAsia" w:ascii="仿宋_GB2312" w:hAnsi="仿宋_GB2312" w:eastAsia="仿宋_GB2312" w:cs="仿宋_GB2312"/>
          <w:b/>
          <w:bCs w:val="0"/>
          <w:sz w:val="28"/>
          <w:szCs w:val="28"/>
        </w:rPr>
        <w:t xml:space="preserve"> </w:t>
      </w:r>
      <w:r>
        <w:rPr>
          <w:rFonts w:ascii="仿宋_GB2312" w:hAnsi="仿宋_GB2312" w:eastAsia="仿宋_GB2312" w:cs="仿宋_GB2312"/>
          <w:b/>
          <w:bCs w:val="0"/>
          <w:sz w:val="28"/>
          <w:szCs w:val="28"/>
        </w:rPr>
        <w:t>气囊注水与固定</w:t>
      </w:r>
    </w:p>
    <w:p w14:paraId="4CF515B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气囊内应注入15 mL无菌注射用水或生理盐水，随后回抽5 mL。此项优化操作的原理在于：先以较大容量使气囊完全充盈展开、消除皱褶，确保形态匀称；再回抽至常用工作容量（10mL），以消除因气囊过度充盈或形态不规则对膀胱颈及三角区造成的异常压力，这是减少患者留置期间膀胱痉挛、尿意急迫感和疼痛的关键措施。该方法的核心步骤</w:t>
      </w:r>
      <w:r>
        <w:rPr>
          <w:rFonts w:hint="eastAsia" w:ascii="仿宋_GB2312" w:hAnsi="仿宋_GB2312" w:eastAsia="仿宋_GB2312" w:cs="仿宋_GB2312"/>
          <w:sz w:val="28"/>
          <w:szCs w:val="28"/>
          <w:lang w:val="en-US" w:eastAsia="zh-CN"/>
        </w:rPr>
        <w:t>通过</w:t>
      </w:r>
      <w:r>
        <w:rPr>
          <w:rFonts w:hint="eastAsia" w:ascii="仿宋_GB2312" w:hAnsi="仿宋_GB2312" w:eastAsia="仿宋_GB2312" w:cs="仿宋_GB2312"/>
          <w:sz w:val="28"/>
          <w:szCs w:val="28"/>
          <w:highlight w:val="none"/>
        </w:rPr>
        <w:t>气囊注水试验</w:t>
      </w:r>
      <w:r>
        <w:rPr>
          <w:rFonts w:hint="eastAsia" w:ascii="仿宋_GB2312" w:hAnsi="仿宋_GB2312" w:eastAsia="仿宋_GB2312" w:cs="仿宋_GB2312"/>
          <w:sz w:val="28"/>
          <w:szCs w:val="28"/>
        </w:rPr>
        <w:t>，并经过各起草单位的临床实践验证。 儿童患者或特殊导尿管应严格按产品说明书执行注水量。</w:t>
      </w:r>
    </w:p>
    <w:p w14:paraId="7F15A405">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注水后，需轻拉导尿管以确认气囊已在膀胱内形成有效内固定。在此基础上，推荐在体表进行外固定，将导尿管妥善固定于患者下腹部或大腿处。 此举能显著限制尿管在尿道内的移动，减少活动时对尿道黏膜的牵拉与摩擦，对于预防继发性尿道损伤、减轻留置期间异物感与疼痛具有重要意义。</w:t>
      </w:r>
    </w:p>
    <w:p w14:paraId="6A399AF0">
      <w:pPr>
        <w:pStyle w:val="33"/>
        <w:spacing w:before="0" w:beforeLines="0" w:after="0" w:afterLines="0"/>
        <w:ind w:firstLine="562"/>
        <w:jc w:val="both"/>
        <w:rPr>
          <w:rFonts w:hint="eastAsia" w:ascii="仿宋_GB2312" w:hAnsi="仿宋_GB2312" w:eastAsia="仿宋_GB2312" w:cs="仿宋_GB2312"/>
          <w:b/>
          <w:bCs w:val="0"/>
          <w:sz w:val="28"/>
          <w:szCs w:val="28"/>
        </w:rPr>
      </w:pPr>
      <w:r>
        <w:rPr>
          <w:rFonts w:ascii="仿宋_GB2312" w:hAnsi="仿宋_GB2312" w:eastAsia="仿宋_GB2312" w:cs="仿宋_GB2312"/>
          <w:b/>
          <w:bCs w:val="0"/>
          <w:sz w:val="28"/>
          <w:szCs w:val="28"/>
        </w:rPr>
        <w:t>2.4</w:t>
      </w:r>
      <w:r>
        <w:rPr>
          <w:rFonts w:hint="eastAsia" w:ascii="仿宋_GB2312" w:hAnsi="仿宋_GB2312" w:eastAsia="仿宋_GB2312" w:cs="仿宋_GB2312"/>
          <w:b/>
          <w:bCs w:val="0"/>
          <w:sz w:val="28"/>
          <w:szCs w:val="28"/>
        </w:rPr>
        <w:t xml:space="preserve"> </w:t>
      </w:r>
      <w:r>
        <w:rPr>
          <w:rFonts w:ascii="仿宋_GB2312" w:hAnsi="仿宋_GB2312" w:eastAsia="仿宋_GB2312" w:cs="仿宋_GB2312"/>
          <w:b/>
          <w:bCs w:val="0"/>
          <w:sz w:val="28"/>
          <w:szCs w:val="28"/>
        </w:rPr>
        <w:t>尿管留置期间疼痛管理</w:t>
      </w:r>
    </w:p>
    <w:p w14:paraId="473461D8">
      <w:pPr>
        <w:pStyle w:val="33"/>
        <w:spacing w:before="0" w:beforeLines="0" w:after="0" w:afterLines="0"/>
        <w:ind w:firstLine="560"/>
        <w:jc w:val="both"/>
        <w:rPr>
          <w:rFonts w:hint="eastAsia" w:ascii="仿宋_GB2312" w:hAnsi="仿宋_GB2312" w:eastAsia="仿宋_GB2312" w:cs="仿宋_GB2312"/>
          <w:sz w:val="28"/>
          <w:szCs w:val="28"/>
          <w:highlight w:val="yellow"/>
        </w:rPr>
      </w:pPr>
      <w:r>
        <w:rPr>
          <w:rFonts w:ascii="仿宋_GB2312" w:hAnsi="仿宋_GB2312" w:eastAsia="仿宋_GB2312" w:cs="仿宋_GB2312"/>
          <w:sz w:val="28"/>
          <w:szCs w:val="28"/>
        </w:rPr>
        <w:t>2.4.1</w:t>
      </w:r>
      <w:r>
        <w:rPr>
          <w:rFonts w:hint="eastAsia" w:ascii="仿宋_GB2312" w:hAnsi="仿宋_GB2312" w:eastAsia="仿宋_GB2312" w:cs="仿宋_GB2312"/>
          <w:sz w:val="28"/>
          <w:szCs w:val="28"/>
        </w:rPr>
        <w:t xml:space="preserve"> 中医镇痛技术的应用 尿管留置期间宜指导患者采用穴位按摩、耳穴压豆等中医镇痛技术。穴位选择基于中医经络理论与现代循证实践：足三里与三阴交配伍，旨在健脾益气、调理下焦，缓解下腹及尿道不适；耳穴选取交感、神门、膀胱、肾、尿道等，旨在调节植物神经、镇静镇痛并对应病所。 为确保技术的安全性、准确性与可重复性，穴位定位需严格遵循GB/T 12346（腧穴定位标准）与GB/T 13734（耳穴名称与定位标准）的规定，并规范操作手法、持续时间与频率（其具体指标如“每个穴位按摩1 min～2 min”等主要参考《中医护理学基础》）。将中医适宜技术纳入标准，旨在将其从经验性操作转化为可标准化实施和评价的护理措施。</w:t>
      </w:r>
    </w:p>
    <w:p w14:paraId="357960E2">
      <w:pPr>
        <w:pStyle w:val="33"/>
        <w:spacing w:before="0" w:beforeLines="0" w:after="0" w:afterLines="0" w:line="240" w:lineRule="auto"/>
        <w:ind w:left="0" w:leftChars="0" w:firstLine="0" w:firstLineChars="0"/>
        <w:jc w:val="center"/>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lang w:val="en-US" w:eastAsia="zh-CN"/>
        </w:rPr>
        <w:drawing>
          <wp:inline distT="0" distB="0" distL="114300" distR="114300">
            <wp:extent cx="2125980" cy="3239770"/>
            <wp:effectExtent l="0" t="0" r="7620" b="17780"/>
            <wp:docPr id="7" name="图片 7" descr="12d444e9253f2e5d26539ac41ebdc93a"/>
            <wp:cNvGraphicFramePr/>
            <a:graphic xmlns:a="http://schemas.openxmlformats.org/drawingml/2006/main">
              <a:graphicData uri="http://schemas.openxmlformats.org/drawingml/2006/picture">
                <pic:pic xmlns:pic="http://schemas.openxmlformats.org/drawingml/2006/picture">
                  <pic:nvPicPr>
                    <pic:cNvPr id="7" name="图片 7" descr="12d444e9253f2e5d26539ac41ebdc93a"/>
                    <pic:cNvPicPr/>
                  </pic:nvPicPr>
                  <pic:blipFill>
                    <a:blip r:embed="rId20"/>
                    <a:stretch>
                      <a:fillRect/>
                    </a:stretch>
                  </pic:blipFill>
                  <pic:spPr>
                    <a:xfrm>
                      <a:off x="0" y="0"/>
                      <a:ext cx="2125980" cy="3239770"/>
                    </a:xfrm>
                    <a:prstGeom prst="rect">
                      <a:avLst/>
                    </a:prstGeom>
                  </pic:spPr>
                </pic:pic>
              </a:graphicData>
            </a:graphic>
          </wp:inline>
        </w:drawing>
      </w:r>
      <w:r>
        <w:rPr>
          <w:rFonts w:hint="eastAsia" w:ascii="仿宋_GB2312" w:hAnsi="仿宋_GB2312" w:eastAsia="仿宋_GB2312" w:cs="仿宋_GB2312"/>
          <w:sz w:val="28"/>
          <w:szCs w:val="28"/>
          <w:highlight w:val="none"/>
          <w:lang w:val="en-US" w:eastAsia="zh-CN"/>
        </w:rPr>
        <w:drawing>
          <wp:inline distT="0" distB="0" distL="114300" distR="114300">
            <wp:extent cx="2475230" cy="3239770"/>
            <wp:effectExtent l="9525" t="9525" r="10795" b="27305"/>
            <wp:docPr id="10" name="图片 10" descr="1c1844627d8a03f3d718d134630214af"/>
            <wp:cNvGraphicFramePr/>
            <a:graphic xmlns:a="http://schemas.openxmlformats.org/drawingml/2006/main">
              <a:graphicData uri="http://schemas.openxmlformats.org/drawingml/2006/picture">
                <pic:pic xmlns:pic="http://schemas.openxmlformats.org/drawingml/2006/picture">
                  <pic:nvPicPr>
                    <pic:cNvPr id="10" name="图片 10" descr="1c1844627d8a03f3d718d134630214af"/>
                    <pic:cNvPicPr/>
                  </pic:nvPicPr>
                  <pic:blipFill>
                    <a:blip r:embed="rId21"/>
                    <a:srcRect l="6419" t="4545" b="2540"/>
                    <a:stretch>
                      <a:fillRect/>
                    </a:stretch>
                  </pic:blipFill>
                  <pic:spPr>
                    <a:xfrm>
                      <a:off x="0" y="0"/>
                      <a:ext cx="2475230" cy="3239770"/>
                    </a:xfrm>
                    <a:prstGeom prst="rect">
                      <a:avLst/>
                    </a:prstGeom>
                    <a:ln>
                      <a:solidFill>
                        <a:schemeClr val="tx1"/>
                      </a:solidFill>
                    </a:ln>
                  </pic:spPr>
                </pic:pic>
              </a:graphicData>
            </a:graphic>
          </wp:inline>
        </w:drawing>
      </w:r>
    </w:p>
    <w:p w14:paraId="63F224C0">
      <w:pPr>
        <w:pStyle w:val="33"/>
        <w:spacing w:before="0" w:beforeLines="0" w:after="0" w:afterLines="0" w:line="240" w:lineRule="auto"/>
        <w:ind w:left="0" w:leftChars="0" w:firstLine="0" w:firstLineChars="0"/>
        <w:jc w:val="center"/>
        <w:rPr>
          <w:rFonts w:hint="eastAsia" w:ascii="黑体" w:hAnsi="黑体" w:eastAsia="黑体" w:cs="黑体"/>
          <w:sz w:val="24"/>
          <w:szCs w:val="24"/>
          <w:highlight w:val="none"/>
          <w:lang w:val="en-US" w:eastAsia="zh-CN"/>
        </w:rPr>
      </w:pPr>
      <w:r>
        <w:rPr>
          <w:rFonts w:hint="eastAsia" w:ascii="黑体" w:hAnsi="黑体" w:eastAsia="黑体" w:cs="黑体"/>
          <w:sz w:val="24"/>
          <w:szCs w:val="24"/>
          <w:highlight w:val="none"/>
          <w:lang w:val="en-US" w:eastAsia="zh-CN"/>
        </w:rPr>
        <w:t>来源：中医护理学基础</w:t>
      </w:r>
    </w:p>
    <w:p w14:paraId="00F7E1DF">
      <w:pPr>
        <w:pStyle w:val="33"/>
        <w:spacing w:before="0" w:beforeLines="0" w:after="0" w:afterLines="0"/>
        <w:ind w:firstLine="560"/>
        <w:jc w:val="both"/>
        <w:rPr>
          <w:rFonts w:hint="eastAsia" w:ascii="仿宋_GB2312" w:hAnsi="仿宋_GB2312" w:eastAsia="仿宋_GB2312" w:cs="仿宋_GB2312"/>
          <w:sz w:val="28"/>
          <w:szCs w:val="28"/>
        </w:rPr>
      </w:pPr>
      <w:r>
        <w:rPr>
          <w:rFonts w:ascii="仿宋_GB2312" w:hAnsi="仿宋_GB2312" w:eastAsia="仿宋_GB2312" w:cs="仿宋_GB2312"/>
          <w:sz w:val="28"/>
          <w:szCs w:val="28"/>
        </w:rPr>
        <w:t>2.4.2</w:t>
      </w:r>
      <w:r>
        <w:rPr>
          <w:rFonts w:hint="eastAsia" w:ascii="仿宋_GB2312" w:hAnsi="仿宋_GB2312" w:eastAsia="仿宋_GB2312" w:cs="仿宋_GB2312"/>
          <w:sz w:val="28"/>
          <w:szCs w:val="28"/>
        </w:rPr>
        <w:t xml:space="preserve"> 药物预防性使用 对于具有前列腺手术史、膀胱过度活动或既往痉挛史等高危因素的患者，可遵医嘱预防性使用抗胆碱能药物等。 这类药物可通过降低膀胱逼尿肌的异常收缩，从源头上预防痉挛性疼痛的发生。条款中明确“遵医嘱”，旨在界定护理人员在药物干预中的执行角色，确保用药安全。</w:t>
      </w:r>
    </w:p>
    <w:p w14:paraId="5257CFFF">
      <w:pPr>
        <w:pStyle w:val="33"/>
        <w:spacing w:before="0" w:beforeLines="0" w:after="0" w:afterLines="0"/>
        <w:ind w:firstLine="560"/>
        <w:jc w:val="both"/>
        <w:rPr>
          <w:rFonts w:hint="eastAsia" w:ascii="仿宋_GB2312" w:hAnsi="仿宋_GB2312" w:eastAsia="仿宋_GB2312" w:cs="仿宋_GB2312"/>
          <w:sz w:val="28"/>
          <w:szCs w:val="28"/>
        </w:rPr>
      </w:pPr>
      <w:r>
        <w:rPr>
          <w:rFonts w:ascii="仿宋_GB2312" w:hAnsi="仿宋_GB2312" w:eastAsia="仿宋_GB2312" w:cs="仿宋_GB2312"/>
          <w:sz w:val="28"/>
          <w:szCs w:val="28"/>
        </w:rPr>
        <w:t>2.4.3</w:t>
      </w:r>
      <w:r>
        <w:rPr>
          <w:rFonts w:hint="eastAsia" w:ascii="仿宋_GB2312" w:hAnsi="仿宋_GB2312" w:eastAsia="仿宋_GB2312" w:cs="仿宋_GB2312"/>
          <w:sz w:val="28"/>
          <w:szCs w:val="28"/>
        </w:rPr>
        <w:t xml:space="preserve"> 非药物分散注意力 可结合音乐疗法等方式分散患者注意力。 疼痛感知与注意力集中程度密切相关。引导患者将注意力转向舒缓的音乐等中性刺激，有助于干扰疼痛信号的处理，降低其主观疼痛感受与焦虑情绪。这是一种无创、安全且易于实施的辅助镇痛手段。</w:t>
      </w:r>
    </w:p>
    <w:p w14:paraId="5FE29401">
      <w:pPr>
        <w:pStyle w:val="33"/>
        <w:spacing w:before="0" w:beforeLines="0" w:after="0" w:afterLines="0"/>
        <w:ind w:firstLine="562"/>
        <w:jc w:val="both"/>
        <w:rPr>
          <w:rFonts w:hint="eastAsia" w:ascii="仿宋_GB2312" w:hAnsi="仿宋_GB2312" w:eastAsia="仿宋_GB2312" w:cs="仿宋_GB2312"/>
          <w:b/>
          <w:bCs w:val="0"/>
          <w:sz w:val="28"/>
          <w:szCs w:val="28"/>
        </w:rPr>
      </w:pPr>
      <w:r>
        <w:rPr>
          <w:rFonts w:ascii="仿宋_GB2312" w:hAnsi="仿宋_GB2312" w:eastAsia="仿宋_GB2312" w:cs="仿宋_GB2312"/>
          <w:b/>
          <w:bCs w:val="0"/>
          <w:sz w:val="28"/>
          <w:szCs w:val="28"/>
        </w:rPr>
        <w:t>2.5</w:t>
      </w:r>
      <w:r>
        <w:rPr>
          <w:rFonts w:hint="eastAsia" w:ascii="仿宋_GB2312" w:hAnsi="仿宋_GB2312" w:eastAsia="仿宋_GB2312" w:cs="仿宋_GB2312"/>
          <w:b/>
          <w:bCs w:val="0"/>
          <w:sz w:val="28"/>
          <w:szCs w:val="28"/>
        </w:rPr>
        <w:t xml:space="preserve"> </w:t>
      </w:r>
      <w:r>
        <w:rPr>
          <w:rFonts w:ascii="仿宋_GB2312" w:hAnsi="仿宋_GB2312" w:eastAsia="仿宋_GB2312" w:cs="仿宋_GB2312"/>
          <w:b/>
          <w:bCs w:val="0"/>
          <w:sz w:val="28"/>
          <w:szCs w:val="28"/>
        </w:rPr>
        <w:t>无痛化导尿管拔除</w:t>
      </w:r>
    </w:p>
    <w:p w14:paraId="1182C86A">
      <w:pPr>
        <w:pStyle w:val="33"/>
        <w:spacing w:before="0" w:beforeLines="0" w:after="0" w:afterLines="0"/>
        <w:ind w:firstLine="560"/>
        <w:jc w:val="both"/>
        <w:rPr>
          <w:rFonts w:hint="eastAsia" w:ascii="仿宋_GB2312" w:hAnsi="仿宋_GB2312" w:eastAsia="仿宋_GB2312" w:cs="仿宋_GB2312"/>
          <w:sz w:val="28"/>
          <w:szCs w:val="28"/>
        </w:rPr>
      </w:pPr>
      <w:r>
        <w:rPr>
          <w:rFonts w:ascii="仿宋_GB2312" w:hAnsi="仿宋_GB2312" w:eastAsia="仿宋_GB2312" w:cs="仿宋_GB2312"/>
          <w:sz w:val="28"/>
          <w:szCs w:val="28"/>
        </w:rPr>
        <w:t>2.5.1</w:t>
      </w:r>
      <w:r>
        <w:rPr>
          <w:rFonts w:hint="eastAsia" w:ascii="仿宋_GB2312" w:hAnsi="仿宋_GB2312" w:eastAsia="仿宋_GB2312" w:cs="仿宋_GB2312"/>
          <w:sz w:val="28"/>
          <w:szCs w:val="28"/>
        </w:rPr>
        <w:t xml:space="preserve"> 拔管时，应首先连接注射器，让气囊内液体自动退出。此操作优先于主动抽吸，可避免因瞬间负压导致气囊壁不规则塌陷、紧贴或反折于导尿管上，形成硬性褶皱。随后轻轻拉动注射器活塞进行确认，是确保气囊已完全排空、丧失固定作用的必要安全检查，防止因气囊未完全排空时强行拔管造成严重的尿道损伤。</w:t>
      </w:r>
    </w:p>
    <w:p w14:paraId="2B891B23">
      <w:pPr>
        <w:pStyle w:val="33"/>
        <w:spacing w:before="0" w:beforeLines="0" w:after="0" w:afterLines="0"/>
        <w:ind w:firstLine="560"/>
        <w:jc w:val="both"/>
        <w:rPr>
          <w:rFonts w:hint="eastAsia" w:ascii="仿宋_GB2312" w:hAnsi="仿宋_GB2312" w:eastAsia="仿宋_GB2312" w:cs="仿宋_GB2312"/>
          <w:sz w:val="28"/>
          <w:szCs w:val="28"/>
          <w:highlight w:val="none"/>
        </w:rPr>
      </w:pPr>
      <w:r>
        <w:rPr>
          <w:rFonts w:ascii="仿宋_GB2312" w:hAnsi="仿宋_GB2312" w:eastAsia="仿宋_GB2312" w:cs="仿宋_GB2312"/>
          <w:sz w:val="28"/>
          <w:szCs w:val="28"/>
        </w:rPr>
        <w:t>2.5.2</w:t>
      </w:r>
      <w:r>
        <w:rPr>
          <w:rFonts w:hint="eastAsia" w:ascii="仿宋_GB2312" w:hAnsi="仿宋_GB2312" w:eastAsia="仿宋_GB2312" w:cs="仿宋_GB2312"/>
          <w:sz w:val="28"/>
          <w:szCs w:val="28"/>
        </w:rPr>
        <w:t xml:space="preserve"> 随后，使用注射器将空气或生理盐水重新注入气囊（参考量见附录A）。传统方法在抽空气囊后直接拔出，此时干瘪的气囊壁会形成数道锋利的纵向褶皱，在通过尿道时会刮擦黏膜，是引起疼痛和出血的主因。重新注入少量介质的目的，是利用其张力使气囊恢复近似圆柱形的光滑轮廓，消除尖锐褶皱。 注入后需等待20 s</w:t>
      </w:r>
      <w:r>
        <w:rPr>
          <w:rFonts w:hint="eastAsia" w:ascii="仿宋_GB2312" w:hAnsi="仿宋_GB2312" w:eastAsia="仿宋_GB2312" w:cs="仿宋_GB2312"/>
          <w:sz w:val="28"/>
          <w:szCs w:val="28"/>
          <w:highlight w:val="none"/>
        </w:rPr>
        <w:t>～30 s，是为了让气囊材料有充分时间完成这一形态恢复，从而将拔管摩擦和损伤降至最低。该步骤原理与等待时间参考了《中国泌尿外科和男科疾病诊断治疗指南》及《改进式气囊尿管拔除方法的应用与评价》的建议。</w:t>
      </w:r>
    </w:p>
    <w:p w14:paraId="519ADF62">
      <w:pPr>
        <w:pStyle w:val="33"/>
        <w:spacing w:before="0" w:beforeLines="0" w:after="0" w:afterLines="0" w:line="240" w:lineRule="auto"/>
        <w:ind w:left="0" w:leftChars="0" w:firstLine="0" w:firstLineChars="0"/>
        <w:jc w:val="center"/>
      </w:pPr>
      <w:r>
        <w:drawing>
          <wp:inline distT="0" distB="0" distL="114300" distR="114300">
            <wp:extent cx="2818130" cy="3599815"/>
            <wp:effectExtent l="0" t="0" r="1270" b="635"/>
            <wp:docPr id="16" name="图片 16" descr="b6b2bd7572bd134725605f1c01d897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b6b2bd7572bd134725605f1c01d8979b"/>
                    <pic:cNvPicPr>
                      <a:picLocks noChangeAspect="1"/>
                    </pic:cNvPicPr>
                  </pic:nvPicPr>
                  <pic:blipFill>
                    <a:blip r:embed="rId22"/>
                    <a:stretch>
                      <a:fillRect/>
                    </a:stretch>
                  </pic:blipFill>
                  <pic:spPr>
                    <a:xfrm>
                      <a:off x="0" y="0"/>
                      <a:ext cx="2818130" cy="3599815"/>
                    </a:xfrm>
                    <a:prstGeom prst="rect">
                      <a:avLst/>
                    </a:prstGeom>
                  </pic:spPr>
                </pic:pic>
              </a:graphicData>
            </a:graphic>
          </wp:inline>
        </w:drawing>
      </w:r>
      <w:r>
        <w:drawing>
          <wp:inline distT="0" distB="0" distL="114300" distR="114300">
            <wp:extent cx="2811145" cy="3636010"/>
            <wp:effectExtent l="0" t="0" r="8255" b="2540"/>
            <wp:docPr id="15" name="图片 15" descr="fa9f92ffeffe9df318c13134fafd3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fa9f92ffeffe9df318c13134fafd3cd0"/>
                    <pic:cNvPicPr>
                      <a:picLocks noChangeAspect="1"/>
                    </pic:cNvPicPr>
                  </pic:nvPicPr>
                  <pic:blipFill>
                    <a:blip r:embed="rId23"/>
                    <a:stretch>
                      <a:fillRect/>
                    </a:stretch>
                  </pic:blipFill>
                  <pic:spPr>
                    <a:xfrm>
                      <a:off x="0" y="0"/>
                      <a:ext cx="2811145" cy="3636010"/>
                    </a:xfrm>
                    <a:prstGeom prst="rect">
                      <a:avLst/>
                    </a:prstGeom>
                  </pic:spPr>
                </pic:pic>
              </a:graphicData>
            </a:graphic>
          </wp:inline>
        </w:drawing>
      </w:r>
    </w:p>
    <w:p w14:paraId="2FE153B2">
      <w:pPr>
        <w:pStyle w:val="33"/>
        <w:spacing w:before="0" w:beforeLines="0" w:after="0" w:afterLines="0" w:line="240" w:lineRule="auto"/>
        <w:ind w:left="0" w:leftChars="0" w:firstLine="0" w:firstLineChars="0"/>
        <w:jc w:val="center"/>
        <w:rPr>
          <w:rFonts w:hint="eastAsia" w:eastAsia="黑体"/>
          <w:lang w:eastAsia="zh-CN"/>
        </w:rPr>
      </w:pPr>
      <w:r>
        <w:rPr>
          <w:rFonts w:hint="eastAsia"/>
          <w:lang w:eastAsia="zh-CN"/>
        </w:rPr>
        <w:t>来源：中国泌尿外科和男科疾病诊断治疗指南、改进式气囊尿管拔除方法的应用与评价</w:t>
      </w:r>
    </w:p>
    <w:p w14:paraId="6AC04253">
      <w:pPr>
        <w:pStyle w:val="33"/>
        <w:spacing w:before="0" w:beforeLines="0" w:after="0" w:afterLines="0"/>
        <w:ind w:firstLine="560"/>
        <w:jc w:val="both"/>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t>拔管前重新注入空气或生理盐水的参考量（详见附录A），是根据对多家起草单位现行临床操作数据的调查汇总与分析后拟定的。该量表确保了不同型号导尿管的气囊均能获得适宜张力以消除褶皱，是实现无痛拔管的关键操作依据。</w:t>
      </w:r>
    </w:p>
    <w:p w14:paraId="693A5A64">
      <w:pPr>
        <w:pStyle w:val="33"/>
        <w:spacing w:before="0" w:beforeLines="0" w:after="0" w:afterLines="0"/>
        <w:ind w:left="0" w:leftChars="0" w:firstLine="0" w:firstLineChars="0"/>
        <w:jc w:val="center"/>
        <w:rPr>
          <w:rFonts w:hint="eastAsia" w:ascii="黑体" w:hAnsi="黑体" w:eastAsia="黑体" w:cs="黑体"/>
          <w:sz w:val="24"/>
          <w:szCs w:val="24"/>
          <w:lang w:eastAsia="zh-CN"/>
        </w:rPr>
      </w:pPr>
      <w:r>
        <w:rPr>
          <w:rFonts w:hint="eastAsia" w:ascii="黑体" w:hAnsi="黑体" w:eastAsia="黑体" w:cs="黑体"/>
          <w:sz w:val="24"/>
          <w:szCs w:val="24"/>
          <w:lang w:eastAsia="zh-CN"/>
        </w:rPr>
        <w:t>各</w:t>
      </w:r>
      <w:r>
        <w:rPr>
          <w:rFonts w:hint="eastAsia" w:cs="黑体"/>
          <w:sz w:val="24"/>
          <w:szCs w:val="24"/>
          <w:lang w:eastAsia="zh-CN"/>
        </w:rPr>
        <w:t>医院</w:t>
      </w:r>
      <w:r>
        <w:rPr>
          <w:rFonts w:hint="eastAsia" w:ascii="黑体" w:hAnsi="黑体" w:eastAsia="黑体" w:cs="黑体"/>
          <w:sz w:val="24"/>
          <w:szCs w:val="24"/>
          <w:lang w:eastAsia="zh-CN"/>
        </w:rPr>
        <w:t>报告的气囊恢复注入参考量调查汇总</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76"/>
        <w:gridCol w:w="1393"/>
        <w:gridCol w:w="1393"/>
        <w:gridCol w:w="1595"/>
        <w:gridCol w:w="1195"/>
        <w:gridCol w:w="1396"/>
      </w:tblGrid>
      <w:tr w14:paraId="75821E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67A8201B">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导尿管型号 (F)</w:t>
            </w:r>
          </w:p>
        </w:tc>
        <w:tc>
          <w:tcPr>
            <w:tcW w:w="1428" w:type="dxa"/>
            <w:vAlign w:val="center"/>
          </w:tcPr>
          <w:p w14:paraId="39B5259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医院A</w:t>
            </w:r>
          </w:p>
        </w:tc>
        <w:tc>
          <w:tcPr>
            <w:tcW w:w="1428" w:type="dxa"/>
            <w:vAlign w:val="center"/>
          </w:tcPr>
          <w:p w14:paraId="4BBE10A1">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医院B</w:t>
            </w:r>
          </w:p>
        </w:tc>
        <w:tc>
          <w:tcPr>
            <w:tcW w:w="1634" w:type="dxa"/>
            <w:vAlign w:val="center"/>
          </w:tcPr>
          <w:p w14:paraId="520669BE">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医院C</w:t>
            </w:r>
          </w:p>
        </w:tc>
        <w:tc>
          <w:tcPr>
            <w:tcW w:w="1222" w:type="dxa"/>
            <w:vAlign w:val="center"/>
          </w:tcPr>
          <w:p w14:paraId="2D32ECB0">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医院D</w:t>
            </w:r>
          </w:p>
        </w:tc>
        <w:tc>
          <w:tcPr>
            <w:tcW w:w="1430" w:type="dxa"/>
            <w:vAlign w:val="center"/>
          </w:tcPr>
          <w:p w14:paraId="420F4B7E">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拟定参数</w:t>
            </w:r>
          </w:p>
        </w:tc>
      </w:tr>
      <w:tr w14:paraId="02013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2A76A6EA">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8～10</w:t>
            </w:r>
          </w:p>
        </w:tc>
        <w:tc>
          <w:tcPr>
            <w:tcW w:w="1428" w:type="dxa"/>
            <w:vAlign w:val="center"/>
          </w:tcPr>
          <w:p w14:paraId="4016A550">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0.2</w:t>
            </w:r>
          </w:p>
        </w:tc>
        <w:tc>
          <w:tcPr>
            <w:tcW w:w="1428" w:type="dxa"/>
            <w:vAlign w:val="center"/>
          </w:tcPr>
          <w:p w14:paraId="24875D78">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0.2</w:t>
            </w:r>
          </w:p>
        </w:tc>
        <w:tc>
          <w:tcPr>
            <w:tcW w:w="1634" w:type="dxa"/>
            <w:vAlign w:val="center"/>
          </w:tcPr>
          <w:p w14:paraId="5EA7E415">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0.2</w:t>
            </w:r>
          </w:p>
        </w:tc>
        <w:tc>
          <w:tcPr>
            <w:tcW w:w="1222" w:type="dxa"/>
            <w:vAlign w:val="center"/>
          </w:tcPr>
          <w:p w14:paraId="6B50C874">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0.1</w:t>
            </w:r>
          </w:p>
        </w:tc>
        <w:tc>
          <w:tcPr>
            <w:tcW w:w="1430" w:type="dxa"/>
            <w:vAlign w:val="center"/>
          </w:tcPr>
          <w:p w14:paraId="4C9922E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0.2</w:t>
            </w:r>
          </w:p>
        </w:tc>
      </w:tr>
      <w:tr w14:paraId="7F407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7950FED0">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12～14</w:t>
            </w:r>
          </w:p>
        </w:tc>
        <w:tc>
          <w:tcPr>
            <w:tcW w:w="1428" w:type="dxa"/>
            <w:vAlign w:val="center"/>
          </w:tcPr>
          <w:p w14:paraId="1CBCF7A0">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0.3</w:t>
            </w:r>
          </w:p>
        </w:tc>
        <w:tc>
          <w:tcPr>
            <w:tcW w:w="1428" w:type="dxa"/>
            <w:vAlign w:val="center"/>
          </w:tcPr>
          <w:p w14:paraId="1759057D">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0.3</w:t>
            </w:r>
          </w:p>
        </w:tc>
        <w:tc>
          <w:tcPr>
            <w:tcW w:w="1634" w:type="dxa"/>
            <w:vAlign w:val="center"/>
          </w:tcPr>
          <w:p w14:paraId="0ED1E604">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0.3</w:t>
            </w:r>
          </w:p>
        </w:tc>
        <w:tc>
          <w:tcPr>
            <w:tcW w:w="1222" w:type="dxa"/>
            <w:vAlign w:val="center"/>
          </w:tcPr>
          <w:p w14:paraId="3B46887A">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0.1</w:t>
            </w:r>
          </w:p>
        </w:tc>
        <w:tc>
          <w:tcPr>
            <w:tcW w:w="1430" w:type="dxa"/>
            <w:vAlign w:val="center"/>
          </w:tcPr>
          <w:p w14:paraId="7C381552">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0.3</w:t>
            </w:r>
          </w:p>
        </w:tc>
      </w:tr>
      <w:tr w14:paraId="381798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7A31B837">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16</w:t>
            </w:r>
          </w:p>
        </w:tc>
        <w:tc>
          <w:tcPr>
            <w:tcW w:w="1428" w:type="dxa"/>
            <w:vAlign w:val="center"/>
          </w:tcPr>
          <w:p w14:paraId="3EE67C3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0.4</w:t>
            </w:r>
          </w:p>
        </w:tc>
        <w:tc>
          <w:tcPr>
            <w:tcW w:w="1428" w:type="dxa"/>
            <w:vAlign w:val="center"/>
          </w:tcPr>
          <w:p w14:paraId="068290A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0.4</w:t>
            </w:r>
          </w:p>
        </w:tc>
        <w:tc>
          <w:tcPr>
            <w:tcW w:w="1634" w:type="dxa"/>
            <w:vAlign w:val="center"/>
          </w:tcPr>
          <w:p w14:paraId="70D34583">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0.5.</w:t>
            </w:r>
          </w:p>
        </w:tc>
        <w:tc>
          <w:tcPr>
            <w:tcW w:w="1222" w:type="dxa"/>
            <w:shd w:val="clear" w:color="auto" w:fill="auto"/>
            <w:vAlign w:val="center"/>
          </w:tcPr>
          <w:p w14:paraId="445555B2">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bCs/>
                <w:sz w:val="24"/>
                <w:szCs w:val="24"/>
                <w:vertAlign w:val="baseline"/>
                <w:lang w:val="en-US" w:eastAsia="zh-CN" w:bidi="ar-SA"/>
              </w:rPr>
            </w:pPr>
            <w:r>
              <w:rPr>
                <w:rFonts w:hint="eastAsia" w:ascii="仿宋_GB2312" w:hAnsi="仿宋_GB2312" w:eastAsia="仿宋_GB2312" w:cs="仿宋_GB2312"/>
                <w:sz w:val="24"/>
                <w:szCs w:val="24"/>
                <w:vertAlign w:val="baseline"/>
                <w:lang w:val="en-US" w:eastAsia="zh-CN"/>
              </w:rPr>
              <w:t>0.2</w:t>
            </w:r>
          </w:p>
        </w:tc>
        <w:tc>
          <w:tcPr>
            <w:tcW w:w="1430" w:type="dxa"/>
            <w:shd w:val="clear" w:color="auto" w:fill="auto"/>
            <w:vAlign w:val="center"/>
          </w:tcPr>
          <w:p w14:paraId="7B333BF4">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0.4</w:t>
            </w:r>
          </w:p>
        </w:tc>
      </w:tr>
      <w:tr w14:paraId="270B8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113CAF7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18</w:t>
            </w:r>
          </w:p>
        </w:tc>
        <w:tc>
          <w:tcPr>
            <w:tcW w:w="1428" w:type="dxa"/>
            <w:vAlign w:val="center"/>
          </w:tcPr>
          <w:p w14:paraId="36015110">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0.4</w:t>
            </w:r>
          </w:p>
        </w:tc>
        <w:tc>
          <w:tcPr>
            <w:tcW w:w="1428" w:type="dxa"/>
            <w:vAlign w:val="center"/>
          </w:tcPr>
          <w:p w14:paraId="2CE3B7FA">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0.4</w:t>
            </w:r>
          </w:p>
        </w:tc>
        <w:tc>
          <w:tcPr>
            <w:tcW w:w="1634" w:type="dxa"/>
            <w:vAlign w:val="center"/>
          </w:tcPr>
          <w:p w14:paraId="11E1D0A1">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（暂未使用）</w:t>
            </w:r>
          </w:p>
        </w:tc>
        <w:tc>
          <w:tcPr>
            <w:tcW w:w="1222" w:type="dxa"/>
            <w:shd w:val="clear" w:color="auto" w:fill="auto"/>
            <w:vAlign w:val="center"/>
          </w:tcPr>
          <w:p w14:paraId="67393D3B">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bCs/>
                <w:sz w:val="24"/>
                <w:szCs w:val="24"/>
                <w:vertAlign w:val="baseline"/>
                <w:lang w:val="en-US" w:eastAsia="zh-CN" w:bidi="ar-SA"/>
              </w:rPr>
            </w:pPr>
            <w:r>
              <w:rPr>
                <w:rFonts w:hint="eastAsia" w:ascii="仿宋_GB2312" w:hAnsi="仿宋_GB2312" w:eastAsia="仿宋_GB2312" w:cs="仿宋_GB2312"/>
                <w:sz w:val="24"/>
                <w:szCs w:val="24"/>
                <w:vertAlign w:val="baseline"/>
                <w:lang w:val="en-US" w:eastAsia="zh-CN"/>
              </w:rPr>
              <w:t>0.3</w:t>
            </w:r>
          </w:p>
        </w:tc>
        <w:tc>
          <w:tcPr>
            <w:tcW w:w="1430" w:type="dxa"/>
            <w:shd w:val="clear" w:color="auto" w:fill="auto"/>
            <w:vAlign w:val="center"/>
          </w:tcPr>
          <w:p w14:paraId="3562DFCB">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0.4</w:t>
            </w:r>
          </w:p>
        </w:tc>
      </w:tr>
      <w:tr w14:paraId="6F03A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23CE6020">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20</w:t>
            </w:r>
          </w:p>
        </w:tc>
        <w:tc>
          <w:tcPr>
            <w:tcW w:w="1428" w:type="dxa"/>
            <w:vAlign w:val="center"/>
          </w:tcPr>
          <w:p w14:paraId="65CA2A68">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0.6</w:t>
            </w:r>
          </w:p>
        </w:tc>
        <w:tc>
          <w:tcPr>
            <w:tcW w:w="1428" w:type="dxa"/>
            <w:vAlign w:val="center"/>
          </w:tcPr>
          <w:p w14:paraId="69D33527">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0.6</w:t>
            </w:r>
          </w:p>
        </w:tc>
        <w:tc>
          <w:tcPr>
            <w:tcW w:w="1634" w:type="dxa"/>
            <w:vAlign w:val="center"/>
          </w:tcPr>
          <w:p w14:paraId="6834445E">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0.5</w:t>
            </w:r>
          </w:p>
        </w:tc>
        <w:tc>
          <w:tcPr>
            <w:tcW w:w="1222" w:type="dxa"/>
            <w:shd w:val="clear" w:color="auto" w:fill="auto"/>
            <w:vAlign w:val="center"/>
          </w:tcPr>
          <w:p w14:paraId="61512C88">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bCs/>
                <w:sz w:val="24"/>
                <w:szCs w:val="24"/>
                <w:vertAlign w:val="baseline"/>
                <w:lang w:val="en-US" w:eastAsia="zh-CN" w:bidi="ar-SA"/>
              </w:rPr>
            </w:pPr>
            <w:r>
              <w:rPr>
                <w:rFonts w:hint="eastAsia" w:ascii="仿宋_GB2312" w:hAnsi="仿宋_GB2312" w:eastAsia="仿宋_GB2312" w:cs="仿宋_GB2312"/>
                <w:sz w:val="24"/>
                <w:szCs w:val="24"/>
                <w:vertAlign w:val="baseline"/>
                <w:lang w:val="en-US" w:eastAsia="zh-CN"/>
              </w:rPr>
              <w:t>0.4</w:t>
            </w:r>
          </w:p>
        </w:tc>
        <w:tc>
          <w:tcPr>
            <w:tcW w:w="1430" w:type="dxa"/>
            <w:shd w:val="clear" w:color="auto" w:fill="auto"/>
            <w:vAlign w:val="center"/>
          </w:tcPr>
          <w:p w14:paraId="7FC1BE7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0.6</w:t>
            </w:r>
          </w:p>
        </w:tc>
      </w:tr>
      <w:tr w14:paraId="7D179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31" w:type="dxa"/>
            <w:vAlign w:val="center"/>
          </w:tcPr>
          <w:p w14:paraId="0E3C4918">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22</w:t>
            </w:r>
          </w:p>
        </w:tc>
        <w:tc>
          <w:tcPr>
            <w:tcW w:w="1428" w:type="dxa"/>
            <w:vAlign w:val="center"/>
          </w:tcPr>
          <w:p w14:paraId="7FC9C541">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0.8</w:t>
            </w:r>
          </w:p>
        </w:tc>
        <w:tc>
          <w:tcPr>
            <w:tcW w:w="1428" w:type="dxa"/>
            <w:vAlign w:val="center"/>
          </w:tcPr>
          <w:p w14:paraId="29B87245">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0.8</w:t>
            </w:r>
          </w:p>
        </w:tc>
        <w:tc>
          <w:tcPr>
            <w:tcW w:w="1634" w:type="dxa"/>
            <w:vAlign w:val="center"/>
          </w:tcPr>
          <w:p w14:paraId="51EB4463">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val="en-US" w:eastAsia="zh-CN"/>
              </w:rPr>
              <w:t>（暂未使用）</w:t>
            </w:r>
          </w:p>
        </w:tc>
        <w:tc>
          <w:tcPr>
            <w:tcW w:w="1222" w:type="dxa"/>
            <w:vAlign w:val="center"/>
          </w:tcPr>
          <w:p w14:paraId="4550B9BA">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0.8</w:t>
            </w:r>
          </w:p>
        </w:tc>
        <w:tc>
          <w:tcPr>
            <w:tcW w:w="1430" w:type="dxa"/>
            <w:vAlign w:val="center"/>
          </w:tcPr>
          <w:p w14:paraId="3E19B9AC">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0.8</w:t>
            </w:r>
          </w:p>
        </w:tc>
      </w:tr>
    </w:tbl>
    <w:p w14:paraId="1EAABB42">
      <w:pPr>
        <w:pStyle w:val="33"/>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jc w:val="center"/>
        <w:textAlignment w:val="auto"/>
        <w:rPr>
          <w:rFonts w:hint="eastAsia" w:ascii="仿宋_GB2312" w:hAnsi="仿宋_GB2312" w:eastAsia="仿宋_GB2312" w:cs="仿宋_GB2312"/>
          <w:sz w:val="24"/>
          <w:szCs w:val="24"/>
          <w:vertAlign w:val="baseline"/>
          <w:lang w:eastAsia="zh-CN"/>
        </w:rPr>
      </w:pPr>
    </w:p>
    <w:p w14:paraId="2C3EE12F">
      <w:pPr>
        <w:pStyle w:val="33"/>
        <w:spacing w:before="0" w:beforeLines="0" w:after="0" w:afterLines="0"/>
        <w:ind w:firstLine="560"/>
        <w:jc w:val="both"/>
        <w:rPr>
          <w:rFonts w:hint="eastAsia" w:ascii="仿宋_GB2312" w:hAnsi="仿宋_GB2312" w:eastAsia="仿宋_GB2312" w:cs="仿宋_GB2312"/>
          <w:sz w:val="28"/>
          <w:szCs w:val="28"/>
        </w:rPr>
      </w:pPr>
      <w:r>
        <w:rPr>
          <w:rFonts w:ascii="仿宋_GB2312" w:hAnsi="仿宋_GB2312" w:eastAsia="仿宋_GB2312" w:cs="仿宋_GB2312"/>
          <w:sz w:val="28"/>
          <w:szCs w:val="28"/>
        </w:rPr>
        <w:t>2.5.3</w:t>
      </w:r>
      <w:r>
        <w:rPr>
          <w:rFonts w:hint="eastAsia" w:ascii="仿宋_GB2312" w:hAnsi="仿宋_GB2312" w:eastAsia="仿宋_GB2312" w:cs="仿宋_GB2312"/>
          <w:sz w:val="28"/>
          <w:szCs w:val="28"/>
        </w:rPr>
        <w:t xml:space="preserve"> 拔管动作应指导患者深呼吸，并在其呼气时缓慢、均匀地拔出尿管。“指导患者深呼吸”旨在转移注意力、放松全身。明确在“呼气时”拔出，是利用呼气时膈肌上移、腹内压下降、盆底肌肉随之自然放松的生理时机，此时尿道阻力相对最小，有利于导尿管顺滑移出。</w:t>
      </w:r>
    </w:p>
    <w:p w14:paraId="44BD65DE">
      <w:pPr>
        <w:pStyle w:val="33"/>
        <w:spacing w:before="0" w:beforeLines="0" w:after="0" w:afterLines="0"/>
        <w:ind w:firstLine="560"/>
        <w:jc w:val="both"/>
        <w:rPr>
          <w:rFonts w:hint="eastAsia" w:ascii="仿宋_GB2312" w:hAnsi="仿宋_GB2312" w:eastAsia="仿宋_GB2312" w:cs="仿宋_GB2312"/>
          <w:sz w:val="28"/>
          <w:szCs w:val="28"/>
        </w:rPr>
      </w:pPr>
      <w:r>
        <w:rPr>
          <w:rFonts w:ascii="仿宋_GB2312" w:hAnsi="仿宋_GB2312" w:eastAsia="仿宋_GB2312" w:cs="仿宋_GB2312"/>
          <w:sz w:val="28"/>
          <w:szCs w:val="28"/>
        </w:rPr>
        <w:t>2.5.4</w:t>
      </w:r>
      <w:r>
        <w:rPr>
          <w:rFonts w:hint="eastAsia" w:ascii="仿宋_GB2312" w:hAnsi="仿宋_GB2312" w:eastAsia="仿宋_GB2312" w:cs="仿宋_GB2312"/>
          <w:sz w:val="28"/>
          <w:szCs w:val="28"/>
        </w:rPr>
        <w:t xml:space="preserve"> 拔管后，应用无菌纱布擦拭尿道口及周围分泌物。此举能清除残留分泌物或可能微量的渗血，保持局部清洁干燥，降低逆行感染的风险，并为患者提供终末的舒适感。</w:t>
      </w:r>
    </w:p>
    <w:p w14:paraId="7BF56A82">
      <w:pPr>
        <w:pStyle w:val="33"/>
        <w:spacing w:before="0" w:beforeLines="0" w:after="0" w:afterLines="0"/>
        <w:ind w:firstLine="562"/>
        <w:jc w:val="both"/>
        <w:outlineLvl w:val="1"/>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w:t>
      </w:r>
      <w:r>
        <w:rPr>
          <w:rFonts w:hint="eastAsia" w:ascii="仿宋_GB2312" w:hAnsi="仿宋_GB2312" w:eastAsia="仿宋_GB2312" w:cs="仿宋_GB2312"/>
          <w:b/>
          <w:bCs w:val="0"/>
          <w:sz w:val="28"/>
          <w:szCs w:val="28"/>
          <w:lang w:eastAsia="zh-CN"/>
        </w:rPr>
        <w:t>四</w:t>
      </w:r>
      <w:r>
        <w:rPr>
          <w:rFonts w:hint="eastAsia" w:ascii="仿宋_GB2312" w:hAnsi="仿宋_GB2312" w:eastAsia="仿宋_GB2312" w:cs="仿宋_GB2312"/>
          <w:b/>
          <w:bCs w:val="0"/>
          <w:sz w:val="28"/>
          <w:szCs w:val="28"/>
        </w:rPr>
        <w:t>）并发症处理</w:t>
      </w:r>
    </w:p>
    <w:p w14:paraId="6409D97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 出血观察和处理</w:t>
      </w:r>
    </w:p>
    <w:p w14:paraId="117F63B3">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导尿后发生轻微血尿，多因操作导致尿道或膀胱黏膜轻微损伤所致，通常具有自限性。条款规定应鼓励患者适量饮水，其原理是利用生理性内冲洗作用稀释尿液，降低尿液对创面的刺激，并防止血液凝结成块堵塞尿管，从而促进轻微出血自行停止。同时，规定 “血尿加重报告医生，按医嘱予处理” ，是建立了明确的风险预警与医疗干预衔接机制。当出血程度超出预期或持续不缓解时，能确保由医生及时评估是否存在活动性出血或其他病理情况，并采取相应治疗措施，以保障患者安全。</w:t>
      </w:r>
    </w:p>
    <w:p w14:paraId="440ED214">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 其他并发症处理</w:t>
      </w:r>
    </w:p>
    <w:p w14:paraId="6F62900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对于导尿后可能出现的尿漏、膀胱痉挛、感染等其他常见并发症，本文件明确其处理按 T/CNAS 48 的规定执行。该引用指向了更为专业和具体的护理操作标准，旨在确保并发症处理的规范性、统一性和安全性，避免因处理方法不一而增加患者风险或影响医疗质量。</w:t>
      </w:r>
    </w:p>
    <w:p w14:paraId="2B4425DF">
      <w:pPr>
        <w:pStyle w:val="33"/>
        <w:spacing w:before="0" w:beforeLines="0" w:after="0" w:afterLines="0"/>
        <w:ind w:firstLine="560"/>
        <w:jc w:val="both"/>
        <w:rPr>
          <w:rFonts w:hint="eastAsia" w:ascii="仿宋_GB2312" w:hAnsi="仿宋_GB2312" w:eastAsia="仿宋_GB2312" w:cs="仿宋_GB2312"/>
          <w:sz w:val="28"/>
          <w:szCs w:val="28"/>
          <w:highlight w:val="none"/>
        </w:rPr>
      </w:pPr>
    </w:p>
    <w:p w14:paraId="0017D0D3">
      <w:pPr>
        <w:pStyle w:val="33"/>
        <w:spacing w:before="0" w:beforeLines="0" w:after="0" w:afterLines="0"/>
        <w:ind w:firstLine="560"/>
        <w:jc w:val="both"/>
        <w:rPr>
          <w:rFonts w:hint="eastAsia" w:ascii="仿宋_GB2312" w:hAnsi="仿宋_GB2312" w:eastAsia="仿宋_GB2312" w:cs="仿宋_GB2312"/>
          <w:sz w:val="28"/>
          <w:szCs w:val="28"/>
          <w:highlight w:val="none"/>
        </w:rPr>
      </w:pPr>
      <w:r>
        <w:rPr>
          <w:rFonts w:ascii="仿宋_GB2312" w:hAnsi="仿宋_GB2312" w:eastAsia="仿宋_GB2312" w:cs="仿宋_GB2312"/>
          <w:sz w:val="28"/>
          <w:szCs w:val="28"/>
          <w:highlight w:val="none"/>
        </w:rPr>
        <w:t>下表是</w:t>
      </w:r>
      <w:r>
        <w:rPr>
          <w:rFonts w:hint="eastAsia" w:ascii="仿宋_GB2312" w:hAnsi="仿宋_GB2312" w:eastAsia="仿宋_GB2312" w:cs="仿宋_GB2312"/>
          <w:sz w:val="28"/>
          <w:szCs w:val="28"/>
          <w:highlight w:val="none"/>
        </w:rPr>
        <w:t>无痛化导尿技术操作</w:t>
      </w:r>
      <w:r>
        <w:rPr>
          <w:rFonts w:ascii="仿宋_GB2312" w:hAnsi="仿宋_GB2312" w:eastAsia="仿宋_GB2312" w:cs="仿宋_GB2312"/>
          <w:sz w:val="28"/>
          <w:szCs w:val="28"/>
          <w:highlight w:val="none"/>
        </w:rPr>
        <w:t>记录：</w:t>
      </w:r>
    </w:p>
    <w:p w14:paraId="1D601145">
      <w:pPr>
        <w:pStyle w:val="33"/>
        <w:widowControl w:val="0"/>
        <w:ind w:firstLine="0" w:firstLineChars="0"/>
        <w:rPr>
          <w:rFonts w:hint="eastAsia"/>
          <w:highlight w:val="none"/>
        </w:rPr>
      </w:pPr>
      <w:r>
        <w:rPr>
          <w:rFonts w:hint="eastAsia"/>
          <w:highlight w:val="none"/>
        </w:rPr>
        <w:t>无痛化导尿技术操作记录</w:t>
      </w:r>
    </w:p>
    <w:tbl>
      <w:tblPr>
        <w:tblStyle w:val="18"/>
        <w:tblW w:w="90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0"/>
        <w:gridCol w:w="1800"/>
        <w:gridCol w:w="3045"/>
        <w:gridCol w:w="3434"/>
      </w:tblGrid>
      <w:tr w14:paraId="51F67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0" w:type="dxa"/>
            <w:vAlign w:val="center"/>
          </w:tcPr>
          <w:p w14:paraId="5175218B">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年份</w:t>
            </w:r>
          </w:p>
        </w:tc>
        <w:tc>
          <w:tcPr>
            <w:tcW w:w="1800" w:type="dxa"/>
            <w:vAlign w:val="center"/>
          </w:tcPr>
          <w:p w14:paraId="4E27A23A">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实际操作方法</w:t>
            </w:r>
          </w:p>
        </w:tc>
        <w:tc>
          <w:tcPr>
            <w:tcW w:w="3045" w:type="dxa"/>
            <w:vAlign w:val="center"/>
          </w:tcPr>
          <w:p w14:paraId="261A02BC">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操作效果</w:t>
            </w:r>
          </w:p>
        </w:tc>
        <w:tc>
          <w:tcPr>
            <w:tcW w:w="3434" w:type="dxa"/>
            <w:vAlign w:val="center"/>
          </w:tcPr>
          <w:p w14:paraId="7AFC5822">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核心指标的分析确定</w:t>
            </w:r>
          </w:p>
        </w:tc>
      </w:tr>
      <w:tr w14:paraId="433ED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780" w:type="dxa"/>
            <w:vAlign w:val="center"/>
          </w:tcPr>
          <w:p w14:paraId="1688A392">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2022</w:t>
            </w:r>
          </w:p>
        </w:tc>
        <w:tc>
          <w:tcPr>
            <w:tcW w:w="1800" w:type="dxa"/>
            <w:vAlign w:val="center"/>
          </w:tcPr>
          <w:p w14:paraId="088B8CF4">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按本标准的方法操作</w:t>
            </w:r>
          </w:p>
        </w:tc>
        <w:tc>
          <w:tcPr>
            <w:tcW w:w="3045" w:type="dxa"/>
            <w:vAlign w:val="center"/>
          </w:tcPr>
          <w:p w14:paraId="24D4583F">
            <w:pPr>
              <w:pStyle w:val="33"/>
              <w:widowControl w:val="0"/>
              <w:spacing w:before="0" w:beforeLines="0" w:after="0" w:afterLines="0" w:line="240" w:lineRule="auto"/>
              <w:ind w:firstLine="240" w:firstLineChars="100"/>
              <w:jc w:val="both"/>
              <w:rPr>
                <w:rFonts w:ascii="仿宋_GB2312" w:hAnsi="Calibri" w:eastAsia="仿宋_GB2312" w:cs="仿宋"/>
              </w:rPr>
            </w:pPr>
            <w:r>
              <w:rPr>
                <w:rFonts w:ascii="仿宋_GB2312" w:hAnsi="Calibri" w:eastAsia="仿宋_GB2312" w:cs="仿宋"/>
              </w:rPr>
              <w:t>共完成</w:t>
            </w:r>
            <w:r>
              <w:rPr>
                <w:rFonts w:hint="eastAsia" w:ascii="仿宋_GB2312" w:hAnsi="Calibri" w:eastAsia="仿宋_GB2312" w:cs="仿宋"/>
              </w:rPr>
              <w:t>320</w:t>
            </w:r>
            <w:r>
              <w:rPr>
                <w:rFonts w:ascii="仿宋_GB2312" w:hAnsi="Calibri" w:eastAsia="仿宋_GB2312" w:cs="仿宋"/>
              </w:rPr>
              <w:t>例，操作成功</w:t>
            </w:r>
            <w:r>
              <w:rPr>
                <w:rFonts w:hint="eastAsia" w:ascii="仿宋_GB2312" w:hAnsi="Calibri" w:eastAsia="仿宋_GB2312" w:cs="仿宋"/>
              </w:rPr>
              <w:t>306</w:t>
            </w:r>
            <w:r>
              <w:rPr>
                <w:rFonts w:ascii="仿宋_GB2312" w:hAnsi="Calibri" w:eastAsia="仿宋_GB2312" w:cs="仿宋"/>
              </w:rPr>
              <w:t>例，成功率</w:t>
            </w:r>
            <w:r>
              <w:rPr>
                <w:rFonts w:hint="eastAsia" w:ascii="仿宋_GB2312" w:hAnsi="Calibri" w:eastAsia="仿宋_GB2312" w:cs="仿宋"/>
              </w:rPr>
              <w:t>95.6</w:t>
            </w:r>
            <w:r>
              <w:rPr>
                <w:rFonts w:ascii="仿宋_GB2312" w:hAnsi="Calibri" w:eastAsia="仿宋_GB2312" w:cs="仿宋"/>
              </w:rPr>
              <w:t>%，患者疼痛控制满意率</w:t>
            </w:r>
            <w:r>
              <w:rPr>
                <w:rFonts w:hint="eastAsia" w:ascii="仿宋_GB2312" w:hAnsi="Calibri" w:eastAsia="仿宋_GB2312" w:cs="仿宋"/>
              </w:rPr>
              <w:t>88</w:t>
            </w:r>
            <w:r>
              <w:rPr>
                <w:rFonts w:ascii="仿宋_GB2312" w:hAnsi="Calibri" w:eastAsia="仿宋_GB2312" w:cs="仿宋"/>
              </w:rPr>
              <w:t>%，平均操作时间</w:t>
            </w:r>
            <w:r>
              <w:rPr>
                <w:rFonts w:hint="eastAsia" w:ascii="仿宋_GB2312" w:hAnsi="Calibri" w:eastAsia="仿宋_GB2312" w:cs="仿宋"/>
              </w:rPr>
              <w:t>8</w:t>
            </w:r>
            <w:r>
              <w:rPr>
                <w:rFonts w:ascii="仿宋_GB2312" w:hAnsi="Calibri" w:eastAsia="仿宋_GB2312" w:cs="仿宋"/>
              </w:rPr>
              <w:t>分钟，并发症发生率</w:t>
            </w:r>
            <w:r>
              <w:rPr>
                <w:rFonts w:hint="eastAsia" w:ascii="仿宋_GB2312" w:hAnsi="Calibri" w:eastAsia="仿宋_GB2312" w:cs="仿宋"/>
              </w:rPr>
              <w:t>0</w:t>
            </w:r>
            <w:r>
              <w:rPr>
                <w:rFonts w:ascii="仿宋_GB2312" w:hAnsi="Calibri" w:eastAsia="仿宋_GB2312" w:cs="仿宋"/>
              </w:rPr>
              <w:t>%。</w:t>
            </w:r>
          </w:p>
        </w:tc>
        <w:tc>
          <w:tcPr>
            <w:tcW w:w="3434" w:type="dxa"/>
            <w:vMerge w:val="restart"/>
            <w:vAlign w:val="center"/>
          </w:tcPr>
          <w:p w14:paraId="6D225FB6">
            <w:pPr>
              <w:pStyle w:val="33"/>
              <w:widowControl w:val="0"/>
              <w:spacing w:before="0" w:beforeLines="0" w:after="0" w:afterLines="0" w:line="240" w:lineRule="auto"/>
              <w:ind w:firstLine="240" w:firstLineChars="100"/>
              <w:jc w:val="both"/>
              <w:rPr>
                <w:rFonts w:hint="eastAsia" w:ascii="仿宋_GB2312" w:hAnsi="Calibri" w:eastAsia="仿宋_GB2312" w:cs="仿宋"/>
              </w:rPr>
            </w:pPr>
            <w:r>
              <w:rPr>
                <w:rFonts w:ascii="仿宋_GB2312" w:hAnsi="Calibri" w:eastAsia="仿宋_GB2312" w:cs="仿宋"/>
                <w:lang w:eastAsia="zh-CN"/>
              </w:rPr>
              <w:t>共完成</w:t>
            </w:r>
            <w:r>
              <w:rPr>
                <w:rFonts w:hint="eastAsia" w:ascii="仿宋_GB2312" w:hAnsi="Calibri" w:eastAsia="仿宋_GB2312" w:cs="仿宋"/>
                <w:lang w:val="en-US" w:eastAsia="zh-CN"/>
              </w:rPr>
              <w:t>1148</w:t>
            </w:r>
            <w:r>
              <w:rPr>
                <w:rFonts w:ascii="仿宋_GB2312" w:hAnsi="Calibri" w:eastAsia="仿宋_GB2312" w:cs="仿宋"/>
                <w:lang w:val="en-US" w:eastAsia="zh-CN"/>
              </w:rPr>
              <w:t>例</w:t>
            </w:r>
            <w:r>
              <w:rPr>
                <w:rFonts w:hint="eastAsia" w:ascii="仿宋_GB2312" w:hAnsi="Calibri" w:eastAsia="仿宋_GB2312" w:cs="仿宋"/>
                <w:lang w:val="en-US" w:eastAsia="zh-CN"/>
              </w:rPr>
              <w:t>，患者</w:t>
            </w:r>
            <w:r>
              <w:rPr>
                <w:rFonts w:ascii="仿宋_GB2312" w:hAnsi="Calibri" w:eastAsia="仿宋_GB2312" w:cs="仿宋"/>
                <w:lang w:val="en-US" w:eastAsia="zh-CN"/>
              </w:rPr>
              <w:t>置管时疼痛发生率由48.3%降至9.2%，留置期间由35.0%降至8.3%，拔管时由56.7%降至8.3%；患者总体满意度从60%大幅提升至</w:t>
            </w:r>
            <w:r>
              <w:rPr>
                <w:rFonts w:hint="eastAsia" w:ascii="仿宋_GB2312" w:hAnsi="Calibri" w:eastAsia="仿宋_GB2312" w:cs="仿宋"/>
                <w:lang w:val="en-US" w:eastAsia="zh-CN"/>
              </w:rPr>
              <w:t>93</w:t>
            </w:r>
            <w:r>
              <w:rPr>
                <w:rFonts w:ascii="仿宋_GB2312" w:hAnsi="Calibri" w:eastAsia="仿宋_GB2312" w:cs="仿宋"/>
                <w:lang w:val="en-US" w:eastAsia="zh-CN"/>
              </w:rPr>
              <w:t>.3%。</w:t>
            </w:r>
          </w:p>
        </w:tc>
      </w:tr>
      <w:tr w14:paraId="3D5C4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Align w:val="center"/>
          </w:tcPr>
          <w:p w14:paraId="0D3096BD">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2023</w:t>
            </w:r>
          </w:p>
        </w:tc>
        <w:tc>
          <w:tcPr>
            <w:tcW w:w="1800" w:type="dxa"/>
            <w:vAlign w:val="center"/>
          </w:tcPr>
          <w:p w14:paraId="189E2E91">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按本标准的方法操作</w:t>
            </w:r>
          </w:p>
        </w:tc>
        <w:tc>
          <w:tcPr>
            <w:tcW w:w="3045" w:type="dxa"/>
            <w:vAlign w:val="center"/>
          </w:tcPr>
          <w:p w14:paraId="4A3E799E">
            <w:pPr>
              <w:pStyle w:val="33"/>
              <w:widowControl w:val="0"/>
              <w:spacing w:before="0" w:beforeLines="0" w:after="0" w:afterLines="0" w:line="240" w:lineRule="auto"/>
              <w:ind w:firstLine="240" w:firstLineChars="100"/>
              <w:jc w:val="both"/>
              <w:rPr>
                <w:rFonts w:ascii="仿宋_GB2312" w:hAnsi="Calibri" w:eastAsia="仿宋_GB2312" w:cs="仿宋"/>
              </w:rPr>
            </w:pPr>
            <w:r>
              <w:rPr>
                <w:rFonts w:ascii="仿宋_GB2312" w:hAnsi="Calibri" w:eastAsia="仿宋_GB2312" w:cs="仿宋"/>
              </w:rPr>
              <w:t>共完成</w:t>
            </w:r>
            <w:r>
              <w:rPr>
                <w:rFonts w:hint="eastAsia" w:ascii="仿宋_GB2312" w:hAnsi="Calibri" w:eastAsia="仿宋_GB2312" w:cs="仿宋"/>
              </w:rPr>
              <w:t>3</w:t>
            </w:r>
            <w:r>
              <w:rPr>
                <w:rFonts w:hint="eastAsia" w:ascii="仿宋_GB2312" w:hAnsi="Calibri" w:eastAsia="仿宋_GB2312" w:cs="仿宋"/>
                <w:lang w:val="en-US" w:eastAsia="zh-CN"/>
              </w:rPr>
              <w:t>18</w:t>
            </w:r>
            <w:r>
              <w:rPr>
                <w:rFonts w:ascii="仿宋_GB2312" w:hAnsi="Calibri" w:eastAsia="仿宋_GB2312" w:cs="仿宋"/>
              </w:rPr>
              <w:t>例，操作成功</w:t>
            </w:r>
            <w:r>
              <w:rPr>
                <w:rFonts w:hint="eastAsia" w:ascii="仿宋_GB2312" w:hAnsi="Calibri" w:eastAsia="仿宋_GB2312" w:cs="仿宋"/>
              </w:rPr>
              <w:t>3</w:t>
            </w:r>
            <w:r>
              <w:rPr>
                <w:rFonts w:hint="eastAsia" w:ascii="仿宋_GB2312" w:hAnsi="Calibri" w:eastAsia="仿宋_GB2312" w:cs="仿宋"/>
                <w:lang w:val="en-US" w:eastAsia="zh-CN"/>
              </w:rPr>
              <w:t>12</w:t>
            </w:r>
            <w:r>
              <w:rPr>
                <w:rFonts w:ascii="仿宋_GB2312" w:hAnsi="Calibri" w:eastAsia="仿宋_GB2312" w:cs="仿宋"/>
              </w:rPr>
              <w:t>例，成功率</w:t>
            </w:r>
            <w:r>
              <w:rPr>
                <w:rFonts w:hint="eastAsia" w:ascii="仿宋_GB2312" w:hAnsi="Calibri" w:eastAsia="仿宋_GB2312" w:cs="仿宋"/>
              </w:rPr>
              <w:t>9</w:t>
            </w:r>
            <w:r>
              <w:rPr>
                <w:rFonts w:hint="eastAsia" w:ascii="仿宋_GB2312" w:hAnsi="Calibri" w:eastAsia="仿宋_GB2312" w:cs="仿宋"/>
                <w:lang w:val="en-US" w:eastAsia="zh-CN"/>
              </w:rPr>
              <w:t>8.1</w:t>
            </w:r>
            <w:r>
              <w:rPr>
                <w:rFonts w:ascii="仿宋_GB2312" w:hAnsi="Calibri" w:eastAsia="仿宋_GB2312" w:cs="仿宋"/>
              </w:rPr>
              <w:t>%，患者疼痛控制满意率</w:t>
            </w:r>
            <w:r>
              <w:rPr>
                <w:rFonts w:hint="eastAsia" w:ascii="仿宋_GB2312" w:hAnsi="Calibri" w:eastAsia="仿宋_GB2312" w:cs="仿宋"/>
                <w:lang w:val="en-US" w:eastAsia="zh-CN"/>
              </w:rPr>
              <w:t>90</w:t>
            </w:r>
            <w:r>
              <w:rPr>
                <w:rFonts w:ascii="仿宋_GB2312" w:hAnsi="Calibri" w:eastAsia="仿宋_GB2312" w:cs="仿宋"/>
              </w:rPr>
              <w:t>%，平均操作时间</w:t>
            </w:r>
            <w:r>
              <w:rPr>
                <w:rFonts w:hint="eastAsia" w:ascii="仿宋_GB2312" w:hAnsi="Calibri" w:eastAsia="仿宋_GB2312" w:cs="仿宋"/>
              </w:rPr>
              <w:t>8</w:t>
            </w:r>
            <w:r>
              <w:rPr>
                <w:rFonts w:ascii="仿宋_GB2312" w:hAnsi="Calibri" w:eastAsia="仿宋_GB2312" w:cs="仿宋"/>
              </w:rPr>
              <w:t>分钟，并发症发发生率</w:t>
            </w:r>
            <w:r>
              <w:rPr>
                <w:rFonts w:hint="eastAsia" w:ascii="仿宋_GB2312" w:hAnsi="Calibri" w:eastAsia="仿宋_GB2312" w:cs="仿宋"/>
              </w:rPr>
              <w:t>0</w:t>
            </w:r>
            <w:r>
              <w:rPr>
                <w:rFonts w:ascii="仿宋_GB2312" w:hAnsi="Calibri" w:eastAsia="仿宋_GB2312" w:cs="仿宋"/>
              </w:rPr>
              <w:t>%。</w:t>
            </w:r>
          </w:p>
        </w:tc>
        <w:tc>
          <w:tcPr>
            <w:tcW w:w="3434" w:type="dxa"/>
            <w:vMerge w:val="continue"/>
            <w:vAlign w:val="center"/>
          </w:tcPr>
          <w:p w14:paraId="2E522271">
            <w:pPr>
              <w:pStyle w:val="33"/>
              <w:widowControl w:val="0"/>
              <w:spacing w:before="0" w:beforeLines="0" w:after="0" w:afterLines="0" w:line="240" w:lineRule="auto"/>
              <w:ind w:firstLine="240" w:firstLineChars="100"/>
              <w:jc w:val="both"/>
              <w:rPr>
                <w:rFonts w:hint="eastAsia" w:ascii="仿宋_GB2312" w:hAnsi="Calibri" w:eastAsia="仿宋_GB2312" w:cs="仿宋"/>
              </w:rPr>
            </w:pPr>
          </w:p>
        </w:tc>
      </w:tr>
      <w:tr w14:paraId="52F24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780" w:type="dxa"/>
            <w:vAlign w:val="center"/>
          </w:tcPr>
          <w:p w14:paraId="39BCDDB4">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2024</w:t>
            </w:r>
          </w:p>
        </w:tc>
        <w:tc>
          <w:tcPr>
            <w:tcW w:w="1800" w:type="dxa"/>
            <w:vAlign w:val="center"/>
          </w:tcPr>
          <w:p w14:paraId="0E52ED1C">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按本标准的方法操作</w:t>
            </w:r>
          </w:p>
        </w:tc>
        <w:tc>
          <w:tcPr>
            <w:tcW w:w="3045" w:type="dxa"/>
            <w:vAlign w:val="center"/>
          </w:tcPr>
          <w:p w14:paraId="05F00414">
            <w:pPr>
              <w:pStyle w:val="33"/>
              <w:widowControl w:val="0"/>
              <w:spacing w:before="0" w:beforeLines="0" w:after="0" w:afterLines="0" w:line="240" w:lineRule="auto"/>
              <w:ind w:firstLine="240" w:firstLineChars="100"/>
              <w:jc w:val="both"/>
              <w:rPr>
                <w:rFonts w:ascii="仿宋_GB2312" w:hAnsi="Calibri" w:eastAsia="仿宋_GB2312" w:cs="仿宋"/>
              </w:rPr>
            </w:pPr>
            <w:r>
              <w:rPr>
                <w:rFonts w:ascii="仿宋_GB2312" w:hAnsi="Calibri" w:eastAsia="仿宋_GB2312" w:cs="仿宋"/>
              </w:rPr>
              <w:t>共完成</w:t>
            </w:r>
            <w:r>
              <w:rPr>
                <w:rFonts w:hint="eastAsia" w:ascii="仿宋_GB2312" w:hAnsi="Calibri" w:eastAsia="仿宋_GB2312" w:cs="仿宋"/>
                <w:lang w:val="en-US" w:eastAsia="zh-CN"/>
              </w:rPr>
              <w:t>218</w:t>
            </w:r>
            <w:r>
              <w:rPr>
                <w:rFonts w:ascii="仿宋_GB2312" w:hAnsi="Calibri" w:eastAsia="仿宋_GB2312" w:cs="仿宋"/>
              </w:rPr>
              <w:t>例，操作成功</w:t>
            </w:r>
            <w:r>
              <w:rPr>
                <w:rFonts w:hint="eastAsia" w:ascii="仿宋_GB2312" w:hAnsi="Calibri" w:eastAsia="仿宋_GB2312" w:cs="仿宋"/>
                <w:lang w:val="en-US" w:eastAsia="zh-CN"/>
              </w:rPr>
              <w:t>210</w:t>
            </w:r>
            <w:r>
              <w:rPr>
                <w:rFonts w:ascii="仿宋_GB2312" w:hAnsi="Calibri" w:eastAsia="仿宋_GB2312" w:cs="仿宋"/>
              </w:rPr>
              <w:t>例，成功率</w:t>
            </w:r>
            <w:r>
              <w:rPr>
                <w:rFonts w:hint="eastAsia" w:ascii="仿宋_GB2312" w:hAnsi="Calibri" w:eastAsia="仿宋_GB2312" w:cs="仿宋"/>
                <w:lang w:val="en-US" w:eastAsia="zh-CN"/>
              </w:rPr>
              <w:t>96.3</w:t>
            </w:r>
            <w:r>
              <w:rPr>
                <w:rFonts w:ascii="仿宋_GB2312" w:hAnsi="Calibri" w:eastAsia="仿宋_GB2312" w:cs="仿宋"/>
              </w:rPr>
              <w:t>%，患者疼痛控制满意率</w:t>
            </w:r>
            <w:r>
              <w:rPr>
                <w:rFonts w:hint="eastAsia" w:ascii="仿宋_GB2312" w:hAnsi="Calibri" w:eastAsia="仿宋_GB2312" w:cs="仿宋"/>
                <w:lang w:val="en-US" w:eastAsia="zh-CN"/>
              </w:rPr>
              <w:t>91</w:t>
            </w:r>
            <w:r>
              <w:rPr>
                <w:rFonts w:ascii="仿宋_GB2312" w:hAnsi="Calibri" w:eastAsia="仿宋_GB2312" w:cs="仿宋"/>
              </w:rPr>
              <w:t>%，平均操作时间</w:t>
            </w:r>
            <w:r>
              <w:rPr>
                <w:rFonts w:hint="eastAsia" w:ascii="仿宋_GB2312" w:hAnsi="Calibri" w:eastAsia="仿宋_GB2312" w:cs="仿宋"/>
                <w:lang w:val="en-US" w:eastAsia="zh-CN"/>
              </w:rPr>
              <w:t>7</w:t>
            </w:r>
            <w:r>
              <w:rPr>
                <w:rFonts w:ascii="仿宋_GB2312" w:hAnsi="Calibri" w:eastAsia="仿宋_GB2312" w:cs="仿宋"/>
              </w:rPr>
              <w:t>分钟，并发症发发生率</w:t>
            </w:r>
            <w:r>
              <w:rPr>
                <w:rFonts w:hint="eastAsia" w:ascii="仿宋_GB2312" w:hAnsi="Calibri" w:eastAsia="仿宋_GB2312" w:cs="仿宋"/>
              </w:rPr>
              <w:t>0</w:t>
            </w:r>
            <w:r>
              <w:rPr>
                <w:rFonts w:ascii="仿宋_GB2312" w:hAnsi="Calibri" w:eastAsia="仿宋_GB2312" w:cs="仿宋"/>
              </w:rPr>
              <w:t>%。</w:t>
            </w:r>
          </w:p>
        </w:tc>
        <w:tc>
          <w:tcPr>
            <w:tcW w:w="3434" w:type="dxa"/>
            <w:vMerge w:val="continue"/>
            <w:vAlign w:val="center"/>
          </w:tcPr>
          <w:p w14:paraId="7A39CB18">
            <w:pPr>
              <w:pStyle w:val="33"/>
              <w:widowControl w:val="0"/>
              <w:spacing w:before="0" w:beforeLines="0" w:after="0" w:afterLines="0" w:line="240" w:lineRule="auto"/>
              <w:ind w:firstLine="240" w:firstLineChars="100"/>
              <w:jc w:val="both"/>
              <w:rPr>
                <w:rFonts w:hint="eastAsia" w:ascii="仿宋_GB2312" w:hAnsi="Calibri" w:eastAsia="仿宋_GB2312" w:cs="仿宋"/>
              </w:rPr>
            </w:pPr>
          </w:p>
        </w:tc>
      </w:tr>
      <w:tr w14:paraId="341DDA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Align w:val="center"/>
          </w:tcPr>
          <w:p w14:paraId="3337FC90">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2025</w:t>
            </w:r>
          </w:p>
        </w:tc>
        <w:tc>
          <w:tcPr>
            <w:tcW w:w="1800" w:type="dxa"/>
            <w:vAlign w:val="center"/>
          </w:tcPr>
          <w:p w14:paraId="5159D413">
            <w:pPr>
              <w:pStyle w:val="33"/>
              <w:widowControl w:val="0"/>
              <w:spacing w:before="0" w:beforeLines="0" w:after="0" w:afterLines="0" w:line="240" w:lineRule="auto"/>
              <w:ind w:firstLine="0" w:firstLineChars="0"/>
              <w:rPr>
                <w:rFonts w:hint="eastAsia" w:ascii="仿宋_GB2312" w:eastAsia="仿宋_GB2312" w:cs="仿宋"/>
              </w:rPr>
            </w:pPr>
            <w:r>
              <w:rPr>
                <w:rFonts w:hint="eastAsia" w:ascii="仿宋_GB2312" w:eastAsia="仿宋_GB2312" w:cs="仿宋"/>
              </w:rPr>
              <w:t>按本标准的方法操作</w:t>
            </w:r>
          </w:p>
        </w:tc>
        <w:tc>
          <w:tcPr>
            <w:tcW w:w="3045" w:type="dxa"/>
            <w:vAlign w:val="center"/>
          </w:tcPr>
          <w:p w14:paraId="1CEE100C">
            <w:pPr>
              <w:pStyle w:val="33"/>
              <w:widowControl w:val="0"/>
              <w:spacing w:before="0" w:beforeLines="0" w:after="0" w:afterLines="0" w:line="240" w:lineRule="auto"/>
              <w:ind w:firstLine="240" w:firstLineChars="100"/>
              <w:jc w:val="both"/>
              <w:rPr>
                <w:rFonts w:ascii="仿宋_GB2312" w:hAnsi="Calibri" w:eastAsia="仿宋_GB2312" w:cs="仿宋"/>
              </w:rPr>
            </w:pPr>
            <w:r>
              <w:rPr>
                <w:rFonts w:ascii="仿宋_GB2312" w:hAnsi="Calibri" w:eastAsia="仿宋_GB2312" w:cs="仿宋"/>
              </w:rPr>
              <w:t>共完成</w:t>
            </w:r>
            <w:r>
              <w:rPr>
                <w:rFonts w:hint="eastAsia" w:ascii="仿宋_GB2312" w:hAnsi="Calibri" w:eastAsia="仿宋_GB2312" w:cs="仿宋"/>
                <w:lang w:val="en-US" w:eastAsia="zh-CN"/>
              </w:rPr>
              <w:t>292</w:t>
            </w:r>
            <w:r>
              <w:rPr>
                <w:rFonts w:ascii="仿宋_GB2312" w:hAnsi="Calibri" w:eastAsia="仿宋_GB2312" w:cs="仿宋"/>
              </w:rPr>
              <w:t>例，操作成功</w:t>
            </w:r>
            <w:r>
              <w:rPr>
                <w:rFonts w:hint="eastAsia" w:ascii="仿宋_GB2312" w:hAnsi="Calibri" w:eastAsia="仿宋_GB2312" w:cs="仿宋"/>
                <w:lang w:val="en-US" w:eastAsia="zh-CN"/>
              </w:rPr>
              <w:t>292</w:t>
            </w:r>
            <w:r>
              <w:rPr>
                <w:rFonts w:ascii="仿宋_GB2312" w:hAnsi="Calibri" w:eastAsia="仿宋_GB2312" w:cs="仿宋"/>
              </w:rPr>
              <w:t>例，成功率</w:t>
            </w:r>
            <w:r>
              <w:rPr>
                <w:rFonts w:hint="eastAsia" w:ascii="仿宋_GB2312" w:hAnsi="Calibri" w:eastAsia="仿宋_GB2312" w:cs="仿宋"/>
                <w:lang w:val="en-US" w:eastAsia="zh-CN"/>
              </w:rPr>
              <w:t>100</w:t>
            </w:r>
            <w:r>
              <w:rPr>
                <w:rFonts w:ascii="仿宋_GB2312" w:hAnsi="Calibri" w:eastAsia="仿宋_GB2312" w:cs="仿宋"/>
              </w:rPr>
              <w:t>%，患者疼痛控制满意率</w:t>
            </w:r>
            <w:r>
              <w:rPr>
                <w:rFonts w:hint="eastAsia" w:ascii="仿宋_GB2312" w:hAnsi="Calibri" w:eastAsia="仿宋_GB2312" w:cs="仿宋"/>
                <w:lang w:val="en-US" w:eastAsia="zh-CN"/>
              </w:rPr>
              <w:t>90</w:t>
            </w:r>
            <w:r>
              <w:rPr>
                <w:rFonts w:ascii="仿宋_GB2312" w:hAnsi="Calibri" w:eastAsia="仿宋_GB2312" w:cs="仿宋"/>
              </w:rPr>
              <w:t>%，平均操作时间</w:t>
            </w:r>
            <w:r>
              <w:rPr>
                <w:rFonts w:hint="eastAsia" w:ascii="仿宋_GB2312" w:hAnsi="Calibri" w:eastAsia="仿宋_GB2312" w:cs="仿宋"/>
                <w:lang w:val="en-US" w:eastAsia="zh-CN"/>
              </w:rPr>
              <w:t>7</w:t>
            </w:r>
            <w:r>
              <w:rPr>
                <w:rFonts w:ascii="仿宋_GB2312" w:hAnsi="Calibri" w:eastAsia="仿宋_GB2312" w:cs="仿宋"/>
              </w:rPr>
              <w:t>分钟，并发症发生率</w:t>
            </w:r>
            <w:r>
              <w:rPr>
                <w:rFonts w:hint="eastAsia" w:ascii="仿宋_GB2312" w:hAnsi="Calibri" w:eastAsia="仿宋_GB2312" w:cs="仿宋"/>
              </w:rPr>
              <w:t>0</w:t>
            </w:r>
            <w:r>
              <w:rPr>
                <w:rFonts w:ascii="仿宋_GB2312" w:hAnsi="Calibri" w:eastAsia="仿宋_GB2312" w:cs="仿宋"/>
              </w:rPr>
              <w:t>%。</w:t>
            </w:r>
          </w:p>
        </w:tc>
        <w:tc>
          <w:tcPr>
            <w:tcW w:w="3434" w:type="dxa"/>
            <w:vMerge w:val="continue"/>
            <w:vAlign w:val="center"/>
          </w:tcPr>
          <w:p w14:paraId="140836F9">
            <w:pPr>
              <w:pStyle w:val="33"/>
              <w:widowControl w:val="0"/>
              <w:spacing w:before="0" w:beforeLines="0" w:after="0" w:afterLines="0" w:line="240" w:lineRule="auto"/>
              <w:ind w:firstLine="240" w:firstLineChars="100"/>
              <w:jc w:val="both"/>
              <w:rPr>
                <w:rFonts w:hint="eastAsia" w:ascii="仿宋_GB2312" w:hAnsi="Calibri" w:eastAsia="仿宋_GB2312" w:cs="仿宋"/>
              </w:rPr>
            </w:pPr>
          </w:p>
        </w:tc>
      </w:tr>
    </w:tbl>
    <w:p w14:paraId="3862240E">
      <w:pPr>
        <w:pStyle w:val="33"/>
        <w:spacing w:before="0" w:beforeLines="0" w:after="0" w:afterLines="0"/>
        <w:ind w:firstLine="560"/>
        <w:jc w:val="both"/>
        <w:rPr>
          <w:rFonts w:hint="eastAsia" w:ascii="仿宋_GB2312" w:hAnsi="仿宋_GB2312" w:eastAsia="仿宋_GB2312" w:cs="仿宋_GB2312"/>
          <w:sz w:val="28"/>
          <w:szCs w:val="28"/>
          <w:highlight w:val="yellow"/>
        </w:rPr>
      </w:pPr>
    </w:p>
    <w:p w14:paraId="09C05AAD">
      <w:pPr>
        <w:pStyle w:val="33"/>
        <w:spacing w:before="0" w:beforeLines="0" w:after="0" w:afterLines="0"/>
        <w:ind w:firstLine="560"/>
        <w:jc w:val="both"/>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根据2022年至2025年</w:t>
      </w:r>
      <w:bookmarkStart w:id="7" w:name="_GoBack"/>
      <w:bookmarkEnd w:id="7"/>
      <w:r>
        <w:rPr>
          <w:rFonts w:hint="eastAsia" w:ascii="仿宋_GB2312" w:hAnsi="仿宋_GB2312" w:eastAsia="仿宋_GB2312" w:cs="仿宋_GB2312"/>
          <w:sz w:val="28"/>
          <w:szCs w:val="28"/>
          <w:highlight w:val="none"/>
        </w:rPr>
        <w:t>临床数据，采用</w:t>
      </w:r>
      <w:r>
        <w:rPr>
          <w:rFonts w:hint="eastAsia" w:ascii="仿宋_GB2312" w:hAnsi="仿宋_GB2312" w:eastAsia="仿宋_GB2312" w:cs="仿宋_GB2312"/>
          <w:sz w:val="28"/>
          <w:szCs w:val="28"/>
          <w:highlight w:val="none"/>
          <w:lang w:eastAsia="zh-CN"/>
        </w:rPr>
        <w:t>本标准</w:t>
      </w:r>
      <w:r>
        <w:rPr>
          <w:rFonts w:hint="eastAsia" w:ascii="仿宋_GB2312" w:hAnsi="仿宋_GB2312" w:eastAsia="仿宋_GB2312" w:cs="仿宋_GB2312"/>
          <w:sz w:val="28"/>
          <w:szCs w:val="28"/>
          <w:highlight w:val="none"/>
        </w:rPr>
        <w:t>所规范的无痛化导尿技术后，导尿操作成功率稳定在95.6%以上，患者置管、留置及拔管期间的疼痛发生率均显著下降（从35.0%-56.7%降至8.3%-9.2%），总体满意度由60%提升至93.3%。这表明</w:t>
      </w:r>
      <w:r>
        <w:rPr>
          <w:rFonts w:hint="eastAsia" w:ascii="仿宋_GB2312" w:hAnsi="仿宋_GB2312" w:eastAsia="仿宋_GB2312" w:cs="仿宋_GB2312"/>
          <w:sz w:val="28"/>
          <w:szCs w:val="28"/>
          <w:highlight w:val="none"/>
          <w:lang w:eastAsia="zh-CN"/>
        </w:rPr>
        <w:t>本标准的无痛化导尿技术</w:t>
      </w:r>
      <w:r>
        <w:rPr>
          <w:rFonts w:hint="eastAsia" w:ascii="仿宋_GB2312" w:hAnsi="仿宋_GB2312" w:eastAsia="仿宋_GB2312" w:cs="仿宋_GB2312"/>
          <w:sz w:val="28"/>
          <w:szCs w:val="28"/>
          <w:highlight w:val="none"/>
        </w:rPr>
        <w:t>能有效控制疼痛，提升操作安全性与患者体验，为标准的制定提供了充分的临床可行性依据。</w:t>
      </w:r>
    </w:p>
    <w:p w14:paraId="028E2962">
      <w:pPr>
        <w:pStyle w:val="35"/>
        <w:numPr>
          <w:ilvl w:val="0"/>
          <w:numId w:val="0"/>
        </w:numPr>
        <w:spacing w:beforeLines="0" w:afterLines="0" w:line="360" w:lineRule="auto"/>
        <w:ind w:firstLine="643" w:firstLineChars="200"/>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22D64695">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本标准研制过程中无重大分歧意见。</w:t>
      </w:r>
    </w:p>
    <w:p w14:paraId="115E7B88">
      <w:pPr>
        <w:autoSpaceDE w:val="0"/>
        <w:autoSpaceDN w:val="0"/>
        <w:adjustRightInd w:val="0"/>
        <w:spacing w:before="156" w:beforeLines="50" w:after="156" w:afterLines="50" w:line="520" w:lineRule="exact"/>
        <w:ind w:firstLine="640" w:firstLineChars="200"/>
        <w:outlineLvl w:val="0"/>
        <w:rPr>
          <w:rFonts w:eastAsia="黑体"/>
          <w:sz w:val="32"/>
          <w:szCs w:val="32"/>
        </w:rPr>
      </w:pPr>
      <w:r>
        <w:rPr>
          <w:rFonts w:hint="eastAsia" w:ascii="黑体" w:eastAsia="黑体"/>
          <w:bCs/>
          <w:sz w:val="32"/>
          <w:szCs w:val="32"/>
        </w:rPr>
        <w:t>七、</w:t>
      </w:r>
      <w:r>
        <w:rPr>
          <w:rFonts w:hint="eastAsia" w:eastAsia="黑体"/>
          <w:sz w:val="32"/>
          <w:szCs w:val="32"/>
        </w:rPr>
        <w:t>实施标准的措施</w:t>
      </w:r>
    </w:p>
    <w:p w14:paraId="70B5B9C4">
      <w:pPr>
        <w:spacing w:line="50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（一）标准报批发布后，成立标准宣贯工作组</w:t>
      </w:r>
    </w:p>
    <w:p w14:paraId="06A4783C">
      <w:pPr>
        <w:spacing w:line="500" w:lineRule="exact"/>
        <w:ind w:firstLine="560" w:firstLineChars="200"/>
        <w:rPr>
          <w:rFonts w:ascii="仿宋_GB2312" w:eastAsia="仿宋_GB2312"/>
          <w:sz w:val="28"/>
          <w:szCs w:val="28"/>
        </w:rPr>
      </w:pPr>
      <w:r>
        <w:rPr>
          <w:rFonts w:hint="eastAsia" w:ascii="仿宋_GB2312" w:eastAsia="仿宋_GB2312"/>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A55C27">
      <w:pPr>
        <w:spacing w:line="500" w:lineRule="exact"/>
        <w:ind w:firstLine="562" w:firstLineChars="200"/>
        <w:rPr>
          <w:rFonts w:ascii="仿宋_GB2312" w:eastAsia="仿宋_GB2312"/>
          <w:b/>
          <w:sz w:val="28"/>
          <w:szCs w:val="28"/>
        </w:rPr>
      </w:pPr>
      <w:r>
        <w:rPr>
          <w:rFonts w:hint="eastAsia" w:ascii="仿宋_GB2312" w:eastAsia="仿宋_GB2312"/>
          <w:b/>
          <w:sz w:val="28"/>
          <w:szCs w:val="28"/>
        </w:rPr>
        <w:t>（二）组织开展标准宣贯培训</w:t>
      </w:r>
    </w:p>
    <w:p w14:paraId="58CD3383">
      <w:pPr>
        <w:spacing w:line="500" w:lineRule="exact"/>
        <w:ind w:firstLine="560" w:firstLineChars="200"/>
        <w:rPr>
          <w:rFonts w:ascii="仿宋_GB2312" w:eastAsia="仿宋_GB2312"/>
          <w:sz w:val="28"/>
          <w:szCs w:val="28"/>
        </w:rPr>
      </w:pPr>
      <w:r>
        <w:rPr>
          <w:rFonts w:hint="eastAsia" w:ascii="仿宋_GB2312" w:eastAsia="仿宋_GB2312"/>
          <w:sz w:val="28"/>
          <w:szCs w:val="28"/>
        </w:rPr>
        <w:t>标准发布实施后，标准宣贯工作小组制作标准解读宣贯培训PPT课件和标准核心技术明白书，并按标准宣贯培训计划深入各医疗相关机构，对相关人员开展标准宣贯培训，对标准进行逐条解读，让相关人员掌握标准核心技术内容，助力标准实施落地，推动无痛化导尿技术操作高质量发展。</w:t>
      </w:r>
    </w:p>
    <w:p w14:paraId="533DFF6E">
      <w:pPr>
        <w:spacing w:line="500" w:lineRule="exact"/>
        <w:ind w:firstLine="562" w:firstLineChars="200"/>
        <w:rPr>
          <w:rFonts w:ascii="仿宋_GB2312" w:eastAsia="仿宋_GB2312"/>
          <w:b/>
          <w:sz w:val="28"/>
          <w:szCs w:val="28"/>
        </w:rPr>
      </w:pPr>
      <w:r>
        <w:rPr>
          <w:rFonts w:hint="eastAsia" w:ascii="仿宋_GB2312" w:eastAsia="仿宋_GB2312"/>
          <w:b/>
          <w:sz w:val="28"/>
          <w:szCs w:val="28"/>
        </w:rPr>
        <w:t>（三）开展标准实施交流会，收集标准实施反馈信息</w:t>
      </w:r>
    </w:p>
    <w:p w14:paraId="0C7D0CCF">
      <w:pPr>
        <w:spacing w:line="500" w:lineRule="exact"/>
        <w:ind w:firstLine="560" w:firstLineChars="200"/>
        <w:rPr>
          <w:rFonts w:ascii="仿宋_GB2312" w:eastAsia="仿宋_GB2312"/>
          <w:sz w:val="28"/>
          <w:szCs w:val="28"/>
        </w:rPr>
      </w:pPr>
      <w:r>
        <w:rPr>
          <w:rFonts w:hint="eastAsia" w:ascii="仿宋_GB2312" w:eastAsia="仿宋_GB2312"/>
          <w:sz w:val="28"/>
          <w:szCs w:val="28"/>
        </w:rPr>
        <w:t>标准起草小组深入各医疗相关机构组织相关人员召开标准实施交流会，听取标准实施过程中存在的问题并做好记录和解答，对存在的问题组织专家团队进行研讨，为标准的复审修订做准备。</w:t>
      </w:r>
    </w:p>
    <w:p w14:paraId="34611F9E">
      <w:pPr>
        <w:spacing w:line="500" w:lineRule="exact"/>
        <w:ind w:firstLine="562" w:firstLineChars="200"/>
        <w:rPr>
          <w:rFonts w:ascii="仿宋_GB2312" w:eastAsia="仿宋_GB2312"/>
          <w:b/>
          <w:sz w:val="28"/>
          <w:szCs w:val="28"/>
        </w:rPr>
      </w:pPr>
      <w:r>
        <w:rPr>
          <w:rFonts w:hint="eastAsia" w:ascii="仿宋_GB2312" w:eastAsia="仿宋_GB2312"/>
          <w:b/>
          <w:sz w:val="28"/>
          <w:szCs w:val="28"/>
        </w:rPr>
        <w:t>（四）开展标准实施效果评估</w:t>
      </w:r>
    </w:p>
    <w:p w14:paraId="0D06AFA4">
      <w:pPr>
        <w:spacing w:line="500" w:lineRule="exact"/>
        <w:ind w:firstLine="560" w:firstLineChars="200"/>
        <w:rPr>
          <w:rFonts w:ascii="仿宋_GB2312" w:eastAsia="仿宋_GB2312"/>
          <w:sz w:val="28"/>
          <w:szCs w:val="28"/>
        </w:rPr>
      </w:pPr>
      <w:r>
        <w:rPr>
          <w:rFonts w:hint="eastAsia" w:ascii="仿宋_GB2312" w:eastAsia="仿宋_GB2312"/>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548CE5BE">
      <w:pPr>
        <w:spacing w:before="240" w:after="60" w:line="520" w:lineRule="exact"/>
        <w:ind w:firstLine="640" w:firstLineChars="200"/>
        <w:outlineLvl w:val="0"/>
        <w:rPr>
          <w:rFonts w:ascii="黑体" w:eastAsia="黑体"/>
          <w:bCs/>
          <w:sz w:val="32"/>
          <w:szCs w:val="32"/>
        </w:rPr>
      </w:pPr>
      <w:r>
        <w:rPr>
          <w:rFonts w:hint="eastAsia" w:ascii="黑体" w:eastAsia="黑体"/>
          <w:bCs/>
          <w:sz w:val="32"/>
          <w:szCs w:val="32"/>
        </w:rPr>
        <w:t>八、其他应当说明的事项</w:t>
      </w:r>
    </w:p>
    <w:p w14:paraId="3C568895">
      <w:pPr>
        <w:spacing w:line="520" w:lineRule="exact"/>
        <w:ind w:firstLine="560" w:firstLineChars="200"/>
        <w:rPr>
          <w:rFonts w:ascii="仿宋_GB2312" w:eastAsia="仿宋_GB2312"/>
          <w:sz w:val="28"/>
          <w:szCs w:val="28"/>
        </w:rPr>
      </w:pPr>
      <w:r>
        <w:rPr>
          <w:rFonts w:hint="eastAsia" w:ascii="仿宋_GB2312" w:eastAsia="仿宋_GB2312"/>
          <w:sz w:val="28"/>
          <w:szCs w:val="28"/>
        </w:rPr>
        <w:t>无。</w:t>
      </w:r>
    </w:p>
    <w:p w14:paraId="5EC29ECF">
      <w:pPr>
        <w:autoSpaceDE w:val="0"/>
        <w:autoSpaceDN w:val="0"/>
        <w:adjustRightInd w:val="0"/>
        <w:spacing w:before="156" w:beforeLines="50" w:after="156" w:afterLines="50" w:line="520" w:lineRule="exact"/>
        <w:ind w:firstLine="640"/>
        <w:outlineLvl w:val="0"/>
        <w:rPr>
          <w:rFonts w:eastAsia="黑体"/>
          <w:sz w:val="32"/>
          <w:szCs w:val="32"/>
        </w:rPr>
      </w:pPr>
      <w:r>
        <w:rPr>
          <w:rFonts w:hint="eastAsia" w:eastAsia="黑体"/>
          <w:sz w:val="32"/>
          <w:szCs w:val="32"/>
        </w:rPr>
        <w:t>九、自我承诺</w:t>
      </w:r>
    </w:p>
    <w:p w14:paraId="6B534D81">
      <w:pPr>
        <w:spacing w:line="520" w:lineRule="exact"/>
        <w:ind w:firstLine="560" w:firstLineChars="200"/>
        <w:rPr>
          <w:rFonts w:ascii="仿宋_GB2312" w:eastAsia="仿宋_GB2312"/>
          <w:sz w:val="28"/>
          <w:szCs w:val="28"/>
        </w:rPr>
      </w:pPr>
      <w:r>
        <w:rPr>
          <w:rFonts w:hint="eastAsia" w:ascii="仿宋_GB2312" w:eastAsia="仿宋_GB2312"/>
          <w:sz w:val="28"/>
          <w:szCs w:val="28"/>
        </w:rPr>
        <w:t>该标准的内容符合国家相关法律法规，技术要求不低于强制性国家标准的相关技术要求，与相关的国家、行业推荐性标准协调一致，标准的编写符合GB/T 1.1-2020的要求。</w:t>
      </w:r>
    </w:p>
    <w:p w14:paraId="75D133B0">
      <w:pPr>
        <w:pStyle w:val="26"/>
        <w:rPr>
          <w:rFonts w:ascii="仿宋_GB2312" w:eastAsia="仿宋_GB2312"/>
          <w:sz w:val="28"/>
          <w:szCs w:val="28"/>
        </w:rPr>
      </w:pPr>
    </w:p>
    <w:p w14:paraId="75B8E171">
      <w:pPr>
        <w:pStyle w:val="26"/>
        <w:rPr>
          <w:rFonts w:ascii="仿宋_GB2312" w:eastAsia="仿宋_GB2312"/>
          <w:sz w:val="28"/>
          <w:szCs w:val="28"/>
        </w:rPr>
      </w:pPr>
    </w:p>
    <w:p w14:paraId="50ADABA7">
      <w:pPr>
        <w:wordWrap w:val="0"/>
        <w:spacing w:before="240" w:after="60" w:line="520" w:lineRule="exact"/>
        <w:ind w:firstLine="2240" w:firstLineChars="800"/>
        <w:jc w:val="right"/>
        <w:outlineLvl w:val="0"/>
        <w:rPr>
          <w:rFonts w:hint="default" w:ascii="仿宋_GB2312" w:eastAsia="仿宋_GB2312"/>
          <w:sz w:val="28"/>
          <w:szCs w:val="28"/>
          <w:lang w:val="en-US" w:eastAsia="zh-CN"/>
        </w:rPr>
      </w:pPr>
      <w:r>
        <w:rPr>
          <w:rFonts w:hint="eastAsia" w:ascii="仿宋_GB2312" w:eastAsia="仿宋_GB2312"/>
          <w:sz w:val="28"/>
          <w:szCs w:val="28"/>
        </w:rPr>
        <w:t>团体标准《无痛化导尿技术操作规范》</w:t>
      </w:r>
    </w:p>
    <w:p w14:paraId="319F0C65">
      <w:pPr>
        <w:wordWrap w:val="0"/>
        <w:spacing w:line="520" w:lineRule="exact"/>
        <w:ind w:right="1120"/>
        <w:jc w:val="right"/>
        <w:rPr>
          <w:rFonts w:hint="default" w:ascii="仿宋_GB2312" w:eastAsia="仿宋_GB2312"/>
          <w:sz w:val="28"/>
          <w:szCs w:val="28"/>
          <w:lang w:val="en-US" w:eastAsia="zh-CN"/>
        </w:rPr>
      </w:pPr>
      <w:r>
        <w:rPr>
          <w:rFonts w:hint="eastAsia" w:ascii="仿宋_GB2312" w:eastAsia="仿宋_GB2312"/>
          <w:sz w:val="28"/>
          <w:szCs w:val="28"/>
        </w:rPr>
        <w:t xml:space="preserve">                         标准编制工作组</w:t>
      </w:r>
      <w:r>
        <w:rPr>
          <w:rFonts w:hint="eastAsia" w:ascii="仿宋_GB2312" w:eastAsia="仿宋_GB2312"/>
          <w:sz w:val="28"/>
          <w:szCs w:val="28"/>
          <w:lang w:val="en-US" w:eastAsia="zh-CN"/>
        </w:rPr>
        <w:t xml:space="preserve">   </w:t>
      </w:r>
    </w:p>
    <w:p w14:paraId="04DA4BF9">
      <w:pPr>
        <w:wordWrap w:val="0"/>
        <w:spacing w:line="520" w:lineRule="exact"/>
        <w:ind w:firstLine="640" w:firstLineChars="200"/>
        <w:jc w:val="right"/>
        <w:rPr>
          <w:rFonts w:hint="default" w:ascii="仿宋_GB2312" w:eastAsia="仿宋_GB2312"/>
          <w:sz w:val="28"/>
          <w:szCs w:val="28"/>
          <w:lang w:val="en-US" w:eastAsia="zh-CN"/>
        </w:rPr>
      </w:pPr>
      <w:r>
        <w:rPr>
          <w:rFonts w:hint="eastAsia" w:ascii="仿宋_GB2312" w:eastAsia="仿宋_GB2312"/>
          <w:sz w:val="32"/>
          <w:szCs w:val="28"/>
        </w:rPr>
        <w:t xml:space="preserve">                         </w:t>
      </w:r>
      <w:r>
        <w:rPr>
          <w:rFonts w:hint="eastAsia" w:ascii="仿宋_GB2312" w:eastAsia="仿宋_GB2312"/>
          <w:sz w:val="28"/>
          <w:szCs w:val="28"/>
        </w:rPr>
        <w:t>2026年1月</w:t>
      </w:r>
      <w:r>
        <w:rPr>
          <w:rFonts w:hint="eastAsia" w:ascii="仿宋_GB2312" w:eastAsia="仿宋_GB2312"/>
          <w:sz w:val="28"/>
          <w:szCs w:val="28"/>
          <w:lang w:val="en-US" w:eastAsia="zh-CN"/>
        </w:rPr>
        <w:t>28</w:t>
      </w:r>
      <w:r>
        <w:rPr>
          <w:rFonts w:hint="eastAsia" w:ascii="仿宋_GB2312" w:eastAsia="仿宋_GB2312"/>
          <w:sz w:val="28"/>
          <w:szCs w:val="28"/>
        </w:rPr>
        <w:t>日</w:t>
      </w:r>
      <w:r>
        <w:rPr>
          <w:rFonts w:hint="eastAsia" w:ascii="仿宋_GB2312" w:eastAsia="仿宋_GB2312"/>
          <w:sz w:val="28"/>
          <w:szCs w:val="28"/>
          <w:lang w:val="en-US" w:eastAsia="zh-CN"/>
        </w:rPr>
        <w:t xml:space="preserve">          </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30CC7DD-3737-4308-8152-2E422A87C755}"/>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439A1253-5F93-4307-A871-8E20292F46D3}"/>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swiss"/>
    <w:pitch w:val="default"/>
    <w:sig w:usb0="80000287" w:usb1="280F3C52" w:usb2="00000016" w:usb3="00000000" w:csb0="0004001F" w:csb1="00000000"/>
    <w:embedRegular r:id="rId3" w:fontKey="{4EA0D94A-71A7-495D-A5DB-E2E1902CF63F}"/>
  </w:font>
  <w:font w:name="等线 Light">
    <w:altName w:val="宋体"/>
    <w:panose1 w:val="02010600030101010101"/>
    <w:charset w:val="86"/>
    <w:family w:val="auto"/>
    <w:pitch w:val="default"/>
    <w:sig w:usb0="00000000" w:usb1="00000000" w:usb2="00000016" w:usb3="00000000" w:csb0="0004000F" w:csb1="00000000"/>
  </w:font>
  <w:font w:name="方正小标宋简体">
    <w:panose1 w:val="03000509000000000000"/>
    <w:charset w:val="86"/>
    <w:family w:val="auto"/>
    <w:pitch w:val="default"/>
    <w:sig w:usb0="00000001" w:usb1="080E0000" w:usb2="00000000" w:usb3="00000000" w:csb0="00040000" w:csb1="00000000"/>
    <w:embedRegular r:id="rId4" w:fontKey="{445918FC-C743-4042-91B9-8069F456EDD4}"/>
  </w:font>
  <w:font w:name="仿宋_GB2312">
    <w:panose1 w:val="02010609030101010101"/>
    <w:charset w:val="86"/>
    <w:family w:val="modern"/>
    <w:pitch w:val="default"/>
    <w:sig w:usb0="00000001" w:usb1="080E0000" w:usb2="00000000" w:usb3="00000000" w:csb0="00040000" w:csb1="00000000"/>
    <w:embedRegular r:id="rId5" w:fontKey="{F459DDA5-A1C8-4349-ACF7-8A2990A6C3A9}"/>
  </w:font>
  <w:font w:name="仿宋">
    <w:panose1 w:val="02010609060101010101"/>
    <w:charset w:val="86"/>
    <w:family w:val="modern"/>
    <w:pitch w:val="default"/>
    <w:sig w:usb0="800002BF" w:usb1="38CF7CFA" w:usb2="00000016" w:usb3="00000000" w:csb0="00040001" w:csb1="00000000"/>
    <w:embedRegular r:id="rId6" w:fontKey="{9FD1A680-277A-4F6C-B5A0-C2DF1FA4E33B}"/>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77EA">
    <w:pPr>
      <w:pStyle w:val="10"/>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1EC7F906">
                          <w:pPr>
                            <w:pStyle w:val="1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1EC7F906">
                    <w:pPr>
                      <w:pStyle w:val="1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4"/>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60"/>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16E2ACE"/>
    <w:multiLevelType w:val="multilevel"/>
    <w:tmpl w:val="B16E2ACE"/>
    <w:lvl w:ilvl="0" w:tentative="0">
      <w:start w:val="1"/>
      <w:numFmt w:val="upperLetter"/>
      <w:suff w:val="nothing"/>
      <w:lvlText w:val="附录%1"/>
      <w:lvlJc w:val="left"/>
      <w:pPr>
        <w:ind w:left="0" w:firstLine="0"/>
      </w:pPr>
      <w:rPr>
        <w:spacing w:val="100"/>
      </w:rPr>
    </w:lvl>
    <w:lvl w:ilvl="1" w:tentative="0">
      <w:start w:val="1"/>
      <w:numFmt w:val="decimal"/>
      <w:pStyle w:val="65"/>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
    <w:nsid w:val="BA7B8511"/>
    <w:multiLevelType w:val="multilevel"/>
    <w:tmpl w:val="BA7B8511"/>
    <w:lvl w:ilvl="0" w:tentative="0">
      <w:start w:val="1"/>
      <w:numFmt w:val="decimal"/>
      <w:pStyle w:val="61"/>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4">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63"/>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8"/>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53"/>
      <w:lvlText w:val="%1)"/>
      <w:lvlJc w:val="left"/>
      <w:pPr>
        <w:tabs>
          <w:tab w:val="left" w:pos="851"/>
        </w:tabs>
        <w:ind w:left="851" w:hanging="426"/>
      </w:pPr>
      <w:rPr>
        <w:rFonts w:hint="eastAsia" w:ascii="宋体" w:hAnsi="Times New Roman" w:eastAsia="宋体"/>
        <w:sz w:val="21"/>
      </w:rPr>
    </w:lvl>
    <w:lvl w:ilvl="1" w:tentative="0">
      <w:start w:val="1"/>
      <w:numFmt w:val="decimal"/>
      <w:pStyle w:val="51"/>
      <w:lvlText w:val="%2)"/>
      <w:lvlJc w:val="left"/>
      <w:pPr>
        <w:tabs>
          <w:tab w:val="left" w:pos="1276"/>
        </w:tabs>
        <w:ind w:left="1276" w:hanging="425"/>
      </w:pPr>
      <w:rPr>
        <w:rFonts w:hint="eastAsia" w:ascii="宋体" w:hAnsi="Times New Roman" w:eastAsia="宋体"/>
        <w:sz w:val="21"/>
      </w:rPr>
    </w:lvl>
    <w:lvl w:ilvl="2" w:tentative="0">
      <w:start w:val="1"/>
      <w:numFmt w:val="decimal"/>
      <w:pStyle w:val="52"/>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41"/>
      <w:suff w:val="nothing"/>
      <w:lvlText w:val="%1"/>
      <w:legacy w:legacy="1" w:legacySpace="0" w:legacyIndent="0"/>
      <w:lvlJc w:val="left"/>
      <w:pPr>
        <w:ind w:left="0" w:firstLine="0"/>
      </w:pPr>
      <w:rPr>
        <w:rFonts w:hint="eastAsia"/>
      </w:rPr>
    </w:lvl>
    <w:lvl w:ilvl="1" w:tentative="0">
      <w:start w:val="1"/>
      <w:numFmt w:val="decimal"/>
      <w:pStyle w:val="35"/>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7"/>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3"/>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42"/>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40"/>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0"/>
  </w:num>
  <w:num w:numId="3">
    <w:abstractNumId w:val="6"/>
  </w:num>
  <w:num w:numId="4">
    <w:abstractNumId w:val="5"/>
  </w:num>
  <w:num w:numId="5">
    <w:abstractNumId w:val="8"/>
  </w:num>
  <w:num w:numId="6">
    <w:abstractNumId w:val="7"/>
  </w:num>
  <w:num w:numId="7">
    <w:abstractNumId w:val="1"/>
  </w:num>
  <w:num w:numId="8">
    <w:abstractNumId w:val="3"/>
  </w:num>
  <w:num w:numId="9">
    <w:abstractNumId w:val="4"/>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printFormsData/>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84B98"/>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286D"/>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175E4"/>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B246C"/>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13B5F16"/>
    <w:rsid w:val="023615AF"/>
    <w:rsid w:val="025E2D19"/>
    <w:rsid w:val="02614FC7"/>
    <w:rsid w:val="02DC2156"/>
    <w:rsid w:val="02E82811"/>
    <w:rsid w:val="030A6CC4"/>
    <w:rsid w:val="03614FBD"/>
    <w:rsid w:val="036C0D75"/>
    <w:rsid w:val="036E42DF"/>
    <w:rsid w:val="039B3DC0"/>
    <w:rsid w:val="03CC3F79"/>
    <w:rsid w:val="03FB03BA"/>
    <w:rsid w:val="04790F9B"/>
    <w:rsid w:val="04DA4474"/>
    <w:rsid w:val="04EC1DF7"/>
    <w:rsid w:val="057B7A05"/>
    <w:rsid w:val="05CD222A"/>
    <w:rsid w:val="05FD2B10"/>
    <w:rsid w:val="06084616"/>
    <w:rsid w:val="0619721E"/>
    <w:rsid w:val="06456265"/>
    <w:rsid w:val="06A9292B"/>
    <w:rsid w:val="06C54323"/>
    <w:rsid w:val="06F70C16"/>
    <w:rsid w:val="071B1228"/>
    <w:rsid w:val="074B78AB"/>
    <w:rsid w:val="079E32F9"/>
    <w:rsid w:val="07BE53C7"/>
    <w:rsid w:val="07E8334B"/>
    <w:rsid w:val="085454AC"/>
    <w:rsid w:val="086A1FB2"/>
    <w:rsid w:val="08892439"/>
    <w:rsid w:val="08EF7A39"/>
    <w:rsid w:val="095073FA"/>
    <w:rsid w:val="09C13E54"/>
    <w:rsid w:val="09EB05D3"/>
    <w:rsid w:val="0A530F50"/>
    <w:rsid w:val="0A5844F0"/>
    <w:rsid w:val="0AA132EE"/>
    <w:rsid w:val="0B3D750A"/>
    <w:rsid w:val="0B5A630E"/>
    <w:rsid w:val="0B927BA2"/>
    <w:rsid w:val="0BC74F47"/>
    <w:rsid w:val="0BE32369"/>
    <w:rsid w:val="0BFD70B9"/>
    <w:rsid w:val="0C4845D6"/>
    <w:rsid w:val="0C770416"/>
    <w:rsid w:val="0DB22432"/>
    <w:rsid w:val="0E1B0D4A"/>
    <w:rsid w:val="0EE41D10"/>
    <w:rsid w:val="10395851"/>
    <w:rsid w:val="10A125AF"/>
    <w:rsid w:val="10B547F0"/>
    <w:rsid w:val="10BF65F0"/>
    <w:rsid w:val="11186A50"/>
    <w:rsid w:val="11386E78"/>
    <w:rsid w:val="11B73ED3"/>
    <w:rsid w:val="121E62E8"/>
    <w:rsid w:val="12241424"/>
    <w:rsid w:val="12277661"/>
    <w:rsid w:val="12511EBC"/>
    <w:rsid w:val="12B66520"/>
    <w:rsid w:val="133D4C82"/>
    <w:rsid w:val="13D12EE6"/>
    <w:rsid w:val="13EE1CEA"/>
    <w:rsid w:val="13F37300"/>
    <w:rsid w:val="13FA2960"/>
    <w:rsid w:val="14700951"/>
    <w:rsid w:val="148154C9"/>
    <w:rsid w:val="151244E3"/>
    <w:rsid w:val="156F60AE"/>
    <w:rsid w:val="15DF0A75"/>
    <w:rsid w:val="16875DAB"/>
    <w:rsid w:val="169F0A74"/>
    <w:rsid w:val="16A11295"/>
    <w:rsid w:val="174D6D27"/>
    <w:rsid w:val="175400B6"/>
    <w:rsid w:val="17C675A6"/>
    <w:rsid w:val="17D631C0"/>
    <w:rsid w:val="18CE5C46"/>
    <w:rsid w:val="196F7429"/>
    <w:rsid w:val="199D0F89"/>
    <w:rsid w:val="19C77265"/>
    <w:rsid w:val="1A2024D1"/>
    <w:rsid w:val="1A2A2D28"/>
    <w:rsid w:val="1A514D80"/>
    <w:rsid w:val="1ABC0F82"/>
    <w:rsid w:val="1B9C64CF"/>
    <w:rsid w:val="1C0F4EF3"/>
    <w:rsid w:val="1C5B31CC"/>
    <w:rsid w:val="1C5E2638"/>
    <w:rsid w:val="1CAD7BD6"/>
    <w:rsid w:val="1CDC3027"/>
    <w:rsid w:val="1D2C4A21"/>
    <w:rsid w:val="1D4806BC"/>
    <w:rsid w:val="1D730335"/>
    <w:rsid w:val="1E6C7E3E"/>
    <w:rsid w:val="1E8C6387"/>
    <w:rsid w:val="1EEE7042"/>
    <w:rsid w:val="1EF0375A"/>
    <w:rsid w:val="1F436741"/>
    <w:rsid w:val="1FFA549F"/>
    <w:rsid w:val="20346CD6"/>
    <w:rsid w:val="206E043A"/>
    <w:rsid w:val="20B63B8F"/>
    <w:rsid w:val="20FB3F44"/>
    <w:rsid w:val="211200FF"/>
    <w:rsid w:val="21B75E11"/>
    <w:rsid w:val="22D627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604855"/>
    <w:rsid w:val="277B51EB"/>
    <w:rsid w:val="279E6744"/>
    <w:rsid w:val="2829733C"/>
    <w:rsid w:val="28CC0709"/>
    <w:rsid w:val="29C22B06"/>
    <w:rsid w:val="2AB6770F"/>
    <w:rsid w:val="2BAD2B02"/>
    <w:rsid w:val="2BDA1E37"/>
    <w:rsid w:val="2D4B05DB"/>
    <w:rsid w:val="2E0C3040"/>
    <w:rsid w:val="2E40384E"/>
    <w:rsid w:val="2F083808"/>
    <w:rsid w:val="2F0B058C"/>
    <w:rsid w:val="2F2B399A"/>
    <w:rsid w:val="2F454A5C"/>
    <w:rsid w:val="2F706C20"/>
    <w:rsid w:val="2F7C5FA4"/>
    <w:rsid w:val="2F82534F"/>
    <w:rsid w:val="302723B3"/>
    <w:rsid w:val="303040B7"/>
    <w:rsid w:val="306814F8"/>
    <w:rsid w:val="30AE6631"/>
    <w:rsid w:val="3106021B"/>
    <w:rsid w:val="3197089A"/>
    <w:rsid w:val="327A0EC0"/>
    <w:rsid w:val="33685BF1"/>
    <w:rsid w:val="339F33DF"/>
    <w:rsid w:val="349D364D"/>
    <w:rsid w:val="34B76D87"/>
    <w:rsid w:val="34C65624"/>
    <w:rsid w:val="34D01D12"/>
    <w:rsid w:val="34D90AD3"/>
    <w:rsid w:val="35064C19"/>
    <w:rsid w:val="350B5B62"/>
    <w:rsid w:val="3573099D"/>
    <w:rsid w:val="35C44201"/>
    <w:rsid w:val="366B28CE"/>
    <w:rsid w:val="37C10229"/>
    <w:rsid w:val="380F4839"/>
    <w:rsid w:val="38206066"/>
    <w:rsid w:val="38913D17"/>
    <w:rsid w:val="38955FDF"/>
    <w:rsid w:val="393E01A9"/>
    <w:rsid w:val="396B1F46"/>
    <w:rsid w:val="39DC7D6B"/>
    <w:rsid w:val="3AFB763A"/>
    <w:rsid w:val="3B651FE2"/>
    <w:rsid w:val="3B714E2B"/>
    <w:rsid w:val="3D2E34E9"/>
    <w:rsid w:val="3D5134B7"/>
    <w:rsid w:val="3D6C58AA"/>
    <w:rsid w:val="3D8C5F4C"/>
    <w:rsid w:val="3E65515C"/>
    <w:rsid w:val="3E94330A"/>
    <w:rsid w:val="401F30A7"/>
    <w:rsid w:val="403F2E01"/>
    <w:rsid w:val="41480210"/>
    <w:rsid w:val="42CD0EA8"/>
    <w:rsid w:val="42D207D6"/>
    <w:rsid w:val="431A1904"/>
    <w:rsid w:val="43357379"/>
    <w:rsid w:val="43947908"/>
    <w:rsid w:val="44BE5E0A"/>
    <w:rsid w:val="44CB4DED"/>
    <w:rsid w:val="44F56185"/>
    <w:rsid w:val="4520080C"/>
    <w:rsid w:val="45413951"/>
    <w:rsid w:val="45B30A7B"/>
    <w:rsid w:val="45D90566"/>
    <w:rsid w:val="467B530C"/>
    <w:rsid w:val="46E47FFF"/>
    <w:rsid w:val="4779601E"/>
    <w:rsid w:val="47F721FB"/>
    <w:rsid w:val="481B0E08"/>
    <w:rsid w:val="482D3E87"/>
    <w:rsid w:val="48353A66"/>
    <w:rsid w:val="489160CA"/>
    <w:rsid w:val="48E01E61"/>
    <w:rsid w:val="49327CD0"/>
    <w:rsid w:val="493E1AE1"/>
    <w:rsid w:val="4A9B6FA0"/>
    <w:rsid w:val="4B035C36"/>
    <w:rsid w:val="4B2238EC"/>
    <w:rsid w:val="4B44550B"/>
    <w:rsid w:val="4C7D362F"/>
    <w:rsid w:val="4CAC0AD9"/>
    <w:rsid w:val="4CD55219"/>
    <w:rsid w:val="4DDD59C1"/>
    <w:rsid w:val="4E32294F"/>
    <w:rsid w:val="4E395334"/>
    <w:rsid w:val="4E593C28"/>
    <w:rsid w:val="4EFD2805"/>
    <w:rsid w:val="4F2558B8"/>
    <w:rsid w:val="4FC74BC1"/>
    <w:rsid w:val="50026FF2"/>
    <w:rsid w:val="501324CE"/>
    <w:rsid w:val="501778F7"/>
    <w:rsid w:val="505D0D17"/>
    <w:rsid w:val="50747CE5"/>
    <w:rsid w:val="50CC06E1"/>
    <w:rsid w:val="50FA5D92"/>
    <w:rsid w:val="51B02576"/>
    <w:rsid w:val="51FB0B52"/>
    <w:rsid w:val="522023D1"/>
    <w:rsid w:val="52270DB5"/>
    <w:rsid w:val="531E5595"/>
    <w:rsid w:val="531F075A"/>
    <w:rsid w:val="5338205E"/>
    <w:rsid w:val="54303C00"/>
    <w:rsid w:val="549A06C6"/>
    <w:rsid w:val="54AD16A0"/>
    <w:rsid w:val="54CA4ADE"/>
    <w:rsid w:val="5539757D"/>
    <w:rsid w:val="563E5DDA"/>
    <w:rsid w:val="569D042A"/>
    <w:rsid w:val="56C63E25"/>
    <w:rsid w:val="57555F1B"/>
    <w:rsid w:val="5794447B"/>
    <w:rsid w:val="57996E43"/>
    <w:rsid w:val="57A01936"/>
    <w:rsid w:val="57A57FD6"/>
    <w:rsid w:val="57F01F2D"/>
    <w:rsid w:val="58286739"/>
    <w:rsid w:val="583A6878"/>
    <w:rsid w:val="58733B38"/>
    <w:rsid w:val="588E44CE"/>
    <w:rsid w:val="58D367F3"/>
    <w:rsid w:val="592C1295"/>
    <w:rsid w:val="595B4CF8"/>
    <w:rsid w:val="5992568E"/>
    <w:rsid w:val="59DD74BB"/>
    <w:rsid w:val="59E266CB"/>
    <w:rsid w:val="59EF3692"/>
    <w:rsid w:val="5A0D37A9"/>
    <w:rsid w:val="5A121AEF"/>
    <w:rsid w:val="5A420BA5"/>
    <w:rsid w:val="5A8C449C"/>
    <w:rsid w:val="5B571FFB"/>
    <w:rsid w:val="5B6B556E"/>
    <w:rsid w:val="5BFB00CD"/>
    <w:rsid w:val="5C452F47"/>
    <w:rsid w:val="5C537F09"/>
    <w:rsid w:val="5C867919"/>
    <w:rsid w:val="5D086F45"/>
    <w:rsid w:val="5D243653"/>
    <w:rsid w:val="5D4D6706"/>
    <w:rsid w:val="5D9B49EA"/>
    <w:rsid w:val="5DF4639A"/>
    <w:rsid w:val="5DF76C0B"/>
    <w:rsid w:val="5E0E07F8"/>
    <w:rsid w:val="5E42134A"/>
    <w:rsid w:val="5ED15115"/>
    <w:rsid w:val="5EFD5F0A"/>
    <w:rsid w:val="5FD702EA"/>
    <w:rsid w:val="5FEF619A"/>
    <w:rsid w:val="60252B89"/>
    <w:rsid w:val="604F4E8B"/>
    <w:rsid w:val="60B11334"/>
    <w:rsid w:val="616C2448"/>
    <w:rsid w:val="61882403"/>
    <w:rsid w:val="620316C6"/>
    <w:rsid w:val="62456000"/>
    <w:rsid w:val="626C326C"/>
    <w:rsid w:val="628C5F22"/>
    <w:rsid w:val="62C44CEE"/>
    <w:rsid w:val="62D61BCB"/>
    <w:rsid w:val="630E06E5"/>
    <w:rsid w:val="634A0790"/>
    <w:rsid w:val="63501018"/>
    <w:rsid w:val="63DF2082"/>
    <w:rsid w:val="64E33DF4"/>
    <w:rsid w:val="652F2B95"/>
    <w:rsid w:val="654A16B4"/>
    <w:rsid w:val="654C7BEB"/>
    <w:rsid w:val="65DF5D81"/>
    <w:rsid w:val="65E76184"/>
    <w:rsid w:val="660F1D12"/>
    <w:rsid w:val="66375416"/>
    <w:rsid w:val="664803B2"/>
    <w:rsid w:val="66770C98"/>
    <w:rsid w:val="66EF6B43"/>
    <w:rsid w:val="67277FC8"/>
    <w:rsid w:val="677C2407"/>
    <w:rsid w:val="6804655B"/>
    <w:rsid w:val="68552A56"/>
    <w:rsid w:val="68923008"/>
    <w:rsid w:val="68C47A98"/>
    <w:rsid w:val="68C53F3C"/>
    <w:rsid w:val="6B170353"/>
    <w:rsid w:val="6B805A13"/>
    <w:rsid w:val="6B913722"/>
    <w:rsid w:val="6BFB1CFC"/>
    <w:rsid w:val="6CC80E6D"/>
    <w:rsid w:val="6CEE57FE"/>
    <w:rsid w:val="6DDA15E5"/>
    <w:rsid w:val="6E0252EB"/>
    <w:rsid w:val="6E315BD0"/>
    <w:rsid w:val="6F0F4163"/>
    <w:rsid w:val="6F393D6E"/>
    <w:rsid w:val="6F8B1586"/>
    <w:rsid w:val="6F986B5B"/>
    <w:rsid w:val="70015658"/>
    <w:rsid w:val="70587D65"/>
    <w:rsid w:val="70B2124A"/>
    <w:rsid w:val="70EC47D4"/>
    <w:rsid w:val="70F47B1E"/>
    <w:rsid w:val="710B6BAC"/>
    <w:rsid w:val="712B2DAA"/>
    <w:rsid w:val="71CC633B"/>
    <w:rsid w:val="71F238C8"/>
    <w:rsid w:val="72534367"/>
    <w:rsid w:val="72D70869"/>
    <w:rsid w:val="738A5B9F"/>
    <w:rsid w:val="73C6500C"/>
    <w:rsid w:val="7402700B"/>
    <w:rsid w:val="741F6AAA"/>
    <w:rsid w:val="74A0585D"/>
    <w:rsid w:val="750E3D01"/>
    <w:rsid w:val="75436915"/>
    <w:rsid w:val="75583A65"/>
    <w:rsid w:val="75F1571C"/>
    <w:rsid w:val="75FF643B"/>
    <w:rsid w:val="77A7157C"/>
    <w:rsid w:val="781E5417"/>
    <w:rsid w:val="7843007C"/>
    <w:rsid w:val="78B143BF"/>
    <w:rsid w:val="790C1713"/>
    <w:rsid w:val="793F5645"/>
    <w:rsid w:val="79477DB9"/>
    <w:rsid w:val="796A49C4"/>
    <w:rsid w:val="798B5FEA"/>
    <w:rsid w:val="7A035425"/>
    <w:rsid w:val="7A937FAF"/>
    <w:rsid w:val="7AB465B7"/>
    <w:rsid w:val="7ACC115A"/>
    <w:rsid w:val="7AF81F4F"/>
    <w:rsid w:val="7AFA7F37"/>
    <w:rsid w:val="7B0D59BF"/>
    <w:rsid w:val="7B215011"/>
    <w:rsid w:val="7B5C267D"/>
    <w:rsid w:val="7B6C6499"/>
    <w:rsid w:val="7B7B492E"/>
    <w:rsid w:val="7BEC3554"/>
    <w:rsid w:val="7CB63E70"/>
    <w:rsid w:val="7D221505"/>
    <w:rsid w:val="7D334C5C"/>
    <w:rsid w:val="7D902913"/>
    <w:rsid w:val="7DE81904"/>
    <w:rsid w:val="7E24223C"/>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Calibri"/>
      <w:kern w:val="2"/>
      <w:sz w:val="21"/>
      <w:szCs w:val="24"/>
      <w:lang w:val="en-US" w:eastAsia="zh-CN" w:bidi="ar-SA"/>
    </w:rPr>
  </w:style>
  <w:style w:type="paragraph" w:styleId="3">
    <w:name w:val="heading 1"/>
    <w:basedOn w:val="1"/>
    <w:next w:val="1"/>
    <w:autoRedefine/>
    <w:qFormat/>
    <w:uiPriority w:val="0"/>
    <w:pPr>
      <w:keepNext/>
      <w:keepLines/>
      <w:spacing w:before="340" w:after="330" w:line="578" w:lineRule="auto"/>
      <w:outlineLvl w:val="0"/>
    </w:pPr>
    <w:rPr>
      <w:b/>
      <w:bCs/>
      <w:kern w:val="44"/>
      <w:sz w:val="44"/>
    </w:rPr>
  </w:style>
  <w:style w:type="paragraph" w:styleId="4">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5">
    <w:name w:val="heading 3"/>
    <w:basedOn w:val="1"/>
    <w:next w:val="1"/>
    <w:autoRedefine/>
    <w:qFormat/>
    <w:uiPriority w:val="0"/>
    <w:pPr>
      <w:keepNext/>
      <w:keepLines/>
      <w:spacing w:before="260" w:after="260" w:line="415" w:lineRule="auto"/>
      <w:outlineLvl w:val="2"/>
    </w:pPr>
    <w:rPr>
      <w:b/>
      <w:sz w:val="32"/>
    </w:rPr>
  </w:style>
  <w:style w:type="paragraph" w:styleId="6">
    <w:name w:val="heading 4"/>
    <w:basedOn w:val="1"/>
    <w:next w:val="1"/>
    <w:semiHidden/>
    <w:unhideWhenUsed/>
    <w:qFormat/>
    <w:uiPriority w:val="9"/>
    <w:pPr>
      <w:spacing w:beforeAutospacing="1" w:afterAutospacing="1"/>
      <w:jc w:val="left"/>
      <w:outlineLvl w:val="3"/>
    </w:pPr>
    <w:rPr>
      <w:rFonts w:hint="eastAsia" w:ascii="宋体" w:hAnsi="宋体" w:cs="Times New Roman"/>
      <w:b/>
      <w:bCs/>
      <w:kern w:val="0"/>
      <w:sz w:val="24"/>
    </w:rPr>
  </w:style>
  <w:style w:type="paragraph" w:styleId="7">
    <w:name w:val="heading 7"/>
    <w:basedOn w:val="1"/>
    <w:next w:val="1"/>
    <w:link w:val="27"/>
    <w:autoRedefine/>
    <w:qFormat/>
    <w:uiPriority w:val="9"/>
    <w:pPr>
      <w:keepNext/>
      <w:keepLines/>
      <w:spacing w:before="240" w:after="64" w:line="320" w:lineRule="auto"/>
      <w:outlineLvl w:val="6"/>
    </w:pPr>
    <w:rPr>
      <w:b/>
      <w:bCs/>
      <w:sz w:val="24"/>
    </w:rPr>
  </w:style>
  <w:style w:type="character" w:default="1" w:styleId="19">
    <w:name w:val="Default Paragraph Font"/>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2">
    <w:name w:val="Body Text"/>
    <w:basedOn w:val="1"/>
    <w:qFormat/>
    <w:uiPriority w:val="0"/>
    <w:rPr>
      <w:sz w:val="22"/>
      <w:szCs w:val="22"/>
    </w:rPr>
  </w:style>
  <w:style w:type="paragraph" w:styleId="8">
    <w:name w:val="annotation text"/>
    <w:basedOn w:val="1"/>
    <w:link w:val="28"/>
    <w:autoRedefine/>
    <w:unhideWhenUsed/>
    <w:qFormat/>
    <w:uiPriority w:val="99"/>
    <w:pPr>
      <w:adjustRightInd w:val="0"/>
      <w:spacing w:line="400" w:lineRule="exact"/>
      <w:jc w:val="left"/>
    </w:pPr>
    <w:rPr>
      <w:szCs w:val="21"/>
    </w:rPr>
  </w:style>
  <w:style w:type="paragraph" w:styleId="9">
    <w:name w:val="Balloon Text"/>
    <w:basedOn w:val="1"/>
    <w:link w:val="29"/>
    <w:autoRedefine/>
    <w:unhideWhenUsed/>
    <w:qFormat/>
    <w:uiPriority w:val="99"/>
    <w:rPr>
      <w:sz w:val="18"/>
      <w:szCs w:val="18"/>
    </w:rPr>
  </w:style>
  <w:style w:type="paragraph" w:styleId="10">
    <w:name w:val="footer"/>
    <w:basedOn w:val="1"/>
    <w:link w:val="30"/>
    <w:autoRedefine/>
    <w:qFormat/>
    <w:uiPriority w:val="99"/>
    <w:pPr>
      <w:tabs>
        <w:tab w:val="center" w:pos="4153"/>
        <w:tab w:val="right" w:pos="8306"/>
      </w:tabs>
      <w:snapToGrid w:val="0"/>
      <w:jc w:val="left"/>
    </w:pPr>
    <w:rPr>
      <w:sz w:val="18"/>
      <w:szCs w:val="18"/>
    </w:rPr>
  </w:style>
  <w:style w:type="paragraph" w:styleId="11">
    <w:name w:val="envelope return"/>
    <w:basedOn w:val="1"/>
    <w:autoRedefine/>
    <w:qFormat/>
    <w:uiPriority w:val="0"/>
    <w:pPr>
      <w:snapToGrid w:val="0"/>
    </w:pPr>
    <w:rPr>
      <w:rFonts w:ascii="Times New Roman" w:hAnsi="Times New Roman"/>
    </w:rPr>
  </w:style>
  <w:style w:type="paragraph" w:styleId="12">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3">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4">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cs="Times New Roman"/>
      <w:kern w:val="0"/>
      <w:sz w:val="24"/>
    </w:rPr>
  </w:style>
  <w:style w:type="paragraph" w:styleId="15">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paragraph" w:styleId="16">
    <w:name w:val="Title"/>
    <w:basedOn w:val="1"/>
    <w:link w:val="66"/>
    <w:qFormat/>
    <w:uiPriority w:val="10"/>
    <w:pPr>
      <w:spacing w:before="240" w:after="60"/>
      <w:jc w:val="center"/>
      <w:outlineLvl w:val="0"/>
    </w:pPr>
    <w:rPr>
      <w:rFonts w:ascii="Arial" w:hAnsi="Arial"/>
      <w:b/>
      <w:sz w:val="32"/>
    </w:rPr>
  </w:style>
  <w:style w:type="table" w:styleId="18">
    <w:name w:val="Table Grid"/>
    <w:basedOn w:val="17"/>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20">
    <w:name w:val="Strong"/>
    <w:basedOn w:val="19"/>
    <w:autoRedefine/>
    <w:qFormat/>
    <w:uiPriority w:val="22"/>
    <w:rPr>
      <w:b/>
    </w:rPr>
  </w:style>
  <w:style w:type="character" w:styleId="21">
    <w:name w:val="line number"/>
    <w:autoRedefine/>
    <w:qFormat/>
    <w:uiPriority w:val="0"/>
  </w:style>
  <w:style w:type="character" w:styleId="22">
    <w:name w:val="Hyperlink"/>
    <w:autoRedefine/>
    <w:qFormat/>
    <w:uiPriority w:val="0"/>
    <w:rPr>
      <w:rFonts w:ascii="宋体" w:eastAsia="宋体"/>
      <w:color w:val="auto"/>
      <w:spacing w:val="0"/>
      <w:w w:val="100"/>
      <w:position w:val="0"/>
      <w:sz w:val="21"/>
      <w:u w:val="none"/>
      <w:vertAlign w:val="baseline"/>
    </w:rPr>
  </w:style>
  <w:style w:type="character" w:styleId="23">
    <w:name w:val="annotation reference"/>
    <w:basedOn w:val="19"/>
    <w:autoRedefine/>
    <w:qFormat/>
    <w:uiPriority w:val="99"/>
    <w:rPr>
      <w:sz w:val="21"/>
      <w:szCs w:val="21"/>
    </w:rPr>
  </w:style>
  <w:style w:type="character" w:styleId="24">
    <w:name w:val="footnote reference"/>
    <w:autoRedefine/>
    <w:qFormat/>
    <w:uiPriority w:val="0"/>
    <w:rPr>
      <w:vertAlign w:val="superscript"/>
    </w:rPr>
  </w:style>
  <w:style w:type="paragraph" w:customStyle="1" w:styleId="25">
    <w:name w:val="BodyText2"/>
    <w:basedOn w:val="1"/>
    <w:autoRedefine/>
    <w:qFormat/>
    <w:uiPriority w:val="0"/>
    <w:pPr>
      <w:spacing w:after="120" w:line="480" w:lineRule="auto"/>
      <w:textAlignment w:val="baseline"/>
    </w:pPr>
    <w:rPr>
      <w:rFonts w:cs="Times New Roman"/>
      <w:sz w:val="32"/>
      <w:szCs w:val="32"/>
    </w:rPr>
  </w:style>
  <w:style w:type="paragraph" w:customStyle="1" w:styleId="26">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7">
    <w:name w:val="标题 7 字符"/>
    <w:link w:val="7"/>
    <w:autoRedefine/>
    <w:qFormat/>
    <w:uiPriority w:val="0"/>
    <w:rPr>
      <w:rFonts w:eastAsia="宋体"/>
      <w:b/>
      <w:bCs/>
      <w:kern w:val="2"/>
      <w:sz w:val="24"/>
      <w:szCs w:val="24"/>
    </w:rPr>
  </w:style>
  <w:style w:type="character" w:customStyle="1" w:styleId="28">
    <w:name w:val="批注文字 字符"/>
    <w:link w:val="8"/>
    <w:autoRedefine/>
    <w:semiHidden/>
    <w:qFormat/>
    <w:uiPriority w:val="99"/>
    <w:rPr>
      <w:rFonts w:ascii="Calibri" w:hAnsi="Calibri" w:eastAsia="宋体"/>
      <w:kern w:val="2"/>
      <w:sz w:val="21"/>
      <w:szCs w:val="21"/>
    </w:rPr>
  </w:style>
  <w:style w:type="character" w:customStyle="1" w:styleId="29">
    <w:name w:val="批注框文本 字符"/>
    <w:link w:val="9"/>
    <w:autoRedefine/>
    <w:semiHidden/>
    <w:qFormat/>
    <w:uiPriority w:val="99"/>
    <w:rPr>
      <w:rFonts w:eastAsia="宋体"/>
      <w:kern w:val="2"/>
      <w:sz w:val="18"/>
      <w:szCs w:val="18"/>
    </w:rPr>
  </w:style>
  <w:style w:type="character" w:customStyle="1" w:styleId="30">
    <w:name w:val="页脚 字符"/>
    <w:link w:val="10"/>
    <w:autoRedefine/>
    <w:qFormat/>
    <w:locked/>
    <w:uiPriority w:val="99"/>
    <w:rPr>
      <w:rFonts w:eastAsia="宋体"/>
      <w:kern w:val="2"/>
      <w:sz w:val="18"/>
      <w:szCs w:val="18"/>
    </w:rPr>
  </w:style>
  <w:style w:type="paragraph" w:customStyle="1" w:styleId="31">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32">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3">
    <w:name w:val="标准文件_段"/>
    <w:link w:val="34"/>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4">
    <w:name w:val="标准文件_段 Char"/>
    <w:link w:val="33"/>
    <w:autoRedefine/>
    <w:qFormat/>
    <w:uiPriority w:val="0"/>
    <w:rPr>
      <w:rFonts w:ascii="黑体" w:hAnsi="黑体" w:eastAsia="黑体" w:cs="黑体"/>
      <w:bCs/>
      <w:sz w:val="24"/>
      <w:szCs w:val="24"/>
    </w:rPr>
  </w:style>
  <w:style w:type="paragraph" w:customStyle="1" w:styleId="35">
    <w:name w:val="标准文件_章标题"/>
    <w:next w:val="33"/>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6">
    <w:name w:val="标准文件_二级条标题"/>
    <w:next w:val="33"/>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7">
    <w:name w:val="标准文件_一级条标题"/>
    <w:basedOn w:val="35"/>
    <w:next w:val="33"/>
    <w:autoRedefine/>
    <w:qFormat/>
    <w:uiPriority w:val="0"/>
    <w:pPr>
      <w:numPr>
        <w:ilvl w:val="2"/>
      </w:numPr>
      <w:spacing w:before="50" w:beforeLines="0" w:after="50" w:afterLines="0"/>
      <w:outlineLvl w:val="1"/>
    </w:pPr>
  </w:style>
  <w:style w:type="paragraph" w:customStyle="1" w:styleId="38">
    <w:name w:val="标准文件_三级条标题"/>
    <w:basedOn w:val="36"/>
    <w:next w:val="33"/>
    <w:autoRedefine/>
    <w:qFormat/>
    <w:uiPriority w:val="0"/>
    <w:pPr>
      <w:outlineLvl w:val="3"/>
    </w:pPr>
  </w:style>
  <w:style w:type="paragraph" w:customStyle="1" w:styleId="39">
    <w:name w:val="标准文件_四级条标题"/>
    <w:next w:val="33"/>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40">
    <w:name w:val="标准文件_五级条标题"/>
    <w:next w:val="36"/>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41">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42">
    <w:name w:val="标准文件_四级无标题"/>
    <w:basedOn w:val="39"/>
    <w:autoRedefine/>
    <w:qFormat/>
    <w:uiPriority w:val="0"/>
    <w:pPr>
      <w:numPr>
        <w:ilvl w:val="5"/>
        <w:numId w:val="1"/>
      </w:numPr>
    </w:pPr>
    <w:rPr>
      <w:rFonts w:ascii="宋体" w:eastAsia="宋体"/>
      <w:szCs w:val="52"/>
    </w:rPr>
  </w:style>
  <w:style w:type="paragraph" w:customStyle="1" w:styleId="43">
    <w:name w:val="标准文件_三级无标题"/>
    <w:basedOn w:val="38"/>
    <w:autoRedefine/>
    <w:qFormat/>
    <w:uiPriority w:val="0"/>
    <w:pPr>
      <w:numPr>
        <w:ilvl w:val="4"/>
        <w:numId w:val="1"/>
      </w:numPr>
    </w:pPr>
    <w:rPr>
      <w:rFonts w:ascii="宋体" w:eastAsia="宋体"/>
    </w:rPr>
  </w:style>
  <w:style w:type="paragraph" w:customStyle="1" w:styleId="44">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5">
    <w:name w:val="font11"/>
    <w:autoRedefine/>
    <w:qFormat/>
    <w:uiPriority w:val="0"/>
    <w:rPr>
      <w:rFonts w:ascii="等线" w:eastAsia="等线"/>
      <w:b/>
      <w:bCs/>
      <w:color w:val="FF0000"/>
      <w:sz w:val="22"/>
      <w:szCs w:val="22"/>
      <w:u w:val="none"/>
    </w:rPr>
  </w:style>
  <w:style w:type="character" w:customStyle="1" w:styleId="46">
    <w:name w:val="font01"/>
    <w:autoRedefine/>
    <w:qFormat/>
    <w:uiPriority w:val="0"/>
    <w:rPr>
      <w:rFonts w:ascii="等线" w:eastAsia="等线"/>
      <w:color w:val="000000"/>
      <w:sz w:val="22"/>
      <w:szCs w:val="22"/>
      <w:u w:val="none"/>
    </w:rPr>
  </w:style>
  <w:style w:type="paragraph" w:customStyle="1" w:styleId="47">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8">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9">
    <w:name w:val="标准文件_二级无标题"/>
    <w:basedOn w:val="36"/>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50">
    <w:name w:val="Char Char Char Char"/>
    <w:basedOn w:val="1"/>
    <w:autoRedefine/>
    <w:qFormat/>
    <w:uiPriority w:val="0"/>
  </w:style>
  <w:style w:type="paragraph" w:customStyle="1" w:styleId="51">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52">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3">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4">
    <w:name w:val="标准文件_术语条一"/>
    <w:basedOn w:val="1"/>
    <w:next w:val="33"/>
    <w:autoRedefine/>
    <w:qFormat/>
    <w:uiPriority w:val="0"/>
    <w:pPr>
      <w:widowControl/>
    </w:pPr>
    <w:rPr>
      <w:rFonts w:ascii="宋体"/>
      <w:kern w:val="0"/>
      <w:szCs w:val="20"/>
    </w:rPr>
  </w:style>
  <w:style w:type="paragraph" w:customStyle="1" w:styleId="55">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6">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7">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8">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9">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60">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61">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62">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63">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4">
    <w:name w:val="font31"/>
    <w:basedOn w:val="19"/>
    <w:qFormat/>
    <w:uiPriority w:val="0"/>
    <w:rPr>
      <w:rFonts w:hint="eastAsia" w:ascii="宋体" w:hAnsi="宋体" w:eastAsia="宋体" w:cs="宋体"/>
      <w:color w:val="1F2329"/>
      <w:sz w:val="24"/>
      <w:szCs w:val="24"/>
      <w:u w:val="none"/>
    </w:rPr>
  </w:style>
  <w:style w:type="paragraph" w:customStyle="1" w:styleId="65">
    <w:name w:val="标准文件_附录一级条标题"/>
    <w:basedOn w:val="1"/>
    <w:next w:val="1"/>
    <w:qFormat/>
    <w:uiPriority w:val="0"/>
    <w:pPr>
      <w:numPr>
        <w:ilvl w:val="1"/>
        <w:numId w:val="10"/>
      </w:numPr>
      <w:spacing w:before="50" w:beforeLines="50" w:after="50" w:afterLines="50"/>
      <w:outlineLvl w:val="2"/>
    </w:pPr>
    <w:rPr>
      <w:rFonts w:hint="eastAsia" w:ascii="黑体" w:hAnsi="Times New Roman" w:eastAsia="黑体" w:cs="Times New Roman"/>
      <w:kern w:val="21"/>
      <w:szCs w:val="20"/>
    </w:rPr>
  </w:style>
  <w:style w:type="character" w:customStyle="1" w:styleId="66">
    <w:name w:val="标题 字符"/>
    <w:basedOn w:val="19"/>
    <w:link w:val="16"/>
    <w:qFormat/>
    <w:uiPriority w:val="0"/>
    <w:rPr>
      <w:rFonts w:ascii="等线 Light" w:hAnsi="等线 Light" w:eastAsia="等线 Light" w:cs="Times New Roman"/>
      <w:b/>
      <w:bCs/>
      <w:kern w:val="2"/>
      <w:sz w:val="32"/>
      <w:szCs w:val="32"/>
    </w:rPr>
  </w:style>
  <w:style w:type="paragraph" w:customStyle="1" w:styleId="67">
    <w:name w:val="Table Text"/>
    <w:basedOn w:val="1"/>
    <w:semiHidden/>
    <w:qFormat/>
    <w:uiPriority w:val="0"/>
    <w:rPr>
      <w:rFonts w:ascii="宋体" w:hAnsi="宋体" w:cs="宋体"/>
      <w:sz w:val="22"/>
      <w:szCs w:val="22"/>
      <w:lang w:eastAsia="en-US"/>
    </w:rPr>
  </w:style>
  <w:style w:type="table" w:customStyle="1" w:styleId="68">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29</Pages>
  <Words>10359</Words>
  <Characters>11185</Characters>
  <Lines>115</Lines>
  <Paragraphs>32</Paragraphs>
  <TotalTime>13</TotalTime>
  <ScaleCrop>false</ScaleCrop>
  <LinksUpToDate>false</LinksUpToDate>
  <CharactersWithSpaces>11324</CharactersWithSpaces>
  <Application>WPS Office_12.1.0.25186_F1E327BC-269C-435d-A152-05C5408002CA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2026-01-05T15:36:00Z</dcterms:created>
  <dc:creator>Administrator</dc:creator>
  <cp:lastModifiedBy>对方正在输入...</cp:lastModifiedBy>
  <cp:lastPrinted>2025-09-04T06:54:00Z</cp:lastPrinted>
  <dcterms:modified xsi:type="dcterms:W3CDTF">2026-01-27T03:16:32Z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2052-12.1.0.25186</vt:lpwstr>
  </property>
  <property fmtid="{D5CDD505-2E9C-101B-9397-08002B2CF9AE}" pid="3" name="ICV">
    <vt:lpwstr>550319053AE14125AFC1710B7A515314_13</vt:lpwstr>
  </property>
  <property fmtid="{D5CDD505-2E9C-101B-9397-08002B2CF9AE}" pid="4" name="KSOTemplateDocerSaveRecord">
    <vt:lpwstr>eyJoZGlkIjoiMzg2YTk3YWJlMzJiOWE4NmU5OTkxNmM1MjU1OThkOTQiLCJ1c2VySWQiOiIzMjAyMTY5NjkifQ==</vt:lpwstr>
  </property>
</Properties>
</file>