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2D1F025">
      <w:pPr>
        <w:jc w:val="center"/>
        <w:rPr>
          <w:rFonts w:hint="eastAsia" w:ascii="方正小标宋简体" w:hAnsi="方正小标宋简体" w:eastAsia="方正小标宋简体" w:cs="方正小标宋简体"/>
          <w:bCs/>
          <w:sz w:val="36"/>
          <w:szCs w:val="32"/>
        </w:rPr>
      </w:pPr>
      <w:r>
        <w:rPr>
          <w:rFonts w:hint="eastAsia" w:ascii="方正小标宋简体" w:hAnsi="方正小标宋简体" w:eastAsia="方正小标宋简体" w:cs="方正小标宋简体"/>
          <w:bCs/>
          <w:sz w:val="36"/>
          <w:szCs w:val="32"/>
        </w:rPr>
        <w:t>团体标准《</w:t>
      </w:r>
      <w:r>
        <w:rPr>
          <w:rFonts w:hint="eastAsia" w:ascii="方正小标宋简体" w:hAnsi="方正小标宋简体" w:eastAsia="方正小标宋简体" w:cs="方正小标宋简体"/>
          <w:bCs/>
          <w:sz w:val="36"/>
          <w:szCs w:val="32"/>
          <w:lang w:eastAsia="zh-CN"/>
        </w:rPr>
        <w:t>壮医三部四针法治疗年闹诺（不寐）技术操作规范</w:t>
      </w:r>
      <w:r>
        <w:rPr>
          <w:rFonts w:hint="eastAsia" w:ascii="方正小标宋简体" w:hAnsi="方正小标宋简体" w:eastAsia="方正小标宋简体" w:cs="方正小标宋简体"/>
          <w:bCs/>
          <w:sz w:val="36"/>
          <w:szCs w:val="32"/>
        </w:rPr>
        <w:t>》（</w:t>
      </w:r>
      <w:r>
        <w:rPr>
          <w:rFonts w:hint="eastAsia" w:ascii="方正小标宋简体" w:hAnsi="方正小标宋简体" w:eastAsia="方正小标宋简体" w:cs="方正小标宋简体"/>
          <w:bCs/>
          <w:sz w:val="36"/>
          <w:szCs w:val="32"/>
          <w:lang w:eastAsia="zh-CN"/>
        </w:rPr>
        <w:t>征求意见</w:t>
      </w:r>
      <w:r>
        <w:rPr>
          <w:rFonts w:hint="eastAsia" w:ascii="方正小标宋简体" w:hAnsi="方正小标宋简体" w:eastAsia="方正小标宋简体" w:cs="方正小标宋简体"/>
          <w:bCs/>
          <w:sz w:val="36"/>
          <w:szCs w:val="32"/>
        </w:rPr>
        <w:t>稿）编制说明</w:t>
      </w:r>
    </w:p>
    <w:p w14:paraId="6AF687CB">
      <w:pPr>
        <w:ind w:firstLine="360"/>
        <w:jc w:val="center"/>
        <w:rPr>
          <w:rFonts w:ascii="微软雅黑" w:eastAsia="微软雅黑" w:cs="仿宋_GB2312"/>
          <w:bCs/>
          <w:sz w:val="18"/>
          <w:szCs w:val="18"/>
        </w:rPr>
      </w:pPr>
    </w:p>
    <w:p w14:paraId="0EC4541C">
      <w:pPr>
        <w:spacing w:line="520" w:lineRule="exact"/>
        <w:ind w:firstLine="640" w:firstLineChars="200"/>
        <w:outlineLvl w:val="0"/>
        <w:rPr>
          <w:rFonts w:ascii="黑体" w:eastAsia="黑体" w:cs="仿宋_GB2312"/>
          <w:bCs/>
          <w:sz w:val="32"/>
          <w:szCs w:val="32"/>
        </w:rPr>
      </w:pPr>
      <w:r>
        <w:rPr>
          <w:rFonts w:hint="eastAsia" w:ascii="黑体" w:eastAsia="黑体" w:cs="仿宋_GB2312"/>
          <w:sz w:val="32"/>
          <w:szCs w:val="32"/>
        </w:rPr>
        <w:t>一、任务来源、起草单位、主要起草人</w:t>
      </w:r>
    </w:p>
    <w:p w14:paraId="1CDB763D">
      <w:pPr>
        <w:spacing w:line="520" w:lineRule="exact"/>
        <w:ind w:firstLine="560" w:firstLineChars="200"/>
        <w:rPr>
          <w:rFonts w:ascii="仿宋_GB2312" w:eastAsia="仿宋_GB2312"/>
          <w:sz w:val="28"/>
          <w:szCs w:val="28"/>
        </w:rPr>
      </w:pPr>
      <w:r>
        <w:rPr>
          <w:rFonts w:hint="eastAsia" w:ascii="仿宋_GB2312" w:eastAsia="仿宋_GB2312"/>
          <w:sz w:val="28"/>
          <w:szCs w:val="28"/>
        </w:rPr>
        <w:t>根据《广西标准化协会关于下达2025年第</w:t>
      </w:r>
      <w:r>
        <w:rPr>
          <w:rFonts w:hint="eastAsia" w:ascii="仿宋_GB2312" w:eastAsia="仿宋_GB2312"/>
          <w:sz w:val="28"/>
          <w:szCs w:val="28"/>
          <w:lang w:eastAsia="zh-CN"/>
        </w:rPr>
        <w:t>四十</w:t>
      </w:r>
      <w:r>
        <w:rPr>
          <w:rFonts w:hint="eastAsia" w:ascii="仿宋_GB2312" w:eastAsia="仿宋_GB2312"/>
          <w:sz w:val="28"/>
          <w:szCs w:val="28"/>
        </w:rPr>
        <w:t>批团体标准制修订项目计划的通知》（桂标协〔2025〕</w:t>
      </w:r>
      <w:r>
        <w:rPr>
          <w:rFonts w:hint="eastAsia" w:ascii="仿宋_GB2312" w:eastAsia="仿宋_GB2312"/>
          <w:sz w:val="28"/>
          <w:szCs w:val="28"/>
          <w:lang w:val="en-US" w:eastAsia="zh-CN"/>
        </w:rPr>
        <w:t>364</w:t>
      </w:r>
      <w:r>
        <w:rPr>
          <w:rFonts w:hint="eastAsia" w:ascii="仿宋_GB2312" w:eastAsia="仿宋_GB2312"/>
          <w:sz w:val="28"/>
          <w:szCs w:val="28"/>
        </w:rPr>
        <w:t>号）精神，由广西中医药学会提出，</w:t>
      </w:r>
      <w:r>
        <w:rPr>
          <w:rFonts w:hint="eastAsia" w:ascii="仿宋_GB2312" w:eastAsia="仿宋_GB2312"/>
          <w:sz w:val="28"/>
          <w:szCs w:val="28"/>
          <w:lang w:eastAsia="zh-CN"/>
        </w:rPr>
        <w:t>百色市中医医院、贵港市中医医院、田东县中医医院、靖西市中医医院、崇左市中医壮医医院</w:t>
      </w:r>
      <w:r>
        <w:rPr>
          <w:rFonts w:hint="eastAsia" w:ascii="仿宋_GB2312" w:eastAsia="仿宋_GB2312"/>
          <w:sz w:val="28"/>
          <w:szCs w:val="28"/>
        </w:rPr>
        <w:t>等单位共同起草的团体标准《</w:t>
      </w:r>
      <w:r>
        <w:rPr>
          <w:rFonts w:hint="eastAsia" w:ascii="仿宋_GB2312" w:eastAsia="仿宋_GB2312"/>
          <w:sz w:val="28"/>
          <w:szCs w:val="28"/>
          <w:lang w:eastAsia="zh-CN"/>
        </w:rPr>
        <w:t>壮医三部四针法治疗年闹诺（不寐）技术操作规范</w:t>
      </w:r>
      <w:r>
        <w:rPr>
          <w:rFonts w:hint="eastAsia" w:ascii="仿宋_GB2312" w:eastAsia="仿宋_GB2312"/>
          <w:sz w:val="28"/>
          <w:szCs w:val="28"/>
        </w:rPr>
        <w:t>》（项目编号：2025-</w:t>
      </w:r>
      <w:r>
        <w:rPr>
          <w:rFonts w:hint="eastAsia" w:ascii="仿宋_GB2312" w:eastAsia="仿宋_GB2312"/>
          <w:sz w:val="28"/>
          <w:szCs w:val="28"/>
          <w:lang w:val="en-US" w:eastAsia="zh-CN"/>
        </w:rPr>
        <w:t>40</w:t>
      </w:r>
      <w:r>
        <w:rPr>
          <w:rFonts w:hint="eastAsia" w:ascii="仿宋_GB2312" w:eastAsia="仿宋_GB2312"/>
          <w:sz w:val="28"/>
          <w:szCs w:val="28"/>
        </w:rPr>
        <w:t>02），已获立项。</w:t>
      </w:r>
    </w:p>
    <w:p w14:paraId="2A53C140">
      <w:pPr>
        <w:spacing w:line="520" w:lineRule="exact"/>
        <w:ind w:firstLine="560" w:firstLineChars="200"/>
        <w:rPr>
          <w:rFonts w:hint="eastAsia" w:ascii="仿宋_GB2312" w:eastAsia="仿宋_GB2312"/>
          <w:sz w:val="28"/>
          <w:szCs w:val="28"/>
          <w:highlight w:val="yellow"/>
          <w:lang w:eastAsia="zh-CN"/>
        </w:rPr>
      </w:pPr>
      <w:r>
        <w:rPr>
          <w:rFonts w:hint="eastAsia" w:ascii="仿宋_GB2312" w:eastAsia="仿宋_GB2312"/>
          <w:sz w:val="28"/>
          <w:szCs w:val="28"/>
        </w:rPr>
        <w:t>为高质量编制团体标准《</w:t>
      </w:r>
      <w:r>
        <w:rPr>
          <w:rFonts w:hint="eastAsia" w:ascii="仿宋_GB2312" w:eastAsia="仿宋_GB2312"/>
          <w:sz w:val="28"/>
          <w:szCs w:val="28"/>
          <w:lang w:eastAsia="zh-CN"/>
        </w:rPr>
        <w:t>壮医三部四针法治疗年闹诺（不寐）技术操作规范</w:t>
      </w:r>
      <w:r>
        <w:rPr>
          <w:rFonts w:hint="eastAsia" w:ascii="仿宋_GB2312" w:eastAsia="仿宋_GB2312"/>
          <w:sz w:val="28"/>
          <w:szCs w:val="28"/>
        </w:rPr>
        <w:t>》，由起草单位成立标准编制工作组并进行如下分工：</w:t>
      </w:r>
    </w:p>
    <w:tbl>
      <w:tblPr>
        <w:tblStyle w:val="16"/>
        <w:tblW w:w="94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5"/>
        <w:gridCol w:w="1583"/>
        <w:gridCol w:w="1538"/>
        <w:gridCol w:w="2386"/>
        <w:gridCol w:w="2948"/>
      </w:tblGrid>
      <w:tr w14:paraId="06D913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A298BD7">
            <w:pPr>
              <w:keepNext w:val="0"/>
              <w:keepLines w:val="0"/>
              <w:suppressLineNumbers w:val="0"/>
              <w:spacing w:before="0" w:beforeAutospacing="0" w:after="0" w:afterAutospacing="0"/>
              <w:ind w:left="0" w:right="0"/>
              <w:jc w:val="center"/>
              <w:rPr>
                <w:rFonts w:hint="eastAsia" w:ascii="仿宋_GB2312" w:hAnsi="仿宋" w:eastAsia="仿宋_GB2312" w:cs="仿宋"/>
                <w:b/>
                <w:sz w:val="24"/>
              </w:rPr>
            </w:pPr>
            <w:r>
              <w:rPr>
                <w:rFonts w:hint="eastAsia" w:ascii="仿宋_GB2312" w:hAnsi="仿宋" w:eastAsia="仿宋_GB2312" w:cs="仿宋"/>
                <w:b/>
                <w:sz w:val="24"/>
              </w:rPr>
              <w:t>姓名</w:t>
            </w:r>
          </w:p>
        </w:tc>
        <w:tc>
          <w:tcPr>
            <w:tcW w:w="1583" w:type="dxa"/>
            <w:tcBorders>
              <w:top w:val="single" w:color="auto" w:sz="4" w:space="0"/>
              <w:left w:val="single" w:color="auto" w:sz="4" w:space="0"/>
              <w:bottom w:val="single" w:color="auto" w:sz="4" w:space="0"/>
              <w:right w:val="single" w:color="auto" w:sz="4" w:space="0"/>
            </w:tcBorders>
            <w:vAlign w:val="center"/>
          </w:tcPr>
          <w:p w14:paraId="56E69DE8">
            <w:pPr>
              <w:keepNext w:val="0"/>
              <w:keepLines w:val="0"/>
              <w:suppressLineNumbers w:val="0"/>
              <w:spacing w:before="0" w:beforeAutospacing="0" w:after="0" w:afterAutospacing="0"/>
              <w:ind w:left="0" w:right="0"/>
              <w:jc w:val="center"/>
              <w:rPr>
                <w:rFonts w:hint="eastAsia" w:ascii="仿宋_GB2312" w:hAnsi="仿宋" w:eastAsia="仿宋_GB2312" w:cs="仿宋"/>
                <w:b/>
                <w:sz w:val="24"/>
              </w:rPr>
            </w:pPr>
            <w:r>
              <w:rPr>
                <w:rFonts w:hint="eastAsia" w:ascii="仿宋_GB2312" w:hAnsi="仿宋" w:eastAsia="仿宋_GB2312" w:cs="仿宋"/>
                <w:b/>
                <w:sz w:val="24"/>
              </w:rPr>
              <w:t>职务/职</w:t>
            </w:r>
            <w:r>
              <w:rPr>
                <w:rFonts w:hint="default" w:ascii="仿宋_GB2312" w:hAnsi="仿宋" w:eastAsia="仿宋_GB2312" w:cs="仿宋"/>
                <w:b/>
                <w:sz w:val="24"/>
              </w:rPr>
              <w:t>称</w:t>
            </w:r>
          </w:p>
        </w:tc>
        <w:tc>
          <w:tcPr>
            <w:tcW w:w="1538" w:type="dxa"/>
            <w:tcBorders>
              <w:top w:val="single" w:color="auto" w:sz="4" w:space="0"/>
              <w:left w:val="single" w:color="auto" w:sz="4" w:space="0"/>
              <w:bottom w:val="single" w:color="auto" w:sz="4" w:space="0"/>
              <w:right w:val="single" w:color="auto" w:sz="4" w:space="0"/>
            </w:tcBorders>
            <w:vAlign w:val="center"/>
          </w:tcPr>
          <w:p w14:paraId="6844AF36">
            <w:pPr>
              <w:keepNext w:val="0"/>
              <w:keepLines w:val="0"/>
              <w:suppressLineNumbers w:val="0"/>
              <w:spacing w:before="0" w:beforeAutospacing="0" w:after="0" w:afterAutospacing="0"/>
              <w:ind w:left="0" w:right="0"/>
              <w:jc w:val="center"/>
              <w:rPr>
                <w:rFonts w:hint="eastAsia" w:ascii="仿宋_GB2312" w:hAnsi="仿宋" w:eastAsia="仿宋_GB2312" w:cs="仿宋"/>
                <w:b/>
                <w:sz w:val="24"/>
              </w:rPr>
            </w:pPr>
            <w:r>
              <w:rPr>
                <w:rFonts w:hint="eastAsia" w:ascii="仿宋_GB2312" w:hAnsi="仿宋" w:eastAsia="仿宋_GB2312" w:cs="仿宋"/>
                <w:b/>
                <w:sz w:val="24"/>
              </w:rPr>
              <w:t>从事</w:t>
            </w:r>
          </w:p>
          <w:p w14:paraId="2E0293F8">
            <w:pPr>
              <w:keepNext w:val="0"/>
              <w:keepLines w:val="0"/>
              <w:suppressLineNumbers w:val="0"/>
              <w:spacing w:before="0" w:beforeAutospacing="0" w:after="0" w:afterAutospacing="0"/>
              <w:ind w:left="0" w:right="0"/>
              <w:jc w:val="center"/>
              <w:rPr>
                <w:rFonts w:hint="eastAsia" w:ascii="仿宋_GB2312" w:hAnsi="仿宋" w:eastAsia="仿宋_GB2312" w:cs="仿宋"/>
                <w:b/>
                <w:sz w:val="24"/>
              </w:rPr>
            </w:pPr>
            <w:r>
              <w:rPr>
                <w:rFonts w:hint="eastAsia" w:ascii="仿宋_GB2312" w:hAnsi="仿宋" w:eastAsia="仿宋_GB2312" w:cs="仿宋"/>
                <w:b/>
                <w:sz w:val="24"/>
              </w:rPr>
              <w:t>专业</w:t>
            </w:r>
          </w:p>
        </w:tc>
        <w:tc>
          <w:tcPr>
            <w:tcW w:w="2386" w:type="dxa"/>
            <w:tcBorders>
              <w:top w:val="single" w:color="auto" w:sz="4" w:space="0"/>
              <w:left w:val="single" w:color="auto" w:sz="4" w:space="0"/>
              <w:bottom w:val="single" w:color="auto" w:sz="4" w:space="0"/>
              <w:right w:val="single" w:color="auto" w:sz="4" w:space="0"/>
            </w:tcBorders>
            <w:vAlign w:val="center"/>
          </w:tcPr>
          <w:p w14:paraId="33F35368">
            <w:pPr>
              <w:keepNext w:val="0"/>
              <w:keepLines w:val="0"/>
              <w:suppressLineNumbers w:val="0"/>
              <w:spacing w:before="0" w:beforeAutospacing="0" w:after="0" w:afterAutospacing="0"/>
              <w:ind w:left="0" w:right="0"/>
              <w:jc w:val="center"/>
              <w:rPr>
                <w:rFonts w:hint="eastAsia" w:ascii="仿宋_GB2312" w:hAnsi="仿宋" w:eastAsia="仿宋_GB2312" w:cs="仿宋"/>
                <w:b/>
                <w:sz w:val="24"/>
              </w:rPr>
            </w:pPr>
            <w:r>
              <w:rPr>
                <w:rFonts w:hint="eastAsia" w:ascii="仿宋_GB2312" w:hAnsi="仿宋" w:eastAsia="仿宋_GB2312" w:cs="仿宋"/>
                <w:b/>
                <w:sz w:val="24"/>
              </w:rPr>
              <w:t>工作单位</w:t>
            </w:r>
          </w:p>
        </w:tc>
        <w:tc>
          <w:tcPr>
            <w:tcW w:w="2948" w:type="dxa"/>
            <w:tcBorders>
              <w:top w:val="single" w:color="auto" w:sz="4" w:space="0"/>
              <w:left w:val="single" w:color="auto" w:sz="4" w:space="0"/>
              <w:bottom w:val="single" w:color="auto" w:sz="4" w:space="0"/>
              <w:right w:val="single" w:color="auto" w:sz="4" w:space="0"/>
            </w:tcBorders>
            <w:vAlign w:val="center"/>
          </w:tcPr>
          <w:p w14:paraId="18D38D1B">
            <w:pPr>
              <w:keepNext w:val="0"/>
              <w:keepLines w:val="0"/>
              <w:suppressLineNumbers w:val="0"/>
              <w:spacing w:before="0" w:beforeAutospacing="0" w:after="0" w:afterAutospacing="0"/>
              <w:ind w:left="0" w:right="0"/>
              <w:jc w:val="center"/>
              <w:rPr>
                <w:rFonts w:hint="eastAsia" w:ascii="仿宋_GB2312" w:hAnsi="仿宋" w:eastAsia="仿宋_GB2312" w:cs="仿宋"/>
                <w:b/>
                <w:sz w:val="24"/>
              </w:rPr>
            </w:pPr>
            <w:r>
              <w:rPr>
                <w:rFonts w:hint="eastAsia" w:ascii="仿宋_GB2312" w:hAnsi="仿宋" w:eastAsia="仿宋_GB2312" w:cs="仿宋"/>
                <w:b/>
                <w:sz w:val="24"/>
              </w:rPr>
              <w:t>主要负责工作</w:t>
            </w:r>
          </w:p>
        </w:tc>
      </w:tr>
      <w:tr w14:paraId="387FD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50DBAA99">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罗试计</w:t>
            </w:r>
          </w:p>
        </w:tc>
        <w:tc>
          <w:tcPr>
            <w:tcW w:w="1583" w:type="dxa"/>
            <w:tcBorders>
              <w:top w:val="single" w:color="auto" w:sz="4" w:space="0"/>
              <w:left w:val="single" w:color="auto" w:sz="4" w:space="0"/>
              <w:bottom w:val="single" w:color="auto" w:sz="4" w:space="0"/>
              <w:right w:val="single" w:color="auto" w:sz="4" w:space="0"/>
            </w:tcBorders>
            <w:vAlign w:val="center"/>
          </w:tcPr>
          <w:p w14:paraId="162C9AF5">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副院长/主任医师</w:t>
            </w:r>
          </w:p>
        </w:tc>
        <w:tc>
          <w:tcPr>
            <w:tcW w:w="1538" w:type="dxa"/>
            <w:tcBorders>
              <w:top w:val="single" w:color="auto" w:sz="4" w:space="0"/>
              <w:left w:val="single" w:color="auto" w:sz="4" w:space="0"/>
              <w:bottom w:val="single" w:color="auto" w:sz="4" w:space="0"/>
              <w:right w:val="single" w:color="auto" w:sz="4" w:space="0"/>
            </w:tcBorders>
            <w:vAlign w:val="center"/>
          </w:tcPr>
          <w:p w14:paraId="484167A5">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中医内科</w:t>
            </w:r>
          </w:p>
        </w:tc>
        <w:tc>
          <w:tcPr>
            <w:tcW w:w="2386" w:type="dxa"/>
            <w:tcBorders>
              <w:top w:val="single" w:color="auto" w:sz="4" w:space="0"/>
              <w:left w:val="single" w:color="auto" w:sz="4" w:space="0"/>
              <w:bottom w:val="single" w:color="auto" w:sz="4" w:space="0"/>
              <w:right w:val="single" w:color="auto" w:sz="4" w:space="0"/>
            </w:tcBorders>
            <w:vAlign w:val="center"/>
          </w:tcPr>
          <w:p w14:paraId="1031F917">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682D9A28">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全面</w:t>
            </w:r>
            <w:r>
              <w:rPr>
                <w:rFonts w:hint="default" w:ascii="仿宋_GB2312" w:hAnsi="仿宋_GB2312" w:eastAsia="仿宋_GB2312" w:cs="仿宋_GB2312"/>
                <w:kern w:val="2"/>
                <w:sz w:val="24"/>
                <w:szCs w:val="24"/>
                <w:lang w:val="en-US" w:eastAsia="zh-CN" w:bidi="ar"/>
              </w:rPr>
              <w:t>组织</w:t>
            </w:r>
          </w:p>
        </w:tc>
      </w:tr>
      <w:tr w14:paraId="38F55B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A63A619">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陈鹏</w:t>
            </w:r>
          </w:p>
        </w:tc>
        <w:tc>
          <w:tcPr>
            <w:tcW w:w="1583" w:type="dxa"/>
            <w:tcBorders>
              <w:top w:val="single" w:color="auto" w:sz="4" w:space="0"/>
              <w:left w:val="single" w:color="auto" w:sz="4" w:space="0"/>
              <w:bottom w:val="single" w:color="auto" w:sz="4" w:space="0"/>
              <w:right w:val="single" w:color="auto" w:sz="4" w:space="0"/>
            </w:tcBorders>
            <w:vAlign w:val="center"/>
          </w:tcPr>
          <w:p w14:paraId="7BE7D7EF">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壮医学科主任/副主任医师</w:t>
            </w:r>
          </w:p>
        </w:tc>
        <w:tc>
          <w:tcPr>
            <w:tcW w:w="1538" w:type="dxa"/>
            <w:tcBorders>
              <w:top w:val="single" w:color="auto" w:sz="4" w:space="0"/>
              <w:left w:val="single" w:color="auto" w:sz="4" w:space="0"/>
              <w:bottom w:val="single" w:color="auto" w:sz="4" w:space="0"/>
              <w:right w:val="single" w:color="auto" w:sz="4" w:space="0"/>
            </w:tcBorders>
            <w:vAlign w:val="center"/>
          </w:tcPr>
          <w:p w14:paraId="0853D746">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w:t>
            </w:r>
          </w:p>
        </w:tc>
        <w:tc>
          <w:tcPr>
            <w:tcW w:w="2386" w:type="dxa"/>
            <w:tcBorders>
              <w:top w:val="single" w:color="auto" w:sz="4" w:space="0"/>
              <w:left w:val="single" w:color="auto" w:sz="4" w:space="0"/>
              <w:bottom w:val="single" w:color="auto" w:sz="4" w:space="0"/>
              <w:right w:val="single" w:color="auto" w:sz="4" w:space="0"/>
            </w:tcBorders>
            <w:vAlign w:val="center"/>
          </w:tcPr>
          <w:p w14:paraId="13765E31">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3F083566">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指导规范文本及编制说明编写，质量控制</w:t>
            </w:r>
          </w:p>
        </w:tc>
      </w:tr>
      <w:tr w14:paraId="2FAF48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37BE689B">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梁胜男</w:t>
            </w:r>
          </w:p>
        </w:tc>
        <w:tc>
          <w:tcPr>
            <w:tcW w:w="1583" w:type="dxa"/>
            <w:tcBorders>
              <w:top w:val="single" w:color="auto" w:sz="4" w:space="0"/>
              <w:left w:val="single" w:color="auto" w:sz="4" w:space="0"/>
              <w:bottom w:val="single" w:color="auto" w:sz="4" w:space="0"/>
              <w:right w:val="single" w:color="auto" w:sz="4" w:space="0"/>
            </w:tcBorders>
            <w:vAlign w:val="center"/>
          </w:tcPr>
          <w:p w14:paraId="1EBFE524">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科教科负责人/副主任中药师</w:t>
            </w:r>
          </w:p>
        </w:tc>
        <w:tc>
          <w:tcPr>
            <w:tcW w:w="1538" w:type="dxa"/>
            <w:tcBorders>
              <w:top w:val="single" w:color="auto" w:sz="4" w:space="0"/>
              <w:left w:val="single" w:color="auto" w:sz="4" w:space="0"/>
              <w:bottom w:val="single" w:color="auto" w:sz="4" w:space="0"/>
              <w:right w:val="single" w:color="auto" w:sz="4" w:space="0"/>
            </w:tcBorders>
            <w:vAlign w:val="center"/>
          </w:tcPr>
          <w:p w14:paraId="42C65FF5">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中药学</w:t>
            </w:r>
          </w:p>
        </w:tc>
        <w:tc>
          <w:tcPr>
            <w:tcW w:w="2386" w:type="dxa"/>
            <w:tcBorders>
              <w:top w:val="single" w:color="auto" w:sz="4" w:space="0"/>
              <w:left w:val="single" w:color="auto" w:sz="4" w:space="0"/>
              <w:bottom w:val="single" w:color="auto" w:sz="4" w:space="0"/>
              <w:right w:val="single" w:color="auto" w:sz="4" w:space="0"/>
            </w:tcBorders>
            <w:vAlign w:val="center"/>
          </w:tcPr>
          <w:p w14:paraId="4F5C1797">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1B01D0AD">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负责起草规范草案，征求意见稿和规范编制说明的编写工作</w:t>
            </w:r>
          </w:p>
        </w:tc>
      </w:tr>
      <w:tr w14:paraId="5B3AB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26A08F4">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游潞</w:t>
            </w:r>
          </w:p>
        </w:tc>
        <w:tc>
          <w:tcPr>
            <w:tcW w:w="1583" w:type="dxa"/>
            <w:tcBorders>
              <w:top w:val="single" w:color="auto" w:sz="4" w:space="0"/>
              <w:left w:val="single" w:color="auto" w:sz="4" w:space="0"/>
              <w:bottom w:val="single" w:color="auto" w:sz="4" w:space="0"/>
              <w:right w:val="single" w:color="auto" w:sz="4" w:space="0"/>
            </w:tcBorders>
            <w:vAlign w:val="center"/>
          </w:tcPr>
          <w:p w14:paraId="68E67A7D">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治未病科主任/副主任医师</w:t>
            </w:r>
          </w:p>
        </w:tc>
        <w:tc>
          <w:tcPr>
            <w:tcW w:w="1538" w:type="dxa"/>
            <w:tcBorders>
              <w:top w:val="single" w:color="auto" w:sz="4" w:space="0"/>
              <w:left w:val="single" w:color="auto" w:sz="4" w:space="0"/>
              <w:bottom w:val="single" w:color="auto" w:sz="4" w:space="0"/>
              <w:right w:val="single" w:color="auto" w:sz="4" w:space="0"/>
            </w:tcBorders>
            <w:vAlign w:val="center"/>
          </w:tcPr>
          <w:p w14:paraId="6CF6055E">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壮医中医</w:t>
            </w:r>
          </w:p>
        </w:tc>
        <w:tc>
          <w:tcPr>
            <w:tcW w:w="2386" w:type="dxa"/>
            <w:tcBorders>
              <w:top w:val="single" w:color="auto" w:sz="4" w:space="0"/>
              <w:left w:val="single" w:color="auto" w:sz="4" w:space="0"/>
              <w:bottom w:val="single" w:color="auto" w:sz="4" w:space="0"/>
              <w:right w:val="single" w:color="auto" w:sz="4" w:space="0"/>
            </w:tcBorders>
            <w:vAlign w:val="center"/>
          </w:tcPr>
          <w:p w14:paraId="3538DFEF">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61F3A62B">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40ABC0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5B30C48">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黄加放</w:t>
            </w:r>
          </w:p>
        </w:tc>
        <w:tc>
          <w:tcPr>
            <w:tcW w:w="1583" w:type="dxa"/>
            <w:tcBorders>
              <w:top w:val="single" w:color="auto" w:sz="4" w:space="0"/>
              <w:left w:val="single" w:color="auto" w:sz="4" w:space="0"/>
              <w:bottom w:val="single" w:color="auto" w:sz="4" w:space="0"/>
              <w:right w:val="single" w:color="auto" w:sz="4" w:space="0"/>
            </w:tcBorders>
            <w:vAlign w:val="center"/>
          </w:tcPr>
          <w:p w14:paraId="70EB1BA4">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副院长/副主任医师</w:t>
            </w:r>
          </w:p>
        </w:tc>
        <w:tc>
          <w:tcPr>
            <w:tcW w:w="1538" w:type="dxa"/>
            <w:tcBorders>
              <w:top w:val="single" w:color="auto" w:sz="4" w:space="0"/>
              <w:left w:val="single" w:color="auto" w:sz="4" w:space="0"/>
              <w:bottom w:val="single" w:color="auto" w:sz="4" w:space="0"/>
              <w:right w:val="single" w:color="auto" w:sz="4" w:space="0"/>
            </w:tcBorders>
            <w:vAlign w:val="center"/>
          </w:tcPr>
          <w:p w14:paraId="06905B97">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中医骨伤</w:t>
            </w:r>
          </w:p>
        </w:tc>
        <w:tc>
          <w:tcPr>
            <w:tcW w:w="2386" w:type="dxa"/>
            <w:tcBorders>
              <w:top w:val="single" w:color="auto" w:sz="4" w:space="0"/>
              <w:left w:val="single" w:color="auto" w:sz="4" w:space="0"/>
              <w:bottom w:val="single" w:color="auto" w:sz="4" w:space="0"/>
              <w:right w:val="single" w:color="auto" w:sz="4" w:space="0"/>
            </w:tcBorders>
            <w:vAlign w:val="center"/>
          </w:tcPr>
          <w:p w14:paraId="6B1670D1">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靖西市中医医院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56F2EE45">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15F9E8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7F4B881">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何凤心</w:t>
            </w:r>
          </w:p>
        </w:tc>
        <w:tc>
          <w:tcPr>
            <w:tcW w:w="1583" w:type="dxa"/>
            <w:tcBorders>
              <w:top w:val="single" w:color="auto" w:sz="4" w:space="0"/>
              <w:left w:val="single" w:color="auto" w:sz="4" w:space="0"/>
              <w:bottom w:val="single" w:color="auto" w:sz="4" w:space="0"/>
              <w:right w:val="single" w:color="auto" w:sz="4" w:space="0"/>
            </w:tcBorders>
            <w:vAlign w:val="center"/>
          </w:tcPr>
          <w:p w14:paraId="2256DC4C">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壮医学科护士长/护师</w:t>
            </w:r>
          </w:p>
        </w:tc>
        <w:tc>
          <w:tcPr>
            <w:tcW w:w="1538" w:type="dxa"/>
            <w:tcBorders>
              <w:top w:val="single" w:color="auto" w:sz="4" w:space="0"/>
              <w:left w:val="single" w:color="auto" w:sz="4" w:space="0"/>
              <w:bottom w:val="single" w:color="auto" w:sz="4" w:space="0"/>
              <w:right w:val="single" w:color="auto" w:sz="4" w:space="0"/>
            </w:tcBorders>
            <w:vAlign w:val="center"/>
          </w:tcPr>
          <w:p w14:paraId="794E0242">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临床护理</w:t>
            </w:r>
          </w:p>
        </w:tc>
        <w:tc>
          <w:tcPr>
            <w:tcW w:w="2386" w:type="dxa"/>
            <w:tcBorders>
              <w:top w:val="single" w:color="auto" w:sz="4" w:space="0"/>
              <w:left w:val="single" w:color="auto" w:sz="4" w:space="0"/>
              <w:bottom w:val="single" w:color="auto" w:sz="4" w:space="0"/>
              <w:right w:val="single" w:color="auto" w:sz="4" w:space="0"/>
            </w:tcBorders>
            <w:vAlign w:val="center"/>
          </w:tcPr>
          <w:p w14:paraId="40B99616">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2ABFAA6D">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统筹规范编制工作组织人员进行规范发布后的宣贯培训</w:t>
            </w:r>
          </w:p>
        </w:tc>
      </w:tr>
      <w:tr w14:paraId="541ACA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F5FD67E">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李颖骥</w:t>
            </w:r>
          </w:p>
        </w:tc>
        <w:tc>
          <w:tcPr>
            <w:tcW w:w="1583" w:type="dxa"/>
            <w:tcBorders>
              <w:top w:val="single" w:color="auto" w:sz="4" w:space="0"/>
              <w:left w:val="single" w:color="auto" w:sz="4" w:space="0"/>
              <w:bottom w:val="single" w:color="auto" w:sz="4" w:space="0"/>
              <w:right w:val="single" w:color="auto" w:sz="4" w:space="0"/>
            </w:tcBorders>
            <w:vAlign w:val="center"/>
          </w:tcPr>
          <w:p w14:paraId="0AB4689B">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科教科科长/大内科主任/主任医师</w:t>
            </w:r>
          </w:p>
        </w:tc>
        <w:tc>
          <w:tcPr>
            <w:tcW w:w="1538" w:type="dxa"/>
            <w:tcBorders>
              <w:top w:val="single" w:color="auto" w:sz="4" w:space="0"/>
              <w:left w:val="single" w:color="auto" w:sz="4" w:space="0"/>
              <w:bottom w:val="single" w:color="auto" w:sz="4" w:space="0"/>
              <w:right w:val="single" w:color="auto" w:sz="4" w:space="0"/>
            </w:tcBorders>
            <w:vAlign w:val="center"/>
          </w:tcPr>
          <w:p w14:paraId="461DCB10">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中医内科</w:t>
            </w:r>
          </w:p>
        </w:tc>
        <w:tc>
          <w:tcPr>
            <w:tcW w:w="2386" w:type="dxa"/>
            <w:tcBorders>
              <w:top w:val="single" w:color="auto" w:sz="4" w:space="0"/>
              <w:left w:val="single" w:color="auto" w:sz="4" w:space="0"/>
              <w:bottom w:val="single" w:color="auto" w:sz="4" w:space="0"/>
              <w:right w:val="single" w:color="auto" w:sz="4" w:space="0"/>
            </w:tcBorders>
            <w:vAlign w:val="center"/>
          </w:tcPr>
          <w:p w14:paraId="00040CF8">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贵港市中医医院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367225A4">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负责送审稿及编制说明的编写工作</w:t>
            </w:r>
          </w:p>
        </w:tc>
      </w:tr>
      <w:tr w14:paraId="0FAFB7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2C89174">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陈少颖</w:t>
            </w:r>
          </w:p>
        </w:tc>
        <w:tc>
          <w:tcPr>
            <w:tcW w:w="1583" w:type="dxa"/>
            <w:tcBorders>
              <w:top w:val="single" w:color="auto" w:sz="4" w:space="0"/>
              <w:left w:val="single" w:color="auto" w:sz="4" w:space="0"/>
              <w:bottom w:val="single" w:color="auto" w:sz="4" w:space="0"/>
              <w:right w:val="single" w:color="auto" w:sz="4" w:space="0"/>
            </w:tcBorders>
            <w:vAlign w:val="center"/>
          </w:tcPr>
          <w:p w14:paraId="0380DD98">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副院长/主任医师</w:t>
            </w:r>
          </w:p>
        </w:tc>
        <w:tc>
          <w:tcPr>
            <w:tcW w:w="1538" w:type="dxa"/>
            <w:tcBorders>
              <w:top w:val="single" w:color="auto" w:sz="4" w:space="0"/>
              <w:left w:val="single" w:color="auto" w:sz="4" w:space="0"/>
              <w:bottom w:val="single" w:color="auto" w:sz="4" w:space="0"/>
              <w:right w:val="single" w:color="auto" w:sz="4" w:space="0"/>
            </w:tcBorders>
            <w:vAlign w:val="center"/>
          </w:tcPr>
          <w:p w14:paraId="01C1CA84">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中医内科</w:t>
            </w:r>
          </w:p>
        </w:tc>
        <w:tc>
          <w:tcPr>
            <w:tcW w:w="2386" w:type="dxa"/>
            <w:tcBorders>
              <w:top w:val="single" w:color="auto" w:sz="4" w:space="0"/>
              <w:left w:val="single" w:color="auto" w:sz="4" w:space="0"/>
              <w:bottom w:val="single" w:color="auto" w:sz="4" w:space="0"/>
              <w:right w:val="single" w:color="auto" w:sz="4" w:space="0"/>
            </w:tcBorders>
            <w:vAlign w:val="center"/>
          </w:tcPr>
          <w:p w14:paraId="0282E992">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田东县中医医院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734741AE">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负责起草规范草案，征求意见稿和规范编制说明，送审稿及编制说明的编写工作</w:t>
            </w:r>
          </w:p>
        </w:tc>
      </w:tr>
      <w:tr w14:paraId="18E528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3208A09">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农大卫</w:t>
            </w:r>
          </w:p>
        </w:tc>
        <w:tc>
          <w:tcPr>
            <w:tcW w:w="1583" w:type="dxa"/>
            <w:tcBorders>
              <w:top w:val="single" w:color="auto" w:sz="4" w:space="0"/>
              <w:left w:val="single" w:color="auto" w:sz="4" w:space="0"/>
              <w:bottom w:val="single" w:color="auto" w:sz="4" w:space="0"/>
              <w:right w:val="single" w:color="auto" w:sz="4" w:space="0"/>
            </w:tcBorders>
            <w:vAlign w:val="center"/>
          </w:tcPr>
          <w:p w14:paraId="725C6CDC">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医务科科长/主治医师</w:t>
            </w:r>
          </w:p>
        </w:tc>
        <w:tc>
          <w:tcPr>
            <w:tcW w:w="1538" w:type="dxa"/>
            <w:tcBorders>
              <w:top w:val="single" w:color="auto" w:sz="4" w:space="0"/>
              <w:left w:val="single" w:color="auto" w:sz="4" w:space="0"/>
              <w:bottom w:val="single" w:color="auto" w:sz="4" w:space="0"/>
              <w:right w:val="single" w:color="auto" w:sz="4" w:space="0"/>
            </w:tcBorders>
            <w:vAlign w:val="center"/>
          </w:tcPr>
          <w:p w14:paraId="5EC91BD9">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中医内科</w:t>
            </w:r>
          </w:p>
        </w:tc>
        <w:tc>
          <w:tcPr>
            <w:tcW w:w="2386" w:type="dxa"/>
            <w:tcBorders>
              <w:top w:val="single" w:color="auto" w:sz="4" w:space="0"/>
              <w:left w:val="single" w:color="auto" w:sz="4" w:space="0"/>
              <w:bottom w:val="single" w:color="auto" w:sz="4" w:space="0"/>
              <w:right w:val="single" w:color="auto" w:sz="4" w:space="0"/>
            </w:tcBorders>
            <w:vAlign w:val="center"/>
          </w:tcPr>
          <w:p w14:paraId="643E2B45">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崇左市中医壮医医院</w:t>
            </w:r>
          </w:p>
        </w:tc>
        <w:tc>
          <w:tcPr>
            <w:tcW w:w="2948" w:type="dxa"/>
            <w:tcBorders>
              <w:top w:val="single" w:color="auto" w:sz="4" w:space="0"/>
              <w:left w:val="single" w:color="auto" w:sz="4" w:space="0"/>
              <w:bottom w:val="single" w:color="auto" w:sz="4" w:space="0"/>
              <w:right w:val="single" w:color="auto" w:sz="4" w:space="0"/>
            </w:tcBorders>
            <w:vAlign w:val="center"/>
          </w:tcPr>
          <w:p w14:paraId="400EF54C">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负责编制说明的编写，质量控制</w:t>
            </w:r>
          </w:p>
        </w:tc>
      </w:tr>
      <w:tr w14:paraId="18E0C3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A4C7979">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黄绮恩</w:t>
            </w:r>
          </w:p>
        </w:tc>
        <w:tc>
          <w:tcPr>
            <w:tcW w:w="1583" w:type="dxa"/>
            <w:tcBorders>
              <w:top w:val="single" w:color="auto" w:sz="4" w:space="0"/>
              <w:left w:val="single" w:color="auto" w:sz="4" w:space="0"/>
              <w:bottom w:val="single" w:color="auto" w:sz="4" w:space="0"/>
              <w:right w:val="single" w:color="auto" w:sz="4" w:space="0"/>
            </w:tcBorders>
            <w:vAlign w:val="center"/>
          </w:tcPr>
          <w:p w14:paraId="52DCE050">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壮医学科/主治医师</w:t>
            </w:r>
          </w:p>
        </w:tc>
        <w:tc>
          <w:tcPr>
            <w:tcW w:w="1538" w:type="dxa"/>
            <w:tcBorders>
              <w:top w:val="single" w:color="auto" w:sz="4" w:space="0"/>
              <w:left w:val="single" w:color="auto" w:sz="4" w:space="0"/>
              <w:bottom w:val="single" w:color="auto" w:sz="4" w:space="0"/>
              <w:right w:val="single" w:color="auto" w:sz="4" w:space="0"/>
            </w:tcBorders>
            <w:vAlign w:val="center"/>
          </w:tcPr>
          <w:p w14:paraId="7E96303B">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w:t>
            </w:r>
          </w:p>
        </w:tc>
        <w:tc>
          <w:tcPr>
            <w:tcW w:w="2386" w:type="dxa"/>
            <w:tcBorders>
              <w:top w:val="single" w:color="auto" w:sz="4" w:space="0"/>
              <w:left w:val="single" w:color="auto" w:sz="4" w:space="0"/>
              <w:bottom w:val="single" w:color="auto" w:sz="4" w:space="0"/>
              <w:right w:val="single" w:color="auto" w:sz="4" w:space="0"/>
            </w:tcBorders>
            <w:vAlign w:val="center"/>
          </w:tcPr>
          <w:p w14:paraId="62C53919">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432C630D">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3856BE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01C99C58">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王明惠</w:t>
            </w:r>
          </w:p>
        </w:tc>
        <w:tc>
          <w:tcPr>
            <w:tcW w:w="1583" w:type="dxa"/>
            <w:tcBorders>
              <w:top w:val="single" w:color="auto" w:sz="4" w:space="0"/>
              <w:left w:val="single" w:color="auto" w:sz="4" w:space="0"/>
              <w:bottom w:val="single" w:color="auto" w:sz="4" w:space="0"/>
              <w:right w:val="single" w:color="auto" w:sz="4" w:space="0"/>
            </w:tcBorders>
            <w:vAlign w:val="center"/>
          </w:tcPr>
          <w:p w14:paraId="2E7F7A64">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壮医学科/主治医师</w:t>
            </w:r>
          </w:p>
        </w:tc>
        <w:tc>
          <w:tcPr>
            <w:tcW w:w="1538" w:type="dxa"/>
            <w:tcBorders>
              <w:top w:val="single" w:color="auto" w:sz="4" w:space="0"/>
              <w:left w:val="single" w:color="auto" w:sz="4" w:space="0"/>
              <w:bottom w:val="single" w:color="auto" w:sz="4" w:space="0"/>
              <w:right w:val="single" w:color="auto" w:sz="4" w:space="0"/>
            </w:tcBorders>
            <w:vAlign w:val="center"/>
          </w:tcPr>
          <w:p w14:paraId="6B871E6D">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w:t>
            </w:r>
          </w:p>
        </w:tc>
        <w:tc>
          <w:tcPr>
            <w:tcW w:w="2386" w:type="dxa"/>
            <w:tcBorders>
              <w:top w:val="single" w:color="auto" w:sz="4" w:space="0"/>
              <w:left w:val="single" w:color="auto" w:sz="4" w:space="0"/>
              <w:bottom w:val="single" w:color="auto" w:sz="4" w:space="0"/>
              <w:right w:val="single" w:color="auto" w:sz="4" w:space="0"/>
            </w:tcBorders>
            <w:vAlign w:val="center"/>
          </w:tcPr>
          <w:p w14:paraId="39A7331C">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5E608838">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28EEA4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2D2A0F9">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骆慧霞</w:t>
            </w:r>
          </w:p>
        </w:tc>
        <w:tc>
          <w:tcPr>
            <w:tcW w:w="1583" w:type="dxa"/>
            <w:tcBorders>
              <w:top w:val="single" w:color="auto" w:sz="4" w:space="0"/>
              <w:left w:val="single" w:color="auto" w:sz="4" w:space="0"/>
              <w:bottom w:val="single" w:color="auto" w:sz="4" w:space="0"/>
              <w:right w:val="single" w:color="auto" w:sz="4" w:space="0"/>
            </w:tcBorders>
            <w:vAlign w:val="center"/>
          </w:tcPr>
          <w:p w14:paraId="15765577">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主治医师</w:t>
            </w:r>
          </w:p>
        </w:tc>
        <w:tc>
          <w:tcPr>
            <w:tcW w:w="1538" w:type="dxa"/>
            <w:tcBorders>
              <w:top w:val="single" w:color="auto" w:sz="4" w:space="0"/>
              <w:left w:val="single" w:color="auto" w:sz="4" w:space="0"/>
              <w:bottom w:val="single" w:color="auto" w:sz="4" w:space="0"/>
              <w:right w:val="single" w:color="auto" w:sz="4" w:space="0"/>
            </w:tcBorders>
            <w:vAlign w:val="center"/>
          </w:tcPr>
          <w:p w14:paraId="77B96402">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壮医学</w:t>
            </w:r>
          </w:p>
        </w:tc>
        <w:tc>
          <w:tcPr>
            <w:tcW w:w="2386" w:type="dxa"/>
            <w:tcBorders>
              <w:top w:val="single" w:color="auto" w:sz="4" w:space="0"/>
              <w:left w:val="single" w:color="auto" w:sz="4" w:space="0"/>
              <w:bottom w:val="single" w:color="auto" w:sz="4" w:space="0"/>
              <w:right w:val="single" w:color="auto" w:sz="4" w:space="0"/>
            </w:tcBorders>
            <w:vAlign w:val="center"/>
          </w:tcPr>
          <w:p w14:paraId="1E3EA042">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6396BD72">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4AD00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6285234">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兰花琴</w:t>
            </w:r>
          </w:p>
        </w:tc>
        <w:tc>
          <w:tcPr>
            <w:tcW w:w="1583" w:type="dxa"/>
            <w:tcBorders>
              <w:top w:val="single" w:color="auto" w:sz="4" w:space="0"/>
              <w:left w:val="single" w:color="auto" w:sz="4" w:space="0"/>
              <w:bottom w:val="single" w:color="auto" w:sz="4" w:space="0"/>
              <w:right w:val="single" w:color="auto" w:sz="4" w:space="0"/>
            </w:tcBorders>
            <w:vAlign w:val="center"/>
          </w:tcPr>
          <w:p w14:paraId="33E68117">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副主任医师</w:t>
            </w:r>
          </w:p>
        </w:tc>
        <w:tc>
          <w:tcPr>
            <w:tcW w:w="1538" w:type="dxa"/>
            <w:tcBorders>
              <w:top w:val="single" w:color="auto" w:sz="4" w:space="0"/>
              <w:left w:val="single" w:color="auto" w:sz="4" w:space="0"/>
              <w:bottom w:val="single" w:color="auto" w:sz="4" w:space="0"/>
              <w:right w:val="single" w:color="auto" w:sz="4" w:space="0"/>
            </w:tcBorders>
            <w:vAlign w:val="center"/>
          </w:tcPr>
          <w:p w14:paraId="2CF30DEC">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壮医学</w:t>
            </w:r>
          </w:p>
        </w:tc>
        <w:tc>
          <w:tcPr>
            <w:tcW w:w="2386" w:type="dxa"/>
            <w:tcBorders>
              <w:top w:val="single" w:color="auto" w:sz="4" w:space="0"/>
              <w:left w:val="single" w:color="auto" w:sz="4" w:space="0"/>
              <w:bottom w:val="single" w:color="auto" w:sz="4" w:space="0"/>
              <w:right w:val="single" w:color="auto" w:sz="4" w:space="0"/>
            </w:tcBorders>
            <w:vAlign w:val="center"/>
          </w:tcPr>
          <w:p w14:paraId="0369E3EA">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10593EEF">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516E65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AF9D435">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张仕春</w:t>
            </w:r>
          </w:p>
        </w:tc>
        <w:tc>
          <w:tcPr>
            <w:tcW w:w="1583" w:type="dxa"/>
            <w:tcBorders>
              <w:top w:val="single" w:color="auto" w:sz="4" w:space="0"/>
              <w:left w:val="single" w:color="auto" w:sz="4" w:space="0"/>
              <w:bottom w:val="single" w:color="auto" w:sz="4" w:space="0"/>
              <w:right w:val="single" w:color="auto" w:sz="4" w:space="0"/>
            </w:tcBorders>
            <w:vAlign w:val="center"/>
          </w:tcPr>
          <w:p w14:paraId="4D4EAE59">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住院医师</w:t>
            </w:r>
          </w:p>
        </w:tc>
        <w:tc>
          <w:tcPr>
            <w:tcW w:w="1538" w:type="dxa"/>
            <w:tcBorders>
              <w:top w:val="single" w:color="auto" w:sz="4" w:space="0"/>
              <w:left w:val="single" w:color="auto" w:sz="4" w:space="0"/>
              <w:bottom w:val="single" w:color="auto" w:sz="4" w:space="0"/>
              <w:right w:val="single" w:color="auto" w:sz="4" w:space="0"/>
            </w:tcBorders>
            <w:vAlign w:val="center"/>
          </w:tcPr>
          <w:p w14:paraId="5E8375E8">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w:t>
            </w:r>
          </w:p>
        </w:tc>
        <w:tc>
          <w:tcPr>
            <w:tcW w:w="2386" w:type="dxa"/>
            <w:tcBorders>
              <w:top w:val="single" w:color="auto" w:sz="4" w:space="0"/>
              <w:left w:val="single" w:color="auto" w:sz="4" w:space="0"/>
              <w:bottom w:val="single" w:color="auto" w:sz="4" w:space="0"/>
              <w:right w:val="single" w:color="auto" w:sz="4" w:space="0"/>
            </w:tcBorders>
            <w:vAlign w:val="center"/>
          </w:tcPr>
          <w:p w14:paraId="744F1C7F">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1A051E76">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0F37D4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1329F7FC">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梁庆仁</w:t>
            </w:r>
          </w:p>
        </w:tc>
        <w:tc>
          <w:tcPr>
            <w:tcW w:w="1583" w:type="dxa"/>
            <w:tcBorders>
              <w:top w:val="single" w:color="auto" w:sz="4" w:space="0"/>
              <w:left w:val="single" w:color="auto" w:sz="4" w:space="0"/>
              <w:bottom w:val="single" w:color="auto" w:sz="4" w:space="0"/>
              <w:right w:val="single" w:color="auto" w:sz="4" w:space="0"/>
            </w:tcBorders>
            <w:vAlign w:val="center"/>
          </w:tcPr>
          <w:p w14:paraId="4C1B27FB">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住院医师</w:t>
            </w:r>
          </w:p>
        </w:tc>
        <w:tc>
          <w:tcPr>
            <w:tcW w:w="1538" w:type="dxa"/>
            <w:tcBorders>
              <w:top w:val="single" w:color="auto" w:sz="4" w:space="0"/>
              <w:left w:val="single" w:color="auto" w:sz="4" w:space="0"/>
              <w:bottom w:val="single" w:color="auto" w:sz="4" w:space="0"/>
              <w:right w:val="single" w:color="auto" w:sz="4" w:space="0"/>
            </w:tcBorders>
            <w:vAlign w:val="center"/>
          </w:tcPr>
          <w:p w14:paraId="48D9B32E">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壮医学</w:t>
            </w:r>
          </w:p>
        </w:tc>
        <w:tc>
          <w:tcPr>
            <w:tcW w:w="2386" w:type="dxa"/>
            <w:tcBorders>
              <w:top w:val="single" w:color="auto" w:sz="4" w:space="0"/>
              <w:left w:val="single" w:color="auto" w:sz="4" w:space="0"/>
              <w:bottom w:val="single" w:color="auto" w:sz="4" w:space="0"/>
              <w:right w:val="single" w:color="auto" w:sz="4" w:space="0"/>
            </w:tcBorders>
            <w:vAlign w:val="center"/>
          </w:tcPr>
          <w:p w14:paraId="62BBD43C">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5AC9EA8C">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60423A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BD2A718">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钟宇鸣</w:t>
            </w:r>
          </w:p>
        </w:tc>
        <w:tc>
          <w:tcPr>
            <w:tcW w:w="1583" w:type="dxa"/>
            <w:tcBorders>
              <w:top w:val="single" w:color="auto" w:sz="4" w:space="0"/>
              <w:left w:val="single" w:color="auto" w:sz="4" w:space="0"/>
              <w:bottom w:val="single" w:color="auto" w:sz="4" w:space="0"/>
              <w:right w:val="single" w:color="auto" w:sz="4" w:space="0"/>
            </w:tcBorders>
            <w:vAlign w:val="center"/>
          </w:tcPr>
          <w:p w14:paraId="0B613623">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壮医学科/住院医师</w:t>
            </w:r>
          </w:p>
        </w:tc>
        <w:tc>
          <w:tcPr>
            <w:tcW w:w="1538" w:type="dxa"/>
            <w:tcBorders>
              <w:top w:val="single" w:color="auto" w:sz="4" w:space="0"/>
              <w:left w:val="single" w:color="auto" w:sz="4" w:space="0"/>
              <w:bottom w:val="single" w:color="auto" w:sz="4" w:space="0"/>
              <w:right w:val="single" w:color="auto" w:sz="4" w:space="0"/>
            </w:tcBorders>
            <w:vAlign w:val="center"/>
          </w:tcPr>
          <w:p w14:paraId="2B669E47">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中医</w:t>
            </w:r>
          </w:p>
        </w:tc>
        <w:tc>
          <w:tcPr>
            <w:tcW w:w="2386" w:type="dxa"/>
            <w:tcBorders>
              <w:top w:val="single" w:color="auto" w:sz="4" w:space="0"/>
              <w:left w:val="single" w:color="auto" w:sz="4" w:space="0"/>
              <w:bottom w:val="single" w:color="auto" w:sz="4" w:space="0"/>
              <w:right w:val="single" w:color="auto" w:sz="4" w:space="0"/>
            </w:tcBorders>
            <w:vAlign w:val="center"/>
          </w:tcPr>
          <w:p w14:paraId="1AD2E129">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2714B3CB">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485B67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7D1E712">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覃旭升</w:t>
            </w:r>
          </w:p>
        </w:tc>
        <w:tc>
          <w:tcPr>
            <w:tcW w:w="1583" w:type="dxa"/>
            <w:tcBorders>
              <w:top w:val="single" w:color="auto" w:sz="4" w:space="0"/>
              <w:left w:val="single" w:color="auto" w:sz="4" w:space="0"/>
              <w:bottom w:val="single" w:color="auto" w:sz="4" w:space="0"/>
              <w:right w:val="single" w:color="auto" w:sz="4" w:space="0"/>
            </w:tcBorders>
            <w:vAlign w:val="center"/>
          </w:tcPr>
          <w:p w14:paraId="7A9A90C7">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住院医师</w:t>
            </w:r>
          </w:p>
        </w:tc>
        <w:tc>
          <w:tcPr>
            <w:tcW w:w="1538" w:type="dxa"/>
            <w:tcBorders>
              <w:top w:val="single" w:color="auto" w:sz="4" w:space="0"/>
              <w:left w:val="single" w:color="auto" w:sz="4" w:space="0"/>
              <w:bottom w:val="single" w:color="auto" w:sz="4" w:space="0"/>
              <w:right w:val="single" w:color="auto" w:sz="4" w:space="0"/>
            </w:tcBorders>
            <w:vAlign w:val="center"/>
          </w:tcPr>
          <w:p w14:paraId="16B10A12">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壮医学</w:t>
            </w:r>
          </w:p>
        </w:tc>
        <w:tc>
          <w:tcPr>
            <w:tcW w:w="2386" w:type="dxa"/>
            <w:tcBorders>
              <w:top w:val="single" w:color="auto" w:sz="4" w:space="0"/>
              <w:left w:val="single" w:color="auto" w:sz="4" w:space="0"/>
              <w:bottom w:val="single" w:color="auto" w:sz="4" w:space="0"/>
              <w:right w:val="single" w:color="auto" w:sz="4" w:space="0"/>
            </w:tcBorders>
            <w:vAlign w:val="center"/>
          </w:tcPr>
          <w:p w14:paraId="20DC1E0C">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百色市中医医院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37796D1B">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70D8B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75AC9F4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农雪理</w:t>
            </w:r>
          </w:p>
        </w:tc>
        <w:tc>
          <w:tcPr>
            <w:tcW w:w="1583" w:type="dxa"/>
            <w:tcBorders>
              <w:top w:val="single" w:color="auto" w:sz="4" w:space="0"/>
              <w:left w:val="single" w:color="auto" w:sz="4" w:space="0"/>
              <w:bottom w:val="single" w:color="auto" w:sz="4" w:space="0"/>
              <w:right w:val="single" w:color="auto" w:sz="4" w:space="0"/>
            </w:tcBorders>
            <w:vAlign w:val="center"/>
          </w:tcPr>
          <w:p w14:paraId="7A67CC72">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壮医科主任/主治医师</w:t>
            </w:r>
          </w:p>
        </w:tc>
        <w:tc>
          <w:tcPr>
            <w:tcW w:w="1538" w:type="dxa"/>
            <w:tcBorders>
              <w:top w:val="single" w:color="auto" w:sz="4" w:space="0"/>
              <w:left w:val="single" w:color="auto" w:sz="4" w:space="0"/>
              <w:bottom w:val="single" w:color="auto" w:sz="4" w:space="0"/>
              <w:right w:val="single" w:color="auto" w:sz="4" w:space="0"/>
            </w:tcBorders>
            <w:vAlign w:val="center"/>
          </w:tcPr>
          <w:p w14:paraId="7B1B2746">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壮医学</w:t>
            </w:r>
          </w:p>
        </w:tc>
        <w:tc>
          <w:tcPr>
            <w:tcW w:w="2386" w:type="dxa"/>
            <w:tcBorders>
              <w:top w:val="single" w:color="auto" w:sz="4" w:space="0"/>
              <w:left w:val="single" w:color="auto" w:sz="4" w:space="0"/>
              <w:bottom w:val="single" w:color="auto" w:sz="4" w:space="0"/>
              <w:right w:val="single" w:color="auto" w:sz="4" w:space="0"/>
            </w:tcBorders>
            <w:vAlign w:val="center"/>
          </w:tcPr>
          <w:p w14:paraId="5BBE9DFE">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靖西市中医医院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3ABFF2F7">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0BB96F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441D03DD">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kern w:val="2"/>
                <w:sz w:val="24"/>
                <w:szCs w:val="24"/>
                <w:lang w:val="en-US" w:eastAsia="zh-CN" w:bidi="ar"/>
              </w:rPr>
              <w:t>韦荣华</w:t>
            </w:r>
          </w:p>
        </w:tc>
        <w:tc>
          <w:tcPr>
            <w:tcW w:w="1583" w:type="dxa"/>
            <w:tcBorders>
              <w:top w:val="single" w:color="auto" w:sz="4" w:space="0"/>
              <w:left w:val="single" w:color="auto" w:sz="4" w:space="0"/>
              <w:bottom w:val="single" w:color="auto" w:sz="4" w:space="0"/>
              <w:right w:val="single" w:color="auto" w:sz="4" w:space="0"/>
            </w:tcBorders>
            <w:vAlign w:val="center"/>
          </w:tcPr>
          <w:p w14:paraId="282A02D6">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壮医科主任/副主任医师</w:t>
            </w:r>
          </w:p>
        </w:tc>
        <w:tc>
          <w:tcPr>
            <w:tcW w:w="1538" w:type="dxa"/>
            <w:tcBorders>
              <w:top w:val="single" w:color="auto" w:sz="4" w:space="0"/>
              <w:left w:val="single" w:color="auto" w:sz="4" w:space="0"/>
              <w:bottom w:val="single" w:color="auto" w:sz="4" w:space="0"/>
              <w:right w:val="single" w:color="auto" w:sz="4" w:space="0"/>
            </w:tcBorders>
            <w:vAlign w:val="center"/>
          </w:tcPr>
          <w:p w14:paraId="6EBBA581">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中医学</w:t>
            </w:r>
          </w:p>
        </w:tc>
        <w:tc>
          <w:tcPr>
            <w:tcW w:w="2386" w:type="dxa"/>
            <w:tcBorders>
              <w:top w:val="single" w:color="auto" w:sz="4" w:space="0"/>
              <w:left w:val="single" w:color="auto" w:sz="4" w:space="0"/>
              <w:bottom w:val="single" w:color="auto" w:sz="4" w:space="0"/>
              <w:right w:val="single" w:color="auto" w:sz="4" w:space="0"/>
            </w:tcBorders>
            <w:vAlign w:val="center"/>
          </w:tcPr>
          <w:p w14:paraId="2FC936EE">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田东县中医</w:t>
            </w:r>
            <w:bookmarkStart w:id="2" w:name="_GoBack"/>
            <w:bookmarkEnd w:id="2"/>
            <w:r>
              <w:rPr>
                <w:rFonts w:hint="eastAsia" w:ascii="仿宋_GB2312" w:hAnsi="仿宋_GB2312" w:eastAsia="仿宋_GB2312" w:cs="仿宋_GB2312"/>
                <w:kern w:val="2"/>
                <w:sz w:val="24"/>
                <w:szCs w:val="24"/>
                <w:lang w:val="en-US" w:eastAsia="zh-CN" w:bidi="ar"/>
              </w:rPr>
              <w:t>医院</w:t>
            </w:r>
          </w:p>
        </w:tc>
        <w:tc>
          <w:tcPr>
            <w:tcW w:w="2948" w:type="dxa"/>
            <w:tcBorders>
              <w:top w:val="single" w:color="auto" w:sz="4" w:space="0"/>
              <w:left w:val="single" w:color="auto" w:sz="4" w:space="0"/>
              <w:bottom w:val="single" w:color="auto" w:sz="4" w:space="0"/>
              <w:right w:val="single" w:color="auto" w:sz="4" w:space="0"/>
            </w:tcBorders>
            <w:vAlign w:val="center"/>
          </w:tcPr>
          <w:p w14:paraId="554D260C">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4B6986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63EB02DD">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color w:val="000000"/>
                <w:kern w:val="2"/>
                <w:sz w:val="24"/>
                <w:szCs w:val="24"/>
                <w:lang w:val="en-US" w:eastAsia="zh-CN" w:bidi="ar"/>
              </w:rPr>
              <w:t>阎杰</w:t>
            </w:r>
          </w:p>
        </w:tc>
        <w:tc>
          <w:tcPr>
            <w:tcW w:w="1583" w:type="dxa"/>
            <w:tcBorders>
              <w:top w:val="single" w:color="auto" w:sz="4" w:space="0"/>
              <w:left w:val="single" w:color="auto" w:sz="4" w:space="0"/>
              <w:bottom w:val="single" w:color="auto" w:sz="4" w:space="0"/>
              <w:right w:val="single" w:color="auto" w:sz="4" w:space="0"/>
            </w:tcBorders>
            <w:vAlign w:val="center"/>
          </w:tcPr>
          <w:p w14:paraId="49D9B93E">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针灸科主任/主任医师</w:t>
            </w:r>
          </w:p>
        </w:tc>
        <w:tc>
          <w:tcPr>
            <w:tcW w:w="1538" w:type="dxa"/>
            <w:tcBorders>
              <w:top w:val="single" w:color="auto" w:sz="4" w:space="0"/>
              <w:left w:val="single" w:color="auto" w:sz="4" w:space="0"/>
              <w:bottom w:val="single" w:color="auto" w:sz="4" w:space="0"/>
              <w:right w:val="single" w:color="auto" w:sz="4" w:space="0"/>
            </w:tcBorders>
            <w:vAlign w:val="center"/>
          </w:tcPr>
          <w:p w14:paraId="40A45B03">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针灸</w:t>
            </w:r>
          </w:p>
        </w:tc>
        <w:tc>
          <w:tcPr>
            <w:tcW w:w="2386" w:type="dxa"/>
            <w:tcBorders>
              <w:top w:val="single" w:color="auto" w:sz="4" w:space="0"/>
              <w:left w:val="single" w:color="auto" w:sz="4" w:space="0"/>
              <w:bottom w:val="single" w:color="auto" w:sz="4" w:space="0"/>
              <w:right w:val="single" w:color="auto" w:sz="4" w:space="0"/>
            </w:tcBorders>
            <w:vAlign w:val="center"/>
          </w:tcPr>
          <w:p w14:paraId="7C44539C">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贵港市中医医院</w:t>
            </w:r>
          </w:p>
        </w:tc>
        <w:tc>
          <w:tcPr>
            <w:tcW w:w="2948" w:type="dxa"/>
            <w:tcBorders>
              <w:top w:val="single" w:color="auto" w:sz="4" w:space="0"/>
              <w:left w:val="single" w:color="auto" w:sz="4" w:space="0"/>
              <w:bottom w:val="single" w:color="auto" w:sz="4" w:space="0"/>
              <w:right w:val="single" w:color="auto" w:sz="4" w:space="0"/>
            </w:tcBorders>
            <w:vAlign w:val="center"/>
          </w:tcPr>
          <w:p w14:paraId="6448797C">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r w14:paraId="752481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005" w:type="dxa"/>
            <w:tcBorders>
              <w:top w:val="single" w:color="auto" w:sz="4" w:space="0"/>
              <w:left w:val="single" w:color="auto" w:sz="4" w:space="0"/>
              <w:bottom w:val="single" w:color="auto" w:sz="4" w:space="0"/>
              <w:right w:val="single" w:color="auto" w:sz="4" w:space="0"/>
            </w:tcBorders>
            <w:vAlign w:val="center"/>
          </w:tcPr>
          <w:p w14:paraId="2A6B109D">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bidi="ar"/>
              </w:rPr>
            </w:pPr>
            <w:r>
              <w:rPr>
                <w:rFonts w:hint="eastAsia" w:ascii="仿宋_GB2312" w:hAnsi="仿宋_GB2312" w:eastAsia="仿宋_GB2312" w:cs="仿宋_GB2312"/>
                <w:color w:val="000000"/>
                <w:kern w:val="2"/>
                <w:sz w:val="24"/>
                <w:szCs w:val="24"/>
                <w:lang w:val="en-US" w:eastAsia="zh-CN" w:bidi="ar"/>
              </w:rPr>
              <w:t>李树青</w:t>
            </w:r>
          </w:p>
        </w:tc>
        <w:tc>
          <w:tcPr>
            <w:tcW w:w="1583" w:type="dxa"/>
            <w:tcBorders>
              <w:top w:val="single" w:color="auto" w:sz="4" w:space="0"/>
              <w:left w:val="single" w:color="auto" w:sz="4" w:space="0"/>
              <w:bottom w:val="single" w:color="auto" w:sz="4" w:space="0"/>
              <w:right w:val="single" w:color="auto" w:sz="4" w:space="0"/>
            </w:tcBorders>
            <w:vAlign w:val="center"/>
          </w:tcPr>
          <w:p w14:paraId="686925EF">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副主任医师</w:t>
            </w:r>
          </w:p>
        </w:tc>
        <w:tc>
          <w:tcPr>
            <w:tcW w:w="1538" w:type="dxa"/>
            <w:tcBorders>
              <w:top w:val="single" w:color="auto" w:sz="4" w:space="0"/>
              <w:left w:val="single" w:color="auto" w:sz="4" w:space="0"/>
              <w:bottom w:val="single" w:color="auto" w:sz="4" w:space="0"/>
              <w:right w:val="single" w:color="auto" w:sz="4" w:space="0"/>
            </w:tcBorders>
            <w:vAlign w:val="center"/>
          </w:tcPr>
          <w:p w14:paraId="24E125EE">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壮医</w:t>
            </w:r>
          </w:p>
        </w:tc>
        <w:tc>
          <w:tcPr>
            <w:tcW w:w="2386" w:type="dxa"/>
            <w:tcBorders>
              <w:top w:val="single" w:color="auto" w:sz="4" w:space="0"/>
              <w:left w:val="single" w:color="auto" w:sz="4" w:space="0"/>
              <w:bottom w:val="single" w:color="auto" w:sz="4" w:space="0"/>
              <w:right w:val="single" w:color="auto" w:sz="4" w:space="0"/>
            </w:tcBorders>
            <w:vAlign w:val="center"/>
          </w:tcPr>
          <w:p w14:paraId="6C78E8B6">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崇左市中医壮医医院</w:t>
            </w:r>
          </w:p>
        </w:tc>
        <w:tc>
          <w:tcPr>
            <w:tcW w:w="2948" w:type="dxa"/>
            <w:tcBorders>
              <w:top w:val="single" w:color="auto" w:sz="4" w:space="0"/>
              <w:left w:val="single" w:color="auto" w:sz="4" w:space="0"/>
              <w:bottom w:val="single" w:color="auto" w:sz="4" w:space="0"/>
              <w:right w:val="single" w:color="auto" w:sz="4" w:space="0"/>
            </w:tcBorders>
            <w:vAlign w:val="center"/>
          </w:tcPr>
          <w:p w14:paraId="7584725E">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
              </w:rPr>
            </w:pPr>
            <w:r>
              <w:rPr>
                <w:rFonts w:hint="eastAsia" w:ascii="仿宋_GB2312" w:hAnsi="仿宋_GB2312" w:eastAsia="仿宋_GB2312" w:cs="仿宋_GB2312"/>
                <w:kern w:val="2"/>
                <w:sz w:val="24"/>
                <w:szCs w:val="24"/>
                <w:lang w:val="en-US" w:eastAsia="zh-CN" w:bidi="ar"/>
              </w:rPr>
              <w:t>对规范实施情况进行总结分析，不断对规范提出修正意见</w:t>
            </w:r>
          </w:p>
        </w:tc>
      </w:tr>
    </w:tbl>
    <w:p w14:paraId="13B0720D">
      <w:pPr>
        <w:spacing w:line="520" w:lineRule="exact"/>
        <w:ind w:firstLine="640" w:firstLineChars="200"/>
        <w:outlineLvl w:val="0"/>
        <w:rPr>
          <w:rFonts w:ascii="黑体" w:eastAsia="黑体" w:cs="仿宋_GB2312"/>
          <w:sz w:val="32"/>
          <w:szCs w:val="32"/>
        </w:rPr>
      </w:pPr>
      <w:r>
        <w:rPr>
          <w:rFonts w:hint="eastAsia" w:ascii="黑体" w:eastAsia="黑体" w:cs="仿宋_GB2312"/>
          <w:sz w:val="32"/>
          <w:szCs w:val="32"/>
        </w:rPr>
        <w:t>二、制定标准的必要性和意义</w:t>
      </w:r>
    </w:p>
    <w:p w14:paraId="3ADD50C7">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年闹诺（不寐），即现代医学的失眠症，是临床最为常见的睡眠问题之一。其以频繁而持续的入睡困难和（或）睡眠维持困难为特征，导致患者对睡眠感不满意，严重影响正常生活和工作，并增加罹患其他健康问题的风险。严重的睡眠缺失会显著降低工作效率与警觉水平，甚至可能引发恶性意外事故，造成巨大损失。</w:t>
      </w:r>
    </w:p>
    <w:p w14:paraId="7DDB0F6D">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流行病学调查显示，我国普通人群中具有临床意义的失眠患病率高达15%。在全球COVID-19大流行期间，睡眠问题愈发凸显，有报道指出全球失眠症状患病率在20%至45%之间，我国失眠患病率亦高达29.2%，凸显出该病症影响的广泛性与严峻性。</w:t>
      </w:r>
    </w:p>
    <w:p w14:paraId="0E434780">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目前，失眠的治疗方法多样，主要包括药物疗法与非药物疗法。西药治疗虽不断有新药涌现，但仍难以避免成瘾性及耐药性的缺陷，现代医学对此尚未具备理想的治疗手段。非药物疗法中，如穴位敷贴、压耳豆、针灸、推拿按摩等中医外治法应用普遍，但其疗效多依赖于操作者的中医辨证能力，存在疗效差异大、标准不统一的问题。</w:t>
      </w:r>
    </w:p>
    <w:p w14:paraId="2021C1D2">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在此背景下，壮医针刺手法作为特色民族医学疗法，在治疗失眠方面展现出其在疗效、安全性、持久性及患者依从性上的潜在优势，日益受到青睐。壮医治病理论大道至简，强调整体观念，辨证以阴证阳证为纲，病位分属三道两路，病因从三气同步、毒虚致病、气血均衡三个方面考究，治疗原则总归于调气、补虚、解毒。</w:t>
      </w:r>
    </w:p>
    <w:p w14:paraId="5DE89651">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壮医认为，年闹诺（失眠）多因思虑恼怒致脏腑气机郁滞；或先天不足、后天失养致气血亏虚、心虚胆怯；或饮食不节、热毒内生致气机不畅，最终导致阴阳失调，天地人三气不能同步而发病。</w:t>
      </w:r>
    </w:p>
    <w:p w14:paraId="36CB6820">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壮医三部四针法正是在壮医理论指导下形成的特色针刺手法。其以“三气同步”学说、阴阳学说为核心理论基础：（1）三气同步学说：强调人禀天地之气而生，人体内部分为天、地、人三部，三部之气需同步运行，制约化生。人体健康有赖于天、地、人三气的同步与平衡；（2）阴阳学说：视阴阳失衡为疾病发生的总病机。治疗追求阴阳平衡、转化与和谐。</w:t>
      </w:r>
    </w:p>
    <w:p w14:paraId="3854A461">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该针法遵循“天气主降，地气主升，人气主和”的三气运行规律进行取穴：（1）天部（上部）：取百会、印堂、安眠等穴，主引气上行、上升；（2）地部（下部）：取独阴、足三里等穴，主引气下行、下降；（3）人部（中部）：取脐内环穴等穴，主调和，促天气下行、地气上升而达中和。</w:t>
      </w:r>
    </w:p>
    <w:p w14:paraId="2A4C7645">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通过针刺这些特定腧穴，并常配合腹式呼吸吐纳以增强气机调节，该法旨在实现气在体内的有序升降与循环，进而推动血行，濡养脏腑官窍，最终达到调和气血、平衡阴阳、疏通“三道两路”的目的，使天、地、人三气恢复同步运行。该针法取穴精简（共十二针），兼顾调气与调神，不追求强烈针感，患者接受度高，整体观突出。</w:t>
      </w:r>
    </w:p>
    <w:p w14:paraId="4EF80A95">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目前国内/广西区内进行壮医三部四针法治疗年闹诺（不寐）技术操作的医院有14家，每年进行约420例壮医三部四针法治疗年闹诺（不寐）技术操作，有效率达95%以上。</w:t>
      </w:r>
    </w:p>
    <w:p w14:paraId="7DCBC570">
      <w:pPr>
        <w:suppressAutoHyphens/>
        <w:spacing w:line="560" w:lineRule="exact"/>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因此，为充分发挥壮医药在防治常见病、多发病中的特色与优势，保障医疗安全、提升临床疗效、促进民族医药传承创新及更好地服务大众健康，制定团体标准《壮医三部四针法治疗年闹诺（不寐）技术操作规范》具有重要意义。</w:t>
      </w:r>
    </w:p>
    <w:p w14:paraId="0D62424A">
      <w:pPr>
        <w:autoSpaceDE w:val="0"/>
        <w:autoSpaceDN w:val="0"/>
        <w:adjustRightInd w:val="0"/>
        <w:spacing w:line="520" w:lineRule="exact"/>
        <w:ind w:firstLine="640" w:firstLineChars="200"/>
        <w:jc w:val="left"/>
        <w:outlineLvl w:val="0"/>
        <w:rPr>
          <w:rFonts w:ascii="黑体" w:eastAsia="黑体" w:cs="仿宋_GB2312"/>
          <w:sz w:val="32"/>
          <w:szCs w:val="32"/>
        </w:rPr>
      </w:pPr>
      <w:r>
        <w:rPr>
          <w:rFonts w:hint="eastAsia" w:ascii="黑体" w:eastAsia="黑体" w:cs="仿宋_GB2312"/>
          <w:sz w:val="32"/>
          <w:szCs w:val="32"/>
        </w:rPr>
        <w:t>三、主要起草过程</w:t>
      </w:r>
    </w:p>
    <w:p w14:paraId="0D95DA3E">
      <w:pPr>
        <w:spacing w:line="520" w:lineRule="exact"/>
        <w:ind w:firstLine="562" w:firstLineChars="200"/>
        <w:outlineLvl w:val="1"/>
        <w:rPr>
          <w:rFonts w:ascii="仿宋_GB2312" w:eastAsia="仿宋_GB2312"/>
          <w:sz w:val="28"/>
          <w:szCs w:val="28"/>
        </w:rPr>
      </w:pPr>
      <w:r>
        <w:rPr>
          <w:rFonts w:hint="eastAsia" w:ascii="仿宋_GB2312" w:eastAsia="仿宋_GB2312" w:cs="仿宋_GB2312"/>
          <w:b/>
          <w:sz w:val="28"/>
          <w:szCs w:val="28"/>
        </w:rPr>
        <w:t>（一）成立标准编制工作组</w:t>
      </w:r>
    </w:p>
    <w:p w14:paraId="48E22955">
      <w:pPr>
        <w:spacing w:line="520" w:lineRule="exact"/>
        <w:ind w:firstLine="560" w:firstLineChars="200"/>
        <w:jc w:val="left"/>
        <w:rPr>
          <w:rFonts w:ascii="仿宋_GB2312" w:eastAsia="仿宋_GB2312"/>
          <w:sz w:val="28"/>
          <w:szCs w:val="28"/>
        </w:rPr>
      </w:pPr>
      <w:r>
        <w:rPr>
          <w:rFonts w:hint="eastAsia" w:ascii="仿宋_GB2312" w:hAnsi="宋体" w:eastAsia="仿宋_GB2312"/>
          <w:sz w:val="28"/>
          <w:szCs w:val="28"/>
        </w:rPr>
        <w:t>团体标准</w:t>
      </w:r>
      <w:r>
        <w:rPr>
          <w:rFonts w:hint="eastAsia" w:ascii="仿宋_GB2312" w:eastAsia="仿宋_GB2312"/>
          <w:sz w:val="28"/>
          <w:szCs w:val="28"/>
        </w:rPr>
        <w:t>《</w:t>
      </w:r>
      <w:r>
        <w:rPr>
          <w:rFonts w:hint="eastAsia" w:ascii="仿宋_GB2312" w:eastAsia="仿宋_GB2312"/>
          <w:sz w:val="28"/>
          <w:szCs w:val="28"/>
          <w:lang w:eastAsia="zh-CN"/>
        </w:rPr>
        <w:t>壮医三部四针法治疗年闹诺（不寐）技术操作规范</w:t>
      </w:r>
      <w:r>
        <w:rPr>
          <w:rFonts w:hint="eastAsia" w:ascii="仿宋_GB2312" w:eastAsia="仿宋_GB2312"/>
          <w:sz w:val="28"/>
          <w:szCs w:val="28"/>
        </w:rPr>
        <w:t>》项目任务下达后，由</w:t>
      </w:r>
      <w:r>
        <w:rPr>
          <w:rFonts w:hint="eastAsia" w:ascii="仿宋_GB2312" w:eastAsia="仿宋_GB2312"/>
          <w:sz w:val="28"/>
          <w:szCs w:val="28"/>
          <w:lang w:eastAsia="zh-CN"/>
        </w:rPr>
        <w:t>百色市中医医院</w:t>
      </w:r>
      <w:r>
        <w:rPr>
          <w:rFonts w:hint="eastAsia" w:ascii="仿宋_GB2312" w:eastAsia="仿宋_GB2312"/>
          <w:sz w:val="28"/>
          <w:szCs w:val="28"/>
        </w:rPr>
        <w:t>牵头组织成立了标准编制工作组，制定了起草编写方案与进度安排，明确任务职责，确定工作技术路线，开展标准研制工作。具体标准编制工作由起草单位相关人员配合完成。</w:t>
      </w:r>
    </w:p>
    <w:p w14:paraId="27586D2F">
      <w:pPr>
        <w:spacing w:line="520" w:lineRule="exact"/>
        <w:ind w:firstLine="560" w:firstLineChars="200"/>
        <w:rPr>
          <w:rFonts w:ascii="仿宋_GB2312" w:eastAsia="仿宋_GB2312" w:cs="仿宋_GB2312"/>
          <w:sz w:val="28"/>
          <w:szCs w:val="28"/>
        </w:rPr>
      </w:pPr>
      <w:r>
        <w:rPr>
          <w:rFonts w:hint="eastAsia" w:ascii="仿宋_GB2312" w:eastAsia="仿宋_GB2312"/>
          <w:sz w:val="28"/>
          <w:szCs w:val="28"/>
        </w:rPr>
        <w:t>为明确标准编制的任务职责，确定工作技术路线，开展标准研制工作，标准编制工作组下设两个组，分别是资料收集组、草案编写组。资料收集组负责国内外有关</w:t>
      </w:r>
      <w:r>
        <w:rPr>
          <w:rFonts w:hint="eastAsia" w:ascii="仿宋_GB2312" w:eastAsia="仿宋_GB2312"/>
          <w:sz w:val="28"/>
          <w:szCs w:val="28"/>
          <w:lang w:eastAsia="zh-CN"/>
        </w:rPr>
        <w:t>壮医三部四针法治疗年闹诺（不寐）技术</w:t>
      </w:r>
      <w:r>
        <w:rPr>
          <w:rFonts w:hint="eastAsia" w:ascii="仿宋_GB2312" w:eastAsia="仿宋_GB2312"/>
          <w:sz w:val="28"/>
          <w:szCs w:val="28"/>
        </w:rPr>
        <w:t>方面的文献资料的查询、收集和整理工作，查阅前期对</w:t>
      </w:r>
      <w:r>
        <w:rPr>
          <w:rFonts w:hint="eastAsia" w:ascii="仿宋_GB2312" w:eastAsia="仿宋_GB2312"/>
          <w:sz w:val="28"/>
          <w:szCs w:val="28"/>
          <w:lang w:eastAsia="zh-CN"/>
        </w:rPr>
        <w:t>壮医三部四针法治疗年闹诺（不寐）技术</w:t>
      </w:r>
      <w:r>
        <w:rPr>
          <w:rFonts w:hint="eastAsia" w:ascii="仿宋_GB2312" w:eastAsia="仿宋_GB2312"/>
          <w:sz w:val="28"/>
          <w:szCs w:val="28"/>
        </w:rPr>
        <w:t>方面的有关研究情况和目前科学界</w:t>
      </w:r>
      <w:r>
        <w:rPr>
          <w:rFonts w:hint="eastAsia" w:ascii="仿宋_GB2312" w:eastAsia="仿宋_GB2312"/>
          <w:sz w:val="28"/>
          <w:szCs w:val="28"/>
          <w:lang w:eastAsia="zh-CN"/>
        </w:rPr>
        <w:t>壮医三部四针法治疗年闹诺（不寐）技术</w:t>
      </w:r>
      <w:r>
        <w:rPr>
          <w:rFonts w:hint="eastAsia" w:ascii="仿宋_GB2312" w:eastAsia="仿宋_GB2312"/>
          <w:sz w:val="28"/>
          <w:szCs w:val="28"/>
        </w:rPr>
        <w:t>的研究进展；草案编写组负责起草标准草案及后续征求意见稿和标准编制说明、送审稿及编制说明等编写工作，包括后期召开征求意见会、网上征求意见，以及标准的不断修改和完善。</w:t>
      </w:r>
    </w:p>
    <w:p w14:paraId="06616C9C">
      <w:pPr>
        <w:spacing w:line="520" w:lineRule="exact"/>
        <w:ind w:firstLine="562" w:firstLineChars="200"/>
        <w:outlineLvl w:val="1"/>
        <w:rPr>
          <w:rFonts w:ascii="仿宋_GB2312" w:eastAsia="仿宋_GB2312" w:cs="仿宋_GB2312"/>
          <w:b/>
          <w:sz w:val="28"/>
          <w:szCs w:val="28"/>
        </w:rPr>
      </w:pPr>
      <w:r>
        <w:rPr>
          <w:rFonts w:hint="eastAsia" w:ascii="仿宋_GB2312" w:eastAsia="仿宋_GB2312" w:cs="仿宋_GB2312"/>
          <w:b/>
          <w:sz w:val="28"/>
          <w:szCs w:val="28"/>
        </w:rPr>
        <w:t>（二）收集整理文献资料</w:t>
      </w:r>
    </w:p>
    <w:p w14:paraId="6290498D">
      <w:pPr>
        <w:spacing w:line="520" w:lineRule="exact"/>
        <w:ind w:firstLine="560" w:firstLineChars="200"/>
        <w:rPr>
          <w:rFonts w:ascii="仿宋_GB2312" w:eastAsia="仿宋_GB2312"/>
          <w:sz w:val="28"/>
          <w:szCs w:val="28"/>
        </w:rPr>
      </w:pPr>
      <w:r>
        <w:rPr>
          <w:rFonts w:hint="eastAsia" w:ascii="仿宋_GB2312" w:eastAsia="仿宋_GB2312"/>
          <w:sz w:val="28"/>
          <w:szCs w:val="28"/>
        </w:rPr>
        <w:t>标准编制工作组收集了国内有关</w:t>
      </w:r>
      <w:r>
        <w:rPr>
          <w:rFonts w:hint="eastAsia" w:ascii="仿宋_GB2312" w:eastAsia="仿宋_GB2312"/>
          <w:sz w:val="28"/>
          <w:szCs w:val="28"/>
          <w:lang w:eastAsia="zh-CN"/>
        </w:rPr>
        <w:t>壮医三部四针法治疗年闹诺（不寐）技术</w:t>
      </w:r>
      <w:r>
        <w:rPr>
          <w:rFonts w:hint="eastAsia" w:ascii="仿宋_GB2312" w:eastAsia="仿宋_GB2312"/>
          <w:sz w:val="28"/>
          <w:szCs w:val="28"/>
        </w:rPr>
        <w:t>的相关文献资料。主要有：</w:t>
      </w:r>
    </w:p>
    <w:p w14:paraId="616F9CB6">
      <w:pPr>
        <w:spacing w:line="520" w:lineRule="exact"/>
        <w:ind w:firstLine="560" w:firstLineChars="200"/>
        <w:rPr>
          <w:rFonts w:hint="eastAsia" w:ascii="仿宋_GB2312" w:eastAsia="仿宋_GB2312"/>
          <w:sz w:val="28"/>
          <w:szCs w:val="28"/>
        </w:rPr>
      </w:pPr>
      <w:r>
        <w:rPr>
          <w:rFonts w:hint="eastAsia" w:ascii="仿宋_GB2312" w:eastAsia="仿宋_GB2312"/>
          <w:sz w:val="28"/>
          <w:szCs w:val="28"/>
        </w:rPr>
        <w:t>[1]  何凤心,罗试计,陈鹏,等.基于红外热成像技术对壮医三部四针法治疗不寐患者的临床效果评价[J].右江医学, 2023, 51(3):257-260.</w:t>
      </w:r>
    </w:p>
    <w:p w14:paraId="6BF18D7E">
      <w:pPr>
        <w:spacing w:line="520" w:lineRule="exact"/>
        <w:ind w:firstLine="560" w:firstLineChars="200"/>
        <w:rPr>
          <w:rFonts w:hint="eastAsia" w:ascii="仿宋_GB2312" w:eastAsia="仿宋_GB2312"/>
          <w:sz w:val="28"/>
          <w:szCs w:val="28"/>
        </w:rPr>
      </w:pPr>
      <w:r>
        <w:rPr>
          <w:rFonts w:hint="eastAsia" w:ascii="仿宋_GB2312" w:eastAsia="仿宋_GB2312"/>
          <w:sz w:val="28"/>
          <w:szCs w:val="28"/>
        </w:rPr>
        <w:t>[2]  梁胜男,罗试计,陈鹏,等.交泰丸内服联合壮医三部四针法治疗心肾不交型失眠临床观察[J].广西中医药, 2023, 46(1):35-38.</w:t>
      </w:r>
    </w:p>
    <w:p w14:paraId="541F094A">
      <w:pPr>
        <w:spacing w:line="520" w:lineRule="exact"/>
        <w:ind w:firstLine="562" w:firstLineChars="200"/>
        <w:outlineLvl w:val="1"/>
        <w:rPr>
          <w:rFonts w:ascii="仿宋_GB2312" w:eastAsia="仿宋_GB2312" w:cs="仿宋_GB2312"/>
          <w:b/>
          <w:sz w:val="28"/>
          <w:szCs w:val="28"/>
        </w:rPr>
      </w:pPr>
      <w:r>
        <w:rPr>
          <w:rFonts w:hint="eastAsia" w:ascii="仿宋_GB2312" w:eastAsia="仿宋_GB2312" w:cs="仿宋_GB2312"/>
          <w:b/>
          <w:sz w:val="28"/>
          <w:szCs w:val="28"/>
        </w:rPr>
        <w:t>（三）研讨确定标准主体内容及标准创新点</w:t>
      </w:r>
    </w:p>
    <w:p w14:paraId="45B43E1D">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标准编制工作组在对收集的资料进行整理研究之后，召开了标准编制会议，对标准的整体框架结构进行了研究，并对标准的关键性内容进行了初步探讨。经过研究，标准的主体内容为</w:t>
      </w:r>
      <w:r>
        <w:rPr>
          <w:rFonts w:hint="eastAsia" w:ascii="仿宋_GB2312" w:hAnsi="仿宋_GB2312" w:eastAsia="仿宋_GB2312" w:cs="仿宋_GB2312"/>
          <w:sz w:val="28"/>
          <w:szCs w:val="28"/>
          <w:lang w:eastAsia="zh-CN"/>
        </w:rPr>
        <w:t>壮医三部四针法治疗年闹诺（不寐）技术</w:t>
      </w:r>
      <w:r>
        <w:rPr>
          <w:rFonts w:hint="eastAsia" w:ascii="仿宋_GB2312" w:hAnsi="仿宋_GB2312" w:eastAsia="仿宋_GB2312" w:cs="仿宋_GB2312"/>
          <w:sz w:val="28"/>
          <w:szCs w:val="28"/>
        </w:rPr>
        <w:t>的基本要求、施术前准备、施术方法、施术后处理、注意事项、不良反应处理等</w:t>
      </w:r>
      <w:r>
        <w:rPr>
          <w:rFonts w:hint="eastAsia" w:ascii="仿宋_GB2312" w:hAnsi="仿宋_GB2312" w:eastAsia="仿宋_GB2312" w:cs="仿宋_GB2312"/>
          <w:sz w:val="28"/>
          <w:szCs w:val="28"/>
          <w:lang w:eastAsia="zh-CN"/>
        </w:rPr>
        <w:t>内容</w:t>
      </w:r>
      <w:r>
        <w:rPr>
          <w:rFonts w:hint="eastAsia" w:ascii="仿宋_GB2312" w:hAnsi="仿宋_GB2312" w:eastAsia="仿宋_GB2312" w:cs="仿宋_GB2312"/>
          <w:sz w:val="28"/>
          <w:szCs w:val="28"/>
        </w:rPr>
        <w:t>。</w:t>
      </w:r>
    </w:p>
    <w:p w14:paraId="2EBFBD65">
      <w:pPr>
        <w:pStyle w:val="33"/>
        <w:spacing w:before="0" w:beforeLines="0" w:after="0" w:afterLines="0"/>
        <w:ind w:firstLine="560"/>
        <w:jc w:val="both"/>
        <w:rPr>
          <w:rFonts w:hint="eastAsia" w:ascii="仿宋_GB2312" w:hAnsi="仿宋_GB2312" w:eastAsia="仿宋_GB2312" w:cs="仿宋_GB2312"/>
          <w:sz w:val="28"/>
          <w:szCs w:val="28"/>
          <w:highlight w:val="none"/>
          <w:lang w:eastAsia="zh-CN"/>
        </w:rPr>
      </w:pPr>
      <w:r>
        <w:rPr>
          <w:rFonts w:hint="eastAsia" w:ascii="仿宋_GB2312" w:hAnsi="仿宋_GB2312" w:eastAsia="仿宋_GB2312" w:cs="仿宋_GB2312"/>
          <w:sz w:val="28"/>
          <w:szCs w:val="28"/>
          <w:highlight w:val="none"/>
        </w:rPr>
        <w:t>本标准创新点主要为：</w:t>
      </w:r>
    </w:p>
    <w:p w14:paraId="0CD1A3E3">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 本标准基于壮医“天、地、人”三部之气同步运行的理论，提出“三部四针法”，强调通过针刺三部穴位调节气血、通调龙路火路，恢复三部之气协调运行，达到阴阳平衡。这一理论体系在失眠治疗领域具有独创性，填补了壮医针刺技术标准化的空白。</w:t>
      </w:r>
    </w:p>
    <w:p w14:paraId="6188E6EC">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 在针刺过程中，要求患者配合呼吸运动（如腹式呼吸）进行捻转操作，形成“针呼同步”的操作模式。这种将针刺手法与呼吸调节相结合的复合干预手段，增强了治疗的协同效应，提升了临床操作的规范性和可操作性。</w:t>
      </w:r>
    </w:p>
    <w:p w14:paraId="5C0FD30F">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 选取百会、安眠三穴、印堂、脐内环四穴、足三里、独阴等穴位，构成“三部四针”专病用穴组合，体现了壮医特色与现代针灸临床经验的融合。尤其是“脐内环四穴”的引入，拓展了壮医在失眠治疗中的应用路径。</w:t>
      </w:r>
    </w:p>
    <w:p w14:paraId="1443A89D">
      <w:pPr>
        <w:spacing w:line="520" w:lineRule="exact"/>
        <w:ind w:firstLine="562" w:firstLineChars="200"/>
        <w:outlineLvl w:val="1"/>
        <w:rPr>
          <w:rFonts w:hint="eastAsia" w:ascii="仿宋_GB2312" w:eastAsia="仿宋_GB2312" w:cs="仿宋_GB2312"/>
          <w:b/>
          <w:sz w:val="28"/>
          <w:szCs w:val="28"/>
          <w:lang w:val="en-US" w:eastAsia="zh-CN"/>
        </w:rPr>
      </w:pPr>
      <w:r>
        <w:rPr>
          <w:rFonts w:hint="eastAsia" w:ascii="仿宋_GB2312" w:eastAsia="仿宋_GB2312" w:cs="仿宋_GB2312"/>
          <w:b/>
          <w:sz w:val="28"/>
          <w:szCs w:val="28"/>
        </w:rPr>
        <w:t>（四）调研及形成草案、征求意见稿</w:t>
      </w:r>
    </w:p>
    <w:p w14:paraId="5BD918A7">
      <w:pPr>
        <w:spacing w:line="520" w:lineRule="exact"/>
        <w:ind w:firstLine="560" w:firstLineChars="200"/>
        <w:rPr>
          <w:rFonts w:hint="eastAsia" w:ascii="仿宋_GB2312" w:eastAsia="仿宋_GB2312"/>
          <w:kern w:val="0"/>
          <w:sz w:val="28"/>
          <w:szCs w:val="28"/>
          <w:lang w:val="en-US" w:eastAsia="zh-CN"/>
        </w:rPr>
      </w:pPr>
      <w:r>
        <w:rPr>
          <w:rFonts w:hint="eastAsia" w:ascii="仿宋_GB2312" w:eastAsia="仿宋_GB2312"/>
          <w:kern w:val="0"/>
          <w:sz w:val="28"/>
          <w:szCs w:val="28"/>
          <w:lang w:val="en-US" w:eastAsia="zh-CN"/>
        </w:rPr>
        <w:t>2020年1月至今，标准编制工作组深入隆林各族自治县中医医院、田林县中医医院、崇左市中医壮医医院、西林县中医医院、乐业县中医医院、靖西市中医医院、凌云县中医医院、德保县中医医院等单位，对壮医三部四针法治疗技术进行了系统的推广与培训；同时，依托广西医师协会壮医医师分会、国医大师黄瑾明教授黄氏壮医针灸流派学术年会、百色市医学会中医药学分会学术年会等平台开展专题技术交流与演示。通过上述实地培训与学术研讨，工作组广泛收集了临床一线的操作反馈及专家意见建议，为本标准的起草奠定了扎实的实践基础与理论支撑。</w:t>
      </w:r>
    </w:p>
    <w:p w14:paraId="0687106D">
      <w:pPr>
        <w:spacing w:line="240" w:lineRule="auto"/>
        <w:jc w:val="center"/>
        <w:rPr>
          <w:rFonts w:hint="eastAsia" w:ascii="仿宋_GB2312" w:eastAsia="仿宋_GB2312"/>
          <w:kern w:val="0"/>
          <w:sz w:val="28"/>
          <w:szCs w:val="28"/>
          <w:lang w:val="en-US" w:eastAsia="zh-CN"/>
        </w:rPr>
      </w:pPr>
      <w:r>
        <w:rPr>
          <w:rFonts w:hint="eastAsia" w:ascii="仿宋_GB2312" w:eastAsia="仿宋_GB2312"/>
          <w:kern w:val="0"/>
          <w:sz w:val="28"/>
          <w:szCs w:val="28"/>
          <w:lang w:val="en-US" w:eastAsia="zh-CN"/>
        </w:rPr>
        <w:drawing>
          <wp:inline distT="0" distB="0" distL="114300" distR="114300">
            <wp:extent cx="2520315" cy="1891030"/>
            <wp:effectExtent l="0" t="0" r="13335" b="13970"/>
            <wp:docPr id="3" name="图片 3" descr="c619cb25343db6d6a1a1671077a272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619cb25343db6d6a1a1671077a2723c"/>
                    <pic:cNvPicPr>
                      <a:picLocks noChangeAspect="1"/>
                    </pic:cNvPicPr>
                  </pic:nvPicPr>
                  <pic:blipFill>
                    <a:blip r:embed="rId5"/>
                    <a:stretch>
                      <a:fillRect/>
                    </a:stretch>
                  </pic:blipFill>
                  <pic:spPr>
                    <a:xfrm>
                      <a:off x="0" y="0"/>
                      <a:ext cx="2520315" cy="1891030"/>
                    </a:xfrm>
                    <a:prstGeom prst="rect">
                      <a:avLst/>
                    </a:prstGeom>
                  </pic:spPr>
                </pic:pic>
              </a:graphicData>
            </a:graphic>
          </wp:inline>
        </w:drawing>
      </w:r>
    </w:p>
    <w:p w14:paraId="53E292BB">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t>隆林各族自治县中医医院培训现场</w:t>
      </w:r>
    </w:p>
    <w:p w14:paraId="5529A04B">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drawing>
          <wp:inline distT="0" distB="0" distL="114300" distR="114300">
            <wp:extent cx="2520315" cy="1889760"/>
            <wp:effectExtent l="0" t="0" r="13335" b="15240"/>
            <wp:docPr id="8" name="图片 8" descr="4248de02cba2372b801a47332e380d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4248de02cba2372b801a47332e380d9b"/>
                    <pic:cNvPicPr>
                      <a:picLocks noChangeAspect="1"/>
                    </pic:cNvPicPr>
                  </pic:nvPicPr>
                  <pic:blipFill>
                    <a:blip r:embed="rId6"/>
                    <a:stretch>
                      <a:fillRect/>
                    </a:stretch>
                  </pic:blipFill>
                  <pic:spPr>
                    <a:xfrm>
                      <a:off x="0" y="0"/>
                      <a:ext cx="2520315" cy="1889760"/>
                    </a:xfrm>
                    <a:prstGeom prst="rect">
                      <a:avLst/>
                    </a:prstGeom>
                  </pic:spPr>
                </pic:pic>
              </a:graphicData>
            </a:graphic>
          </wp:inline>
        </w:drawing>
      </w:r>
    </w:p>
    <w:p w14:paraId="4D5AA5C5">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t>田林县中医医院培训现场</w:t>
      </w:r>
    </w:p>
    <w:p w14:paraId="5886A534">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drawing>
          <wp:inline distT="0" distB="0" distL="114300" distR="114300">
            <wp:extent cx="2520315" cy="1680210"/>
            <wp:effectExtent l="0" t="0" r="13335" b="15240"/>
            <wp:docPr id="13" name="图片 13" descr="5d35f8d06ce075019352509f86d2d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5d35f8d06ce075019352509f86d2d175"/>
                    <pic:cNvPicPr>
                      <a:picLocks noChangeAspect="1"/>
                    </pic:cNvPicPr>
                  </pic:nvPicPr>
                  <pic:blipFill>
                    <a:blip r:embed="rId7"/>
                    <a:stretch>
                      <a:fillRect/>
                    </a:stretch>
                  </pic:blipFill>
                  <pic:spPr>
                    <a:xfrm>
                      <a:off x="0" y="0"/>
                      <a:ext cx="2520315" cy="1680210"/>
                    </a:xfrm>
                    <a:prstGeom prst="rect">
                      <a:avLst/>
                    </a:prstGeom>
                  </pic:spPr>
                </pic:pic>
              </a:graphicData>
            </a:graphic>
          </wp:inline>
        </w:drawing>
      </w:r>
    </w:p>
    <w:p w14:paraId="4641E94F">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t>崇左市中医壮医医院培训现场</w:t>
      </w:r>
    </w:p>
    <w:p w14:paraId="6A00528D">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drawing>
          <wp:inline distT="0" distB="0" distL="114300" distR="114300">
            <wp:extent cx="2520315" cy="1889760"/>
            <wp:effectExtent l="0" t="0" r="13335" b="15240"/>
            <wp:docPr id="14" name="图片 14" descr="3174af3b291836965c59320cd85ef2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3174af3b291836965c59320cd85ef2cf"/>
                    <pic:cNvPicPr>
                      <a:picLocks noChangeAspect="1"/>
                    </pic:cNvPicPr>
                  </pic:nvPicPr>
                  <pic:blipFill>
                    <a:blip r:embed="rId8"/>
                    <a:stretch>
                      <a:fillRect/>
                    </a:stretch>
                  </pic:blipFill>
                  <pic:spPr>
                    <a:xfrm>
                      <a:off x="0" y="0"/>
                      <a:ext cx="2520315" cy="1889760"/>
                    </a:xfrm>
                    <a:prstGeom prst="rect">
                      <a:avLst/>
                    </a:prstGeom>
                  </pic:spPr>
                </pic:pic>
              </a:graphicData>
            </a:graphic>
          </wp:inline>
        </w:drawing>
      </w:r>
    </w:p>
    <w:p w14:paraId="0B80BF74">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t>西林县中医医院培训现场</w:t>
      </w:r>
    </w:p>
    <w:p w14:paraId="4912702C">
      <w:pPr>
        <w:spacing w:line="240" w:lineRule="auto"/>
        <w:jc w:val="center"/>
        <w:rPr>
          <w:rFonts w:hint="eastAsia" w:ascii="黑体" w:hAnsi="黑体" w:eastAsia="黑体" w:cs="黑体"/>
          <w:kern w:val="0"/>
          <w:sz w:val="24"/>
          <w:szCs w:val="24"/>
          <w:lang w:val="en-US" w:eastAsia="zh-CN"/>
        </w:rPr>
      </w:pPr>
      <w:r>
        <w:drawing>
          <wp:inline distT="0" distB="0" distL="114300" distR="114300">
            <wp:extent cx="2520315" cy="1889760"/>
            <wp:effectExtent l="0" t="0" r="13335" b="1524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9"/>
                    <a:stretch>
                      <a:fillRect/>
                    </a:stretch>
                  </pic:blipFill>
                  <pic:spPr>
                    <a:xfrm>
                      <a:off x="0" y="0"/>
                      <a:ext cx="2520315" cy="1889760"/>
                    </a:xfrm>
                    <a:prstGeom prst="rect">
                      <a:avLst/>
                    </a:prstGeom>
                    <a:noFill/>
                    <a:ln>
                      <a:noFill/>
                    </a:ln>
                  </pic:spPr>
                </pic:pic>
              </a:graphicData>
            </a:graphic>
          </wp:inline>
        </w:drawing>
      </w:r>
    </w:p>
    <w:p w14:paraId="06037664">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t>乐业县中医医院培训现场</w:t>
      </w:r>
    </w:p>
    <w:p w14:paraId="099DE6D8">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drawing>
          <wp:inline distT="0" distB="0" distL="114300" distR="114300">
            <wp:extent cx="2520315" cy="1417320"/>
            <wp:effectExtent l="0" t="0" r="13335" b="11430"/>
            <wp:docPr id="16" name="图片 16" descr="001e05a2a5cb9a3a203b3fc58707a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001e05a2a5cb9a3a203b3fc58707a166"/>
                    <pic:cNvPicPr>
                      <a:picLocks noChangeAspect="1"/>
                    </pic:cNvPicPr>
                  </pic:nvPicPr>
                  <pic:blipFill>
                    <a:blip r:embed="rId10"/>
                    <a:stretch>
                      <a:fillRect/>
                    </a:stretch>
                  </pic:blipFill>
                  <pic:spPr>
                    <a:xfrm>
                      <a:off x="0" y="0"/>
                      <a:ext cx="2520315" cy="1417320"/>
                    </a:xfrm>
                    <a:prstGeom prst="rect">
                      <a:avLst/>
                    </a:prstGeom>
                  </pic:spPr>
                </pic:pic>
              </a:graphicData>
            </a:graphic>
          </wp:inline>
        </w:drawing>
      </w:r>
    </w:p>
    <w:p w14:paraId="2880F38A">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t>广西医师协会壮医医师分会2025年学术年会培训现场</w:t>
      </w:r>
    </w:p>
    <w:p w14:paraId="1D62A74F">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drawing>
          <wp:inline distT="0" distB="0" distL="114300" distR="114300">
            <wp:extent cx="2520315" cy="1890395"/>
            <wp:effectExtent l="0" t="0" r="13335" b="14605"/>
            <wp:docPr id="17" name="图片 17" descr="9e6d7a6cf2c4ec367a2f4ffae15c5e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9e6d7a6cf2c4ec367a2f4ffae15c5e66"/>
                    <pic:cNvPicPr>
                      <a:picLocks noChangeAspect="1"/>
                    </pic:cNvPicPr>
                  </pic:nvPicPr>
                  <pic:blipFill>
                    <a:blip r:embed="rId11"/>
                    <a:stretch>
                      <a:fillRect/>
                    </a:stretch>
                  </pic:blipFill>
                  <pic:spPr>
                    <a:xfrm>
                      <a:off x="0" y="0"/>
                      <a:ext cx="2520315" cy="1890395"/>
                    </a:xfrm>
                    <a:prstGeom prst="rect">
                      <a:avLst/>
                    </a:prstGeom>
                  </pic:spPr>
                </pic:pic>
              </a:graphicData>
            </a:graphic>
          </wp:inline>
        </w:drawing>
      </w:r>
    </w:p>
    <w:p w14:paraId="2F374EBE">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t>2023年国医大师黄瑾明教授黄氏壮医针灸流派学术年会培训现场</w:t>
      </w:r>
    </w:p>
    <w:p w14:paraId="791B673C">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drawing>
          <wp:inline distT="0" distB="0" distL="114300" distR="114300">
            <wp:extent cx="2520315" cy="1678940"/>
            <wp:effectExtent l="0" t="0" r="13335" b="16510"/>
            <wp:docPr id="18" name="图片 18" descr="0ba784a42ef48af5668b9b2b6fffde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0ba784a42ef48af5668b9b2b6fffde39"/>
                    <pic:cNvPicPr>
                      <a:picLocks noChangeAspect="1"/>
                    </pic:cNvPicPr>
                  </pic:nvPicPr>
                  <pic:blipFill>
                    <a:blip r:embed="rId12"/>
                    <a:stretch>
                      <a:fillRect/>
                    </a:stretch>
                  </pic:blipFill>
                  <pic:spPr>
                    <a:xfrm>
                      <a:off x="0" y="0"/>
                      <a:ext cx="2520315" cy="1678940"/>
                    </a:xfrm>
                    <a:prstGeom prst="rect">
                      <a:avLst/>
                    </a:prstGeom>
                  </pic:spPr>
                </pic:pic>
              </a:graphicData>
            </a:graphic>
          </wp:inline>
        </w:drawing>
      </w:r>
    </w:p>
    <w:p w14:paraId="235A66E9">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t>靖西市中医医院培训现场</w:t>
      </w:r>
    </w:p>
    <w:p w14:paraId="1C596989">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drawing>
          <wp:inline distT="0" distB="0" distL="114300" distR="114300">
            <wp:extent cx="2520315" cy="1891665"/>
            <wp:effectExtent l="0" t="0" r="13335" b="13335"/>
            <wp:docPr id="19" name="图片 19" descr="5d5ba52f70f7154c4d0e425576e8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5d5ba52f70f7154c4d0e425576e81853"/>
                    <pic:cNvPicPr>
                      <a:picLocks noChangeAspect="1"/>
                    </pic:cNvPicPr>
                  </pic:nvPicPr>
                  <pic:blipFill>
                    <a:blip r:embed="rId13"/>
                    <a:stretch>
                      <a:fillRect/>
                    </a:stretch>
                  </pic:blipFill>
                  <pic:spPr>
                    <a:xfrm>
                      <a:off x="0" y="0"/>
                      <a:ext cx="2520315" cy="1891665"/>
                    </a:xfrm>
                    <a:prstGeom prst="rect">
                      <a:avLst/>
                    </a:prstGeom>
                  </pic:spPr>
                </pic:pic>
              </a:graphicData>
            </a:graphic>
          </wp:inline>
        </w:drawing>
      </w:r>
    </w:p>
    <w:p w14:paraId="43496A44">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t>凌云县中医医院培训现场</w:t>
      </w:r>
    </w:p>
    <w:p w14:paraId="2BC4BECA">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drawing>
          <wp:inline distT="0" distB="0" distL="114300" distR="114300">
            <wp:extent cx="2520315" cy="1417955"/>
            <wp:effectExtent l="0" t="0" r="13335" b="10795"/>
            <wp:docPr id="20" name="图片 20" descr="e2eff884d3a8e970c2f819770d8d0b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e2eff884d3a8e970c2f819770d8d0be5"/>
                    <pic:cNvPicPr>
                      <a:picLocks noChangeAspect="1"/>
                    </pic:cNvPicPr>
                  </pic:nvPicPr>
                  <pic:blipFill>
                    <a:blip r:embed="rId14"/>
                    <a:stretch>
                      <a:fillRect/>
                    </a:stretch>
                  </pic:blipFill>
                  <pic:spPr>
                    <a:xfrm>
                      <a:off x="0" y="0"/>
                      <a:ext cx="2520315" cy="1417955"/>
                    </a:xfrm>
                    <a:prstGeom prst="rect">
                      <a:avLst/>
                    </a:prstGeom>
                  </pic:spPr>
                </pic:pic>
              </a:graphicData>
            </a:graphic>
          </wp:inline>
        </w:drawing>
      </w:r>
    </w:p>
    <w:p w14:paraId="301AFE9E">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t>田东县中医医院培训现场</w:t>
      </w:r>
    </w:p>
    <w:p w14:paraId="1950845A">
      <w:pPr>
        <w:spacing w:line="240" w:lineRule="auto"/>
        <w:jc w:val="center"/>
        <w:rPr>
          <w:rFonts w:hint="eastAsia" w:ascii="黑体" w:hAnsi="黑体" w:eastAsia="黑体" w:cs="黑体"/>
          <w:kern w:val="0"/>
          <w:sz w:val="24"/>
          <w:szCs w:val="24"/>
          <w:lang w:val="en-US" w:eastAsia="zh-CN"/>
        </w:rPr>
      </w:pPr>
      <w:r>
        <w:drawing>
          <wp:inline distT="0" distB="0" distL="114300" distR="114300">
            <wp:extent cx="2247900" cy="2997835"/>
            <wp:effectExtent l="0" t="0" r="0" b="12065"/>
            <wp:docPr id="2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pic:cNvPicPr>
                      <a:picLocks noChangeAspect="1"/>
                    </pic:cNvPicPr>
                  </pic:nvPicPr>
                  <pic:blipFill>
                    <a:blip r:embed="rId15"/>
                    <a:stretch>
                      <a:fillRect/>
                    </a:stretch>
                  </pic:blipFill>
                  <pic:spPr>
                    <a:xfrm>
                      <a:off x="0" y="0"/>
                      <a:ext cx="2247900" cy="2997835"/>
                    </a:xfrm>
                    <a:prstGeom prst="rect">
                      <a:avLst/>
                    </a:prstGeom>
                    <a:noFill/>
                    <a:ln>
                      <a:noFill/>
                    </a:ln>
                  </pic:spPr>
                </pic:pic>
              </a:graphicData>
            </a:graphic>
          </wp:inline>
        </w:drawing>
      </w:r>
    </w:p>
    <w:p w14:paraId="59E2E294">
      <w:pPr>
        <w:spacing w:line="240" w:lineRule="auto"/>
        <w:jc w:val="center"/>
        <w:rPr>
          <w:rFonts w:hint="eastAsia" w:ascii="黑体" w:hAnsi="黑体" w:eastAsia="黑体" w:cs="黑体"/>
          <w:kern w:val="0"/>
          <w:sz w:val="24"/>
          <w:szCs w:val="24"/>
          <w:lang w:val="en-US" w:eastAsia="zh-CN"/>
        </w:rPr>
      </w:pPr>
      <w:r>
        <w:rPr>
          <w:rFonts w:hint="eastAsia" w:ascii="黑体" w:hAnsi="黑体" w:eastAsia="黑体" w:cs="黑体"/>
          <w:kern w:val="0"/>
          <w:sz w:val="24"/>
          <w:szCs w:val="24"/>
          <w:lang w:val="en-US" w:eastAsia="zh-CN"/>
        </w:rPr>
        <w:t>德保县中医医院实操现场</w:t>
      </w:r>
    </w:p>
    <w:p w14:paraId="02A853F9">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2025年8月，标准编制工作组查阅了大量的国内文献资料，对</w:t>
      </w:r>
      <w:r>
        <w:rPr>
          <w:rFonts w:hint="eastAsia" w:ascii="仿宋_GB2312" w:eastAsia="仿宋_GB2312"/>
          <w:kern w:val="0"/>
          <w:sz w:val="28"/>
          <w:szCs w:val="28"/>
          <w:lang w:eastAsia="zh-CN"/>
        </w:rPr>
        <w:t>壮医三部四针法治疗年闹诺（不寐）技术</w:t>
      </w:r>
      <w:r>
        <w:rPr>
          <w:rFonts w:hint="eastAsia" w:ascii="仿宋_GB2312" w:eastAsia="仿宋_GB2312"/>
          <w:kern w:val="0"/>
          <w:sz w:val="28"/>
          <w:szCs w:val="28"/>
        </w:rPr>
        <w:t>相关的文件进行系统总结。形成了标准的基本构架，对主要内容进行了讨论并对项目的工作进行了部署和安排。</w:t>
      </w:r>
    </w:p>
    <w:p w14:paraId="0EAA2F22">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2025年11月，团体标准《</w:t>
      </w:r>
      <w:r>
        <w:rPr>
          <w:rFonts w:hint="eastAsia" w:ascii="仿宋_GB2312" w:eastAsia="仿宋_GB2312"/>
          <w:kern w:val="0"/>
          <w:sz w:val="28"/>
          <w:szCs w:val="28"/>
          <w:lang w:eastAsia="zh-CN"/>
        </w:rPr>
        <w:t>壮医三部四针法治疗年闹诺（不寐）技术操作规范</w:t>
      </w:r>
      <w:r>
        <w:rPr>
          <w:rFonts w:hint="eastAsia" w:ascii="仿宋_GB2312" w:eastAsia="仿宋_GB2312"/>
          <w:kern w:val="0"/>
          <w:sz w:val="28"/>
          <w:szCs w:val="28"/>
        </w:rPr>
        <w:t>》获批立项，在前期工作的基础之上，通过理清逻辑脉络，整合已有参考资料中有关</w:t>
      </w:r>
      <w:r>
        <w:rPr>
          <w:rFonts w:hint="eastAsia" w:ascii="仿宋_GB2312" w:eastAsia="仿宋_GB2312"/>
          <w:kern w:val="0"/>
          <w:sz w:val="28"/>
          <w:szCs w:val="28"/>
          <w:lang w:eastAsia="zh-CN"/>
        </w:rPr>
        <w:t>壮医三部四针法治疗年闹诺（不寐）技术</w:t>
      </w:r>
      <w:r>
        <w:rPr>
          <w:rFonts w:hint="eastAsia" w:ascii="仿宋_GB2312" w:eastAsia="仿宋_GB2312"/>
          <w:kern w:val="0"/>
          <w:sz w:val="28"/>
          <w:szCs w:val="28"/>
        </w:rPr>
        <w:t>的要求，并在目前</w:t>
      </w:r>
      <w:r>
        <w:rPr>
          <w:rFonts w:hint="eastAsia" w:ascii="仿宋_GB2312" w:eastAsia="仿宋_GB2312"/>
          <w:kern w:val="0"/>
          <w:sz w:val="28"/>
          <w:szCs w:val="28"/>
          <w:lang w:eastAsia="zh-CN"/>
        </w:rPr>
        <w:t>壮医三部四针法治疗年闹诺（不寐）技术</w:t>
      </w:r>
      <w:r>
        <w:rPr>
          <w:rFonts w:hint="eastAsia" w:ascii="仿宋_GB2312" w:eastAsia="仿宋_GB2312"/>
          <w:kern w:val="0"/>
          <w:sz w:val="28"/>
          <w:szCs w:val="28"/>
        </w:rPr>
        <w:t>实际操作的基础上，按照简化、统一等原则编制完成团体标准《</w:t>
      </w:r>
      <w:r>
        <w:rPr>
          <w:rFonts w:hint="eastAsia" w:ascii="仿宋_GB2312" w:eastAsia="仿宋_GB2312"/>
          <w:kern w:val="0"/>
          <w:sz w:val="28"/>
          <w:szCs w:val="28"/>
          <w:lang w:eastAsia="zh-CN"/>
        </w:rPr>
        <w:t>壮医三部四针法治疗年闹诺（不寐）技术操作规范</w:t>
      </w:r>
      <w:r>
        <w:rPr>
          <w:rFonts w:hint="eastAsia" w:ascii="仿宋_GB2312" w:eastAsia="仿宋_GB2312"/>
          <w:kern w:val="0"/>
          <w:sz w:val="28"/>
          <w:szCs w:val="28"/>
        </w:rPr>
        <w:t>》（草案）。</w:t>
      </w:r>
    </w:p>
    <w:p w14:paraId="31DEDD42">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2025年</w:t>
      </w:r>
      <w:r>
        <w:rPr>
          <w:rFonts w:hint="eastAsia" w:ascii="仿宋_GB2312" w:eastAsia="仿宋_GB2312"/>
          <w:kern w:val="0"/>
          <w:sz w:val="28"/>
          <w:szCs w:val="28"/>
          <w:lang w:val="en-US" w:eastAsia="zh-CN"/>
        </w:rPr>
        <w:t>2</w:t>
      </w:r>
      <w:r>
        <w:rPr>
          <w:rFonts w:hint="eastAsia" w:ascii="仿宋_GB2312" w:eastAsia="仿宋_GB2312"/>
          <w:kern w:val="0"/>
          <w:sz w:val="28"/>
          <w:szCs w:val="28"/>
        </w:rPr>
        <w:t>月，标准编制工作组深入各地实施</w:t>
      </w:r>
      <w:r>
        <w:rPr>
          <w:rFonts w:hint="eastAsia" w:ascii="仿宋_GB2312" w:eastAsia="仿宋_GB2312"/>
          <w:kern w:val="0"/>
          <w:sz w:val="28"/>
          <w:szCs w:val="28"/>
          <w:lang w:eastAsia="zh-CN"/>
        </w:rPr>
        <w:t>壮医三部四针法治疗年闹诺（不寐）技术</w:t>
      </w:r>
      <w:r>
        <w:rPr>
          <w:rFonts w:hint="eastAsia" w:ascii="仿宋_GB2312" w:eastAsia="仿宋_GB2312"/>
          <w:kern w:val="0"/>
          <w:sz w:val="28"/>
          <w:szCs w:val="28"/>
        </w:rPr>
        <w:t>的有代表性的医院，如</w:t>
      </w:r>
      <w:r>
        <w:rPr>
          <w:rFonts w:hint="eastAsia" w:ascii="仿宋_GB2312" w:eastAsia="仿宋_GB2312"/>
          <w:kern w:val="0"/>
          <w:sz w:val="28"/>
          <w:szCs w:val="28"/>
          <w:lang w:eastAsia="zh-CN"/>
        </w:rPr>
        <w:t>百色市中医医院、贵港市中医医院、田东县中医医院、靖西市中医医院、崇左市中医壮医医院</w:t>
      </w:r>
      <w:r>
        <w:rPr>
          <w:rFonts w:hint="eastAsia" w:ascii="仿宋_GB2312" w:eastAsia="仿宋_GB2312"/>
          <w:kern w:val="0"/>
          <w:sz w:val="28"/>
          <w:szCs w:val="28"/>
        </w:rPr>
        <w:t>等召开标准研讨会，收集反馈了大量意见，对标准草案进行了反复修改和研究讨论，掌握了</w:t>
      </w:r>
      <w:r>
        <w:rPr>
          <w:rFonts w:hint="eastAsia" w:ascii="仿宋_GB2312" w:eastAsia="仿宋_GB2312"/>
          <w:kern w:val="0"/>
          <w:sz w:val="28"/>
          <w:szCs w:val="28"/>
          <w:lang w:eastAsia="zh-CN"/>
        </w:rPr>
        <w:t>壮医三部四针法治疗年闹诺（不寐）技术</w:t>
      </w:r>
      <w:r>
        <w:rPr>
          <w:rFonts w:hint="eastAsia" w:ascii="仿宋_GB2312" w:eastAsia="仿宋_GB2312"/>
          <w:kern w:val="0"/>
          <w:sz w:val="28"/>
          <w:szCs w:val="28"/>
        </w:rPr>
        <w:t>的基本情况以及要求，最终形成了团体标准《</w:t>
      </w:r>
      <w:r>
        <w:rPr>
          <w:rFonts w:hint="eastAsia" w:ascii="仿宋_GB2312" w:eastAsia="仿宋_GB2312"/>
          <w:kern w:val="0"/>
          <w:sz w:val="28"/>
          <w:szCs w:val="28"/>
          <w:lang w:eastAsia="zh-CN"/>
        </w:rPr>
        <w:t>壮医三部四针法治疗年闹诺（不寐）技术操作规范</w:t>
      </w:r>
      <w:r>
        <w:rPr>
          <w:rFonts w:hint="eastAsia" w:ascii="仿宋_GB2312" w:eastAsia="仿宋_GB2312"/>
          <w:kern w:val="0"/>
          <w:sz w:val="28"/>
          <w:szCs w:val="28"/>
        </w:rPr>
        <w:t>》（征求意见稿）及其编制说明。</w:t>
      </w:r>
    </w:p>
    <w:p w14:paraId="10C20948">
      <w:pPr>
        <w:autoSpaceDE w:val="0"/>
        <w:autoSpaceDN w:val="0"/>
        <w:adjustRightInd w:val="0"/>
        <w:spacing w:line="520" w:lineRule="exact"/>
        <w:ind w:firstLine="640" w:firstLineChars="200"/>
        <w:jc w:val="left"/>
        <w:outlineLvl w:val="0"/>
        <w:rPr>
          <w:rFonts w:ascii="黑体" w:eastAsia="黑体" w:cs="仿宋_GB2312"/>
          <w:sz w:val="32"/>
          <w:szCs w:val="32"/>
        </w:rPr>
      </w:pPr>
      <w:r>
        <w:rPr>
          <w:rFonts w:hint="eastAsia" w:ascii="黑体" w:eastAsia="黑体" w:cs="仿宋_GB2312"/>
          <w:sz w:val="32"/>
          <w:szCs w:val="32"/>
        </w:rPr>
        <w:t>四、制定标准的原则和依据，与现行法律法规的关系，与有关国家标准、行业标准的协调情况</w:t>
      </w:r>
    </w:p>
    <w:p w14:paraId="7EEAB897">
      <w:pPr>
        <w:widowControl/>
        <w:tabs>
          <w:tab w:val="center" w:pos="4201"/>
          <w:tab w:val="right" w:leader="dot" w:pos="9298"/>
        </w:tabs>
        <w:autoSpaceDE w:val="0"/>
        <w:autoSpaceDN w:val="0"/>
        <w:spacing w:line="520" w:lineRule="exact"/>
        <w:ind w:firstLine="562" w:firstLineChars="200"/>
        <w:outlineLvl w:val="1"/>
        <w:rPr>
          <w:rFonts w:ascii="仿宋_GB2312" w:eastAsia="仿宋_GB2312"/>
          <w:b/>
          <w:bCs/>
          <w:kern w:val="0"/>
          <w:sz w:val="28"/>
          <w:szCs w:val="28"/>
        </w:rPr>
      </w:pPr>
      <w:r>
        <w:rPr>
          <w:rFonts w:hint="eastAsia" w:ascii="仿宋_GB2312" w:eastAsia="仿宋_GB2312"/>
          <w:b/>
          <w:bCs/>
          <w:kern w:val="0"/>
          <w:sz w:val="28"/>
          <w:szCs w:val="28"/>
        </w:rPr>
        <w:t>（一）编制原则</w:t>
      </w:r>
    </w:p>
    <w:p w14:paraId="0DB863DB">
      <w:pPr>
        <w:spacing w:line="520" w:lineRule="exact"/>
        <w:ind w:firstLine="562" w:firstLineChars="200"/>
        <w:rPr>
          <w:rFonts w:ascii="仿宋_GB2312" w:eastAsia="仿宋_GB2312"/>
          <w:b/>
          <w:sz w:val="28"/>
          <w:szCs w:val="28"/>
        </w:rPr>
      </w:pPr>
      <w:r>
        <w:rPr>
          <w:rFonts w:hint="eastAsia" w:ascii="仿宋_GB2312" w:eastAsia="仿宋_GB2312"/>
          <w:b/>
          <w:sz w:val="28"/>
          <w:szCs w:val="28"/>
        </w:rPr>
        <w:t>1.实用性原则</w:t>
      </w:r>
    </w:p>
    <w:p w14:paraId="75DB8AB8">
      <w:pPr>
        <w:spacing w:line="520" w:lineRule="exact"/>
        <w:ind w:firstLine="560" w:firstLineChars="200"/>
        <w:rPr>
          <w:rFonts w:ascii="仿宋_GB2312" w:eastAsia="仿宋_GB2312" w:cs="仿宋"/>
          <w:sz w:val="28"/>
          <w:szCs w:val="28"/>
        </w:rPr>
      </w:pPr>
      <w:r>
        <w:rPr>
          <w:rFonts w:hint="eastAsia" w:ascii="仿宋_GB2312" w:eastAsia="仿宋_GB2312" w:cs="仿宋"/>
          <w:sz w:val="28"/>
          <w:szCs w:val="28"/>
        </w:rPr>
        <w:t>本标准是在充分收集国内外相关资料和文献、调研分析</w:t>
      </w:r>
      <w:r>
        <w:rPr>
          <w:rFonts w:hint="eastAsia" w:ascii="仿宋_GB2312" w:eastAsia="仿宋_GB2312"/>
          <w:kern w:val="0"/>
          <w:sz w:val="28"/>
          <w:szCs w:val="28"/>
          <w:lang w:eastAsia="zh-CN"/>
        </w:rPr>
        <w:t>壮医三部四针法治疗年闹诺（不寐）技术</w:t>
      </w:r>
      <w:r>
        <w:rPr>
          <w:rFonts w:hint="eastAsia" w:ascii="仿宋_GB2312" w:eastAsia="仿宋_GB2312" w:cs="仿宋"/>
          <w:sz w:val="28"/>
          <w:szCs w:val="28"/>
        </w:rPr>
        <w:t>现状，结合起草单位前期研究工作取得的研究成果及积累的</w:t>
      </w:r>
      <w:r>
        <w:rPr>
          <w:rFonts w:hint="eastAsia" w:ascii="仿宋_GB2312" w:eastAsia="仿宋_GB2312"/>
          <w:kern w:val="0"/>
          <w:sz w:val="28"/>
          <w:szCs w:val="28"/>
          <w:lang w:eastAsia="zh-CN"/>
        </w:rPr>
        <w:t>壮医三部四针法治疗年闹诺（不寐）技术</w:t>
      </w:r>
      <w:r>
        <w:rPr>
          <w:rFonts w:hint="eastAsia" w:ascii="仿宋_GB2312" w:eastAsia="仿宋_GB2312" w:cs="仿宋"/>
          <w:sz w:val="28"/>
          <w:szCs w:val="28"/>
        </w:rPr>
        <w:t>实践经验，并借鉴国内</w:t>
      </w:r>
      <w:r>
        <w:rPr>
          <w:rFonts w:hint="eastAsia" w:ascii="仿宋_GB2312" w:eastAsia="仿宋_GB2312"/>
          <w:kern w:val="0"/>
          <w:sz w:val="28"/>
          <w:szCs w:val="28"/>
          <w:lang w:eastAsia="zh-CN"/>
        </w:rPr>
        <w:t>壮医三部四针法治疗年闹诺（不寐）技术</w:t>
      </w:r>
      <w:r>
        <w:rPr>
          <w:rFonts w:hint="eastAsia" w:ascii="仿宋_GB2312" w:eastAsia="仿宋_GB2312" w:cs="仿宋"/>
          <w:sz w:val="28"/>
          <w:szCs w:val="28"/>
        </w:rPr>
        <w:t>进行总结起草的，符合工作实际，利于</w:t>
      </w:r>
      <w:r>
        <w:rPr>
          <w:rFonts w:hint="eastAsia" w:ascii="仿宋_GB2312" w:eastAsia="仿宋_GB2312"/>
          <w:kern w:val="0"/>
          <w:sz w:val="28"/>
          <w:szCs w:val="28"/>
          <w:lang w:eastAsia="zh-CN"/>
        </w:rPr>
        <w:t>壮医三部四针法治疗年闹诺（不寐）技术</w:t>
      </w:r>
      <w:r>
        <w:rPr>
          <w:rFonts w:hint="eastAsia" w:ascii="仿宋_GB2312" w:eastAsia="仿宋_GB2312" w:cs="仿宋"/>
          <w:sz w:val="28"/>
          <w:szCs w:val="28"/>
        </w:rPr>
        <w:t>的实施与推广，具有可操作性和实用性。</w:t>
      </w:r>
    </w:p>
    <w:p w14:paraId="02659D99">
      <w:pPr>
        <w:spacing w:line="520" w:lineRule="exact"/>
        <w:ind w:firstLine="562" w:firstLineChars="200"/>
        <w:rPr>
          <w:rFonts w:ascii="仿宋_GB2312" w:eastAsia="仿宋_GB2312"/>
          <w:b/>
          <w:sz w:val="28"/>
          <w:szCs w:val="28"/>
        </w:rPr>
      </w:pPr>
      <w:r>
        <w:rPr>
          <w:rFonts w:hint="eastAsia" w:ascii="仿宋_GB2312" w:eastAsia="仿宋_GB2312"/>
          <w:b/>
          <w:sz w:val="28"/>
          <w:szCs w:val="28"/>
        </w:rPr>
        <w:t>2.协调性原则</w:t>
      </w:r>
    </w:p>
    <w:p w14:paraId="0F5BA7AA">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本文件编写过程中注意了与</w:t>
      </w:r>
      <w:r>
        <w:rPr>
          <w:rFonts w:hint="eastAsia" w:ascii="仿宋_GB2312" w:eastAsia="仿宋_GB2312"/>
          <w:kern w:val="0"/>
          <w:sz w:val="28"/>
          <w:szCs w:val="28"/>
          <w:lang w:eastAsia="zh-CN"/>
        </w:rPr>
        <w:t>壮医三部四针法治疗年闹诺（不寐）技术</w:t>
      </w:r>
      <w:r>
        <w:rPr>
          <w:rFonts w:hint="eastAsia" w:ascii="仿宋_GB2312" w:eastAsia="仿宋_GB2312"/>
          <w:sz w:val="28"/>
          <w:szCs w:val="28"/>
        </w:rPr>
        <w:t>相关法律法规的协调问题，在内容上与现行法律法规、标准协调一致。</w:t>
      </w:r>
    </w:p>
    <w:p w14:paraId="4A3BD743">
      <w:pPr>
        <w:spacing w:line="520" w:lineRule="exact"/>
        <w:ind w:firstLine="562" w:firstLineChars="200"/>
        <w:rPr>
          <w:rFonts w:ascii="仿宋_GB2312" w:eastAsia="仿宋_GB2312"/>
          <w:b/>
          <w:sz w:val="28"/>
          <w:szCs w:val="28"/>
        </w:rPr>
      </w:pPr>
      <w:r>
        <w:rPr>
          <w:rFonts w:hint="eastAsia" w:ascii="仿宋_GB2312" w:eastAsia="仿宋_GB2312"/>
          <w:b/>
          <w:sz w:val="28"/>
          <w:szCs w:val="28"/>
        </w:rPr>
        <w:t>3.规范性原则</w:t>
      </w:r>
    </w:p>
    <w:p w14:paraId="74BE0026">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本文件严格按照GB/T 1.1—2020《标准化工作导则  第1部分：标准化文件的结构和起草规则》编写本标准的内容，保证标准的编写质量。</w:t>
      </w:r>
    </w:p>
    <w:p w14:paraId="3818B7B4">
      <w:pPr>
        <w:spacing w:line="520" w:lineRule="exact"/>
        <w:ind w:firstLine="562" w:firstLineChars="200"/>
        <w:rPr>
          <w:rFonts w:ascii="仿宋_GB2312" w:eastAsia="仿宋_GB2312"/>
          <w:b/>
          <w:sz w:val="28"/>
          <w:szCs w:val="28"/>
        </w:rPr>
      </w:pPr>
      <w:r>
        <w:rPr>
          <w:rFonts w:hint="eastAsia" w:ascii="仿宋_GB2312" w:eastAsia="仿宋_GB2312"/>
          <w:b/>
          <w:sz w:val="28"/>
          <w:szCs w:val="28"/>
        </w:rPr>
        <w:t>4.前瞻性原则</w:t>
      </w:r>
    </w:p>
    <w:p w14:paraId="274C3EA5">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本文件在兼顾当前区内</w:t>
      </w:r>
      <w:r>
        <w:rPr>
          <w:rFonts w:hint="eastAsia" w:ascii="仿宋_GB2312" w:eastAsia="仿宋_GB2312"/>
          <w:kern w:val="0"/>
          <w:sz w:val="28"/>
          <w:szCs w:val="28"/>
          <w:lang w:eastAsia="zh-CN"/>
        </w:rPr>
        <w:t>壮医三部四针法治疗年闹诺（不寐）技术</w:t>
      </w:r>
      <w:r>
        <w:rPr>
          <w:rFonts w:hint="eastAsia" w:ascii="仿宋_GB2312" w:eastAsia="仿宋_GB2312"/>
          <w:sz w:val="28"/>
          <w:szCs w:val="28"/>
        </w:rPr>
        <w:t>现实情况的同时，还考虑到了</w:t>
      </w:r>
      <w:r>
        <w:rPr>
          <w:rFonts w:hint="eastAsia" w:ascii="仿宋_GB2312" w:eastAsia="仿宋_GB2312"/>
          <w:kern w:val="0"/>
          <w:sz w:val="28"/>
          <w:szCs w:val="28"/>
          <w:lang w:eastAsia="zh-CN"/>
        </w:rPr>
        <w:t>壮医三部四针法治疗年闹诺（不寐）技术</w:t>
      </w:r>
      <w:r>
        <w:rPr>
          <w:rFonts w:hint="eastAsia" w:ascii="仿宋_GB2312" w:eastAsia="仿宋_GB2312"/>
          <w:sz w:val="28"/>
          <w:szCs w:val="28"/>
        </w:rPr>
        <w:t>的需要，在标准中体现了个别特色性、前瞻性和先进性条款，作为对</w:t>
      </w:r>
      <w:r>
        <w:rPr>
          <w:rFonts w:hint="eastAsia" w:ascii="仿宋_GB2312" w:eastAsia="仿宋_GB2312"/>
          <w:kern w:val="0"/>
          <w:sz w:val="28"/>
          <w:szCs w:val="28"/>
          <w:lang w:eastAsia="zh-CN"/>
        </w:rPr>
        <w:t>壮医三部四针法治疗年闹诺（不寐）技术</w:t>
      </w:r>
      <w:r>
        <w:rPr>
          <w:rFonts w:hint="eastAsia" w:ascii="仿宋_GB2312" w:eastAsia="仿宋_GB2312"/>
          <w:sz w:val="28"/>
          <w:szCs w:val="28"/>
        </w:rPr>
        <w:t>发展的指导。</w:t>
      </w:r>
    </w:p>
    <w:p w14:paraId="330C1A02">
      <w:pPr>
        <w:spacing w:line="520" w:lineRule="exact"/>
        <w:ind w:firstLine="562" w:firstLineChars="200"/>
        <w:outlineLvl w:val="1"/>
        <w:rPr>
          <w:rFonts w:ascii="仿宋_GB2312" w:eastAsia="仿宋_GB2312"/>
          <w:b/>
          <w:bCs/>
          <w:sz w:val="28"/>
          <w:szCs w:val="28"/>
        </w:rPr>
      </w:pPr>
      <w:r>
        <w:rPr>
          <w:rFonts w:hint="eastAsia" w:ascii="仿宋_GB2312" w:eastAsia="仿宋_GB2312"/>
          <w:b/>
          <w:bCs/>
          <w:sz w:val="28"/>
          <w:szCs w:val="28"/>
        </w:rPr>
        <w:t>（二）编制依据</w:t>
      </w:r>
    </w:p>
    <w:p w14:paraId="724E7EF0">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本标准严格按照GB/T 1.1—2020《标准化工作导则  第1部分：标准化文件的结构和起草规则》的规则起草，标准主要内容依据起草单位在</w:t>
      </w:r>
      <w:r>
        <w:rPr>
          <w:rFonts w:hint="eastAsia" w:ascii="仿宋_GB2312" w:eastAsia="仿宋_GB2312"/>
          <w:kern w:val="0"/>
          <w:sz w:val="28"/>
          <w:szCs w:val="28"/>
          <w:lang w:eastAsia="zh-CN"/>
        </w:rPr>
        <w:t>壮医三部四针法治疗年闹诺（不寐）技术</w:t>
      </w:r>
      <w:r>
        <w:rPr>
          <w:rFonts w:hint="eastAsia" w:ascii="仿宋_GB2312" w:eastAsia="仿宋_GB2312"/>
          <w:sz w:val="28"/>
          <w:szCs w:val="28"/>
        </w:rPr>
        <w:t>研究应用过程中的实践经验确定。</w:t>
      </w:r>
    </w:p>
    <w:p w14:paraId="4868B094">
      <w:pPr>
        <w:spacing w:line="520" w:lineRule="exact"/>
        <w:ind w:firstLine="562" w:firstLineChars="200"/>
        <w:outlineLvl w:val="1"/>
        <w:rPr>
          <w:rFonts w:ascii="仿宋_GB2312" w:eastAsia="仿宋_GB2312"/>
          <w:b/>
          <w:bCs/>
          <w:sz w:val="28"/>
          <w:szCs w:val="28"/>
        </w:rPr>
      </w:pPr>
      <w:r>
        <w:rPr>
          <w:rFonts w:hint="eastAsia" w:ascii="仿宋_GB2312" w:eastAsia="仿宋_GB2312"/>
          <w:b/>
          <w:bCs/>
          <w:sz w:val="28"/>
          <w:szCs w:val="28"/>
        </w:rPr>
        <w:t>（三）与现行法律法规的关系，与有关国家标准、行业标准的协调情况</w:t>
      </w:r>
    </w:p>
    <w:p w14:paraId="7906E341">
      <w:pPr>
        <w:adjustRightInd w:val="0"/>
        <w:snapToGrid w:val="0"/>
        <w:spacing w:line="520" w:lineRule="exact"/>
        <w:ind w:firstLine="560" w:firstLineChars="200"/>
        <w:rPr>
          <w:rFonts w:hint="eastAsia" w:ascii="仿宋_GB2312" w:eastAsia="仿宋_GB2312"/>
          <w:sz w:val="28"/>
          <w:szCs w:val="28"/>
        </w:rPr>
      </w:pPr>
      <w:r>
        <w:rPr>
          <w:rFonts w:hint="eastAsia" w:ascii="仿宋_GB2312" w:eastAsia="仿宋_GB2312"/>
          <w:sz w:val="28"/>
          <w:szCs w:val="28"/>
        </w:rPr>
        <w:t>经查阅，目前国内外与“壮医三部四针法”“年闹诺”“不寐”现行相关的国家、行业、地方和团体标准有：《DB22/T 3264—2021  和枢针刺法治疗失眠操作规范》、《T/NXBX 018.2—2023  慢性病或亚健康中医干预方法操作规范  第2部分：不寐》、《T/GDACM 0109—2022  失眠障碍（不寐）  中西医结合临床诊疗指南》、《T/CACM 1138—2018  中医神志病临床诊疗指南  非器质性失眠症》、广西地方标准《年闹诺（睡眠障碍）壮医诊疗规范》（已立项）、团体标准《年闹诺（睡眠障碍）壮医</w:t>
      </w:r>
      <w:r>
        <w:rPr>
          <w:rFonts w:hint="eastAsia" w:ascii="仿宋_GB2312" w:eastAsia="仿宋_GB2312"/>
          <w:sz w:val="28"/>
          <w:szCs w:val="28"/>
          <w:lang w:eastAsia="zh-CN"/>
        </w:rPr>
        <w:t>治疗</w:t>
      </w:r>
      <w:r>
        <w:rPr>
          <w:rFonts w:hint="eastAsia" w:ascii="仿宋_GB2312" w:eastAsia="仿宋_GB2312"/>
          <w:sz w:val="28"/>
          <w:szCs w:val="28"/>
        </w:rPr>
        <w:t>规范》（正在制定）、《失眠症诊断和治疗指南（2025版）》、《中国成人失眠诊断与治疗指南（2023版）》。</w:t>
      </w:r>
    </w:p>
    <w:p w14:paraId="56FAFBCD">
      <w:pPr>
        <w:adjustRightInd w:val="0"/>
        <w:snapToGrid w:val="0"/>
        <w:spacing w:line="520" w:lineRule="exact"/>
        <w:ind w:firstLine="560" w:firstLineChars="200"/>
        <w:rPr>
          <w:rFonts w:hint="eastAsia" w:ascii="仿宋_GB2312" w:eastAsia="仿宋_GB2312"/>
          <w:sz w:val="28"/>
          <w:szCs w:val="28"/>
        </w:rPr>
      </w:pPr>
      <w:r>
        <w:rPr>
          <w:rFonts w:hint="eastAsia" w:ascii="仿宋_GB2312" w:eastAsia="仿宋_GB2312"/>
          <w:sz w:val="28"/>
          <w:szCs w:val="28"/>
        </w:rPr>
        <w:t>《DB22/T 3264—2021  和枢针刺法治疗失眠操作规范》规范了和枢针法治疗失眠操作的适应症、操作步骤与要求和注意事项，操作方法与本标准不一样；</w:t>
      </w:r>
    </w:p>
    <w:p w14:paraId="01556C6B">
      <w:pPr>
        <w:adjustRightInd w:val="0"/>
        <w:snapToGrid w:val="0"/>
        <w:spacing w:line="520" w:lineRule="exact"/>
        <w:ind w:firstLine="560" w:firstLineChars="200"/>
        <w:rPr>
          <w:rFonts w:hint="eastAsia" w:ascii="仿宋_GB2312" w:eastAsia="仿宋_GB2312"/>
          <w:sz w:val="28"/>
          <w:szCs w:val="28"/>
        </w:rPr>
      </w:pPr>
      <w:r>
        <w:rPr>
          <w:rFonts w:hint="eastAsia" w:ascii="仿宋_GB2312" w:eastAsia="仿宋_GB2312"/>
          <w:sz w:val="28"/>
          <w:szCs w:val="28"/>
        </w:rPr>
        <w:t>《T/NXBX 018.2—2023  慢性病或亚健康中医干预方法操作规范  第2部分：不寐》采用反射疗法、推拿、刮痧、艾灸对不寐进行治疗，与本标准的操作方法不一样；</w:t>
      </w:r>
    </w:p>
    <w:p w14:paraId="6F58415B">
      <w:pPr>
        <w:adjustRightInd w:val="0"/>
        <w:snapToGrid w:val="0"/>
        <w:spacing w:line="520" w:lineRule="exact"/>
        <w:ind w:firstLine="560" w:firstLineChars="200"/>
        <w:rPr>
          <w:rFonts w:hint="eastAsia" w:ascii="仿宋_GB2312" w:eastAsia="仿宋_GB2312"/>
          <w:sz w:val="28"/>
          <w:szCs w:val="28"/>
        </w:rPr>
      </w:pPr>
      <w:r>
        <w:rPr>
          <w:rFonts w:hint="eastAsia" w:ascii="仿宋_GB2312" w:eastAsia="仿宋_GB2312"/>
          <w:sz w:val="28"/>
          <w:szCs w:val="28"/>
        </w:rPr>
        <w:t>《T/GDACM 0109—2022  失眠障碍（不寐）  中西医结合临床诊疗指南》采用内服法、外治法如针灸、按摩、推拿等对失眠障碍（不寐）进行治疗，并且未对外治法详细描述，与本标准的操作方法不一样；</w:t>
      </w:r>
    </w:p>
    <w:p w14:paraId="470E50AB">
      <w:pPr>
        <w:adjustRightInd w:val="0"/>
        <w:snapToGrid w:val="0"/>
        <w:spacing w:line="520" w:lineRule="exact"/>
        <w:ind w:firstLine="560" w:firstLineChars="200"/>
        <w:rPr>
          <w:rFonts w:hint="eastAsia" w:ascii="仿宋_GB2312" w:eastAsia="仿宋_GB2312"/>
          <w:sz w:val="28"/>
          <w:szCs w:val="28"/>
        </w:rPr>
      </w:pPr>
      <w:r>
        <w:rPr>
          <w:rFonts w:hint="eastAsia" w:ascii="仿宋_GB2312" w:eastAsia="仿宋_GB2312"/>
          <w:sz w:val="28"/>
          <w:szCs w:val="28"/>
        </w:rPr>
        <w:t>《T/CACM 1138—2018  中医神志病临床诊疗指南  非器质性失眠症》针灸法采用体针、耳针、穴位敷贴、滚针疗法、热敏灸疗法、穴位埋线、浅针疗法，以上针灸法的操作方法均与壮医三部四针法不同；</w:t>
      </w:r>
    </w:p>
    <w:p w14:paraId="1241D4F5">
      <w:pPr>
        <w:adjustRightInd w:val="0"/>
        <w:snapToGrid w:val="0"/>
        <w:spacing w:line="520" w:lineRule="exact"/>
        <w:ind w:firstLine="560" w:firstLineChars="200"/>
        <w:rPr>
          <w:rFonts w:hint="eastAsia" w:ascii="仿宋_GB2312" w:eastAsia="仿宋_GB2312"/>
          <w:sz w:val="28"/>
          <w:szCs w:val="28"/>
        </w:rPr>
      </w:pPr>
      <w:r>
        <w:rPr>
          <w:rFonts w:hint="eastAsia" w:ascii="仿宋_GB2312" w:eastAsia="仿宋_GB2312"/>
          <w:sz w:val="28"/>
          <w:szCs w:val="28"/>
        </w:rPr>
        <w:t>广西地方标准《年闹诺（睡眠障碍）壮医诊疗规范》（已立项）与壮医三部四针法不同，技术内容不一致；</w:t>
      </w:r>
    </w:p>
    <w:p w14:paraId="067258D0">
      <w:pPr>
        <w:adjustRightInd w:val="0"/>
        <w:snapToGrid w:val="0"/>
        <w:spacing w:line="520" w:lineRule="exact"/>
        <w:ind w:firstLine="560" w:firstLineChars="200"/>
        <w:rPr>
          <w:rFonts w:hint="eastAsia" w:ascii="仿宋_GB2312" w:eastAsia="仿宋_GB2312"/>
          <w:sz w:val="28"/>
          <w:szCs w:val="28"/>
        </w:rPr>
      </w:pPr>
      <w:r>
        <w:rPr>
          <w:rFonts w:hint="eastAsia" w:ascii="仿宋_GB2312" w:eastAsia="仿宋_GB2312"/>
          <w:sz w:val="28"/>
          <w:szCs w:val="28"/>
        </w:rPr>
        <w:t>团体标准《年闹诺（睡眠障碍）壮医</w:t>
      </w:r>
      <w:r>
        <w:rPr>
          <w:rFonts w:hint="eastAsia" w:ascii="仿宋_GB2312" w:eastAsia="仿宋_GB2312"/>
          <w:sz w:val="28"/>
          <w:szCs w:val="28"/>
          <w:lang w:eastAsia="zh-CN"/>
        </w:rPr>
        <w:t>治疗</w:t>
      </w:r>
      <w:r>
        <w:rPr>
          <w:rFonts w:hint="eastAsia" w:ascii="仿宋_GB2312" w:eastAsia="仿宋_GB2312"/>
          <w:sz w:val="28"/>
          <w:szCs w:val="28"/>
        </w:rPr>
        <w:t>规范》（正在制定）专注于</w:t>
      </w:r>
      <w:r>
        <w:rPr>
          <w:rFonts w:hint="eastAsia" w:ascii="仿宋_GB2312" w:eastAsia="仿宋_GB2312"/>
          <w:sz w:val="28"/>
          <w:szCs w:val="28"/>
          <w:lang w:eastAsia="zh-CN"/>
        </w:rPr>
        <w:t>治疗</w:t>
      </w:r>
      <w:r>
        <w:rPr>
          <w:rFonts w:hint="eastAsia" w:ascii="仿宋_GB2312" w:eastAsia="仿宋_GB2312"/>
          <w:sz w:val="28"/>
          <w:szCs w:val="28"/>
        </w:rPr>
        <w:t>环节，包括</w:t>
      </w:r>
      <w:r>
        <w:rPr>
          <w:rFonts w:hint="eastAsia" w:ascii="仿宋_GB2312" w:eastAsia="仿宋_GB2312"/>
          <w:sz w:val="28"/>
          <w:szCs w:val="28"/>
          <w:lang w:eastAsia="zh-CN"/>
        </w:rPr>
        <w:t>治疗</w:t>
      </w:r>
      <w:r>
        <w:rPr>
          <w:rFonts w:hint="eastAsia" w:ascii="仿宋_GB2312" w:eastAsia="仿宋_GB2312"/>
          <w:sz w:val="28"/>
          <w:szCs w:val="28"/>
        </w:rPr>
        <w:t>评估、</w:t>
      </w:r>
      <w:r>
        <w:rPr>
          <w:rFonts w:hint="eastAsia" w:ascii="仿宋_GB2312" w:eastAsia="仿宋_GB2312"/>
          <w:sz w:val="28"/>
          <w:szCs w:val="28"/>
          <w:lang w:eastAsia="zh-CN"/>
        </w:rPr>
        <w:t>治疗</w:t>
      </w:r>
      <w:r>
        <w:rPr>
          <w:rFonts w:hint="eastAsia" w:ascii="仿宋_GB2312" w:eastAsia="仿宋_GB2312"/>
          <w:sz w:val="28"/>
          <w:szCs w:val="28"/>
        </w:rPr>
        <w:t>措施、健康教育、康复指导和质量评价等。它强调护士在执行壮医</w:t>
      </w:r>
      <w:r>
        <w:rPr>
          <w:rFonts w:hint="eastAsia" w:ascii="仿宋_GB2312" w:eastAsia="仿宋_GB2312"/>
          <w:sz w:val="28"/>
          <w:szCs w:val="28"/>
          <w:lang w:eastAsia="zh-CN"/>
        </w:rPr>
        <w:t>治疗</w:t>
      </w:r>
      <w:r>
        <w:rPr>
          <w:rFonts w:hint="eastAsia" w:ascii="仿宋_GB2312" w:eastAsia="仿宋_GB2312"/>
          <w:sz w:val="28"/>
          <w:szCs w:val="28"/>
        </w:rPr>
        <w:t>时的标准化操作，如壮医特色技术（壮医水蛭疗法、壮医刮痧治疗等）的应用、患者生活方式的干预及心理支持。</w:t>
      </w:r>
    </w:p>
    <w:p w14:paraId="154D6CE3">
      <w:pPr>
        <w:adjustRightInd w:val="0"/>
        <w:snapToGrid w:val="0"/>
        <w:spacing w:line="520" w:lineRule="exact"/>
        <w:ind w:firstLine="560" w:firstLineChars="200"/>
        <w:rPr>
          <w:rFonts w:hint="eastAsia" w:ascii="仿宋_GB2312" w:eastAsia="仿宋_GB2312"/>
          <w:sz w:val="28"/>
          <w:szCs w:val="28"/>
        </w:rPr>
      </w:pPr>
      <w:r>
        <w:rPr>
          <w:rFonts w:hint="eastAsia" w:ascii="仿宋_GB2312" w:eastAsia="仿宋_GB2312"/>
          <w:sz w:val="28"/>
          <w:szCs w:val="28"/>
        </w:rPr>
        <w:t>《失眠症诊断和治疗指南（2025版）》、《中国成人失眠诊断与治疗指南（2023版）》并未对针刺法展开说明，不涉及壮医三部四针法。</w:t>
      </w:r>
    </w:p>
    <w:p w14:paraId="7FFC9244">
      <w:pPr>
        <w:adjustRightInd w:val="0"/>
        <w:snapToGrid w:val="0"/>
        <w:spacing w:line="520" w:lineRule="exact"/>
        <w:ind w:firstLine="560" w:firstLineChars="200"/>
        <w:rPr>
          <w:rFonts w:hint="eastAsia" w:ascii="仿宋_GB2312" w:eastAsia="仿宋_GB2312"/>
          <w:sz w:val="28"/>
          <w:szCs w:val="28"/>
        </w:rPr>
      </w:pPr>
      <w:r>
        <w:rPr>
          <w:rFonts w:hint="eastAsia" w:ascii="仿宋_GB2312" w:eastAsia="仿宋_GB2312"/>
          <w:sz w:val="28"/>
          <w:szCs w:val="28"/>
        </w:rPr>
        <w:t>以上标准、指南与本标准均有不同。本标准的制定将填补行业空白，因此制定团体标准《壮医三部四针法治疗年闹诺（不寐）技术操作规范》具有创新性，先进性。</w:t>
      </w:r>
    </w:p>
    <w:p w14:paraId="4D4A4D62">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当前未制定有团体标准《壮医三部四针法治疗年闹诺（不寐）技术操作规范》。</w:t>
      </w:r>
    </w:p>
    <w:p w14:paraId="61181925">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本标准的内容与现行的法律法规及强制性标准无冲突，标准的编写符合GB/T 1.1—2020的要求。</w:t>
      </w:r>
    </w:p>
    <w:p w14:paraId="74898E49">
      <w:pPr>
        <w:spacing w:before="240" w:after="60" w:line="520" w:lineRule="exact"/>
        <w:ind w:firstLine="640" w:firstLineChars="200"/>
        <w:jc w:val="left"/>
        <w:outlineLvl w:val="0"/>
        <w:rPr>
          <w:rFonts w:ascii="仿宋_GB2312" w:eastAsia="仿宋_GB2312" w:cs="仿宋"/>
          <w:bCs/>
          <w:sz w:val="28"/>
          <w:szCs w:val="28"/>
        </w:rPr>
      </w:pPr>
      <w:r>
        <w:rPr>
          <w:rFonts w:hint="eastAsia" w:ascii="黑体" w:eastAsia="黑体"/>
          <w:bCs/>
          <w:sz w:val="32"/>
          <w:szCs w:val="32"/>
        </w:rPr>
        <w:t>五、主要条款的说明</w:t>
      </w:r>
    </w:p>
    <w:p w14:paraId="5C246B4C">
      <w:pPr>
        <w:pStyle w:val="33"/>
        <w:spacing w:before="0" w:beforeLines="0" w:after="0" w:afterLines="0"/>
        <w:ind w:firstLine="562"/>
        <w:jc w:val="both"/>
        <w:outlineLvl w:val="1"/>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（一）术语和定义</w:t>
      </w:r>
    </w:p>
    <w:p w14:paraId="5B6A3478">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b/>
          <w:bCs w:val="0"/>
          <w:sz w:val="28"/>
          <w:szCs w:val="28"/>
        </w:rPr>
        <w:t>壮医三部四针法</w:t>
      </w:r>
    </w:p>
    <w:p w14:paraId="0D47B9E4">
      <w:pPr>
        <w:pStyle w:val="33"/>
        <w:spacing w:before="0" w:beforeLines="0" w:after="0" w:afterLines="0"/>
        <w:ind w:firstLine="560"/>
        <w:jc w:val="both"/>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rPr>
        <w:t>“壮医三部四针法”这一术语及定义，主要参考了《壮医“三部”调气法及其临床应用</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《广西黄氏壮医针灸流派天阴阳针法概述》</w:t>
      </w:r>
      <w:r>
        <w:rPr>
          <w:rFonts w:hint="eastAsia" w:ascii="仿宋_GB2312" w:hAnsi="仿宋_GB2312" w:eastAsia="仿宋_GB2312" w:cs="仿宋_GB2312"/>
          <w:sz w:val="28"/>
          <w:szCs w:val="28"/>
          <w:lang w:eastAsia="zh-CN"/>
        </w:rPr>
        <w:t>等</w:t>
      </w:r>
      <w:r>
        <w:rPr>
          <w:rFonts w:hint="eastAsia" w:ascii="仿宋_GB2312" w:hAnsi="仿宋_GB2312" w:eastAsia="仿宋_GB2312" w:cs="仿宋_GB2312"/>
          <w:sz w:val="28"/>
          <w:szCs w:val="28"/>
        </w:rPr>
        <w:t>文献</w:t>
      </w:r>
      <w:r>
        <w:rPr>
          <w:rFonts w:hint="eastAsia" w:ascii="仿宋_GB2312" w:hAnsi="仿宋_GB2312" w:eastAsia="仿宋_GB2312" w:cs="仿宋_GB2312"/>
          <w:sz w:val="28"/>
          <w:szCs w:val="28"/>
          <w:lang w:eastAsia="zh-CN"/>
        </w:rPr>
        <w:t>并结合起草单位的壮医治疗工作实际而确定。以下对术语各组成部分的确定依据进行具体说明：</w:t>
      </w:r>
    </w:p>
    <w:p w14:paraId="13B30AB1">
      <w:pPr>
        <w:pStyle w:val="33"/>
        <w:spacing w:before="0" w:beforeLines="0" w:after="0" w:afterLines="0" w:line="240" w:lineRule="auto"/>
        <w:ind w:firstLine="0" w:firstLineChars="0"/>
        <w:rPr>
          <w:rFonts w:hint="eastAsia"/>
        </w:rPr>
      </w:pPr>
      <w:r>
        <w:drawing>
          <wp:inline distT="0" distB="0" distL="114300" distR="114300">
            <wp:extent cx="3105150" cy="2019300"/>
            <wp:effectExtent l="9525" t="9525" r="9525" b="952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6"/>
                    <a:stretch>
                      <a:fillRect/>
                    </a:stretch>
                  </pic:blipFill>
                  <pic:spPr>
                    <a:xfrm>
                      <a:off x="0" y="0"/>
                      <a:ext cx="3105150" cy="2019300"/>
                    </a:xfrm>
                    <a:prstGeom prst="rect">
                      <a:avLst/>
                    </a:prstGeom>
                    <a:noFill/>
                    <a:ln>
                      <a:solidFill>
                        <a:schemeClr val="tx1"/>
                      </a:solidFill>
                    </a:ln>
                  </pic:spPr>
                </pic:pic>
              </a:graphicData>
            </a:graphic>
          </wp:inline>
        </w:drawing>
      </w:r>
    </w:p>
    <w:p w14:paraId="56ADD7E1">
      <w:pPr>
        <w:pStyle w:val="33"/>
        <w:spacing w:before="0" w:beforeLines="0" w:after="0" w:afterLines="0" w:line="240" w:lineRule="auto"/>
        <w:ind w:firstLine="0" w:firstLineChars="0"/>
        <w:rPr>
          <w:rFonts w:hint="eastAsia"/>
        </w:rPr>
      </w:pPr>
      <w:r>
        <w:rPr>
          <w:rFonts w:hint="eastAsia"/>
        </w:rPr>
        <w:t>来源：壮医“三部”调气法及其临床应用</w:t>
      </w:r>
    </w:p>
    <w:p w14:paraId="3171F9B0">
      <w:pPr>
        <w:pStyle w:val="33"/>
        <w:spacing w:before="0" w:beforeLines="0" w:after="0" w:afterLines="0" w:line="240" w:lineRule="auto"/>
        <w:ind w:firstLine="0" w:firstLineChars="0"/>
        <w:rPr>
          <w:rFonts w:hint="eastAsia"/>
        </w:rPr>
      </w:pPr>
      <w:r>
        <w:drawing>
          <wp:inline distT="0" distB="0" distL="114300" distR="114300">
            <wp:extent cx="3436620" cy="1512570"/>
            <wp:effectExtent l="9525" t="9525" r="20955" b="2095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7"/>
                    <a:stretch>
                      <a:fillRect/>
                    </a:stretch>
                  </pic:blipFill>
                  <pic:spPr>
                    <a:xfrm>
                      <a:off x="0" y="0"/>
                      <a:ext cx="3436620" cy="1512570"/>
                    </a:xfrm>
                    <a:prstGeom prst="rect">
                      <a:avLst/>
                    </a:prstGeom>
                    <a:noFill/>
                    <a:ln>
                      <a:solidFill>
                        <a:schemeClr val="tx1"/>
                      </a:solidFill>
                    </a:ln>
                  </pic:spPr>
                </pic:pic>
              </a:graphicData>
            </a:graphic>
          </wp:inline>
        </w:drawing>
      </w:r>
    </w:p>
    <w:p w14:paraId="3F15B08F">
      <w:pPr>
        <w:pStyle w:val="33"/>
        <w:spacing w:before="0" w:beforeLines="0" w:after="0" w:afterLines="0" w:line="240" w:lineRule="auto"/>
        <w:ind w:firstLine="0" w:firstLineChars="0"/>
        <w:rPr>
          <w:rFonts w:hint="eastAsia"/>
        </w:rPr>
      </w:pPr>
      <w:r>
        <w:rPr>
          <w:rFonts w:hint="eastAsia"/>
        </w:rPr>
        <w:t>来源：广西黄氏壮医针灸流派天阴阳针法概述</w:t>
      </w:r>
    </w:p>
    <w:p w14:paraId="7DF63202">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 定义的理论基础与来源</w:t>
      </w:r>
    </w:p>
    <w:p w14:paraId="2B9F0F82">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定义以壮医“三气同步”理论为框架，将人体分为天、地、人三部，体现了整体调节的思路。其中“疏通气机，通调龙路火路”的作用机制，源自上述文献提出的“调气为先”治疗原则，通过恢复三道两路通畅，最终实现气血均衡、三气同步、阴阳平衡的治疗目标。</w:t>
      </w:r>
    </w:p>
    <w:p w14:paraId="403F605F">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 “三部”与“四针”的内涵</w:t>
      </w:r>
    </w:p>
    <w:p w14:paraId="1A539ADE">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“三部”指天部、人部、地部，是本法取穴的总纲，强调操作需涵盖上、中、下三部以协调全身气机。</w:t>
      </w:r>
    </w:p>
    <w:p w14:paraId="00B46896">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“四针”在本</w:t>
      </w:r>
      <w:r>
        <w:rPr>
          <w:rFonts w:hint="eastAsia" w:ascii="仿宋_GB2312" w:hAnsi="仿宋_GB2312" w:eastAsia="仿宋_GB2312" w:cs="仿宋_GB2312"/>
          <w:sz w:val="28"/>
          <w:szCs w:val="28"/>
          <w:lang w:eastAsia="zh-CN"/>
        </w:rPr>
        <w:t>标准</w:t>
      </w:r>
      <w:r>
        <w:rPr>
          <w:rFonts w:hint="eastAsia" w:ascii="仿宋_GB2312" w:hAnsi="仿宋_GB2312" w:eastAsia="仿宋_GB2312" w:cs="仿宋_GB2312"/>
          <w:sz w:val="28"/>
          <w:szCs w:val="28"/>
        </w:rPr>
        <w:t>中指每部选取四个穴位，即：天部取百会穴、安眠三穴、印堂穴（眉心穴）共4穴，人部取脐内环穴上下左右4穴，地部取足三里穴、独阴穴共4穴，三部合计十二穴。该配伍体现了本法“取穴精简、三部同调”的技术特点。</w:t>
      </w:r>
    </w:p>
    <w:p w14:paraId="663FB9B0">
      <w:pPr>
        <w:pStyle w:val="33"/>
        <w:spacing w:before="0" w:beforeLines="0" w:after="0" w:afterLines="0"/>
        <w:ind w:firstLine="562"/>
        <w:jc w:val="both"/>
        <w:outlineLvl w:val="1"/>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（二）</w:t>
      </w:r>
      <w:r>
        <w:rPr>
          <w:rFonts w:hint="eastAsia" w:ascii="仿宋_GB2312" w:hAnsi="仿宋_GB2312" w:eastAsia="仿宋_GB2312" w:cs="仿宋_GB2312"/>
          <w:b/>
          <w:bCs w:val="0"/>
          <w:sz w:val="28"/>
          <w:szCs w:val="28"/>
          <w:lang w:eastAsia="zh-CN"/>
        </w:rPr>
        <w:t>人员</w:t>
      </w:r>
      <w:r>
        <w:rPr>
          <w:rFonts w:hint="eastAsia" w:ascii="仿宋_GB2312" w:hAnsi="仿宋_GB2312" w:eastAsia="仿宋_GB2312" w:cs="仿宋_GB2312"/>
          <w:b/>
          <w:bCs w:val="0"/>
          <w:sz w:val="28"/>
          <w:szCs w:val="28"/>
        </w:rPr>
        <w:t>要求</w:t>
      </w:r>
    </w:p>
    <w:p w14:paraId="56FF906D">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规定“应经壮医三部四针法治疗年闹诺（不寐）技术相关专业知识和技能培训”，旨在确保操作人员具备实施该技术的专业能力。壮医三部四针法是融合壮医“天、地、人”三部理论与特定针刺手法的民族医特色技术，其理论体系、穴位配伍、操作流程与常规针灸存在差异。若操作者未经系统培训，可能无法准确掌握穴位定位、针刺深度、呼吸配合等关键环节，从而影响疗效或增加医疗风险。本条要求是对操作者资质的基本规定，符合《中华人民共和国中医药法》关于民族医药传承与规范应用的原则，且与现行法律法规及强制性标准无冲突。</w:t>
      </w:r>
    </w:p>
    <w:p w14:paraId="28CAB3F2">
      <w:pPr>
        <w:pStyle w:val="33"/>
        <w:spacing w:before="0" w:beforeLines="0" w:after="0" w:afterLines="0"/>
        <w:ind w:firstLine="562"/>
        <w:jc w:val="both"/>
        <w:outlineLvl w:val="1"/>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rPr>
        <w:t>（三）</w:t>
      </w:r>
      <w:bookmarkStart w:id="0" w:name="_Toc216449222"/>
      <w:bookmarkStart w:id="1" w:name="_Toc216449243"/>
      <w:r>
        <w:rPr>
          <w:rFonts w:hint="eastAsia" w:ascii="仿宋_GB2312" w:hAnsi="仿宋_GB2312" w:eastAsia="仿宋_GB2312" w:cs="仿宋_GB2312"/>
          <w:b/>
          <w:bCs w:val="0"/>
          <w:sz w:val="28"/>
          <w:szCs w:val="28"/>
          <w:lang w:val="en-US" w:eastAsia="zh-CN"/>
        </w:rPr>
        <w:t>施术前</w:t>
      </w:r>
      <w:bookmarkEnd w:id="0"/>
      <w:bookmarkEnd w:id="1"/>
      <w:r>
        <w:rPr>
          <w:rFonts w:hint="eastAsia" w:ascii="仿宋_GB2312" w:hAnsi="仿宋_GB2312" w:eastAsia="仿宋_GB2312" w:cs="仿宋_GB2312"/>
          <w:b/>
          <w:bCs w:val="0"/>
          <w:sz w:val="28"/>
          <w:szCs w:val="28"/>
          <w:lang w:val="en-US" w:eastAsia="zh-CN"/>
        </w:rPr>
        <w:t>评估与准备</w:t>
      </w:r>
    </w:p>
    <w:p w14:paraId="37A0C2C2">
      <w:pPr>
        <w:pStyle w:val="33"/>
        <w:spacing w:before="0" w:beforeLines="0" w:after="0" w:afterLines="0"/>
        <w:ind w:firstLine="562"/>
        <w:jc w:val="both"/>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1. 评估</w:t>
      </w:r>
    </w:p>
    <w:p w14:paraId="3B3872A2">
      <w:pPr>
        <w:pStyle w:val="33"/>
        <w:spacing w:before="0" w:beforeLines="0" w:after="0" w:afterLines="0"/>
        <w:ind w:firstLine="562"/>
        <w:jc w:val="both"/>
        <w:outlineLvl w:val="9"/>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1.1 禁忌症评估</w:t>
      </w:r>
    </w:p>
    <w:p w14:paraId="32126248">
      <w:pPr>
        <w:pStyle w:val="33"/>
        <w:spacing w:before="0" w:beforeLines="0" w:after="0" w:afterLines="0"/>
        <w:ind w:firstLine="562"/>
        <w:jc w:val="both"/>
        <w:outlineLvl w:val="9"/>
        <w:rPr>
          <w:rFonts w:hint="eastAsia" w:ascii="仿宋_GB2312" w:hAnsi="仿宋_GB2312" w:eastAsia="仿宋_GB2312" w:cs="仿宋_GB2312"/>
          <w:b w:val="0"/>
          <w:bCs/>
          <w:sz w:val="28"/>
          <w:szCs w:val="28"/>
          <w:lang w:val="en-US" w:eastAsia="zh-CN"/>
        </w:rPr>
      </w:pPr>
      <w:r>
        <w:rPr>
          <w:rFonts w:hint="eastAsia" w:ascii="仿宋_GB2312" w:hAnsi="仿宋_GB2312" w:eastAsia="仿宋_GB2312" w:cs="仿宋_GB2312"/>
          <w:b w:val="0"/>
          <w:bCs/>
          <w:sz w:val="28"/>
          <w:szCs w:val="28"/>
          <w:lang w:val="en-US" w:eastAsia="zh-CN"/>
        </w:rPr>
        <w:t>依据患者全身状况及特殊生理状态，明确不宜施术的情形：</w:t>
      </w:r>
    </w:p>
    <w:p w14:paraId="27CB7AE2">
      <w:pPr>
        <w:pStyle w:val="33"/>
        <w:spacing w:before="0" w:beforeLines="0" w:after="0" w:afterLines="0"/>
        <w:ind w:firstLine="562"/>
        <w:jc w:val="both"/>
        <w:outlineLvl w:val="9"/>
        <w:rPr>
          <w:rFonts w:hint="eastAsia" w:ascii="仿宋_GB2312" w:hAnsi="仿宋_GB2312" w:eastAsia="仿宋_GB2312" w:cs="仿宋_GB2312"/>
          <w:b w:val="0"/>
          <w:bCs/>
          <w:sz w:val="28"/>
          <w:szCs w:val="28"/>
          <w:lang w:val="en-US" w:eastAsia="zh-CN"/>
        </w:rPr>
      </w:pPr>
      <w:r>
        <w:rPr>
          <w:rFonts w:hint="eastAsia" w:ascii="仿宋_GB2312" w:hAnsi="仿宋_GB2312" w:eastAsia="仿宋_GB2312" w:cs="仿宋_GB2312"/>
          <w:b w:val="0"/>
          <w:bCs/>
          <w:sz w:val="28"/>
          <w:szCs w:val="28"/>
          <w:lang w:val="en-US" w:eastAsia="zh-CN"/>
        </w:rPr>
        <w:t>（1）严重的心、肝、肾功能衰竭、恶性肿瘤等严重疾病状态。此类患者正气亏虚，脏腑功能衰惫，针刺恐耗伤气血，加重病情，故列为禁忌。</w:t>
      </w:r>
    </w:p>
    <w:p w14:paraId="7E48A647">
      <w:pPr>
        <w:pStyle w:val="33"/>
        <w:spacing w:before="0" w:beforeLines="0" w:after="0" w:afterLines="0"/>
        <w:ind w:firstLine="562"/>
        <w:jc w:val="both"/>
        <w:outlineLvl w:val="9"/>
        <w:rPr>
          <w:rFonts w:hint="eastAsia" w:ascii="仿宋_GB2312" w:hAnsi="仿宋_GB2312" w:eastAsia="仿宋_GB2312" w:cs="仿宋_GB2312"/>
          <w:b w:val="0"/>
          <w:bCs/>
          <w:sz w:val="28"/>
          <w:szCs w:val="28"/>
          <w:lang w:val="en-US" w:eastAsia="zh-CN"/>
        </w:rPr>
      </w:pPr>
      <w:r>
        <w:rPr>
          <w:rFonts w:hint="eastAsia" w:ascii="仿宋_GB2312" w:hAnsi="仿宋_GB2312" w:eastAsia="仿宋_GB2312" w:cs="仿宋_GB2312"/>
          <w:b w:val="0"/>
          <w:bCs/>
          <w:sz w:val="28"/>
          <w:szCs w:val="28"/>
          <w:lang w:val="en-US" w:eastAsia="zh-CN"/>
        </w:rPr>
        <w:t>（2）处于妊娠期的妇女，尤其是腹部、腰骶部以及能引起子宫收缩的穴位。妊娠期妇人气血聚以养胎，针刺上述部位易扰动胎气，引发宫缩，导致流产或早产，故予禁用。</w:t>
      </w:r>
    </w:p>
    <w:p w14:paraId="02D7624D">
      <w:pPr>
        <w:pStyle w:val="33"/>
        <w:spacing w:before="0" w:beforeLines="0" w:after="0" w:afterLines="0"/>
        <w:ind w:firstLine="562"/>
        <w:jc w:val="both"/>
        <w:outlineLvl w:val="9"/>
        <w:rPr>
          <w:rFonts w:hint="eastAsia" w:ascii="仿宋_GB2312" w:hAnsi="仿宋_GB2312" w:eastAsia="仿宋_GB2312" w:cs="仿宋_GB2312"/>
          <w:b w:val="0"/>
          <w:bCs/>
          <w:sz w:val="28"/>
          <w:szCs w:val="28"/>
          <w:lang w:val="en-US" w:eastAsia="zh-CN"/>
        </w:rPr>
      </w:pPr>
      <w:r>
        <w:rPr>
          <w:rFonts w:hint="eastAsia" w:ascii="仿宋_GB2312" w:hAnsi="仿宋_GB2312" w:eastAsia="仿宋_GB2312" w:cs="仿宋_GB2312"/>
          <w:b w:val="0"/>
          <w:bCs/>
          <w:sz w:val="28"/>
          <w:szCs w:val="28"/>
          <w:lang w:val="en-US" w:eastAsia="zh-CN"/>
        </w:rPr>
        <w:t>（3）GB/T 21709.20规定的其他禁忌症。如针刺部位有感染、溃疡、瘢痕或肿瘤者等，均参照该标准执行。</w:t>
      </w:r>
    </w:p>
    <w:p w14:paraId="02C6E7E5">
      <w:pPr>
        <w:pStyle w:val="33"/>
        <w:spacing w:before="0" w:beforeLines="0" w:after="0" w:afterLines="0" w:line="240" w:lineRule="auto"/>
        <w:ind w:left="0" w:leftChars="0" w:firstLine="0" w:firstLineChars="0"/>
        <w:jc w:val="center"/>
        <w:outlineLvl w:val="9"/>
      </w:pPr>
      <w:r>
        <w:drawing>
          <wp:inline distT="0" distB="0" distL="114300" distR="114300">
            <wp:extent cx="5107940" cy="1452245"/>
            <wp:effectExtent l="9525" t="9525" r="26035" b="241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8"/>
                    <a:stretch>
                      <a:fillRect/>
                    </a:stretch>
                  </pic:blipFill>
                  <pic:spPr>
                    <a:xfrm>
                      <a:off x="0" y="0"/>
                      <a:ext cx="5107940" cy="1452245"/>
                    </a:xfrm>
                    <a:prstGeom prst="rect">
                      <a:avLst/>
                    </a:prstGeom>
                    <a:noFill/>
                    <a:ln>
                      <a:solidFill>
                        <a:schemeClr val="tx1"/>
                      </a:solidFill>
                    </a:ln>
                  </pic:spPr>
                </pic:pic>
              </a:graphicData>
            </a:graphic>
          </wp:inline>
        </w:drawing>
      </w:r>
    </w:p>
    <w:p w14:paraId="1E600EC9">
      <w:pPr>
        <w:pStyle w:val="33"/>
        <w:spacing w:before="0" w:beforeLines="0" w:after="0" w:afterLines="0" w:line="240" w:lineRule="auto"/>
        <w:ind w:left="0" w:leftChars="0" w:firstLine="0" w:firstLineChars="0"/>
        <w:jc w:val="center"/>
        <w:outlineLvl w:val="9"/>
        <w:rPr>
          <w:rFonts w:hint="eastAsia" w:eastAsia="黑体"/>
          <w:lang w:val="en-US" w:eastAsia="zh-CN"/>
        </w:rPr>
      </w:pPr>
      <w:r>
        <w:rPr>
          <w:rFonts w:hint="eastAsia"/>
          <w:lang w:eastAsia="zh-CN"/>
        </w:rPr>
        <w:t>来源：GB/T 21709.20  针灸技术操作规范  第20部分：毫针基本刺法</w:t>
      </w:r>
    </w:p>
    <w:p w14:paraId="2BEBA680">
      <w:pPr>
        <w:pStyle w:val="33"/>
        <w:spacing w:before="0" w:beforeLines="0" w:after="0" w:afterLines="0"/>
        <w:ind w:firstLine="562"/>
        <w:jc w:val="both"/>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1.2 风险评估</w:t>
      </w:r>
    </w:p>
    <w:p w14:paraId="7A73D3E8">
      <w:pPr>
        <w:pStyle w:val="33"/>
        <w:spacing w:before="0" w:beforeLines="0" w:after="0" w:afterLines="0"/>
        <w:ind w:firstLine="562"/>
        <w:jc w:val="both"/>
        <w:outlineLvl w:val="9"/>
        <w:rPr>
          <w:rFonts w:hint="eastAsia" w:ascii="仿宋_GB2312" w:hAnsi="仿宋_GB2312" w:eastAsia="仿宋_GB2312" w:cs="仿宋_GB2312"/>
          <w:b w:val="0"/>
          <w:bCs/>
          <w:sz w:val="28"/>
          <w:szCs w:val="28"/>
          <w:lang w:val="en-US" w:eastAsia="zh-CN"/>
        </w:rPr>
      </w:pPr>
      <w:r>
        <w:rPr>
          <w:rFonts w:hint="eastAsia" w:ascii="仿宋_GB2312" w:hAnsi="仿宋_GB2312" w:eastAsia="仿宋_GB2312" w:cs="仿宋_GB2312"/>
          <w:b w:val="0"/>
          <w:bCs/>
          <w:sz w:val="28"/>
          <w:szCs w:val="28"/>
          <w:lang w:val="en-US" w:eastAsia="zh-CN"/>
        </w:rPr>
        <w:t>针对针刺过程中可能出现的不良反应，提前识别风险并采取防范措施：</w:t>
      </w:r>
    </w:p>
    <w:p w14:paraId="5CDBE488">
      <w:pPr>
        <w:pStyle w:val="33"/>
        <w:spacing w:before="0" w:beforeLines="0" w:after="0" w:afterLines="0"/>
        <w:ind w:firstLine="562"/>
        <w:jc w:val="both"/>
        <w:outlineLvl w:val="9"/>
        <w:rPr>
          <w:rFonts w:hint="eastAsia" w:ascii="仿宋_GB2312" w:hAnsi="仿宋_GB2312" w:eastAsia="仿宋_GB2312" w:cs="仿宋_GB2312"/>
          <w:b w:val="0"/>
          <w:bCs/>
          <w:sz w:val="28"/>
          <w:szCs w:val="28"/>
          <w:lang w:val="en-US" w:eastAsia="zh-CN"/>
        </w:rPr>
      </w:pPr>
      <w:r>
        <w:rPr>
          <w:rFonts w:hint="eastAsia" w:ascii="仿宋_GB2312" w:hAnsi="仿宋_GB2312" w:eastAsia="仿宋_GB2312" w:cs="仿宋_GB2312"/>
          <w:b w:val="0"/>
          <w:bCs/>
          <w:sz w:val="28"/>
          <w:szCs w:val="28"/>
          <w:lang w:val="en-US" w:eastAsia="zh-CN"/>
        </w:rPr>
        <w:t>（1）询问患者既往是否有晕针史。有晕针史者属高风险人群，施术前应做好充分解释，缓解紧张情绪，施术时密切观察，必要时取卧位针刺。</w:t>
      </w:r>
    </w:p>
    <w:p w14:paraId="5EDFFAC4">
      <w:pPr>
        <w:pStyle w:val="33"/>
        <w:spacing w:before="0" w:beforeLines="0" w:after="0" w:afterLines="0"/>
        <w:ind w:firstLine="562"/>
        <w:jc w:val="both"/>
        <w:outlineLvl w:val="9"/>
        <w:rPr>
          <w:rFonts w:hint="eastAsia" w:ascii="仿宋_GB2312" w:hAnsi="仿宋_GB2312" w:eastAsia="仿宋_GB2312" w:cs="仿宋_GB2312"/>
          <w:b w:val="0"/>
          <w:bCs/>
          <w:sz w:val="28"/>
          <w:szCs w:val="28"/>
          <w:lang w:val="en-US" w:eastAsia="zh-CN"/>
        </w:rPr>
      </w:pPr>
      <w:r>
        <w:rPr>
          <w:rFonts w:hint="eastAsia" w:ascii="仿宋_GB2312" w:hAnsi="仿宋_GB2312" w:eastAsia="仿宋_GB2312" w:cs="仿宋_GB2312"/>
          <w:b w:val="0"/>
          <w:bCs/>
          <w:sz w:val="28"/>
          <w:szCs w:val="28"/>
          <w:lang w:val="en-US" w:eastAsia="zh-CN"/>
        </w:rPr>
        <w:t>（2）患者处于过度饥饿、疲劳、精神高度紧张的状态时，宜在状态平稳后再进行针刺。上述状态下正气暂虚，气血运行失常，针刺易引发晕针等意外，待其进食、休息、情绪稳定后再行施术。</w:t>
      </w:r>
    </w:p>
    <w:p w14:paraId="46C7722D">
      <w:pPr>
        <w:pStyle w:val="33"/>
        <w:spacing w:before="0" w:beforeLines="0" w:after="0" w:afterLines="0"/>
        <w:ind w:firstLine="562"/>
        <w:jc w:val="both"/>
        <w:outlineLvl w:val="9"/>
        <w:rPr>
          <w:rFonts w:hint="eastAsia" w:ascii="仿宋_GB2312" w:hAnsi="仿宋_GB2312" w:eastAsia="仿宋_GB2312" w:cs="仿宋_GB2312"/>
          <w:b w:val="0"/>
          <w:bCs/>
          <w:sz w:val="28"/>
          <w:szCs w:val="28"/>
          <w:lang w:val="en-US" w:eastAsia="zh-CN"/>
        </w:rPr>
      </w:pPr>
      <w:r>
        <w:rPr>
          <w:rFonts w:hint="eastAsia" w:ascii="仿宋_GB2312" w:hAnsi="仿宋_GB2312" w:eastAsia="仿宋_GB2312" w:cs="仿宋_GB2312"/>
          <w:b w:val="0"/>
          <w:bCs/>
          <w:sz w:val="28"/>
          <w:szCs w:val="28"/>
          <w:lang w:val="en-US" w:eastAsia="zh-CN"/>
        </w:rPr>
        <w:t>（3）告知患者起针后局部出血或形成皮下血肿属正常现象，按压即可。提前告知可避免患者因不了解而产生恐慌，同时指导其正确处理方法。</w:t>
      </w:r>
    </w:p>
    <w:p w14:paraId="6D4D9650">
      <w:pPr>
        <w:pStyle w:val="33"/>
        <w:spacing w:before="0" w:beforeLines="0" w:after="0" w:afterLines="0"/>
        <w:ind w:firstLine="562"/>
        <w:jc w:val="both"/>
        <w:outlineLvl w:val="9"/>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2. 准备</w:t>
      </w:r>
    </w:p>
    <w:p w14:paraId="03660DFB">
      <w:pPr>
        <w:pStyle w:val="33"/>
        <w:spacing w:before="0" w:beforeLines="0" w:after="0" w:afterLines="0"/>
        <w:ind w:firstLine="562"/>
        <w:jc w:val="both"/>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lang w:val="en-US" w:eastAsia="zh-CN"/>
        </w:rPr>
        <w:t>2.</w:t>
      </w:r>
      <w:r>
        <w:rPr>
          <w:rFonts w:hint="eastAsia" w:ascii="仿宋_GB2312" w:hAnsi="仿宋_GB2312" w:eastAsia="仿宋_GB2312" w:cs="仿宋_GB2312"/>
          <w:b/>
          <w:bCs w:val="0"/>
          <w:sz w:val="28"/>
          <w:szCs w:val="28"/>
        </w:rPr>
        <w:t xml:space="preserve">1. </w:t>
      </w:r>
      <w:r>
        <w:rPr>
          <w:rFonts w:hint="eastAsia" w:ascii="仿宋_GB2312" w:hAnsi="仿宋_GB2312" w:eastAsia="仿宋_GB2312" w:cs="仿宋_GB2312"/>
          <w:b/>
          <w:bCs w:val="0"/>
          <w:sz w:val="28"/>
          <w:szCs w:val="28"/>
          <w:lang w:eastAsia="zh-CN"/>
        </w:rPr>
        <w:t>物品</w:t>
      </w:r>
    </w:p>
    <w:p w14:paraId="7D32F919">
      <w:pPr>
        <w:pStyle w:val="33"/>
        <w:spacing w:before="0" w:beforeLines="0" w:after="0" w:afterLines="0"/>
        <w:ind w:firstLine="560"/>
        <w:jc w:val="both"/>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lang w:eastAsia="zh-CN"/>
        </w:rPr>
        <w:t>通过调研收集各起草单位物品准备的实际情况，如表所示：</w:t>
      </w:r>
    </w:p>
    <w:p w14:paraId="510D4E30">
      <w:pPr>
        <w:pStyle w:val="33"/>
        <w:spacing w:before="0" w:beforeLines="0" w:after="0" w:afterLines="0"/>
        <w:ind w:left="0" w:leftChars="0" w:firstLine="0" w:firstLineChars="0"/>
        <w:jc w:val="center"/>
        <w:rPr>
          <w:rFonts w:hint="eastAsia" w:ascii="黑体" w:hAnsi="黑体" w:eastAsia="黑体" w:cs="黑体"/>
          <w:sz w:val="24"/>
          <w:szCs w:val="24"/>
          <w:lang w:eastAsia="zh-CN"/>
        </w:rPr>
      </w:pPr>
      <w:r>
        <w:rPr>
          <w:rFonts w:hint="eastAsia" w:ascii="黑体" w:hAnsi="黑体" w:eastAsia="黑体" w:cs="黑体"/>
          <w:sz w:val="24"/>
          <w:szCs w:val="24"/>
          <w:lang w:val="en-US" w:eastAsia="zh-CN"/>
        </w:rPr>
        <w:t>各医院</w:t>
      </w:r>
      <w:r>
        <w:rPr>
          <w:rFonts w:hint="eastAsia" w:ascii="黑体" w:hAnsi="黑体" w:eastAsia="黑体" w:cs="黑体"/>
          <w:sz w:val="24"/>
          <w:szCs w:val="24"/>
          <w:lang w:eastAsia="zh-CN"/>
        </w:rPr>
        <w:t>施术前准备物品</w:t>
      </w:r>
      <w:r>
        <w:rPr>
          <w:rFonts w:hint="eastAsia" w:cs="黑体"/>
          <w:sz w:val="24"/>
          <w:szCs w:val="24"/>
          <w:lang w:eastAsia="zh-CN"/>
        </w:rPr>
        <w:t>汇总表</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9"/>
        <w:gridCol w:w="7905"/>
      </w:tblGrid>
      <w:tr w14:paraId="64E987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9" w:type="dxa"/>
            <w:vAlign w:val="center"/>
          </w:tcPr>
          <w:p w14:paraId="675B6151">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eastAsia="zh-CN"/>
              </w:rPr>
              <w:t>医院</w:t>
            </w:r>
          </w:p>
        </w:tc>
        <w:tc>
          <w:tcPr>
            <w:tcW w:w="7905" w:type="dxa"/>
            <w:vAlign w:val="center"/>
          </w:tcPr>
          <w:p w14:paraId="2C299843">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eastAsia="zh-CN"/>
              </w:rPr>
              <w:t>施术前准备物品</w:t>
            </w:r>
          </w:p>
        </w:tc>
      </w:tr>
      <w:tr w14:paraId="582BDA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9" w:type="dxa"/>
            <w:vAlign w:val="center"/>
          </w:tcPr>
          <w:p w14:paraId="5A136FC7">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A</w:t>
            </w:r>
          </w:p>
        </w:tc>
        <w:tc>
          <w:tcPr>
            <w:tcW w:w="7905" w:type="dxa"/>
            <w:vAlign w:val="center"/>
          </w:tcPr>
          <w:p w14:paraId="57EF904C">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240" w:firstLineChars="100"/>
              <w:jc w:val="both"/>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eastAsia="zh-CN"/>
              </w:rPr>
              <w:t>治疗盘、规格0.3 mm×25 mm、0.3 mm×50 mm的一次性无菌针灸针、利器盒、医用棉签、75％医用乙醇、皮肤消毒液等</w:t>
            </w:r>
          </w:p>
        </w:tc>
      </w:tr>
      <w:tr w14:paraId="7B7DEE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9" w:type="dxa"/>
            <w:vAlign w:val="center"/>
          </w:tcPr>
          <w:p w14:paraId="085C885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B</w:t>
            </w:r>
          </w:p>
        </w:tc>
        <w:tc>
          <w:tcPr>
            <w:tcW w:w="7905" w:type="dxa"/>
            <w:vAlign w:val="center"/>
          </w:tcPr>
          <w:p w14:paraId="23654D80">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240" w:firstLineChars="100"/>
              <w:jc w:val="both"/>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eastAsia="zh-CN"/>
              </w:rPr>
              <w:t>治疗盘、规格0.3 mm×25 mm、0.3 mm×50 mm的一次性无菌针灸针、利器盒、医用棉签、75％医用乙醇、皮肤消毒液等</w:t>
            </w:r>
          </w:p>
        </w:tc>
      </w:tr>
      <w:tr w14:paraId="71F2D9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9" w:type="dxa"/>
            <w:vAlign w:val="center"/>
          </w:tcPr>
          <w:p w14:paraId="4B5483E2">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C</w:t>
            </w:r>
          </w:p>
        </w:tc>
        <w:tc>
          <w:tcPr>
            <w:tcW w:w="7905" w:type="dxa"/>
            <w:vAlign w:val="center"/>
          </w:tcPr>
          <w:p w14:paraId="3BBC2C1A">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240" w:firstLineChars="100"/>
              <w:jc w:val="both"/>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eastAsia="zh-CN"/>
              </w:rPr>
              <w:t>治疗盘、规格0.3 mm×25 mm、0.3 mm×50 mm的一次性无菌针灸针、利器盒、医用棉签、75％医用乙醇、皮肤消毒液等</w:t>
            </w:r>
          </w:p>
        </w:tc>
      </w:tr>
      <w:tr w14:paraId="5DD9CE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9" w:type="dxa"/>
            <w:vAlign w:val="center"/>
          </w:tcPr>
          <w:p w14:paraId="7B533AD0">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D</w:t>
            </w:r>
          </w:p>
        </w:tc>
        <w:tc>
          <w:tcPr>
            <w:tcW w:w="7905" w:type="dxa"/>
            <w:vAlign w:val="center"/>
          </w:tcPr>
          <w:p w14:paraId="3C7F1763">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240" w:firstLineChars="100"/>
              <w:jc w:val="both"/>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eastAsia="zh-CN"/>
              </w:rPr>
              <w:t>治疗盘、规格0.3 mm×25 mm、0.3 mm×50 mm的一次性无菌针灸针、利器盒、医用棉签、棉球、镊子、弯盘、75％医用乙醇、皮肤消毒液等</w:t>
            </w:r>
          </w:p>
        </w:tc>
      </w:tr>
      <w:tr w14:paraId="5AC2DF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69" w:type="dxa"/>
            <w:vAlign w:val="center"/>
          </w:tcPr>
          <w:p w14:paraId="48F1A44A">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E</w:t>
            </w:r>
          </w:p>
        </w:tc>
        <w:tc>
          <w:tcPr>
            <w:tcW w:w="7905" w:type="dxa"/>
            <w:vAlign w:val="center"/>
          </w:tcPr>
          <w:p w14:paraId="337ED65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240" w:firstLineChars="100"/>
              <w:jc w:val="both"/>
              <w:textAlignment w:val="auto"/>
              <w:rPr>
                <w:rFonts w:hint="eastAsia" w:ascii="仿宋_GB2312" w:hAnsi="仿宋_GB2312" w:eastAsia="仿宋_GB2312" w:cs="仿宋_GB2312"/>
                <w:sz w:val="24"/>
                <w:szCs w:val="24"/>
                <w:vertAlign w:val="baseline"/>
                <w:lang w:eastAsia="zh-CN"/>
              </w:rPr>
            </w:pPr>
            <w:r>
              <w:rPr>
                <w:rFonts w:hint="eastAsia" w:ascii="仿宋_GB2312" w:hAnsi="仿宋_GB2312" w:eastAsia="仿宋_GB2312" w:cs="仿宋_GB2312"/>
                <w:sz w:val="24"/>
                <w:szCs w:val="24"/>
                <w:vertAlign w:val="baseline"/>
                <w:lang w:eastAsia="zh-CN"/>
              </w:rPr>
              <w:t>治疗盘、规格0.25 mm×25 mm、0.25 mm×40 mm的一次性无菌针灸针、利器盒、医用棉签、75％医用乙醇、皮肤消毒液等</w:t>
            </w:r>
          </w:p>
        </w:tc>
      </w:tr>
    </w:tbl>
    <w:p w14:paraId="384B6E85">
      <w:pPr>
        <w:pStyle w:val="33"/>
        <w:spacing w:before="0" w:beforeLines="0" w:after="0" w:afterLines="0"/>
        <w:ind w:firstLine="560"/>
        <w:jc w:val="both"/>
        <w:rPr>
          <w:rFonts w:hint="default"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调研结果显示，多数医院（A、B、C、D）采用0.3 mm规格的一次性无菌针灸针，该规格能够满足临床操作需求；少数医院（E）采用0.25 mm规格，但为统一操作规范，本标准选用0.3 mm规格。部分医院（D）额外准备了棉球、镊子、弯盘等物品，考虑常规操作中并非必需，故不纳入基本物品准备清单。综合以上，最终确定物品准备为：治疗盘、一次性无菌针灸针（规格包括0.3 mm×25 mm、0.3 mm×50 mm）、利器盒、医用棉签、75％医用乙醇、皮肤消毒液等。</w:t>
      </w:r>
    </w:p>
    <w:p w14:paraId="3C02ED0A">
      <w:pPr>
        <w:pStyle w:val="33"/>
        <w:spacing w:before="0" w:beforeLines="0" w:after="0" w:afterLines="0"/>
        <w:ind w:firstLine="560"/>
        <w:jc w:val="both"/>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2.2. 施术者准备</w:t>
      </w:r>
    </w:p>
    <w:p w14:paraId="530F5871">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对施术者的要求整合了医疗安全与人文关怀：</w:t>
      </w:r>
    </w:p>
    <w:p w14:paraId="676284B6">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告知与沟通：向患者说明疗法特点，安抚其情绪，旨在获取知情同意与合作，减轻紧张心理，这是保障治疗顺利进行的必要前提。</w:t>
      </w:r>
    </w:p>
    <w:p w14:paraId="233C7A6A">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执行手卫生：严格按WS/T 313消毒，是切断医源性感染传播途径的强制性规范。</w:t>
      </w:r>
    </w:p>
    <w:p w14:paraId="3632593C">
      <w:pPr>
        <w:pStyle w:val="33"/>
        <w:spacing w:before="0" w:beforeLines="0" w:after="0" w:afterLines="0" w:line="240" w:lineRule="auto"/>
        <w:ind w:firstLine="0" w:firstLineChars="0"/>
        <w:rPr>
          <w:rFonts w:hint="eastAsia"/>
        </w:rPr>
      </w:pPr>
      <w:r>
        <w:drawing>
          <wp:inline distT="0" distB="0" distL="114300" distR="114300">
            <wp:extent cx="3383915" cy="2805430"/>
            <wp:effectExtent l="9525" t="9525" r="16510" b="2349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9"/>
                    <a:stretch>
                      <a:fillRect/>
                    </a:stretch>
                  </pic:blipFill>
                  <pic:spPr>
                    <a:xfrm>
                      <a:off x="0" y="0"/>
                      <a:ext cx="3383915" cy="2805430"/>
                    </a:xfrm>
                    <a:prstGeom prst="rect">
                      <a:avLst/>
                    </a:prstGeom>
                    <a:noFill/>
                    <a:ln>
                      <a:solidFill>
                        <a:schemeClr val="tx1"/>
                      </a:solidFill>
                    </a:ln>
                  </pic:spPr>
                </pic:pic>
              </a:graphicData>
            </a:graphic>
          </wp:inline>
        </w:drawing>
      </w:r>
    </w:p>
    <w:p w14:paraId="26F9E2B8">
      <w:pPr>
        <w:pStyle w:val="33"/>
        <w:spacing w:before="0" w:beforeLines="0" w:after="0" w:afterLines="0" w:line="240" w:lineRule="auto"/>
        <w:ind w:firstLine="0" w:firstLineChars="0"/>
        <w:rPr>
          <w:rFonts w:hint="eastAsia"/>
        </w:rPr>
      </w:pPr>
      <w:r>
        <w:rPr>
          <w:rFonts w:hint="eastAsia"/>
        </w:rPr>
        <w:t>来源：WS/T 313</w:t>
      </w:r>
    </w:p>
    <w:p w14:paraId="6A221097">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皮肤消毒：用75%酒精消毒穴位两遍，确保穿刺点无菌，是侵入性操作最基本的安全保障。</w:t>
      </w:r>
    </w:p>
    <w:p w14:paraId="312516F6">
      <w:pPr>
        <w:pStyle w:val="33"/>
        <w:spacing w:before="0" w:beforeLines="0" w:after="0" w:afterLines="0"/>
        <w:ind w:firstLine="562"/>
        <w:jc w:val="both"/>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lang w:val="en-US" w:eastAsia="zh-CN"/>
        </w:rPr>
        <w:t>2.3</w:t>
      </w:r>
      <w:r>
        <w:rPr>
          <w:rFonts w:hint="eastAsia" w:ascii="仿宋_GB2312" w:hAnsi="仿宋_GB2312" w:eastAsia="仿宋_GB2312" w:cs="仿宋_GB2312"/>
          <w:b/>
          <w:bCs w:val="0"/>
          <w:sz w:val="28"/>
          <w:szCs w:val="28"/>
        </w:rPr>
        <w:t xml:space="preserve">. </w:t>
      </w:r>
      <w:r>
        <w:rPr>
          <w:rFonts w:hint="eastAsia" w:ascii="仿宋_GB2312" w:hAnsi="仿宋_GB2312" w:eastAsia="仿宋_GB2312" w:cs="仿宋_GB2312"/>
          <w:b/>
          <w:bCs w:val="0"/>
          <w:sz w:val="28"/>
          <w:szCs w:val="28"/>
          <w:lang w:eastAsia="zh-CN"/>
        </w:rPr>
        <w:t>体位</w:t>
      </w:r>
    </w:p>
    <w:p w14:paraId="06A1F513">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规定“取仰卧位，充分暴露操作部位，注意保暖”是基于：</w:t>
      </w:r>
    </w:p>
    <w:p w14:paraId="4966B219">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仰卧位：便于同时取用头、腹、下肢等多个部位的穴位，患者身体最为放松，有利于准确选穴与行针。</w:t>
      </w:r>
    </w:p>
    <w:p w14:paraId="35EFCFE1">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注意保暖：避免患者在暴露部位及放松状态下感受外邪，符合壮医“防病”理念，保障治疗环境舒适。</w:t>
      </w:r>
    </w:p>
    <w:p w14:paraId="4C06B9F0">
      <w:pPr>
        <w:pStyle w:val="33"/>
        <w:spacing w:before="0" w:beforeLines="0" w:after="0" w:afterLines="0"/>
        <w:ind w:firstLine="562"/>
        <w:jc w:val="both"/>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lang w:val="en-US" w:eastAsia="zh-CN"/>
        </w:rPr>
        <w:t>2.4</w:t>
      </w:r>
      <w:r>
        <w:rPr>
          <w:rFonts w:hint="eastAsia" w:ascii="仿宋_GB2312" w:hAnsi="仿宋_GB2312" w:eastAsia="仿宋_GB2312" w:cs="仿宋_GB2312"/>
          <w:b/>
          <w:bCs w:val="0"/>
          <w:sz w:val="28"/>
          <w:szCs w:val="28"/>
        </w:rPr>
        <w:t xml:space="preserve">. </w:t>
      </w:r>
      <w:r>
        <w:rPr>
          <w:rFonts w:hint="eastAsia" w:ascii="仿宋_GB2312" w:hAnsi="仿宋_GB2312" w:eastAsia="仿宋_GB2312" w:cs="仿宋_GB2312"/>
          <w:b/>
          <w:bCs w:val="0"/>
          <w:sz w:val="28"/>
          <w:szCs w:val="28"/>
          <w:lang w:eastAsia="zh-CN"/>
        </w:rPr>
        <w:t>选穴</w:t>
      </w:r>
    </w:p>
    <w:p w14:paraId="22EF0461">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所选穴位组合是疗法的核心，直接体现壮医“三部”调气理论：</w:t>
      </w:r>
    </w:p>
    <w:p w14:paraId="18B9CF15">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天部四穴：百会、安眠三穴。百会位于巅顶，为诸阳之会，能引气上行、安神定志；安眠三穴位于头颈部，具有镇静安神之效，共同调节天气、宁心安神。</w:t>
      </w:r>
    </w:p>
    <w:p w14:paraId="385A4B55">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人部四穴：脐内环穴（脐周四穴）。位于腹部中枢，围绕神阙，可调和脏腑、运转中焦气机，调节气机运行之太过与不及，发挥“调人气以和中”之效。</w:t>
      </w:r>
    </w:p>
    <w:p w14:paraId="561F25B9">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地部四穴：足三里、独阴穴。足三里为强壮要穴，能补益气血、调节气机；独阴位于足底，可引火下行、滋阴潜阳。二者配合，一升一降，促进气机运行，实现“调地气以固本”。</w:t>
      </w:r>
    </w:p>
    <w:p w14:paraId="60C1BBD6">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诸穴配伍，共奏“调天气以安神、调人气以和中、调地气以固本”之整体功效。</w:t>
      </w:r>
    </w:p>
    <w:p w14:paraId="41B60ECF">
      <w:pPr>
        <w:pStyle w:val="33"/>
        <w:spacing w:before="0" w:beforeLines="0" w:after="0" w:afterLines="0" w:line="240" w:lineRule="auto"/>
        <w:ind w:left="0" w:leftChars="0" w:firstLine="0" w:firstLineChars="0"/>
        <w:jc w:val="center"/>
      </w:pPr>
      <w:r>
        <w:drawing>
          <wp:inline distT="0" distB="0" distL="114300" distR="114300">
            <wp:extent cx="3239770" cy="2229485"/>
            <wp:effectExtent l="9525" t="9525" r="27305" b="2794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20"/>
                    <a:stretch>
                      <a:fillRect/>
                    </a:stretch>
                  </pic:blipFill>
                  <pic:spPr>
                    <a:xfrm>
                      <a:off x="0" y="0"/>
                      <a:ext cx="3239770" cy="2229485"/>
                    </a:xfrm>
                    <a:prstGeom prst="rect">
                      <a:avLst/>
                    </a:prstGeom>
                    <a:noFill/>
                    <a:ln>
                      <a:solidFill>
                        <a:schemeClr val="tx1"/>
                      </a:solidFill>
                    </a:ln>
                  </pic:spPr>
                </pic:pic>
              </a:graphicData>
            </a:graphic>
          </wp:inline>
        </w:drawing>
      </w:r>
    </w:p>
    <w:p w14:paraId="4AA4AB85">
      <w:pPr>
        <w:pStyle w:val="33"/>
        <w:spacing w:before="0" w:beforeLines="0" w:after="0" w:afterLines="0" w:line="240" w:lineRule="auto"/>
        <w:ind w:left="0" w:leftChars="0" w:firstLine="0" w:firstLineChars="0"/>
        <w:jc w:val="center"/>
        <w:rPr>
          <w:rFonts w:hint="eastAsia"/>
        </w:rPr>
      </w:pPr>
      <w:r>
        <w:drawing>
          <wp:inline distT="0" distB="0" distL="114300" distR="114300">
            <wp:extent cx="3239770" cy="1864995"/>
            <wp:effectExtent l="9525" t="9525" r="27305" b="11430"/>
            <wp:docPr id="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pic:cNvPicPr>
                      <a:picLocks noChangeAspect="1"/>
                    </pic:cNvPicPr>
                  </pic:nvPicPr>
                  <pic:blipFill>
                    <a:blip r:embed="rId21"/>
                    <a:stretch>
                      <a:fillRect/>
                    </a:stretch>
                  </pic:blipFill>
                  <pic:spPr>
                    <a:xfrm>
                      <a:off x="0" y="0"/>
                      <a:ext cx="3239770" cy="1864995"/>
                    </a:xfrm>
                    <a:prstGeom prst="rect">
                      <a:avLst/>
                    </a:prstGeom>
                    <a:noFill/>
                    <a:ln>
                      <a:solidFill>
                        <a:schemeClr val="tx1"/>
                      </a:solidFill>
                    </a:ln>
                  </pic:spPr>
                </pic:pic>
              </a:graphicData>
            </a:graphic>
          </wp:inline>
        </w:drawing>
      </w:r>
    </w:p>
    <w:p w14:paraId="40CA2DA6">
      <w:pPr>
        <w:pStyle w:val="33"/>
        <w:spacing w:before="0" w:beforeLines="0" w:after="0" w:afterLines="0" w:line="240" w:lineRule="auto"/>
        <w:ind w:left="0" w:leftChars="0" w:firstLine="0" w:firstLineChars="0"/>
        <w:jc w:val="center"/>
        <w:rPr>
          <w:rFonts w:hint="eastAsia"/>
        </w:rPr>
      </w:pPr>
      <w:r>
        <w:drawing>
          <wp:inline distT="0" distB="0" distL="114300" distR="114300">
            <wp:extent cx="3239770" cy="1797050"/>
            <wp:effectExtent l="9525" t="9525" r="27305" b="22225"/>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22"/>
                    <a:stretch>
                      <a:fillRect/>
                    </a:stretch>
                  </pic:blipFill>
                  <pic:spPr>
                    <a:xfrm>
                      <a:off x="0" y="0"/>
                      <a:ext cx="3239770" cy="1797050"/>
                    </a:xfrm>
                    <a:prstGeom prst="rect">
                      <a:avLst/>
                    </a:prstGeom>
                    <a:noFill/>
                    <a:ln>
                      <a:solidFill>
                        <a:schemeClr val="tx1"/>
                      </a:solidFill>
                    </a:ln>
                  </pic:spPr>
                </pic:pic>
              </a:graphicData>
            </a:graphic>
          </wp:inline>
        </w:drawing>
      </w:r>
    </w:p>
    <w:p w14:paraId="54C60AB6">
      <w:pPr>
        <w:pStyle w:val="33"/>
        <w:spacing w:before="0" w:beforeLines="0" w:after="0" w:afterLines="0" w:line="240" w:lineRule="auto"/>
        <w:ind w:left="0" w:leftChars="0" w:firstLine="0" w:firstLineChars="0"/>
        <w:jc w:val="center"/>
        <w:rPr>
          <w:rFonts w:hint="eastAsia"/>
        </w:rPr>
      </w:pPr>
      <w:r>
        <w:rPr>
          <w:rFonts w:hint="eastAsia"/>
        </w:rPr>
        <w:t>穴位定位</w:t>
      </w:r>
    </w:p>
    <w:p w14:paraId="7743797F">
      <w:pPr>
        <w:pStyle w:val="33"/>
        <w:spacing w:before="0" w:beforeLines="0" w:after="0" w:afterLines="0"/>
        <w:ind w:firstLine="562"/>
        <w:jc w:val="both"/>
        <w:outlineLvl w:val="1"/>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rPr>
        <w:t>（四）</w:t>
      </w:r>
      <w:r>
        <w:rPr>
          <w:rFonts w:hint="eastAsia" w:ascii="仿宋_GB2312" w:hAnsi="仿宋_GB2312" w:eastAsia="仿宋_GB2312" w:cs="仿宋_GB2312"/>
          <w:b/>
          <w:bCs w:val="0"/>
          <w:sz w:val="28"/>
          <w:szCs w:val="28"/>
          <w:lang w:eastAsia="zh-CN"/>
        </w:rPr>
        <w:t>施术方法</w:t>
      </w:r>
    </w:p>
    <w:p w14:paraId="575732D9">
      <w:pPr>
        <w:pStyle w:val="33"/>
        <w:spacing w:before="0" w:beforeLines="0" w:after="0" w:afterLines="0"/>
        <w:ind w:firstLine="560"/>
        <w:jc w:val="both"/>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1. 针具规格、针刺方法与深度</w:t>
      </w:r>
    </w:p>
    <w:p w14:paraId="21EB538E">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通过调研收集各起草单位对穴位针刺参数的实际情况，汇总如下表所示：</w:t>
      </w:r>
    </w:p>
    <w:p w14:paraId="44705302">
      <w:pPr>
        <w:pStyle w:val="33"/>
        <w:spacing w:before="0" w:beforeLines="0" w:after="0" w:afterLines="0"/>
        <w:ind w:left="0" w:leftChars="0" w:firstLine="0" w:firstLineChars="0"/>
        <w:jc w:val="center"/>
        <w:rPr>
          <w:rFonts w:hint="eastAsia" w:ascii="黑体" w:hAnsi="黑体" w:eastAsia="黑体" w:cs="黑体"/>
          <w:sz w:val="24"/>
          <w:szCs w:val="24"/>
          <w:lang w:val="en-US" w:eastAsia="zh-CN"/>
        </w:rPr>
      </w:pPr>
      <w:r>
        <w:rPr>
          <w:rFonts w:hint="eastAsia" w:ascii="黑体" w:hAnsi="黑体" w:eastAsia="黑体" w:cs="黑体"/>
          <w:sz w:val="24"/>
          <w:szCs w:val="24"/>
          <w:lang w:val="en-US" w:eastAsia="zh-CN"/>
        </w:rPr>
        <w:t>各医院穴位针刺参数调研汇总表</w:t>
      </w:r>
    </w:p>
    <w:tbl>
      <w:tblPr>
        <w:tblStyle w:val="17"/>
        <w:tblW w:w="1117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2"/>
        <w:gridCol w:w="1776"/>
        <w:gridCol w:w="1776"/>
        <w:gridCol w:w="1909"/>
        <w:gridCol w:w="1643"/>
        <w:gridCol w:w="1536"/>
        <w:gridCol w:w="1776"/>
      </w:tblGrid>
      <w:tr w14:paraId="5949C5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jc w:val="center"/>
        </w:trPr>
        <w:tc>
          <w:tcPr>
            <w:tcW w:w="762" w:type="dxa"/>
            <w:vAlign w:val="center"/>
          </w:tcPr>
          <w:p w14:paraId="793DFE3D">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医院</w:t>
            </w:r>
          </w:p>
        </w:tc>
        <w:tc>
          <w:tcPr>
            <w:tcW w:w="1776" w:type="dxa"/>
            <w:vAlign w:val="center"/>
          </w:tcPr>
          <w:p w14:paraId="0B606C8E">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百会穴</w:t>
            </w:r>
          </w:p>
        </w:tc>
        <w:tc>
          <w:tcPr>
            <w:tcW w:w="1776" w:type="dxa"/>
            <w:vAlign w:val="center"/>
          </w:tcPr>
          <w:p w14:paraId="15489949">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安眠三穴</w:t>
            </w:r>
          </w:p>
        </w:tc>
        <w:tc>
          <w:tcPr>
            <w:tcW w:w="1909" w:type="dxa"/>
            <w:vAlign w:val="center"/>
          </w:tcPr>
          <w:p w14:paraId="68ECA860">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印堂穴（眉心穴）</w:t>
            </w:r>
          </w:p>
        </w:tc>
        <w:tc>
          <w:tcPr>
            <w:tcW w:w="1643" w:type="dxa"/>
            <w:vAlign w:val="center"/>
          </w:tcPr>
          <w:p w14:paraId="401F85C6">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脐内环穴</w:t>
            </w:r>
          </w:p>
        </w:tc>
        <w:tc>
          <w:tcPr>
            <w:tcW w:w="1536" w:type="dxa"/>
            <w:vAlign w:val="center"/>
          </w:tcPr>
          <w:p w14:paraId="00DFBD53">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足三里穴</w:t>
            </w:r>
          </w:p>
        </w:tc>
        <w:tc>
          <w:tcPr>
            <w:tcW w:w="1776" w:type="dxa"/>
            <w:vAlign w:val="center"/>
          </w:tcPr>
          <w:p w14:paraId="00C2AEB6">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独阴穴</w:t>
            </w:r>
          </w:p>
        </w:tc>
      </w:tr>
      <w:tr w14:paraId="20767B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2" w:type="dxa"/>
            <w:vAlign w:val="center"/>
          </w:tcPr>
          <w:p w14:paraId="482EB33A">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A</w:t>
            </w:r>
          </w:p>
        </w:tc>
        <w:tc>
          <w:tcPr>
            <w:tcW w:w="1776" w:type="dxa"/>
            <w:vAlign w:val="center"/>
          </w:tcPr>
          <w:p w14:paraId="563991A6">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0.3×25/0.5～0.8</w:t>
            </w:r>
          </w:p>
        </w:tc>
        <w:tc>
          <w:tcPr>
            <w:tcW w:w="1776" w:type="dxa"/>
            <w:vAlign w:val="center"/>
          </w:tcPr>
          <w:p w14:paraId="612F54AE">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0.3×25/0.3～0.5</w:t>
            </w:r>
          </w:p>
        </w:tc>
        <w:tc>
          <w:tcPr>
            <w:tcW w:w="1909" w:type="dxa"/>
            <w:vAlign w:val="center"/>
          </w:tcPr>
          <w:p w14:paraId="7FA7598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0.3×25/0.3～0.5</w:t>
            </w:r>
          </w:p>
        </w:tc>
        <w:tc>
          <w:tcPr>
            <w:tcW w:w="1643" w:type="dxa"/>
            <w:vAlign w:val="center"/>
          </w:tcPr>
          <w:p w14:paraId="29221D37">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0.3×25/0.5～1</w:t>
            </w:r>
          </w:p>
        </w:tc>
        <w:tc>
          <w:tcPr>
            <w:tcW w:w="1536" w:type="dxa"/>
            <w:vAlign w:val="center"/>
          </w:tcPr>
          <w:p w14:paraId="21BEE9FD">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0.3×50/1～2</w:t>
            </w:r>
          </w:p>
        </w:tc>
        <w:tc>
          <w:tcPr>
            <w:tcW w:w="1776" w:type="dxa"/>
            <w:vAlign w:val="center"/>
          </w:tcPr>
          <w:p w14:paraId="56CBB025">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0.3×25/0.2～0.3</w:t>
            </w:r>
          </w:p>
        </w:tc>
      </w:tr>
      <w:tr w14:paraId="6986C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2" w:type="dxa"/>
            <w:vAlign w:val="center"/>
          </w:tcPr>
          <w:p w14:paraId="7F0260D6">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B</w:t>
            </w:r>
          </w:p>
        </w:tc>
        <w:tc>
          <w:tcPr>
            <w:tcW w:w="1776" w:type="dxa"/>
            <w:vAlign w:val="center"/>
          </w:tcPr>
          <w:p w14:paraId="6345BE9B">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0.3×25/0.5～0.8</w:t>
            </w:r>
          </w:p>
        </w:tc>
        <w:tc>
          <w:tcPr>
            <w:tcW w:w="1776" w:type="dxa"/>
            <w:vAlign w:val="center"/>
          </w:tcPr>
          <w:p w14:paraId="43C87724">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0.3×25/0.3～0.5</w:t>
            </w:r>
          </w:p>
        </w:tc>
        <w:tc>
          <w:tcPr>
            <w:tcW w:w="1909" w:type="dxa"/>
            <w:vAlign w:val="center"/>
          </w:tcPr>
          <w:p w14:paraId="23EDDC8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0.3×25/0.3～0.5</w:t>
            </w:r>
          </w:p>
        </w:tc>
        <w:tc>
          <w:tcPr>
            <w:tcW w:w="1643" w:type="dxa"/>
            <w:vAlign w:val="center"/>
          </w:tcPr>
          <w:p w14:paraId="28E3EFF1">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0.3×25/0.5～1</w:t>
            </w:r>
          </w:p>
        </w:tc>
        <w:tc>
          <w:tcPr>
            <w:tcW w:w="1536" w:type="dxa"/>
            <w:vAlign w:val="center"/>
          </w:tcPr>
          <w:p w14:paraId="425F66E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0.3×50/1～2</w:t>
            </w:r>
          </w:p>
        </w:tc>
        <w:tc>
          <w:tcPr>
            <w:tcW w:w="1776" w:type="dxa"/>
            <w:vAlign w:val="center"/>
          </w:tcPr>
          <w:p w14:paraId="7461797A">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0.3×25/0.2～0.3</w:t>
            </w:r>
          </w:p>
        </w:tc>
      </w:tr>
      <w:tr w14:paraId="1BD7B6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2" w:type="dxa"/>
            <w:vAlign w:val="center"/>
          </w:tcPr>
          <w:p w14:paraId="38A3BF6C">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C</w:t>
            </w:r>
          </w:p>
        </w:tc>
        <w:tc>
          <w:tcPr>
            <w:tcW w:w="1776" w:type="dxa"/>
            <w:vAlign w:val="center"/>
          </w:tcPr>
          <w:p w14:paraId="2520C1FA">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0.3×25/0.5～0.8</w:t>
            </w:r>
          </w:p>
        </w:tc>
        <w:tc>
          <w:tcPr>
            <w:tcW w:w="1776" w:type="dxa"/>
            <w:vAlign w:val="center"/>
          </w:tcPr>
          <w:p w14:paraId="31DC7CC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0.3×25/0.3～0.5</w:t>
            </w:r>
          </w:p>
        </w:tc>
        <w:tc>
          <w:tcPr>
            <w:tcW w:w="1909" w:type="dxa"/>
            <w:vAlign w:val="center"/>
          </w:tcPr>
          <w:p w14:paraId="37554A88">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0.3×25/0.3～0.5</w:t>
            </w:r>
          </w:p>
        </w:tc>
        <w:tc>
          <w:tcPr>
            <w:tcW w:w="1643" w:type="dxa"/>
            <w:vAlign w:val="center"/>
          </w:tcPr>
          <w:p w14:paraId="429450E3">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0.3×25/0.5～1</w:t>
            </w:r>
          </w:p>
        </w:tc>
        <w:tc>
          <w:tcPr>
            <w:tcW w:w="1536" w:type="dxa"/>
            <w:vAlign w:val="center"/>
          </w:tcPr>
          <w:p w14:paraId="4D4F7B95">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0.3×50/1～2</w:t>
            </w:r>
          </w:p>
        </w:tc>
        <w:tc>
          <w:tcPr>
            <w:tcW w:w="1776" w:type="dxa"/>
            <w:vAlign w:val="center"/>
          </w:tcPr>
          <w:p w14:paraId="5B0EDBB9">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0.3×25/0.2～0.3</w:t>
            </w:r>
          </w:p>
        </w:tc>
      </w:tr>
      <w:tr w14:paraId="23DFE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2" w:type="dxa"/>
            <w:vAlign w:val="center"/>
          </w:tcPr>
          <w:p w14:paraId="790AD16B">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D</w:t>
            </w:r>
          </w:p>
        </w:tc>
        <w:tc>
          <w:tcPr>
            <w:tcW w:w="1776" w:type="dxa"/>
            <w:vAlign w:val="center"/>
          </w:tcPr>
          <w:p w14:paraId="03938CD4">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0.3×25/0.5～0.8</w:t>
            </w:r>
          </w:p>
        </w:tc>
        <w:tc>
          <w:tcPr>
            <w:tcW w:w="1776" w:type="dxa"/>
            <w:vAlign w:val="center"/>
          </w:tcPr>
          <w:p w14:paraId="176D19A6">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0.3×25/0.3～0.5</w:t>
            </w:r>
          </w:p>
        </w:tc>
        <w:tc>
          <w:tcPr>
            <w:tcW w:w="1909" w:type="dxa"/>
            <w:vAlign w:val="center"/>
          </w:tcPr>
          <w:p w14:paraId="25BC3E5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0.3×25/0.3～0.5</w:t>
            </w:r>
          </w:p>
        </w:tc>
        <w:tc>
          <w:tcPr>
            <w:tcW w:w="1643" w:type="dxa"/>
            <w:vAlign w:val="center"/>
          </w:tcPr>
          <w:p w14:paraId="3A6CAA53">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0.3×25/0.5～1</w:t>
            </w:r>
          </w:p>
        </w:tc>
        <w:tc>
          <w:tcPr>
            <w:tcW w:w="1536" w:type="dxa"/>
            <w:vAlign w:val="center"/>
          </w:tcPr>
          <w:p w14:paraId="6F4F284E">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0.3×50/1～2</w:t>
            </w:r>
          </w:p>
        </w:tc>
        <w:tc>
          <w:tcPr>
            <w:tcW w:w="1776" w:type="dxa"/>
            <w:vAlign w:val="center"/>
          </w:tcPr>
          <w:p w14:paraId="5388EC60">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0.3×25/0.2～0.3</w:t>
            </w:r>
          </w:p>
        </w:tc>
      </w:tr>
      <w:tr w14:paraId="3C4976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2" w:type="dxa"/>
            <w:vAlign w:val="center"/>
          </w:tcPr>
          <w:p w14:paraId="77600D8D">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E</w:t>
            </w:r>
          </w:p>
        </w:tc>
        <w:tc>
          <w:tcPr>
            <w:tcW w:w="1776" w:type="dxa"/>
            <w:vAlign w:val="center"/>
          </w:tcPr>
          <w:p w14:paraId="1BA30EB3">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0.25×25/0.5～0.6</w:t>
            </w:r>
          </w:p>
        </w:tc>
        <w:tc>
          <w:tcPr>
            <w:tcW w:w="1776" w:type="dxa"/>
            <w:vAlign w:val="center"/>
          </w:tcPr>
          <w:p w14:paraId="1E08EA86">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0.25×25/0.3～0.5</w:t>
            </w:r>
          </w:p>
        </w:tc>
        <w:tc>
          <w:tcPr>
            <w:tcW w:w="1909" w:type="dxa"/>
            <w:vAlign w:val="center"/>
          </w:tcPr>
          <w:p w14:paraId="14D85E9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0.25×25/0.3～0.5</w:t>
            </w:r>
          </w:p>
        </w:tc>
        <w:tc>
          <w:tcPr>
            <w:tcW w:w="1643" w:type="dxa"/>
            <w:vAlign w:val="center"/>
          </w:tcPr>
          <w:p w14:paraId="4EF6F06B">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0.25×25/0.5～0.8</w:t>
            </w:r>
          </w:p>
        </w:tc>
        <w:tc>
          <w:tcPr>
            <w:tcW w:w="1536" w:type="dxa"/>
            <w:vAlign w:val="center"/>
          </w:tcPr>
          <w:p w14:paraId="3245CDD2">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0.25×40/1～1.5</w:t>
            </w:r>
          </w:p>
        </w:tc>
        <w:tc>
          <w:tcPr>
            <w:tcW w:w="1776" w:type="dxa"/>
            <w:vAlign w:val="center"/>
          </w:tcPr>
          <w:p w14:paraId="7635F9BE">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0.25×25/0.2～0.3</w:t>
            </w:r>
          </w:p>
        </w:tc>
      </w:tr>
      <w:tr w14:paraId="10EE25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62" w:type="dxa"/>
            <w:vAlign w:val="center"/>
          </w:tcPr>
          <w:p w14:paraId="4E657F08">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标准</w:t>
            </w:r>
          </w:p>
        </w:tc>
        <w:tc>
          <w:tcPr>
            <w:tcW w:w="1776" w:type="dxa"/>
            <w:vAlign w:val="center"/>
          </w:tcPr>
          <w:p w14:paraId="3738383A">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0.3×25/0.5～0.8</w:t>
            </w:r>
          </w:p>
        </w:tc>
        <w:tc>
          <w:tcPr>
            <w:tcW w:w="1776" w:type="dxa"/>
            <w:vAlign w:val="center"/>
          </w:tcPr>
          <w:p w14:paraId="0CE45152">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0.3×25/0.3～0.5</w:t>
            </w:r>
          </w:p>
        </w:tc>
        <w:tc>
          <w:tcPr>
            <w:tcW w:w="1909" w:type="dxa"/>
            <w:vAlign w:val="center"/>
          </w:tcPr>
          <w:p w14:paraId="6EE37A1A">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0.3×25/0.3～0.5</w:t>
            </w:r>
          </w:p>
        </w:tc>
        <w:tc>
          <w:tcPr>
            <w:tcW w:w="1643" w:type="dxa"/>
            <w:vAlign w:val="center"/>
          </w:tcPr>
          <w:p w14:paraId="68B14F14">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0.3×25/0.5～1</w:t>
            </w:r>
          </w:p>
        </w:tc>
        <w:tc>
          <w:tcPr>
            <w:tcW w:w="1536" w:type="dxa"/>
            <w:vAlign w:val="center"/>
          </w:tcPr>
          <w:p w14:paraId="16DB7AB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0.3×50/1～2</w:t>
            </w:r>
          </w:p>
        </w:tc>
        <w:tc>
          <w:tcPr>
            <w:tcW w:w="1776" w:type="dxa"/>
            <w:vAlign w:val="center"/>
          </w:tcPr>
          <w:p w14:paraId="2E1140F5">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18"/>
                <w:szCs w:val="18"/>
                <w:vertAlign w:val="baseline"/>
                <w:lang w:val="en-US" w:eastAsia="zh-CN"/>
              </w:rPr>
            </w:pPr>
            <w:r>
              <w:rPr>
                <w:rFonts w:hint="default" w:ascii="仿宋_GB2312" w:hAnsi="仿宋_GB2312" w:eastAsia="仿宋_GB2312" w:cs="仿宋_GB2312"/>
                <w:sz w:val="18"/>
                <w:szCs w:val="18"/>
                <w:vertAlign w:val="baseline"/>
                <w:lang w:val="en-US" w:eastAsia="zh-CN"/>
              </w:rPr>
              <w:t>0.3×25/0.2～0.3</w:t>
            </w:r>
          </w:p>
        </w:tc>
      </w:tr>
      <w:tr w14:paraId="2A66A2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178" w:type="dxa"/>
            <w:gridSpan w:val="7"/>
            <w:vAlign w:val="center"/>
          </w:tcPr>
          <w:p w14:paraId="3ABCE49E">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360" w:firstLineChars="200"/>
              <w:jc w:val="both"/>
              <w:textAlignment w:val="auto"/>
              <w:rPr>
                <w:rFonts w:hint="eastAsia" w:ascii="仿宋_GB2312" w:hAnsi="仿宋_GB2312" w:eastAsia="仿宋_GB2312" w:cs="仿宋_GB2312"/>
                <w:sz w:val="18"/>
                <w:szCs w:val="18"/>
                <w:vertAlign w:val="baseline"/>
                <w:lang w:val="en-US" w:eastAsia="zh-CN"/>
              </w:rPr>
            </w:pPr>
            <w:r>
              <w:rPr>
                <w:rFonts w:hint="eastAsia" w:ascii="仿宋_GB2312" w:hAnsi="仿宋_GB2312" w:eastAsia="仿宋_GB2312" w:cs="仿宋_GB2312"/>
                <w:sz w:val="18"/>
                <w:szCs w:val="18"/>
                <w:vertAlign w:val="baseline"/>
                <w:lang w:val="en-US" w:eastAsia="zh-CN"/>
              </w:rPr>
              <w:t>注：表中格式为“针具规格（mm）/针刺深度（寸）”；A-E分别代表五家调研医院。</w:t>
            </w:r>
          </w:p>
        </w:tc>
      </w:tr>
    </w:tbl>
    <w:p w14:paraId="11A33C5E">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调研结果显示，A、B、C、D四家医院采用的针具规格均为0.3 mm，深度范围基本一致；仅E医院采用0.25 mm规格，且部分穴位深度略浅。在针刺方法上，所有医院均采用相同的操作方法，体现了壮医三部四针法的统一特色。综合各医院临床实践及专家共识，本标准最终确定各穴位的参数如下：</w:t>
      </w:r>
    </w:p>
    <w:p w14:paraId="6BCDA9E9">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（1）针具选择：</w:t>
      </w:r>
    </w:p>
    <w:p w14:paraId="43463A39">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头部、腹部及足底穴位（百会、印堂、安眠、脐内环、独阴）统一使用0.3×25mm毫针，因其所在部位组织较薄或面积有限，短针更适合平刺、斜刺等浅层或透刺操作，且安全性高。足三里穴因位于小腿肌肉丰厚处，需达到一定刺激深度，故选用0.3×50mm的较长针具，以保证有效刺激量。调研中多数医院采用0.3mm规格，证明该规格能兼顾刺激强度与患者舒适度。</w:t>
      </w:r>
    </w:p>
    <w:p w14:paraId="4064C670">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（2）针刺方法：</w:t>
      </w:r>
    </w:p>
    <w:p w14:paraId="1BAC3D1E">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平刺（用于百会、印堂、脐内环穴）：沿皮刺入，适用于头皮、额部及腹部等皮薄肉少或重要脏器浅表的区域，刺激面积大而痛感轻，符合“轻刺调气”的原则。</w:t>
      </w:r>
    </w:p>
    <w:p w14:paraId="486EF590">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斜刺/一针透刺（用于安眠三穴）：可同时对多个刺激点产生效应，提高取穴效率，增强安神镇静的局部作用。</w:t>
      </w:r>
    </w:p>
    <w:p w14:paraId="614519A3">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直刺（用于足三里、独阴穴）：足三里为强壮要穴，直刺可深入肌层，激发经气；独阴穴位于足底，直刺0.2-0.3寸足以产生强针感，又避免过深损伤足底筋膜。</w:t>
      </w:r>
    </w:p>
    <w:p w14:paraId="22D75D4A">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（3）针刺深度</w:t>
      </w:r>
    </w:p>
    <w:p w14:paraId="5564CD9D">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所有深度范围（以“寸”表示，此处指“同身寸”）均基于安全解剖界限与临床有效刺激阈值的综合考量。例如，百会穴平刺0.5-0.8寸可确保针体在帽状腱膜下层安全滑行，并有效刺激该区神经血管束；脐内环穴向外平刺0.5-1寸，可有效刺激腹壁筋膜与神经而不伤及腹膜内脏器。这些参数是长期临床实践形成的安全共识。</w:t>
      </w:r>
    </w:p>
    <w:p w14:paraId="07FA409B">
      <w:pPr>
        <w:pStyle w:val="33"/>
        <w:spacing w:before="0" w:beforeLines="0" w:after="0" w:afterLines="0"/>
        <w:ind w:firstLine="560"/>
        <w:jc w:val="both"/>
        <w:rPr>
          <w:rFonts w:hint="default"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2. 留针时间、行针手法与呼吸配合</w:t>
      </w:r>
    </w:p>
    <w:p w14:paraId="041B2E06">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通过对五家医院（A、B、C、D、E）的调研，各单位在留针时间、捻转操作及呼吸配合方面的参数汇总如表3所示：</w:t>
      </w:r>
    </w:p>
    <w:p w14:paraId="0B3E9D55">
      <w:pPr>
        <w:pStyle w:val="33"/>
        <w:spacing w:before="0" w:beforeLines="0" w:after="0" w:afterLines="0"/>
        <w:ind w:left="0" w:leftChars="0" w:firstLine="0" w:firstLineChars="0"/>
        <w:jc w:val="center"/>
        <w:rPr>
          <w:rFonts w:hint="eastAsia" w:ascii="黑体" w:hAnsi="黑体" w:eastAsia="黑体" w:cs="黑体"/>
          <w:sz w:val="24"/>
          <w:szCs w:val="24"/>
          <w:lang w:val="en-US" w:eastAsia="zh-CN"/>
        </w:rPr>
      </w:pPr>
      <w:r>
        <w:rPr>
          <w:rFonts w:hint="eastAsia" w:ascii="黑体" w:hAnsi="黑体" w:eastAsia="黑体" w:cs="黑体"/>
          <w:sz w:val="24"/>
          <w:szCs w:val="24"/>
          <w:lang w:val="en-US" w:eastAsia="zh-CN"/>
        </w:rPr>
        <w:t>各医院留针与操作参数调研汇总表</w:t>
      </w:r>
    </w:p>
    <w:tbl>
      <w:tblPr>
        <w:tblStyle w:val="17"/>
        <w:tblW w:w="1052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4"/>
        <w:gridCol w:w="1385"/>
        <w:gridCol w:w="1385"/>
        <w:gridCol w:w="1385"/>
        <w:gridCol w:w="1385"/>
        <w:gridCol w:w="1385"/>
        <w:gridCol w:w="1385"/>
        <w:gridCol w:w="1390"/>
      </w:tblGrid>
      <w:tr w14:paraId="46A69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4" w:type="dxa"/>
            <w:vAlign w:val="center"/>
          </w:tcPr>
          <w:p w14:paraId="35B13A4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2"/>
                <w:szCs w:val="22"/>
                <w:vertAlign w:val="baseline"/>
                <w:lang w:val="en-US" w:eastAsia="zh-CN"/>
              </w:rPr>
            </w:pPr>
            <w:r>
              <w:rPr>
                <w:rFonts w:hint="eastAsia" w:ascii="仿宋_GB2312" w:hAnsi="仿宋_GB2312" w:eastAsia="仿宋_GB2312" w:cs="仿宋_GB2312"/>
                <w:sz w:val="22"/>
                <w:szCs w:val="22"/>
                <w:vertAlign w:val="baseline"/>
                <w:lang w:val="en-US" w:eastAsia="zh-CN"/>
              </w:rPr>
              <w:t>医院</w:t>
            </w:r>
          </w:p>
        </w:tc>
        <w:tc>
          <w:tcPr>
            <w:tcW w:w="1385" w:type="dxa"/>
            <w:vAlign w:val="center"/>
          </w:tcPr>
          <w:p w14:paraId="46131C67">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2"/>
                <w:szCs w:val="22"/>
                <w:vertAlign w:val="baseline"/>
                <w:lang w:val="en-US" w:eastAsia="zh-CN"/>
              </w:rPr>
            </w:pPr>
            <w:r>
              <w:rPr>
                <w:rFonts w:hint="default" w:ascii="仿宋_GB2312" w:hAnsi="仿宋_GB2312" w:eastAsia="仿宋_GB2312" w:cs="仿宋_GB2312"/>
                <w:sz w:val="22"/>
                <w:szCs w:val="22"/>
                <w:vertAlign w:val="baseline"/>
                <w:lang w:val="en-US" w:eastAsia="zh-CN"/>
              </w:rPr>
              <w:t>留针时间（min）</w:t>
            </w:r>
          </w:p>
        </w:tc>
        <w:tc>
          <w:tcPr>
            <w:tcW w:w="1385" w:type="dxa"/>
            <w:vAlign w:val="center"/>
          </w:tcPr>
          <w:p w14:paraId="2D0AF079">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2"/>
                <w:szCs w:val="22"/>
                <w:vertAlign w:val="baseline"/>
                <w:lang w:val="en-US" w:eastAsia="zh-CN"/>
              </w:rPr>
            </w:pPr>
            <w:r>
              <w:rPr>
                <w:rFonts w:hint="default" w:ascii="仿宋_GB2312" w:hAnsi="仿宋_GB2312" w:eastAsia="仿宋_GB2312" w:cs="仿宋_GB2312"/>
                <w:sz w:val="22"/>
                <w:szCs w:val="22"/>
                <w:vertAlign w:val="baseline"/>
                <w:lang w:val="en-US" w:eastAsia="zh-CN"/>
              </w:rPr>
              <w:t>捻转间隔（min）</w:t>
            </w:r>
          </w:p>
        </w:tc>
        <w:tc>
          <w:tcPr>
            <w:tcW w:w="1385" w:type="dxa"/>
            <w:vAlign w:val="center"/>
          </w:tcPr>
          <w:p w14:paraId="0DB6D1AB">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2"/>
                <w:szCs w:val="22"/>
                <w:vertAlign w:val="baseline"/>
                <w:lang w:val="en-US" w:eastAsia="zh-CN"/>
              </w:rPr>
            </w:pPr>
            <w:r>
              <w:rPr>
                <w:rFonts w:hint="default" w:ascii="仿宋_GB2312" w:hAnsi="仿宋_GB2312" w:eastAsia="仿宋_GB2312" w:cs="仿宋_GB2312"/>
                <w:sz w:val="22"/>
                <w:szCs w:val="22"/>
                <w:vertAlign w:val="baseline"/>
                <w:lang w:val="en-US" w:eastAsia="zh-CN"/>
              </w:rPr>
              <w:t>捻转时长（min/次）</w:t>
            </w:r>
          </w:p>
        </w:tc>
        <w:tc>
          <w:tcPr>
            <w:tcW w:w="1385" w:type="dxa"/>
            <w:vAlign w:val="center"/>
          </w:tcPr>
          <w:p w14:paraId="4C9274B7">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2"/>
                <w:szCs w:val="22"/>
                <w:vertAlign w:val="baseline"/>
                <w:lang w:val="en-US" w:eastAsia="zh-CN"/>
              </w:rPr>
            </w:pPr>
            <w:r>
              <w:rPr>
                <w:rFonts w:hint="default" w:ascii="仿宋_GB2312" w:hAnsi="仿宋_GB2312" w:eastAsia="仿宋_GB2312" w:cs="仿宋_GB2312"/>
                <w:sz w:val="22"/>
                <w:szCs w:val="22"/>
                <w:vertAlign w:val="baseline"/>
                <w:lang w:val="en-US" w:eastAsia="zh-CN"/>
              </w:rPr>
              <w:t>捻转次数（次）</w:t>
            </w:r>
          </w:p>
        </w:tc>
        <w:tc>
          <w:tcPr>
            <w:tcW w:w="1385" w:type="dxa"/>
            <w:vAlign w:val="center"/>
          </w:tcPr>
          <w:p w14:paraId="5BE981F5">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2"/>
                <w:szCs w:val="22"/>
                <w:vertAlign w:val="baseline"/>
                <w:lang w:val="en-US" w:eastAsia="zh-CN"/>
              </w:rPr>
            </w:pPr>
            <w:r>
              <w:rPr>
                <w:rFonts w:hint="default" w:ascii="仿宋_GB2312" w:hAnsi="仿宋_GB2312" w:eastAsia="仿宋_GB2312" w:cs="仿宋_GB2312"/>
                <w:sz w:val="22"/>
                <w:szCs w:val="22"/>
                <w:vertAlign w:val="baseline"/>
                <w:lang w:val="en-US" w:eastAsia="zh-CN"/>
              </w:rPr>
              <w:t>特殊说明</w:t>
            </w:r>
          </w:p>
        </w:tc>
        <w:tc>
          <w:tcPr>
            <w:tcW w:w="1385" w:type="dxa"/>
            <w:vAlign w:val="center"/>
          </w:tcPr>
          <w:p w14:paraId="4A9FE406">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2"/>
                <w:szCs w:val="22"/>
                <w:vertAlign w:val="baseline"/>
                <w:lang w:val="en-US" w:eastAsia="zh-CN"/>
              </w:rPr>
            </w:pPr>
            <w:r>
              <w:rPr>
                <w:rFonts w:hint="default" w:ascii="仿宋_GB2312" w:hAnsi="仿宋_GB2312" w:eastAsia="仿宋_GB2312" w:cs="仿宋_GB2312"/>
                <w:sz w:val="22"/>
                <w:szCs w:val="22"/>
                <w:vertAlign w:val="baseline"/>
                <w:lang w:val="en-US" w:eastAsia="zh-CN"/>
              </w:rPr>
              <w:t>呼吸频率（次/min）</w:t>
            </w:r>
          </w:p>
        </w:tc>
        <w:tc>
          <w:tcPr>
            <w:tcW w:w="1390" w:type="dxa"/>
            <w:vAlign w:val="center"/>
          </w:tcPr>
          <w:p w14:paraId="7FB533A4">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2"/>
                <w:szCs w:val="22"/>
                <w:vertAlign w:val="baseline"/>
                <w:lang w:val="en-US" w:eastAsia="zh-CN"/>
              </w:rPr>
            </w:pPr>
            <w:r>
              <w:rPr>
                <w:rFonts w:hint="default" w:ascii="仿宋_GB2312" w:hAnsi="仿宋_GB2312" w:eastAsia="仿宋_GB2312" w:cs="仿宋_GB2312"/>
                <w:sz w:val="22"/>
                <w:szCs w:val="22"/>
                <w:vertAlign w:val="baseline"/>
                <w:lang w:val="en-US" w:eastAsia="zh-CN"/>
              </w:rPr>
              <w:t>呼吸组间隔（min）</w:t>
            </w:r>
          </w:p>
        </w:tc>
      </w:tr>
      <w:tr w14:paraId="296F91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4" w:type="dxa"/>
            <w:vAlign w:val="center"/>
          </w:tcPr>
          <w:p w14:paraId="1A735615">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22"/>
                <w:szCs w:val="22"/>
                <w:vertAlign w:val="baseline"/>
                <w:lang w:val="en-US" w:eastAsia="zh-CN"/>
              </w:rPr>
            </w:pPr>
            <w:r>
              <w:rPr>
                <w:rFonts w:hint="eastAsia" w:ascii="仿宋_GB2312" w:hAnsi="仿宋_GB2312" w:eastAsia="仿宋_GB2312" w:cs="仿宋_GB2312"/>
                <w:sz w:val="22"/>
                <w:szCs w:val="22"/>
                <w:vertAlign w:val="baseline"/>
                <w:lang w:val="en-US" w:eastAsia="zh-CN"/>
              </w:rPr>
              <w:t>A</w:t>
            </w:r>
          </w:p>
        </w:tc>
        <w:tc>
          <w:tcPr>
            <w:tcW w:w="1385" w:type="dxa"/>
            <w:vAlign w:val="center"/>
          </w:tcPr>
          <w:p w14:paraId="0118A9C0">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30～60</w:t>
            </w:r>
          </w:p>
        </w:tc>
        <w:tc>
          <w:tcPr>
            <w:tcW w:w="1385" w:type="dxa"/>
            <w:vAlign w:val="center"/>
          </w:tcPr>
          <w:p w14:paraId="46797921">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10～15</w:t>
            </w:r>
          </w:p>
        </w:tc>
        <w:tc>
          <w:tcPr>
            <w:tcW w:w="1385" w:type="dxa"/>
            <w:vAlign w:val="center"/>
          </w:tcPr>
          <w:p w14:paraId="1007173D">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0.5～1</w:t>
            </w:r>
          </w:p>
        </w:tc>
        <w:tc>
          <w:tcPr>
            <w:tcW w:w="1385" w:type="dxa"/>
            <w:vAlign w:val="center"/>
          </w:tcPr>
          <w:p w14:paraId="215E9BAC">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2～3</w:t>
            </w:r>
          </w:p>
        </w:tc>
        <w:tc>
          <w:tcPr>
            <w:tcW w:w="1385" w:type="dxa"/>
            <w:vAlign w:val="center"/>
          </w:tcPr>
          <w:p w14:paraId="5E0CA565">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w:t>
            </w:r>
          </w:p>
        </w:tc>
        <w:tc>
          <w:tcPr>
            <w:tcW w:w="1385" w:type="dxa"/>
            <w:vAlign w:val="center"/>
          </w:tcPr>
          <w:p w14:paraId="0121F92D">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4～6</w:t>
            </w:r>
          </w:p>
        </w:tc>
        <w:tc>
          <w:tcPr>
            <w:tcW w:w="1390" w:type="dxa"/>
            <w:vAlign w:val="center"/>
          </w:tcPr>
          <w:p w14:paraId="3B81DD87">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10～15</w:t>
            </w:r>
          </w:p>
        </w:tc>
      </w:tr>
      <w:tr w14:paraId="11093A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4" w:type="dxa"/>
            <w:vAlign w:val="center"/>
          </w:tcPr>
          <w:p w14:paraId="20DD2993">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22"/>
                <w:szCs w:val="22"/>
                <w:vertAlign w:val="baseline"/>
                <w:lang w:val="en-US" w:eastAsia="zh-CN"/>
              </w:rPr>
            </w:pPr>
            <w:r>
              <w:rPr>
                <w:rFonts w:hint="eastAsia" w:ascii="仿宋_GB2312" w:hAnsi="仿宋_GB2312" w:eastAsia="仿宋_GB2312" w:cs="仿宋_GB2312"/>
                <w:sz w:val="22"/>
                <w:szCs w:val="22"/>
                <w:vertAlign w:val="baseline"/>
                <w:lang w:val="en-US" w:eastAsia="zh-CN"/>
              </w:rPr>
              <w:t>B</w:t>
            </w:r>
          </w:p>
        </w:tc>
        <w:tc>
          <w:tcPr>
            <w:tcW w:w="1385" w:type="dxa"/>
            <w:vAlign w:val="center"/>
          </w:tcPr>
          <w:p w14:paraId="6A54C677">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15～45</w:t>
            </w:r>
          </w:p>
        </w:tc>
        <w:tc>
          <w:tcPr>
            <w:tcW w:w="1385" w:type="dxa"/>
            <w:vAlign w:val="center"/>
          </w:tcPr>
          <w:p w14:paraId="441329F8">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5～15</w:t>
            </w:r>
          </w:p>
        </w:tc>
        <w:tc>
          <w:tcPr>
            <w:tcW w:w="1385" w:type="dxa"/>
            <w:vAlign w:val="center"/>
          </w:tcPr>
          <w:p w14:paraId="0C921D02">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0.5～1</w:t>
            </w:r>
          </w:p>
        </w:tc>
        <w:tc>
          <w:tcPr>
            <w:tcW w:w="1385" w:type="dxa"/>
            <w:vAlign w:val="center"/>
          </w:tcPr>
          <w:p w14:paraId="522FF85B">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3</w:t>
            </w:r>
          </w:p>
        </w:tc>
        <w:tc>
          <w:tcPr>
            <w:tcW w:w="1385" w:type="dxa"/>
            <w:vAlign w:val="center"/>
          </w:tcPr>
          <w:p w14:paraId="4FDCC293">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w:t>
            </w:r>
          </w:p>
        </w:tc>
        <w:tc>
          <w:tcPr>
            <w:tcW w:w="1385" w:type="dxa"/>
            <w:vAlign w:val="center"/>
          </w:tcPr>
          <w:p w14:paraId="6FEABC33">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4～6</w:t>
            </w:r>
          </w:p>
        </w:tc>
        <w:tc>
          <w:tcPr>
            <w:tcW w:w="1390" w:type="dxa"/>
            <w:vAlign w:val="center"/>
          </w:tcPr>
          <w:p w14:paraId="2022DF37">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5～15</w:t>
            </w:r>
          </w:p>
        </w:tc>
      </w:tr>
      <w:tr w14:paraId="561A8B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4" w:type="dxa"/>
            <w:vAlign w:val="center"/>
          </w:tcPr>
          <w:p w14:paraId="0768912A">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22"/>
                <w:szCs w:val="22"/>
                <w:vertAlign w:val="baseline"/>
                <w:lang w:val="en-US" w:eastAsia="zh-CN"/>
              </w:rPr>
            </w:pPr>
            <w:r>
              <w:rPr>
                <w:rFonts w:hint="eastAsia" w:ascii="仿宋_GB2312" w:hAnsi="仿宋_GB2312" w:eastAsia="仿宋_GB2312" w:cs="仿宋_GB2312"/>
                <w:sz w:val="22"/>
                <w:szCs w:val="22"/>
                <w:vertAlign w:val="baseline"/>
                <w:lang w:val="en-US" w:eastAsia="zh-CN"/>
              </w:rPr>
              <w:t>C</w:t>
            </w:r>
          </w:p>
        </w:tc>
        <w:tc>
          <w:tcPr>
            <w:tcW w:w="1385" w:type="dxa"/>
            <w:vAlign w:val="center"/>
          </w:tcPr>
          <w:p w14:paraId="638502F1">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30～40</w:t>
            </w:r>
          </w:p>
        </w:tc>
        <w:tc>
          <w:tcPr>
            <w:tcW w:w="1385" w:type="dxa"/>
            <w:vAlign w:val="center"/>
          </w:tcPr>
          <w:p w14:paraId="11FAF1E0">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10</w:t>
            </w:r>
          </w:p>
        </w:tc>
        <w:tc>
          <w:tcPr>
            <w:tcW w:w="1385" w:type="dxa"/>
            <w:vAlign w:val="center"/>
          </w:tcPr>
          <w:p w14:paraId="7E32134D">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1</w:t>
            </w:r>
          </w:p>
        </w:tc>
        <w:tc>
          <w:tcPr>
            <w:tcW w:w="1385" w:type="dxa"/>
            <w:vAlign w:val="center"/>
          </w:tcPr>
          <w:p w14:paraId="5602B818">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3</w:t>
            </w:r>
          </w:p>
        </w:tc>
        <w:tc>
          <w:tcPr>
            <w:tcW w:w="1385" w:type="dxa"/>
            <w:vAlign w:val="center"/>
          </w:tcPr>
          <w:p w14:paraId="7841614C">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脐周四穴不捻转</w:t>
            </w:r>
          </w:p>
        </w:tc>
        <w:tc>
          <w:tcPr>
            <w:tcW w:w="1385" w:type="dxa"/>
            <w:vAlign w:val="center"/>
          </w:tcPr>
          <w:p w14:paraId="2DF001C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4～6</w:t>
            </w:r>
          </w:p>
        </w:tc>
        <w:tc>
          <w:tcPr>
            <w:tcW w:w="1390" w:type="dxa"/>
            <w:vAlign w:val="center"/>
          </w:tcPr>
          <w:p w14:paraId="2E4A45D2">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10</w:t>
            </w:r>
          </w:p>
        </w:tc>
      </w:tr>
      <w:tr w14:paraId="295A6D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4" w:type="dxa"/>
            <w:vAlign w:val="center"/>
          </w:tcPr>
          <w:p w14:paraId="40613249">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22"/>
                <w:szCs w:val="22"/>
                <w:vertAlign w:val="baseline"/>
                <w:lang w:val="en-US" w:eastAsia="zh-CN"/>
              </w:rPr>
            </w:pPr>
            <w:r>
              <w:rPr>
                <w:rFonts w:hint="eastAsia" w:ascii="仿宋_GB2312" w:hAnsi="仿宋_GB2312" w:eastAsia="仿宋_GB2312" w:cs="仿宋_GB2312"/>
                <w:sz w:val="22"/>
                <w:szCs w:val="22"/>
                <w:vertAlign w:val="baseline"/>
                <w:lang w:val="en-US" w:eastAsia="zh-CN"/>
              </w:rPr>
              <w:t>D</w:t>
            </w:r>
          </w:p>
        </w:tc>
        <w:tc>
          <w:tcPr>
            <w:tcW w:w="1385" w:type="dxa"/>
            <w:vAlign w:val="center"/>
          </w:tcPr>
          <w:p w14:paraId="56FC2ABA">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30～60</w:t>
            </w:r>
          </w:p>
        </w:tc>
        <w:tc>
          <w:tcPr>
            <w:tcW w:w="1385" w:type="dxa"/>
            <w:vAlign w:val="center"/>
          </w:tcPr>
          <w:p w14:paraId="0EA23BF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10～15</w:t>
            </w:r>
          </w:p>
        </w:tc>
        <w:tc>
          <w:tcPr>
            <w:tcW w:w="1385" w:type="dxa"/>
            <w:vAlign w:val="center"/>
          </w:tcPr>
          <w:p w14:paraId="1E8B7A0A">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0.5～1</w:t>
            </w:r>
          </w:p>
        </w:tc>
        <w:tc>
          <w:tcPr>
            <w:tcW w:w="1385" w:type="dxa"/>
            <w:vAlign w:val="center"/>
          </w:tcPr>
          <w:p w14:paraId="30ADBF49">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2～3</w:t>
            </w:r>
          </w:p>
        </w:tc>
        <w:tc>
          <w:tcPr>
            <w:tcW w:w="1385" w:type="dxa"/>
            <w:vAlign w:val="center"/>
          </w:tcPr>
          <w:p w14:paraId="54AF2B8E">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w:t>
            </w:r>
          </w:p>
        </w:tc>
        <w:tc>
          <w:tcPr>
            <w:tcW w:w="1385" w:type="dxa"/>
            <w:vAlign w:val="center"/>
          </w:tcPr>
          <w:p w14:paraId="526AFF2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4～6</w:t>
            </w:r>
          </w:p>
        </w:tc>
        <w:tc>
          <w:tcPr>
            <w:tcW w:w="1390" w:type="dxa"/>
            <w:vAlign w:val="center"/>
          </w:tcPr>
          <w:p w14:paraId="35DCA9C8">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10～15</w:t>
            </w:r>
          </w:p>
        </w:tc>
      </w:tr>
      <w:tr w14:paraId="7F5B8B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4" w:type="dxa"/>
            <w:vAlign w:val="center"/>
          </w:tcPr>
          <w:p w14:paraId="4FC8CFA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default" w:ascii="仿宋_GB2312" w:hAnsi="仿宋_GB2312" w:eastAsia="仿宋_GB2312" w:cs="仿宋_GB2312"/>
                <w:sz w:val="22"/>
                <w:szCs w:val="22"/>
                <w:vertAlign w:val="baseline"/>
                <w:lang w:val="en-US" w:eastAsia="zh-CN"/>
              </w:rPr>
            </w:pPr>
            <w:r>
              <w:rPr>
                <w:rFonts w:hint="eastAsia" w:ascii="仿宋_GB2312" w:hAnsi="仿宋_GB2312" w:eastAsia="仿宋_GB2312" w:cs="仿宋_GB2312"/>
                <w:sz w:val="22"/>
                <w:szCs w:val="22"/>
                <w:vertAlign w:val="baseline"/>
                <w:lang w:val="en-US" w:eastAsia="zh-CN"/>
              </w:rPr>
              <w:t>E</w:t>
            </w:r>
          </w:p>
        </w:tc>
        <w:tc>
          <w:tcPr>
            <w:tcW w:w="1385" w:type="dxa"/>
            <w:vAlign w:val="center"/>
          </w:tcPr>
          <w:p w14:paraId="01C6FBC6">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30～50</w:t>
            </w:r>
          </w:p>
        </w:tc>
        <w:tc>
          <w:tcPr>
            <w:tcW w:w="1385" w:type="dxa"/>
            <w:vAlign w:val="center"/>
          </w:tcPr>
          <w:p w14:paraId="0CC9D3DB">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10～15</w:t>
            </w:r>
          </w:p>
        </w:tc>
        <w:tc>
          <w:tcPr>
            <w:tcW w:w="1385" w:type="dxa"/>
            <w:vAlign w:val="center"/>
          </w:tcPr>
          <w:p w14:paraId="0567FFEA">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0.5～1</w:t>
            </w:r>
          </w:p>
        </w:tc>
        <w:tc>
          <w:tcPr>
            <w:tcW w:w="1385" w:type="dxa"/>
            <w:vAlign w:val="center"/>
          </w:tcPr>
          <w:p w14:paraId="5E84B6FD">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3～4</w:t>
            </w:r>
          </w:p>
        </w:tc>
        <w:tc>
          <w:tcPr>
            <w:tcW w:w="1385" w:type="dxa"/>
            <w:vAlign w:val="center"/>
          </w:tcPr>
          <w:p w14:paraId="6910B8CE">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w:t>
            </w:r>
          </w:p>
        </w:tc>
        <w:tc>
          <w:tcPr>
            <w:tcW w:w="1385" w:type="dxa"/>
            <w:vAlign w:val="center"/>
          </w:tcPr>
          <w:p w14:paraId="71809E35">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3～4</w:t>
            </w:r>
          </w:p>
        </w:tc>
        <w:tc>
          <w:tcPr>
            <w:tcW w:w="1390" w:type="dxa"/>
            <w:vAlign w:val="center"/>
          </w:tcPr>
          <w:p w14:paraId="67A17F57">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0"/>
                <w:szCs w:val="20"/>
                <w:vertAlign w:val="baseline"/>
                <w:lang w:val="en-US" w:eastAsia="zh-CN"/>
              </w:rPr>
            </w:pPr>
            <w:r>
              <w:rPr>
                <w:rFonts w:hint="default" w:ascii="仿宋_GB2312" w:hAnsi="仿宋_GB2312" w:eastAsia="仿宋_GB2312" w:cs="仿宋_GB2312"/>
                <w:sz w:val="20"/>
                <w:szCs w:val="20"/>
                <w:vertAlign w:val="baseline"/>
                <w:lang w:val="en-US" w:eastAsia="zh-CN"/>
              </w:rPr>
              <w:t>10～15</w:t>
            </w:r>
          </w:p>
        </w:tc>
      </w:tr>
    </w:tbl>
    <w:p w14:paraId="1B05E6B9">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调研结果显示，各单位参数存在一定差异，但总体趋势明显。综合各家实践、专家论证及临床共识，本标准确定参数如下，并作相应说明：</w:t>
      </w:r>
    </w:p>
    <w:p w14:paraId="58218429">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1）调研中A、C、D、E医院留针时间均达到或超过30分钟，B医院留针时间略短（15～45分钟），但专家共识认为，失眠作为慢性病需足够留针时间以维持针刺效应持续性，促进内源性调节系统激活。结合临床常用参数，本标准确定留针时间为30分钟。</w:t>
      </w:r>
    </w:p>
    <w:p w14:paraId="152ACA63">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2）行针手法（捻转补法）：规定“每隔10分钟捻转1次，每个穴位持续捻转1分钟，共3次”。调研中多数医院捻转间隔为10～15分钟、每次0.5～1分钟、共2～4次，本标准取其中位数并统一为整数值，便于临床操作记忆。采用顺时针方向捻转补法，契合壮医及中医“虚则补之”治疗不寐（多以气血亏虚或气机下陷为病机）的思路，旨在升提阳气、补益气血。针对C医院提出的“脐周四穴不捻转”的临床经验，本标准仍保留捻转操作，操作者可根据患者耐受度及穴位反应灵活掌握。</w:t>
      </w:r>
    </w:p>
    <w:p w14:paraId="2E655E36">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3）腹式呼吸配合（4-6次/分钟）：此频率是诱导身心放松、激活副交感神经的常用呼吸节奏。调研中A、B、C、D医院均采用4～6次/分钟，E医院采用3～4次/分钟，专家论证认为4～6次/分钟更符合临床放松训练参数，且与针刺镇静安神效应协同作用明确。要求患者留针期间同步进行腹式呼吸吐纳运动（连续5次为1组，每隔10分钟做1组，共3组），可使患者意念专注，增强“调气”的主动参与感。</w:t>
      </w:r>
    </w:p>
    <w:p w14:paraId="6A3C98E8">
      <w:pPr>
        <w:pStyle w:val="33"/>
        <w:spacing w:before="0" w:beforeLines="0" w:after="0" w:afterLines="0"/>
        <w:ind w:firstLine="560"/>
        <w:jc w:val="both"/>
        <w:rPr>
          <w:rFonts w:hint="eastAsia" w:ascii="仿宋_GB2312" w:hAnsi="仿宋_GB2312" w:eastAsia="仿宋_GB2312" w:cs="仿宋_GB2312"/>
          <w:b/>
          <w:bCs w:val="0"/>
          <w:sz w:val="28"/>
          <w:szCs w:val="28"/>
          <w:lang w:val="en-US" w:eastAsia="zh-CN"/>
        </w:rPr>
      </w:pPr>
      <w:r>
        <w:rPr>
          <w:rFonts w:hint="eastAsia" w:ascii="仿宋_GB2312" w:hAnsi="仿宋_GB2312" w:eastAsia="仿宋_GB2312" w:cs="仿宋_GB2312"/>
          <w:b/>
          <w:bCs w:val="0"/>
          <w:sz w:val="28"/>
          <w:szCs w:val="28"/>
          <w:lang w:val="en-US" w:eastAsia="zh-CN"/>
        </w:rPr>
        <w:t>3. 起针方法与疗程设定</w:t>
      </w:r>
    </w:p>
    <w:p w14:paraId="33C57763">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通过对五家医院的调研，各单位在出针操作及疗程方面的参数汇总如表4所示：</w:t>
      </w:r>
    </w:p>
    <w:p w14:paraId="409A3D81">
      <w:pPr>
        <w:pStyle w:val="33"/>
        <w:spacing w:before="0" w:beforeLines="0" w:after="0" w:afterLines="0"/>
        <w:ind w:left="0" w:leftChars="0" w:firstLine="0" w:firstLineChars="0"/>
        <w:jc w:val="center"/>
        <w:rPr>
          <w:rFonts w:hint="eastAsia" w:ascii="黑体" w:hAnsi="黑体" w:eastAsia="黑体" w:cs="黑体"/>
          <w:sz w:val="24"/>
          <w:szCs w:val="24"/>
          <w:lang w:val="en-US" w:eastAsia="zh-CN"/>
        </w:rPr>
      </w:pPr>
      <w:r>
        <w:rPr>
          <w:rFonts w:hint="eastAsia" w:ascii="黑体" w:hAnsi="黑体" w:eastAsia="黑体" w:cs="黑体"/>
          <w:sz w:val="24"/>
          <w:szCs w:val="24"/>
          <w:lang w:val="en-US" w:eastAsia="zh-CN"/>
        </w:rPr>
        <w:t>各医院出针与疗程参数调研汇总表</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70"/>
        <w:gridCol w:w="3287"/>
        <w:gridCol w:w="3317"/>
      </w:tblGrid>
      <w:tr w14:paraId="252C12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70" w:type="dxa"/>
          </w:tcPr>
          <w:p w14:paraId="7B6F5EB5">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医院</w:t>
            </w:r>
          </w:p>
        </w:tc>
        <w:tc>
          <w:tcPr>
            <w:tcW w:w="3287" w:type="dxa"/>
          </w:tcPr>
          <w:p w14:paraId="2F1F71BE">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出针后揉按次数</w:t>
            </w:r>
          </w:p>
        </w:tc>
        <w:tc>
          <w:tcPr>
            <w:tcW w:w="3317" w:type="dxa"/>
          </w:tcPr>
          <w:p w14:paraId="4D770C20">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疗程（次）</w:t>
            </w:r>
          </w:p>
        </w:tc>
      </w:tr>
      <w:tr w14:paraId="74284A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70" w:type="dxa"/>
            <w:vAlign w:val="center"/>
          </w:tcPr>
          <w:p w14:paraId="6FAC38C4">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A</w:t>
            </w:r>
          </w:p>
        </w:tc>
        <w:tc>
          <w:tcPr>
            <w:tcW w:w="3287" w:type="dxa"/>
          </w:tcPr>
          <w:p w14:paraId="60A2EDBE">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1～2次</w:t>
            </w:r>
          </w:p>
        </w:tc>
        <w:tc>
          <w:tcPr>
            <w:tcW w:w="3317" w:type="dxa"/>
          </w:tcPr>
          <w:p w14:paraId="7357D7AB">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10</w:t>
            </w:r>
          </w:p>
        </w:tc>
      </w:tr>
      <w:tr w14:paraId="0CF8AE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70" w:type="dxa"/>
            <w:vAlign w:val="center"/>
          </w:tcPr>
          <w:p w14:paraId="0716EF61">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B</w:t>
            </w:r>
          </w:p>
        </w:tc>
        <w:tc>
          <w:tcPr>
            <w:tcW w:w="3287" w:type="dxa"/>
          </w:tcPr>
          <w:p w14:paraId="7D0F5864">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5～10次</w:t>
            </w:r>
          </w:p>
        </w:tc>
        <w:tc>
          <w:tcPr>
            <w:tcW w:w="3317" w:type="dxa"/>
          </w:tcPr>
          <w:p w14:paraId="35BB9057">
            <w:pPr>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10</w:t>
            </w:r>
          </w:p>
        </w:tc>
      </w:tr>
      <w:tr w14:paraId="7132F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70" w:type="dxa"/>
            <w:vAlign w:val="center"/>
          </w:tcPr>
          <w:p w14:paraId="4A46A5B8">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C</w:t>
            </w:r>
          </w:p>
        </w:tc>
        <w:tc>
          <w:tcPr>
            <w:tcW w:w="3287" w:type="dxa"/>
          </w:tcPr>
          <w:p w14:paraId="4F17A6A4">
            <w:pPr>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1～2次</w:t>
            </w:r>
          </w:p>
        </w:tc>
        <w:tc>
          <w:tcPr>
            <w:tcW w:w="3317" w:type="dxa"/>
          </w:tcPr>
          <w:p w14:paraId="4A4D17A4">
            <w:pPr>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10</w:t>
            </w:r>
          </w:p>
        </w:tc>
      </w:tr>
      <w:tr w14:paraId="1A2136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70" w:type="dxa"/>
            <w:vAlign w:val="center"/>
          </w:tcPr>
          <w:p w14:paraId="4E2A273F">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D</w:t>
            </w:r>
          </w:p>
        </w:tc>
        <w:tc>
          <w:tcPr>
            <w:tcW w:w="3287" w:type="dxa"/>
          </w:tcPr>
          <w:p w14:paraId="3764F233">
            <w:pPr>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1～2次</w:t>
            </w:r>
          </w:p>
        </w:tc>
        <w:tc>
          <w:tcPr>
            <w:tcW w:w="3317" w:type="dxa"/>
          </w:tcPr>
          <w:p w14:paraId="0F23CDFD">
            <w:pPr>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10</w:t>
            </w:r>
          </w:p>
        </w:tc>
      </w:tr>
      <w:tr w14:paraId="0E57C8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70" w:type="dxa"/>
            <w:vAlign w:val="center"/>
          </w:tcPr>
          <w:p w14:paraId="2C377EC3">
            <w:pPr>
              <w:pStyle w:val="33"/>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E</w:t>
            </w:r>
          </w:p>
        </w:tc>
        <w:tc>
          <w:tcPr>
            <w:tcW w:w="3287" w:type="dxa"/>
          </w:tcPr>
          <w:p w14:paraId="4F8E9E5D">
            <w:pPr>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1～2次</w:t>
            </w:r>
          </w:p>
        </w:tc>
        <w:tc>
          <w:tcPr>
            <w:tcW w:w="3317" w:type="dxa"/>
          </w:tcPr>
          <w:p w14:paraId="345A78DA">
            <w:pPr>
              <w:keepNext w:val="0"/>
              <w:keepLines w:val="0"/>
              <w:pageBreakBefore w:val="0"/>
              <w:widowControl/>
              <w:suppressLineNumbers w:val="0"/>
              <w:kinsoku/>
              <w:wordWrap/>
              <w:overflowPunct/>
              <w:topLinePunct w:val="0"/>
              <w:autoSpaceDE w:val="0"/>
              <w:autoSpaceDN w:val="0"/>
              <w:bidi w:val="0"/>
              <w:adjustRightInd/>
              <w:snapToGrid/>
              <w:spacing w:before="0" w:beforeLines="0" w:beforeAutospacing="0" w:after="0" w:afterLines="0" w:afterAutospacing="0" w:line="240" w:lineRule="auto"/>
              <w:ind w:left="0" w:right="0" w:firstLine="0" w:firstLineChars="0"/>
              <w:jc w:val="center"/>
              <w:textAlignment w:val="auto"/>
              <w:rPr>
                <w:rFonts w:hint="eastAsia" w:ascii="仿宋_GB2312" w:hAnsi="仿宋_GB2312" w:eastAsia="仿宋_GB2312" w:cs="仿宋_GB2312"/>
                <w:sz w:val="24"/>
                <w:szCs w:val="24"/>
                <w:vertAlign w:val="baseline"/>
                <w:lang w:val="en-US" w:eastAsia="zh-CN"/>
              </w:rPr>
            </w:pPr>
            <w:r>
              <w:rPr>
                <w:rFonts w:hint="eastAsia" w:ascii="仿宋_GB2312" w:hAnsi="仿宋_GB2312" w:eastAsia="仿宋_GB2312" w:cs="仿宋_GB2312"/>
                <w:sz w:val="24"/>
                <w:szCs w:val="24"/>
                <w:vertAlign w:val="baseline"/>
                <w:lang w:val="en-US" w:eastAsia="zh-CN"/>
              </w:rPr>
              <w:t>10</w:t>
            </w:r>
          </w:p>
        </w:tc>
      </w:tr>
    </w:tbl>
    <w:p w14:paraId="0FDA7064">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调研结果显示，除B医院采用揉按5～10次外，其余四家医院均为1～2次；所有医院疗程均为10次。综合各家实践及专家共识，本标准确定如下：</w:t>
      </w:r>
    </w:p>
    <w:p w14:paraId="01C7B8ED">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1）按压退针与针孔按摩（揉按几次）：旨在防止皮下出血（瘀血），促进针孔闭合，减少感染风险。B医院采用5～10次揉按，但多数医院认为1～2次按压即可达到止血效果，过度揉按可能增加刺激不适，故本标准表述为“揉按几次”，既体现操作要求，又保留一定灵活性。</w:t>
      </w:r>
    </w:p>
    <w:p w14:paraId="5624166E">
      <w:pPr>
        <w:pStyle w:val="33"/>
        <w:spacing w:before="0" w:beforeLines="0" w:after="0" w:afterLines="0"/>
        <w:ind w:firstLine="560"/>
        <w:jc w:val="both"/>
        <w:rPr>
          <w:rFonts w:hint="eastAsia" w:ascii="仿宋_GB2312" w:hAnsi="仿宋_GB2312" w:eastAsia="仿宋_GB2312" w:cs="仿宋_GB2312"/>
          <w:sz w:val="28"/>
          <w:szCs w:val="28"/>
          <w:lang w:val="en-US" w:eastAsia="zh-CN"/>
        </w:rPr>
      </w:pPr>
      <w:r>
        <w:rPr>
          <w:rFonts w:hint="eastAsia" w:ascii="仿宋_GB2312" w:hAnsi="仿宋_GB2312" w:eastAsia="仿宋_GB2312" w:cs="仿宋_GB2312"/>
          <w:sz w:val="28"/>
          <w:szCs w:val="28"/>
          <w:lang w:val="en-US" w:eastAsia="zh-CN"/>
        </w:rPr>
        <w:t>（2）疗程定为10次：失眠属于慢性、复杂性功能失调，其调节需要累积效应。所有调研医院均采用10次为1个疗程，共识明确。设定固定疗程有助于规范治疗周期，便于疗效评估，也符合患者对治疗进程的预期管理。</w:t>
      </w:r>
    </w:p>
    <w:p w14:paraId="47469316">
      <w:pPr>
        <w:pStyle w:val="33"/>
        <w:spacing w:before="0" w:beforeLines="0" w:after="0" w:afterLines="0"/>
        <w:ind w:firstLine="562"/>
        <w:jc w:val="both"/>
        <w:outlineLvl w:val="1"/>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rPr>
        <w:t>（</w:t>
      </w:r>
      <w:r>
        <w:rPr>
          <w:rFonts w:hint="eastAsia" w:ascii="仿宋_GB2312" w:hAnsi="仿宋_GB2312" w:eastAsia="仿宋_GB2312" w:cs="仿宋_GB2312"/>
          <w:b/>
          <w:bCs w:val="0"/>
          <w:sz w:val="28"/>
          <w:szCs w:val="28"/>
          <w:lang w:val="en-US" w:eastAsia="zh-CN"/>
        </w:rPr>
        <w:t>五</w:t>
      </w:r>
      <w:r>
        <w:rPr>
          <w:rFonts w:hint="eastAsia" w:ascii="仿宋_GB2312" w:hAnsi="仿宋_GB2312" w:eastAsia="仿宋_GB2312" w:cs="仿宋_GB2312"/>
          <w:b/>
          <w:bCs w:val="0"/>
          <w:sz w:val="28"/>
          <w:szCs w:val="28"/>
        </w:rPr>
        <w:t>）</w:t>
      </w:r>
      <w:r>
        <w:rPr>
          <w:rFonts w:hint="eastAsia" w:ascii="仿宋_GB2312" w:hAnsi="仿宋_GB2312" w:eastAsia="仿宋_GB2312" w:cs="仿宋_GB2312"/>
          <w:b/>
          <w:bCs w:val="0"/>
          <w:sz w:val="28"/>
          <w:szCs w:val="28"/>
          <w:lang w:eastAsia="zh-CN"/>
        </w:rPr>
        <w:t>施术后处理</w:t>
      </w:r>
    </w:p>
    <w:p w14:paraId="54D4404C">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1. </w:t>
      </w:r>
      <w:r>
        <w:rPr>
          <w:rFonts w:hint="eastAsia" w:ascii="仿宋_GB2312" w:hAnsi="仿宋_GB2312" w:eastAsia="仿宋_GB2312" w:cs="仿宋_GB2312"/>
          <w:sz w:val="28"/>
          <w:szCs w:val="28"/>
        </w:rPr>
        <w:t>将针刺后的正常“得气”反应（麻胀感）与可能的轻度损伤反应（胀痛感）进行了界定，并明确了其短期（1 d～2 d）内自愈的特性，为施术者区分正常术后反应与需要干预的不良反应提供了临床判断依据，避免了不必要的后续处理。</w:t>
      </w:r>
    </w:p>
    <w:p w14:paraId="3AB3BB9C">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2. </w:t>
      </w:r>
      <w:r>
        <w:rPr>
          <w:rFonts w:hint="eastAsia" w:ascii="仿宋_GB2312" w:hAnsi="仿宋_GB2312" w:eastAsia="仿宋_GB2312" w:cs="仿宋_GB2312"/>
          <w:sz w:val="28"/>
          <w:szCs w:val="28"/>
        </w:rPr>
        <w:t>皮下瘀血是针刺损伤微小毛细血管的常见现象。此规定设定了“24 h后”这一观察时间点，有助于区分急性出血与稳定瘀血；同时给出了“局部热敷”这一安全有效的物理处理方法，指导施术者进行规范处理或对患者进行恰当指导。</w:t>
      </w:r>
    </w:p>
    <w:p w14:paraId="1E15E556">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3. </w:t>
      </w:r>
      <w:r>
        <w:rPr>
          <w:rFonts w:hint="eastAsia" w:ascii="仿宋_GB2312" w:hAnsi="仿宋_GB2312" w:eastAsia="仿宋_GB2312" w:cs="仿宋_GB2312"/>
          <w:sz w:val="28"/>
          <w:szCs w:val="28"/>
        </w:rPr>
        <w:t>要求“若针刺部位出现感染情况，应及时到医院进行处理”。此条是医疗安全的关键条款，明确了感染为必须由专业医疗机构处理的严重并发症，规定了施术者在发现感染迹象时的责任边界和必须采取的转诊行动，确保患者的后续医疗安全。</w:t>
      </w:r>
    </w:p>
    <w:p w14:paraId="772B682A">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4. </w:t>
      </w:r>
      <w:r>
        <w:rPr>
          <w:rFonts w:hint="eastAsia" w:ascii="仿宋_GB2312" w:hAnsi="仿宋_GB2312" w:eastAsia="仿宋_GB2312" w:cs="仿宋_GB2312"/>
          <w:sz w:val="28"/>
          <w:szCs w:val="28"/>
        </w:rPr>
        <w:t>要求“施术后应注意监测其血压，休息10 min～15 min后方可离开”。这是预防和即时处理晕针等针刺不良反应的核心安全措施。通过监测血压和规定必要的留观休息时间，旨在确保患者生命体征平稳、无即时风险后方可离开，体现了操作规范对患者安全的首要考量。</w:t>
      </w:r>
    </w:p>
    <w:p w14:paraId="11D89BA6">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5. </w:t>
      </w:r>
      <w:r>
        <w:rPr>
          <w:rFonts w:hint="eastAsia" w:ascii="仿宋_GB2312" w:hAnsi="仿宋_GB2312" w:eastAsia="仿宋_GB2312" w:cs="仿宋_GB2312"/>
          <w:sz w:val="28"/>
          <w:szCs w:val="28"/>
        </w:rPr>
        <w:t>“针灸4 h～6 h后方可淋浴。不应被风扇、空调等直吹”。该内容主要基于两点：一是为针孔自然闭合预留足够时间（4 h～6 h），以降低感染风险；二是遵循中医调护原则，避免针刺后腠理开泄、卫外暂虚之时，受风寒湿等外邪直接侵袭。这为施术者提供了明确的术后宣教内容。</w:t>
      </w:r>
    </w:p>
    <w:p w14:paraId="3E8CA0B4">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6. </w:t>
      </w:r>
      <w:r>
        <w:rPr>
          <w:rFonts w:hint="eastAsia" w:ascii="仿宋_GB2312" w:hAnsi="仿宋_GB2312" w:eastAsia="仿宋_GB2312" w:cs="仿宋_GB2312"/>
          <w:sz w:val="28"/>
          <w:szCs w:val="28"/>
        </w:rPr>
        <w:t>要求固定就寝与起床时间，其中“晚上在子时（23:00～01:00）前入睡”依据中医“天人相应”理论，认为此时阴气最盛，利于入眠；“中午在午时（11:00～13:00）小憩15 min～30 min”可缓解午间疲劳，符合人体阴阳消长规律。</w:t>
      </w:r>
    </w:p>
    <w:p w14:paraId="1BBB342D">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7. </w:t>
      </w:r>
      <w:r>
        <w:rPr>
          <w:rFonts w:hint="eastAsia" w:ascii="仿宋_GB2312" w:hAnsi="仿宋_GB2312" w:eastAsia="仿宋_GB2312" w:cs="仿宋_GB2312"/>
          <w:sz w:val="28"/>
          <w:szCs w:val="28"/>
        </w:rPr>
        <w:t>规定“睡前1 h内不应剧烈运动、观看刺激性内容、进行深度思考”，是为了降低交感神经兴奋性，让身心过渡到准备睡眠的放松状态。</w:t>
      </w:r>
    </w:p>
    <w:p w14:paraId="1F0A7106">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8. </w:t>
      </w:r>
      <w:r>
        <w:rPr>
          <w:rFonts w:hint="eastAsia" w:ascii="仿宋_GB2312" w:hAnsi="仿宋_GB2312" w:eastAsia="仿宋_GB2312" w:cs="仿宋_GB2312"/>
          <w:sz w:val="28"/>
          <w:szCs w:val="28"/>
        </w:rPr>
        <w:t>要求卧室“安静、黑暗、凉爽、通风”，是为最大限度减少光线、噪音、温度等环境因素对睡眠启动和维持的干扰；同时规定寝具“软硬、高低适中”，能为脊柱提供良好支撑，确保肌肉放松，是保障睡眠质量的物理基础。</w:t>
      </w:r>
    </w:p>
    <w:p w14:paraId="7397AB2F">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9. </w:t>
      </w:r>
      <w:r>
        <w:rPr>
          <w:rFonts w:hint="eastAsia" w:ascii="仿宋_GB2312" w:hAnsi="仿宋_GB2312" w:eastAsia="仿宋_GB2312" w:cs="仿宋_GB2312"/>
          <w:sz w:val="28"/>
          <w:szCs w:val="28"/>
        </w:rPr>
        <w:t>禁止在床上进行与睡眠无关的活动，是现代睡眠医学中“刺激控制疗法”的核心原则，旨在重建“床”与“快速入睡”之间的条件反射。规定卧床20 min～30 min无法入睡时应离开卧室，待有睡意时再返回，旨在打破“卧床-清醒”的恶性关联，减少因无法入睡而产生的焦虑情绪。</w:t>
      </w:r>
    </w:p>
    <w:p w14:paraId="56BC0769">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10. </w:t>
      </w:r>
      <w:r>
        <w:rPr>
          <w:rFonts w:hint="eastAsia" w:ascii="仿宋_GB2312" w:hAnsi="仿宋_GB2312" w:eastAsia="仿宋_GB2312" w:cs="仿宋_GB2312"/>
          <w:sz w:val="28"/>
          <w:szCs w:val="28"/>
        </w:rPr>
        <w:t>要求“晚餐应于睡前3 h完成，且不应过饱”，是为确保入睡时胃肠消化活动已趋于平缓，避免因消化负担影响睡眠。规定“午后及晚间不应饮茶、咖啡等含咖啡因的饮料”，因咖啡因作为中枢神经兴奋剂会持续数小时干扰睡眠；“睡前不应喝酒”则基于酒精虽能让人快速入睡，但会严重破坏后半夜睡眠结构，导致睡眠片段化、早醒的医学共识。</w:t>
      </w:r>
    </w:p>
    <w:p w14:paraId="1D352F9C">
      <w:pPr>
        <w:pStyle w:val="33"/>
        <w:spacing w:before="0" w:beforeLines="0" w:after="0" w:afterLines="0"/>
        <w:ind w:firstLine="560"/>
        <w:jc w:val="both"/>
        <w:outlineLvl w:val="1"/>
        <w:rPr>
          <w:rFonts w:hint="eastAsia" w:ascii="仿宋_GB2312" w:hAnsi="仿宋_GB2312" w:eastAsia="仿宋_GB2312" w:cs="仿宋_GB2312"/>
          <w:b/>
          <w:bCs w:val="0"/>
          <w:sz w:val="28"/>
          <w:szCs w:val="28"/>
          <w:lang w:eastAsia="zh-CN"/>
        </w:rPr>
      </w:pPr>
      <w:r>
        <w:rPr>
          <w:rFonts w:hint="eastAsia" w:ascii="仿宋_GB2312" w:hAnsi="仿宋_GB2312" w:eastAsia="仿宋_GB2312" w:cs="仿宋_GB2312"/>
          <w:b/>
          <w:bCs w:val="0"/>
          <w:sz w:val="28"/>
          <w:szCs w:val="28"/>
          <w:lang w:eastAsia="zh-CN"/>
        </w:rPr>
        <w:t>（六）注意事项</w:t>
      </w:r>
    </w:p>
    <w:p w14:paraId="6A267081">
      <w:pPr>
        <w:pStyle w:val="33"/>
        <w:spacing w:before="0" w:beforeLines="0" w:after="0" w:afterLines="0"/>
        <w:ind w:firstLine="560"/>
        <w:jc w:val="both"/>
        <w:rPr>
          <w:rFonts w:hint="eastAsia" w:ascii="仿宋_GB2312" w:hAnsi="仿宋_GB2312" w:eastAsia="仿宋_GB2312" w:cs="仿宋_GB2312"/>
          <w:b w:val="0"/>
          <w:bCs/>
          <w:sz w:val="28"/>
          <w:szCs w:val="28"/>
        </w:rPr>
      </w:pPr>
      <w:r>
        <w:rPr>
          <w:rFonts w:hint="eastAsia" w:ascii="仿宋_GB2312" w:hAnsi="仿宋_GB2312" w:eastAsia="仿宋_GB2312" w:cs="仿宋_GB2312"/>
          <w:b w:val="0"/>
          <w:bCs/>
          <w:sz w:val="28"/>
          <w:szCs w:val="28"/>
        </w:rPr>
        <w:t>1. 本标准直接引用GB/T 21709.20，确保了本特色疗法在无菌操作、针具检查、重要脏器部位针刺禁忌等通用安全要求上与国家现行规范保持一致，体现了标准制定的合规性与严谨性。</w:t>
      </w:r>
    </w:p>
    <w:p w14:paraId="77A90D7B">
      <w:pPr>
        <w:pStyle w:val="33"/>
        <w:spacing w:before="0" w:beforeLines="0" w:after="0" w:afterLines="0"/>
        <w:ind w:firstLine="560"/>
        <w:jc w:val="both"/>
        <w:rPr>
          <w:rFonts w:hint="eastAsia" w:ascii="仿宋_GB2312" w:hAnsi="仿宋_GB2312" w:eastAsia="仿宋_GB2312" w:cs="仿宋_GB2312"/>
          <w:b w:val="0"/>
          <w:bCs/>
          <w:sz w:val="28"/>
          <w:szCs w:val="28"/>
        </w:rPr>
      </w:pPr>
      <w:r>
        <w:rPr>
          <w:rFonts w:hint="eastAsia" w:ascii="仿宋_GB2312" w:hAnsi="仿宋_GB2312" w:eastAsia="仿宋_GB2312" w:cs="仿宋_GB2312"/>
          <w:b w:val="0"/>
          <w:bCs/>
          <w:sz w:val="28"/>
          <w:szCs w:val="28"/>
        </w:rPr>
        <w:t>2. “酸、麻、胀、痛”是针刺“得气”的典型表现。将此明确为正常反应，旨在为施术者提供统一的口头告知依据，使患者建立合理预期，避免因误解正常针感为损伤而中断治疗，保障治疗的顺利进行。</w:t>
      </w:r>
    </w:p>
    <w:p w14:paraId="26ED3937">
      <w:pPr>
        <w:pStyle w:val="33"/>
        <w:spacing w:before="0" w:beforeLines="0" w:after="0" w:afterLines="0"/>
        <w:ind w:firstLine="560"/>
        <w:jc w:val="both"/>
        <w:rPr>
          <w:rFonts w:hint="eastAsia" w:ascii="仿宋_GB2312" w:hAnsi="仿宋_GB2312" w:eastAsia="仿宋_GB2312" w:cs="仿宋_GB2312"/>
          <w:b w:val="0"/>
          <w:bCs/>
          <w:sz w:val="28"/>
          <w:szCs w:val="28"/>
        </w:rPr>
      </w:pPr>
      <w:r>
        <w:rPr>
          <w:rFonts w:hint="eastAsia" w:ascii="仿宋_GB2312" w:hAnsi="仿宋_GB2312" w:eastAsia="仿宋_GB2312" w:cs="仿宋_GB2312"/>
          <w:b w:val="0"/>
          <w:bCs/>
          <w:sz w:val="28"/>
          <w:szCs w:val="28"/>
        </w:rPr>
        <w:t>3. 要求施术时随时询问患者有无不适</w:t>
      </w:r>
      <w:r>
        <w:rPr>
          <w:rFonts w:hint="eastAsia" w:ascii="仿宋_GB2312" w:hAnsi="仿宋_GB2312" w:eastAsia="仿宋_GB2312" w:cs="仿宋_GB2312"/>
          <w:b w:val="0"/>
          <w:bCs/>
          <w:sz w:val="28"/>
          <w:szCs w:val="28"/>
          <w:lang w:eastAsia="zh-CN"/>
        </w:rPr>
        <w:t>，</w:t>
      </w:r>
      <w:r>
        <w:rPr>
          <w:rFonts w:hint="eastAsia" w:ascii="仿宋_GB2312" w:hAnsi="仿宋_GB2312" w:eastAsia="仿宋_GB2312" w:cs="仿宋_GB2312"/>
          <w:b w:val="0"/>
          <w:bCs/>
          <w:sz w:val="28"/>
          <w:szCs w:val="28"/>
        </w:rPr>
        <w:t>这是动态安全监控的关键措施。针刺过程中患者情况可能发生变化，随时询问能及时了解患者感受，是早期发现晕针、剧痛或异常放射感等不良反应的必要步骤，体现了以患者为中心的持续评估原则。</w:t>
      </w:r>
    </w:p>
    <w:p w14:paraId="301C8E9F">
      <w:pPr>
        <w:pStyle w:val="33"/>
        <w:spacing w:before="0" w:beforeLines="0" w:after="0" w:afterLines="0"/>
        <w:ind w:firstLine="560"/>
        <w:jc w:val="both"/>
        <w:rPr>
          <w:rFonts w:hint="eastAsia" w:ascii="仿宋_GB2312" w:hAnsi="仿宋_GB2312" w:eastAsia="仿宋_GB2312" w:cs="仿宋_GB2312"/>
          <w:b w:val="0"/>
          <w:bCs/>
          <w:sz w:val="28"/>
          <w:szCs w:val="28"/>
        </w:rPr>
      </w:pPr>
      <w:r>
        <w:rPr>
          <w:rFonts w:hint="eastAsia" w:ascii="仿宋_GB2312" w:hAnsi="仿宋_GB2312" w:eastAsia="仿宋_GB2312" w:cs="仿宋_GB2312"/>
          <w:b w:val="0"/>
          <w:bCs/>
          <w:sz w:val="28"/>
          <w:szCs w:val="28"/>
        </w:rPr>
        <w:t>4. 规定患者在极度疲劳、极度饥饿、极度紧张或焦虑、体质虚弱时不宜进行针刺</w:t>
      </w:r>
      <w:r>
        <w:rPr>
          <w:rFonts w:hint="eastAsia" w:ascii="仿宋_GB2312" w:hAnsi="仿宋_GB2312" w:eastAsia="仿宋_GB2312" w:cs="仿宋_GB2312"/>
          <w:b w:val="0"/>
          <w:bCs/>
          <w:sz w:val="28"/>
          <w:szCs w:val="28"/>
          <w:lang w:eastAsia="zh-CN"/>
        </w:rPr>
        <w:t>，</w:t>
      </w:r>
      <w:r>
        <w:rPr>
          <w:rFonts w:hint="eastAsia" w:ascii="仿宋_GB2312" w:hAnsi="仿宋_GB2312" w:eastAsia="仿宋_GB2312" w:cs="仿宋_GB2312"/>
          <w:b w:val="0"/>
          <w:bCs/>
          <w:sz w:val="28"/>
          <w:szCs w:val="28"/>
        </w:rPr>
        <w:t>明确了针刺治疗的相对禁忌状态。在这些生理或心理状态下，患者对针刺刺激的耐受性降低，发生晕针、气滞等风险显著增加。规定暂缓针刺是基于风险预防的首要原则，是保障患者安全的重要前提。</w:t>
      </w:r>
    </w:p>
    <w:p w14:paraId="4DC0D468">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5. </w:t>
      </w:r>
      <w:r>
        <w:rPr>
          <w:rFonts w:hint="eastAsia" w:ascii="仿宋_GB2312" w:hAnsi="仿宋_GB2312" w:eastAsia="仿宋_GB2312" w:cs="仿宋_GB2312"/>
          <w:sz w:val="28"/>
          <w:szCs w:val="28"/>
        </w:rPr>
        <w:t>晕针、弯针、滞针、断针等情况按GB/T 33415的规定处理</w:t>
      </w:r>
    </w:p>
    <w:p w14:paraId="749DCA7E">
      <w:pPr>
        <w:pStyle w:val="33"/>
        <w:spacing w:before="0" w:beforeLines="0" w:after="0" w:afterLines="0" w:line="240" w:lineRule="auto"/>
        <w:ind w:left="0" w:leftChars="0" w:firstLine="0" w:firstLineChars="0"/>
        <w:jc w:val="center"/>
      </w:pPr>
      <w:r>
        <w:drawing>
          <wp:inline distT="0" distB="0" distL="114300" distR="114300">
            <wp:extent cx="3792220" cy="3042920"/>
            <wp:effectExtent l="9525" t="9525" r="27305" b="1460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23"/>
                    <a:stretch>
                      <a:fillRect/>
                    </a:stretch>
                  </pic:blipFill>
                  <pic:spPr>
                    <a:xfrm>
                      <a:off x="0" y="0"/>
                      <a:ext cx="3792220" cy="3042920"/>
                    </a:xfrm>
                    <a:prstGeom prst="rect">
                      <a:avLst/>
                    </a:prstGeom>
                    <a:noFill/>
                    <a:ln>
                      <a:solidFill>
                        <a:schemeClr val="tx1"/>
                      </a:solidFill>
                    </a:ln>
                  </pic:spPr>
                </pic:pic>
              </a:graphicData>
            </a:graphic>
          </wp:inline>
        </w:drawing>
      </w:r>
    </w:p>
    <w:p w14:paraId="2DE39937">
      <w:pPr>
        <w:pStyle w:val="33"/>
        <w:spacing w:before="0" w:beforeLines="0" w:after="0" w:afterLines="0" w:line="240" w:lineRule="auto"/>
        <w:ind w:left="0" w:leftChars="0" w:firstLine="0" w:firstLineChars="0"/>
        <w:jc w:val="center"/>
        <w:rPr>
          <w:rFonts w:hint="default"/>
          <w:lang w:val="en-US" w:eastAsia="zh-CN"/>
        </w:rPr>
      </w:pPr>
      <w:r>
        <w:rPr>
          <w:rFonts w:hint="eastAsia"/>
          <w:lang w:eastAsia="zh-CN"/>
        </w:rPr>
        <w:t>来源：GB/T 33415</w:t>
      </w:r>
      <w:r>
        <w:rPr>
          <w:rFonts w:hint="eastAsia"/>
          <w:lang w:val="en-US" w:eastAsia="zh-CN"/>
        </w:rPr>
        <w:t xml:space="preserve">  针灸异常情况处理</w:t>
      </w:r>
    </w:p>
    <w:p w14:paraId="7E35517B">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6</w:t>
      </w:r>
      <w:r>
        <w:rPr>
          <w:rFonts w:hint="eastAsia" w:ascii="仿宋_GB2312" w:hAnsi="仿宋_GB2312" w:eastAsia="仿宋_GB2312" w:cs="仿宋_GB2312"/>
          <w:sz w:val="28"/>
          <w:szCs w:val="28"/>
        </w:rPr>
        <w:t>. 明确必要时可予低流量吸氧</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是针对晕针等不良反应发生时，患者可能出现一过性缺氧状况的辅助支持措施。“低流量吸氧”是一种安全、及时的临床支持手段，旨在快速改善患者脑部及全身的氧供，缓解症状，为后续处理创造条件。“必要时”的判断依据主要基于患者的临床表现，如面色苍白、冷汗、呼吸浅促等。</w:t>
      </w:r>
    </w:p>
    <w:p w14:paraId="239FD4EC">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7</w:t>
      </w:r>
      <w:r>
        <w:rPr>
          <w:rFonts w:hint="eastAsia" w:ascii="仿宋_GB2312" w:hAnsi="仿宋_GB2312" w:eastAsia="仿宋_GB2312" w:cs="仿宋_GB2312"/>
          <w:sz w:val="28"/>
          <w:szCs w:val="28"/>
        </w:rPr>
        <w:t>. 要求经上述处理后患者仍无好转的，按晕针抢救流程进一步处理。此条确立了应急处理的升级机制。当初始处理未能有效控制病情时，该规定强制要求启动更高级别的医疗抢救流程（通常包括心肺复苏、建立静脉通道、呼叫急诊支援等），确保了从一般异常情况处理到紧急医疗抢救的无缝衔接，是保障患者生命安全的关键防线。</w:t>
      </w:r>
    </w:p>
    <w:p w14:paraId="1130AE69">
      <w:pPr>
        <w:pStyle w:val="33"/>
        <w:spacing w:before="0" w:beforeLines="0" w:after="0" w:afterLines="0"/>
        <w:ind w:firstLine="560"/>
        <w:jc w:val="both"/>
        <w:outlineLvl w:val="1"/>
        <w:rPr>
          <w:rFonts w:hint="eastAsia" w:ascii="仿宋_GB2312" w:hAnsi="仿宋_GB2312" w:eastAsia="仿宋_GB2312" w:cs="仿宋_GB2312"/>
          <w:sz w:val="28"/>
          <w:szCs w:val="28"/>
          <w:lang w:eastAsia="zh-CN"/>
        </w:rPr>
      </w:pPr>
      <w:r>
        <w:rPr>
          <w:rFonts w:hint="eastAsia" w:ascii="仿宋_GB2312" w:hAnsi="仿宋_GB2312" w:eastAsia="仿宋_GB2312" w:cs="仿宋_GB2312"/>
          <w:b/>
          <w:bCs w:val="0"/>
          <w:sz w:val="28"/>
          <w:szCs w:val="28"/>
          <w:lang w:eastAsia="zh-CN"/>
        </w:rPr>
        <w:t>（七）健康宣教</w:t>
      </w:r>
    </w:p>
    <w:p w14:paraId="68197E31">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1. </w:t>
      </w:r>
      <w:r>
        <w:rPr>
          <w:rFonts w:hint="eastAsia" w:ascii="仿宋_GB2312" w:hAnsi="仿宋_GB2312" w:eastAsia="仿宋_GB2312" w:cs="仿宋_GB2312"/>
          <w:sz w:val="28"/>
          <w:szCs w:val="28"/>
        </w:rPr>
        <w:t>要求患者记录睡眠日记，有助于患者客观了解自身睡眠状况，也为医生复诊时评估疗效、调整治疗方案提供依据，是行为认知疗法在失眠管理中的基础性工具。</w:t>
      </w:r>
    </w:p>
    <w:p w14:paraId="3A89B2DF">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2. </w:t>
      </w:r>
      <w:r>
        <w:rPr>
          <w:rFonts w:hint="eastAsia" w:ascii="仿宋_GB2312" w:hAnsi="仿宋_GB2312" w:eastAsia="仿宋_GB2312" w:cs="仿宋_GB2312"/>
          <w:sz w:val="28"/>
          <w:szCs w:val="28"/>
        </w:rPr>
        <w:t>规定不应自行滥用安眠药物，是基于药物依赖、耐受性及不良反应等安全考量。失眠患者常因焦虑而自行服药，此条旨在引导患者建立正确的用药观念，避免因不当用药导致的继发性损害。</w:t>
      </w:r>
    </w:p>
    <w:p w14:paraId="0C982A03">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val="en-US" w:eastAsia="zh-CN"/>
        </w:rPr>
        <w:t xml:space="preserve">3. </w:t>
      </w:r>
      <w:r>
        <w:rPr>
          <w:rFonts w:hint="eastAsia" w:ascii="仿宋_GB2312" w:hAnsi="仿宋_GB2312" w:eastAsia="仿宋_GB2312" w:cs="仿宋_GB2312"/>
          <w:sz w:val="28"/>
          <w:szCs w:val="28"/>
        </w:rPr>
        <w:t>要求若出现严重情绪问题或其他躯体症状时及时复诊，明确了患者自我监测的责任边界。失眠常与焦虑、抑郁等情绪障碍共病，也可能是其他躯体疾病的早期表现，及时复诊有助于早期识别和处理潜在问题，防止病情延误。</w:t>
      </w:r>
    </w:p>
    <w:p w14:paraId="6F3F03DD">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以上三条健康宣教内容，从自我监测、用药安全、风险识别三个维度，构建了患者出院后的延续性管理框架，体现了“治疗-自我管理-风险防控”一体化的干预理念。</w:t>
      </w:r>
    </w:p>
    <w:p w14:paraId="701FA999">
      <w:pPr>
        <w:pStyle w:val="33"/>
        <w:spacing w:before="0" w:beforeLines="0" w:after="0" w:afterLines="0"/>
        <w:ind w:firstLine="560"/>
        <w:jc w:val="both"/>
        <w:rPr>
          <w:rFonts w:hint="eastAsia" w:ascii="仿宋_GB2312" w:hAnsi="仿宋_GB2312" w:eastAsia="仿宋_GB2312" w:cs="仿宋_GB2312"/>
          <w:sz w:val="28"/>
          <w:szCs w:val="28"/>
        </w:rPr>
      </w:pPr>
    </w:p>
    <w:p w14:paraId="242DA438">
      <w:pPr>
        <w:pStyle w:val="33"/>
        <w:spacing w:before="0" w:beforeLines="0" w:after="0" w:afterLines="0"/>
        <w:ind w:firstLine="560"/>
        <w:jc w:val="both"/>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lang w:eastAsia="zh-CN"/>
        </w:rPr>
        <w:t>以下是近年来壮医三部四针法治疗年闹诺（不寐）的记录：</w:t>
      </w:r>
    </w:p>
    <w:p w14:paraId="0675203D">
      <w:pPr>
        <w:pStyle w:val="33"/>
        <w:widowControl w:val="0"/>
        <w:ind w:firstLine="0" w:firstLineChars="0"/>
        <w:rPr>
          <w:rFonts w:hint="eastAsia" w:eastAsia="黑体"/>
          <w:highlight w:val="none"/>
          <w:lang w:eastAsia="zh-CN"/>
        </w:rPr>
      </w:pPr>
      <w:r>
        <w:rPr>
          <w:rFonts w:hint="eastAsia"/>
          <w:highlight w:val="none"/>
        </w:rPr>
        <w:t>壮医三部四针法治疗年闹诺（不寐）记录</w:t>
      </w:r>
    </w:p>
    <w:tbl>
      <w:tblPr>
        <w:tblStyle w:val="17"/>
        <w:tblW w:w="90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0"/>
        <w:gridCol w:w="980"/>
        <w:gridCol w:w="1899"/>
        <w:gridCol w:w="1300"/>
        <w:gridCol w:w="3891"/>
      </w:tblGrid>
      <w:tr w14:paraId="1C2C7F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jc w:val="center"/>
        </w:trPr>
        <w:tc>
          <w:tcPr>
            <w:tcW w:w="980" w:type="dxa"/>
            <w:vAlign w:val="center"/>
          </w:tcPr>
          <w:p w14:paraId="21A7D9C8">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lang w:eastAsia="zh-CN"/>
              </w:rPr>
            </w:pPr>
            <w:r>
              <w:rPr>
                <w:rFonts w:hint="eastAsia" w:ascii="仿宋_GB2312" w:eastAsia="仿宋_GB2312" w:cs="仿宋"/>
                <w:lang w:eastAsia="zh-CN"/>
              </w:rPr>
              <w:t>医院</w:t>
            </w:r>
          </w:p>
        </w:tc>
        <w:tc>
          <w:tcPr>
            <w:tcW w:w="980" w:type="dxa"/>
            <w:vAlign w:val="center"/>
          </w:tcPr>
          <w:p w14:paraId="56627683">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r>
              <w:rPr>
                <w:rFonts w:hint="eastAsia" w:ascii="仿宋_GB2312" w:eastAsia="仿宋_GB2312" w:cs="仿宋"/>
              </w:rPr>
              <w:t>年份</w:t>
            </w:r>
          </w:p>
        </w:tc>
        <w:tc>
          <w:tcPr>
            <w:tcW w:w="1899" w:type="dxa"/>
            <w:vAlign w:val="center"/>
          </w:tcPr>
          <w:p w14:paraId="1A695BD4">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r>
              <w:rPr>
                <w:rFonts w:hint="eastAsia" w:ascii="仿宋_GB2312" w:eastAsia="仿宋_GB2312" w:cs="仿宋"/>
              </w:rPr>
              <w:t>实际</w:t>
            </w:r>
            <w:r>
              <w:rPr>
                <w:rFonts w:hint="eastAsia" w:ascii="仿宋_GB2312" w:eastAsia="仿宋_GB2312" w:cs="仿宋"/>
                <w:lang w:eastAsia="zh-CN"/>
              </w:rPr>
              <w:t>治疗</w:t>
            </w:r>
            <w:r>
              <w:rPr>
                <w:rFonts w:hint="eastAsia" w:ascii="仿宋_GB2312" w:eastAsia="仿宋_GB2312" w:cs="仿宋"/>
              </w:rPr>
              <w:t>方法</w:t>
            </w:r>
          </w:p>
        </w:tc>
        <w:tc>
          <w:tcPr>
            <w:tcW w:w="1300" w:type="dxa"/>
            <w:vAlign w:val="center"/>
          </w:tcPr>
          <w:p w14:paraId="56F49E7E">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r>
              <w:rPr>
                <w:rFonts w:hint="eastAsia" w:ascii="仿宋_GB2312" w:eastAsia="仿宋_GB2312" w:cs="仿宋"/>
                <w:lang w:eastAsia="zh-CN"/>
              </w:rPr>
              <w:t>治疗</w:t>
            </w:r>
            <w:r>
              <w:rPr>
                <w:rFonts w:hint="eastAsia" w:ascii="仿宋_GB2312" w:eastAsia="仿宋_GB2312" w:cs="仿宋"/>
              </w:rPr>
              <w:t>人数</w:t>
            </w:r>
          </w:p>
        </w:tc>
        <w:tc>
          <w:tcPr>
            <w:tcW w:w="3891" w:type="dxa"/>
            <w:vAlign w:val="center"/>
          </w:tcPr>
          <w:p w14:paraId="017136BF">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r>
              <w:rPr>
                <w:rFonts w:hint="eastAsia" w:ascii="仿宋_GB2312" w:eastAsia="仿宋_GB2312" w:cs="仿宋"/>
                <w:lang w:eastAsia="zh-CN"/>
              </w:rPr>
              <w:t>治疗</w:t>
            </w:r>
            <w:r>
              <w:rPr>
                <w:rFonts w:hint="eastAsia" w:ascii="仿宋_GB2312" w:eastAsia="仿宋_GB2312" w:cs="仿宋"/>
              </w:rPr>
              <w:t>效果</w:t>
            </w:r>
          </w:p>
        </w:tc>
      </w:tr>
      <w:tr w14:paraId="0843F3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restart"/>
            <w:vAlign w:val="center"/>
          </w:tcPr>
          <w:p w14:paraId="447C2CB8">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lang w:val="en-US" w:eastAsia="zh-CN"/>
              </w:rPr>
            </w:pPr>
            <w:r>
              <w:rPr>
                <w:rFonts w:hint="eastAsia" w:ascii="仿宋_GB2312" w:eastAsia="仿宋_GB2312" w:cs="仿宋"/>
                <w:lang w:val="en-US" w:eastAsia="zh-CN"/>
              </w:rPr>
              <w:t>A</w:t>
            </w:r>
          </w:p>
        </w:tc>
        <w:tc>
          <w:tcPr>
            <w:tcW w:w="980" w:type="dxa"/>
            <w:vAlign w:val="center"/>
          </w:tcPr>
          <w:p w14:paraId="2E4B7750">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r>
              <w:rPr>
                <w:rFonts w:hint="eastAsia" w:ascii="仿宋_GB2312" w:eastAsia="仿宋_GB2312" w:cs="仿宋"/>
              </w:rPr>
              <w:t>2022</w:t>
            </w:r>
          </w:p>
        </w:tc>
        <w:tc>
          <w:tcPr>
            <w:tcW w:w="1899" w:type="dxa"/>
            <w:vAlign w:val="center"/>
          </w:tcPr>
          <w:p w14:paraId="2EE078AA">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r>
              <w:rPr>
                <w:rFonts w:hint="eastAsia" w:ascii="仿宋_GB2312" w:eastAsia="仿宋_GB2312" w:cs="仿宋"/>
              </w:rPr>
              <w:t>壮医三部四针法</w:t>
            </w:r>
          </w:p>
        </w:tc>
        <w:tc>
          <w:tcPr>
            <w:tcW w:w="1300" w:type="dxa"/>
            <w:vAlign w:val="center"/>
          </w:tcPr>
          <w:p w14:paraId="53B3071D">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lang w:val="en-US" w:eastAsia="zh-CN"/>
              </w:rPr>
              <w:t>105</w:t>
            </w:r>
          </w:p>
        </w:tc>
        <w:tc>
          <w:tcPr>
            <w:tcW w:w="3891" w:type="dxa"/>
            <w:vAlign w:val="center"/>
          </w:tcPr>
          <w:p w14:paraId="30BAC04D">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共治疗</w:t>
            </w:r>
            <w:r>
              <w:rPr>
                <w:rFonts w:hint="eastAsia" w:ascii="仿宋_GB2312" w:eastAsia="仿宋_GB2312" w:cs="仿宋"/>
                <w:lang w:val="en-US" w:eastAsia="zh-CN"/>
              </w:rPr>
              <w:t>105</w:t>
            </w:r>
            <w:r>
              <w:rPr>
                <w:rFonts w:hint="eastAsia" w:ascii="仿宋_GB2312" w:eastAsia="仿宋_GB2312" w:cs="仿宋"/>
              </w:rPr>
              <w:t>例患者，其中痊愈</w:t>
            </w:r>
            <w:r>
              <w:rPr>
                <w:rFonts w:hint="eastAsia" w:ascii="仿宋_GB2312" w:eastAsia="仿宋_GB2312" w:cs="仿宋"/>
                <w:lang w:val="en-US" w:eastAsia="zh-CN"/>
              </w:rPr>
              <w:t>35</w:t>
            </w:r>
            <w:r>
              <w:rPr>
                <w:rFonts w:hint="eastAsia" w:ascii="仿宋_GB2312" w:eastAsia="仿宋_GB2312" w:cs="仿宋"/>
              </w:rPr>
              <w:t>例，显效</w:t>
            </w:r>
            <w:r>
              <w:rPr>
                <w:rFonts w:hint="eastAsia" w:ascii="仿宋_GB2312" w:eastAsia="仿宋_GB2312" w:cs="仿宋"/>
                <w:lang w:val="en-US" w:eastAsia="zh-CN"/>
              </w:rPr>
              <w:t>55</w:t>
            </w:r>
            <w:r>
              <w:rPr>
                <w:rFonts w:hint="eastAsia" w:ascii="仿宋_GB2312" w:eastAsia="仿宋_GB2312" w:cs="仿宋"/>
              </w:rPr>
              <w:t>例，有</w:t>
            </w:r>
            <w:r>
              <w:rPr>
                <w:rFonts w:hint="eastAsia" w:ascii="仿宋_GB2312" w:eastAsia="仿宋_GB2312" w:cs="仿宋"/>
                <w:lang w:val="en-US" w:eastAsia="zh-CN"/>
              </w:rPr>
              <w:t>10</w:t>
            </w:r>
            <w:r>
              <w:rPr>
                <w:rFonts w:hint="eastAsia" w:ascii="仿宋_GB2312" w:eastAsia="仿宋_GB2312" w:cs="仿宋"/>
              </w:rPr>
              <w:t>效例，无效</w:t>
            </w:r>
            <w:r>
              <w:rPr>
                <w:rFonts w:hint="eastAsia" w:ascii="仿宋_GB2312" w:eastAsia="仿宋_GB2312" w:cs="仿宋"/>
                <w:lang w:val="en-US" w:eastAsia="zh-CN"/>
              </w:rPr>
              <w:t>5</w:t>
            </w:r>
            <w:r>
              <w:rPr>
                <w:rFonts w:hint="eastAsia" w:ascii="仿宋_GB2312" w:eastAsia="仿宋_GB2312" w:cs="仿宋"/>
              </w:rPr>
              <w:t>例，总有效率</w:t>
            </w:r>
            <w:r>
              <w:rPr>
                <w:rFonts w:hint="eastAsia" w:ascii="仿宋_GB2312" w:eastAsia="仿宋_GB2312" w:cs="仿宋"/>
                <w:lang w:val="en-US" w:eastAsia="zh-CN"/>
              </w:rPr>
              <w:t>95.23</w:t>
            </w:r>
            <w:r>
              <w:rPr>
                <w:rFonts w:hint="eastAsia" w:ascii="仿宋_GB2312" w:eastAsia="仿宋_GB2312" w:cs="仿宋"/>
              </w:rPr>
              <w:t>%</w:t>
            </w:r>
          </w:p>
        </w:tc>
      </w:tr>
      <w:tr w14:paraId="39067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vAlign w:val="center"/>
          </w:tcPr>
          <w:p w14:paraId="580FD83F">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p>
        </w:tc>
        <w:tc>
          <w:tcPr>
            <w:tcW w:w="980" w:type="dxa"/>
            <w:vAlign w:val="center"/>
          </w:tcPr>
          <w:p w14:paraId="2666F6A1">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r>
              <w:rPr>
                <w:rFonts w:hint="eastAsia" w:ascii="仿宋_GB2312" w:eastAsia="仿宋_GB2312" w:cs="仿宋"/>
              </w:rPr>
              <w:t>2023</w:t>
            </w:r>
          </w:p>
        </w:tc>
        <w:tc>
          <w:tcPr>
            <w:tcW w:w="1899" w:type="dxa"/>
            <w:vAlign w:val="center"/>
          </w:tcPr>
          <w:p w14:paraId="17CAFDFF">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r>
              <w:rPr>
                <w:rFonts w:hint="eastAsia" w:ascii="仿宋_GB2312" w:eastAsia="仿宋_GB2312" w:cs="仿宋"/>
              </w:rPr>
              <w:t>壮医三部四针法</w:t>
            </w:r>
          </w:p>
        </w:tc>
        <w:tc>
          <w:tcPr>
            <w:tcW w:w="1300" w:type="dxa"/>
            <w:vAlign w:val="center"/>
          </w:tcPr>
          <w:p w14:paraId="3831A013">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lang w:val="en-US" w:eastAsia="zh-CN"/>
              </w:rPr>
              <w:t>155</w:t>
            </w:r>
          </w:p>
        </w:tc>
        <w:tc>
          <w:tcPr>
            <w:tcW w:w="3891" w:type="dxa"/>
            <w:vAlign w:val="center"/>
          </w:tcPr>
          <w:p w14:paraId="0D931016">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共治疗</w:t>
            </w:r>
            <w:r>
              <w:rPr>
                <w:rFonts w:hint="eastAsia" w:ascii="仿宋_GB2312" w:eastAsia="仿宋_GB2312" w:cs="仿宋"/>
                <w:lang w:val="en-US" w:eastAsia="zh-CN"/>
              </w:rPr>
              <w:t>155</w:t>
            </w:r>
            <w:r>
              <w:rPr>
                <w:rFonts w:hint="eastAsia" w:ascii="仿宋_GB2312" w:eastAsia="仿宋_GB2312" w:cs="仿宋"/>
              </w:rPr>
              <w:t>例患者，其中痊愈</w:t>
            </w:r>
            <w:r>
              <w:rPr>
                <w:rFonts w:hint="eastAsia" w:ascii="仿宋_GB2312" w:eastAsia="仿宋_GB2312" w:cs="仿宋"/>
                <w:lang w:val="en-US" w:eastAsia="zh-CN"/>
              </w:rPr>
              <w:t>45</w:t>
            </w:r>
            <w:r>
              <w:rPr>
                <w:rFonts w:hint="eastAsia" w:ascii="仿宋_GB2312" w:eastAsia="仿宋_GB2312" w:cs="仿宋"/>
              </w:rPr>
              <w:t>例，显效</w:t>
            </w:r>
            <w:r>
              <w:rPr>
                <w:rFonts w:hint="eastAsia" w:ascii="仿宋_GB2312" w:eastAsia="仿宋_GB2312" w:cs="仿宋"/>
                <w:lang w:val="en-US" w:eastAsia="zh-CN"/>
              </w:rPr>
              <w:t>85</w:t>
            </w:r>
            <w:r>
              <w:rPr>
                <w:rFonts w:hint="eastAsia" w:ascii="仿宋_GB2312" w:eastAsia="仿宋_GB2312" w:cs="仿宋"/>
              </w:rPr>
              <w:t>例，有</w:t>
            </w:r>
            <w:r>
              <w:rPr>
                <w:rFonts w:hint="eastAsia" w:ascii="仿宋_GB2312" w:eastAsia="仿宋_GB2312" w:cs="仿宋"/>
                <w:lang w:val="en-US" w:eastAsia="zh-CN"/>
              </w:rPr>
              <w:t>18</w:t>
            </w:r>
            <w:r>
              <w:rPr>
                <w:rFonts w:hint="eastAsia" w:ascii="仿宋_GB2312" w:eastAsia="仿宋_GB2312" w:cs="仿宋"/>
              </w:rPr>
              <w:t>效例，无效</w:t>
            </w:r>
            <w:r>
              <w:rPr>
                <w:rFonts w:hint="eastAsia" w:ascii="仿宋_GB2312" w:eastAsia="仿宋_GB2312" w:cs="仿宋"/>
                <w:lang w:val="en-US" w:eastAsia="zh-CN"/>
              </w:rPr>
              <w:t>7</w:t>
            </w:r>
            <w:r>
              <w:rPr>
                <w:rFonts w:hint="eastAsia" w:ascii="仿宋_GB2312" w:eastAsia="仿宋_GB2312" w:cs="仿宋"/>
              </w:rPr>
              <w:t>例，总有效率</w:t>
            </w:r>
            <w:r>
              <w:rPr>
                <w:rFonts w:hint="eastAsia" w:ascii="仿宋_GB2312" w:eastAsia="仿宋_GB2312" w:cs="仿宋"/>
                <w:lang w:val="en-US" w:eastAsia="zh-CN"/>
              </w:rPr>
              <w:t>95.54</w:t>
            </w:r>
            <w:r>
              <w:rPr>
                <w:rFonts w:hint="eastAsia" w:ascii="仿宋_GB2312" w:eastAsia="仿宋_GB2312" w:cs="仿宋"/>
              </w:rPr>
              <w:t>%</w:t>
            </w:r>
          </w:p>
        </w:tc>
      </w:tr>
      <w:tr w14:paraId="6F0F10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vAlign w:val="center"/>
          </w:tcPr>
          <w:p w14:paraId="49F3C41F">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p>
        </w:tc>
        <w:tc>
          <w:tcPr>
            <w:tcW w:w="980" w:type="dxa"/>
            <w:vAlign w:val="center"/>
          </w:tcPr>
          <w:p w14:paraId="4867D78E">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r>
              <w:rPr>
                <w:rFonts w:hint="eastAsia" w:ascii="仿宋_GB2312" w:eastAsia="仿宋_GB2312" w:cs="仿宋"/>
              </w:rPr>
              <w:t>2024</w:t>
            </w:r>
          </w:p>
        </w:tc>
        <w:tc>
          <w:tcPr>
            <w:tcW w:w="1899" w:type="dxa"/>
            <w:vAlign w:val="center"/>
          </w:tcPr>
          <w:p w14:paraId="77BDEF6E">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r>
              <w:rPr>
                <w:rFonts w:hint="eastAsia" w:ascii="仿宋_GB2312" w:eastAsia="仿宋_GB2312" w:cs="仿宋"/>
              </w:rPr>
              <w:t>壮医三部四针法</w:t>
            </w:r>
          </w:p>
        </w:tc>
        <w:tc>
          <w:tcPr>
            <w:tcW w:w="1300" w:type="dxa"/>
            <w:vAlign w:val="center"/>
          </w:tcPr>
          <w:p w14:paraId="084F59C1">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lang w:val="en-US" w:eastAsia="zh-CN"/>
              </w:rPr>
              <w:t>200</w:t>
            </w:r>
          </w:p>
        </w:tc>
        <w:tc>
          <w:tcPr>
            <w:tcW w:w="3891" w:type="dxa"/>
            <w:vAlign w:val="center"/>
          </w:tcPr>
          <w:p w14:paraId="6B8CD242">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共治疗</w:t>
            </w:r>
            <w:r>
              <w:rPr>
                <w:rFonts w:hint="eastAsia" w:ascii="仿宋_GB2312" w:eastAsia="仿宋_GB2312" w:cs="仿宋"/>
                <w:lang w:val="en-US" w:eastAsia="zh-CN"/>
              </w:rPr>
              <w:t>200</w:t>
            </w:r>
            <w:r>
              <w:rPr>
                <w:rFonts w:hint="eastAsia" w:ascii="仿宋_GB2312" w:eastAsia="仿宋_GB2312" w:cs="仿宋"/>
              </w:rPr>
              <w:t>例患者，其中痊愈</w:t>
            </w:r>
            <w:r>
              <w:rPr>
                <w:rFonts w:hint="eastAsia" w:ascii="仿宋_GB2312" w:eastAsia="仿宋_GB2312" w:cs="仿宋"/>
                <w:lang w:val="en-US" w:eastAsia="zh-CN"/>
              </w:rPr>
              <w:t>55</w:t>
            </w:r>
            <w:r>
              <w:rPr>
                <w:rFonts w:hint="eastAsia" w:ascii="仿宋_GB2312" w:eastAsia="仿宋_GB2312" w:cs="仿宋"/>
              </w:rPr>
              <w:t>例，显效</w:t>
            </w:r>
            <w:r>
              <w:rPr>
                <w:rFonts w:hint="eastAsia" w:ascii="仿宋_GB2312" w:eastAsia="仿宋_GB2312" w:cs="仿宋"/>
                <w:lang w:val="en-US" w:eastAsia="zh-CN"/>
              </w:rPr>
              <w:t>105</w:t>
            </w:r>
            <w:r>
              <w:rPr>
                <w:rFonts w:hint="eastAsia" w:ascii="仿宋_GB2312" w:eastAsia="仿宋_GB2312" w:cs="仿宋"/>
              </w:rPr>
              <w:t>例，有</w:t>
            </w:r>
            <w:r>
              <w:rPr>
                <w:rFonts w:hint="eastAsia" w:ascii="仿宋_GB2312" w:eastAsia="仿宋_GB2312" w:cs="仿宋"/>
                <w:lang w:val="en-US" w:eastAsia="zh-CN"/>
              </w:rPr>
              <w:t>32</w:t>
            </w:r>
            <w:r>
              <w:rPr>
                <w:rFonts w:hint="eastAsia" w:ascii="仿宋_GB2312" w:eastAsia="仿宋_GB2312" w:cs="仿宋"/>
              </w:rPr>
              <w:t>效例，无效</w:t>
            </w:r>
            <w:r>
              <w:rPr>
                <w:rFonts w:hint="eastAsia" w:ascii="仿宋_GB2312" w:eastAsia="仿宋_GB2312" w:cs="仿宋"/>
                <w:lang w:val="en-US" w:eastAsia="zh-CN"/>
              </w:rPr>
              <w:t>8</w:t>
            </w:r>
            <w:r>
              <w:rPr>
                <w:rFonts w:hint="eastAsia" w:ascii="仿宋_GB2312" w:eastAsia="仿宋_GB2312" w:cs="仿宋"/>
              </w:rPr>
              <w:t>例，总有效率</w:t>
            </w:r>
            <w:r>
              <w:rPr>
                <w:rFonts w:hint="eastAsia" w:ascii="仿宋_GB2312" w:eastAsia="仿宋_GB2312" w:cs="仿宋"/>
                <w:lang w:val="en-US" w:eastAsia="zh-CN"/>
              </w:rPr>
              <w:t>96.00</w:t>
            </w:r>
            <w:r>
              <w:rPr>
                <w:rFonts w:hint="eastAsia" w:ascii="仿宋_GB2312" w:eastAsia="仿宋_GB2312" w:cs="仿宋"/>
              </w:rPr>
              <w:t>%</w:t>
            </w:r>
          </w:p>
        </w:tc>
      </w:tr>
      <w:tr w14:paraId="314313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vAlign w:val="center"/>
          </w:tcPr>
          <w:p w14:paraId="292AE335">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p>
        </w:tc>
        <w:tc>
          <w:tcPr>
            <w:tcW w:w="980" w:type="dxa"/>
            <w:vAlign w:val="center"/>
          </w:tcPr>
          <w:p w14:paraId="2113DA7C">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r>
              <w:rPr>
                <w:rFonts w:hint="eastAsia" w:ascii="仿宋_GB2312" w:eastAsia="仿宋_GB2312" w:cs="仿宋"/>
              </w:rPr>
              <w:t>2025</w:t>
            </w:r>
          </w:p>
        </w:tc>
        <w:tc>
          <w:tcPr>
            <w:tcW w:w="1899" w:type="dxa"/>
            <w:vAlign w:val="center"/>
          </w:tcPr>
          <w:p w14:paraId="643B1885">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r>
              <w:rPr>
                <w:rFonts w:hint="eastAsia" w:ascii="仿宋_GB2312" w:eastAsia="仿宋_GB2312" w:cs="仿宋"/>
              </w:rPr>
              <w:t>壮医三部四针法</w:t>
            </w:r>
          </w:p>
        </w:tc>
        <w:tc>
          <w:tcPr>
            <w:tcW w:w="1300" w:type="dxa"/>
            <w:vAlign w:val="center"/>
          </w:tcPr>
          <w:p w14:paraId="67BDD74E">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lang w:val="en-US" w:eastAsia="zh-CN"/>
              </w:rPr>
              <w:t>256</w:t>
            </w:r>
          </w:p>
        </w:tc>
        <w:tc>
          <w:tcPr>
            <w:tcW w:w="3891" w:type="dxa"/>
            <w:vAlign w:val="center"/>
          </w:tcPr>
          <w:p w14:paraId="3C00B027">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共治疗</w:t>
            </w:r>
            <w:r>
              <w:rPr>
                <w:rFonts w:hint="eastAsia" w:ascii="仿宋_GB2312" w:eastAsia="仿宋_GB2312" w:cs="仿宋"/>
                <w:lang w:val="en-US" w:eastAsia="zh-CN"/>
              </w:rPr>
              <w:t>256</w:t>
            </w:r>
            <w:r>
              <w:rPr>
                <w:rFonts w:hint="eastAsia" w:ascii="仿宋_GB2312" w:eastAsia="仿宋_GB2312" w:cs="仿宋"/>
              </w:rPr>
              <w:t>例患者，其中痊愈</w:t>
            </w:r>
            <w:r>
              <w:rPr>
                <w:rFonts w:hint="eastAsia" w:ascii="仿宋_GB2312" w:eastAsia="仿宋_GB2312" w:cs="仿宋"/>
                <w:lang w:val="en-US" w:eastAsia="zh-CN"/>
              </w:rPr>
              <w:t>75</w:t>
            </w:r>
            <w:r>
              <w:rPr>
                <w:rFonts w:hint="eastAsia" w:ascii="仿宋_GB2312" w:eastAsia="仿宋_GB2312" w:cs="仿宋"/>
              </w:rPr>
              <w:t>例，显效</w:t>
            </w:r>
            <w:r>
              <w:rPr>
                <w:rFonts w:hint="eastAsia" w:ascii="仿宋_GB2312" w:eastAsia="仿宋_GB2312" w:cs="仿宋"/>
                <w:lang w:val="en-US" w:eastAsia="zh-CN"/>
              </w:rPr>
              <w:t>135</w:t>
            </w:r>
            <w:r>
              <w:rPr>
                <w:rFonts w:hint="eastAsia" w:ascii="仿宋_GB2312" w:eastAsia="仿宋_GB2312" w:cs="仿宋"/>
              </w:rPr>
              <w:t>例，有效</w:t>
            </w:r>
            <w:r>
              <w:rPr>
                <w:rFonts w:hint="eastAsia" w:ascii="仿宋_GB2312" w:eastAsia="仿宋_GB2312" w:cs="仿宋"/>
                <w:lang w:val="en-US" w:eastAsia="zh-CN"/>
              </w:rPr>
              <w:t>36</w:t>
            </w:r>
            <w:r>
              <w:rPr>
                <w:rFonts w:hint="eastAsia" w:ascii="仿宋_GB2312" w:eastAsia="仿宋_GB2312" w:cs="仿宋"/>
              </w:rPr>
              <w:t>例，无效</w:t>
            </w:r>
            <w:r>
              <w:rPr>
                <w:rFonts w:hint="eastAsia" w:ascii="仿宋_GB2312" w:eastAsia="仿宋_GB2312" w:cs="仿宋"/>
                <w:lang w:val="en-US" w:eastAsia="zh-CN"/>
              </w:rPr>
              <w:t>10</w:t>
            </w:r>
            <w:r>
              <w:rPr>
                <w:rFonts w:hint="eastAsia" w:ascii="仿宋_GB2312" w:eastAsia="仿宋_GB2312" w:cs="仿宋"/>
              </w:rPr>
              <w:t>例，总有效率</w:t>
            </w:r>
            <w:r>
              <w:rPr>
                <w:rFonts w:hint="eastAsia" w:ascii="仿宋_GB2312" w:eastAsia="仿宋_GB2312" w:cs="仿宋"/>
                <w:lang w:val="en-US" w:eastAsia="zh-CN"/>
              </w:rPr>
              <w:t>96.09</w:t>
            </w:r>
            <w:r>
              <w:rPr>
                <w:rFonts w:hint="eastAsia" w:ascii="仿宋_GB2312" w:eastAsia="仿宋_GB2312" w:cs="仿宋"/>
              </w:rPr>
              <w:t>%</w:t>
            </w:r>
          </w:p>
        </w:tc>
      </w:tr>
      <w:tr w14:paraId="2BF6CB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restart"/>
            <w:vAlign w:val="center"/>
          </w:tcPr>
          <w:p w14:paraId="3E531BFB">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lang w:val="en-US" w:eastAsia="zh-CN"/>
              </w:rPr>
            </w:pPr>
            <w:r>
              <w:rPr>
                <w:rFonts w:hint="eastAsia" w:ascii="仿宋_GB2312" w:eastAsia="仿宋_GB2312" w:cs="仿宋"/>
                <w:lang w:val="en-US" w:eastAsia="zh-CN"/>
              </w:rPr>
              <w:t>B</w:t>
            </w:r>
          </w:p>
        </w:tc>
        <w:tc>
          <w:tcPr>
            <w:tcW w:w="980" w:type="dxa"/>
            <w:vAlign w:val="center"/>
          </w:tcPr>
          <w:p w14:paraId="2EC191E0">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2022</w:t>
            </w:r>
          </w:p>
        </w:tc>
        <w:tc>
          <w:tcPr>
            <w:tcW w:w="1899" w:type="dxa"/>
            <w:vAlign w:val="center"/>
          </w:tcPr>
          <w:p w14:paraId="392791C3">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壮医三部四针法</w:t>
            </w:r>
          </w:p>
        </w:tc>
        <w:tc>
          <w:tcPr>
            <w:tcW w:w="1300" w:type="dxa"/>
            <w:vAlign w:val="center"/>
          </w:tcPr>
          <w:p w14:paraId="7CA639D2">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lang w:val="en-US" w:eastAsia="zh-CN"/>
              </w:rPr>
            </w:pPr>
            <w:r>
              <w:rPr>
                <w:rFonts w:hint="eastAsia" w:ascii="仿宋_GB2312" w:eastAsia="仿宋_GB2312" w:cs="仿宋"/>
                <w:lang w:val="en-US" w:eastAsia="zh-CN"/>
              </w:rPr>
              <w:t>36</w:t>
            </w:r>
          </w:p>
        </w:tc>
        <w:tc>
          <w:tcPr>
            <w:tcW w:w="3891" w:type="dxa"/>
            <w:vAlign w:val="center"/>
          </w:tcPr>
          <w:p w14:paraId="7BC59466">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共治疗</w:t>
            </w:r>
            <w:r>
              <w:rPr>
                <w:rFonts w:hint="eastAsia" w:ascii="仿宋_GB2312" w:eastAsia="仿宋_GB2312" w:cs="仿宋"/>
                <w:lang w:val="en-US" w:eastAsia="zh-CN"/>
              </w:rPr>
              <w:t>36</w:t>
            </w:r>
            <w:r>
              <w:rPr>
                <w:rFonts w:hint="eastAsia" w:ascii="仿宋_GB2312" w:eastAsia="仿宋_GB2312" w:cs="仿宋"/>
              </w:rPr>
              <w:t>例患者，其中痊愈</w:t>
            </w:r>
            <w:r>
              <w:rPr>
                <w:rFonts w:hint="eastAsia" w:ascii="仿宋_GB2312" w:eastAsia="仿宋_GB2312" w:cs="仿宋"/>
                <w:lang w:val="en-US" w:eastAsia="zh-CN"/>
              </w:rPr>
              <w:t>22</w:t>
            </w:r>
            <w:r>
              <w:rPr>
                <w:rFonts w:hint="eastAsia" w:ascii="仿宋_GB2312" w:eastAsia="仿宋_GB2312" w:cs="仿宋"/>
              </w:rPr>
              <w:t>例，显效</w:t>
            </w:r>
            <w:r>
              <w:rPr>
                <w:rFonts w:hint="eastAsia" w:ascii="仿宋_GB2312" w:eastAsia="仿宋_GB2312" w:cs="仿宋"/>
                <w:lang w:val="en-US" w:eastAsia="zh-CN"/>
              </w:rPr>
              <w:t>6</w:t>
            </w:r>
            <w:r>
              <w:rPr>
                <w:rFonts w:hint="eastAsia" w:ascii="仿宋_GB2312" w:eastAsia="仿宋_GB2312" w:cs="仿宋"/>
              </w:rPr>
              <w:t>例，有效</w:t>
            </w:r>
            <w:r>
              <w:rPr>
                <w:rFonts w:hint="eastAsia" w:ascii="仿宋_GB2312" w:eastAsia="仿宋_GB2312" w:cs="仿宋"/>
                <w:lang w:val="en-US" w:eastAsia="zh-CN"/>
              </w:rPr>
              <w:t>3</w:t>
            </w:r>
            <w:r>
              <w:rPr>
                <w:rFonts w:hint="eastAsia" w:ascii="仿宋_GB2312" w:eastAsia="仿宋_GB2312" w:cs="仿宋"/>
              </w:rPr>
              <w:t>例，无效</w:t>
            </w:r>
            <w:r>
              <w:rPr>
                <w:rFonts w:hint="eastAsia" w:ascii="仿宋_GB2312" w:eastAsia="仿宋_GB2312" w:cs="仿宋"/>
                <w:lang w:val="en-US" w:eastAsia="zh-CN"/>
              </w:rPr>
              <w:t>5</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86.1</w:t>
            </w:r>
            <w:r>
              <w:rPr>
                <w:rFonts w:hint="eastAsia" w:ascii="仿宋_GB2312" w:eastAsia="仿宋_GB2312" w:cs="仿宋"/>
              </w:rPr>
              <w:t>%</w:t>
            </w:r>
          </w:p>
        </w:tc>
      </w:tr>
      <w:tr w14:paraId="3872F5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vAlign w:val="center"/>
          </w:tcPr>
          <w:p w14:paraId="1BD65818">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p>
        </w:tc>
        <w:tc>
          <w:tcPr>
            <w:tcW w:w="980" w:type="dxa"/>
            <w:vAlign w:val="center"/>
          </w:tcPr>
          <w:p w14:paraId="16D58840">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2023</w:t>
            </w:r>
          </w:p>
        </w:tc>
        <w:tc>
          <w:tcPr>
            <w:tcW w:w="1899" w:type="dxa"/>
            <w:vAlign w:val="center"/>
          </w:tcPr>
          <w:p w14:paraId="52E7E71B">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壮医三部四针法</w:t>
            </w:r>
          </w:p>
        </w:tc>
        <w:tc>
          <w:tcPr>
            <w:tcW w:w="1300" w:type="dxa"/>
            <w:vAlign w:val="center"/>
          </w:tcPr>
          <w:p w14:paraId="7AA68827">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lang w:val="en-US" w:eastAsia="zh-CN"/>
              </w:rPr>
            </w:pPr>
            <w:r>
              <w:rPr>
                <w:rFonts w:hint="eastAsia" w:ascii="仿宋_GB2312" w:eastAsia="仿宋_GB2312" w:cs="仿宋"/>
                <w:lang w:val="en-US" w:eastAsia="zh-CN"/>
              </w:rPr>
              <w:t>69</w:t>
            </w:r>
          </w:p>
        </w:tc>
        <w:tc>
          <w:tcPr>
            <w:tcW w:w="3891" w:type="dxa"/>
            <w:vAlign w:val="center"/>
          </w:tcPr>
          <w:p w14:paraId="0677894C">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共治疗</w:t>
            </w:r>
            <w:r>
              <w:rPr>
                <w:rFonts w:hint="eastAsia" w:ascii="仿宋_GB2312" w:eastAsia="仿宋_GB2312" w:cs="仿宋"/>
                <w:lang w:val="en-US" w:eastAsia="zh-CN"/>
              </w:rPr>
              <w:t>69</w:t>
            </w:r>
            <w:r>
              <w:rPr>
                <w:rFonts w:hint="eastAsia" w:ascii="仿宋_GB2312" w:eastAsia="仿宋_GB2312" w:cs="仿宋"/>
              </w:rPr>
              <w:t>例患者，其中痊愈</w:t>
            </w:r>
            <w:r>
              <w:rPr>
                <w:rFonts w:hint="eastAsia" w:ascii="仿宋_GB2312" w:eastAsia="仿宋_GB2312" w:cs="仿宋"/>
                <w:lang w:val="en-US" w:eastAsia="zh-CN"/>
              </w:rPr>
              <w:t>38</w:t>
            </w:r>
            <w:r>
              <w:rPr>
                <w:rFonts w:hint="eastAsia" w:ascii="仿宋_GB2312" w:eastAsia="仿宋_GB2312" w:cs="仿宋"/>
              </w:rPr>
              <w:t>例，显效</w:t>
            </w:r>
            <w:r>
              <w:rPr>
                <w:rFonts w:hint="eastAsia" w:ascii="仿宋_GB2312" w:eastAsia="仿宋_GB2312" w:cs="仿宋"/>
                <w:lang w:val="en-US" w:eastAsia="zh-CN"/>
              </w:rPr>
              <w:t>16</w:t>
            </w:r>
            <w:r>
              <w:rPr>
                <w:rFonts w:hint="eastAsia" w:ascii="仿宋_GB2312" w:eastAsia="仿宋_GB2312" w:cs="仿宋"/>
              </w:rPr>
              <w:t>例，有效</w:t>
            </w:r>
            <w:r>
              <w:rPr>
                <w:rFonts w:hint="eastAsia" w:ascii="仿宋_GB2312" w:eastAsia="仿宋_GB2312" w:cs="仿宋"/>
                <w:lang w:val="en-US" w:eastAsia="zh-CN"/>
              </w:rPr>
              <w:t>6</w:t>
            </w:r>
            <w:r>
              <w:rPr>
                <w:rFonts w:hint="eastAsia" w:ascii="仿宋_GB2312" w:eastAsia="仿宋_GB2312" w:cs="仿宋"/>
              </w:rPr>
              <w:t>例，无效</w:t>
            </w:r>
            <w:r>
              <w:rPr>
                <w:rFonts w:hint="eastAsia" w:ascii="仿宋_GB2312" w:eastAsia="仿宋_GB2312" w:cs="仿宋"/>
                <w:lang w:val="en-US" w:eastAsia="zh-CN"/>
              </w:rPr>
              <w:t>9</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86.9</w:t>
            </w:r>
            <w:r>
              <w:rPr>
                <w:rFonts w:hint="eastAsia" w:ascii="仿宋_GB2312" w:eastAsia="仿宋_GB2312" w:cs="仿宋"/>
              </w:rPr>
              <w:t>%</w:t>
            </w:r>
          </w:p>
        </w:tc>
      </w:tr>
      <w:tr w14:paraId="0707C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vAlign w:val="center"/>
          </w:tcPr>
          <w:p w14:paraId="4FF2DCE7">
            <w:pPr>
              <w:pStyle w:val="33"/>
              <w:keepNext w:val="0"/>
              <w:keepLines w:val="0"/>
              <w:widowControl w:val="0"/>
              <w:suppressLineNumbers w:val="0"/>
              <w:spacing w:before="0" w:beforeLines="0" w:beforeAutospacing="0" w:after="0" w:afterLines="0" w:afterAutospacing="0" w:line="400" w:lineRule="exact"/>
              <w:ind w:left="0" w:right="0" w:firstLine="0" w:firstLineChars="0"/>
              <w:rPr>
                <w:rFonts w:hint="eastAsia" w:ascii="仿宋_GB2312" w:eastAsia="仿宋_GB2312" w:cs="仿宋"/>
              </w:rPr>
            </w:pPr>
          </w:p>
        </w:tc>
        <w:tc>
          <w:tcPr>
            <w:tcW w:w="980" w:type="dxa"/>
            <w:vAlign w:val="center"/>
          </w:tcPr>
          <w:p w14:paraId="5453B9A4">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2024</w:t>
            </w:r>
          </w:p>
        </w:tc>
        <w:tc>
          <w:tcPr>
            <w:tcW w:w="1899" w:type="dxa"/>
            <w:vAlign w:val="center"/>
          </w:tcPr>
          <w:p w14:paraId="61BEAFCF">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壮医三部四针法</w:t>
            </w:r>
          </w:p>
        </w:tc>
        <w:tc>
          <w:tcPr>
            <w:tcW w:w="1300" w:type="dxa"/>
            <w:vAlign w:val="center"/>
          </w:tcPr>
          <w:p w14:paraId="7BACACA9">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lang w:val="en-US" w:eastAsia="zh-CN"/>
              </w:rPr>
            </w:pPr>
            <w:r>
              <w:rPr>
                <w:rFonts w:hint="eastAsia" w:ascii="仿宋_GB2312" w:eastAsia="仿宋_GB2312" w:cs="仿宋"/>
                <w:lang w:val="en-US" w:eastAsia="zh-CN"/>
              </w:rPr>
              <w:t>75</w:t>
            </w:r>
          </w:p>
        </w:tc>
        <w:tc>
          <w:tcPr>
            <w:tcW w:w="3891" w:type="dxa"/>
            <w:vAlign w:val="center"/>
          </w:tcPr>
          <w:p w14:paraId="3F4701B3">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eastAsia="仿宋_GB2312" w:cs="仿宋"/>
              </w:rPr>
            </w:pPr>
            <w:r>
              <w:rPr>
                <w:rFonts w:hint="eastAsia" w:ascii="仿宋_GB2312" w:eastAsia="仿宋_GB2312" w:cs="仿宋"/>
              </w:rPr>
              <w:t>共治疗</w:t>
            </w:r>
            <w:r>
              <w:rPr>
                <w:rFonts w:hint="eastAsia" w:ascii="仿宋_GB2312" w:eastAsia="仿宋_GB2312" w:cs="仿宋"/>
                <w:lang w:val="en-US" w:eastAsia="zh-CN"/>
              </w:rPr>
              <w:t>75</w:t>
            </w:r>
            <w:r>
              <w:rPr>
                <w:rFonts w:hint="eastAsia" w:ascii="仿宋_GB2312" w:eastAsia="仿宋_GB2312" w:cs="仿宋"/>
              </w:rPr>
              <w:t>例患者，其中痊愈</w:t>
            </w:r>
            <w:r>
              <w:rPr>
                <w:rFonts w:hint="eastAsia" w:ascii="仿宋_GB2312" w:eastAsia="仿宋_GB2312" w:cs="仿宋"/>
                <w:lang w:val="en-US" w:eastAsia="zh-CN"/>
              </w:rPr>
              <w:t>42</w:t>
            </w:r>
            <w:r>
              <w:rPr>
                <w:rFonts w:hint="eastAsia" w:ascii="仿宋_GB2312" w:eastAsia="仿宋_GB2312" w:cs="仿宋"/>
              </w:rPr>
              <w:t>例，显效</w:t>
            </w:r>
            <w:r>
              <w:rPr>
                <w:rFonts w:hint="eastAsia" w:ascii="仿宋_GB2312" w:eastAsia="仿宋_GB2312" w:cs="仿宋"/>
                <w:lang w:val="en-US" w:eastAsia="zh-CN"/>
              </w:rPr>
              <w:t>17</w:t>
            </w:r>
            <w:r>
              <w:rPr>
                <w:rFonts w:hint="eastAsia" w:ascii="仿宋_GB2312" w:eastAsia="仿宋_GB2312" w:cs="仿宋"/>
              </w:rPr>
              <w:t>例，有效</w:t>
            </w:r>
            <w:r>
              <w:rPr>
                <w:rFonts w:hint="eastAsia" w:ascii="仿宋_GB2312" w:eastAsia="仿宋_GB2312" w:cs="仿宋"/>
                <w:lang w:val="en-US" w:eastAsia="zh-CN"/>
              </w:rPr>
              <w:t>12</w:t>
            </w:r>
            <w:r>
              <w:rPr>
                <w:rFonts w:hint="eastAsia" w:ascii="仿宋_GB2312" w:eastAsia="仿宋_GB2312" w:cs="仿宋"/>
              </w:rPr>
              <w:t>例，无效</w:t>
            </w:r>
            <w:r>
              <w:rPr>
                <w:rFonts w:hint="eastAsia" w:ascii="仿宋_GB2312" w:eastAsia="仿宋_GB2312" w:cs="仿宋"/>
                <w:lang w:val="en-US" w:eastAsia="zh-CN"/>
              </w:rPr>
              <w:t>4</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94.6</w:t>
            </w:r>
            <w:r>
              <w:rPr>
                <w:rFonts w:hint="eastAsia" w:ascii="仿宋_GB2312" w:eastAsia="仿宋_GB2312" w:cs="仿宋"/>
              </w:rPr>
              <w:t>%</w:t>
            </w:r>
          </w:p>
        </w:tc>
      </w:tr>
      <w:tr w14:paraId="7E73E4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shd w:val="clear" w:color="auto" w:fill="auto"/>
            <w:vAlign w:val="center"/>
          </w:tcPr>
          <w:p w14:paraId="0FE05D76">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p>
        </w:tc>
        <w:tc>
          <w:tcPr>
            <w:tcW w:w="980" w:type="dxa"/>
            <w:shd w:val="clear" w:color="auto" w:fill="auto"/>
            <w:vAlign w:val="center"/>
          </w:tcPr>
          <w:p w14:paraId="5FF90D6E">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2025</w:t>
            </w:r>
          </w:p>
        </w:tc>
        <w:tc>
          <w:tcPr>
            <w:tcW w:w="1899" w:type="dxa"/>
            <w:shd w:val="clear" w:color="auto" w:fill="auto"/>
            <w:vAlign w:val="center"/>
          </w:tcPr>
          <w:p w14:paraId="71F2185A">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71BF62F2">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165</w:t>
            </w:r>
          </w:p>
        </w:tc>
        <w:tc>
          <w:tcPr>
            <w:tcW w:w="3891" w:type="dxa"/>
            <w:shd w:val="clear" w:color="auto" w:fill="auto"/>
            <w:vAlign w:val="center"/>
          </w:tcPr>
          <w:p w14:paraId="75A7E00E">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val="en-US" w:eastAsia="zh-CN"/>
              </w:rPr>
              <w:t>165</w:t>
            </w:r>
            <w:r>
              <w:rPr>
                <w:rFonts w:hint="eastAsia" w:ascii="仿宋_GB2312" w:eastAsia="仿宋_GB2312" w:cs="仿宋"/>
              </w:rPr>
              <w:t>例患者，其中痊愈</w:t>
            </w:r>
            <w:r>
              <w:rPr>
                <w:rFonts w:hint="eastAsia" w:ascii="仿宋_GB2312" w:eastAsia="仿宋_GB2312" w:cs="仿宋"/>
                <w:lang w:val="en-US" w:eastAsia="zh-CN"/>
              </w:rPr>
              <w:t>103</w:t>
            </w:r>
            <w:r>
              <w:rPr>
                <w:rFonts w:hint="eastAsia" w:ascii="仿宋_GB2312" w:eastAsia="仿宋_GB2312" w:cs="仿宋"/>
              </w:rPr>
              <w:t>例，显效</w:t>
            </w:r>
            <w:r>
              <w:rPr>
                <w:rFonts w:hint="eastAsia" w:ascii="仿宋_GB2312" w:eastAsia="仿宋_GB2312" w:cs="仿宋"/>
                <w:lang w:val="en-US" w:eastAsia="zh-CN"/>
              </w:rPr>
              <w:t>33</w:t>
            </w:r>
            <w:r>
              <w:rPr>
                <w:rFonts w:hint="eastAsia" w:ascii="仿宋_GB2312" w:eastAsia="仿宋_GB2312" w:cs="仿宋"/>
              </w:rPr>
              <w:t>例，有效</w:t>
            </w:r>
            <w:r>
              <w:rPr>
                <w:rFonts w:hint="eastAsia" w:ascii="仿宋_GB2312" w:eastAsia="仿宋_GB2312" w:cs="仿宋"/>
                <w:lang w:val="en-US" w:eastAsia="zh-CN"/>
              </w:rPr>
              <w:t>16</w:t>
            </w:r>
            <w:r>
              <w:rPr>
                <w:rFonts w:hint="eastAsia" w:ascii="仿宋_GB2312" w:eastAsia="仿宋_GB2312" w:cs="仿宋"/>
              </w:rPr>
              <w:t>例，无效</w:t>
            </w:r>
            <w:r>
              <w:rPr>
                <w:rFonts w:hint="eastAsia" w:ascii="仿宋_GB2312" w:eastAsia="仿宋_GB2312" w:cs="仿宋"/>
                <w:lang w:val="en-US" w:eastAsia="zh-CN"/>
              </w:rPr>
              <w:t>13</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91.1</w:t>
            </w:r>
            <w:r>
              <w:rPr>
                <w:rFonts w:hint="eastAsia" w:ascii="仿宋_GB2312" w:eastAsia="仿宋_GB2312" w:cs="仿宋"/>
              </w:rPr>
              <w:t>%</w:t>
            </w:r>
          </w:p>
        </w:tc>
      </w:tr>
      <w:tr w14:paraId="21B4FA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restart"/>
            <w:shd w:val="clear" w:color="auto" w:fill="auto"/>
            <w:vAlign w:val="center"/>
          </w:tcPr>
          <w:p w14:paraId="7D7643B7">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default" w:ascii="仿宋_GB2312" w:hAnsi="黑体" w:eastAsia="仿宋_GB2312" w:cs="仿宋"/>
                <w:bCs/>
                <w:sz w:val="24"/>
                <w:szCs w:val="24"/>
                <w:lang w:val="en-US" w:eastAsia="zh-CN" w:bidi="ar-SA"/>
              </w:rPr>
            </w:pPr>
            <w:r>
              <w:rPr>
                <w:rFonts w:hint="eastAsia" w:ascii="仿宋_GB2312" w:eastAsia="仿宋_GB2312" w:cs="仿宋"/>
                <w:bCs/>
                <w:sz w:val="24"/>
                <w:szCs w:val="24"/>
                <w:lang w:val="en-US" w:eastAsia="zh-CN" w:bidi="ar-SA"/>
              </w:rPr>
              <w:t>C</w:t>
            </w:r>
          </w:p>
        </w:tc>
        <w:tc>
          <w:tcPr>
            <w:tcW w:w="980" w:type="dxa"/>
            <w:shd w:val="clear" w:color="auto" w:fill="auto"/>
            <w:vAlign w:val="center"/>
          </w:tcPr>
          <w:p w14:paraId="0BA1DA0F">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2022</w:t>
            </w:r>
          </w:p>
        </w:tc>
        <w:tc>
          <w:tcPr>
            <w:tcW w:w="1899" w:type="dxa"/>
            <w:shd w:val="clear" w:color="auto" w:fill="auto"/>
            <w:vAlign w:val="center"/>
          </w:tcPr>
          <w:p w14:paraId="64950AD5">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73BEA473">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40</w:t>
            </w:r>
          </w:p>
        </w:tc>
        <w:tc>
          <w:tcPr>
            <w:tcW w:w="3891" w:type="dxa"/>
            <w:shd w:val="clear" w:color="auto" w:fill="auto"/>
            <w:vAlign w:val="center"/>
          </w:tcPr>
          <w:p w14:paraId="62792E3E">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val="en-US" w:eastAsia="zh-CN"/>
              </w:rPr>
              <w:t>40</w:t>
            </w:r>
            <w:r>
              <w:rPr>
                <w:rFonts w:hint="eastAsia" w:ascii="仿宋_GB2312" w:eastAsia="仿宋_GB2312" w:cs="仿宋"/>
              </w:rPr>
              <w:t>例患者，其中痊愈</w:t>
            </w:r>
            <w:r>
              <w:rPr>
                <w:rFonts w:hint="eastAsia" w:ascii="仿宋_GB2312" w:eastAsia="仿宋_GB2312" w:cs="仿宋"/>
                <w:lang w:val="en-US" w:eastAsia="zh-CN"/>
              </w:rPr>
              <w:t>25</w:t>
            </w:r>
            <w:r>
              <w:rPr>
                <w:rFonts w:hint="eastAsia" w:ascii="仿宋_GB2312" w:eastAsia="仿宋_GB2312" w:cs="仿宋"/>
              </w:rPr>
              <w:t>例，显效</w:t>
            </w:r>
            <w:r>
              <w:rPr>
                <w:rFonts w:hint="eastAsia" w:ascii="仿宋_GB2312" w:eastAsia="仿宋_GB2312" w:cs="仿宋"/>
                <w:lang w:val="en-US" w:eastAsia="zh-CN"/>
              </w:rPr>
              <w:t>6</w:t>
            </w:r>
            <w:r>
              <w:rPr>
                <w:rFonts w:hint="eastAsia" w:ascii="仿宋_GB2312" w:eastAsia="仿宋_GB2312" w:cs="仿宋"/>
              </w:rPr>
              <w:t>例，有效</w:t>
            </w:r>
            <w:r>
              <w:rPr>
                <w:rFonts w:hint="eastAsia" w:ascii="仿宋_GB2312" w:eastAsia="仿宋_GB2312" w:cs="仿宋"/>
                <w:lang w:val="en-US" w:eastAsia="zh-CN"/>
              </w:rPr>
              <w:t>3</w:t>
            </w:r>
            <w:r>
              <w:rPr>
                <w:rFonts w:hint="eastAsia" w:ascii="仿宋_GB2312" w:eastAsia="仿宋_GB2312" w:cs="仿宋"/>
              </w:rPr>
              <w:t>例，无效</w:t>
            </w:r>
            <w:r>
              <w:rPr>
                <w:rFonts w:hint="eastAsia" w:ascii="仿宋_GB2312" w:eastAsia="仿宋_GB2312" w:cs="仿宋"/>
                <w:lang w:val="en-US" w:eastAsia="zh-CN"/>
              </w:rPr>
              <w:t>6</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85.0</w:t>
            </w:r>
            <w:r>
              <w:rPr>
                <w:rFonts w:hint="eastAsia" w:ascii="仿宋_GB2312" w:eastAsia="仿宋_GB2312" w:cs="仿宋"/>
              </w:rPr>
              <w:t>%</w:t>
            </w:r>
          </w:p>
        </w:tc>
      </w:tr>
      <w:tr w14:paraId="74A4C9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shd w:val="clear" w:color="auto" w:fill="auto"/>
            <w:vAlign w:val="center"/>
          </w:tcPr>
          <w:p w14:paraId="674F3E78">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p>
        </w:tc>
        <w:tc>
          <w:tcPr>
            <w:tcW w:w="980" w:type="dxa"/>
            <w:shd w:val="clear" w:color="auto" w:fill="auto"/>
            <w:vAlign w:val="center"/>
          </w:tcPr>
          <w:p w14:paraId="296447C8">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2023</w:t>
            </w:r>
          </w:p>
        </w:tc>
        <w:tc>
          <w:tcPr>
            <w:tcW w:w="1899" w:type="dxa"/>
            <w:shd w:val="clear" w:color="auto" w:fill="auto"/>
            <w:vAlign w:val="center"/>
          </w:tcPr>
          <w:p w14:paraId="255AD868">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4D9338C2">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75</w:t>
            </w:r>
          </w:p>
        </w:tc>
        <w:tc>
          <w:tcPr>
            <w:tcW w:w="3891" w:type="dxa"/>
            <w:shd w:val="clear" w:color="auto" w:fill="auto"/>
            <w:vAlign w:val="center"/>
          </w:tcPr>
          <w:p w14:paraId="71047A2C">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val="en-US" w:eastAsia="zh-CN"/>
              </w:rPr>
              <w:t>75</w:t>
            </w:r>
            <w:r>
              <w:rPr>
                <w:rFonts w:hint="eastAsia" w:ascii="仿宋_GB2312" w:eastAsia="仿宋_GB2312" w:cs="仿宋"/>
              </w:rPr>
              <w:t>例患者，其中痊愈</w:t>
            </w:r>
            <w:r>
              <w:rPr>
                <w:rFonts w:hint="eastAsia" w:ascii="仿宋_GB2312" w:eastAsia="仿宋_GB2312" w:cs="仿宋"/>
                <w:lang w:val="en-US" w:eastAsia="zh-CN"/>
              </w:rPr>
              <w:t>40</w:t>
            </w:r>
            <w:r>
              <w:rPr>
                <w:rFonts w:hint="eastAsia" w:ascii="仿宋_GB2312" w:eastAsia="仿宋_GB2312" w:cs="仿宋"/>
              </w:rPr>
              <w:t>例，显效</w:t>
            </w:r>
            <w:r>
              <w:rPr>
                <w:rFonts w:hint="eastAsia" w:ascii="仿宋_GB2312" w:eastAsia="仿宋_GB2312" w:cs="仿宋"/>
                <w:lang w:val="en-US" w:eastAsia="zh-CN"/>
              </w:rPr>
              <w:t>18</w:t>
            </w:r>
            <w:r>
              <w:rPr>
                <w:rFonts w:hint="eastAsia" w:ascii="仿宋_GB2312" w:eastAsia="仿宋_GB2312" w:cs="仿宋"/>
              </w:rPr>
              <w:t>例，有效</w:t>
            </w:r>
            <w:r>
              <w:rPr>
                <w:rFonts w:hint="eastAsia" w:ascii="仿宋_GB2312" w:eastAsia="仿宋_GB2312" w:cs="仿宋"/>
                <w:lang w:val="en-US" w:eastAsia="zh-CN"/>
              </w:rPr>
              <w:t>6</w:t>
            </w:r>
            <w:r>
              <w:rPr>
                <w:rFonts w:hint="eastAsia" w:ascii="仿宋_GB2312" w:eastAsia="仿宋_GB2312" w:cs="仿宋"/>
              </w:rPr>
              <w:t>例，无效</w:t>
            </w:r>
            <w:r>
              <w:rPr>
                <w:rFonts w:hint="eastAsia" w:ascii="仿宋_GB2312" w:eastAsia="仿宋_GB2312" w:cs="仿宋"/>
                <w:lang w:val="en-US" w:eastAsia="zh-CN"/>
              </w:rPr>
              <w:t>11</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85.3</w:t>
            </w:r>
            <w:r>
              <w:rPr>
                <w:rFonts w:hint="eastAsia" w:ascii="仿宋_GB2312" w:eastAsia="仿宋_GB2312" w:cs="仿宋"/>
              </w:rPr>
              <w:t>%</w:t>
            </w:r>
          </w:p>
        </w:tc>
      </w:tr>
      <w:tr w14:paraId="7FC75D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shd w:val="clear" w:color="auto" w:fill="auto"/>
            <w:vAlign w:val="center"/>
          </w:tcPr>
          <w:p w14:paraId="5D639052">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p>
        </w:tc>
        <w:tc>
          <w:tcPr>
            <w:tcW w:w="980" w:type="dxa"/>
            <w:shd w:val="clear" w:color="auto" w:fill="auto"/>
            <w:vAlign w:val="center"/>
          </w:tcPr>
          <w:p w14:paraId="3E70CE38">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2024</w:t>
            </w:r>
          </w:p>
        </w:tc>
        <w:tc>
          <w:tcPr>
            <w:tcW w:w="1899" w:type="dxa"/>
            <w:shd w:val="clear" w:color="auto" w:fill="auto"/>
            <w:vAlign w:val="center"/>
          </w:tcPr>
          <w:p w14:paraId="709AFF32">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36B1422E">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97</w:t>
            </w:r>
          </w:p>
        </w:tc>
        <w:tc>
          <w:tcPr>
            <w:tcW w:w="3891" w:type="dxa"/>
            <w:shd w:val="clear" w:color="auto" w:fill="auto"/>
            <w:vAlign w:val="center"/>
          </w:tcPr>
          <w:p w14:paraId="39FADE69">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val="en-US" w:eastAsia="zh-CN"/>
              </w:rPr>
              <w:t>97</w:t>
            </w:r>
            <w:r>
              <w:rPr>
                <w:rFonts w:hint="eastAsia" w:ascii="仿宋_GB2312" w:eastAsia="仿宋_GB2312" w:cs="仿宋"/>
              </w:rPr>
              <w:t>例患者，其中痊愈</w:t>
            </w:r>
            <w:r>
              <w:rPr>
                <w:rFonts w:hint="eastAsia" w:ascii="仿宋_GB2312" w:eastAsia="仿宋_GB2312" w:cs="仿宋"/>
                <w:lang w:val="en-US" w:eastAsia="zh-CN"/>
              </w:rPr>
              <w:t>60</w:t>
            </w:r>
            <w:r>
              <w:rPr>
                <w:rFonts w:hint="eastAsia" w:ascii="仿宋_GB2312" w:eastAsia="仿宋_GB2312" w:cs="仿宋"/>
              </w:rPr>
              <w:t>例，显效</w:t>
            </w:r>
            <w:r>
              <w:rPr>
                <w:rFonts w:hint="eastAsia" w:ascii="仿宋_GB2312" w:eastAsia="仿宋_GB2312" w:cs="仿宋"/>
                <w:lang w:val="en-US" w:eastAsia="zh-CN"/>
              </w:rPr>
              <w:t>19</w:t>
            </w:r>
            <w:r>
              <w:rPr>
                <w:rFonts w:hint="eastAsia" w:ascii="仿宋_GB2312" w:eastAsia="仿宋_GB2312" w:cs="仿宋"/>
              </w:rPr>
              <w:t>例，有效</w:t>
            </w:r>
            <w:r>
              <w:rPr>
                <w:rFonts w:hint="eastAsia" w:ascii="仿宋_GB2312" w:eastAsia="仿宋_GB2312" w:cs="仿宋"/>
                <w:lang w:val="en-US" w:eastAsia="zh-CN"/>
              </w:rPr>
              <w:t>12</w:t>
            </w:r>
            <w:r>
              <w:rPr>
                <w:rFonts w:hint="eastAsia" w:ascii="仿宋_GB2312" w:eastAsia="仿宋_GB2312" w:cs="仿宋"/>
              </w:rPr>
              <w:t>例，无效</w:t>
            </w:r>
            <w:r>
              <w:rPr>
                <w:rFonts w:hint="eastAsia" w:ascii="仿宋_GB2312" w:eastAsia="仿宋_GB2312" w:cs="仿宋"/>
                <w:lang w:val="en-US" w:eastAsia="zh-CN"/>
              </w:rPr>
              <w:t>6</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93.8</w:t>
            </w:r>
            <w:r>
              <w:rPr>
                <w:rFonts w:hint="eastAsia" w:ascii="仿宋_GB2312" w:eastAsia="仿宋_GB2312" w:cs="仿宋"/>
              </w:rPr>
              <w:t>%</w:t>
            </w:r>
          </w:p>
        </w:tc>
      </w:tr>
      <w:tr w14:paraId="0832D6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shd w:val="clear" w:color="auto" w:fill="auto"/>
            <w:vAlign w:val="center"/>
          </w:tcPr>
          <w:p w14:paraId="18B4EC31">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p>
        </w:tc>
        <w:tc>
          <w:tcPr>
            <w:tcW w:w="980" w:type="dxa"/>
            <w:shd w:val="clear" w:color="auto" w:fill="auto"/>
            <w:vAlign w:val="center"/>
          </w:tcPr>
          <w:p w14:paraId="257A4504">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2025</w:t>
            </w:r>
          </w:p>
        </w:tc>
        <w:tc>
          <w:tcPr>
            <w:tcW w:w="1899" w:type="dxa"/>
            <w:shd w:val="clear" w:color="auto" w:fill="auto"/>
            <w:vAlign w:val="center"/>
          </w:tcPr>
          <w:p w14:paraId="07D1ACB9">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33978125">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176</w:t>
            </w:r>
          </w:p>
        </w:tc>
        <w:tc>
          <w:tcPr>
            <w:tcW w:w="3891" w:type="dxa"/>
            <w:shd w:val="clear" w:color="auto" w:fill="auto"/>
            <w:vAlign w:val="center"/>
          </w:tcPr>
          <w:p w14:paraId="282A5817">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val="en-US" w:eastAsia="zh-CN"/>
              </w:rPr>
              <w:t>176</w:t>
            </w:r>
            <w:r>
              <w:rPr>
                <w:rFonts w:hint="eastAsia" w:ascii="仿宋_GB2312" w:eastAsia="仿宋_GB2312" w:cs="仿宋"/>
              </w:rPr>
              <w:t>例患者，其中痊愈</w:t>
            </w:r>
            <w:r>
              <w:rPr>
                <w:rFonts w:hint="eastAsia" w:ascii="仿宋_GB2312" w:eastAsia="仿宋_GB2312" w:cs="仿宋"/>
                <w:lang w:val="en-US" w:eastAsia="zh-CN"/>
              </w:rPr>
              <w:t>113</w:t>
            </w:r>
            <w:r>
              <w:rPr>
                <w:rFonts w:hint="eastAsia" w:ascii="仿宋_GB2312" w:eastAsia="仿宋_GB2312" w:cs="仿宋"/>
              </w:rPr>
              <w:t>例，显效</w:t>
            </w:r>
            <w:r>
              <w:rPr>
                <w:rFonts w:hint="eastAsia" w:ascii="仿宋_GB2312" w:eastAsia="仿宋_GB2312" w:cs="仿宋"/>
                <w:lang w:val="en-US" w:eastAsia="zh-CN"/>
              </w:rPr>
              <w:t>33</w:t>
            </w:r>
            <w:r>
              <w:rPr>
                <w:rFonts w:hint="eastAsia" w:ascii="仿宋_GB2312" w:eastAsia="仿宋_GB2312" w:cs="仿宋"/>
              </w:rPr>
              <w:t>例，有效</w:t>
            </w:r>
            <w:r>
              <w:rPr>
                <w:rFonts w:hint="eastAsia" w:ascii="仿宋_GB2312" w:eastAsia="仿宋_GB2312" w:cs="仿宋"/>
                <w:lang w:val="en-US" w:eastAsia="zh-CN"/>
              </w:rPr>
              <w:t>16</w:t>
            </w:r>
            <w:r>
              <w:rPr>
                <w:rFonts w:hint="eastAsia" w:ascii="仿宋_GB2312" w:eastAsia="仿宋_GB2312" w:cs="仿宋"/>
              </w:rPr>
              <w:t>例，无效</w:t>
            </w:r>
            <w:r>
              <w:rPr>
                <w:rFonts w:hint="eastAsia" w:ascii="仿宋_GB2312" w:eastAsia="仿宋_GB2312" w:cs="仿宋"/>
                <w:lang w:val="en-US" w:eastAsia="zh-CN"/>
              </w:rPr>
              <w:t>14</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92.1</w:t>
            </w:r>
            <w:r>
              <w:rPr>
                <w:rFonts w:hint="eastAsia" w:ascii="仿宋_GB2312" w:eastAsia="仿宋_GB2312" w:cs="仿宋"/>
              </w:rPr>
              <w:t>%</w:t>
            </w:r>
          </w:p>
        </w:tc>
      </w:tr>
      <w:tr w14:paraId="6B6875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restart"/>
            <w:shd w:val="clear" w:color="auto" w:fill="auto"/>
            <w:vAlign w:val="center"/>
          </w:tcPr>
          <w:p w14:paraId="323D5BA6">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default" w:ascii="仿宋_GB2312" w:hAnsi="黑体" w:eastAsia="仿宋_GB2312" w:cs="仿宋"/>
                <w:bCs/>
                <w:sz w:val="24"/>
                <w:szCs w:val="24"/>
                <w:lang w:val="en-US" w:eastAsia="zh-CN" w:bidi="ar-SA"/>
              </w:rPr>
            </w:pPr>
            <w:r>
              <w:rPr>
                <w:rFonts w:hint="eastAsia" w:ascii="仿宋_GB2312" w:eastAsia="仿宋_GB2312" w:cs="仿宋"/>
                <w:bCs/>
                <w:sz w:val="24"/>
                <w:szCs w:val="24"/>
                <w:lang w:val="en-US" w:eastAsia="zh-CN" w:bidi="ar-SA"/>
              </w:rPr>
              <w:t>D</w:t>
            </w:r>
          </w:p>
        </w:tc>
        <w:tc>
          <w:tcPr>
            <w:tcW w:w="980" w:type="dxa"/>
            <w:shd w:val="clear" w:color="auto" w:fill="auto"/>
            <w:vAlign w:val="center"/>
          </w:tcPr>
          <w:p w14:paraId="2AAB50D3">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2022</w:t>
            </w:r>
          </w:p>
        </w:tc>
        <w:tc>
          <w:tcPr>
            <w:tcW w:w="1899" w:type="dxa"/>
            <w:shd w:val="clear" w:color="auto" w:fill="auto"/>
            <w:vAlign w:val="center"/>
          </w:tcPr>
          <w:p w14:paraId="5A9F15B7">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60446C88">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56</w:t>
            </w:r>
          </w:p>
        </w:tc>
        <w:tc>
          <w:tcPr>
            <w:tcW w:w="3891" w:type="dxa"/>
            <w:shd w:val="clear" w:color="auto" w:fill="auto"/>
            <w:vAlign w:val="center"/>
          </w:tcPr>
          <w:p w14:paraId="796F1233">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val="en-US" w:eastAsia="zh-CN"/>
              </w:rPr>
              <w:t>56</w:t>
            </w:r>
            <w:r>
              <w:rPr>
                <w:rFonts w:hint="eastAsia" w:ascii="仿宋_GB2312" w:eastAsia="仿宋_GB2312" w:cs="仿宋"/>
              </w:rPr>
              <w:t>例患者，其中痊愈</w:t>
            </w:r>
            <w:r>
              <w:rPr>
                <w:rFonts w:hint="eastAsia" w:ascii="仿宋_GB2312" w:eastAsia="仿宋_GB2312" w:cs="仿宋"/>
                <w:lang w:val="en-US" w:eastAsia="zh-CN"/>
              </w:rPr>
              <w:t>39</w:t>
            </w:r>
            <w:r>
              <w:rPr>
                <w:rFonts w:hint="eastAsia" w:ascii="仿宋_GB2312" w:eastAsia="仿宋_GB2312" w:cs="仿宋"/>
              </w:rPr>
              <w:t>例，显效</w:t>
            </w:r>
            <w:r>
              <w:rPr>
                <w:rFonts w:hint="eastAsia" w:ascii="仿宋_GB2312" w:eastAsia="仿宋_GB2312" w:cs="仿宋"/>
                <w:lang w:val="en-US" w:eastAsia="zh-CN"/>
              </w:rPr>
              <w:t>8</w:t>
            </w:r>
            <w:r>
              <w:rPr>
                <w:rFonts w:hint="eastAsia" w:ascii="仿宋_GB2312" w:eastAsia="仿宋_GB2312" w:cs="仿宋"/>
              </w:rPr>
              <w:t>例，有效</w:t>
            </w:r>
            <w:r>
              <w:rPr>
                <w:rFonts w:hint="eastAsia" w:ascii="仿宋_GB2312" w:eastAsia="仿宋_GB2312" w:cs="仿宋"/>
                <w:lang w:val="en-US" w:eastAsia="zh-CN"/>
              </w:rPr>
              <w:t>2</w:t>
            </w:r>
            <w:r>
              <w:rPr>
                <w:rFonts w:hint="eastAsia" w:ascii="仿宋_GB2312" w:eastAsia="仿宋_GB2312" w:cs="仿宋"/>
              </w:rPr>
              <w:t>例，无效</w:t>
            </w:r>
            <w:r>
              <w:rPr>
                <w:rFonts w:hint="eastAsia" w:ascii="仿宋_GB2312" w:eastAsia="仿宋_GB2312" w:cs="仿宋"/>
                <w:lang w:val="en-US" w:eastAsia="zh-CN"/>
              </w:rPr>
              <w:t>7</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87.5</w:t>
            </w:r>
            <w:r>
              <w:rPr>
                <w:rFonts w:hint="eastAsia" w:ascii="仿宋_GB2312" w:eastAsia="仿宋_GB2312" w:cs="仿宋"/>
              </w:rPr>
              <w:t>%</w:t>
            </w:r>
          </w:p>
        </w:tc>
      </w:tr>
      <w:tr w14:paraId="3295E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shd w:val="clear" w:color="auto" w:fill="auto"/>
            <w:vAlign w:val="center"/>
          </w:tcPr>
          <w:p w14:paraId="2F7DC478">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p>
        </w:tc>
        <w:tc>
          <w:tcPr>
            <w:tcW w:w="980" w:type="dxa"/>
            <w:shd w:val="clear" w:color="auto" w:fill="auto"/>
            <w:vAlign w:val="center"/>
          </w:tcPr>
          <w:p w14:paraId="6FD6C217">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2023</w:t>
            </w:r>
          </w:p>
        </w:tc>
        <w:tc>
          <w:tcPr>
            <w:tcW w:w="1899" w:type="dxa"/>
            <w:shd w:val="clear" w:color="auto" w:fill="auto"/>
            <w:vAlign w:val="center"/>
          </w:tcPr>
          <w:p w14:paraId="4F2B02EA">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0E6B0A98">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79</w:t>
            </w:r>
          </w:p>
        </w:tc>
        <w:tc>
          <w:tcPr>
            <w:tcW w:w="3891" w:type="dxa"/>
            <w:shd w:val="clear" w:color="auto" w:fill="auto"/>
            <w:vAlign w:val="center"/>
          </w:tcPr>
          <w:p w14:paraId="73BD873A">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val="en-US" w:eastAsia="zh-CN"/>
              </w:rPr>
              <w:t>79</w:t>
            </w:r>
            <w:r>
              <w:rPr>
                <w:rFonts w:hint="eastAsia" w:ascii="仿宋_GB2312" w:eastAsia="仿宋_GB2312" w:cs="仿宋"/>
              </w:rPr>
              <w:t>例患者，其中痊愈</w:t>
            </w:r>
            <w:r>
              <w:rPr>
                <w:rFonts w:hint="eastAsia" w:ascii="仿宋_GB2312" w:eastAsia="仿宋_GB2312" w:cs="仿宋"/>
                <w:lang w:val="en-US" w:eastAsia="zh-CN"/>
              </w:rPr>
              <w:t>56</w:t>
            </w:r>
            <w:r>
              <w:rPr>
                <w:rFonts w:hint="eastAsia" w:ascii="仿宋_GB2312" w:eastAsia="仿宋_GB2312" w:cs="仿宋"/>
              </w:rPr>
              <w:t>例，显效</w:t>
            </w:r>
            <w:r>
              <w:rPr>
                <w:rFonts w:hint="eastAsia" w:ascii="仿宋_GB2312" w:eastAsia="仿宋_GB2312" w:cs="仿宋"/>
                <w:lang w:val="en-US" w:eastAsia="zh-CN"/>
              </w:rPr>
              <w:t>12</w:t>
            </w:r>
            <w:r>
              <w:rPr>
                <w:rFonts w:hint="eastAsia" w:ascii="仿宋_GB2312" w:eastAsia="仿宋_GB2312" w:cs="仿宋"/>
              </w:rPr>
              <w:t>例，有效</w:t>
            </w:r>
            <w:r>
              <w:rPr>
                <w:rFonts w:hint="eastAsia" w:ascii="仿宋_GB2312" w:eastAsia="仿宋_GB2312" w:cs="仿宋"/>
                <w:lang w:val="en-US" w:eastAsia="zh-CN"/>
              </w:rPr>
              <w:t>3</w:t>
            </w:r>
            <w:r>
              <w:rPr>
                <w:rFonts w:hint="eastAsia" w:ascii="仿宋_GB2312" w:eastAsia="仿宋_GB2312" w:cs="仿宋"/>
              </w:rPr>
              <w:t>例，无效</w:t>
            </w:r>
            <w:r>
              <w:rPr>
                <w:rFonts w:hint="eastAsia" w:ascii="仿宋_GB2312" w:eastAsia="仿宋_GB2312" w:cs="仿宋"/>
                <w:lang w:val="en-US" w:eastAsia="zh-CN"/>
              </w:rPr>
              <w:t>8</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89.8</w:t>
            </w:r>
            <w:r>
              <w:rPr>
                <w:rFonts w:hint="eastAsia" w:ascii="仿宋_GB2312" w:eastAsia="仿宋_GB2312" w:cs="仿宋"/>
              </w:rPr>
              <w:t>%</w:t>
            </w:r>
          </w:p>
        </w:tc>
      </w:tr>
      <w:tr w14:paraId="213C46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shd w:val="clear" w:color="auto" w:fill="auto"/>
            <w:vAlign w:val="center"/>
          </w:tcPr>
          <w:p w14:paraId="61E1D5C5">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p>
        </w:tc>
        <w:tc>
          <w:tcPr>
            <w:tcW w:w="980" w:type="dxa"/>
            <w:shd w:val="clear" w:color="auto" w:fill="auto"/>
            <w:vAlign w:val="center"/>
          </w:tcPr>
          <w:p w14:paraId="6DB5F9CF">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2024</w:t>
            </w:r>
          </w:p>
        </w:tc>
        <w:tc>
          <w:tcPr>
            <w:tcW w:w="1899" w:type="dxa"/>
            <w:shd w:val="clear" w:color="auto" w:fill="auto"/>
            <w:vAlign w:val="center"/>
          </w:tcPr>
          <w:p w14:paraId="504CC9C3">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3586E69D">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105</w:t>
            </w:r>
          </w:p>
        </w:tc>
        <w:tc>
          <w:tcPr>
            <w:tcW w:w="3891" w:type="dxa"/>
            <w:shd w:val="clear" w:color="auto" w:fill="auto"/>
            <w:vAlign w:val="center"/>
          </w:tcPr>
          <w:p w14:paraId="3A424AD1">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val="en-US" w:eastAsia="zh-CN"/>
              </w:rPr>
              <w:t>105</w:t>
            </w:r>
            <w:r>
              <w:rPr>
                <w:rFonts w:hint="eastAsia" w:ascii="仿宋_GB2312" w:eastAsia="仿宋_GB2312" w:cs="仿宋"/>
              </w:rPr>
              <w:t>例患者，其中痊愈</w:t>
            </w:r>
            <w:r>
              <w:rPr>
                <w:rFonts w:hint="eastAsia" w:ascii="仿宋_GB2312" w:eastAsia="仿宋_GB2312" w:cs="仿宋"/>
                <w:lang w:val="en-US" w:eastAsia="zh-CN"/>
              </w:rPr>
              <w:t>67</w:t>
            </w:r>
            <w:r>
              <w:rPr>
                <w:rFonts w:hint="eastAsia" w:ascii="仿宋_GB2312" w:eastAsia="仿宋_GB2312" w:cs="仿宋"/>
              </w:rPr>
              <w:t>例，显效</w:t>
            </w:r>
            <w:r>
              <w:rPr>
                <w:rFonts w:hint="eastAsia" w:ascii="仿宋_GB2312" w:eastAsia="仿宋_GB2312" w:cs="仿宋"/>
                <w:lang w:val="en-US" w:eastAsia="zh-CN"/>
              </w:rPr>
              <w:t>16</w:t>
            </w:r>
            <w:r>
              <w:rPr>
                <w:rFonts w:hint="eastAsia" w:ascii="仿宋_GB2312" w:eastAsia="仿宋_GB2312" w:cs="仿宋"/>
              </w:rPr>
              <w:t>例，有效</w:t>
            </w:r>
            <w:r>
              <w:rPr>
                <w:rFonts w:hint="eastAsia" w:ascii="仿宋_GB2312" w:eastAsia="仿宋_GB2312" w:cs="仿宋"/>
                <w:lang w:val="en-US" w:eastAsia="zh-CN"/>
              </w:rPr>
              <w:t>12</w:t>
            </w:r>
            <w:r>
              <w:rPr>
                <w:rFonts w:hint="eastAsia" w:ascii="仿宋_GB2312" w:eastAsia="仿宋_GB2312" w:cs="仿宋"/>
              </w:rPr>
              <w:t>例，无效</w:t>
            </w:r>
            <w:r>
              <w:rPr>
                <w:rFonts w:hint="eastAsia" w:ascii="仿宋_GB2312" w:eastAsia="仿宋_GB2312" w:cs="仿宋"/>
                <w:lang w:val="en-US" w:eastAsia="zh-CN"/>
              </w:rPr>
              <w:t>10</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90.5</w:t>
            </w:r>
            <w:r>
              <w:rPr>
                <w:rFonts w:hint="eastAsia" w:ascii="仿宋_GB2312" w:eastAsia="仿宋_GB2312" w:cs="仿宋"/>
              </w:rPr>
              <w:t>%</w:t>
            </w:r>
          </w:p>
        </w:tc>
      </w:tr>
      <w:tr w14:paraId="4DE361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shd w:val="clear" w:color="auto" w:fill="auto"/>
            <w:vAlign w:val="center"/>
          </w:tcPr>
          <w:p w14:paraId="47AB4EF7">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p>
        </w:tc>
        <w:tc>
          <w:tcPr>
            <w:tcW w:w="980" w:type="dxa"/>
            <w:shd w:val="clear" w:color="auto" w:fill="auto"/>
            <w:vAlign w:val="center"/>
          </w:tcPr>
          <w:p w14:paraId="6AA1AD09">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2025</w:t>
            </w:r>
          </w:p>
        </w:tc>
        <w:tc>
          <w:tcPr>
            <w:tcW w:w="1899" w:type="dxa"/>
            <w:shd w:val="clear" w:color="auto" w:fill="auto"/>
            <w:vAlign w:val="center"/>
          </w:tcPr>
          <w:p w14:paraId="4B3F98F7">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3E306C84">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186</w:t>
            </w:r>
          </w:p>
        </w:tc>
        <w:tc>
          <w:tcPr>
            <w:tcW w:w="3891" w:type="dxa"/>
            <w:shd w:val="clear" w:color="auto" w:fill="auto"/>
            <w:vAlign w:val="center"/>
          </w:tcPr>
          <w:p w14:paraId="72DAC2F8">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val="en-US" w:eastAsia="zh-CN"/>
              </w:rPr>
              <w:t>186</w:t>
            </w:r>
            <w:r>
              <w:rPr>
                <w:rFonts w:hint="eastAsia" w:ascii="仿宋_GB2312" w:eastAsia="仿宋_GB2312" w:cs="仿宋"/>
              </w:rPr>
              <w:t>例患者，其中痊愈</w:t>
            </w:r>
            <w:r>
              <w:rPr>
                <w:rFonts w:hint="eastAsia" w:ascii="仿宋_GB2312" w:eastAsia="仿宋_GB2312" w:cs="仿宋"/>
                <w:lang w:val="en-US" w:eastAsia="zh-CN"/>
              </w:rPr>
              <w:t>143</w:t>
            </w:r>
            <w:r>
              <w:rPr>
                <w:rFonts w:hint="eastAsia" w:ascii="仿宋_GB2312" w:eastAsia="仿宋_GB2312" w:cs="仿宋"/>
              </w:rPr>
              <w:t>例，显效</w:t>
            </w:r>
            <w:r>
              <w:rPr>
                <w:rFonts w:hint="eastAsia" w:ascii="仿宋_GB2312" w:eastAsia="仿宋_GB2312" w:cs="仿宋"/>
                <w:lang w:val="en-US" w:eastAsia="zh-CN"/>
              </w:rPr>
              <w:t>20</w:t>
            </w:r>
            <w:r>
              <w:rPr>
                <w:rFonts w:hint="eastAsia" w:ascii="仿宋_GB2312" w:eastAsia="仿宋_GB2312" w:cs="仿宋"/>
              </w:rPr>
              <w:t>例，有效</w:t>
            </w:r>
            <w:r>
              <w:rPr>
                <w:rFonts w:hint="eastAsia" w:ascii="仿宋_GB2312" w:eastAsia="仿宋_GB2312" w:cs="仿宋"/>
                <w:lang w:val="en-US" w:eastAsia="zh-CN"/>
              </w:rPr>
              <w:t>11</w:t>
            </w:r>
            <w:r>
              <w:rPr>
                <w:rFonts w:hint="eastAsia" w:ascii="仿宋_GB2312" w:eastAsia="仿宋_GB2312" w:cs="仿宋"/>
              </w:rPr>
              <w:t>例，无效</w:t>
            </w:r>
            <w:r>
              <w:rPr>
                <w:rFonts w:hint="eastAsia" w:ascii="仿宋_GB2312" w:eastAsia="仿宋_GB2312" w:cs="仿宋"/>
                <w:lang w:val="en-US" w:eastAsia="zh-CN"/>
              </w:rPr>
              <w:t>12</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93.5</w:t>
            </w:r>
            <w:r>
              <w:rPr>
                <w:rFonts w:hint="eastAsia" w:ascii="仿宋_GB2312" w:eastAsia="仿宋_GB2312" w:cs="仿宋"/>
              </w:rPr>
              <w:t>%</w:t>
            </w:r>
          </w:p>
        </w:tc>
      </w:tr>
      <w:tr w14:paraId="1C4085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restart"/>
            <w:shd w:val="clear" w:color="auto" w:fill="auto"/>
            <w:vAlign w:val="center"/>
          </w:tcPr>
          <w:p w14:paraId="35082483">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default" w:ascii="仿宋_GB2312" w:hAnsi="黑体" w:eastAsia="仿宋_GB2312" w:cs="仿宋"/>
                <w:bCs/>
                <w:sz w:val="24"/>
                <w:szCs w:val="24"/>
                <w:lang w:val="en-US" w:eastAsia="zh-CN" w:bidi="ar-SA"/>
              </w:rPr>
            </w:pPr>
            <w:r>
              <w:rPr>
                <w:rFonts w:hint="eastAsia" w:ascii="仿宋_GB2312" w:eastAsia="仿宋_GB2312" w:cs="仿宋"/>
                <w:bCs/>
                <w:sz w:val="24"/>
                <w:szCs w:val="24"/>
                <w:lang w:val="en-US" w:eastAsia="zh-CN" w:bidi="ar-SA"/>
              </w:rPr>
              <w:t>E</w:t>
            </w:r>
          </w:p>
        </w:tc>
        <w:tc>
          <w:tcPr>
            <w:tcW w:w="980" w:type="dxa"/>
            <w:shd w:val="clear" w:color="auto" w:fill="auto"/>
            <w:vAlign w:val="center"/>
          </w:tcPr>
          <w:p w14:paraId="61A7692C">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2022</w:t>
            </w:r>
          </w:p>
        </w:tc>
        <w:tc>
          <w:tcPr>
            <w:tcW w:w="1899" w:type="dxa"/>
            <w:shd w:val="clear" w:color="auto" w:fill="auto"/>
            <w:vAlign w:val="center"/>
          </w:tcPr>
          <w:p w14:paraId="61C3CE60">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76D1E8AB">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31</w:t>
            </w:r>
          </w:p>
        </w:tc>
        <w:tc>
          <w:tcPr>
            <w:tcW w:w="3891" w:type="dxa"/>
            <w:shd w:val="clear" w:color="auto" w:fill="auto"/>
            <w:vAlign w:val="center"/>
          </w:tcPr>
          <w:p w14:paraId="6749C5C6">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eastAsia="zh-CN"/>
              </w:rPr>
              <w:t>31</w:t>
            </w:r>
            <w:r>
              <w:rPr>
                <w:rFonts w:hint="eastAsia" w:ascii="仿宋_GB2312" w:eastAsia="仿宋_GB2312" w:cs="仿宋"/>
              </w:rPr>
              <w:t>例患者，其中痊愈</w:t>
            </w:r>
            <w:r>
              <w:rPr>
                <w:rFonts w:hint="eastAsia" w:ascii="仿宋_GB2312" w:eastAsia="仿宋_GB2312" w:cs="仿宋"/>
                <w:lang w:val="en-US" w:eastAsia="zh-CN"/>
              </w:rPr>
              <w:t>23</w:t>
            </w:r>
            <w:r>
              <w:rPr>
                <w:rFonts w:hint="eastAsia" w:ascii="仿宋_GB2312" w:eastAsia="仿宋_GB2312" w:cs="仿宋"/>
              </w:rPr>
              <w:t>例，显效</w:t>
            </w:r>
            <w:r>
              <w:rPr>
                <w:rFonts w:hint="eastAsia" w:ascii="仿宋_GB2312" w:eastAsia="仿宋_GB2312" w:cs="仿宋"/>
                <w:lang w:eastAsia="zh-CN"/>
              </w:rPr>
              <w:t>2</w:t>
            </w:r>
            <w:r>
              <w:rPr>
                <w:rFonts w:hint="eastAsia" w:ascii="仿宋_GB2312" w:eastAsia="仿宋_GB2312" w:cs="仿宋"/>
              </w:rPr>
              <w:t>例，有效</w:t>
            </w:r>
            <w:r>
              <w:rPr>
                <w:rFonts w:hint="eastAsia" w:ascii="仿宋_GB2312" w:eastAsia="仿宋_GB2312" w:cs="仿宋"/>
                <w:lang w:eastAsia="zh-CN"/>
              </w:rPr>
              <w:t>2</w:t>
            </w:r>
            <w:r>
              <w:rPr>
                <w:rFonts w:hint="eastAsia" w:ascii="仿宋_GB2312" w:eastAsia="仿宋_GB2312" w:cs="仿宋"/>
              </w:rPr>
              <w:t>例，无效</w:t>
            </w:r>
            <w:r>
              <w:rPr>
                <w:rFonts w:hint="eastAsia" w:ascii="仿宋_GB2312" w:eastAsia="仿宋_GB2312" w:cs="仿宋"/>
                <w:lang w:eastAsia="zh-CN"/>
              </w:rPr>
              <w:t>4</w:t>
            </w:r>
            <w:r>
              <w:rPr>
                <w:rFonts w:hint="eastAsia" w:ascii="仿宋_GB2312" w:eastAsia="仿宋_GB2312" w:cs="仿宋"/>
              </w:rPr>
              <w:t>例，总有效率</w:t>
            </w:r>
            <w:r>
              <w:rPr>
                <w:rFonts w:hint="eastAsia" w:ascii="仿宋_GB2312" w:eastAsia="仿宋_GB2312" w:cs="仿宋"/>
                <w:lang w:eastAsia="zh-CN"/>
              </w:rPr>
              <w:t>87.1</w:t>
            </w:r>
            <w:r>
              <w:rPr>
                <w:rFonts w:hint="eastAsia" w:ascii="仿宋_GB2312" w:eastAsia="仿宋_GB2312" w:cs="仿宋"/>
              </w:rPr>
              <w:t>%</w:t>
            </w:r>
          </w:p>
        </w:tc>
      </w:tr>
      <w:tr w14:paraId="0F831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shd w:val="clear" w:color="auto" w:fill="auto"/>
            <w:vAlign w:val="center"/>
          </w:tcPr>
          <w:p w14:paraId="7433255A">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p>
        </w:tc>
        <w:tc>
          <w:tcPr>
            <w:tcW w:w="980" w:type="dxa"/>
            <w:shd w:val="clear" w:color="auto" w:fill="auto"/>
            <w:vAlign w:val="center"/>
          </w:tcPr>
          <w:p w14:paraId="0A5E48A6">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2023</w:t>
            </w:r>
          </w:p>
        </w:tc>
        <w:tc>
          <w:tcPr>
            <w:tcW w:w="1899" w:type="dxa"/>
            <w:shd w:val="clear" w:color="auto" w:fill="auto"/>
            <w:vAlign w:val="center"/>
          </w:tcPr>
          <w:p w14:paraId="20575EBA">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4614B074">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58</w:t>
            </w:r>
          </w:p>
        </w:tc>
        <w:tc>
          <w:tcPr>
            <w:tcW w:w="3891" w:type="dxa"/>
            <w:shd w:val="clear" w:color="auto" w:fill="auto"/>
            <w:vAlign w:val="center"/>
          </w:tcPr>
          <w:p w14:paraId="7FDAD2D7">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eastAsia="zh-CN"/>
              </w:rPr>
              <w:t>58</w:t>
            </w:r>
            <w:r>
              <w:rPr>
                <w:rFonts w:hint="eastAsia" w:ascii="仿宋_GB2312" w:eastAsia="仿宋_GB2312" w:cs="仿宋"/>
              </w:rPr>
              <w:t>例患者，其中痊愈</w:t>
            </w:r>
            <w:r>
              <w:rPr>
                <w:rFonts w:hint="eastAsia" w:ascii="仿宋_GB2312" w:eastAsia="仿宋_GB2312" w:cs="仿宋"/>
                <w:lang w:val="en-US" w:eastAsia="zh-CN"/>
              </w:rPr>
              <w:t>32</w:t>
            </w:r>
            <w:r>
              <w:rPr>
                <w:rFonts w:hint="eastAsia" w:ascii="仿宋_GB2312" w:eastAsia="仿宋_GB2312" w:cs="仿宋"/>
              </w:rPr>
              <w:t>例，显效</w:t>
            </w:r>
            <w:r>
              <w:rPr>
                <w:rFonts w:hint="eastAsia" w:ascii="仿宋_GB2312" w:eastAsia="仿宋_GB2312" w:cs="仿宋"/>
                <w:lang w:eastAsia="zh-CN"/>
              </w:rPr>
              <w:t>8</w:t>
            </w:r>
            <w:r>
              <w:rPr>
                <w:rFonts w:hint="eastAsia" w:ascii="仿宋_GB2312" w:eastAsia="仿宋_GB2312" w:cs="仿宋"/>
              </w:rPr>
              <w:t>例，有效</w:t>
            </w:r>
            <w:r>
              <w:rPr>
                <w:rFonts w:hint="eastAsia" w:ascii="仿宋_GB2312" w:eastAsia="仿宋_GB2312" w:cs="仿宋"/>
                <w:lang w:eastAsia="zh-CN"/>
              </w:rPr>
              <w:t>10</w:t>
            </w:r>
            <w:r>
              <w:rPr>
                <w:rFonts w:hint="eastAsia" w:ascii="仿宋_GB2312" w:eastAsia="仿宋_GB2312" w:cs="仿宋"/>
              </w:rPr>
              <w:t>例，无效</w:t>
            </w:r>
            <w:r>
              <w:rPr>
                <w:rFonts w:hint="eastAsia" w:ascii="仿宋_GB2312" w:eastAsia="仿宋_GB2312" w:cs="仿宋"/>
                <w:lang w:eastAsia="zh-CN"/>
              </w:rPr>
              <w:t>2</w:t>
            </w:r>
            <w:r>
              <w:rPr>
                <w:rFonts w:hint="eastAsia" w:ascii="仿宋_GB2312" w:eastAsia="仿宋_GB2312" w:cs="仿宋"/>
              </w:rPr>
              <w:t>例，总有效率</w:t>
            </w:r>
            <w:r>
              <w:rPr>
                <w:rFonts w:hint="eastAsia" w:ascii="仿宋_GB2312" w:eastAsia="仿宋_GB2312" w:cs="仿宋"/>
                <w:lang w:eastAsia="zh-CN"/>
              </w:rPr>
              <w:t>86.2</w:t>
            </w:r>
            <w:r>
              <w:rPr>
                <w:rFonts w:hint="eastAsia" w:ascii="仿宋_GB2312" w:eastAsia="仿宋_GB2312" w:cs="仿宋"/>
              </w:rPr>
              <w:t>%</w:t>
            </w:r>
          </w:p>
        </w:tc>
      </w:tr>
      <w:tr w14:paraId="4BDC34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shd w:val="clear" w:color="auto" w:fill="auto"/>
            <w:vAlign w:val="center"/>
          </w:tcPr>
          <w:p w14:paraId="3CDE9A83">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p>
        </w:tc>
        <w:tc>
          <w:tcPr>
            <w:tcW w:w="980" w:type="dxa"/>
            <w:shd w:val="clear" w:color="auto" w:fill="auto"/>
            <w:vAlign w:val="center"/>
          </w:tcPr>
          <w:p w14:paraId="1CABC118">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2024</w:t>
            </w:r>
          </w:p>
        </w:tc>
        <w:tc>
          <w:tcPr>
            <w:tcW w:w="1899" w:type="dxa"/>
            <w:shd w:val="clear" w:color="auto" w:fill="auto"/>
            <w:vAlign w:val="center"/>
          </w:tcPr>
          <w:p w14:paraId="3144972E">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3308C58F">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82</w:t>
            </w:r>
          </w:p>
        </w:tc>
        <w:tc>
          <w:tcPr>
            <w:tcW w:w="3891" w:type="dxa"/>
            <w:shd w:val="clear" w:color="auto" w:fill="auto"/>
            <w:vAlign w:val="center"/>
          </w:tcPr>
          <w:p w14:paraId="29F5A269">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eastAsia="zh-CN"/>
              </w:rPr>
              <w:t>82</w:t>
            </w:r>
            <w:r>
              <w:rPr>
                <w:rFonts w:hint="eastAsia" w:ascii="仿宋_GB2312" w:eastAsia="仿宋_GB2312" w:cs="仿宋"/>
              </w:rPr>
              <w:t>例患者，其中痊愈</w:t>
            </w:r>
            <w:r>
              <w:rPr>
                <w:rFonts w:hint="eastAsia" w:ascii="仿宋_GB2312" w:eastAsia="仿宋_GB2312" w:cs="仿宋"/>
                <w:lang w:eastAsia="zh-CN"/>
              </w:rPr>
              <w:t>38</w:t>
            </w:r>
            <w:r>
              <w:rPr>
                <w:rFonts w:hint="eastAsia" w:ascii="仿宋_GB2312" w:eastAsia="仿宋_GB2312" w:cs="仿宋"/>
              </w:rPr>
              <w:t>例，显效</w:t>
            </w:r>
            <w:r>
              <w:rPr>
                <w:rFonts w:hint="eastAsia" w:ascii="仿宋_GB2312" w:eastAsia="仿宋_GB2312" w:cs="仿宋"/>
                <w:lang w:val="en-US" w:eastAsia="zh-CN"/>
              </w:rPr>
              <w:t>19</w:t>
            </w:r>
            <w:r>
              <w:rPr>
                <w:rFonts w:hint="eastAsia" w:ascii="仿宋_GB2312" w:eastAsia="仿宋_GB2312" w:cs="仿宋"/>
              </w:rPr>
              <w:t>例，有效</w:t>
            </w:r>
            <w:r>
              <w:rPr>
                <w:rFonts w:hint="eastAsia" w:ascii="仿宋_GB2312" w:eastAsia="仿宋_GB2312" w:cs="仿宋"/>
                <w:lang w:eastAsia="zh-CN"/>
              </w:rPr>
              <w:t>19</w:t>
            </w:r>
            <w:r>
              <w:rPr>
                <w:rFonts w:hint="eastAsia" w:ascii="仿宋_GB2312" w:eastAsia="仿宋_GB2312" w:cs="仿宋"/>
              </w:rPr>
              <w:t>例，无效</w:t>
            </w:r>
            <w:r>
              <w:rPr>
                <w:rFonts w:hint="eastAsia" w:ascii="仿宋_GB2312" w:eastAsia="仿宋_GB2312" w:cs="仿宋"/>
                <w:lang w:eastAsia="zh-CN"/>
              </w:rPr>
              <w:t>6</w:t>
            </w:r>
            <w:r>
              <w:rPr>
                <w:rFonts w:hint="eastAsia" w:ascii="仿宋_GB2312" w:eastAsia="仿宋_GB2312" w:cs="仿宋"/>
              </w:rPr>
              <w:t>例，总有效率</w:t>
            </w:r>
            <w:r>
              <w:rPr>
                <w:rFonts w:hint="eastAsia" w:ascii="仿宋_GB2312" w:eastAsia="仿宋_GB2312" w:cs="仿宋"/>
                <w:color w:val="000000" w:themeColor="text1"/>
                <w:lang w:val="en-US" w:eastAsia="zh-CN"/>
                <w14:textFill>
                  <w14:solidFill>
                    <w14:schemeClr w14:val="tx1"/>
                  </w14:solidFill>
                </w14:textFill>
              </w:rPr>
              <w:t>92.7</w:t>
            </w:r>
            <w:r>
              <w:rPr>
                <w:rFonts w:hint="eastAsia" w:ascii="仿宋_GB2312" w:eastAsia="仿宋_GB2312" w:cs="仿宋"/>
              </w:rPr>
              <w:t>%</w:t>
            </w:r>
          </w:p>
        </w:tc>
      </w:tr>
      <w:tr w14:paraId="07CF2C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7" w:hRule="atLeast"/>
          <w:jc w:val="center"/>
        </w:trPr>
        <w:tc>
          <w:tcPr>
            <w:tcW w:w="980" w:type="dxa"/>
            <w:vMerge w:val="continue"/>
            <w:shd w:val="clear" w:color="auto" w:fill="auto"/>
            <w:vAlign w:val="center"/>
          </w:tcPr>
          <w:p w14:paraId="5F152648">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p>
        </w:tc>
        <w:tc>
          <w:tcPr>
            <w:tcW w:w="980" w:type="dxa"/>
            <w:shd w:val="clear" w:color="auto" w:fill="auto"/>
            <w:vAlign w:val="center"/>
          </w:tcPr>
          <w:p w14:paraId="4B60A099">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2025</w:t>
            </w:r>
          </w:p>
        </w:tc>
        <w:tc>
          <w:tcPr>
            <w:tcW w:w="1899" w:type="dxa"/>
            <w:shd w:val="clear" w:color="auto" w:fill="auto"/>
            <w:vAlign w:val="center"/>
          </w:tcPr>
          <w:p w14:paraId="5B58BBF4">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壮医三部四针法</w:t>
            </w:r>
          </w:p>
        </w:tc>
        <w:tc>
          <w:tcPr>
            <w:tcW w:w="1300" w:type="dxa"/>
            <w:shd w:val="clear" w:color="auto" w:fill="auto"/>
            <w:vAlign w:val="center"/>
          </w:tcPr>
          <w:p w14:paraId="3073BE4F">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lang w:val="en-US" w:eastAsia="zh-CN"/>
              </w:rPr>
              <w:t>123</w:t>
            </w:r>
          </w:p>
        </w:tc>
        <w:tc>
          <w:tcPr>
            <w:tcW w:w="3891" w:type="dxa"/>
            <w:shd w:val="clear" w:color="auto" w:fill="auto"/>
            <w:vAlign w:val="center"/>
          </w:tcPr>
          <w:p w14:paraId="21FDFD9B">
            <w:pPr>
              <w:pStyle w:val="33"/>
              <w:keepNext w:val="0"/>
              <w:keepLines w:val="0"/>
              <w:widowControl w:val="0"/>
              <w:suppressLineNumbers w:val="0"/>
              <w:spacing w:before="0" w:beforeLines="0" w:beforeAutospacing="0" w:after="0" w:afterLines="0" w:afterAutospacing="0" w:line="400" w:lineRule="exact"/>
              <w:ind w:left="0" w:leftChars="0" w:right="0" w:rightChars="0" w:firstLine="0" w:firstLineChars="0"/>
              <w:rPr>
                <w:rFonts w:hint="eastAsia" w:ascii="仿宋_GB2312" w:hAnsi="黑体" w:eastAsia="仿宋_GB2312" w:cs="仿宋"/>
                <w:bCs/>
                <w:sz w:val="24"/>
                <w:szCs w:val="24"/>
                <w:lang w:val="en-US" w:eastAsia="zh-CN" w:bidi="ar-SA"/>
              </w:rPr>
            </w:pPr>
            <w:r>
              <w:rPr>
                <w:rFonts w:hint="eastAsia" w:ascii="仿宋_GB2312" w:eastAsia="仿宋_GB2312" w:cs="仿宋"/>
              </w:rPr>
              <w:t>共治疗</w:t>
            </w:r>
            <w:r>
              <w:rPr>
                <w:rFonts w:hint="eastAsia" w:ascii="仿宋_GB2312" w:eastAsia="仿宋_GB2312" w:cs="仿宋"/>
                <w:lang w:val="en-US" w:eastAsia="zh-CN"/>
              </w:rPr>
              <w:t>123</w:t>
            </w:r>
            <w:r>
              <w:rPr>
                <w:rFonts w:hint="eastAsia" w:ascii="仿宋_GB2312" w:eastAsia="仿宋_GB2312" w:cs="仿宋"/>
              </w:rPr>
              <w:t>例患者，其中痊愈</w:t>
            </w:r>
            <w:r>
              <w:rPr>
                <w:rFonts w:hint="eastAsia" w:ascii="仿宋_GB2312" w:eastAsia="仿宋_GB2312" w:cs="仿宋"/>
                <w:lang w:eastAsia="zh-CN"/>
              </w:rPr>
              <w:t>76</w:t>
            </w:r>
            <w:r>
              <w:rPr>
                <w:rFonts w:hint="eastAsia" w:ascii="仿宋_GB2312" w:eastAsia="仿宋_GB2312" w:cs="仿宋"/>
              </w:rPr>
              <w:t>例，显效</w:t>
            </w:r>
            <w:r>
              <w:rPr>
                <w:rFonts w:hint="eastAsia" w:ascii="仿宋_GB2312" w:eastAsia="仿宋_GB2312" w:cs="仿宋"/>
                <w:lang w:eastAsia="zh-CN"/>
              </w:rPr>
              <w:t>20</w:t>
            </w:r>
            <w:r>
              <w:rPr>
                <w:rFonts w:hint="eastAsia" w:ascii="仿宋_GB2312" w:eastAsia="仿宋_GB2312" w:cs="仿宋"/>
              </w:rPr>
              <w:t>例，有效</w:t>
            </w:r>
            <w:r>
              <w:rPr>
                <w:rFonts w:hint="eastAsia" w:ascii="仿宋_GB2312" w:eastAsia="仿宋_GB2312" w:cs="仿宋"/>
                <w:lang w:eastAsia="zh-CN"/>
              </w:rPr>
              <w:t>18</w:t>
            </w:r>
            <w:r>
              <w:rPr>
                <w:rFonts w:hint="eastAsia" w:ascii="仿宋_GB2312" w:eastAsia="仿宋_GB2312" w:cs="仿宋"/>
              </w:rPr>
              <w:t>例，无效</w:t>
            </w:r>
            <w:r>
              <w:rPr>
                <w:rFonts w:hint="eastAsia" w:ascii="仿宋_GB2312" w:eastAsia="仿宋_GB2312" w:cs="仿宋"/>
                <w:lang w:eastAsia="zh-CN"/>
              </w:rPr>
              <w:t>9</w:t>
            </w:r>
            <w:r>
              <w:rPr>
                <w:rFonts w:hint="eastAsia" w:ascii="仿宋_GB2312" w:eastAsia="仿宋_GB2312" w:cs="仿宋"/>
              </w:rPr>
              <w:t>例，总有效率</w:t>
            </w:r>
            <w:r>
              <w:rPr>
                <w:rFonts w:hint="eastAsia" w:ascii="仿宋_GB2312" w:eastAsia="仿宋_GB2312" w:cs="仿宋"/>
                <w:lang w:eastAsia="zh-CN"/>
              </w:rPr>
              <w:t>92.6</w:t>
            </w:r>
            <w:r>
              <w:rPr>
                <w:rFonts w:hint="eastAsia" w:ascii="仿宋_GB2312" w:eastAsia="仿宋_GB2312" w:cs="仿宋"/>
              </w:rPr>
              <w:t>%</w:t>
            </w:r>
          </w:p>
        </w:tc>
      </w:tr>
    </w:tbl>
    <w:p w14:paraId="582F1FEC">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根据近四年（2022—2025年）五家医院（A、B、C、D、E）应用壮医三部四针法治疗年闹诺（不寐）的临床记录，共治疗患者2169例，总有效（痊愈+显效+有效）2013例，总有效率达92.81%。各年度总有效率分别为：2022年89.93%（268例中有效241例）、2023年91.51%（436例中有效399例）、2024年93.92%（559例中有效525例）、2025年93.60%（906例中有效848例），呈现稳定上升趋势，表明该技术经临床实践不断优化，疗效日趋稳定。</w:t>
      </w:r>
    </w:p>
    <w:p w14:paraId="330CFABD">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从单中心数据看，A医院四年治疗716例，总有效率从95.23%升至96.09%，持续保持高水平；B、C、D、E医院初期（2022年）有效率在85.0%～87.5%之间，随着技术推广和操作熟练，2024年后普遍提升至90%以上，部分年份超过94%。五家医院分布于不同地区，样本量逐年扩大（2025年达906例），数据覆盖广泛，证实该方法具有良好的可操作性和可重复性，在不同医疗环境下均能取得满意疗效。</w:t>
      </w:r>
    </w:p>
    <w:p w14:paraId="73ACEC04">
      <w:pPr>
        <w:pStyle w:val="33"/>
        <w:spacing w:before="0" w:beforeLines="0" w:after="0" w:afterLines="0"/>
        <w:ind w:firstLine="560"/>
        <w:jc w:val="both"/>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上述临床数据表明，壮医三部四针法治疗年闹诺（不寐）疗效确切，总有效率超过92%，且随着应用推广疗效稳步提高，适用于各级医疗机构开展，具有临床推广价值。</w:t>
      </w:r>
    </w:p>
    <w:p w14:paraId="4BE74FF6">
      <w:pPr>
        <w:pStyle w:val="35"/>
        <w:numPr>
          <w:ilvl w:val="0"/>
          <w:numId w:val="0"/>
        </w:numPr>
        <w:spacing w:beforeLines="0" w:afterLines="0" w:line="360" w:lineRule="auto"/>
        <w:ind w:firstLine="643" w:firstLineChars="200"/>
        <w:rPr>
          <w:bCs/>
          <w:sz w:val="32"/>
          <w:szCs w:val="32"/>
        </w:rPr>
      </w:pPr>
      <w:r>
        <w:rPr>
          <w:rFonts w:hint="eastAsia"/>
          <w:b/>
          <w:bCs/>
          <w:sz w:val="32"/>
          <w:szCs w:val="32"/>
        </w:rPr>
        <w:t>六</w:t>
      </w:r>
      <w:r>
        <w:rPr>
          <w:rFonts w:hint="eastAsia"/>
          <w:bCs/>
          <w:sz w:val="32"/>
          <w:szCs w:val="32"/>
        </w:rPr>
        <w:t>、</w:t>
      </w:r>
      <w:r>
        <w:rPr>
          <w:rFonts w:hint="eastAsia"/>
          <w:sz w:val="32"/>
          <w:szCs w:val="32"/>
        </w:rPr>
        <w:t>重大意见分歧的处理依据和结果</w:t>
      </w:r>
    </w:p>
    <w:p w14:paraId="03F3699C">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本标准研制过程中无重大分歧意见。</w:t>
      </w:r>
    </w:p>
    <w:p w14:paraId="2C2745F6">
      <w:pPr>
        <w:autoSpaceDE w:val="0"/>
        <w:autoSpaceDN w:val="0"/>
        <w:adjustRightInd w:val="0"/>
        <w:spacing w:before="156" w:beforeLines="50" w:after="156" w:afterLines="50" w:line="520" w:lineRule="exact"/>
        <w:ind w:firstLine="640" w:firstLineChars="200"/>
        <w:outlineLvl w:val="0"/>
        <w:rPr>
          <w:rFonts w:eastAsia="黑体"/>
          <w:sz w:val="32"/>
          <w:szCs w:val="32"/>
        </w:rPr>
      </w:pPr>
      <w:r>
        <w:rPr>
          <w:rFonts w:hint="eastAsia" w:ascii="黑体" w:eastAsia="黑体"/>
          <w:bCs/>
          <w:sz w:val="32"/>
          <w:szCs w:val="32"/>
        </w:rPr>
        <w:t>七、</w:t>
      </w:r>
      <w:r>
        <w:rPr>
          <w:rFonts w:hint="eastAsia" w:eastAsia="黑体"/>
          <w:sz w:val="32"/>
          <w:szCs w:val="32"/>
        </w:rPr>
        <w:t>实施标准的措施</w:t>
      </w:r>
    </w:p>
    <w:p w14:paraId="79B3C25C">
      <w:pPr>
        <w:spacing w:line="50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（一）标准报批发布后，成立标准宣贯工作组</w:t>
      </w:r>
    </w:p>
    <w:p w14:paraId="00343504">
      <w:pPr>
        <w:spacing w:line="500" w:lineRule="exact"/>
        <w:ind w:firstLine="560" w:firstLineChars="200"/>
        <w:rPr>
          <w:rFonts w:ascii="仿宋_GB2312" w:eastAsia="仿宋_GB2312"/>
          <w:sz w:val="28"/>
          <w:szCs w:val="28"/>
        </w:rPr>
      </w:pPr>
      <w:r>
        <w:rPr>
          <w:rFonts w:hint="eastAsia" w:ascii="仿宋_GB2312" w:eastAsia="仿宋_GB2312"/>
          <w:sz w:val="28"/>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6DE29C03">
      <w:pPr>
        <w:spacing w:line="500" w:lineRule="exact"/>
        <w:ind w:firstLine="562" w:firstLineChars="200"/>
        <w:rPr>
          <w:rFonts w:ascii="仿宋_GB2312" w:eastAsia="仿宋_GB2312"/>
          <w:b/>
          <w:sz w:val="28"/>
          <w:szCs w:val="28"/>
        </w:rPr>
      </w:pPr>
      <w:r>
        <w:rPr>
          <w:rFonts w:hint="eastAsia" w:ascii="仿宋_GB2312" w:eastAsia="仿宋_GB2312"/>
          <w:b/>
          <w:sz w:val="28"/>
          <w:szCs w:val="28"/>
        </w:rPr>
        <w:t>（二）组织开展标准宣贯培训</w:t>
      </w:r>
    </w:p>
    <w:p w14:paraId="29881CD3">
      <w:pPr>
        <w:spacing w:line="500" w:lineRule="exact"/>
        <w:ind w:firstLine="560" w:firstLineChars="200"/>
        <w:rPr>
          <w:rFonts w:ascii="仿宋_GB2312" w:eastAsia="仿宋_GB2312"/>
          <w:sz w:val="28"/>
          <w:szCs w:val="28"/>
        </w:rPr>
      </w:pPr>
      <w:r>
        <w:rPr>
          <w:rFonts w:hint="eastAsia" w:ascii="仿宋_GB2312" w:eastAsia="仿宋_GB2312"/>
          <w:sz w:val="28"/>
          <w:szCs w:val="28"/>
        </w:rPr>
        <w:t>标准发布实施后，标准宣贯工作小组制作标准解读宣贯培训PPT课件和标准核心技术明白书，并按标准宣贯培训计划深入各医疗相关机构，对相关人员开展标准宣贯培训，对标准进行逐条解读，让相关人员掌握标准核心技术内容，助力标准实施落地，推动</w:t>
      </w:r>
      <w:r>
        <w:rPr>
          <w:rFonts w:hint="eastAsia" w:ascii="仿宋_GB2312" w:eastAsia="仿宋_GB2312"/>
          <w:sz w:val="28"/>
          <w:szCs w:val="28"/>
          <w:lang w:eastAsia="zh-CN"/>
        </w:rPr>
        <w:t>壮医三部四针法治疗年闹诺（不寐）技术</w:t>
      </w:r>
      <w:r>
        <w:rPr>
          <w:rFonts w:hint="eastAsia" w:ascii="仿宋_GB2312" w:eastAsia="仿宋_GB2312"/>
          <w:sz w:val="28"/>
          <w:szCs w:val="28"/>
        </w:rPr>
        <w:t>高质量发展。</w:t>
      </w:r>
    </w:p>
    <w:p w14:paraId="65C68492">
      <w:pPr>
        <w:spacing w:line="500" w:lineRule="exact"/>
        <w:ind w:firstLine="562" w:firstLineChars="200"/>
        <w:rPr>
          <w:rFonts w:ascii="仿宋_GB2312" w:eastAsia="仿宋_GB2312"/>
          <w:b/>
          <w:sz w:val="28"/>
          <w:szCs w:val="28"/>
        </w:rPr>
      </w:pPr>
      <w:r>
        <w:rPr>
          <w:rFonts w:hint="eastAsia" w:ascii="仿宋_GB2312" w:eastAsia="仿宋_GB2312"/>
          <w:b/>
          <w:sz w:val="28"/>
          <w:szCs w:val="28"/>
        </w:rPr>
        <w:t>（三）开展标准实施交流会，收集标准实施反馈信息</w:t>
      </w:r>
    </w:p>
    <w:p w14:paraId="0BD8BE8B">
      <w:pPr>
        <w:spacing w:line="500" w:lineRule="exact"/>
        <w:ind w:firstLine="560" w:firstLineChars="200"/>
        <w:rPr>
          <w:rFonts w:ascii="仿宋_GB2312" w:eastAsia="仿宋_GB2312"/>
          <w:sz w:val="28"/>
          <w:szCs w:val="28"/>
        </w:rPr>
      </w:pPr>
      <w:r>
        <w:rPr>
          <w:rFonts w:hint="eastAsia" w:ascii="仿宋_GB2312" w:eastAsia="仿宋_GB2312"/>
          <w:sz w:val="28"/>
          <w:szCs w:val="28"/>
        </w:rPr>
        <w:t>标准起草小组深入各医疗相关机构组织相关人员召开标准实施交流会，听取标准实施过程中存在的问题并做好记录和解答，对存在的问题组织专家团队进行研讨，为标准的复审修订做准备。</w:t>
      </w:r>
    </w:p>
    <w:p w14:paraId="15128462">
      <w:pPr>
        <w:spacing w:line="500" w:lineRule="exact"/>
        <w:ind w:firstLine="562" w:firstLineChars="200"/>
        <w:rPr>
          <w:rFonts w:ascii="仿宋_GB2312" w:eastAsia="仿宋_GB2312"/>
          <w:b/>
          <w:sz w:val="28"/>
          <w:szCs w:val="28"/>
        </w:rPr>
      </w:pPr>
      <w:r>
        <w:rPr>
          <w:rFonts w:hint="eastAsia" w:ascii="仿宋_GB2312" w:eastAsia="仿宋_GB2312"/>
          <w:b/>
          <w:sz w:val="28"/>
          <w:szCs w:val="28"/>
        </w:rPr>
        <w:t>（四）开展标准实施效果评估</w:t>
      </w:r>
    </w:p>
    <w:p w14:paraId="026D6BB0">
      <w:pPr>
        <w:spacing w:line="500" w:lineRule="exact"/>
        <w:ind w:firstLine="560" w:firstLineChars="200"/>
        <w:rPr>
          <w:rFonts w:ascii="仿宋_GB2312" w:eastAsia="仿宋_GB2312"/>
          <w:sz w:val="28"/>
          <w:szCs w:val="28"/>
        </w:rPr>
      </w:pPr>
      <w:r>
        <w:rPr>
          <w:rFonts w:hint="eastAsia" w:ascii="仿宋_GB2312" w:eastAsia="仿宋_GB2312"/>
          <w:sz w:val="28"/>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3AC8E860">
      <w:pPr>
        <w:spacing w:before="240" w:after="60" w:line="520" w:lineRule="exact"/>
        <w:ind w:firstLine="640" w:firstLineChars="200"/>
        <w:outlineLvl w:val="0"/>
        <w:rPr>
          <w:rFonts w:ascii="黑体" w:eastAsia="黑体"/>
          <w:bCs/>
          <w:sz w:val="32"/>
          <w:szCs w:val="32"/>
        </w:rPr>
      </w:pPr>
      <w:r>
        <w:rPr>
          <w:rFonts w:hint="eastAsia" w:ascii="黑体" w:eastAsia="黑体"/>
          <w:bCs/>
          <w:sz w:val="32"/>
          <w:szCs w:val="32"/>
        </w:rPr>
        <w:t>八、其他应当说明的事项</w:t>
      </w:r>
    </w:p>
    <w:p w14:paraId="48876F83">
      <w:pPr>
        <w:spacing w:line="520" w:lineRule="exact"/>
        <w:ind w:firstLine="560" w:firstLineChars="200"/>
        <w:rPr>
          <w:rFonts w:ascii="仿宋_GB2312" w:eastAsia="仿宋_GB2312"/>
          <w:sz w:val="28"/>
          <w:szCs w:val="28"/>
        </w:rPr>
      </w:pPr>
      <w:r>
        <w:rPr>
          <w:rFonts w:hint="eastAsia" w:ascii="仿宋_GB2312" w:eastAsia="仿宋_GB2312"/>
          <w:sz w:val="28"/>
          <w:szCs w:val="28"/>
        </w:rPr>
        <w:t>无。</w:t>
      </w:r>
    </w:p>
    <w:p w14:paraId="0ECDCDC2">
      <w:pPr>
        <w:autoSpaceDE w:val="0"/>
        <w:autoSpaceDN w:val="0"/>
        <w:adjustRightInd w:val="0"/>
        <w:spacing w:before="156" w:beforeLines="50" w:after="156" w:afterLines="50" w:line="520" w:lineRule="exact"/>
        <w:ind w:firstLine="640"/>
        <w:outlineLvl w:val="0"/>
        <w:rPr>
          <w:rFonts w:eastAsia="黑体"/>
          <w:sz w:val="32"/>
          <w:szCs w:val="32"/>
        </w:rPr>
      </w:pPr>
      <w:r>
        <w:rPr>
          <w:rFonts w:hint="eastAsia" w:eastAsia="黑体"/>
          <w:sz w:val="32"/>
          <w:szCs w:val="32"/>
        </w:rPr>
        <w:t>九、自我承诺</w:t>
      </w:r>
    </w:p>
    <w:p w14:paraId="085B44CD">
      <w:pPr>
        <w:spacing w:line="520" w:lineRule="exact"/>
        <w:ind w:firstLine="560" w:firstLineChars="200"/>
        <w:rPr>
          <w:rFonts w:ascii="仿宋_GB2312" w:eastAsia="仿宋_GB2312"/>
          <w:sz w:val="28"/>
          <w:szCs w:val="28"/>
        </w:rPr>
      </w:pPr>
      <w:r>
        <w:rPr>
          <w:rFonts w:hint="eastAsia" w:ascii="仿宋_GB2312" w:eastAsia="仿宋_GB2312"/>
          <w:sz w:val="28"/>
          <w:szCs w:val="28"/>
        </w:rPr>
        <w:t>该标准的内容符合国家相关法律法规，技术要求不低于强制性国家标准的相关技术要求，与相关的国家、行业推荐性标准协调一致，标准的编写符合GB/T 1.1-2020的要求。</w:t>
      </w:r>
    </w:p>
    <w:p w14:paraId="306B1E3A">
      <w:pPr>
        <w:pStyle w:val="26"/>
        <w:rPr>
          <w:rFonts w:ascii="仿宋_GB2312" w:eastAsia="仿宋_GB2312"/>
          <w:sz w:val="28"/>
          <w:szCs w:val="28"/>
        </w:rPr>
      </w:pPr>
    </w:p>
    <w:p w14:paraId="187361ED">
      <w:pPr>
        <w:keepNext w:val="0"/>
        <w:keepLines w:val="0"/>
        <w:pageBreakBefore w:val="0"/>
        <w:widowControl w:val="0"/>
        <w:kinsoku/>
        <w:wordWrap/>
        <w:overflowPunct/>
        <w:topLinePunct w:val="0"/>
        <w:autoSpaceDE/>
        <w:autoSpaceDN/>
        <w:bidi w:val="0"/>
        <w:adjustRightInd/>
        <w:snapToGrid/>
        <w:spacing w:before="240" w:after="60" w:line="520" w:lineRule="exact"/>
        <w:ind w:firstLine="1120" w:firstLineChars="400"/>
        <w:textAlignment w:val="auto"/>
        <w:outlineLvl w:val="0"/>
        <w:rPr>
          <w:rFonts w:ascii="仿宋_GB2312" w:eastAsia="仿宋_GB2312"/>
          <w:sz w:val="28"/>
          <w:szCs w:val="28"/>
        </w:rPr>
      </w:pPr>
      <w:r>
        <w:rPr>
          <w:rFonts w:hint="eastAsia" w:ascii="仿宋_GB2312" w:eastAsia="仿宋_GB2312"/>
          <w:sz w:val="28"/>
          <w:szCs w:val="28"/>
        </w:rPr>
        <w:t>团体标准《</w:t>
      </w:r>
      <w:r>
        <w:rPr>
          <w:rFonts w:hint="eastAsia" w:ascii="仿宋_GB2312" w:eastAsia="仿宋_GB2312"/>
          <w:sz w:val="28"/>
          <w:szCs w:val="28"/>
          <w:lang w:eastAsia="zh-CN"/>
        </w:rPr>
        <w:t>壮医三部四针法治疗年闹诺（不寐）技术操作规范</w:t>
      </w:r>
      <w:r>
        <w:rPr>
          <w:rFonts w:hint="eastAsia" w:ascii="仿宋_GB2312" w:eastAsia="仿宋_GB2312"/>
          <w:sz w:val="28"/>
          <w:szCs w:val="28"/>
        </w:rPr>
        <w:t>》</w:t>
      </w:r>
    </w:p>
    <w:p w14:paraId="1D80862F">
      <w:pPr>
        <w:spacing w:line="520" w:lineRule="exact"/>
        <w:ind w:right="1120"/>
        <w:jc w:val="center"/>
        <w:rPr>
          <w:rFonts w:ascii="仿宋_GB2312" w:eastAsia="仿宋_GB2312"/>
          <w:sz w:val="28"/>
          <w:szCs w:val="28"/>
        </w:rPr>
      </w:pPr>
      <w:r>
        <w:rPr>
          <w:rFonts w:hint="eastAsia" w:ascii="仿宋_GB2312" w:eastAsia="仿宋_GB2312"/>
          <w:sz w:val="28"/>
          <w:szCs w:val="28"/>
        </w:rPr>
        <w:t xml:space="preserve">                   标准编制工作组</w:t>
      </w:r>
    </w:p>
    <w:p w14:paraId="283CD19E">
      <w:pPr>
        <w:spacing w:line="520" w:lineRule="exact"/>
        <w:ind w:firstLine="640" w:firstLineChars="200"/>
        <w:rPr>
          <w:rFonts w:ascii="仿宋_GB2312" w:eastAsia="仿宋_GB2312"/>
          <w:sz w:val="28"/>
          <w:szCs w:val="28"/>
        </w:rPr>
      </w:pPr>
      <w:r>
        <w:rPr>
          <w:rFonts w:hint="eastAsia" w:ascii="仿宋_GB2312" w:eastAsia="仿宋_GB2312"/>
          <w:sz w:val="32"/>
          <w:szCs w:val="28"/>
        </w:rPr>
        <w:t xml:space="preserve">                      </w:t>
      </w:r>
      <w:r>
        <w:rPr>
          <w:rFonts w:hint="eastAsia" w:ascii="仿宋_GB2312" w:eastAsia="仿宋_GB2312"/>
          <w:sz w:val="28"/>
          <w:szCs w:val="28"/>
        </w:rPr>
        <w:t>2026年</w:t>
      </w:r>
      <w:r>
        <w:rPr>
          <w:rFonts w:hint="eastAsia" w:ascii="仿宋_GB2312" w:eastAsia="仿宋_GB2312"/>
          <w:sz w:val="28"/>
          <w:szCs w:val="28"/>
          <w:lang w:val="en-US" w:eastAsia="zh-CN"/>
        </w:rPr>
        <w:t>2</w:t>
      </w:r>
      <w:r>
        <w:rPr>
          <w:rFonts w:hint="eastAsia" w:ascii="仿宋_GB2312" w:eastAsia="仿宋_GB2312"/>
          <w:sz w:val="28"/>
          <w:szCs w:val="28"/>
        </w:rPr>
        <w:t>月</w:t>
      </w:r>
      <w:r>
        <w:rPr>
          <w:rFonts w:hint="eastAsia" w:ascii="仿宋_GB2312" w:eastAsia="仿宋_GB2312"/>
          <w:sz w:val="28"/>
          <w:szCs w:val="28"/>
          <w:lang w:val="en-US" w:eastAsia="zh-CN"/>
        </w:rPr>
        <w:t>27</w:t>
      </w:r>
      <w:r>
        <w:rPr>
          <w:rFonts w:hint="eastAsia" w:ascii="仿宋_GB2312" w:eastAsia="仿宋_GB2312"/>
          <w:sz w:val="28"/>
          <w:szCs w:val="28"/>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94452FA3-F725-4E52-80E7-68BADD00ECD4}"/>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swiss"/>
    <w:pitch w:val="default"/>
    <w:sig w:usb0="80000287" w:usb1="280F3C52" w:usb2="00000016" w:usb3="00000000" w:csb0="0004001F" w:csb1="00000000"/>
    <w:embedRegular r:id="rId2" w:fontKey="{D700D759-0EDB-46C0-9371-43AED4EFE677}"/>
  </w:font>
  <w:font w:name="等线 Light">
    <w:altName w:val="宋体"/>
    <w:panose1 w:val="02010600030101010101"/>
    <w:charset w:val="86"/>
    <w:family w:val="auto"/>
    <w:pitch w:val="default"/>
    <w:sig w:usb0="00000000" w:usb1="00000000" w:usb2="00000016" w:usb3="00000000" w:csb0="0004000F" w:csb1="00000000"/>
  </w:font>
  <w:font w:name="方正小标宋简体">
    <w:panose1 w:val="03000509000000000000"/>
    <w:charset w:val="86"/>
    <w:family w:val="auto"/>
    <w:pitch w:val="default"/>
    <w:sig w:usb0="00000001" w:usb1="080E0000" w:usb2="00000000" w:usb3="00000000" w:csb0="00040000" w:csb1="00000000"/>
    <w:embedRegular r:id="rId3" w:fontKey="{34DB1B1B-67AB-436F-9A43-7D3245361BA7}"/>
  </w:font>
  <w:font w:name="仿宋_GB2312">
    <w:panose1 w:val="02010609030101010101"/>
    <w:charset w:val="86"/>
    <w:family w:val="modern"/>
    <w:pitch w:val="default"/>
    <w:sig w:usb0="00000001" w:usb1="080E0000" w:usb2="00000000" w:usb3="00000000" w:csb0="00040000" w:csb1="00000000"/>
    <w:embedRegular r:id="rId4" w:fontKey="{E114C580-4971-4B18-B9C4-02B04F9903BC}"/>
  </w:font>
  <w:font w:name="仿宋">
    <w:panose1 w:val="02010609060101010101"/>
    <w:charset w:val="86"/>
    <w:family w:val="modern"/>
    <w:pitch w:val="default"/>
    <w:sig w:usb0="800002BF" w:usb1="38CF7CFA" w:usb2="00000016" w:usb3="00000000" w:csb0="00040001" w:csb1="00000000"/>
    <w:embedRegular r:id="rId5" w:fontKey="{38D28F38-AA66-426B-8A75-C10EE9785C79}"/>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FE1AE3">
    <w:pPr>
      <w:pStyle w:val="9"/>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5E0811C8">
                          <w:pPr>
                            <w:pStyle w:val="9"/>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5E0811C8">
                    <w:pPr>
                      <w:pStyle w:val="9"/>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4"/>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A333FDA2"/>
    <w:multiLevelType w:val="multilevel"/>
    <w:tmpl w:val="A333FDA2"/>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pStyle w:val="60"/>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2">
    <w:nsid w:val="B16E2ACE"/>
    <w:multiLevelType w:val="multilevel"/>
    <w:tmpl w:val="B16E2ACE"/>
    <w:lvl w:ilvl="0" w:tentative="0">
      <w:start w:val="1"/>
      <w:numFmt w:val="upperLetter"/>
      <w:suff w:val="nothing"/>
      <w:lvlText w:val="附录%1"/>
      <w:lvlJc w:val="left"/>
      <w:pPr>
        <w:ind w:left="0" w:firstLine="0"/>
      </w:pPr>
      <w:rPr>
        <w:spacing w:val="100"/>
      </w:rPr>
    </w:lvl>
    <w:lvl w:ilvl="1" w:tentative="0">
      <w:start w:val="1"/>
      <w:numFmt w:val="decimal"/>
      <w:pStyle w:val="65"/>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pPr>
      <w:rPr>
        <w:rFonts w:hint="eastAsia" w:ascii="黑体" w:hAnsi="Times New Roman" w:eastAsia="黑体" w:cs="黑体"/>
        <w:b w:val="0"/>
        <w:i w:val="0"/>
        <w:sz w:val="21"/>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3">
    <w:nsid w:val="BA7B8511"/>
    <w:multiLevelType w:val="multilevel"/>
    <w:tmpl w:val="BA7B8511"/>
    <w:lvl w:ilvl="0" w:tentative="0">
      <w:start w:val="1"/>
      <w:numFmt w:val="decimal"/>
      <w:pStyle w:val="61"/>
      <w:suff w:val="nothing"/>
      <w:lvlText w:val="注%1："/>
      <w:lvlJc w:val="left"/>
      <w:pPr>
        <w:ind w:left="811" w:hanging="448"/>
      </w:pPr>
      <w:rPr>
        <w:rFonts w:hint="eastAsia" w:ascii="黑体" w:hAnsi="Times New Roman" w:eastAsia="黑体" w:cs="黑体"/>
        <w:b w:val="0"/>
        <w:i w:val="0"/>
        <w:sz w:val="18"/>
      </w:rPr>
    </w:lvl>
    <w:lvl w:ilvl="1" w:tentative="0">
      <w:start w:val="1"/>
      <w:numFmt w:val="lowerLetter"/>
      <w:lvlText w:val="%2)"/>
      <w:lvlJc w:val="left"/>
      <w:pPr>
        <w:tabs>
          <w:tab w:val="left" w:pos="0"/>
        </w:tabs>
        <w:ind w:left="992" w:hanging="629"/>
      </w:pPr>
    </w:lvl>
    <w:lvl w:ilvl="2" w:tentative="0">
      <w:start w:val="1"/>
      <w:numFmt w:val="lowerRoman"/>
      <w:lvlText w:val="%3."/>
      <w:lvlJc w:val="right"/>
      <w:pPr>
        <w:tabs>
          <w:tab w:val="left" w:pos="0"/>
        </w:tabs>
        <w:ind w:left="992" w:hanging="629"/>
      </w:pPr>
    </w:lvl>
    <w:lvl w:ilvl="3" w:tentative="0">
      <w:start w:val="1"/>
      <w:numFmt w:val="decimal"/>
      <w:lvlText w:val="%4."/>
      <w:lvlJc w:val="left"/>
      <w:pPr>
        <w:tabs>
          <w:tab w:val="left" w:pos="0"/>
        </w:tabs>
        <w:ind w:left="992" w:hanging="629"/>
      </w:pPr>
    </w:lvl>
    <w:lvl w:ilvl="4" w:tentative="0">
      <w:start w:val="1"/>
      <w:numFmt w:val="lowerLetter"/>
      <w:lvlText w:val="%5)"/>
      <w:lvlJc w:val="left"/>
      <w:pPr>
        <w:tabs>
          <w:tab w:val="left" w:pos="0"/>
        </w:tabs>
        <w:ind w:left="992" w:hanging="629"/>
      </w:pPr>
    </w:lvl>
    <w:lvl w:ilvl="5" w:tentative="0">
      <w:start w:val="1"/>
      <w:numFmt w:val="lowerRoman"/>
      <w:lvlText w:val="%6."/>
      <w:lvlJc w:val="right"/>
      <w:pPr>
        <w:tabs>
          <w:tab w:val="left" w:pos="0"/>
        </w:tabs>
        <w:ind w:left="992" w:hanging="629"/>
      </w:pPr>
    </w:lvl>
    <w:lvl w:ilvl="6" w:tentative="0">
      <w:start w:val="1"/>
      <w:numFmt w:val="decimal"/>
      <w:lvlText w:val="%7."/>
      <w:lvlJc w:val="left"/>
      <w:pPr>
        <w:tabs>
          <w:tab w:val="left" w:pos="0"/>
        </w:tabs>
        <w:ind w:left="992" w:hanging="629"/>
      </w:pPr>
    </w:lvl>
    <w:lvl w:ilvl="7" w:tentative="0">
      <w:start w:val="1"/>
      <w:numFmt w:val="lowerLetter"/>
      <w:lvlText w:val="%8)"/>
      <w:lvlJc w:val="left"/>
      <w:pPr>
        <w:tabs>
          <w:tab w:val="left" w:pos="0"/>
        </w:tabs>
        <w:ind w:left="992" w:hanging="629"/>
      </w:pPr>
    </w:lvl>
    <w:lvl w:ilvl="8" w:tentative="0">
      <w:start w:val="1"/>
      <w:numFmt w:val="lowerRoman"/>
      <w:lvlText w:val="%9."/>
      <w:lvlJc w:val="right"/>
      <w:pPr>
        <w:tabs>
          <w:tab w:val="left" w:pos="0"/>
        </w:tabs>
        <w:ind w:left="992" w:hanging="629"/>
      </w:pPr>
    </w:lvl>
  </w:abstractNum>
  <w:abstractNum w:abstractNumId="4">
    <w:nsid w:val="F947AA72"/>
    <w:multiLevelType w:val="multilevel"/>
    <w:tmpl w:val="F947AA72"/>
    <w:lvl w:ilvl="0" w:tentative="0">
      <w:start w:val="1"/>
      <w:numFmt w:val="upperLetter"/>
      <w:suff w:val="space"/>
      <w:lvlText w:val="%1"/>
      <w:lvlJc w:val="left"/>
      <w:pPr>
        <w:ind w:left="425" w:hanging="425"/>
      </w:pPr>
    </w:lvl>
    <w:lvl w:ilvl="1" w:tentative="0">
      <w:start w:val="1"/>
      <w:numFmt w:val="decimal"/>
      <w:pStyle w:val="63"/>
      <w:suff w:val="space"/>
      <w:lvlText w:val="表%1.%2"/>
      <w:lvlJc w:val="center"/>
      <w:pPr>
        <w:ind w:left="0" w:firstLine="0"/>
      </w:pPr>
      <w:rPr>
        <w:rFonts w:hint="eastAsia" w:ascii="黑体" w:hAnsi="Times New Roman" w:eastAsia="黑体" w:cs="黑体"/>
        <w:sz w:val="21"/>
      </w:r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5"/>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5">
    <w:nsid w:val="0FFFFF7E"/>
    <w:multiLevelType w:val="singleLevel"/>
    <w:tmpl w:val="0FFFFF7E"/>
    <w:lvl w:ilvl="0" w:tentative="0">
      <w:start w:val="1"/>
      <w:numFmt w:val="decimal"/>
      <w:lvlText w:val="%1."/>
      <w:lvlJc w:val="left"/>
      <w:pPr>
        <w:tabs>
          <w:tab w:val="left" w:pos="1200"/>
        </w:tabs>
        <w:ind w:left="1200" w:hanging="360"/>
      </w:pPr>
    </w:lvl>
  </w:abstractNum>
  <w:abstractNum w:abstractNumId="6">
    <w:nsid w:val="0FFFFF7F"/>
    <w:multiLevelType w:val="singleLevel"/>
    <w:tmpl w:val="0FFFFF7F"/>
    <w:lvl w:ilvl="0" w:tentative="0">
      <w:start w:val="1"/>
      <w:numFmt w:val="decimal"/>
      <w:lvlText w:val="%1."/>
      <w:lvlJc w:val="left"/>
      <w:pPr>
        <w:tabs>
          <w:tab w:val="left" w:pos="780"/>
        </w:tabs>
        <w:ind w:left="780" w:hanging="360"/>
      </w:pPr>
    </w:lvl>
  </w:abstractNum>
  <w:abstractNum w:abstractNumId="7">
    <w:nsid w:val="2C5917C3"/>
    <w:multiLevelType w:val="multilevel"/>
    <w:tmpl w:val="2C5917C3"/>
    <w:lvl w:ilvl="0" w:tentative="0">
      <w:start w:val="1"/>
      <w:numFmt w:val="none"/>
      <w:pStyle w:val="58"/>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8">
    <w:nsid w:val="44C50F90"/>
    <w:multiLevelType w:val="multilevel"/>
    <w:tmpl w:val="44C50F90"/>
    <w:lvl w:ilvl="0" w:tentative="0">
      <w:start w:val="1"/>
      <w:numFmt w:val="lowerLetter"/>
      <w:pStyle w:val="53"/>
      <w:lvlText w:val="%1)"/>
      <w:lvlJc w:val="left"/>
      <w:pPr>
        <w:tabs>
          <w:tab w:val="left" w:pos="851"/>
        </w:tabs>
        <w:ind w:left="851" w:hanging="426"/>
      </w:pPr>
      <w:rPr>
        <w:rFonts w:hint="eastAsia" w:ascii="宋体" w:hAnsi="Times New Roman" w:eastAsia="宋体"/>
        <w:sz w:val="21"/>
      </w:rPr>
    </w:lvl>
    <w:lvl w:ilvl="1" w:tentative="0">
      <w:start w:val="1"/>
      <w:numFmt w:val="decimal"/>
      <w:pStyle w:val="51"/>
      <w:lvlText w:val="%2)"/>
      <w:lvlJc w:val="left"/>
      <w:pPr>
        <w:tabs>
          <w:tab w:val="left" w:pos="1276"/>
        </w:tabs>
        <w:ind w:left="1276" w:hanging="425"/>
      </w:pPr>
      <w:rPr>
        <w:rFonts w:hint="eastAsia" w:ascii="宋体" w:hAnsi="Times New Roman" w:eastAsia="宋体"/>
        <w:sz w:val="21"/>
      </w:rPr>
    </w:lvl>
    <w:lvl w:ilvl="2" w:tentative="0">
      <w:start w:val="1"/>
      <w:numFmt w:val="decimal"/>
      <w:pStyle w:val="52"/>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9">
    <w:nsid w:val="5A9B6960"/>
    <w:multiLevelType w:val="multilevel"/>
    <w:tmpl w:val="5A9B6960"/>
    <w:lvl w:ilvl="0" w:tentative="0">
      <w:start w:val="1"/>
      <w:numFmt w:val="none"/>
      <w:pStyle w:val="41"/>
      <w:suff w:val="nothing"/>
      <w:lvlText w:val="%1"/>
      <w:legacy w:legacy="1" w:legacySpace="0" w:legacyIndent="0"/>
      <w:lvlJc w:val="left"/>
      <w:pPr>
        <w:ind w:left="0" w:firstLine="0"/>
      </w:pPr>
      <w:rPr>
        <w:rFonts w:hint="eastAsia"/>
      </w:rPr>
    </w:lvl>
    <w:lvl w:ilvl="1" w:tentative="0">
      <w:start w:val="1"/>
      <w:numFmt w:val="decimal"/>
      <w:pStyle w:val="35"/>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7"/>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43"/>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42"/>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40"/>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9"/>
  </w:num>
  <w:num w:numId="2">
    <w:abstractNumId w:val="0"/>
  </w:num>
  <w:num w:numId="3">
    <w:abstractNumId w:val="6"/>
  </w:num>
  <w:num w:numId="4">
    <w:abstractNumId w:val="5"/>
  </w:num>
  <w:num w:numId="5">
    <w:abstractNumId w:val="8"/>
  </w:num>
  <w:num w:numId="6">
    <w:abstractNumId w:val="7"/>
  </w:num>
  <w:num w:numId="7">
    <w:abstractNumId w:val="1"/>
  </w:num>
  <w:num w:numId="8">
    <w:abstractNumId w:val="3"/>
  </w:num>
  <w:num w:numId="9">
    <w:abstractNumId w:val="4"/>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U0OWNhMGUyYzc2MTI5ZWY2NzM4MTVkMDAwODg0YzMifQ=="/>
  </w:docVars>
  <w:rsids>
    <w:rsidRoot w:val="000D75AA"/>
    <w:rsid w:val="000068A2"/>
    <w:rsid w:val="00014983"/>
    <w:rsid w:val="000178C8"/>
    <w:rsid w:val="00022F61"/>
    <w:rsid w:val="00043782"/>
    <w:rsid w:val="00051BC1"/>
    <w:rsid w:val="00055442"/>
    <w:rsid w:val="000678FF"/>
    <w:rsid w:val="00072103"/>
    <w:rsid w:val="00075653"/>
    <w:rsid w:val="0008200B"/>
    <w:rsid w:val="00082613"/>
    <w:rsid w:val="000A2817"/>
    <w:rsid w:val="000C517B"/>
    <w:rsid w:val="000D75AA"/>
    <w:rsid w:val="000E53EA"/>
    <w:rsid w:val="001133E6"/>
    <w:rsid w:val="00142D19"/>
    <w:rsid w:val="001655CC"/>
    <w:rsid w:val="0018012C"/>
    <w:rsid w:val="001821C9"/>
    <w:rsid w:val="001A7570"/>
    <w:rsid w:val="001C58D4"/>
    <w:rsid w:val="001D3156"/>
    <w:rsid w:val="001D4C84"/>
    <w:rsid w:val="001E2D73"/>
    <w:rsid w:val="001E6087"/>
    <w:rsid w:val="0020127F"/>
    <w:rsid w:val="00205352"/>
    <w:rsid w:val="002210B4"/>
    <w:rsid w:val="0022236C"/>
    <w:rsid w:val="002227B6"/>
    <w:rsid w:val="002324B6"/>
    <w:rsid w:val="00234F7D"/>
    <w:rsid w:val="00236909"/>
    <w:rsid w:val="00236EB4"/>
    <w:rsid w:val="00241F8A"/>
    <w:rsid w:val="00281F39"/>
    <w:rsid w:val="0028500C"/>
    <w:rsid w:val="002879F6"/>
    <w:rsid w:val="002905CF"/>
    <w:rsid w:val="00292F73"/>
    <w:rsid w:val="0029554A"/>
    <w:rsid w:val="002A3479"/>
    <w:rsid w:val="002B7C92"/>
    <w:rsid w:val="002D530A"/>
    <w:rsid w:val="002E357A"/>
    <w:rsid w:val="002F2059"/>
    <w:rsid w:val="00301664"/>
    <w:rsid w:val="00321E92"/>
    <w:rsid w:val="003223ED"/>
    <w:rsid w:val="003259AF"/>
    <w:rsid w:val="003332BA"/>
    <w:rsid w:val="00337000"/>
    <w:rsid w:val="00340D9B"/>
    <w:rsid w:val="003421C0"/>
    <w:rsid w:val="003517E7"/>
    <w:rsid w:val="00372E66"/>
    <w:rsid w:val="00375933"/>
    <w:rsid w:val="00382E35"/>
    <w:rsid w:val="00396F2C"/>
    <w:rsid w:val="003D06F2"/>
    <w:rsid w:val="003D485E"/>
    <w:rsid w:val="00426DC5"/>
    <w:rsid w:val="004373E9"/>
    <w:rsid w:val="0044036C"/>
    <w:rsid w:val="0044065E"/>
    <w:rsid w:val="004805DB"/>
    <w:rsid w:val="0048511D"/>
    <w:rsid w:val="004A75FF"/>
    <w:rsid w:val="004B4D68"/>
    <w:rsid w:val="004F29B4"/>
    <w:rsid w:val="00515B82"/>
    <w:rsid w:val="0051755E"/>
    <w:rsid w:val="005244B1"/>
    <w:rsid w:val="00533B2A"/>
    <w:rsid w:val="00554B7D"/>
    <w:rsid w:val="00564A0C"/>
    <w:rsid w:val="005A1D9D"/>
    <w:rsid w:val="005C6C34"/>
    <w:rsid w:val="005D6C77"/>
    <w:rsid w:val="005E3C13"/>
    <w:rsid w:val="005E7B33"/>
    <w:rsid w:val="005F1668"/>
    <w:rsid w:val="005F2FD2"/>
    <w:rsid w:val="005F4961"/>
    <w:rsid w:val="00617B08"/>
    <w:rsid w:val="00627AB4"/>
    <w:rsid w:val="006335ED"/>
    <w:rsid w:val="006343EC"/>
    <w:rsid w:val="0063539D"/>
    <w:rsid w:val="006360BD"/>
    <w:rsid w:val="00636EA7"/>
    <w:rsid w:val="00637F53"/>
    <w:rsid w:val="006511A8"/>
    <w:rsid w:val="0067378F"/>
    <w:rsid w:val="00691000"/>
    <w:rsid w:val="006B0BA0"/>
    <w:rsid w:val="006B12C0"/>
    <w:rsid w:val="006F2543"/>
    <w:rsid w:val="00714DDE"/>
    <w:rsid w:val="00727452"/>
    <w:rsid w:val="0074491A"/>
    <w:rsid w:val="007557E4"/>
    <w:rsid w:val="00756356"/>
    <w:rsid w:val="007643FB"/>
    <w:rsid w:val="00774434"/>
    <w:rsid w:val="007756AB"/>
    <w:rsid w:val="00781D6C"/>
    <w:rsid w:val="00784DBC"/>
    <w:rsid w:val="007A149B"/>
    <w:rsid w:val="007B46C1"/>
    <w:rsid w:val="007C244C"/>
    <w:rsid w:val="007E6054"/>
    <w:rsid w:val="007F29ED"/>
    <w:rsid w:val="00801A7F"/>
    <w:rsid w:val="00814260"/>
    <w:rsid w:val="00817F67"/>
    <w:rsid w:val="008247C4"/>
    <w:rsid w:val="00826BFA"/>
    <w:rsid w:val="00853F5C"/>
    <w:rsid w:val="008572EE"/>
    <w:rsid w:val="00874BB5"/>
    <w:rsid w:val="008779C2"/>
    <w:rsid w:val="00880107"/>
    <w:rsid w:val="00884366"/>
    <w:rsid w:val="00887632"/>
    <w:rsid w:val="00895F4A"/>
    <w:rsid w:val="008973E6"/>
    <w:rsid w:val="008B1DEA"/>
    <w:rsid w:val="008B6B5F"/>
    <w:rsid w:val="008E1EB5"/>
    <w:rsid w:val="00926E1B"/>
    <w:rsid w:val="00932BA3"/>
    <w:rsid w:val="00947EBA"/>
    <w:rsid w:val="009718CC"/>
    <w:rsid w:val="009A4141"/>
    <w:rsid w:val="009B7918"/>
    <w:rsid w:val="009E3161"/>
    <w:rsid w:val="00A06B7F"/>
    <w:rsid w:val="00A16A3E"/>
    <w:rsid w:val="00A263D3"/>
    <w:rsid w:val="00A365A2"/>
    <w:rsid w:val="00A368A3"/>
    <w:rsid w:val="00A37FDF"/>
    <w:rsid w:val="00A42C5E"/>
    <w:rsid w:val="00A47FB7"/>
    <w:rsid w:val="00A75476"/>
    <w:rsid w:val="00A87F41"/>
    <w:rsid w:val="00A95A00"/>
    <w:rsid w:val="00AB5B3D"/>
    <w:rsid w:val="00AC57C3"/>
    <w:rsid w:val="00AD0172"/>
    <w:rsid w:val="00AE408C"/>
    <w:rsid w:val="00B0429D"/>
    <w:rsid w:val="00B051B4"/>
    <w:rsid w:val="00B07A8A"/>
    <w:rsid w:val="00B3173E"/>
    <w:rsid w:val="00B66676"/>
    <w:rsid w:val="00B73416"/>
    <w:rsid w:val="00B77477"/>
    <w:rsid w:val="00B91573"/>
    <w:rsid w:val="00B94EFE"/>
    <w:rsid w:val="00B954B8"/>
    <w:rsid w:val="00BA570D"/>
    <w:rsid w:val="00BB6932"/>
    <w:rsid w:val="00BB7B52"/>
    <w:rsid w:val="00BD2990"/>
    <w:rsid w:val="00C06762"/>
    <w:rsid w:val="00C07069"/>
    <w:rsid w:val="00C1104E"/>
    <w:rsid w:val="00C123EE"/>
    <w:rsid w:val="00C13CB6"/>
    <w:rsid w:val="00C20386"/>
    <w:rsid w:val="00CC71EF"/>
    <w:rsid w:val="00CE7CD2"/>
    <w:rsid w:val="00D0457A"/>
    <w:rsid w:val="00D35977"/>
    <w:rsid w:val="00D43F5A"/>
    <w:rsid w:val="00D8569E"/>
    <w:rsid w:val="00D87F07"/>
    <w:rsid w:val="00D9142A"/>
    <w:rsid w:val="00D9735E"/>
    <w:rsid w:val="00DB7F6F"/>
    <w:rsid w:val="00DD5A6C"/>
    <w:rsid w:val="00DF4FB8"/>
    <w:rsid w:val="00E07E23"/>
    <w:rsid w:val="00E1324A"/>
    <w:rsid w:val="00E27034"/>
    <w:rsid w:val="00E32D4B"/>
    <w:rsid w:val="00E40372"/>
    <w:rsid w:val="00E41116"/>
    <w:rsid w:val="00E414EF"/>
    <w:rsid w:val="00E455A5"/>
    <w:rsid w:val="00E835A1"/>
    <w:rsid w:val="00E83E2D"/>
    <w:rsid w:val="00E843B2"/>
    <w:rsid w:val="00ED41E5"/>
    <w:rsid w:val="00EE332B"/>
    <w:rsid w:val="00EF4610"/>
    <w:rsid w:val="00EF6CB2"/>
    <w:rsid w:val="00F01A5C"/>
    <w:rsid w:val="00F1246B"/>
    <w:rsid w:val="00F40513"/>
    <w:rsid w:val="00F424A9"/>
    <w:rsid w:val="00F5729F"/>
    <w:rsid w:val="00F65587"/>
    <w:rsid w:val="00F77E06"/>
    <w:rsid w:val="00F843C0"/>
    <w:rsid w:val="00F9021F"/>
    <w:rsid w:val="00FA7D60"/>
    <w:rsid w:val="00FB260A"/>
    <w:rsid w:val="00FC7CE6"/>
    <w:rsid w:val="00FD5DA3"/>
    <w:rsid w:val="00FD6497"/>
    <w:rsid w:val="00FF2EC3"/>
    <w:rsid w:val="00FF56B9"/>
    <w:rsid w:val="012A4E2C"/>
    <w:rsid w:val="013B5F16"/>
    <w:rsid w:val="023615AF"/>
    <w:rsid w:val="025E2D19"/>
    <w:rsid w:val="02614FC7"/>
    <w:rsid w:val="02DC2156"/>
    <w:rsid w:val="02E82811"/>
    <w:rsid w:val="030A6CC4"/>
    <w:rsid w:val="03614FBD"/>
    <w:rsid w:val="036C0D75"/>
    <w:rsid w:val="036E42DF"/>
    <w:rsid w:val="039B3DC0"/>
    <w:rsid w:val="03CC3F79"/>
    <w:rsid w:val="03FB03BA"/>
    <w:rsid w:val="04790F9B"/>
    <w:rsid w:val="04DA4474"/>
    <w:rsid w:val="04EC1DF7"/>
    <w:rsid w:val="057B7A05"/>
    <w:rsid w:val="05CD222A"/>
    <w:rsid w:val="05FD2B10"/>
    <w:rsid w:val="06084616"/>
    <w:rsid w:val="0619721E"/>
    <w:rsid w:val="06456265"/>
    <w:rsid w:val="06A74CDB"/>
    <w:rsid w:val="06A9292B"/>
    <w:rsid w:val="06C54323"/>
    <w:rsid w:val="06F70C16"/>
    <w:rsid w:val="071B1228"/>
    <w:rsid w:val="074B78AB"/>
    <w:rsid w:val="07BE53C7"/>
    <w:rsid w:val="08096B2E"/>
    <w:rsid w:val="085454AC"/>
    <w:rsid w:val="08892439"/>
    <w:rsid w:val="08EF7A39"/>
    <w:rsid w:val="095073FA"/>
    <w:rsid w:val="09C13E54"/>
    <w:rsid w:val="09EB05D3"/>
    <w:rsid w:val="0A530F50"/>
    <w:rsid w:val="0A5844F0"/>
    <w:rsid w:val="0AA132EE"/>
    <w:rsid w:val="0B3D750A"/>
    <w:rsid w:val="0B927BA2"/>
    <w:rsid w:val="0BB30133"/>
    <w:rsid w:val="0BC74F47"/>
    <w:rsid w:val="0BE32369"/>
    <w:rsid w:val="0BFD70B9"/>
    <w:rsid w:val="0C4845D6"/>
    <w:rsid w:val="0C770416"/>
    <w:rsid w:val="0CCA0D59"/>
    <w:rsid w:val="0DB22432"/>
    <w:rsid w:val="0E1B0D4A"/>
    <w:rsid w:val="0EE41D10"/>
    <w:rsid w:val="0F29068B"/>
    <w:rsid w:val="10395851"/>
    <w:rsid w:val="10A125AF"/>
    <w:rsid w:val="10B547F0"/>
    <w:rsid w:val="10BF65F0"/>
    <w:rsid w:val="11186A50"/>
    <w:rsid w:val="11386E78"/>
    <w:rsid w:val="11B73ED3"/>
    <w:rsid w:val="121E62E8"/>
    <w:rsid w:val="12241424"/>
    <w:rsid w:val="12277661"/>
    <w:rsid w:val="12511EBC"/>
    <w:rsid w:val="12B66520"/>
    <w:rsid w:val="12D30089"/>
    <w:rsid w:val="133D4C82"/>
    <w:rsid w:val="13D12EE6"/>
    <w:rsid w:val="13EE1CEA"/>
    <w:rsid w:val="13F37300"/>
    <w:rsid w:val="13FA2960"/>
    <w:rsid w:val="14700951"/>
    <w:rsid w:val="148154C9"/>
    <w:rsid w:val="151244E3"/>
    <w:rsid w:val="156F60AE"/>
    <w:rsid w:val="15DF0A75"/>
    <w:rsid w:val="16875DAB"/>
    <w:rsid w:val="169F0A74"/>
    <w:rsid w:val="16A11295"/>
    <w:rsid w:val="174D6D27"/>
    <w:rsid w:val="175400B6"/>
    <w:rsid w:val="17C675A6"/>
    <w:rsid w:val="17D631C0"/>
    <w:rsid w:val="18CE5C46"/>
    <w:rsid w:val="196F7429"/>
    <w:rsid w:val="19C77265"/>
    <w:rsid w:val="1A2024D1"/>
    <w:rsid w:val="1A2A2D28"/>
    <w:rsid w:val="1A514D80"/>
    <w:rsid w:val="1ABC0F82"/>
    <w:rsid w:val="1B9C64CF"/>
    <w:rsid w:val="1C0F4EF3"/>
    <w:rsid w:val="1C5E2638"/>
    <w:rsid w:val="1CAD7BD6"/>
    <w:rsid w:val="1CDC3027"/>
    <w:rsid w:val="1D2C4A21"/>
    <w:rsid w:val="1D4806BC"/>
    <w:rsid w:val="1E023D84"/>
    <w:rsid w:val="1E6C7E3E"/>
    <w:rsid w:val="1E8C6387"/>
    <w:rsid w:val="1EEE7042"/>
    <w:rsid w:val="1EF0375A"/>
    <w:rsid w:val="1F436741"/>
    <w:rsid w:val="1FFA549F"/>
    <w:rsid w:val="20346CD6"/>
    <w:rsid w:val="206E043A"/>
    <w:rsid w:val="20B63B8F"/>
    <w:rsid w:val="20FB3F44"/>
    <w:rsid w:val="211200FF"/>
    <w:rsid w:val="213E3BC7"/>
    <w:rsid w:val="21B75E11"/>
    <w:rsid w:val="22D62711"/>
    <w:rsid w:val="23046E34"/>
    <w:rsid w:val="23675615"/>
    <w:rsid w:val="23E80503"/>
    <w:rsid w:val="24376F6E"/>
    <w:rsid w:val="2443573A"/>
    <w:rsid w:val="24B42104"/>
    <w:rsid w:val="24F86524"/>
    <w:rsid w:val="25496D80"/>
    <w:rsid w:val="25670B39"/>
    <w:rsid w:val="25CD79B1"/>
    <w:rsid w:val="25DC3EE8"/>
    <w:rsid w:val="25E42F4C"/>
    <w:rsid w:val="27095D8A"/>
    <w:rsid w:val="27532138"/>
    <w:rsid w:val="27604855"/>
    <w:rsid w:val="277B51EB"/>
    <w:rsid w:val="279E6744"/>
    <w:rsid w:val="2829733C"/>
    <w:rsid w:val="28CC0709"/>
    <w:rsid w:val="29C22B06"/>
    <w:rsid w:val="2AB6770F"/>
    <w:rsid w:val="2AFC1105"/>
    <w:rsid w:val="2BAD2B02"/>
    <w:rsid w:val="2BDA1E37"/>
    <w:rsid w:val="2D4B05DB"/>
    <w:rsid w:val="2E0C3040"/>
    <w:rsid w:val="2E40384E"/>
    <w:rsid w:val="2F083808"/>
    <w:rsid w:val="2F0B058C"/>
    <w:rsid w:val="2F2B399A"/>
    <w:rsid w:val="2F454A5C"/>
    <w:rsid w:val="2F706C20"/>
    <w:rsid w:val="2F7C5FA4"/>
    <w:rsid w:val="2F82534F"/>
    <w:rsid w:val="302723B3"/>
    <w:rsid w:val="303040B7"/>
    <w:rsid w:val="306814F8"/>
    <w:rsid w:val="30AE6631"/>
    <w:rsid w:val="3106021B"/>
    <w:rsid w:val="3197089A"/>
    <w:rsid w:val="327A0EC0"/>
    <w:rsid w:val="33685BF1"/>
    <w:rsid w:val="339F33DF"/>
    <w:rsid w:val="34B76D87"/>
    <w:rsid w:val="34C65624"/>
    <w:rsid w:val="34D01D12"/>
    <w:rsid w:val="34D90AD3"/>
    <w:rsid w:val="350B5B62"/>
    <w:rsid w:val="3573099D"/>
    <w:rsid w:val="35C44201"/>
    <w:rsid w:val="366B28CE"/>
    <w:rsid w:val="380F4839"/>
    <w:rsid w:val="38206066"/>
    <w:rsid w:val="38913D17"/>
    <w:rsid w:val="38955FDF"/>
    <w:rsid w:val="393E01A9"/>
    <w:rsid w:val="396B1F46"/>
    <w:rsid w:val="39DC7D6B"/>
    <w:rsid w:val="3AD4054D"/>
    <w:rsid w:val="3B651FE2"/>
    <w:rsid w:val="3B714E2B"/>
    <w:rsid w:val="3D5134B7"/>
    <w:rsid w:val="3D6C58AA"/>
    <w:rsid w:val="3D8C5F4C"/>
    <w:rsid w:val="3E65515C"/>
    <w:rsid w:val="3E94330A"/>
    <w:rsid w:val="401F30A7"/>
    <w:rsid w:val="403F2E01"/>
    <w:rsid w:val="41480210"/>
    <w:rsid w:val="42B43A05"/>
    <w:rsid w:val="42CD0EA8"/>
    <w:rsid w:val="431A1904"/>
    <w:rsid w:val="43947908"/>
    <w:rsid w:val="44CB4DED"/>
    <w:rsid w:val="44F56185"/>
    <w:rsid w:val="4520080C"/>
    <w:rsid w:val="45413951"/>
    <w:rsid w:val="45B30A7B"/>
    <w:rsid w:val="45D90566"/>
    <w:rsid w:val="467B530C"/>
    <w:rsid w:val="46E47FFF"/>
    <w:rsid w:val="4779601E"/>
    <w:rsid w:val="481B0E08"/>
    <w:rsid w:val="482D3E87"/>
    <w:rsid w:val="48353A66"/>
    <w:rsid w:val="489160CA"/>
    <w:rsid w:val="48E01E61"/>
    <w:rsid w:val="49327CD0"/>
    <w:rsid w:val="493E1AE1"/>
    <w:rsid w:val="4A9B6FA0"/>
    <w:rsid w:val="4AF51556"/>
    <w:rsid w:val="4B035C36"/>
    <w:rsid w:val="4B2238EC"/>
    <w:rsid w:val="4B44550B"/>
    <w:rsid w:val="4C7D362F"/>
    <w:rsid w:val="4CAC0AD9"/>
    <w:rsid w:val="4CD55219"/>
    <w:rsid w:val="4DDD59C1"/>
    <w:rsid w:val="4E32294F"/>
    <w:rsid w:val="4E395334"/>
    <w:rsid w:val="4E593C28"/>
    <w:rsid w:val="4EFD2805"/>
    <w:rsid w:val="4F2558B8"/>
    <w:rsid w:val="4FAD1FC6"/>
    <w:rsid w:val="4FC74BC1"/>
    <w:rsid w:val="501324CE"/>
    <w:rsid w:val="501778F7"/>
    <w:rsid w:val="505D0D17"/>
    <w:rsid w:val="50747CE5"/>
    <w:rsid w:val="50CC06E1"/>
    <w:rsid w:val="50FA5D92"/>
    <w:rsid w:val="51B02576"/>
    <w:rsid w:val="51FB0B52"/>
    <w:rsid w:val="522023D1"/>
    <w:rsid w:val="52270DB5"/>
    <w:rsid w:val="531E5595"/>
    <w:rsid w:val="531F075A"/>
    <w:rsid w:val="5338205E"/>
    <w:rsid w:val="54303C00"/>
    <w:rsid w:val="549A06C6"/>
    <w:rsid w:val="54CA4ADE"/>
    <w:rsid w:val="5539757D"/>
    <w:rsid w:val="563E5DDA"/>
    <w:rsid w:val="569D042A"/>
    <w:rsid w:val="56C63E25"/>
    <w:rsid w:val="57555F1B"/>
    <w:rsid w:val="5794447B"/>
    <w:rsid w:val="57996E43"/>
    <w:rsid w:val="57A01936"/>
    <w:rsid w:val="57A57FD6"/>
    <w:rsid w:val="57DB7C8D"/>
    <w:rsid w:val="57F01F2D"/>
    <w:rsid w:val="58286739"/>
    <w:rsid w:val="583A6878"/>
    <w:rsid w:val="58733B38"/>
    <w:rsid w:val="588E44CE"/>
    <w:rsid w:val="58D367F3"/>
    <w:rsid w:val="592C1295"/>
    <w:rsid w:val="595B4CF8"/>
    <w:rsid w:val="5992568E"/>
    <w:rsid w:val="59DD74BB"/>
    <w:rsid w:val="59E266CB"/>
    <w:rsid w:val="59EF3692"/>
    <w:rsid w:val="5A121AEF"/>
    <w:rsid w:val="5A420BA5"/>
    <w:rsid w:val="5A8C449C"/>
    <w:rsid w:val="5B571FFB"/>
    <w:rsid w:val="5B6B556E"/>
    <w:rsid w:val="5BFB00CD"/>
    <w:rsid w:val="5C452F47"/>
    <w:rsid w:val="5C537F09"/>
    <w:rsid w:val="5C582B15"/>
    <w:rsid w:val="5C867919"/>
    <w:rsid w:val="5D086F45"/>
    <w:rsid w:val="5D243653"/>
    <w:rsid w:val="5D4D6706"/>
    <w:rsid w:val="5D9B49EA"/>
    <w:rsid w:val="5DF4639A"/>
    <w:rsid w:val="5DF76C0B"/>
    <w:rsid w:val="5E0E07F8"/>
    <w:rsid w:val="5E166162"/>
    <w:rsid w:val="5E42134A"/>
    <w:rsid w:val="5ED15115"/>
    <w:rsid w:val="5EFD5F0A"/>
    <w:rsid w:val="5FD702EA"/>
    <w:rsid w:val="5FEF619A"/>
    <w:rsid w:val="60252B89"/>
    <w:rsid w:val="604F4E8B"/>
    <w:rsid w:val="60B11334"/>
    <w:rsid w:val="61524586"/>
    <w:rsid w:val="616C2448"/>
    <w:rsid w:val="61882403"/>
    <w:rsid w:val="620316C6"/>
    <w:rsid w:val="626C326C"/>
    <w:rsid w:val="628C5F22"/>
    <w:rsid w:val="62C44CEE"/>
    <w:rsid w:val="630E06E5"/>
    <w:rsid w:val="634A0790"/>
    <w:rsid w:val="63DF2082"/>
    <w:rsid w:val="64E33DF4"/>
    <w:rsid w:val="652F2B95"/>
    <w:rsid w:val="654A16B4"/>
    <w:rsid w:val="654C7BEB"/>
    <w:rsid w:val="65DF5D81"/>
    <w:rsid w:val="65E76184"/>
    <w:rsid w:val="65FA2E2F"/>
    <w:rsid w:val="660F1D12"/>
    <w:rsid w:val="66375416"/>
    <w:rsid w:val="664803B2"/>
    <w:rsid w:val="66770C98"/>
    <w:rsid w:val="66EF6B43"/>
    <w:rsid w:val="67277FC8"/>
    <w:rsid w:val="677C2407"/>
    <w:rsid w:val="6804655B"/>
    <w:rsid w:val="68552A56"/>
    <w:rsid w:val="68C47A98"/>
    <w:rsid w:val="68C53F3C"/>
    <w:rsid w:val="6A8A21D9"/>
    <w:rsid w:val="6B170353"/>
    <w:rsid w:val="6B805A13"/>
    <w:rsid w:val="6B913722"/>
    <w:rsid w:val="6BFB1CFC"/>
    <w:rsid w:val="6CC80E6D"/>
    <w:rsid w:val="6CEE57FE"/>
    <w:rsid w:val="6D6A740A"/>
    <w:rsid w:val="6DDA15E5"/>
    <w:rsid w:val="6E0252EB"/>
    <w:rsid w:val="6E315BD0"/>
    <w:rsid w:val="6E9331FA"/>
    <w:rsid w:val="6F393D6E"/>
    <w:rsid w:val="6F8B1586"/>
    <w:rsid w:val="6F986B5B"/>
    <w:rsid w:val="70015658"/>
    <w:rsid w:val="70B2124A"/>
    <w:rsid w:val="70EC47D4"/>
    <w:rsid w:val="70F47B1E"/>
    <w:rsid w:val="710B6BAC"/>
    <w:rsid w:val="712B2DAA"/>
    <w:rsid w:val="71CC633B"/>
    <w:rsid w:val="71F238C8"/>
    <w:rsid w:val="72534367"/>
    <w:rsid w:val="72D70869"/>
    <w:rsid w:val="738A5B9F"/>
    <w:rsid w:val="73C6500C"/>
    <w:rsid w:val="7402700B"/>
    <w:rsid w:val="741F6AAA"/>
    <w:rsid w:val="749966D8"/>
    <w:rsid w:val="74A0585D"/>
    <w:rsid w:val="750E3D01"/>
    <w:rsid w:val="75436915"/>
    <w:rsid w:val="75F1571C"/>
    <w:rsid w:val="75FF643B"/>
    <w:rsid w:val="77A7157C"/>
    <w:rsid w:val="781E5417"/>
    <w:rsid w:val="78704663"/>
    <w:rsid w:val="78B143BF"/>
    <w:rsid w:val="790C1713"/>
    <w:rsid w:val="793F5645"/>
    <w:rsid w:val="79477DB9"/>
    <w:rsid w:val="798B5FEA"/>
    <w:rsid w:val="7A035425"/>
    <w:rsid w:val="7A937FAF"/>
    <w:rsid w:val="7AB465B7"/>
    <w:rsid w:val="7ACC115A"/>
    <w:rsid w:val="7AF81F4F"/>
    <w:rsid w:val="7AFA7F37"/>
    <w:rsid w:val="7B0D59BF"/>
    <w:rsid w:val="7B215011"/>
    <w:rsid w:val="7B5C267D"/>
    <w:rsid w:val="7B6C6499"/>
    <w:rsid w:val="7B7B492E"/>
    <w:rsid w:val="7B913955"/>
    <w:rsid w:val="7BEC3554"/>
    <w:rsid w:val="7C9E3D4A"/>
    <w:rsid w:val="7CB63E70"/>
    <w:rsid w:val="7D221505"/>
    <w:rsid w:val="7D334C5C"/>
    <w:rsid w:val="7D902913"/>
    <w:rsid w:val="7DE81904"/>
    <w:rsid w:val="7E2B6198"/>
    <w:rsid w:val="7E5135DF"/>
    <w:rsid w:val="7F306955"/>
    <w:rsid w:val="7F6D45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Calibri"/>
      <w:kern w:val="2"/>
      <w:sz w:val="21"/>
      <w:szCs w:val="24"/>
      <w:lang w:val="en-US" w:eastAsia="zh-CN" w:bidi="ar-SA"/>
    </w:rPr>
  </w:style>
  <w:style w:type="paragraph" w:styleId="2">
    <w:name w:val="heading 1"/>
    <w:basedOn w:val="1"/>
    <w:next w:val="1"/>
    <w:autoRedefine/>
    <w:qFormat/>
    <w:uiPriority w:val="0"/>
    <w:pPr>
      <w:keepNext/>
      <w:keepLines/>
      <w:spacing w:before="340" w:after="330" w:line="578" w:lineRule="auto"/>
      <w:outlineLvl w:val="0"/>
    </w:pPr>
    <w:rPr>
      <w:b/>
      <w:bCs/>
      <w:kern w:val="44"/>
      <w:sz w:val="44"/>
    </w:rPr>
  </w:style>
  <w:style w:type="paragraph" w:styleId="3">
    <w:name w:val="heading 2"/>
    <w:basedOn w:val="1"/>
    <w:next w:val="1"/>
    <w:autoRedefine/>
    <w:qFormat/>
    <w:uiPriority w:val="0"/>
    <w:pPr>
      <w:keepNext/>
      <w:keepLines/>
      <w:spacing w:before="260" w:after="260" w:line="415" w:lineRule="auto"/>
      <w:outlineLvl w:val="1"/>
    </w:pPr>
    <w:rPr>
      <w:rFonts w:ascii="Times New Roman" w:hAnsi="Times New Roman" w:eastAsia="黑体"/>
      <w:b/>
      <w:sz w:val="32"/>
    </w:rPr>
  </w:style>
  <w:style w:type="paragraph" w:styleId="4">
    <w:name w:val="heading 3"/>
    <w:basedOn w:val="1"/>
    <w:next w:val="1"/>
    <w:autoRedefine/>
    <w:qFormat/>
    <w:uiPriority w:val="0"/>
    <w:pPr>
      <w:keepNext/>
      <w:keepLines/>
      <w:spacing w:before="260" w:after="260" w:line="415" w:lineRule="auto"/>
      <w:outlineLvl w:val="2"/>
    </w:pPr>
    <w:rPr>
      <w:b/>
      <w:sz w:val="32"/>
    </w:rPr>
  </w:style>
  <w:style w:type="paragraph" w:styleId="5">
    <w:name w:val="heading 4"/>
    <w:basedOn w:val="1"/>
    <w:next w:val="1"/>
    <w:semiHidden/>
    <w:unhideWhenUsed/>
    <w:qFormat/>
    <w:uiPriority w:val="9"/>
    <w:pPr>
      <w:spacing w:beforeAutospacing="1" w:afterAutospacing="1"/>
      <w:jc w:val="left"/>
      <w:outlineLvl w:val="3"/>
    </w:pPr>
    <w:rPr>
      <w:rFonts w:hint="eastAsia" w:ascii="宋体" w:hAnsi="宋体" w:cs="Times New Roman"/>
      <w:b/>
      <w:bCs/>
      <w:kern w:val="0"/>
      <w:sz w:val="24"/>
    </w:rPr>
  </w:style>
  <w:style w:type="paragraph" w:styleId="6">
    <w:name w:val="heading 7"/>
    <w:basedOn w:val="1"/>
    <w:next w:val="1"/>
    <w:link w:val="27"/>
    <w:autoRedefine/>
    <w:qFormat/>
    <w:uiPriority w:val="9"/>
    <w:pPr>
      <w:keepNext/>
      <w:keepLines/>
      <w:spacing w:before="240" w:after="64" w:line="320" w:lineRule="auto"/>
      <w:outlineLvl w:val="6"/>
    </w:pPr>
    <w:rPr>
      <w:b/>
      <w:bCs/>
      <w:sz w:val="24"/>
    </w:rPr>
  </w:style>
  <w:style w:type="character" w:default="1" w:styleId="18">
    <w:name w:val="Default Paragraph Font"/>
    <w:semiHidden/>
    <w:unhideWhenUsed/>
    <w:qFormat/>
    <w:uiPriority w:val="1"/>
  </w:style>
  <w:style w:type="table" w:default="1" w:styleId="16">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annotation text"/>
    <w:basedOn w:val="1"/>
    <w:link w:val="28"/>
    <w:autoRedefine/>
    <w:unhideWhenUsed/>
    <w:qFormat/>
    <w:uiPriority w:val="99"/>
    <w:pPr>
      <w:adjustRightInd w:val="0"/>
      <w:spacing w:line="400" w:lineRule="exact"/>
      <w:jc w:val="left"/>
    </w:pPr>
    <w:rPr>
      <w:szCs w:val="21"/>
    </w:rPr>
  </w:style>
  <w:style w:type="paragraph" w:styleId="8">
    <w:name w:val="Balloon Text"/>
    <w:basedOn w:val="1"/>
    <w:link w:val="29"/>
    <w:autoRedefine/>
    <w:unhideWhenUsed/>
    <w:qFormat/>
    <w:uiPriority w:val="99"/>
    <w:rPr>
      <w:sz w:val="18"/>
      <w:szCs w:val="18"/>
    </w:rPr>
  </w:style>
  <w:style w:type="paragraph" w:styleId="9">
    <w:name w:val="footer"/>
    <w:basedOn w:val="1"/>
    <w:link w:val="30"/>
    <w:autoRedefine/>
    <w:qFormat/>
    <w:uiPriority w:val="99"/>
    <w:pPr>
      <w:tabs>
        <w:tab w:val="center" w:pos="4153"/>
        <w:tab w:val="right" w:pos="8306"/>
      </w:tabs>
      <w:snapToGrid w:val="0"/>
      <w:jc w:val="left"/>
    </w:pPr>
    <w:rPr>
      <w:sz w:val="18"/>
      <w:szCs w:val="18"/>
    </w:rPr>
  </w:style>
  <w:style w:type="paragraph" w:styleId="10">
    <w:name w:val="envelope return"/>
    <w:basedOn w:val="1"/>
    <w:autoRedefine/>
    <w:qFormat/>
    <w:uiPriority w:val="0"/>
    <w:pPr>
      <w:snapToGrid w:val="0"/>
    </w:pPr>
    <w:rPr>
      <w:rFonts w:ascii="Times New Roman" w:hAnsi="Times New Roman"/>
    </w:rPr>
  </w:style>
  <w:style w:type="paragraph" w:styleId="11">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2">
    <w:name w:val="toc 4"/>
    <w:basedOn w:val="1"/>
    <w:next w:val="1"/>
    <w:autoRedefine/>
    <w:unhideWhenUsed/>
    <w:qFormat/>
    <w:uiPriority w:val="39"/>
    <w:pPr>
      <w:tabs>
        <w:tab w:val="right" w:leader="dot" w:pos="9344"/>
      </w:tabs>
      <w:adjustRightInd w:val="0"/>
      <w:spacing w:line="300" w:lineRule="exact"/>
      <w:ind w:left="629"/>
    </w:pPr>
    <w:rPr>
      <w:rFonts w:ascii="宋体"/>
      <w:szCs w:val="21"/>
    </w:rPr>
  </w:style>
  <w:style w:type="paragraph" w:styleId="13">
    <w:name w:val="HTML Preformatted"/>
    <w:basedOn w:val="1"/>
    <w:semiHidden/>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cs="Times New Roman"/>
      <w:kern w:val="0"/>
      <w:sz w:val="24"/>
    </w:rPr>
  </w:style>
  <w:style w:type="paragraph" w:styleId="14">
    <w:name w:val="Normal (Web)"/>
    <w:basedOn w:val="1"/>
    <w:autoRedefine/>
    <w:semiHidden/>
    <w:unhideWhenUsed/>
    <w:qFormat/>
    <w:uiPriority w:val="99"/>
    <w:rPr>
      <w:sz w:val="24"/>
    </w:rPr>
  </w:style>
  <w:style w:type="paragraph" w:styleId="15">
    <w:name w:val="Title"/>
    <w:basedOn w:val="1"/>
    <w:link w:val="66"/>
    <w:qFormat/>
    <w:uiPriority w:val="10"/>
    <w:pPr>
      <w:spacing w:before="240" w:after="60"/>
      <w:jc w:val="center"/>
      <w:outlineLvl w:val="0"/>
    </w:pPr>
    <w:rPr>
      <w:rFonts w:ascii="Arial" w:hAnsi="Arial"/>
      <w:b/>
      <w:sz w:val="32"/>
    </w:rPr>
  </w:style>
  <w:style w:type="table" w:styleId="17">
    <w:name w:val="Table Grid"/>
    <w:basedOn w:val="16"/>
    <w:autoRedefine/>
    <w:qFormat/>
    <w:uiPriority w:val="39"/>
    <w:rPr>
      <w:rFonts w:ascii="Calibri" w:hAnsi="Calibri"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19">
    <w:name w:val="Strong"/>
    <w:basedOn w:val="18"/>
    <w:autoRedefine/>
    <w:qFormat/>
    <w:uiPriority w:val="22"/>
    <w:rPr>
      <w:b/>
    </w:rPr>
  </w:style>
  <w:style w:type="character" w:styleId="20">
    <w:name w:val="Emphasis"/>
    <w:basedOn w:val="18"/>
    <w:qFormat/>
    <w:uiPriority w:val="20"/>
    <w:rPr>
      <w:i/>
    </w:rPr>
  </w:style>
  <w:style w:type="character" w:styleId="21">
    <w:name w:val="line number"/>
    <w:autoRedefine/>
    <w:qFormat/>
    <w:uiPriority w:val="0"/>
  </w:style>
  <w:style w:type="character" w:styleId="22">
    <w:name w:val="Hyperlink"/>
    <w:autoRedefine/>
    <w:qFormat/>
    <w:uiPriority w:val="0"/>
    <w:rPr>
      <w:rFonts w:ascii="宋体" w:eastAsia="宋体"/>
      <w:color w:val="auto"/>
      <w:spacing w:val="0"/>
      <w:w w:val="100"/>
      <w:position w:val="0"/>
      <w:sz w:val="21"/>
      <w:u w:val="none"/>
      <w:vertAlign w:val="baseline"/>
    </w:rPr>
  </w:style>
  <w:style w:type="character" w:styleId="23">
    <w:name w:val="annotation reference"/>
    <w:basedOn w:val="18"/>
    <w:autoRedefine/>
    <w:qFormat/>
    <w:uiPriority w:val="99"/>
    <w:rPr>
      <w:sz w:val="21"/>
      <w:szCs w:val="21"/>
    </w:rPr>
  </w:style>
  <w:style w:type="character" w:styleId="24">
    <w:name w:val="footnote reference"/>
    <w:autoRedefine/>
    <w:qFormat/>
    <w:uiPriority w:val="0"/>
    <w:rPr>
      <w:vertAlign w:val="superscript"/>
    </w:rPr>
  </w:style>
  <w:style w:type="paragraph" w:customStyle="1" w:styleId="25">
    <w:name w:val="BodyText2"/>
    <w:basedOn w:val="1"/>
    <w:autoRedefine/>
    <w:qFormat/>
    <w:uiPriority w:val="0"/>
    <w:pPr>
      <w:spacing w:after="120" w:line="480" w:lineRule="auto"/>
      <w:textAlignment w:val="baseline"/>
    </w:pPr>
    <w:rPr>
      <w:rFonts w:cs="Times New Roman"/>
      <w:sz w:val="32"/>
      <w:szCs w:val="32"/>
    </w:rPr>
  </w:style>
  <w:style w:type="paragraph" w:customStyle="1" w:styleId="26">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7">
    <w:name w:val="标题 7 字符"/>
    <w:link w:val="6"/>
    <w:autoRedefine/>
    <w:qFormat/>
    <w:uiPriority w:val="0"/>
    <w:rPr>
      <w:rFonts w:eastAsia="宋体"/>
      <w:b/>
      <w:bCs/>
      <w:kern w:val="2"/>
      <w:sz w:val="24"/>
      <w:szCs w:val="24"/>
    </w:rPr>
  </w:style>
  <w:style w:type="character" w:customStyle="1" w:styleId="28">
    <w:name w:val="批注文字 字符"/>
    <w:link w:val="7"/>
    <w:autoRedefine/>
    <w:semiHidden/>
    <w:qFormat/>
    <w:uiPriority w:val="99"/>
    <w:rPr>
      <w:rFonts w:ascii="Calibri" w:hAnsi="Calibri" w:eastAsia="宋体"/>
      <w:kern w:val="2"/>
      <w:sz w:val="21"/>
      <w:szCs w:val="21"/>
    </w:rPr>
  </w:style>
  <w:style w:type="character" w:customStyle="1" w:styleId="29">
    <w:name w:val="批注框文本 字符"/>
    <w:link w:val="8"/>
    <w:autoRedefine/>
    <w:semiHidden/>
    <w:qFormat/>
    <w:uiPriority w:val="99"/>
    <w:rPr>
      <w:rFonts w:eastAsia="宋体"/>
      <w:kern w:val="2"/>
      <w:sz w:val="18"/>
      <w:szCs w:val="18"/>
    </w:rPr>
  </w:style>
  <w:style w:type="character" w:customStyle="1" w:styleId="30">
    <w:name w:val="页脚 字符"/>
    <w:link w:val="9"/>
    <w:autoRedefine/>
    <w:qFormat/>
    <w:locked/>
    <w:uiPriority w:val="99"/>
    <w:rPr>
      <w:rFonts w:eastAsia="宋体"/>
      <w:kern w:val="2"/>
      <w:sz w:val="18"/>
      <w:szCs w:val="18"/>
    </w:rPr>
  </w:style>
  <w:style w:type="paragraph" w:customStyle="1" w:styleId="31">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32">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33">
    <w:name w:val="标准文件_段"/>
    <w:link w:val="34"/>
    <w:autoRedefine/>
    <w:qFormat/>
    <w:uiPriority w:val="0"/>
    <w:pPr>
      <w:autoSpaceDE w:val="0"/>
      <w:autoSpaceDN w:val="0"/>
      <w:spacing w:before="156" w:beforeLines="50" w:after="156" w:afterLines="50" w:line="520" w:lineRule="exact"/>
      <w:ind w:firstLine="480" w:firstLineChars="200"/>
      <w:jc w:val="center"/>
    </w:pPr>
    <w:rPr>
      <w:rFonts w:ascii="黑体" w:hAnsi="黑体" w:eastAsia="黑体" w:cs="黑体"/>
      <w:bCs/>
      <w:sz w:val="24"/>
      <w:szCs w:val="24"/>
      <w:lang w:val="en-US" w:eastAsia="zh-CN" w:bidi="ar-SA"/>
    </w:rPr>
  </w:style>
  <w:style w:type="character" w:customStyle="1" w:styleId="34">
    <w:name w:val="标准文件_段 Char"/>
    <w:link w:val="33"/>
    <w:autoRedefine/>
    <w:qFormat/>
    <w:uiPriority w:val="0"/>
    <w:rPr>
      <w:rFonts w:ascii="黑体" w:hAnsi="黑体" w:eastAsia="黑体" w:cs="黑体"/>
      <w:bCs/>
      <w:sz w:val="24"/>
      <w:szCs w:val="24"/>
    </w:rPr>
  </w:style>
  <w:style w:type="paragraph" w:customStyle="1" w:styleId="35">
    <w:name w:val="标准文件_章标题"/>
    <w:next w:val="33"/>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6">
    <w:name w:val="标准文件_二级条标题"/>
    <w:next w:val="33"/>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7">
    <w:name w:val="标准文件_一级条标题"/>
    <w:basedOn w:val="35"/>
    <w:next w:val="33"/>
    <w:autoRedefine/>
    <w:qFormat/>
    <w:uiPriority w:val="0"/>
    <w:pPr>
      <w:numPr>
        <w:ilvl w:val="2"/>
      </w:numPr>
      <w:spacing w:before="50" w:beforeLines="0" w:after="50" w:afterLines="0"/>
      <w:outlineLvl w:val="1"/>
    </w:pPr>
  </w:style>
  <w:style w:type="paragraph" w:customStyle="1" w:styleId="38">
    <w:name w:val="标准文件_三级条标题"/>
    <w:basedOn w:val="36"/>
    <w:next w:val="33"/>
    <w:autoRedefine/>
    <w:qFormat/>
    <w:uiPriority w:val="0"/>
    <w:pPr>
      <w:outlineLvl w:val="3"/>
    </w:pPr>
  </w:style>
  <w:style w:type="paragraph" w:customStyle="1" w:styleId="39">
    <w:name w:val="标准文件_四级条标题"/>
    <w:next w:val="33"/>
    <w:autoRedefine/>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40">
    <w:name w:val="标准文件_五级条标题"/>
    <w:next w:val="36"/>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41">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42">
    <w:name w:val="标准文件_四级无标题"/>
    <w:basedOn w:val="39"/>
    <w:autoRedefine/>
    <w:qFormat/>
    <w:uiPriority w:val="0"/>
    <w:pPr>
      <w:numPr>
        <w:ilvl w:val="5"/>
        <w:numId w:val="1"/>
      </w:numPr>
    </w:pPr>
    <w:rPr>
      <w:rFonts w:ascii="宋体" w:eastAsia="宋体"/>
      <w:szCs w:val="52"/>
    </w:rPr>
  </w:style>
  <w:style w:type="paragraph" w:customStyle="1" w:styleId="43">
    <w:name w:val="标准文件_三级无标题"/>
    <w:basedOn w:val="38"/>
    <w:autoRedefine/>
    <w:qFormat/>
    <w:uiPriority w:val="0"/>
    <w:pPr>
      <w:numPr>
        <w:ilvl w:val="4"/>
        <w:numId w:val="1"/>
      </w:numPr>
    </w:pPr>
    <w:rPr>
      <w:rFonts w:ascii="宋体" w:eastAsia="宋体"/>
    </w:rPr>
  </w:style>
  <w:style w:type="paragraph" w:customStyle="1" w:styleId="44">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5">
    <w:name w:val="font11"/>
    <w:autoRedefine/>
    <w:qFormat/>
    <w:uiPriority w:val="0"/>
    <w:rPr>
      <w:rFonts w:ascii="等线" w:eastAsia="等线"/>
      <w:b/>
      <w:bCs/>
      <w:color w:val="FF0000"/>
      <w:sz w:val="22"/>
      <w:szCs w:val="22"/>
      <w:u w:val="none"/>
    </w:rPr>
  </w:style>
  <w:style w:type="character" w:customStyle="1" w:styleId="46">
    <w:name w:val="font01"/>
    <w:autoRedefine/>
    <w:qFormat/>
    <w:uiPriority w:val="0"/>
    <w:rPr>
      <w:rFonts w:ascii="等线" w:eastAsia="等线"/>
      <w:color w:val="000000"/>
      <w:sz w:val="22"/>
      <w:szCs w:val="22"/>
      <w:u w:val="none"/>
    </w:rPr>
  </w:style>
  <w:style w:type="paragraph" w:customStyle="1" w:styleId="47">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8">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9">
    <w:name w:val="标准文件_二级无标题"/>
    <w:basedOn w:val="36"/>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50">
    <w:name w:val="Char Char Char Char"/>
    <w:basedOn w:val="1"/>
    <w:autoRedefine/>
    <w:qFormat/>
    <w:uiPriority w:val="0"/>
  </w:style>
  <w:style w:type="paragraph" w:customStyle="1" w:styleId="51">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52">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53">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4">
    <w:name w:val="标准文件_术语条一"/>
    <w:basedOn w:val="1"/>
    <w:next w:val="33"/>
    <w:autoRedefine/>
    <w:qFormat/>
    <w:uiPriority w:val="0"/>
    <w:pPr>
      <w:widowControl/>
    </w:pPr>
    <w:rPr>
      <w:rFonts w:ascii="宋体"/>
      <w:kern w:val="0"/>
      <w:szCs w:val="20"/>
    </w:rPr>
  </w:style>
  <w:style w:type="paragraph" w:customStyle="1" w:styleId="55">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6">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7">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8">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9">
    <w:name w:val="普通(网站) Char"/>
    <w:basedOn w:val="1"/>
    <w:qFormat/>
    <w:uiPriority w:val="0"/>
    <w:pPr>
      <w:spacing w:beforeAutospacing="1" w:afterAutospacing="1"/>
      <w:jc w:val="left"/>
    </w:pPr>
    <w:rPr>
      <w:rFonts w:hint="eastAsia" w:ascii="宋体" w:hAnsi="宋体" w:cs="Times New Roman"/>
      <w:kern w:val="0"/>
      <w:sz w:val="24"/>
    </w:rPr>
  </w:style>
  <w:style w:type="paragraph" w:customStyle="1" w:styleId="60">
    <w:name w:val="标准文件_五级无标题"/>
    <w:qFormat/>
    <w:uiPriority w:val="0"/>
    <w:pPr>
      <w:widowControl w:val="0"/>
      <w:numPr>
        <w:ilvl w:val="6"/>
        <w:numId w:val="7"/>
      </w:numPr>
      <w:jc w:val="both"/>
    </w:pPr>
    <w:rPr>
      <w:rFonts w:hint="eastAsia" w:ascii="宋体" w:hAnsi="Times New Roman" w:eastAsia="宋体" w:cs="Times New Roman"/>
      <w:sz w:val="21"/>
      <w:lang w:val="en-US" w:eastAsia="zh-CN" w:bidi="ar-SA"/>
    </w:rPr>
  </w:style>
  <w:style w:type="paragraph" w:customStyle="1" w:styleId="61">
    <w:name w:val="标准文件_注×："/>
    <w:basedOn w:val="1"/>
    <w:qFormat/>
    <w:uiPriority w:val="0"/>
    <w:pPr>
      <w:numPr>
        <w:ilvl w:val="0"/>
        <w:numId w:val="8"/>
      </w:numPr>
      <w:autoSpaceDE w:val="0"/>
      <w:autoSpaceDN w:val="0"/>
    </w:pPr>
    <w:rPr>
      <w:rFonts w:hint="eastAsia" w:ascii="宋体" w:hAnsi="Times New Roman" w:cs="Times New Roman"/>
      <w:kern w:val="0"/>
      <w:sz w:val="18"/>
      <w:szCs w:val="18"/>
    </w:rPr>
  </w:style>
  <w:style w:type="paragraph" w:customStyle="1" w:styleId="62">
    <w:name w:val="标准文件_表格"/>
    <w:basedOn w:val="1"/>
    <w:qFormat/>
    <w:uiPriority w:val="0"/>
    <w:pPr>
      <w:widowControl/>
      <w:autoSpaceDE w:val="0"/>
      <w:autoSpaceDN w:val="0"/>
      <w:jc w:val="center"/>
    </w:pPr>
    <w:rPr>
      <w:rFonts w:hint="eastAsia" w:ascii="宋体" w:hAnsi="Times New Roman" w:cs="Times New Roman"/>
      <w:kern w:val="0"/>
      <w:sz w:val="18"/>
      <w:szCs w:val="20"/>
    </w:rPr>
  </w:style>
  <w:style w:type="paragraph" w:customStyle="1" w:styleId="63">
    <w:name w:val="标准文件_附录表标题"/>
    <w:basedOn w:val="1"/>
    <w:next w:val="1"/>
    <w:qFormat/>
    <w:uiPriority w:val="0"/>
    <w:pPr>
      <w:widowControl/>
      <w:numPr>
        <w:ilvl w:val="1"/>
        <w:numId w:val="9"/>
      </w:numPr>
      <w:adjustRightInd w:val="0"/>
      <w:snapToGrid w:val="0"/>
      <w:spacing w:before="50" w:beforeLines="50" w:after="50" w:afterLines="50"/>
      <w:jc w:val="center"/>
    </w:pPr>
    <w:rPr>
      <w:rFonts w:hint="eastAsia" w:ascii="黑体" w:hAnsi="Times New Roman" w:eastAsia="黑体" w:cs="Times New Roman"/>
      <w:kern w:val="21"/>
      <w:szCs w:val="20"/>
    </w:rPr>
  </w:style>
  <w:style w:type="character" w:customStyle="1" w:styleId="64">
    <w:name w:val="font31"/>
    <w:basedOn w:val="18"/>
    <w:qFormat/>
    <w:uiPriority w:val="0"/>
    <w:rPr>
      <w:rFonts w:hint="eastAsia" w:ascii="宋体" w:hAnsi="宋体" w:eastAsia="宋体" w:cs="宋体"/>
      <w:color w:val="1F2329"/>
      <w:sz w:val="24"/>
      <w:szCs w:val="24"/>
      <w:u w:val="none"/>
    </w:rPr>
  </w:style>
  <w:style w:type="paragraph" w:customStyle="1" w:styleId="65">
    <w:name w:val="标准文件_附录一级条标题"/>
    <w:basedOn w:val="1"/>
    <w:next w:val="1"/>
    <w:qFormat/>
    <w:uiPriority w:val="0"/>
    <w:pPr>
      <w:numPr>
        <w:ilvl w:val="1"/>
        <w:numId w:val="10"/>
      </w:numPr>
      <w:spacing w:before="50" w:beforeLines="50" w:after="50" w:afterLines="50"/>
      <w:outlineLvl w:val="2"/>
    </w:pPr>
    <w:rPr>
      <w:rFonts w:hint="eastAsia" w:ascii="黑体" w:hAnsi="Times New Roman" w:eastAsia="黑体" w:cs="Times New Roman"/>
      <w:kern w:val="21"/>
      <w:szCs w:val="20"/>
    </w:rPr>
  </w:style>
  <w:style w:type="character" w:customStyle="1" w:styleId="66">
    <w:name w:val="标题 字符"/>
    <w:basedOn w:val="18"/>
    <w:link w:val="15"/>
    <w:qFormat/>
    <w:uiPriority w:val="0"/>
    <w:rPr>
      <w:rFonts w:ascii="等线 Light" w:hAnsi="等线 Light" w:eastAsia="等线 Light" w:cs="Times New Roman"/>
      <w:b/>
      <w:bCs/>
      <w:kern w:val="2"/>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28</Pages>
  <Words>4398</Words>
  <Characters>4500</Characters>
  <Lines>158</Lines>
  <Paragraphs>44</Paragraphs>
  <TotalTime>4</TotalTime>
  <ScaleCrop>false</ScaleCrop>
  <LinksUpToDate>false</LinksUpToDate>
  <CharactersWithSpaces>4511</CharactersWithSpaces>
  <Application>WPS Office_12.1.0.25225_F1E327BC-269C-435d-A152-05C5408002CA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2025-04-23T01:45:00Z</dcterms:created>
  <dc:creator>Administrator</dc:creator>
  <cp:lastModifiedBy>对方正在输入...</cp:lastModifiedBy>
  <cp:lastPrinted>2025-09-04T06:54:00Z</cp:lastPrinted>
  <dcterms:modified xsi:type="dcterms:W3CDTF">2026-02-27T07:07:32Z</dcterms:modified>
  <cp:revision>39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2052-12.1.0.25225</vt:lpwstr>
  </property>
  <property fmtid="{D5CDD505-2E9C-101B-9397-08002B2CF9AE}" pid="3" name="ICV">
    <vt:lpwstr>550319053AE14125AFC1710B7A515314_13</vt:lpwstr>
  </property>
  <property fmtid="{D5CDD505-2E9C-101B-9397-08002B2CF9AE}" pid="4" name="KSOTemplateDocerSaveRecord">
    <vt:lpwstr>eyJoZGlkIjoiMzg2YTk3YWJlMzJiOWE4NmU5OTkxNmM1MjU1OThkOTQiLCJ1c2VySWQiOiIzMjAyMTY5NjkifQ==</vt:lpwstr>
  </property>
</Properties>
</file>