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ACC5B">
      <w:pPr>
        <w:spacing w:line="560" w:lineRule="exact"/>
        <w:jc w:val="center"/>
        <w:rPr>
          <w:rFonts w:ascii="黑体" w:hAnsi="黑体" w:eastAsia="黑体" w:cs="黑体"/>
          <w:color w:val="000000"/>
          <w:sz w:val="44"/>
          <w:szCs w:val="44"/>
        </w:rPr>
      </w:pPr>
      <w:r>
        <w:rPr>
          <w:rFonts w:hint="eastAsia" w:ascii="黑体" w:hAnsi="黑体" w:eastAsia="黑体" w:cs="黑体"/>
          <w:color w:val="000000"/>
          <w:sz w:val="44"/>
          <w:szCs w:val="44"/>
        </w:rPr>
        <w:t>团体标准《双腔造口灌肠护理技术规范》</w:t>
      </w:r>
    </w:p>
    <w:p w14:paraId="44817574">
      <w:pPr>
        <w:spacing w:line="560" w:lineRule="exact"/>
        <w:jc w:val="center"/>
        <w:rPr>
          <w:rFonts w:ascii="黑体" w:hAnsi="黑体" w:eastAsia="黑体" w:cs="黑体"/>
          <w:color w:val="000000"/>
          <w:sz w:val="44"/>
          <w:szCs w:val="44"/>
        </w:rPr>
      </w:pPr>
      <w:r>
        <w:rPr>
          <w:rFonts w:hint="eastAsia" w:ascii="黑体" w:hAnsi="黑体" w:eastAsia="黑体" w:cs="黑体"/>
          <w:color w:val="000000"/>
          <w:sz w:val="44"/>
          <w:szCs w:val="44"/>
        </w:rPr>
        <w:t>（征求意见稿）编制说明</w:t>
      </w:r>
    </w:p>
    <w:p w14:paraId="12FE8E5A">
      <w:pPr>
        <w:pStyle w:val="9"/>
        <w:ind w:firstLine="640" w:firstLineChars="200"/>
        <w:jc w:val="left"/>
        <w:rPr>
          <w:rFonts w:ascii="黑体" w:hAnsi="黑体" w:eastAsia="黑体"/>
          <w:b w:val="0"/>
        </w:rPr>
      </w:pPr>
      <w:r>
        <w:rPr>
          <w:rFonts w:hint="eastAsia" w:ascii="黑体" w:hAnsi="黑体" w:eastAsia="黑体"/>
          <w:b w:val="0"/>
        </w:rPr>
        <w:t>一、项目来源</w:t>
      </w:r>
    </w:p>
    <w:p w14:paraId="564263ED">
      <w:pPr>
        <w:spacing w:line="560" w:lineRule="exact"/>
        <w:ind w:firstLine="640" w:firstLineChars="200"/>
        <w:rPr>
          <w:rFonts w:ascii="仿宋" w:hAnsi="仿宋" w:eastAsia="仿宋"/>
          <w:sz w:val="32"/>
          <w:szCs w:val="32"/>
        </w:rPr>
      </w:pPr>
      <w:r>
        <w:rPr>
          <w:rFonts w:hint="eastAsia" w:ascii="仿宋" w:hAnsi="仿宋" w:eastAsia="仿宋"/>
          <w:sz w:val="32"/>
          <w:szCs w:val="32"/>
        </w:rPr>
        <w:t>根据《广西标准化协会关于下达2026年第五批团体标准制修定项目计划的通知》（桂标协〔2026〕61号）文件精神，由广西护理学会提出，广西医科大学附属肿瘤医院、南宁市第一人民医院、广西壮族自治区民族医院、</w:t>
      </w:r>
      <w:bookmarkStart w:id="0" w:name="OLE_LINK4"/>
      <w:bookmarkStart w:id="1" w:name="OLE_LINK3"/>
      <w:r>
        <w:rPr>
          <w:rFonts w:hint="eastAsia" w:ascii="仿宋" w:hAnsi="仿宋" w:eastAsia="仿宋"/>
          <w:sz w:val="32"/>
          <w:szCs w:val="32"/>
        </w:rPr>
        <w:t>广西中医药大学第一附属医院</w:t>
      </w:r>
      <w:bookmarkEnd w:id="0"/>
      <w:bookmarkEnd w:id="1"/>
      <w:r>
        <w:rPr>
          <w:rFonts w:hint="eastAsia" w:ascii="仿宋" w:hAnsi="仿宋" w:eastAsia="仿宋"/>
          <w:sz w:val="32"/>
          <w:szCs w:val="32"/>
        </w:rPr>
        <w:t>、广西中医药大学附属瑞康医院、柳州市人民医院、广西医科大学附属口腔医院、广西壮族自治区工人医院等单位共同起草的团体标准《双腔造口灌肠护理技术规范》（项目编号2026-0507）获批立项。</w:t>
      </w:r>
    </w:p>
    <w:p w14:paraId="20F47B43">
      <w:pPr>
        <w:spacing w:line="560" w:lineRule="exact"/>
        <w:ind w:firstLine="640" w:firstLineChars="200"/>
        <w:rPr>
          <w:rFonts w:ascii="仿宋" w:hAnsi="仿宋" w:eastAsia="仿宋"/>
          <w:sz w:val="32"/>
          <w:szCs w:val="32"/>
        </w:rPr>
      </w:pPr>
      <w:r>
        <w:rPr>
          <w:rFonts w:hint="eastAsia" w:ascii="仿宋" w:hAnsi="仿宋" w:eastAsia="仿宋"/>
          <w:sz w:val="32"/>
          <w:szCs w:val="32"/>
        </w:rPr>
        <w:t>主要分工如下：</w:t>
      </w:r>
    </w:p>
    <w:tbl>
      <w:tblPr>
        <w:tblStyle w:val="10"/>
        <w:tblW w:w="5330" w:type="pct"/>
        <w:jc w:val="center"/>
        <w:tblLayout w:type="autofit"/>
        <w:tblCellMar>
          <w:top w:w="0" w:type="dxa"/>
          <w:left w:w="108" w:type="dxa"/>
          <w:bottom w:w="0" w:type="dxa"/>
          <w:right w:w="108" w:type="dxa"/>
        </w:tblCellMar>
      </w:tblPr>
      <w:tblGrid>
        <w:gridCol w:w="1155"/>
        <w:gridCol w:w="1321"/>
        <w:gridCol w:w="2511"/>
        <w:gridCol w:w="4097"/>
      </w:tblGrid>
      <w:tr w14:paraId="2F838CB4">
        <w:tblPrEx>
          <w:tblCellMar>
            <w:top w:w="0" w:type="dxa"/>
            <w:left w:w="108" w:type="dxa"/>
            <w:bottom w:w="0" w:type="dxa"/>
            <w:right w:w="108" w:type="dxa"/>
          </w:tblCellMar>
        </w:tblPrEx>
        <w:trPr>
          <w:cantSplit/>
          <w:trHeight w:val="576" w:hRule="atLeast"/>
          <w:jc w:val="center"/>
        </w:trPr>
        <w:tc>
          <w:tcPr>
            <w:tcW w:w="636" w:type="pct"/>
            <w:tcBorders>
              <w:top w:val="single" w:color="auto" w:sz="4" w:space="0"/>
              <w:left w:val="single" w:color="auto" w:sz="4" w:space="0"/>
              <w:bottom w:val="single" w:color="auto" w:sz="4" w:space="0"/>
              <w:right w:val="single" w:color="auto" w:sz="4" w:space="0"/>
            </w:tcBorders>
            <w:vAlign w:val="center"/>
          </w:tcPr>
          <w:p w14:paraId="4C358964">
            <w:pPr>
              <w:rPr>
                <w:rFonts w:ascii="仿宋_GB2312" w:hAnsi="仿宋_GB2312" w:eastAsia="仿宋_GB2312" w:cs="仿宋_GB2312"/>
                <w:b/>
                <w:bCs/>
                <w:sz w:val="24"/>
              </w:rPr>
            </w:pPr>
            <w:r>
              <w:rPr>
                <w:rFonts w:hint="eastAsia" w:ascii="仿宋_GB2312" w:hAnsi="仿宋_GB2312" w:eastAsia="仿宋_GB2312" w:cs="仿宋_GB2312"/>
                <w:b/>
                <w:bCs/>
                <w:sz w:val="24"/>
              </w:rPr>
              <w:t>姓  名</w:t>
            </w:r>
          </w:p>
        </w:tc>
        <w:tc>
          <w:tcPr>
            <w:tcW w:w="727" w:type="pct"/>
            <w:tcBorders>
              <w:top w:val="single" w:color="auto" w:sz="4" w:space="0"/>
              <w:left w:val="single" w:color="auto" w:sz="4" w:space="0"/>
              <w:bottom w:val="single" w:color="auto" w:sz="4" w:space="0"/>
              <w:right w:val="single" w:color="auto" w:sz="4" w:space="0"/>
            </w:tcBorders>
            <w:vAlign w:val="center"/>
          </w:tcPr>
          <w:p w14:paraId="0089F9BD">
            <w:pPr>
              <w:jc w:val="center"/>
              <w:rPr>
                <w:rFonts w:ascii="仿宋_GB2312" w:hAnsi="仿宋_GB2312" w:eastAsia="仿宋_GB2312" w:cs="仿宋_GB2312"/>
                <w:b/>
                <w:bCs/>
                <w:sz w:val="24"/>
              </w:rPr>
            </w:pPr>
            <w:r>
              <w:rPr>
                <w:rFonts w:hint="eastAsia" w:ascii="仿宋_GB2312" w:hAnsi="仿宋_GB2312" w:eastAsia="仿宋_GB2312" w:cs="仿宋_GB2312"/>
                <w:b/>
                <w:bCs/>
                <w:sz w:val="24"/>
              </w:rPr>
              <w:t>职称/职位</w:t>
            </w:r>
          </w:p>
        </w:tc>
        <w:tc>
          <w:tcPr>
            <w:tcW w:w="1382" w:type="pct"/>
            <w:tcBorders>
              <w:top w:val="single" w:color="auto" w:sz="4" w:space="0"/>
              <w:left w:val="single" w:color="auto" w:sz="4" w:space="0"/>
              <w:bottom w:val="single" w:color="auto" w:sz="4" w:space="0"/>
              <w:right w:val="single" w:color="auto" w:sz="4" w:space="0"/>
            </w:tcBorders>
            <w:vAlign w:val="center"/>
          </w:tcPr>
          <w:p w14:paraId="1F77E081">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工作单位</w:t>
            </w:r>
          </w:p>
        </w:tc>
        <w:tc>
          <w:tcPr>
            <w:tcW w:w="2255" w:type="pct"/>
            <w:tcBorders>
              <w:top w:val="single" w:color="auto" w:sz="4" w:space="0"/>
              <w:left w:val="single" w:color="auto" w:sz="4" w:space="0"/>
              <w:bottom w:val="single" w:color="auto" w:sz="4" w:space="0"/>
              <w:right w:val="single" w:color="auto" w:sz="4" w:space="0"/>
            </w:tcBorders>
            <w:vAlign w:val="center"/>
          </w:tcPr>
          <w:p w14:paraId="152A57C7">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主要负责工作</w:t>
            </w:r>
          </w:p>
        </w:tc>
      </w:tr>
      <w:tr w14:paraId="673D86BF">
        <w:tblPrEx>
          <w:tblCellMar>
            <w:top w:w="0" w:type="dxa"/>
            <w:left w:w="108" w:type="dxa"/>
            <w:bottom w:w="0" w:type="dxa"/>
            <w:right w:w="108" w:type="dxa"/>
          </w:tblCellMar>
        </w:tblPrEx>
        <w:trPr>
          <w:cantSplit/>
          <w:trHeight w:val="914"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1AFF3DA8">
            <w:pPr>
              <w:jc w:val="center"/>
              <w:rPr>
                <w:rFonts w:ascii="仿宋_GB2312" w:hAnsi="仿宋_GB2312" w:eastAsia="仿宋_GB2312" w:cs="仿宋_GB2312"/>
                <w:sz w:val="24"/>
              </w:rPr>
            </w:pPr>
            <w:r>
              <w:rPr>
                <w:rFonts w:hint="eastAsia" w:ascii="仿宋_GB2312" w:hAnsi="仿宋_GB2312" w:eastAsia="仿宋_GB2312" w:cs="仿宋_GB2312"/>
                <w:sz w:val="24"/>
              </w:rPr>
              <w:t>左红群</w:t>
            </w:r>
          </w:p>
        </w:tc>
        <w:tc>
          <w:tcPr>
            <w:tcW w:w="727" w:type="pct"/>
            <w:tcBorders>
              <w:top w:val="single" w:color="auto" w:sz="4" w:space="0"/>
              <w:left w:val="single" w:color="auto" w:sz="4" w:space="0"/>
              <w:bottom w:val="single" w:color="auto" w:sz="4" w:space="0"/>
              <w:right w:val="single" w:color="auto" w:sz="4" w:space="0"/>
            </w:tcBorders>
            <w:vAlign w:val="center"/>
          </w:tcPr>
          <w:p w14:paraId="2B87989C">
            <w:pPr>
              <w:jc w:val="center"/>
              <w:rPr>
                <w:rFonts w:ascii="仿宋_GB2312" w:hAnsi="仿宋_GB2312" w:eastAsia="仿宋_GB2312" w:cs="仿宋_GB2312"/>
                <w:sz w:val="24"/>
              </w:rPr>
            </w:pPr>
            <w:bookmarkStart w:id="2" w:name="OLE_LINK1"/>
            <w:bookmarkStart w:id="3" w:name="OLE_LINK2"/>
            <w:r>
              <w:rPr>
                <w:rFonts w:hint="eastAsia" w:ascii="仿宋_GB2312" w:hAnsi="仿宋_GB2312" w:eastAsia="仿宋_GB2312" w:cs="仿宋_GB2312"/>
                <w:sz w:val="24"/>
              </w:rPr>
              <w:t>主任护师/护士长</w:t>
            </w:r>
            <w:bookmarkEnd w:id="2"/>
            <w:bookmarkEnd w:id="3"/>
          </w:p>
        </w:tc>
        <w:tc>
          <w:tcPr>
            <w:tcW w:w="1382" w:type="pct"/>
            <w:tcBorders>
              <w:top w:val="single" w:color="auto" w:sz="4" w:space="0"/>
              <w:left w:val="single" w:color="auto" w:sz="4" w:space="0"/>
              <w:bottom w:val="single" w:color="auto" w:sz="4" w:space="0"/>
              <w:right w:val="single" w:color="auto" w:sz="4" w:space="0"/>
            </w:tcBorders>
            <w:vAlign w:val="center"/>
          </w:tcPr>
          <w:p w14:paraId="04DB49EE">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365D9F3B">
            <w:pPr>
              <w:jc w:val="left"/>
              <w:rPr>
                <w:rFonts w:ascii="仿宋_GB2312" w:hAnsi="仿宋_GB2312" w:eastAsia="仿宋_GB2312" w:cs="仿宋_GB2312"/>
                <w:sz w:val="24"/>
              </w:rPr>
            </w:pPr>
            <w:r>
              <w:rPr>
                <w:rFonts w:hint="eastAsia" w:ascii="仿宋_GB2312" w:hAnsi="仿宋_GB2312" w:eastAsia="仿宋_GB2312" w:cs="仿宋_GB2312"/>
                <w:sz w:val="24"/>
              </w:rPr>
              <w:t>统筹主持标准编制工作</w:t>
            </w:r>
          </w:p>
        </w:tc>
      </w:tr>
      <w:tr w14:paraId="7E971597">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4E69F3B7">
            <w:pPr>
              <w:jc w:val="center"/>
              <w:rPr>
                <w:rFonts w:ascii="仿宋_GB2312" w:hAnsi="仿宋_GB2312" w:eastAsia="仿宋_GB2312" w:cs="仿宋_GB2312"/>
                <w:sz w:val="24"/>
              </w:rPr>
            </w:pPr>
            <w:r>
              <w:rPr>
                <w:rFonts w:hint="eastAsia" w:ascii="仿宋_GB2312" w:hAnsi="仿宋_GB2312" w:eastAsia="仿宋_GB2312" w:cs="仿宋_GB2312"/>
                <w:sz w:val="24"/>
              </w:rPr>
              <w:t>潘海辉</w:t>
            </w:r>
          </w:p>
        </w:tc>
        <w:tc>
          <w:tcPr>
            <w:tcW w:w="727" w:type="pct"/>
            <w:tcBorders>
              <w:top w:val="single" w:color="auto" w:sz="4" w:space="0"/>
              <w:left w:val="single" w:color="auto" w:sz="4" w:space="0"/>
              <w:bottom w:val="single" w:color="auto" w:sz="4" w:space="0"/>
              <w:right w:val="single" w:color="auto" w:sz="4" w:space="0"/>
            </w:tcBorders>
            <w:vAlign w:val="center"/>
          </w:tcPr>
          <w:p w14:paraId="737E6D10">
            <w:pPr>
              <w:jc w:val="center"/>
              <w:rPr>
                <w:rFonts w:ascii="仿宋_GB2312" w:hAnsi="仿宋_GB2312" w:eastAsia="仿宋_GB2312" w:cs="仿宋_GB2312"/>
                <w:sz w:val="24"/>
              </w:rPr>
            </w:pPr>
            <w:r>
              <w:rPr>
                <w:rFonts w:hint="eastAsia" w:ascii="仿宋_GB2312" w:hAnsi="仿宋_GB2312" w:eastAsia="仿宋_GB2312" w:cs="仿宋_GB2312"/>
                <w:sz w:val="24"/>
              </w:rPr>
              <w:t>副主任护师/护士长</w:t>
            </w:r>
          </w:p>
        </w:tc>
        <w:tc>
          <w:tcPr>
            <w:tcW w:w="1382" w:type="pct"/>
            <w:tcBorders>
              <w:top w:val="single" w:color="auto" w:sz="4" w:space="0"/>
              <w:left w:val="single" w:color="auto" w:sz="4" w:space="0"/>
              <w:bottom w:val="single" w:color="auto" w:sz="4" w:space="0"/>
              <w:right w:val="single" w:color="auto" w:sz="4" w:space="0"/>
            </w:tcBorders>
            <w:vAlign w:val="center"/>
          </w:tcPr>
          <w:p w14:paraId="4B6ECA54">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65CF8C30">
            <w:pPr>
              <w:jc w:val="left"/>
              <w:rPr>
                <w:rFonts w:ascii="仿宋_GB2312" w:hAnsi="仿宋_GB2312" w:eastAsia="仿宋_GB2312" w:cs="仿宋_GB2312"/>
                <w:sz w:val="24"/>
              </w:rPr>
            </w:pPr>
            <w:r>
              <w:rPr>
                <w:rFonts w:hint="eastAsia" w:ascii="仿宋_GB2312" w:hAnsi="仿宋_GB2312" w:eastAsia="仿宋_GB2312" w:cs="仿宋_GB2312"/>
                <w:sz w:val="24"/>
              </w:rPr>
              <w:t>参与标准编制工作，组织人员进行标准发布后的宣贯培训。</w:t>
            </w:r>
          </w:p>
        </w:tc>
      </w:tr>
      <w:tr w14:paraId="35EF6125">
        <w:tblPrEx>
          <w:tblCellMar>
            <w:top w:w="0" w:type="dxa"/>
            <w:left w:w="108" w:type="dxa"/>
            <w:bottom w:w="0" w:type="dxa"/>
            <w:right w:w="108" w:type="dxa"/>
          </w:tblCellMar>
        </w:tblPrEx>
        <w:trPr>
          <w:cantSplit/>
          <w:trHeight w:val="842"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6004DB58">
            <w:pPr>
              <w:jc w:val="center"/>
              <w:rPr>
                <w:rFonts w:ascii="仿宋_GB2312" w:hAnsi="仿宋_GB2312" w:eastAsia="仿宋_GB2312" w:cs="仿宋_GB2312"/>
                <w:sz w:val="24"/>
              </w:rPr>
            </w:pPr>
            <w:r>
              <w:rPr>
                <w:rFonts w:hint="eastAsia" w:ascii="仿宋_GB2312" w:hAnsi="仿宋_GB2312" w:eastAsia="仿宋_GB2312" w:cs="仿宋_GB2312"/>
                <w:sz w:val="24"/>
              </w:rPr>
              <w:t>梁巧奕</w:t>
            </w:r>
          </w:p>
        </w:tc>
        <w:tc>
          <w:tcPr>
            <w:tcW w:w="727" w:type="pct"/>
            <w:tcBorders>
              <w:top w:val="single" w:color="auto" w:sz="4" w:space="0"/>
              <w:left w:val="single" w:color="auto" w:sz="4" w:space="0"/>
              <w:bottom w:val="single" w:color="auto" w:sz="4" w:space="0"/>
              <w:right w:val="single" w:color="auto" w:sz="4" w:space="0"/>
            </w:tcBorders>
            <w:vAlign w:val="center"/>
          </w:tcPr>
          <w:p w14:paraId="1DA64D39">
            <w:pPr>
              <w:jc w:val="center"/>
              <w:rPr>
                <w:rFonts w:ascii="仿宋_GB2312" w:hAnsi="仿宋_GB2312" w:eastAsia="仿宋_GB2312" w:cs="仿宋_GB2312"/>
                <w:sz w:val="24"/>
              </w:rPr>
            </w:pPr>
            <w:r>
              <w:rPr>
                <w:rFonts w:hint="eastAsia" w:ascii="仿宋_GB2312" w:hAnsi="仿宋_GB2312" w:eastAsia="仿宋_GB2312" w:cs="仿宋_GB2312"/>
                <w:sz w:val="24"/>
              </w:rPr>
              <w:t>副主任护师</w:t>
            </w:r>
          </w:p>
        </w:tc>
        <w:tc>
          <w:tcPr>
            <w:tcW w:w="1382" w:type="pct"/>
            <w:tcBorders>
              <w:top w:val="single" w:color="auto" w:sz="4" w:space="0"/>
              <w:left w:val="single" w:color="auto" w:sz="4" w:space="0"/>
              <w:bottom w:val="single" w:color="auto" w:sz="4" w:space="0"/>
              <w:right w:val="single" w:color="auto" w:sz="4" w:space="0"/>
            </w:tcBorders>
            <w:vAlign w:val="center"/>
          </w:tcPr>
          <w:p w14:paraId="180DFE0F">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60E4659B">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参与标准文本及编制说明编写，质量控制。</w:t>
            </w:r>
          </w:p>
        </w:tc>
      </w:tr>
      <w:tr w14:paraId="66A5FD25">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732D8A4C">
            <w:pPr>
              <w:jc w:val="center"/>
              <w:rPr>
                <w:rFonts w:ascii="仿宋_GB2312" w:hAnsi="仿宋_GB2312" w:eastAsia="仿宋_GB2312" w:cs="仿宋_GB2312"/>
                <w:sz w:val="24"/>
              </w:rPr>
            </w:pPr>
            <w:r>
              <w:rPr>
                <w:rFonts w:hint="eastAsia" w:ascii="仿宋_GB2312" w:hAnsi="仿宋_GB2312" w:eastAsia="仿宋_GB2312" w:cs="仿宋_GB2312"/>
                <w:sz w:val="24"/>
              </w:rPr>
              <w:t>姚秀</w:t>
            </w:r>
          </w:p>
        </w:tc>
        <w:tc>
          <w:tcPr>
            <w:tcW w:w="727" w:type="pct"/>
            <w:tcBorders>
              <w:top w:val="single" w:color="auto" w:sz="4" w:space="0"/>
              <w:left w:val="single" w:color="auto" w:sz="4" w:space="0"/>
              <w:bottom w:val="single" w:color="auto" w:sz="4" w:space="0"/>
              <w:right w:val="single" w:color="auto" w:sz="4" w:space="0"/>
            </w:tcBorders>
            <w:vAlign w:val="center"/>
          </w:tcPr>
          <w:p w14:paraId="35200E3F">
            <w:pPr>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w:t>
            </w:r>
          </w:p>
        </w:tc>
        <w:tc>
          <w:tcPr>
            <w:tcW w:w="1382" w:type="pct"/>
            <w:tcBorders>
              <w:top w:val="single" w:color="auto" w:sz="4" w:space="0"/>
              <w:left w:val="single" w:color="auto" w:sz="4" w:space="0"/>
              <w:bottom w:val="single" w:color="auto" w:sz="4" w:space="0"/>
              <w:right w:val="single" w:color="auto" w:sz="4" w:space="0"/>
            </w:tcBorders>
            <w:vAlign w:val="center"/>
          </w:tcPr>
          <w:p w14:paraId="396FFB19">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72B6394F">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115B7745">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48DA89C6">
            <w:pPr>
              <w:jc w:val="center"/>
              <w:rPr>
                <w:rFonts w:ascii="仿宋_GB2312" w:hAnsi="仿宋_GB2312" w:eastAsia="仿宋_GB2312" w:cs="仿宋_GB2312"/>
                <w:sz w:val="24"/>
              </w:rPr>
            </w:pPr>
            <w:r>
              <w:rPr>
                <w:rFonts w:hint="eastAsia" w:ascii="仿宋_GB2312" w:hAnsi="仿宋_GB2312" w:eastAsia="仿宋_GB2312" w:cs="仿宋_GB2312"/>
                <w:sz w:val="24"/>
              </w:rPr>
              <w:t>曹婵</w:t>
            </w:r>
          </w:p>
        </w:tc>
        <w:tc>
          <w:tcPr>
            <w:tcW w:w="727" w:type="pct"/>
            <w:tcBorders>
              <w:top w:val="single" w:color="auto" w:sz="4" w:space="0"/>
              <w:left w:val="single" w:color="auto" w:sz="4" w:space="0"/>
              <w:bottom w:val="single" w:color="auto" w:sz="4" w:space="0"/>
              <w:right w:val="single" w:color="auto" w:sz="4" w:space="0"/>
            </w:tcBorders>
            <w:vAlign w:val="center"/>
          </w:tcPr>
          <w:p w14:paraId="064D8844">
            <w:pPr>
              <w:jc w:val="center"/>
              <w:rPr>
                <w:rFonts w:ascii="仿宋_GB2312" w:hAnsi="仿宋_GB2312" w:eastAsia="仿宋_GB2312" w:cs="仿宋_GB2312"/>
                <w:sz w:val="24"/>
              </w:rPr>
            </w:pPr>
            <w:r>
              <w:rPr>
                <w:rFonts w:hint="eastAsia" w:ascii="仿宋_GB2312" w:hAnsi="仿宋_GB2312" w:eastAsia="仿宋_GB2312" w:cs="仿宋_GB2312"/>
                <w:sz w:val="24"/>
              </w:rPr>
              <w:t>副主任护师</w:t>
            </w:r>
          </w:p>
        </w:tc>
        <w:tc>
          <w:tcPr>
            <w:tcW w:w="1382" w:type="pct"/>
            <w:tcBorders>
              <w:top w:val="single" w:color="auto" w:sz="4" w:space="0"/>
              <w:left w:val="single" w:color="auto" w:sz="4" w:space="0"/>
              <w:bottom w:val="single" w:color="auto" w:sz="4" w:space="0"/>
              <w:right w:val="single" w:color="auto" w:sz="4" w:space="0"/>
            </w:tcBorders>
            <w:vAlign w:val="center"/>
          </w:tcPr>
          <w:p w14:paraId="28659B1A">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5BB280F3">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05F7BEE9">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599EEB98">
            <w:pPr>
              <w:jc w:val="center"/>
              <w:rPr>
                <w:rFonts w:ascii="仿宋_GB2312" w:hAnsi="仿宋_GB2312" w:eastAsia="仿宋_GB2312" w:cs="仿宋_GB2312"/>
                <w:sz w:val="24"/>
              </w:rPr>
            </w:pPr>
            <w:r>
              <w:rPr>
                <w:rFonts w:hint="eastAsia" w:ascii="仿宋_GB2312" w:hAnsi="仿宋_GB2312" w:eastAsia="仿宋_GB2312" w:cs="仿宋_GB2312"/>
                <w:sz w:val="24"/>
              </w:rPr>
              <w:t>林小力</w:t>
            </w:r>
          </w:p>
        </w:tc>
        <w:tc>
          <w:tcPr>
            <w:tcW w:w="727" w:type="pct"/>
            <w:tcBorders>
              <w:top w:val="single" w:color="auto" w:sz="4" w:space="0"/>
              <w:left w:val="single" w:color="auto" w:sz="4" w:space="0"/>
              <w:bottom w:val="single" w:color="auto" w:sz="4" w:space="0"/>
              <w:right w:val="single" w:color="auto" w:sz="4" w:space="0"/>
            </w:tcBorders>
            <w:vAlign w:val="center"/>
          </w:tcPr>
          <w:p w14:paraId="04FC2317">
            <w:pPr>
              <w:jc w:val="center"/>
              <w:rPr>
                <w:rFonts w:ascii="仿宋_GB2312" w:hAnsi="仿宋_GB2312" w:eastAsia="仿宋_GB2312" w:cs="仿宋_GB2312"/>
                <w:sz w:val="24"/>
              </w:rPr>
            </w:pPr>
            <w:r>
              <w:rPr>
                <w:rFonts w:ascii="仿宋_GB2312" w:hAnsi="仿宋_GB2312" w:eastAsia="仿宋_GB2312" w:cs="仿宋_GB2312"/>
                <w:sz w:val="24"/>
              </w:rPr>
              <w:t>主管护师</w:t>
            </w:r>
          </w:p>
        </w:tc>
        <w:tc>
          <w:tcPr>
            <w:tcW w:w="1382" w:type="pct"/>
            <w:tcBorders>
              <w:top w:val="single" w:color="auto" w:sz="4" w:space="0"/>
              <w:left w:val="single" w:color="auto" w:sz="4" w:space="0"/>
              <w:bottom w:val="single" w:color="auto" w:sz="4" w:space="0"/>
              <w:right w:val="single" w:color="auto" w:sz="4" w:space="0"/>
            </w:tcBorders>
            <w:vAlign w:val="center"/>
          </w:tcPr>
          <w:p w14:paraId="226170F3">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731C6E31">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23078718">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16A460B9">
            <w:pPr>
              <w:jc w:val="center"/>
              <w:rPr>
                <w:rFonts w:ascii="仿宋_GB2312" w:hAnsi="仿宋_GB2312" w:eastAsia="仿宋_GB2312" w:cs="仿宋_GB2312"/>
                <w:sz w:val="24"/>
              </w:rPr>
            </w:pPr>
            <w:r>
              <w:rPr>
                <w:rFonts w:hint="eastAsia" w:ascii="仿宋_GB2312" w:hAnsi="仿宋_GB2312" w:eastAsia="仿宋_GB2312" w:cs="仿宋_GB2312"/>
                <w:sz w:val="24"/>
              </w:rPr>
              <w:t>雷奕</w:t>
            </w:r>
          </w:p>
        </w:tc>
        <w:tc>
          <w:tcPr>
            <w:tcW w:w="727" w:type="pct"/>
            <w:tcBorders>
              <w:top w:val="single" w:color="auto" w:sz="4" w:space="0"/>
              <w:left w:val="single" w:color="auto" w:sz="4" w:space="0"/>
              <w:bottom w:val="single" w:color="auto" w:sz="4" w:space="0"/>
              <w:right w:val="single" w:color="auto" w:sz="4" w:space="0"/>
            </w:tcBorders>
            <w:vAlign w:val="center"/>
          </w:tcPr>
          <w:p w14:paraId="34FF35C5">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主任护师/</w:t>
            </w:r>
            <w:r>
              <w:rPr>
                <w:rFonts w:hint="eastAsia" w:ascii="仿宋_GB2312" w:hAnsi="仿宋_GB2312" w:eastAsia="仿宋_GB2312" w:cs="仿宋_GB2312"/>
                <w:sz w:val="24"/>
                <w:lang w:val="en-US" w:eastAsia="zh-CN"/>
              </w:rPr>
              <w:t>护理部副主任</w:t>
            </w:r>
          </w:p>
        </w:tc>
        <w:tc>
          <w:tcPr>
            <w:tcW w:w="1382" w:type="pct"/>
            <w:tcBorders>
              <w:top w:val="single" w:color="auto" w:sz="4" w:space="0"/>
              <w:left w:val="single" w:color="auto" w:sz="4" w:space="0"/>
              <w:bottom w:val="single" w:color="auto" w:sz="4" w:space="0"/>
              <w:right w:val="single" w:color="auto" w:sz="4" w:space="0"/>
            </w:tcBorders>
            <w:vAlign w:val="center"/>
          </w:tcPr>
          <w:p w14:paraId="121E6E8B">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101A487B">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266DC4D0">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6EA71B38">
            <w:pPr>
              <w:jc w:val="center"/>
              <w:rPr>
                <w:rFonts w:ascii="仿宋_GB2312" w:hAnsi="仿宋_GB2312" w:eastAsia="仿宋_GB2312" w:cs="仿宋_GB2312"/>
                <w:sz w:val="24"/>
              </w:rPr>
            </w:pPr>
            <w:r>
              <w:rPr>
                <w:rFonts w:hint="eastAsia" w:ascii="仿宋_GB2312" w:hAnsi="仿宋_GB2312" w:eastAsia="仿宋_GB2312" w:cs="仿宋_GB2312"/>
                <w:sz w:val="24"/>
              </w:rPr>
              <w:t>周丽</w:t>
            </w:r>
          </w:p>
        </w:tc>
        <w:tc>
          <w:tcPr>
            <w:tcW w:w="727" w:type="pct"/>
            <w:tcBorders>
              <w:top w:val="single" w:color="auto" w:sz="4" w:space="0"/>
              <w:left w:val="single" w:color="auto" w:sz="4" w:space="0"/>
              <w:bottom w:val="single" w:color="auto" w:sz="4" w:space="0"/>
              <w:right w:val="single" w:color="auto" w:sz="4" w:space="0"/>
            </w:tcBorders>
            <w:vAlign w:val="center"/>
          </w:tcPr>
          <w:p w14:paraId="7BEF4593">
            <w:pPr>
              <w:jc w:val="center"/>
              <w:rPr>
                <w:rFonts w:ascii="仿宋_GB2312" w:hAnsi="仿宋_GB2312" w:eastAsia="仿宋_GB2312" w:cs="仿宋_GB2312"/>
                <w:sz w:val="24"/>
              </w:rPr>
            </w:pPr>
            <w:r>
              <w:rPr>
                <w:rFonts w:hint="eastAsia" w:ascii="仿宋_GB2312" w:hAnsi="仿宋_GB2312" w:eastAsia="仿宋_GB2312" w:cs="仿宋_GB2312"/>
                <w:sz w:val="24"/>
              </w:rPr>
              <w:t>副主任护师/护士长</w:t>
            </w:r>
          </w:p>
        </w:tc>
        <w:tc>
          <w:tcPr>
            <w:tcW w:w="1382" w:type="pct"/>
            <w:tcBorders>
              <w:top w:val="single" w:color="auto" w:sz="4" w:space="0"/>
              <w:left w:val="single" w:color="auto" w:sz="4" w:space="0"/>
              <w:bottom w:val="single" w:color="auto" w:sz="4" w:space="0"/>
              <w:right w:val="single" w:color="auto" w:sz="4" w:space="0"/>
            </w:tcBorders>
            <w:vAlign w:val="center"/>
          </w:tcPr>
          <w:p w14:paraId="1792812F">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广西中医药大学第一附属医院</w:t>
            </w:r>
          </w:p>
        </w:tc>
        <w:tc>
          <w:tcPr>
            <w:tcW w:w="2255" w:type="pct"/>
            <w:tcBorders>
              <w:top w:val="single" w:color="auto" w:sz="4" w:space="0"/>
              <w:left w:val="single" w:color="auto" w:sz="4" w:space="0"/>
              <w:bottom w:val="single" w:color="auto" w:sz="4" w:space="0"/>
              <w:right w:val="single" w:color="auto" w:sz="4" w:space="0"/>
            </w:tcBorders>
            <w:vAlign w:val="center"/>
          </w:tcPr>
          <w:p w14:paraId="52E17F91">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0C0791CA">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07151713">
            <w:pPr>
              <w:jc w:val="center"/>
              <w:rPr>
                <w:rFonts w:ascii="仿宋_GB2312" w:hAnsi="仿宋_GB2312" w:eastAsia="仿宋_GB2312" w:cs="仿宋_GB2312"/>
                <w:sz w:val="24"/>
              </w:rPr>
            </w:pPr>
            <w:r>
              <w:rPr>
                <w:rFonts w:hint="eastAsia" w:ascii="仿宋_GB2312" w:hAnsi="仿宋_GB2312" w:eastAsia="仿宋_GB2312" w:cs="仿宋_GB2312"/>
                <w:sz w:val="24"/>
              </w:rPr>
              <w:t>易芳</w:t>
            </w:r>
          </w:p>
        </w:tc>
        <w:tc>
          <w:tcPr>
            <w:tcW w:w="727" w:type="pct"/>
            <w:tcBorders>
              <w:top w:val="single" w:color="auto" w:sz="4" w:space="0"/>
              <w:left w:val="single" w:color="auto" w:sz="4" w:space="0"/>
              <w:bottom w:val="single" w:color="auto" w:sz="4" w:space="0"/>
              <w:right w:val="single" w:color="auto" w:sz="4" w:space="0"/>
            </w:tcBorders>
            <w:vAlign w:val="center"/>
          </w:tcPr>
          <w:p w14:paraId="4DE46750">
            <w:pPr>
              <w:jc w:val="center"/>
              <w:rPr>
                <w:rFonts w:ascii="仿宋_GB2312" w:hAnsi="仿宋_GB2312" w:eastAsia="仿宋_GB2312" w:cs="仿宋_GB2312"/>
                <w:sz w:val="24"/>
              </w:rPr>
            </w:pPr>
            <w:r>
              <w:rPr>
                <w:rFonts w:hint="eastAsia" w:ascii="仿宋_GB2312" w:hAnsi="仿宋_GB2312" w:eastAsia="仿宋_GB2312" w:cs="仿宋_GB2312"/>
                <w:sz w:val="24"/>
              </w:rPr>
              <w:t>副主任护师/护士长</w:t>
            </w:r>
          </w:p>
        </w:tc>
        <w:tc>
          <w:tcPr>
            <w:tcW w:w="1382" w:type="pct"/>
            <w:tcBorders>
              <w:top w:val="single" w:color="auto" w:sz="4" w:space="0"/>
              <w:left w:val="single" w:color="auto" w:sz="4" w:space="0"/>
              <w:bottom w:val="single" w:color="auto" w:sz="4" w:space="0"/>
              <w:right w:val="single" w:color="auto" w:sz="4" w:space="0"/>
            </w:tcBorders>
            <w:vAlign w:val="center"/>
          </w:tcPr>
          <w:p w14:paraId="2A2874F3">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广西中医药大学瑞康医院</w:t>
            </w:r>
          </w:p>
        </w:tc>
        <w:tc>
          <w:tcPr>
            <w:tcW w:w="2255" w:type="pct"/>
            <w:tcBorders>
              <w:top w:val="single" w:color="auto" w:sz="4" w:space="0"/>
              <w:left w:val="single" w:color="auto" w:sz="4" w:space="0"/>
              <w:bottom w:val="single" w:color="auto" w:sz="4" w:space="0"/>
              <w:right w:val="single" w:color="auto" w:sz="4" w:space="0"/>
            </w:tcBorders>
            <w:vAlign w:val="center"/>
          </w:tcPr>
          <w:p w14:paraId="424D0527">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5A2C68E6">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1C08C025">
            <w:pPr>
              <w:jc w:val="center"/>
              <w:rPr>
                <w:rFonts w:ascii="仿宋_GB2312" w:hAnsi="仿宋_GB2312" w:eastAsia="仿宋_GB2312" w:cs="仿宋_GB2312"/>
                <w:sz w:val="24"/>
              </w:rPr>
            </w:pPr>
            <w:r>
              <w:rPr>
                <w:rFonts w:hint="eastAsia" w:ascii="仿宋_GB2312" w:hAnsi="仿宋_GB2312" w:eastAsia="仿宋_GB2312" w:cs="仿宋_GB2312"/>
                <w:sz w:val="24"/>
              </w:rPr>
              <w:t>王瑜</w:t>
            </w:r>
          </w:p>
        </w:tc>
        <w:tc>
          <w:tcPr>
            <w:tcW w:w="727" w:type="pct"/>
            <w:tcBorders>
              <w:top w:val="single" w:color="auto" w:sz="4" w:space="0"/>
              <w:left w:val="single" w:color="auto" w:sz="4" w:space="0"/>
              <w:bottom w:val="single" w:color="auto" w:sz="4" w:space="0"/>
              <w:right w:val="single" w:color="auto" w:sz="4" w:space="0"/>
            </w:tcBorders>
            <w:vAlign w:val="center"/>
          </w:tcPr>
          <w:p w14:paraId="219C81A7">
            <w:pPr>
              <w:jc w:val="center"/>
              <w:rPr>
                <w:rFonts w:ascii="仿宋_GB2312" w:hAnsi="仿宋_GB2312" w:eastAsia="仿宋_GB2312" w:cs="仿宋_GB2312"/>
                <w:sz w:val="24"/>
              </w:rPr>
            </w:pPr>
            <w:r>
              <w:rPr>
                <w:rFonts w:hint="eastAsia" w:ascii="仿宋_GB2312" w:hAnsi="仿宋_GB2312" w:eastAsia="仿宋_GB2312" w:cs="仿宋_GB2312"/>
                <w:sz w:val="24"/>
              </w:rPr>
              <w:t>副主任护师</w:t>
            </w:r>
          </w:p>
        </w:tc>
        <w:tc>
          <w:tcPr>
            <w:tcW w:w="1382" w:type="pct"/>
            <w:tcBorders>
              <w:top w:val="single" w:color="auto" w:sz="4" w:space="0"/>
              <w:left w:val="single" w:color="auto" w:sz="4" w:space="0"/>
              <w:bottom w:val="single" w:color="auto" w:sz="4" w:space="0"/>
              <w:right w:val="single" w:color="auto" w:sz="4" w:space="0"/>
            </w:tcBorders>
            <w:vAlign w:val="center"/>
          </w:tcPr>
          <w:p w14:paraId="5DF5A53B">
            <w:pPr>
              <w:widowControl/>
              <w:jc w:val="left"/>
              <w:rPr>
                <w:rFonts w:ascii="仿宋_GB2312" w:hAnsi="仿宋_GB2312" w:eastAsia="仿宋_GB2312" w:cs="仿宋_GB2312"/>
                <w:sz w:val="24"/>
              </w:rPr>
            </w:pPr>
            <w:r>
              <w:rPr>
                <w:rFonts w:ascii="仿宋_GB2312" w:hAnsi="仿宋_GB2312" w:eastAsia="仿宋_GB2312" w:cs="仿宋_GB2312"/>
                <w:sz w:val="24"/>
              </w:rPr>
              <w:t>广西壮族自治区工人医院</w:t>
            </w:r>
          </w:p>
        </w:tc>
        <w:tc>
          <w:tcPr>
            <w:tcW w:w="2255" w:type="pct"/>
            <w:tcBorders>
              <w:top w:val="single" w:color="auto" w:sz="4" w:space="0"/>
              <w:left w:val="single" w:color="auto" w:sz="4" w:space="0"/>
              <w:bottom w:val="single" w:color="auto" w:sz="4" w:space="0"/>
              <w:right w:val="single" w:color="auto" w:sz="4" w:space="0"/>
            </w:tcBorders>
            <w:vAlign w:val="center"/>
          </w:tcPr>
          <w:p w14:paraId="20D36678">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5F6C02EA">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2DFB872C">
            <w:pPr>
              <w:jc w:val="center"/>
              <w:rPr>
                <w:rFonts w:ascii="仿宋_GB2312" w:hAnsi="仿宋_GB2312" w:eastAsia="仿宋_GB2312" w:cs="仿宋_GB2312"/>
                <w:sz w:val="24"/>
              </w:rPr>
            </w:pPr>
            <w:r>
              <w:rPr>
                <w:rFonts w:hint="eastAsia" w:ascii="仿宋_GB2312" w:hAnsi="仿宋_GB2312" w:eastAsia="仿宋_GB2312" w:cs="仿宋_GB2312"/>
                <w:sz w:val="24"/>
              </w:rPr>
              <w:t>唐娟</w:t>
            </w:r>
          </w:p>
        </w:tc>
        <w:tc>
          <w:tcPr>
            <w:tcW w:w="727" w:type="pct"/>
            <w:tcBorders>
              <w:top w:val="single" w:color="auto" w:sz="4" w:space="0"/>
              <w:left w:val="single" w:color="auto" w:sz="4" w:space="0"/>
              <w:bottom w:val="single" w:color="auto" w:sz="4" w:space="0"/>
              <w:right w:val="single" w:color="auto" w:sz="4" w:space="0"/>
            </w:tcBorders>
            <w:vAlign w:val="center"/>
          </w:tcPr>
          <w:p w14:paraId="2F9B31BF">
            <w:pPr>
              <w:jc w:val="center"/>
              <w:rPr>
                <w:rFonts w:ascii="仿宋_GB2312" w:hAnsi="仿宋_GB2312" w:eastAsia="仿宋_GB2312" w:cs="仿宋_GB2312"/>
                <w:sz w:val="24"/>
              </w:rPr>
            </w:pPr>
            <w:r>
              <w:rPr>
                <w:rFonts w:hint="eastAsia" w:ascii="仿宋_GB2312" w:hAnsi="仿宋_GB2312" w:eastAsia="仿宋_GB2312" w:cs="仿宋_GB2312"/>
                <w:sz w:val="24"/>
              </w:rPr>
              <w:t>副主任护师</w:t>
            </w:r>
          </w:p>
        </w:tc>
        <w:tc>
          <w:tcPr>
            <w:tcW w:w="1382" w:type="pct"/>
            <w:tcBorders>
              <w:top w:val="single" w:color="auto" w:sz="4" w:space="0"/>
              <w:left w:val="single" w:color="auto" w:sz="4" w:space="0"/>
              <w:bottom w:val="single" w:color="auto" w:sz="4" w:space="0"/>
              <w:right w:val="single" w:color="auto" w:sz="4" w:space="0"/>
            </w:tcBorders>
            <w:vAlign w:val="center"/>
          </w:tcPr>
          <w:p w14:paraId="20548DE8">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74032A64">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w:t>
            </w:r>
            <w:bookmarkStart w:id="4" w:name="OLE_LINK6"/>
            <w:bookmarkStart w:id="5" w:name="OLE_LINK5"/>
            <w:r>
              <w:rPr>
                <w:rFonts w:hint="eastAsia" w:ascii="仿宋_GB2312" w:hAnsi="仿宋_GB2312" w:eastAsia="仿宋_GB2312" w:cs="仿宋_GB2312"/>
                <w:sz w:val="24"/>
              </w:rPr>
              <w:t>总结分析，不断对标准提出</w:t>
            </w:r>
            <w:bookmarkEnd w:id="4"/>
            <w:bookmarkEnd w:id="5"/>
            <w:r>
              <w:rPr>
                <w:rFonts w:hint="eastAsia" w:ascii="仿宋_GB2312" w:hAnsi="仿宋_GB2312" w:eastAsia="仿宋_GB2312" w:cs="仿宋_GB2312"/>
                <w:sz w:val="24"/>
              </w:rPr>
              <w:t>修正意见。</w:t>
            </w:r>
          </w:p>
        </w:tc>
      </w:tr>
      <w:tr w14:paraId="78E2D70B">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65DACD9D">
            <w:pPr>
              <w:jc w:val="center"/>
              <w:rPr>
                <w:rFonts w:ascii="仿宋_GB2312" w:hAnsi="仿宋_GB2312" w:eastAsia="仿宋_GB2312" w:cs="仿宋_GB2312"/>
                <w:sz w:val="24"/>
              </w:rPr>
            </w:pPr>
            <w:r>
              <w:rPr>
                <w:rFonts w:hint="eastAsia" w:ascii="仿宋_GB2312" w:hAnsi="仿宋_GB2312" w:eastAsia="仿宋_GB2312" w:cs="仿宋_GB2312"/>
                <w:sz w:val="24"/>
              </w:rPr>
              <w:t>贺鲜娇</w:t>
            </w:r>
          </w:p>
        </w:tc>
        <w:tc>
          <w:tcPr>
            <w:tcW w:w="727" w:type="pct"/>
            <w:tcBorders>
              <w:top w:val="single" w:color="auto" w:sz="4" w:space="0"/>
              <w:left w:val="single" w:color="auto" w:sz="4" w:space="0"/>
              <w:bottom w:val="single" w:color="auto" w:sz="4" w:space="0"/>
              <w:right w:val="single" w:color="auto" w:sz="4" w:space="0"/>
            </w:tcBorders>
            <w:vAlign w:val="center"/>
          </w:tcPr>
          <w:p w14:paraId="7AC2AC32">
            <w:pPr>
              <w:jc w:val="center"/>
              <w:rPr>
                <w:rFonts w:ascii="仿宋_GB2312" w:hAnsi="仿宋_GB2312" w:eastAsia="仿宋_GB2312" w:cs="仿宋_GB2312"/>
                <w:sz w:val="24"/>
              </w:rPr>
            </w:pPr>
            <w:r>
              <w:rPr>
                <w:rFonts w:hint="eastAsia" w:ascii="仿宋_GB2312" w:hAnsi="仿宋_GB2312" w:eastAsia="仿宋_GB2312" w:cs="仿宋_GB2312"/>
                <w:sz w:val="24"/>
              </w:rPr>
              <w:t>副主任护师</w:t>
            </w:r>
          </w:p>
        </w:tc>
        <w:tc>
          <w:tcPr>
            <w:tcW w:w="1382" w:type="pct"/>
            <w:tcBorders>
              <w:top w:val="single" w:color="auto" w:sz="4" w:space="0"/>
              <w:left w:val="single" w:color="auto" w:sz="4" w:space="0"/>
              <w:bottom w:val="single" w:color="auto" w:sz="4" w:space="0"/>
              <w:right w:val="single" w:color="auto" w:sz="4" w:space="0"/>
            </w:tcBorders>
            <w:vAlign w:val="center"/>
          </w:tcPr>
          <w:p w14:paraId="7EAB6CAE">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4E5F62D6">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0663FAFD">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0672D0DC">
            <w:pPr>
              <w:jc w:val="center"/>
              <w:rPr>
                <w:rFonts w:ascii="仿宋_GB2312" w:hAnsi="仿宋_GB2312" w:eastAsia="仿宋_GB2312" w:cs="仿宋_GB2312"/>
                <w:sz w:val="24"/>
              </w:rPr>
            </w:pPr>
            <w:r>
              <w:rPr>
                <w:rFonts w:hint="eastAsia" w:ascii="仿宋_GB2312" w:hAnsi="仿宋_GB2312" w:eastAsia="仿宋_GB2312" w:cs="仿宋_GB2312"/>
                <w:sz w:val="24"/>
              </w:rPr>
              <w:t>包春艳</w:t>
            </w:r>
          </w:p>
        </w:tc>
        <w:tc>
          <w:tcPr>
            <w:tcW w:w="727" w:type="pct"/>
            <w:tcBorders>
              <w:top w:val="single" w:color="auto" w:sz="4" w:space="0"/>
              <w:left w:val="single" w:color="auto" w:sz="4" w:space="0"/>
              <w:bottom w:val="single" w:color="auto" w:sz="4" w:space="0"/>
              <w:right w:val="single" w:color="auto" w:sz="4" w:space="0"/>
            </w:tcBorders>
            <w:vAlign w:val="center"/>
          </w:tcPr>
          <w:p w14:paraId="3E7E0EF5">
            <w:pPr>
              <w:jc w:val="center"/>
              <w:rPr>
                <w:rFonts w:ascii="仿宋_GB2312" w:hAnsi="仿宋_GB2312" w:eastAsia="仿宋_GB2312" w:cs="仿宋_GB2312"/>
                <w:sz w:val="24"/>
              </w:rPr>
            </w:pPr>
            <w:r>
              <w:rPr>
                <w:rFonts w:hint="eastAsia" w:ascii="仿宋_GB2312" w:hAnsi="仿宋_GB2312" w:eastAsia="仿宋_GB2312" w:cs="仿宋_GB2312"/>
                <w:sz w:val="24"/>
              </w:rPr>
              <w:t>护师</w:t>
            </w:r>
          </w:p>
        </w:tc>
        <w:tc>
          <w:tcPr>
            <w:tcW w:w="1382" w:type="pct"/>
            <w:tcBorders>
              <w:top w:val="single" w:color="auto" w:sz="4" w:space="0"/>
              <w:left w:val="single" w:color="auto" w:sz="4" w:space="0"/>
              <w:bottom w:val="single" w:color="auto" w:sz="4" w:space="0"/>
              <w:right w:val="single" w:color="auto" w:sz="4" w:space="0"/>
            </w:tcBorders>
            <w:vAlign w:val="center"/>
          </w:tcPr>
          <w:p w14:paraId="7C6B4F5B">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6E6B0521">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1A3DEA56">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68C7943F">
            <w:pPr>
              <w:jc w:val="center"/>
              <w:rPr>
                <w:rFonts w:ascii="仿宋_GB2312" w:hAnsi="仿宋_GB2312" w:eastAsia="仿宋_GB2312" w:cs="仿宋_GB2312"/>
                <w:sz w:val="24"/>
              </w:rPr>
            </w:pPr>
            <w:r>
              <w:rPr>
                <w:rFonts w:hint="eastAsia" w:ascii="仿宋_GB2312" w:hAnsi="仿宋_GB2312" w:eastAsia="仿宋_GB2312" w:cs="仿宋_GB2312"/>
                <w:sz w:val="24"/>
              </w:rPr>
              <w:t>卢桂新</w:t>
            </w:r>
          </w:p>
        </w:tc>
        <w:tc>
          <w:tcPr>
            <w:tcW w:w="727" w:type="pct"/>
            <w:tcBorders>
              <w:top w:val="single" w:color="auto" w:sz="4" w:space="0"/>
              <w:left w:val="single" w:color="auto" w:sz="4" w:space="0"/>
              <w:bottom w:val="single" w:color="auto" w:sz="4" w:space="0"/>
              <w:right w:val="single" w:color="auto" w:sz="4" w:space="0"/>
            </w:tcBorders>
            <w:vAlign w:val="center"/>
          </w:tcPr>
          <w:p w14:paraId="42F5B3CF">
            <w:pPr>
              <w:jc w:val="center"/>
              <w:rPr>
                <w:rFonts w:ascii="仿宋_GB2312" w:hAnsi="仿宋_GB2312" w:eastAsia="仿宋_GB2312" w:cs="仿宋_GB2312"/>
                <w:sz w:val="24"/>
              </w:rPr>
            </w:pPr>
            <w:r>
              <w:rPr>
                <w:rFonts w:hint="eastAsia" w:ascii="仿宋_GB2312" w:hAnsi="仿宋_GB2312" w:eastAsia="仿宋_GB2312" w:cs="仿宋_GB2312"/>
                <w:sz w:val="24"/>
              </w:rPr>
              <w:t>主管护师</w:t>
            </w:r>
          </w:p>
        </w:tc>
        <w:tc>
          <w:tcPr>
            <w:tcW w:w="1382" w:type="pct"/>
            <w:tcBorders>
              <w:top w:val="single" w:color="auto" w:sz="4" w:space="0"/>
              <w:left w:val="single" w:color="auto" w:sz="4" w:space="0"/>
              <w:bottom w:val="single" w:color="auto" w:sz="4" w:space="0"/>
              <w:right w:val="single" w:color="auto" w:sz="4" w:space="0"/>
            </w:tcBorders>
            <w:vAlign w:val="center"/>
          </w:tcPr>
          <w:p w14:paraId="1E33C2F9">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广西医科大学附属口腔医院</w:t>
            </w:r>
          </w:p>
        </w:tc>
        <w:tc>
          <w:tcPr>
            <w:tcW w:w="2255" w:type="pct"/>
            <w:tcBorders>
              <w:top w:val="single" w:color="auto" w:sz="4" w:space="0"/>
              <w:left w:val="single" w:color="auto" w:sz="4" w:space="0"/>
              <w:bottom w:val="single" w:color="auto" w:sz="4" w:space="0"/>
              <w:right w:val="single" w:color="auto" w:sz="4" w:space="0"/>
            </w:tcBorders>
            <w:vAlign w:val="center"/>
          </w:tcPr>
          <w:p w14:paraId="7BBC9C95">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5F19AF82">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79A18FF3">
            <w:pPr>
              <w:jc w:val="center"/>
              <w:rPr>
                <w:rFonts w:eastAsia="仿宋_GB2312"/>
                <w:sz w:val="24"/>
              </w:rPr>
            </w:pPr>
            <w:r>
              <w:rPr>
                <w:rFonts w:hint="eastAsia" w:ascii="仿宋_GB2312" w:hAnsi="仿宋_GB2312" w:eastAsia="仿宋_GB2312" w:cs="仿宋_GB2312"/>
                <w:sz w:val="24"/>
              </w:rPr>
              <w:t>吴春英</w:t>
            </w:r>
          </w:p>
        </w:tc>
        <w:tc>
          <w:tcPr>
            <w:tcW w:w="727" w:type="pct"/>
            <w:tcBorders>
              <w:top w:val="single" w:color="auto" w:sz="4" w:space="0"/>
              <w:left w:val="single" w:color="auto" w:sz="4" w:space="0"/>
              <w:bottom w:val="single" w:color="auto" w:sz="4" w:space="0"/>
              <w:right w:val="single" w:color="auto" w:sz="4" w:space="0"/>
            </w:tcBorders>
            <w:vAlign w:val="center"/>
          </w:tcPr>
          <w:p w14:paraId="4380D43C">
            <w:pPr>
              <w:jc w:val="center"/>
              <w:rPr>
                <w:rFonts w:eastAsia="仿宋_GB2312"/>
                <w:sz w:val="24"/>
              </w:rPr>
            </w:pPr>
            <w:r>
              <w:rPr>
                <w:rFonts w:hint="eastAsia" w:ascii="仿宋_GB2312" w:hAnsi="仿宋_GB2312" w:eastAsia="仿宋_GB2312" w:cs="仿宋_GB2312"/>
                <w:sz w:val="24"/>
              </w:rPr>
              <w:t>主任护师</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14:paraId="30B1DD0E">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广西壮族自治区民族医院</w:t>
            </w:r>
          </w:p>
        </w:tc>
        <w:tc>
          <w:tcPr>
            <w:tcW w:w="2255" w:type="pct"/>
            <w:tcBorders>
              <w:top w:val="single" w:color="auto" w:sz="4" w:space="0"/>
              <w:left w:val="single" w:color="auto" w:sz="4" w:space="0"/>
              <w:bottom w:val="single" w:color="auto" w:sz="4" w:space="0"/>
              <w:right w:val="single" w:color="auto" w:sz="4" w:space="0"/>
            </w:tcBorders>
            <w:vAlign w:val="center"/>
          </w:tcPr>
          <w:p w14:paraId="56A27E89">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447F9ECA">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3D92552B">
            <w:pPr>
              <w:jc w:val="center"/>
              <w:rPr>
                <w:rFonts w:ascii="仿宋_GB2312" w:hAnsi="仿宋_GB2312" w:eastAsia="仿宋_GB2312" w:cs="仿宋_GB2312"/>
                <w:sz w:val="24"/>
              </w:rPr>
            </w:pPr>
            <w:r>
              <w:rPr>
                <w:rFonts w:hint="eastAsia" w:ascii="仿宋_GB2312" w:hAnsi="仿宋_GB2312" w:eastAsia="仿宋_GB2312" w:cs="仿宋_GB2312"/>
                <w:sz w:val="24"/>
              </w:rPr>
              <w:t>陈艳云</w:t>
            </w:r>
          </w:p>
        </w:tc>
        <w:tc>
          <w:tcPr>
            <w:tcW w:w="727" w:type="pct"/>
            <w:tcBorders>
              <w:top w:val="single" w:color="auto" w:sz="4" w:space="0"/>
              <w:left w:val="single" w:color="auto" w:sz="4" w:space="0"/>
              <w:bottom w:val="single" w:color="auto" w:sz="4" w:space="0"/>
              <w:right w:val="single" w:color="auto" w:sz="4" w:space="0"/>
            </w:tcBorders>
            <w:vAlign w:val="center"/>
          </w:tcPr>
          <w:p w14:paraId="74B1216F">
            <w:pPr>
              <w:jc w:val="center"/>
              <w:rPr>
                <w:rFonts w:ascii="仿宋_GB2312" w:hAnsi="仿宋_GB2312" w:eastAsia="仿宋_GB2312" w:cs="仿宋_GB2312"/>
                <w:sz w:val="24"/>
              </w:rPr>
            </w:pPr>
            <w:r>
              <w:rPr>
                <w:rFonts w:hint="eastAsia" w:ascii="仿宋_GB2312" w:hAnsi="仿宋_GB2312" w:eastAsia="仿宋_GB2312" w:cs="仿宋_GB2312"/>
                <w:sz w:val="24"/>
              </w:rPr>
              <w:t>副主任护师</w:t>
            </w:r>
          </w:p>
        </w:tc>
        <w:tc>
          <w:tcPr>
            <w:tcW w:w="1382" w:type="pct"/>
            <w:tcBorders>
              <w:top w:val="single" w:color="auto" w:sz="4" w:space="0"/>
              <w:left w:val="single" w:color="auto" w:sz="4" w:space="0"/>
              <w:bottom w:val="single" w:color="auto" w:sz="4" w:space="0"/>
              <w:right w:val="single" w:color="auto" w:sz="4" w:space="0"/>
            </w:tcBorders>
            <w:vAlign w:val="center"/>
          </w:tcPr>
          <w:p w14:paraId="5ECC3051">
            <w:pPr>
              <w:widowControl/>
              <w:jc w:val="left"/>
              <w:rPr>
                <w:rFonts w:ascii="仿宋_GB2312" w:hAnsi="仿宋_GB2312" w:eastAsia="仿宋_GB2312" w:cs="仿宋_GB2312"/>
                <w:sz w:val="24"/>
              </w:rPr>
            </w:pPr>
            <w:r>
              <w:rPr>
                <w:rFonts w:hint="eastAsia" w:ascii="仿宋_GB2312" w:hAnsi="仿宋_GB2312" w:eastAsia="仿宋_GB2312" w:cs="仿宋_GB2312"/>
                <w:sz w:val="24"/>
              </w:rPr>
              <w:t>柳州市人民医院</w:t>
            </w:r>
          </w:p>
        </w:tc>
        <w:tc>
          <w:tcPr>
            <w:tcW w:w="2255" w:type="pct"/>
            <w:tcBorders>
              <w:top w:val="single" w:color="auto" w:sz="4" w:space="0"/>
              <w:left w:val="single" w:color="auto" w:sz="4" w:space="0"/>
              <w:bottom w:val="single" w:color="auto" w:sz="4" w:space="0"/>
              <w:right w:val="single" w:color="auto" w:sz="4" w:space="0"/>
            </w:tcBorders>
            <w:vAlign w:val="center"/>
          </w:tcPr>
          <w:p w14:paraId="62B193F5">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1896B63C">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272FEEFD">
            <w:pPr>
              <w:jc w:val="center"/>
              <w:rPr>
                <w:rFonts w:ascii="仿宋_GB2312" w:hAnsi="仿宋_GB2312" w:eastAsia="仿宋_GB2312" w:cs="仿宋_GB2312"/>
                <w:sz w:val="24"/>
              </w:rPr>
            </w:pPr>
            <w:bookmarkStart w:id="6" w:name="_Hlk223164437"/>
            <w:r>
              <w:rPr>
                <w:rFonts w:hint="eastAsia" w:ascii="仿宋_GB2312" w:hAnsi="仿宋_GB2312" w:eastAsia="仿宋_GB2312" w:cs="仿宋_GB2312"/>
                <w:sz w:val="24"/>
              </w:rPr>
              <w:t>左露露</w:t>
            </w:r>
          </w:p>
        </w:tc>
        <w:tc>
          <w:tcPr>
            <w:tcW w:w="727" w:type="pct"/>
            <w:tcBorders>
              <w:top w:val="single" w:color="auto" w:sz="4" w:space="0"/>
              <w:left w:val="single" w:color="auto" w:sz="4" w:space="0"/>
              <w:bottom w:val="single" w:color="auto" w:sz="4" w:space="0"/>
              <w:right w:val="single" w:color="auto" w:sz="4" w:space="0"/>
            </w:tcBorders>
            <w:vAlign w:val="center"/>
          </w:tcPr>
          <w:p w14:paraId="3C53E9C4">
            <w:pPr>
              <w:jc w:val="center"/>
              <w:rPr>
                <w:rFonts w:ascii="仿宋_GB2312" w:hAnsi="仿宋_GB2312" w:eastAsia="仿宋_GB2312" w:cs="仿宋_GB2312"/>
                <w:sz w:val="24"/>
              </w:rPr>
            </w:pPr>
            <w:r>
              <w:rPr>
                <w:rFonts w:hint="eastAsia" w:ascii="仿宋_GB2312" w:hAnsi="仿宋_GB2312" w:eastAsia="仿宋_GB2312" w:cs="仿宋_GB2312"/>
                <w:sz w:val="24"/>
              </w:rPr>
              <w:t>主管护师</w:t>
            </w:r>
          </w:p>
        </w:tc>
        <w:tc>
          <w:tcPr>
            <w:tcW w:w="1382" w:type="pct"/>
            <w:tcBorders>
              <w:top w:val="single" w:color="auto" w:sz="4" w:space="0"/>
              <w:left w:val="single" w:color="auto" w:sz="4" w:space="0"/>
              <w:bottom w:val="single" w:color="auto" w:sz="4" w:space="0"/>
              <w:right w:val="single" w:color="auto" w:sz="4" w:space="0"/>
            </w:tcBorders>
            <w:vAlign w:val="center"/>
          </w:tcPr>
          <w:p w14:paraId="63119477">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1A58F1EA">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bookmarkEnd w:id="6"/>
      <w:tr w14:paraId="531BC4B9">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1BAB3218">
            <w:pPr>
              <w:jc w:val="center"/>
              <w:rPr>
                <w:rFonts w:ascii="仿宋_GB2312" w:hAnsi="仿宋_GB2312" w:eastAsia="仿宋_GB2312" w:cs="仿宋_GB2312"/>
                <w:sz w:val="24"/>
              </w:rPr>
            </w:pPr>
            <w:r>
              <w:rPr>
                <w:rFonts w:hint="eastAsia" w:ascii="仿宋_GB2312" w:hAnsi="仿宋_GB2312" w:eastAsia="仿宋_GB2312" w:cs="仿宋_GB2312"/>
                <w:sz w:val="24"/>
              </w:rPr>
              <w:t>李晓燕</w:t>
            </w:r>
          </w:p>
        </w:tc>
        <w:tc>
          <w:tcPr>
            <w:tcW w:w="727" w:type="pct"/>
            <w:tcBorders>
              <w:top w:val="single" w:color="auto" w:sz="4" w:space="0"/>
              <w:left w:val="single" w:color="auto" w:sz="4" w:space="0"/>
              <w:bottom w:val="single" w:color="auto" w:sz="4" w:space="0"/>
              <w:right w:val="single" w:color="auto" w:sz="4" w:space="0"/>
            </w:tcBorders>
            <w:vAlign w:val="center"/>
          </w:tcPr>
          <w:p w14:paraId="641AD11F">
            <w:pPr>
              <w:jc w:val="center"/>
              <w:rPr>
                <w:rFonts w:ascii="仿宋_GB2312" w:hAnsi="仿宋_GB2312" w:eastAsia="仿宋_GB2312" w:cs="仿宋_GB2312"/>
                <w:sz w:val="24"/>
              </w:rPr>
            </w:pPr>
            <w:r>
              <w:rPr>
                <w:rFonts w:hint="eastAsia" w:ascii="仿宋_GB2312" w:hAnsi="仿宋_GB2312" w:eastAsia="仿宋_GB2312" w:cs="仿宋_GB2312"/>
                <w:sz w:val="24"/>
              </w:rPr>
              <w:t>主管护师</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14:paraId="3E6FCA44">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395005B2">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3EEC0B46">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0CA8CD03">
            <w:pPr>
              <w:jc w:val="center"/>
              <w:rPr>
                <w:rFonts w:ascii="仿宋_GB2312" w:hAnsi="仿宋_GB2312" w:eastAsia="仿宋_GB2312" w:cs="仿宋_GB2312"/>
                <w:sz w:val="24"/>
              </w:rPr>
            </w:pPr>
            <w:r>
              <w:rPr>
                <w:rFonts w:hint="eastAsia" w:ascii="仿宋_GB2312" w:hAnsi="仿宋_GB2312" w:eastAsia="仿宋_GB2312" w:cs="仿宋_GB2312"/>
                <w:sz w:val="24"/>
              </w:rPr>
              <w:t>韦珊珊</w:t>
            </w:r>
          </w:p>
        </w:tc>
        <w:tc>
          <w:tcPr>
            <w:tcW w:w="727" w:type="pct"/>
            <w:tcBorders>
              <w:top w:val="single" w:color="auto" w:sz="4" w:space="0"/>
              <w:left w:val="single" w:color="auto" w:sz="4" w:space="0"/>
              <w:bottom w:val="single" w:color="auto" w:sz="4" w:space="0"/>
              <w:right w:val="single" w:color="auto" w:sz="4" w:space="0"/>
            </w:tcBorders>
            <w:vAlign w:val="center"/>
          </w:tcPr>
          <w:p w14:paraId="58F39650">
            <w:pPr>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w:t>
            </w:r>
            <w:bookmarkStart w:id="8" w:name="_GoBack"/>
            <w:bookmarkEnd w:id="8"/>
          </w:p>
        </w:tc>
        <w:tc>
          <w:tcPr>
            <w:tcW w:w="1382" w:type="pct"/>
            <w:tcBorders>
              <w:top w:val="single" w:color="auto" w:sz="4" w:space="0"/>
              <w:left w:val="single" w:color="auto" w:sz="4" w:space="0"/>
              <w:bottom w:val="single" w:color="auto" w:sz="4" w:space="0"/>
              <w:right w:val="single" w:color="auto" w:sz="4" w:space="0"/>
            </w:tcBorders>
            <w:vAlign w:val="center"/>
          </w:tcPr>
          <w:p w14:paraId="503354F7">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65A6899F">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35207FEF">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0C92AE52">
            <w:pPr>
              <w:jc w:val="center"/>
              <w:rPr>
                <w:rFonts w:ascii="仿宋_GB2312" w:hAnsi="仿宋_GB2312" w:eastAsia="仿宋_GB2312" w:cs="仿宋_GB2312"/>
                <w:sz w:val="24"/>
              </w:rPr>
            </w:pPr>
            <w:r>
              <w:rPr>
                <w:rFonts w:hint="eastAsia" w:ascii="仿宋_GB2312" w:hAnsi="仿宋_GB2312" w:eastAsia="仿宋_GB2312" w:cs="仿宋_GB2312"/>
                <w:sz w:val="24"/>
              </w:rPr>
              <w:t>潘意</w:t>
            </w:r>
          </w:p>
        </w:tc>
        <w:tc>
          <w:tcPr>
            <w:tcW w:w="727" w:type="pct"/>
            <w:tcBorders>
              <w:top w:val="single" w:color="auto" w:sz="4" w:space="0"/>
              <w:left w:val="single" w:color="auto" w:sz="4" w:space="0"/>
              <w:bottom w:val="single" w:color="auto" w:sz="4" w:space="0"/>
              <w:right w:val="single" w:color="auto" w:sz="4" w:space="0"/>
            </w:tcBorders>
            <w:vAlign w:val="center"/>
          </w:tcPr>
          <w:p w14:paraId="539E9783">
            <w:pPr>
              <w:jc w:val="center"/>
              <w:rPr>
                <w:rFonts w:ascii="仿宋_GB2312" w:hAnsi="仿宋_GB2312" w:eastAsia="仿宋_GB2312" w:cs="仿宋_GB2312"/>
                <w:sz w:val="24"/>
              </w:rPr>
            </w:pPr>
            <w:r>
              <w:rPr>
                <w:rFonts w:hint="eastAsia" w:ascii="仿宋_GB2312" w:hAnsi="仿宋_GB2312" w:eastAsia="仿宋_GB2312" w:cs="仿宋_GB2312"/>
                <w:sz w:val="24"/>
              </w:rPr>
              <w:t>主管护师</w:t>
            </w:r>
          </w:p>
        </w:tc>
        <w:tc>
          <w:tcPr>
            <w:tcW w:w="1382" w:type="pct"/>
            <w:tcBorders>
              <w:top w:val="single" w:color="auto" w:sz="4" w:space="0"/>
              <w:left w:val="single" w:color="auto" w:sz="4" w:space="0"/>
              <w:bottom w:val="single" w:color="auto" w:sz="4" w:space="0"/>
              <w:right w:val="single" w:color="auto" w:sz="4" w:space="0"/>
            </w:tcBorders>
            <w:vAlign w:val="center"/>
          </w:tcPr>
          <w:p w14:paraId="4FF635E4">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5EAF01D8">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4E267C29">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670E0E55">
            <w:pPr>
              <w:jc w:val="center"/>
              <w:rPr>
                <w:rFonts w:ascii="仿宋_GB2312" w:hAnsi="仿宋_GB2312" w:eastAsia="仿宋_GB2312" w:cs="仿宋_GB2312"/>
                <w:sz w:val="24"/>
              </w:rPr>
            </w:pPr>
            <w:r>
              <w:rPr>
                <w:rFonts w:hint="eastAsia" w:ascii="仿宋_GB2312" w:hAnsi="仿宋_GB2312" w:eastAsia="仿宋_GB2312" w:cs="仿宋_GB2312"/>
                <w:sz w:val="24"/>
              </w:rPr>
              <w:t>刘媛芳</w:t>
            </w:r>
          </w:p>
        </w:tc>
        <w:tc>
          <w:tcPr>
            <w:tcW w:w="727" w:type="pct"/>
            <w:tcBorders>
              <w:top w:val="single" w:color="auto" w:sz="4" w:space="0"/>
              <w:left w:val="single" w:color="auto" w:sz="4" w:space="0"/>
              <w:bottom w:val="single" w:color="auto" w:sz="4" w:space="0"/>
              <w:right w:val="single" w:color="auto" w:sz="4" w:space="0"/>
            </w:tcBorders>
            <w:vAlign w:val="center"/>
          </w:tcPr>
          <w:p w14:paraId="30F482E6">
            <w:pPr>
              <w:jc w:val="center"/>
              <w:rPr>
                <w:rFonts w:ascii="仿宋_GB2312" w:hAnsi="仿宋_GB2312" w:eastAsia="仿宋_GB2312" w:cs="仿宋_GB2312"/>
                <w:sz w:val="24"/>
              </w:rPr>
            </w:pPr>
            <w:r>
              <w:rPr>
                <w:rFonts w:hint="eastAsia" w:ascii="仿宋_GB2312" w:hAnsi="仿宋_GB2312" w:eastAsia="仿宋_GB2312" w:cs="仿宋_GB2312"/>
                <w:sz w:val="24"/>
              </w:rPr>
              <w:t>主管护师</w:t>
            </w:r>
          </w:p>
        </w:tc>
        <w:tc>
          <w:tcPr>
            <w:tcW w:w="1382" w:type="pct"/>
            <w:tcBorders>
              <w:top w:val="single" w:color="auto" w:sz="4" w:space="0"/>
              <w:left w:val="single" w:color="auto" w:sz="4" w:space="0"/>
              <w:bottom w:val="single" w:color="auto" w:sz="4" w:space="0"/>
              <w:right w:val="single" w:color="auto" w:sz="4" w:space="0"/>
            </w:tcBorders>
            <w:vAlign w:val="center"/>
          </w:tcPr>
          <w:p w14:paraId="37738B1B">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1CDCFE21">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7EA9C16F">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64A44772">
            <w:pPr>
              <w:jc w:val="center"/>
              <w:rPr>
                <w:rFonts w:ascii="仿宋_GB2312" w:hAnsi="仿宋_GB2312" w:eastAsia="仿宋_GB2312" w:cs="仿宋_GB2312"/>
                <w:sz w:val="24"/>
              </w:rPr>
            </w:pPr>
            <w:r>
              <w:rPr>
                <w:rFonts w:hint="eastAsia" w:ascii="仿宋_GB2312" w:hAnsi="仿宋_GB2312" w:eastAsia="仿宋_GB2312" w:cs="仿宋_GB2312"/>
                <w:sz w:val="24"/>
              </w:rPr>
              <w:t>石柳</w:t>
            </w:r>
          </w:p>
        </w:tc>
        <w:tc>
          <w:tcPr>
            <w:tcW w:w="727" w:type="pct"/>
            <w:tcBorders>
              <w:top w:val="single" w:color="auto" w:sz="4" w:space="0"/>
              <w:left w:val="single" w:color="auto" w:sz="4" w:space="0"/>
              <w:bottom w:val="single" w:color="auto" w:sz="4" w:space="0"/>
              <w:right w:val="single" w:color="auto" w:sz="4" w:space="0"/>
            </w:tcBorders>
            <w:vAlign w:val="center"/>
          </w:tcPr>
          <w:p w14:paraId="1C790041">
            <w:pPr>
              <w:jc w:val="center"/>
              <w:rPr>
                <w:rFonts w:ascii="仿宋_GB2312" w:hAnsi="仿宋_GB2312" w:eastAsia="仿宋_GB2312" w:cs="仿宋_GB2312"/>
                <w:sz w:val="24"/>
              </w:rPr>
            </w:pPr>
            <w:r>
              <w:rPr>
                <w:rFonts w:hint="eastAsia" w:ascii="仿宋_GB2312" w:hAnsi="仿宋_GB2312" w:eastAsia="仿宋_GB2312" w:cs="仿宋_GB2312"/>
                <w:sz w:val="24"/>
              </w:rPr>
              <w:t>主管护师</w:t>
            </w:r>
          </w:p>
        </w:tc>
        <w:tc>
          <w:tcPr>
            <w:tcW w:w="1382" w:type="pct"/>
            <w:tcBorders>
              <w:top w:val="single" w:color="auto" w:sz="4" w:space="0"/>
              <w:left w:val="single" w:color="auto" w:sz="4" w:space="0"/>
              <w:bottom w:val="single" w:color="auto" w:sz="4" w:space="0"/>
              <w:right w:val="single" w:color="auto" w:sz="4" w:space="0"/>
            </w:tcBorders>
            <w:vAlign w:val="center"/>
          </w:tcPr>
          <w:p w14:paraId="778BF758">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677F280C">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61EC4762">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30B64352">
            <w:pPr>
              <w:jc w:val="center"/>
              <w:rPr>
                <w:rFonts w:ascii="仿宋_GB2312" w:hAnsi="仿宋_GB2312" w:eastAsia="仿宋_GB2312" w:cs="仿宋_GB2312"/>
                <w:sz w:val="24"/>
              </w:rPr>
            </w:pPr>
            <w:r>
              <w:rPr>
                <w:rFonts w:hint="eastAsia" w:ascii="仿宋_GB2312" w:hAnsi="仿宋_GB2312" w:eastAsia="仿宋_GB2312" w:cs="仿宋_GB2312"/>
                <w:sz w:val="24"/>
              </w:rPr>
              <w:t>覃海泉</w:t>
            </w:r>
          </w:p>
        </w:tc>
        <w:tc>
          <w:tcPr>
            <w:tcW w:w="727" w:type="pct"/>
            <w:tcBorders>
              <w:top w:val="single" w:color="auto" w:sz="4" w:space="0"/>
              <w:left w:val="single" w:color="auto" w:sz="4" w:space="0"/>
              <w:bottom w:val="single" w:color="auto" w:sz="4" w:space="0"/>
              <w:right w:val="single" w:color="auto" w:sz="4" w:space="0"/>
            </w:tcBorders>
            <w:vAlign w:val="center"/>
          </w:tcPr>
          <w:p w14:paraId="5BDA2016">
            <w:pPr>
              <w:jc w:val="center"/>
              <w:rPr>
                <w:rFonts w:ascii="仿宋_GB2312" w:hAnsi="仿宋_GB2312" w:eastAsia="仿宋_GB2312" w:cs="仿宋_GB2312"/>
                <w:sz w:val="24"/>
              </w:rPr>
            </w:pPr>
            <w:r>
              <w:rPr>
                <w:rFonts w:hint="eastAsia" w:ascii="仿宋_GB2312" w:hAnsi="仿宋_GB2312" w:eastAsia="仿宋_GB2312" w:cs="仿宋_GB2312"/>
                <w:sz w:val="24"/>
              </w:rPr>
              <w:t>主管护师</w:t>
            </w:r>
          </w:p>
        </w:tc>
        <w:tc>
          <w:tcPr>
            <w:tcW w:w="1382" w:type="pct"/>
            <w:tcBorders>
              <w:top w:val="single" w:color="auto" w:sz="4" w:space="0"/>
              <w:left w:val="single" w:color="auto" w:sz="4" w:space="0"/>
              <w:bottom w:val="single" w:color="auto" w:sz="4" w:space="0"/>
              <w:right w:val="single" w:color="auto" w:sz="4" w:space="0"/>
            </w:tcBorders>
            <w:vAlign w:val="center"/>
          </w:tcPr>
          <w:p w14:paraId="241DBAE8">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17F34CED">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775BF90C">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6F7434E4">
            <w:pPr>
              <w:jc w:val="center"/>
              <w:rPr>
                <w:rFonts w:ascii="仿宋_GB2312" w:hAnsi="仿宋_GB2312" w:eastAsia="仿宋_GB2312" w:cs="仿宋_GB2312"/>
                <w:sz w:val="24"/>
              </w:rPr>
            </w:pPr>
            <w:r>
              <w:rPr>
                <w:rFonts w:hint="eastAsia" w:ascii="仿宋_GB2312" w:hAnsi="仿宋_GB2312" w:eastAsia="仿宋_GB2312" w:cs="仿宋_GB2312"/>
                <w:sz w:val="24"/>
              </w:rPr>
              <w:t>刘月琳</w:t>
            </w:r>
          </w:p>
        </w:tc>
        <w:tc>
          <w:tcPr>
            <w:tcW w:w="727" w:type="pct"/>
            <w:tcBorders>
              <w:top w:val="single" w:color="auto" w:sz="4" w:space="0"/>
              <w:left w:val="single" w:color="auto" w:sz="4" w:space="0"/>
              <w:bottom w:val="single" w:color="auto" w:sz="4" w:space="0"/>
              <w:right w:val="single" w:color="auto" w:sz="4" w:space="0"/>
            </w:tcBorders>
            <w:vAlign w:val="center"/>
          </w:tcPr>
          <w:p w14:paraId="6223A771">
            <w:pPr>
              <w:jc w:val="center"/>
              <w:rPr>
                <w:rFonts w:ascii="仿宋_GB2312" w:hAnsi="仿宋_GB2312" w:eastAsia="仿宋_GB2312" w:cs="仿宋_GB2312"/>
                <w:sz w:val="24"/>
              </w:rPr>
            </w:pPr>
            <w:r>
              <w:rPr>
                <w:rFonts w:hint="eastAsia" w:ascii="仿宋_GB2312" w:hAnsi="仿宋_GB2312" w:eastAsia="仿宋_GB2312" w:cs="仿宋_GB2312"/>
                <w:sz w:val="24"/>
              </w:rPr>
              <w:t>主管护师</w:t>
            </w:r>
          </w:p>
        </w:tc>
        <w:tc>
          <w:tcPr>
            <w:tcW w:w="1382" w:type="pct"/>
            <w:tcBorders>
              <w:top w:val="single" w:color="auto" w:sz="4" w:space="0"/>
              <w:left w:val="single" w:color="auto" w:sz="4" w:space="0"/>
              <w:bottom w:val="single" w:color="auto" w:sz="4" w:space="0"/>
              <w:right w:val="single" w:color="auto" w:sz="4" w:space="0"/>
            </w:tcBorders>
            <w:vAlign w:val="center"/>
          </w:tcPr>
          <w:p w14:paraId="44CECAA8">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23F3D1F3">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5167056A">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44826D0F">
            <w:pPr>
              <w:jc w:val="center"/>
              <w:rPr>
                <w:rFonts w:ascii="仿宋_GB2312" w:hAnsi="仿宋_GB2312" w:eastAsia="仿宋_GB2312" w:cs="仿宋_GB2312"/>
                <w:sz w:val="24"/>
              </w:rPr>
            </w:pPr>
            <w:r>
              <w:rPr>
                <w:rFonts w:hint="eastAsia" w:ascii="仿宋_GB2312" w:hAnsi="仿宋_GB2312" w:eastAsia="仿宋_GB2312" w:cs="仿宋_GB2312"/>
                <w:sz w:val="24"/>
              </w:rPr>
              <w:t>覃琛媛</w:t>
            </w:r>
          </w:p>
        </w:tc>
        <w:tc>
          <w:tcPr>
            <w:tcW w:w="727" w:type="pct"/>
            <w:tcBorders>
              <w:top w:val="single" w:color="auto" w:sz="4" w:space="0"/>
              <w:left w:val="single" w:color="auto" w:sz="4" w:space="0"/>
              <w:bottom w:val="single" w:color="auto" w:sz="4" w:space="0"/>
              <w:right w:val="single" w:color="auto" w:sz="4" w:space="0"/>
            </w:tcBorders>
            <w:vAlign w:val="center"/>
          </w:tcPr>
          <w:p w14:paraId="68714321">
            <w:pPr>
              <w:jc w:val="center"/>
              <w:rPr>
                <w:rFonts w:eastAsia="仿宋_GB2312"/>
                <w:sz w:val="24"/>
              </w:rPr>
            </w:pPr>
            <w:r>
              <w:rPr>
                <w:rFonts w:hint="eastAsia" w:eastAsia="仿宋_GB2312"/>
                <w:sz w:val="24"/>
              </w:rPr>
              <w:t>副主任护师</w:t>
            </w:r>
          </w:p>
        </w:tc>
        <w:tc>
          <w:tcPr>
            <w:tcW w:w="1382" w:type="pct"/>
            <w:tcBorders>
              <w:top w:val="single" w:color="auto" w:sz="4" w:space="0"/>
              <w:left w:val="single" w:color="auto" w:sz="4" w:space="0"/>
              <w:bottom w:val="single" w:color="auto" w:sz="4" w:space="0"/>
              <w:right w:val="single" w:color="auto" w:sz="4" w:space="0"/>
            </w:tcBorders>
            <w:vAlign w:val="center"/>
          </w:tcPr>
          <w:p w14:paraId="26AF2B24">
            <w:pPr>
              <w:widowControl/>
              <w:jc w:val="left"/>
              <w:rPr>
                <w:rFonts w:eastAsia="仿宋_GB2312"/>
                <w:sz w:val="24"/>
              </w:rPr>
            </w:pPr>
            <w:r>
              <w:rPr>
                <w:rFonts w:eastAsia="仿宋_GB2312"/>
                <w:sz w:val="24"/>
              </w:rPr>
              <w:t>柳州市人民医院</w:t>
            </w:r>
          </w:p>
        </w:tc>
        <w:tc>
          <w:tcPr>
            <w:tcW w:w="2255" w:type="pct"/>
            <w:tcBorders>
              <w:top w:val="single" w:color="auto" w:sz="4" w:space="0"/>
              <w:left w:val="single" w:color="auto" w:sz="4" w:space="0"/>
              <w:bottom w:val="single" w:color="auto" w:sz="4" w:space="0"/>
              <w:right w:val="single" w:color="auto" w:sz="4" w:space="0"/>
            </w:tcBorders>
            <w:vAlign w:val="center"/>
          </w:tcPr>
          <w:p w14:paraId="69725807">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7A1E1695">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6E0987A1">
            <w:pPr>
              <w:jc w:val="center"/>
              <w:rPr>
                <w:rFonts w:ascii="仿宋_GB2312" w:hAnsi="仿宋_GB2312" w:eastAsia="仿宋_GB2312" w:cs="仿宋_GB2312"/>
                <w:sz w:val="24"/>
              </w:rPr>
            </w:pPr>
            <w:r>
              <w:rPr>
                <w:rFonts w:hint="eastAsia" w:ascii="仿宋_GB2312" w:hAnsi="仿宋_GB2312" w:eastAsia="仿宋_GB2312" w:cs="仿宋_GB2312"/>
                <w:sz w:val="24"/>
              </w:rPr>
              <w:t>鄢春宁</w:t>
            </w:r>
          </w:p>
        </w:tc>
        <w:tc>
          <w:tcPr>
            <w:tcW w:w="727" w:type="pct"/>
            <w:tcBorders>
              <w:top w:val="single" w:color="auto" w:sz="4" w:space="0"/>
              <w:left w:val="single" w:color="auto" w:sz="4" w:space="0"/>
              <w:bottom w:val="single" w:color="auto" w:sz="4" w:space="0"/>
              <w:right w:val="single" w:color="auto" w:sz="4" w:space="0"/>
            </w:tcBorders>
            <w:vAlign w:val="center"/>
          </w:tcPr>
          <w:p w14:paraId="52FD388A">
            <w:pPr>
              <w:jc w:val="center"/>
              <w:rPr>
                <w:rFonts w:eastAsia="仿宋_GB2312"/>
                <w:sz w:val="24"/>
              </w:rPr>
            </w:pPr>
            <w:r>
              <w:rPr>
                <w:rFonts w:hint="eastAsia" w:eastAsia="仿宋_GB2312"/>
                <w:sz w:val="24"/>
              </w:rPr>
              <w:t>副主任护师</w:t>
            </w:r>
          </w:p>
        </w:tc>
        <w:tc>
          <w:tcPr>
            <w:tcW w:w="1382" w:type="pct"/>
            <w:tcBorders>
              <w:top w:val="single" w:color="auto" w:sz="4" w:space="0"/>
              <w:left w:val="single" w:color="auto" w:sz="4" w:space="0"/>
              <w:bottom w:val="single" w:color="auto" w:sz="4" w:space="0"/>
              <w:right w:val="single" w:color="auto" w:sz="4" w:space="0"/>
            </w:tcBorders>
            <w:vAlign w:val="center"/>
          </w:tcPr>
          <w:p w14:paraId="621EE495">
            <w:pPr>
              <w:widowControl/>
              <w:jc w:val="left"/>
              <w:rPr>
                <w:rFonts w:eastAsia="仿宋_GB2312"/>
                <w:sz w:val="24"/>
              </w:rPr>
            </w:pPr>
            <w:r>
              <w:rPr>
                <w:rFonts w:eastAsia="仿宋_GB2312"/>
                <w:sz w:val="24"/>
              </w:rPr>
              <w:t>南宁市第一人民医院</w:t>
            </w:r>
          </w:p>
        </w:tc>
        <w:tc>
          <w:tcPr>
            <w:tcW w:w="2255" w:type="pct"/>
            <w:tcBorders>
              <w:top w:val="single" w:color="auto" w:sz="4" w:space="0"/>
              <w:left w:val="single" w:color="auto" w:sz="4" w:space="0"/>
              <w:bottom w:val="single" w:color="auto" w:sz="4" w:space="0"/>
              <w:right w:val="single" w:color="auto" w:sz="4" w:space="0"/>
            </w:tcBorders>
            <w:vAlign w:val="center"/>
          </w:tcPr>
          <w:p w14:paraId="62332DD6">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r w14:paraId="71EF5818">
        <w:tblPrEx>
          <w:tblCellMar>
            <w:top w:w="0" w:type="dxa"/>
            <w:left w:w="108" w:type="dxa"/>
            <w:bottom w:w="0" w:type="dxa"/>
            <w:right w:w="108" w:type="dxa"/>
          </w:tblCellMar>
        </w:tblPrEx>
        <w:trPr>
          <w:cantSplit/>
          <w:trHeight w:val="517" w:hRule="atLeast"/>
          <w:jc w:val="center"/>
        </w:trPr>
        <w:tc>
          <w:tcPr>
            <w:tcW w:w="636" w:type="pct"/>
            <w:tcBorders>
              <w:top w:val="single" w:color="auto" w:sz="4" w:space="0"/>
              <w:left w:val="single" w:color="auto" w:sz="4" w:space="0"/>
              <w:bottom w:val="single" w:color="auto" w:sz="4" w:space="0"/>
              <w:right w:val="single" w:color="008000" w:sz="4" w:space="0"/>
            </w:tcBorders>
            <w:vAlign w:val="center"/>
          </w:tcPr>
          <w:p w14:paraId="352A5D0F">
            <w:pPr>
              <w:jc w:val="center"/>
              <w:rPr>
                <w:rFonts w:ascii="仿宋_GB2312" w:hAnsi="仿宋_GB2312" w:eastAsia="仿宋_GB2312" w:cs="仿宋_GB2312"/>
                <w:sz w:val="24"/>
              </w:rPr>
            </w:pPr>
            <w:r>
              <w:rPr>
                <w:rFonts w:hint="eastAsia" w:ascii="仿宋_GB2312" w:hAnsi="仿宋_GB2312" w:eastAsia="仿宋_GB2312" w:cs="仿宋_GB2312"/>
                <w:sz w:val="24"/>
              </w:rPr>
              <w:t>莫显伟</w:t>
            </w:r>
          </w:p>
        </w:tc>
        <w:tc>
          <w:tcPr>
            <w:tcW w:w="727" w:type="pct"/>
            <w:tcBorders>
              <w:top w:val="single" w:color="auto" w:sz="4" w:space="0"/>
              <w:left w:val="single" w:color="auto" w:sz="4" w:space="0"/>
              <w:bottom w:val="single" w:color="auto" w:sz="4" w:space="0"/>
              <w:right w:val="single" w:color="auto" w:sz="4" w:space="0"/>
            </w:tcBorders>
            <w:vAlign w:val="center"/>
          </w:tcPr>
          <w:p w14:paraId="784EBA09">
            <w:pPr>
              <w:jc w:val="center"/>
              <w:rPr>
                <w:rFonts w:ascii="仿宋_GB2312" w:hAnsi="仿宋_GB2312" w:eastAsia="仿宋_GB2312" w:cs="仿宋_GB2312"/>
                <w:sz w:val="24"/>
              </w:rPr>
            </w:pPr>
            <w:r>
              <w:rPr>
                <w:rFonts w:hint="eastAsia" w:ascii="仿宋_GB2312" w:hAnsi="仿宋_GB2312" w:eastAsia="仿宋_GB2312" w:cs="仿宋_GB2312"/>
                <w:sz w:val="24"/>
              </w:rPr>
              <w:t>主管护师</w:t>
            </w:r>
          </w:p>
        </w:tc>
        <w:tc>
          <w:tcPr>
            <w:tcW w:w="1382" w:type="pct"/>
            <w:tcBorders>
              <w:top w:val="single" w:color="auto" w:sz="4" w:space="0"/>
              <w:left w:val="single" w:color="auto" w:sz="4" w:space="0"/>
              <w:bottom w:val="single" w:color="auto" w:sz="4" w:space="0"/>
              <w:right w:val="single" w:color="auto" w:sz="4" w:space="0"/>
            </w:tcBorders>
            <w:vAlign w:val="center"/>
          </w:tcPr>
          <w:p w14:paraId="08318BBE">
            <w:pPr>
              <w:widowControl/>
              <w:jc w:val="left"/>
              <w:rPr>
                <w:rFonts w:ascii="仿宋_GB2312" w:hAnsi="仿宋_GB2312" w:eastAsia="仿宋_GB2312" w:cs="仿宋_GB2312"/>
                <w:sz w:val="24"/>
              </w:rPr>
            </w:pPr>
            <w:r>
              <w:rPr>
                <w:rFonts w:hint="eastAsia" w:ascii="仿宋_GB2312" w:hAnsi="仿宋_GB2312" w:eastAsia="仿宋_GB2312" w:cs="仿宋_GB2312"/>
                <w:sz w:val="24"/>
              </w:rPr>
              <w:t>广西医科大学附属肿瘤医院</w:t>
            </w:r>
          </w:p>
        </w:tc>
        <w:tc>
          <w:tcPr>
            <w:tcW w:w="2255" w:type="pct"/>
            <w:tcBorders>
              <w:top w:val="single" w:color="auto" w:sz="4" w:space="0"/>
              <w:left w:val="single" w:color="auto" w:sz="4" w:space="0"/>
              <w:bottom w:val="single" w:color="auto" w:sz="4" w:space="0"/>
              <w:right w:val="single" w:color="auto" w:sz="4" w:space="0"/>
            </w:tcBorders>
            <w:vAlign w:val="center"/>
          </w:tcPr>
          <w:p w14:paraId="55197295">
            <w:pPr>
              <w:jc w:val="left"/>
              <w:rPr>
                <w:rFonts w:ascii="仿宋_GB2312" w:hAnsi="仿宋_GB2312" w:eastAsia="仿宋_GB2312" w:cs="仿宋_GB2312"/>
                <w:sz w:val="24"/>
              </w:rPr>
            </w:pPr>
            <w:r>
              <w:rPr>
                <w:rFonts w:hint="eastAsia" w:ascii="仿宋_GB2312" w:hAnsi="仿宋_GB2312" w:eastAsia="仿宋_GB2312" w:cs="仿宋_GB2312"/>
                <w:sz w:val="24"/>
              </w:rPr>
              <w:t>参与标准文本及编制说明的编写；组织开展标准征求意见会；对标准实施情况进行总结分析，不断对标准提出修正意见</w:t>
            </w:r>
          </w:p>
        </w:tc>
      </w:tr>
    </w:tbl>
    <w:p w14:paraId="6878B240">
      <w:pPr>
        <w:spacing w:line="560" w:lineRule="exact"/>
        <w:ind w:firstLine="640" w:firstLineChars="200"/>
        <w:rPr>
          <w:rFonts w:ascii="仿宋" w:hAnsi="仿宋" w:eastAsia="仿宋"/>
          <w:sz w:val="32"/>
          <w:szCs w:val="32"/>
        </w:rPr>
      </w:pPr>
    </w:p>
    <w:p w14:paraId="77C71896">
      <w:pPr>
        <w:pStyle w:val="9"/>
        <w:ind w:firstLine="640" w:firstLineChars="200"/>
        <w:jc w:val="left"/>
        <w:rPr>
          <w:rFonts w:ascii="黑体" w:hAnsi="黑体" w:eastAsia="黑体"/>
          <w:b w:val="0"/>
        </w:rPr>
      </w:pPr>
      <w:r>
        <w:rPr>
          <w:rFonts w:hint="eastAsia" w:ascii="黑体" w:hAnsi="黑体" w:eastAsia="黑体"/>
          <w:b w:val="0"/>
        </w:rPr>
        <w:t>二、项目背景及目的意义</w:t>
      </w:r>
    </w:p>
    <w:p w14:paraId="109DFDF4">
      <w:pPr>
        <w:autoSpaceDE w:val="0"/>
        <w:autoSpaceDN w:val="0"/>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双腔造口灌肠护理技术是针对双腔造口患者（肠道造口分为近端排便腔和远端排气/黏液腔）的专项灌肠护理操作，通过适配双腔结构的器具与标准化流程，向肠道内输注灌肠液，实现排便控制、肠道清洁或药物给药的护理技术。其核心特点是需兼顾双腔通道的功能差异（避免两腔交叉干扰），操作中需精准匹配造口结构，控制灌肠液的输注路径、速度和剂量，同时规避双腔造口特有的渗漏、黏膜损伤等风险，适用于需规律排便管理的永久性双腔造口患者，或术前肠道准备的暂时性双腔造口患者。</w:t>
      </w:r>
    </w:p>
    <w:p w14:paraId="2A1A1FB6">
      <w:pPr>
        <w:autoSpaceDE w:val="0"/>
        <w:autoSpaceDN w:val="0"/>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近年来，国外也相继出台了一些双腔造口护理相关的指南、共识。早在2010年，美国伤口、造口和失禁护理协会就制定了《伤口、造口和失禁护理实践范围与标准》提出了伤口、造口和失禁护理的相关措施，成为全美实施伤口、造口和失禁专科护理的行业标准。2014年，世界造口治疗师协会发布《国际指南（第一版）》指出伤口造口护士通过可持续的专业发展，如各种方法、策略，专业的培训，以提高造口护士专业化和胜任力水平。2017 年美国促进恢复学会联合围术期质量倡议委员会共同发布的《结直肠手术加速康复外科术后感染的预防》。2018年，美国伤口、造口和失禁护理协会在第一版的基础上进行了修订，形成了《伤口、造口和失禁护理实践范围与标准：第二版》更新了专科护士的执业范围、执业标准和专业实践的相关标准，并指出在注重伤口造口专科护士的临床知识和临床技能的同时，也要注重造口术后患者的评估、护理。2020年世界造口治疗师协会发布《国际指南（第二版）》内容涵盖了伤口造口专科护士教育和实践准则、整体护理、术前教育需求及术后教育需求4个方面，与第一版相比内容更加丰富，除新增了造口相关知识培训的必要性之外，还从造口对患者的日常生活出发，强调了伤口造口护士在患者造口术后护理的重要性，以改善患者的临床结局。</w:t>
      </w:r>
    </w:p>
    <w:p w14:paraId="1558BDBC">
      <w:pPr>
        <w:autoSpaceDE w:val="0"/>
        <w:autoSpaceDN w:val="0"/>
        <w:adjustRightInd w:val="0"/>
        <w:spacing w:line="560" w:lineRule="exact"/>
        <w:ind w:firstLine="640" w:firstLineChars="200"/>
        <w:rPr>
          <w:rFonts w:ascii="仿宋" w:hAnsi="仿宋" w:eastAsia="仿宋"/>
          <w:color w:val="0070C0"/>
          <w:sz w:val="32"/>
          <w:szCs w:val="32"/>
        </w:rPr>
      </w:pPr>
      <w:r>
        <w:rPr>
          <w:rFonts w:hint="eastAsia" w:ascii="仿宋" w:hAnsi="仿宋" w:eastAsia="仿宋"/>
          <w:sz w:val="32"/>
          <w:szCs w:val="32"/>
        </w:rPr>
        <w:t>目前，国内也制定了针对双腔造口护理的相关指南、共识。2018年，人民卫生出版社出版《造口护理学》中提及针对需双腔造口清洁灌肠的患者应根据肛管的直径制定灌洗圆锥头，根据患者病情选择近端或远端进行清洁灌肠，并着重描述了双腔造口灌肠的禁忌症和注意事项。2019年中华护理学会出版了《成人肠造口护理》中规定了成年肠造口护理的基本要求、术前护理和术后护理，强调护理人员应在术前一天为患者进行造口定位，并于术后每天进行造口评估，以便及时发现造口及周围皮肤并发症并予以处理。2021年吉林省颁布了《成人肠造口护理操作规范》中规定了成人肠造口护理操作前准备、操作步骤、操作后宣教、造口评估和注意事项。2022年中国研究型医院学会护理分会提出《成人肠造口皮肤黏膜分离护理专家共识》，对目前存在争议的分类、评估、处理等问题进行了规定并给出具体指导意见，旨在为临床实践者提供参考，提高造口护理质量</w:t>
      </w:r>
      <w:r>
        <w:rPr>
          <w:rFonts w:hint="eastAsia" w:ascii="仿宋" w:hAnsi="仿宋" w:eastAsia="仿宋"/>
          <w:color w:val="000000" w:themeColor="text1"/>
          <w:sz w:val="32"/>
          <w:szCs w:val="32"/>
          <w14:textFill>
            <w14:solidFill>
              <w14:schemeClr w14:val="tx1"/>
            </w14:solidFill>
          </w14:textFill>
        </w:rPr>
        <w:t>。</w:t>
      </w:r>
    </w:p>
    <w:p w14:paraId="764865A5">
      <w:pPr>
        <w:autoSpaceDE w:val="0"/>
        <w:autoSpaceDN w:val="0"/>
        <w:adjustRightInd w:val="0"/>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sz w:val="32"/>
          <w:szCs w:val="32"/>
        </w:rPr>
        <w:t>低位及超低位直肠癌保肛手术后双腔造口的患者面临多种潜在危险，造口的护理对于患者术后恢复情况、生存质量至关重要。目前，国内外已制定了已一些相关的指南、共识及标准，但对于双腔造口的患者来讲，其灌肠护理措施并未细化、具体化，且部分共识仅从医疗的角度进行介绍，对于护理相关标准介绍较少，尚未形成统一、高质量的护理相关规范。目前，广西范围内各医院护士对双腔造口灌肠护理规范要点了解不足，护士护理此类患者能力参差不齐，因此，急需制定一套统一的双腔造口灌肠护理技术规范，对双腔造口灌肠护理技术规范的适应症、禁忌症、目的及技术要点等进行规定，以促进各医疗机构双腔造口灌肠护理技术规范标准化和同质化。</w:t>
      </w:r>
    </w:p>
    <w:p w14:paraId="0B73F7F6">
      <w:pPr>
        <w:autoSpaceDE w:val="0"/>
        <w:autoSpaceDN w:val="0"/>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通过制定团体标准《双腔造口灌肠护理技术规范》，以标准为抓手，统一规范双腔造口灌肠护理技术要求，用标准化和规范化将更好的指导双腔造口灌肠护理技术工作，对促进医疗机构工作职能社会化、精细化、效益化发展，有助于完善医疗机构双腔造口灌肠护理技术标准化体系，尽快建立统一完善的双腔造口灌肠护理技术操作体系，对促进双腔造口灌肠护理技术操作专业化具有重要意义。</w:t>
      </w:r>
    </w:p>
    <w:p w14:paraId="7DE9C598">
      <w:pPr>
        <w:pStyle w:val="9"/>
        <w:ind w:firstLine="640" w:firstLineChars="200"/>
        <w:jc w:val="left"/>
        <w:rPr>
          <w:rFonts w:ascii="黑体" w:hAnsi="黑体" w:eastAsia="黑体"/>
          <w:b w:val="0"/>
        </w:rPr>
      </w:pPr>
      <w:r>
        <w:rPr>
          <w:rFonts w:hint="eastAsia" w:ascii="黑体" w:hAnsi="黑体" w:eastAsia="黑体"/>
          <w:b w:val="0"/>
        </w:rPr>
        <w:t>三、项目编制过程</w:t>
      </w:r>
    </w:p>
    <w:p w14:paraId="29827917">
      <w:pPr>
        <w:spacing w:line="560" w:lineRule="exact"/>
        <w:ind w:firstLine="643" w:firstLineChars="200"/>
        <w:rPr>
          <w:rFonts w:ascii="楷体" w:hAnsi="楷体" w:eastAsia="楷体" w:cs="仿宋_GB2312"/>
          <w:b/>
          <w:sz w:val="32"/>
          <w:szCs w:val="32"/>
        </w:rPr>
      </w:pPr>
      <w:r>
        <w:rPr>
          <w:rFonts w:hint="eastAsia" w:ascii="楷体" w:hAnsi="楷体" w:eastAsia="楷体" w:cs="仿宋_GB2312"/>
          <w:b/>
          <w:sz w:val="32"/>
          <w:szCs w:val="32"/>
        </w:rPr>
        <w:t>（一）成立标准编制工作组</w:t>
      </w:r>
    </w:p>
    <w:p w14:paraId="03FD4239">
      <w:pPr>
        <w:spacing w:line="560" w:lineRule="exact"/>
        <w:ind w:firstLine="640" w:firstLineChars="200"/>
        <w:rPr>
          <w:rFonts w:ascii="仿宋" w:hAnsi="仿宋" w:eastAsia="仿宋"/>
          <w:sz w:val="32"/>
          <w:szCs w:val="32"/>
        </w:rPr>
      </w:pPr>
      <w:r>
        <w:rPr>
          <w:rFonts w:hint="eastAsia" w:ascii="仿宋" w:hAnsi="仿宋" w:eastAsia="仿宋"/>
          <w:sz w:val="32"/>
          <w:szCs w:val="32"/>
        </w:rPr>
        <w:t>团体标准《双腔造口灌肠护理技术规范》项目任务下达后，广西医科大学附属肿瘤医院成立了标准编制工作组，制定了标准编写方案，明确任务职责，确定工作技术路线，开展标准研制工作。</w:t>
      </w:r>
    </w:p>
    <w:p w14:paraId="711DBFB5">
      <w:pPr>
        <w:spacing w:line="560" w:lineRule="exact"/>
        <w:ind w:firstLine="643" w:firstLineChars="200"/>
        <w:rPr>
          <w:rFonts w:ascii="楷体" w:hAnsi="楷体" w:eastAsia="楷体" w:cs="仿宋_GB2312"/>
          <w:b/>
          <w:sz w:val="32"/>
          <w:szCs w:val="32"/>
        </w:rPr>
      </w:pPr>
      <w:r>
        <w:rPr>
          <w:rFonts w:hint="eastAsia" w:ascii="楷体" w:hAnsi="楷体" w:eastAsia="楷体" w:cs="仿宋_GB2312"/>
          <w:b/>
          <w:sz w:val="32"/>
          <w:szCs w:val="32"/>
        </w:rPr>
        <w:t>（二）收集整理文献资料</w:t>
      </w:r>
    </w:p>
    <w:p w14:paraId="320EC9EF">
      <w:pPr>
        <w:spacing w:line="560" w:lineRule="exact"/>
        <w:ind w:firstLine="640" w:firstLineChars="200"/>
        <w:rPr>
          <w:rFonts w:ascii="仿宋" w:hAnsi="仿宋" w:eastAsia="仿宋"/>
          <w:sz w:val="32"/>
          <w:szCs w:val="32"/>
        </w:rPr>
      </w:pPr>
      <w:r>
        <w:rPr>
          <w:rFonts w:hint="eastAsia" w:ascii="仿宋" w:hAnsi="仿宋" w:eastAsia="仿宋"/>
          <w:sz w:val="32"/>
          <w:szCs w:val="32"/>
        </w:rPr>
        <w:t>标准编制工作组收集了国内有关双腔造口灌肠护理技术的相关技术文献资料。主要有：</w:t>
      </w:r>
    </w:p>
    <w:p w14:paraId="686807D4">
      <w:pPr>
        <w:spacing w:line="560" w:lineRule="exact"/>
        <w:ind w:firstLine="640" w:firstLineChars="200"/>
        <w:rPr>
          <w:rFonts w:ascii="仿宋" w:hAnsi="仿宋" w:eastAsia="仿宋"/>
          <w:sz w:val="32"/>
          <w:szCs w:val="32"/>
        </w:rPr>
      </w:pPr>
      <w:r>
        <w:rPr>
          <w:rFonts w:hint="eastAsia" w:ascii="仿宋" w:hAnsi="仿宋" w:eastAsia="仿宋"/>
          <w:sz w:val="32"/>
          <w:szCs w:val="32"/>
        </w:rPr>
        <w:t>WS/T 510—2016  病区医院感染管理规范</w:t>
      </w:r>
    </w:p>
    <w:p w14:paraId="406D98E6">
      <w:pPr>
        <w:spacing w:line="560" w:lineRule="exact"/>
        <w:ind w:firstLine="640" w:firstLineChars="200"/>
        <w:rPr>
          <w:rFonts w:ascii="仿宋" w:hAnsi="仿宋" w:eastAsia="仿宋"/>
          <w:sz w:val="32"/>
          <w:szCs w:val="32"/>
        </w:rPr>
      </w:pPr>
      <w:r>
        <w:rPr>
          <w:rFonts w:hint="eastAsia" w:ascii="仿宋" w:hAnsi="仿宋" w:eastAsia="仿宋"/>
          <w:sz w:val="32"/>
          <w:szCs w:val="32"/>
        </w:rPr>
        <w:t>DB22/T 3253—2021  成人造口规范</w:t>
      </w:r>
    </w:p>
    <w:p w14:paraId="4ED8566B">
      <w:pPr>
        <w:spacing w:line="560" w:lineRule="exact"/>
        <w:ind w:firstLine="640" w:firstLineChars="200"/>
        <w:rPr>
          <w:rFonts w:ascii="仿宋" w:hAnsi="仿宋" w:eastAsia="仿宋"/>
          <w:sz w:val="32"/>
          <w:szCs w:val="32"/>
        </w:rPr>
      </w:pPr>
      <w:r>
        <w:rPr>
          <w:rFonts w:hint="eastAsia" w:ascii="仿宋" w:hAnsi="仿宋" w:eastAsia="仿宋"/>
          <w:sz w:val="32"/>
          <w:szCs w:val="32"/>
        </w:rPr>
        <w:t>T/CNAS 07—2019  成人肠造口护理</w:t>
      </w:r>
    </w:p>
    <w:p w14:paraId="4DEBFBCF">
      <w:pPr>
        <w:spacing w:line="560" w:lineRule="exact"/>
        <w:ind w:firstLine="640" w:firstLineChars="200"/>
        <w:rPr>
          <w:rFonts w:ascii="仿宋" w:hAnsi="仿宋" w:eastAsia="仿宋"/>
          <w:sz w:val="32"/>
          <w:szCs w:val="32"/>
        </w:rPr>
      </w:pPr>
    </w:p>
    <w:p w14:paraId="6C774137">
      <w:pPr>
        <w:spacing w:line="560" w:lineRule="exact"/>
        <w:ind w:firstLine="643" w:firstLineChars="200"/>
        <w:rPr>
          <w:rFonts w:ascii="楷体" w:hAnsi="楷体" w:eastAsia="楷体" w:cs="仿宋_GB2312"/>
          <w:b/>
          <w:sz w:val="32"/>
          <w:szCs w:val="32"/>
        </w:rPr>
      </w:pPr>
      <w:r>
        <w:rPr>
          <w:rFonts w:hint="eastAsia" w:ascii="楷体" w:hAnsi="楷体" w:eastAsia="楷体" w:cs="仿宋_GB2312"/>
          <w:b/>
          <w:sz w:val="32"/>
          <w:szCs w:val="32"/>
        </w:rPr>
        <w:t>（三）研讨确定标准特色及创新点、主体内容</w:t>
      </w:r>
    </w:p>
    <w:p w14:paraId="11A595AB">
      <w:pPr>
        <w:spacing w:line="560" w:lineRule="exact"/>
        <w:ind w:firstLine="640" w:firstLineChars="200"/>
        <w:rPr>
          <w:rFonts w:ascii="仿宋" w:hAnsi="仿宋" w:eastAsia="仿宋"/>
          <w:sz w:val="32"/>
          <w:szCs w:val="32"/>
        </w:rPr>
      </w:pPr>
      <w:r>
        <w:rPr>
          <w:rFonts w:hint="eastAsia" w:ascii="仿宋" w:hAnsi="仿宋" w:eastAsia="仿宋"/>
          <w:sz w:val="32"/>
          <w:szCs w:val="32"/>
        </w:rPr>
        <w:t>1.标准特色及创新点</w:t>
      </w:r>
    </w:p>
    <w:p w14:paraId="17CA84BA">
      <w:pPr>
        <w:spacing w:line="560" w:lineRule="exact"/>
        <w:ind w:firstLine="640" w:firstLineChars="200"/>
        <w:rPr>
          <w:rFonts w:ascii="仿宋" w:hAnsi="仿宋" w:eastAsia="仿宋"/>
          <w:sz w:val="32"/>
          <w:szCs w:val="32"/>
        </w:rPr>
      </w:pPr>
      <w:r>
        <w:rPr>
          <w:rFonts w:hint="eastAsia" w:ascii="仿宋" w:hAnsi="仿宋" w:eastAsia="仿宋"/>
          <w:sz w:val="32"/>
          <w:szCs w:val="32"/>
        </w:rPr>
        <w:t>1）精准化评估分层，规避风险：区分近端、远端造口不同评估重点（近端侧重血运、排便规律，远端侧重残端闭合情况、肠段通畅性），明确禁忌证与并发症排查要点，减少操作盲目性。</w:t>
      </w:r>
    </w:p>
    <w:p w14:paraId="5A91ED69">
      <w:pPr>
        <w:spacing w:line="560" w:lineRule="exact"/>
        <w:ind w:firstLine="640" w:firstLineChars="200"/>
        <w:rPr>
          <w:rFonts w:ascii="仿宋" w:hAnsi="仿宋" w:eastAsia="仿宋"/>
          <w:sz w:val="32"/>
          <w:szCs w:val="32"/>
        </w:rPr>
      </w:pPr>
      <w:r>
        <w:rPr>
          <w:rFonts w:hint="eastAsia" w:ascii="仿宋" w:hAnsi="仿宋" w:eastAsia="仿宋"/>
          <w:sz w:val="32"/>
          <w:szCs w:val="32"/>
        </w:rPr>
        <w:t>2）用物与参数个性化适配：根据造口类型调整用物（远端额外备纱布、注射器，狭窄时换细肛管）、液体（远端优先生理盐水防电解质紊乱）、高度（远端灌肠高度低于近端）及流速，贴合不同造口生理特点。</w:t>
      </w:r>
    </w:p>
    <w:p w14:paraId="6C2FD21C">
      <w:pPr>
        <w:spacing w:line="560" w:lineRule="exact"/>
        <w:ind w:firstLine="640" w:firstLineChars="200"/>
        <w:rPr>
          <w:rFonts w:ascii="仿宋" w:hAnsi="仿宋" w:eastAsia="仿宋"/>
          <w:sz w:val="32"/>
          <w:szCs w:val="32"/>
        </w:rPr>
      </w:pPr>
      <w:r>
        <w:rPr>
          <w:rFonts w:hint="eastAsia" w:ascii="仿宋" w:hAnsi="仿宋" w:eastAsia="仿宋"/>
          <w:sz w:val="32"/>
          <w:szCs w:val="32"/>
        </w:rPr>
        <w:t>3）远端造口分步协同操作：创新采用 “经造口 + 经肛门” 两步灌肠法，针对远端闭锁肠段，先清洁造口侧肠段、再清洁肛门侧肠段，确保清洁彻底，同时降低感染风险。</w:t>
      </w:r>
    </w:p>
    <w:p w14:paraId="478C7ED2">
      <w:pPr>
        <w:spacing w:line="560" w:lineRule="exact"/>
        <w:ind w:firstLine="640" w:firstLineChars="200"/>
        <w:rPr>
          <w:rFonts w:ascii="仿宋" w:hAnsi="仿宋" w:eastAsia="仿宋"/>
          <w:sz w:val="32"/>
          <w:szCs w:val="32"/>
        </w:rPr>
      </w:pPr>
      <w:r>
        <w:rPr>
          <w:rFonts w:hint="eastAsia" w:ascii="仿宋" w:hAnsi="仿宋" w:eastAsia="仿宋"/>
          <w:sz w:val="32"/>
          <w:szCs w:val="32"/>
        </w:rPr>
        <w:t>4）全流程细节优化，强化保护：操作中注重造口黏膜与肛周皮肤保护（消毒范围、润滑长度规范），灌液时动态观察患者耐受度，操作后增加健康指导，兼顾实操安全性与患者自我护理能力提升。</w:t>
      </w:r>
    </w:p>
    <w:p w14:paraId="39367AAD">
      <w:pPr>
        <w:spacing w:line="560" w:lineRule="exact"/>
        <w:ind w:firstLine="640" w:firstLineChars="200"/>
        <w:rPr>
          <w:rFonts w:ascii="仿宋" w:hAnsi="仿宋" w:eastAsia="仿宋"/>
          <w:sz w:val="32"/>
          <w:szCs w:val="32"/>
        </w:rPr>
      </w:pPr>
      <w:r>
        <w:rPr>
          <w:rFonts w:hint="eastAsia" w:ascii="仿宋" w:hAnsi="仿宋" w:eastAsia="仿宋"/>
          <w:sz w:val="32"/>
          <w:szCs w:val="32"/>
        </w:rPr>
        <w:t>2.主体内容</w:t>
      </w:r>
    </w:p>
    <w:p w14:paraId="5A0C5D98">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sz w:val="32"/>
          <w:szCs w:val="32"/>
        </w:rPr>
        <w:t>标准编制工作组在对收集的资料进行整理研究之后，标准编制工作组召开了标准编制会议，对标准的整体框架结构进行了研究，并对标准的关键性内容进行了初步探讨。经过研究，标准的主体内容为规定了双腔造口灌肠护理技术的基本要求、护理前准备、护理措施、注意事项、常见问题处理以及健康教育等要求</w:t>
      </w:r>
      <w:r>
        <w:rPr>
          <w:rFonts w:hint="eastAsia" w:ascii="仿宋" w:hAnsi="仿宋" w:eastAsia="仿宋"/>
          <w:color w:val="000000" w:themeColor="text1"/>
          <w:sz w:val="32"/>
          <w:szCs w:val="32"/>
          <w14:textFill>
            <w14:solidFill>
              <w14:schemeClr w14:val="tx1"/>
            </w14:solidFill>
          </w14:textFill>
        </w:rPr>
        <w:t>。</w:t>
      </w:r>
    </w:p>
    <w:p w14:paraId="29C010C3">
      <w:pPr>
        <w:spacing w:line="560" w:lineRule="exact"/>
        <w:ind w:firstLine="643" w:firstLineChars="200"/>
        <w:rPr>
          <w:rFonts w:ascii="楷体" w:hAnsi="楷体" w:eastAsia="楷体" w:cs="仿宋_GB2312"/>
          <w:b/>
          <w:sz w:val="32"/>
          <w:szCs w:val="32"/>
        </w:rPr>
      </w:pPr>
      <w:r>
        <w:rPr>
          <w:rFonts w:hint="eastAsia" w:ascii="楷体" w:hAnsi="楷体" w:eastAsia="楷体" w:cs="仿宋_GB2312"/>
          <w:b/>
          <w:sz w:val="32"/>
          <w:szCs w:val="32"/>
        </w:rPr>
        <w:t>（四）调研及形成草案、征求意见稿</w:t>
      </w:r>
    </w:p>
    <w:p w14:paraId="2AD959F0">
      <w:pPr>
        <w:spacing w:line="560" w:lineRule="exact"/>
        <w:ind w:firstLine="640" w:firstLineChars="200"/>
        <w:rPr>
          <w:rFonts w:ascii="仿宋" w:hAnsi="仿宋" w:eastAsia="仿宋"/>
          <w:sz w:val="32"/>
          <w:szCs w:val="32"/>
        </w:rPr>
      </w:pPr>
      <w:r>
        <w:rPr>
          <w:rFonts w:hint="eastAsia" w:ascii="仿宋" w:hAnsi="仿宋" w:eastAsia="仿宋"/>
          <w:sz w:val="32"/>
          <w:szCs w:val="32"/>
        </w:rPr>
        <w:t>2025年11月～2025年12月</w:t>
      </w:r>
      <w:r>
        <w:rPr>
          <w:rFonts w:ascii="仿宋" w:hAnsi="仿宋" w:eastAsia="仿宋"/>
          <w:sz w:val="32"/>
          <w:szCs w:val="32"/>
        </w:rPr>
        <w:t>，</w:t>
      </w:r>
      <w:r>
        <w:rPr>
          <w:rFonts w:hint="eastAsia" w:ascii="仿宋" w:hAnsi="仿宋" w:eastAsia="仿宋"/>
          <w:sz w:val="32"/>
          <w:szCs w:val="32"/>
        </w:rPr>
        <w:t>标准编制工作组进行了标准编制准备工作，查阅了大量的国内外有关双腔造口灌肠护理技术的文献资料，并针对目前</w:t>
      </w:r>
      <w:r>
        <w:rPr>
          <w:rFonts w:hint="eastAsia" w:ascii="仿宋" w:hAnsi="仿宋" w:eastAsia="仿宋"/>
          <w:color w:val="000000" w:themeColor="text1"/>
          <w:sz w:val="32"/>
          <w:szCs w:val="32"/>
          <w14:textFill>
            <w14:solidFill>
              <w14:schemeClr w14:val="tx1"/>
            </w14:solidFill>
          </w14:textFill>
        </w:rPr>
        <w:t>双腔造口灌肠护理技术</w:t>
      </w:r>
      <w:r>
        <w:rPr>
          <w:rFonts w:hint="eastAsia" w:ascii="仿宋" w:hAnsi="仿宋" w:eastAsia="仿宋"/>
          <w:sz w:val="32"/>
          <w:szCs w:val="32"/>
        </w:rPr>
        <w:t>到南宁市第一人民医院、广西壮族自治区民族医院、广西中医药大学第一附属医院、广西中医药大学附属瑞康医院、柳州市人民医院、广西医科大学附属口腔医院、广西壮族自治区工人医院等相关医疗机构进行实地考察调研。调研的同时召集多家有关单位开展了标准研讨会，对</w:t>
      </w:r>
      <w:r>
        <w:rPr>
          <w:rFonts w:hint="eastAsia" w:ascii="仿宋" w:hAnsi="仿宋" w:eastAsia="仿宋"/>
          <w:color w:val="000000" w:themeColor="text1"/>
          <w:sz w:val="32"/>
          <w:szCs w:val="32"/>
          <w14:textFill>
            <w14:solidFill>
              <w14:schemeClr w14:val="tx1"/>
            </w14:solidFill>
          </w14:textFill>
        </w:rPr>
        <w:t>双腔造口灌肠护理技术</w:t>
      </w:r>
      <w:r>
        <w:rPr>
          <w:rFonts w:hint="eastAsia" w:ascii="仿宋" w:hAnsi="仿宋" w:eastAsia="仿宋"/>
          <w:sz w:val="32"/>
          <w:szCs w:val="32"/>
        </w:rPr>
        <w:t>相关资料进行系统总结。形成了标准的基本构架，对主要内容进行了讨论并对项目的工作进行了部署和安排。</w:t>
      </w:r>
    </w:p>
    <w:p w14:paraId="0C3CD77C">
      <w:pPr>
        <w:spacing w:line="560" w:lineRule="exact"/>
        <w:ind w:firstLine="640" w:firstLineChars="200"/>
        <w:rPr>
          <w:rFonts w:ascii="仿宋" w:hAnsi="仿宋" w:eastAsia="仿宋"/>
          <w:sz w:val="32"/>
          <w:szCs w:val="32"/>
        </w:rPr>
      </w:pPr>
      <w:r>
        <w:rPr>
          <w:rFonts w:hint="eastAsia" w:ascii="仿宋" w:hAnsi="仿宋" w:eastAsia="仿宋"/>
          <w:sz w:val="32"/>
          <w:szCs w:val="32"/>
        </w:rPr>
        <w:t>2026年1月，在前期工作的基础之上，通过理清逻辑脉络，整合已有的参考资料中有关</w:t>
      </w:r>
      <w:bookmarkStart w:id="7" w:name="_Toc526940083"/>
      <w:r>
        <w:rPr>
          <w:rFonts w:hint="eastAsia" w:ascii="仿宋" w:hAnsi="仿宋" w:eastAsia="仿宋"/>
          <w:sz w:val="32"/>
          <w:szCs w:val="32"/>
        </w:rPr>
        <w:t>双腔造口灌肠护理技术的要求，并结合赴相关医疗机构实地考察调研以及标准研讨会上意见整合的基础上，按照简化、统一等原则编制完成团体标准《双腔造口灌肠护理技术规范》（草案）。</w:t>
      </w:r>
    </w:p>
    <w:p w14:paraId="0D993F68">
      <w:pPr>
        <w:spacing w:line="560" w:lineRule="exact"/>
        <w:ind w:firstLine="640" w:firstLineChars="200"/>
        <w:rPr>
          <w:rFonts w:ascii="仿宋" w:hAnsi="仿宋" w:eastAsia="仿宋"/>
          <w:sz w:val="32"/>
          <w:szCs w:val="32"/>
        </w:rPr>
      </w:pPr>
      <w:r>
        <w:rPr>
          <w:rFonts w:hint="eastAsia" w:ascii="仿宋" w:hAnsi="仿宋" w:eastAsia="仿宋"/>
          <w:sz w:val="32"/>
          <w:szCs w:val="32"/>
        </w:rPr>
        <w:t>2026年2月，标准编制工作组再次召开标准研讨会，收集反馈了大量意见和建议，明确了双腔造口灌肠护理技术多方面的要求。通过再次前往双腔造口灌肠护理技术有关的医疗机构实地座谈调研并多次召开讨论会议，并在单位官网挂网公开征求意见、征求南宁市第一人民医院、广西壮族自治区民族医院、广西中医药大学第一附属医院、广西中医药大学附属瑞康医院、柳州市人民医院、广西医科大学附属口腔医院、广西壮族自治区工人医院等7家单位意见，对标准草案进行了反复修改和研究讨论。最终形成了团体标准《双腔造口灌肠护理技术规范》（征求意见稿）和（征求意见稿）编制说明。</w:t>
      </w:r>
    </w:p>
    <w:bookmarkEnd w:id="7"/>
    <w:p w14:paraId="03FD2983">
      <w:pPr>
        <w:spacing w:line="560" w:lineRule="exact"/>
        <w:ind w:firstLine="640" w:firstLineChars="200"/>
        <w:rPr>
          <w:rFonts w:ascii="黑体" w:hAnsi="黑体" w:eastAsia="黑体" w:cstheme="majorBidi"/>
          <w:bCs/>
          <w:sz w:val="32"/>
          <w:szCs w:val="32"/>
        </w:rPr>
      </w:pPr>
      <w:r>
        <w:rPr>
          <w:rFonts w:hint="eastAsia" w:ascii="黑体" w:hAnsi="黑体" w:eastAsia="黑体" w:cstheme="majorBidi"/>
          <w:bCs/>
          <w:sz w:val="32"/>
          <w:szCs w:val="32"/>
        </w:rPr>
        <w:t>四、制定标准的原则和依据，与现行法律、法规的关系，与有关国家标准、行业标准的协调情况</w:t>
      </w:r>
    </w:p>
    <w:p w14:paraId="5CB073F3">
      <w:pPr>
        <w:spacing w:line="560" w:lineRule="exact"/>
        <w:ind w:firstLine="643" w:firstLineChars="200"/>
        <w:rPr>
          <w:rFonts w:ascii="楷体" w:hAnsi="楷体" w:eastAsia="楷体"/>
          <w:b/>
          <w:sz w:val="32"/>
          <w:szCs w:val="32"/>
        </w:rPr>
      </w:pPr>
      <w:r>
        <w:rPr>
          <w:rFonts w:hint="eastAsia" w:ascii="楷体" w:hAnsi="楷体" w:eastAsia="楷体"/>
          <w:b/>
          <w:sz w:val="32"/>
          <w:szCs w:val="32"/>
        </w:rPr>
        <w:t>1.实用性原则</w:t>
      </w:r>
    </w:p>
    <w:p w14:paraId="64CCE64C">
      <w:pPr>
        <w:spacing w:line="560" w:lineRule="exact"/>
        <w:ind w:firstLine="640" w:firstLineChars="200"/>
        <w:rPr>
          <w:rFonts w:ascii="仿宋" w:hAnsi="仿宋" w:eastAsia="仿宋"/>
          <w:sz w:val="32"/>
          <w:szCs w:val="32"/>
        </w:rPr>
      </w:pPr>
      <w:r>
        <w:rPr>
          <w:rFonts w:hint="eastAsia" w:ascii="仿宋" w:hAnsi="仿宋" w:eastAsia="仿宋"/>
          <w:sz w:val="32"/>
          <w:szCs w:val="32"/>
        </w:rPr>
        <w:t>本文件是在充分收集相关资料和文献，分析当前现状，调研双腔造口灌肠护理技术的实际情况，在现有国家、行业标准中相关双腔造口灌肠护理技术的基础上，结合多年经验而总结起草的。符合当前双腔造口灌肠护理技术工作的方向与需求，有利于行业的长远发展，具有较强的实用性和可操作性。</w:t>
      </w:r>
    </w:p>
    <w:p w14:paraId="07B1D4C2">
      <w:pPr>
        <w:spacing w:line="560" w:lineRule="exact"/>
        <w:ind w:firstLine="643" w:firstLineChars="200"/>
        <w:rPr>
          <w:rFonts w:ascii="楷体" w:hAnsi="楷体" w:eastAsia="楷体"/>
          <w:b/>
          <w:sz w:val="32"/>
          <w:szCs w:val="32"/>
        </w:rPr>
      </w:pPr>
      <w:r>
        <w:rPr>
          <w:rFonts w:hint="eastAsia" w:ascii="楷体" w:hAnsi="楷体" w:eastAsia="楷体"/>
          <w:b/>
          <w:sz w:val="32"/>
          <w:szCs w:val="32"/>
        </w:rPr>
        <w:t>2.协调性原则</w:t>
      </w:r>
    </w:p>
    <w:p w14:paraId="79B23F88">
      <w:pPr>
        <w:spacing w:line="560" w:lineRule="exact"/>
        <w:ind w:firstLine="640" w:firstLineChars="200"/>
        <w:rPr>
          <w:rFonts w:ascii="仿宋" w:hAnsi="仿宋" w:eastAsia="仿宋"/>
          <w:sz w:val="32"/>
          <w:szCs w:val="32"/>
        </w:rPr>
      </w:pPr>
      <w:r>
        <w:rPr>
          <w:rFonts w:hint="eastAsia" w:ascii="仿宋" w:hAnsi="仿宋" w:eastAsia="仿宋"/>
          <w:sz w:val="32"/>
          <w:szCs w:val="32"/>
        </w:rPr>
        <w:t>本文件编写过程中注意了与双腔造口灌肠护理技术相关法律法规的协调问题，在内容上与现行法律法规、标准协调一致。</w:t>
      </w:r>
    </w:p>
    <w:p w14:paraId="240DEC4B">
      <w:pPr>
        <w:spacing w:line="560" w:lineRule="exact"/>
        <w:ind w:firstLine="643" w:firstLineChars="200"/>
        <w:rPr>
          <w:rFonts w:ascii="楷体" w:hAnsi="楷体" w:eastAsia="楷体"/>
          <w:b/>
          <w:sz w:val="32"/>
          <w:szCs w:val="32"/>
        </w:rPr>
      </w:pPr>
      <w:r>
        <w:rPr>
          <w:rFonts w:hint="eastAsia" w:ascii="楷体" w:hAnsi="楷体" w:eastAsia="楷体"/>
          <w:b/>
          <w:sz w:val="32"/>
          <w:szCs w:val="32"/>
        </w:rPr>
        <w:t>3.规范性原则</w:t>
      </w:r>
    </w:p>
    <w:p w14:paraId="04AFABAF">
      <w:pPr>
        <w:spacing w:line="560" w:lineRule="exact"/>
        <w:ind w:firstLine="640" w:firstLineChars="200"/>
        <w:rPr>
          <w:rFonts w:ascii="仿宋" w:hAnsi="仿宋" w:eastAsia="仿宋"/>
          <w:sz w:val="32"/>
          <w:szCs w:val="32"/>
        </w:rPr>
      </w:pPr>
      <w:r>
        <w:rPr>
          <w:rFonts w:hint="eastAsia" w:ascii="仿宋" w:hAnsi="仿宋" w:eastAsia="仿宋"/>
          <w:sz w:val="32"/>
          <w:szCs w:val="32"/>
        </w:rPr>
        <w:t>本文件严格按照GB/T 1.1—2020《标准化工作导则 第1部分：标准化文件的结构和起草规则》的要求和规定编写本标准的内容，保证标准的编写质量。</w:t>
      </w:r>
    </w:p>
    <w:p w14:paraId="1ADFF8A2">
      <w:pPr>
        <w:spacing w:line="560" w:lineRule="exact"/>
        <w:ind w:firstLine="643" w:firstLineChars="200"/>
        <w:rPr>
          <w:rFonts w:ascii="楷体" w:hAnsi="楷体" w:eastAsia="楷体"/>
          <w:b/>
          <w:sz w:val="32"/>
          <w:szCs w:val="32"/>
        </w:rPr>
      </w:pPr>
      <w:r>
        <w:rPr>
          <w:rFonts w:hint="eastAsia" w:ascii="楷体" w:hAnsi="楷体" w:eastAsia="楷体"/>
          <w:b/>
          <w:sz w:val="32"/>
          <w:szCs w:val="32"/>
        </w:rPr>
        <w:t>4.前瞻性原则</w:t>
      </w:r>
    </w:p>
    <w:p w14:paraId="18D06E6B">
      <w:pPr>
        <w:spacing w:line="560" w:lineRule="exact"/>
        <w:ind w:firstLine="640" w:firstLineChars="200"/>
        <w:rPr>
          <w:rFonts w:ascii="仿宋" w:hAnsi="仿宋" w:eastAsia="仿宋"/>
          <w:sz w:val="32"/>
          <w:szCs w:val="32"/>
        </w:rPr>
      </w:pPr>
      <w:r>
        <w:rPr>
          <w:rFonts w:hint="eastAsia" w:ascii="仿宋" w:hAnsi="仿宋" w:eastAsia="仿宋"/>
          <w:sz w:val="32"/>
          <w:szCs w:val="32"/>
        </w:rPr>
        <w:t>本文件在兼顾当前区内外双腔造口灌肠护理技术现实情况的同时，还考虑到了双腔造口灌肠护理技术操作专业化发展的趋势和需要，在标准中体现了个别特色性、前瞻性和先进性条款，作为对开展双腔造口灌肠护理技术工作的指导。</w:t>
      </w:r>
    </w:p>
    <w:p w14:paraId="6DD74CC5">
      <w:pPr>
        <w:widowControl/>
        <w:tabs>
          <w:tab w:val="center" w:pos="4201"/>
          <w:tab w:val="right" w:leader="dot" w:pos="9298"/>
        </w:tabs>
        <w:autoSpaceDE w:val="0"/>
        <w:autoSpaceDN w:val="0"/>
        <w:spacing w:line="560" w:lineRule="exact"/>
        <w:ind w:firstLine="643" w:firstLineChars="200"/>
        <w:outlineLvl w:val="1"/>
        <w:rPr>
          <w:rFonts w:eastAsia="楷体"/>
          <w:b/>
          <w:bCs/>
          <w:kern w:val="0"/>
          <w:sz w:val="32"/>
          <w:szCs w:val="32"/>
        </w:rPr>
      </w:pPr>
      <w:r>
        <w:rPr>
          <w:rFonts w:hint="eastAsia" w:eastAsia="楷体"/>
          <w:b/>
          <w:bCs/>
          <w:kern w:val="0"/>
          <w:sz w:val="32"/>
          <w:szCs w:val="32"/>
        </w:rPr>
        <w:t>（二）编制依据</w:t>
      </w:r>
    </w:p>
    <w:p w14:paraId="0AC9D316">
      <w:pPr>
        <w:ind w:firstLine="640" w:firstLineChars="200"/>
        <w:rPr>
          <w:rFonts w:ascii="仿宋" w:hAnsi="仿宋" w:eastAsia="仿宋"/>
          <w:sz w:val="32"/>
          <w:szCs w:val="32"/>
        </w:rPr>
      </w:pPr>
      <w:r>
        <w:rPr>
          <w:rFonts w:ascii="仿宋" w:hAnsi="仿宋" w:eastAsia="仿宋"/>
          <w:sz w:val="32"/>
          <w:szCs w:val="32"/>
        </w:rPr>
        <w:t>本标准严格按照GB/T 1.1</w:t>
      </w:r>
      <w:r>
        <w:rPr>
          <w:rFonts w:hint="eastAsia" w:ascii="仿宋" w:hAnsi="仿宋" w:eastAsia="仿宋"/>
          <w:sz w:val="32"/>
          <w:szCs w:val="32"/>
        </w:rPr>
        <w:t>—</w:t>
      </w:r>
      <w:r>
        <w:rPr>
          <w:rFonts w:ascii="仿宋" w:hAnsi="仿宋" w:eastAsia="仿宋"/>
          <w:sz w:val="32"/>
          <w:szCs w:val="32"/>
        </w:rPr>
        <w:t>2020《标准化工作导则  第1部分：标准化文件的结构和起草规则》的</w:t>
      </w:r>
      <w:r>
        <w:rPr>
          <w:rFonts w:hint="eastAsia" w:ascii="仿宋" w:hAnsi="仿宋" w:eastAsia="仿宋"/>
          <w:sz w:val="32"/>
          <w:szCs w:val="32"/>
        </w:rPr>
        <w:t>规则</w:t>
      </w:r>
      <w:r>
        <w:rPr>
          <w:rFonts w:ascii="仿宋" w:hAnsi="仿宋" w:eastAsia="仿宋"/>
          <w:sz w:val="32"/>
          <w:szCs w:val="32"/>
        </w:rPr>
        <w:t>起草</w:t>
      </w:r>
      <w:r>
        <w:rPr>
          <w:rFonts w:hint="eastAsia" w:ascii="仿宋" w:hAnsi="仿宋" w:eastAsia="仿宋"/>
          <w:sz w:val="32"/>
          <w:szCs w:val="32"/>
        </w:rPr>
        <w:t>，标准主要内容根据《成人肠造口皮肤黏膜分离护理专家共识》《结肠造口灌洗指南》等相关指南和专家共识，以及临床工作经验制定。技术内容主要涉及双腔造口灌肠护理技术相关护理措施，能够更加全面、综合性的进行护理指导。</w:t>
      </w:r>
    </w:p>
    <w:p w14:paraId="367AEAC6">
      <w:pPr>
        <w:widowControl/>
        <w:tabs>
          <w:tab w:val="center" w:pos="4201"/>
          <w:tab w:val="right" w:leader="dot" w:pos="9298"/>
        </w:tabs>
        <w:autoSpaceDE w:val="0"/>
        <w:autoSpaceDN w:val="0"/>
        <w:spacing w:line="560" w:lineRule="exact"/>
        <w:ind w:firstLine="643" w:firstLineChars="200"/>
        <w:outlineLvl w:val="1"/>
        <w:rPr>
          <w:rFonts w:eastAsia="楷体"/>
          <w:b/>
          <w:bCs/>
          <w:kern w:val="0"/>
          <w:sz w:val="32"/>
          <w:szCs w:val="32"/>
        </w:rPr>
      </w:pPr>
      <w:r>
        <w:rPr>
          <w:rFonts w:hint="eastAsia" w:eastAsia="楷体"/>
          <w:b/>
          <w:bCs/>
          <w:kern w:val="0"/>
          <w:sz w:val="32"/>
          <w:szCs w:val="32"/>
        </w:rPr>
        <w:t>（三）与现行法律、法规的关系，与有关国家标准、行业标准的协调情况</w:t>
      </w:r>
    </w:p>
    <w:p w14:paraId="7700D3DE">
      <w:pPr>
        <w:ind w:firstLine="640" w:firstLineChars="200"/>
        <w:rPr>
          <w:rFonts w:ascii="仿宋" w:hAnsi="仿宋" w:eastAsia="仿宋"/>
          <w:sz w:val="32"/>
          <w:szCs w:val="32"/>
        </w:rPr>
      </w:pPr>
      <w:r>
        <w:rPr>
          <w:rFonts w:hint="eastAsia" w:ascii="仿宋" w:hAnsi="仿宋" w:eastAsia="仿宋"/>
          <w:sz w:val="32"/>
          <w:szCs w:val="32"/>
        </w:rPr>
        <w:t>本标准与相关法律法规、强制性标准协调一致，无冲突。</w:t>
      </w:r>
    </w:p>
    <w:p w14:paraId="58DA216F">
      <w:pPr>
        <w:ind w:firstLine="640" w:firstLineChars="200"/>
        <w:rPr>
          <w:rFonts w:ascii="仿宋" w:hAnsi="仿宋" w:eastAsia="仿宋"/>
          <w:sz w:val="32"/>
          <w:szCs w:val="32"/>
        </w:rPr>
      </w:pPr>
      <w:r>
        <w:rPr>
          <w:rFonts w:hint="eastAsia" w:ascii="仿宋" w:hAnsi="仿宋" w:eastAsia="仿宋"/>
          <w:sz w:val="32"/>
          <w:szCs w:val="32"/>
        </w:rPr>
        <w:t>经查新，截至目前，与“肠造口护理”“造口护理”相关的标准有：T/CNAS 07-2019 成人肠造口护理、DB22/T 3253-2021成人造口规范。分析如下：</w:t>
      </w:r>
    </w:p>
    <w:p w14:paraId="68027456">
      <w:pPr>
        <w:ind w:firstLine="640" w:firstLineChars="200"/>
        <w:rPr>
          <w:rFonts w:ascii="仿宋" w:hAnsi="仿宋" w:eastAsia="仿宋"/>
          <w:sz w:val="32"/>
          <w:szCs w:val="32"/>
        </w:rPr>
      </w:pPr>
      <w:r>
        <w:rPr>
          <w:rFonts w:hint="eastAsia" w:ascii="仿宋" w:hAnsi="仿宋" w:eastAsia="仿宋"/>
          <w:sz w:val="32"/>
          <w:szCs w:val="32"/>
        </w:rPr>
        <w:t>《T/CNAS 07-2019成人肠造口护理》规定了成年肠造口护理的基本要求、术前护理和术后护理。《DB22/T 3253-2021成人肠造口护理操作规范》规定了成人肠造口护理操作前准备、操作步骤、操作后宣教、造口评估和注意事项。</w:t>
      </w:r>
    </w:p>
    <w:p w14:paraId="54AB12F6">
      <w:pPr>
        <w:ind w:firstLine="640" w:firstLineChars="200"/>
        <w:rPr>
          <w:rFonts w:ascii="仿宋" w:hAnsi="仿宋" w:eastAsia="仿宋"/>
          <w:sz w:val="32"/>
          <w:szCs w:val="32"/>
        </w:rPr>
      </w:pPr>
      <w:r>
        <w:rPr>
          <w:rFonts w:hint="eastAsia" w:ascii="仿宋" w:hAnsi="仿宋" w:eastAsia="仿宋"/>
          <w:sz w:val="32"/>
          <w:szCs w:val="32"/>
        </w:rPr>
        <w:t>以上标准主要是对伤口造口提出技术要求以及护理措施进行规范，未有针对双腔造口灌肠护理技术规范提出全程具体的规范。本标准与上述其他现行标准的侧重点和核心内容均存在差异，将有效指导双腔造口灌肠护理技术规范。</w:t>
      </w:r>
    </w:p>
    <w:p w14:paraId="0A8CF622">
      <w:pPr>
        <w:spacing w:before="240" w:after="60"/>
        <w:ind w:firstLine="640" w:firstLineChars="200"/>
        <w:jc w:val="left"/>
        <w:outlineLvl w:val="0"/>
        <w:rPr>
          <w:rFonts w:ascii="黑体" w:hAnsi="黑体" w:eastAsia="黑体"/>
          <w:bCs/>
          <w:sz w:val="32"/>
          <w:szCs w:val="32"/>
        </w:rPr>
      </w:pPr>
      <w:r>
        <w:rPr>
          <w:rFonts w:ascii="黑体" w:hAnsi="黑体" w:eastAsia="黑体"/>
          <w:bCs/>
          <w:sz w:val="32"/>
          <w:szCs w:val="32"/>
        </w:rPr>
        <w:t>五、</w:t>
      </w:r>
      <w:r>
        <w:rPr>
          <w:rFonts w:hint="eastAsia" w:ascii="黑体" w:hAnsi="黑体" w:eastAsia="黑体"/>
          <w:bCs/>
          <w:sz w:val="32"/>
          <w:szCs w:val="32"/>
        </w:rPr>
        <w:t>主要条款的说明</w:t>
      </w:r>
    </w:p>
    <w:p w14:paraId="2206C87B">
      <w:pPr>
        <w:spacing w:line="560" w:lineRule="exact"/>
        <w:ind w:firstLine="640" w:firstLineChars="200"/>
        <w:rPr>
          <w:rFonts w:ascii="仿宋" w:hAnsi="仿宋" w:eastAsia="仿宋"/>
          <w:sz w:val="32"/>
          <w:szCs w:val="32"/>
        </w:rPr>
      </w:pPr>
      <w:r>
        <w:rPr>
          <w:rFonts w:hint="eastAsia" w:ascii="仿宋" w:hAnsi="仿宋" w:eastAsia="仿宋"/>
          <w:sz w:val="32"/>
          <w:szCs w:val="32"/>
        </w:rPr>
        <w:t>团体标准《双腔造口灌肠护理技术规范》主要内容为双腔造口灌肠护理技术指导，规定了双腔造口灌肠护理的基本要求、护理前准备、护理措施、注意事项、常见问题处理以及健康教育。该标准主要内容及依据来源说明如下：</w:t>
      </w:r>
    </w:p>
    <w:p w14:paraId="6A908AC2">
      <w:pPr>
        <w:spacing w:line="560" w:lineRule="exact"/>
        <w:ind w:firstLine="643" w:firstLineChars="200"/>
        <w:rPr>
          <w:rFonts w:ascii="楷体" w:hAnsi="楷体" w:eastAsia="楷体"/>
          <w:b/>
          <w:sz w:val="32"/>
          <w:szCs w:val="32"/>
        </w:rPr>
      </w:pPr>
      <w:r>
        <w:rPr>
          <w:rFonts w:hint="eastAsia" w:ascii="楷体" w:hAnsi="楷体" w:eastAsia="楷体"/>
          <w:b/>
          <w:sz w:val="32"/>
          <w:szCs w:val="32"/>
        </w:rPr>
        <w:t>（一）基本要求</w:t>
      </w:r>
    </w:p>
    <w:p w14:paraId="443976B3">
      <w:pPr>
        <w:pStyle w:val="23"/>
        <w:spacing w:line="560" w:lineRule="exact"/>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sz w:val="32"/>
          <w:szCs w:val="32"/>
        </w:rPr>
        <w:t>为保障双腔造口灌肠护理的安全性、规范性与同质化，双腔造口解剖特殊、黏膜脆弱，灌肠操作风险较高，因此要求医务人员经专项培训并考核合格，确保其熟练掌握相关专业知识，能规范执行操作流程，避免造口损伤、出血等并发症；同时，严格遵循 WS/T 367、GB 15982、WS/T 311、WS/T 313 等国家及行业相关标准，落实医疗机构消毒、医院消毒卫生、感染预防隔离及医护人员手卫生要求，构建完善的感染防控闭环，防止医源性感染和交叉感染，既保障患者就医安全，也降低医务人员职业暴露风险，使双腔造口灌肠护理操作合法合规、有据可依，确保护理质量可控</w:t>
      </w:r>
      <w:r>
        <w:rPr>
          <w:rFonts w:hint="eastAsia" w:ascii="仿宋" w:hAnsi="仿宋" w:eastAsia="仿宋"/>
          <w:color w:val="000000" w:themeColor="text1"/>
          <w:sz w:val="32"/>
          <w:szCs w:val="32"/>
          <w14:textFill>
            <w14:solidFill>
              <w14:schemeClr w14:val="tx1"/>
            </w14:solidFill>
          </w14:textFill>
        </w:rPr>
        <w:t>。</w:t>
      </w:r>
    </w:p>
    <w:p w14:paraId="1ACA51FA">
      <w:pPr>
        <w:pStyle w:val="23"/>
        <w:spacing w:line="560" w:lineRule="exact"/>
        <w:ind w:firstLine="643"/>
        <w:rPr>
          <w:rFonts w:ascii="楷体" w:hAnsi="楷体" w:eastAsia="楷体"/>
          <w:b/>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（二）护理前准备</w:t>
      </w:r>
    </w:p>
    <w:p w14:paraId="6B8E19AB">
      <w:pPr>
        <w:pStyle w:val="23"/>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sz w:val="32"/>
          <w:szCs w:val="32"/>
        </w:rPr>
        <w:t>通过全面评估、规范用物、适宜环境、标准防护、合理体位，提前识别操作风险、排除禁忌证，减少造口黏膜损伤、肠道刺激、感染、腹胀腹痛等并发症；同时保护患者隐私与舒适，保证操作视野清晰、流程顺畅，严格契合临床护理安全与医院感染控制要求，为整个灌肠操作提供安全、规范、可控的前置条件，保障医患双方安全</w:t>
      </w:r>
      <w:r>
        <w:rPr>
          <w:rFonts w:hint="eastAsia" w:ascii="仿宋" w:hAnsi="仿宋" w:eastAsia="仿宋"/>
          <w:color w:val="000000" w:themeColor="text1"/>
          <w:sz w:val="32"/>
          <w:szCs w:val="32"/>
          <w14:textFill>
            <w14:solidFill>
              <w14:schemeClr w14:val="tx1"/>
            </w14:solidFill>
          </w14:textFill>
        </w:rPr>
        <w:t>。</w:t>
      </w:r>
    </w:p>
    <w:p w14:paraId="2C2FBB99">
      <w:pPr>
        <w:pStyle w:val="23"/>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评估可提前识别造口血运异常、皮肤破损、肠道梗阻、造口狭窄或脱垂等高危情况，明确操作禁忌与风险点，避免盲目操作导致黏膜损伤、出血、穿孔、感染加重等并发症，同时掌握患者配合度与既往灌肠史，为个体化操作方案提供依据。</w:t>
      </w:r>
    </w:p>
    <w:p w14:paraId="7ABD6A6F">
      <w:pPr>
        <w:pStyle w:val="23"/>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物品准备能够保证用物齐全、规格适宜、温度合规，确保灌肠液量、浓度、温度符合肠道生理要求，减少刺激与电解质紊乱风险，同时落实无菌用物要求，从源头降低感染风险。</w:t>
      </w:r>
    </w:p>
    <w:p w14:paraId="4E9347E4">
      <w:pPr>
        <w:pStyle w:val="23"/>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环境准备通过调节适宜室温、保护患者隐私，可提高患者舒适度与安全感，减少紧张与受凉，有利于操作顺利实施。</w:t>
      </w:r>
    </w:p>
    <w:p w14:paraId="49F02029">
      <w:pPr>
        <w:pStyle w:val="23"/>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操作者准备是落实职业防护与无菌原则的基础，可减少交叉感染，保障医护人员与患者双向安全。</w:t>
      </w:r>
    </w:p>
    <w:p w14:paraId="2C4A8CB9">
      <w:pPr>
        <w:pStyle w:val="23"/>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患者准备通过合理体位与充分暴露，便于操作实施，提高插管准确性与顺畅度，同时保护床单位与皮肤，提升患者耐受度。</w:t>
      </w:r>
    </w:p>
    <w:p w14:paraId="58C82380">
      <w:pPr>
        <w:widowControl/>
        <w:autoSpaceDE w:val="0"/>
        <w:autoSpaceDN w:val="0"/>
        <w:spacing w:line="560" w:lineRule="exact"/>
        <w:ind w:firstLine="643" w:firstLineChars="200"/>
        <w:rPr>
          <w:rFonts w:ascii="楷体" w:hAnsi="楷体" w:eastAsia="楷体"/>
          <w:b/>
          <w:kern w:val="0"/>
          <w:sz w:val="32"/>
          <w:szCs w:val="32"/>
        </w:rPr>
      </w:pPr>
      <w:r>
        <w:rPr>
          <w:rFonts w:hint="eastAsia" w:ascii="楷体" w:hAnsi="楷体" w:eastAsia="楷体"/>
          <w:b/>
          <w:kern w:val="0"/>
          <w:sz w:val="32"/>
          <w:szCs w:val="32"/>
        </w:rPr>
        <w:t>（三）护理措施</w:t>
      </w:r>
    </w:p>
    <w:p w14:paraId="0B0C046D">
      <w:pPr>
        <w:spacing w:line="560" w:lineRule="exact"/>
        <w:ind w:firstLine="640" w:firstLineChars="200"/>
        <w:rPr>
          <w:rFonts w:ascii="仿宋" w:hAnsi="仿宋" w:eastAsia="仿宋"/>
          <w:sz w:val="32"/>
          <w:szCs w:val="32"/>
        </w:rPr>
      </w:pPr>
      <w:r>
        <w:rPr>
          <w:rFonts w:hint="eastAsia" w:ascii="仿宋" w:hAnsi="仿宋" w:eastAsia="仿宋"/>
          <w:sz w:val="32"/>
          <w:szCs w:val="32"/>
        </w:rPr>
        <w:t>全流程护理措施，从查对、无菌、操作细节、患者耐受、造口保护、感染防控、效果保障、记录追溯进行全链条规范，近端造口灌肠是针对双腔造口患者的高风险侵入性护理操作，其流程严谨、步骤细化，每一项要求均围绕患者安全、造口保护、院感防控、操作有效性、医疗质量五大核心目标设置，目的是：最大限度降低操作风险，保护造口黏膜与肠道安全，预防感染及并发症，保证肠道清洁效果，提升患者舒适度与护理质量，为双腔造口患者提供安全、规范、有效、同质化的灌肠护理服务。</w:t>
      </w:r>
    </w:p>
    <w:p w14:paraId="14564CFE">
      <w:pPr>
        <w:spacing w:line="560" w:lineRule="exact"/>
        <w:ind w:firstLine="643" w:firstLineChars="200"/>
        <w:rPr>
          <w:rFonts w:ascii="仿宋" w:hAnsi="仿宋" w:eastAsia="仿宋"/>
          <w:sz w:val="32"/>
          <w:szCs w:val="32"/>
        </w:rPr>
      </w:pPr>
      <w:r>
        <w:rPr>
          <w:rFonts w:hint="eastAsia" w:ascii="仿宋" w:hAnsi="仿宋" w:eastAsia="仿宋"/>
          <w:b/>
          <w:bCs/>
          <w:sz w:val="32"/>
          <w:szCs w:val="32"/>
        </w:rPr>
        <w:t>核对与准备</w:t>
      </w:r>
      <w:r>
        <w:rPr>
          <w:rFonts w:hint="eastAsia" w:ascii="仿宋" w:hAnsi="仿宋" w:eastAsia="仿宋"/>
          <w:sz w:val="32"/>
          <w:szCs w:val="32"/>
        </w:rPr>
        <w:t>：核对患者核心信息，是落实护理核心制度中“查对制度”的基本要求，可有效避免因患者信息混淆导致的操作对象错误，确保灌肠护理精准作用于目标患者，保障护理服务的针对性与安全性。检查灌肠袋、肛管包装完整性及有效期，是落实无菌操作与院感防控的基础：包装破损易导致用物被污染，过期用物可能存在材质老化、无菌性下降等问题，二者均会增加医源性感染风险，同时可能因用物破损影响操作顺畅性，因此该条款可从源头规避感染与操作失误风险，为后续灌肠操作奠定安全基础。</w:t>
      </w:r>
    </w:p>
    <w:p w14:paraId="7CBA030D">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将温水或生理盐水倒入灌肠袋，挂于输液架上，高度距患者远端造口30 cm～40 cm（近端造口40 cm～60 cm）；打开灌肠袋下端止血钳，排出管内空气，确认液体流畅后关闭止血钳。首先，限定液体为生理盐水，而非温水，核心原因在于远端造口为闭锁肠段，肠液吸收功能较弱，若使用温水灌注，易导致肠道内电解质失衡，引发患者不适，而生理盐水可维持肠道内电解质平衡，同时契合无菌操作要求，降低感染风险。其次，将灌肠袋悬挂高度控制在距远端造口30cm～40cm，显著低于近端造口灌肠的40cm～60cm，是因为远端肠段（尤其是闭锁残端）肠壁更薄弱、血运相对较差，较低的灌注压力可避免压力过高导致肠黏膜损伤、残端渗血，甚至肠穿孔，同时能保证液体缓慢、平稳灌入，提升患者耐受性，避免因压力过大引发肠道痉挛、腹痛。最后，排气后关闭止血钳，可有效防止空气进入远端肠段，避免空气在肠腔内积聚引发腹胀、痉挛性疼痛，同时确保灌液时液体顺畅流出，避免空气干扰影响灌肠效率与清洁效果。</w:t>
      </w:r>
    </w:p>
    <w:p w14:paraId="527A5110">
      <w:pPr>
        <w:spacing w:line="560" w:lineRule="exact"/>
        <w:ind w:firstLine="643" w:firstLineChars="200"/>
        <w:rPr>
          <w:rFonts w:ascii="仿宋" w:hAnsi="仿宋" w:eastAsia="仿宋"/>
          <w:sz w:val="32"/>
          <w:szCs w:val="32"/>
        </w:rPr>
      </w:pPr>
      <w:r>
        <w:rPr>
          <w:rFonts w:hint="eastAsia" w:ascii="仿宋" w:hAnsi="仿宋" w:eastAsia="仿宋"/>
          <w:b/>
          <w:sz w:val="32"/>
          <w:szCs w:val="32"/>
        </w:rPr>
        <w:t>造口定位</w:t>
      </w:r>
      <w:r>
        <w:rPr>
          <w:rFonts w:hint="eastAsia" w:ascii="仿宋" w:hAnsi="仿宋" w:eastAsia="仿宋"/>
          <w:sz w:val="32"/>
          <w:szCs w:val="32"/>
        </w:rPr>
        <w:t>：操作前再次核对患者造口信息，结合评估结果，依据造口术后标识、肠管走行及临床特征，区分近端、远端造口。操作者轻柔展平造口周围皮肤，确认造口中心开口位置；造口形态不规则、位置隐蔽或合并皮肤褶皱时，可借助手电筒辅助照明，充分暴露造口边界，精准定位肛管插入点。</w:t>
      </w:r>
    </w:p>
    <w:p w14:paraId="0BD93F5B">
      <w:pPr>
        <w:rPr>
          <w:rFonts w:hint="eastAsia" w:ascii="仿宋" w:hAnsi="仿宋" w:eastAsia="仿宋"/>
          <w:b/>
          <w:bCs/>
          <w:sz w:val="32"/>
          <w:szCs w:val="32"/>
        </w:rPr>
      </w:pPr>
      <w:r>
        <w:drawing>
          <wp:inline distT="0" distB="0" distL="0" distR="0">
            <wp:extent cx="5274310" cy="29273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74310" cy="2927730"/>
                    </a:xfrm>
                    <a:prstGeom prst="rect">
                      <a:avLst/>
                    </a:prstGeom>
                  </pic:spPr>
                </pic:pic>
              </a:graphicData>
            </a:graphic>
          </wp:inline>
        </w:drawing>
      </w:r>
    </w:p>
    <w:p w14:paraId="11DDE051">
      <w:pPr>
        <w:spacing w:line="560" w:lineRule="exact"/>
        <w:ind w:firstLine="643" w:firstLineChars="200"/>
        <w:rPr>
          <w:rFonts w:ascii="仿宋" w:hAnsi="仿宋" w:eastAsia="仿宋"/>
          <w:sz w:val="32"/>
          <w:szCs w:val="32"/>
        </w:rPr>
      </w:pPr>
      <w:r>
        <w:rPr>
          <w:rFonts w:hint="eastAsia" w:ascii="仿宋" w:hAnsi="仿宋" w:eastAsia="仿宋"/>
          <w:b/>
          <w:bCs/>
          <w:sz w:val="32"/>
          <w:szCs w:val="32"/>
        </w:rPr>
        <w:t>消毒与润滑</w:t>
      </w:r>
      <w:r>
        <w:rPr>
          <w:rFonts w:hint="eastAsia" w:ascii="仿宋" w:hAnsi="仿宋" w:eastAsia="仿宋"/>
          <w:sz w:val="32"/>
          <w:szCs w:val="32"/>
        </w:rPr>
        <w:t>：操作者戴无菌手套，用碘伏棉签由内向外螺旋式消毒造口闭合处（近端造口黏膜）及周围皮肤2～3遍，待干；取另一副无菌手套戴上，用润滑剂润滑肛管前端8 cm～10 cm（近端造口10 cm～15 cm），若远端造口狭窄，可选用较细肛管（14～16号）。严格无菌操作，肛管、灌肠袋等一次性用品不可重复使用；造口周围皮肤消毒需彻底，动作轻柔，保护黏膜及皮肤完整性。核心意义在于预防感染、保护造口残端黏膜，为插管操作创造安全条件。</w:t>
      </w:r>
    </w:p>
    <w:p w14:paraId="406C432A">
      <w:pPr>
        <w:spacing w:line="560" w:lineRule="exact"/>
        <w:ind w:firstLine="640" w:firstLineChars="200"/>
        <w:rPr>
          <w:rFonts w:ascii="仿宋" w:hAnsi="仿宋" w:eastAsia="仿宋"/>
          <w:sz w:val="32"/>
          <w:szCs w:val="32"/>
        </w:rPr>
      </w:pPr>
      <w:r>
        <w:rPr>
          <w:rFonts w:hint="eastAsia" w:ascii="仿宋" w:hAnsi="仿宋" w:eastAsia="仿宋"/>
          <w:sz w:val="32"/>
          <w:szCs w:val="32"/>
        </w:rPr>
        <w:t>戴无菌手套是无菌操作的基本要求，可避免操作者手部细菌污染造口及相关用物，减少医源性感染风险。用碘伏棉签以远端造口闭合处为中心，消毒2～3遍并待干，原因在于远端造口闭合处为肠管残端，皮肤黏膜脆弱、血运敏感，且易残留粪便、分泌物，彻底消毒可最大限度清除局部细菌，预防残端感染、造口周围炎等并发症；待干后再进行后续操作，可避免碘伏未干时刺激黏膜，同时防止碘伏与润滑剂混合影响润滑效果，减少插管时的摩擦损伤。限定润滑剂润滑肛管前端8cm～10cm（短于近端造口灌肠的10cm～15cm），是结合远端造口插管深度（成人5cm～8cm）设计的，可确保插管过程中肛管与造口黏膜、肠壁充分接触润滑，最大限度减少摩擦刺激，避免损伤娇嫩的残端黏膜，降低出血、疼痛风险，提升操作舒适度。针对远端造口狭窄选用14～16号较细肛管，是遵循“个体化适配”原则，适配狭窄造口的解剖特点，避免因肛管过粗强行插入导致造口撕裂、黏膜损伤，同时保证插管顺畅，确保灌肠操作顺利实施。</w:t>
      </w:r>
    </w:p>
    <w:p w14:paraId="4FBD9CA9">
      <w:pPr>
        <w:spacing w:line="560" w:lineRule="exact"/>
        <w:ind w:firstLine="643" w:firstLineChars="200"/>
        <w:rPr>
          <w:rFonts w:ascii="仿宋" w:hAnsi="仿宋" w:eastAsia="仿宋"/>
          <w:sz w:val="32"/>
          <w:szCs w:val="32"/>
        </w:rPr>
      </w:pPr>
      <w:r>
        <w:rPr>
          <w:rFonts w:hint="eastAsia" w:ascii="仿宋" w:hAnsi="仿宋" w:eastAsia="仿宋"/>
          <w:b/>
          <w:bCs/>
          <w:sz w:val="32"/>
          <w:szCs w:val="32"/>
        </w:rPr>
        <w:t>插入肛管</w:t>
      </w:r>
      <w:r>
        <w:rPr>
          <w:rFonts w:hint="eastAsia" w:ascii="仿宋" w:hAnsi="仿宋" w:eastAsia="仿宋"/>
          <w:sz w:val="32"/>
          <w:szCs w:val="32"/>
        </w:rPr>
        <w:t>：轻轻分开远端造口闭合边缘，将肛管缓慢插入，插入深度为成人5 cm～8 cm，儿童3 cm～5 cm，插入过程中不宜用力，若遇阻力可暂停，用注射器抽取少量生理盐水轻柔冲洗，待肠管放松后再继续插入。最大限度保护远端造口残端及肠壁完整性，避免暴力操作引发严重并发症。</w:t>
      </w:r>
    </w:p>
    <w:p w14:paraId="7F26B883">
      <w:pPr>
        <w:spacing w:line="560" w:lineRule="exact"/>
        <w:ind w:firstLine="640" w:firstLineChars="200"/>
        <w:rPr>
          <w:rFonts w:ascii="仿宋" w:hAnsi="仿宋" w:eastAsia="仿宋"/>
          <w:sz w:val="32"/>
          <w:szCs w:val="32"/>
        </w:rPr>
      </w:pPr>
      <w:r>
        <w:rPr>
          <w:rFonts w:hint="eastAsia" w:ascii="仿宋" w:hAnsi="仿宋" w:eastAsia="仿宋"/>
          <w:sz w:val="32"/>
          <w:szCs w:val="32"/>
        </w:rPr>
        <w:t>“轻轻分开远端造口闭合边缘”，而非用力牵拉，是因为造口闭合边缘黏膜脆弱、血运丰富，用力牵拉易导致黏膜撕裂、出血，轻柔操作可减少对残端的刺激与损伤。限定成人插入深度5cm～8cm、儿童3cm～5cm，是结合远端肠段较短且为闭锁状态的解剖特点设计的：插入过深易损伤远端肠壁或残端，导致肠穿孔、出血；插入过浅则无法确保肛管进入目标肠段，液体易外溢，影响清洁效果，因此适宜的插入深度是兼顾操作效果与安全性的关键。</w:t>
      </w:r>
    </w:p>
    <w:p w14:paraId="3B6DE523">
      <w:pPr>
        <w:spacing w:line="560" w:lineRule="exact"/>
        <w:ind w:firstLine="640" w:firstLineChars="200"/>
        <w:rPr>
          <w:rFonts w:ascii="仿宋" w:hAnsi="仿宋" w:eastAsia="仿宋"/>
          <w:sz w:val="32"/>
          <w:szCs w:val="32"/>
        </w:rPr>
      </w:pPr>
      <w:r>
        <w:rPr>
          <w:rFonts w:hint="eastAsia" w:ascii="仿宋" w:hAnsi="仿宋" w:eastAsia="仿宋"/>
          <w:sz w:val="32"/>
          <w:szCs w:val="32"/>
        </w:rPr>
        <w:t>强调“插入过程中不宜用力，若遇阻力可暂停，用注射器抽取少量生理盐水轻柔冲洗”，核心是应对远端肠段可能存在的积粪、肠管痉挛、粘连等异常情况。远端肠段因闭锁易积粪，强行插管会导致肠黏膜撕裂、残端破损，而通过少量生理盐水轻柔冲洗，可软化粪便、放松肠管，待肠管舒缓后再继续插入，既能避免暴力损伤，又能确保插管顺利，体现了“以患者安全为核心”的护理原则。</w:t>
      </w:r>
    </w:p>
    <w:p w14:paraId="24AB76BA">
      <w:pPr>
        <w:spacing w:line="560" w:lineRule="exact"/>
        <w:ind w:firstLine="643" w:firstLineChars="200"/>
        <w:rPr>
          <w:rFonts w:ascii="仿宋" w:hAnsi="仿宋" w:eastAsia="仿宋"/>
          <w:sz w:val="32"/>
          <w:szCs w:val="32"/>
        </w:rPr>
      </w:pPr>
      <w:r>
        <w:rPr>
          <w:rFonts w:hint="eastAsia" w:ascii="仿宋" w:hAnsi="仿宋" w:eastAsia="仿宋"/>
          <w:b/>
          <w:bCs/>
          <w:sz w:val="32"/>
          <w:szCs w:val="32"/>
        </w:rPr>
        <w:t>灌入液体</w:t>
      </w:r>
      <w:r>
        <w:rPr>
          <w:rFonts w:hint="eastAsia" w:ascii="仿宋" w:hAnsi="仿宋" w:eastAsia="仿宋"/>
          <w:sz w:val="32"/>
          <w:szCs w:val="32"/>
        </w:rPr>
        <w:t>：打开止血钳，缓慢灌人生理盐水，流速控制在每分钟40～60滴，灌液过程中观察患者有无腹痛、腹胀，若远端肠段积气明显，可暂停灌液，用无菌纱布按压造口周围，协助排气后或如厕后再继续。该条款的核心意义在于兼顾灌肠清洁效果与患者耐受性，及时规避灌液过程中的安全风险。</w:t>
      </w:r>
    </w:p>
    <w:p w14:paraId="7F7F4BA8">
      <w:pPr>
        <w:spacing w:line="560" w:lineRule="exact"/>
        <w:ind w:firstLine="640" w:firstLineChars="200"/>
        <w:rPr>
          <w:rFonts w:ascii="仿宋" w:hAnsi="仿宋" w:eastAsia="仿宋"/>
          <w:sz w:val="32"/>
          <w:szCs w:val="32"/>
        </w:rPr>
      </w:pPr>
      <w:r>
        <w:rPr>
          <w:rFonts w:hint="eastAsia" w:ascii="仿宋" w:hAnsi="仿宋" w:eastAsia="仿宋"/>
          <w:sz w:val="32"/>
          <w:szCs w:val="32"/>
        </w:rPr>
        <w:t>远端造口流速控制在每分钟40～60滴，低于近端造口灌肠的60～80滴，核心原因在于远端肠段功能较弱、容积有限，且残端血运敏感，缓慢灌液可避免肠段短时间内急剧膨胀，减少肠道痉挛、腹痛、腹胀等不适，提升患者耐受性；同时，缓慢灌液可让生理盐水充分浸润远端肠段的粪便，为后续冲洗、清洁奠定基础，确保清洁效果。</w:t>
      </w:r>
    </w:p>
    <w:p w14:paraId="0C9C8BDE">
      <w:pPr>
        <w:spacing w:line="560" w:lineRule="exact"/>
        <w:ind w:firstLine="640" w:firstLineChars="200"/>
        <w:rPr>
          <w:rFonts w:ascii="仿宋" w:hAnsi="仿宋" w:eastAsia="仿宋"/>
          <w:sz w:val="32"/>
          <w:szCs w:val="32"/>
        </w:rPr>
      </w:pPr>
      <w:r>
        <w:rPr>
          <w:rFonts w:hint="eastAsia" w:ascii="仿宋" w:hAnsi="仿宋" w:eastAsia="仿宋"/>
          <w:sz w:val="32"/>
          <w:szCs w:val="32"/>
        </w:rPr>
        <w:t>近端造口控制成人流速 60～80 滴 / 分、儿童酌情减慢，可避免液体快速大量进入肠道导致肠腔短时间内膨胀，引发剧烈腹痛、腹胀、心慌、虚脱、肠道痉挛等不良反应，提高患者耐受性。全程密切观察患者反应，能够早期识别不适、过敏、肠穿孔、剧烈牵拉反应等危险信号，及时停止操作并处置，最大限度保障患者生命安全。</w:t>
      </w:r>
    </w:p>
    <w:p w14:paraId="76A7727F">
      <w:pPr>
        <w:spacing w:line="560" w:lineRule="exact"/>
        <w:ind w:firstLine="640" w:firstLineChars="200"/>
        <w:rPr>
          <w:rFonts w:ascii="仿宋" w:hAnsi="仿宋" w:eastAsia="仿宋"/>
          <w:sz w:val="32"/>
          <w:szCs w:val="32"/>
        </w:rPr>
      </w:pPr>
      <w:r>
        <w:rPr>
          <w:rFonts w:hint="eastAsia" w:ascii="仿宋" w:hAnsi="仿宋" w:eastAsia="仿宋"/>
          <w:sz w:val="32"/>
          <w:szCs w:val="32"/>
        </w:rPr>
        <w:t>灌液过程中密切观察患者有无腹痛、腹胀，是早期识别肠道异常反应的关键：若出现剧烈腹痛，可能提示肠壁损伤、肠穿孔等危险情况，需及时停止操作；若远端肠段积气明显，会导致肠管压力升高，加重腹胀、腹痛，此时暂停灌液，用无菌纱布按压造口周围协助排气，可缓解肠管压力，避免积气与液体叠加导致肠段过度扩张，既保护了肠管与造口，又提升了患者舒适度，确保灌液过程安全、顺利完成。</w:t>
      </w:r>
    </w:p>
    <w:p w14:paraId="1846C935">
      <w:pPr>
        <w:spacing w:line="560" w:lineRule="exact"/>
        <w:ind w:firstLine="643" w:firstLineChars="200"/>
        <w:rPr>
          <w:rFonts w:ascii="仿宋" w:hAnsi="仿宋" w:eastAsia="仿宋"/>
          <w:sz w:val="32"/>
          <w:szCs w:val="32"/>
        </w:rPr>
      </w:pPr>
      <w:r>
        <w:rPr>
          <w:rFonts w:hint="eastAsia" w:ascii="仿宋" w:hAnsi="仿宋" w:eastAsia="仿宋"/>
          <w:b/>
          <w:bCs/>
          <w:sz w:val="32"/>
          <w:szCs w:val="32"/>
        </w:rPr>
        <w:t>冲洗与拔管</w:t>
      </w:r>
      <w:r>
        <w:rPr>
          <w:rFonts w:hint="eastAsia" w:ascii="仿宋" w:hAnsi="仿宋" w:eastAsia="仿宋"/>
          <w:sz w:val="32"/>
          <w:szCs w:val="32"/>
        </w:rPr>
        <w:t>：液体灌完后，可关闭止血钳，保留肛管5 min～10 min；随后打开止血钳，让肠液及粪便自然流出，必要时用注射器抽取少量生理盐水反复冲洗，直至流出液清亮。确保远端肠段清洁彻底，最大化实现灌肠目的，同时避免清洁不彻底引发的并发症。液体灌完后保留肛管5min～10min，是为了让生理盐水充分停留于远端肠段，充分浸润、软化粪便及肠道分泌物，打破粪便干结状态，为后续粪便排出、肠道冲洗创造条件，避免因粪便未软化导致清洁不彻底。保留时间结束后打开止血钳，让肠液及粪便自然流出，而非强行冲洗，核心是避免高压冲洗损伤脆弱的肠壁及造口残端，同时利用肠道自身蠕动排出粪便，减少对肠道的刺激；必要时用注射器抽取少量生理盐水反复冲洗至流出液清亮，是针对粪便残留较多的情况，通过轻柔冲洗进一步清洁肠道，确保远端肠段无粪便残留，从根本上降低积粪引发的感染、肠管堵塞等并发症风险，确保灌肠达到预期清洁效果。</w:t>
      </w:r>
    </w:p>
    <w:p w14:paraId="167F303C">
      <w:pPr>
        <w:spacing w:line="560" w:lineRule="exact"/>
        <w:ind w:firstLine="640" w:firstLineChars="200"/>
        <w:rPr>
          <w:rFonts w:ascii="仿宋" w:hAnsi="仿宋" w:eastAsia="仿宋"/>
          <w:sz w:val="32"/>
          <w:szCs w:val="32"/>
        </w:rPr>
      </w:pPr>
      <w:r>
        <w:rPr>
          <w:rFonts w:hint="eastAsia" w:ascii="仿宋" w:hAnsi="仿宋" w:eastAsia="仿宋"/>
          <w:sz w:val="32"/>
          <w:szCs w:val="32"/>
        </w:rPr>
        <w:t>冲洗完毕后，轻轻拔出肛管，用碘伏消毒造口闭合处，覆盖无菌纱布并固定。保护造口残端、预防感染，完成灌肠操作的闭环管理。“轻轻拔出肛管”，可避免拔管时产生负压，损伤造口黏膜及肠壁，同时减少拔管时的疼痛与不适，避免因用力拔管导致残端渗血。拔管后用碘伏消毒造口闭合处，是因为冲洗、排便过程中，造口闭合处可能残留粪便、肠液及分泌物，易滋生细菌，再次消毒可清除残留的细菌，进一步强化感染防控，预防残端感染、造口周围炎；覆盖无菌纱布并固定，可有效保护造口残端，避免外界环境中的细菌污染，同时吸收残端可能出现的少量渗液，保持造口周围清洁干燥，维护造口残端的完整性，为后续造口护理奠定基础。</w:t>
      </w:r>
    </w:p>
    <w:p w14:paraId="45EE4912">
      <w:pPr>
        <w:spacing w:line="560" w:lineRule="exact"/>
        <w:ind w:firstLine="640" w:firstLineChars="200"/>
        <w:rPr>
          <w:rFonts w:ascii="仿宋" w:hAnsi="仿宋" w:eastAsia="仿宋"/>
          <w:sz w:val="32"/>
          <w:szCs w:val="32"/>
        </w:rPr>
      </w:pPr>
      <w:r>
        <w:rPr>
          <w:rFonts w:hint="eastAsia" w:ascii="仿宋" w:hAnsi="仿宋" w:eastAsia="仿宋"/>
          <w:sz w:val="32"/>
          <w:szCs w:val="32"/>
        </w:rPr>
        <w:t>通过核对与准备规避操作差错与感染风险；通过规范消毒与润滑保护残端黏膜、预防感染；通过轻柔插管与深度控制避免肠管及造口损伤；通过控制流速与动态观察提升患者耐受性；通过规范冲洗与拔管确保清洁效果、巩固感染防控。整体目的是为双腔造口（远端）患者提供安全、规范、有效、同质化的灌肠护理服务，保护造口残端及肠道黏膜完整性，预防感染、出血、肠穿孔等并发症，降低积粪感染风险，保障患者护理安全与生活质量。</w:t>
      </w:r>
    </w:p>
    <w:p w14:paraId="11B4A13D">
      <w:pPr>
        <w:spacing w:line="560" w:lineRule="exact"/>
        <w:ind w:firstLine="640" w:firstLineChars="200"/>
        <w:rPr>
          <w:rFonts w:ascii="仿宋" w:hAnsi="仿宋" w:eastAsia="仿宋"/>
          <w:sz w:val="32"/>
          <w:szCs w:val="32"/>
        </w:rPr>
      </w:pPr>
      <w:r>
        <w:rPr>
          <w:rFonts w:hint="eastAsia" w:ascii="仿宋" w:hAnsi="仿宋" w:eastAsia="仿宋"/>
          <w:sz w:val="32"/>
          <w:szCs w:val="32"/>
        </w:rPr>
        <w:t>操作后处理：嘱患者保留液体 10 min～20 min 再排便，可使液体充分软化粪便、清洁肠道，保证灌肠效果；无法耐受者缩短时间，体现个体化护理原则。按医疗废物规范处理用物、清洁消毒复用物品，是落实医院感染管理、防止交叉感染的必要措施。完整、准确记录灌肠全过程信息，便于病情观察、疗效判断、医护沟通、质量控制与医疗追溯，确保护理连续、规范、可追溯。</w:t>
      </w:r>
    </w:p>
    <w:p w14:paraId="077C542F">
      <w:pPr>
        <w:widowControl/>
        <w:autoSpaceDE w:val="0"/>
        <w:autoSpaceDN w:val="0"/>
        <w:spacing w:line="560" w:lineRule="exact"/>
        <w:ind w:firstLine="643" w:firstLineChars="200"/>
        <w:rPr>
          <w:rFonts w:ascii="楷体" w:hAnsi="楷体" w:eastAsia="楷体"/>
          <w:b/>
          <w:color w:val="0000FF"/>
          <w:kern w:val="0"/>
          <w:sz w:val="32"/>
          <w:szCs w:val="32"/>
        </w:rPr>
      </w:pPr>
      <w:r>
        <w:rPr>
          <w:rFonts w:hint="eastAsia" w:ascii="楷体" w:hAnsi="楷体" w:eastAsia="楷体"/>
          <w:b/>
          <w:kern w:val="0"/>
          <w:sz w:val="32"/>
          <w:szCs w:val="32"/>
        </w:rPr>
        <w:t>（四）注意事项</w:t>
      </w:r>
    </w:p>
    <w:p w14:paraId="4A89BE23">
      <w:pPr>
        <w:widowControl/>
        <w:autoSpaceDE w:val="0"/>
        <w:autoSpaceDN w:val="0"/>
        <w:spacing w:line="560" w:lineRule="exact"/>
        <w:ind w:firstLine="643" w:firstLineChars="200"/>
        <w:rPr>
          <w:rFonts w:ascii="仿宋" w:hAnsi="仿宋" w:eastAsia="仿宋"/>
          <w:sz w:val="32"/>
          <w:szCs w:val="32"/>
        </w:rPr>
      </w:pPr>
      <w:r>
        <w:rPr>
          <w:rFonts w:hint="eastAsia" w:ascii="仿宋" w:hAnsi="仿宋" w:eastAsia="仿宋"/>
          <w:b/>
          <w:bCs/>
          <w:sz w:val="32"/>
          <w:szCs w:val="32"/>
        </w:rPr>
        <w:t>灌洗后观察排泄物</w:t>
      </w:r>
      <w:r>
        <w:rPr>
          <w:rFonts w:hint="eastAsia" w:ascii="仿宋" w:hAnsi="仿宋" w:eastAsia="仿宋"/>
          <w:sz w:val="32"/>
          <w:szCs w:val="32"/>
        </w:rPr>
        <w:t>：精准识别特殊患者的异常排泄信号，及时规避病情加重风险，体现个体化护理原则。首先，直肠阴道瘘患者因瘘口未愈合，肠道与阴道相通，灌肠时粪便或灌洗液从阴道漏出是瘘口未愈的典型表现，明确该现象的合理性，可避免医护人员误判为操作失误，同时提醒医护人员重点关注瘘口愈合情况，避免因灌肠压力过大、操作不当加重瘘口损伤。其次，针对近期行肠造口回纳术的患者，灌洗后出现此类异常，可能提示回纳肠段愈合不良、存在吻合口漏等并发症，及时报告医生，可便于医生早期评估病情、调整治疗护理方案，避免并发症进一步发展（如感染、肠穿孔），保障患者术后康复安全。此外，该条款也为医护人员提供了明确的观察重点和处置指引，确保异常情况出现时不延误、不遗漏，提升护理应急处置能力。</w:t>
      </w:r>
    </w:p>
    <w:p w14:paraId="2548A393">
      <w:pPr>
        <w:widowControl/>
        <w:autoSpaceDE w:val="0"/>
        <w:autoSpaceDN w:val="0"/>
        <w:spacing w:line="560" w:lineRule="exact"/>
        <w:ind w:firstLine="643" w:firstLineChars="200"/>
        <w:rPr>
          <w:rFonts w:ascii="仿宋" w:hAnsi="仿宋" w:eastAsia="仿宋"/>
          <w:sz w:val="32"/>
          <w:szCs w:val="32"/>
        </w:rPr>
      </w:pPr>
      <w:r>
        <w:rPr>
          <w:rFonts w:hint="eastAsia" w:ascii="仿宋" w:hAnsi="仿宋" w:eastAsia="仿宋"/>
          <w:b/>
          <w:bCs/>
          <w:sz w:val="32"/>
          <w:szCs w:val="32"/>
        </w:rPr>
        <w:t>灌入液体后无排便</w:t>
      </w:r>
      <w:r>
        <w:rPr>
          <w:rFonts w:hint="eastAsia" w:ascii="仿宋" w:hAnsi="仿宋" w:eastAsia="仿宋"/>
          <w:sz w:val="32"/>
          <w:szCs w:val="32"/>
        </w:rPr>
        <w:t>：早期识别肠道梗阻、肠穿孔等严重风险，快速止损，保障患者生命安全。灌入液体后无排便，同时伴随腹痛、腹胀，是肠道梗阻、肠管过度扩张或肠穿孔的典型预警信号：若为肠道梗阻，继续灌洗会导致液体在肠道内积聚，加重肠管扩张，引发剧烈腹痛、肠穿孔；若已发生肠穿孔，继续灌洗会导致肠液、粪便进入腹腔，引发弥漫性腹膜炎，危及患者生命。因此，明确“立即停止灌洗”的处置要求，可快速终止可能加重损伤的操作，避免风险升级；“及时报告医生”则能确保医生及时评估病情，明确无排便、腹痛腹胀的原因（如梗阻、肠粘连、肠穿孔等），并采取针对性处置措施（如胃肠减压、手术治疗等），最大限度降低患者安全风险，体现了“预防为主、快速处置”的护理原则。</w:t>
      </w:r>
    </w:p>
    <w:p w14:paraId="13883618">
      <w:pPr>
        <w:widowControl/>
        <w:autoSpaceDE w:val="0"/>
        <w:autoSpaceDN w:val="0"/>
        <w:spacing w:line="560" w:lineRule="exact"/>
        <w:ind w:firstLine="640" w:firstLineChars="200"/>
        <w:rPr>
          <w:rFonts w:ascii="仿宋" w:hAnsi="仿宋" w:eastAsia="仿宋"/>
          <w:sz w:val="32"/>
          <w:szCs w:val="32"/>
        </w:rPr>
      </w:pPr>
      <w:r>
        <w:rPr>
          <w:rFonts w:hint="eastAsia" w:ascii="仿宋" w:hAnsi="仿宋" w:eastAsia="仿宋"/>
          <w:sz w:val="32"/>
          <w:szCs w:val="32"/>
        </w:rPr>
        <w:t>因肠造口术后远端肠道积压、存在肠道粘液及陈旧性粪便，需要连续灌肠3 d～5 d。有利于确保灌肠效果、预防术后并发症，为肠造口患者术后康复奠定基础。肠造口术后，远端肠道因手术创伤、肠道蠕动暂时减弱，易出现粪便积压、粘液残留及陈旧性粪便堆积，若仅进行单次灌肠，难以彻底清洁肠道，残留的粪便和粘液会滋生细菌，增加肠道感染、肠管堵塞的风险，同时可能影响造口愈合及后续护理。因此，明确连续灌肠3-5天的要求，可通过多次温和灌肠，逐步软化、清除远端肠道内的积压粪便、粘液及陈旧性粪便，彻底清洁肠道，减少细菌定植，预防感染、肠堵塞等并发症；同时，连续灌肠可刺激肠道蠕动，帮助肠道功能逐步恢复，为患者后续正常排便、造口护理创造良好条件，确保术后护理的连续性和有效性。</w:t>
      </w:r>
    </w:p>
    <w:p w14:paraId="60C3FA73">
      <w:pPr>
        <w:widowControl/>
        <w:autoSpaceDE w:val="0"/>
        <w:autoSpaceDN w:val="0"/>
        <w:spacing w:line="560" w:lineRule="exact"/>
        <w:ind w:firstLine="643" w:firstLineChars="200"/>
        <w:rPr>
          <w:rFonts w:ascii="仿宋" w:hAnsi="仿宋" w:eastAsia="仿宋"/>
          <w:b/>
          <w:sz w:val="32"/>
          <w:szCs w:val="32"/>
        </w:rPr>
      </w:pPr>
      <w:r>
        <w:rPr>
          <w:rFonts w:hint="eastAsia" w:ascii="仿宋" w:hAnsi="仿宋" w:eastAsia="仿宋"/>
          <w:b/>
          <w:sz w:val="32"/>
          <w:szCs w:val="32"/>
        </w:rPr>
        <w:t>（无）健康教育</w:t>
      </w:r>
    </w:p>
    <w:p w14:paraId="23867E10">
      <w:pPr>
        <w:widowControl/>
        <w:autoSpaceDE w:val="0"/>
        <w:autoSpaceDN w:val="0"/>
        <w:spacing w:line="560" w:lineRule="exact"/>
        <w:ind w:firstLine="640" w:firstLineChars="200"/>
        <w:rPr>
          <w:rFonts w:ascii="仿宋" w:hAnsi="仿宋" w:eastAsia="仿宋"/>
          <w:bCs/>
          <w:sz w:val="32"/>
          <w:szCs w:val="32"/>
        </w:rPr>
      </w:pPr>
      <w:r>
        <w:rPr>
          <w:rFonts w:hint="eastAsia" w:ascii="仿宋" w:hAnsi="仿宋" w:eastAsia="仿宋"/>
          <w:bCs/>
          <w:sz w:val="32"/>
          <w:szCs w:val="32"/>
        </w:rPr>
        <w:t>提升患者自我护理能力、减少并发症、改善生活质量，核心内容为：指导患者保持肛周及造口周围皮肤清洁，养成良好卫生习惯，预防皮肤刺激与感染；鼓励肠造口回纳患者开展提肛运动，明确规范的训练方法，对动作掌握困难的患者通过触觉反馈辅助其掌握正确动作，以此锻炼肛门括约肌、恢复控便能力、减少排便次数，避免肛周皮炎发生，方便患者居家自行操作，增强康复信心。</w:t>
      </w:r>
    </w:p>
    <w:p w14:paraId="1DDC706A">
      <w:pPr>
        <w:spacing w:before="240" w:after="60"/>
        <w:ind w:firstLine="643" w:firstLineChars="200"/>
        <w:outlineLvl w:val="0"/>
        <w:rPr>
          <w:rFonts w:ascii="黑体" w:hAnsi="黑体" w:eastAsia="黑体"/>
          <w:bCs/>
          <w:sz w:val="32"/>
          <w:szCs w:val="32"/>
        </w:rPr>
      </w:pPr>
      <w:r>
        <w:rPr>
          <w:rFonts w:hint="eastAsia" w:ascii="Cambria" w:hAnsi="Cambria"/>
          <w:b/>
          <w:bCs/>
          <w:sz w:val="32"/>
          <w:szCs w:val="32"/>
        </w:rPr>
        <w:t>六</w:t>
      </w:r>
      <w:r>
        <w:rPr>
          <w:rFonts w:hint="eastAsia" w:ascii="黑体" w:hAnsi="黑体" w:eastAsia="黑体"/>
          <w:bCs/>
          <w:sz w:val="32"/>
          <w:szCs w:val="32"/>
        </w:rPr>
        <w:t>、重大分歧意见的处理经过和依据</w:t>
      </w:r>
    </w:p>
    <w:p w14:paraId="30144BFF">
      <w:pPr>
        <w:spacing w:line="560" w:lineRule="exact"/>
        <w:ind w:firstLine="640" w:firstLineChars="200"/>
        <w:rPr>
          <w:rFonts w:ascii="仿宋" w:hAnsi="仿宋" w:eastAsia="仿宋"/>
          <w:bCs/>
          <w:sz w:val="32"/>
          <w:szCs w:val="32"/>
        </w:rPr>
      </w:pPr>
      <w:r>
        <w:rPr>
          <w:rFonts w:hint="eastAsia" w:ascii="仿宋" w:hAnsi="仿宋" w:eastAsia="仿宋"/>
          <w:bCs/>
          <w:sz w:val="32"/>
          <w:szCs w:val="32"/>
        </w:rPr>
        <w:t>本标准研制过程中无重大分歧意见。</w:t>
      </w:r>
    </w:p>
    <w:p w14:paraId="3752E895">
      <w:pPr>
        <w:spacing w:before="240" w:after="60"/>
        <w:ind w:firstLine="640" w:firstLineChars="200"/>
        <w:jc w:val="left"/>
        <w:outlineLvl w:val="0"/>
        <w:rPr>
          <w:rFonts w:ascii="黑体" w:hAnsi="黑体" w:eastAsia="黑体"/>
          <w:bCs/>
          <w:color w:val="000000"/>
          <w:sz w:val="32"/>
          <w:szCs w:val="32"/>
        </w:rPr>
      </w:pPr>
      <w:r>
        <w:rPr>
          <w:rFonts w:hint="eastAsia" w:ascii="黑体" w:hAnsi="黑体" w:eastAsia="黑体"/>
          <w:bCs/>
          <w:sz w:val="32"/>
          <w:szCs w:val="32"/>
        </w:rPr>
        <w:t>七、</w:t>
      </w:r>
      <w:r>
        <w:rPr>
          <w:rFonts w:hint="eastAsia" w:ascii="黑体" w:hAnsi="黑体" w:eastAsia="黑体"/>
          <w:bCs/>
          <w:color w:val="000000"/>
          <w:sz w:val="32"/>
          <w:szCs w:val="32"/>
        </w:rPr>
        <w:t>贯彻标准的措施和建议</w:t>
      </w:r>
    </w:p>
    <w:p w14:paraId="20ECDF22">
      <w:pPr>
        <w:spacing w:line="520" w:lineRule="exact"/>
        <w:ind w:firstLine="640" w:firstLineChars="200"/>
        <w:rPr>
          <w:rFonts w:ascii="仿宋" w:hAnsi="仿宋" w:eastAsia="仿宋"/>
          <w:sz w:val="32"/>
          <w:szCs w:val="32"/>
        </w:rPr>
      </w:pPr>
      <w:r>
        <w:rPr>
          <w:rFonts w:hint="eastAsia" w:ascii="仿宋" w:hAnsi="仿宋" w:eastAsia="仿宋"/>
          <w:sz w:val="32"/>
          <w:szCs w:val="32"/>
        </w:rPr>
        <w:t>（一）标准报批发布后，成立标准宣贯工作组</w:t>
      </w:r>
    </w:p>
    <w:p w14:paraId="1500416C">
      <w:pPr>
        <w:spacing w:line="520" w:lineRule="exact"/>
        <w:ind w:firstLine="640" w:firstLineChars="200"/>
        <w:rPr>
          <w:rFonts w:ascii="仿宋" w:hAnsi="仿宋" w:eastAsia="仿宋"/>
          <w:sz w:val="32"/>
          <w:szCs w:val="32"/>
        </w:rPr>
      </w:pPr>
      <w:r>
        <w:rPr>
          <w:rFonts w:hint="eastAsia" w:ascii="仿宋" w:hAnsi="仿宋" w:eastAsia="仿宋"/>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06A837E5">
      <w:pPr>
        <w:spacing w:line="520" w:lineRule="exact"/>
        <w:ind w:firstLine="640" w:firstLineChars="200"/>
        <w:rPr>
          <w:rFonts w:ascii="仿宋" w:hAnsi="仿宋" w:eastAsia="仿宋"/>
          <w:sz w:val="32"/>
          <w:szCs w:val="32"/>
        </w:rPr>
      </w:pPr>
      <w:r>
        <w:rPr>
          <w:rFonts w:hint="eastAsia" w:ascii="仿宋" w:hAnsi="仿宋" w:eastAsia="仿宋"/>
          <w:sz w:val="32"/>
          <w:szCs w:val="32"/>
        </w:rPr>
        <w:t>（二）组织开展标准宣贯培训</w:t>
      </w:r>
    </w:p>
    <w:p w14:paraId="5CF62133">
      <w:pPr>
        <w:spacing w:line="520" w:lineRule="exact"/>
        <w:ind w:firstLine="640" w:firstLineChars="200"/>
        <w:rPr>
          <w:rFonts w:ascii="仿宋" w:hAnsi="仿宋" w:eastAsia="仿宋"/>
          <w:sz w:val="32"/>
          <w:szCs w:val="32"/>
        </w:rPr>
      </w:pPr>
      <w:r>
        <w:rPr>
          <w:rFonts w:hint="eastAsia" w:ascii="仿宋" w:hAnsi="仿宋" w:eastAsia="仿宋"/>
          <w:sz w:val="32"/>
          <w:szCs w:val="32"/>
        </w:rPr>
        <w:t>标准发布实施后，标准宣贯工作小组制作标准解读宣贯培训PPT课件和标准核心技术明白书，并按标准宣贯培训计划深入广西各个城市组织医护人员开展标准宣贯培训，对标准进行逐条解读，让医护人员掌握标准核心技术内容，助力标准实施落地，推动医疗产业高质量发展。</w:t>
      </w:r>
    </w:p>
    <w:p w14:paraId="07515F6C">
      <w:pPr>
        <w:spacing w:line="520" w:lineRule="exact"/>
        <w:ind w:firstLine="640" w:firstLineChars="200"/>
        <w:rPr>
          <w:rFonts w:ascii="仿宋" w:hAnsi="仿宋" w:eastAsia="仿宋"/>
          <w:sz w:val="32"/>
          <w:szCs w:val="32"/>
        </w:rPr>
      </w:pPr>
      <w:r>
        <w:rPr>
          <w:rFonts w:hint="eastAsia" w:ascii="仿宋" w:hAnsi="仿宋" w:eastAsia="仿宋"/>
          <w:sz w:val="32"/>
          <w:szCs w:val="32"/>
        </w:rPr>
        <w:t>（三）开展标准实施交流会，收集标准实施反馈信息</w:t>
      </w:r>
    </w:p>
    <w:p w14:paraId="5F6A14B4">
      <w:pPr>
        <w:spacing w:line="520" w:lineRule="exact"/>
        <w:ind w:firstLine="640" w:firstLineChars="200"/>
        <w:rPr>
          <w:rFonts w:ascii="仿宋" w:hAnsi="仿宋" w:eastAsia="仿宋"/>
          <w:sz w:val="32"/>
          <w:szCs w:val="32"/>
        </w:rPr>
      </w:pPr>
      <w:r>
        <w:rPr>
          <w:rFonts w:hint="eastAsia" w:ascii="仿宋" w:hAnsi="仿宋" w:eastAsia="仿宋"/>
          <w:sz w:val="32"/>
          <w:szCs w:val="32"/>
        </w:rPr>
        <w:t>标准起草小组深入广西各个医院组织医护人员召开标准实施交流会，听取标准实施过程中存在的问题并做好记录和解答，对存在的问题组织专家团队进行研讨，为标准的复审修订做准备。</w:t>
      </w:r>
    </w:p>
    <w:p w14:paraId="113EC363">
      <w:pPr>
        <w:spacing w:line="520" w:lineRule="exact"/>
        <w:ind w:firstLine="640" w:firstLineChars="200"/>
        <w:rPr>
          <w:rFonts w:ascii="仿宋" w:hAnsi="仿宋" w:eastAsia="仿宋"/>
          <w:sz w:val="32"/>
          <w:szCs w:val="32"/>
        </w:rPr>
      </w:pPr>
      <w:r>
        <w:rPr>
          <w:rFonts w:hint="eastAsia" w:ascii="仿宋" w:hAnsi="仿宋" w:eastAsia="仿宋"/>
          <w:sz w:val="32"/>
          <w:szCs w:val="32"/>
        </w:rPr>
        <w:t>（四）开展标准实施效果评估</w:t>
      </w:r>
    </w:p>
    <w:p w14:paraId="03108571">
      <w:pPr>
        <w:spacing w:line="520" w:lineRule="exact"/>
        <w:ind w:firstLine="640" w:firstLineChars="200"/>
        <w:rPr>
          <w:rFonts w:ascii="仿宋_GB2312" w:hAnsi="宋体" w:eastAsia="仿宋_GB2312"/>
          <w:sz w:val="32"/>
          <w:szCs w:val="32"/>
        </w:rPr>
      </w:pPr>
      <w:r>
        <w:rPr>
          <w:rFonts w:hint="eastAsia" w:ascii="仿宋" w:hAnsi="仿宋" w:eastAsia="仿宋"/>
          <w:sz w:val="32"/>
          <w:szCs w:val="32"/>
        </w:rPr>
        <w:t>标准实施满2年，每年标准宣贯工作组采取网络调查、问卷调查、实地调研、召开座谈会或论证会、专家咨询等方式开展标准实施效果评估，并形成标准实施效果评估报告，为标准的复审修订做准备。</w:t>
      </w:r>
    </w:p>
    <w:p w14:paraId="4FDF7920">
      <w:pPr>
        <w:autoSpaceDE w:val="0"/>
        <w:autoSpaceDN w:val="0"/>
        <w:adjustRightInd w:val="0"/>
        <w:spacing w:before="156" w:beforeLines="50" w:after="156" w:afterLines="50" w:line="400" w:lineRule="exact"/>
        <w:ind w:firstLine="640" w:firstLineChars="200"/>
        <w:outlineLvl w:val="0"/>
        <w:rPr>
          <w:rFonts w:ascii="黑体" w:hAnsi="黑体" w:eastAsia="黑体" w:cs="仿宋_GB2312"/>
          <w:sz w:val="32"/>
          <w:szCs w:val="32"/>
        </w:rPr>
      </w:pPr>
      <w:r>
        <w:rPr>
          <w:rFonts w:hint="eastAsia" w:ascii="黑体" w:hAnsi="黑体" w:eastAsia="黑体" w:cs="仿宋_GB2312"/>
          <w:sz w:val="32"/>
          <w:szCs w:val="32"/>
        </w:rPr>
        <w:t>八、其他应当说明的事项</w:t>
      </w:r>
    </w:p>
    <w:p w14:paraId="19280F5D">
      <w:pPr>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无。</w:t>
      </w:r>
    </w:p>
    <w:p w14:paraId="7B8F64ED">
      <w:pPr>
        <w:spacing w:line="560" w:lineRule="exact"/>
        <w:ind w:firstLine="1920" w:firstLineChars="600"/>
        <w:jc w:val="right"/>
        <w:rPr>
          <w:rFonts w:ascii="仿宋" w:hAnsi="仿宋" w:eastAsia="仿宋"/>
          <w:sz w:val="32"/>
          <w:szCs w:val="32"/>
        </w:rPr>
      </w:pPr>
      <w:r>
        <w:rPr>
          <w:rFonts w:hint="eastAsia" w:ascii="仿宋" w:hAnsi="仿宋" w:eastAsia="仿宋"/>
          <w:sz w:val="32"/>
          <w:szCs w:val="32"/>
        </w:rPr>
        <w:t xml:space="preserve">=  团体标准《双腔造口灌肠护理技术规范》                     </w:t>
      </w:r>
    </w:p>
    <w:p w14:paraId="54012B15">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                                标准编制工作组</w:t>
      </w:r>
    </w:p>
    <w:p w14:paraId="0A94FE8B">
      <w:pPr>
        <w:tabs>
          <w:tab w:val="left" w:pos="7797"/>
        </w:tabs>
        <w:spacing w:line="560" w:lineRule="exact"/>
        <w:ind w:firstLine="640" w:firstLineChars="200"/>
        <w:rPr>
          <w:rFonts w:ascii="仿宋" w:hAnsi="仿宋" w:eastAsia="仿宋"/>
          <w:color w:val="1F497D" w:themeColor="text2"/>
          <w:sz w:val="32"/>
          <w:szCs w:val="32"/>
          <w14:textFill>
            <w14:solidFill>
              <w14:schemeClr w14:val="tx2"/>
            </w14:solidFill>
          </w14:textFill>
        </w:rPr>
      </w:pPr>
      <w:r>
        <w:rPr>
          <w:rFonts w:hint="eastAsia" w:ascii="仿宋" w:hAnsi="仿宋" w:eastAsia="仿宋"/>
          <w:sz w:val="32"/>
          <w:szCs w:val="32"/>
        </w:rPr>
        <w:t xml:space="preserve">                               2026年2月25日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6C8A0">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0281802" name="Text Box 1"/>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14:paraId="67800227">
                          <w:pPr>
                            <w:pStyle w:val="5"/>
                          </w:pPr>
                          <w:r>
                            <w:fldChar w:fldCharType="begin"/>
                          </w:r>
                          <w:r>
                            <w:instrText xml:space="preserve"> PAGE  \* MERGEFORMAT </w:instrText>
                          </w:r>
                          <w:r>
                            <w:fldChar w:fldCharType="separate"/>
                          </w:r>
                          <w:r>
                            <w:t>17</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szLz+EBAADbAwAADgAAAGRycy9lMm9Eb2MueG1srVPLjtswDLwX6D8I&#10;ujd+oCgMI85it0GKAn0Bu/0AWZZjAZYoUErs9OtLyXG23V720ItAkdSQM6S2d7MZ2Vmh12AbXmxy&#10;zpSV0Gl7bPjPp8O7ijMfhO3ECFY1/KI8v9u9fbOdXK1KGGDsFDICsb6eXMOHEFydZV4Oygi/Aacs&#10;BXtAIwJd8Zh1KCZCN2NW5vmHbALsHIJU3pN3vwT5FRFfAwh9r6XagzwZZcOCimoUgSj5QTvPd6nb&#10;vlcyfO97rwIbG05MQzqpCNltPLPdVtRHFG7Q8tqCeE0LLzgZoS0VvUHtRRDshPofKKMlgoc+bCSY&#10;bCGSFCEWRf5Cm8dBOJW4kNTe3UT3/w9Wfjv/QKY72oT3eVkVVV5yZoWhwT+pObAHmFkRVZqcryn5&#10;0VF6mMlNL1a/j852+godPROnAEmKuUcTJSGSjLJJ8ctN8QgtI0RVVlVOIUmx9ULVMlGvzx368EmB&#10;YdFoONJIE7w4f/FhSV1TYjULBz2Oaayj/ctBmNGTRSax44VTmNv5Sq+F7kJEEJYtoT9CxgD4i7OJ&#10;NqThlj4EZ+NnSwOIy7QauBrtaggr6WHDA2eL+TEsS3dyqI8D4RaJhHf3JNdBJyKxsaWHa5c08yTF&#10;dT/jUv15T1nPf3L3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zMvP4QEAANsDAAAOAAAA&#10;AAAAAAEAIAAAAB4BAABkcnMvZTJvRG9jLnhtbFBLBQYAAAAABgAGAFkBAABxBQAAAAA=&#10;">
              <v:fill on="f" focussize="0,0"/>
              <v:stroke on="f"/>
              <v:imagedata o:title=""/>
              <o:lock v:ext="edit" aspectratio="f"/>
              <v:textbox inset="0mm,0mm,0mm,0mm" style="mso-fit-shape-to-text:t;">
                <w:txbxContent>
                  <w:p w14:paraId="67800227">
                    <w:pPr>
                      <w:pStyle w:val="5"/>
                    </w:pPr>
                    <w:r>
                      <w:fldChar w:fldCharType="begin"/>
                    </w:r>
                    <w:r>
                      <w:instrText xml:space="preserve"> PAGE  \* MERGEFORMAT </w:instrText>
                    </w:r>
                    <w:r>
                      <w:fldChar w:fldCharType="separate"/>
                    </w:r>
                    <w:r>
                      <w:t>17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C0A2E"/>
    <w:multiLevelType w:val="multilevel"/>
    <w:tmpl w:val="F59C0A2E"/>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142"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284" w:firstLine="0"/>
      </w:pPr>
      <w:rPr>
        <w:rFonts w:hint="eastAsia" w:ascii="黑体" w:hAnsi="Times New Roman" w:eastAsia="黑体" w:cs="黑体"/>
        <w:b w:val="0"/>
        <w:i w:val="0"/>
        <w:sz w:val="21"/>
      </w:rPr>
    </w:lvl>
    <w:lvl w:ilvl="4" w:tentative="0">
      <w:start w:val="1"/>
      <w:numFmt w:val="decimal"/>
      <w:pStyle w:val="33"/>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21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1"/>
      <w:suff w:val="nothing"/>
      <w:lvlText w:val="%1.%2.%3　"/>
      <w:lvlJc w:val="left"/>
      <w:pPr>
        <w:ind w:left="56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30E81607"/>
    <w:multiLevelType w:val="multilevel"/>
    <w:tmpl w:val="30E81607"/>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142"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284"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pStyle w:val="32"/>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3">
    <w:nsid w:val="6CEA2025"/>
    <w:multiLevelType w:val="multilevel"/>
    <w:tmpl w:val="6CEA2025"/>
    <w:lvl w:ilvl="0" w:tentative="0">
      <w:start w:val="1"/>
      <w:numFmt w:val="none"/>
      <w:pStyle w:val="31"/>
      <w:suff w:val="nothing"/>
      <w:lvlText w:val="%1"/>
      <w:lvlJc w:val="left"/>
      <w:pPr>
        <w:ind w:left="0" w:firstLine="0"/>
      </w:pPr>
      <w:rPr>
        <w:rFonts w:hint="eastAsia"/>
      </w:rPr>
    </w:lvl>
    <w:lvl w:ilvl="1" w:tentative="0">
      <w:start w:val="1"/>
      <w:numFmt w:val="decimal"/>
      <w:pStyle w:val="29"/>
      <w:suff w:val="nothing"/>
      <w:lvlText w:val="%1%2　"/>
      <w:lvlJc w:val="left"/>
      <w:pPr>
        <w:ind w:left="0" w:firstLine="0"/>
      </w:pPr>
      <w:rPr>
        <w:rFonts w:hint="eastAsia" w:ascii="黑体" w:eastAsia="黑体"/>
        <w:b w:val="0"/>
        <w:i w:val="0"/>
        <w:sz w:val="21"/>
      </w:rPr>
    </w:lvl>
    <w:lvl w:ilvl="2" w:tentative="0">
      <w:start w:val="1"/>
      <w:numFmt w:val="decimal"/>
      <w:pStyle w:val="3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5"/>
      <w:suff w:val="nothing"/>
      <w:lvlText w:val="%1%2.%3.%4　"/>
      <w:lvlJc w:val="left"/>
      <w:pPr>
        <w:ind w:left="142" w:firstLine="0"/>
      </w:pPr>
      <w:rPr>
        <w:rFonts w:hint="eastAsia" w:ascii="黑体" w:eastAsia="黑体"/>
        <w:b w:val="0"/>
        <w:i w:val="0"/>
        <w:sz w:val="21"/>
      </w:rPr>
    </w:lvl>
    <w:lvl w:ilvl="4" w:tentative="0">
      <w:start w:val="1"/>
      <w:numFmt w:val="decimal"/>
      <w:pStyle w:val="26"/>
      <w:suff w:val="nothing"/>
      <w:lvlText w:val="%1%2.%3.%4.%5　"/>
      <w:lvlJc w:val="left"/>
      <w:pPr>
        <w:ind w:left="0" w:firstLine="0"/>
      </w:pPr>
      <w:rPr>
        <w:rFonts w:hint="eastAsia" w:ascii="黑体" w:eastAsia="黑体"/>
        <w:b w:val="0"/>
        <w:i w:val="0"/>
        <w:sz w:val="21"/>
      </w:rPr>
    </w:lvl>
    <w:lvl w:ilvl="5" w:tentative="0">
      <w:start w:val="1"/>
      <w:numFmt w:val="decimal"/>
      <w:pStyle w:val="27"/>
      <w:suff w:val="nothing"/>
      <w:lvlText w:val="%1%2.%3.%4.%5.%6　"/>
      <w:lvlJc w:val="left"/>
      <w:pPr>
        <w:ind w:left="0" w:firstLine="0"/>
      </w:pPr>
      <w:rPr>
        <w:rFonts w:hint="eastAsia" w:ascii="黑体" w:eastAsia="黑体"/>
        <w:b w:val="0"/>
        <w:i w:val="0"/>
        <w:sz w:val="21"/>
      </w:rPr>
    </w:lvl>
    <w:lvl w:ilvl="6" w:tentative="0">
      <w:start w:val="1"/>
      <w:numFmt w:val="decimal"/>
      <w:pStyle w:val="2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xMGUyZTQ1YWMwNzQ5MWJjY2U0ZGUzZTFlZDAxMjcifQ=="/>
  </w:docVars>
  <w:rsids>
    <w:rsidRoot w:val="0037490B"/>
    <w:rsid w:val="0000053F"/>
    <w:rsid w:val="000005CA"/>
    <w:rsid w:val="00001814"/>
    <w:rsid w:val="0000242E"/>
    <w:rsid w:val="00002DC8"/>
    <w:rsid w:val="000032E6"/>
    <w:rsid w:val="00003B4F"/>
    <w:rsid w:val="00003DB3"/>
    <w:rsid w:val="00005CD9"/>
    <w:rsid w:val="00006EE5"/>
    <w:rsid w:val="00015103"/>
    <w:rsid w:val="000255FF"/>
    <w:rsid w:val="000258DE"/>
    <w:rsid w:val="00030EE3"/>
    <w:rsid w:val="0005176B"/>
    <w:rsid w:val="00055E93"/>
    <w:rsid w:val="00064EA0"/>
    <w:rsid w:val="000718F2"/>
    <w:rsid w:val="00071923"/>
    <w:rsid w:val="0008204D"/>
    <w:rsid w:val="00084F63"/>
    <w:rsid w:val="00087B41"/>
    <w:rsid w:val="00091F8D"/>
    <w:rsid w:val="0009384C"/>
    <w:rsid w:val="000A119D"/>
    <w:rsid w:val="000A5A53"/>
    <w:rsid w:val="000A6B6E"/>
    <w:rsid w:val="000A7270"/>
    <w:rsid w:val="000B0DA3"/>
    <w:rsid w:val="000B47AB"/>
    <w:rsid w:val="000B7385"/>
    <w:rsid w:val="000C1656"/>
    <w:rsid w:val="000D722D"/>
    <w:rsid w:val="000E0C1D"/>
    <w:rsid w:val="000E57B1"/>
    <w:rsid w:val="000E7313"/>
    <w:rsid w:val="000F561B"/>
    <w:rsid w:val="000F7DAF"/>
    <w:rsid w:val="00102195"/>
    <w:rsid w:val="001037D6"/>
    <w:rsid w:val="00110FBA"/>
    <w:rsid w:val="00111C5E"/>
    <w:rsid w:val="00115C18"/>
    <w:rsid w:val="001170DA"/>
    <w:rsid w:val="00120F4F"/>
    <w:rsid w:val="00125DD8"/>
    <w:rsid w:val="00126855"/>
    <w:rsid w:val="00131174"/>
    <w:rsid w:val="001344C5"/>
    <w:rsid w:val="0013567B"/>
    <w:rsid w:val="001441C8"/>
    <w:rsid w:val="00147A7A"/>
    <w:rsid w:val="00151C29"/>
    <w:rsid w:val="00160FAE"/>
    <w:rsid w:val="00165102"/>
    <w:rsid w:val="00167644"/>
    <w:rsid w:val="00170088"/>
    <w:rsid w:val="00172847"/>
    <w:rsid w:val="00176892"/>
    <w:rsid w:val="00180583"/>
    <w:rsid w:val="00182AD3"/>
    <w:rsid w:val="00184502"/>
    <w:rsid w:val="00184700"/>
    <w:rsid w:val="00185CA3"/>
    <w:rsid w:val="00192792"/>
    <w:rsid w:val="001A03FA"/>
    <w:rsid w:val="001A2348"/>
    <w:rsid w:val="001A585A"/>
    <w:rsid w:val="001A68FB"/>
    <w:rsid w:val="001B4E68"/>
    <w:rsid w:val="001B6DB3"/>
    <w:rsid w:val="001D093C"/>
    <w:rsid w:val="001D2157"/>
    <w:rsid w:val="001D55A2"/>
    <w:rsid w:val="001D694F"/>
    <w:rsid w:val="001E1747"/>
    <w:rsid w:val="001E21D6"/>
    <w:rsid w:val="001E4488"/>
    <w:rsid w:val="001E7634"/>
    <w:rsid w:val="001F67DD"/>
    <w:rsid w:val="002034E1"/>
    <w:rsid w:val="00205861"/>
    <w:rsid w:val="002102FA"/>
    <w:rsid w:val="00212291"/>
    <w:rsid w:val="002127FC"/>
    <w:rsid w:val="0021475C"/>
    <w:rsid w:val="0021538A"/>
    <w:rsid w:val="00217985"/>
    <w:rsid w:val="0022020B"/>
    <w:rsid w:val="0022233B"/>
    <w:rsid w:val="00224BFE"/>
    <w:rsid w:val="002251CA"/>
    <w:rsid w:val="00225F22"/>
    <w:rsid w:val="002306BF"/>
    <w:rsid w:val="00230783"/>
    <w:rsid w:val="00230FE3"/>
    <w:rsid w:val="0023444B"/>
    <w:rsid w:val="00234EC1"/>
    <w:rsid w:val="00235D2E"/>
    <w:rsid w:val="00236512"/>
    <w:rsid w:val="002410F1"/>
    <w:rsid w:val="0024687D"/>
    <w:rsid w:val="002513A0"/>
    <w:rsid w:val="00252C67"/>
    <w:rsid w:val="00255076"/>
    <w:rsid w:val="00255234"/>
    <w:rsid w:val="00261EAF"/>
    <w:rsid w:val="00266674"/>
    <w:rsid w:val="0027055E"/>
    <w:rsid w:val="002718CB"/>
    <w:rsid w:val="00272ECD"/>
    <w:rsid w:val="002741A6"/>
    <w:rsid w:val="00282225"/>
    <w:rsid w:val="00282392"/>
    <w:rsid w:val="00284186"/>
    <w:rsid w:val="00286E92"/>
    <w:rsid w:val="002878B9"/>
    <w:rsid w:val="00290CF8"/>
    <w:rsid w:val="002946D7"/>
    <w:rsid w:val="00296164"/>
    <w:rsid w:val="002A1DE2"/>
    <w:rsid w:val="002A7C92"/>
    <w:rsid w:val="002B09FB"/>
    <w:rsid w:val="002B176E"/>
    <w:rsid w:val="002C0587"/>
    <w:rsid w:val="002C17C7"/>
    <w:rsid w:val="002C3262"/>
    <w:rsid w:val="002C38F8"/>
    <w:rsid w:val="002C3D9D"/>
    <w:rsid w:val="002D0EC0"/>
    <w:rsid w:val="002D4741"/>
    <w:rsid w:val="002E1BFD"/>
    <w:rsid w:val="002E33C3"/>
    <w:rsid w:val="002E49B5"/>
    <w:rsid w:val="002F5EC2"/>
    <w:rsid w:val="002F79E6"/>
    <w:rsid w:val="002F7C9D"/>
    <w:rsid w:val="00301094"/>
    <w:rsid w:val="00301FF5"/>
    <w:rsid w:val="0030273D"/>
    <w:rsid w:val="00306E58"/>
    <w:rsid w:val="0030718D"/>
    <w:rsid w:val="00307DD9"/>
    <w:rsid w:val="00310AD3"/>
    <w:rsid w:val="00311598"/>
    <w:rsid w:val="00311ABF"/>
    <w:rsid w:val="003134D1"/>
    <w:rsid w:val="00316454"/>
    <w:rsid w:val="003176CC"/>
    <w:rsid w:val="00322809"/>
    <w:rsid w:val="003251CC"/>
    <w:rsid w:val="003278E9"/>
    <w:rsid w:val="0033088E"/>
    <w:rsid w:val="00330D99"/>
    <w:rsid w:val="00331591"/>
    <w:rsid w:val="0033254E"/>
    <w:rsid w:val="00332F81"/>
    <w:rsid w:val="00335B12"/>
    <w:rsid w:val="00336DA4"/>
    <w:rsid w:val="00342F19"/>
    <w:rsid w:val="00347B3A"/>
    <w:rsid w:val="0035282E"/>
    <w:rsid w:val="00355B91"/>
    <w:rsid w:val="003579E3"/>
    <w:rsid w:val="00364329"/>
    <w:rsid w:val="00364C43"/>
    <w:rsid w:val="0036507A"/>
    <w:rsid w:val="00365FBD"/>
    <w:rsid w:val="00366B48"/>
    <w:rsid w:val="00367CD0"/>
    <w:rsid w:val="003717AA"/>
    <w:rsid w:val="00372023"/>
    <w:rsid w:val="00373076"/>
    <w:rsid w:val="0037336B"/>
    <w:rsid w:val="00374750"/>
    <w:rsid w:val="0037490B"/>
    <w:rsid w:val="00376373"/>
    <w:rsid w:val="00376424"/>
    <w:rsid w:val="003804FF"/>
    <w:rsid w:val="00387FD0"/>
    <w:rsid w:val="00390362"/>
    <w:rsid w:val="003905EF"/>
    <w:rsid w:val="00390D7F"/>
    <w:rsid w:val="0039622B"/>
    <w:rsid w:val="003A00DE"/>
    <w:rsid w:val="003A049C"/>
    <w:rsid w:val="003A3E22"/>
    <w:rsid w:val="003A5B7E"/>
    <w:rsid w:val="003B1B33"/>
    <w:rsid w:val="003B35C2"/>
    <w:rsid w:val="003C0AB3"/>
    <w:rsid w:val="003C2CCE"/>
    <w:rsid w:val="003C5994"/>
    <w:rsid w:val="003D0BAC"/>
    <w:rsid w:val="003D2062"/>
    <w:rsid w:val="003D226C"/>
    <w:rsid w:val="003D43E5"/>
    <w:rsid w:val="003D44FB"/>
    <w:rsid w:val="003D4B79"/>
    <w:rsid w:val="003E11BD"/>
    <w:rsid w:val="003E30BD"/>
    <w:rsid w:val="003F6173"/>
    <w:rsid w:val="003F654A"/>
    <w:rsid w:val="003F76B0"/>
    <w:rsid w:val="00401CDE"/>
    <w:rsid w:val="0040429A"/>
    <w:rsid w:val="00410DE4"/>
    <w:rsid w:val="0041563D"/>
    <w:rsid w:val="00415EA5"/>
    <w:rsid w:val="00417E13"/>
    <w:rsid w:val="004211A8"/>
    <w:rsid w:val="00421213"/>
    <w:rsid w:val="00421BEA"/>
    <w:rsid w:val="00435C24"/>
    <w:rsid w:val="00441BC7"/>
    <w:rsid w:val="00441F46"/>
    <w:rsid w:val="004427F9"/>
    <w:rsid w:val="00444EC0"/>
    <w:rsid w:val="0044688A"/>
    <w:rsid w:val="0045218D"/>
    <w:rsid w:val="00456F07"/>
    <w:rsid w:val="00461779"/>
    <w:rsid w:val="00461AFD"/>
    <w:rsid w:val="004661AA"/>
    <w:rsid w:val="004671EF"/>
    <w:rsid w:val="00475657"/>
    <w:rsid w:val="004846D3"/>
    <w:rsid w:val="004859DB"/>
    <w:rsid w:val="004861A8"/>
    <w:rsid w:val="00487336"/>
    <w:rsid w:val="00493851"/>
    <w:rsid w:val="00494BAB"/>
    <w:rsid w:val="0049572D"/>
    <w:rsid w:val="00496F72"/>
    <w:rsid w:val="004A140C"/>
    <w:rsid w:val="004A2CDA"/>
    <w:rsid w:val="004A39ED"/>
    <w:rsid w:val="004A6425"/>
    <w:rsid w:val="004B0BD5"/>
    <w:rsid w:val="004B2C31"/>
    <w:rsid w:val="004C4A35"/>
    <w:rsid w:val="004C5FE7"/>
    <w:rsid w:val="004C719A"/>
    <w:rsid w:val="004D135A"/>
    <w:rsid w:val="004D23BA"/>
    <w:rsid w:val="004D6013"/>
    <w:rsid w:val="004E2471"/>
    <w:rsid w:val="004E51D1"/>
    <w:rsid w:val="004E6B96"/>
    <w:rsid w:val="004E702B"/>
    <w:rsid w:val="004E71C4"/>
    <w:rsid w:val="004E7E83"/>
    <w:rsid w:val="004F0893"/>
    <w:rsid w:val="004F1802"/>
    <w:rsid w:val="00501338"/>
    <w:rsid w:val="0050150E"/>
    <w:rsid w:val="005042E8"/>
    <w:rsid w:val="00504915"/>
    <w:rsid w:val="00513629"/>
    <w:rsid w:val="0051458C"/>
    <w:rsid w:val="0051786E"/>
    <w:rsid w:val="00523C6F"/>
    <w:rsid w:val="00530FD2"/>
    <w:rsid w:val="0053180E"/>
    <w:rsid w:val="00531B59"/>
    <w:rsid w:val="005334D7"/>
    <w:rsid w:val="00541753"/>
    <w:rsid w:val="00543D0A"/>
    <w:rsid w:val="00544778"/>
    <w:rsid w:val="00545712"/>
    <w:rsid w:val="005510D6"/>
    <w:rsid w:val="005548A7"/>
    <w:rsid w:val="0055683E"/>
    <w:rsid w:val="00560E6C"/>
    <w:rsid w:val="00565DD4"/>
    <w:rsid w:val="00566365"/>
    <w:rsid w:val="00567988"/>
    <w:rsid w:val="00570D65"/>
    <w:rsid w:val="005712CA"/>
    <w:rsid w:val="0058257B"/>
    <w:rsid w:val="0058387A"/>
    <w:rsid w:val="0059288F"/>
    <w:rsid w:val="005955E7"/>
    <w:rsid w:val="00596C48"/>
    <w:rsid w:val="005A40E0"/>
    <w:rsid w:val="005A4739"/>
    <w:rsid w:val="005B1226"/>
    <w:rsid w:val="005B3727"/>
    <w:rsid w:val="005B63E1"/>
    <w:rsid w:val="005C1586"/>
    <w:rsid w:val="005C527C"/>
    <w:rsid w:val="005D564B"/>
    <w:rsid w:val="005E02C6"/>
    <w:rsid w:val="005E1E2D"/>
    <w:rsid w:val="005E31F1"/>
    <w:rsid w:val="005E3295"/>
    <w:rsid w:val="005E40E3"/>
    <w:rsid w:val="005E6EF3"/>
    <w:rsid w:val="005E7CEF"/>
    <w:rsid w:val="005F0BBC"/>
    <w:rsid w:val="005F3192"/>
    <w:rsid w:val="0060440D"/>
    <w:rsid w:val="00607703"/>
    <w:rsid w:val="0061180E"/>
    <w:rsid w:val="0061249A"/>
    <w:rsid w:val="00613D28"/>
    <w:rsid w:val="00615634"/>
    <w:rsid w:val="0061641C"/>
    <w:rsid w:val="006210DA"/>
    <w:rsid w:val="00626CAA"/>
    <w:rsid w:val="00630A5B"/>
    <w:rsid w:val="00631339"/>
    <w:rsid w:val="0064289F"/>
    <w:rsid w:val="00643304"/>
    <w:rsid w:val="006512FA"/>
    <w:rsid w:val="006527B2"/>
    <w:rsid w:val="00654231"/>
    <w:rsid w:val="00654D0F"/>
    <w:rsid w:val="006574D1"/>
    <w:rsid w:val="00667A7D"/>
    <w:rsid w:val="006703D4"/>
    <w:rsid w:val="006747D2"/>
    <w:rsid w:val="006758CC"/>
    <w:rsid w:val="006765DB"/>
    <w:rsid w:val="006800B4"/>
    <w:rsid w:val="00683CD7"/>
    <w:rsid w:val="00690488"/>
    <w:rsid w:val="00692728"/>
    <w:rsid w:val="00692A7C"/>
    <w:rsid w:val="00692C1F"/>
    <w:rsid w:val="00692C29"/>
    <w:rsid w:val="00692D38"/>
    <w:rsid w:val="00695D4B"/>
    <w:rsid w:val="006A07E1"/>
    <w:rsid w:val="006A180E"/>
    <w:rsid w:val="006A412A"/>
    <w:rsid w:val="006B40AB"/>
    <w:rsid w:val="006B48C6"/>
    <w:rsid w:val="006B5ED6"/>
    <w:rsid w:val="006B6C36"/>
    <w:rsid w:val="006C5EE9"/>
    <w:rsid w:val="006C5FB0"/>
    <w:rsid w:val="006C7CB3"/>
    <w:rsid w:val="006D23B4"/>
    <w:rsid w:val="006D5BF6"/>
    <w:rsid w:val="006E38F2"/>
    <w:rsid w:val="006E4B45"/>
    <w:rsid w:val="006E566F"/>
    <w:rsid w:val="006E7331"/>
    <w:rsid w:val="006F2CAD"/>
    <w:rsid w:val="006F375B"/>
    <w:rsid w:val="006F7E60"/>
    <w:rsid w:val="00703D01"/>
    <w:rsid w:val="00703F7C"/>
    <w:rsid w:val="00710402"/>
    <w:rsid w:val="00710ECD"/>
    <w:rsid w:val="0071226C"/>
    <w:rsid w:val="007141DD"/>
    <w:rsid w:val="00722471"/>
    <w:rsid w:val="007225E8"/>
    <w:rsid w:val="00722609"/>
    <w:rsid w:val="007250B5"/>
    <w:rsid w:val="00735168"/>
    <w:rsid w:val="007470DB"/>
    <w:rsid w:val="00747CE8"/>
    <w:rsid w:val="00752912"/>
    <w:rsid w:val="00753137"/>
    <w:rsid w:val="007553F2"/>
    <w:rsid w:val="00755CBF"/>
    <w:rsid w:val="007607E1"/>
    <w:rsid w:val="007708E8"/>
    <w:rsid w:val="007714A8"/>
    <w:rsid w:val="00775793"/>
    <w:rsid w:val="007766C6"/>
    <w:rsid w:val="00781965"/>
    <w:rsid w:val="007848C2"/>
    <w:rsid w:val="00785E77"/>
    <w:rsid w:val="0079403E"/>
    <w:rsid w:val="00795047"/>
    <w:rsid w:val="00795B1E"/>
    <w:rsid w:val="0079601F"/>
    <w:rsid w:val="007A3953"/>
    <w:rsid w:val="007A6653"/>
    <w:rsid w:val="007A6F5F"/>
    <w:rsid w:val="007B2E04"/>
    <w:rsid w:val="007C042F"/>
    <w:rsid w:val="007C7133"/>
    <w:rsid w:val="007D2CB6"/>
    <w:rsid w:val="007E0CA5"/>
    <w:rsid w:val="007E36BC"/>
    <w:rsid w:val="007E4C32"/>
    <w:rsid w:val="007E6CEA"/>
    <w:rsid w:val="007E7A36"/>
    <w:rsid w:val="007F53A2"/>
    <w:rsid w:val="007F5D50"/>
    <w:rsid w:val="008003A1"/>
    <w:rsid w:val="00803B2E"/>
    <w:rsid w:val="008045EA"/>
    <w:rsid w:val="00806728"/>
    <w:rsid w:val="0081073D"/>
    <w:rsid w:val="0081081B"/>
    <w:rsid w:val="008117B3"/>
    <w:rsid w:val="00813471"/>
    <w:rsid w:val="00816FA6"/>
    <w:rsid w:val="0082113C"/>
    <w:rsid w:val="008237FB"/>
    <w:rsid w:val="00826830"/>
    <w:rsid w:val="00836079"/>
    <w:rsid w:val="0083640A"/>
    <w:rsid w:val="008366FC"/>
    <w:rsid w:val="00837CE2"/>
    <w:rsid w:val="008411FD"/>
    <w:rsid w:val="00841E33"/>
    <w:rsid w:val="00845F7F"/>
    <w:rsid w:val="00850528"/>
    <w:rsid w:val="0086510E"/>
    <w:rsid w:val="00865892"/>
    <w:rsid w:val="00865915"/>
    <w:rsid w:val="00870F5A"/>
    <w:rsid w:val="00871EA3"/>
    <w:rsid w:val="00872B61"/>
    <w:rsid w:val="0087663F"/>
    <w:rsid w:val="008801E9"/>
    <w:rsid w:val="00882892"/>
    <w:rsid w:val="00885125"/>
    <w:rsid w:val="0088623D"/>
    <w:rsid w:val="00893534"/>
    <w:rsid w:val="00895D07"/>
    <w:rsid w:val="008966FB"/>
    <w:rsid w:val="008971CA"/>
    <w:rsid w:val="008A02CD"/>
    <w:rsid w:val="008A0E43"/>
    <w:rsid w:val="008A1992"/>
    <w:rsid w:val="008A3DD1"/>
    <w:rsid w:val="008A5F63"/>
    <w:rsid w:val="008A70F4"/>
    <w:rsid w:val="008B1BAF"/>
    <w:rsid w:val="008B1DBA"/>
    <w:rsid w:val="008B52B5"/>
    <w:rsid w:val="008B7C53"/>
    <w:rsid w:val="008C0317"/>
    <w:rsid w:val="008C04B2"/>
    <w:rsid w:val="008C2BFA"/>
    <w:rsid w:val="008C7069"/>
    <w:rsid w:val="008D0205"/>
    <w:rsid w:val="008D078E"/>
    <w:rsid w:val="008D17BC"/>
    <w:rsid w:val="008E1A8E"/>
    <w:rsid w:val="008E6CA6"/>
    <w:rsid w:val="008E7778"/>
    <w:rsid w:val="008F406F"/>
    <w:rsid w:val="008F5D4C"/>
    <w:rsid w:val="008F7646"/>
    <w:rsid w:val="009060E8"/>
    <w:rsid w:val="00910FED"/>
    <w:rsid w:val="009127EE"/>
    <w:rsid w:val="00912A0E"/>
    <w:rsid w:val="009150B1"/>
    <w:rsid w:val="0091618E"/>
    <w:rsid w:val="0091702A"/>
    <w:rsid w:val="009304AE"/>
    <w:rsid w:val="00936BDC"/>
    <w:rsid w:val="0094248A"/>
    <w:rsid w:val="00942680"/>
    <w:rsid w:val="00945D92"/>
    <w:rsid w:val="00947569"/>
    <w:rsid w:val="00951C14"/>
    <w:rsid w:val="00956D3B"/>
    <w:rsid w:val="00960B94"/>
    <w:rsid w:val="00961A93"/>
    <w:rsid w:val="00964155"/>
    <w:rsid w:val="00966787"/>
    <w:rsid w:val="009711E6"/>
    <w:rsid w:val="009719BB"/>
    <w:rsid w:val="009777B1"/>
    <w:rsid w:val="009825D4"/>
    <w:rsid w:val="00982CE4"/>
    <w:rsid w:val="00984CC6"/>
    <w:rsid w:val="00985335"/>
    <w:rsid w:val="009927DA"/>
    <w:rsid w:val="00995626"/>
    <w:rsid w:val="00997142"/>
    <w:rsid w:val="009A0F45"/>
    <w:rsid w:val="009A10F4"/>
    <w:rsid w:val="009A1999"/>
    <w:rsid w:val="009A27DB"/>
    <w:rsid w:val="009B249A"/>
    <w:rsid w:val="009B39A8"/>
    <w:rsid w:val="009B6FF8"/>
    <w:rsid w:val="009C38E2"/>
    <w:rsid w:val="009C4476"/>
    <w:rsid w:val="009C5D70"/>
    <w:rsid w:val="009D294C"/>
    <w:rsid w:val="009D5483"/>
    <w:rsid w:val="009E09EA"/>
    <w:rsid w:val="009E1CE9"/>
    <w:rsid w:val="009E462D"/>
    <w:rsid w:val="009E78FC"/>
    <w:rsid w:val="009F318F"/>
    <w:rsid w:val="009F48D0"/>
    <w:rsid w:val="009F4E84"/>
    <w:rsid w:val="00A01560"/>
    <w:rsid w:val="00A03BDF"/>
    <w:rsid w:val="00A047A6"/>
    <w:rsid w:val="00A076BD"/>
    <w:rsid w:val="00A101F9"/>
    <w:rsid w:val="00A12A1B"/>
    <w:rsid w:val="00A13F53"/>
    <w:rsid w:val="00A168DB"/>
    <w:rsid w:val="00A22078"/>
    <w:rsid w:val="00A22129"/>
    <w:rsid w:val="00A27211"/>
    <w:rsid w:val="00A319BB"/>
    <w:rsid w:val="00A324A8"/>
    <w:rsid w:val="00A34A3B"/>
    <w:rsid w:val="00A36077"/>
    <w:rsid w:val="00A43E33"/>
    <w:rsid w:val="00A4427D"/>
    <w:rsid w:val="00A52282"/>
    <w:rsid w:val="00A53EE6"/>
    <w:rsid w:val="00A578B0"/>
    <w:rsid w:val="00A57BB6"/>
    <w:rsid w:val="00A60B2D"/>
    <w:rsid w:val="00A62EA4"/>
    <w:rsid w:val="00A666DE"/>
    <w:rsid w:val="00A66B4F"/>
    <w:rsid w:val="00A709DA"/>
    <w:rsid w:val="00A731D8"/>
    <w:rsid w:val="00A74CFD"/>
    <w:rsid w:val="00A8384F"/>
    <w:rsid w:val="00A84FBA"/>
    <w:rsid w:val="00A928B4"/>
    <w:rsid w:val="00A9290C"/>
    <w:rsid w:val="00A965A7"/>
    <w:rsid w:val="00A96A06"/>
    <w:rsid w:val="00AA1F4C"/>
    <w:rsid w:val="00AA275F"/>
    <w:rsid w:val="00AA4761"/>
    <w:rsid w:val="00AA6978"/>
    <w:rsid w:val="00AB6779"/>
    <w:rsid w:val="00AB7ED2"/>
    <w:rsid w:val="00AC1895"/>
    <w:rsid w:val="00AC36C1"/>
    <w:rsid w:val="00AC5111"/>
    <w:rsid w:val="00AC7DBF"/>
    <w:rsid w:val="00AD1F08"/>
    <w:rsid w:val="00AD5664"/>
    <w:rsid w:val="00AD6032"/>
    <w:rsid w:val="00AE1143"/>
    <w:rsid w:val="00AE3C92"/>
    <w:rsid w:val="00AE5A98"/>
    <w:rsid w:val="00AF0B2F"/>
    <w:rsid w:val="00AF2B38"/>
    <w:rsid w:val="00AF71BF"/>
    <w:rsid w:val="00B078F2"/>
    <w:rsid w:val="00B220CD"/>
    <w:rsid w:val="00B22DD0"/>
    <w:rsid w:val="00B24F3A"/>
    <w:rsid w:val="00B31650"/>
    <w:rsid w:val="00B33842"/>
    <w:rsid w:val="00B37061"/>
    <w:rsid w:val="00B4227A"/>
    <w:rsid w:val="00B425E0"/>
    <w:rsid w:val="00B5342D"/>
    <w:rsid w:val="00B540E3"/>
    <w:rsid w:val="00B54282"/>
    <w:rsid w:val="00B64EEC"/>
    <w:rsid w:val="00B702EE"/>
    <w:rsid w:val="00B81783"/>
    <w:rsid w:val="00B85612"/>
    <w:rsid w:val="00B86EFD"/>
    <w:rsid w:val="00B90454"/>
    <w:rsid w:val="00B92057"/>
    <w:rsid w:val="00B9246E"/>
    <w:rsid w:val="00B9332E"/>
    <w:rsid w:val="00B94FB6"/>
    <w:rsid w:val="00B96487"/>
    <w:rsid w:val="00BA361F"/>
    <w:rsid w:val="00BA3CAE"/>
    <w:rsid w:val="00BB0F1F"/>
    <w:rsid w:val="00BB2B12"/>
    <w:rsid w:val="00BB4FBC"/>
    <w:rsid w:val="00BB557D"/>
    <w:rsid w:val="00BB5ACE"/>
    <w:rsid w:val="00BB7BA4"/>
    <w:rsid w:val="00BC1E7D"/>
    <w:rsid w:val="00BC2A6D"/>
    <w:rsid w:val="00BC450C"/>
    <w:rsid w:val="00BC67F6"/>
    <w:rsid w:val="00BD1922"/>
    <w:rsid w:val="00BD5364"/>
    <w:rsid w:val="00BE0A61"/>
    <w:rsid w:val="00BE3A50"/>
    <w:rsid w:val="00BF08D7"/>
    <w:rsid w:val="00C00151"/>
    <w:rsid w:val="00C04B16"/>
    <w:rsid w:val="00C07C20"/>
    <w:rsid w:val="00C143A9"/>
    <w:rsid w:val="00C17E72"/>
    <w:rsid w:val="00C229F1"/>
    <w:rsid w:val="00C2442E"/>
    <w:rsid w:val="00C34B53"/>
    <w:rsid w:val="00C40234"/>
    <w:rsid w:val="00C45C6D"/>
    <w:rsid w:val="00C4700B"/>
    <w:rsid w:val="00C50AB5"/>
    <w:rsid w:val="00C51B2C"/>
    <w:rsid w:val="00C57985"/>
    <w:rsid w:val="00C61B04"/>
    <w:rsid w:val="00C625CB"/>
    <w:rsid w:val="00C6305D"/>
    <w:rsid w:val="00C63A0A"/>
    <w:rsid w:val="00C6783E"/>
    <w:rsid w:val="00C708E8"/>
    <w:rsid w:val="00C716A7"/>
    <w:rsid w:val="00C731FB"/>
    <w:rsid w:val="00C80B83"/>
    <w:rsid w:val="00C867CF"/>
    <w:rsid w:val="00C8766F"/>
    <w:rsid w:val="00C87EB0"/>
    <w:rsid w:val="00C955C6"/>
    <w:rsid w:val="00CA0C88"/>
    <w:rsid w:val="00CA0CAF"/>
    <w:rsid w:val="00CA6144"/>
    <w:rsid w:val="00CA6701"/>
    <w:rsid w:val="00CB015F"/>
    <w:rsid w:val="00CB0DE0"/>
    <w:rsid w:val="00CB28F2"/>
    <w:rsid w:val="00CC289E"/>
    <w:rsid w:val="00CC371C"/>
    <w:rsid w:val="00CC4FDE"/>
    <w:rsid w:val="00CC59CE"/>
    <w:rsid w:val="00CC72B5"/>
    <w:rsid w:val="00CC75AC"/>
    <w:rsid w:val="00CD0613"/>
    <w:rsid w:val="00CD55BF"/>
    <w:rsid w:val="00CD6B20"/>
    <w:rsid w:val="00CE1044"/>
    <w:rsid w:val="00CE599F"/>
    <w:rsid w:val="00CE6678"/>
    <w:rsid w:val="00CF00C7"/>
    <w:rsid w:val="00CF04F7"/>
    <w:rsid w:val="00CF51B5"/>
    <w:rsid w:val="00CF6CEC"/>
    <w:rsid w:val="00D0334C"/>
    <w:rsid w:val="00D06F9B"/>
    <w:rsid w:val="00D12130"/>
    <w:rsid w:val="00D130CC"/>
    <w:rsid w:val="00D148CF"/>
    <w:rsid w:val="00D15437"/>
    <w:rsid w:val="00D15A89"/>
    <w:rsid w:val="00D215D4"/>
    <w:rsid w:val="00D23F7C"/>
    <w:rsid w:val="00D2583B"/>
    <w:rsid w:val="00D302A0"/>
    <w:rsid w:val="00D33444"/>
    <w:rsid w:val="00D3549B"/>
    <w:rsid w:val="00D37C1A"/>
    <w:rsid w:val="00D4581F"/>
    <w:rsid w:val="00D45956"/>
    <w:rsid w:val="00D469CC"/>
    <w:rsid w:val="00D51C99"/>
    <w:rsid w:val="00D61FA1"/>
    <w:rsid w:val="00D63C5A"/>
    <w:rsid w:val="00D645EF"/>
    <w:rsid w:val="00D66CB0"/>
    <w:rsid w:val="00D66E95"/>
    <w:rsid w:val="00D675D1"/>
    <w:rsid w:val="00D70D2F"/>
    <w:rsid w:val="00D726BE"/>
    <w:rsid w:val="00D77582"/>
    <w:rsid w:val="00D8072E"/>
    <w:rsid w:val="00D81F58"/>
    <w:rsid w:val="00D82338"/>
    <w:rsid w:val="00D835B0"/>
    <w:rsid w:val="00D867DF"/>
    <w:rsid w:val="00D87ED0"/>
    <w:rsid w:val="00D933B2"/>
    <w:rsid w:val="00D940B8"/>
    <w:rsid w:val="00D962C9"/>
    <w:rsid w:val="00D96882"/>
    <w:rsid w:val="00D978F2"/>
    <w:rsid w:val="00DA14F8"/>
    <w:rsid w:val="00DA4627"/>
    <w:rsid w:val="00DA7DEC"/>
    <w:rsid w:val="00DB07E1"/>
    <w:rsid w:val="00DB1372"/>
    <w:rsid w:val="00DB6038"/>
    <w:rsid w:val="00DB7632"/>
    <w:rsid w:val="00DC24F7"/>
    <w:rsid w:val="00DC4FC7"/>
    <w:rsid w:val="00DE1404"/>
    <w:rsid w:val="00DE5CFF"/>
    <w:rsid w:val="00DE5FE4"/>
    <w:rsid w:val="00DF3D6A"/>
    <w:rsid w:val="00DF57E5"/>
    <w:rsid w:val="00E006AE"/>
    <w:rsid w:val="00E12CDE"/>
    <w:rsid w:val="00E14671"/>
    <w:rsid w:val="00E17298"/>
    <w:rsid w:val="00E1768A"/>
    <w:rsid w:val="00E2083D"/>
    <w:rsid w:val="00E22415"/>
    <w:rsid w:val="00E23F22"/>
    <w:rsid w:val="00E30715"/>
    <w:rsid w:val="00E318ED"/>
    <w:rsid w:val="00E32149"/>
    <w:rsid w:val="00E330B4"/>
    <w:rsid w:val="00E33107"/>
    <w:rsid w:val="00E3439A"/>
    <w:rsid w:val="00E362F0"/>
    <w:rsid w:val="00E36F7F"/>
    <w:rsid w:val="00E40396"/>
    <w:rsid w:val="00E409D2"/>
    <w:rsid w:val="00E411C0"/>
    <w:rsid w:val="00E50FC5"/>
    <w:rsid w:val="00E52CEF"/>
    <w:rsid w:val="00E53F4A"/>
    <w:rsid w:val="00E544B8"/>
    <w:rsid w:val="00E65CF2"/>
    <w:rsid w:val="00E73DFB"/>
    <w:rsid w:val="00E756CB"/>
    <w:rsid w:val="00E8149E"/>
    <w:rsid w:val="00E8396E"/>
    <w:rsid w:val="00E91514"/>
    <w:rsid w:val="00E91D23"/>
    <w:rsid w:val="00E92D69"/>
    <w:rsid w:val="00E932CD"/>
    <w:rsid w:val="00E93998"/>
    <w:rsid w:val="00EA10B0"/>
    <w:rsid w:val="00EA34AF"/>
    <w:rsid w:val="00EA381E"/>
    <w:rsid w:val="00EB4D6E"/>
    <w:rsid w:val="00EB6DA7"/>
    <w:rsid w:val="00EB7885"/>
    <w:rsid w:val="00EB7F64"/>
    <w:rsid w:val="00EC234B"/>
    <w:rsid w:val="00EC34AC"/>
    <w:rsid w:val="00EC3BDB"/>
    <w:rsid w:val="00EC6708"/>
    <w:rsid w:val="00ED2493"/>
    <w:rsid w:val="00ED67C7"/>
    <w:rsid w:val="00EE3EBC"/>
    <w:rsid w:val="00EE410E"/>
    <w:rsid w:val="00EF1F86"/>
    <w:rsid w:val="00EF39BD"/>
    <w:rsid w:val="00EF7178"/>
    <w:rsid w:val="00EF72F7"/>
    <w:rsid w:val="00F017E9"/>
    <w:rsid w:val="00F12CCB"/>
    <w:rsid w:val="00F2008F"/>
    <w:rsid w:val="00F2219C"/>
    <w:rsid w:val="00F26FCF"/>
    <w:rsid w:val="00F35A42"/>
    <w:rsid w:val="00F36D7E"/>
    <w:rsid w:val="00F434A5"/>
    <w:rsid w:val="00F445C1"/>
    <w:rsid w:val="00F51E68"/>
    <w:rsid w:val="00F54499"/>
    <w:rsid w:val="00F57579"/>
    <w:rsid w:val="00F578B5"/>
    <w:rsid w:val="00F61FB3"/>
    <w:rsid w:val="00F622CB"/>
    <w:rsid w:val="00F62C92"/>
    <w:rsid w:val="00F849B6"/>
    <w:rsid w:val="00F90843"/>
    <w:rsid w:val="00F934D9"/>
    <w:rsid w:val="00FA42B8"/>
    <w:rsid w:val="00FA7D03"/>
    <w:rsid w:val="00FB26AF"/>
    <w:rsid w:val="00FB7431"/>
    <w:rsid w:val="00FC2D35"/>
    <w:rsid w:val="00FC5622"/>
    <w:rsid w:val="00FD253C"/>
    <w:rsid w:val="00FD6B99"/>
    <w:rsid w:val="00FD7EB5"/>
    <w:rsid w:val="00FE2832"/>
    <w:rsid w:val="00FE38C2"/>
    <w:rsid w:val="00FE39D5"/>
    <w:rsid w:val="00FE3CFD"/>
    <w:rsid w:val="00FE610E"/>
    <w:rsid w:val="00FE77FA"/>
    <w:rsid w:val="00FF0FEE"/>
    <w:rsid w:val="00FF1518"/>
    <w:rsid w:val="00FF1B9A"/>
    <w:rsid w:val="00FF3785"/>
    <w:rsid w:val="00FF3CBF"/>
    <w:rsid w:val="00FF40B9"/>
    <w:rsid w:val="00FF4E71"/>
    <w:rsid w:val="00FF6ECF"/>
    <w:rsid w:val="02286F56"/>
    <w:rsid w:val="02C866AB"/>
    <w:rsid w:val="03634626"/>
    <w:rsid w:val="046C5AA3"/>
    <w:rsid w:val="04D2747D"/>
    <w:rsid w:val="071A4FFB"/>
    <w:rsid w:val="07DF2906"/>
    <w:rsid w:val="09FE743C"/>
    <w:rsid w:val="0A850CD2"/>
    <w:rsid w:val="0A8F6E15"/>
    <w:rsid w:val="0D8837E5"/>
    <w:rsid w:val="0E017470"/>
    <w:rsid w:val="108D2CE2"/>
    <w:rsid w:val="127E0B34"/>
    <w:rsid w:val="13405DEA"/>
    <w:rsid w:val="1457788F"/>
    <w:rsid w:val="156F0CA4"/>
    <w:rsid w:val="15BD6ADF"/>
    <w:rsid w:val="16506B42"/>
    <w:rsid w:val="184639D8"/>
    <w:rsid w:val="19533EE7"/>
    <w:rsid w:val="19D92807"/>
    <w:rsid w:val="1BDD3606"/>
    <w:rsid w:val="1C7949CB"/>
    <w:rsid w:val="20A14A4C"/>
    <w:rsid w:val="21550065"/>
    <w:rsid w:val="21703283"/>
    <w:rsid w:val="22626CAD"/>
    <w:rsid w:val="230166D9"/>
    <w:rsid w:val="24910641"/>
    <w:rsid w:val="2588488F"/>
    <w:rsid w:val="27341B83"/>
    <w:rsid w:val="27D1544B"/>
    <w:rsid w:val="28037FA1"/>
    <w:rsid w:val="29070055"/>
    <w:rsid w:val="29A313AF"/>
    <w:rsid w:val="29F64FFC"/>
    <w:rsid w:val="2B1C386E"/>
    <w:rsid w:val="2E66470A"/>
    <w:rsid w:val="3011060A"/>
    <w:rsid w:val="3296737C"/>
    <w:rsid w:val="334119DE"/>
    <w:rsid w:val="35A24298"/>
    <w:rsid w:val="3660007A"/>
    <w:rsid w:val="37A4253C"/>
    <w:rsid w:val="38074E65"/>
    <w:rsid w:val="38146BB7"/>
    <w:rsid w:val="3AE76EB1"/>
    <w:rsid w:val="3C1501DD"/>
    <w:rsid w:val="3CD66F9A"/>
    <w:rsid w:val="3E815608"/>
    <w:rsid w:val="3F1D32FF"/>
    <w:rsid w:val="41602D1B"/>
    <w:rsid w:val="41C773E2"/>
    <w:rsid w:val="43077BF5"/>
    <w:rsid w:val="432307B8"/>
    <w:rsid w:val="43850527"/>
    <w:rsid w:val="45DB537A"/>
    <w:rsid w:val="47C807DC"/>
    <w:rsid w:val="481334F1"/>
    <w:rsid w:val="4A073590"/>
    <w:rsid w:val="4A2F79E5"/>
    <w:rsid w:val="4B0F7EDA"/>
    <w:rsid w:val="4D56350C"/>
    <w:rsid w:val="52B00AE6"/>
    <w:rsid w:val="531C58AE"/>
    <w:rsid w:val="537248FF"/>
    <w:rsid w:val="54D91D1C"/>
    <w:rsid w:val="557F56DE"/>
    <w:rsid w:val="598B0C1B"/>
    <w:rsid w:val="5A0C4B83"/>
    <w:rsid w:val="5D0A6F78"/>
    <w:rsid w:val="629848C7"/>
    <w:rsid w:val="63870498"/>
    <w:rsid w:val="65F32107"/>
    <w:rsid w:val="669449C9"/>
    <w:rsid w:val="66BB0B84"/>
    <w:rsid w:val="66D94689"/>
    <w:rsid w:val="66E153E2"/>
    <w:rsid w:val="66FB5C7F"/>
    <w:rsid w:val="679D48D8"/>
    <w:rsid w:val="68B25AF9"/>
    <w:rsid w:val="69C53861"/>
    <w:rsid w:val="6BC960D2"/>
    <w:rsid w:val="6BD46E9D"/>
    <w:rsid w:val="6CC67436"/>
    <w:rsid w:val="6DB9718A"/>
    <w:rsid w:val="6E5B0646"/>
    <w:rsid w:val="6ECB6EFB"/>
    <w:rsid w:val="707A385E"/>
    <w:rsid w:val="736C2616"/>
    <w:rsid w:val="74730CF0"/>
    <w:rsid w:val="758000A0"/>
    <w:rsid w:val="79E50C45"/>
    <w:rsid w:val="7A594C59"/>
    <w:rsid w:val="7BE55F53"/>
    <w:rsid w:val="7D996D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link w:val="22"/>
    <w:qFormat/>
    <w:uiPriority w:val="0"/>
    <w:pPr>
      <w:keepNext/>
      <w:keepLines/>
      <w:spacing w:before="240" w:after="64" w:line="320" w:lineRule="auto"/>
      <w:outlineLvl w:val="5"/>
    </w:pPr>
    <w:rPr>
      <w:rFonts w:ascii="Arial" w:hAnsi="Arial" w:eastAsia="黑体"/>
      <w:b/>
      <w:bCs/>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34"/>
    <w:semiHidden/>
    <w:unhideWhenUsed/>
    <w:qFormat/>
    <w:uiPriority w:val="99"/>
    <w:pPr>
      <w:ind w:left="100" w:leftChars="2500"/>
    </w:pPr>
  </w:style>
  <w:style w:type="paragraph" w:styleId="4">
    <w:name w:val="Balloon Text"/>
    <w:basedOn w:val="1"/>
    <w:link w:val="36"/>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38"/>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styleId="8">
    <w:name w:val="Normal (Web)"/>
    <w:basedOn w:val="1"/>
    <w:semiHidden/>
    <w:unhideWhenUsed/>
    <w:qFormat/>
    <w:uiPriority w:val="99"/>
    <w:rPr>
      <w:sz w:val="24"/>
    </w:rPr>
  </w:style>
  <w:style w:type="paragraph" w:styleId="9">
    <w:name w:val="Title"/>
    <w:basedOn w:val="1"/>
    <w:next w:val="1"/>
    <w:link w:val="35"/>
    <w:qFormat/>
    <w:uiPriority w:val="10"/>
    <w:pPr>
      <w:spacing w:before="240" w:after="60"/>
      <w:jc w:val="center"/>
      <w:outlineLvl w:val="0"/>
    </w:pPr>
    <w:rPr>
      <w:rFonts w:asciiTheme="majorHAnsi" w:hAnsiTheme="majorHAnsi" w:eastAsiaTheme="majorEastAsia" w:cstheme="majorBidi"/>
      <w:b/>
      <w:bCs/>
      <w:sz w:val="32"/>
      <w:szCs w:val="32"/>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2440B3"/>
      <w:u w:val="single"/>
    </w:rPr>
  </w:style>
  <w:style w:type="paragraph" w:customStyle="1" w:styleId="14">
    <w:name w:val="BodyText2"/>
    <w:basedOn w:val="1"/>
    <w:qFormat/>
    <w:uiPriority w:val="0"/>
    <w:pPr>
      <w:spacing w:after="120" w:line="480" w:lineRule="auto"/>
      <w:textAlignment w:val="baseline"/>
    </w:pPr>
    <w:rPr>
      <w:sz w:val="32"/>
      <w:szCs w:val="32"/>
    </w:rPr>
  </w:style>
  <w:style w:type="paragraph" w:customStyle="1" w:styleId="15">
    <w:name w:val="Heading2"/>
    <w:basedOn w:val="1"/>
    <w:next w:val="1"/>
    <w:qFormat/>
    <w:uiPriority w:val="0"/>
    <w:pPr>
      <w:widowControl/>
      <w:spacing w:before="100" w:beforeAutospacing="1" w:after="100" w:afterAutospacing="1"/>
      <w:jc w:val="left"/>
      <w:textAlignment w:val="baseline"/>
    </w:pPr>
    <w:rPr>
      <w:rFonts w:ascii="宋体" w:hAnsi="宋体"/>
      <w:b/>
      <w:bCs/>
      <w:kern w:val="0"/>
      <w:sz w:val="36"/>
      <w:szCs w:val="36"/>
    </w:rPr>
  </w:style>
  <w:style w:type="character" w:customStyle="1" w:styleId="16">
    <w:name w:val="页眉 Char"/>
    <w:basedOn w:val="12"/>
    <w:link w:val="6"/>
    <w:qFormat/>
    <w:uiPriority w:val="99"/>
    <w:rPr>
      <w:sz w:val="18"/>
      <w:szCs w:val="18"/>
    </w:rPr>
  </w:style>
  <w:style w:type="character" w:customStyle="1" w:styleId="17">
    <w:name w:val="页脚 Char"/>
    <w:basedOn w:val="12"/>
    <w:link w:val="5"/>
    <w:qFormat/>
    <w:uiPriority w:val="99"/>
    <w:rPr>
      <w:sz w:val="18"/>
      <w:szCs w:val="18"/>
    </w:rPr>
  </w:style>
  <w:style w:type="character" w:customStyle="1" w:styleId="18">
    <w:name w:val="段 Char"/>
    <w:link w:val="19"/>
    <w:qFormat/>
    <w:uiPriority w:val="0"/>
    <w:rPr>
      <w:rFonts w:ascii="宋体"/>
    </w:rPr>
  </w:style>
  <w:style w:type="paragraph" w:customStyle="1" w:styleId="19">
    <w:name w:val="段"/>
    <w:link w:val="18"/>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0">
    <w:name w:val="章标题"/>
    <w:next w:val="19"/>
    <w:qFormat/>
    <w:uiPriority w:val="0"/>
    <w:pPr>
      <w:tabs>
        <w:tab w:val="left" w:pos="360"/>
      </w:tabs>
      <w:spacing w:beforeLines="100" w:afterLines="100"/>
      <w:jc w:val="both"/>
      <w:outlineLvl w:val="1"/>
    </w:pPr>
    <w:rPr>
      <w:rFonts w:ascii="黑体" w:hAnsi="Times New Roman" w:eastAsia="黑体" w:cs="Times New Roman"/>
      <w:sz w:val="21"/>
      <w:lang w:val="en-US" w:eastAsia="zh-CN" w:bidi="ar-SA"/>
    </w:rPr>
  </w:style>
  <w:style w:type="paragraph" w:customStyle="1" w:styleId="21">
    <w:name w:val="二级无"/>
    <w:basedOn w:val="1"/>
    <w:qFormat/>
    <w:uiPriority w:val="0"/>
    <w:pPr>
      <w:widowControl/>
      <w:numPr>
        <w:ilvl w:val="2"/>
        <w:numId w:val="1"/>
      </w:numPr>
      <w:jc w:val="left"/>
      <w:outlineLvl w:val="3"/>
    </w:pPr>
    <w:rPr>
      <w:rFonts w:ascii="宋体"/>
      <w:kern w:val="0"/>
      <w:szCs w:val="21"/>
    </w:rPr>
  </w:style>
  <w:style w:type="character" w:customStyle="1" w:styleId="22">
    <w:name w:val="标题 6 Char"/>
    <w:basedOn w:val="12"/>
    <w:link w:val="2"/>
    <w:qFormat/>
    <w:uiPriority w:val="0"/>
    <w:rPr>
      <w:rFonts w:ascii="Arial" w:hAnsi="Arial" w:eastAsia="黑体" w:cs="Times New Roman"/>
      <w:b/>
      <w:bCs/>
      <w:sz w:val="24"/>
      <w:szCs w:val="24"/>
    </w:rPr>
  </w:style>
  <w:style w:type="paragraph" w:customStyle="1" w:styleId="23">
    <w:name w:val="标准文件_段"/>
    <w:link w:val="2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4">
    <w:name w:val="标准文件_段 Char"/>
    <w:link w:val="23"/>
    <w:qFormat/>
    <w:uiPriority w:val="0"/>
    <w:rPr>
      <w:rFonts w:ascii="宋体" w:hAnsi="Times New Roman" w:eastAsia="宋体" w:cs="Times New Roman"/>
      <w:kern w:val="0"/>
      <w:szCs w:val="20"/>
    </w:rPr>
  </w:style>
  <w:style w:type="paragraph" w:customStyle="1" w:styleId="25">
    <w:name w:val="标准文件_二级条标题"/>
    <w:next w:val="23"/>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paragraph" w:customStyle="1" w:styleId="26">
    <w:name w:val="标准文件_三级条标题"/>
    <w:basedOn w:val="25"/>
    <w:next w:val="23"/>
    <w:qFormat/>
    <w:uiPriority w:val="0"/>
    <w:pPr>
      <w:widowControl/>
      <w:numPr>
        <w:ilvl w:val="4"/>
      </w:numPr>
      <w:outlineLvl w:val="3"/>
    </w:pPr>
  </w:style>
  <w:style w:type="paragraph" w:customStyle="1" w:styleId="27">
    <w:name w:val="标准文件_四级条标题"/>
    <w:next w:val="23"/>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28">
    <w:name w:val="标准文件_五级条标题"/>
    <w:next w:val="23"/>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29">
    <w:name w:val="标准文件_章标题"/>
    <w:next w:val="23"/>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30">
    <w:name w:val="标准文件_一级条标题"/>
    <w:basedOn w:val="29"/>
    <w:next w:val="23"/>
    <w:qFormat/>
    <w:uiPriority w:val="0"/>
    <w:pPr>
      <w:numPr>
        <w:ilvl w:val="2"/>
      </w:numPr>
      <w:spacing w:beforeLines="50" w:afterLines="50"/>
      <w:outlineLvl w:val="1"/>
    </w:pPr>
  </w:style>
  <w:style w:type="paragraph" w:customStyle="1" w:styleId="31">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2">
    <w:name w:val="标准文件_四级无标题"/>
    <w:basedOn w:val="27"/>
    <w:qFormat/>
    <w:uiPriority w:val="0"/>
    <w:pPr>
      <w:numPr>
        <w:numId w:val="3"/>
      </w:numPr>
      <w:spacing w:beforeLines="0"/>
      <w:outlineLvl w:val="9"/>
    </w:pPr>
    <w:rPr>
      <w:rFonts w:hint="eastAsia" w:ascii="宋体" w:hAnsi="宋体" w:eastAsia="宋体"/>
      <w:szCs w:val="52"/>
    </w:rPr>
  </w:style>
  <w:style w:type="paragraph" w:customStyle="1" w:styleId="33">
    <w:name w:val="标准文件_三级无标题"/>
    <w:qFormat/>
    <w:uiPriority w:val="0"/>
    <w:pPr>
      <w:numPr>
        <w:ilvl w:val="4"/>
        <w:numId w:val="4"/>
      </w:numPr>
      <w:jc w:val="both"/>
    </w:pPr>
    <w:rPr>
      <w:rFonts w:hint="eastAsia" w:ascii="宋体" w:hAnsi="Times New Roman" w:eastAsia="宋体" w:cs="Times New Roman"/>
      <w:sz w:val="21"/>
      <w:lang w:val="en-US" w:eastAsia="zh-CN" w:bidi="ar-SA"/>
    </w:rPr>
  </w:style>
  <w:style w:type="character" w:customStyle="1" w:styleId="34">
    <w:name w:val="日期 Char"/>
    <w:basedOn w:val="12"/>
    <w:link w:val="3"/>
    <w:semiHidden/>
    <w:qFormat/>
    <w:uiPriority w:val="99"/>
    <w:rPr>
      <w:rFonts w:ascii="Times New Roman" w:hAnsi="Times New Roman" w:cs="Times New Roman"/>
      <w:kern w:val="2"/>
      <w:sz w:val="21"/>
      <w:szCs w:val="24"/>
    </w:rPr>
  </w:style>
  <w:style w:type="character" w:customStyle="1" w:styleId="35">
    <w:name w:val="标题 Char"/>
    <w:basedOn w:val="12"/>
    <w:link w:val="9"/>
    <w:qFormat/>
    <w:uiPriority w:val="10"/>
    <w:rPr>
      <w:rFonts w:asciiTheme="majorHAnsi" w:hAnsiTheme="majorHAnsi" w:eastAsiaTheme="majorEastAsia" w:cstheme="majorBidi"/>
      <w:b/>
      <w:bCs/>
      <w:kern w:val="2"/>
      <w:sz w:val="32"/>
      <w:szCs w:val="32"/>
    </w:rPr>
  </w:style>
  <w:style w:type="character" w:customStyle="1" w:styleId="36">
    <w:name w:val="批注框文本 Char"/>
    <w:basedOn w:val="12"/>
    <w:link w:val="4"/>
    <w:semiHidden/>
    <w:qFormat/>
    <w:uiPriority w:val="99"/>
    <w:rPr>
      <w:rFonts w:ascii="Times New Roman" w:hAnsi="Times New Roman" w:cs="Times New Roman"/>
      <w:kern w:val="2"/>
      <w:sz w:val="18"/>
      <w:szCs w:val="18"/>
    </w:rPr>
  </w:style>
  <w:style w:type="character" w:customStyle="1" w:styleId="37">
    <w:name w:val="HTML 预设格式 Char"/>
    <w:basedOn w:val="12"/>
    <w:semiHidden/>
    <w:qFormat/>
    <w:uiPriority w:val="99"/>
    <w:rPr>
      <w:rFonts w:ascii="Courier New" w:hAnsi="Courier New" w:cs="Courier New"/>
      <w:kern w:val="2"/>
    </w:rPr>
  </w:style>
  <w:style w:type="character" w:customStyle="1" w:styleId="38">
    <w:name w:val="HTML 预设格式 Char1"/>
    <w:link w:val="7"/>
    <w:qFormat/>
    <w:uiPriority w:val="0"/>
    <w:rPr>
      <w:rFonts w:ascii="宋体" w:hAnsi="宋体" w:cs="Times New Roman"/>
      <w:sz w:val="24"/>
    </w:rPr>
  </w:style>
  <w:style w:type="paragraph" w:styleId="3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B8C6BB-0DCA-4B41-B519-904CC840C44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12150</Words>
  <Characters>12416</Characters>
  <Lines>90</Lines>
  <Paragraphs>25</Paragraphs>
  <TotalTime>3</TotalTime>
  <ScaleCrop>false</ScaleCrop>
  <LinksUpToDate>false</LinksUpToDate>
  <CharactersWithSpaces>12558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2026-01-20T04:33:00Z</dcterms:created>
  <dc:creator>xiaojie man</dc:creator>
  <cp:lastModifiedBy>冯流莹</cp:lastModifiedBy>
  <cp:lastPrinted>2022-04-25T09:29:00Z</cp:lastPrinted>
  <dcterms:modified xsi:type="dcterms:W3CDTF">2026-02-28T02:44:20Z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C820D4A7360641C79D1878BAA68E30CC</vt:lpwstr>
  </property>
  <property fmtid="{D5CDD505-2E9C-101B-9397-08002B2CF9AE}" pid="4" name="KSOTemplateDocerSaveRecord">
    <vt:lpwstr>eyJoZGlkIjoiOGFkZjVhNDJiMGExNWUxMjVmMmMwZDU4OWJmZWEzNzAiLCJ1c2VySWQiOiIyNDQ0MTQwMzQifQ==</vt:lpwstr>
  </property>
</Properties>
</file>