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31F43">
      <w:pPr>
        <w:spacing w:line="560" w:lineRule="exact"/>
        <w:jc w:val="center"/>
        <w:rPr>
          <w:rFonts w:ascii="黑体" w:hAnsi="黑体" w:eastAsia="黑体" w:cs="黑体"/>
          <w:color w:val="000000"/>
          <w:sz w:val="44"/>
          <w:szCs w:val="44"/>
        </w:rPr>
      </w:pPr>
      <w:r>
        <w:rPr>
          <w:rFonts w:hint="eastAsia" w:ascii="黑体" w:hAnsi="黑体" w:eastAsia="黑体" w:cs="黑体"/>
          <w:color w:val="000000"/>
          <w:sz w:val="44"/>
          <w:szCs w:val="44"/>
        </w:rPr>
        <w:t>团体标准《</w:t>
      </w:r>
      <w:r>
        <w:rPr>
          <w:rFonts w:hint="eastAsia" w:ascii="黑体" w:hAnsi="黑体" w:eastAsia="黑体" w:cs="黑体"/>
          <w:color w:val="000000"/>
          <w:sz w:val="44"/>
          <w:szCs w:val="44"/>
          <w:lang w:eastAsia="zh-CN"/>
        </w:rPr>
        <w:t>肿瘤患者急慢性放射性皮肤损伤分级护理</w:t>
      </w:r>
      <w:r>
        <w:rPr>
          <w:rFonts w:hint="eastAsia" w:ascii="黑体" w:hAnsi="黑体" w:eastAsia="黑体" w:cs="黑体"/>
          <w:color w:val="000000"/>
          <w:sz w:val="44"/>
          <w:szCs w:val="44"/>
        </w:rPr>
        <w:t>规范》（征求意见稿）编制说明</w:t>
      </w:r>
    </w:p>
    <w:p w14:paraId="6ED2FB45">
      <w:pPr>
        <w:pStyle w:val="9"/>
        <w:ind w:firstLine="640" w:firstLineChars="200"/>
        <w:jc w:val="left"/>
        <w:rPr>
          <w:rFonts w:ascii="黑体" w:hAnsi="黑体" w:eastAsia="黑体"/>
          <w:b w:val="0"/>
        </w:rPr>
      </w:pPr>
      <w:r>
        <w:rPr>
          <w:rFonts w:hint="eastAsia" w:ascii="黑体" w:hAnsi="黑体" w:eastAsia="黑体"/>
          <w:b w:val="0"/>
        </w:rPr>
        <w:t>一、项目来源</w:t>
      </w:r>
    </w:p>
    <w:p w14:paraId="2EFE6D2B">
      <w:pPr>
        <w:spacing w:line="560" w:lineRule="exact"/>
        <w:ind w:firstLine="640" w:firstLineChars="200"/>
        <w:rPr>
          <w:rFonts w:ascii="仿宋" w:hAnsi="仿宋" w:eastAsia="仿宋"/>
          <w:sz w:val="32"/>
          <w:szCs w:val="32"/>
        </w:rPr>
      </w:pPr>
      <w:r>
        <w:rPr>
          <w:rFonts w:hint="eastAsia" w:ascii="仿宋" w:hAnsi="仿宋" w:eastAsia="仿宋"/>
          <w:sz w:val="32"/>
          <w:szCs w:val="32"/>
        </w:rPr>
        <w:t>根据《广西标准化协会关于下达2026年第</w:t>
      </w:r>
      <w:r>
        <w:rPr>
          <w:rFonts w:hint="eastAsia" w:ascii="仿宋" w:hAnsi="仿宋" w:eastAsia="仿宋"/>
          <w:sz w:val="32"/>
          <w:szCs w:val="32"/>
          <w:lang w:val="en-US" w:eastAsia="zh-CN"/>
        </w:rPr>
        <w:t>五</w:t>
      </w:r>
      <w:r>
        <w:rPr>
          <w:rFonts w:hint="eastAsia" w:ascii="仿宋" w:hAnsi="仿宋" w:eastAsia="仿宋"/>
          <w:sz w:val="32"/>
          <w:szCs w:val="32"/>
        </w:rPr>
        <w:t>批团体标准制修定项目计划的通知》（桂标协〔2026〕</w:t>
      </w:r>
      <w:r>
        <w:rPr>
          <w:rFonts w:hint="eastAsia" w:ascii="仿宋" w:hAnsi="仿宋" w:eastAsia="仿宋"/>
          <w:sz w:val="32"/>
          <w:szCs w:val="32"/>
          <w:lang w:val="en-US" w:eastAsia="zh-CN"/>
        </w:rPr>
        <w:t>61</w:t>
      </w:r>
      <w:r>
        <w:rPr>
          <w:rFonts w:hint="eastAsia" w:ascii="仿宋" w:hAnsi="仿宋" w:eastAsia="仿宋"/>
          <w:sz w:val="32"/>
          <w:szCs w:val="32"/>
        </w:rPr>
        <w:t>号）文件精神，由广西护理学会提出，广西医科大学附属肿瘤医院、广西医科大学第二附属医院、广西医科大学附属口腔医院、柳州市人民医院、南宁市第一人民医院、广西壮族自治区工人医院、广西壮族自治区民族医院</w:t>
      </w:r>
      <w:r>
        <w:rPr>
          <w:rFonts w:hint="eastAsia" w:ascii="仿宋" w:hAnsi="仿宋" w:eastAsia="仿宋"/>
          <w:sz w:val="32"/>
          <w:szCs w:val="32"/>
          <w:lang w:val="en-US" w:eastAsia="zh-CN"/>
        </w:rPr>
        <w:t>等单位</w:t>
      </w:r>
      <w:r>
        <w:rPr>
          <w:rFonts w:hint="eastAsia" w:ascii="仿宋" w:hAnsi="仿宋" w:eastAsia="仿宋"/>
          <w:sz w:val="32"/>
          <w:szCs w:val="32"/>
        </w:rPr>
        <w:t>共同起草的团体标准《</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规范》（项目编号2026-0</w:t>
      </w:r>
      <w:r>
        <w:rPr>
          <w:rFonts w:hint="eastAsia" w:ascii="仿宋" w:hAnsi="仿宋" w:eastAsia="仿宋"/>
          <w:sz w:val="32"/>
          <w:szCs w:val="32"/>
          <w:lang w:val="en-US" w:eastAsia="zh-CN"/>
        </w:rPr>
        <w:t>509</w:t>
      </w:r>
      <w:r>
        <w:rPr>
          <w:rFonts w:hint="eastAsia" w:ascii="仿宋" w:hAnsi="仿宋" w:eastAsia="仿宋"/>
          <w:sz w:val="32"/>
          <w:szCs w:val="32"/>
        </w:rPr>
        <w:t>）获批立项。</w:t>
      </w:r>
    </w:p>
    <w:p w14:paraId="71AEE20F">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主要分工如下：</w:t>
      </w:r>
    </w:p>
    <w:tbl>
      <w:tblPr>
        <w:tblStyle w:val="10"/>
        <w:tblW w:w="5400" w:type="pct"/>
        <w:jc w:val="center"/>
        <w:tblLayout w:type="autofit"/>
        <w:tblCellMar>
          <w:top w:w="0" w:type="dxa"/>
          <w:left w:w="108" w:type="dxa"/>
          <w:bottom w:w="0" w:type="dxa"/>
          <w:right w:w="108" w:type="dxa"/>
        </w:tblCellMar>
      </w:tblPr>
      <w:tblGrid>
        <w:gridCol w:w="991"/>
        <w:gridCol w:w="1400"/>
        <w:gridCol w:w="2657"/>
        <w:gridCol w:w="4156"/>
      </w:tblGrid>
      <w:tr w14:paraId="707A792F">
        <w:tblPrEx>
          <w:tblCellMar>
            <w:top w:w="0" w:type="dxa"/>
            <w:left w:w="108" w:type="dxa"/>
            <w:bottom w:w="0" w:type="dxa"/>
            <w:right w:w="108" w:type="dxa"/>
          </w:tblCellMar>
        </w:tblPrEx>
        <w:trPr>
          <w:cantSplit/>
          <w:trHeight w:val="576" w:hRule="atLeast"/>
          <w:jc w:val="center"/>
        </w:trPr>
        <w:tc>
          <w:tcPr>
            <w:tcW w:w="538" w:type="pct"/>
            <w:tcBorders>
              <w:top w:val="single" w:color="auto" w:sz="4" w:space="0"/>
              <w:left w:val="single" w:color="auto" w:sz="4" w:space="0"/>
              <w:bottom w:val="single" w:color="auto" w:sz="4" w:space="0"/>
              <w:right w:val="single" w:color="auto" w:sz="4" w:space="0"/>
            </w:tcBorders>
            <w:vAlign w:val="center"/>
          </w:tcPr>
          <w:p w14:paraId="11C8C162">
            <w:pPr>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姓</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名</w:t>
            </w:r>
          </w:p>
        </w:tc>
        <w:tc>
          <w:tcPr>
            <w:tcW w:w="760" w:type="pct"/>
            <w:tcBorders>
              <w:top w:val="single" w:color="auto" w:sz="4" w:space="0"/>
              <w:left w:val="single" w:color="auto" w:sz="4" w:space="0"/>
              <w:bottom w:val="single" w:color="auto" w:sz="4" w:space="0"/>
              <w:right w:val="single" w:color="auto" w:sz="4" w:space="0"/>
            </w:tcBorders>
            <w:vAlign w:val="center"/>
          </w:tcPr>
          <w:p w14:paraId="59598B61">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职称/职位</w:t>
            </w:r>
          </w:p>
        </w:tc>
        <w:tc>
          <w:tcPr>
            <w:tcW w:w="1443" w:type="pct"/>
            <w:tcBorders>
              <w:top w:val="single" w:color="auto" w:sz="4" w:space="0"/>
              <w:left w:val="single" w:color="auto" w:sz="4" w:space="0"/>
              <w:bottom w:val="single" w:color="auto" w:sz="4" w:space="0"/>
              <w:right w:val="single" w:color="auto" w:sz="4" w:space="0"/>
            </w:tcBorders>
            <w:vAlign w:val="center"/>
          </w:tcPr>
          <w:p w14:paraId="359B84AA">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工作单位</w:t>
            </w:r>
          </w:p>
        </w:tc>
        <w:tc>
          <w:tcPr>
            <w:tcW w:w="2257" w:type="pct"/>
            <w:tcBorders>
              <w:top w:val="single" w:color="auto" w:sz="4" w:space="0"/>
              <w:left w:val="single" w:color="auto" w:sz="4" w:space="0"/>
              <w:bottom w:val="single" w:color="auto" w:sz="4" w:space="0"/>
              <w:right w:val="single" w:color="auto" w:sz="4" w:space="0"/>
            </w:tcBorders>
            <w:vAlign w:val="center"/>
          </w:tcPr>
          <w:p w14:paraId="5AF59C2B">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主要负责工作</w:t>
            </w:r>
          </w:p>
        </w:tc>
      </w:tr>
      <w:tr w14:paraId="7BB8DFDF">
        <w:tblPrEx>
          <w:tblCellMar>
            <w:top w:w="0" w:type="dxa"/>
            <w:left w:w="108" w:type="dxa"/>
            <w:bottom w:w="0" w:type="dxa"/>
            <w:right w:w="108" w:type="dxa"/>
          </w:tblCellMar>
        </w:tblPrEx>
        <w:trPr>
          <w:cantSplit/>
          <w:trHeight w:val="914"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5C33A27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左红群</w:t>
            </w:r>
          </w:p>
        </w:tc>
        <w:tc>
          <w:tcPr>
            <w:tcW w:w="760" w:type="pct"/>
            <w:tcBorders>
              <w:top w:val="single" w:color="auto" w:sz="4" w:space="0"/>
              <w:left w:val="single" w:color="auto" w:sz="4" w:space="0"/>
              <w:bottom w:val="single" w:color="auto" w:sz="4" w:space="0"/>
              <w:right w:val="single" w:color="auto" w:sz="4" w:space="0"/>
            </w:tcBorders>
            <w:vAlign w:val="center"/>
          </w:tcPr>
          <w:p w14:paraId="0198CDC5">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rPr>
              <w:t>主任护师/护士长</w:t>
            </w:r>
          </w:p>
        </w:tc>
        <w:tc>
          <w:tcPr>
            <w:tcW w:w="1443" w:type="pct"/>
            <w:tcBorders>
              <w:top w:val="single" w:color="auto" w:sz="4" w:space="0"/>
              <w:left w:val="single" w:color="auto" w:sz="4" w:space="0"/>
              <w:bottom w:val="single" w:color="auto" w:sz="4" w:space="0"/>
              <w:right w:val="single" w:color="auto" w:sz="4" w:space="0"/>
            </w:tcBorders>
            <w:vAlign w:val="center"/>
          </w:tcPr>
          <w:p w14:paraId="3C489A1C">
            <w:pPr>
              <w:widowControl/>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634F95F4">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统筹主持标准编制工作</w:t>
            </w:r>
          </w:p>
        </w:tc>
      </w:tr>
      <w:tr w14:paraId="1CCE41E1">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24BD169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贺鲜娇</w:t>
            </w:r>
          </w:p>
        </w:tc>
        <w:tc>
          <w:tcPr>
            <w:tcW w:w="760" w:type="pct"/>
            <w:tcBorders>
              <w:top w:val="single" w:color="auto" w:sz="4" w:space="0"/>
              <w:left w:val="single" w:color="auto" w:sz="4" w:space="0"/>
              <w:bottom w:val="single" w:color="auto" w:sz="4" w:space="0"/>
              <w:right w:val="single" w:color="auto" w:sz="4" w:space="0"/>
            </w:tcBorders>
            <w:vAlign w:val="center"/>
          </w:tcPr>
          <w:p w14:paraId="259BF5A6">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rPr>
              <w:t>副主任护师</w:t>
            </w:r>
          </w:p>
        </w:tc>
        <w:tc>
          <w:tcPr>
            <w:tcW w:w="1443" w:type="pct"/>
            <w:tcBorders>
              <w:top w:val="single" w:color="auto" w:sz="4" w:space="0"/>
              <w:left w:val="single" w:color="auto" w:sz="4" w:space="0"/>
              <w:bottom w:val="single" w:color="auto" w:sz="4" w:space="0"/>
              <w:right w:val="single" w:color="auto" w:sz="4" w:space="0"/>
            </w:tcBorders>
            <w:vAlign w:val="center"/>
          </w:tcPr>
          <w:p w14:paraId="0936F0AC">
            <w:pPr>
              <w:widowControl/>
              <w:jc w:val="left"/>
              <w:rPr>
                <w:rFonts w:hint="eastAsia" w:ascii="仿宋_GB2312" w:hAnsi="仿宋_GB2312" w:eastAsia="仿宋_GB2312" w:cs="仿宋_GB2312"/>
                <w:sz w:val="24"/>
                <w:szCs w:val="24"/>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19A68413">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参与标准编制工作，组织人员进行标准发布后的宣贯培训。</w:t>
            </w:r>
          </w:p>
        </w:tc>
      </w:tr>
      <w:tr w14:paraId="0CD88B71">
        <w:tblPrEx>
          <w:tblCellMar>
            <w:top w:w="0" w:type="dxa"/>
            <w:left w:w="108" w:type="dxa"/>
            <w:bottom w:w="0" w:type="dxa"/>
            <w:right w:w="108" w:type="dxa"/>
          </w:tblCellMar>
        </w:tblPrEx>
        <w:trPr>
          <w:cantSplit/>
          <w:trHeight w:val="842"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52BB74F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雷奕</w:t>
            </w:r>
          </w:p>
        </w:tc>
        <w:tc>
          <w:tcPr>
            <w:tcW w:w="760" w:type="pct"/>
            <w:tcBorders>
              <w:top w:val="single" w:color="auto" w:sz="4" w:space="0"/>
              <w:left w:val="single" w:color="auto" w:sz="4" w:space="0"/>
              <w:bottom w:val="single" w:color="auto" w:sz="4" w:space="0"/>
              <w:right w:val="single" w:color="auto" w:sz="4" w:space="0"/>
            </w:tcBorders>
            <w:vAlign w:val="center"/>
          </w:tcPr>
          <w:p w14:paraId="44688133">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rPr>
              <w:t>主任护师/</w:t>
            </w:r>
            <w:r>
              <w:rPr>
                <w:rFonts w:hint="eastAsia" w:ascii="仿宋_GB2312" w:hAnsi="仿宋_GB2312" w:eastAsia="仿宋_GB2312" w:cs="仿宋_GB2312"/>
                <w:sz w:val="24"/>
                <w:lang w:val="en-US" w:eastAsia="zh-CN"/>
              </w:rPr>
              <w:t>护理部副主任</w:t>
            </w:r>
          </w:p>
        </w:tc>
        <w:tc>
          <w:tcPr>
            <w:tcW w:w="1443" w:type="pct"/>
            <w:tcBorders>
              <w:top w:val="single" w:color="auto" w:sz="4" w:space="0"/>
              <w:left w:val="single" w:color="auto" w:sz="4" w:space="0"/>
              <w:bottom w:val="single" w:color="auto" w:sz="4" w:space="0"/>
              <w:right w:val="single" w:color="auto" w:sz="4" w:space="0"/>
            </w:tcBorders>
            <w:vAlign w:val="center"/>
          </w:tcPr>
          <w:p w14:paraId="60151275">
            <w:pPr>
              <w:widowControl/>
              <w:jc w:val="left"/>
              <w:rPr>
                <w:rFonts w:hint="eastAsia" w:ascii="仿宋_GB2312" w:hAnsi="仿宋_GB2312" w:eastAsia="仿宋_GB2312" w:cs="仿宋_GB2312"/>
                <w:sz w:val="24"/>
                <w:szCs w:val="24"/>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536C0F01">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参与标准文本及编制说明编写，质量控制。</w:t>
            </w:r>
          </w:p>
        </w:tc>
      </w:tr>
      <w:tr w14:paraId="43F1487A">
        <w:tblPrEx>
          <w:tblCellMar>
            <w:top w:w="0" w:type="dxa"/>
            <w:left w:w="108" w:type="dxa"/>
            <w:bottom w:w="0" w:type="dxa"/>
            <w:right w:w="108" w:type="dxa"/>
          </w:tblCellMar>
        </w:tblPrEx>
        <w:trPr>
          <w:cantSplit/>
          <w:trHeight w:val="1193"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5680489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潘意</w:t>
            </w:r>
          </w:p>
        </w:tc>
        <w:tc>
          <w:tcPr>
            <w:tcW w:w="760" w:type="pct"/>
            <w:tcBorders>
              <w:top w:val="single" w:color="auto" w:sz="4" w:space="0"/>
              <w:left w:val="single" w:color="auto" w:sz="4" w:space="0"/>
              <w:bottom w:val="single" w:color="auto" w:sz="4" w:space="0"/>
              <w:right w:val="single" w:color="auto" w:sz="4" w:space="0"/>
            </w:tcBorders>
            <w:vAlign w:val="center"/>
          </w:tcPr>
          <w:p w14:paraId="7F7AFF07">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5B8AE5F5">
            <w:pPr>
              <w:widowControl/>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0BAB81C9">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59598C52">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249309B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谭虹虹</w:t>
            </w:r>
          </w:p>
        </w:tc>
        <w:tc>
          <w:tcPr>
            <w:tcW w:w="760" w:type="pct"/>
            <w:tcBorders>
              <w:top w:val="single" w:color="auto" w:sz="4" w:space="0"/>
              <w:left w:val="single" w:color="auto" w:sz="4" w:space="0"/>
              <w:bottom w:val="single" w:color="auto" w:sz="4" w:space="0"/>
              <w:right w:val="single" w:color="auto" w:sz="4" w:space="0"/>
            </w:tcBorders>
            <w:vAlign w:val="center"/>
          </w:tcPr>
          <w:p w14:paraId="41B797E6">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lang w:val="en-US" w:eastAsia="zh-CN"/>
              </w:rPr>
              <w:t>护士长</w:t>
            </w:r>
          </w:p>
        </w:tc>
        <w:tc>
          <w:tcPr>
            <w:tcW w:w="1443" w:type="pct"/>
            <w:tcBorders>
              <w:top w:val="single" w:color="auto" w:sz="4" w:space="0"/>
              <w:left w:val="single" w:color="auto" w:sz="4" w:space="0"/>
              <w:bottom w:val="single" w:color="auto" w:sz="4" w:space="0"/>
              <w:right w:val="single" w:color="auto" w:sz="4" w:space="0"/>
            </w:tcBorders>
            <w:vAlign w:val="center"/>
          </w:tcPr>
          <w:p w14:paraId="597C646D">
            <w:pPr>
              <w:widowControl/>
              <w:jc w:val="left"/>
              <w:rPr>
                <w:rFonts w:hint="eastAsia" w:ascii="仿宋_GB2312" w:hAnsi="仿宋_GB2312" w:eastAsia="仿宋_GB2312" w:cs="仿宋_GB2312"/>
                <w:sz w:val="24"/>
                <w:szCs w:val="24"/>
              </w:rPr>
            </w:pPr>
            <w:r>
              <w:rPr>
                <w:rFonts w:hint="eastAsia" w:ascii="仿宋_GB2312" w:hAnsi="仿宋_GB2312" w:eastAsia="仿宋_GB2312" w:cs="仿宋_GB2312"/>
                <w:sz w:val="24"/>
              </w:rPr>
              <w:t>广西医科大学附属肿瘤医院</w:t>
            </w:r>
            <w:bookmarkStart w:id="1" w:name="_GoBack"/>
            <w:bookmarkEnd w:id="1"/>
          </w:p>
        </w:tc>
        <w:tc>
          <w:tcPr>
            <w:tcW w:w="2257" w:type="pct"/>
            <w:tcBorders>
              <w:top w:val="single" w:color="auto" w:sz="4" w:space="0"/>
              <w:left w:val="single" w:color="auto" w:sz="4" w:space="0"/>
              <w:bottom w:val="single" w:color="auto" w:sz="4" w:space="0"/>
              <w:right w:val="single" w:color="auto" w:sz="4" w:space="0"/>
            </w:tcBorders>
            <w:vAlign w:val="center"/>
          </w:tcPr>
          <w:p w14:paraId="1B306C22">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10410FDF">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65B8E20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吴金梅</w:t>
            </w:r>
          </w:p>
        </w:tc>
        <w:tc>
          <w:tcPr>
            <w:tcW w:w="760" w:type="pct"/>
            <w:tcBorders>
              <w:top w:val="single" w:color="auto" w:sz="4" w:space="0"/>
              <w:left w:val="single" w:color="auto" w:sz="4" w:space="0"/>
              <w:bottom w:val="single" w:color="auto" w:sz="4" w:space="0"/>
              <w:right w:val="single" w:color="auto" w:sz="4" w:space="0"/>
            </w:tcBorders>
            <w:vAlign w:val="center"/>
          </w:tcPr>
          <w:p w14:paraId="3D98647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rPr>
              <w:t>主任护师</w:t>
            </w:r>
          </w:p>
        </w:tc>
        <w:tc>
          <w:tcPr>
            <w:tcW w:w="1443" w:type="pct"/>
            <w:tcBorders>
              <w:top w:val="single" w:color="auto" w:sz="4" w:space="0"/>
              <w:left w:val="single" w:color="auto" w:sz="4" w:space="0"/>
              <w:bottom w:val="single" w:color="auto" w:sz="4" w:space="0"/>
              <w:right w:val="single" w:color="auto" w:sz="4" w:space="0"/>
            </w:tcBorders>
            <w:vAlign w:val="center"/>
          </w:tcPr>
          <w:p w14:paraId="4548887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广西壮族自治区民族医院</w:t>
            </w:r>
          </w:p>
        </w:tc>
        <w:tc>
          <w:tcPr>
            <w:tcW w:w="2257" w:type="pct"/>
            <w:tcBorders>
              <w:top w:val="single" w:color="auto" w:sz="4" w:space="0"/>
              <w:left w:val="single" w:color="auto" w:sz="4" w:space="0"/>
              <w:bottom w:val="single" w:color="auto" w:sz="4" w:space="0"/>
              <w:right w:val="single" w:color="auto" w:sz="4" w:space="0"/>
            </w:tcBorders>
            <w:vAlign w:val="center"/>
          </w:tcPr>
          <w:p w14:paraId="33890CBC">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3EDACA29">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17CA9A1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施晶晶</w:t>
            </w:r>
          </w:p>
        </w:tc>
        <w:tc>
          <w:tcPr>
            <w:tcW w:w="760" w:type="pct"/>
            <w:tcBorders>
              <w:top w:val="single" w:color="auto" w:sz="4" w:space="0"/>
              <w:left w:val="single" w:color="auto" w:sz="4" w:space="0"/>
              <w:bottom w:val="single" w:color="auto" w:sz="4" w:space="0"/>
              <w:right w:val="single" w:color="auto" w:sz="4" w:space="0"/>
            </w:tcBorders>
            <w:vAlign w:val="center"/>
          </w:tcPr>
          <w:p w14:paraId="1EEB77E7">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lang w:val="en-US" w:eastAsia="zh-CN"/>
              </w:rPr>
              <w:t>主管</w:t>
            </w: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0B0AAB8C">
            <w:pPr>
              <w:widowControl/>
              <w:jc w:val="left"/>
              <w:rPr>
                <w:rFonts w:hint="eastAsia" w:ascii="仿宋_GB2312" w:hAnsi="仿宋_GB2312" w:eastAsia="仿宋_GB2312" w:cs="仿宋_GB2312"/>
                <w:sz w:val="24"/>
                <w:szCs w:val="24"/>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32B9ED81">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1A7B64FE">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6333FD2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覃琛媛</w:t>
            </w:r>
          </w:p>
        </w:tc>
        <w:tc>
          <w:tcPr>
            <w:tcW w:w="760" w:type="pct"/>
            <w:tcBorders>
              <w:top w:val="single" w:color="auto" w:sz="4" w:space="0"/>
              <w:left w:val="single" w:color="auto" w:sz="4" w:space="0"/>
              <w:bottom w:val="single" w:color="auto" w:sz="4" w:space="0"/>
              <w:right w:val="single" w:color="auto" w:sz="4" w:space="0"/>
            </w:tcBorders>
            <w:vAlign w:val="center"/>
          </w:tcPr>
          <w:p w14:paraId="74D6686B">
            <w:pPr>
              <w:jc w:val="center"/>
              <w:rPr>
                <w:rFonts w:hint="eastAsia" w:ascii="仿宋_GB2312" w:hAnsi="仿宋_GB2312" w:eastAsia="仿宋_GB2312" w:cs="仿宋_GB2312"/>
                <w:sz w:val="24"/>
                <w:szCs w:val="24"/>
                <w:lang w:eastAsia="zh-CN"/>
              </w:rPr>
            </w:pPr>
            <w:r>
              <w:rPr>
                <w:rFonts w:hint="eastAsia" w:eastAsia="仿宋_GB2312"/>
                <w:sz w:val="24"/>
              </w:rPr>
              <w:t>副主任护师</w:t>
            </w:r>
          </w:p>
        </w:tc>
        <w:tc>
          <w:tcPr>
            <w:tcW w:w="1443" w:type="pct"/>
            <w:tcBorders>
              <w:top w:val="single" w:color="auto" w:sz="4" w:space="0"/>
              <w:left w:val="single" w:color="auto" w:sz="4" w:space="0"/>
              <w:bottom w:val="single" w:color="auto" w:sz="4" w:space="0"/>
              <w:right w:val="single" w:color="auto" w:sz="4" w:space="0"/>
            </w:tcBorders>
            <w:vAlign w:val="center"/>
          </w:tcPr>
          <w:p w14:paraId="60824D2C">
            <w:pPr>
              <w:widowControl/>
              <w:jc w:val="left"/>
              <w:rPr>
                <w:rFonts w:hint="eastAsia" w:ascii="仿宋_GB2312" w:hAnsi="仿宋_GB2312" w:eastAsia="仿宋_GB2312" w:cs="仿宋_GB2312"/>
                <w:sz w:val="24"/>
                <w:szCs w:val="24"/>
                <w:lang w:eastAsia="zh-CN"/>
              </w:rPr>
            </w:pPr>
            <w:r>
              <w:rPr>
                <w:rFonts w:eastAsia="仿宋_GB2312"/>
                <w:sz w:val="24"/>
              </w:rPr>
              <w:t>柳州市人民医院</w:t>
            </w:r>
          </w:p>
        </w:tc>
        <w:tc>
          <w:tcPr>
            <w:tcW w:w="2257" w:type="pct"/>
            <w:tcBorders>
              <w:top w:val="single" w:color="auto" w:sz="4" w:space="0"/>
              <w:left w:val="single" w:color="auto" w:sz="4" w:space="0"/>
              <w:bottom w:val="single" w:color="auto" w:sz="4" w:space="0"/>
              <w:right w:val="single" w:color="auto" w:sz="4" w:space="0"/>
            </w:tcBorders>
            <w:vAlign w:val="center"/>
          </w:tcPr>
          <w:p w14:paraId="6D97053B">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7D21F6E9">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6C12FD8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鄢春宁</w:t>
            </w:r>
          </w:p>
        </w:tc>
        <w:tc>
          <w:tcPr>
            <w:tcW w:w="760" w:type="pct"/>
            <w:tcBorders>
              <w:top w:val="single" w:color="auto" w:sz="4" w:space="0"/>
              <w:left w:val="single" w:color="auto" w:sz="4" w:space="0"/>
              <w:bottom w:val="single" w:color="auto" w:sz="4" w:space="0"/>
              <w:right w:val="single" w:color="auto" w:sz="4" w:space="0"/>
            </w:tcBorders>
            <w:vAlign w:val="center"/>
          </w:tcPr>
          <w:p w14:paraId="7A00F819">
            <w:pPr>
              <w:jc w:val="center"/>
              <w:rPr>
                <w:rFonts w:hint="eastAsia" w:ascii="仿宋_GB2312" w:hAnsi="仿宋_GB2312" w:eastAsia="仿宋_GB2312" w:cs="仿宋_GB2312"/>
                <w:sz w:val="24"/>
                <w:szCs w:val="24"/>
                <w:lang w:eastAsia="zh-CN"/>
              </w:rPr>
            </w:pPr>
            <w:r>
              <w:rPr>
                <w:rFonts w:hint="eastAsia" w:eastAsia="仿宋_GB2312"/>
                <w:sz w:val="24"/>
              </w:rPr>
              <w:t>副主任护师</w:t>
            </w:r>
          </w:p>
        </w:tc>
        <w:tc>
          <w:tcPr>
            <w:tcW w:w="1443" w:type="pct"/>
            <w:tcBorders>
              <w:top w:val="single" w:color="auto" w:sz="4" w:space="0"/>
              <w:left w:val="single" w:color="auto" w:sz="4" w:space="0"/>
              <w:bottom w:val="single" w:color="auto" w:sz="4" w:space="0"/>
              <w:right w:val="single" w:color="auto" w:sz="4" w:space="0"/>
            </w:tcBorders>
            <w:vAlign w:val="center"/>
          </w:tcPr>
          <w:p w14:paraId="39E7ED4C">
            <w:pPr>
              <w:widowControl/>
              <w:jc w:val="left"/>
              <w:rPr>
                <w:rFonts w:hint="eastAsia" w:ascii="仿宋_GB2312" w:hAnsi="仿宋_GB2312" w:eastAsia="仿宋_GB2312" w:cs="仿宋_GB2312"/>
                <w:sz w:val="24"/>
                <w:szCs w:val="24"/>
                <w:lang w:eastAsia="zh-CN"/>
              </w:rPr>
            </w:pPr>
            <w:r>
              <w:rPr>
                <w:rFonts w:eastAsia="仿宋_GB2312"/>
                <w:sz w:val="24"/>
              </w:rPr>
              <w:t>南宁市第一人民医院</w:t>
            </w:r>
          </w:p>
        </w:tc>
        <w:tc>
          <w:tcPr>
            <w:tcW w:w="2257" w:type="pct"/>
            <w:tcBorders>
              <w:top w:val="single" w:color="auto" w:sz="4" w:space="0"/>
              <w:left w:val="single" w:color="auto" w:sz="4" w:space="0"/>
              <w:bottom w:val="single" w:color="auto" w:sz="4" w:space="0"/>
              <w:right w:val="single" w:color="auto" w:sz="4" w:space="0"/>
            </w:tcBorders>
            <w:vAlign w:val="center"/>
          </w:tcPr>
          <w:p w14:paraId="3FABAFE7">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5AD6831D">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3366842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莫爱艳</w:t>
            </w:r>
          </w:p>
        </w:tc>
        <w:tc>
          <w:tcPr>
            <w:tcW w:w="760" w:type="pct"/>
            <w:tcBorders>
              <w:top w:val="single" w:color="auto" w:sz="4" w:space="0"/>
              <w:left w:val="single" w:color="auto" w:sz="4" w:space="0"/>
              <w:bottom w:val="single" w:color="auto" w:sz="4" w:space="0"/>
              <w:right w:val="single" w:color="auto" w:sz="4" w:space="0"/>
            </w:tcBorders>
            <w:vAlign w:val="center"/>
          </w:tcPr>
          <w:p w14:paraId="49ECF35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rPr>
            </w:pPr>
            <w:r>
              <w:rPr>
                <w:rFonts w:hint="eastAsia" w:eastAsia="仿宋_GB2312"/>
                <w:sz w:val="24"/>
              </w:rPr>
              <w:t>副主任护师</w:t>
            </w:r>
          </w:p>
        </w:tc>
        <w:tc>
          <w:tcPr>
            <w:tcW w:w="1443" w:type="pct"/>
            <w:tcBorders>
              <w:top w:val="single" w:color="auto" w:sz="4" w:space="0"/>
              <w:left w:val="single" w:color="auto" w:sz="4" w:space="0"/>
              <w:bottom w:val="single" w:color="auto" w:sz="4" w:space="0"/>
              <w:right w:val="single" w:color="auto" w:sz="4" w:space="0"/>
            </w:tcBorders>
            <w:vAlign w:val="center"/>
          </w:tcPr>
          <w:p w14:paraId="6918FE7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广西医科大学第二附属医院</w:t>
            </w:r>
          </w:p>
        </w:tc>
        <w:tc>
          <w:tcPr>
            <w:tcW w:w="2257" w:type="pct"/>
            <w:tcBorders>
              <w:top w:val="single" w:color="auto" w:sz="4" w:space="0"/>
              <w:left w:val="single" w:color="auto" w:sz="4" w:space="0"/>
              <w:bottom w:val="single" w:color="auto" w:sz="4" w:space="0"/>
              <w:right w:val="single" w:color="auto" w:sz="4" w:space="0"/>
            </w:tcBorders>
            <w:vAlign w:val="center"/>
          </w:tcPr>
          <w:p w14:paraId="25694634">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35F2C78F">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662640B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潘海辉</w:t>
            </w:r>
          </w:p>
        </w:tc>
        <w:tc>
          <w:tcPr>
            <w:tcW w:w="760" w:type="pct"/>
            <w:tcBorders>
              <w:top w:val="single" w:color="auto" w:sz="4" w:space="0"/>
              <w:left w:val="single" w:color="auto" w:sz="4" w:space="0"/>
              <w:bottom w:val="single" w:color="auto" w:sz="4" w:space="0"/>
              <w:right w:val="single" w:color="auto" w:sz="4" w:space="0"/>
            </w:tcBorders>
            <w:vAlign w:val="center"/>
          </w:tcPr>
          <w:p w14:paraId="6B7CF54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护士长</w:t>
            </w:r>
          </w:p>
        </w:tc>
        <w:tc>
          <w:tcPr>
            <w:tcW w:w="1443" w:type="pct"/>
            <w:tcBorders>
              <w:top w:val="single" w:color="auto" w:sz="4" w:space="0"/>
              <w:left w:val="single" w:color="auto" w:sz="4" w:space="0"/>
              <w:bottom w:val="single" w:color="auto" w:sz="4" w:space="0"/>
              <w:right w:val="single" w:color="auto" w:sz="4" w:space="0"/>
            </w:tcBorders>
            <w:vAlign w:val="center"/>
          </w:tcPr>
          <w:p w14:paraId="3A955E7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2EB7C231">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46317D75">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5A1D47F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林小力</w:t>
            </w:r>
          </w:p>
        </w:tc>
        <w:tc>
          <w:tcPr>
            <w:tcW w:w="760" w:type="pct"/>
            <w:tcBorders>
              <w:top w:val="single" w:color="auto" w:sz="4" w:space="0"/>
              <w:left w:val="single" w:color="auto" w:sz="4" w:space="0"/>
              <w:bottom w:val="single" w:color="auto" w:sz="4" w:space="0"/>
              <w:right w:val="single" w:color="auto" w:sz="4" w:space="0"/>
            </w:tcBorders>
            <w:vAlign w:val="center"/>
          </w:tcPr>
          <w:p w14:paraId="2C22D09D">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lang w:val="en-US" w:eastAsia="zh-CN"/>
              </w:rPr>
              <w:t>主管</w:t>
            </w: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0979BC82">
            <w:pPr>
              <w:widowControl/>
              <w:jc w:val="left"/>
              <w:rPr>
                <w:rFonts w:hint="eastAsia" w:ascii="仿宋_GB2312" w:hAnsi="仿宋_GB2312" w:eastAsia="仿宋_GB2312" w:cs="仿宋_GB2312"/>
                <w:sz w:val="24"/>
                <w:szCs w:val="24"/>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0A53E92E">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04293CD4">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761213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何姗蔓</w:t>
            </w:r>
          </w:p>
        </w:tc>
        <w:tc>
          <w:tcPr>
            <w:tcW w:w="760" w:type="pct"/>
            <w:tcBorders>
              <w:top w:val="single" w:color="auto" w:sz="4" w:space="0"/>
              <w:left w:val="single" w:color="auto" w:sz="4" w:space="0"/>
              <w:bottom w:val="single" w:color="auto" w:sz="4" w:space="0"/>
              <w:right w:val="single" w:color="auto" w:sz="4" w:space="0"/>
            </w:tcBorders>
            <w:vAlign w:val="center"/>
          </w:tcPr>
          <w:p w14:paraId="5DE74FAA">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lang w:val="en-US" w:eastAsia="zh-CN"/>
              </w:rPr>
              <w:t>主管</w:t>
            </w: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0CB61FE4">
            <w:pPr>
              <w:widowControl/>
              <w:jc w:val="left"/>
              <w:rPr>
                <w:rFonts w:hint="eastAsia" w:ascii="仿宋_GB2312" w:hAnsi="仿宋_GB2312" w:eastAsia="仿宋_GB2312" w:cs="仿宋_GB2312"/>
                <w:sz w:val="24"/>
                <w:szCs w:val="24"/>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3F0773FD">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2ED03E48">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1A978EA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imes New Roman" w:hAnsi="Times New Roman" w:eastAsia="仿宋_GB2312" w:cs="Times New Roman"/>
                <w:sz w:val="24"/>
                <w:szCs w:val="24"/>
              </w:rPr>
            </w:pPr>
            <w:r>
              <w:rPr>
                <w:rFonts w:hint="eastAsia" w:ascii="仿宋_GB2312" w:hAnsi="仿宋_GB2312" w:eastAsia="仿宋_GB2312" w:cs="仿宋_GB2312"/>
                <w:sz w:val="24"/>
                <w:szCs w:val="24"/>
              </w:rPr>
              <w:t>陆雯婷</w:t>
            </w:r>
          </w:p>
        </w:tc>
        <w:tc>
          <w:tcPr>
            <w:tcW w:w="760" w:type="pct"/>
            <w:tcBorders>
              <w:top w:val="single" w:color="auto" w:sz="4" w:space="0"/>
              <w:left w:val="single" w:color="auto" w:sz="4" w:space="0"/>
              <w:bottom w:val="single" w:color="auto" w:sz="4" w:space="0"/>
              <w:right w:val="single" w:color="auto" w:sz="4" w:space="0"/>
            </w:tcBorders>
            <w:vAlign w:val="center"/>
          </w:tcPr>
          <w:p w14:paraId="4898DEE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imes New Roman" w:hAnsi="Times New Roman" w:eastAsia="仿宋_GB2312" w:cs="Times New Roman"/>
                <w:sz w:val="24"/>
                <w:szCs w:val="24"/>
                <w:lang w:val="en-US" w:eastAsia="zh-CN"/>
              </w:rPr>
            </w:pPr>
            <w:r>
              <w:rPr>
                <w:rFonts w:hint="eastAsia" w:eastAsia="仿宋_GB2312"/>
                <w:sz w:val="24"/>
              </w:rPr>
              <w:t>副主任护师</w:t>
            </w:r>
          </w:p>
        </w:tc>
        <w:tc>
          <w:tcPr>
            <w:tcW w:w="1443" w:type="pct"/>
            <w:tcBorders>
              <w:top w:val="single" w:color="auto" w:sz="4" w:space="0"/>
              <w:left w:val="single" w:color="auto" w:sz="4" w:space="0"/>
              <w:bottom w:val="single" w:color="auto" w:sz="4" w:space="0"/>
              <w:right w:val="single" w:color="auto" w:sz="4" w:space="0"/>
            </w:tcBorders>
            <w:shd w:val="clear" w:color="auto" w:fill="auto"/>
            <w:vAlign w:val="center"/>
          </w:tcPr>
          <w:p w14:paraId="6DA248B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auto"/>
              <w:rPr>
                <w:rFonts w:hint="default" w:ascii="仿宋_GB2312" w:hAnsi="仿宋_GB2312" w:eastAsia="仿宋_GB2312" w:cs="仿宋_GB2312"/>
                <w:kern w:val="2"/>
                <w:sz w:val="24"/>
                <w:szCs w:val="24"/>
                <w:lang w:val="en-US" w:eastAsia="zh-CN" w:bidi="ar-SA"/>
              </w:rPr>
            </w:pPr>
            <w:r>
              <w:rPr>
                <w:rFonts w:hint="default" w:ascii="仿宋_GB2312" w:hAnsi="仿宋_GB2312" w:eastAsia="仿宋_GB2312" w:cs="仿宋_GB2312"/>
                <w:kern w:val="2"/>
                <w:sz w:val="24"/>
                <w:szCs w:val="24"/>
                <w:lang w:val="en-US" w:eastAsia="zh-CN" w:bidi="ar-SA"/>
              </w:rPr>
              <w:t>广西医科大学附属口腔医院</w:t>
            </w:r>
          </w:p>
        </w:tc>
        <w:tc>
          <w:tcPr>
            <w:tcW w:w="2257" w:type="pct"/>
            <w:tcBorders>
              <w:top w:val="single" w:color="auto" w:sz="4" w:space="0"/>
              <w:left w:val="single" w:color="auto" w:sz="4" w:space="0"/>
              <w:bottom w:val="single" w:color="auto" w:sz="4" w:space="0"/>
              <w:right w:val="single" w:color="auto" w:sz="4" w:space="0"/>
            </w:tcBorders>
            <w:vAlign w:val="center"/>
          </w:tcPr>
          <w:p w14:paraId="4F3D51EB">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707BBA2C">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5E96FE7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方燕明</w:t>
            </w:r>
          </w:p>
        </w:tc>
        <w:tc>
          <w:tcPr>
            <w:tcW w:w="760" w:type="pct"/>
            <w:tcBorders>
              <w:top w:val="single" w:color="auto" w:sz="4" w:space="0"/>
              <w:left w:val="single" w:color="auto" w:sz="4" w:space="0"/>
              <w:bottom w:val="single" w:color="auto" w:sz="4" w:space="0"/>
              <w:right w:val="single" w:color="auto" w:sz="4" w:space="0"/>
            </w:tcBorders>
            <w:vAlign w:val="center"/>
          </w:tcPr>
          <w:p w14:paraId="09949533">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lang w:val="en-US" w:eastAsia="zh-CN"/>
              </w:rPr>
              <w:t>主管</w:t>
            </w: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7397F320">
            <w:pPr>
              <w:widowControl/>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72E35E3D">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2EB09C40">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541C6BD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左慧子</w:t>
            </w:r>
          </w:p>
        </w:tc>
        <w:tc>
          <w:tcPr>
            <w:tcW w:w="760" w:type="pct"/>
            <w:tcBorders>
              <w:top w:val="single" w:color="auto" w:sz="4" w:space="0"/>
              <w:left w:val="single" w:color="auto" w:sz="4" w:space="0"/>
              <w:bottom w:val="single" w:color="auto" w:sz="4" w:space="0"/>
              <w:right w:val="single" w:color="auto" w:sz="4" w:space="0"/>
            </w:tcBorders>
            <w:vAlign w:val="center"/>
          </w:tcPr>
          <w:p w14:paraId="7014982F">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lang w:val="en-US" w:eastAsia="zh-CN"/>
              </w:rPr>
              <w:t>主管</w:t>
            </w: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11133BDD">
            <w:pPr>
              <w:widowControl/>
              <w:jc w:val="left"/>
              <w:rPr>
                <w:rFonts w:hint="eastAsia" w:ascii="仿宋_GB2312" w:hAnsi="仿宋_GB2312" w:eastAsia="仿宋_GB2312" w:cs="仿宋_GB2312"/>
                <w:sz w:val="24"/>
                <w:szCs w:val="24"/>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2B4AF9DF">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2CBB4FC0">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668CE67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包春艳</w:t>
            </w:r>
          </w:p>
        </w:tc>
        <w:tc>
          <w:tcPr>
            <w:tcW w:w="760" w:type="pct"/>
            <w:tcBorders>
              <w:top w:val="single" w:color="auto" w:sz="4" w:space="0"/>
              <w:left w:val="single" w:color="auto" w:sz="4" w:space="0"/>
              <w:bottom w:val="single" w:color="auto" w:sz="4" w:space="0"/>
              <w:right w:val="single" w:color="auto" w:sz="4" w:space="0"/>
            </w:tcBorders>
            <w:vAlign w:val="center"/>
          </w:tcPr>
          <w:p w14:paraId="1DB7E01D">
            <w:pPr>
              <w:jc w:val="center"/>
              <w:rPr>
                <w:rFonts w:hint="eastAsia" w:ascii="仿宋" w:hAnsi="仿宋" w:eastAsia="仿宋" w:cs="仿宋"/>
                <w:sz w:val="24"/>
                <w:szCs w:val="24"/>
                <w:lang w:eastAsia="zh-CN"/>
              </w:rPr>
            </w:pP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shd w:val="clear" w:color="auto" w:fill="auto"/>
            <w:vAlign w:val="center"/>
          </w:tcPr>
          <w:p w14:paraId="0159FAC8">
            <w:pPr>
              <w:widowControl/>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3981327A">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35D8DCD9">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3B93CF1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冯茜茜</w:t>
            </w:r>
          </w:p>
        </w:tc>
        <w:tc>
          <w:tcPr>
            <w:tcW w:w="760" w:type="pct"/>
            <w:tcBorders>
              <w:top w:val="single" w:color="auto" w:sz="4" w:space="0"/>
              <w:left w:val="single" w:color="auto" w:sz="4" w:space="0"/>
              <w:bottom w:val="single" w:color="auto" w:sz="4" w:space="0"/>
              <w:right w:val="single" w:color="auto" w:sz="4" w:space="0"/>
            </w:tcBorders>
            <w:vAlign w:val="center"/>
          </w:tcPr>
          <w:p w14:paraId="18D7FBAF">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lang w:val="en-US" w:eastAsia="zh-CN"/>
              </w:rPr>
              <w:t>主管</w:t>
            </w: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47CCA562">
            <w:pPr>
              <w:widowControl/>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35761D42">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155B1B04">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20CC4B0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韦丹丹</w:t>
            </w:r>
          </w:p>
        </w:tc>
        <w:tc>
          <w:tcPr>
            <w:tcW w:w="760" w:type="pct"/>
            <w:tcBorders>
              <w:top w:val="single" w:color="auto" w:sz="4" w:space="0"/>
              <w:left w:val="single" w:color="auto" w:sz="4" w:space="0"/>
              <w:bottom w:val="single" w:color="auto" w:sz="4" w:space="0"/>
              <w:right w:val="single" w:color="auto" w:sz="4" w:space="0"/>
            </w:tcBorders>
            <w:vAlign w:val="center"/>
          </w:tcPr>
          <w:p w14:paraId="57E9F548">
            <w:pPr>
              <w:jc w:val="center"/>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lang w:val="en-US" w:eastAsia="zh-CN"/>
              </w:rPr>
              <w:t>主管</w:t>
            </w: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28D72165">
            <w:pPr>
              <w:widowControl/>
              <w:jc w:val="left"/>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5ED9F05E">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17B19B6E">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1544189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韦巧玲</w:t>
            </w:r>
          </w:p>
        </w:tc>
        <w:tc>
          <w:tcPr>
            <w:tcW w:w="760" w:type="pct"/>
            <w:tcBorders>
              <w:top w:val="single" w:color="auto" w:sz="4" w:space="0"/>
              <w:left w:val="single" w:color="auto" w:sz="4" w:space="0"/>
              <w:bottom w:val="single" w:color="auto" w:sz="4" w:space="0"/>
              <w:right w:val="single" w:color="auto" w:sz="4" w:space="0"/>
            </w:tcBorders>
            <w:vAlign w:val="center"/>
          </w:tcPr>
          <w:p w14:paraId="6D001536">
            <w:pPr>
              <w:jc w:val="center"/>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lang w:val="en-US" w:eastAsia="zh-CN"/>
              </w:rPr>
              <w:t>主管</w:t>
            </w: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36696DFA">
            <w:pPr>
              <w:widowControl/>
              <w:jc w:val="left"/>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0D49C756">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6E16A294">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38D64F9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val="en-US" w:eastAsia="zh-CN"/>
              </w:rPr>
            </w:pPr>
            <w:r>
              <w:rPr>
                <w:rFonts w:hint="eastAsia" w:ascii="Times New Roman" w:hAnsi="Times New Roman" w:eastAsia="仿宋_GB2312" w:cs="Times New Roman"/>
                <w:sz w:val="24"/>
                <w:szCs w:val="24"/>
                <w:lang w:val="en-US" w:eastAsia="zh-CN"/>
              </w:rPr>
              <w:t>李艳群</w:t>
            </w:r>
          </w:p>
        </w:tc>
        <w:tc>
          <w:tcPr>
            <w:tcW w:w="760" w:type="pct"/>
            <w:tcBorders>
              <w:top w:val="single" w:color="auto" w:sz="4" w:space="0"/>
              <w:left w:val="single" w:color="auto" w:sz="4" w:space="0"/>
              <w:bottom w:val="single" w:color="auto" w:sz="4" w:space="0"/>
              <w:right w:val="single" w:color="auto" w:sz="4" w:space="0"/>
            </w:tcBorders>
            <w:vAlign w:val="center"/>
          </w:tcPr>
          <w:p w14:paraId="0B483D62">
            <w:pPr>
              <w:jc w:val="center"/>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lang w:val="en-US" w:eastAsia="zh-CN"/>
              </w:rPr>
              <w:t>主管</w:t>
            </w: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20A80CF9">
            <w:pPr>
              <w:widowControl/>
              <w:jc w:val="left"/>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60024FF8">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6AE273D4">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47CEFBB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val="en-US" w:eastAsia="zh-CN"/>
              </w:rPr>
            </w:pPr>
            <w:r>
              <w:rPr>
                <w:rFonts w:hint="eastAsia" w:ascii="Times New Roman" w:hAnsi="Times New Roman" w:eastAsia="仿宋_GB2312" w:cs="Times New Roman"/>
                <w:sz w:val="24"/>
                <w:szCs w:val="24"/>
                <w:lang w:val="en-US" w:eastAsia="zh-CN"/>
              </w:rPr>
              <w:t>韦钰泳</w:t>
            </w:r>
          </w:p>
        </w:tc>
        <w:tc>
          <w:tcPr>
            <w:tcW w:w="760" w:type="pct"/>
            <w:tcBorders>
              <w:top w:val="single" w:color="auto" w:sz="4" w:space="0"/>
              <w:left w:val="single" w:color="auto" w:sz="4" w:space="0"/>
              <w:bottom w:val="single" w:color="auto" w:sz="4" w:space="0"/>
              <w:right w:val="single" w:color="auto" w:sz="4" w:space="0"/>
            </w:tcBorders>
            <w:vAlign w:val="center"/>
          </w:tcPr>
          <w:p w14:paraId="16B61CE0">
            <w:pPr>
              <w:jc w:val="center"/>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lang w:val="en-US" w:eastAsia="zh-CN"/>
              </w:rPr>
              <w:t>主管</w:t>
            </w: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0F436C67">
            <w:pPr>
              <w:widowControl/>
              <w:jc w:val="left"/>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2667ABD6">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78F29C8F">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7EA53C4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Times New Roman" w:hAnsi="Times New Roman" w:eastAsia="仿宋_GB2312" w:cs="Times New Roman"/>
                <w:sz w:val="24"/>
                <w:szCs w:val="24"/>
                <w:lang w:val="en-US" w:eastAsia="zh-CN"/>
              </w:rPr>
              <w:t>黄金兰</w:t>
            </w:r>
          </w:p>
        </w:tc>
        <w:tc>
          <w:tcPr>
            <w:tcW w:w="760" w:type="pct"/>
            <w:tcBorders>
              <w:top w:val="single" w:color="auto" w:sz="4" w:space="0"/>
              <w:left w:val="single" w:color="auto" w:sz="4" w:space="0"/>
              <w:bottom w:val="single" w:color="auto" w:sz="4" w:space="0"/>
              <w:right w:val="single" w:color="auto" w:sz="4" w:space="0"/>
            </w:tcBorders>
            <w:vAlign w:val="center"/>
          </w:tcPr>
          <w:p w14:paraId="64A25333">
            <w:pPr>
              <w:jc w:val="center"/>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lang w:val="en-US" w:eastAsia="zh-CN"/>
              </w:rPr>
              <w:t>主管</w:t>
            </w: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3CE98C47">
            <w:pPr>
              <w:widowControl/>
              <w:jc w:val="left"/>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009B57C5">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3B417FBC">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5BCD80F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eastAsia="zh-CN"/>
              </w:rPr>
            </w:pPr>
            <w:r>
              <w:rPr>
                <w:rFonts w:hint="eastAsia" w:ascii="Times New Roman" w:hAnsi="Times New Roman" w:eastAsia="仿宋_GB2312" w:cs="Times New Roman"/>
                <w:sz w:val="24"/>
                <w:szCs w:val="24"/>
                <w:lang w:val="en-US" w:eastAsia="zh-CN"/>
              </w:rPr>
              <w:t>吴小娟</w:t>
            </w:r>
          </w:p>
        </w:tc>
        <w:tc>
          <w:tcPr>
            <w:tcW w:w="760" w:type="pct"/>
            <w:tcBorders>
              <w:top w:val="single" w:color="auto" w:sz="4" w:space="0"/>
              <w:left w:val="single" w:color="auto" w:sz="4" w:space="0"/>
              <w:bottom w:val="single" w:color="auto" w:sz="4" w:space="0"/>
              <w:right w:val="single" w:color="auto" w:sz="4" w:space="0"/>
            </w:tcBorders>
            <w:vAlign w:val="center"/>
          </w:tcPr>
          <w:p w14:paraId="2C20F745">
            <w:pPr>
              <w:jc w:val="center"/>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lang w:val="en-US" w:eastAsia="zh-CN"/>
              </w:rPr>
              <w:t>主管</w:t>
            </w: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23AF2F0D">
            <w:pPr>
              <w:widowControl/>
              <w:jc w:val="left"/>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25DE1EC4">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4A405384">
        <w:tblPrEx>
          <w:tblCellMar>
            <w:top w:w="0" w:type="dxa"/>
            <w:left w:w="108" w:type="dxa"/>
            <w:bottom w:w="0" w:type="dxa"/>
            <w:right w:w="108" w:type="dxa"/>
          </w:tblCellMar>
        </w:tblPrEx>
        <w:trPr>
          <w:cantSplit/>
          <w:trHeight w:val="517" w:hRule="atLeast"/>
          <w:jc w:val="center"/>
        </w:trPr>
        <w:tc>
          <w:tcPr>
            <w:tcW w:w="538" w:type="pct"/>
            <w:tcBorders>
              <w:top w:val="single" w:color="auto" w:sz="4" w:space="0"/>
              <w:left w:val="single" w:color="auto" w:sz="4" w:space="0"/>
              <w:bottom w:val="single" w:color="auto" w:sz="4" w:space="0"/>
              <w:right w:val="single" w:color="008000" w:sz="4" w:space="0"/>
            </w:tcBorders>
            <w:vAlign w:val="center"/>
          </w:tcPr>
          <w:p w14:paraId="2A84FF1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szCs w:val="24"/>
                <w:lang w:val="en-US" w:eastAsia="zh-CN"/>
              </w:rPr>
            </w:pPr>
            <w:r>
              <w:rPr>
                <w:rFonts w:hint="eastAsia" w:ascii="Times New Roman" w:hAnsi="Times New Roman" w:eastAsia="仿宋_GB2312" w:cs="Times New Roman"/>
                <w:sz w:val="24"/>
                <w:szCs w:val="24"/>
                <w:lang w:val="en-US" w:eastAsia="zh-CN"/>
              </w:rPr>
              <w:t>江锦芳</w:t>
            </w:r>
          </w:p>
        </w:tc>
        <w:tc>
          <w:tcPr>
            <w:tcW w:w="760" w:type="pct"/>
            <w:tcBorders>
              <w:top w:val="single" w:color="auto" w:sz="4" w:space="0"/>
              <w:left w:val="single" w:color="auto" w:sz="4" w:space="0"/>
              <w:bottom w:val="single" w:color="auto" w:sz="4" w:space="0"/>
              <w:right w:val="single" w:color="auto" w:sz="4" w:space="0"/>
            </w:tcBorders>
            <w:vAlign w:val="center"/>
          </w:tcPr>
          <w:p w14:paraId="08B46CB6">
            <w:pPr>
              <w:jc w:val="center"/>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lang w:val="en-US" w:eastAsia="zh-CN"/>
              </w:rPr>
              <w:t>主管</w:t>
            </w:r>
            <w:r>
              <w:rPr>
                <w:rFonts w:hint="eastAsia" w:ascii="仿宋_GB2312" w:hAnsi="仿宋_GB2312" w:eastAsia="仿宋_GB2312" w:cs="仿宋_GB2312"/>
                <w:sz w:val="24"/>
              </w:rPr>
              <w:t>护师</w:t>
            </w:r>
          </w:p>
        </w:tc>
        <w:tc>
          <w:tcPr>
            <w:tcW w:w="1443" w:type="pct"/>
            <w:tcBorders>
              <w:top w:val="single" w:color="auto" w:sz="4" w:space="0"/>
              <w:left w:val="single" w:color="auto" w:sz="4" w:space="0"/>
              <w:bottom w:val="single" w:color="auto" w:sz="4" w:space="0"/>
              <w:right w:val="single" w:color="auto" w:sz="4" w:space="0"/>
            </w:tcBorders>
            <w:vAlign w:val="center"/>
          </w:tcPr>
          <w:p w14:paraId="6E6CF9E8">
            <w:pPr>
              <w:widowControl/>
              <w:jc w:val="left"/>
              <w:rPr>
                <w:rFonts w:hint="eastAsia" w:ascii="Times New Roman" w:hAnsi="Times New Roman" w:eastAsia="仿宋_GB2312" w:cs="Times New Roman"/>
                <w:sz w:val="24"/>
                <w:szCs w:val="24"/>
                <w:lang w:val="en-US" w:eastAsia="zh-CN"/>
              </w:rPr>
            </w:pPr>
            <w:r>
              <w:rPr>
                <w:rFonts w:hint="eastAsia" w:ascii="仿宋_GB2312" w:hAnsi="仿宋_GB2312" w:eastAsia="仿宋_GB2312" w:cs="仿宋_GB2312"/>
                <w:sz w:val="24"/>
              </w:rPr>
              <w:t>广西医科大学附属肿瘤医院</w:t>
            </w:r>
          </w:p>
        </w:tc>
        <w:tc>
          <w:tcPr>
            <w:tcW w:w="2257" w:type="pct"/>
            <w:tcBorders>
              <w:top w:val="single" w:color="auto" w:sz="4" w:space="0"/>
              <w:left w:val="single" w:color="auto" w:sz="4" w:space="0"/>
              <w:bottom w:val="single" w:color="auto" w:sz="4" w:space="0"/>
              <w:right w:val="single" w:color="auto" w:sz="4" w:space="0"/>
            </w:tcBorders>
            <w:vAlign w:val="center"/>
          </w:tcPr>
          <w:p w14:paraId="75181AF8">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bl>
    <w:p w14:paraId="37FD8908">
      <w:pPr>
        <w:pStyle w:val="9"/>
        <w:ind w:firstLine="640" w:firstLineChars="200"/>
        <w:jc w:val="left"/>
        <w:rPr>
          <w:rFonts w:ascii="黑体" w:hAnsi="黑体" w:eastAsia="黑体"/>
          <w:b w:val="0"/>
        </w:rPr>
      </w:pPr>
      <w:r>
        <w:rPr>
          <w:rFonts w:hint="eastAsia" w:ascii="黑体" w:hAnsi="黑体" w:eastAsia="黑体"/>
          <w:b w:val="0"/>
        </w:rPr>
        <w:t>二、项目背景及目的意义</w:t>
      </w:r>
    </w:p>
    <w:p w14:paraId="40D201BC">
      <w:pPr>
        <w:autoSpaceDE w:val="0"/>
        <w:autoSpaceDN w:val="0"/>
        <w:adjustRightInd w:val="0"/>
        <w:spacing w:line="56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国家相关卫生政策高度关注提升护理专业技术水平在改善患者疾病照护体验及结局中所发挥的作用。《国家卫生健康委办公厅关于进一步加强医疗机构护理工作的通知》(国卫办医发〔2020〕11号)提出，进一步加强医疗机构护理工作，坚持“以患者为中心”的理念，提高优质护理服务质量，加强科学管理，促进医疗机构护理工作贴近患者、贴近临床、贴近社会。《全国护理事业发展规划(2021-2025年)》中指出，鼓励医疗机构充分发挥专业技术和人才优势，逐步完善服务内容和方式，保障护理服务的专业化及可持续性。放射性皮肤损伤护理服务质量的提升，对改善患者整体护理服务体验，发挥着举足轻重的作用</w:t>
      </w:r>
      <w:r>
        <w:rPr>
          <w:rFonts w:hint="eastAsia" w:ascii="仿宋" w:hAnsi="仿宋" w:eastAsia="仿宋"/>
          <w:sz w:val="32"/>
          <w:szCs w:val="32"/>
        </w:rPr>
        <w:t>。</w:t>
      </w:r>
    </w:p>
    <w:p w14:paraId="0BFFF427">
      <w:pPr>
        <w:autoSpaceDE w:val="0"/>
        <w:autoSpaceDN w:val="0"/>
        <w:adjustRightIn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据全球最新癌症负担统计数据显示，2020年中国癌症新发456.9 万例，死亡300.3万例，均位居全球第一，肿瘤的放射治疗、化学治疗、手术治疗、免疫治疗、靶向治疗并驾齐驱作为癌症治疗的“五驾马车”。其中，放射治疗是临床用于治疗恶性肿瘤的有效方法之一，其对于控制肿瘤病灶，防止病灶远处转移有特殊的效果。尽管目前对肿瘤组织放疗的精度越来越高，靶区的剂量分布也更加合理，但肿瘤周围的正常组织仍然会不可避免地受到照射从而导致放射性损伤。有报道显示约 95%放疗患者会出现不同严重程度的放射性皮肤损伤，约58.1％的患者因严重的放射性皮肤损伤导致放疗终止。放射性皮肤损伤主要表现为皮肤红斑、干燥、干湿性脱皮，随着照射剂量的累积，患者可出现溃疡、出血、坏死、感染等，降低了患者的生活质量，增加了患者的症状负担，增加了肿瘤复发的风险。</w:t>
      </w:r>
    </w:p>
    <w:p w14:paraId="1A7FAAC8">
      <w:pPr>
        <w:autoSpaceDE w:val="0"/>
        <w:autoSpaceDN w:val="0"/>
        <w:adjustRightIn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放射性皮肤损伤 (Radiation Skin Injury）在肿瘤患者放射治疗中的越来越受重视，但就目前国外已发表的指南与专家共识主要关注在放射性皮肤损伤治疗，对放射性皮肤损伤预防措施涉及较少，且并未细化，尚未形成统一、高质量等级推荐的预防方案；部分共识指南仅从医疗医生的角度进行介绍，对于护理人员的具体操作流程介绍较少；尽管有指南建议使用敷料预防放射性皮肤损伤，但目前无指南表明哪种敷料预防放射性皮肤损伤效果最佳，且对于每一级放射性皮肤损伤的具体预防措施，并没有进行相应介绍。</w:t>
      </w:r>
    </w:p>
    <w:p w14:paraId="5A49D763">
      <w:pPr>
        <w:autoSpaceDE w:val="0"/>
        <w:autoSpaceDN w:val="0"/>
        <w:adjustRightIn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目前，对放射性皮肤损伤的治疗尚无特效药物，最好的方法是预防。在放疗前、放疗中对患者进行护理十分重要，所以常在放疗开始前对患者预防性使用药物，以避免放射性皮肤损伤的发生或减轻放射性皮肤损伤的严重程度。对放射性皮肤损伤的处理除了常规护理外，还包括对患者的心理疏导、注意事项的告知和合理选用有效的药物。药物的选用主要以外用药物为主，主要包括植物提取物《芦装凝胶、植物 5中油）、乳膏类（氢化可的松软弯、三乙醇胺乳膏）、维生素类（维生素C、维生素B、维生素E）、射线防护剂、重组表皮生长因子、中药类、敷料类。目前，临床主要采用在放射线照射野皮肤外敷新型敷料，涂抹芦荟、医用防护涂剂等放疗皮肤保护剂，医用放射线防护剂等方法预防放射性皮肤损伤。</w:t>
      </w:r>
    </w:p>
    <w:p w14:paraId="5E2CDC68">
      <w:pPr>
        <w:autoSpaceDE w:val="0"/>
        <w:autoSpaceDN w:val="0"/>
        <w:adjustRightIn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随着湿性愈合理论在国内推广，湿性愈合敷料在临床不同伤口中广泛运用，取得显著效果。李健等报道，用亲水性凝胶能使2度及以上急性皮炎的发生率降低 60.5%，常规护理组为92.1%，并延缓急性放射性皮肤损伤的发生，对放疗患者的皮肤有一定的保护作用。张三典等报道，在多爱肤敷料形成的湿润环境中，创面的愈合能力明显增强，愈合时间明显缩短，3度放射性皮肤损伤平均9.20 天愈合，对照组常规松花粉外涂平均14.4天愈合。吴志梅报道，用多爱肤覆盖3度放射性皮肤损伤创面，具有良好的治疗和保护效果，可明显减轻患者局部疼痛和不适的主观感觉，促进表皮生长，加快创面愈合，创面愈合时间缩短6天、最长14天，平均9天，减轻换药次数，缩短住院时间，操作方法简便，易于临床推广使用。对身体不同部位的3度放射性皮肤损伤，亦已有报道，运用不同的现代保湿数料例如康乐保的皮肤保护粉、保赫曼的片状水凝胶德湿舒、施贵宝的多爱肤标准型水胶体、墨尼克的美皮康、施乐辉的海绵痊愈妥、施贵宝的亲水性纤维爱康肤、优格的优拓等敷料，处理3度放射性皮炎。可以明显减轻患者伤口的疼痛，减少换药次数，加速份口愈合。</w:t>
      </w:r>
    </w:p>
    <w:p w14:paraId="7E1BB117">
      <w:pPr>
        <w:autoSpaceDE w:val="0"/>
        <w:autoSpaceDN w:val="0"/>
        <w:adjustRightInd w:val="0"/>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sz w:val="32"/>
          <w:szCs w:val="32"/>
        </w:rPr>
        <w:t>射性皮肤损伤的预防和治疗是肿瘤放射治疗领域的研宄重点，在已进行的临床研宄中，仍没有得出统一结论，目前所采用的预防和治疗方法更多是基于医生的临床经验。因此，急需制定放射性皮肤损伤预防、治疗各阶段统一的护理技术操作规范，以促进广西各医疗机构放射性皮肤损伤护理操作的标准化和同质化，规范预防护理操作流程管理，减少放射性皮肤损伤的发生。</w:t>
      </w:r>
    </w:p>
    <w:p w14:paraId="0765C003">
      <w:pPr>
        <w:autoSpaceDE w:val="0"/>
        <w:autoSpaceDN w:val="0"/>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通过制定团体标准《</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规范》，以标准为抓手，统一规范</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要求，用标准化和规范化将更好的指导</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工作，对促进医疗机构工作职能社会化、精细化、效益化发展，有助于完善医疗机构</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标准化体系，尽快建立统一完善的</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操作体系，对促进</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操作专业化具有重要意义。</w:t>
      </w:r>
    </w:p>
    <w:p w14:paraId="6583E1EB">
      <w:pPr>
        <w:pStyle w:val="9"/>
        <w:ind w:firstLine="640" w:firstLineChars="200"/>
        <w:jc w:val="left"/>
        <w:rPr>
          <w:rFonts w:ascii="黑体" w:hAnsi="黑体" w:eastAsia="黑体"/>
          <w:b w:val="0"/>
        </w:rPr>
      </w:pPr>
      <w:r>
        <w:rPr>
          <w:rFonts w:hint="eastAsia" w:ascii="黑体" w:hAnsi="黑体" w:eastAsia="黑体"/>
          <w:b w:val="0"/>
        </w:rPr>
        <w:t>三、项目编制过程</w:t>
      </w:r>
    </w:p>
    <w:p w14:paraId="0F7EE25E">
      <w:pPr>
        <w:spacing w:line="560" w:lineRule="exact"/>
        <w:ind w:firstLine="643" w:firstLineChars="200"/>
        <w:rPr>
          <w:rFonts w:ascii="楷体" w:hAnsi="楷体" w:eastAsia="楷体" w:cs="仿宋_GB2312"/>
          <w:b/>
          <w:sz w:val="32"/>
          <w:szCs w:val="32"/>
        </w:rPr>
      </w:pPr>
      <w:r>
        <w:rPr>
          <w:rFonts w:hint="eastAsia" w:ascii="楷体" w:hAnsi="楷体" w:eastAsia="楷体" w:cs="仿宋_GB2312"/>
          <w:b/>
          <w:sz w:val="32"/>
          <w:szCs w:val="32"/>
        </w:rPr>
        <w:t>（一）成立标准编制工作组</w:t>
      </w:r>
    </w:p>
    <w:p w14:paraId="11BEFC81">
      <w:pPr>
        <w:spacing w:line="560" w:lineRule="exact"/>
        <w:ind w:firstLine="640" w:firstLineChars="200"/>
        <w:rPr>
          <w:rFonts w:ascii="仿宋" w:hAnsi="仿宋" w:eastAsia="仿宋"/>
          <w:sz w:val="32"/>
          <w:szCs w:val="32"/>
        </w:rPr>
      </w:pPr>
      <w:r>
        <w:rPr>
          <w:rFonts w:hint="eastAsia" w:ascii="仿宋" w:hAnsi="仿宋" w:eastAsia="仿宋"/>
          <w:sz w:val="32"/>
          <w:szCs w:val="32"/>
        </w:rPr>
        <w:t>团体标准《</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规范》项目任务下达后，广西医科大学附属肿瘤医院成立了标准编制工作组，制定了标准编写方案，明确任务职责，确定工作技术路线，开展标准研制工作。</w:t>
      </w:r>
    </w:p>
    <w:p w14:paraId="66E997DC">
      <w:pPr>
        <w:spacing w:line="560" w:lineRule="exact"/>
        <w:ind w:firstLine="643" w:firstLineChars="200"/>
        <w:rPr>
          <w:rFonts w:ascii="楷体" w:hAnsi="楷体" w:eastAsia="楷体" w:cs="仿宋_GB2312"/>
          <w:b/>
          <w:sz w:val="32"/>
          <w:szCs w:val="32"/>
        </w:rPr>
      </w:pPr>
      <w:r>
        <w:rPr>
          <w:rFonts w:hint="eastAsia" w:ascii="楷体" w:hAnsi="楷体" w:eastAsia="楷体" w:cs="仿宋_GB2312"/>
          <w:b/>
          <w:sz w:val="32"/>
          <w:szCs w:val="32"/>
        </w:rPr>
        <w:t>（二）收集整理文献资料</w:t>
      </w:r>
    </w:p>
    <w:p w14:paraId="2A73B933">
      <w:pPr>
        <w:spacing w:line="560" w:lineRule="exact"/>
        <w:ind w:firstLine="640" w:firstLineChars="200"/>
        <w:rPr>
          <w:rFonts w:ascii="仿宋" w:hAnsi="仿宋" w:eastAsia="仿宋"/>
          <w:sz w:val="32"/>
          <w:szCs w:val="32"/>
        </w:rPr>
      </w:pPr>
      <w:r>
        <w:rPr>
          <w:rFonts w:hint="eastAsia" w:ascii="仿宋" w:hAnsi="仿宋" w:eastAsia="仿宋"/>
          <w:sz w:val="32"/>
          <w:szCs w:val="32"/>
        </w:rPr>
        <w:t>标准编制工作组收集了国内有关</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的相关技术文献资料。主要有：</w:t>
      </w:r>
    </w:p>
    <w:p w14:paraId="024239F2">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GBZ 106—2020  职业性放射性皮肤疾病诊断</w:t>
      </w:r>
    </w:p>
    <w:p w14:paraId="637EE3F3">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GBZ/T 213—2008  血源性病原体职业接触防护导则</w:t>
      </w:r>
    </w:p>
    <w:p w14:paraId="711128B3">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GB 15982  医院消毒卫生标准</w:t>
      </w:r>
    </w:p>
    <w:p w14:paraId="162CDE30">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WS/T 311  医院隔离技术规范</w:t>
      </w:r>
    </w:p>
    <w:p w14:paraId="7DE2A019">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WS/T 313  医务人员手卫生规范</w:t>
      </w:r>
    </w:p>
    <w:p w14:paraId="43C28C59">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WS/T 367  医疗机构消毒技术规范</w:t>
      </w:r>
    </w:p>
    <w:p w14:paraId="14E0E87D">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WS/T 475  放射性皮肤病护理规范</w:t>
      </w:r>
    </w:p>
    <w:p w14:paraId="4240F0EE">
      <w:pPr>
        <w:spacing w:line="560" w:lineRule="exact"/>
        <w:ind w:firstLine="643" w:firstLineChars="200"/>
        <w:rPr>
          <w:rFonts w:hint="eastAsia" w:ascii="楷体" w:hAnsi="楷体" w:eastAsia="楷体" w:cs="仿宋_GB2312"/>
          <w:b/>
          <w:sz w:val="32"/>
          <w:szCs w:val="32"/>
          <w:lang w:eastAsia="zh-CN"/>
        </w:rPr>
      </w:pPr>
      <w:r>
        <w:rPr>
          <w:rFonts w:hint="eastAsia" w:ascii="楷体" w:hAnsi="楷体" w:eastAsia="楷体" w:cs="仿宋_GB2312"/>
          <w:b/>
          <w:sz w:val="32"/>
          <w:szCs w:val="32"/>
        </w:rPr>
        <w:t>（三）研讨确定标准</w:t>
      </w:r>
      <w:r>
        <w:rPr>
          <w:rFonts w:hint="eastAsia" w:ascii="楷体" w:hAnsi="楷体" w:eastAsia="楷体" w:cs="仿宋_GB2312"/>
          <w:b/>
          <w:sz w:val="32"/>
          <w:szCs w:val="32"/>
          <w:lang w:val="en-US" w:eastAsia="zh-CN"/>
        </w:rPr>
        <w:t>特色及创新点、</w:t>
      </w:r>
      <w:r>
        <w:rPr>
          <w:rFonts w:hint="eastAsia" w:ascii="楷体" w:hAnsi="楷体" w:eastAsia="楷体" w:cs="仿宋_GB2312"/>
          <w:b/>
          <w:sz w:val="32"/>
          <w:szCs w:val="32"/>
        </w:rPr>
        <w:t>主体内容</w:t>
      </w:r>
    </w:p>
    <w:p w14:paraId="33077FBF">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1.标准特色及创新点</w:t>
      </w:r>
    </w:p>
    <w:p w14:paraId="52D469BE">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急性放射性皮肤损伤需根据不同分级采取针对性护理措施，0级及1级以预防为主，强化健康教育，每日用温水清洁放射区（禁用刺激物）并涂抹皮肤保护剂，避免摩擦、搔抓等刺激，不用黏性强胶带，优先选择绷带固定；2级需加强宣教，采用新型敷料促进修复、控制疼痛，瘙痒可短期使用1%类固醇乳膏（≤7天），小水疱保留疱皮待其自行吸收，大水疱需无菌穿刺排液后加压包扎，出现感染迹象时使用抗感染敷料或药膏；3级需立即停止放疗，遵循湿性愈合原则并控制感染，渗液多者用藻酸盐等敷料吸液，坏死组织行自溶性联合保守锐器清创，感染时使用抗菌敷料，发热者需多学科会诊并进行细菌培养，遵医嘱全身使用抗生素；4级以控制疼痛、预防感染、促进愈合为核心，做好伤口评估，未感染伤口用保湿敷料，感染伤口需多学科会诊，局部使用抗感染敷料，必要时进行全身抗感染治疗。</w:t>
      </w:r>
    </w:p>
    <w:p w14:paraId="3D5D1935">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慢性放射性皮肤损伤进展缓慢，且持续时间较长，常常数月或数年，临床上常以局部皮肤出现色素沉着、脱发、花斑、毛细血管扩张、经久不愈的溃疡等为主要表现。应针对不同程度的损伤采取相应措施，注意避免各种物理和化学因素等刺激，局部可使用止痒和滋润皮肤的水性乳膏和新型敷料。对于慢性放射性溃疡，应评估其严重程度和累及组织的面积、深度，并取溃疡渗出物进行细菌培养和药物敏感试验，根据评估和检查结果选用含银数料或有效的抗生素治疗。对于严重的放射性皮肤损伤，应适时请专科医生多学科会诊处理，与医生分工合作、共同处理。。</w:t>
      </w:r>
    </w:p>
    <w:p w14:paraId="4E2A3549">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2.主体内容</w:t>
      </w:r>
    </w:p>
    <w:p w14:paraId="5067A7B6">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sz w:val="32"/>
          <w:szCs w:val="32"/>
        </w:rPr>
        <w:t>标准编制工作组在对收集的资料进行整理研究之后，标准编制工作组召开了标准编制会议，对标准的整体框架结构进行了研究，并对标准的关键性内容进行了初步探讨。经过研究，标准的主体内容为规定了</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的</w:t>
      </w:r>
      <w:r>
        <w:rPr>
          <w:rFonts w:hint="eastAsia" w:ascii="仿宋" w:hAnsi="仿宋" w:eastAsia="仿宋"/>
          <w:sz w:val="32"/>
          <w:szCs w:val="32"/>
          <w:lang w:eastAsia="zh-CN"/>
        </w:rPr>
        <w:t>基本要求、护理前准备、护理措施、注意事项以及健康教育</w:t>
      </w:r>
      <w:r>
        <w:rPr>
          <w:rFonts w:hint="eastAsia" w:ascii="仿宋" w:hAnsi="仿宋" w:eastAsia="仿宋"/>
          <w:sz w:val="32"/>
          <w:szCs w:val="32"/>
        </w:rPr>
        <w:t>等要求</w:t>
      </w:r>
      <w:r>
        <w:rPr>
          <w:rFonts w:hint="eastAsia" w:ascii="仿宋" w:hAnsi="仿宋" w:eastAsia="仿宋"/>
          <w:color w:val="000000" w:themeColor="text1"/>
          <w:sz w:val="32"/>
          <w:szCs w:val="32"/>
          <w14:textFill>
            <w14:solidFill>
              <w14:schemeClr w14:val="tx1"/>
            </w14:solidFill>
          </w14:textFill>
        </w:rPr>
        <w:t>。</w:t>
      </w:r>
    </w:p>
    <w:p w14:paraId="3399D55F">
      <w:pPr>
        <w:spacing w:line="560" w:lineRule="exact"/>
        <w:ind w:firstLine="643" w:firstLineChars="200"/>
        <w:rPr>
          <w:rFonts w:ascii="楷体" w:hAnsi="楷体" w:eastAsia="楷体" w:cs="仿宋_GB2312"/>
          <w:b/>
          <w:sz w:val="32"/>
          <w:szCs w:val="32"/>
        </w:rPr>
      </w:pPr>
      <w:r>
        <w:rPr>
          <w:rFonts w:hint="eastAsia" w:ascii="楷体" w:hAnsi="楷体" w:eastAsia="楷体" w:cs="仿宋_GB2312"/>
          <w:b/>
          <w:sz w:val="32"/>
          <w:szCs w:val="32"/>
        </w:rPr>
        <w:t>（四）调研及形成草案、征求意见稿</w:t>
      </w:r>
    </w:p>
    <w:p w14:paraId="2F9B78B3">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年1</w:t>
      </w:r>
      <w:r>
        <w:rPr>
          <w:rFonts w:hint="eastAsia" w:ascii="仿宋" w:hAnsi="仿宋" w:eastAsia="仿宋"/>
          <w:sz w:val="32"/>
          <w:szCs w:val="32"/>
          <w:lang w:val="en-US" w:eastAsia="zh-CN"/>
        </w:rPr>
        <w:t>1</w:t>
      </w:r>
      <w:r>
        <w:rPr>
          <w:rFonts w:hint="eastAsia" w:ascii="仿宋" w:hAnsi="仿宋" w:eastAsia="仿宋"/>
          <w:sz w:val="32"/>
          <w:szCs w:val="32"/>
        </w:rPr>
        <w:t>月～202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12</w:t>
      </w:r>
      <w:r>
        <w:rPr>
          <w:rFonts w:hint="eastAsia" w:ascii="仿宋" w:hAnsi="仿宋" w:eastAsia="仿宋"/>
          <w:sz w:val="32"/>
          <w:szCs w:val="32"/>
        </w:rPr>
        <w:t>月</w:t>
      </w:r>
      <w:r>
        <w:rPr>
          <w:rFonts w:ascii="仿宋" w:hAnsi="仿宋" w:eastAsia="仿宋"/>
          <w:sz w:val="32"/>
          <w:szCs w:val="32"/>
        </w:rPr>
        <w:t>，</w:t>
      </w:r>
      <w:r>
        <w:rPr>
          <w:rFonts w:hint="eastAsia" w:ascii="仿宋" w:hAnsi="仿宋" w:eastAsia="仿宋"/>
          <w:sz w:val="32"/>
          <w:szCs w:val="32"/>
        </w:rPr>
        <w:t>标准编制工作组进行了标准编制准备工作，查阅了大量的国内外有关</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的文献资料，并针对目前</w:t>
      </w:r>
      <w:r>
        <w:rPr>
          <w:rFonts w:hint="eastAsia" w:ascii="仿宋" w:hAnsi="仿宋" w:eastAsia="仿宋"/>
          <w:color w:val="000000" w:themeColor="text1"/>
          <w:sz w:val="32"/>
          <w:szCs w:val="32"/>
          <w:lang w:eastAsia="zh-CN"/>
          <w14:textFill>
            <w14:solidFill>
              <w14:schemeClr w14:val="tx1"/>
            </w14:solidFill>
          </w14:textFill>
        </w:rPr>
        <w:t>肿瘤患者急慢性放射性皮肤损伤分级护理</w:t>
      </w:r>
      <w:r>
        <w:rPr>
          <w:rFonts w:hint="eastAsia" w:ascii="仿宋" w:hAnsi="仿宋" w:eastAsia="仿宋"/>
          <w:sz w:val="32"/>
          <w:szCs w:val="32"/>
        </w:rPr>
        <w:t>到</w:t>
      </w:r>
      <w:r>
        <w:rPr>
          <w:rFonts w:hint="eastAsia" w:ascii="仿宋" w:hAnsi="仿宋" w:eastAsia="仿宋"/>
          <w:sz w:val="32"/>
          <w:szCs w:val="32"/>
          <w:lang w:eastAsia="zh-CN"/>
        </w:rPr>
        <w:t>广西医科大学附属肿瘤医院、广西医科大学第二附属医院、广西医科大学附属口腔医院、柳州市人民医院、南宁市第一人民医院、广西壮族自治区工人医院、广西壮族自治区民族医院</w:t>
      </w:r>
      <w:r>
        <w:rPr>
          <w:rFonts w:hint="eastAsia" w:ascii="仿宋" w:hAnsi="仿宋" w:eastAsia="仿宋"/>
          <w:sz w:val="32"/>
          <w:szCs w:val="32"/>
        </w:rPr>
        <w:t>等相关医疗机构进行实地考察调研。调研的同时召集多家有关单位开展了标准研讨会，对</w:t>
      </w:r>
      <w:r>
        <w:rPr>
          <w:rFonts w:hint="eastAsia" w:ascii="仿宋" w:hAnsi="仿宋" w:eastAsia="仿宋"/>
          <w:color w:val="000000" w:themeColor="text1"/>
          <w:sz w:val="32"/>
          <w:szCs w:val="32"/>
          <w:lang w:eastAsia="zh-CN"/>
          <w14:textFill>
            <w14:solidFill>
              <w14:schemeClr w14:val="tx1"/>
            </w14:solidFill>
          </w14:textFill>
        </w:rPr>
        <w:t>肿瘤患者急慢性放射性皮肤损伤分级护理</w:t>
      </w:r>
      <w:r>
        <w:rPr>
          <w:rFonts w:hint="eastAsia" w:ascii="仿宋" w:hAnsi="仿宋" w:eastAsia="仿宋"/>
          <w:sz w:val="32"/>
          <w:szCs w:val="32"/>
        </w:rPr>
        <w:t>相关资料进行系统总结。形成了标准的基本构架，对主要内容进行了讨论并对项目的工作进行了部署和安排。</w:t>
      </w:r>
    </w:p>
    <w:p w14:paraId="7A724709">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1</w:t>
      </w:r>
      <w:r>
        <w:rPr>
          <w:rFonts w:hint="eastAsia" w:ascii="仿宋" w:hAnsi="仿宋" w:eastAsia="仿宋"/>
          <w:sz w:val="32"/>
          <w:szCs w:val="32"/>
        </w:rPr>
        <w:t>月，在前期工作的基础之上，通过理清逻辑脉络，整合已有的参考资料中有关</w:t>
      </w:r>
      <w:bookmarkStart w:id="0" w:name="_Toc526940083"/>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的要求，并结合赴相关</w:t>
      </w:r>
      <w:r>
        <w:rPr>
          <w:rFonts w:hint="eastAsia" w:ascii="仿宋" w:hAnsi="仿宋" w:eastAsia="仿宋"/>
          <w:sz w:val="32"/>
          <w:szCs w:val="32"/>
          <w:lang w:eastAsia="zh-CN"/>
        </w:rPr>
        <w:t>医疗机构</w:t>
      </w:r>
      <w:r>
        <w:rPr>
          <w:rFonts w:hint="eastAsia" w:ascii="仿宋" w:hAnsi="仿宋" w:eastAsia="仿宋"/>
          <w:sz w:val="32"/>
          <w:szCs w:val="32"/>
        </w:rPr>
        <w:t>实地考察调研以及标准研讨会上意见整合的基础上，按照简化、统一等原则编制完成团体标准《</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规范》（草案）。</w:t>
      </w:r>
    </w:p>
    <w:p w14:paraId="0D1C2693">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2</w:t>
      </w:r>
      <w:r>
        <w:rPr>
          <w:rFonts w:hint="eastAsia" w:ascii="仿宋" w:hAnsi="仿宋" w:eastAsia="仿宋"/>
          <w:sz w:val="32"/>
          <w:szCs w:val="32"/>
        </w:rPr>
        <w:t>月，标准编制工作组再次召开标准研讨会，收集反馈了大量意见和建议，明确了</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多方面的要求。通过再次前往</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有关的</w:t>
      </w:r>
      <w:r>
        <w:rPr>
          <w:rFonts w:hint="eastAsia" w:ascii="仿宋" w:hAnsi="仿宋" w:eastAsia="仿宋"/>
          <w:sz w:val="32"/>
          <w:szCs w:val="32"/>
          <w:lang w:eastAsia="zh-CN"/>
        </w:rPr>
        <w:t>医疗机构</w:t>
      </w:r>
      <w:r>
        <w:rPr>
          <w:rFonts w:hint="eastAsia" w:ascii="仿宋" w:hAnsi="仿宋" w:eastAsia="仿宋"/>
          <w:sz w:val="32"/>
          <w:szCs w:val="32"/>
        </w:rPr>
        <w:t>实地座谈调研并多次召开讨论会议，并在单位官网挂网公开征求意见、征求</w:t>
      </w:r>
      <w:r>
        <w:rPr>
          <w:rFonts w:hint="eastAsia" w:ascii="仿宋" w:hAnsi="仿宋" w:eastAsia="仿宋"/>
          <w:sz w:val="32"/>
          <w:szCs w:val="32"/>
          <w:lang w:eastAsia="zh-CN"/>
        </w:rPr>
        <w:t>广西医科大学附属肿瘤医院、广西医科大学第二附属医院、广西医科大学附属口腔医院、柳州市人民医院、南宁市第一人民医院、广西壮族自治区工人医院、广西壮族自治区民族医院</w:t>
      </w:r>
      <w:r>
        <w:rPr>
          <w:rFonts w:hint="eastAsia" w:ascii="仿宋" w:hAnsi="仿宋" w:eastAsia="仿宋"/>
          <w:sz w:val="32"/>
          <w:szCs w:val="32"/>
        </w:rPr>
        <w:t>等</w:t>
      </w:r>
      <w:r>
        <w:rPr>
          <w:rFonts w:hint="eastAsia" w:ascii="仿宋" w:hAnsi="仿宋" w:eastAsia="仿宋"/>
          <w:sz w:val="32"/>
          <w:szCs w:val="32"/>
          <w:lang w:val="en-US" w:eastAsia="zh-CN"/>
        </w:rPr>
        <w:t>7</w:t>
      </w:r>
      <w:r>
        <w:rPr>
          <w:rFonts w:hint="eastAsia" w:ascii="仿宋" w:hAnsi="仿宋" w:eastAsia="仿宋"/>
          <w:sz w:val="32"/>
          <w:szCs w:val="32"/>
        </w:rPr>
        <w:t>家单位意见，对标准草案进行了反复修改和研究讨论。最终形成了团体标准《</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规范》（征求意见稿）和（征求意见稿）编制说明。</w:t>
      </w:r>
    </w:p>
    <w:bookmarkEnd w:id="0"/>
    <w:p w14:paraId="0C008416">
      <w:pPr>
        <w:spacing w:line="560" w:lineRule="exact"/>
        <w:ind w:firstLine="640" w:firstLineChars="200"/>
        <w:rPr>
          <w:rFonts w:ascii="黑体" w:hAnsi="黑体" w:eastAsia="黑体" w:cstheme="majorBidi"/>
          <w:bCs/>
          <w:sz w:val="32"/>
          <w:szCs w:val="32"/>
        </w:rPr>
      </w:pPr>
      <w:r>
        <w:rPr>
          <w:rFonts w:hint="eastAsia" w:ascii="黑体" w:hAnsi="黑体" w:eastAsia="黑体" w:cstheme="majorBidi"/>
          <w:bCs/>
          <w:sz w:val="32"/>
          <w:szCs w:val="32"/>
        </w:rPr>
        <w:t>四、制定标准的原则和依据，与现行法律、法规的关系，与有关国家标准、行业标准的协调情况</w:t>
      </w:r>
    </w:p>
    <w:p w14:paraId="0AD7F9B1">
      <w:pPr>
        <w:spacing w:line="560" w:lineRule="exact"/>
        <w:ind w:firstLine="643" w:firstLineChars="200"/>
        <w:rPr>
          <w:rFonts w:ascii="楷体" w:hAnsi="楷体" w:eastAsia="楷体"/>
          <w:b/>
          <w:sz w:val="32"/>
          <w:szCs w:val="32"/>
        </w:rPr>
      </w:pPr>
      <w:r>
        <w:rPr>
          <w:rFonts w:hint="eastAsia" w:ascii="楷体" w:hAnsi="楷体" w:eastAsia="楷体"/>
          <w:b/>
          <w:sz w:val="32"/>
          <w:szCs w:val="32"/>
        </w:rPr>
        <w:t>1.实用性原则</w:t>
      </w:r>
    </w:p>
    <w:p w14:paraId="1A92A989">
      <w:pPr>
        <w:spacing w:line="560" w:lineRule="exact"/>
        <w:ind w:firstLine="640" w:firstLineChars="200"/>
        <w:rPr>
          <w:rFonts w:ascii="仿宋" w:hAnsi="仿宋" w:eastAsia="仿宋"/>
          <w:sz w:val="32"/>
          <w:szCs w:val="32"/>
        </w:rPr>
      </w:pPr>
      <w:r>
        <w:rPr>
          <w:rFonts w:hint="eastAsia" w:ascii="仿宋" w:hAnsi="仿宋" w:eastAsia="仿宋"/>
          <w:sz w:val="32"/>
          <w:szCs w:val="32"/>
        </w:rPr>
        <w:t>本文件是在充分收集相关资料和文献，分析当前现状，调研</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的实际情况，在现有国家、行业标准中相关</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的基础上，结合多年经验而总结起草的。符合当前</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工作的方向与需求，有利于行业的长远发展，具有较强的实用性和可操作性。</w:t>
      </w:r>
    </w:p>
    <w:p w14:paraId="077EA305">
      <w:pPr>
        <w:spacing w:line="560" w:lineRule="exact"/>
        <w:ind w:firstLine="643" w:firstLineChars="200"/>
        <w:rPr>
          <w:rFonts w:ascii="楷体" w:hAnsi="楷体" w:eastAsia="楷体"/>
          <w:b/>
          <w:sz w:val="32"/>
          <w:szCs w:val="32"/>
        </w:rPr>
      </w:pPr>
      <w:r>
        <w:rPr>
          <w:rFonts w:hint="eastAsia" w:ascii="楷体" w:hAnsi="楷体" w:eastAsia="楷体"/>
          <w:b/>
          <w:sz w:val="32"/>
          <w:szCs w:val="32"/>
        </w:rPr>
        <w:t>2.协调性原则</w:t>
      </w:r>
    </w:p>
    <w:p w14:paraId="2040BDC7">
      <w:pPr>
        <w:spacing w:line="560" w:lineRule="exact"/>
        <w:ind w:firstLine="640" w:firstLineChars="200"/>
        <w:rPr>
          <w:rFonts w:ascii="仿宋" w:hAnsi="仿宋" w:eastAsia="仿宋"/>
          <w:sz w:val="32"/>
          <w:szCs w:val="32"/>
        </w:rPr>
      </w:pPr>
      <w:r>
        <w:rPr>
          <w:rFonts w:hint="eastAsia" w:ascii="仿宋" w:hAnsi="仿宋" w:eastAsia="仿宋"/>
          <w:sz w:val="32"/>
          <w:szCs w:val="32"/>
        </w:rPr>
        <w:t>本文件编写过程中注意了与</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相关法律法规的协调问题，在内容上与现行法律法规、标准协调一致。</w:t>
      </w:r>
    </w:p>
    <w:p w14:paraId="6EBD2F4A">
      <w:pPr>
        <w:spacing w:line="560" w:lineRule="exact"/>
        <w:ind w:firstLine="643" w:firstLineChars="200"/>
        <w:rPr>
          <w:rFonts w:ascii="楷体" w:hAnsi="楷体" w:eastAsia="楷体"/>
          <w:b/>
          <w:sz w:val="32"/>
          <w:szCs w:val="32"/>
        </w:rPr>
      </w:pPr>
      <w:r>
        <w:rPr>
          <w:rFonts w:hint="eastAsia" w:ascii="楷体" w:hAnsi="楷体" w:eastAsia="楷体"/>
          <w:b/>
          <w:sz w:val="32"/>
          <w:szCs w:val="32"/>
        </w:rPr>
        <w:t>3.规范性原则</w:t>
      </w:r>
    </w:p>
    <w:p w14:paraId="6ACC2C55">
      <w:pPr>
        <w:spacing w:line="560" w:lineRule="exact"/>
        <w:ind w:firstLine="640" w:firstLineChars="200"/>
        <w:rPr>
          <w:rFonts w:ascii="仿宋" w:hAnsi="仿宋" w:eastAsia="仿宋"/>
          <w:sz w:val="32"/>
          <w:szCs w:val="32"/>
        </w:rPr>
      </w:pPr>
      <w:r>
        <w:rPr>
          <w:rFonts w:hint="eastAsia" w:ascii="仿宋" w:hAnsi="仿宋" w:eastAsia="仿宋"/>
          <w:sz w:val="32"/>
          <w:szCs w:val="32"/>
        </w:rPr>
        <w:t>本文件严格按照GB/T 1.1—2020《标准化工作导则 第1部分：标准化文件的结构和起草规则》的要求和规定编写本标准的内容，保证标准的编写质量。</w:t>
      </w:r>
    </w:p>
    <w:p w14:paraId="35CD9BDC">
      <w:pPr>
        <w:spacing w:line="560" w:lineRule="exact"/>
        <w:ind w:firstLine="643" w:firstLineChars="200"/>
        <w:rPr>
          <w:rFonts w:ascii="楷体" w:hAnsi="楷体" w:eastAsia="楷体"/>
          <w:b/>
          <w:sz w:val="32"/>
          <w:szCs w:val="32"/>
        </w:rPr>
      </w:pPr>
      <w:r>
        <w:rPr>
          <w:rFonts w:hint="eastAsia" w:ascii="楷体" w:hAnsi="楷体" w:eastAsia="楷体"/>
          <w:b/>
          <w:sz w:val="32"/>
          <w:szCs w:val="32"/>
        </w:rPr>
        <w:t>4.前瞻性原则</w:t>
      </w:r>
    </w:p>
    <w:p w14:paraId="2BE11ED0">
      <w:pPr>
        <w:spacing w:line="560" w:lineRule="exact"/>
        <w:ind w:firstLine="640" w:firstLineChars="200"/>
        <w:rPr>
          <w:rFonts w:ascii="仿宋" w:hAnsi="仿宋" w:eastAsia="仿宋"/>
          <w:sz w:val="32"/>
          <w:szCs w:val="32"/>
        </w:rPr>
      </w:pPr>
      <w:r>
        <w:rPr>
          <w:rFonts w:hint="eastAsia" w:ascii="仿宋" w:hAnsi="仿宋" w:eastAsia="仿宋"/>
          <w:sz w:val="32"/>
          <w:szCs w:val="32"/>
        </w:rPr>
        <w:t>本文件在兼顾当前区内外</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现实情况的同时，还考虑到了</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操作专业化发展的趋势和需要，在标准中体现了个别特色性、前瞻性和先进性条款，作为对开展</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工作的指导。</w:t>
      </w:r>
    </w:p>
    <w:p w14:paraId="7667EDDF">
      <w:pPr>
        <w:widowControl/>
        <w:tabs>
          <w:tab w:val="center" w:pos="4201"/>
          <w:tab w:val="right" w:leader="dot" w:pos="9298"/>
        </w:tabs>
        <w:autoSpaceDE w:val="0"/>
        <w:autoSpaceDN w:val="0"/>
        <w:spacing w:line="560" w:lineRule="exact"/>
        <w:ind w:firstLine="643" w:firstLineChars="200"/>
        <w:outlineLvl w:val="1"/>
        <w:rPr>
          <w:rFonts w:eastAsia="楷体"/>
          <w:b/>
          <w:bCs/>
          <w:kern w:val="0"/>
          <w:sz w:val="32"/>
          <w:szCs w:val="32"/>
        </w:rPr>
      </w:pPr>
      <w:r>
        <w:rPr>
          <w:rFonts w:hint="eastAsia" w:eastAsia="楷体"/>
          <w:b/>
          <w:bCs/>
          <w:kern w:val="0"/>
          <w:sz w:val="32"/>
          <w:szCs w:val="32"/>
        </w:rPr>
        <w:t>（二）编制依据</w:t>
      </w:r>
    </w:p>
    <w:p w14:paraId="0C1D7BD3">
      <w:pPr>
        <w:ind w:firstLine="640" w:firstLineChars="200"/>
        <w:rPr>
          <w:rFonts w:ascii="仿宋" w:hAnsi="仿宋" w:eastAsia="仿宋"/>
          <w:sz w:val="32"/>
          <w:szCs w:val="32"/>
        </w:rPr>
      </w:pPr>
      <w:r>
        <w:rPr>
          <w:rFonts w:ascii="仿宋" w:hAnsi="仿宋" w:eastAsia="仿宋"/>
          <w:sz w:val="32"/>
          <w:szCs w:val="32"/>
        </w:rPr>
        <w:t>本标准严格按照GB/T 1.1</w:t>
      </w:r>
      <w:r>
        <w:rPr>
          <w:rFonts w:hint="eastAsia" w:ascii="仿宋" w:hAnsi="仿宋" w:eastAsia="仿宋"/>
          <w:sz w:val="32"/>
          <w:szCs w:val="32"/>
        </w:rPr>
        <w:t>—</w:t>
      </w:r>
      <w:r>
        <w:rPr>
          <w:rFonts w:ascii="仿宋" w:hAnsi="仿宋" w:eastAsia="仿宋"/>
          <w:sz w:val="32"/>
          <w:szCs w:val="32"/>
        </w:rPr>
        <w:t>2020《标准化工作导则  第1部分：标准化文件的结构和起草规则》的</w:t>
      </w:r>
      <w:r>
        <w:rPr>
          <w:rFonts w:hint="eastAsia" w:ascii="仿宋" w:hAnsi="仿宋" w:eastAsia="仿宋"/>
          <w:sz w:val="32"/>
          <w:szCs w:val="32"/>
        </w:rPr>
        <w:t>规则</w:t>
      </w:r>
      <w:r>
        <w:rPr>
          <w:rFonts w:ascii="仿宋" w:hAnsi="仿宋" w:eastAsia="仿宋"/>
          <w:sz w:val="32"/>
          <w:szCs w:val="32"/>
        </w:rPr>
        <w:t>起草</w:t>
      </w:r>
      <w:r>
        <w:rPr>
          <w:rFonts w:hint="eastAsia" w:ascii="仿宋" w:hAnsi="仿宋" w:eastAsia="仿宋"/>
          <w:sz w:val="32"/>
          <w:szCs w:val="32"/>
        </w:rPr>
        <w:t>，标准主要内容根据《WS/T 475-2015  放射性皮肤疾病护理规范》《T/CNAS 43—2024</w:t>
      </w:r>
      <w:r>
        <w:rPr>
          <w:rFonts w:hint="eastAsia" w:ascii="仿宋" w:hAnsi="仿宋" w:eastAsia="仿宋"/>
          <w:sz w:val="32"/>
          <w:szCs w:val="32"/>
        </w:rPr>
        <w:tab/>
      </w:r>
      <w:r>
        <w:rPr>
          <w:rFonts w:hint="eastAsia" w:ascii="仿宋" w:hAnsi="仿宋" w:eastAsia="仿宋"/>
          <w:sz w:val="32"/>
          <w:szCs w:val="32"/>
        </w:rPr>
        <w:t>放射性皮肤损伤的护理》</w:t>
      </w:r>
      <w:r>
        <w:rPr>
          <w:rFonts w:hint="eastAsia" w:ascii="仿宋" w:hAnsi="仿宋" w:eastAsia="仿宋"/>
          <w:sz w:val="32"/>
          <w:szCs w:val="32"/>
          <w:lang w:val="en-US" w:eastAsia="zh-CN"/>
        </w:rPr>
        <w:t>等</w:t>
      </w:r>
      <w:r>
        <w:rPr>
          <w:rFonts w:hint="eastAsia" w:ascii="仿宋" w:hAnsi="仿宋" w:eastAsia="仿宋"/>
          <w:sz w:val="32"/>
          <w:szCs w:val="32"/>
        </w:rPr>
        <w:t>相关</w:t>
      </w:r>
      <w:r>
        <w:rPr>
          <w:rFonts w:hint="eastAsia" w:ascii="仿宋" w:hAnsi="仿宋" w:eastAsia="仿宋"/>
          <w:sz w:val="32"/>
          <w:szCs w:val="32"/>
          <w:lang w:val="en-US" w:eastAsia="zh-CN"/>
        </w:rPr>
        <w:t>标准</w:t>
      </w:r>
      <w:r>
        <w:rPr>
          <w:rFonts w:hint="eastAsia" w:ascii="仿宋" w:hAnsi="仿宋" w:eastAsia="仿宋"/>
          <w:sz w:val="32"/>
          <w:szCs w:val="32"/>
        </w:rPr>
        <w:t>和专家共识，以及临床工作经验制定。技术内容主要涉及</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相关</w:t>
      </w:r>
      <w:r>
        <w:rPr>
          <w:rFonts w:hint="eastAsia" w:ascii="仿宋" w:hAnsi="仿宋" w:eastAsia="仿宋"/>
          <w:sz w:val="32"/>
          <w:szCs w:val="32"/>
          <w:lang w:val="en-US" w:eastAsia="zh-CN"/>
        </w:rPr>
        <w:t>护理措施</w:t>
      </w:r>
      <w:r>
        <w:rPr>
          <w:rFonts w:hint="eastAsia" w:ascii="仿宋" w:hAnsi="仿宋" w:eastAsia="仿宋"/>
          <w:sz w:val="32"/>
          <w:szCs w:val="32"/>
        </w:rPr>
        <w:t>，能够更加全面、综合性的进行</w:t>
      </w:r>
      <w:r>
        <w:rPr>
          <w:rFonts w:hint="eastAsia" w:ascii="仿宋" w:hAnsi="仿宋" w:eastAsia="仿宋"/>
          <w:sz w:val="32"/>
          <w:szCs w:val="32"/>
          <w:lang w:val="en-US" w:eastAsia="zh-CN"/>
        </w:rPr>
        <w:t>护理</w:t>
      </w:r>
      <w:r>
        <w:rPr>
          <w:rFonts w:hint="eastAsia" w:ascii="仿宋" w:hAnsi="仿宋" w:eastAsia="仿宋"/>
          <w:sz w:val="32"/>
          <w:szCs w:val="32"/>
        </w:rPr>
        <w:t>指导。</w:t>
      </w:r>
    </w:p>
    <w:p w14:paraId="62241236">
      <w:pPr>
        <w:widowControl/>
        <w:tabs>
          <w:tab w:val="center" w:pos="4201"/>
          <w:tab w:val="right" w:leader="dot" w:pos="9298"/>
        </w:tabs>
        <w:autoSpaceDE w:val="0"/>
        <w:autoSpaceDN w:val="0"/>
        <w:spacing w:line="560" w:lineRule="exact"/>
        <w:ind w:firstLine="643" w:firstLineChars="200"/>
        <w:outlineLvl w:val="1"/>
        <w:rPr>
          <w:rFonts w:eastAsia="楷体"/>
          <w:b/>
          <w:bCs/>
          <w:kern w:val="0"/>
          <w:sz w:val="32"/>
          <w:szCs w:val="32"/>
        </w:rPr>
      </w:pPr>
      <w:r>
        <w:rPr>
          <w:rFonts w:hint="eastAsia" w:eastAsia="楷体"/>
          <w:b/>
          <w:bCs/>
          <w:kern w:val="0"/>
          <w:sz w:val="32"/>
          <w:szCs w:val="32"/>
        </w:rPr>
        <w:t>（三）与现行法律、法规的关系，与有关国家标准、行业标准的协调情况</w:t>
      </w:r>
    </w:p>
    <w:p w14:paraId="1CDB832D">
      <w:pPr>
        <w:ind w:firstLine="640" w:firstLineChars="200"/>
        <w:rPr>
          <w:rFonts w:ascii="仿宋" w:hAnsi="仿宋" w:eastAsia="仿宋"/>
          <w:sz w:val="32"/>
          <w:szCs w:val="32"/>
        </w:rPr>
      </w:pPr>
      <w:r>
        <w:rPr>
          <w:rFonts w:hint="eastAsia" w:ascii="仿宋" w:hAnsi="仿宋" w:eastAsia="仿宋"/>
          <w:sz w:val="32"/>
          <w:szCs w:val="32"/>
        </w:rPr>
        <w:t>本标准与相关法律法规、强制性标准协调一致，无冲突。</w:t>
      </w:r>
    </w:p>
    <w:p w14:paraId="16CACFF8">
      <w:pPr>
        <w:ind w:firstLine="640" w:firstLineChars="200"/>
        <w:rPr>
          <w:rFonts w:hint="eastAsia" w:ascii="仿宋" w:hAnsi="仿宋" w:eastAsia="仿宋"/>
          <w:sz w:val="32"/>
          <w:szCs w:val="32"/>
        </w:rPr>
      </w:pPr>
      <w:r>
        <w:rPr>
          <w:rFonts w:hint="eastAsia" w:ascii="仿宋" w:hAnsi="仿宋" w:eastAsia="仿宋"/>
          <w:sz w:val="32"/>
          <w:szCs w:val="32"/>
        </w:rPr>
        <w:t>经查新，截至目前，与“放射性皮肤护理”“皮肤损伤护理”相关的标准有：T/CNAS 43—2024</w:t>
      </w:r>
      <w:r>
        <w:rPr>
          <w:rFonts w:hint="eastAsia" w:ascii="仿宋" w:hAnsi="仿宋" w:eastAsia="仿宋"/>
          <w:sz w:val="32"/>
          <w:szCs w:val="32"/>
        </w:rPr>
        <w:tab/>
      </w:r>
      <w:r>
        <w:rPr>
          <w:rFonts w:hint="eastAsia" w:ascii="仿宋" w:hAnsi="仿宋" w:eastAsia="仿宋"/>
          <w:sz w:val="32"/>
          <w:szCs w:val="32"/>
        </w:rPr>
        <w:t>放射性皮肤损伤的护理、WS/T 475-2015  放射性皮肤疾病护理规范。分析如下：</w:t>
      </w:r>
    </w:p>
    <w:p w14:paraId="7967E68B">
      <w:pPr>
        <w:ind w:firstLine="640" w:firstLineChars="200"/>
        <w:rPr>
          <w:rFonts w:hint="eastAsia" w:ascii="仿宋" w:hAnsi="仿宋" w:eastAsia="仿宋"/>
          <w:sz w:val="32"/>
          <w:szCs w:val="32"/>
        </w:rPr>
      </w:pPr>
      <w:r>
        <w:rPr>
          <w:rFonts w:hint="eastAsia" w:ascii="仿宋" w:hAnsi="仿宋" w:eastAsia="仿宋"/>
          <w:sz w:val="32"/>
          <w:szCs w:val="32"/>
        </w:rPr>
        <w:t>（1）T/CNAS 43—2024《放射性皮肤损伤的护理》</w:t>
      </w:r>
      <w:r>
        <w:rPr>
          <w:rFonts w:hint="eastAsia" w:ascii="仿宋" w:hAnsi="仿宋" w:eastAsia="仿宋"/>
          <w:sz w:val="32"/>
          <w:szCs w:val="32"/>
        </w:rPr>
        <w:tab/>
      </w:r>
      <w:r>
        <w:rPr>
          <w:rFonts w:hint="eastAsia" w:ascii="仿宋" w:hAnsi="仿宋" w:eastAsia="仿宋"/>
          <w:sz w:val="32"/>
          <w:szCs w:val="32"/>
        </w:rPr>
        <w:t>涵盖放射性皮肤损伤的评估、预防及护理，未区分急慢性，而本标准单独划分急性、慢性损伤分级，细化慢性损伤护理；补充量化评估指标及护理专用量表；增加敷料禁忌警示及功能康复方案；聚焦肿瘤患者联合治疗场景的损伤特点。</w:t>
      </w:r>
    </w:p>
    <w:p w14:paraId="192C3859">
      <w:pPr>
        <w:ind w:firstLine="640" w:firstLineChars="200"/>
        <w:rPr>
          <w:rFonts w:hint="eastAsia" w:ascii="仿宋" w:hAnsi="仿宋" w:eastAsia="仿宋"/>
          <w:sz w:val="32"/>
          <w:szCs w:val="32"/>
        </w:rPr>
      </w:pPr>
      <w:r>
        <w:rPr>
          <w:rFonts w:hint="eastAsia" w:ascii="仿宋" w:hAnsi="仿宋" w:eastAsia="仿宋"/>
          <w:sz w:val="32"/>
          <w:szCs w:val="32"/>
        </w:rPr>
        <w:t>（2）WS/T 475-2015《放射性皮肤疾病护理规范》</w:t>
      </w:r>
      <w:r>
        <w:rPr>
          <w:rFonts w:hint="eastAsia" w:ascii="仿宋" w:hAnsi="仿宋" w:eastAsia="仿宋"/>
          <w:sz w:val="32"/>
          <w:szCs w:val="32"/>
        </w:rPr>
        <w:tab/>
      </w:r>
      <w:r>
        <w:rPr>
          <w:rFonts w:hint="eastAsia" w:ascii="仿宋" w:hAnsi="仿宋" w:eastAsia="仿宋"/>
          <w:sz w:val="32"/>
          <w:szCs w:val="32"/>
        </w:rPr>
        <w:t>规范放射性皮肤疾病的基础护理，而本标准完善分级评估体系，新增客观量化指标；补充新型敷料的应用及禁忌；明确护理人员资质要求。</w:t>
      </w:r>
    </w:p>
    <w:p w14:paraId="39A54FB0">
      <w:pPr>
        <w:ind w:firstLine="640" w:firstLineChars="200"/>
        <w:rPr>
          <w:rFonts w:hint="eastAsia" w:ascii="仿宋" w:hAnsi="仿宋" w:eastAsia="仿宋"/>
          <w:sz w:val="32"/>
          <w:szCs w:val="32"/>
        </w:rPr>
      </w:pPr>
      <w:r>
        <w:rPr>
          <w:rFonts w:hint="eastAsia" w:ascii="仿宋" w:hAnsi="仿宋" w:eastAsia="仿宋"/>
          <w:sz w:val="32"/>
          <w:szCs w:val="32"/>
        </w:rPr>
        <w:t>（3）《放射性皮炎的预防与治疗临床实践指南》（2023）</w:t>
      </w:r>
      <w:r>
        <w:rPr>
          <w:rFonts w:hint="eastAsia" w:ascii="仿宋" w:hAnsi="仿宋" w:eastAsia="仿宋"/>
          <w:sz w:val="32"/>
          <w:szCs w:val="32"/>
        </w:rPr>
        <w:tab/>
      </w:r>
      <w:r>
        <w:rPr>
          <w:rFonts w:hint="eastAsia" w:ascii="仿宋" w:hAnsi="仿宋" w:eastAsia="仿宋"/>
          <w:sz w:val="32"/>
          <w:szCs w:val="32"/>
        </w:rPr>
        <w:t>侧重预防与治疗的医疗措施，本标准聚焦护理操作流程，增强实用性；新增护理评估工具及效果评价方法；细化各级损伤的护理干预细节。</w:t>
      </w:r>
    </w:p>
    <w:p w14:paraId="2CB4731C">
      <w:pPr>
        <w:ind w:firstLine="640" w:firstLineChars="200"/>
        <w:rPr>
          <w:rFonts w:hint="eastAsia" w:ascii="仿宋" w:hAnsi="仿宋" w:eastAsia="仿宋"/>
          <w:sz w:val="32"/>
          <w:szCs w:val="32"/>
        </w:rPr>
      </w:pPr>
      <w:r>
        <w:rPr>
          <w:rFonts w:hint="eastAsia" w:ascii="仿宋" w:hAnsi="仿宋" w:eastAsia="仿宋"/>
          <w:sz w:val="32"/>
          <w:szCs w:val="32"/>
        </w:rPr>
        <w:t>（4）欧洲ESTRO实践建议（2025版）</w:t>
      </w:r>
      <w:r>
        <w:rPr>
          <w:rFonts w:hint="eastAsia" w:ascii="仿宋" w:hAnsi="仿宋" w:eastAsia="仿宋"/>
          <w:sz w:val="32"/>
          <w:szCs w:val="32"/>
        </w:rPr>
        <w:tab/>
      </w:r>
      <w:r>
        <w:rPr>
          <w:rFonts w:hint="eastAsia" w:ascii="仿宋" w:hAnsi="仿宋" w:eastAsia="仿宋"/>
          <w:sz w:val="32"/>
          <w:szCs w:val="32"/>
        </w:rPr>
        <w:t>是国际通用的放射性皮炎管理建议，本标准结合中国肿瘤患者治疗特点（如联合化疗、靶向治疗）优化分级； 适配国内医疗机构护理资源配置；补充适合基层医院的简易评估方法。</w:t>
      </w:r>
    </w:p>
    <w:p w14:paraId="40CF3CCF">
      <w:pPr>
        <w:ind w:firstLine="640" w:firstLineChars="200"/>
        <w:rPr>
          <w:rFonts w:hint="eastAsia" w:ascii="仿宋" w:hAnsi="仿宋" w:eastAsia="仿宋"/>
          <w:sz w:val="32"/>
          <w:szCs w:val="32"/>
        </w:rPr>
      </w:pPr>
      <w:r>
        <w:rPr>
          <w:rFonts w:hint="eastAsia" w:ascii="仿宋" w:hAnsi="仿宋" w:eastAsia="仿宋"/>
          <w:sz w:val="32"/>
          <w:szCs w:val="32"/>
        </w:rPr>
        <w:t>综上所述，本标准是在综合这两个标准的内容基础上，再增加了放射性皮肤损伤操作的主要流程，并且增加了对放射性皮肤损伤人员的配置要求，本标准与上述其他现行标准的侧重点和核心内容均存在差异，将有效指导肿瘤患者急慢性放射性皮肤损伤分级护理规范。主要创新点如下：</w:t>
      </w:r>
    </w:p>
    <w:p w14:paraId="5EBDAEE0">
      <w:pPr>
        <w:ind w:firstLine="640" w:firstLineChars="200"/>
        <w:rPr>
          <w:rFonts w:hint="eastAsia" w:ascii="仿宋" w:hAnsi="仿宋" w:eastAsia="仿宋"/>
          <w:sz w:val="32"/>
          <w:szCs w:val="32"/>
        </w:rPr>
      </w:pPr>
      <w:r>
        <w:rPr>
          <w:rFonts w:hint="eastAsia" w:ascii="仿宋" w:hAnsi="仿宋" w:eastAsia="仿宋"/>
          <w:sz w:val="32"/>
          <w:szCs w:val="32"/>
        </w:rPr>
        <w:t>1.聚焦“皮肤专属”分级：删除原分级中黏膜、眼部、喉部、食管、脊髓等非皮肤相关表现，明确界定皮肤及皮下组织损伤评估范围，贴合标准名称及护理执业核心定位。</w:t>
      </w:r>
    </w:p>
    <w:p w14:paraId="0A676596">
      <w:pPr>
        <w:ind w:firstLine="640" w:firstLineChars="200"/>
        <w:rPr>
          <w:rFonts w:hint="eastAsia" w:ascii="仿宋" w:hAnsi="仿宋" w:eastAsia="仿宋"/>
          <w:sz w:val="32"/>
          <w:szCs w:val="32"/>
        </w:rPr>
      </w:pPr>
      <w:r>
        <w:rPr>
          <w:rFonts w:hint="eastAsia" w:ascii="仿宋" w:hAnsi="仿宋" w:eastAsia="仿宋"/>
          <w:sz w:val="32"/>
          <w:szCs w:val="32"/>
        </w:rPr>
        <w:t>2.量化分级指标：将“轻度”“中度”等模糊描述转化为可测量的客观指标（如面积、厚度、角度），提升分级评估的准确性与可重复性。</w:t>
      </w:r>
    </w:p>
    <w:p w14:paraId="3ABA9503">
      <w:pPr>
        <w:ind w:firstLine="640" w:firstLineChars="200"/>
        <w:rPr>
          <w:rFonts w:hint="eastAsia" w:ascii="仿宋" w:hAnsi="仿宋" w:eastAsia="仿宋"/>
          <w:sz w:val="32"/>
          <w:szCs w:val="32"/>
        </w:rPr>
      </w:pPr>
      <w:r>
        <w:rPr>
          <w:rFonts w:hint="eastAsia" w:ascii="仿宋" w:hAnsi="仿宋" w:eastAsia="仿宋"/>
          <w:sz w:val="32"/>
          <w:szCs w:val="32"/>
        </w:rPr>
        <w:t>3.强化护理特异性：新增护理专用评估量表，明确各级损伤的护理操作流程、敷料选择及禁忌，补充慢性损伤全周期随访机制，解决现有标准护理操作不细化的问题。</w:t>
      </w:r>
    </w:p>
    <w:p w14:paraId="3B49C634">
      <w:pPr>
        <w:ind w:firstLine="640" w:firstLineChars="200"/>
        <w:rPr>
          <w:rFonts w:hint="eastAsia" w:ascii="仿宋" w:hAnsi="仿宋" w:eastAsia="仿宋"/>
          <w:sz w:val="32"/>
          <w:szCs w:val="32"/>
        </w:rPr>
      </w:pPr>
      <w:r>
        <w:rPr>
          <w:rFonts w:hint="eastAsia" w:ascii="仿宋" w:hAnsi="仿宋" w:eastAsia="仿宋"/>
          <w:sz w:val="32"/>
          <w:szCs w:val="32"/>
        </w:rPr>
        <w:t>4.突出循证支撑：每个核心护理措施标注证据等级及引用来源，确保标准的科学性，同时结合广西本地临床实践数据优化，提升区域适用性。</w:t>
      </w:r>
    </w:p>
    <w:p w14:paraId="4BED777A">
      <w:pPr>
        <w:ind w:firstLine="640" w:firstLineChars="200"/>
        <w:rPr>
          <w:rFonts w:ascii="仿宋" w:hAnsi="仿宋" w:eastAsia="仿宋"/>
          <w:sz w:val="32"/>
          <w:szCs w:val="32"/>
        </w:rPr>
      </w:pPr>
      <w:r>
        <w:rPr>
          <w:rFonts w:hint="eastAsia" w:ascii="仿宋" w:hAnsi="仿宋" w:eastAsia="仿宋"/>
          <w:sz w:val="32"/>
          <w:szCs w:val="32"/>
        </w:rPr>
        <w:t>5.差异化定位：相较于现有标准（如T/CNAS 43—2024），本标准单独区分急慢性损伤并细化慢性损伤护理，补充联合治疗场景下的损伤评估要点，增加敷料禁忌警示及功能康复内容，形成互补。</w:t>
      </w:r>
    </w:p>
    <w:p w14:paraId="700D51C5">
      <w:pPr>
        <w:spacing w:before="240" w:after="60"/>
        <w:ind w:firstLine="640" w:firstLineChars="200"/>
        <w:jc w:val="left"/>
        <w:outlineLvl w:val="0"/>
        <w:rPr>
          <w:rFonts w:ascii="黑体" w:hAnsi="黑体" w:eastAsia="黑体"/>
          <w:bCs/>
          <w:sz w:val="32"/>
          <w:szCs w:val="32"/>
        </w:rPr>
      </w:pPr>
      <w:r>
        <w:rPr>
          <w:rFonts w:ascii="黑体" w:hAnsi="黑体" w:eastAsia="黑体"/>
          <w:bCs/>
          <w:sz w:val="32"/>
          <w:szCs w:val="32"/>
        </w:rPr>
        <w:t>五、</w:t>
      </w:r>
      <w:r>
        <w:rPr>
          <w:rFonts w:hint="eastAsia" w:ascii="黑体" w:hAnsi="黑体" w:eastAsia="黑体"/>
          <w:bCs/>
          <w:sz w:val="32"/>
          <w:szCs w:val="32"/>
        </w:rPr>
        <w:t>主要条款的说明</w:t>
      </w:r>
    </w:p>
    <w:p w14:paraId="4A06D339">
      <w:pPr>
        <w:spacing w:line="560" w:lineRule="exact"/>
        <w:ind w:firstLine="640" w:firstLineChars="200"/>
        <w:rPr>
          <w:rFonts w:ascii="仿宋" w:hAnsi="仿宋" w:eastAsia="仿宋"/>
          <w:sz w:val="32"/>
          <w:szCs w:val="32"/>
        </w:rPr>
      </w:pPr>
      <w:r>
        <w:rPr>
          <w:rFonts w:hint="eastAsia" w:ascii="仿宋" w:hAnsi="仿宋" w:eastAsia="仿宋"/>
          <w:sz w:val="32"/>
          <w:szCs w:val="32"/>
        </w:rPr>
        <w:t>团体标准《</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规范》主要内容为</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指导，规定了</w:t>
      </w:r>
      <w:r>
        <w:rPr>
          <w:rFonts w:hint="eastAsia" w:ascii="仿宋" w:hAnsi="仿宋" w:eastAsia="仿宋"/>
          <w:sz w:val="32"/>
          <w:szCs w:val="32"/>
          <w:lang w:eastAsia="zh-CN"/>
        </w:rPr>
        <w:t>双腔造口灌肠护理</w:t>
      </w:r>
      <w:r>
        <w:rPr>
          <w:rFonts w:hint="eastAsia" w:ascii="仿宋" w:hAnsi="仿宋" w:eastAsia="仿宋"/>
          <w:sz w:val="32"/>
          <w:szCs w:val="32"/>
          <w:lang w:val="en-US" w:eastAsia="zh-CN"/>
        </w:rPr>
        <w:t>的</w:t>
      </w:r>
      <w:r>
        <w:rPr>
          <w:rFonts w:hint="eastAsia" w:ascii="仿宋" w:hAnsi="仿宋" w:eastAsia="仿宋"/>
          <w:sz w:val="32"/>
          <w:szCs w:val="32"/>
        </w:rPr>
        <w:t>基本要求、护理前准备、护理措施、注意事项以及健康教育。该标准主要内容及依据来源说明如下：</w:t>
      </w:r>
    </w:p>
    <w:p w14:paraId="02E217B0">
      <w:pPr>
        <w:spacing w:line="560" w:lineRule="exact"/>
        <w:ind w:firstLine="643" w:firstLineChars="200"/>
        <w:rPr>
          <w:rFonts w:ascii="楷体" w:hAnsi="楷体" w:eastAsia="楷体"/>
          <w:b/>
          <w:sz w:val="32"/>
          <w:szCs w:val="32"/>
        </w:rPr>
      </w:pPr>
      <w:r>
        <w:rPr>
          <w:rFonts w:hint="eastAsia" w:ascii="楷体" w:hAnsi="楷体" w:eastAsia="楷体"/>
          <w:b/>
          <w:sz w:val="32"/>
          <w:szCs w:val="32"/>
        </w:rPr>
        <w:t>（一）基本要求</w:t>
      </w:r>
    </w:p>
    <w:p w14:paraId="36B37695">
      <w:pPr>
        <w:pStyle w:val="23"/>
        <w:spacing w:line="560" w:lineRule="exact"/>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sz w:val="32"/>
          <w:szCs w:val="32"/>
        </w:rPr>
        <w:t>为保障急性放射性皮肤损伤护理的安全性、规范性和有效性，要求医务人员经专项培训并考核合格，是因为放射性皮肤损伤分级护理专业性强，需熟练掌握分级标准、护理措施及风险防控要点，避免因专业不足导致护理失误，加重患者损伤、延误愈合；明确医疗机构消毒、卫生及感染隔离相关国标、行标要求，是因为放射性皮肤损伤患者皮肤屏障受损，尤其是中重度损伤（2-4级）创面暴露，易发生感染，规范消毒隔离和无菌操作可从环境层面降低感染风险，减少并发症；4规范医护人员手卫生，是因为手是交叉感染的主要传播途径，医护人员操作中需直接接触患者创面及护理物品，严格遵循手卫生标准可进一步阻断感染传播，保障患者护理安全，同时契合整体感染防控要求，确保护理全流程合规可控。</w:t>
      </w:r>
    </w:p>
    <w:p w14:paraId="44E69D85">
      <w:pPr>
        <w:pStyle w:val="23"/>
        <w:spacing w:line="560" w:lineRule="exact"/>
        <w:ind w:firstLine="643"/>
        <w:rPr>
          <w:rFonts w:hint="default" w:ascii="楷体" w:hAnsi="楷体" w:eastAsia="楷体"/>
          <w:b/>
          <w:color w:val="000000" w:themeColor="text1"/>
          <w:sz w:val="32"/>
          <w:szCs w:val="32"/>
          <w:lang w:val="en-US" w:eastAsia="zh-CN"/>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（二）</w:t>
      </w:r>
      <w:r>
        <w:rPr>
          <w:rFonts w:hint="eastAsia" w:ascii="楷体" w:hAnsi="楷体" w:eastAsia="楷体"/>
          <w:b/>
          <w:color w:val="000000" w:themeColor="text1"/>
          <w:sz w:val="32"/>
          <w:szCs w:val="32"/>
          <w:lang w:val="en-US" w:eastAsia="zh-CN"/>
          <w14:textFill>
            <w14:solidFill>
              <w14:schemeClr w14:val="tx1"/>
            </w14:solidFill>
          </w14:textFill>
        </w:rPr>
        <w:t>护理前准备</w:t>
      </w:r>
    </w:p>
    <w:p w14:paraId="13CB3D86">
      <w:pPr>
        <w:pStyle w:val="23"/>
        <w:spacing w:line="560" w:lineRule="exact"/>
        <w:ind w:firstLine="640"/>
        <w:rPr>
          <w:rFonts w:hint="eastAsia" w:ascii="仿宋" w:hAnsi="仿宋" w:eastAsia="仿宋"/>
          <w:sz w:val="32"/>
          <w:szCs w:val="32"/>
        </w:rPr>
      </w:pPr>
      <w:r>
        <w:rPr>
          <w:rFonts w:hint="eastAsia" w:ascii="仿宋" w:hAnsi="仿宋" w:eastAsia="仿宋"/>
          <w:sz w:val="32"/>
          <w:szCs w:val="32"/>
        </w:rPr>
        <w:t>做好肿瘤患者急慢性放射性皮肤损伤分级护理的护理前准备，是保障后续分级护理操作标准化、无菌化、安全化、高效化开展的前提，也是提升护理操作依从性、减少护理风险、保证护理措施精准落地的关键环节。</w:t>
      </w:r>
    </w:p>
    <w:p w14:paraId="5EC2168C">
      <w:pPr>
        <w:pStyle w:val="23"/>
        <w:spacing w:line="560" w:lineRule="exact"/>
        <w:ind w:firstLine="640"/>
        <w:rPr>
          <w:rFonts w:hint="eastAsia" w:ascii="仿宋" w:hAnsi="仿宋" w:eastAsia="仿宋"/>
          <w:sz w:val="32"/>
          <w:szCs w:val="32"/>
          <w:lang w:eastAsia="zh-CN"/>
        </w:rPr>
      </w:pPr>
      <w:r>
        <w:rPr>
          <w:rFonts w:hint="eastAsia" w:ascii="仿宋" w:hAnsi="仿宋" w:eastAsia="仿宋"/>
          <w:b/>
          <w:bCs/>
          <w:sz w:val="32"/>
          <w:szCs w:val="32"/>
          <w:lang w:val="en-US" w:eastAsia="zh-CN"/>
        </w:rPr>
        <w:t>护理评估</w:t>
      </w:r>
      <w:r>
        <w:rPr>
          <w:rFonts w:hint="eastAsia" w:ascii="仿宋" w:hAnsi="仿宋" w:eastAsia="仿宋"/>
          <w:sz w:val="32"/>
          <w:szCs w:val="32"/>
          <w:lang w:val="en-US" w:eastAsia="zh-CN"/>
        </w:rPr>
        <w:t>：</w:t>
      </w:r>
      <w:r>
        <w:rPr>
          <w:rFonts w:hint="eastAsia" w:ascii="仿宋" w:hAnsi="仿宋" w:eastAsia="仿宋"/>
          <w:sz w:val="32"/>
          <w:szCs w:val="32"/>
        </w:rPr>
        <w:t>放射性皮肤损伤分级评估参考《GBZ 106-2020 职业性放射性皮肤疾病诊断》</w:t>
      </w:r>
      <w:r>
        <w:rPr>
          <w:rFonts w:hint="eastAsia" w:ascii="仿宋" w:hAnsi="仿宋" w:eastAsia="仿宋"/>
          <w:sz w:val="32"/>
          <w:szCs w:val="32"/>
          <w:lang w:eastAsia="zh-CN"/>
        </w:rPr>
        <w:t>。在肿瘤患者急慢性放射性皮肤损伤的分级护理中，开展护理评估是实施精准、个性化分级护理的前提和核心基础，其目的是为了全面掌握患者皮肤损伤及整体状况，为后续护理措施制定、执行和效果评价提供科学依据，最终实现损伤的有效预防、精准干预和预后改善。</w:t>
      </w:r>
    </w:p>
    <w:p w14:paraId="32D3EE8C">
      <w:pPr>
        <w:pStyle w:val="23"/>
        <w:spacing w:line="560" w:lineRule="exact"/>
        <w:ind w:firstLine="640"/>
        <w:rPr>
          <w:rFonts w:hint="eastAsia" w:ascii="仿宋" w:hAnsi="仿宋" w:eastAsia="仿宋"/>
          <w:sz w:val="32"/>
          <w:szCs w:val="32"/>
          <w:lang w:eastAsia="zh-CN"/>
        </w:rPr>
      </w:pPr>
      <w:r>
        <w:rPr>
          <w:rFonts w:hint="eastAsia" w:ascii="仿宋" w:hAnsi="仿宋" w:eastAsia="仿宋"/>
          <w:sz w:val="32"/>
          <w:szCs w:val="32"/>
          <w:lang w:eastAsia="zh-CN"/>
        </w:rPr>
        <w:t>护理评估包含皮肤损伤分级评估（对照急性、慢性放射性皮肤损伤分级标准），能精准判定患者皮肤/黏膜损伤处于0~4级中的哪一等级，而本规范中不同损伤等级对应差异化的核心护理原则和具体措施（如0~1级以预防为主，3~4级需立即停疗并以控感染、促愈合为核心），只有通过评估明确分级，才能避免护理措施的盲目性，做到对症护理。</w:t>
      </w:r>
    </w:p>
    <w:p w14:paraId="480F9F6F">
      <w:pPr>
        <w:pStyle w:val="23"/>
        <w:keepNext w:val="0"/>
        <w:keepLines w:val="0"/>
        <w:pageBreakBefore w:val="0"/>
        <w:widowControl/>
        <w:kinsoku/>
        <w:wordWrap/>
        <w:overflowPunct/>
        <w:topLinePunct w:val="0"/>
        <w:autoSpaceDE w:val="0"/>
        <w:autoSpaceDN w:val="0"/>
        <w:bidi w:val="0"/>
        <w:adjustRightInd/>
        <w:snapToGrid/>
        <w:spacing w:line="240" w:lineRule="auto"/>
        <w:ind w:firstLine="640"/>
        <w:textAlignment w:val="auto"/>
        <w:rPr>
          <w:rFonts w:hint="eastAsia" w:ascii="仿宋" w:hAnsi="仿宋" w:eastAsia="仿宋"/>
          <w:sz w:val="32"/>
          <w:szCs w:val="32"/>
          <w:lang w:eastAsia="zh-CN"/>
        </w:rPr>
      </w:pPr>
      <w:r>
        <w:drawing>
          <wp:inline distT="0" distB="0" distL="114300" distR="114300">
            <wp:extent cx="5271135" cy="1423670"/>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71135" cy="1423670"/>
                    </a:xfrm>
                    <a:prstGeom prst="rect">
                      <a:avLst/>
                    </a:prstGeom>
                    <a:noFill/>
                    <a:ln>
                      <a:noFill/>
                    </a:ln>
                  </pic:spPr>
                </pic:pic>
              </a:graphicData>
            </a:graphic>
          </wp:inline>
        </w:drawing>
      </w:r>
    </w:p>
    <w:p w14:paraId="666619F9">
      <w:pPr>
        <w:pStyle w:val="23"/>
        <w:spacing w:line="560" w:lineRule="exact"/>
        <w:ind w:firstLine="640"/>
        <w:rPr>
          <w:rFonts w:hint="eastAsia" w:ascii="仿宋" w:hAnsi="仿宋" w:eastAsia="仿宋"/>
          <w:sz w:val="32"/>
          <w:szCs w:val="32"/>
          <w:lang w:eastAsia="zh-CN"/>
        </w:rPr>
      </w:pPr>
      <w:r>
        <w:rPr>
          <w:rFonts w:hint="eastAsia" w:ascii="仿宋" w:hAnsi="仿宋" w:eastAsia="仿宋"/>
          <w:sz w:val="32"/>
          <w:szCs w:val="32"/>
          <w:lang w:eastAsia="zh-CN"/>
        </w:rPr>
        <w:t>全身评估涵盖患者病情、年龄、放疗计量及时间、营养状态、自理能力、用药情况等关键信息，这些因素直接影响放射性皮肤损伤的发生、发展和愈合效果（如营养差的患者伤口愈合更慢，高龄患者自理能力弱需加强护理支持）。通过评估掌握这些信息，能在制定护理方案时充分考虑个体差异，规避护理过程中的潜在风险，同时为营养支持、用药调整等辅助护理提供依据。</w:t>
      </w:r>
    </w:p>
    <w:p w14:paraId="33C7CA0D">
      <w:pPr>
        <w:pStyle w:val="23"/>
        <w:spacing w:line="560" w:lineRule="exact"/>
        <w:ind w:firstLine="640"/>
        <w:rPr>
          <w:rFonts w:hint="eastAsia" w:ascii="仿宋" w:hAnsi="仿宋" w:eastAsia="仿宋"/>
          <w:sz w:val="32"/>
          <w:szCs w:val="32"/>
          <w:lang w:eastAsia="zh-CN"/>
        </w:rPr>
      </w:pPr>
      <w:r>
        <w:rPr>
          <w:rFonts w:hint="eastAsia" w:ascii="仿宋" w:hAnsi="仿宋" w:eastAsia="仿宋"/>
          <w:sz w:val="32"/>
          <w:szCs w:val="32"/>
          <w:lang w:eastAsia="zh-CN"/>
        </w:rPr>
        <w:t>要求在每次放疗时、放疗结束后随访时开展动态皮肤评估，结合护理评估量表的量化指标（如疼痛NRS评分、渗液量分级、伤口面积等），能实时跟踪皮肤损伤的变化趋势（如损伤是否加重、伤口是否愈合、症状是否缓解），及时发现护理措施执行中的问题，进而动态调整护理方案，避免损伤进一步发展。</w:t>
      </w:r>
    </w:p>
    <w:p w14:paraId="6290C954">
      <w:pPr>
        <w:pStyle w:val="23"/>
        <w:spacing w:line="560" w:lineRule="exact"/>
        <w:ind w:firstLine="640"/>
        <w:rPr>
          <w:rFonts w:hint="eastAsia" w:ascii="仿宋" w:hAnsi="仿宋" w:eastAsia="仿宋"/>
          <w:sz w:val="32"/>
          <w:szCs w:val="32"/>
          <w:lang w:eastAsia="zh-CN"/>
        </w:rPr>
      </w:pPr>
      <w:r>
        <w:rPr>
          <w:rFonts w:hint="eastAsia" w:ascii="仿宋" w:hAnsi="仿宋" w:eastAsia="仿宋"/>
          <w:sz w:val="32"/>
          <w:szCs w:val="32"/>
          <w:lang w:eastAsia="zh-CN"/>
        </w:rPr>
        <w:t>护理评估量表为损伤护理提供了标准化的量化评估工具（如用TEWL检测仪评估皮肤屏障功能、用透明标尺测量伤口面积），通过治疗前、治疗中、随访时的多次评估，能客观对比各项指标的变化，精准衡量护理措施的实施效果，判断是否需要优化护理手段，同时为护理质量的把控和临床护理研究提供可量化的参考数据。</w:t>
      </w:r>
    </w:p>
    <w:p w14:paraId="0EABA4D2">
      <w:pPr>
        <w:pStyle w:val="23"/>
        <w:spacing w:line="560" w:lineRule="exact"/>
        <w:ind w:firstLine="640"/>
        <w:rPr>
          <w:rFonts w:hint="eastAsia" w:ascii="仿宋" w:hAnsi="仿宋" w:eastAsia="仿宋"/>
          <w:sz w:val="32"/>
          <w:szCs w:val="32"/>
          <w:lang w:eastAsia="zh-CN"/>
        </w:rPr>
      </w:pPr>
      <w:r>
        <w:rPr>
          <w:rFonts w:hint="eastAsia" w:ascii="仿宋" w:hAnsi="仿宋" w:eastAsia="仿宋"/>
          <w:sz w:val="32"/>
          <w:szCs w:val="32"/>
          <w:lang w:eastAsia="zh-CN"/>
        </w:rPr>
        <w:t>当患者出现3~4级严重损伤时，需要多学科会诊/协作（如外科、康复科、感染科等），而护理评估所获取的伤口感染情况、疼痛程度、功能障碍状态等详细信息，能为多学科团队制定综合治疗和护理方案提供全面、准确的临床依据，保障多学科协作的针对性和有效性。</w:t>
      </w:r>
    </w:p>
    <w:p w14:paraId="6268ABE1">
      <w:pPr>
        <w:pStyle w:val="23"/>
        <w:ind w:firstLine="640"/>
        <w:rPr>
          <w:rFonts w:hint="eastAsia" w:ascii="仿宋" w:hAnsi="仿宋" w:eastAsia="仿宋"/>
          <w:sz w:val="32"/>
          <w:szCs w:val="32"/>
        </w:rPr>
      </w:pPr>
      <w:r>
        <w:rPr>
          <w:rFonts w:hint="eastAsia" w:ascii="仿宋" w:hAnsi="仿宋" w:eastAsia="仿宋"/>
          <w:b/>
          <w:bCs/>
          <w:sz w:val="32"/>
          <w:szCs w:val="32"/>
        </w:rPr>
        <w:t>人员准备</w:t>
      </w:r>
      <w:r>
        <w:rPr>
          <w:rFonts w:hint="eastAsia" w:ascii="仿宋" w:hAnsi="仿宋" w:eastAsia="仿宋"/>
          <w:sz w:val="32"/>
          <w:szCs w:val="32"/>
        </w:rPr>
        <w:t>：筑牢无菌操作防线，规避交叉感染风险</w:t>
      </w:r>
      <w:r>
        <w:rPr>
          <w:rFonts w:hint="eastAsia" w:ascii="仿宋" w:hAnsi="仿宋" w:eastAsia="仿宋"/>
          <w:sz w:val="32"/>
          <w:szCs w:val="32"/>
          <w:lang w:eastAsia="zh-CN"/>
        </w:rPr>
        <w:t>。</w:t>
      </w:r>
      <w:r>
        <w:rPr>
          <w:rFonts w:hint="eastAsia" w:ascii="仿宋" w:hAnsi="仿宋" w:eastAsia="仿宋"/>
          <w:sz w:val="32"/>
          <w:szCs w:val="32"/>
        </w:rPr>
        <w:t>护理前要求护理人员规范仪表、洗手、戴口罩帽子，是严格遵循WS/T 313手卫生的基础操作。放射性皮肤损伤患者的皮肤屏障本就受损（尤其是2级及以上有破损、水疱的情况），极易发生感染，护理人员的标准化个人准备，能从操作源头减少医护人员携带的致病菌接触患者创面，避免交叉感染，保障护理操作的专业性和规范性。</w:t>
      </w:r>
    </w:p>
    <w:p w14:paraId="0C56ABA1">
      <w:pPr>
        <w:pStyle w:val="23"/>
        <w:ind w:firstLine="640"/>
        <w:rPr>
          <w:rFonts w:hint="eastAsia" w:ascii="仿宋" w:hAnsi="仿宋" w:eastAsia="仿宋"/>
          <w:sz w:val="32"/>
          <w:szCs w:val="32"/>
        </w:rPr>
      </w:pPr>
      <w:r>
        <w:rPr>
          <w:rFonts w:hint="eastAsia" w:ascii="仿宋" w:hAnsi="仿宋" w:eastAsia="仿宋"/>
          <w:b/>
          <w:bCs/>
          <w:sz w:val="32"/>
          <w:szCs w:val="32"/>
        </w:rPr>
        <w:t>患者准备</w:t>
      </w:r>
      <w:r>
        <w:rPr>
          <w:rFonts w:hint="eastAsia" w:ascii="仿宋" w:hAnsi="仿宋" w:eastAsia="仿宋"/>
          <w:sz w:val="32"/>
          <w:szCs w:val="32"/>
        </w:rPr>
        <w:t>：提升操作配合度，减少护理操作不良体验</w:t>
      </w:r>
    </w:p>
    <w:p w14:paraId="1D237A28">
      <w:pPr>
        <w:pStyle w:val="23"/>
        <w:ind w:firstLine="640"/>
        <w:rPr>
          <w:rFonts w:hint="eastAsia" w:ascii="仿宋" w:hAnsi="仿宋" w:eastAsia="仿宋"/>
          <w:sz w:val="32"/>
          <w:szCs w:val="32"/>
        </w:rPr>
      </w:pPr>
      <w:r>
        <w:rPr>
          <w:rFonts w:hint="eastAsia" w:ascii="仿宋" w:hAnsi="仿宋" w:eastAsia="仿宋"/>
          <w:sz w:val="32"/>
          <w:szCs w:val="32"/>
        </w:rPr>
        <w:t>护理前查对患者信息，能杜绝身份识别错误，避免护理操作部位、措施与患者病情/损伤分级不匹配的失误，保障护理的精准性；向患者解释操作目的并取得配合，可缓解患者因放疗、皮肤损伤带来的焦虑、恐惧情绪，减少其在操作中的抵触行为；协助摆好舒适体位，既能让护理人员顺利开展换药、敷料粘贴等操作，也能避免因体位不当牵拉、压迫患者损伤部位，防止加重皮肤疼痛、破损或水疱破裂，提升护理操作的舒适度和安全性。</w:t>
      </w:r>
    </w:p>
    <w:p w14:paraId="0AA88D45">
      <w:pPr>
        <w:pStyle w:val="23"/>
        <w:ind w:firstLine="640"/>
        <w:rPr>
          <w:rFonts w:hint="eastAsia" w:ascii="仿宋" w:hAnsi="仿宋" w:eastAsia="仿宋"/>
          <w:sz w:val="32"/>
          <w:szCs w:val="32"/>
        </w:rPr>
      </w:pPr>
      <w:r>
        <w:rPr>
          <w:rFonts w:hint="eastAsia" w:ascii="仿宋" w:hAnsi="仿宋" w:eastAsia="仿宋"/>
          <w:b/>
          <w:bCs/>
          <w:sz w:val="32"/>
          <w:szCs w:val="32"/>
        </w:rPr>
        <w:t>物品准备</w:t>
      </w:r>
      <w:r>
        <w:rPr>
          <w:rFonts w:hint="eastAsia" w:ascii="仿宋" w:hAnsi="仿宋" w:eastAsia="仿宋"/>
          <w:sz w:val="32"/>
          <w:szCs w:val="32"/>
        </w:rPr>
        <w:t>：保障护理操作连续高效，实现对症护理精准落地</w:t>
      </w:r>
      <w:r>
        <w:rPr>
          <w:rFonts w:hint="eastAsia" w:ascii="仿宋" w:hAnsi="仿宋" w:eastAsia="仿宋"/>
          <w:sz w:val="32"/>
          <w:szCs w:val="32"/>
          <w:lang w:eastAsia="zh-CN"/>
        </w:rPr>
        <w:t>。</w:t>
      </w:r>
      <w:r>
        <w:rPr>
          <w:rFonts w:hint="eastAsia" w:ascii="仿宋" w:hAnsi="仿宋" w:eastAsia="仿宋"/>
          <w:sz w:val="32"/>
          <w:szCs w:val="32"/>
        </w:rPr>
        <w:t>护理前按要求备齐治疗车、无菌换药包、各类新型敷料、测量工具等物品，且明确敷料禁忌警示，</w:t>
      </w:r>
      <w:r>
        <w:rPr>
          <w:rFonts w:hint="eastAsia" w:ascii="仿宋" w:hAnsi="仿宋" w:eastAsia="仿宋"/>
          <w:sz w:val="32"/>
          <w:szCs w:val="32"/>
          <w:lang w:val="en-US" w:eastAsia="zh-CN"/>
        </w:rPr>
        <w:t>能</w:t>
      </w:r>
      <w:r>
        <w:rPr>
          <w:rFonts w:hint="eastAsia" w:ascii="仿宋" w:hAnsi="仿宋" w:eastAsia="仿宋"/>
          <w:sz w:val="32"/>
          <w:szCs w:val="32"/>
        </w:rPr>
        <w:t>避免操作中因物品缺失频繁中断，保证护理操作的连续性和高效性，减少患者创面暴露时间，降低感染概率；提前备齐与患者损伤分级匹配的专用物品（如0~1级备皮肤保护粉、三乙醇胺乳膏，2级水疱备银离子抗菌敷料，3级渗液伤口备藻酸盐敷料），并规避敷料使用禁忌（如藻酸盐过敏者禁用对应敷料、感染急性期禁用水胶体敷料），能直接保障后续分级护理措施精准对症实施，避免因物品用错加重皮肤损伤，同时测量工具、培养瓶等备用物品，也能满足动态评估（如伤口面积测量）、感染排查（如分泌物培养）的即时需求。</w:t>
      </w:r>
    </w:p>
    <w:p w14:paraId="7A3FD211">
      <w:pPr>
        <w:widowControl/>
        <w:autoSpaceDE w:val="0"/>
        <w:autoSpaceDN w:val="0"/>
        <w:spacing w:line="560" w:lineRule="exact"/>
        <w:ind w:firstLine="643" w:firstLineChars="200"/>
        <w:rPr>
          <w:rFonts w:hint="default" w:ascii="楷体" w:hAnsi="楷体" w:eastAsia="楷体"/>
          <w:b/>
          <w:kern w:val="0"/>
          <w:sz w:val="32"/>
          <w:szCs w:val="32"/>
          <w:lang w:val="en-US" w:eastAsia="zh-CN"/>
        </w:rPr>
      </w:pPr>
      <w:r>
        <w:rPr>
          <w:rFonts w:hint="eastAsia" w:ascii="楷体" w:hAnsi="楷体" w:eastAsia="楷体"/>
          <w:b/>
          <w:kern w:val="0"/>
          <w:sz w:val="32"/>
          <w:szCs w:val="32"/>
        </w:rPr>
        <w:t>（三）</w:t>
      </w:r>
      <w:r>
        <w:rPr>
          <w:rFonts w:hint="eastAsia" w:ascii="楷体" w:hAnsi="楷体" w:eastAsia="楷体"/>
          <w:b/>
          <w:kern w:val="0"/>
          <w:sz w:val="32"/>
          <w:szCs w:val="32"/>
          <w:lang w:val="en-US" w:eastAsia="zh-CN"/>
        </w:rPr>
        <w:t>护理措施</w:t>
      </w:r>
    </w:p>
    <w:p w14:paraId="6FB8E800">
      <w:pPr>
        <w:widowControl/>
        <w:autoSpaceDE w:val="0"/>
        <w:autoSpaceDN w:val="0"/>
        <w:spacing w:line="560" w:lineRule="exact"/>
        <w:ind w:firstLine="640" w:firstLineChars="200"/>
        <w:rPr>
          <w:rFonts w:hint="eastAsia" w:ascii="仿宋" w:hAnsi="仿宋" w:eastAsia="仿宋"/>
          <w:b w:val="0"/>
          <w:bCs w:val="0"/>
          <w:sz w:val="32"/>
          <w:szCs w:val="32"/>
          <w:lang w:eastAsia="zh-CN"/>
        </w:rPr>
      </w:pPr>
      <w:r>
        <w:rPr>
          <w:rFonts w:hint="eastAsia" w:ascii="仿宋" w:hAnsi="仿宋" w:eastAsia="仿宋"/>
          <w:b w:val="0"/>
          <w:bCs w:val="0"/>
          <w:sz w:val="32"/>
          <w:szCs w:val="32"/>
        </w:rPr>
        <w:t>在肿瘤患者急慢性放射性皮肤损伤的分级护理中，实施对应护理措施是基于护理评估结果的精准干预核心环节，核心目的是根据急慢性损伤的不同分级，通过标准化、针对性的操作实现损伤预防、症状控制、创面修复、功能保护，同时规避损伤加重风险、提升患者放疗耐受性和生活质量</w:t>
      </w:r>
      <w:r>
        <w:rPr>
          <w:rFonts w:hint="eastAsia" w:ascii="仿宋" w:hAnsi="仿宋" w:eastAsia="仿宋"/>
          <w:b w:val="0"/>
          <w:bCs w:val="0"/>
          <w:sz w:val="32"/>
          <w:szCs w:val="32"/>
          <w:lang w:eastAsia="zh-CN"/>
        </w:rPr>
        <w:t>。</w:t>
      </w:r>
    </w:p>
    <w:p w14:paraId="095049EF">
      <w:pPr>
        <w:widowControl/>
        <w:autoSpaceDE w:val="0"/>
        <w:autoSpaceDN w:val="0"/>
        <w:spacing w:line="560" w:lineRule="exact"/>
        <w:ind w:firstLine="643" w:firstLineChars="200"/>
        <w:rPr>
          <w:rFonts w:hint="eastAsia" w:ascii="仿宋" w:hAnsi="仿宋" w:eastAsia="仿宋"/>
          <w:b w:val="0"/>
          <w:bCs w:val="0"/>
          <w:sz w:val="32"/>
          <w:szCs w:val="32"/>
        </w:rPr>
      </w:pPr>
      <w:r>
        <w:rPr>
          <w:rFonts w:hint="eastAsia" w:ascii="仿宋" w:hAnsi="仿宋" w:eastAsia="仿宋"/>
          <w:b/>
          <w:bCs/>
          <w:sz w:val="32"/>
          <w:szCs w:val="32"/>
        </w:rPr>
        <w:t>急性放射性皮肤损伤</w:t>
      </w:r>
      <w:r>
        <w:rPr>
          <w:rFonts w:hint="eastAsia" w:ascii="仿宋" w:hAnsi="仿宋" w:eastAsia="仿宋"/>
          <w:b w:val="0"/>
          <w:bCs w:val="0"/>
          <w:sz w:val="32"/>
          <w:szCs w:val="32"/>
        </w:rPr>
        <w:t>：分级施策，阻断损伤进展，精准修复创面</w:t>
      </w:r>
      <w:r>
        <w:rPr>
          <w:rFonts w:hint="eastAsia" w:ascii="仿宋" w:hAnsi="仿宋" w:eastAsia="仿宋"/>
          <w:b w:val="0"/>
          <w:bCs w:val="0"/>
          <w:sz w:val="32"/>
          <w:szCs w:val="32"/>
          <w:lang w:eastAsia="zh-CN"/>
        </w:rPr>
        <w:t>。</w:t>
      </w:r>
      <w:r>
        <w:rPr>
          <w:rFonts w:hint="eastAsia" w:ascii="仿宋" w:hAnsi="仿宋" w:eastAsia="仿宋"/>
          <w:b w:val="0"/>
          <w:bCs w:val="0"/>
          <w:sz w:val="32"/>
          <w:szCs w:val="32"/>
        </w:rPr>
        <w:t>急性损伤随分级升高（0~4级）皮肤破损、感染、溃疡风险呈阶梯式上升，对应的护理措施紧扣“预防-缓解-控感染-促愈合”的递进式目标，避免损伤从轻度向中重度发展：</w:t>
      </w:r>
    </w:p>
    <w:p w14:paraId="1DCA3BEC">
      <w:pPr>
        <w:widowControl/>
        <w:autoSpaceDE w:val="0"/>
        <w:autoSpaceDN w:val="0"/>
        <w:spacing w:line="560" w:lineRule="exact"/>
        <w:ind w:firstLine="640" w:firstLineChars="200"/>
        <w:rPr>
          <w:rFonts w:hint="eastAsia" w:ascii="仿宋" w:hAnsi="仿宋" w:eastAsia="仿宋"/>
          <w:b w:val="0"/>
          <w:bCs w:val="0"/>
          <w:sz w:val="32"/>
          <w:szCs w:val="32"/>
        </w:rPr>
      </w:pPr>
      <w:r>
        <w:rPr>
          <w:rFonts w:hint="eastAsia" w:ascii="仿宋" w:hAnsi="仿宋" w:eastAsia="仿宋"/>
          <w:b w:val="0"/>
          <w:bCs w:val="0"/>
          <w:sz w:val="32"/>
          <w:szCs w:val="32"/>
        </w:rPr>
        <w:t>1.0~1级以预防为核心：此时皮肤仅出现红斑、干性脱皮等轻微改变，屏障尚未严重破损，通过温水清洁、涂抹皮肤保护粉/三乙醇胺乳膏、避免摩擦刺激等措施，能强化皮肤屏障功能，减少放疗对皮肤的持续刺激，从源头降低中重度损伤的发生概率，同时提升患者放疗期间的舒适度。</w:t>
      </w:r>
    </w:p>
    <w:p w14:paraId="67C6948C">
      <w:pPr>
        <w:widowControl/>
        <w:autoSpaceDE w:val="0"/>
        <w:autoSpaceDN w:val="0"/>
        <w:spacing w:line="560" w:lineRule="exact"/>
        <w:ind w:firstLine="640" w:firstLineChars="200"/>
        <w:rPr>
          <w:rFonts w:hint="eastAsia" w:ascii="仿宋" w:hAnsi="仿宋" w:eastAsia="仿宋"/>
          <w:b w:val="0"/>
          <w:bCs w:val="0"/>
          <w:sz w:val="32"/>
          <w:szCs w:val="32"/>
        </w:rPr>
      </w:pPr>
      <w:r>
        <w:rPr>
          <w:rFonts w:hint="eastAsia" w:ascii="仿宋" w:hAnsi="仿宋" w:eastAsia="仿宋"/>
          <w:b w:val="0"/>
          <w:bCs w:val="0"/>
          <w:sz w:val="32"/>
          <w:szCs w:val="32"/>
        </w:rPr>
        <w:t>2.2级以控症状、促修复为核心：皮肤出现湿性脱皮、水疱，屏障已破损且有瘙痒、炎症反应，针对性使用类固醇乳膏缓解瘙痒、无菌处理水疱（保留疱皮/低位排液）、用泡沫/银离子敷料包扎，既能快速控制局部症状，又能在无菌环境下保护创面，防止水疱破溃后引发感染，为皮肤修复创造条件。</w:t>
      </w:r>
    </w:p>
    <w:p w14:paraId="78C49121">
      <w:pPr>
        <w:widowControl/>
        <w:autoSpaceDE w:val="0"/>
        <w:autoSpaceDN w:val="0"/>
        <w:spacing w:line="560" w:lineRule="exact"/>
        <w:ind w:firstLine="640" w:firstLineChars="200"/>
        <w:rPr>
          <w:rFonts w:hint="eastAsia" w:ascii="仿宋" w:hAnsi="仿宋" w:eastAsia="仿宋"/>
          <w:b w:val="0"/>
          <w:bCs w:val="0"/>
          <w:sz w:val="32"/>
          <w:szCs w:val="32"/>
        </w:rPr>
      </w:pPr>
      <w:r>
        <w:rPr>
          <w:rFonts w:hint="eastAsia" w:ascii="仿宋" w:hAnsi="仿宋" w:eastAsia="仿宋"/>
          <w:b w:val="0"/>
          <w:bCs w:val="0"/>
          <w:sz w:val="32"/>
          <w:szCs w:val="32"/>
        </w:rPr>
        <w:t>3.3级以控感染、清创促愈为核心：此时出现融合性湿性脱皮、凹陷性水肿，甚至坏死组织，需立即停疗避免损伤加剧，遵循湿性愈合原则使用藻酸盐敷料吸渗液、水凝胶敷料自溶性清创、抗感染敷料控感染，能快速控制创面感染，清除坏死组织，为新鲜肉芽组织生长奠定基础，同时通过细菌培养精准用药，提升抗感染效果。</w:t>
      </w:r>
    </w:p>
    <w:p w14:paraId="5D95C12D">
      <w:pPr>
        <w:widowControl/>
        <w:autoSpaceDE w:val="0"/>
        <w:autoSpaceDN w:val="0"/>
        <w:spacing w:line="560" w:lineRule="exact"/>
        <w:ind w:firstLine="640" w:firstLineChars="200"/>
        <w:rPr>
          <w:rFonts w:hint="eastAsia" w:ascii="仿宋" w:hAnsi="仿宋" w:eastAsia="仿宋"/>
          <w:b w:val="0"/>
          <w:bCs w:val="0"/>
          <w:sz w:val="32"/>
          <w:szCs w:val="32"/>
        </w:rPr>
      </w:pPr>
      <w:r>
        <w:rPr>
          <w:rFonts w:hint="eastAsia" w:ascii="仿宋" w:hAnsi="仿宋" w:eastAsia="仿宋"/>
          <w:b w:val="0"/>
          <w:bCs w:val="0"/>
          <w:sz w:val="32"/>
          <w:szCs w:val="32"/>
        </w:rPr>
        <w:t>4.4级以保功能、多学科协作愈溃疡为核心：皮肤已出现溃疡、出血、坏死，且易伴随关节挛缩、全身感染风险，每日评估创面、组合敷料促愈合、全身抗感染、指导功能锻炼，能在控制严重感染和疼痛的同时，保护患处肢体功能**，避免因组织坏死、活动减少导致关节僵硬，多学科协作则能为溃疡修复、手术指征评估提供专业支撑，降低创面经久不愈的风险。</w:t>
      </w:r>
    </w:p>
    <w:p w14:paraId="76713455">
      <w:pPr>
        <w:widowControl/>
        <w:autoSpaceDE w:val="0"/>
        <w:autoSpaceDN w:val="0"/>
        <w:spacing w:line="560" w:lineRule="exact"/>
        <w:ind w:firstLine="643" w:firstLineChars="200"/>
        <w:rPr>
          <w:rFonts w:hint="eastAsia" w:ascii="仿宋" w:hAnsi="仿宋" w:eastAsia="仿宋"/>
          <w:b w:val="0"/>
          <w:bCs w:val="0"/>
          <w:sz w:val="32"/>
          <w:szCs w:val="32"/>
        </w:rPr>
      </w:pPr>
      <w:r>
        <w:rPr>
          <w:rFonts w:hint="eastAsia" w:ascii="仿宋" w:hAnsi="仿宋" w:eastAsia="仿宋"/>
          <w:b/>
          <w:bCs/>
          <w:sz w:val="32"/>
          <w:szCs w:val="32"/>
        </w:rPr>
        <w:t>慢性放射性皮肤损伤</w:t>
      </w:r>
      <w:r>
        <w:rPr>
          <w:rFonts w:hint="eastAsia" w:ascii="仿宋" w:hAnsi="仿宋" w:eastAsia="仿宋"/>
          <w:b w:val="0"/>
          <w:bCs w:val="0"/>
          <w:sz w:val="32"/>
          <w:szCs w:val="32"/>
        </w:rPr>
        <w:t>：长期管理，延缓纤维化，修复并保护功能</w:t>
      </w:r>
      <w:r>
        <w:rPr>
          <w:rFonts w:hint="eastAsia" w:ascii="仿宋" w:hAnsi="仿宋" w:eastAsia="仿宋"/>
          <w:b w:val="0"/>
          <w:bCs w:val="0"/>
          <w:sz w:val="32"/>
          <w:szCs w:val="32"/>
          <w:lang w:eastAsia="zh-CN"/>
        </w:rPr>
        <w:t>。</w:t>
      </w:r>
      <w:r>
        <w:rPr>
          <w:rFonts w:hint="eastAsia" w:ascii="仿宋" w:hAnsi="仿宋" w:eastAsia="仿宋"/>
          <w:b w:val="0"/>
          <w:bCs w:val="0"/>
          <w:sz w:val="32"/>
          <w:szCs w:val="32"/>
        </w:rPr>
        <w:t>慢性损伤的核心问题是皮肤萎缩、纤维化、溃疡迁延不愈，且损伤呈进行性发展，对应的护理措施围绕“保湿防护-延缓纤维化-创面修复-长期功能康复”展开，兼顾短期护理和长期随访，避免损伤反复加重：</w:t>
      </w:r>
    </w:p>
    <w:p w14:paraId="0781DB81">
      <w:pPr>
        <w:widowControl/>
        <w:autoSpaceDE w:val="0"/>
        <w:autoSpaceDN w:val="0"/>
        <w:spacing w:line="560" w:lineRule="exact"/>
        <w:ind w:firstLine="640" w:firstLineChars="200"/>
        <w:rPr>
          <w:rFonts w:hint="eastAsia" w:ascii="仿宋" w:hAnsi="仿宋" w:eastAsia="仿宋"/>
          <w:b w:val="0"/>
          <w:bCs w:val="0"/>
          <w:sz w:val="32"/>
          <w:szCs w:val="32"/>
        </w:rPr>
      </w:pPr>
      <w:r>
        <w:rPr>
          <w:rFonts w:hint="eastAsia" w:ascii="仿宋" w:hAnsi="仿宋" w:eastAsia="仿宋"/>
          <w:b w:val="0"/>
          <w:bCs w:val="0"/>
          <w:sz w:val="32"/>
          <w:szCs w:val="32"/>
        </w:rPr>
        <w:t>1.1级以基础防护、定期随访为核心：皮肤仅轻度萎缩、色素沉着，通过涂抹保湿乳膏、穿棉质衣物、定期随访，能缓解皮肤干燥老化，及时监测纤维化早期进展，做到早发现、早干预。</w:t>
      </w:r>
    </w:p>
    <w:p w14:paraId="09DFB296">
      <w:pPr>
        <w:widowControl/>
        <w:autoSpaceDE w:val="0"/>
        <w:autoSpaceDN w:val="0"/>
        <w:spacing w:line="560" w:lineRule="exact"/>
        <w:ind w:firstLine="640" w:firstLineChars="200"/>
        <w:rPr>
          <w:rFonts w:hint="eastAsia" w:ascii="仿宋" w:hAnsi="仿宋" w:eastAsia="仿宋"/>
          <w:b w:val="0"/>
          <w:bCs w:val="0"/>
          <w:sz w:val="32"/>
          <w:szCs w:val="32"/>
        </w:rPr>
      </w:pPr>
      <w:r>
        <w:rPr>
          <w:rFonts w:hint="eastAsia" w:ascii="仿宋" w:hAnsi="仿宋" w:eastAsia="仿宋"/>
          <w:b w:val="0"/>
          <w:bCs w:val="0"/>
          <w:sz w:val="32"/>
          <w:szCs w:val="32"/>
        </w:rPr>
        <w:t>2.2级以强化保湿、功能训练为核心：出现皮肤花斑、黏膜萎缩，在1级基础上使用瘢痕修复凝胶+水胶体敷料、指导关节活动训练，能进一步修复皮肤黏膜损伤，通过功能锻炼防止关节因组织增生开始出现的活动受限，延缓功能损伤。</w:t>
      </w:r>
    </w:p>
    <w:p w14:paraId="7EA7E95A">
      <w:pPr>
        <w:widowControl/>
        <w:autoSpaceDE w:val="0"/>
        <w:autoSpaceDN w:val="0"/>
        <w:spacing w:line="560" w:lineRule="exact"/>
        <w:ind w:firstLine="640" w:firstLineChars="200"/>
        <w:rPr>
          <w:rFonts w:hint="eastAsia" w:ascii="仿宋" w:hAnsi="仿宋" w:eastAsia="仿宋"/>
          <w:b w:val="0"/>
          <w:bCs w:val="0"/>
          <w:sz w:val="32"/>
          <w:szCs w:val="32"/>
        </w:rPr>
      </w:pPr>
      <w:r>
        <w:rPr>
          <w:rFonts w:hint="eastAsia" w:ascii="仿宋" w:hAnsi="仿宋" w:eastAsia="仿宋"/>
          <w:b w:val="0"/>
          <w:bCs w:val="0"/>
          <w:sz w:val="32"/>
          <w:szCs w:val="32"/>
        </w:rPr>
        <w:t>3.3级以抗纤维化、创面急救为核心：皮肤显著萎缩甚至出现破损，采用压力疗法+保湿敷料延缓纤维化、参照急性3级处理创面，必要时手术治疗，能阻断纤维化的快速进展，及时修复破损创面，避免小创面发展为顽固性溃疡，手术干预则能解决药物无法缓解的组织增生/萎缩问题。</w:t>
      </w:r>
    </w:p>
    <w:p w14:paraId="7DCF7726">
      <w:pPr>
        <w:widowControl/>
        <w:autoSpaceDE w:val="0"/>
        <w:autoSpaceDN w:val="0"/>
        <w:spacing w:line="560" w:lineRule="exact"/>
        <w:ind w:firstLine="640" w:firstLineChars="200"/>
        <w:rPr>
          <w:rFonts w:hint="eastAsia" w:ascii="仿宋" w:hAnsi="仿宋" w:eastAsia="仿宋"/>
          <w:b w:val="0"/>
          <w:bCs w:val="0"/>
          <w:sz w:val="32"/>
          <w:szCs w:val="32"/>
        </w:rPr>
      </w:pPr>
      <w:r>
        <w:rPr>
          <w:rFonts w:hint="eastAsia" w:ascii="仿宋" w:hAnsi="仿宋" w:eastAsia="仿宋"/>
          <w:b w:val="0"/>
          <w:bCs w:val="0"/>
          <w:sz w:val="32"/>
          <w:szCs w:val="32"/>
        </w:rPr>
        <w:t>4.4级以溃疡根治、全面功能康复为核心：存在经久不愈的溃疡和肢体功能障碍，参照急性4级处理溃疡、外科评估手术指征、联合康复科制定个性化康复方案，能通过手术根治顽固性溃疡，通过主动+被动康复训练恢复肢体活动功能，长期随访则能持续监测溃疡愈合和功能恢复情况，及时调整护理方案。</w:t>
      </w:r>
    </w:p>
    <w:p w14:paraId="378D013F">
      <w:pPr>
        <w:widowControl/>
        <w:autoSpaceDE w:val="0"/>
        <w:autoSpaceDN w:val="0"/>
        <w:spacing w:line="560" w:lineRule="exact"/>
        <w:ind w:firstLine="640" w:firstLineChars="200"/>
        <w:rPr>
          <w:rFonts w:hint="eastAsia" w:ascii="仿宋" w:hAnsi="仿宋" w:eastAsia="仿宋"/>
          <w:b w:val="0"/>
          <w:bCs w:val="0"/>
          <w:sz w:val="32"/>
          <w:szCs w:val="32"/>
        </w:rPr>
      </w:pPr>
      <w:r>
        <w:rPr>
          <w:rFonts w:hint="eastAsia" w:ascii="仿宋" w:hAnsi="仿宋" w:eastAsia="仿宋"/>
          <w:b w:val="0"/>
          <w:bCs w:val="0"/>
          <w:sz w:val="32"/>
          <w:szCs w:val="32"/>
        </w:rPr>
        <w:t>根据放射性皮肤损伤的急慢性特点和分级程度进行的科学、精准、全程的干预，既实现了“对症护理”，又能从源头阻断损伤进展、解决核心病理问题，最终实现有效预防和管理放射性皮肤损伤、保障放疗顺利进行、提升患者生存质量的核心护理目标。</w:t>
      </w:r>
    </w:p>
    <w:p w14:paraId="36BB5D34">
      <w:pPr>
        <w:widowControl/>
        <w:autoSpaceDE w:val="0"/>
        <w:autoSpaceDN w:val="0"/>
        <w:spacing w:line="560" w:lineRule="exact"/>
        <w:ind w:firstLine="643" w:firstLineChars="200"/>
        <w:rPr>
          <w:rFonts w:hint="default" w:ascii="仿宋" w:hAnsi="仿宋" w:eastAsia="仿宋"/>
          <w:b/>
          <w:sz w:val="32"/>
          <w:szCs w:val="32"/>
          <w:lang w:val="en-US" w:eastAsia="zh-CN"/>
        </w:rPr>
      </w:pPr>
      <w:r>
        <w:rPr>
          <w:rFonts w:hint="eastAsia" w:ascii="仿宋" w:hAnsi="仿宋" w:eastAsia="仿宋"/>
          <w:b/>
          <w:sz w:val="32"/>
          <w:szCs w:val="32"/>
          <w:lang w:eastAsia="zh-CN"/>
        </w:rPr>
        <w:t>（</w:t>
      </w:r>
      <w:r>
        <w:rPr>
          <w:rFonts w:hint="eastAsia" w:ascii="仿宋" w:hAnsi="仿宋" w:eastAsia="仿宋"/>
          <w:b/>
          <w:sz w:val="32"/>
          <w:szCs w:val="32"/>
          <w:lang w:val="en-US" w:eastAsia="zh-CN"/>
        </w:rPr>
        <w:t>五）健康宣教</w:t>
      </w:r>
    </w:p>
    <w:p w14:paraId="75F562EF">
      <w:pPr>
        <w:widowControl/>
        <w:autoSpaceDE w:val="0"/>
        <w:autoSpaceDN w:val="0"/>
        <w:spacing w:line="560" w:lineRule="exact"/>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在肿瘤患者急慢性放射性皮肤损伤的分级护理中，开展健康宣教是实现护理全程化、标准化的重要环节，更是将专业护理延伸至患者自我管理的核心手段，其核心目的是让患者掌握放射性皮肤损伤的预防、自我护理及应急处理知识，提升患者的治疗依从性和自我照护能力，从“医护单方面干预”转变为“医护+患者双向配合”，最终实现减少损伤发生、延缓损伤进展、促进创面愈合、降低复发风险的护理目标。</w:t>
      </w:r>
    </w:p>
    <w:p w14:paraId="19EB3C96">
      <w:pPr>
        <w:widowControl/>
        <w:autoSpaceDE w:val="0"/>
        <w:autoSpaceDN w:val="0"/>
        <w:spacing w:line="560" w:lineRule="exact"/>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放射性皮肤损伤的发生、加重与患者的日常行为密切相关，而患者往往缺乏放疗相关皮肤保护的专业知识，易因不当操作诱发或加重损伤。通过健康宣教，向患者明确告知皮肤清洁的正确方式（32℃~35℃温水清洗、禁用肥皂/酒精）、日常防护禁忌（避免摩擦搔抓、不使用刺激性化妆品/黏性胶带、防晒至少1年）、衣物选择标准（全棉柔软、低领宽松）等核心知识，能让患者清晰知晓哪些行为会刺激放射区皮肤，从源头规避不当操作，减少0~1级轻度损伤向中重度发展的概率，同时降低慢性损伤纤维化、溃疡的诱发风险。</w:t>
      </w:r>
    </w:p>
    <w:p w14:paraId="2D408BF8">
      <w:pPr>
        <w:widowControl/>
        <w:autoSpaceDE w:val="0"/>
        <w:autoSpaceDN w:val="0"/>
        <w:spacing w:line="560" w:lineRule="exact"/>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分级护理的效果不仅依赖医护人员的专业操作，更需要患者在院外严格遵循护理要求配合执行，尤其是放疗期间的持续防护和放疗后的长期随访。宣教中明确告知患者各类护理措施的目的和执行标准（如0~1级需坚持涂抹三乙醇胺乳膏2周、慢性损伤需按时间节点随访）、敷料使用的注意事项（如水胶体敷料出现过敏需立即停用）、功能锻炼的具体要求（如慢性2级每日2次关节训练，每次15分钟），能让患者理解配合的重要性，主动遵循医护指导完成居家护理、按时随访，保障院内分级护理措施在院外的延续性，避免因患者依从性差导致护理效果打折扣。</w:t>
      </w:r>
    </w:p>
    <w:p w14:paraId="3DB903FD">
      <w:pPr>
        <w:widowControl/>
        <w:autoSpaceDE w:val="0"/>
        <w:autoSpaceDN w:val="0"/>
        <w:spacing w:line="560" w:lineRule="exact"/>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放疗期间及放疗后，患者会频繁面临皮肤瘙痒、水疱、鼻出血、咽喉疼痛等突发症状，若缺乏正确的处理方法，易因自行不当操作（如随意挑破水疱、用力擤鼻、搔抓瘙痒部位）加重损伤，甚至引发感染、出血等严重问题。健康宣教通过针对性指导各类症状的自救自护方法（如小水疱保留疱皮自行吸收、少量鼻出血放置冰袋、咽喉疼痛遵医嘱用止痛药物）、紧急情况的处理流程（如大量鼻出血立即平卧并通知医护、创面感染及时就医），让患者掌握标准化的应急操作，能在症状出现时第一时间正确处理，减少二次损伤，降低突发风险，同时也能让患者在居家期间从容应对各类不适，提升自我照护能力。</w:t>
      </w:r>
    </w:p>
    <w:p w14:paraId="5B52995B">
      <w:pPr>
        <w:widowControl/>
        <w:autoSpaceDE w:val="0"/>
        <w:autoSpaceDN w:val="0"/>
        <w:spacing w:line="560" w:lineRule="exact"/>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放射性皮肤损伤的愈合速度与患者的营养状态、身心状态直接相关，营养不足、情绪不佳会显著延缓创面修复，甚至增加感染概率。宣教中明确告知患者放疗期间的饮食原则（高热量、高蛋白、高维生素，煮炖蒸为主，粗细粮搭配）、身心调理要求（保持良好情绪、戒烟酒减少咽喉刺激），能让患者主动调整饮食和生活习惯，保证机体获得充足的营养支持，为皮肤屏障修复、肉芽组织生长提供物质基础；同时良好的身心状态能提升患者的机体抵抗力，减少感染等并发症的发生，间接促进损伤愈合。</w:t>
      </w:r>
    </w:p>
    <w:p w14:paraId="70EFD73C">
      <w:pPr>
        <w:widowControl/>
        <w:autoSpaceDE w:val="0"/>
        <w:autoSpaceDN w:val="0"/>
        <w:spacing w:line="560" w:lineRule="exact"/>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头颈部、腋窝、乳房等放疗常见部位的皮肤/黏膜更脆弱，且易伴随口腔、咽喉、鼻部的继发损伤，若缺乏针对性防护知识，易出现局部损伤加重的情况。健康宣教针对特殊部位制定专属防护指导（如头颈部放疗需淡盐水含漱、软毛牙刷刷牙，腋窝放疗避免刮腋毛，乳房切除术后选用全棉胸罩），能让患者根据自身放疗部位做好精准防护，针对性降低口腔黏膜炎、鼻出血、局部皮肤摩擦损伤等问题的发生概率，兼顾整体防护与局部精细化照护。</w:t>
      </w:r>
    </w:p>
    <w:p w14:paraId="062320D2">
      <w:pPr>
        <w:widowControl/>
        <w:autoSpaceDE w:val="0"/>
        <w:autoSpaceDN w:val="0"/>
        <w:spacing w:line="560" w:lineRule="exact"/>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健康宣教是连接医护专业护理与患者居家自我护理的重要桥梁，与护理评估、护理前准备、分级护理措施共同构成完整的护理闭环：医护通过宣教将专业知识传递给患者，患者通过自我照护落实护理要求，再通过定期随访将居家护理情况、皮肤状态反馈给医护，医护据此动态调整护理方案。</w:t>
      </w:r>
    </w:p>
    <w:p w14:paraId="13096E23">
      <w:pPr>
        <w:widowControl/>
        <w:autoSpaceDE w:val="0"/>
        <w:autoSpaceDN w:val="0"/>
        <w:spacing w:line="560" w:lineRule="exact"/>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通过提升患者的认知、依从性和自我照护能力，实现“专业护理+自我管理”的双重保障，最终达到有效预防放射性皮肤损伤、延缓损伤进展、促进创面愈合、提升患者生活质量的核心护理目标。</w:t>
      </w:r>
    </w:p>
    <w:p w14:paraId="6A460706">
      <w:pPr>
        <w:widowControl/>
        <w:autoSpaceDE w:val="0"/>
        <w:autoSpaceDN w:val="0"/>
        <w:spacing w:line="560" w:lineRule="exact"/>
        <w:ind w:firstLine="643" w:firstLineChars="200"/>
        <w:rPr>
          <w:rFonts w:hint="default" w:ascii="仿宋" w:hAnsi="仿宋" w:eastAsia="仿宋"/>
          <w:b/>
          <w:sz w:val="32"/>
          <w:szCs w:val="32"/>
          <w:lang w:val="en-US" w:eastAsia="zh-CN"/>
        </w:rPr>
      </w:pPr>
      <w:r>
        <w:rPr>
          <w:rFonts w:hint="eastAsia" w:ascii="仿宋" w:hAnsi="仿宋" w:eastAsia="仿宋"/>
          <w:b/>
          <w:sz w:val="32"/>
          <w:szCs w:val="32"/>
          <w:lang w:eastAsia="zh-CN"/>
        </w:rPr>
        <w:t>（</w:t>
      </w:r>
      <w:r>
        <w:rPr>
          <w:rFonts w:hint="eastAsia" w:ascii="仿宋" w:hAnsi="仿宋" w:eastAsia="仿宋"/>
          <w:b/>
          <w:sz w:val="32"/>
          <w:szCs w:val="32"/>
          <w:lang w:val="en-US" w:eastAsia="zh-CN"/>
        </w:rPr>
        <w:t>六）注意事项</w:t>
      </w:r>
    </w:p>
    <w:p w14:paraId="259502ED">
      <w:pPr>
        <w:widowControl/>
        <w:autoSpaceDE w:val="0"/>
        <w:autoSpaceDN w:val="0"/>
        <w:spacing w:line="560" w:lineRule="exact"/>
        <w:ind w:firstLine="640" w:firstLineChars="200"/>
        <w:rPr>
          <w:rFonts w:hint="eastAsia" w:ascii="仿宋" w:hAnsi="仿宋" w:eastAsia="仿宋"/>
          <w:bCs/>
          <w:sz w:val="32"/>
          <w:szCs w:val="32"/>
        </w:rPr>
      </w:pPr>
      <w:r>
        <w:rPr>
          <w:rFonts w:hint="eastAsia" w:ascii="仿宋" w:hAnsi="仿宋" w:eastAsia="仿宋"/>
          <w:bCs/>
          <w:sz w:val="32"/>
          <w:szCs w:val="32"/>
        </w:rPr>
        <w:t>放射性皮肤损伤的发生和加重，与放疗前、中、后各阶段的不当操作和行为密切相关，且这些细节性危险因素易被常规护理流程忽略。注意事项按治疗前、治疗中、治疗后划分，精准针对各阶段的高风险行为制定禁忌和要求，从源头阻断损伤诱因：</w:t>
      </w:r>
    </w:p>
    <w:p w14:paraId="1D381E9A">
      <w:pPr>
        <w:widowControl/>
        <w:autoSpaceDE w:val="0"/>
        <w:autoSpaceDN w:val="0"/>
        <w:spacing w:line="560" w:lineRule="exact"/>
        <w:ind w:firstLine="640" w:firstLineChars="200"/>
        <w:rPr>
          <w:rFonts w:hint="eastAsia" w:ascii="仿宋" w:hAnsi="仿宋" w:eastAsia="仿宋"/>
          <w:bCs/>
          <w:sz w:val="32"/>
          <w:szCs w:val="32"/>
        </w:rPr>
      </w:pPr>
      <w:r>
        <w:rPr>
          <w:rFonts w:hint="eastAsia" w:ascii="仿宋" w:hAnsi="仿宋" w:eastAsia="仿宋"/>
          <w:bCs/>
          <w:sz w:val="32"/>
          <w:szCs w:val="32"/>
        </w:rPr>
        <w:t>1.治疗前：明确用电动剃须刀剃毛、提前评估损伤危险因素、遵医嘱用皮肤保护剂，避免手动剃毛的皮肤划伤（破损皮肤易受放疗刺激加重损伤），同时提前识别高危患者并做好预防性防护，降低损伤发生概率；</w:t>
      </w:r>
    </w:p>
    <w:p w14:paraId="49701550">
      <w:pPr>
        <w:widowControl/>
        <w:autoSpaceDE w:val="0"/>
        <w:autoSpaceDN w:val="0"/>
        <w:spacing w:line="560" w:lineRule="exact"/>
        <w:ind w:firstLine="640" w:firstLineChars="200"/>
        <w:rPr>
          <w:rFonts w:hint="eastAsia" w:ascii="仿宋" w:hAnsi="仿宋" w:eastAsia="仿宋"/>
          <w:bCs/>
          <w:sz w:val="32"/>
          <w:szCs w:val="32"/>
        </w:rPr>
      </w:pPr>
      <w:r>
        <w:rPr>
          <w:rFonts w:hint="eastAsia" w:ascii="仿宋" w:hAnsi="仿宋" w:eastAsia="仿宋"/>
          <w:bCs/>
          <w:sz w:val="32"/>
          <w:szCs w:val="32"/>
        </w:rPr>
        <w:t>2.治疗中：禁止冷热敷、有创操作，规范皮肤清洁方式和衣物选择，避免化妆品/饰品刺激，做好物理防晒，这些要求能减少放疗期间放射区皮肤的外部刺激，防止放疗对皮肤的损伤叠加外部伤害；</w:t>
      </w:r>
    </w:p>
    <w:p w14:paraId="27B76EE0">
      <w:pPr>
        <w:widowControl/>
        <w:autoSpaceDE w:val="0"/>
        <w:autoSpaceDN w:val="0"/>
        <w:spacing w:line="560" w:lineRule="exact"/>
        <w:ind w:firstLine="640" w:firstLineChars="200"/>
        <w:rPr>
          <w:rFonts w:hint="eastAsia" w:ascii="仿宋" w:hAnsi="仿宋" w:eastAsia="仿宋"/>
          <w:bCs/>
          <w:sz w:val="32"/>
          <w:szCs w:val="32"/>
        </w:rPr>
      </w:pPr>
      <w:r>
        <w:rPr>
          <w:rFonts w:hint="eastAsia" w:ascii="仿宋" w:hAnsi="仿宋" w:eastAsia="仿宋"/>
          <w:bCs/>
          <w:sz w:val="32"/>
          <w:szCs w:val="32"/>
        </w:rPr>
        <w:t>3.治疗后：禁止在放射区用弹性绷带/胶布，腋窝避免刮腋毛、乳房切除术后选全棉胸罩，针对放疗后皮肤屏障脆弱、修复期的特点，规避粘性物品的撕扯损伤、尖锐操作的物理损伤，为皮肤修复创造无刺激的环境。</w:t>
      </w:r>
    </w:p>
    <w:p w14:paraId="3EEF9394">
      <w:pPr>
        <w:spacing w:before="240" w:after="60"/>
        <w:ind w:firstLine="643" w:firstLineChars="200"/>
        <w:outlineLvl w:val="0"/>
        <w:rPr>
          <w:rFonts w:ascii="黑体" w:hAnsi="黑体" w:eastAsia="黑体"/>
          <w:bCs/>
          <w:sz w:val="32"/>
          <w:szCs w:val="32"/>
        </w:rPr>
      </w:pPr>
      <w:r>
        <w:rPr>
          <w:rFonts w:hint="eastAsia" w:ascii="Cambria" w:hAnsi="Cambria"/>
          <w:b/>
          <w:bCs/>
          <w:sz w:val="32"/>
          <w:szCs w:val="32"/>
        </w:rPr>
        <w:t>六</w:t>
      </w:r>
      <w:r>
        <w:rPr>
          <w:rFonts w:hint="eastAsia" w:ascii="黑体" w:hAnsi="黑体" w:eastAsia="黑体"/>
          <w:bCs/>
          <w:sz w:val="32"/>
          <w:szCs w:val="32"/>
        </w:rPr>
        <w:t>、重大分歧意见的处理经过和依据</w:t>
      </w:r>
    </w:p>
    <w:p w14:paraId="07FD7760">
      <w:pPr>
        <w:spacing w:line="560" w:lineRule="exact"/>
        <w:ind w:firstLine="640" w:firstLineChars="200"/>
        <w:rPr>
          <w:rFonts w:ascii="仿宋" w:hAnsi="仿宋" w:eastAsia="仿宋"/>
          <w:bCs/>
          <w:sz w:val="32"/>
          <w:szCs w:val="32"/>
        </w:rPr>
      </w:pPr>
      <w:r>
        <w:rPr>
          <w:rFonts w:hint="eastAsia" w:ascii="仿宋" w:hAnsi="仿宋" w:eastAsia="仿宋"/>
          <w:bCs/>
          <w:sz w:val="32"/>
          <w:szCs w:val="32"/>
        </w:rPr>
        <w:t>本标准研制过程中无重大分歧意见。</w:t>
      </w:r>
    </w:p>
    <w:p w14:paraId="21D952DA">
      <w:pPr>
        <w:spacing w:before="240" w:after="60"/>
        <w:ind w:firstLine="640" w:firstLineChars="200"/>
        <w:jc w:val="left"/>
        <w:outlineLvl w:val="0"/>
        <w:rPr>
          <w:rFonts w:ascii="黑体" w:hAnsi="黑体" w:eastAsia="黑体"/>
          <w:bCs/>
          <w:color w:val="000000"/>
          <w:sz w:val="32"/>
          <w:szCs w:val="32"/>
        </w:rPr>
      </w:pPr>
      <w:r>
        <w:rPr>
          <w:rFonts w:hint="eastAsia" w:ascii="黑体" w:hAnsi="黑体" w:eastAsia="黑体"/>
          <w:bCs/>
          <w:sz w:val="32"/>
          <w:szCs w:val="32"/>
        </w:rPr>
        <w:t>七、</w:t>
      </w:r>
      <w:r>
        <w:rPr>
          <w:rFonts w:hint="eastAsia" w:ascii="黑体" w:hAnsi="黑体" w:eastAsia="黑体"/>
          <w:bCs/>
          <w:color w:val="000000"/>
          <w:sz w:val="32"/>
          <w:szCs w:val="32"/>
        </w:rPr>
        <w:t>贯彻标准的措施和建议</w:t>
      </w:r>
    </w:p>
    <w:p w14:paraId="294C38C8">
      <w:pPr>
        <w:spacing w:line="520" w:lineRule="exact"/>
        <w:ind w:firstLine="640" w:firstLineChars="200"/>
        <w:rPr>
          <w:rFonts w:ascii="仿宋" w:hAnsi="仿宋" w:eastAsia="仿宋"/>
          <w:sz w:val="32"/>
          <w:szCs w:val="32"/>
        </w:rPr>
      </w:pPr>
      <w:r>
        <w:rPr>
          <w:rFonts w:hint="eastAsia" w:ascii="仿宋" w:hAnsi="仿宋" w:eastAsia="仿宋"/>
          <w:sz w:val="32"/>
          <w:szCs w:val="32"/>
        </w:rPr>
        <w:t>（一）标准报批发布后，成立标准宣贯工作组</w:t>
      </w:r>
    </w:p>
    <w:p w14:paraId="6C2B2459">
      <w:pPr>
        <w:spacing w:line="520" w:lineRule="exact"/>
        <w:ind w:firstLine="640" w:firstLineChars="200"/>
        <w:rPr>
          <w:rFonts w:ascii="仿宋" w:hAnsi="仿宋" w:eastAsia="仿宋"/>
          <w:sz w:val="32"/>
          <w:szCs w:val="32"/>
        </w:rPr>
      </w:pPr>
      <w:r>
        <w:rPr>
          <w:rFonts w:hint="eastAsia" w:ascii="仿宋" w:hAnsi="仿宋" w:eastAsia="仿宋"/>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4E1E666A">
      <w:pPr>
        <w:spacing w:line="520" w:lineRule="exact"/>
        <w:ind w:firstLine="640" w:firstLineChars="200"/>
        <w:rPr>
          <w:rFonts w:ascii="仿宋" w:hAnsi="仿宋" w:eastAsia="仿宋"/>
          <w:sz w:val="32"/>
          <w:szCs w:val="32"/>
        </w:rPr>
      </w:pPr>
      <w:r>
        <w:rPr>
          <w:rFonts w:hint="eastAsia" w:ascii="仿宋" w:hAnsi="仿宋" w:eastAsia="仿宋"/>
          <w:sz w:val="32"/>
          <w:szCs w:val="32"/>
        </w:rPr>
        <w:t>（二）组织开展标准宣贯培训</w:t>
      </w:r>
    </w:p>
    <w:p w14:paraId="7F4BC28D">
      <w:pPr>
        <w:spacing w:line="520" w:lineRule="exact"/>
        <w:ind w:firstLine="640" w:firstLineChars="200"/>
        <w:rPr>
          <w:rFonts w:ascii="仿宋" w:hAnsi="仿宋" w:eastAsia="仿宋"/>
          <w:sz w:val="32"/>
          <w:szCs w:val="32"/>
        </w:rPr>
      </w:pPr>
      <w:r>
        <w:rPr>
          <w:rFonts w:hint="eastAsia" w:ascii="仿宋" w:hAnsi="仿宋" w:eastAsia="仿宋"/>
          <w:sz w:val="32"/>
          <w:szCs w:val="32"/>
        </w:rPr>
        <w:t>标准发布实施后，标准宣贯工作小组制作标准解读宣贯培训PPT课件和标准核心技术明白书，并按标准宣贯培训计划深入广西各个城市组织医护人员开展标准宣贯培训，对标准进行逐条解读，让医护人员掌握标准核心技术内容，助力标准实施落地，推动医疗产业高质量发展。</w:t>
      </w:r>
    </w:p>
    <w:p w14:paraId="18739775">
      <w:pPr>
        <w:spacing w:line="520" w:lineRule="exact"/>
        <w:ind w:firstLine="640" w:firstLineChars="200"/>
        <w:rPr>
          <w:rFonts w:ascii="仿宋" w:hAnsi="仿宋" w:eastAsia="仿宋"/>
          <w:sz w:val="32"/>
          <w:szCs w:val="32"/>
        </w:rPr>
      </w:pPr>
      <w:r>
        <w:rPr>
          <w:rFonts w:hint="eastAsia" w:ascii="仿宋" w:hAnsi="仿宋" w:eastAsia="仿宋"/>
          <w:sz w:val="32"/>
          <w:szCs w:val="32"/>
        </w:rPr>
        <w:t>（三）开展标准实施交流会，收集标准实施反馈信息</w:t>
      </w:r>
    </w:p>
    <w:p w14:paraId="25861D20">
      <w:pPr>
        <w:spacing w:line="520" w:lineRule="exact"/>
        <w:ind w:firstLine="640" w:firstLineChars="200"/>
        <w:rPr>
          <w:rFonts w:ascii="仿宋" w:hAnsi="仿宋" w:eastAsia="仿宋"/>
          <w:sz w:val="32"/>
          <w:szCs w:val="32"/>
        </w:rPr>
      </w:pPr>
      <w:r>
        <w:rPr>
          <w:rFonts w:hint="eastAsia" w:ascii="仿宋" w:hAnsi="仿宋" w:eastAsia="仿宋"/>
          <w:sz w:val="32"/>
          <w:szCs w:val="32"/>
        </w:rPr>
        <w:t>标准起草小组深入广西各个医院组织医护人员召开标准实施交流会，听取标准实施过程中存在的问题并做好记录和解答，对存在的问题组织专家团队进行研讨，为标准的复审修订做准备。</w:t>
      </w:r>
    </w:p>
    <w:p w14:paraId="25182241">
      <w:pPr>
        <w:spacing w:line="520" w:lineRule="exact"/>
        <w:ind w:firstLine="640" w:firstLineChars="200"/>
        <w:rPr>
          <w:rFonts w:ascii="仿宋" w:hAnsi="仿宋" w:eastAsia="仿宋"/>
          <w:sz w:val="32"/>
          <w:szCs w:val="32"/>
        </w:rPr>
      </w:pPr>
      <w:r>
        <w:rPr>
          <w:rFonts w:hint="eastAsia" w:ascii="仿宋" w:hAnsi="仿宋" w:eastAsia="仿宋"/>
          <w:sz w:val="32"/>
          <w:szCs w:val="32"/>
        </w:rPr>
        <w:t>（四）开展标准实施效果评估</w:t>
      </w:r>
    </w:p>
    <w:p w14:paraId="29E6D1FC">
      <w:pPr>
        <w:spacing w:line="520" w:lineRule="exact"/>
        <w:ind w:firstLine="640" w:firstLineChars="200"/>
        <w:rPr>
          <w:rFonts w:ascii="仿宋_GB2312" w:hAnsi="宋体" w:eastAsia="仿宋_GB2312"/>
          <w:sz w:val="32"/>
          <w:szCs w:val="32"/>
        </w:rPr>
      </w:pPr>
      <w:r>
        <w:rPr>
          <w:rFonts w:hint="eastAsia" w:ascii="仿宋" w:hAnsi="仿宋" w:eastAsia="仿宋"/>
          <w:sz w:val="32"/>
          <w:szCs w:val="32"/>
        </w:rPr>
        <w:t>标准实施满2年，每年标准宣贯工作组采取网络调查、问卷调查、实地调研、召开座谈会或论证会、专家咨询等方式开展标准实施效果评估，并形成标准实施效果评估报告，为标准的复审修订做准备。</w:t>
      </w:r>
    </w:p>
    <w:p w14:paraId="17127722">
      <w:pPr>
        <w:autoSpaceDE w:val="0"/>
        <w:autoSpaceDN w:val="0"/>
        <w:adjustRightInd w:val="0"/>
        <w:spacing w:before="156" w:beforeLines="50" w:after="156" w:afterLines="50" w:line="400" w:lineRule="exact"/>
        <w:ind w:firstLine="640" w:firstLineChars="200"/>
        <w:outlineLvl w:val="0"/>
        <w:rPr>
          <w:rFonts w:ascii="黑体" w:hAnsi="黑体" w:eastAsia="黑体" w:cs="仿宋_GB2312"/>
          <w:sz w:val="32"/>
          <w:szCs w:val="32"/>
        </w:rPr>
      </w:pPr>
      <w:r>
        <w:rPr>
          <w:rFonts w:hint="eastAsia" w:ascii="黑体" w:hAnsi="黑体" w:eastAsia="黑体" w:cs="仿宋_GB2312"/>
          <w:sz w:val="32"/>
          <w:szCs w:val="32"/>
        </w:rPr>
        <w:t>八、其他应当说明的事项</w:t>
      </w:r>
    </w:p>
    <w:p w14:paraId="3A710AE0">
      <w:pPr>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无。</w:t>
      </w:r>
    </w:p>
    <w:p w14:paraId="506C1D8D">
      <w:pPr>
        <w:spacing w:line="560" w:lineRule="exact"/>
        <w:jc w:val="both"/>
        <w:rPr>
          <w:rFonts w:hint="eastAsia" w:ascii="仿宋" w:hAnsi="仿宋" w:eastAsia="仿宋"/>
          <w:sz w:val="32"/>
          <w:szCs w:val="32"/>
        </w:rPr>
      </w:pPr>
    </w:p>
    <w:p w14:paraId="29A3C36D">
      <w:pPr>
        <w:spacing w:line="560" w:lineRule="exact"/>
        <w:jc w:val="both"/>
        <w:rPr>
          <w:rFonts w:ascii="仿宋" w:hAnsi="仿宋" w:eastAsia="仿宋"/>
          <w:sz w:val="32"/>
          <w:szCs w:val="32"/>
        </w:rPr>
      </w:pPr>
      <w:r>
        <w:rPr>
          <w:rFonts w:hint="eastAsia" w:ascii="仿宋" w:hAnsi="仿宋" w:eastAsia="仿宋"/>
          <w:sz w:val="32"/>
          <w:szCs w:val="32"/>
        </w:rPr>
        <w:t>团体标准《</w:t>
      </w:r>
      <w:r>
        <w:rPr>
          <w:rFonts w:hint="eastAsia" w:ascii="仿宋" w:hAnsi="仿宋" w:eastAsia="仿宋"/>
          <w:sz w:val="32"/>
          <w:szCs w:val="32"/>
          <w:lang w:eastAsia="zh-CN"/>
        </w:rPr>
        <w:t>肿瘤患者急慢性放射性皮肤损伤分级护理</w:t>
      </w:r>
      <w:r>
        <w:rPr>
          <w:rFonts w:hint="eastAsia" w:ascii="仿宋" w:hAnsi="仿宋" w:eastAsia="仿宋"/>
          <w:sz w:val="32"/>
          <w:szCs w:val="32"/>
        </w:rPr>
        <w:t xml:space="preserve">规范》           </w:t>
      </w:r>
    </w:p>
    <w:p w14:paraId="0A8CE8B2">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                                标准编制工作组</w:t>
      </w:r>
    </w:p>
    <w:p w14:paraId="5AC79BB3">
      <w:pPr>
        <w:tabs>
          <w:tab w:val="left" w:pos="7797"/>
        </w:tabs>
        <w:spacing w:line="560" w:lineRule="exact"/>
        <w:ind w:firstLine="640" w:firstLineChars="200"/>
        <w:rPr>
          <w:rFonts w:ascii="仿宋" w:hAnsi="仿宋" w:eastAsia="仿宋"/>
          <w:color w:val="1F497D" w:themeColor="text2"/>
          <w:sz w:val="32"/>
          <w:szCs w:val="32"/>
          <w14:textFill>
            <w14:solidFill>
              <w14:schemeClr w14:val="tx2"/>
            </w14:solidFill>
          </w14:textFill>
        </w:rPr>
      </w:pPr>
      <w:r>
        <w:rPr>
          <w:rFonts w:hint="eastAsia" w:ascii="仿宋" w:hAnsi="仿宋" w:eastAsia="仿宋"/>
          <w:sz w:val="32"/>
          <w:szCs w:val="32"/>
        </w:rPr>
        <w:t xml:space="preserve">                               2026年</w:t>
      </w:r>
      <w:r>
        <w:rPr>
          <w:rFonts w:hint="eastAsia" w:ascii="仿宋" w:hAnsi="仿宋" w:eastAsia="仿宋"/>
          <w:sz w:val="32"/>
          <w:szCs w:val="32"/>
          <w:lang w:val="en-US" w:eastAsia="zh-CN"/>
        </w:rPr>
        <w:t>2</w:t>
      </w:r>
      <w:r>
        <w:rPr>
          <w:rFonts w:hint="eastAsia" w:ascii="仿宋" w:hAnsi="仿宋" w:eastAsia="仿宋"/>
          <w:sz w:val="32"/>
          <w:szCs w:val="32"/>
        </w:rPr>
        <w:t>月</w:t>
      </w:r>
      <w:r>
        <w:rPr>
          <w:rFonts w:hint="eastAsia" w:ascii="仿宋" w:hAnsi="仿宋" w:eastAsia="仿宋"/>
          <w:sz w:val="32"/>
          <w:szCs w:val="32"/>
          <w:lang w:val="en-US" w:eastAsia="zh-CN"/>
        </w:rPr>
        <w:t>2</w:t>
      </w:r>
      <w:r>
        <w:rPr>
          <w:rFonts w:hint="eastAsia" w:ascii="仿宋" w:hAnsi="仿宋" w:eastAsia="仿宋"/>
          <w:sz w:val="32"/>
          <w:szCs w:val="32"/>
        </w:rPr>
        <w:t>5日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B0604020202020204"/>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22FEE">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0281802" name="Text Box 1"/>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14:paraId="7A8BC924">
                          <w:pPr>
                            <w:pStyle w:val="5"/>
                          </w:pPr>
                          <w:r>
                            <w:fldChar w:fldCharType="begin"/>
                          </w:r>
                          <w:r>
                            <w:instrText xml:space="preserve"> PAGE  \* MERGEFORMAT </w:instrText>
                          </w:r>
                          <w:r>
                            <w:fldChar w:fldCharType="separate"/>
                          </w:r>
                          <w:r>
                            <w:t>25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zMvP4QEAANsDAAAOAAAA&#10;AAAAAAEAIAAAAB4BAABkcnMvZTJvRG9jLnhtbFBLBQYAAAAABgAGAFkBAABxBQAAAAA=&#10;">
              <v:fill on="f" focussize="0,0"/>
              <v:stroke on="f"/>
              <v:imagedata o:title=""/>
              <o:lock v:ext="edit" aspectratio="f"/>
              <v:textbox inset="0mm,0mm,0mm,0mm" style="mso-fit-shape-to-text:t;">
                <w:txbxContent>
                  <w:p w14:paraId="7A8BC924">
                    <w:pPr>
                      <w:pStyle w:val="5"/>
                    </w:pPr>
                    <w:r>
                      <w:fldChar w:fldCharType="begin"/>
                    </w:r>
                    <w:r>
                      <w:instrText xml:space="preserve"> PAGE  \* MERGEFORMAT </w:instrText>
                    </w:r>
                    <w:r>
                      <w:fldChar w:fldCharType="separate"/>
                    </w:r>
                    <w:r>
                      <w:t>25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C0A2E"/>
    <w:multiLevelType w:val="multilevel"/>
    <w:tmpl w:val="F59C0A2E"/>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142"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284" w:firstLine="0"/>
      </w:pPr>
      <w:rPr>
        <w:rFonts w:hint="eastAsia" w:ascii="黑体" w:hAnsi="Times New Roman" w:eastAsia="黑体" w:cs="黑体"/>
        <w:b w:val="0"/>
        <w:i w:val="0"/>
        <w:sz w:val="21"/>
      </w:rPr>
    </w:lvl>
    <w:lvl w:ilvl="4" w:tentative="0">
      <w:start w:val="1"/>
      <w:numFmt w:val="decimal"/>
      <w:pStyle w:val="33"/>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21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1"/>
      <w:suff w:val="nothing"/>
      <w:lvlText w:val="%1.%2.%3　"/>
      <w:lvlJc w:val="left"/>
      <w:pPr>
        <w:ind w:left="56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30E81607"/>
    <w:multiLevelType w:val="multilevel"/>
    <w:tmpl w:val="30E81607"/>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142"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284"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pStyle w:val="32"/>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3">
    <w:nsid w:val="6CEA2025"/>
    <w:multiLevelType w:val="multilevel"/>
    <w:tmpl w:val="6CEA2025"/>
    <w:lvl w:ilvl="0" w:tentative="0">
      <w:start w:val="1"/>
      <w:numFmt w:val="none"/>
      <w:pStyle w:val="31"/>
      <w:suff w:val="nothing"/>
      <w:lvlText w:val="%1"/>
      <w:lvlJc w:val="left"/>
      <w:pPr>
        <w:ind w:left="0" w:firstLine="0"/>
      </w:pPr>
      <w:rPr>
        <w:rFonts w:hint="eastAsia"/>
      </w:rPr>
    </w:lvl>
    <w:lvl w:ilvl="1" w:tentative="0">
      <w:start w:val="1"/>
      <w:numFmt w:val="decimal"/>
      <w:pStyle w:val="29"/>
      <w:suff w:val="nothing"/>
      <w:lvlText w:val="%1%2　"/>
      <w:lvlJc w:val="left"/>
      <w:pPr>
        <w:ind w:left="0" w:firstLine="0"/>
      </w:pPr>
      <w:rPr>
        <w:rFonts w:hint="eastAsia" w:ascii="黑体" w:eastAsia="黑体"/>
        <w:b w:val="0"/>
        <w:i w:val="0"/>
        <w:sz w:val="21"/>
      </w:rPr>
    </w:lvl>
    <w:lvl w:ilvl="2" w:tentative="0">
      <w:start w:val="1"/>
      <w:numFmt w:val="decimal"/>
      <w:pStyle w:val="3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5"/>
      <w:suff w:val="nothing"/>
      <w:lvlText w:val="%1%2.%3.%4　"/>
      <w:lvlJc w:val="left"/>
      <w:pPr>
        <w:ind w:left="142" w:firstLine="0"/>
      </w:pPr>
      <w:rPr>
        <w:rFonts w:hint="eastAsia" w:ascii="黑体" w:eastAsia="黑体"/>
        <w:b w:val="0"/>
        <w:i w:val="0"/>
        <w:sz w:val="21"/>
      </w:rPr>
    </w:lvl>
    <w:lvl w:ilvl="4" w:tentative="0">
      <w:start w:val="1"/>
      <w:numFmt w:val="decimal"/>
      <w:pStyle w:val="26"/>
      <w:suff w:val="nothing"/>
      <w:lvlText w:val="%1%2.%3.%4.%5　"/>
      <w:lvlJc w:val="left"/>
      <w:pPr>
        <w:ind w:left="0" w:firstLine="0"/>
      </w:pPr>
      <w:rPr>
        <w:rFonts w:hint="eastAsia" w:ascii="黑体" w:eastAsia="黑体"/>
        <w:b w:val="0"/>
        <w:i w:val="0"/>
        <w:sz w:val="21"/>
      </w:rPr>
    </w:lvl>
    <w:lvl w:ilvl="5" w:tentative="0">
      <w:start w:val="1"/>
      <w:numFmt w:val="decimal"/>
      <w:pStyle w:val="27"/>
      <w:suff w:val="nothing"/>
      <w:lvlText w:val="%1%2.%3.%4.%5.%6　"/>
      <w:lvlJc w:val="left"/>
      <w:pPr>
        <w:ind w:left="0" w:firstLine="0"/>
      </w:pPr>
      <w:rPr>
        <w:rFonts w:hint="eastAsia" w:ascii="黑体" w:eastAsia="黑体"/>
        <w:b w:val="0"/>
        <w:i w:val="0"/>
        <w:sz w:val="21"/>
      </w:rPr>
    </w:lvl>
    <w:lvl w:ilvl="6" w:tentative="0">
      <w:start w:val="1"/>
      <w:numFmt w:val="decimal"/>
      <w:pStyle w:val="2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xMGUyZTQ1YWMwNzQ5MWJjY2U0ZGUzZTFlZDAxMjcifQ=="/>
  </w:docVars>
  <w:rsids>
    <w:rsidRoot w:val="0037490B"/>
    <w:rsid w:val="0000053F"/>
    <w:rsid w:val="000005CA"/>
    <w:rsid w:val="00001814"/>
    <w:rsid w:val="0000242E"/>
    <w:rsid w:val="00002DC8"/>
    <w:rsid w:val="000032E6"/>
    <w:rsid w:val="00003B4F"/>
    <w:rsid w:val="00003DB3"/>
    <w:rsid w:val="00006EE5"/>
    <w:rsid w:val="00015103"/>
    <w:rsid w:val="000255FF"/>
    <w:rsid w:val="000258DE"/>
    <w:rsid w:val="00030EE3"/>
    <w:rsid w:val="0005176B"/>
    <w:rsid w:val="00055E93"/>
    <w:rsid w:val="00064EA0"/>
    <w:rsid w:val="000718F2"/>
    <w:rsid w:val="00071923"/>
    <w:rsid w:val="0008204D"/>
    <w:rsid w:val="00084F63"/>
    <w:rsid w:val="00087B41"/>
    <w:rsid w:val="00091F8D"/>
    <w:rsid w:val="0009384C"/>
    <w:rsid w:val="000A119D"/>
    <w:rsid w:val="000A5A53"/>
    <w:rsid w:val="000A6B6E"/>
    <w:rsid w:val="000A7270"/>
    <w:rsid w:val="000B0DA3"/>
    <w:rsid w:val="000B47AB"/>
    <w:rsid w:val="000B7385"/>
    <w:rsid w:val="000C1656"/>
    <w:rsid w:val="000D722D"/>
    <w:rsid w:val="000E0C1D"/>
    <w:rsid w:val="000E57B1"/>
    <w:rsid w:val="000E7313"/>
    <w:rsid w:val="000F561B"/>
    <w:rsid w:val="000F7DAF"/>
    <w:rsid w:val="00102195"/>
    <w:rsid w:val="001037D6"/>
    <w:rsid w:val="00110FBA"/>
    <w:rsid w:val="00111C5E"/>
    <w:rsid w:val="00115C18"/>
    <w:rsid w:val="001170DA"/>
    <w:rsid w:val="00120F4F"/>
    <w:rsid w:val="00125DD8"/>
    <w:rsid w:val="00126855"/>
    <w:rsid w:val="00131174"/>
    <w:rsid w:val="001344C5"/>
    <w:rsid w:val="0013567B"/>
    <w:rsid w:val="001441C8"/>
    <w:rsid w:val="00147A7A"/>
    <w:rsid w:val="00151C29"/>
    <w:rsid w:val="00160FAE"/>
    <w:rsid w:val="00165102"/>
    <w:rsid w:val="00167644"/>
    <w:rsid w:val="00170088"/>
    <w:rsid w:val="00172847"/>
    <w:rsid w:val="00176892"/>
    <w:rsid w:val="00180583"/>
    <w:rsid w:val="00182AD3"/>
    <w:rsid w:val="00184502"/>
    <w:rsid w:val="00184700"/>
    <w:rsid w:val="00185CA3"/>
    <w:rsid w:val="00192792"/>
    <w:rsid w:val="001A03FA"/>
    <w:rsid w:val="001A2348"/>
    <w:rsid w:val="001A585A"/>
    <w:rsid w:val="001A68FB"/>
    <w:rsid w:val="001B4E68"/>
    <w:rsid w:val="001B6DB3"/>
    <w:rsid w:val="001D093C"/>
    <w:rsid w:val="001D2157"/>
    <w:rsid w:val="001D55A2"/>
    <w:rsid w:val="001D694F"/>
    <w:rsid w:val="001E1747"/>
    <w:rsid w:val="001E21D6"/>
    <w:rsid w:val="001E4488"/>
    <w:rsid w:val="001E7634"/>
    <w:rsid w:val="001F67DD"/>
    <w:rsid w:val="002034E1"/>
    <w:rsid w:val="00205861"/>
    <w:rsid w:val="002102FA"/>
    <w:rsid w:val="00212291"/>
    <w:rsid w:val="002127FC"/>
    <w:rsid w:val="0021475C"/>
    <w:rsid w:val="0021538A"/>
    <w:rsid w:val="00217985"/>
    <w:rsid w:val="0022020B"/>
    <w:rsid w:val="0022233B"/>
    <w:rsid w:val="00224BFE"/>
    <w:rsid w:val="002251CA"/>
    <w:rsid w:val="00225F22"/>
    <w:rsid w:val="002306BF"/>
    <w:rsid w:val="00230783"/>
    <w:rsid w:val="00230FE3"/>
    <w:rsid w:val="0023444B"/>
    <w:rsid w:val="00234EC1"/>
    <w:rsid w:val="00235D2E"/>
    <w:rsid w:val="00236512"/>
    <w:rsid w:val="002410F1"/>
    <w:rsid w:val="0024687D"/>
    <w:rsid w:val="002513A0"/>
    <w:rsid w:val="00252C67"/>
    <w:rsid w:val="00255076"/>
    <w:rsid w:val="00255234"/>
    <w:rsid w:val="00261EAF"/>
    <w:rsid w:val="00266674"/>
    <w:rsid w:val="0027055E"/>
    <w:rsid w:val="002718CB"/>
    <w:rsid w:val="00272ECD"/>
    <w:rsid w:val="002741A6"/>
    <w:rsid w:val="00282225"/>
    <w:rsid w:val="00282392"/>
    <w:rsid w:val="00284186"/>
    <w:rsid w:val="00286E92"/>
    <w:rsid w:val="002878B9"/>
    <w:rsid w:val="00290CF8"/>
    <w:rsid w:val="002946D7"/>
    <w:rsid w:val="00296164"/>
    <w:rsid w:val="002A1DE2"/>
    <w:rsid w:val="002A7C92"/>
    <w:rsid w:val="002B09FB"/>
    <w:rsid w:val="002B176E"/>
    <w:rsid w:val="002C0587"/>
    <w:rsid w:val="002C17C7"/>
    <w:rsid w:val="002C3262"/>
    <w:rsid w:val="002C38F8"/>
    <w:rsid w:val="002C3D9D"/>
    <w:rsid w:val="002D0EC0"/>
    <w:rsid w:val="002D4741"/>
    <w:rsid w:val="002E1BFD"/>
    <w:rsid w:val="002E33C3"/>
    <w:rsid w:val="002E49B5"/>
    <w:rsid w:val="002F5EC2"/>
    <w:rsid w:val="002F79E6"/>
    <w:rsid w:val="002F7C9D"/>
    <w:rsid w:val="00301094"/>
    <w:rsid w:val="00301FF5"/>
    <w:rsid w:val="0030273D"/>
    <w:rsid w:val="00306E58"/>
    <w:rsid w:val="0030718D"/>
    <w:rsid w:val="00307DD9"/>
    <w:rsid w:val="00310AD3"/>
    <w:rsid w:val="00311598"/>
    <w:rsid w:val="00311ABF"/>
    <w:rsid w:val="003134D1"/>
    <w:rsid w:val="00316454"/>
    <w:rsid w:val="003176CC"/>
    <w:rsid w:val="00322809"/>
    <w:rsid w:val="003251CC"/>
    <w:rsid w:val="003278E9"/>
    <w:rsid w:val="0033088E"/>
    <w:rsid w:val="00330D99"/>
    <w:rsid w:val="00331591"/>
    <w:rsid w:val="0033254E"/>
    <w:rsid w:val="00332F81"/>
    <w:rsid w:val="00335B12"/>
    <w:rsid w:val="00336DA4"/>
    <w:rsid w:val="00342F19"/>
    <w:rsid w:val="00347B3A"/>
    <w:rsid w:val="0035282E"/>
    <w:rsid w:val="00355B91"/>
    <w:rsid w:val="003579E3"/>
    <w:rsid w:val="00364329"/>
    <w:rsid w:val="00364C43"/>
    <w:rsid w:val="0036507A"/>
    <w:rsid w:val="00365FBD"/>
    <w:rsid w:val="00366B48"/>
    <w:rsid w:val="00367CD0"/>
    <w:rsid w:val="003717AA"/>
    <w:rsid w:val="00372023"/>
    <w:rsid w:val="00373076"/>
    <w:rsid w:val="0037336B"/>
    <w:rsid w:val="00374750"/>
    <w:rsid w:val="0037490B"/>
    <w:rsid w:val="00376373"/>
    <w:rsid w:val="00376424"/>
    <w:rsid w:val="003804FF"/>
    <w:rsid w:val="00387FD0"/>
    <w:rsid w:val="00390362"/>
    <w:rsid w:val="003905EF"/>
    <w:rsid w:val="00390D7F"/>
    <w:rsid w:val="0039622B"/>
    <w:rsid w:val="003A00DE"/>
    <w:rsid w:val="003A049C"/>
    <w:rsid w:val="003A3E22"/>
    <w:rsid w:val="003A5B7E"/>
    <w:rsid w:val="003B1B33"/>
    <w:rsid w:val="003B35C2"/>
    <w:rsid w:val="003C0AB3"/>
    <w:rsid w:val="003C2CCE"/>
    <w:rsid w:val="003C5994"/>
    <w:rsid w:val="003D0BAC"/>
    <w:rsid w:val="003D2062"/>
    <w:rsid w:val="003D226C"/>
    <w:rsid w:val="003D43E5"/>
    <w:rsid w:val="003D44FB"/>
    <w:rsid w:val="003D4B79"/>
    <w:rsid w:val="003E11BD"/>
    <w:rsid w:val="003E30BD"/>
    <w:rsid w:val="003F6173"/>
    <w:rsid w:val="003F654A"/>
    <w:rsid w:val="003F76B0"/>
    <w:rsid w:val="00401CDE"/>
    <w:rsid w:val="0040429A"/>
    <w:rsid w:val="00410DE4"/>
    <w:rsid w:val="0041563D"/>
    <w:rsid w:val="00415EA5"/>
    <w:rsid w:val="00417E13"/>
    <w:rsid w:val="004211A8"/>
    <w:rsid w:val="00421213"/>
    <w:rsid w:val="00421BEA"/>
    <w:rsid w:val="00435C24"/>
    <w:rsid w:val="00441BC7"/>
    <w:rsid w:val="00441F46"/>
    <w:rsid w:val="004427F9"/>
    <w:rsid w:val="00444EC0"/>
    <w:rsid w:val="0044688A"/>
    <w:rsid w:val="0045218D"/>
    <w:rsid w:val="00456F07"/>
    <w:rsid w:val="00461779"/>
    <w:rsid w:val="00461AFD"/>
    <w:rsid w:val="004661AA"/>
    <w:rsid w:val="004671EF"/>
    <w:rsid w:val="00475657"/>
    <w:rsid w:val="004846D3"/>
    <w:rsid w:val="004859DB"/>
    <w:rsid w:val="004861A8"/>
    <w:rsid w:val="00487336"/>
    <w:rsid w:val="00493851"/>
    <w:rsid w:val="00494BAB"/>
    <w:rsid w:val="00496F72"/>
    <w:rsid w:val="004A140C"/>
    <w:rsid w:val="004A2CDA"/>
    <w:rsid w:val="004A39ED"/>
    <w:rsid w:val="004A6425"/>
    <w:rsid w:val="004B0BD5"/>
    <w:rsid w:val="004B2C31"/>
    <w:rsid w:val="004C4A35"/>
    <w:rsid w:val="004C5FE7"/>
    <w:rsid w:val="004C719A"/>
    <w:rsid w:val="004D135A"/>
    <w:rsid w:val="004D23BA"/>
    <w:rsid w:val="004D6013"/>
    <w:rsid w:val="004E2471"/>
    <w:rsid w:val="004E51D1"/>
    <w:rsid w:val="004E6B96"/>
    <w:rsid w:val="004E702B"/>
    <w:rsid w:val="004E71C4"/>
    <w:rsid w:val="004E7E83"/>
    <w:rsid w:val="004F0893"/>
    <w:rsid w:val="004F1802"/>
    <w:rsid w:val="00501338"/>
    <w:rsid w:val="0050150E"/>
    <w:rsid w:val="005042E8"/>
    <w:rsid w:val="00504915"/>
    <w:rsid w:val="00513629"/>
    <w:rsid w:val="0051458C"/>
    <w:rsid w:val="0051786E"/>
    <w:rsid w:val="00523C6F"/>
    <w:rsid w:val="00530FD2"/>
    <w:rsid w:val="0053180E"/>
    <w:rsid w:val="00531B59"/>
    <w:rsid w:val="005334D7"/>
    <w:rsid w:val="00541753"/>
    <w:rsid w:val="00543D0A"/>
    <w:rsid w:val="00544778"/>
    <w:rsid w:val="00545712"/>
    <w:rsid w:val="005510D6"/>
    <w:rsid w:val="005548A7"/>
    <w:rsid w:val="0055683E"/>
    <w:rsid w:val="00560E6C"/>
    <w:rsid w:val="00565DD4"/>
    <w:rsid w:val="00566365"/>
    <w:rsid w:val="00567988"/>
    <w:rsid w:val="00570D65"/>
    <w:rsid w:val="005712CA"/>
    <w:rsid w:val="0058257B"/>
    <w:rsid w:val="0059288F"/>
    <w:rsid w:val="005955E7"/>
    <w:rsid w:val="00596C48"/>
    <w:rsid w:val="005A40E0"/>
    <w:rsid w:val="005A4739"/>
    <w:rsid w:val="005B1226"/>
    <w:rsid w:val="005B3727"/>
    <w:rsid w:val="005B63E1"/>
    <w:rsid w:val="005C1586"/>
    <w:rsid w:val="005C527C"/>
    <w:rsid w:val="005D564B"/>
    <w:rsid w:val="005E02C6"/>
    <w:rsid w:val="005E1E2D"/>
    <w:rsid w:val="005E31F1"/>
    <w:rsid w:val="005E3295"/>
    <w:rsid w:val="005E40E3"/>
    <w:rsid w:val="005E6EF3"/>
    <w:rsid w:val="005E7CEF"/>
    <w:rsid w:val="005F0BBC"/>
    <w:rsid w:val="005F3192"/>
    <w:rsid w:val="0060440D"/>
    <w:rsid w:val="00607703"/>
    <w:rsid w:val="0061180E"/>
    <w:rsid w:val="0061249A"/>
    <w:rsid w:val="00613D28"/>
    <w:rsid w:val="00615634"/>
    <w:rsid w:val="006210DA"/>
    <w:rsid w:val="00626CAA"/>
    <w:rsid w:val="00630A5B"/>
    <w:rsid w:val="00631339"/>
    <w:rsid w:val="0064289F"/>
    <w:rsid w:val="00643304"/>
    <w:rsid w:val="006512FA"/>
    <w:rsid w:val="006527B2"/>
    <w:rsid w:val="00654231"/>
    <w:rsid w:val="00654D0F"/>
    <w:rsid w:val="006574D1"/>
    <w:rsid w:val="00667A7D"/>
    <w:rsid w:val="006703D4"/>
    <w:rsid w:val="006747D2"/>
    <w:rsid w:val="006758CC"/>
    <w:rsid w:val="006765DB"/>
    <w:rsid w:val="006800B4"/>
    <w:rsid w:val="00683CD7"/>
    <w:rsid w:val="00690488"/>
    <w:rsid w:val="00692728"/>
    <w:rsid w:val="00692A7C"/>
    <w:rsid w:val="00692C1F"/>
    <w:rsid w:val="00692C29"/>
    <w:rsid w:val="00692D38"/>
    <w:rsid w:val="00695D4B"/>
    <w:rsid w:val="006A07E1"/>
    <w:rsid w:val="006A180E"/>
    <w:rsid w:val="006A412A"/>
    <w:rsid w:val="006B40AB"/>
    <w:rsid w:val="006B48C6"/>
    <w:rsid w:val="006B5ED6"/>
    <w:rsid w:val="006B6C36"/>
    <w:rsid w:val="006C5EE9"/>
    <w:rsid w:val="006C5FB0"/>
    <w:rsid w:val="006C7CB3"/>
    <w:rsid w:val="006D23B4"/>
    <w:rsid w:val="006D5BF6"/>
    <w:rsid w:val="006E38F2"/>
    <w:rsid w:val="006E4B45"/>
    <w:rsid w:val="006E566F"/>
    <w:rsid w:val="006E7331"/>
    <w:rsid w:val="006F2CAD"/>
    <w:rsid w:val="006F375B"/>
    <w:rsid w:val="006F7E60"/>
    <w:rsid w:val="00703D01"/>
    <w:rsid w:val="00703F7C"/>
    <w:rsid w:val="00710402"/>
    <w:rsid w:val="00710ECD"/>
    <w:rsid w:val="0071226C"/>
    <w:rsid w:val="007141DD"/>
    <w:rsid w:val="00722471"/>
    <w:rsid w:val="007225E8"/>
    <w:rsid w:val="00722609"/>
    <w:rsid w:val="007250B5"/>
    <w:rsid w:val="00735168"/>
    <w:rsid w:val="007470DB"/>
    <w:rsid w:val="00747CE8"/>
    <w:rsid w:val="00752912"/>
    <w:rsid w:val="00753137"/>
    <w:rsid w:val="007553F2"/>
    <w:rsid w:val="00755CBF"/>
    <w:rsid w:val="007607E1"/>
    <w:rsid w:val="007708E8"/>
    <w:rsid w:val="007714A8"/>
    <w:rsid w:val="00775793"/>
    <w:rsid w:val="007766C6"/>
    <w:rsid w:val="00781965"/>
    <w:rsid w:val="007848C2"/>
    <w:rsid w:val="00785E77"/>
    <w:rsid w:val="0079403E"/>
    <w:rsid w:val="00795047"/>
    <w:rsid w:val="00795B1E"/>
    <w:rsid w:val="0079601F"/>
    <w:rsid w:val="007A3953"/>
    <w:rsid w:val="007A6653"/>
    <w:rsid w:val="007A6F5F"/>
    <w:rsid w:val="007B2E04"/>
    <w:rsid w:val="007C042F"/>
    <w:rsid w:val="007C7133"/>
    <w:rsid w:val="007D2CB6"/>
    <w:rsid w:val="007E0CA5"/>
    <w:rsid w:val="007E36BC"/>
    <w:rsid w:val="007E4C32"/>
    <w:rsid w:val="007E6CEA"/>
    <w:rsid w:val="007E7A36"/>
    <w:rsid w:val="007F53A2"/>
    <w:rsid w:val="007F5D50"/>
    <w:rsid w:val="008003A1"/>
    <w:rsid w:val="00803B2E"/>
    <w:rsid w:val="008045EA"/>
    <w:rsid w:val="00806728"/>
    <w:rsid w:val="0081073D"/>
    <w:rsid w:val="0081081B"/>
    <w:rsid w:val="008117B3"/>
    <w:rsid w:val="00816FA6"/>
    <w:rsid w:val="0082113C"/>
    <w:rsid w:val="008237FB"/>
    <w:rsid w:val="00826830"/>
    <w:rsid w:val="00836079"/>
    <w:rsid w:val="0083640A"/>
    <w:rsid w:val="008366FC"/>
    <w:rsid w:val="00837CE2"/>
    <w:rsid w:val="008411FD"/>
    <w:rsid w:val="00841E33"/>
    <w:rsid w:val="00845F7F"/>
    <w:rsid w:val="00850528"/>
    <w:rsid w:val="0086510E"/>
    <w:rsid w:val="00865892"/>
    <w:rsid w:val="00865915"/>
    <w:rsid w:val="00870F5A"/>
    <w:rsid w:val="00871EA3"/>
    <w:rsid w:val="00872B61"/>
    <w:rsid w:val="0087663F"/>
    <w:rsid w:val="008801E9"/>
    <w:rsid w:val="00882892"/>
    <w:rsid w:val="00885125"/>
    <w:rsid w:val="0088623D"/>
    <w:rsid w:val="00893534"/>
    <w:rsid w:val="00895D07"/>
    <w:rsid w:val="008966FB"/>
    <w:rsid w:val="008971CA"/>
    <w:rsid w:val="008A02CD"/>
    <w:rsid w:val="008A0E43"/>
    <w:rsid w:val="008A1992"/>
    <w:rsid w:val="008A3DD1"/>
    <w:rsid w:val="008A5F63"/>
    <w:rsid w:val="008A70F4"/>
    <w:rsid w:val="008B1BAF"/>
    <w:rsid w:val="008B1DBA"/>
    <w:rsid w:val="008B52B5"/>
    <w:rsid w:val="008B7C53"/>
    <w:rsid w:val="008C0317"/>
    <w:rsid w:val="008C04B2"/>
    <w:rsid w:val="008C2BFA"/>
    <w:rsid w:val="008C7069"/>
    <w:rsid w:val="008D0205"/>
    <w:rsid w:val="008D078E"/>
    <w:rsid w:val="008D17BC"/>
    <w:rsid w:val="008E1A8E"/>
    <w:rsid w:val="008E6CA6"/>
    <w:rsid w:val="008E7778"/>
    <w:rsid w:val="008F406F"/>
    <w:rsid w:val="008F5D4C"/>
    <w:rsid w:val="008F7646"/>
    <w:rsid w:val="009060E8"/>
    <w:rsid w:val="00910FED"/>
    <w:rsid w:val="009127EE"/>
    <w:rsid w:val="00912A0E"/>
    <w:rsid w:val="009150B1"/>
    <w:rsid w:val="0091618E"/>
    <w:rsid w:val="0091702A"/>
    <w:rsid w:val="009304AE"/>
    <w:rsid w:val="00936BDC"/>
    <w:rsid w:val="0094248A"/>
    <w:rsid w:val="00942680"/>
    <w:rsid w:val="00945D92"/>
    <w:rsid w:val="00947569"/>
    <w:rsid w:val="00951C14"/>
    <w:rsid w:val="00956D3B"/>
    <w:rsid w:val="00960B94"/>
    <w:rsid w:val="00961A93"/>
    <w:rsid w:val="00964155"/>
    <w:rsid w:val="00966787"/>
    <w:rsid w:val="009711E6"/>
    <w:rsid w:val="009719BB"/>
    <w:rsid w:val="009777B1"/>
    <w:rsid w:val="009825D4"/>
    <w:rsid w:val="00982CE4"/>
    <w:rsid w:val="00984CC6"/>
    <w:rsid w:val="00985335"/>
    <w:rsid w:val="009927DA"/>
    <w:rsid w:val="00995626"/>
    <w:rsid w:val="00997142"/>
    <w:rsid w:val="009A0F45"/>
    <w:rsid w:val="009A10F4"/>
    <w:rsid w:val="009A1999"/>
    <w:rsid w:val="009A27DB"/>
    <w:rsid w:val="009A7605"/>
    <w:rsid w:val="009B249A"/>
    <w:rsid w:val="009B39A8"/>
    <w:rsid w:val="009B6FF8"/>
    <w:rsid w:val="009C38E2"/>
    <w:rsid w:val="009C4476"/>
    <w:rsid w:val="009C5D70"/>
    <w:rsid w:val="009D294C"/>
    <w:rsid w:val="009D5483"/>
    <w:rsid w:val="009E09EA"/>
    <w:rsid w:val="009E1CE9"/>
    <w:rsid w:val="009E462D"/>
    <w:rsid w:val="009E78FC"/>
    <w:rsid w:val="009F318F"/>
    <w:rsid w:val="009F48D0"/>
    <w:rsid w:val="009F4E84"/>
    <w:rsid w:val="00A01560"/>
    <w:rsid w:val="00A03BDF"/>
    <w:rsid w:val="00A047A6"/>
    <w:rsid w:val="00A076BD"/>
    <w:rsid w:val="00A101F9"/>
    <w:rsid w:val="00A12A1B"/>
    <w:rsid w:val="00A13F53"/>
    <w:rsid w:val="00A168DB"/>
    <w:rsid w:val="00A22078"/>
    <w:rsid w:val="00A22129"/>
    <w:rsid w:val="00A27211"/>
    <w:rsid w:val="00A319BB"/>
    <w:rsid w:val="00A324A8"/>
    <w:rsid w:val="00A34A3B"/>
    <w:rsid w:val="00A36077"/>
    <w:rsid w:val="00A43E33"/>
    <w:rsid w:val="00A4427D"/>
    <w:rsid w:val="00A52282"/>
    <w:rsid w:val="00A53EE6"/>
    <w:rsid w:val="00A578B0"/>
    <w:rsid w:val="00A57BB6"/>
    <w:rsid w:val="00A60B2D"/>
    <w:rsid w:val="00A62EA4"/>
    <w:rsid w:val="00A666DE"/>
    <w:rsid w:val="00A66B4F"/>
    <w:rsid w:val="00A709DA"/>
    <w:rsid w:val="00A731D8"/>
    <w:rsid w:val="00A74CFD"/>
    <w:rsid w:val="00A8384F"/>
    <w:rsid w:val="00A84FBA"/>
    <w:rsid w:val="00A928B4"/>
    <w:rsid w:val="00A9290C"/>
    <w:rsid w:val="00A965A7"/>
    <w:rsid w:val="00A96A06"/>
    <w:rsid w:val="00AA1F4C"/>
    <w:rsid w:val="00AA275F"/>
    <w:rsid w:val="00AA4761"/>
    <w:rsid w:val="00AA6978"/>
    <w:rsid w:val="00AB6779"/>
    <w:rsid w:val="00AB7ED2"/>
    <w:rsid w:val="00AC1895"/>
    <w:rsid w:val="00AC36C1"/>
    <w:rsid w:val="00AC5111"/>
    <w:rsid w:val="00AC7DBF"/>
    <w:rsid w:val="00AD1F08"/>
    <w:rsid w:val="00AD5664"/>
    <w:rsid w:val="00AD6032"/>
    <w:rsid w:val="00AE1143"/>
    <w:rsid w:val="00AE3C92"/>
    <w:rsid w:val="00AE5A98"/>
    <w:rsid w:val="00AF0B2F"/>
    <w:rsid w:val="00AF2B38"/>
    <w:rsid w:val="00AF71BF"/>
    <w:rsid w:val="00B220CD"/>
    <w:rsid w:val="00B22DD0"/>
    <w:rsid w:val="00B24F3A"/>
    <w:rsid w:val="00B31650"/>
    <w:rsid w:val="00B33842"/>
    <w:rsid w:val="00B37061"/>
    <w:rsid w:val="00B4227A"/>
    <w:rsid w:val="00B425E0"/>
    <w:rsid w:val="00B5342D"/>
    <w:rsid w:val="00B540E3"/>
    <w:rsid w:val="00B54282"/>
    <w:rsid w:val="00B64EEC"/>
    <w:rsid w:val="00B702EE"/>
    <w:rsid w:val="00B81783"/>
    <w:rsid w:val="00B85612"/>
    <w:rsid w:val="00B86EFD"/>
    <w:rsid w:val="00B90454"/>
    <w:rsid w:val="00B92057"/>
    <w:rsid w:val="00B9246E"/>
    <w:rsid w:val="00B9332E"/>
    <w:rsid w:val="00B94FB6"/>
    <w:rsid w:val="00B96487"/>
    <w:rsid w:val="00BA361F"/>
    <w:rsid w:val="00BA3CAE"/>
    <w:rsid w:val="00BB0F1F"/>
    <w:rsid w:val="00BB2B12"/>
    <w:rsid w:val="00BB4FBC"/>
    <w:rsid w:val="00BB557D"/>
    <w:rsid w:val="00BB5ACE"/>
    <w:rsid w:val="00BB7BA4"/>
    <w:rsid w:val="00BC1E7D"/>
    <w:rsid w:val="00BC2A6D"/>
    <w:rsid w:val="00BC450C"/>
    <w:rsid w:val="00BC67F6"/>
    <w:rsid w:val="00BD1922"/>
    <w:rsid w:val="00BD5364"/>
    <w:rsid w:val="00BE0A61"/>
    <w:rsid w:val="00BE3A50"/>
    <w:rsid w:val="00BF08D7"/>
    <w:rsid w:val="00C00151"/>
    <w:rsid w:val="00C04B16"/>
    <w:rsid w:val="00C07C20"/>
    <w:rsid w:val="00C143A9"/>
    <w:rsid w:val="00C17E72"/>
    <w:rsid w:val="00C229F1"/>
    <w:rsid w:val="00C2442E"/>
    <w:rsid w:val="00C34B53"/>
    <w:rsid w:val="00C40234"/>
    <w:rsid w:val="00C45C6D"/>
    <w:rsid w:val="00C4700B"/>
    <w:rsid w:val="00C50AB5"/>
    <w:rsid w:val="00C51B2C"/>
    <w:rsid w:val="00C57985"/>
    <w:rsid w:val="00C61B04"/>
    <w:rsid w:val="00C625CB"/>
    <w:rsid w:val="00C6305D"/>
    <w:rsid w:val="00C63A0A"/>
    <w:rsid w:val="00C6783E"/>
    <w:rsid w:val="00C708E8"/>
    <w:rsid w:val="00C716A7"/>
    <w:rsid w:val="00C731FB"/>
    <w:rsid w:val="00C80B83"/>
    <w:rsid w:val="00C867CF"/>
    <w:rsid w:val="00C8766F"/>
    <w:rsid w:val="00C87EB0"/>
    <w:rsid w:val="00C955C6"/>
    <w:rsid w:val="00CA0C88"/>
    <w:rsid w:val="00CA0CAF"/>
    <w:rsid w:val="00CA6144"/>
    <w:rsid w:val="00CA6701"/>
    <w:rsid w:val="00CB015F"/>
    <w:rsid w:val="00CB0DE0"/>
    <w:rsid w:val="00CB28F2"/>
    <w:rsid w:val="00CC289E"/>
    <w:rsid w:val="00CC371C"/>
    <w:rsid w:val="00CC4FDE"/>
    <w:rsid w:val="00CC59CE"/>
    <w:rsid w:val="00CC72B5"/>
    <w:rsid w:val="00CC75AC"/>
    <w:rsid w:val="00CD0613"/>
    <w:rsid w:val="00CD55BF"/>
    <w:rsid w:val="00CD6B20"/>
    <w:rsid w:val="00CE1044"/>
    <w:rsid w:val="00CE599F"/>
    <w:rsid w:val="00CE6678"/>
    <w:rsid w:val="00CF00C7"/>
    <w:rsid w:val="00CF04F7"/>
    <w:rsid w:val="00CF51B5"/>
    <w:rsid w:val="00CF6CEC"/>
    <w:rsid w:val="00D0334C"/>
    <w:rsid w:val="00D06F9B"/>
    <w:rsid w:val="00D12130"/>
    <w:rsid w:val="00D130CC"/>
    <w:rsid w:val="00D148CF"/>
    <w:rsid w:val="00D15437"/>
    <w:rsid w:val="00D15A89"/>
    <w:rsid w:val="00D215D4"/>
    <w:rsid w:val="00D23F7C"/>
    <w:rsid w:val="00D2583B"/>
    <w:rsid w:val="00D302A0"/>
    <w:rsid w:val="00D33444"/>
    <w:rsid w:val="00D3549B"/>
    <w:rsid w:val="00D37C1A"/>
    <w:rsid w:val="00D4581F"/>
    <w:rsid w:val="00D45956"/>
    <w:rsid w:val="00D469CC"/>
    <w:rsid w:val="00D51C99"/>
    <w:rsid w:val="00D61FA1"/>
    <w:rsid w:val="00D63C5A"/>
    <w:rsid w:val="00D645EF"/>
    <w:rsid w:val="00D66CB0"/>
    <w:rsid w:val="00D66E95"/>
    <w:rsid w:val="00D675D1"/>
    <w:rsid w:val="00D70D2F"/>
    <w:rsid w:val="00D726BE"/>
    <w:rsid w:val="00D77582"/>
    <w:rsid w:val="00D8072E"/>
    <w:rsid w:val="00D81F58"/>
    <w:rsid w:val="00D82338"/>
    <w:rsid w:val="00D835B0"/>
    <w:rsid w:val="00D87ED0"/>
    <w:rsid w:val="00D933B2"/>
    <w:rsid w:val="00D940B8"/>
    <w:rsid w:val="00D962C9"/>
    <w:rsid w:val="00D96882"/>
    <w:rsid w:val="00D978F2"/>
    <w:rsid w:val="00DA14F8"/>
    <w:rsid w:val="00DA4627"/>
    <w:rsid w:val="00DA7DEC"/>
    <w:rsid w:val="00DB07E1"/>
    <w:rsid w:val="00DB1372"/>
    <w:rsid w:val="00DB6038"/>
    <w:rsid w:val="00DB7632"/>
    <w:rsid w:val="00DC24F7"/>
    <w:rsid w:val="00DC4FC7"/>
    <w:rsid w:val="00DE1404"/>
    <w:rsid w:val="00DE5CFF"/>
    <w:rsid w:val="00DE5FE4"/>
    <w:rsid w:val="00DF3D6A"/>
    <w:rsid w:val="00DF57E5"/>
    <w:rsid w:val="00E006AE"/>
    <w:rsid w:val="00E12CDE"/>
    <w:rsid w:val="00E14671"/>
    <w:rsid w:val="00E17298"/>
    <w:rsid w:val="00E1768A"/>
    <w:rsid w:val="00E2083D"/>
    <w:rsid w:val="00E22415"/>
    <w:rsid w:val="00E23F22"/>
    <w:rsid w:val="00E30715"/>
    <w:rsid w:val="00E318ED"/>
    <w:rsid w:val="00E32149"/>
    <w:rsid w:val="00E330B4"/>
    <w:rsid w:val="00E33107"/>
    <w:rsid w:val="00E3439A"/>
    <w:rsid w:val="00E362F0"/>
    <w:rsid w:val="00E36F7F"/>
    <w:rsid w:val="00E40396"/>
    <w:rsid w:val="00E409D2"/>
    <w:rsid w:val="00E411C0"/>
    <w:rsid w:val="00E50FC5"/>
    <w:rsid w:val="00E52CEF"/>
    <w:rsid w:val="00E53F4A"/>
    <w:rsid w:val="00E544B8"/>
    <w:rsid w:val="00E65CF2"/>
    <w:rsid w:val="00E73DFB"/>
    <w:rsid w:val="00E756CB"/>
    <w:rsid w:val="00E8149E"/>
    <w:rsid w:val="00E8396E"/>
    <w:rsid w:val="00E91514"/>
    <w:rsid w:val="00E91D23"/>
    <w:rsid w:val="00E92D69"/>
    <w:rsid w:val="00E932CD"/>
    <w:rsid w:val="00E93998"/>
    <w:rsid w:val="00EA10B0"/>
    <w:rsid w:val="00EA34AF"/>
    <w:rsid w:val="00EA381E"/>
    <w:rsid w:val="00EB4D6E"/>
    <w:rsid w:val="00EB6DA7"/>
    <w:rsid w:val="00EB7885"/>
    <w:rsid w:val="00EB7F64"/>
    <w:rsid w:val="00EC234B"/>
    <w:rsid w:val="00EC34AC"/>
    <w:rsid w:val="00EC3BDB"/>
    <w:rsid w:val="00EC6708"/>
    <w:rsid w:val="00ED2493"/>
    <w:rsid w:val="00ED67C7"/>
    <w:rsid w:val="00EE3EBC"/>
    <w:rsid w:val="00EE410E"/>
    <w:rsid w:val="00EF1F86"/>
    <w:rsid w:val="00EF39BD"/>
    <w:rsid w:val="00EF7178"/>
    <w:rsid w:val="00EF72F7"/>
    <w:rsid w:val="00F017E9"/>
    <w:rsid w:val="00F12CCB"/>
    <w:rsid w:val="00F2008F"/>
    <w:rsid w:val="00F2219C"/>
    <w:rsid w:val="00F26FCF"/>
    <w:rsid w:val="00F35A42"/>
    <w:rsid w:val="00F36D7E"/>
    <w:rsid w:val="00F434A5"/>
    <w:rsid w:val="00F445C1"/>
    <w:rsid w:val="00F54499"/>
    <w:rsid w:val="00F57579"/>
    <w:rsid w:val="00F578B5"/>
    <w:rsid w:val="00F61FB3"/>
    <w:rsid w:val="00F622CB"/>
    <w:rsid w:val="00F62C92"/>
    <w:rsid w:val="00F849B6"/>
    <w:rsid w:val="00F90843"/>
    <w:rsid w:val="00F934D9"/>
    <w:rsid w:val="00FA42B8"/>
    <w:rsid w:val="00FA7D03"/>
    <w:rsid w:val="00FB26AF"/>
    <w:rsid w:val="00FB7431"/>
    <w:rsid w:val="00FC2D35"/>
    <w:rsid w:val="00FC5622"/>
    <w:rsid w:val="00FD253C"/>
    <w:rsid w:val="00FD6B99"/>
    <w:rsid w:val="00FD7EB5"/>
    <w:rsid w:val="00FE2832"/>
    <w:rsid w:val="00FE38C2"/>
    <w:rsid w:val="00FE39D5"/>
    <w:rsid w:val="00FE3CFD"/>
    <w:rsid w:val="00FE610E"/>
    <w:rsid w:val="00FE77FA"/>
    <w:rsid w:val="00FF0FEE"/>
    <w:rsid w:val="00FF1518"/>
    <w:rsid w:val="00FF1B9A"/>
    <w:rsid w:val="00FF3785"/>
    <w:rsid w:val="00FF3CBF"/>
    <w:rsid w:val="00FF40B9"/>
    <w:rsid w:val="00FF4E71"/>
    <w:rsid w:val="00FF6ECF"/>
    <w:rsid w:val="01253372"/>
    <w:rsid w:val="02286F56"/>
    <w:rsid w:val="026954E1"/>
    <w:rsid w:val="02C866AB"/>
    <w:rsid w:val="03634626"/>
    <w:rsid w:val="046C5AA3"/>
    <w:rsid w:val="04D2747D"/>
    <w:rsid w:val="071A4FFB"/>
    <w:rsid w:val="07DF2906"/>
    <w:rsid w:val="09FE743C"/>
    <w:rsid w:val="0A850CD2"/>
    <w:rsid w:val="0A8F6E15"/>
    <w:rsid w:val="0D8837E5"/>
    <w:rsid w:val="0E017470"/>
    <w:rsid w:val="108D2CE2"/>
    <w:rsid w:val="13405DEA"/>
    <w:rsid w:val="14172FEE"/>
    <w:rsid w:val="1457788F"/>
    <w:rsid w:val="149411FE"/>
    <w:rsid w:val="156F0CA4"/>
    <w:rsid w:val="157E55BA"/>
    <w:rsid w:val="15BD6ADF"/>
    <w:rsid w:val="16506B42"/>
    <w:rsid w:val="16742505"/>
    <w:rsid w:val="176D73C9"/>
    <w:rsid w:val="184639D8"/>
    <w:rsid w:val="19533EE7"/>
    <w:rsid w:val="19D92807"/>
    <w:rsid w:val="1BDD3606"/>
    <w:rsid w:val="1C7949CB"/>
    <w:rsid w:val="20A14A4C"/>
    <w:rsid w:val="21550065"/>
    <w:rsid w:val="22626CAD"/>
    <w:rsid w:val="230166D9"/>
    <w:rsid w:val="24373239"/>
    <w:rsid w:val="24910641"/>
    <w:rsid w:val="2588488F"/>
    <w:rsid w:val="26FA0563"/>
    <w:rsid w:val="27341B83"/>
    <w:rsid w:val="27D1544B"/>
    <w:rsid w:val="28037FA1"/>
    <w:rsid w:val="29070055"/>
    <w:rsid w:val="29A313AF"/>
    <w:rsid w:val="29F64FFC"/>
    <w:rsid w:val="2B1C386E"/>
    <w:rsid w:val="2D4A5D8B"/>
    <w:rsid w:val="2DF61A6F"/>
    <w:rsid w:val="2E66470A"/>
    <w:rsid w:val="3011060A"/>
    <w:rsid w:val="3287538B"/>
    <w:rsid w:val="3296737C"/>
    <w:rsid w:val="334119DE"/>
    <w:rsid w:val="35A24298"/>
    <w:rsid w:val="3660007A"/>
    <w:rsid w:val="37A4253C"/>
    <w:rsid w:val="38074E65"/>
    <w:rsid w:val="38146BB7"/>
    <w:rsid w:val="3AE76EB1"/>
    <w:rsid w:val="3C1501DD"/>
    <w:rsid w:val="3CD66F9A"/>
    <w:rsid w:val="3E6622F9"/>
    <w:rsid w:val="3E815608"/>
    <w:rsid w:val="41602D1B"/>
    <w:rsid w:val="41C773E2"/>
    <w:rsid w:val="43077BF5"/>
    <w:rsid w:val="432307B8"/>
    <w:rsid w:val="43850527"/>
    <w:rsid w:val="44F763A1"/>
    <w:rsid w:val="45DB537A"/>
    <w:rsid w:val="481334F1"/>
    <w:rsid w:val="48C93BB0"/>
    <w:rsid w:val="4A073590"/>
    <w:rsid w:val="4A2F79E5"/>
    <w:rsid w:val="4B0F7EDA"/>
    <w:rsid w:val="4D56350C"/>
    <w:rsid w:val="52B00AE6"/>
    <w:rsid w:val="531C58AE"/>
    <w:rsid w:val="537248FF"/>
    <w:rsid w:val="539F3E8B"/>
    <w:rsid w:val="54D91D1C"/>
    <w:rsid w:val="557F56DE"/>
    <w:rsid w:val="598B0C1B"/>
    <w:rsid w:val="5A0C4B83"/>
    <w:rsid w:val="5C0276AD"/>
    <w:rsid w:val="5D0A6F78"/>
    <w:rsid w:val="629848C7"/>
    <w:rsid w:val="63870498"/>
    <w:rsid w:val="63FA510E"/>
    <w:rsid w:val="65F32107"/>
    <w:rsid w:val="66BB0B84"/>
    <w:rsid w:val="66D94689"/>
    <w:rsid w:val="66E153E2"/>
    <w:rsid w:val="66FB5C7F"/>
    <w:rsid w:val="679D48D8"/>
    <w:rsid w:val="69C53861"/>
    <w:rsid w:val="6BC960D2"/>
    <w:rsid w:val="6BD46E9D"/>
    <w:rsid w:val="6CC67436"/>
    <w:rsid w:val="6DB9718A"/>
    <w:rsid w:val="6E5B0646"/>
    <w:rsid w:val="6ECB6EFB"/>
    <w:rsid w:val="707A385E"/>
    <w:rsid w:val="73266011"/>
    <w:rsid w:val="73C61ADF"/>
    <w:rsid w:val="74730CF0"/>
    <w:rsid w:val="74B742E6"/>
    <w:rsid w:val="758000A0"/>
    <w:rsid w:val="79E50C45"/>
    <w:rsid w:val="7A594C59"/>
    <w:rsid w:val="7B454A69"/>
    <w:rsid w:val="7BE55F53"/>
    <w:rsid w:val="7D996D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link w:val="22"/>
    <w:qFormat/>
    <w:uiPriority w:val="0"/>
    <w:pPr>
      <w:keepNext/>
      <w:keepLines/>
      <w:spacing w:before="240" w:after="64" w:line="320" w:lineRule="auto"/>
      <w:outlineLvl w:val="5"/>
    </w:pPr>
    <w:rPr>
      <w:rFonts w:ascii="Arial" w:hAnsi="Arial" w:eastAsia="黑体"/>
      <w:b/>
      <w:bCs/>
      <w:sz w:val="2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34"/>
    <w:semiHidden/>
    <w:unhideWhenUsed/>
    <w:qFormat/>
    <w:uiPriority w:val="99"/>
    <w:pPr>
      <w:ind w:left="100" w:leftChars="2500"/>
    </w:pPr>
  </w:style>
  <w:style w:type="paragraph" w:styleId="4">
    <w:name w:val="Balloon Text"/>
    <w:basedOn w:val="1"/>
    <w:link w:val="36"/>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38"/>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styleId="8">
    <w:name w:val="Normal (Web)"/>
    <w:basedOn w:val="1"/>
    <w:semiHidden/>
    <w:unhideWhenUsed/>
    <w:qFormat/>
    <w:uiPriority w:val="99"/>
    <w:rPr>
      <w:sz w:val="24"/>
    </w:rPr>
  </w:style>
  <w:style w:type="paragraph" w:styleId="9">
    <w:name w:val="Title"/>
    <w:basedOn w:val="1"/>
    <w:next w:val="1"/>
    <w:link w:val="35"/>
    <w:qFormat/>
    <w:uiPriority w:val="10"/>
    <w:pPr>
      <w:spacing w:before="240" w:after="60"/>
      <w:jc w:val="center"/>
      <w:outlineLvl w:val="0"/>
    </w:pPr>
    <w:rPr>
      <w:rFonts w:asciiTheme="majorHAnsi" w:hAnsiTheme="majorHAnsi" w:eastAsiaTheme="majorEastAsia" w:cstheme="majorBidi"/>
      <w:b/>
      <w:bCs/>
      <w:sz w:val="32"/>
      <w:szCs w:val="32"/>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2440B3"/>
      <w:u w:val="single"/>
    </w:rPr>
  </w:style>
  <w:style w:type="paragraph" w:customStyle="1" w:styleId="14">
    <w:name w:val="BodyText2"/>
    <w:basedOn w:val="1"/>
    <w:qFormat/>
    <w:uiPriority w:val="0"/>
    <w:pPr>
      <w:spacing w:after="120" w:line="480" w:lineRule="auto"/>
      <w:textAlignment w:val="baseline"/>
    </w:pPr>
    <w:rPr>
      <w:sz w:val="32"/>
      <w:szCs w:val="32"/>
    </w:rPr>
  </w:style>
  <w:style w:type="paragraph" w:customStyle="1" w:styleId="15">
    <w:name w:val="Heading2"/>
    <w:basedOn w:val="1"/>
    <w:next w:val="1"/>
    <w:qFormat/>
    <w:uiPriority w:val="0"/>
    <w:pPr>
      <w:widowControl/>
      <w:spacing w:before="100" w:beforeAutospacing="1" w:after="100" w:afterAutospacing="1"/>
      <w:jc w:val="left"/>
      <w:textAlignment w:val="baseline"/>
    </w:pPr>
    <w:rPr>
      <w:rFonts w:ascii="宋体" w:hAnsi="宋体"/>
      <w:b/>
      <w:bCs/>
      <w:kern w:val="0"/>
      <w:sz w:val="36"/>
      <w:szCs w:val="36"/>
    </w:rPr>
  </w:style>
  <w:style w:type="character" w:customStyle="1" w:styleId="16">
    <w:name w:val="页眉 字符"/>
    <w:basedOn w:val="12"/>
    <w:link w:val="6"/>
    <w:qFormat/>
    <w:uiPriority w:val="99"/>
    <w:rPr>
      <w:sz w:val="18"/>
      <w:szCs w:val="18"/>
    </w:rPr>
  </w:style>
  <w:style w:type="character" w:customStyle="1" w:styleId="17">
    <w:name w:val="页脚 字符"/>
    <w:basedOn w:val="12"/>
    <w:link w:val="5"/>
    <w:qFormat/>
    <w:uiPriority w:val="99"/>
    <w:rPr>
      <w:sz w:val="18"/>
      <w:szCs w:val="18"/>
    </w:rPr>
  </w:style>
  <w:style w:type="character" w:customStyle="1" w:styleId="18">
    <w:name w:val="段 Char"/>
    <w:link w:val="19"/>
    <w:qFormat/>
    <w:uiPriority w:val="0"/>
    <w:rPr>
      <w:rFonts w:ascii="宋体"/>
    </w:rPr>
  </w:style>
  <w:style w:type="paragraph" w:customStyle="1" w:styleId="19">
    <w:name w:val="段"/>
    <w:link w:val="18"/>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0">
    <w:name w:val="章标题"/>
    <w:next w:val="19"/>
    <w:qFormat/>
    <w:uiPriority w:val="0"/>
    <w:pPr>
      <w:tabs>
        <w:tab w:val="left" w:pos="360"/>
      </w:tabs>
      <w:spacing w:beforeLines="100" w:afterLines="100"/>
      <w:jc w:val="both"/>
      <w:outlineLvl w:val="1"/>
    </w:pPr>
    <w:rPr>
      <w:rFonts w:ascii="黑体" w:hAnsi="Times New Roman" w:eastAsia="黑体" w:cs="Times New Roman"/>
      <w:sz w:val="21"/>
      <w:lang w:val="en-US" w:eastAsia="zh-CN" w:bidi="ar-SA"/>
    </w:rPr>
  </w:style>
  <w:style w:type="paragraph" w:customStyle="1" w:styleId="21">
    <w:name w:val="二级无"/>
    <w:basedOn w:val="1"/>
    <w:qFormat/>
    <w:uiPriority w:val="0"/>
    <w:pPr>
      <w:widowControl/>
      <w:numPr>
        <w:ilvl w:val="2"/>
        <w:numId w:val="1"/>
      </w:numPr>
      <w:jc w:val="left"/>
      <w:outlineLvl w:val="3"/>
    </w:pPr>
    <w:rPr>
      <w:rFonts w:ascii="宋体"/>
      <w:kern w:val="0"/>
      <w:szCs w:val="21"/>
    </w:rPr>
  </w:style>
  <w:style w:type="character" w:customStyle="1" w:styleId="22">
    <w:name w:val="标题 6 字符"/>
    <w:basedOn w:val="12"/>
    <w:link w:val="2"/>
    <w:qFormat/>
    <w:uiPriority w:val="0"/>
    <w:rPr>
      <w:rFonts w:ascii="Arial" w:hAnsi="Arial" w:eastAsia="黑体" w:cs="Times New Roman"/>
      <w:b/>
      <w:bCs/>
      <w:sz w:val="24"/>
      <w:szCs w:val="24"/>
    </w:rPr>
  </w:style>
  <w:style w:type="paragraph" w:customStyle="1" w:styleId="23">
    <w:name w:val="标准文件_段"/>
    <w:link w:val="2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4">
    <w:name w:val="标准文件_段 Char"/>
    <w:link w:val="23"/>
    <w:qFormat/>
    <w:uiPriority w:val="0"/>
    <w:rPr>
      <w:rFonts w:ascii="宋体" w:hAnsi="Times New Roman" w:eastAsia="宋体" w:cs="Times New Roman"/>
      <w:kern w:val="0"/>
      <w:szCs w:val="20"/>
    </w:rPr>
  </w:style>
  <w:style w:type="paragraph" w:customStyle="1" w:styleId="25">
    <w:name w:val="标准文件_二级条标题"/>
    <w:next w:val="23"/>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paragraph" w:customStyle="1" w:styleId="26">
    <w:name w:val="标准文件_三级条标题"/>
    <w:basedOn w:val="25"/>
    <w:next w:val="23"/>
    <w:qFormat/>
    <w:uiPriority w:val="0"/>
    <w:pPr>
      <w:widowControl/>
      <w:numPr>
        <w:ilvl w:val="4"/>
      </w:numPr>
      <w:outlineLvl w:val="3"/>
    </w:pPr>
  </w:style>
  <w:style w:type="paragraph" w:customStyle="1" w:styleId="27">
    <w:name w:val="标准文件_四级条标题"/>
    <w:next w:val="23"/>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28">
    <w:name w:val="标准文件_五级条标题"/>
    <w:next w:val="23"/>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29">
    <w:name w:val="标准文件_章标题"/>
    <w:next w:val="23"/>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30">
    <w:name w:val="标准文件_一级条标题"/>
    <w:basedOn w:val="29"/>
    <w:next w:val="23"/>
    <w:qFormat/>
    <w:uiPriority w:val="0"/>
    <w:pPr>
      <w:numPr>
        <w:ilvl w:val="2"/>
      </w:numPr>
      <w:spacing w:beforeLines="50" w:afterLines="50"/>
      <w:outlineLvl w:val="1"/>
    </w:pPr>
  </w:style>
  <w:style w:type="paragraph" w:customStyle="1" w:styleId="31">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2">
    <w:name w:val="标准文件_四级无标题"/>
    <w:basedOn w:val="27"/>
    <w:qFormat/>
    <w:uiPriority w:val="0"/>
    <w:pPr>
      <w:numPr>
        <w:numId w:val="3"/>
      </w:numPr>
      <w:spacing w:beforeLines="0"/>
      <w:outlineLvl w:val="9"/>
    </w:pPr>
    <w:rPr>
      <w:rFonts w:hint="eastAsia" w:ascii="宋体" w:hAnsi="宋体" w:eastAsia="宋体"/>
      <w:szCs w:val="52"/>
    </w:rPr>
  </w:style>
  <w:style w:type="paragraph" w:customStyle="1" w:styleId="33">
    <w:name w:val="标准文件_三级无标题"/>
    <w:qFormat/>
    <w:uiPriority w:val="0"/>
    <w:pPr>
      <w:numPr>
        <w:ilvl w:val="4"/>
        <w:numId w:val="4"/>
      </w:numPr>
      <w:jc w:val="both"/>
    </w:pPr>
    <w:rPr>
      <w:rFonts w:hint="eastAsia" w:ascii="宋体" w:hAnsi="Times New Roman" w:eastAsia="宋体" w:cs="Times New Roman"/>
      <w:sz w:val="21"/>
      <w:lang w:val="en-US" w:eastAsia="zh-CN" w:bidi="ar-SA"/>
    </w:rPr>
  </w:style>
  <w:style w:type="character" w:customStyle="1" w:styleId="34">
    <w:name w:val="日期 字符"/>
    <w:basedOn w:val="12"/>
    <w:link w:val="3"/>
    <w:semiHidden/>
    <w:qFormat/>
    <w:uiPriority w:val="99"/>
    <w:rPr>
      <w:rFonts w:ascii="Times New Roman" w:hAnsi="Times New Roman" w:cs="Times New Roman"/>
      <w:kern w:val="2"/>
      <w:sz w:val="21"/>
      <w:szCs w:val="24"/>
    </w:rPr>
  </w:style>
  <w:style w:type="character" w:customStyle="1" w:styleId="35">
    <w:name w:val="标题 字符"/>
    <w:basedOn w:val="12"/>
    <w:link w:val="9"/>
    <w:qFormat/>
    <w:uiPriority w:val="10"/>
    <w:rPr>
      <w:rFonts w:asciiTheme="majorHAnsi" w:hAnsiTheme="majorHAnsi" w:eastAsiaTheme="majorEastAsia" w:cstheme="majorBidi"/>
      <w:b/>
      <w:bCs/>
      <w:kern w:val="2"/>
      <w:sz w:val="32"/>
      <w:szCs w:val="32"/>
    </w:rPr>
  </w:style>
  <w:style w:type="character" w:customStyle="1" w:styleId="36">
    <w:name w:val="批注框文本 字符"/>
    <w:basedOn w:val="12"/>
    <w:link w:val="4"/>
    <w:semiHidden/>
    <w:qFormat/>
    <w:uiPriority w:val="99"/>
    <w:rPr>
      <w:rFonts w:ascii="Times New Roman" w:hAnsi="Times New Roman" w:cs="Times New Roman"/>
      <w:kern w:val="2"/>
      <w:sz w:val="18"/>
      <w:szCs w:val="18"/>
    </w:rPr>
  </w:style>
  <w:style w:type="character" w:customStyle="1" w:styleId="37">
    <w:name w:val="HTML 预设格式 Char"/>
    <w:basedOn w:val="12"/>
    <w:semiHidden/>
    <w:qFormat/>
    <w:uiPriority w:val="99"/>
    <w:rPr>
      <w:rFonts w:ascii="Courier New" w:hAnsi="Courier New" w:cs="Courier New"/>
      <w:kern w:val="2"/>
    </w:rPr>
  </w:style>
  <w:style w:type="character" w:customStyle="1" w:styleId="38">
    <w:name w:val="HTML 预设格式 字符"/>
    <w:link w:val="7"/>
    <w:qFormat/>
    <w:uiPriority w:val="0"/>
    <w:rPr>
      <w:rFonts w:ascii="宋体" w:hAnsi="宋体" w:cs="Times New Roman"/>
      <w:sz w:val="24"/>
    </w:rPr>
  </w:style>
  <w:style w:type="paragraph" w:styleId="3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CEE276-C047-4839-B828-55E08005F98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13388</Words>
  <Characters>13692</Characters>
  <Lines>116</Lines>
  <Paragraphs>32</Paragraphs>
  <TotalTime>14</TotalTime>
  <ScaleCrop>false</ScaleCrop>
  <LinksUpToDate>false</LinksUpToDate>
  <CharactersWithSpaces>13823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2026-01-20T04:33:00Z</dcterms:created>
  <dc:creator>xiaojie man</dc:creator>
  <cp:lastModifiedBy>冯流莹</cp:lastModifiedBy>
  <cp:lastPrinted>2022-04-25T09:29:00Z</cp:lastPrinted>
  <dcterms:modified xsi:type="dcterms:W3CDTF">2026-02-28T06:48:24Z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C820D4A7360641C79D1878BAA68E30CC</vt:lpwstr>
  </property>
  <property fmtid="{D5CDD505-2E9C-101B-9397-08002B2CF9AE}" pid="4" name="KSOTemplateDocerSaveRecord">
    <vt:lpwstr>eyJoZGlkIjoiOGFkZjVhNDJiMGExNWUxMjVmMmMwZDU4OWJmZWEzNzAiLCJ1c2VySWQiOiIyNDQ0MTQwMzQifQ==</vt:lpwstr>
  </property>
</Properties>
</file>