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2E817">
      <w:pPr>
        <w:jc w:val="center"/>
        <w:rPr>
          <w:rFonts w:hint="eastAsia" w:ascii="微软雅黑" w:eastAsia="微软雅黑" w:cs="仿宋_GB2312"/>
          <w:bCs/>
          <w:color w:val="auto"/>
          <w:sz w:val="36"/>
          <w:szCs w:val="32"/>
        </w:rPr>
      </w:pPr>
      <w:r>
        <w:rPr>
          <w:rFonts w:hint="eastAsia" w:ascii="微软雅黑" w:eastAsia="微软雅黑" w:cs="仿宋_GB2312"/>
          <w:bCs/>
          <w:color w:val="auto"/>
          <w:sz w:val="36"/>
          <w:szCs w:val="32"/>
          <w:lang w:eastAsia="zh-CN"/>
        </w:rPr>
        <w:t>团体标准</w:t>
      </w:r>
      <w:r>
        <w:rPr>
          <w:rFonts w:hint="eastAsia" w:ascii="微软雅黑" w:eastAsia="微软雅黑" w:cs="仿宋_GB2312"/>
          <w:bCs/>
          <w:color w:val="auto"/>
          <w:sz w:val="36"/>
          <w:szCs w:val="32"/>
        </w:rPr>
        <w:t>《</w:t>
      </w:r>
      <w:r>
        <w:rPr>
          <w:rFonts w:hint="eastAsia" w:ascii="微软雅黑" w:eastAsia="微软雅黑" w:cs="仿宋_GB2312"/>
          <w:bCs/>
          <w:color w:val="auto"/>
          <w:sz w:val="36"/>
          <w:szCs w:val="32"/>
          <w:lang w:val="en-US" w:eastAsia="zh-CN"/>
        </w:rPr>
        <w:t>成人经皮胃造瘘管饲护理技术规范</w:t>
      </w:r>
      <w:r>
        <w:rPr>
          <w:rFonts w:hint="eastAsia" w:ascii="微软雅黑" w:eastAsia="微软雅黑" w:cs="仿宋_GB2312"/>
          <w:bCs/>
          <w:color w:val="auto"/>
          <w:sz w:val="36"/>
          <w:szCs w:val="32"/>
        </w:rPr>
        <w:t>》</w:t>
      </w:r>
    </w:p>
    <w:p w14:paraId="2DA85B2C">
      <w:pPr>
        <w:jc w:val="center"/>
        <w:rPr>
          <w:rFonts w:hint="eastAsia" w:ascii="微软雅黑" w:eastAsia="微软雅黑" w:cs="仿宋_GB2312"/>
          <w:bCs/>
          <w:color w:val="auto"/>
          <w:sz w:val="36"/>
          <w:szCs w:val="32"/>
        </w:rPr>
      </w:pPr>
      <w:r>
        <w:rPr>
          <w:rFonts w:hint="eastAsia" w:ascii="微软雅黑" w:eastAsia="微软雅黑" w:cs="仿宋_GB2312"/>
          <w:bCs/>
          <w:color w:val="auto"/>
          <w:sz w:val="36"/>
          <w:szCs w:val="32"/>
        </w:rPr>
        <w:t>（</w:t>
      </w:r>
      <w:r>
        <w:rPr>
          <w:rFonts w:hint="eastAsia" w:ascii="微软雅黑" w:eastAsia="微软雅黑" w:cs="仿宋_GB2312"/>
          <w:bCs/>
          <w:color w:val="auto"/>
          <w:sz w:val="36"/>
          <w:szCs w:val="32"/>
          <w:lang w:val="en-US" w:eastAsia="zh-CN"/>
        </w:rPr>
        <w:t>征求意见</w:t>
      </w:r>
      <w:r>
        <w:rPr>
          <w:rFonts w:hint="eastAsia" w:ascii="微软雅黑" w:eastAsia="微软雅黑" w:cs="仿宋_GB2312"/>
          <w:bCs/>
          <w:color w:val="auto"/>
          <w:sz w:val="36"/>
          <w:szCs w:val="32"/>
        </w:rPr>
        <w:t>稿）编制说明</w:t>
      </w:r>
    </w:p>
    <w:p w14:paraId="5C534F24">
      <w:pPr>
        <w:jc w:val="center"/>
        <w:rPr>
          <w:rFonts w:hint="eastAsia" w:ascii="微软雅黑" w:eastAsia="微软雅黑"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w:t>
      </w:r>
    </w:p>
    <w:p w14:paraId="37CF72A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eastAsia="zh-CN"/>
        </w:rPr>
        <w:t>广西标准化协会</w:t>
      </w:r>
      <w:r>
        <w:rPr>
          <w:rFonts w:hint="eastAsia" w:ascii="仿宋_GB2312" w:eastAsia="仿宋_GB2312"/>
          <w:color w:val="auto"/>
          <w:sz w:val="28"/>
          <w:szCs w:val="28"/>
        </w:rPr>
        <w:t>关于下达202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年第</w:t>
      </w:r>
      <w:r>
        <w:rPr>
          <w:rFonts w:hint="eastAsia" w:ascii="仿宋_GB2312" w:eastAsia="仿宋_GB2312"/>
          <w:color w:val="auto"/>
          <w:sz w:val="28"/>
          <w:szCs w:val="28"/>
          <w:lang w:val="en-US" w:eastAsia="zh-CN"/>
        </w:rPr>
        <w:t>五</w:t>
      </w:r>
      <w:r>
        <w:rPr>
          <w:rFonts w:hint="eastAsia" w:ascii="仿宋_GB2312" w:eastAsia="仿宋_GB2312"/>
          <w:color w:val="auto"/>
          <w:sz w:val="28"/>
          <w:szCs w:val="28"/>
          <w:lang w:eastAsia="zh-CN"/>
        </w:rPr>
        <w:t>批</w:t>
      </w:r>
      <w:r>
        <w:rPr>
          <w:rFonts w:hint="eastAsia" w:ascii="仿宋_GB2312" w:eastAsia="仿宋_GB2312"/>
          <w:color w:val="auto"/>
          <w:sz w:val="28"/>
          <w:szCs w:val="28"/>
        </w:rPr>
        <w:t>团体标准制修订项目计划的通知》（桂标协〔202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61</w:t>
      </w:r>
      <w:r>
        <w:rPr>
          <w:rFonts w:hint="eastAsia" w:ascii="仿宋_GB2312" w:eastAsia="仿宋_GB2312"/>
          <w:color w:val="auto"/>
          <w:sz w:val="28"/>
          <w:szCs w:val="28"/>
        </w:rPr>
        <w:t>号）精神，由广西护理学会提出，广西医科大学附属肿瘤医院、南宁市第一人民医院、广西壮族自治区民族医院、广西中医药大学第一附属医院、广西中医药大学附属瑞康医院、柳州市人民医院、广西医科大学附属口腔医院、广西壮族自治区工人医院等单位共同起草的团体标准《</w:t>
      </w:r>
      <w:r>
        <w:rPr>
          <w:rFonts w:hint="eastAsia" w:ascii="仿宋_GB2312" w:eastAsia="仿宋_GB2312"/>
          <w:color w:val="auto"/>
          <w:sz w:val="28"/>
          <w:szCs w:val="28"/>
          <w:lang w:val="en-US" w:eastAsia="zh-CN"/>
        </w:rPr>
        <w:t>成人经皮胃造瘘管饲护理技术规范</w:t>
      </w:r>
      <w:r>
        <w:rPr>
          <w:rFonts w:hint="eastAsia" w:ascii="仿宋_GB2312" w:eastAsia="仿宋_GB2312"/>
          <w:color w:val="auto"/>
          <w:sz w:val="28"/>
          <w:szCs w:val="28"/>
        </w:rPr>
        <w:t>》（项目编号</w:t>
      </w:r>
      <w:r>
        <w:rPr>
          <w:rFonts w:hint="eastAsia" w:ascii="仿宋_GB2312" w:eastAsia="仿宋_GB2312"/>
          <w:color w:val="auto"/>
          <w:sz w:val="28"/>
          <w:szCs w:val="28"/>
          <w:lang w:eastAsia="zh-CN"/>
        </w:rPr>
        <w:t>：</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0508</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A4D7317">
      <w:pPr>
        <w:ind w:firstLine="640" w:firstLineChars="200"/>
        <w:rPr>
          <w:rFonts w:hint="eastAsia" w:ascii="仿宋_GB2312" w:hAnsi="宋体" w:eastAsia="仿宋_GB2312"/>
          <w:sz w:val="32"/>
          <w:szCs w:val="28"/>
        </w:rPr>
      </w:pPr>
      <w:r>
        <w:rPr>
          <w:rFonts w:hint="eastAsia" w:eastAsia="仿宋_GB2312"/>
          <w:color w:val="000000"/>
          <w:sz w:val="32"/>
          <w:szCs w:val="32"/>
        </w:rPr>
        <w:t>为高质量编制团体标准《</w:t>
      </w:r>
      <w:r>
        <w:rPr>
          <w:rFonts w:hint="eastAsia" w:eastAsia="仿宋_GB2312"/>
          <w:color w:val="000000"/>
          <w:sz w:val="32"/>
          <w:szCs w:val="32"/>
          <w:lang w:val="en-US" w:eastAsia="zh-CN"/>
        </w:rPr>
        <w:t>成人经皮胃造瘘管饲护理技术规范</w:t>
      </w:r>
      <w:r>
        <w:rPr>
          <w:rFonts w:hint="eastAsia" w:eastAsia="仿宋_GB2312"/>
          <w:color w:val="000000"/>
          <w:sz w:val="32"/>
          <w:szCs w:val="32"/>
        </w:rPr>
        <w:t>》，成立标准起草小组并进行分工如下</w:t>
      </w:r>
      <w:r>
        <w:rPr>
          <w:rFonts w:hint="eastAsia" w:ascii="仿宋_GB2312" w:hAnsi="宋体" w:eastAsia="仿宋_GB2312"/>
          <w:sz w:val="32"/>
          <w:szCs w:val="28"/>
        </w:rPr>
        <w:t>：</w:t>
      </w:r>
    </w:p>
    <w:tbl>
      <w:tblPr>
        <w:tblStyle w:val="16"/>
        <w:tblW w:w="4994" w:type="pct"/>
        <w:jc w:val="center"/>
        <w:tblLayout w:type="autofit"/>
        <w:tblCellMar>
          <w:top w:w="0" w:type="dxa"/>
          <w:left w:w="108" w:type="dxa"/>
          <w:bottom w:w="0" w:type="dxa"/>
          <w:right w:w="108" w:type="dxa"/>
        </w:tblCellMar>
      </w:tblPr>
      <w:tblGrid>
        <w:gridCol w:w="1067"/>
        <w:gridCol w:w="1287"/>
        <w:gridCol w:w="1256"/>
        <w:gridCol w:w="2587"/>
        <w:gridCol w:w="2966"/>
      </w:tblGrid>
      <w:tr w14:paraId="707A792F">
        <w:tblPrEx>
          <w:tblCellMar>
            <w:top w:w="0" w:type="dxa"/>
            <w:left w:w="108" w:type="dxa"/>
            <w:bottom w:w="0" w:type="dxa"/>
            <w:right w:w="108" w:type="dxa"/>
          </w:tblCellMar>
        </w:tblPrEx>
        <w:trPr>
          <w:cantSplit/>
          <w:trHeight w:val="576" w:hRule="atLeast"/>
          <w:jc w:val="center"/>
        </w:trPr>
        <w:tc>
          <w:tcPr>
            <w:tcW w:w="582" w:type="pct"/>
            <w:tcBorders>
              <w:top w:val="single" w:color="auto" w:sz="4" w:space="0"/>
              <w:left w:val="single" w:color="auto" w:sz="4" w:space="0"/>
              <w:bottom w:val="single" w:color="auto" w:sz="4" w:space="0"/>
              <w:right w:val="single" w:color="auto" w:sz="4" w:space="0"/>
            </w:tcBorders>
            <w:vAlign w:val="center"/>
          </w:tcPr>
          <w:p w14:paraId="11C8C1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both"/>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姓</w:t>
            </w:r>
            <w:r>
              <w:rPr>
                <w:rFonts w:hint="eastAsia" w:ascii="仿宋_GB2312" w:hAnsi="仿宋_GB2312" w:cs="仿宋_GB2312"/>
                <w:b/>
                <w:bCs/>
                <w:sz w:val="24"/>
                <w:szCs w:val="24"/>
                <w:lang w:val="en-US" w:eastAsia="zh-CN"/>
              </w:rPr>
              <w:t xml:space="preserve">  </w:t>
            </w:r>
            <w:r>
              <w:rPr>
                <w:rFonts w:hint="eastAsia" w:ascii="仿宋_GB2312" w:hAnsi="仿宋_GB2312" w:eastAsia="仿宋_GB2312" w:cs="仿宋_GB2312"/>
                <w:b/>
                <w:bCs/>
                <w:sz w:val="24"/>
                <w:szCs w:val="24"/>
              </w:rPr>
              <w:t>名</w:t>
            </w:r>
          </w:p>
        </w:tc>
        <w:tc>
          <w:tcPr>
            <w:tcW w:w="702" w:type="pct"/>
            <w:tcBorders>
              <w:top w:val="single" w:color="auto" w:sz="4" w:space="0"/>
              <w:left w:val="single" w:color="auto" w:sz="4" w:space="0"/>
              <w:bottom w:val="single" w:color="auto" w:sz="4" w:space="0"/>
              <w:right w:val="single" w:color="auto" w:sz="4" w:space="0"/>
            </w:tcBorders>
            <w:vAlign w:val="center"/>
          </w:tcPr>
          <w:p w14:paraId="59598B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职称/职位</w:t>
            </w:r>
          </w:p>
        </w:tc>
        <w:tc>
          <w:tcPr>
            <w:tcW w:w="685" w:type="pct"/>
            <w:tcBorders>
              <w:top w:val="single" w:color="auto" w:sz="4" w:space="0"/>
              <w:left w:val="single" w:color="auto" w:sz="4" w:space="0"/>
              <w:bottom w:val="single" w:color="auto" w:sz="4" w:space="0"/>
              <w:right w:val="single" w:color="auto" w:sz="4" w:space="0"/>
            </w:tcBorders>
            <w:vAlign w:val="center"/>
          </w:tcPr>
          <w:p w14:paraId="4EAD41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从事专业</w:t>
            </w:r>
          </w:p>
        </w:tc>
        <w:tc>
          <w:tcPr>
            <w:tcW w:w="1411" w:type="pct"/>
            <w:tcBorders>
              <w:top w:val="single" w:color="auto" w:sz="4" w:space="0"/>
              <w:left w:val="single" w:color="auto" w:sz="4" w:space="0"/>
              <w:bottom w:val="single" w:color="auto" w:sz="4" w:space="0"/>
              <w:right w:val="single" w:color="auto" w:sz="4" w:space="0"/>
            </w:tcBorders>
            <w:vAlign w:val="center"/>
          </w:tcPr>
          <w:p w14:paraId="359B84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工作单位</w:t>
            </w:r>
          </w:p>
        </w:tc>
        <w:tc>
          <w:tcPr>
            <w:tcW w:w="1618" w:type="pct"/>
            <w:tcBorders>
              <w:top w:val="single" w:color="auto" w:sz="4" w:space="0"/>
              <w:left w:val="single" w:color="auto" w:sz="4" w:space="0"/>
              <w:bottom w:val="single" w:color="auto" w:sz="4" w:space="0"/>
              <w:right w:val="single" w:color="auto" w:sz="4" w:space="0"/>
            </w:tcBorders>
            <w:vAlign w:val="center"/>
          </w:tcPr>
          <w:p w14:paraId="5AF59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firstLine="0" w:firstLineChars="0"/>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主要负责工作</w:t>
            </w:r>
          </w:p>
        </w:tc>
      </w:tr>
      <w:tr w14:paraId="7BB8DFDF">
        <w:tblPrEx>
          <w:tblCellMar>
            <w:top w:w="0" w:type="dxa"/>
            <w:left w:w="108" w:type="dxa"/>
            <w:bottom w:w="0" w:type="dxa"/>
            <w:right w:w="108" w:type="dxa"/>
          </w:tblCellMar>
        </w:tblPrEx>
        <w:trPr>
          <w:cantSplit/>
          <w:trHeight w:val="914"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5C33A2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bookmarkStart w:id="13" w:name="_GoBack" w:colFirst="1" w:colLast="1"/>
            <w:r>
              <w:rPr>
                <w:rFonts w:hint="eastAsia"/>
                <w:lang w:val="en-US" w:eastAsia="zh-CN"/>
              </w:rPr>
              <w:t>韦丹丹</w:t>
            </w:r>
          </w:p>
        </w:tc>
        <w:tc>
          <w:tcPr>
            <w:tcW w:w="702" w:type="pct"/>
            <w:tcBorders>
              <w:top w:val="single" w:color="auto" w:sz="4" w:space="0"/>
              <w:left w:val="single" w:color="auto" w:sz="4" w:space="0"/>
              <w:bottom w:val="single" w:color="auto" w:sz="4" w:space="0"/>
              <w:right w:val="single" w:color="auto" w:sz="4" w:space="0"/>
            </w:tcBorders>
            <w:vAlign w:val="center"/>
          </w:tcPr>
          <w:p w14:paraId="0198CD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lang w:val="en-US" w:eastAsia="zh-CN"/>
              </w:rPr>
            </w:pPr>
            <w:r>
              <w:rPr>
                <w:rFonts w:hint="eastAsia"/>
                <w:lang w:val="en-US" w:eastAsia="zh-CN"/>
              </w:rPr>
              <w:t>副主任护师/护士长</w:t>
            </w:r>
          </w:p>
        </w:tc>
        <w:tc>
          <w:tcPr>
            <w:tcW w:w="685" w:type="pct"/>
            <w:tcBorders>
              <w:top w:val="single" w:color="000000" w:sz="2" w:space="0"/>
              <w:left w:val="single" w:color="auto" w:sz="4" w:space="0"/>
              <w:bottom w:val="single" w:color="auto" w:sz="4" w:space="0"/>
              <w:right w:val="single" w:color="auto" w:sz="4" w:space="0"/>
            </w:tcBorders>
            <w:vAlign w:val="center"/>
          </w:tcPr>
          <w:p w14:paraId="14C44C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3C489A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634F95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统筹主持标准编制工作</w:t>
            </w:r>
          </w:p>
        </w:tc>
      </w:tr>
      <w:tr w14:paraId="1CCE41E1">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4BD16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eastAsia="zh-CN"/>
              </w:rPr>
            </w:pPr>
            <w:r>
              <w:rPr>
                <w:rFonts w:hint="eastAsia"/>
                <w:lang w:eastAsia="zh-CN"/>
              </w:rPr>
              <w:t>刘媛芳</w:t>
            </w:r>
          </w:p>
        </w:tc>
        <w:tc>
          <w:tcPr>
            <w:tcW w:w="702" w:type="pct"/>
            <w:tcBorders>
              <w:top w:val="single" w:color="auto" w:sz="4" w:space="0"/>
              <w:left w:val="single" w:color="auto" w:sz="4" w:space="0"/>
              <w:bottom w:val="single" w:color="auto" w:sz="4" w:space="0"/>
              <w:right w:val="single" w:color="auto" w:sz="4" w:space="0"/>
            </w:tcBorders>
            <w:vAlign w:val="center"/>
          </w:tcPr>
          <w:p w14:paraId="259BF5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护士长</w:t>
            </w:r>
          </w:p>
        </w:tc>
        <w:tc>
          <w:tcPr>
            <w:tcW w:w="685" w:type="pct"/>
            <w:tcBorders>
              <w:top w:val="single" w:color="000000" w:sz="2" w:space="0"/>
              <w:left w:val="single" w:color="auto" w:sz="4" w:space="0"/>
              <w:bottom w:val="single" w:color="auto" w:sz="4" w:space="0"/>
              <w:right w:val="single" w:color="auto" w:sz="4" w:space="0"/>
            </w:tcBorders>
            <w:vAlign w:val="center"/>
          </w:tcPr>
          <w:p w14:paraId="70B10F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0936F0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19A684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参与标准编制工作，组织人员进行标准发布后的宣贯培训。</w:t>
            </w:r>
          </w:p>
        </w:tc>
      </w:tr>
      <w:tr w14:paraId="0CD88B71">
        <w:tblPrEx>
          <w:tblCellMar>
            <w:top w:w="0" w:type="dxa"/>
            <w:left w:w="108" w:type="dxa"/>
            <w:bottom w:w="0" w:type="dxa"/>
            <w:right w:w="108" w:type="dxa"/>
          </w:tblCellMar>
        </w:tblPrEx>
        <w:trPr>
          <w:cantSplit/>
          <w:trHeight w:val="842"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52BB7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eastAsia="zh-CN"/>
              </w:rPr>
            </w:pPr>
            <w:r>
              <w:rPr>
                <w:rFonts w:hint="eastAsia"/>
              </w:rPr>
              <w:t>石柳</w:t>
            </w:r>
          </w:p>
        </w:tc>
        <w:tc>
          <w:tcPr>
            <w:tcW w:w="702" w:type="pct"/>
            <w:tcBorders>
              <w:top w:val="single" w:color="auto" w:sz="4" w:space="0"/>
              <w:left w:val="single" w:color="auto" w:sz="4" w:space="0"/>
              <w:bottom w:val="single" w:color="auto" w:sz="4" w:space="0"/>
              <w:right w:val="single" w:color="auto" w:sz="4" w:space="0"/>
            </w:tcBorders>
            <w:vAlign w:val="center"/>
          </w:tcPr>
          <w:p w14:paraId="44688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护士长</w:t>
            </w:r>
          </w:p>
        </w:tc>
        <w:tc>
          <w:tcPr>
            <w:tcW w:w="685" w:type="pct"/>
            <w:tcBorders>
              <w:top w:val="single" w:color="000000" w:sz="2" w:space="0"/>
              <w:left w:val="single" w:color="auto" w:sz="4" w:space="0"/>
              <w:bottom w:val="single" w:color="auto" w:sz="4" w:space="0"/>
              <w:right w:val="single" w:color="auto" w:sz="4" w:space="0"/>
            </w:tcBorders>
            <w:vAlign w:val="center"/>
          </w:tcPr>
          <w:p w14:paraId="3A3A7A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601512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536C0F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参与标准文本及编制说明编写，质量控制。</w:t>
            </w:r>
          </w:p>
        </w:tc>
      </w:tr>
      <w:tr w14:paraId="43F1487A">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568048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sz w:val="24"/>
                <w:szCs w:val="24"/>
                <w:lang w:eastAsia="zh-CN"/>
              </w:rPr>
            </w:pPr>
            <w:r>
              <w:rPr>
                <w:rFonts w:hint="eastAsia"/>
              </w:rPr>
              <w:t>何姗蔓</w:t>
            </w:r>
          </w:p>
        </w:tc>
        <w:tc>
          <w:tcPr>
            <w:tcW w:w="702" w:type="pct"/>
            <w:tcBorders>
              <w:top w:val="single" w:color="auto" w:sz="4" w:space="0"/>
              <w:left w:val="single" w:color="auto" w:sz="4" w:space="0"/>
              <w:bottom w:val="single" w:color="auto" w:sz="4" w:space="0"/>
              <w:right w:val="single" w:color="auto" w:sz="4" w:space="0"/>
            </w:tcBorders>
            <w:vAlign w:val="center"/>
          </w:tcPr>
          <w:p w14:paraId="7F7AF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lang w:val="en-US" w:eastAsia="zh-CN"/>
              </w:rPr>
            </w:pPr>
            <w:r>
              <w:rPr>
                <w:rFonts w:hint="eastAsia"/>
                <w:lang w:val="en-US" w:eastAsia="zh-CN"/>
              </w:rPr>
              <w:t>副主任护师</w:t>
            </w:r>
          </w:p>
        </w:tc>
        <w:tc>
          <w:tcPr>
            <w:tcW w:w="685" w:type="pct"/>
            <w:tcBorders>
              <w:top w:val="single" w:color="000000" w:sz="2" w:space="0"/>
              <w:left w:val="single" w:color="auto" w:sz="4" w:space="0"/>
              <w:bottom w:val="single" w:color="auto" w:sz="4" w:space="0"/>
              <w:right w:val="single" w:color="auto" w:sz="4" w:space="0"/>
            </w:tcBorders>
            <w:vAlign w:val="center"/>
          </w:tcPr>
          <w:p w14:paraId="1A4978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5B8AE5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0BAB81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069F44A5">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02E673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cs="仿宋_GB2312"/>
                <w:sz w:val="24"/>
                <w:szCs w:val="24"/>
                <w:lang w:eastAsia="zh-CN"/>
              </w:rPr>
            </w:pPr>
            <w:r>
              <w:rPr>
                <w:rFonts w:hint="eastAsia"/>
              </w:rPr>
              <w:t>韦珊珊</w:t>
            </w:r>
          </w:p>
        </w:tc>
        <w:tc>
          <w:tcPr>
            <w:tcW w:w="702" w:type="pct"/>
            <w:tcBorders>
              <w:top w:val="single" w:color="auto" w:sz="4" w:space="0"/>
              <w:left w:val="single" w:color="auto" w:sz="4" w:space="0"/>
              <w:bottom w:val="single" w:color="auto" w:sz="4" w:space="0"/>
              <w:right w:val="single" w:color="auto" w:sz="4" w:space="0"/>
            </w:tcBorders>
            <w:vAlign w:val="center"/>
          </w:tcPr>
          <w:p w14:paraId="685465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副主任护师</w:t>
            </w:r>
          </w:p>
        </w:tc>
        <w:tc>
          <w:tcPr>
            <w:tcW w:w="685" w:type="pct"/>
            <w:tcBorders>
              <w:top w:val="single" w:color="000000" w:sz="2" w:space="0"/>
              <w:left w:val="single" w:color="auto" w:sz="4" w:space="0"/>
              <w:bottom w:val="single" w:color="000000" w:sz="2" w:space="0"/>
              <w:right w:val="single" w:color="auto" w:sz="4" w:space="0"/>
            </w:tcBorders>
            <w:vAlign w:val="center"/>
          </w:tcPr>
          <w:p w14:paraId="7962FD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7BA7CF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6F20C5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2B85A7E">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4D24B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cs="仿宋_GB2312"/>
                <w:sz w:val="24"/>
                <w:szCs w:val="24"/>
                <w:lang w:eastAsia="zh-CN"/>
              </w:rPr>
            </w:pPr>
            <w:r>
              <w:rPr>
                <w:rFonts w:hint="eastAsia"/>
              </w:rPr>
              <w:t>张小明</w:t>
            </w:r>
          </w:p>
        </w:tc>
        <w:tc>
          <w:tcPr>
            <w:tcW w:w="702" w:type="pct"/>
            <w:tcBorders>
              <w:top w:val="single" w:color="auto" w:sz="4" w:space="0"/>
              <w:left w:val="single" w:color="auto" w:sz="4" w:space="0"/>
              <w:bottom w:val="single" w:color="auto" w:sz="4" w:space="0"/>
              <w:right w:val="single" w:color="auto" w:sz="4" w:space="0"/>
            </w:tcBorders>
            <w:vAlign w:val="center"/>
          </w:tcPr>
          <w:p w14:paraId="7396CB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default"/>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706B62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220AFE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7C4905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4680AB06">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AFEFB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cs="仿宋_GB2312"/>
                <w:sz w:val="24"/>
                <w:szCs w:val="24"/>
                <w:lang w:eastAsia="zh-CN"/>
              </w:rPr>
            </w:pPr>
            <w:r>
              <w:rPr>
                <w:rFonts w:hint="eastAsia"/>
              </w:rPr>
              <w:t>李琳琳</w:t>
            </w:r>
          </w:p>
        </w:tc>
        <w:tc>
          <w:tcPr>
            <w:tcW w:w="702" w:type="pct"/>
            <w:tcBorders>
              <w:top w:val="single" w:color="auto" w:sz="4" w:space="0"/>
              <w:left w:val="single" w:color="auto" w:sz="4" w:space="0"/>
              <w:bottom w:val="single" w:color="auto" w:sz="4" w:space="0"/>
              <w:right w:val="single" w:color="auto" w:sz="4" w:space="0"/>
            </w:tcBorders>
            <w:vAlign w:val="center"/>
          </w:tcPr>
          <w:p w14:paraId="242D6A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033DB2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288B70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cs="仿宋_GB2312"/>
                <w:sz w:val="24"/>
                <w:szCs w:val="24"/>
                <w:lang w:val="en-US" w:eastAsia="zh-CN"/>
              </w:rPr>
              <w:t>广</w:t>
            </w:r>
            <w:r>
              <w:rPr>
                <w:rFonts w:hint="eastAsia" w:ascii="仿宋_GB2312" w:hAnsi="仿宋_GB2312" w:cs="仿宋_GB2312"/>
                <w:sz w:val="24"/>
                <w:szCs w:val="24"/>
                <w:lang w:eastAsia="zh-CN"/>
              </w:rPr>
              <w:t>西壮族自治区民族医院</w:t>
            </w:r>
          </w:p>
        </w:tc>
        <w:tc>
          <w:tcPr>
            <w:tcW w:w="1618" w:type="pct"/>
            <w:tcBorders>
              <w:top w:val="single" w:color="auto" w:sz="4" w:space="0"/>
              <w:left w:val="single" w:color="auto" w:sz="4" w:space="0"/>
              <w:bottom w:val="single" w:color="auto" w:sz="4" w:space="0"/>
              <w:right w:val="single" w:color="auto" w:sz="4" w:space="0"/>
            </w:tcBorders>
            <w:vAlign w:val="center"/>
          </w:tcPr>
          <w:p w14:paraId="6A0EE9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D2C3375">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487009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覃春园</w:t>
            </w:r>
          </w:p>
        </w:tc>
        <w:tc>
          <w:tcPr>
            <w:tcW w:w="702" w:type="pct"/>
            <w:tcBorders>
              <w:top w:val="single" w:color="auto" w:sz="4" w:space="0"/>
              <w:left w:val="single" w:color="auto" w:sz="4" w:space="0"/>
              <w:bottom w:val="single" w:color="auto" w:sz="4" w:space="0"/>
              <w:right w:val="single" w:color="auto" w:sz="4" w:space="0"/>
            </w:tcBorders>
            <w:vAlign w:val="center"/>
          </w:tcPr>
          <w:p w14:paraId="080061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04EED2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1A17CF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rPr>
              <w:t>广西医科大学附属口腔医院</w:t>
            </w:r>
          </w:p>
        </w:tc>
        <w:tc>
          <w:tcPr>
            <w:tcW w:w="1618" w:type="pct"/>
            <w:tcBorders>
              <w:top w:val="single" w:color="auto" w:sz="4" w:space="0"/>
              <w:left w:val="single" w:color="auto" w:sz="4" w:space="0"/>
              <w:bottom w:val="single" w:color="auto" w:sz="4" w:space="0"/>
              <w:right w:val="single" w:color="auto" w:sz="4" w:space="0"/>
            </w:tcBorders>
            <w:vAlign w:val="center"/>
          </w:tcPr>
          <w:p w14:paraId="26F996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2C7E2FB">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4AFFD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左慧子</w:t>
            </w:r>
          </w:p>
        </w:tc>
        <w:tc>
          <w:tcPr>
            <w:tcW w:w="702" w:type="pct"/>
            <w:tcBorders>
              <w:top w:val="single" w:color="auto" w:sz="4" w:space="0"/>
              <w:left w:val="single" w:color="auto" w:sz="4" w:space="0"/>
              <w:bottom w:val="single" w:color="auto" w:sz="4" w:space="0"/>
              <w:right w:val="single" w:color="auto" w:sz="4" w:space="0"/>
            </w:tcBorders>
            <w:vAlign w:val="center"/>
          </w:tcPr>
          <w:p w14:paraId="5A07F4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2A4063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774E0C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6BA856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8DF0741">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C92B1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杨竞</w:t>
            </w:r>
          </w:p>
        </w:tc>
        <w:tc>
          <w:tcPr>
            <w:tcW w:w="702" w:type="pct"/>
            <w:tcBorders>
              <w:top w:val="single" w:color="auto" w:sz="4" w:space="0"/>
              <w:left w:val="single" w:color="auto" w:sz="4" w:space="0"/>
              <w:bottom w:val="single" w:color="auto" w:sz="4" w:space="0"/>
              <w:right w:val="single" w:color="auto" w:sz="4" w:space="0"/>
            </w:tcBorders>
            <w:vAlign w:val="center"/>
          </w:tcPr>
          <w:p w14:paraId="47C4A8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42A763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35BC6E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20CC69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486812F">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5069C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袁关秀</w:t>
            </w:r>
          </w:p>
        </w:tc>
        <w:tc>
          <w:tcPr>
            <w:tcW w:w="702" w:type="pct"/>
            <w:tcBorders>
              <w:top w:val="single" w:color="auto" w:sz="4" w:space="0"/>
              <w:left w:val="single" w:color="auto" w:sz="4" w:space="0"/>
              <w:bottom w:val="single" w:color="auto" w:sz="4" w:space="0"/>
              <w:right w:val="single" w:color="auto" w:sz="4" w:space="0"/>
            </w:tcBorders>
            <w:vAlign w:val="center"/>
          </w:tcPr>
          <w:p w14:paraId="52E56D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380DE7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65A64D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柳州市人民医院</w:t>
            </w:r>
          </w:p>
        </w:tc>
        <w:tc>
          <w:tcPr>
            <w:tcW w:w="1618" w:type="pct"/>
            <w:tcBorders>
              <w:top w:val="single" w:color="auto" w:sz="4" w:space="0"/>
              <w:left w:val="single" w:color="auto" w:sz="4" w:space="0"/>
              <w:bottom w:val="single" w:color="auto" w:sz="4" w:space="0"/>
              <w:right w:val="single" w:color="auto" w:sz="4" w:space="0"/>
            </w:tcBorders>
            <w:vAlign w:val="center"/>
          </w:tcPr>
          <w:p w14:paraId="56F9AE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6E2A8BBE">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4F4EAF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Calibri" w:hAnsi="Calibri" w:eastAsia="宋体" w:cs="Calibri"/>
                <w:kern w:val="2"/>
                <w:sz w:val="21"/>
                <w:szCs w:val="24"/>
                <w:lang w:val="en-US" w:eastAsia="zh-CN" w:bidi="ar-SA"/>
              </w:rPr>
            </w:pPr>
            <w:r>
              <w:rPr>
                <w:rFonts w:hint="eastAsia"/>
              </w:rPr>
              <w:t>林艺玲</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782C43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7F11F4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宋体" w:cs="仿宋_GB2312"/>
                <w:kern w:val="2"/>
                <w:sz w:val="24"/>
                <w:szCs w:val="24"/>
                <w:lang w:val="en-US" w:eastAsia="zh-CN" w:bidi="ar-SA"/>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78709B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4926E5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B827A66">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3E4FD7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color w:val="auto"/>
              </w:rPr>
              <w:t>刘彦君</w:t>
            </w:r>
          </w:p>
        </w:tc>
        <w:tc>
          <w:tcPr>
            <w:tcW w:w="702" w:type="pct"/>
            <w:tcBorders>
              <w:top w:val="single" w:color="auto" w:sz="4" w:space="0"/>
              <w:left w:val="single" w:color="auto" w:sz="4" w:space="0"/>
              <w:bottom w:val="single" w:color="auto" w:sz="4" w:space="0"/>
              <w:right w:val="single" w:color="auto" w:sz="4" w:space="0"/>
            </w:tcBorders>
            <w:vAlign w:val="center"/>
          </w:tcPr>
          <w:p w14:paraId="479F57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1846A0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3BD70C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南宁市第一人民医院</w:t>
            </w:r>
          </w:p>
        </w:tc>
        <w:tc>
          <w:tcPr>
            <w:tcW w:w="1618" w:type="pct"/>
            <w:tcBorders>
              <w:top w:val="single" w:color="auto" w:sz="4" w:space="0"/>
              <w:left w:val="single" w:color="auto" w:sz="4" w:space="0"/>
              <w:bottom w:val="single" w:color="auto" w:sz="4" w:space="0"/>
              <w:right w:val="single" w:color="auto" w:sz="4" w:space="0"/>
            </w:tcBorders>
            <w:vAlign w:val="center"/>
          </w:tcPr>
          <w:p w14:paraId="56646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06073A2C">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1C1A1B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苏凤梅</w:t>
            </w:r>
          </w:p>
        </w:tc>
        <w:tc>
          <w:tcPr>
            <w:tcW w:w="702" w:type="pct"/>
            <w:tcBorders>
              <w:top w:val="single" w:color="auto" w:sz="4" w:space="0"/>
              <w:left w:val="single" w:color="auto" w:sz="4" w:space="0"/>
              <w:bottom w:val="single" w:color="auto" w:sz="4" w:space="0"/>
              <w:right w:val="single" w:color="auto" w:sz="4" w:space="0"/>
            </w:tcBorders>
            <w:vAlign w:val="center"/>
          </w:tcPr>
          <w:p w14:paraId="518727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71D31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30EA0E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广西壮族自治区工人医院</w:t>
            </w:r>
          </w:p>
        </w:tc>
        <w:tc>
          <w:tcPr>
            <w:tcW w:w="1618" w:type="pct"/>
            <w:tcBorders>
              <w:top w:val="single" w:color="auto" w:sz="4" w:space="0"/>
              <w:left w:val="single" w:color="auto" w:sz="4" w:space="0"/>
              <w:bottom w:val="single" w:color="auto" w:sz="4" w:space="0"/>
              <w:right w:val="single" w:color="auto" w:sz="4" w:space="0"/>
            </w:tcBorders>
            <w:vAlign w:val="center"/>
          </w:tcPr>
          <w:p w14:paraId="3C979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BA5E8D6">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E7142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color w:val="auto"/>
              </w:rPr>
              <w:t>谢冬梅</w:t>
            </w:r>
          </w:p>
        </w:tc>
        <w:tc>
          <w:tcPr>
            <w:tcW w:w="702" w:type="pct"/>
            <w:tcBorders>
              <w:top w:val="single" w:color="auto" w:sz="4" w:space="0"/>
              <w:left w:val="single" w:color="auto" w:sz="4" w:space="0"/>
              <w:bottom w:val="single" w:color="auto" w:sz="4" w:space="0"/>
              <w:right w:val="single" w:color="auto" w:sz="4" w:space="0"/>
            </w:tcBorders>
            <w:vAlign w:val="center"/>
          </w:tcPr>
          <w:p w14:paraId="4930DC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3CDEB0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198B7C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广西中医药大学第一附属医院</w:t>
            </w:r>
          </w:p>
        </w:tc>
        <w:tc>
          <w:tcPr>
            <w:tcW w:w="1618" w:type="pct"/>
            <w:tcBorders>
              <w:top w:val="single" w:color="auto" w:sz="4" w:space="0"/>
              <w:left w:val="single" w:color="auto" w:sz="4" w:space="0"/>
              <w:bottom w:val="single" w:color="auto" w:sz="4" w:space="0"/>
              <w:right w:val="single" w:color="auto" w:sz="4" w:space="0"/>
            </w:tcBorders>
            <w:vAlign w:val="center"/>
          </w:tcPr>
          <w:p w14:paraId="048283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3A3B1CB3">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3755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马凯芬</w:t>
            </w:r>
          </w:p>
        </w:tc>
        <w:tc>
          <w:tcPr>
            <w:tcW w:w="702" w:type="pct"/>
            <w:tcBorders>
              <w:top w:val="single" w:color="auto" w:sz="4" w:space="0"/>
              <w:left w:val="single" w:color="auto" w:sz="4" w:space="0"/>
              <w:bottom w:val="single" w:color="auto" w:sz="4" w:space="0"/>
              <w:right w:val="single" w:color="auto" w:sz="4" w:space="0"/>
            </w:tcBorders>
            <w:vAlign w:val="center"/>
          </w:tcPr>
          <w:p w14:paraId="02831B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426B1E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75D502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广</w:t>
            </w:r>
            <w:r>
              <w:rPr>
                <w:rFonts w:hint="eastAsia" w:ascii="仿宋_GB2312" w:hAnsi="仿宋_GB2312" w:eastAsia="仿宋_GB2312" w:cs="仿宋_GB2312"/>
                <w:sz w:val="24"/>
                <w:szCs w:val="24"/>
                <w:lang w:eastAsia="zh-CN"/>
              </w:rPr>
              <w:t>西中医药大学附属瑞康医院</w:t>
            </w:r>
          </w:p>
        </w:tc>
        <w:tc>
          <w:tcPr>
            <w:tcW w:w="1618" w:type="pct"/>
            <w:tcBorders>
              <w:top w:val="single" w:color="auto" w:sz="4" w:space="0"/>
              <w:left w:val="single" w:color="auto" w:sz="4" w:space="0"/>
              <w:bottom w:val="single" w:color="auto" w:sz="4" w:space="0"/>
              <w:right w:val="single" w:color="auto" w:sz="4" w:space="0"/>
            </w:tcBorders>
            <w:vAlign w:val="center"/>
          </w:tcPr>
          <w:p w14:paraId="385A7F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7A9D329">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502765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龙仙莲</w:t>
            </w:r>
          </w:p>
        </w:tc>
        <w:tc>
          <w:tcPr>
            <w:tcW w:w="702" w:type="pct"/>
            <w:tcBorders>
              <w:top w:val="single" w:color="auto" w:sz="4" w:space="0"/>
              <w:left w:val="single" w:color="auto" w:sz="4" w:space="0"/>
              <w:bottom w:val="single" w:color="auto" w:sz="4" w:space="0"/>
              <w:right w:val="single" w:color="auto" w:sz="4" w:space="0"/>
            </w:tcBorders>
            <w:vAlign w:val="center"/>
          </w:tcPr>
          <w:p w14:paraId="473022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43772D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75E784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20751E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58ABC619">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2332F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罗锦集</w:t>
            </w:r>
          </w:p>
        </w:tc>
        <w:tc>
          <w:tcPr>
            <w:tcW w:w="702" w:type="pct"/>
            <w:tcBorders>
              <w:top w:val="single" w:color="auto" w:sz="4" w:space="0"/>
              <w:left w:val="single" w:color="auto" w:sz="4" w:space="0"/>
              <w:bottom w:val="single" w:color="auto" w:sz="4" w:space="0"/>
              <w:right w:val="single" w:color="auto" w:sz="4" w:space="0"/>
            </w:tcBorders>
            <w:vAlign w:val="center"/>
          </w:tcPr>
          <w:p w14:paraId="01B35A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1256" w:type="dxa"/>
            <w:tcBorders>
              <w:top w:val="single" w:color="000000" w:sz="2" w:space="0"/>
              <w:left w:val="single" w:color="auto" w:sz="4" w:space="0"/>
              <w:bottom w:val="single" w:color="000000" w:sz="2" w:space="0"/>
              <w:right w:val="single" w:color="auto" w:sz="4" w:space="0"/>
            </w:tcBorders>
            <w:vAlign w:val="center"/>
          </w:tcPr>
          <w:p w14:paraId="54C94E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2587" w:type="dxa"/>
            <w:tcBorders>
              <w:top w:val="single" w:color="auto" w:sz="4" w:space="0"/>
              <w:left w:val="single" w:color="auto" w:sz="4" w:space="0"/>
              <w:bottom w:val="single" w:color="auto" w:sz="4" w:space="0"/>
              <w:right w:val="single" w:color="auto" w:sz="4" w:space="0"/>
            </w:tcBorders>
            <w:vAlign w:val="center"/>
          </w:tcPr>
          <w:p w14:paraId="1765FF0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2966" w:type="dxa"/>
            <w:tcBorders>
              <w:top w:val="single" w:color="auto" w:sz="4" w:space="0"/>
              <w:left w:val="single" w:color="auto" w:sz="4" w:space="0"/>
              <w:bottom w:val="single" w:color="auto" w:sz="4" w:space="0"/>
              <w:right w:val="single" w:color="auto" w:sz="4" w:space="0"/>
            </w:tcBorders>
            <w:vAlign w:val="center"/>
          </w:tcPr>
          <w:p w14:paraId="41594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00D3F383">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5C758A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谢镕蔚</w:t>
            </w:r>
          </w:p>
        </w:tc>
        <w:tc>
          <w:tcPr>
            <w:tcW w:w="702" w:type="pct"/>
            <w:tcBorders>
              <w:top w:val="single" w:color="auto" w:sz="4" w:space="0"/>
              <w:left w:val="single" w:color="auto" w:sz="4" w:space="0"/>
              <w:bottom w:val="single" w:color="auto" w:sz="4" w:space="0"/>
              <w:right w:val="single" w:color="auto" w:sz="4" w:space="0"/>
            </w:tcBorders>
            <w:vAlign w:val="center"/>
          </w:tcPr>
          <w:p w14:paraId="54735E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25AFC4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645C3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3E162D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0E901D13">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1E5754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Calibri" w:hAnsi="Calibri" w:eastAsia="宋体" w:cs="Calibri"/>
                <w:kern w:val="2"/>
                <w:sz w:val="21"/>
                <w:szCs w:val="24"/>
                <w:lang w:val="en-US" w:eastAsia="zh-CN" w:bidi="ar-SA"/>
              </w:rPr>
            </w:pPr>
            <w:r>
              <w:rPr>
                <w:rFonts w:hint="eastAsia"/>
              </w:rPr>
              <w:t>吴锦梅</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6BA91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66132F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宋体" w:cs="仿宋_GB2312"/>
                <w:kern w:val="2"/>
                <w:sz w:val="24"/>
                <w:szCs w:val="24"/>
                <w:lang w:val="en-US" w:eastAsia="zh-CN" w:bidi="ar-SA"/>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4FEAB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宋体" w:cs="仿宋_GB2312"/>
                <w:kern w:val="2"/>
                <w:sz w:val="24"/>
                <w:szCs w:val="24"/>
                <w:lang w:val="en-US" w:eastAsia="zh-CN" w:bidi="ar-SA"/>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07FCF0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4F887870">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7F1D89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范小燕</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67E456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19C32E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2A2782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1FD6C8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2012FEDA">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606A00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潘秋梅</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6AFEF7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29576B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5CBAD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46606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49595EEA">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37C26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舒婷</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093868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1670C7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3FC0DD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18A92C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78CF5E3E">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shd w:val="clear" w:color="auto" w:fill="auto"/>
            <w:vAlign w:val="center"/>
          </w:tcPr>
          <w:p w14:paraId="501EC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rPr>
            </w:pPr>
            <w:r>
              <w:rPr>
                <w:rFonts w:hint="eastAsia"/>
              </w:rPr>
              <w:t>凌丽萍</w:t>
            </w:r>
          </w:p>
        </w:tc>
        <w:tc>
          <w:tcPr>
            <w:tcW w:w="702" w:type="pct"/>
            <w:tcBorders>
              <w:top w:val="single" w:color="auto" w:sz="4" w:space="0"/>
              <w:left w:val="single" w:color="auto" w:sz="4" w:space="0"/>
              <w:bottom w:val="single" w:color="auto" w:sz="4" w:space="0"/>
              <w:right w:val="single" w:color="auto" w:sz="4" w:space="0"/>
            </w:tcBorders>
            <w:shd w:val="clear" w:color="auto" w:fill="auto"/>
            <w:vAlign w:val="center"/>
          </w:tcPr>
          <w:p w14:paraId="0DA9C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shd w:val="clear" w:color="auto" w:fill="auto"/>
            <w:vAlign w:val="center"/>
          </w:tcPr>
          <w:p w14:paraId="489A11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center"/>
          </w:tcPr>
          <w:p w14:paraId="6D2221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shd w:val="clear" w:color="auto" w:fill="auto"/>
            <w:vAlign w:val="center"/>
          </w:tcPr>
          <w:p w14:paraId="7B8788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tr w14:paraId="1E335D85">
        <w:tblPrEx>
          <w:tblCellMar>
            <w:top w:w="0" w:type="dxa"/>
            <w:left w:w="108" w:type="dxa"/>
            <w:bottom w:w="0" w:type="dxa"/>
            <w:right w:w="108" w:type="dxa"/>
          </w:tblCellMar>
        </w:tblPrEx>
        <w:trPr>
          <w:cantSplit/>
          <w:trHeight w:val="517" w:hRule="atLeast"/>
          <w:jc w:val="center"/>
        </w:trPr>
        <w:tc>
          <w:tcPr>
            <w:tcW w:w="582" w:type="pct"/>
            <w:tcBorders>
              <w:top w:val="single" w:color="auto" w:sz="4" w:space="0"/>
              <w:left w:val="single" w:color="auto" w:sz="4" w:space="0"/>
              <w:bottom w:val="single" w:color="auto" w:sz="4" w:space="0"/>
              <w:right w:val="single" w:color="008000" w:sz="4" w:space="0"/>
            </w:tcBorders>
            <w:vAlign w:val="center"/>
          </w:tcPr>
          <w:p w14:paraId="0A7397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rPr>
            </w:pPr>
            <w:r>
              <w:rPr>
                <w:rFonts w:hint="eastAsia"/>
              </w:rPr>
              <w:t>王靖雯</w:t>
            </w:r>
          </w:p>
        </w:tc>
        <w:tc>
          <w:tcPr>
            <w:tcW w:w="702" w:type="pct"/>
            <w:tcBorders>
              <w:top w:val="single" w:color="auto" w:sz="4" w:space="0"/>
              <w:left w:val="single" w:color="auto" w:sz="4" w:space="0"/>
              <w:bottom w:val="single" w:color="auto" w:sz="4" w:space="0"/>
              <w:right w:val="single" w:color="auto" w:sz="4" w:space="0"/>
            </w:tcBorders>
            <w:vAlign w:val="center"/>
          </w:tcPr>
          <w:p w14:paraId="6FC6D1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lang w:val="en-US" w:eastAsia="zh-CN"/>
              </w:rPr>
            </w:pPr>
            <w:r>
              <w:rPr>
                <w:rFonts w:hint="eastAsia"/>
                <w:lang w:val="en-US" w:eastAsia="zh-CN"/>
              </w:rPr>
              <w:t>护师</w:t>
            </w:r>
          </w:p>
        </w:tc>
        <w:tc>
          <w:tcPr>
            <w:tcW w:w="685" w:type="pct"/>
            <w:tcBorders>
              <w:top w:val="single" w:color="000000" w:sz="2" w:space="0"/>
              <w:left w:val="single" w:color="auto" w:sz="4" w:space="0"/>
              <w:bottom w:val="single" w:color="000000" w:sz="2" w:space="0"/>
              <w:right w:val="single" w:color="auto" w:sz="4" w:space="0"/>
            </w:tcBorders>
            <w:vAlign w:val="center"/>
          </w:tcPr>
          <w:p w14:paraId="35C777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lang w:bidi="ar"/>
              </w:rPr>
              <w:t>护</w:t>
            </w:r>
            <w:r>
              <w:rPr>
                <w:rFonts w:hint="eastAsia" w:ascii="仿宋_GB2312" w:hAnsi="仿宋_GB2312" w:eastAsia="仿宋_GB2312" w:cs="仿宋_GB2312"/>
                <w:sz w:val="24"/>
                <w:lang w:val="en-US" w:eastAsia="zh-CN" w:bidi="ar"/>
              </w:rPr>
              <w:t>理学</w:t>
            </w:r>
          </w:p>
        </w:tc>
        <w:tc>
          <w:tcPr>
            <w:tcW w:w="1411" w:type="pct"/>
            <w:tcBorders>
              <w:top w:val="single" w:color="auto" w:sz="4" w:space="0"/>
              <w:left w:val="single" w:color="auto" w:sz="4" w:space="0"/>
              <w:bottom w:val="single" w:color="auto" w:sz="4" w:space="0"/>
              <w:right w:val="single" w:color="auto" w:sz="4" w:space="0"/>
            </w:tcBorders>
            <w:vAlign w:val="center"/>
          </w:tcPr>
          <w:p w14:paraId="56F6EE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cs="仿宋_GB2312"/>
                <w:sz w:val="24"/>
                <w:szCs w:val="24"/>
                <w:lang w:eastAsia="zh-CN"/>
              </w:rPr>
            </w:pPr>
            <w:r>
              <w:rPr>
                <w:rFonts w:hint="eastAsia" w:ascii="仿宋_GB2312" w:hAnsi="仿宋_GB2312" w:eastAsia="仿宋_GB2312" w:cs="仿宋_GB2312"/>
                <w:sz w:val="24"/>
                <w:szCs w:val="24"/>
                <w:lang w:eastAsia="zh-CN"/>
              </w:rPr>
              <w:t>广西医科大学附属肿瘤医院</w:t>
            </w:r>
          </w:p>
        </w:tc>
        <w:tc>
          <w:tcPr>
            <w:tcW w:w="1618" w:type="pct"/>
            <w:tcBorders>
              <w:top w:val="single" w:color="auto" w:sz="4" w:space="0"/>
              <w:left w:val="single" w:color="auto" w:sz="4" w:space="0"/>
              <w:bottom w:val="single" w:color="auto" w:sz="4" w:space="0"/>
              <w:right w:val="single" w:color="auto" w:sz="4" w:space="0"/>
            </w:tcBorders>
            <w:vAlign w:val="center"/>
          </w:tcPr>
          <w:p w14:paraId="0FB03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参与标准文本及编制说明的编写；组织开展标准征求意见会；对标准实施情况进行总结分析，不断对标准提出修正意见</w:t>
            </w:r>
          </w:p>
        </w:tc>
      </w:tr>
      <w:bookmarkEnd w:id="13"/>
    </w:tbl>
    <w:p w14:paraId="0C349B5C">
      <w:pPr>
        <w:numPr>
          <w:ilvl w:val="0"/>
          <w:numId w:val="11"/>
        </w:num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制定标准的必要性和意义</w:t>
      </w:r>
    </w:p>
    <w:p w14:paraId="4E7CC14D">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鼻胃养管置入术操作简单，手术风险低，但大多数患者无法长期耐受，且营养管对咽喉部及食管黏膜的长期刺激易导致黏膜充血、水肿甚至糜烂。此外，该方法还存在反流和误吸的风险，可导致吸入性肺炎的发生。因此，该方法多用于住院期间的短期肠内营养支持。</w:t>
      </w:r>
      <w:bookmarkStart w:id="0" w:name="_Hlk160195254"/>
      <w:r>
        <w:rPr>
          <w:rFonts w:hint="eastAsia" w:ascii="仿宋_GB2312" w:eastAsia="仿宋_GB2312"/>
          <w:color w:val="auto"/>
          <w:sz w:val="28"/>
          <w:szCs w:val="28"/>
        </w:rPr>
        <w:t>传统的胃造瘘术</w:t>
      </w:r>
      <w:bookmarkEnd w:id="0"/>
      <w:r>
        <w:rPr>
          <w:rFonts w:hint="eastAsia" w:ascii="仿宋_GB2312" w:eastAsia="仿宋_GB2312"/>
          <w:color w:val="auto"/>
          <w:sz w:val="28"/>
          <w:szCs w:val="28"/>
        </w:rPr>
        <w:t>是在外科开腹下进行的，由于手术创伤大，对患者的营养状况和心理素质要求高，导致部分患者放弃治疗。1980年，Gaudere等首次报道了经皮内窥镜引导下胃造瘘术(percutaneous endoscopic gastrostomy，PEG)，此后该技术不断得到改进，现已取代传统的胃造口术，成为中-长期肠内营养的首选方法。随着内镜技术的发展，如今己实现了微创造瘘即</w:t>
      </w:r>
      <w:bookmarkStart w:id="1" w:name="_Hlk160223525"/>
      <w:r>
        <w:rPr>
          <w:rFonts w:hint="eastAsia" w:ascii="仿宋_GB2312" w:eastAsia="仿宋_GB2312"/>
          <w:color w:val="auto"/>
          <w:sz w:val="28"/>
          <w:szCs w:val="28"/>
        </w:rPr>
        <w:t>经</w:t>
      </w:r>
      <w:bookmarkStart w:id="2" w:name="_Hlk160195291"/>
      <w:r>
        <w:rPr>
          <w:rFonts w:hint="eastAsia" w:ascii="仿宋_GB2312" w:eastAsia="仿宋_GB2312"/>
          <w:color w:val="auto"/>
          <w:sz w:val="28"/>
          <w:szCs w:val="28"/>
        </w:rPr>
        <w:t>皮内镜下胃造瘘</w:t>
      </w:r>
      <w:bookmarkEnd w:id="1"/>
      <w:bookmarkEnd w:id="2"/>
      <w:r>
        <w:rPr>
          <w:rFonts w:hint="eastAsia" w:ascii="仿宋_GB2312" w:eastAsia="仿宋_GB2312"/>
          <w:color w:val="auto"/>
          <w:sz w:val="28"/>
          <w:szCs w:val="28"/>
        </w:rPr>
        <w:t>（percutaneous endoscopic gastrostomy, PEG）在操作过程中仅需插入胃镜，缝线、胃瘘管等器材均可通过腹部造口置入胃腔内，对患者狭窄段无明显损伤且管径要求更低，相对留置鼻营养管和传统的胃造瘘术相比，经皮内镜下胃造瘘术是一种更安全、有效的治疗方式，值得临床上进一步推广。</w:t>
      </w:r>
    </w:p>
    <w:p w14:paraId="06B8F75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头颈部恶性肿瘤（HNC）主要是指发生在颅底到锁骨上、颈椎前解剖范围内的肿瘤，包括耳鼻咽喉肿瘤、口腔颌面部肿瘤、颈部肿瘤三大部分，近年来随着国内头颈部肿瘤的发病率和死亡率分别位于全部肿瘤发病率和死亡率的第六位和第八位。在全世界范围内，头颈部肿瘤每年的发病人数约为50-60万，死亡人数大概为30万。近几年，我国头颈部肿瘤的发病率和死亡率在逐渐升高，放化疗是HNC患者常用的治疗方案之一，吞咽困难是头颈部肿瘤放化疗后常见的不良反应，超过76%的患者会出现吞咽困难，治疗的同时可使患者营养风险大大增加，患者血红蛋白、体重、白蛋白等营养状况指标较前明显下降。头颈部恶性肿瘤患者放疗期间营养风险发生率为79.41%，营养不足发生率为49.02%。轻者降低生活质量，重者可能危及生命。营养不良与癌症的不良预后存在着相关性，在治疗过程中给予营养支持改善患者的营养状况，可提高对治疗副作用的耐受性，提高治疗的疗效，降低治疗后并发症的发生率。因此我们有必要通过营养支持干预来协助头颈部肿瘤放化疗的完成。</w:t>
      </w:r>
    </w:p>
    <w:p w14:paraId="0BC3DD6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中国抗癌协会肿瘤营养与支持治疗专业委员会推荐食管癌营养支持治疗的首选方式是肠内营养。胃造瘘适用于各种不同原因导致的吞咽、进食困难、意识不清、经口腔或鼻饲补充营养有困难以及神经性厌食及神经性呕吐病人给与肠内营养的途径。</w:t>
      </w:r>
      <w:bookmarkStart w:id="3" w:name="_Hlk160216831"/>
      <w:r>
        <w:rPr>
          <w:rFonts w:hint="eastAsia" w:ascii="仿宋_GB2312" w:eastAsia="仿宋_GB2312"/>
          <w:color w:val="auto"/>
          <w:sz w:val="28"/>
          <w:szCs w:val="28"/>
        </w:rPr>
        <w:t>目前关于经皮内镜下胃造瘘术在舌癌、鼻咽癌、口咽癌、下咽癌等头颈部肿瘤放化疗期间中的应用研究比较多，对于应用中的各种头颈部肿瘤患者来说，短期的肠外营养通过静脉输注，但不方便在院外进行，费用高，而长期施行全肠外营养易出现堵管、感染、血栓形成、营养摄入不均衡及消化道功能减退等并发症，因其狭窄仅累及食管，胃肠道功能均无明显异常，考虑到上述患者虽无法经口进食，但仍保留有基本的胃肠道功能，应尽可能使患者通过胃肠道摄取营养。为满足患者的长期肠内营养需求，胃造瘘是首选的治疗方法，其临床应用也逐渐增多和技术逐渐成熟。</w:t>
      </w:r>
    </w:p>
    <w:bookmarkEnd w:id="3"/>
    <w:p w14:paraId="54A04E74">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由于广西部分市、县（区）的成人</w:t>
      </w:r>
      <w:bookmarkStart w:id="4" w:name="_Hlk160213097"/>
      <w:r>
        <w:rPr>
          <w:rFonts w:hint="eastAsia" w:ascii="仿宋_GB2312" w:eastAsia="仿宋_GB2312"/>
          <w:color w:val="auto"/>
          <w:sz w:val="28"/>
          <w:szCs w:val="28"/>
        </w:rPr>
        <w:t>经皮胃造瘘管饲护理技术</w:t>
      </w:r>
      <w:bookmarkEnd w:id="4"/>
      <w:r>
        <w:rPr>
          <w:rFonts w:hint="eastAsia" w:ascii="仿宋_GB2312" w:eastAsia="仿宋_GB2312"/>
          <w:color w:val="auto"/>
          <w:sz w:val="28"/>
          <w:szCs w:val="28"/>
        </w:rPr>
        <w:t>、管理水平均存在不规范的现象，患者长期带管生存，所以正确的使用及维护等规范化临床护理对降低术后并发症，如瘘口周围感染、包埋综合征、导管堵塞、腹泻、腹胀、瘘口周围肉芽肿组织增生等情况发生尤为重要。本单位开展该项技术5年余，行成人经皮胃造瘘术患者数量300余例，在舌癌、鼻咽癌、口咽癌、下咽癌等头颈部肿瘤放化疗期间中的应用研究，在合作医疗单位广西医科大学附属口腔医院、广西医科大学第二附属医院、广西壮族自治区工人医院、广西中医药大学第一附属医院行成人经皮胃造瘘术患者数量共计100余例。该项技术的开展满足患者的长期肠内营养需求，解决了因短期肠外营养通过静脉输注，但不方便在院外进行且费用高，而长期施行全肠外营养易出现堵管、感染、血栓形成、营养摄入不均衡及消化道功能减退等并发症。经过在临床的成人经皮胃造瘘管饲护理的临床实践，经验研究表明可以改善患者的营养状况，提高患者对治疗副作用的耐受性，缩短患者住院时长，减轻患者的经济负担，提高患者的生活质量，延长生存期。随着经皮胃造瘘术的广泛应用，胃造瘘患者也随着增加，迫切需要制定成人经皮胃造瘘管饲护理技术，旨在改善患者的营养状况，提高患者对治疗副作用的耐受性，缩短患者住院时长，减轻患者的经济负担，提高患者的生活质量，延长生存期，提高护士</w:t>
      </w:r>
      <w:bookmarkStart w:id="5" w:name="_Hlk160216148"/>
      <w:r>
        <w:rPr>
          <w:rFonts w:hint="eastAsia" w:ascii="仿宋_GB2312" w:eastAsia="仿宋_GB2312"/>
          <w:color w:val="auto"/>
          <w:sz w:val="28"/>
          <w:szCs w:val="28"/>
        </w:rPr>
        <w:t>成人经皮胃造瘘管饲护理技术</w:t>
      </w:r>
      <w:bookmarkEnd w:id="5"/>
      <w:r>
        <w:rPr>
          <w:rFonts w:hint="eastAsia" w:ascii="仿宋_GB2312" w:eastAsia="仿宋_GB2312"/>
          <w:color w:val="auto"/>
          <w:sz w:val="28"/>
          <w:szCs w:val="28"/>
        </w:rPr>
        <w:t>水平，同时</w:t>
      </w:r>
      <w:bookmarkStart w:id="6" w:name="_Hlk160209815"/>
      <w:r>
        <w:rPr>
          <w:rFonts w:hint="eastAsia" w:ascii="仿宋_GB2312" w:eastAsia="仿宋_GB2312"/>
          <w:color w:val="auto"/>
          <w:sz w:val="28"/>
          <w:szCs w:val="28"/>
        </w:rPr>
        <w:t>，促使全区的</w:t>
      </w:r>
      <w:bookmarkStart w:id="7" w:name="_Hlk160216262"/>
      <w:bookmarkStart w:id="8" w:name="_Hlk160212987"/>
      <w:r>
        <w:rPr>
          <w:rFonts w:hint="eastAsia" w:ascii="仿宋_GB2312" w:eastAsia="仿宋_GB2312"/>
          <w:color w:val="auto"/>
          <w:sz w:val="28"/>
          <w:szCs w:val="28"/>
        </w:rPr>
        <w:t>成人</w:t>
      </w:r>
      <w:bookmarkStart w:id="9" w:name="_Hlk160216072"/>
      <w:r>
        <w:rPr>
          <w:rFonts w:hint="eastAsia" w:ascii="仿宋_GB2312" w:eastAsia="仿宋_GB2312"/>
          <w:color w:val="auto"/>
          <w:sz w:val="28"/>
          <w:szCs w:val="28"/>
        </w:rPr>
        <w:t>经皮胃造瘘</w:t>
      </w:r>
      <w:bookmarkEnd w:id="7"/>
      <w:bookmarkEnd w:id="9"/>
      <w:r>
        <w:rPr>
          <w:rFonts w:hint="eastAsia" w:ascii="仿宋_GB2312" w:eastAsia="仿宋_GB2312"/>
          <w:color w:val="auto"/>
          <w:sz w:val="28"/>
          <w:szCs w:val="28"/>
        </w:rPr>
        <w:t>管饲护理技术</w:t>
      </w:r>
      <w:bookmarkEnd w:id="8"/>
      <w:r>
        <w:rPr>
          <w:rFonts w:hint="eastAsia" w:ascii="仿宋_GB2312" w:eastAsia="仿宋_GB2312"/>
          <w:color w:val="auto"/>
          <w:sz w:val="28"/>
          <w:szCs w:val="28"/>
        </w:rPr>
        <w:t>达到同质化管理</w:t>
      </w:r>
      <w:bookmarkEnd w:id="6"/>
      <w:r>
        <w:rPr>
          <w:rFonts w:hint="eastAsia" w:ascii="仿宋_GB2312" w:eastAsia="仿宋_GB2312"/>
          <w:color w:val="auto"/>
          <w:sz w:val="28"/>
          <w:szCs w:val="28"/>
        </w:rPr>
        <w:t>。</w:t>
      </w:r>
    </w:p>
    <w:p w14:paraId="40B1A18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随着医疗技术的发展，成人</w:t>
      </w:r>
      <w:bookmarkStart w:id="10" w:name="_Hlk160477345"/>
      <w:r>
        <w:rPr>
          <w:rFonts w:hint="eastAsia" w:ascii="仿宋_GB2312" w:eastAsia="仿宋_GB2312"/>
          <w:color w:val="auto"/>
          <w:sz w:val="28"/>
          <w:szCs w:val="28"/>
        </w:rPr>
        <w:t>经皮胃造瘘管饲</w:t>
      </w:r>
      <w:bookmarkEnd w:id="10"/>
      <w:r>
        <w:rPr>
          <w:rFonts w:hint="eastAsia" w:ascii="仿宋_GB2312" w:eastAsia="仿宋_GB2312"/>
          <w:color w:val="auto"/>
          <w:sz w:val="28"/>
          <w:szCs w:val="28"/>
        </w:rPr>
        <w:t>在临床研究表明对于营养物质的供给几乎等同于经口进食，相比鼻胃管鼻饲和全静脉营养具有不可替代的优势。由于经皮胃造瘘管饲使病人的进食方式发生了根本改变，术前应重视病人的心理护理，术后需加强饮食护理、造瘘口及造瘘管的护理，做好并发症的预防，早期发现，及时处理，以增强其的疗效，提高病人的生活质量。目前，国内外对胃造瘘病人护理主要集中在肠内营养护理及胃造瘘并发症护理上，虽然此类研究较多，但有些操作规范仍未达成统一意见。</w:t>
      </w:r>
    </w:p>
    <w:p w14:paraId="250251E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因此，成人经皮胃造瘘管饲可以改善患者的营养状况，提高患者对治疗副作用的耐受性，缩短患者住院时长，减轻患者的经济负担，提高患者的生活质量，延长生存期。成人经皮内镜下胃造瘘术的日益成熟可为广大患者带来更多的获益。本次申报的标准《</w:t>
      </w:r>
      <w:bookmarkStart w:id="11" w:name="_Hlk160477525"/>
      <w:r>
        <w:rPr>
          <w:rFonts w:hint="eastAsia" w:ascii="仿宋_GB2312" w:eastAsia="仿宋_GB2312"/>
          <w:color w:val="auto"/>
          <w:sz w:val="28"/>
          <w:szCs w:val="28"/>
        </w:rPr>
        <w:t>成人经皮胃造瘘管饲护理技术</w:t>
      </w:r>
      <w:bookmarkEnd w:id="11"/>
      <w:r>
        <w:rPr>
          <w:rFonts w:hint="eastAsia" w:ascii="仿宋_GB2312" w:eastAsia="仿宋_GB2312"/>
          <w:color w:val="auto"/>
          <w:sz w:val="28"/>
          <w:szCs w:val="28"/>
        </w:rPr>
        <w:t>规范》基于对该项技术的操作进行规范化，从管饲护理技术原则、评估方法、操作流程、护理注意事项及处理方法对成人经皮胃造瘘管饲护理技术进行要求，在患者临床治疗和结局、临床护理新技术、新业务提升及规范化方面有重要意义。</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成人经皮胃造瘘管饲护理技术规范</w:t>
      </w:r>
      <w:r>
        <w:rPr>
          <w:rFonts w:hint="eastAsia" w:ascii="仿宋_GB2312" w:eastAsia="仿宋_GB2312"/>
          <w:color w:val="auto"/>
          <w:sz w:val="28"/>
          <w:szCs w:val="28"/>
        </w:rPr>
        <w:t>》项目任务下达后，广西医科大学附属肿瘤医院、南宁市第一人民医院、广西壮族自治区民族医院、广西中医药大学第一附属医院、广西中医药大学附属瑞康医院、柳州市人民医院、广西医科大学附属口腔医院、广西壮族自治区工人医院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US" w:eastAsia="zh-CN"/>
        </w:rPr>
        <w:t>成人经皮胃造瘘管饲护理</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US" w:eastAsia="zh-CN"/>
        </w:rPr>
        <w:t>成人经皮胃造瘘管饲护理</w:t>
      </w:r>
      <w:r>
        <w:rPr>
          <w:rFonts w:hint="eastAsia" w:ascii="仿宋_GB2312" w:eastAsia="仿宋_GB2312"/>
          <w:color w:val="auto"/>
          <w:sz w:val="28"/>
          <w:szCs w:val="28"/>
        </w:rPr>
        <w:t>的有关研究情况和目前科学界</w:t>
      </w:r>
      <w:r>
        <w:rPr>
          <w:rFonts w:hint="eastAsia" w:ascii="仿宋_GB2312" w:eastAsia="仿宋_GB2312"/>
          <w:color w:val="auto"/>
          <w:sz w:val="28"/>
          <w:szCs w:val="28"/>
          <w:lang w:val="en-US" w:eastAsia="zh-CN"/>
        </w:rPr>
        <w:t>成人经皮胃造瘘管饲护理</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US" w:eastAsia="zh-CN"/>
        </w:rPr>
        <w:t>成人经皮胃造瘘管饲护理</w:t>
      </w:r>
      <w:r>
        <w:rPr>
          <w:rFonts w:hint="eastAsia" w:ascii="仿宋_GB2312" w:eastAsia="仿宋_GB2312"/>
          <w:color w:val="auto"/>
          <w:sz w:val="28"/>
          <w:szCs w:val="28"/>
        </w:rPr>
        <w:t>的相关文献资料。主要</w:t>
      </w:r>
      <w:r>
        <w:rPr>
          <w:rFonts w:hint="eastAsia" w:ascii="仿宋_GB2312" w:eastAsia="仿宋_GB2312"/>
          <w:color w:val="auto"/>
          <w:sz w:val="28"/>
          <w:szCs w:val="28"/>
          <w:lang w:val="en-US" w:eastAsia="zh-CN"/>
        </w:rPr>
        <w:t>相关论文</w:t>
      </w:r>
      <w:r>
        <w:rPr>
          <w:rFonts w:hint="eastAsia" w:ascii="仿宋_GB2312" w:eastAsia="仿宋_GB2312"/>
          <w:color w:val="auto"/>
          <w:sz w:val="28"/>
          <w:szCs w:val="28"/>
        </w:rPr>
        <w:t>有：</w:t>
      </w:r>
    </w:p>
    <w:p w14:paraId="6BAFA8BB">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hint="eastAsia" w:ascii="Times New Roman" w:hAnsi="Times New Roman" w:eastAsia="仿宋_GB2312"/>
          <w:sz w:val="24"/>
          <w:szCs w:val="24"/>
        </w:rPr>
      </w:pPr>
      <w:r>
        <w:rPr>
          <w:rFonts w:hint="eastAsia" w:ascii="Times New Roman" w:hAnsi="Times New Roman" w:eastAsia="仿宋_GB2312"/>
          <w:sz w:val="24"/>
          <w:szCs w:val="24"/>
        </w:rPr>
        <w:t>经皮内镜下胃造瘘术对患者营养及生活质量的改善作用</w:t>
      </w:r>
    </w:p>
    <w:p w14:paraId="15E103B9">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ascii="Times New Roman" w:hAnsi="Times New Roman" w:eastAsia="仿宋_GB2312"/>
          <w:sz w:val="24"/>
          <w:szCs w:val="24"/>
        </w:rPr>
        <w:t>经皮内镜下胃造瘘术对肿瘤所致进食困难患者的治疗效果</w:t>
      </w:r>
    </w:p>
    <w:p w14:paraId="125A4050">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ascii="Times New Roman" w:hAnsi="Times New Roman" w:eastAsia="仿宋_GB2312"/>
          <w:sz w:val="24"/>
          <w:szCs w:val="24"/>
        </w:rPr>
        <w:t>经皮内镜下胃造瘘术在食管癌同步放化疗中的应用</w:t>
      </w:r>
    </w:p>
    <w:p w14:paraId="7CD51FB7">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鼻咽癌放疗患者经皮胃造瘘术后肠内营养支持的观察和护理</w:t>
      </w:r>
    </w:p>
    <w:p w14:paraId="6550D283">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饮食干预对鼻咽癌同期放化疗患者营养状况的影响</w:t>
      </w:r>
    </w:p>
    <w:p w14:paraId="609752EC">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颅内肿瘤住院患者营养风险状况及其影响因素的研究</w:t>
      </w:r>
    </w:p>
    <w:p w14:paraId="0790881A">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口腔面颈部肿瘤术后放疗患者胃造瘘术并发症的原因分析</w:t>
      </w:r>
    </w:p>
    <w:p w14:paraId="0AA150DC">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中医辩证心理护理联合生津茶在头颈部肿瘤放射性口干症的应用</w:t>
      </w:r>
    </w:p>
    <w:p w14:paraId="610C1EC3">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头颈部肿瘤放疗病人口咽粘膜炎的观察及护理</w:t>
      </w:r>
    </w:p>
    <w:p w14:paraId="579B6AF6">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鼻咽癌放射性口腔黏膜炎的防护进展</w:t>
      </w:r>
    </w:p>
    <w:p w14:paraId="33877143">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hint="eastAsia" w:ascii="Times New Roman" w:hAnsi="Times New Roman" w:eastAsia="仿宋_GB2312"/>
          <w:sz w:val="24"/>
          <w:szCs w:val="24"/>
        </w:rPr>
        <w:t>护理干预措施在放射性口腔黏膜炎中的作用研究进展</w:t>
      </w:r>
    </w:p>
    <w:p w14:paraId="1B1AE2FB">
      <w:pPr>
        <w:keepNext w:val="0"/>
        <w:keepLines w:val="0"/>
        <w:pageBreakBefore w:val="0"/>
        <w:widowControl w:val="0"/>
        <w:numPr>
          <w:ilvl w:val="0"/>
          <w:numId w:val="12"/>
        </w:numPr>
        <w:kinsoku/>
        <w:wordWrap/>
        <w:overflowPunct/>
        <w:topLinePunct w:val="0"/>
        <w:autoSpaceDE/>
        <w:autoSpaceDN/>
        <w:bidi w:val="0"/>
        <w:adjustRightInd/>
        <w:snapToGrid/>
        <w:ind w:firstLine="480" w:firstLineChars="200"/>
        <w:textAlignment w:val="auto"/>
        <w:rPr>
          <w:rFonts w:ascii="Times New Roman" w:hAnsi="Times New Roman" w:eastAsia="仿宋_GB2312"/>
          <w:sz w:val="24"/>
          <w:szCs w:val="24"/>
        </w:rPr>
      </w:pPr>
      <w:r>
        <w:rPr>
          <w:rFonts w:ascii="Times New Roman" w:hAnsi="Times New Roman" w:eastAsia="仿宋_GB2312"/>
          <w:sz w:val="24"/>
          <w:szCs w:val="24"/>
        </w:rPr>
        <w:t>Scientific research ability of specialist nurses in Guangxi Zhuang Autonomous Region, China: A cross-sectional study.</w:t>
      </w:r>
    </w:p>
    <w:p w14:paraId="7602CF2D">
      <w:pPr>
        <w:keepNext w:val="0"/>
        <w:keepLines w:val="0"/>
        <w:pageBreakBefore w:val="0"/>
        <w:widowControl w:val="0"/>
        <w:numPr>
          <w:ilvl w:val="0"/>
          <w:numId w:val="0"/>
        </w:numPr>
        <w:kinsoku/>
        <w:wordWrap/>
        <w:overflowPunct/>
        <w:topLinePunct w:val="0"/>
        <w:autoSpaceDE/>
        <w:autoSpaceDN/>
        <w:bidi w:val="0"/>
        <w:adjustRightInd/>
        <w:snapToGrid/>
        <w:textAlignment w:val="auto"/>
        <w:rPr>
          <w:rFonts w:ascii="Times New Roman" w:hAnsi="Times New Roman" w:eastAsia="仿宋_GB2312"/>
          <w:sz w:val="24"/>
          <w:szCs w:val="24"/>
        </w:rPr>
      </w:pPr>
      <w:r>
        <w:rPr>
          <w:rFonts w:hint="eastAsia" w:ascii="Times New Roman" w:hAnsi="Times New Roman" w:eastAsia="仿宋_GB2312"/>
          <w:sz w:val="24"/>
          <w:szCs w:val="24"/>
          <w:lang w:val="en-US" w:eastAsia="zh-CN"/>
        </w:rPr>
        <w:t>相关专利有：</w:t>
      </w:r>
      <w:r>
        <w:rPr>
          <w:rFonts w:hint="eastAsia" w:ascii="Times New Roman" w:hAnsi="Times New Roman" w:eastAsia="仿宋_GB2312"/>
          <w:sz w:val="24"/>
          <w:szCs w:val="24"/>
        </w:rPr>
        <w:t>（1） 一种胃肠造瘘口的敷料</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rPr>
        <w:t>（2）一种胃肠造瘘管的固定装置</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rPr>
        <w:t>（3）一种流食灌注器</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rPr>
        <w:t>（4）一种医用换药包</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rPr>
        <w:t>（5）</w:t>
      </w:r>
      <w:r>
        <w:rPr>
          <w:rFonts w:ascii="Times New Roman" w:hAnsi="Times New Roman" w:eastAsia="仿宋_GB2312"/>
          <w:sz w:val="24"/>
          <w:szCs w:val="24"/>
        </w:rPr>
        <w:t>一种穴位贴敷疗法中贴敷制作的装置</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rPr>
        <w:t>（6）</w:t>
      </w:r>
      <w:r>
        <w:rPr>
          <w:rFonts w:ascii="Times New Roman" w:hAnsi="Times New Roman" w:eastAsia="仿宋_GB2312"/>
          <w:sz w:val="24"/>
          <w:szCs w:val="24"/>
        </w:rPr>
        <w:t>一种便捷安全的中医治疗车</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（三）研讨确定标准主体内容</w:t>
      </w:r>
      <w:r>
        <w:rPr>
          <w:rFonts w:hint="eastAsia" w:ascii="仿宋_GB2312" w:eastAsia="仿宋_GB2312" w:cs="仿宋_GB2312"/>
          <w:b/>
          <w:color w:val="auto"/>
          <w:sz w:val="28"/>
          <w:szCs w:val="28"/>
          <w:lang w:eastAsia="zh-CN"/>
        </w:rPr>
        <w:t>、核心技术及创新点</w:t>
      </w:r>
    </w:p>
    <w:p w14:paraId="7D714B21">
      <w:pPr>
        <w:pStyle w:val="34"/>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US" w:eastAsia="zh-CN"/>
        </w:rPr>
        <w:t>成人经皮胃造瘘管饲护理的基本要求、护理前准备、护理措施、胃造瘘管的维护、常见并发症护理、健康宣教的要求</w:t>
      </w:r>
      <w:r>
        <w:rPr>
          <w:rFonts w:hint="eastAsia" w:ascii="仿宋_GB2312" w:eastAsia="仿宋_GB2312"/>
          <w:color w:val="auto"/>
          <w:sz w:val="28"/>
          <w:szCs w:val="28"/>
        </w:rPr>
        <w:t>。</w:t>
      </w:r>
      <w:r>
        <w:rPr>
          <w:rFonts w:hint="eastAsia" w:ascii="仿宋_GB2312" w:eastAsia="仿宋_GB2312"/>
          <w:color w:val="auto"/>
          <w:sz w:val="28"/>
          <w:szCs w:val="28"/>
          <w:lang w:eastAsia="zh-CN"/>
        </w:rPr>
        <w:t>核心技术及创新点在于：</w:t>
      </w:r>
    </w:p>
    <w:p w14:paraId="28277572">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1、明确了从护理前准备、护理措施、管道维护、并发症处理到健康宣教的完整流程，形成闭环管理。包括营养液配制与保存、导管清洗、管饲实施、管饲后护理等环节，操作步骤清晰，便于临床执行。</w:t>
      </w:r>
    </w:p>
    <w:p w14:paraId="437D6A9A">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2、针对胃潴留、管道堵塞、反流误吸、肉芽组织增生、感染等常见并发症，提出具体的识别与处理方法。</w:t>
      </w:r>
    </w:p>
    <w:p w14:paraId="24AD3A6C">
      <w:pPr>
        <w:pStyle w:val="34"/>
        <w:numPr>
          <w:ilvl w:val="0"/>
          <w:numId w:val="0"/>
        </w:num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3、强调预防包埋综合征、导管堵塞、瘘口感染等，提出每日旋转导管、定期冲管、换药频率等技术措施。引入胃残留量评估方法（如注射器抽吸、床旁超声），提升评估的科学性与准确性。</w:t>
      </w:r>
    </w:p>
    <w:p w14:paraId="366BC88F">
      <w:pPr>
        <w:pStyle w:val="34"/>
        <w:numPr>
          <w:ilvl w:val="0"/>
          <w:numId w:val="0"/>
        </w:num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4、出院前对患者及家属进行全面健康宣教，涵盖喂食方法、管道保护、异常识别、复诊要求等内容，提升家庭护理能力。</w:t>
      </w:r>
    </w:p>
    <w:p w14:paraId="31A81503">
      <w:pPr>
        <w:spacing w:line="520" w:lineRule="exact"/>
        <w:ind w:firstLine="562" w:firstLineChars="200"/>
        <w:rPr>
          <w:rFonts w:hint="default" w:ascii="仿宋_GB2312" w:eastAsia="仿宋_GB2312" w:cs="仿宋_GB2312"/>
          <w:b/>
          <w:color w:val="auto"/>
          <w:sz w:val="28"/>
          <w:szCs w:val="28"/>
          <w:lang w:val="en-US"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2026年1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成人经皮胃造瘘管饲护理技术规范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kern w:val="0"/>
          <w:sz w:val="28"/>
          <w:szCs w:val="28"/>
          <w:lang w:eastAsia="zh-CN"/>
        </w:rPr>
        <w:t>经皮胃造瘘管饲护理</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目前经皮胃造瘘管饲护理</w:t>
      </w:r>
      <w:r>
        <w:rPr>
          <w:rFonts w:hint="eastAsia" w:ascii="仿宋_GB2312" w:eastAsia="仿宋_GB2312"/>
          <w:color w:val="auto"/>
          <w:kern w:val="0"/>
          <w:sz w:val="28"/>
          <w:szCs w:val="28"/>
        </w:rPr>
        <w:t>实际</w:t>
      </w:r>
      <w:r>
        <w:rPr>
          <w:rFonts w:hint="eastAsia" w:ascii="仿宋_GB2312" w:eastAsia="仿宋_GB2312"/>
          <w:color w:val="auto"/>
          <w:kern w:val="0"/>
          <w:sz w:val="28"/>
          <w:szCs w:val="28"/>
          <w:lang w:eastAsia="zh-CN"/>
        </w:rPr>
        <w:t>治疗</w:t>
      </w:r>
      <w:r>
        <w:rPr>
          <w:rFonts w:hint="eastAsia" w:ascii="仿宋_GB2312" w:eastAsia="仿宋_GB2312"/>
          <w:color w:val="auto"/>
          <w:kern w:val="0"/>
          <w:sz w:val="28"/>
          <w:szCs w:val="28"/>
        </w:rPr>
        <w:t>操作的基础上，按照简化、统一等原则编制完成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成人经皮胃造瘘管饲护理技术规范</w:t>
      </w:r>
      <w:r>
        <w:rPr>
          <w:rFonts w:hint="eastAsia" w:ascii="仿宋_GB2312" w:eastAsia="仿宋_GB2312"/>
          <w:color w:val="auto"/>
          <w:kern w:val="0"/>
          <w:sz w:val="28"/>
          <w:szCs w:val="28"/>
        </w:rPr>
        <w:t>》（草案）。</w:t>
      </w:r>
    </w:p>
    <w:p w14:paraId="24684DDC">
      <w:pPr>
        <w:spacing w:line="520" w:lineRule="exact"/>
        <w:ind w:firstLine="560" w:firstLineChars="200"/>
        <w:rPr>
          <w:rFonts w:hint="eastAsia"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月，标准编制工作组深入南宁市第一人民医院、广西壮族自治区民族医院、广西中医药大学第一附属医院、广西中医药大学附属瑞康医院、柳州市人民医院、广西医科大学附属口腔医院、广西壮族自治区工人医院</w:t>
      </w:r>
      <w:r>
        <w:rPr>
          <w:rFonts w:hint="eastAsia" w:ascii="仿宋_GB2312" w:eastAsia="仿宋_GB2312"/>
          <w:color w:val="auto"/>
          <w:kern w:val="0"/>
          <w:sz w:val="28"/>
          <w:szCs w:val="28"/>
          <w:lang w:eastAsia="zh-CN"/>
        </w:rPr>
        <w:t>等在实施经皮胃造瘘管饲</w:t>
      </w:r>
      <w:r>
        <w:rPr>
          <w:rFonts w:hint="eastAsia" w:ascii="仿宋_GB2312" w:eastAsia="仿宋_GB2312"/>
          <w:color w:val="auto"/>
          <w:kern w:val="0"/>
          <w:sz w:val="28"/>
          <w:szCs w:val="28"/>
          <w:lang w:val="en-US" w:eastAsia="zh-CN"/>
        </w:rPr>
        <w:t>护理</w:t>
      </w:r>
      <w:r>
        <w:rPr>
          <w:rFonts w:hint="eastAsia" w:ascii="仿宋_GB2312" w:eastAsia="仿宋_GB2312"/>
          <w:color w:val="auto"/>
          <w:sz w:val="28"/>
          <w:szCs w:val="28"/>
          <w:lang w:val="en-US" w:eastAsia="zh-CN"/>
        </w:rPr>
        <w:t>领域具</w:t>
      </w:r>
      <w:r>
        <w:rPr>
          <w:rFonts w:hint="eastAsia" w:ascii="仿宋_GB2312" w:hAnsi="宋体" w:eastAsia="仿宋_GB2312"/>
          <w:color w:val="auto"/>
          <w:sz w:val="28"/>
          <w:szCs w:val="28"/>
        </w:rPr>
        <w:t>有代表性的医院</w:t>
      </w:r>
      <w:r>
        <w:rPr>
          <w:rFonts w:hint="eastAsia" w:ascii="仿宋_GB2312" w:eastAsia="仿宋_GB2312"/>
          <w:color w:val="auto"/>
          <w:kern w:val="0"/>
          <w:sz w:val="28"/>
          <w:szCs w:val="28"/>
        </w:rPr>
        <w:t>进行实地调研</w:t>
      </w:r>
      <w:r>
        <w:rPr>
          <w:rFonts w:hint="eastAsia" w:ascii="仿宋_GB2312" w:eastAsia="仿宋_GB2312"/>
          <w:color w:val="auto"/>
          <w:kern w:val="0"/>
          <w:sz w:val="28"/>
          <w:szCs w:val="28"/>
          <w:lang w:eastAsia="zh-CN"/>
        </w:rPr>
        <w:t>、交流学习</w:t>
      </w:r>
      <w:r>
        <w:rPr>
          <w:rFonts w:hint="eastAsia" w:ascii="仿宋_GB2312" w:eastAsia="仿宋_GB2312"/>
          <w:color w:val="auto"/>
          <w:kern w:val="0"/>
          <w:sz w:val="28"/>
          <w:szCs w:val="28"/>
        </w:rPr>
        <w:t>，并组织相关主管单位、医疗机构等召开标准研讨会，收集反馈了大量意见，对标准草案进行了反复修改和研究讨论，掌握了</w:t>
      </w:r>
      <w:r>
        <w:rPr>
          <w:rFonts w:hint="eastAsia" w:ascii="仿宋_GB2312" w:eastAsia="仿宋_GB2312"/>
          <w:color w:val="auto"/>
          <w:kern w:val="0"/>
          <w:sz w:val="28"/>
          <w:szCs w:val="28"/>
          <w:lang w:eastAsia="zh-CN"/>
        </w:rPr>
        <w:t>经皮胃造瘘管饲护理</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12"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成人经皮胃造瘘管饲护理技术规范</w:t>
      </w:r>
      <w:r>
        <w:rPr>
          <w:rFonts w:hint="eastAsia" w:ascii="仿宋_GB2312" w:eastAsia="仿宋_GB2312"/>
          <w:color w:val="auto"/>
          <w:kern w:val="0"/>
          <w:sz w:val="28"/>
          <w:szCs w:val="28"/>
        </w:rPr>
        <w:t>》（征求意见稿）及其编制说明。</w:t>
      </w:r>
      <w:bookmarkEnd w:id="12"/>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成人经皮胃造瘘管饲护理技术</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kern w:val="0"/>
          <w:sz w:val="28"/>
          <w:szCs w:val="28"/>
          <w:lang w:eastAsia="zh-CN"/>
        </w:rPr>
        <w:t>成人经皮胃造瘘管饲护理技术</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成人经皮胃造瘘管饲护理技术</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成人经皮胃造瘘管饲护理技术</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4C5E4B26">
      <w:pPr>
        <w:spacing w:line="520" w:lineRule="exact"/>
        <w:ind w:firstLine="560" w:firstLineChars="200"/>
        <w:rPr>
          <w:rFonts w:hint="eastAsia" w:ascii="仿宋_GB2312" w:eastAsia="仿宋_GB2312"/>
          <w:color w:val="auto"/>
          <w:kern w:val="0"/>
          <w:sz w:val="28"/>
          <w:szCs w:val="28"/>
          <w:lang w:eastAsia="zh-CN"/>
        </w:rPr>
      </w:pPr>
      <w:r>
        <w:rPr>
          <w:rFonts w:hint="eastAsia" w:ascii="仿宋_GB2312" w:eastAsia="仿宋_GB2312"/>
          <w:color w:val="auto"/>
          <w:kern w:val="0"/>
          <w:sz w:val="28"/>
          <w:szCs w:val="28"/>
          <w:lang w:eastAsia="zh-CN"/>
        </w:rPr>
        <w:t>经查阅，截至目前，国内暂无与“成人经皮胃造瘘管饲护理”相关的标准。</w:t>
      </w:r>
    </w:p>
    <w:p w14:paraId="448863BD">
      <w:pPr>
        <w:spacing w:line="520" w:lineRule="exact"/>
        <w:ind w:firstLine="560" w:firstLineChars="200"/>
        <w:rPr>
          <w:rFonts w:hint="eastAsia" w:ascii="仿宋_GB2312" w:eastAsia="仿宋_GB2312"/>
          <w:color w:val="auto"/>
          <w:kern w:val="0"/>
          <w:sz w:val="28"/>
          <w:szCs w:val="28"/>
          <w:lang w:eastAsia="zh-CN"/>
        </w:rPr>
      </w:pPr>
      <w:r>
        <w:rPr>
          <w:rFonts w:hint="eastAsia" w:ascii="仿宋_GB2312" w:eastAsia="仿宋_GB2312"/>
          <w:color w:val="auto"/>
          <w:kern w:val="0"/>
          <w:sz w:val="28"/>
          <w:szCs w:val="28"/>
          <w:lang w:eastAsia="zh-CN"/>
        </w:rPr>
        <w:t>与“胃造瘘”“管饲”相关的标准有：DB33/T 1359-2024</w:t>
      </w:r>
      <w:r>
        <w:rPr>
          <w:rFonts w:hint="eastAsia" w:ascii="仿宋_GB2312" w:eastAsia="仿宋_GB2312"/>
          <w:color w:val="auto"/>
          <w:kern w:val="0"/>
          <w:sz w:val="28"/>
          <w:szCs w:val="28"/>
          <w:lang w:val="en-US" w:eastAsia="zh-CN"/>
        </w:rPr>
        <w:t xml:space="preserve">  </w:t>
      </w:r>
      <w:r>
        <w:rPr>
          <w:rFonts w:hint="eastAsia" w:ascii="仿宋_GB2312" w:eastAsia="仿宋_GB2312"/>
          <w:color w:val="auto"/>
          <w:kern w:val="0"/>
          <w:sz w:val="28"/>
          <w:szCs w:val="28"/>
          <w:lang w:eastAsia="zh-CN"/>
        </w:rPr>
        <w:t>药物管饲操作规范、DB22/T 3572-2023</w:t>
      </w:r>
      <w:r>
        <w:rPr>
          <w:rFonts w:hint="eastAsia" w:ascii="仿宋_GB2312" w:eastAsia="仿宋_GB2312"/>
          <w:color w:val="auto"/>
          <w:kern w:val="0"/>
          <w:sz w:val="28"/>
          <w:szCs w:val="28"/>
          <w:lang w:val="en-US" w:eastAsia="zh-CN"/>
        </w:rPr>
        <w:t xml:space="preserve">  </w:t>
      </w:r>
      <w:r>
        <w:rPr>
          <w:rFonts w:hint="eastAsia" w:ascii="仿宋_GB2312" w:eastAsia="仿宋_GB2312"/>
          <w:color w:val="auto"/>
          <w:kern w:val="0"/>
          <w:sz w:val="28"/>
          <w:szCs w:val="28"/>
          <w:lang w:eastAsia="zh-CN"/>
        </w:rPr>
        <w:t>间歇管饲操作及护理规范、T/CNAS 45-2024 危重症患儿管饲喂养护理。</w:t>
      </w:r>
    </w:p>
    <w:p w14:paraId="74483576">
      <w:pPr>
        <w:spacing w:line="520" w:lineRule="exact"/>
        <w:ind w:firstLine="560" w:firstLineChars="200"/>
        <w:rPr>
          <w:rFonts w:hint="eastAsia"/>
          <w:color w:val="auto"/>
          <w:lang w:eastAsia="zh-CN"/>
        </w:rPr>
      </w:pPr>
      <w:r>
        <w:rPr>
          <w:rFonts w:hint="eastAsia" w:ascii="仿宋_GB2312" w:eastAsia="仿宋_GB2312"/>
          <w:color w:val="auto"/>
          <w:kern w:val="0"/>
          <w:sz w:val="28"/>
          <w:szCs w:val="28"/>
          <w:lang w:eastAsia="zh-CN"/>
        </w:rPr>
        <w:t>上述标准主要</w:t>
      </w:r>
      <w:r>
        <w:rPr>
          <w:rFonts w:hint="eastAsia" w:ascii="仿宋_GB2312" w:eastAsia="仿宋_GB2312"/>
          <w:color w:val="auto"/>
          <w:kern w:val="0"/>
          <w:sz w:val="28"/>
          <w:szCs w:val="28"/>
          <w:lang w:val="en-US" w:eastAsia="zh-CN"/>
        </w:rPr>
        <w:t>涉及等技术，《</w:t>
      </w:r>
      <w:r>
        <w:rPr>
          <w:rFonts w:hint="eastAsia" w:ascii="仿宋_GB2312" w:eastAsia="仿宋_GB2312"/>
          <w:color w:val="auto"/>
          <w:kern w:val="0"/>
          <w:sz w:val="28"/>
          <w:szCs w:val="28"/>
          <w:lang w:eastAsia="zh-CN"/>
        </w:rPr>
        <w:t>DB33/T 1359-2024</w:t>
      </w:r>
      <w:r>
        <w:rPr>
          <w:rFonts w:hint="eastAsia" w:ascii="仿宋_GB2312" w:eastAsia="仿宋_GB2312"/>
          <w:color w:val="auto"/>
          <w:kern w:val="0"/>
          <w:sz w:val="28"/>
          <w:szCs w:val="28"/>
          <w:lang w:val="en-US" w:eastAsia="zh-CN"/>
        </w:rPr>
        <w:t xml:space="preserve">  </w:t>
      </w:r>
      <w:r>
        <w:rPr>
          <w:rFonts w:hint="eastAsia" w:ascii="仿宋_GB2312" w:eastAsia="仿宋_GB2312"/>
          <w:color w:val="auto"/>
          <w:kern w:val="0"/>
          <w:sz w:val="28"/>
          <w:szCs w:val="28"/>
          <w:lang w:eastAsia="zh-CN"/>
        </w:rPr>
        <w:t>药物管饲操作规范</w:t>
      </w:r>
      <w:r>
        <w:rPr>
          <w:rFonts w:hint="eastAsia" w:ascii="仿宋_GB2312" w:eastAsia="仿宋_GB2312"/>
          <w:color w:val="auto"/>
          <w:kern w:val="0"/>
          <w:sz w:val="28"/>
          <w:szCs w:val="28"/>
          <w:lang w:val="en-US" w:eastAsia="zh-CN"/>
        </w:rPr>
        <w:t>》规定了</w:t>
      </w:r>
      <w:r>
        <w:rPr>
          <w:rFonts w:hint="eastAsia" w:ascii="仿宋_GB2312" w:eastAsia="仿宋_GB2312"/>
          <w:color w:val="auto"/>
          <w:kern w:val="0"/>
          <w:sz w:val="28"/>
          <w:szCs w:val="28"/>
          <w:lang w:eastAsia="zh-CN"/>
        </w:rPr>
        <w:t>药物管饲操作的基本要求、操作步骤和要求、质量监控等内容，适用于各级医疗机构药物管饲操作，养老机构和居家护理等参照执行。但不涉及本标准规定造瘘和肠内营养管的管理,肠内营养及药物的使用,并发症的护理等内容。</w:t>
      </w:r>
      <w:r>
        <w:rPr>
          <w:rFonts w:hint="eastAsia" w:ascii="仿宋_GB2312" w:eastAsia="仿宋_GB2312"/>
          <w:color w:val="auto"/>
          <w:kern w:val="0"/>
          <w:sz w:val="28"/>
          <w:szCs w:val="28"/>
          <w:lang w:val="en-US" w:eastAsia="zh-CN"/>
        </w:rPr>
        <w:t>《</w:t>
      </w:r>
      <w:r>
        <w:rPr>
          <w:rFonts w:hint="eastAsia" w:ascii="仿宋_GB2312" w:eastAsia="仿宋_GB2312"/>
          <w:color w:val="auto"/>
          <w:kern w:val="0"/>
          <w:sz w:val="28"/>
          <w:szCs w:val="28"/>
          <w:lang w:eastAsia="zh-CN"/>
        </w:rPr>
        <w:t>DB22/T 3572-2023</w:t>
      </w:r>
      <w:r>
        <w:rPr>
          <w:rFonts w:hint="eastAsia" w:ascii="仿宋_GB2312" w:eastAsia="仿宋_GB2312"/>
          <w:color w:val="auto"/>
          <w:kern w:val="0"/>
          <w:sz w:val="28"/>
          <w:szCs w:val="28"/>
          <w:lang w:val="en-US" w:eastAsia="zh-CN"/>
        </w:rPr>
        <w:t xml:space="preserve">  </w:t>
      </w:r>
      <w:r>
        <w:rPr>
          <w:rFonts w:hint="eastAsia" w:ascii="仿宋_GB2312" w:eastAsia="仿宋_GB2312"/>
          <w:color w:val="auto"/>
          <w:kern w:val="0"/>
          <w:sz w:val="28"/>
          <w:szCs w:val="28"/>
          <w:lang w:eastAsia="zh-CN"/>
        </w:rPr>
        <w:t>间歇管饲操作及护理规范</w:t>
      </w:r>
      <w:r>
        <w:rPr>
          <w:rFonts w:hint="eastAsia" w:ascii="仿宋_GB2312" w:eastAsia="仿宋_GB2312"/>
          <w:color w:val="auto"/>
          <w:kern w:val="0"/>
          <w:sz w:val="28"/>
          <w:szCs w:val="28"/>
          <w:lang w:val="en-US" w:eastAsia="zh-CN"/>
        </w:rPr>
        <w:t>》规定了间歇管饲操作及护理规范的服务对象、操作前准备、操作步骤和注意事项本文件适用于经口或鼻至胃内间歇管饲操作及护理，不适用与本标准的</w:t>
      </w:r>
      <w:r>
        <w:rPr>
          <w:rFonts w:hint="eastAsia" w:ascii="仿宋_GB2312" w:eastAsia="仿宋_GB2312"/>
          <w:color w:val="auto"/>
          <w:kern w:val="0"/>
          <w:sz w:val="28"/>
          <w:szCs w:val="28"/>
          <w:lang w:eastAsia="zh-CN"/>
        </w:rPr>
        <w:t>经皮胃造瘘管饲范畴</w:t>
      </w:r>
      <w:r>
        <w:rPr>
          <w:rFonts w:hint="eastAsia" w:ascii="仿宋_GB2312" w:eastAsia="仿宋_GB2312"/>
          <w:color w:val="auto"/>
          <w:kern w:val="0"/>
          <w:sz w:val="28"/>
          <w:szCs w:val="28"/>
          <w:lang w:val="en-US" w:eastAsia="zh-CN"/>
        </w:rPr>
        <w:t>。《</w:t>
      </w:r>
      <w:r>
        <w:rPr>
          <w:rFonts w:hint="eastAsia" w:ascii="仿宋_GB2312" w:eastAsia="仿宋_GB2312"/>
          <w:color w:val="auto"/>
          <w:kern w:val="0"/>
          <w:sz w:val="28"/>
          <w:szCs w:val="28"/>
          <w:lang w:eastAsia="zh-CN"/>
        </w:rPr>
        <w:t>T/CNAS 45-2024 危重症患儿管饲喂养护理</w:t>
      </w:r>
      <w:r>
        <w:rPr>
          <w:rFonts w:hint="eastAsia" w:ascii="仿宋_GB2312" w:eastAsia="仿宋_GB2312"/>
          <w:color w:val="auto"/>
          <w:kern w:val="0"/>
          <w:sz w:val="28"/>
          <w:szCs w:val="28"/>
          <w:lang w:val="en-US" w:eastAsia="zh-CN"/>
        </w:rPr>
        <w:t>》规定了危重症患儿管饲喂养的基本要求、喂养前准备、喂养速度的控制、喂养中观察及喂养后处置，不包含经胃造瘘和肠造瘘喂养。</w:t>
      </w:r>
      <w:r>
        <w:rPr>
          <w:rFonts w:hint="eastAsia" w:ascii="仿宋_GB2312" w:eastAsia="仿宋_GB2312"/>
          <w:color w:val="auto"/>
          <w:kern w:val="0"/>
          <w:sz w:val="28"/>
          <w:szCs w:val="28"/>
          <w:lang w:eastAsia="zh-CN"/>
        </w:rPr>
        <w:t>以上标准未涉及“成人经皮胃造瘘管饲护理”的内容。</w:t>
      </w:r>
    </w:p>
    <w:p w14:paraId="7B6445AB">
      <w:pPr>
        <w:spacing w:before="240" w:after="60" w:line="520" w:lineRule="exact"/>
        <w:ind w:firstLine="640" w:firstLineChars="200"/>
        <w:jc w:val="left"/>
        <w:outlineLvl w:val="0"/>
        <w:rPr>
          <w:rFonts w:hint="eastAsia" w:ascii="黑体" w:eastAsia="黑体"/>
          <w:bCs/>
          <w:color w:val="auto"/>
          <w:sz w:val="32"/>
          <w:szCs w:val="32"/>
          <w:lang w:eastAsia="zh-CN"/>
        </w:rPr>
      </w:pPr>
      <w:r>
        <w:rPr>
          <w:rFonts w:hint="eastAsia" w:ascii="黑体" w:eastAsia="黑体"/>
          <w:bCs/>
          <w:color w:val="auto"/>
          <w:sz w:val="32"/>
          <w:szCs w:val="32"/>
        </w:rPr>
        <w:t>五、主要条款的说明</w:t>
      </w:r>
      <w:r>
        <w:rPr>
          <w:rFonts w:hint="eastAsia" w:ascii="黑体" w:eastAsia="黑体"/>
          <w:bCs/>
          <w:color w:val="auto"/>
          <w:sz w:val="32"/>
          <w:szCs w:val="32"/>
          <w:lang w:eastAsia="zh-CN"/>
        </w:rPr>
        <w:t>（</w:t>
      </w:r>
      <w:r>
        <w:rPr>
          <w:rFonts w:hint="eastAsia" w:ascii="黑体" w:eastAsia="黑体"/>
          <w:bCs/>
          <w:color w:val="auto"/>
          <w:sz w:val="32"/>
          <w:szCs w:val="32"/>
          <w:lang w:val="en-US" w:eastAsia="zh-CN"/>
        </w:rPr>
        <w:t>需补充相关临床经验</w:t>
      </w:r>
      <w:r>
        <w:rPr>
          <w:rFonts w:hint="eastAsia" w:ascii="黑体" w:eastAsia="黑体"/>
          <w:bCs/>
          <w:color w:val="auto"/>
          <w:sz w:val="32"/>
          <w:szCs w:val="32"/>
          <w:lang w:eastAsia="zh-CN"/>
        </w:rPr>
        <w:t>）</w:t>
      </w:r>
    </w:p>
    <w:p w14:paraId="15BD0DF2">
      <w:pPr>
        <w:pStyle w:val="34"/>
        <w:spacing w:line="520" w:lineRule="exact"/>
        <w:ind w:firstLine="562"/>
        <w:rPr>
          <w:rFonts w:hint="eastAsia" w:ascii="仿宋_GB2312" w:hAnsi="Calibri" w:eastAsia="仿宋_GB2312" w:cs="仿宋"/>
          <w:bCs/>
          <w:color w:val="auto"/>
          <w:sz w:val="28"/>
          <w:szCs w:val="28"/>
          <w:lang w:val="en-US" w:eastAsia="zh-CN"/>
        </w:rPr>
      </w:pPr>
      <w:r>
        <w:rPr>
          <w:rFonts w:hint="eastAsia" w:ascii="仿宋_GB2312" w:eastAsia="仿宋_GB2312" w:cs="仿宋"/>
          <w:b w:val="0"/>
          <w:bCs w:val="0"/>
          <w:color w:val="auto"/>
          <w:sz w:val="28"/>
          <w:szCs w:val="28"/>
        </w:rPr>
        <w:t>标准技术内容规定了成人经皮胃造瘘管饲护理的基本要求、护理前准备、护理措施、胃造瘘管的维护、常见并发症护理、健康宣教的要求。</w:t>
      </w:r>
      <w:r>
        <w:rPr>
          <w:rFonts w:hint="eastAsia" w:ascii="仿宋_GB2312" w:hAnsi="Calibri" w:eastAsia="仿宋_GB2312" w:cs="仿宋"/>
          <w:bCs/>
          <w:color w:val="auto"/>
          <w:sz w:val="28"/>
          <w:szCs w:val="28"/>
          <w:lang w:val="en-US" w:eastAsia="zh-CN"/>
        </w:rPr>
        <w:t>标准编制组在</w:t>
      </w:r>
      <w:r>
        <w:rPr>
          <w:rFonts w:hint="eastAsia" w:ascii="仿宋_GB2312" w:eastAsia="仿宋_GB2312" w:cs="仿宋"/>
          <w:b w:val="0"/>
          <w:bCs w:val="0"/>
          <w:color w:val="auto"/>
          <w:sz w:val="28"/>
          <w:szCs w:val="28"/>
        </w:rPr>
        <w:t>成人经皮胃造瘘管饲护理</w:t>
      </w:r>
      <w:r>
        <w:rPr>
          <w:rFonts w:hint="eastAsia" w:ascii="仿宋_GB2312" w:hAnsi="Calibri" w:eastAsia="仿宋_GB2312" w:cs="仿宋"/>
          <w:bCs/>
          <w:color w:val="auto"/>
          <w:sz w:val="28"/>
          <w:szCs w:val="28"/>
          <w:lang w:val="en-US" w:eastAsia="zh-CN"/>
        </w:rPr>
        <w:t>方面具有丰富经验，通过前期研究为本标准制定奠定了坚实基础。具体依据来源说明如下：</w:t>
      </w:r>
    </w:p>
    <w:p w14:paraId="3A3B9ADA">
      <w:pPr>
        <w:pStyle w:val="34"/>
        <w:numPr>
          <w:ilvl w:val="0"/>
          <w:numId w:val="13"/>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rPr>
        <w:t>术语和定义</w:t>
      </w:r>
    </w:p>
    <w:p w14:paraId="3BC4DAC8">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lang w:val="en-US" w:eastAsia="zh-CN"/>
        </w:rPr>
        <w:t>主要界定了“经皮胃造瘘管”：通过手术或内镜/影像等技术经腹部体表、胃前壁穿刺，置入的连接胃与体外的造瘘管路。</w:t>
      </w:r>
    </w:p>
    <w:p w14:paraId="7CCD697E">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lang w:val="en-US" w:eastAsia="zh-CN"/>
        </w:rPr>
        <w:t>美国国家癌症研究所（NCI）词典：明确将其定义为“一种通过腹壁直接插入胃中的管子。它允许气体和液体离开胃，并可用于向患者给药和液体，包括流质食物。通过胃造瘘管给予食物是一种肠内营养。</w:t>
      </w:r>
      <w:r>
        <w:rPr>
          <w:rFonts w:hint="eastAsia" w:ascii="仿宋_GB2312" w:eastAsia="仿宋_GB2312" w:cs="仿宋"/>
          <w:b w:val="0"/>
          <w:bCs w:val="0"/>
          <w:color w:val="auto"/>
          <w:sz w:val="28"/>
          <w:szCs w:val="28"/>
        </w:rPr>
        <w:t>”</w:t>
      </w:r>
    </w:p>
    <w:p w14:paraId="280F678A">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NCI元数据记录：在定义中将“经皮内镜管”描述为“一种通过腹部手术切口插入胃中的空心管”，并明确指出其同义词包括“胃造瘘管”、“经皮胃造瘘管”和“PEG管”。</w:t>
      </w:r>
    </w:p>
    <w:p w14:paraId="43D21E1A">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（二）基本要求</w:t>
      </w:r>
    </w:p>
    <w:p w14:paraId="7D2B64E1">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主要考虑了人员资质和环境安全是保障经皮胃造瘘管饲护理质量的基础。在人员要求方面，依据中华护理学会团体标准T/CNAS 19-2020《成人肠内营养支持的护理》的相关规定，明确操作者必须为注册护士或医师，这是基于经皮胃造瘘管饲操作涉及专业技能和风险，需要具备相应执业资格和专业知识的人员执行，以确保患者安全。在环境要求方面，依据GB 15982《医院消毒卫生标准》和WS/T 510《病区医院感染管理规范》等国家标准，同时参考T/CNAS 19-2020对环境准备的要求，制定了操作室应安静整洁、温湿度适宜、光线充足、卫生间清洁干净、地面无水渍的具体规定，这是考虑到操作环境直接影响感染控制效果和操作安全性，需要为患者提供安全、舒适的护理环境，减少交叉感染风险。</w:t>
      </w:r>
    </w:p>
    <w:p w14:paraId="4F66BF78">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（三）护理前准备</w:t>
      </w:r>
    </w:p>
    <w:p w14:paraId="3223BB00">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主要考虑了全面评估、规范准备是确保操作安全和有效的前提。</w:t>
      </w:r>
    </w:p>
    <w:p w14:paraId="19B617E8">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在评估环节，依据PEG护理最佳证据总结，要求核对医嘱并全面评估患者病情、胃造瘘管情况、营养状况、意识状态、吞咽功能、合作程度以及有无并发症和基础疾病，这是基于全面评估是制定个体化护理方案的基础，能够确保操作安全有效，避免并发症发生。在操作者准备方面，依据《WS/T 313医务人员手卫生规范》和医院感染管理制度，要求操作者仪表整洁、洗手戴口罩、手卫生符合规范、特殊感染敷料需特殊处理，这是考虑到手卫生是预防医院感染最简单有效的措施，操作者个人准备是感控的第一道防线。在物品准备方面，根据不同输注方式细化了用物清单，并强调物品有效期和医疗垃圾分类放置，这是基于规范物品准备可提高工作效率，避免操作中断导致的污染风险。在患者准备方面反流误吸预防指南，要求将患者床头抬高30-45°或取坐位，避免平卧位，这是考虑到抬高床头是利用重力作用减少胃内容物反流和误吸风险的关键措施，是肠内营养安全的核心要素。</w:t>
      </w:r>
    </w:p>
    <w:p w14:paraId="65813DCB">
      <w:pPr>
        <w:pStyle w:val="15"/>
        <w:keepNext w:val="0"/>
        <w:keepLines w:val="0"/>
        <w:widowControl/>
        <w:suppressLineNumbers w:val="0"/>
        <w:autoSpaceDE w:val="0"/>
        <w:autoSpaceDN w:val="0"/>
        <w:adjustRightInd/>
        <w:spacing w:before="0" w:beforeAutospacing="0" w:after="0" w:afterAutospacing="0" w:line="240" w:lineRule="auto"/>
        <w:ind w:left="0" w:right="0" w:firstLine="0" w:firstLineChars="0"/>
        <w:jc w:val="center"/>
        <w:rPr>
          <w:lang w:val="en-US"/>
        </w:rPr>
      </w:pPr>
      <w:r>
        <w:rPr>
          <w:rFonts w:hint="eastAsia" w:ascii="宋体" w:hAnsi="宋体" w:eastAsia="宋体" w:cs="宋体"/>
          <w:b/>
          <w:bCs w:val="0"/>
          <w:spacing w:val="14"/>
          <w:kern w:val="0"/>
          <w:sz w:val="36"/>
          <w:szCs w:val="36"/>
          <w:lang w:val="en-US" w:eastAsia="zh-CN" w:bidi="ar"/>
        </w:rPr>
        <w:drawing>
          <wp:inline distT="0" distB="0" distL="114300" distR="114300">
            <wp:extent cx="2225040" cy="1522730"/>
            <wp:effectExtent l="0" t="0" r="3810" b="1270"/>
            <wp:docPr id="43" name="图片 2002967614" descr="d9fcf814db3a5382fce15bab09c7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002967614" descr="d9fcf814db3a5382fce15bab09c76a2"/>
                    <pic:cNvPicPr>
                      <a:picLocks noChangeAspect="1"/>
                    </pic:cNvPicPr>
                  </pic:nvPicPr>
                  <pic:blipFill>
                    <a:blip r:embed="rId5"/>
                    <a:stretch>
                      <a:fillRect/>
                    </a:stretch>
                  </pic:blipFill>
                  <pic:spPr>
                    <a:xfrm>
                      <a:off x="0" y="0"/>
                      <a:ext cx="2225040" cy="1522730"/>
                    </a:xfrm>
                    <a:prstGeom prst="rect">
                      <a:avLst/>
                    </a:prstGeom>
                    <a:noFill/>
                    <a:ln>
                      <a:noFill/>
                    </a:ln>
                  </pic:spPr>
                </pic:pic>
              </a:graphicData>
            </a:graphic>
          </wp:inline>
        </w:drawing>
      </w:r>
      <w:r>
        <w:rPr>
          <w:rFonts w:hint="eastAsia" w:ascii="宋体" w:hAnsi="宋体" w:eastAsia="宋体" w:cs="宋体"/>
          <w:b/>
          <w:bCs w:val="0"/>
          <w:spacing w:val="14"/>
          <w:kern w:val="0"/>
          <w:sz w:val="36"/>
          <w:szCs w:val="36"/>
          <w:lang w:val="en-US" w:eastAsia="zh-CN" w:bidi="ar"/>
        </w:rPr>
        <w:t xml:space="preserve">  </w:t>
      </w:r>
      <w:r>
        <w:rPr>
          <w:rFonts w:hint="eastAsia" w:ascii="仿宋" w:hAnsi="仿宋" w:eastAsia="仿宋" w:cs="Calibri"/>
          <w:kern w:val="0"/>
          <w:sz w:val="24"/>
          <w:szCs w:val="24"/>
          <w:lang w:val="en-US" w:eastAsia="zh-CN" w:bidi="ar"/>
        </w:rPr>
        <w:drawing>
          <wp:inline distT="0" distB="0" distL="114300" distR="114300">
            <wp:extent cx="2609850" cy="1524000"/>
            <wp:effectExtent l="0" t="0" r="0" b="0"/>
            <wp:docPr id="44" name="图片 726895161" descr="963af58e522b1dc8aa504ea2b8dca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726895161" descr="963af58e522b1dc8aa504ea2b8dca95"/>
                    <pic:cNvPicPr>
                      <a:picLocks noChangeAspect="1"/>
                    </pic:cNvPicPr>
                  </pic:nvPicPr>
                  <pic:blipFill>
                    <a:blip r:embed="rId6"/>
                    <a:srcRect t="16519"/>
                    <a:stretch>
                      <a:fillRect/>
                    </a:stretch>
                  </pic:blipFill>
                  <pic:spPr>
                    <a:xfrm>
                      <a:off x="0" y="0"/>
                      <a:ext cx="2609850" cy="1524000"/>
                    </a:xfrm>
                    <a:prstGeom prst="rect">
                      <a:avLst/>
                    </a:prstGeom>
                    <a:noFill/>
                    <a:ln>
                      <a:noFill/>
                    </a:ln>
                  </pic:spPr>
                </pic:pic>
              </a:graphicData>
            </a:graphic>
          </wp:inline>
        </w:drawing>
      </w:r>
    </w:p>
    <w:p w14:paraId="1E755CBB">
      <w:pPr>
        <w:pStyle w:val="15"/>
        <w:keepNext w:val="0"/>
        <w:keepLines w:val="0"/>
        <w:widowControl/>
        <w:numPr>
          <w:ilvl w:val="1"/>
          <w:numId w:val="0"/>
        </w:numPr>
        <w:suppressLineNumbers w:val="0"/>
        <w:adjustRightInd w:val="0"/>
        <w:snapToGrid w:val="0"/>
        <w:spacing w:before="120" w:beforeLines="50" w:beforeAutospacing="0" w:after="120" w:afterLines="50" w:afterAutospacing="0" w:line="240" w:lineRule="auto"/>
        <w:ind w:left="0" w:leftChars="0" w:right="0" w:rightChars="0" w:firstLine="0" w:firstLineChars="0"/>
        <w:jc w:val="center"/>
        <w:rPr>
          <w:lang w:val="en-US"/>
        </w:rPr>
      </w:pPr>
      <w:r>
        <w:rPr>
          <w:rFonts w:hint="eastAsia" w:cs="Calibri"/>
          <w:kern w:val="0"/>
          <w:sz w:val="24"/>
          <w:szCs w:val="24"/>
          <w:lang w:val="en-US" w:eastAsia="zh-CN" w:bidi="ar"/>
        </w:rPr>
        <w:t xml:space="preserve">      </w:t>
      </w:r>
      <w:r>
        <w:rPr>
          <w:rFonts w:ascii="Calibri" w:hAnsi="Calibri" w:eastAsia="宋体" w:cs="Calibri"/>
          <w:kern w:val="0"/>
          <w:sz w:val="24"/>
          <w:szCs w:val="24"/>
          <w:lang w:val="en-US" w:eastAsia="zh-CN" w:bidi="ar"/>
        </w:rPr>
        <w:t xml:space="preserve">图1 </w:t>
      </w:r>
      <w:r>
        <w:rPr>
          <w:rFonts w:hint="eastAsia" w:ascii="黑体" w:hAnsi="Times New Roman" w:eastAsia="黑体" w:cs="Times New Roman"/>
          <w:kern w:val="0"/>
          <w:sz w:val="21"/>
          <w:szCs w:val="20"/>
          <w:lang w:val="en-US" w:eastAsia="zh-CN" w:bidi="ar"/>
        </w:rPr>
        <w:t xml:space="preserve">灌注器灌注用物准备      </w:t>
      </w:r>
      <w:r>
        <w:rPr>
          <w:rFonts w:ascii="Calibri" w:hAnsi="Calibri" w:eastAsia="宋体" w:cs="Calibri"/>
          <w:kern w:val="0"/>
          <w:sz w:val="24"/>
          <w:szCs w:val="24"/>
          <w:lang w:val="en-US" w:eastAsia="zh-CN" w:bidi="ar"/>
        </w:rPr>
        <w:t xml:space="preserve">图2 </w:t>
      </w:r>
      <w:r>
        <w:rPr>
          <w:rFonts w:hint="eastAsia" w:ascii="黑体" w:hAnsi="Times New Roman" w:eastAsia="黑体" w:cs="Times New Roman"/>
          <w:kern w:val="0"/>
          <w:sz w:val="21"/>
          <w:szCs w:val="20"/>
          <w:lang w:val="en-US" w:eastAsia="zh-CN" w:bidi="ar"/>
        </w:rPr>
        <w:t>间歇重力滴注、持续经泵输注灌注用物准备</w:t>
      </w:r>
    </w:p>
    <w:p w14:paraId="796F4B83">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（四）护理措施</w:t>
      </w:r>
    </w:p>
    <w:p w14:paraId="6D7B2F8A">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考虑了规范操作流程是预防并发症、保证营养支持效果的核心。在核对与检查环节，依据患者安全目标，要求核对患者信息、医嘱内容，并检查PEG管固定情况、导管状态、造瘘口周围皮肤及外露刻度，这是基于核对制度是防止医疗差错的基本保障，管道固定情况和局部皮肤状况直接影响喂养安全和感染风险。</w:t>
      </w:r>
    </w:p>
    <w:p w14:paraId="3CFE1279">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在营养液配制与保存方面，依据肠内营养感染控制指南，要求营养液现配现用、控制保存时间和温度、自然复温避免微波炉加热，这是考虑到营养液是细菌生长的良好培养基，控制保存时间和温度可减少细菌繁殖，预防胃肠道感染，而过冷的营养液可刺激肠道引起不适，微波炉加热易破坏营养成分且存在烫伤风险。</w:t>
      </w:r>
    </w:p>
    <w:p w14:paraId="7E9521BD">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在导管清洗及操作方面，依据临床护理常规，要求在管饲前清洁注食口、确认管路位置和通畅性、检查胃残留量，这是基于确认管道位置和通畅性是防止误吸和喂养并发症的前提。</w:t>
      </w:r>
    </w:p>
    <w:p w14:paraId="2B205043">
      <w:pPr>
        <w:pStyle w:val="34"/>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center"/>
        <w:textAlignment w:val="auto"/>
        <w:rPr>
          <w:rFonts w:hint="eastAsia" w:ascii="宋体" w:hAnsi="宋体" w:eastAsia="宋体" w:cs="宋体"/>
          <w:b/>
          <w:bCs/>
          <w:spacing w:val="14"/>
          <w:sz w:val="36"/>
          <w:szCs w:val="36"/>
          <w:lang w:eastAsia="zh-CN"/>
        </w:rPr>
      </w:pPr>
      <w:r>
        <w:rPr>
          <w:rFonts w:hint="eastAsia" w:ascii="宋体" w:hAnsi="宋体" w:eastAsia="宋体" w:cs="宋体"/>
          <w:b/>
          <w:bCs/>
          <w:spacing w:val="14"/>
          <w:sz w:val="36"/>
          <w:szCs w:val="36"/>
          <w:lang w:eastAsia="zh-CN"/>
        </w:rPr>
        <w:drawing>
          <wp:inline distT="0" distB="0" distL="114300" distR="114300">
            <wp:extent cx="1779270" cy="2527300"/>
            <wp:effectExtent l="0" t="0" r="6350" b="11430"/>
            <wp:docPr id="7" name="图片 7" descr="723d532f7a261dd75012763c97a9b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23d532f7a261dd75012763c97a9bcf"/>
                    <pic:cNvPicPr>
                      <a:picLocks noChangeAspect="1"/>
                    </pic:cNvPicPr>
                  </pic:nvPicPr>
                  <pic:blipFill>
                    <a:blip r:embed="rId7"/>
                    <a:srcRect l="2010" t="10720" b="6754"/>
                    <a:stretch>
                      <a:fillRect/>
                    </a:stretch>
                  </pic:blipFill>
                  <pic:spPr>
                    <a:xfrm rot="5400000">
                      <a:off x="0" y="0"/>
                      <a:ext cx="1779270" cy="2527300"/>
                    </a:xfrm>
                    <a:prstGeom prst="rect">
                      <a:avLst/>
                    </a:prstGeom>
                  </pic:spPr>
                </pic:pic>
              </a:graphicData>
            </a:graphic>
          </wp:inline>
        </w:drawing>
      </w:r>
    </w:p>
    <w:p w14:paraId="3C68F711">
      <w:pPr>
        <w:pStyle w:val="15"/>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eastAsia" w:ascii="黑体" w:hAnsi="Times New Roman" w:eastAsia="黑体" w:cs="Times New Roman"/>
          <w:kern w:val="0"/>
          <w:sz w:val="21"/>
          <w:szCs w:val="20"/>
          <w:lang w:val="en-US" w:eastAsia="zh-CN" w:bidi="ar"/>
        </w:rPr>
      </w:pPr>
      <w:r>
        <w:rPr>
          <w:rFonts w:hint="eastAsia" w:ascii="黑体" w:hAnsi="Times New Roman" w:eastAsia="黑体" w:cs="Times New Roman"/>
          <w:kern w:val="0"/>
          <w:sz w:val="21"/>
          <w:szCs w:val="20"/>
          <w:lang w:val="en-US" w:eastAsia="zh-CN" w:bidi="ar"/>
        </w:rPr>
        <w:t>胃造瘘管固定</w:t>
      </w:r>
    </w:p>
    <w:p w14:paraId="590653CD">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管饲实施方面，依据PEG喂养国际实践，根据医嘱选择喂养方式，明确灌注器灌注、间歇重力滴注、持续经泵输注三种方式的具体操作方法、温度要求、速度控制和冲管频率，这是考虑到不同患者、不同病情阶段需选择适宜喂养方式，控制速度、温度和冲管频率是预防并发症的关键。在管饲后护理方面，依据T/CNAS 19-2020和反流误吸预防指南，要求冲管、封闭固定、保持半卧位30-60分钟并观察患者反应，这是基于喂养后冲管可防止堵塞，半卧位利用重力促进胃排空、减少反流和误吸风险，早期观察可及时识别并发症。</w:t>
      </w:r>
    </w:p>
    <w:p w14:paraId="280629B9">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bCs/>
          <w:color w:val="auto"/>
          <w:sz w:val="28"/>
          <w:szCs w:val="28"/>
          <w:lang w:val="en-US" w:eastAsia="zh-CN"/>
        </w:rPr>
        <w:t>注意事项：</w:t>
      </w:r>
      <w:r>
        <w:rPr>
          <w:rFonts w:hint="eastAsia" w:ascii="仿宋_GB2312" w:eastAsia="仿宋_GB2312" w:cs="仿宋"/>
          <w:b w:val="0"/>
          <w:bCs w:val="0"/>
          <w:color w:val="auto"/>
          <w:sz w:val="28"/>
          <w:szCs w:val="28"/>
        </w:rPr>
        <w:t>腹泻腹痛处理，要求观察腹泻细节及时沟通，针对输注过快和温度过低分别采取减慢速度和使用加温器的措施，出现腹痛立即停止输注报告医生，这是基于腹泻的详细观察有助于判断病因，输注速度过快和营养液温度过低是腹泻的常见原因，腹痛可能提示严重并发症需立即评估处理。在恶心呕吐处理方面，要求查找原因、降低输注速度、协助患者取右侧卧位，这是基于恶心呕吐原因多样需针对性处理，右侧卧位利用重力促进胃排空减少恶心呕吐。</w:t>
      </w:r>
    </w:p>
    <w:p w14:paraId="2FEF8E19">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（五）胃造瘘管的维护</w:t>
      </w:r>
    </w:p>
    <w:p w14:paraId="46102986">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考虑了系统性维护是延长管路使用寿命、预防远期并发症的关键措施。在预防瘘口周围感染方面，依据PEG维护指南和国际护理标准，要求在置管后对管路进行永久标记以监测移位，术后早期每日换药、窦道形成后定期换药并保持外垫片与皮肤适当距离，换药时观察造瘘口情况并规范操作，这是基于术后早期是感染高风险期需加强换药频率，保持外垫片与皮肤适当距离可预防包埋综合征，旋转管路可防止粘连，早期识别感染迹象可及时干预防止严重并发症。</w:t>
      </w:r>
    </w:p>
    <w:p w14:paraId="6AEB6C0D">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预防包埋综合征方面，要求置管后每日轻柔旋转导管并逐步增加旋转角度，对于长期置管患者保持外固定装置与腹壁皮肤间距0.5cm，</w:t>
      </w:r>
      <w:r>
        <w:rPr>
          <w:rFonts w:hint="eastAsia" w:ascii="仿宋_GB2312" w:eastAsia="仿宋_GB2312" w:cs="仿宋"/>
          <w:b w:val="0"/>
          <w:bCs w:val="0"/>
          <w:color w:val="auto"/>
          <w:sz w:val="28"/>
          <w:szCs w:val="28"/>
          <w:lang w:val="en-US" w:eastAsia="zh-CN"/>
        </w:rPr>
        <w:t>主要考虑到</w:t>
      </w:r>
      <w:r>
        <w:rPr>
          <w:rFonts w:hint="eastAsia" w:ascii="仿宋_GB2312" w:eastAsia="仿宋_GB2312" w:cs="仿宋"/>
          <w:b w:val="0"/>
          <w:bCs w:val="0"/>
          <w:color w:val="auto"/>
          <w:sz w:val="28"/>
          <w:szCs w:val="28"/>
        </w:rPr>
        <w:t>基于每日旋转导管可防止内固定垫片嵌入胃壁黏膜是预防包埋综合征的关键措施，适当间距可防止外固定装置压迫皮肤导致损伤也为内固定垫片留出空间。</w:t>
      </w:r>
    </w:p>
    <w:p w14:paraId="60D2A0EC">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预防导管堵塞方面，依据临床药理学原则，要求肠内营养给药与营养制剂分开，给药前后冲管并等待一定时间再重新启动营养，根据不同输注方式规定冲管频率和方法，免疫功能受损或危重患者使用灭菌注射用水，这是基于某些药物与营养液混合可发生物理化学反应导致堵管或影响药效，冲管可清除管内残留营养液防止药物与营养液相互作用，确保药物完全进入胃肠道避免与后续营养液混合影响吸收，脉冲式冲管可产生湍流更有效清除管壁附着物，免疫功能受损患者需更高标准的无菌操作。</w:t>
      </w:r>
    </w:p>
    <w:p w14:paraId="6B27FFF9">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（六）常见并发症护理</w:t>
      </w:r>
    </w:p>
    <w:p w14:paraId="3E8BA166">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主要考虑了系统化识别和处理并发症是保障患者安全、提高管饲耐受性的重要环节。在胃潴留处理方面，依据肠内营养耐受性评估指南，推荐使用≥50mL注射器或床旁超声评估胃残留量，设定200mL和500mL两个干预阈值并结合临床症状综合判断，这是基于大容量注射器抽吸更准确，超声可作为无创评估手段，200mL是临床常用警戒值需结合症状判断，500mL以上提示严重胃潴留应暂停喂养防止反流误吸。</w:t>
      </w:r>
    </w:p>
    <w:p w14:paraId="18A473E5">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造瘘管堵塞处理，首选温开水脉冲式冲管，无效可使用5%碳酸氢钠溶液冲洗，仍无效则告知医师，这是基于脉冲式冲管利用湍流清除堵塞物是首选方法，碳酸氢钠可溶解蛋白质性堵塞物是临床常用方法，持续堵塞可能需要专业处理或更换管路。</w:t>
      </w:r>
    </w:p>
    <w:p w14:paraId="5D90BBD7">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反流误吸处理，要求立即暂停喂养、查找原因、鼓励咳嗽、取半卧位、昏迷患者头偏一侧，出现气道梗阻立即负压吸引，观察生命体征遵医嘱用药，这是基于误吸可导致严重后果需立即停止喂养并评估原因，促进气道清除防止进一步吸入，紧急处理可挽救生命，误吸后可继发吸入性肺炎等并发症需密切监测。</w:t>
      </w:r>
    </w:p>
    <w:p w14:paraId="030F47D3">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胃造瘘口周围肉芽肿组织增生和感染处理，依据PEG并发症处理指南、专家共识和造口护理指南，要求妥善固定减少摩擦预防肉芽组织增生，局部可采用修剪、喷洒止血粉、高渗盐水湿敷、碘伏擦洗、硝酸银烧灼等方法；感染预防要求术后规范清洁、每日检查、发现皮炎时采用造口护肤粉、皮肤保护膜、水胶体或泡沫敷料等处理，这是基于肉芽组织增生是慢性刺激的结果需综合预防和局部处理，感染早期表现多为局部炎症体征及时发现可早期干预，皮炎处理需保持皮肤干燥使用保护性敷料促进愈合。</w:t>
      </w:r>
    </w:p>
    <w:p w14:paraId="6D2EE908">
      <w:pPr>
        <w:pStyle w:val="34"/>
        <w:keepNext w:val="0"/>
        <w:keepLines w:val="0"/>
        <w:pageBreakBefore w:val="0"/>
        <w:widowControl/>
        <w:kinsoku/>
        <w:wordWrap/>
        <w:overflowPunct/>
        <w:topLinePunct w:val="0"/>
        <w:autoSpaceDE w:val="0"/>
        <w:autoSpaceDN w:val="0"/>
        <w:bidi w:val="0"/>
        <w:adjustRightInd/>
        <w:snapToGrid/>
        <w:spacing w:line="240" w:lineRule="auto"/>
        <w:ind w:firstLine="562"/>
        <w:textAlignment w:val="auto"/>
        <w:rPr>
          <w:rFonts w:hint="eastAsia" w:ascii="仿宋_GB2312" w:eastAsia="仿宋_GB2312" w:cs="仿宋"/>
          <w:b w:val="0"/>
          <w:bCs w:val="0"/>
          <w:color w:val="auto"/>
          <w:sz w:val="28"/>
          <w:szCs w:val="28"/>
        </w:rPr>
      </w:pPr>
      <w:r>
        <w:rPr>
          <w:rFonts w:hint="eastAsia" w:ascii="仿宋" w:hAnsi="仿宋" w:eastAsia="仿宋" w:cs="Calibri"/>
          <w:sz w:val="24"/>
          <w:szCs w:val="24"/>
          <w:lang w:eastAsia="zh-CN"/>
        </w:rPr>
        <w:drawing>
          <wp:inline distT="0" distB="0" distL="114300" distR="114300">
            <wp:extent cx="2329180" cy="1670050"/>
            <wp:effectExtent l="0" t="0" r="13970" b="6350"/>
            <wp:docPr id="9" name="图片 9" descr="467a9625090a7ac67eaef09d30504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67a9625090a7ac67eaef09d30504ec"/>
                    <pic:cNvPicPr>
                      <a:picLocks noChangeAspect="1"/>
                    </pic:cNvPicPr>
                  </pic:nvPicPr>
                  <pic:blipFill>
                    <a:blip r:embed="rId8"/>
                    <a:stretch>
                      <a:fillRect/>
                    </a:stretch>
                  </pic:blipFill>
                  <pic:spPr>
                    <a:xfrm>
                      <a:off x="0" y="0"/>
                      <a:ext cx="2329180" cy="1670050"/>
                    </a:xfrm>
                    <a:prstGeom prst="rect">
                      <a:avLst/>
                    </a:prstGeom>
                  </pic:spPr>
                </pic:pic>
              </a:graphicData>
            </a:graphic>
          </wp:inline>
        </w:drawing>
      </w:r>
      <w:r>
        <w:rPr>
          <w:rFonts w:hint="eastAsia" w:ascii="仿宋" w:hAnsi="仿宋" w:eastAsia="仿宋" w:cs="Calibri"/>
          <w:sz w:val="24"/>
          <w:szCs w:val="24"/>
          <w:lang w:eastAsia="zh-CN"/>
        </w:rPr>
        <w:t xml:space="preserve">    </w:t>
      </w:r>
      <w:r>
        <w:rPr>
          <w:rFonts w:hint="eastAsia" w:ascii="仿宋" w:hAnsi="仿宋" w:eastAsia="仿宋" w:cs="Calibri"/>
          <w:sz w:val="24"/>
          <w:szCs w:val="24"/>
          <w:lang w:eastAsia="zh-CN"/>
        </w:rPr>
        <w:drawing>
          <wp:inline distT="0" distB="0" distL="114300" distR="114300">
            <wp:extent cx="2461895" cy="1730375"/>
            <wp:effectExtent l="0" t="0" r="14605" b="3175"/>
            <wp:docPr id="8" name="图片 8" descr="b0580d8c6779e2da398fe6508e334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0580d8c6779e2da398fe6508e3346f"/>
                    <pic:cNvPicPr>
                      <a:picLocks noChangeAspect="1"/>
                    </pic:cNvPicPr>
                  </pic:nvPicPr>
                  <pic:blipFill>
                    <a:blip r:embed="rId9"/>
                    <a:stretch>
                      <a:fillRect/>
                    </a:stretch>
                  </pic:blipFill>
                  <pic:spPr>
                    <a:xfrm>
                      <a:off x="0" y="0"/>
                      <a:ext cx="2461895" cy="1730375"/>
                    </a:xfrm>
                    <a:prstGeom prst="rect">
                      <a:avLst/>
                    </a:prstGeom>
                  </pic:spPr>
                </pic:pic>
              </a:graphicData>
            </a:graphic>
          </wp:inline>
        </w:drawing>
      </w:r>
    </w:p>
    <w:p w14:paraId="40915886">
      <w:pPr>
        <w:pStyle w:val="26"/>
        <w:keepNext w:val="0"/>
        <w:keepLines w:val="0"/>
        <w:pageBreakBefore w:val="0"/>
        <w:widowControl w:val="0"/>
        <w:kinsoku/>
        <w:wordWrap/>
        <w:overflowPunct/>
        <w:topLinePunct w:val="0"/>
        <w:autoSpaceDE/>
        <w:autoSpaceDN/>
        <w:bidi w:val="0"/>
        <w:adjustRightInd/>
        <w:snapToGrid/>
        <w:spacing w:after="0"/>
        <w:textAlignment w:val="baseline"/>
        <w:rPr>
          <w:rFonts w:hint="default" w:ascii="楷体" w:hAnsi="楷体" w:eastAsia="楷体" w:cs="仿宋_GB2312"/>
          <w:b/>
          <w:bCs/>
          <w:lang w:val="en-US" w:eastAsia="zh-CN"/>
        </w:rPr>
      </w:pPr>
      <w:r>
        <w:rPr>
          <w:rFonts w:hint="default" w:ascii="楷体" w:hAnsi="楷体" w:eastAsia="楷体" w:cs="仿宋_GB2312"/>
          <w:b/>
          <w:bCs/>
          <w:lang w:val="en-US" w:eastAsia="zh-CN"/>
        </w:rPr>
        <w:t>（</w:t>
      </w:r>
      <w:r>
        <w:rPr>
          <w:rFonts w:hint="eastAsia" w:ascii="楷体" w:hAnsi="楷体" w:eastAsia="楷体" w:cs="仿宋_GB2312"/>
          <w:b/>
          <w:bCs/>
          <w:lang w:val="en-US" w:eastAsia="zh-CN"/>
        </w:rPr>
        <w:t>七</w:t>
      </w:r>
      <w:r>
        <w:rPr>
          <w:rFonts w:hint="default" w:ascii="楷体" w:hAnsi="楷体" w:eastAsia="楷体" w:cs="仿宋_GB2312"/>
          <w:b/>
          <w:bCs/>
          <w:lang w:val="en-US" w:eastAsia="zh-CN"/>
        </w:rPr>
        <w:t>）健康宣教</w:t>
      </w:r>
    </w:p>
    <w:p w14:paraId="098E7A67">
      <w:pPr>
        <w:pStyle w:val="34"/>
        <w:spacing w:line="520" w:lineRule="exact"/>
        <w:ind w:firstLine="562"/>
        <w:rPr>
          <w:rFonts w:hint="default"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rPr>
        <w:t>主要考虑了延续性护理和患者家庭自我管理能力是影响长期预后的关键因素。依据</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rPr>
        <w:t>成人肠内营养支持的护理</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rPr>
        <w:t>、PEG家庭护理指南、专家共识和最佳证据总结，要求出院前教会患者及家属掌握正确喂食方法、注意事项、换药方法，强调严格遵医嘱执行不擅自调整方案；指导沐浴时管路固定方法防止脱落；教会识别呛咳、发热、皮肤感染等危险信号并及时就医，长时间停止喂养时每8小时冲管；根据材质定期更换造瘘管；强调胃管为管饲专用通道不应注入非医嘱液体，注入药物前咨询医护人员；指导日常活动中保护导管的具体技巧如穿衣时先穿患侧；告知管路脱出后的应急处理方法；强调按医嘱定期复诊的重要性。这是基于患者出院后的护理质量直接影响并发症发生率和生活质量，系统的家庭护理培训至关重要；日常活动中管路保护是预防脱落的关键需给予具体指导；教会患者识别危险信号并及时就医可避免严重并发症，停止喂养期间冲管可防止堵塞；造瘘管有使用寿命定期更换可预防管路相关并发症；非医嘱液体可能导致堵管、感染或影响治疗效果需强调管饲专用原则；日常活动中管路保护的具体技巧可有效预防脱落和损伤；管路脱出后的正确处理可减少并发症为专业处理争取时间；定期复诊可评估营养状况和管路功能及时调整方案。</w:t>
      </w:r>
    </w:p>
    <w:p w14:paraId="0D6B7526">
      <w:pPr>
        <w:pStyle w:val="36"/>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w:t>
      </w:r>
      <w:r>
        <w:rPr>
          <w:rFonts w:hint="eastAsia" w:ascii="仿宋_GB2312" w:eastAsia="仿宋_GB2312"/>
          <w:color w:val="auto"/>
          <w:sz w:val="28"/>
          <w:szCs w:val="28"/>
          <w:lang w:val="en-US" w:eastAsia="zh-CN"/>
        </w:rPr>
        <w:t>相关技术</w:t>
      </w:r>
      <w:r>
        <w:rPr>
          <w:rFonts w:hint="eastAsia" w:ascii="仿宋_GB2312" w:eastAsia="仿宋_GB2312"/>
          <w:color w:val="auto"/>
          <w:sz w:val="28"/>
          <w:szCs w:val="28"/>
        </w:rPr>
        <w:t>人员掌握标准核心技术内容，助力标准实施落地，推动</w:t>
      </w:r>
      <w:r>
        <w:rPr>
          <w:rFonts w:hint="eastAsia" w:ascii="仿宋_GB2312" w:eastAsia="仿宋_GB2312"/>
          <w:color w:val="auto"/>
          <w:sz w:val="28"/>
          <w:szCs w:val="28"/>
          <w:lang w:val="en-US" w:eastAsia="zh-CN"/>
        </w:rPr>
        <w:t>医疗体系</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7FD17F14">
      <w:pPr>
        <w:spacing w:line="520" w:lineRule="exact"/>
        <w:ind w:firstLine="560" w:firstLineChars="200"/>
        <w:rPr>
          <w:rFonts w:hint="eastAsia" w:ascii="仿宋_GB2312" w:eastAsia="仿宋_GB2312"/>
          <w:color w:val="auto"/>
          <w:sz w:val="28"/>
          <w:szCs w:val="28"/>
        </w:rPr>
      </w:pPr>
    </w:p>
    <w:p w14:paraId="43C6C175">
      <w:pPr>
        <w:spacing w:line="520" w:lineRule="exact"/>
        <w:ind w:firstLine="560" w:firstLineChars="200"/>
        <w:rPr>
          <w:rFonts w:hint="eastAsia" w:ascii="仿宋_GB2312" w:eastAsia="仿宋_GB2312"/>
          <w:color w:val="auto"/>
          <w:sz w:val="28"/>
          <w:szCs w:val="28"/>
        </w:rPr>
      </w:pPr>
    </w:p>
    <w:p w14:paraId="753963BB">
      <w:pPr>
        <w:spacing w:before="240" w:after="60" w:line="520" w:lineRule="exact"/>
        <w:ind w:firstLine="1680" w:firstLineChars="6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成人经皮胃造瘘管饲护理技术规范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94D050E">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25</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7CAF8D-74B4-42A8-A498-64D0311BDC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29B0BFE-D22E-4DBC-B1B3-2EA38ED84C49}"/>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3" w:fontKey="{26BA9283-B7FA-44E8-B822-9B5D88CD1786}"/>
  </w:font>
  <w:font w:name="仿宋_GB2312">
    <w:panose1 w:val="02010609030101010101"/>
    <w:charset w:val="86"/>
    <w:family w:val="modern"/>
    <w:pitch w:val="default"/>
    <w:sig w:usb0="00000001" w:usb1="080E0000" w:usb2="00000000" w:usb3="00000000" w:csb0="00040000" w:csb1="00000000"/>
    <w:embedRegular r:id="rId4" w:fontKey="{97C7911D-4DF6-419A-A8E7-E3560A27C3A9}"/>
  </w:font>
  <w:font w:name="仿宋">
    <w:panose1 w:val="02010609060101010101"/>
    <w:charset w:val="86"/>
    <w:family w:val="modern"/>
    <w:pitch w:val="default"/>
    <w:sig w:usb0="800002BF" w:usb1="38CF7CFA" w:usb2="00000016" w:usb3="00000000" w:csb0="00040001" w:csb1="00000000"/>
    <w:embedRegular r:id="rId5" w:fontKey="{AD860567-22FF-40BF-AF16-703F6BE21286}"/>
  </w:font>
  <w:font w:name="楷体">
    <w:panose1 w:val="02010609060101010101"/>
    <w:charset w:val="86"/>
    <w:family w:val="modern"/>
    <w:pitch w:val="default"/>
    <w:sig w:usb0="800002BF" w:usb1="38CF7CFA" w:usb2="00000016" w:usb3="00000000" w:csb0="00040001" w:csb1="00000000"/>
    <w:embedRegular r:id="rId6" w:fontKey="{1CD48FF2-9F2F-45DC-BEDE-1340799D7FD7}"/>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3E4C5"/>
    <w:multiLevelType w:val="singleLevel"/>
    <w:tmpl w:val="89C3E4C5"/>
    <w:lvl w:ilvl="0" w:tentative="0">
      <w:start w:val="2"/>
      <w:numFmt w:val="chineseCounting"/>
      <w:suff w:val="nothing"/>
      <w:lvlText w:val="%1、"/>
      <w:lvlJc w:val="left"/>
      <w:rPr>
        <w:rFonts w:hint="eastAsia"/>
      </w:rPr>
    </w:lvl>
  </w:abstractNum>
  <w:abstractNum w:abstractNumId="1">
    <w:nsid w:val="8DDF8329"/>
    <w:multiLevelType w:val="multilevel"/>
    <w:tmpl w:val="8DDF8329"/>
    <w:lvl w:ilvl="0" w:tentative="0">
      <w:start w:val="1"/>
      <w:numFmt w:val="decimal"/>
      <w:pStyle w:val="45"/>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2">
    <w:nsid w:val="B9A900A6"/>
    <w:multiLevelType w:val="multilevel"/>
    <w:tmpl w:val="B9A900A6"/>
    <w:lvl w:ilvl="0" w:tentative="0">
      <w:start w:val="1"/>
      <w:numFmt w:val="upperLetter"/>
      <w:lvlText w:val="%1"/>
      <w:lvlJc w:val="left"/>
      <w:pPr>
        <w:ind w:left="420" w:hanging="420"/>
      </w:pPr>
    </w:lvl>
    <w:lvl w:ilvl="1" w:tentative="0">
      <w:start w:val="1"/>
      <w:numFmt w:val="decimal"/>
      <w:pStyle w:val="65"/>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41A80BC"/>
    <w:multiLevelType w:val="singleLevel"/>
    <w:tmpl w:val="C41A80BC"/>
    <w:lvl w:ilvl="0" w:tentative="0">
      <w:start w:val="1"/>
      <w:numFmt w:val="bullet"/>
      <w:pStyle w:val="7"/>
      <w:lvlText w:val=""/>
      <w:lvlJc w:val="left"/>
      <w:pPr>
        <w:tabs>
          <w:tab w:val="left" w:pos="360"/>
        </w:tabs>
        <w:ind w:left="360" w:hanging="360"/>
      </w:pPr>
      <w:rPr>
        <w:rFonts w:hint="default" w:ascii="Wingdings" w:hAnsi="Wingdings"/>
      </w:rPr>
    </w:lvl>
  </w:abstractNum>
  <w:abstractNum w:abstractNumId="4">
    <w:nsid w:val="FF75F2AE"/>
    <w:multiLevelType w:val="multilevel"/>
    <w:tmpl w:val="FF75F2AE"/>
    <w:lvl w:ilvl="0" w:tentative="0">
      <w:start w:val="1"/>
      <w:numFmt w:val="none"/>
      <w:pStyle w:val="62"/>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5">
    <w:nsid w:val="08806472"/>
    <w:multiLevelType w:val="singleLevel"/>
    <w:tmpl w:val="08806472"/>
    <w:lvl w:ilvl="0" w:tentative="0">
      <w:start w:val="1"/>
      <w:numFmt w:val="chineseCounting"/>
      <w:suff w:val="nothing"/>
      <w:lvlText w:val="（%1）"/>
      <w:lvlJc w:val="left"/>
      <w:rPr>
        <w:rFonts w:hint="eastAsia"/>
      </w:rPr>
    </w:lvl>
  </w:abstractNum>
  <w:abstractNum w:abstractNumId="6">
    <w:nsid w:val="0FFFFF7E"/>
    <w:multiLevelType w:val="singleLevel"/>
    <w:tmpl w:val="0FFFFF7E"/>
    <w:lvl w:ilvl="0" w:tentative="0">
      <w:start w:val="1"/>
      <w:numFmt w:val="decimal"/>
      <w:lvlText w:val="%1."/>
      <w:lvlJc w:val="left"/>
      <w:pPr>
        <w:tabs>
          <w:tab w:val="left" w:pos="1200"/>
        </w:tabs>
        <w:ind w:left="1200" w:hanging="360"/>
      </w:pPr>
    </w:lvl>
  </w:abstractNum>
  <w:abstractNum w:abstractNumId="7">
    <w:nsid w:val="0FFFFF7F"/>
    <w:multiLevelType w:val="singleLevel"/>
    <w:tmpl w:val="0FFFFF7F"/>
    <w:lvl w:ilvl="0" w:tentative="0">
      <w:start w:val="1"/>
      <w:numFmt w:val="decimal"/>
      <w:lvlText w:val="%1."/>
      <w:lvlJc w:val="left"/>
      <w:pPr>
        <w:tabs>
          <w:tab w:val="left" w:pos="780"/>
        </w:tabs>
        <w:ind w:left="780" w:hanging="360"/>
      </w:pPr>
    </w:lvl>
  </w:abstractNum>
  <w:abstractNum w:abstractNumId="8">
    <w:nsid w:val="2C5917C3"/>
    <w:multiLevelType w:val="multilevel"/>
    <w:tmpl w:val="2C5917C3"/>
    <w:lvl w:ilvl="0" w:tentative="0">
      <w:start w:val="1"/>
      <w:numFmt w:val="none"/>
      <w:pStyle w:val="59"/>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9">
    <w:nsid w:val="44C50F90"/>
    <w:multiLevelType w:val="multilevel"/>
    <w:tmpl w:val="44C50F90"/>
    <w:lvl w:ilvl="0" w:tentative="0">
      <w:start w:val="1"/>
      <w:numFmt w:val="lowerLetter"/>
      <w:pStyle w:val="54"/>
      <w:lvlText w:val="%1)"/>
      <w:lvlJc w:val="left"/>
      <w:pPr>
        <w:tabs>
          <w:tab w:val="left" w:pos="851"/>
        </w:tabs>
        <w:ind w:left="851" w:hanging="426"/>
      </w:pPr>
      <w:rPr>
        <w:rFonts w:hint="eastAsia" w:ascii="宋体" w:hAnsi="Times New Roman" w:eastAsia="宋体"/>
        <w:sz w:val="21"/>
      </w:rPr>
    </w:lvl>
    <w:lvl w:ilvl="1" w:tentative="0">
      <w:start w:val="1"/>
      <w:numFmt w:val="decimal"/>
      <w:pStyle w:val="52"/>
      <w:lvlText w:val="%2)"/>
      <w:lvlJc w:val="left"/>
      <w:pPr>
        <w:tabs>
          <w:tab w:val="left" w:pos="1276"/>
        </w:tabs>
        <w:ind w:left="1276" w:hanging="425"/>
      </w:pPr>
      <w:rPr>
        <w:rFonts w:hint="eastAsia" w:ascii="宋体" w:hAnsi="Times New Roman" w:eastAsia="宋体"/>
        <w:sz w:val="21"/>
      </w:rPr>
    </w:lvl>
    <w:lvl w:ilvl="2" w:tentative="0">
      <w:start w:val="1"/>
      <w:numFmt w:val="decimal"/>
      <w:pStyle w:val="5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5A9B6960"/>
    <w:multiLevelType w:val="multilevel"/>
    <w:tmpl w:val="5A9B6960"/>
    <w:lvl w:ilvl="0" w:tentative="0">
      <w:start w:val="1"/>
      <w:numFmt w:val="none"/>
      <w:pStyle w:val="42"/>
      <w:suff w:val="nothing"/>
      <w:lvlText w:val="%1"/>
      <w:legacy w:legacy="1" w:legacySpace="0" w:legacyIndent="0"/>
      <w:lvlJc w:val="left"/>
      <w:pPr>
        <w:ind w:left="0" w:firstLine="0"/>
      </w:pPr>
      <w:rPr>
        <w:rFonts w:hint="eastAsia"/>
      </w:rPr>
    </w:lvl>
    <w:lvl w:ilvl="1" w:tentative="0">
      <w:start w:val="1"/>
      <w:numFmt w:val="decimal"/>
      <w:pStyle w:val="36"/>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8"/>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4"/>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3"/>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41"/>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1">
    <w:nsid w:val="63F24B66"/>
    <w:multiLevelType w:val="singleLevel"/>
    <w:tmpl w:val="63F24B66"/>
    <w:lvl w:ilvl="0" w:tentative="0">
      <w:start w:val="1"/>
      <w:numFmt w:val="decimal"/>
      <w:suff w:val="space"/>
      <w:lvlText w:val="[%1]"/>
      <w:lvlJc w:val="left"/>
    </w:lvl>
  </w:abstractNum>
  <w:abstractNum w:abstractNumId="12">
    <w:nsid w:val="79E5B5BF"/>
    <w:multiLevelType w:val="multilevel"/>
    <w:tmpl w:val="79E5B5BF"/>
    <w:lvl w:ilvl="0" w:tentative="0">
      <w:start w:val="1"/>
      <w:numFmt w:val="upperLetter"/>
      <w:suff w:val="nothing"/>
      <w:lvlText w:val="附录%1"/>
      <w:lvlJc w:val="left"/>
      <w:pPr>
        <w:ind w:left="0" w:firstLine="0"/>
      </w:pPr>
      <w:rPr>
        <w:spacing w:val="100"/>
      </w:rPr>
    </w:lvl>
    <w:lvl w:ilvl="1" w:tentative="0">
      <w:start w:val="1"/>
      <w:numFmt w:val="decimal"/>
      <w:pStyle w:val="64"/>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3"/>
  </w:num>
  <w:num w:numId="2">
    <w:abstractNumId w:val="10"/>
  </w:num>
  <w:num w:numId="3">
    <w:abstractNumId w:val="1"/>
  </w:num>
  <w:num w:numId="4">
    <w:abstractNumId w:val="7"/>
  </w:num>
  <w:num w:numId="5">
    <w:abstractNumId w:val="6"/>
  </w:num>
  <w:num w:numId="6">
    <w:abstractNumId w:val="9"/>
  </w:num>
  <w:num w:numId="7">
    <w:abstractNumId w:val="8"/>
  </w:num>
  <w:num w:numId="8">
    <w:abstractNumId w:val="4"/>
  </w:num>
  <w:num w:numId="9">
    <w:abstractNumId w:val="12"/>
  </w:num>
  <w:num w:numId="10">
    <w:abstractNumId w:val="2"/>
  </w:num>
  <w:num w:numId="11">
    <w:abstractNumId w:val="0"/>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641C78"/>
    <w:rsid w:val="02DC2156"/>
    <w:rsid w:val="03CC3F79"/>
    <w:rsid w:val="05CD222A"/>
    <w:rsid w:val="06084616"/>
    <w:rsid w:val="06A9292B"/>
    <w:rsid w:val="08471E20"/>
    <w:rsid w:val="08EF7A39"/>
    <w:rsid w:val="09F41169"/>
    <w:rsid w:val="0A5844F0"/>
    <w:rsid w:val="0BE91440"/>
    <w:rsid w:val="0C364870"/>
    <w:rsid w:val="0CCE2B10"/>
    <w:rsid w:val="0EB92622"/>
    <w:rsid w:val="0EE41D10"/>
    <w:rsid w:val="0FC66B7D"/>
    <w:rsid w:val="0FE7746B"/>
    <w:rsid w:val="11386E78"/>
    <w:rsid w:val="11B73ED3"/>
    <w:rsid w:val="11DF729D"/>
    <w:rsid w:val="12277661"/>
    <w:rsid w:val="133D4C82"/>
    <w:rsid w:val="13D12EE6"/>
    <w:rsid w:val="13EE1CEA"/>
    <w:rsid w:val="13F37300"/>
    <w:rsid w:val="16B27361"/>
    <w:rsid w:val="174D6D27"/>
    <w:rsid w:val="18CE5C46"/>
    <w:rsid w:val="1A2A2D28"/>
    <w:rsid w:val="1A611AD4"/>
    <w:rsid w:val="1B43291B"/>
    <w:rsid w:val="1B9C64CF"/>
    <w:rsid w:val="1D752C94"/>
    <w:rsid w:val="1D772D50"/>
    <w:rsid w:val="1E4A1472"/>
    <w:rsid w:val="1E6C7E3E"/>
    <w:rsid w:val="20346CD6"/>
    <w:rsid w:val="203B74FB"/>
    <w:rsid w:val="206E043A"/>
    <w:rsid w:val="21B36690"/>
    <w:rsid w:val="21B75E11"/>
    <w:rsid w:val="233A0AA7"/>
    <w:rsid w:val="23BE2382"/>
    <w:rsid w:val="2443573A"/>
    <w:rsid w:val="25496D80"/>
    <w:rsid w:val="26D30790"/>
    <w:rsid w:val="27095D8A"/>
    <w:rsid w:val="273250B0"/>
    <w:rsid w:val="27750300"/>
    <w:rsid w:val="277B51EB"/>
    <w:rsid w:val="279E6744"/>
    <w:rsid w:val="28AC3162"/>
    <w:rsid w:val="2AB253C7"/>
    <w:rsid w:val="2AED045B"/>
    <w:rsid w:val="2B7B5E48"/>
    <w:rsid w:val="2BAD2B02"/>
    <w:rsid w:val="2C6C6F3C"/>
    <w:rsid w:val="2E0C3040"/>
    <w:rsid w:val="2E40384E"/>
    <w:rsid w:val="2E826991"/>
    <w:rsid w:val="2F083808"/>
    <w:rsid w:val="2F0B058C"/>
    <w:rsid w:val="2F7C5FA4"/>
    <w:rsid w:val="2FDD0EDC"/>
    <w:rsid w:val="31A33CBC"/>
    <w:rsid w:val="32F32A21"/>
    <w:rsid w:val="34337579"/>
    <w:rsid w:val="344833B2"/>
    <w:rsid w:val="347C6228"/>
    <w:rsid w:val="35146A33"/>
    <w:rsid w:val="35D32F7D"/>
    <w:rsid w:val="360540C9"/>
    <w:rsid w:val="38141881"/>
    <w:rsid w:val="39CD7B28"/>
    <w:rsid w:val="3A4E0DF7"/>
    <w:rsid w:val="3D6307DC"/>
    <w:rsid w:val="3D6C58AA"/>
    <w:rsid w:val="3D8F373A"/>
    <w:rsid w:val="3E6639DC"/>
    <w:rsid w:val="3FC7172D"/>
    <w:rsid w:val="403F2E01"/>
    <w:rsid w:val="431A1904"/>
    <w:rsid w:val="442944F4"/>
    <w:rsid w:val="446775E0"/>
    <w:rsid w:val="45413951"/>
    <w:rsid w:val="454F3408"/>
    <w:rsid w:val="465C6645"/>
    <w:rsid w:val="46A11D57"/>
    <w:rsid w:val="46E47FFF"/>
    <w:rsid w:val="4779601E"/>
    <w:rsid w:val="483D0A11"/>
    <w:rsid w:val="48906F82"/>
    <w:rsid w:val="4895463A"/>
    <w:rsid w:val="493E1AE1"/>
    <w:rsid w:val="4AED5F14"/>
    <w:rsid w:val="4B2238EC"/>
    <w:rsid w:val="4C6C7CEB"/>
    <w:rsid w:val="4DDD59C1"/>
    <w:rsid w:val="4EA71436"/>
    <w:rsid w:val="50370ABF"/>
    <w:rsid w:val="50586516"/>
    <w:rsid w:val="51A650B5"/>
    <w:rsid w:val="51FB0B52"/>
    <w:rsid w:val="52845057"/>
    <w:rsid w:val="530F63CB"/>
    <w:rsid w:val="531F075A"/>
    <w:rsid w:val="53F87A3F"/>
    <w:rsid w:val="56C6380D"/>
    <w:rsid w:val="56DA342C"/>
    <w:rsid w:val="57A01936"/>
    <w:rsid w:val="57A57FD6"/>
    <w:rsid w:val="57F01F2D"/>
    <w:rsid w:val="58D367F3"/>
    <w:rsid w:val="592B4413"/>
    <w:rsid w:val="592C1295"/>
    <w:rsid w:val="59DD74BB"/>
    <w:rsid w:val="5A8C449C"/>
    <w:rsid w:val="5B571FFB"/>
    <w:rsid w:val="5BD06662"/>
    <w:rsid w:val="5BFB00CD"/>
    <w:rsid w:val="5C452F47"/>
    <w:rsid w:val="5D086F45"/>
    <w:rsid w:val="5D4D6706"/>
    <w:rsid w:val="5E033269"/>
    <w:rsid w:val="60252B89"/>
    <w:rsid w:val="602F6597"/>
    <w:rsid w:val="6039376E"/>
    <w:rsid w:val="616C2448"/>
    <w:rsid w:val="63057E95"/>
    <w:rsid w:val="63DF2082"/>
    <w:rsid w:val="654A16B4"/>
    <w:rsid w:val="660F1D12"/>
    <w:rsid w:val="66A21530"/>
    <w:rsid w:val="67277FC8"/>
    <w:rsid w:val="677C2407"/>
    <w:rsid w:val="67C27CF0"/>
    <w:rsid w:val="68C47A98"/>
    <w:rsid w:val="68C53F3C"/>
    <w:rsid w:val="6AB2229E"/>
    <w:rsid w:val="6CA54DC3"/>
    <w:rsid w:val="6CC80E6D"/>
    <w:rsid w:val="70EF6F18"/>
    <w:rsid w:val="710B6BAC"/>
    <w:rsid w:val="71525B1E"/>
    <w:rsid w:val="716444DA"/>
    <w:rsid w:val="71CC633B"/>
    <w:rsid w:val="71F238C8"/>
    <w:rsid w:val="738A5B9F"/>
    <w:rsid w:val="739D1805"/>
    <w:rsid w:val="741F6AAA"/>
    <w:rsid w:val="74A0585D"/>
    <w:rsid w:val="754A5489"/>
    <w:rsid w:val="763864CA"/>
    <w:rsid w:val="764D461B"/>
    <w:rsid w:val="767877A4"/>
    <w:rsid w:val="77A7157C"/>
    <w:rsid w:val="77D048EE"/>
    <w:rsid w:val="780D320A"/>
    <w:rsid w:val="78B143BF"/>
    <w:rsid w:val="7A035425"/>
    <w:rsid w:val="7AB465B7"/>
    <w:rsid w:val="7ABA49C4"/>
    <w:rsid w:val="7B215011"/>
    <w:rsid w:val="7CB63E70"/>
    <w:rsid w:val="7D221505"/>
    <w:rsid w:val="7DCF4ABD"/>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8"/>
    <w:autoRedefine/>
    <w:qFormat/>
    <w:uiPriority w:val="9"/>
    <w:pPr>
      <w:keepNext/>
      <w:keepLines/>
      <w:spacing w:before="240" w:after="64" w:line="320" w:lineRule="auto"/>
      <w:outlineLvl w:val="6"/>
    </w:pPr>
    <w:rPr>
      <w:b/>
      <w:bCs/>
      <w:sz w:val="24"/>
    </w:rPr>
  </w:style>
  <w:style w:type="character" w:default="1" w:styleId="19">
    <w:name w:val="Default Paragraph Font"/>
    <w:autoRedefine/>
    <w:qFormat/>
    <w:uiPriority w:val="0"/>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List Bullet"/>
    <w:basedOn w:val="1"/>
    <w:semiHidden/>
    <w:unhideWhenUsed/>
    <w:qFormat/>
    <w:uiPriority w:val="99"/>
    <w:pPr>
      <w:numPr>
        <w:ilvl w:val="0"/>
        <w:numId w:val="1"/>
      </w:numPr>
    </w:pPr>
  </w:style>
  <w:style w:type="paragraph" w:styleId="8">
    <w:name w:val="annotation text"/>
    <w:basedOn w:val="1"/>
    <w:link w:val="29"/>
    <w:autoRedefine/>
    <w:unhideWhenUsed/>
    <w:qFormat/>
    <w:uiPriority w:val="99"/>
    <w:pPr>
      <w:adjustRightInd w:val="0"/>
      <w:spacing w:line="400" w:lineRule="exact"/>
      <w:jc w:val="left"/>
    </w:pPr>
    <w:rPr>
      <w:rFonts w:ascii="Calibri" w:hAnsi="Calibri"/>
      <w:szCs w:val="21"/>
    </w:rPr>
  </w:style>
  <w:style w:type="paragraph" w:styleId="9">
    <w:name w:val="Body Text"/>
    <w:basedOn w:val="1"/>
    <w:link w:val="61"/>
    <w:semiHidden/>
    <w:unhideWhenUsed/>
    <w:qFormat/>
    <w:uiPriority w:val="99"/>
    <w:pPr>
      <w:spacing w:after="120" w:afterLines="0" w:afterAutospacing="0"/>
    </w:pPr>
  </w:style>
  <w:style w:type="paragraph" w:styleId="10">
    <w:name w:val="Balloon Text"/>
    <w:basedOn w:val="1"/>
    <w:link w:val="30"/>
    <w:autoRedefine/>
    <w:unhideWhenUsed/>
    <w:qFormat/>
    <w:uiPriority w:val="99"/>
    <w:rPr>
      <w:sz w:val="18"/>
      <w:szCs w:val="18"/>
    </w:rPr>
  </w:style>
  <w:style w:type="paragraph" w:styleId="11">
    <w:name w:val="footer"/>
    <w:basedOn w:val="1"/>
    <w:link w:val="31"/>
    <w:autoRedefine/>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0"/>
    <w:pPr>
      <w:snapToGrid w:val="0"/>
    </w:pPr>
    <w:rPr>
      <w:rFonts w:ascii="Times New Roman" w:hAnsi="Times New Roman"/>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18">
    <w:name w:val="Light Grid Accent 1"/>
    <w:basedOn w:val="16"/>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character" w:styleId="20">
    <w:name w:val="Strong"/>
    <w:basedOn w:val="19"/>
    <w:autoRedefine/>
    <w:qFormat/>
    <w:uiPriority w:val="22"/>
    <w:rPr>
      <w:b/>
    </w:rPr>
  </w:style>
  <w:style w:type="character" w:styleId="21">
    <w:name w:val="FollowedHyperlink"/>
    <w:basedOn w:val="19"/>
    <w:semiHidden/>
    <w:unhideWhenUsed/>
    <w:qFormat/>
    <w:uiPriority w:val="99"/>
    <w:rPr>
      <w:color w:val="954F72"/>
      <w:u w:val="single"/>
    </w:rPr>
  </w:style>
  <w:style w:type="character" w:styleId="22">
    <w:name w:val="line number"/>
    <w:autoRedefine/>
    <w:qFormat/>
    <w:uiPriority w:val="0"/>
  </w:style>
  <w:style w:type="character" w:styleId="23">
    <w:name w:val="Hyperlink"/>
    <w:autoRedefine/>
    <w:qFormat/>
    <w:uiPriority w:val="0"/>
    <w:rPr>
      <w:rFonts w:ascii="宋体" w:eastAsia="宋体"/>
      <w:color w:val="auto"/>
      <w:spacing w:val="0"/>
      <w:w w:val="100"/>
      <w:position w:val="0"/>
      <w:sz w:val="21"/>
      <w:u w:val="none"/>
      <w:vertAlign w:val="baseline"/>
    </w:rPr>
  </w:style>
  <w:style w:type="character" w:styleId="24">
    <w:name w:val="annotation reference"/>
    <w:autoRedefine/>
    <w:qFormat/>
    <w:uiPriority w:val="99"/>
    <w:rPr>
      <w:sz w:val="21"/>
    </w:rPr>
  </w:style>
  <w:style w:type="character" w:styleId="25">
    <w:name w:val="footnote reference"/>
    <w:autoRedefine/>
    <w:qFormat/>
    <w:uiPriority w:val="0"/>
    <w:rPr>
      <w:vertAlign w:val="superscript"/>
    </w:rPr>
  </w:style>
  <w:style w:type="paragraph" w:customStyle="1" w:styleId="26">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7">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8">
    <w:name w:val="标题 7 字符"/>
    <w:link w:val="6"/>
    <w:autoRedefine/>
    <w:qFormat/>
    <w:uiPriority w:val="0"/>
    <w:rPr>
      <w:rFonts w:eastAsia="宋体"/>
      <w:b/>
      <w:bCs/>
      <w:kern w:val="2"/>
      <w:sz w:val="24"/>
      <w:szCs w:val="24"/>
    </w:rPr>
  </w:style>
  <w:style w:type="character" w:customStyle="1" w:styleId="29">
    <w:name w:val="批注文字 字符"/>
    <w:link w:val="8"/>
    <w:autoRedefine/>
    <w:semiHidden/>
    <w:qFormat/>
    <w:uiPriority w:val="99"/>
    <w:rPr>
      <w:rFonts w:ascii="Calibri" w:hAnsi="Calibri" w:eastAsia="宋体"/>
      <w:kern w:val="2"/>
      <w:sz w:val="21"/>
      <w:szCs w:val="21"/>
    </w:rPr>
  </w:style>
  <w:style w:type="character" w:customStyle="1" w:styleId="30">
    <w:name w:val="批注框文本 字符"/>
    <w:link w:val="10"/>
    <w:autoRedefine/>
    <w:semiHidden/>
    <w:qFormat/>
    <w:uiPriority w:val="99"/>
    <w:rPr>
      <w:rFonts w:eastAsia="宋体"/>
      <w:kern w:val="2"/>
      <w:sz w:val="18"/>
      <w:szCs w:val="18"/>
    </w:rPr>
  </w:style>
  <w:style w:type="character" w:customStyle="1" w:styleId="31">
    <w:name w:val="页脚 字符"/>
    <w:link w:val="11"/>
    <w:autoRedefine/>
    <w:qFormat/>
    <w:locked/>
    <w:uiPriority w:val="99"/>
    <w:rPr>
      <w:rFonts w:eastAsia="宋体"/>
      <w:kern w:val="2"/>
      <w:sz w:val="18"/>
      <w:szCs w:val="18"/>
    </w:rPr>
  </w:style>
  <w:style w:type="paragraph" w:customStyle="1" w:styleId="32">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33">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4">
    <w:name w:val="标准文件_段"/>
    <w:link w:val="35"/>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5">
    <w:name w:val="标准文件_段 Char"/>
    <w:link w:val="34"/>
    <w:autoRedefine/>
    <w:qFormat/>
    <w:uiPriority w:val="0"/>
    <w:rPr>
      <w:rFonts w:ascii="宋体" w:eastAsia="宋体"/>
      <w:sz w:val="21"/>
    </w:rPr>
  </w:style>
  <w:style w:type="paragraph" w:customStyle="1" w:styleId="36">
    <w:name w:val="标准文件_章标题"/>
    <w:next w:val="34"/>
    <w:autoRedefine/>
    <w:qFormat/>
    <w:uiPriority w:val="0"/>
    <w:pPr>
      <w:numPr>
        <w:ilvl w:val="1"/>
        <w:numId w:val="2"/>
      </w:numPr>
      <w:spacing w:before="100" w:beforeLines="100" w:after="100" w:afterLines="100"/>
      <w:jc w:val="both"/>
      <w:outlineLvl w:val="0"/>
    </w:pPr>
    <w:rPr>
      <w:rFonts w:ascii="黑体" w:hAnsi="Calibri" w:eastAsia="黑体" w:cs="Calibri"/>
      <w:sz w:val="21"/>
      <w:lang w:val="en-US" w:eastAsia="zh-CN" w:bidi="ar-SA"/>
    </w:rPr>
  </w:style>
  <w:style w:type="paragraph" w:customStyle="1" w:styleId="37">
    <w:name w:val="标准文件_二级条标题"/>
    <w:next w:val="34"/>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8">
    <w:name w:val="标准文件_一级条标题"/>
    <w:basedOn w:val="36"/>
    <w:next w:val="34"/>
    <w:autoRedefine/>
    <w:qFormat/>
    <w:uiPriority w:val="0"/>
    <w:pPr>
      <w:numPr>
        <w:ilvl w:val="2"/>
        <w:numId w:val="2"/>
      </w:numPr>
      <w:spacing w:before="50" w:beforeLines="0" w:after="50" w:afterLines="0"/>
      <w:outlineLvl w:val="1"/>
    </w:pPr>
  </w:style>
  <w:style w:type="paragraph" w:customStyle="1" w:styleId="39">
    <w:name w:val="标准文件_三级条标题"/>
    <w:basedOn w:val="37"/>
    <w:next w:val="34"/>
    <w:autoRedefine/>
    <w:qFormat/>
    <w:uiPriority w:val="0"/>
    <w:pPr>
      <w:numPr>
        <w:ilvl w:val="4"/>
        <w:numId w:val="2"/>
      </w:numPr>
      <w:spacing w:before="50" w:beforeLines="50" w:after="50" w:afterLines="50"/>
      <w:jc w:val="both"/>
      <w:outlineLvl w:val="3"/>
    </w:pPr>
    <w:rPr>
      <w:rFonts w:ascii="黑体" w:eastAsia="黑体"/>
      <w:sz w:val="21"/>
      <w:lang w:val="en-US" w:eastAsia="zh-CN" w:bidi="ar-SA"/>
    </w:rPr>
  </w:style>
  <w:style w:type="paragraph" w:customStyle="1" w:styleId="40">
    <w:name w:val="标准文件_四级条标题"/>
    <w:next w:val="34"/>
    <w:autoRedefine/>
    <w:qFormat/>
    <w:uiPriority w:val="0"/>
    <w:pPr>
      <w:widowControl w:val="0"/>
      <w:numPr>
        <w:ilvl w:val="5"/>
        <w:numId w:val="2"/>
      </w:numPr>
      <w:spacing w:before="50" w:beforeLines="50" w:after="50" w:afterLines="50"/>
      <w:jc w:val="both"/>
      <w:outlineLvl w:val="4"/>
    </w:pPr>
    <w:rPr>
      <w:rFonts w:ascii="黑体" w:hAnsi="Calibri" w:eastAsia="黑体" w:cs="Calibri"/>
      <w:sz w:val="21"/>
      <w:lang w:val="en-US" w:eastAsia="zh-CN" w:bidi="ar-SA"/>
    </w:rPr>
  </w:style>
  <w:style w:type="paragraph" w:customStyle="1" w:styleId="41">
    <w:name w:val="标准文件_五级条标题"/>
    <w:next w:val="37"/>
    <w:autoRedefine/>
    <w:qFormat/>
    <w:uiPriority w:val="0"/>
    <w:pPr>
      <w:widowControl w:val="0"/>
      <w:numPr>
        <w:ilvl w:val="6"/>
        <w:numId w:val="2"/>
      </w:numPr>
      <w:spacing w:before="50" w:beforeLines="50" w:after="50" w:afterLines="50"/>
      <w:jc w:val="both"/>
      <w:outlineLvl w:val="5"/>
    </w:pPr>
    <w:rPr>
      <w:rFonts w:ascii="黑体" w:hAnsi="Calibri" w:eastAsia="黑体" w:cs="Calibri"/>
      <w:sz w:val="21"/>
      <w:lang w:val="en-US" w:eastAsia="zh-CN" w:bidi="ar-SA"/>
    </w:rPr>
  </w:style>
  <w:style w:type="paragraph" w:customStyle="1" w:styleId="42">
    <w:name w:val="前言标题"/>
    <w:next w:val="1"/>
    <w:autoRedefine/>
    <w:qFormat/>
    <w:uiPriority w:val="0"/>
    <w:pPr>
      <w:numPr>
        <w:ilvl w:val="0"/>
        <w:numId w:val="2"/>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3">
    <w:name w:val="标准文件_四级无标题"/>
    <w:basedOn w:val="40"/>
    <w:autoRedefine/>
    <w:qFormat/>
    <w:uiPriority w:val="0"/>
    <w:pPr>
      <w:widowControl w:val="0"/>
      <w:numPr>
        <w:ilvl w:val="5"/>
        <w:numId w:val="2"/>
      </w:numPr>
      <w:spacing w:before="50" w:after="50"/>
      <w:jc w:val="both"/>
    </w:pPr>
    <w:rPr>
      <w:rFonts w:ascii="宋体" w:hAnsi="Calibri" w:eastAsia="宋体" w:cs="Calibri"/>
      <w:sz w:val="21"/>
      <w:szCs w:val="52"/>
      <w:lang w:val="en-US" w:eastAsia="zh-CN" w:bidi="ar-SA"/>
    </w:rPr>
  </w:style>
  <w:style w:type="paragraph" w:customStyle="1" w:styleId="44">
    <w:name w:val="标准文件_三级无标题"/>
    <w:basedOn w:val="39"/>
    <w:autoRedefine/>
    <w:qFormat/>
    <w:uiPriority w:val="0"/>
    <w:pPr>
      <w:numPr>
        <w:ilvl w:val="4"/>
        <w:numId w:val="2"/>
      </w:numPr>
      <w:spacing w:before="50" w:after="50"/>
      <w:jc w:val="both"/>
    </w:pPr>
    <w:rPr>
      <w:rFonts w:ascii="宋体" w:eastAsia="宋体"/>
      <w:sz w:val="21"/>
      <w:lang w:val="en-US" w:eastAsia="zh-CN" w:bidi="ar-SA"/>
    </w:rPr>
  </w:style>
  <w:style w:type="paragraph" w:customStyle="1" w:styleId="45">
    <w:name w:val="标准文件_正文表标题"/>
    <w:autoRedefine/>
    <w:qFormat/>
    <w:uiPriority w:val="0"/>
    <w:pPr>
      <w:numPr>
        <w:ilvl w:val="0"/>
        <w:numId w:val="3"/>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6">
    <w:name w:val="font11"/>
    <w:autoRedefine/>
    <w:qFormat/>
    <w:uiPriority w:val="0"/>
    <w:rPr>
      <w:rFonts w:ascii="等线" w:eastAsia="等线"/>
      <w:b/>
      <w:bCs/>
      <w:color w:val="FF0000"/>
      <w:sz w:val="22"/>
      <w:szCs w:val="22"/>
      <w:u w:val="none"/>
    </w:rPr>
  </w:style>
  <w:style w:type="character" w:customStyle="1" w:styleId="47">
    <w:name w:val="font01"/>
    <w:autoRedefine/>
    <w:qFormat/>
    <w:uiPriority w:val="0"/>
    <w:rPr>
      <w:rFonts w:ascii="等线" w:eastAsia="等线"/>
      <w:color w:val="000000"/>
      <w:sz w:val="22"/>
      <w:szCs w:val="22"/>
      <w:u w:val="none"/>
    </w:rPr>
  </w:style>
  <w:style w:type="paragraph" w:customStyle="1" w:styleId="48">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9">
    <w:name w:val="二级无"/>
    <w:basedOn w:val="1"/>
    <w:autoRedefine/>
    <w:qFormat/>
    <w:uiPriority w:val="0"/>
    <w:pPr>
      <w:widowControl/>
      <w:numPr>
        <w:ilvl w:val="2"/>
        <w:numId w:val="4"/>
      </w:numPr>
      <w:tabs>
        <w:tab w:val="left" w:pos="780"/>
      </w:tabs>
      <w:jc w:val="left"/>
      <w:outlineLvl w:val="3"/>
    </w:pPr>
    <w:rPr>
      <w:rFonts w:ascii="宋体"/>
      <w:kern w:val="0"/>
      <w:szCs w:val="21"/>
    </w:rPr>
  </w:style>
  <w:style w:type="paragraph" w:customStyle="1" w:styleId="50">
    <w:name w:val="标准文件_二级无标题"/>
    <w:basedOn w:val="37"/>
    <w:autoRedefine/>
    <w:qFormat/>
    <w:uiPriority w:val="0"/>
    <w:pPr>
      <w:numPr>
        <w:ilvl w:val="3"/>
        <w:numId w:val="5"/>
      </w:numPr>
      <w:tabs>
        <w:tab w:val="left" w:pos="1200"/>
      </w:tabs>
      <w:spacing w:before="0" w:beforeLines="0" w:after="0" w:afterLines="0"/>
      <w:outlineLvl w:val="9"/>
    </w:pPr>
    <w:rPr>
      <w:rFonts w:ascii="宋体" w:eastAsia="宋体"/>
    </w:rPr>
  </w:style>
  <w:style w:type="paragraph" w:customStyle="1" w:styleId="51">
    <w:name w:val="Char Char Char Char"/>
    <w:basedOn w:val="1"/>
    <w:autoRedefine/>
    <w:qFormat/>
    <w:uiPriority w:val="0"/>
  </w:style>
  <w:style w:type="paragraph" w:customStyle="1" w:styleId="52">
    <w:name w:val="标准文件_数字编号列项（二级）"/>
    <w:autoRedefine/>
    <w:qFormat/>
    <w:uiPriority w:val="0"/>
    <w:pPr>
      <w:numPr>
        <w:ilvl w:val="1"/>
        <w:numId w:val="6"/>
      </w:numPr>
      <w:jc w:val="both"/>
    </w:pPr>
    <w:rPr>
      <w:rFonts w:ascii="宋体" w:hAnsi="Calibri" w:eastAsia="宋体" w:cs="Calibri"/>
      <w:sz w:val="21"/>
      <w:lang w:val="en-US" w:eastAsia="zh-CN" w:bidi="ar-SA"/>
    </w:rPr>
  </w:style>
  <w:style w:type="paragraph" w:customStyle="1" w:styleId="53">
    <w:name w:val="标准文件_编号列项（三级）"/>
    <w:autoRedefine/>
    <w:qFormat/>
    <w:uiPriority w:val="0"/>
    <w:pPr>
      <w:numPr>
        <w:ilvl w:val="2"/>
        <w:numId w:val="6"/>
      </w:numPr>
    </w:pPr>
    <w:rPr>
      <w:rFonts w:ascii="宋体" w:hAnsi="Calibri" w:eastAsia="宋体" w:cs="Calibri"/>
      <w:sz w:val="21"/>
      <w:lang w:val="en-US" w:eastAsia="zh-CN" w:bidi="ar-SA"/>
    </w:rPr>
  </w:style>
  <w:style w:type="paragraph" w:customStyle="1" w:styleId="54">
    <w:name w:val="标准文件_字母编号列项（一级）"/>
    <w:autoRedefine/>
    <w:qFormat/>
    <w:uiPriority w:val="0"/>
    <w:pPr>
      <w:numPr>
        <w:ilvl w:val="0"/>
        <w:numId w:val="6"/>
      </w:numPr>
      <w:jc w:val="both"/>
    </w:pPr>
    <w:rPr>
      <w:rFonts w:ascii="宋体" w:hAnsi="Calibri" w:eastAsia="宋体" w:cs="Calibri"/>
      <w:sz w:val="21"/>
      <w:lang w:val="en-US" w:eastAsia="zh-CN" w:bidi="ar-SA"/>
    </w:rPr>
  </w:style>
  <w:style w:type="paragraph" w:customStyle="1" w:styleId="55">
    <w:name w:val="标准文件_术语条一"/>
    <w:basedOn w:val="1"/>
    <w:next w:val="34"/>
    <w:autoRedefine/>
    <w:qFormat/>
    <w:uiPriority w:val="0"/>
    <w:pPr>
      <w:widowControl/>
    </w:pPr>
    <w:rPr>
      <w:rFonts w:ascii="宋体"/>
      <w:kern w:val="0"/>
      <w:szCs w:val="20"/>
    </w:rPr>
  </w:style>
  <w:style w:type="paragraph" w:customStyle="1" w:styleId="56">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7">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8">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9">
    <w:name w:val="标准文件_一级项"/>
    <w:autoRedefine/>
    <w:qFormat/>
    <w:uiPriority w:val="0"/>
    <w:pPr>
      <w:numPr>
        <w:ilvl w:val="0"/>
        <w:numId w:val="7"/>
      </w:numPr>
    </w:pPr>
    <w:rPr>
      <w:rFonts w:ascii="宋体" w:hAnsi="Times New Roman" w:eastAsia="宋体" w:cs="Times New Roman"/>
      <w:sz w:val="21"/>
      <w:lang w:val="en-US" w:eastAsia="zh-CN" w:bidi="ar-SA"/>
    </w:rPr>
  </w:style>
  <w:style w:type="paragraph" w:customStyle="1" w:styleId="60">
    <w:name w:val="标准文件_一级无标题"/>
    <w:basedOn w:val="38"/>
    <w:qFormat/>
    <w:uiPriority w:val="0"/>
    <w:pPr>
      <w:spacing w:before="0" w:beforeLines="0" w:after="0" w:afterLines="0"/>
      <w:outlineLvl w:val="9"/>
    </w:pPr>
    <w:rPr>
      <w:rFonts w:ascii="宋体" w:eastAsia="宋体"/>
    </w:rPr>
  </w:style>
  <w:style w:type="character" w:customStyle="1" w:styleId="61">
    <w:name w:val="正文文本 字符"/>
    <w:basedOn w:val="19"/>
    <w:link w:val="9"/>
    <w:qFormat/>
    <w:uiPriority w:val="0"/>
    <w:rPr>
      <w:rFonts w:hint="default" w:ascii="Calibri" w:hAnsi="Calibri" w:cs="Calibri"/>
      <w:kern w:val="2"/>
      <w:sz w:val="21"/>
      <w:szCs w:val="21"/>
    </w:rPr>
  </w:style>
  <w:style w:type="paragraph" w:customStyle="1" w:styleId="62">
    <w:name w:val="标准文件_注："/>
    <w:basedOn w:val="1"/>
    <w:qFormat/>
    <w:uiPriority w:val="0"/>
    <w:pPr>
      <w:keepNext w:val="0"/>
      <w:keepLines w:val="0"/>
      <w:widowControl w:val="0"/>
      <w:numPr>
        <w:ilvl w:val="0"/>
        <w:numId w:val="8"/>
      </w:numPr>
      <w:suppressLineNumbers w:val="0"/>
      <w:autoSpaceDE w:val="0"/>
      <w:autoSpaceDN w:val="0"/>
      <w:spacing w:before="0" w:beforeAutospacing="0" w:after="0" w:afterAutospacing="0"/>
      <w:ind w:left="737" w:right="0" w:hanging="374"/>
      <w:jc w:val="both"/>
    </w:pPr>
    <w:rPr>
      <w:rFonts w:hint="eastAsia" w:ascii="宋体" w:hAnsi="Times New Roman" w:eastAsia="宋体" w:cs="Times New Roman"/>
      <w:kern w:val="0"/>
      <w:sz w:val="18"/>
      <w:szCs w:val="18"/>
      <w:lang w:val="en-US" w:eastAsia="zh-CN" w:bidi="ar"/>
    </w:rPr>
  </w:style>
  <w:style w:type="paragraph" w:styleId="63">
    <w:name w:val="List Paragraph"/>
    <w:basedOn w:val="1"/>
    <w:qFormat/>
    <w:uiPriority w:val="99"/>
    <w:pPr>
      <w:ind w:firstLine="420" w:firstLineChars="200"/>
    </w:pPr>
  </w:style>
  <w:style w:type="paragraph" w:customStyle="1" w:styleId="64">
    <w:name w:val="标准文件_附录一级条标题"/>
    <w:basedOn w:val="1"/>
    <w:next w:val="34"/>
    <w:qFormat/>
    <w:uiPriority w:val="0"/>
    <w:pPr>
      <w:keepNext w:val="0"/>
      <w:keepLines w:val="0"/>
      <w:widowControl w:val="0"/>
      <w:numPr>
        <w:ilvl w:val="1"/>
        <w:numId w:val="9"/>
      </w:numPr>
      <w:suppressLineNumbers w:val="0"/>
      <w:spacing w:before="50" w:beforeLines="50" w:beforeAutospacing="0" w:after="50" w:afterLines="50" w:afterAutospacing="0"/>
      <w:ind w:left="0" w:right="0" w:firstLine="0"/>
      <w:jc w:val="both"/>
      <w:outlineLvl w:val="2"/>
    </w:pPr>
    <w:rPr>
      <w:rFonts w:hint="eastAsia" w:ascii="黑体" w:hAnsi="Times New Roman" w:eastAsia="黑体" w:cs="Times New Roman"/>
      <w:kern w:val="21"/>
      <w:sz w:val="21"/>
      <w:szCs w:val="20"/>
      <w:lang w:val="en-US" w:eastAsia="zh-CN" w:bidi="ar"/>
    </w:rPr>
  </w:style>
  <w:style w:type="paragraph" w:customStyle="1" w:styleId="65">
    <w:name w:val="标准文件_附录图标题"/>
    <w:basedOn w:val="1"/>
    <w:qFormat/>
    <w:uiPriority w:val="0"/>
    <w:pPr>
      <w:keepNext w:val="0"/>
      <w:keepLines w:val="0"/>
      <w:widowControl/>
      <w:numPr>
        <w:ilvl w:val="1"/>
        <w:numId w:val="10"/>
      </w:numPr>
      <w:suppressLineNumbers w:val="0"/>
      <w:adjustRightInd w:val="0"/>
      <w:snapToGrid w:val="0"/>
      <w:spacing w:before="50" w:beforeLines="50" w:beforeAutospacing="0" w:after="50" w:afterLines="50" w:afterAutospacing="0"/>
      <w:ind w:left="0" w:right="0" w:firstLine="0"/>
      <w:jc w:val="center"/>
    </w:pPr>
    <w:rPr>
      <w:rFonts w:hint="eastAsia" w:ascii="黑体" w:hAnsi="Times New Roman" w:eastAsia="黑体" w:cs="Times New Roman"/>
      <w:kern w:val="0"/>
      <w:sz w:val="21"/>
      <w:szCs w:val="20"/>
      <w:lang w:val="en-US" w:eastAsia="zh-CN" w:bidi="ar"/>
    </w:rPr>
  </w:style>
  <w:style w:type="character" w:customStyle="1" w:styleId="66">
    <w:name w:val="15"/>
    <w:basedOn w:val="19"/>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848f9295-0101-4149-a96a-090c991d54e0</errorID>
      <errorWord>批批</errorWord>
      <group>L1_Word</group>
      <groupName>字词问题</groupName>
      <ability>L2_Typo</ability>
      <abilityName>字词错误</abilityName>
      <candidateList>
        <item>批</item>
      </candidateList>
      <explain/>
      <paraID>37CF72A6</paraID>
      <start>22</start>
      <end>23</end>
      <status>modified</status>
      <modifiedWord>批</modifiedWord>
      <trackRevisions>false</trackRevisions>
    </reviewItem>
    <reviewItem>
      <errorID>51f09fa8-40a3-4279-b4bd-ec0a402c889c</errorID>
      <errorWord>报告显示</errorWord>
      <group>L1_Grammar</group>
      <groupName>语法问题</groupName>
      <ability>L2_Confusion</ability>
      <abilityName>结构混乱</abilityName>
      <candidateList>
        <item>报告</item>
      </candidateList>
      <explain>句子中可能存在两种以上的句法结构，导致结构混乱。</explain>
      <paraID>382028AA</paraID>
      <start>123</start>
      <end>127</end>
      <status>unmodified</status>
      <modifiedWord/>
      <trackRevisions>false</trackRevisions>
    </reviewItem>
    <reviewItem>
      <errorID>f77438f1-64f4-4012-b3db-a744a6a4be96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8BC3893</paraID>
      <start>51</start>
      <end>52</end>
      <status>unmodified</status>
      <modifiedWord/>
      <trackRevisions>false</trackRevisions>
    </reviewItem>
    <reviewItem>
      <errorID>4e85b6e5-57a0-49a9-9e5c-9c41b254d6cb</errorID>
      <errorWord>二个</errorWord>
      <group>L1_Word</group>
      <groupName>字词问题</groupName>
      <ability>L2_Typo</ability>
      <abilityName>字词错误</abilityName>
      <candidateList>
        <item>两个</item>
      </candidateList>
      <explain/>
      <paraID>3AC50CC4</paraID>
      <start>41</start>
      <end>43</end>
      <status>unmodified</status>
      <modifiedWord/>
      <trackRevisions>false</trackRevisions>
    </reviewItem>
    <reviewItem>
      <errorID>38ec112e-da5a-41ab-a317-66c0a731196e</errorID>
      <errorWord>)</errorWord>
      <group>L1_Format</group>
      <groupName>格式问题</groupName>
      <ability>L2_HalfPunc</ability>
      <abilityName>全半角检查</abilityName>
      <candidateList>
        <item>）</item>
      </candidateList>
      <explain>文本全半角错误。</explain>
      <paraID>7BC87018</paraID>
      <start>86</start>
      <end>87</end>
      <status>unmodified</status>
      <modifiedWord/>
      <trackRevisions>false</trackRevisions>
    </reviewItem>
    <reviewItem>
      <errorID>bdc0e2d8-e730-42a1-af62-96dafa5e31f6</errorID>
      <errorWord>.</errorWord>
      <group>L1_Format</group>
      <groupName>格式问题</groupName>
      <ability>L2_HalfPunc</ability>
      <abilityName>全半角检查</abilityName>
      <candidateList>
        <item>。</item>
      </candidateList>
      <explain>文本全半角错误。</explain>
      <paraID>5CB3CC5D</paraID>
      <start>27</start>
      <end>28</end>
      <status>unmodified</status>
      <modifiedWord/>
      <trackRevisions>false</trackRevisions>
    </reviewItem>
    <reviewItem>
      <errorID>f40fba67-5eb5-4946-9d3b-76aed7c045b9</errorID>
      <errorWord>.</errorWord>
      <group>L1_Format</group>
      <groupName>格式问题</groupName>
      <ability>L2_HalfPunc</ability>
      <abilityName>全半角检查</abilityName>
      <candidateList>
        <item>。</item>
      </candidateList>
      <explain>文本全半角错误。</explain>
      <paraID>757CE454</paraID>
      <start>9</start>
      <end>10</end>
      <status>unmodified</status>
      <modifiedWord/>
      <trackRevisions>false</trackRevisions>
    </reviewItem>
    <reviewItem>
      <errorID>3b7968d2-f95b-44f5-a526-350e525cb73b</errorID>
      <errorWord>.</errorWord>
      <group>L1_Format</group>
      <groupName>格式问题</groupName>
      <ability>L2_HalfPunc</ability>
      <abilityName>全半角检查</abilityName>
      <candidateList>
        <item>。</item>
      </candidateList>
      <explain>文本全半角错误。</explain>
      <paraID>58B1BD4A</paraID>
      <start>9</start>
      <end>10</end>
      <status>unmodified</status>
      <modifiedWord/>
      <trackRevisions>false</trackRevisions>
    </reviewItem>
    <reviewItem>
      <errorID>f32a0bcd-fcc0-46a8-a70e-4208cb8ab03b</errorID>
      <errorWord>)</errorWord>
      <group>L1_Format</group>
      <groupName>格式问题</groupName>
      <ability>L2_HalfPunc</ability>
      <abilityName>全半角检查</abilityName>
      <candidateList>
        <item>）</item>
      </candidateList>
      <explain>文本全半角错误。</explain>
      <paraID>74CC5957</paraID>
      <start>67</start>
      <end>68</end>
      <status>unmodified</status>
      <modifiedWord/>
      <trackRevisions>false</trackRevisions>
    </reviewItem>
    <reviewItem>
      <errorID>a06c349f-1923-4b60-852c-4ffa61ca62f5</errorID>
      <errorWord>,</errorWord>
      <group>L1_Format</group>
      <groupName>格式问题</groupName>
      <ability>L2_HalfPunc</ability>
      <abilityName>全半角检查</abilityName>
      <candidateList>
        <item>，</item>
      </candidateList>
      <explain>文本全半角错误。</explain>
      <paraID>7F516FD9</paraID>
      <start>41</start>
      <end>42</end>
      <status>unmodified</status>
      <modifiedWord/>
      <trackRevisions>false</trackRevisions>
    </reviewItem>
    <reviewItem>
      <errorID>52a2fefd-cd29-4e1e-b6cd-d8bdc65a7662</errorID>
      <errorWord>(</errorWord>
      <group>L1_Format</group>
      <groupName>格式问题</groupName>
      <ability>L2_HalfPunc</ability>
      <abilityName>全半角检查</abilityName>
      <candidateList>
        <item>（</item>
      </candidateList>
      <explain>文本全半角错误。</explain>
      <paraID>5B156E5C</paraID>
      <start>162</start>
      <end>163</end>
      <status>unmodified</status>
      <modifiedWord/>
      <trackRevisions>false</trackRevisions>
    </reviewItem>
    <reviewItem>
      <errorID>cc11fbac-7b4a-4675-98c4-b4c32f392599</errorID>
      <errorWord>)</errorWord>
      <group>L1_Format</group>
      <groupName>格式问题</groupName>
      <ability>L2_HalfPunc</ability>
      <abilityName>全半角检查</abilityName>
      <candidateList>
        <item>）</item>
      </candidateList>
      <explain>文本全半角错误。</explain>
      <paraID>5B156E5C</paraID>
      <start>168</start>
      <end>169</end>
      <status>unmodified</status>
      <modifiedWord/>
      <trackRevisions>false</trackRevisions>
    </reviewItem>
    <reviewItem>
      <errorID>e1f7b14c-6845-452e-a293-bb93754dd3c6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40566B4E</paraID>
      <start>8</start>
      <end>9</end>
      <status>unmodified</status>
      <modifiedWord/>
      <trackRevisions>false</trackRevisions>
    </reviewItem>
    <reviewItem>
      <errorID>06472095-c5a0-4434-9eeb-c790728da28a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2D211D17</paraID>
      <start>7</start>
      <end>8</end>
      <status>unmodified</status>
      <modifiedWord/>
      <trackRevisions>false</trackRevisions>
    </reviewItem>
    <reviewItem>
      <errorID>340b3ce8-0a52-4c52-880c-e48240fa6497</errorID>
      <errorWord>《肛管直肠常见疾病超声检查与诊断规范》（草案）</errorWord>
      <group>L1_Knowledge</group>
      <groupName>知识性问题</groupName>
      <ability>L2_Knowledge</ability>
      <abilityName>其他知识</abilityName>
      <candidateList>
        <item>《肛管直肠常见疾病超声检查与诊断规范（草案）》</item>
      </candidateList>
      <explain>疑似政策文件、法律法规名称等书写不规范，请注意检查。</explain>
      <paraID>2D211D17</paraID>
      <start>137</start>
      <end>160</end>
      <status>unmodified</status>
      <modifiedWord/>
      <trackRevisions>false</trackRevisions>
    </reviewItem>
    <reviewItem>
      <errorID>200a9526-9cd3-4d92-81d0-03f8ff08e6dd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24684DDC</paraID>
      <start>7</start>
      <end>8</end>
      <status>unmodified</status>
      <modifiedWord/>
      <trackRevisions>false</trackRevisions>
    </reviewItem>
    <reviewItem>
      <errorID>030edfa3-deff-4596-98a3-9a200329f287</errorID>
      <errorWord>《肛管直肠常见疾病超声检查与诊断规范》（征求意见稿）</errorWord>
      <group>L1_Knowledge</group>
      <groupName>知识性问题</groupName>
      <ability>L2_Knowledge</ability>
      <abilityName>其他知识</abilityName>
      <candidateList>
        <item>《肛管直肠常见疾病超声检查与诊断规范（征求意见稿）》</item>
      </candidateList>
      <explain>疑似政策文件、法律法规名称等书写不规范，请注意检查。</explain>
      <paraID>24684DDC</paraID>
      <start>168</start>
      <end>194</end>
      <status>unmodified</status>
      <modifiedWord/>
      <trackRevisions>false</trackRevisions>
    </reviewItem>
    <reviewItem>
      <errorID>280c9c2a-2d4d-4966-bcc0-f64a7ece15ab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118C23CA</paraID>
      <start>7</start>
      <end>8</end>
      <status>unmodified</status>
      <modifiedWord/>
      <trackRevisions>false</trackRevisions>
    </reviewItem>
    <reviewItem>
      <errorID>7d523ed1-8e87-43f5-8f46-e9842b4785b2</errorID>
      <errorWord>法律、法规</errorWord>
      <group>L1_Word</group>
      <groupName>字词问题</groupName>
      <ability>L2_Typo</ability>
      <abilityName>字词错误</abilityName>
      <candidateList>
        <item>法律法规</item>
      </candidateList>
      <explain/>
      <paraID>423E8998</paraID>
      <start>16</start>
      <end>21</end>
      <status>unmodified</status>
      <modifiedWord/>
      <trackRevisions>false</trackRevisions>
    </reviewItem>
    <reviewItem>
      <errorID>e62c98b4-84a1-4529-bc00-8654720a9dfc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1232FA9D</paraID>
      <start>0</start>
      <end>2</end>
      <status>unmodified</status>
      <modifiedWord/>
      <trackRevisions>false</trackRevisions>
    </reviewItem>
    <reviewItem>
      <errorID>dcdbc0ff-1ae9-4375-a791-44436659190d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2CCAEDA8</paraID>
      <start>0</start>
      <end>2</end>
      <status>unmodified</status>
      <modifiedWord/>
      <trackRevisions>false</trackRevisions>
    </reviewItem>
    <reviewItem>
      <errorID>171246ac-d320-4b8a-9647-20a297336c72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7F77537C</paraID>
      <start>0</start>
      <end>2</end>
      <status>unmodified</status>
      <modifiedWord/>
      <trackRevisions>false</trackRevisions>
    </reviewItem>
    <reviewItem>
      <errorID>f1758d3c-67a8-4b0c-a99d-eebb97548ac2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411641D6</paraID>
      <start>0</start>
      <end>2</end>
      <status>unmodified</status>
      <modifiedWord/>
      <trackRevisions>false</trackRevisions>
    </reviewItem>
    <reviewItem>
      <errorID>8e232187-5cce-49c3-aaec-ddd7d34bd511</errorID>
      <errorWord>法律、法规</errorWord>
      <group>L1_Word</group>
      <groupName>字词问题</groupName>
      <ability>L2_Typo</ability>
      <abilityName>字词错误</abilityName>
      <candidateList>
        <item>法律法规</item>
      </candidateList>
      <explain/>
      <paraID>6D47F5E6</paraID>
      <start>6</start>
      <end>11</end>
      <status>unmodified</status>
      <modifiedWord/>
      <trackRevisions>false</trackRevisions>
    </reviewItem>
    <reviewItem>
      <errorID>e1d59303-23aa-4189-ba36-7ad654b757bd</errorID>
      <errorWord>暂无与</errorWord>
      <group>L1_Word</group>
      <groupName>字词问题</groupName>
      <ability>L2_Typo</ability>
      <abilityName>字词错误</abilityName>
      <candidateList>
        <item>暂无</item>
      </candidateList>
      <explain/>
      <paraID>2805F106</paraID>
      <start>6</start>
      <end>9</end>
      <status>unmodified</status>
      <modifiedWord/>
      <trackRevisions>false</trackRevisions>
    </reviewItem>
    <reviewItem>
      <errorID>300a4680-46f0-402d-a550-99f3c8ed8b72</errorID>
      <errorWord>:</errorWord>
      <group>L1_Format</group>
      <groupName>格式问题</groupName>
      <ability>L2_HalfPunc</ability>
      <abilityName>全半角检查</abilityName>
      <candidateList>
        <item>：</item>
      </candidateList>
      <explain>文本全半角错误。</explain>
      <paraID>540C8F24</paraID>
      <start>33</start>
      <end>34</end>
      <status>unmodified</status>
      <modifiedWord/>
      <trackRevisions>false</trackRevisions>
    </reviewItem>
    <reviewItem>
      <errorID>f779c65f-2984-46cd-acba-3e394da64dd1</errorID>
      <errorWord>直肠病检查</errorWord>
      <group>L1_Knowledge</group>
      <groupName>知识性问题</groupName>
      <ability>L2_Term</ability>
      <abilityName>专业术语</abilityName>
      <candidateList>
        <item>直肠镜检查</item>
      </candidateList>
      <explain/>
      <paraID> F6E50BA</paraID>
      <start>105</start>
      <end>110</end>
      <status>unmodified</status>
      <modifiedWord/>
      <trackRevisions>false</trackRevisions>
    </reviewItem>
    <reviewItem>
      <errorID>09eb7522-1361-400b-af86-d5d9ce065ecd</errorID>
      <errorWord>上述标准上述标准</errorWord>
      <group>L1_Word</group>
      <groupName>字词问题</groupName>
      <ability>L2_Typo</ability>
      <abilityName>字词错误</abilityName>
      <candidateList>
        <item>上述标准</item>
      </candidateList>
      <explain/>
      <paraID>53DED535</paraID>
      <start>0</start>
      <end>8</end>
      <status>unmodified</status>
      <modifiedWord/>
      <trackRevisions>false</trackRevisions>
    </reviewItem>
    <reviewItem>
      <errorID>a43ab89d-ff2f-4b2b-91c5-4d4ff6cdb3ed</errorID>
      <errorWord>病证</errorWord>
      <group>L1_Word</group>
      <groupName>字词问题</groupName>
      <ability>L2_Typo</ability>
      <abilityName>字词错误</abilityName>
      <candidateList>
        <item>病症</item>
      </candidateList>
      <explain>存在发音相同字词的误用。</explain>
      <paraID>53DED535</paraID>
      <start>43</start>
      <end>45</end>
      <status>unmodified</status>
      <modifiedWord/>
      <trackRevisions>false</trackRevisions>
    </reviewItem>
    <reviewItem>
      <errorID>faeedd0d-262b-4f8e-a71e-5ce0cf624c5a</errorID>
      <errorWord>科技进步三等奖</errorWord>
      <group>L1_Political</group>
      <groupName>政治性问题</groupName>
      <ability>L2_Unpolitical</ability>
      <abilityName>政治敏感错误</abilityName>
      <candidateList>
        <item>科技进步奖三等奖</item>
      </candidateList>
      <explain/>
      <paraID>15BD0DF2</paraID>
      <start>302</start>
      <end>309</end>
      <status>unmodified</status>
      <modifiedWord/>
      <trackRevisions>false</trackRevisions>
    </reviewItem>
    <reviewItem>
      <errorID>4898c216-7fa0-43ae-804b-8a5e1bca6754</errorID>
      <errorWord>分</errorWord>
      <group>L1_Word</group>
      <groupName>字词问题</groupName>
      <ability>L2_Typo</ability>
      <abilityName>字词错误</abilityName>
      <candidateList>
        <item>分为</item>
      </candidateList>
      <explain/>
      <paraID>77397FF7</paraID>
      <start>171</start>
      <end>173</end>
      <status>modified</status>
      <modifiedWord>分为</modifiedWord>
      <trackRevisions>false</trackRevisions>
    </reviewItem>
    <reviewItem>
      <errorID>da42a421-e4ba-491d-b139-8b52ae4c14f1</errorID>
      <errorWord>，，</errorWord>
      <group>L1_Punc</group>
      <groupName>标点问题</groupName>
      <ability>L2_Punc</ability>
      <abilityName>标点符号检查</abilityName>
      <candidateList>
        <item>，</item>
      </candidateList>
      <explain/>
      <paraID>77397FF7</paraID>
      <start>282</start>
      <end>283</end>
      <status>modified</status>
      <modifiedWord>，</modifiedWord>
      <trackRevisions>false</trackRevisions>
    </reviewItem>
    <reviewItem>
      <errorID>ba9e23a2-c27a-4322-bdf4-1be5b2527eb1</errorID>
      <errorWord>。：</errorWord>
      <group>L1_Punc</group>
      <groupName>标点问题</groupName>
      <ability>L2_Punc</ability>
      <abilityName>标点符号检查</abilityName>
      <candidateList>
        <item>。</item>
      </candidateList>
      <explain/>
      <paraID>77397FF7</paraID>
      <start>400</start>
      <end>401</end>
      <status>modified</status>
      <modifiedWord>。</modifiedWord>
      <trackRevisions>false</trackRevisions>
    </reviewItem>
    <reviewItem>
      <errorID>5daa93ae-c937-41a4-8fe4-84d44ed7b663</errorID>
      <errorWord>.</errorWord>
      <group>L1_Format</group>
      <groupName>格式问题</groupName>
      <ability>L2_HalfPunc</ability>
      <abilityName>全半角检查</abilityName>
      <candidateList>
        <item>。</item>
      </candidateList>
      <explain>文本全半角错误。</explain>
      <paraID> 39243CA</paraID>
      <start>8</start>
      <end>9</end>
      <status>unmodified</status>
      <modifiedWord/>
      <trackRevisions>false</trackRevisions>
    </reviewItem>
    <reviewItem>
      <errorID>1be3ded9-483c-46b1-bd13-76919b41b15c</errorID>
      <errorWord>、和</errorWord>
      <group>L1_Punc</group>
      <groupName>标点问题</groupName>
      <ability>L2_Punc</ability>
      <abilityName>标点符号检查</abilityName>
      <candidateList>
        <item>和</item>
      </candidateList>
      <explain>“及”“和”“等”连词前不宜使用顿号，建议删除（或使用逗号）。</explain>
      <paraID>7A9BC06D</paraID>
      <start>82</start>
      <end>84</end>
      <status>unmodified</status>
      <modifiedWord/>
      <trackRevisions>false</trackRevisions>
    </reviewItem>
    <reviewItem>
      <errorID>604fc672-d54f-4afe-9f89-e2c828853298</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 901A062</paraID>
      <start>22</start>
      <end>25</end>
      <status>modified</status>
      <modifiedWord>禁忌证</modifiedWord>
      <trackRevisions>false</trackRevisions>
    </reviewItem>
    <reviewItem>
      <errorID>2fd8c22b-1385-4f2a-8602-3236fb0004db</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3D6FAB2F</paraID>
      <start>0</start>
      <end>3</end>
      <status>modified</status>
      <modifiedWord>禁忌证</modifiedWord>
      <trackRevisions>false</trackRevisions>
    </reviewItem>
    <reviewItem>
      <errorID>97bc1fec-cb82-447c-bd00-664da37afd35</errorID>
      <errorWord>声像图</errorWord>
      <group>L1_Word</group>
      <groupName>字词问题</groupName>
      <ability>L2_Typo</ability>
      <abilityName>字词错误</abilityName>
      <candidateList>
        <item>声像</item>
      </candidateList>
      <explain/>
      <paraID>3D6FAB2F</paraID>
      <start>183</start>
      <end>186</end>
      <status>unmodified</status>
      <modifiedWord/>
      <trackRevisions>false</trackRevisions>
    </reviewItem>
    <reviewItem>
      <errorID>c72f1653-dc98-45ec-8c24-dfc59f5bd0ac</errorID>
      <errorWord>)</errorWord>
      <group>L1_Format</group>
      <groupName>格式问题</groupName>
      <ability>L2_HalfPunc</ability>
      <abilityName>全半角检查</abilityName>
      <candidateList>
        <item>）</item>
      </candidateList>
      <explain>文本全半角错误。</explain>
      <paraID>3D6FAB2F</paraID>
      <start>226</start>
      <end>227</end>
      <status>unmodified</status>
      <modifiedWord/>
      <trackRevisions>false</trackRevisions>
    </reviewItem>
    <reviewItem>
      <errorID>a7611185-5d11-4cbf-bb5f-49c4394ef036</errorID>
      <errorWord>)</errorWord>
      <group>L1_Format</group>
      <groupName>格式问题</groupName>
      <ability>L2_HalfPunc</ability>
      <abilityName>全半角检查</abilityName>
      <candidateList>
        <item>）</item>
      </candidateList>
      <explain>文本全半角错误。</explain>
      <paraID>2D837344</paraID>
      <start>28</start>
      <end>29</end>
      <status>unmodified</status>
      <modifiedWord/>
      <trackRevisions>false</trackRevisions>
    </reviewItem>
    <reviewItem>
      <errorID>5b4f9edc-7d4c-4f5d-8fae-20b4ab6167e5</errorID>
      <errorWord>1-2天</errorWord>
      <group>L1_Word</group>
      <groupName>字词问题</groupName>
      <ability>L2_Typo</ability>
      <abilityName>字词错误</abilityName>
      <candidateList>
        <item>1～2天</item>
      </candidateList>
      <explain/>
      <paraID>791FE39D</paraID>
      <start>11</start>
      <end>15</end>
      <status>modified</status>
      <modifiedWord>1～2天</modifiedWord>
      <trackRevisions>false</trackRevisions>
    </reviewItem>
    <reviewItem>
      <errorID>893a1add-da26-479f-913f-a68e4f36f925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791FE39D</paraID>
      <start>91</start>
      <end>92</end>
      <status>unmodified</status>
      <modifiedWord/>
      <trackRevisions>false</trackRevisions>
    </reviewItem>
    <reviewItem>
      <errorID>5db921a1-2312-4d28-9315-d07b4d4f5fbe</errorID>
      <errorWord>体位性低血压</errorWord>
      <group>L1_Knowledge</group>
      <groupName>知识性问题</groupName>
      <ability>L2_Term</ability>
      <abilityName>专业术语</abilityName>
      <candidateList>
        <item>直立性低血压</item>
      </candidateList>
      <explain>医学名词[体位性低血压]为不规范表述或旧称，其规范书面表述为[直立性低血压]。</explain>
      <paraID> C25A3B8</paraID>
      <start>148</start>
      <end>154</end>
      <status>unmodified</status>
      <modifiedWord/>
      <trackRevisions>false</trackRevisions>
    </reviewItem>
    <reviewItem>
      <errorID>cf03bfe7-e946-44b1-8784-ca0b9faef569</errorID>
      <errorWord>，</errorWord>
      <group>L1_Word</group>
      <groupName>字词问题</groupName>
      <ability>L2_Typo</ability>
      <abilityName>字词错误</abilityName>
      <candidateList>
        <item>，有</item>
      </candidateList>
      <explain/>
      <paraID> C25A3B8</paraID>
      <start>191</start>
      <end>192</end>
      <status>unmodified</status>
      <modifiedWord/>
      <trackRevisions>false</trackRevisions>
    </reviewItem>
    <reviewItem>
      <errorID>f21d2305-41db-4301-ae58-5da5c567416d</errorID>
      <errorWord>作出</errorWord>
      <group>L1_Word</group>
      <groupName>字词问题</groupName>
      <ability>L2_Typo</ability>
      <abilityName>字词错误</abilityName>
      <candidateList>
        <item>做出</item>
      </candidateList>
      <explain/>
      <paraID>7CEDA5D2</paraID>
      <start>76</start>
      <end>78</end>
      <status>unmodified</status>
      <modifiedWord/>
      <trackRevisions>false</trackRevisions>
    </reviewItem>
    <reviewItem>
      <errorID>4ba56050-aef2-4cbe-ab71-9a038a9ce6d1</errorID>
      <errorWord>(</errorWord>
      <group>L1_Format</group>
      <groupName>格式问题</groupName>
      <ability>L2_HalfPunc</ability>
      <abilityName>全半角检查</abilityName>
      <candidateList>
        <item>（</item>
      </candidateList>
      <explain>文本全半角错误。</explain>
      <paraID>7CEDA5D2</paraID>
      <start>150</start>
      <end>151</end>
      <status>unmodified</status>
      <modifiedWord/>
      <trackRevisions>false</trackRevisions>
    </reviewItem>
    <reviewItem>
      <errorID>4139b02b-b020-473d-88ae-212859ba6a53</errorID>
      <errorWord>)</errorWord>
      <group>L1_Format</group>
      <groupName>格式问题</groupName>
      <ability>L2_HalfPunc</ability>
      <abilityName>全半角检查</abilityName>
      <candidateList>
        <item>）</item>
      </candidateList>
      <explain>文本全半角错误。</explain>
      <paraID>7CEDA5D2</paraID>
      <start>175</start>
      <end>176</end>
      <status>unmodified</status>
      <modifiedWord/>
      <trackRevisions>false</trackRevisions>
    </reviewItem>
    <reviewItem>
      <errorID>c5a7b3a8-21e3-475c-8022-b47f1a3c2696</errorID>
      <errorWord>;</errorWord>
      <group>L1_Format</group>
      <groupName>格式问题</groupName>
      <ability>L2_HalfPunc</ability>
      <abilityName>全半角检查</abilityName>
      <candidateList>
        <item>；</item>
      </candidateList>
      <explain>文本全半角错误。</explain>
      <paraID>7CEDA5D2</paraID>
      <start>239</start>
      <end>240</end>
      <status>unmodified</status>
      <modifiedWord/>
      <trackRevisions>false</trackRevisions>
    </reviewItem>
    <reviewItem>
      <errorID>a368a286-38bd-44fb-9595-344a58c4dc4b</errorID>
      <errorWord>)</errorWord>
      <group>L1_Format</group>
      <groupName>格式问题</groupName>
      <ability>L2_HalfPunc</ability>
      <abilityName>全半角检查</abilityName>
      <candidateList>
        <item>）</item>
      </candidateList>
      <explain>文本全半角错误。</explain>
      <paraID>401D4793</paraID>
      <start>69</start>
      <end>70</end>
      <status>unmodified</status>
      <modifiedWord/>
      <trackRevisions>false</trackRevisions>
    </reviewItem>
    <reviewItem>
      <errorID>e0b01b9d-83cf-4467-a7c7-6ff9f57de381</errorID>
      <errorWord>-</errorWord>
      <group>L1_Format</group>
      <groupName>格式问题</groupName>
      <ability>L2_HalfPunc</ability>
      <abilityName>全半角检查</abilityName>
      <candidateList>
        <item>－</item>
      </candidateList>
      <explain>文本全半角错误。</explain>
      <paraID>332E001B</paraID>
      <start>50</start>
      <end>51</end>
      <status>unmodified</status>
      <modifiedWord/>
      <trackRevisions>false</trackRevisions>
    </reviewItem>
    <reviewItem>
      <errorID>42c6978d-8be6-437e-83ac-2d64915bad97</errorID>
      <errorWord>-</errorWord>
      <group>L1_Format</group>
      <groupName>格式问题</groupName>
      <ability>L2_HalfPunc</ability>
      <abilityName>全半角检查</abilityName>
      <candidateList>
        <item>－</item>
      </candidateList>
      <explain>文本全半角错误。</explain>
      <paraID>42791403</paraID>
      <start>151</start>
      <end>152</end>
      <status>unmodified</status>
      <modifiedWord/>
      <trackRevisions>false</trackRevisions>
    </reviewItem>
    <reviewItem>
      <errorID>bfd5a10b-09e1-4780-a0a8-86a54ec77838</errorID>
      <errorWord>-</errorWord>
      <group>L1_Format</group>
      <groupName>格式问题</groupName>
      <ability>L2_HalfPunc</ability>
      <abilityName>全半角检查</abilityName>
      <candidateList>
        <item>－</item>
      </candidateList>
      <explain>文本全半角错误。</explain>
      <paraID>42791403</paraID>
      <start>154</start>
      <end>155</end>
      <status>unmodified</status>
      <modifiedWord/>
      <trackRevisions>false</trackRevisions>
    </reviewItem>
    <reviewItem>
      <errorID>b1ada262-046a-4571-94a3-1964cf35530e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7831E16B</paraID>
      <start>37</start>
      <end>38</end>
      <status>unmodified</status>
      <modifiedWord/>
      <trackRevisions>false</trackRevisions>
    </reviewItem>
    <reviewItem>
      <errorID>3303bae7-1be4-4f44-9c21-a8431f538d05</errorID>
      <errorWord>-</errorWord>
      <group>L1_Format</group>
      <groupName>格式问题</groupName>
      <ability>L2_HalfPunc</ability>
      <abilityName>全半角检查</abilityName>
      <candidateList>
        <item>－</item>
      </candidateList>
      <explain>文本全半角错误。</explain>
      <paraID>7831E16B</paraID>
      <start>60</start>
      <end>61</end>
      <status>unmodified</status>
      <modifiedWord/>
      <trackRevisions>false</trackRevisions>
    </reviewItem>
    <reviewItem>
      <errorID>2b3236e1-7995-463b-aeb9-d5422be7de72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5763B7FE</paraID>
      <start>48</start>
      <end>49</end>
      <status>unmodified</status>
      <modifiedWord/>
      <trackRevisions>false</trackRevisions>
    </reviewItem>
    <reviewItem>
      <errorID>00b07cea-0c50-4404-843a-66e42359356d</errorID>
      <errorWord>"</errorWord>
      <group>L1_Format</group>
      <groupName>格式问题</groupName>
      <ability>L2_HalfPunc</ability>
      <abilityName>全半角检查</abilityName>
      <candidateList>
        <item>“</item>
      </candidateList>
      <explain>文本全半角错误。</explain>
      <paraID> 77F1EE4</paraID>
      <start>73</start>
      <end>74</end>
      <status>unmodified</status>
      <modifiedWord/>
      <trackRevisions>false</trackRevisions>
    </reviewItem>
    <reviewItem>
      <errorID>7566b4b2-d74d-4c23-bffe-15a6887738a0</errorID>
      <errorWord>"</errorWord>
      <group>L1_Format</group>
      <groupName>格式问题</groupName>
      <ability>L2_HalfPunc</ability>
      <abilityName>全半角检查</abilityName>
      <candidateList>
        <item>”</item>
      </candidateList>
      <explain>文本全半角错误。</explain>
      <paraID> 77F1EE4</paraID>
      <start>78</start>
      <end>79</end>
      <status>unmodified</status>
      <modifiedWord/>
      <trackRevisions>false</trackRevisions>
    </reviewItem>
    <reviewItem>
      <errorID>d6da7efa-5741-43e7-ae12-daaba9c0df03</errorID>
      <errorWord>"</errorWord>
      <group>L1_Format</group>
      <groupName>格式问题</groupName>
      <ability>L2_HalfPunc</ability>
      <abilityName>全半角检查</abilityName>
      <candidateList>
        <item>“</item>
      </candidateList>
      <explain>文本全半角错误。</explain>
      <paraID>7166E591</paraID>
      <start>91</start>
      <end>92</end>
      <status>unmodified</status>
      <modifiedWord/>
      <trackRevisions>false</trackRevisions>
    </reviewItem>
    <reviewItem>
      <errorID>23d2e4c9-6764-468b-bc33-9ca3e311ea7a</errorID>
      <errorWord>"</errorWord>
      <group>L1_Format</group>
      <groupName>格式问题</groupName>
      <ability>L2_HalfPunc</ability>
      <abilityName>全半角检查</abilityName>
      <candidateList>
        <item>”</item>
      </candidateList>
      <explain>文本全半角错误。</explain>
      <paraID>7166E591</paraID>
      <start>96</start>
      <end>97</end>
      <status>unmodified</status>
      <modifiedWord/>
      <trackRevisions>false</trackRevisions>
    </reviewItem>
    <reviewItem>
      <errorID>bceaac8d-03e8-42cf-b394-88860bbfabef</errorID>
      <errorWord>数据及</errorWord>
      <group>L1_Word</group>
      <groupName>字词问题</groupName>
      <ability>L2_Typo</ability>
      <abilityName>字词错误</abilityName>
      <candidateList>
        <item>数据</item>
      </candidateList>
      <explain/>
      <paraID>7A6B90EB</paraID>
      <start>22</start>
      <end>25</end>
      <status>unmodified</status>
      <modifiedWord/>
      <trackRevisions>false</trackRevisions>
    </reviewItem>
    <reviewItem>
      <errorID>72ad4063-9e8d-4a1a-abf4-e5b1070a5d59</errorID>
      <errorWord>5-10%</errorWord>
      <group>L1_Knowledge</group>
      <groupName>知识性问题</groupName>
      <ability>L2_Knowledge</ability>
      <abilityName>其他知识</abilityName>
      <candidateList>
        <item>5%—10%</item>
      </candidateList>
      <explain>1. “5-10%”中的单位“%”仅出现在后一个数字上，容易引起歧义；根据《现代汉语标点符号数字用法规范手册》，数字表示范围两边需要使用统一的格式。2. 根据标点国标 4.13 中的规则，数字、时间或地域连接符应使用（视觉上更长的）“—”或“～”。</explain>
      <paraID>7A6B90EB</paraID>
      <start>82</start>
      <end>87</end>
      <status>unmodified</status>
      <modifiedWord/>
      <trackRevisions>false</trackRevisions>
    </reviewItem>
    <reviewItem>
      <errorID>d745ed41-b79b-4f6a-96fa-dd1aac41c426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7A6B90EB</paraID>
      <start>95</start>
      <end>96</end>
      <status>unmodified</status>
      <modifiedWord/>
      <trackRevisions>false</trackRevisions>
    </reviewItem>
    <reviewItem>
      <errorID>248193c2-5e00-4e28-9fb4-f512fe21c69b</errorID>
      <errorWord>及及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7A6B90EB</paraID>
      <start>176</start>
      <end>177</end>
      <status>modified</status>
      <modifiedWord>及</modifiedWord>
      <trackRevisions>false</trackRevisions>
    </reviewItem>
    <reviewItem>
      <errorID>6424b6c2-d4b2-4983-9268-2f5dcde96fd6</errorID>
      <errorWord>应该并</errorWord>
      <group>L1_Word</group>
      <groupName>字词问题</groupName>
      <ability>L2_Typo</ability>
      <abilityName>字词错误</abilityName>
      <candidateList>
        <item>应该</item>
      </candidateList>
      <explain>〈动〉助动词。表示理所当然：～爱护公共财产｜为了大伙儿的事，我多受点累也是～的。</explain>
      <paraID>7A6B90EB</paraID>
      <start>250</start>
      <end>252</end>
      <status>modified</status>
      <modifiedWord>应该</modifiedWord>
      <trackRevisions>false</trackRevisions>
    </reviewItem>
    <reviewItem>
      <errorID>5da291b7-5ee6-43ec-ac26-c398af741e4b</errorID>
      <errorWord>,</errorWord>
      <group>L1_Format</group>
      <groupName>格式问题</groupName>
      <ability>L2_HalfPunc</ability>
      <abilityName>全半角检查</abilityName>
      <candidateList>
        <item>，</item>
      </candidateList>
      <explain>文本全半角错误。</explain>
      <paraID>1EC642AC</paraID>
      <start>63</start>
      <end>64</end>
      <status>unmodified</status>
      <modifiedWord/>
      <trackRevisions>false</trackRevisions>
    </reviewItem>
    <reviewItem>
      <errorID>0ddaa12d-7a7e-4389-a482-b6edb95f9391</errorID>
      <errorWord>,</errorWord>
      <group>L1_Format</group>
      <groupName>格式问题</groupName>
      <ability>L2_HalfPunc</ability>
      <abilityName>全半角检查</abilityName>
      <candidateList>
        <item>，</item>
      </candidateList>
      <explain>文本全半角错误。</explain>
      <paraID>74B3E2CE</paraID>
      <start>101</start>
      <end>102</end>
      <status>unmodified</status>
      <modifiedWord/>
      <trackRevisions>false</trackRevisions>
    </reviewItem>
    <reviewItem>
      <errorID>4ea1e9eb-e732-4a09-a809-ea418e9cc82a</errorID>
      <errorWord>,</errorWord>
      <group>L1_Format</group>
      <groupName>格式问题</groupName>
      <ability>L2_HalfPunc</ability>
      <abilityName>全半角检查</abilityName>
      <candidateList>
        <item>，</item>
      </candidateList>
      <explain>文本全半角错误。</explain>
      <paraID>74B3E2CE</paraID>
      <start>105</start>
      <end>106</end>
      <status>unmodified</status>
      <modifiedWord/>
      <trackRevisions>false</trackRevisions>
    </reviewItem>
    <reviewItem>
      <errorID>5cfd5880-4ba6-4470-8bcc-1755ecaa2850</errorID>
      <errorWord>,</errorWord>
      <group>L1_Format</group>
      <groupName>格式问题</groupName>
      <ability>L2_HalfPunc</ability>
      <abilityName>全半角检查</abilityName>
      <candidateList>
        <item>，</item>
      </candidateList>
      <explain>文本全半角错误。</explain>
      <paraID>74B3E2CE</paraID>
      <start>109</start>
      <end>110</end>
      <status>unmodified</status>
      <modifiedWord/>
      <trackRevisions>false</trackRevisions>
    </reviewItem>
    <reviewItem>
      <errorID>89e2d8da-9617-43ef-9d50-2d792ef34b7e</errorID>
      <errorWord>.</errorWord>
      <group>L1_Format</group>
      <groupName>格式问题</groupName>
      <ability>L2_HalfPunc</ability>
      <abilityName>全半角检查</abilityName>
      <candidateList>
        <item>。</item>
      </candidateList>
      <explain>文本全半角错误。</explain>
      <paraID>74B3E2CE</paraID>
      <start>111</start>
      <end>112</end>
      <status>unmodified</status>
      <modifiedWord/>
      <trackRevisions>false</trackRevisions>
    </reviewItem>
    <reviewItem>
      <errorID>3071ebf4-8d80-4781-80db-3dcbece3a39d</errorID>
      <errorWord>:</errorWord>
      <group>L1_Format</group>
      <groupName>格式问题</groupName>
      <ability>L2_HalfPunc</ability>
      <abilityName>全半角检查</abilityName>
      <candidateList>
        <item>：</item>
      </candidateList>
      <explain>文本全半角错误。</explain>
      <paraID>2BCE8A73</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fba52-331f-4c99-b7e7-5bad58e5747e}">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10088</Words>
  <Characters>10491</Characters>
  <Lines>140</Lines>
  <Paragraphs>39</Paragraphs>
  <TotalTime>0</TotalTime>
  <ScaleCrop>false</ScaleCrop>
  <LinksUpToDate>false</LinksUpToDate>
  <CharactersWithSpaces>10557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cp:lastPrinted>2025-06-12T03:01:00Z</cp:lastPrinted>
  <dcterms:modified xsi:type="dcterms:W3CDTF">2026-02-28T02:42:30Z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B0A34AC76F7B4D71B7ACC4BA4A0E0A97_13</vt:lpwstr>
  </property>
  <property fmtid="{D5CDD505-2E9C-101B-9397-08002B2CF9AE}" pid="4" name="KSOTemplateDocerSaveRecord">
    <vt:lpwstr>eyJoZGlkIjoiNmU0OWNhMGUyYzc2MTI5ZWY2NzM4MTVkMDAwODg0YzMiLCJ1c2VySWQiOiI2ODM5ODUzMDMifQ==</vt:lpwstr>
  </property>
</Properties>
</file>